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5FC" w:rsidRPr="0027505B" w:rsidRDefault="00B755FC" w:rsidP="00E55F93">
      <w:pPr>
        <w:tabs>
          <w:tab w:val="left" w:pos="2200"/>
        </w:tabs>
        <w:rPr>
          <w:rFonts w:eastAsia="宋体" w:cs="Times New Roman"/>
          <w:szCs w:val="21"/>
        </w:rPr>
      </w:pPr>
    </w:p>
    <w:p w:rsidR="001653E5" w:rsidRPr="0027505B" w:rsidRDefault="001653E5">
      <w:pPr>
        <w:rPr>
          <w:rFonts w:eastAsia="宋体" w:cs="Times New Roman"/>
          <w:szCs w:val="21"/>
        </w:rPr>
      </w:pPr>
    </w:p>
    <w:p w:rsidR="00B755FC" w:rsidRPr="0027505B" w:rsidRDefault="00B755FC">
      <w:pPr>
        <w:rPr>
          <w:rFonts w:eastAsia="宋体" w:cs="Times New Roman"/>
          <w:szCs w:val="21"/>
        </w:rPr>
      </w:pPr>
    </w:p>
    <w:p w:rsidR="00B755FC" w:rsidRPr="0027505B" w:rsidRDefault="00B755FC">
      <w:pPr>
        <w:rPr>
          <w:rFonts w:eastAsia="宋体" w:cs="Times New Roman"/>
          <w:szCs w:val="21"/>
        </w:rPr>
      </w:pPr>
    </w:p>
    <w:p w:rsidR="00B755FC" w:rsidRPr="0027505B" w:rsidRDefault="00B755FC">
      <w:pPr>
        <w:rPr>
          <w:rFonts w:eastAsia="宋体" w:cs="Times New Roman"/>
          <w:szCs w:val="21"/>
        </w:rPr>
      </w:pPr>
    </w:p>
    <w:p w:rsidR="00B755FC" w:rsidRPr="0027505B" w:rsidRDefault="00B755FC">
      <w:pPr>
        <w:rPr>
          <w:rFonts w:eastAsia="宋体" w:cs="Times New Roman"/>
          <w:szCs w:val="21"/>
        </w:rPr>
      </w:pPr>
    </w:p>
    <w:p w:rsidR="00B755FC" w:rsidRPr="0027505B" w:rsidRDefault="00B755FC">
      <w:pPr>
        <w:tabs>
          <w:tab w:val="left" w:pos="3615"/>
        </w:tabs>
        <w:rPr>
          <w:rFonts w:eastAsia="宋体" w:cs="Times New Roman"/>
          <w:szCs w:val="21"/>
        </w:rPr>
      </w:pPr>
    </w:p>
    <w:p w:rsidR="00B755FC" w:rsidRPr="0027505B" w:rsidRDefault="00B755FC">
      <w:pPr>
        <w:rPr>
          <w:rFonts w:eastAsia="宋体" w:cs="Times New Roman"/>
          <w:szCs w:val="21"/>
        </w:rPr>
      </w:pPr>
    </w:p>
    <w:p w:rsidR="00B755FC" w:rsidRPr="0027505B" w:rsidRDefault="00B755FC">
      <w:pPr>
        <w:rPr>
          <w:rFonts w:eastAsia="宋体" w:cs="Times New Roman"/>
          <w:szCs w:val="21"/>
        </w:rPr>
      </w:pPr>
    </w:p>
    <w:p w:rsidR="00455A5E" w:rsidRPr="0027505B" w:rsidRDefault="00455A5E">
      <w:pPr>
        <w:rPr>
          <w:rFonts w:eastAsia="宋体" w:cs="Times New Roman"/>
          <w:szCs w:val="21"/>
        </w:rPr>
      </w:pPr>
    </w:p>
    <w:p w:rsidR="00455A5E" w:rsidRPr="0027505B" w:rsidRDefault="00455A5E">
      <w:pPr>
        <w:rPr>
          <w:rFonts w:eastAsia="宋体" w:cs="Times New Roman"/>
          <w:szCs w:val="21"/>
        </w:rPr>
      </w:pPr>
    </w:p>
    <w:p w:rsidR="00455A5E" w:rsidRPr="0027505B" w:rsidRDefault="00455A5E">
      <w:pPr>
        <w:rPr>
          <w:rFonts w:eastAsia="宋体" w:cs="Times New Roman"/>
          <w:szCs w:val="21"/>
        </w:rPr>
      </w:pPr>
    </w:p>
    <w:tbl>
      <w:tblPr>
        <w:tblW w:w="0" w:type="auto"/>
        <w:tblLayout w:type="fixed"/>
        <w:tblLook w:val="0000" w:firstRow="0" w:lastRow="0" w:firstColumn="0" w:lastColumn="0" w:noHBand="0" w:noVBand="0"/>
      </w:tblPr>
      <w:tblGrid>
        <w:gridCol w:w="2718"/>
        <w:gridCol w:w="5940"/>
      </w:tblGrid>
      <w:tr w:rsidR="001A3EDF" w:rsidRPr="005F14EE" w:rsidTr="0005794B">
        <w:tc>
          <w:tcPr>
            <w:tcW w:w="2718" w:type="dxa"/>
          </w:tcPr>
          <w:p w:rsidR="001A3EDF" w:rsidRPr="005F14EE" w:rsidRDefault="001A3EDF">
            <w:pPr>
              <w:rPr>
                <w:rFonts w:eastAsia="宋体" w:cs="Times New Roman"/>
                <w:spacing w:val="-3"/>
                <w:szCs w:val="21"/>
              </w:rPr>
            </w:pPr>
          </w:p>
        </w:tc>
        <w:tc>
          <w:tcPr>
            <w:tcW w:w="5940" w:type="dxa"/>
          </w:tcPr>
          <w:p w:rsidR="001A3EDF" w:rsidRPr="005F14EE" w:rsidRDefault="001A3EDF">
            <w:pPr>
              <w:rPr>
                <w:rFonts w:eastAsia="宋体" w:cs="Times New Roman"/>
                <w:spacing w:val="-3"/>
                <w:szCs w:val="21"/>
              </w:rPr>
            </w:pPr>
          </w:p>
        </w:tc>
      </w:tr>
    </w:tbl>
    <w:p w:rsidR="00B755FC" w:rsidRPr="00A71D2E" w:rsidRDefault="00B755FC">
      <w:pPr>
        <w:tabs>
          <w:tab w:val="left" w:pos="4437"/>
        </w:tabs>
        <w:rPr>
          <w:rFonts w:eastAsia="宋体" w:cs="Times New Roman"/>
          <w:szCs w:val="21"/>
          <w:u w:val="single"/>
        </w:rPr>
      </w:pPr>
      <w:r w:rsidRPr="00A71D2E">
        <w:rPr>
          <w:rFonts w:eastAsia="宋体" w:cs="Times New Roman"/>
          <w:szCs w:val="21"/>
        </w:rPr>
        <w:tab/>
      </w:r>
      <w:r w:rsidR="007D29DD" w:rsidRPr="00A71D2E">
        <w:rPr>
          <w:rFonts w:eastAsia="宋体" w:cs="Times New Roman" w:hint="eastAsia"/>
          <w:szCs w:val="21"/>
          <w:u w:val="single"/>
        </w:rPr>
        <w:t>杭州萤石网络</w:t>
      </w:r>
      <w:r w:rsidR="00AF5C44" w:rsidRPr="00A71D2E">
        <w:rPr>
          <w:rFonts w:eastAsia="宋体" w:cs="Times New Roman" w:hint="eastAsia"/>
          <w:szCs w:val="21"/>
          <w:u w:val="single"/>
        </w:rPr>
        <w:t>股份</w:t>
      </w:r>
      <w:r w:rsidR="007D29DD" w:rsidRPr="00A71D2E">
        <w:rPr>
          <w:rFonts w:eastAsia="宋体" w:cs="Times New Roman" w:hint="eastAsia"/>
          <w:szCs w:val="21"/>
          <w:u w:val="single"/>
        </w:rPr>
        <w:t>有限公司</w:t>
      </w:r>
    </w:p>
    <w:p w:rsidR="00B755FC" w:rsidRPr="00A71D2E" w:rsidRDefault="00B755FC">
      <w:pPr>
        <w:tabs>
          <w:tab w:val="left" w:pos="4140"/>
        </w:tabs>
        <w:rPr>
          <w:rFonts w:eastAsia="宋体" w:cs="Times New Roman"/>
          <w:szCs w:val="21"/>
        </w:rPr>
      </w:pPr>
    </w:p>
    <w:p w:rsidR="00B755FC" w:rsidRPr="00A71D2E" w:rsidRDefault="00B755FC">
      <w:pPr>
        <w:tabs>
          <w:tab w:val="left" w:pos="4437"/>
        </w:tabs>
        <w:rPr>
          <w:rFonts w:eastAsia="宋体" w:cs="Times New Roman"/>
          <w:szCs w:val="21"/>
        </w:rPr>
      </w:pPr>
      <w:r w:rsidRPr="00A71D2E">
        <w:rPr>
          <w:rFonts w:eastAsia="宋体" w:cs="Times New Roman"/>
          <w:szCs w:val="21"/>
        </w:rPr>
        <w:tab/>
      </w:r>
      <w:r w:rsidRPr="00A71D2E">
        <w:rPr>
          <w:rFonts w:eastAsia="宋体" w:cs="Times New Roman" w:hint="eastAsia"/>
          <w:szCs w:val="21"/>
        </w:rPr>
        <w:t>财务报表及审计报告</w:t>
      </w:r>
    </w:p>
    <w:p w:rsidR="00E4526A" w:rsidRPr="00A71D2E" w:rsidRDefault="000F3C10">
      <w:pPr>
        <w:tabs>
          <w:tab w:val="left" w:pos="4437"/>
        </w:tabs>
        <w:rPr>
          <w:rFonts w:eastAsia="宋体" w:cs="Times New Roman"/>
          <w:kern w:val="2"/>
          <w:szCs w:val="21"/>
        </w:rPr>
      </w:pPr>
      <w:r w:rsidRPr="00A71D2E">
        <w:rPr>
          <w:rFonts w:eastAsia="宋体" w:cs="Times New Roman"/>
          <w:kern w:val="2"/>
          <w:szCs w:val="21"/>
        </w:rPr>
        <w:tab/>
        <w:t>202</w:t>
      </w:r>
      <w:r w:rsidR="00157655">
        <w:rPr>
          <w:rFonts w:eastAsia="宋体" w:cs="Times New Roman"/>
          <w:kern w:val="2"/>
          <w:szCs w:val="21"/>
        </w:rPr>
        <w:t>3</w:t>
      </w:r>
      <w:r w:rsidRPr="00A71D2E">
        <w:rPr>
          <w:rFonts w:eastAsia="宋体" w:cs="Times New Roman" w:hint="eastAsia"/>
          <w:kern w:val="2"/>
          <w:szCs w:val="21"/>
        </w:rPr>
        <w:t>年</w:t>
      </w:r>
      <w:r w:rsidR="00167674" w:rsidRPr="00A71D2E">
        <w:rPr>
          <w:rFonts w:eastAsia="宋体" w:cs="Times New Roman"/>
          <w:kern w:val="2"/>
          <w:szCs w:val="21"/>
        </w:rPr>
        <w:t>12</w:t>
      </w:r>
      <w:r w:rsidRPr="00A71D2E">
        <w:rPr>
          <w:rFonts w:eastAsia="宋体" w:cs="Times New Roman" w:hint="eastAsia"/>
          <w:kern w:val="2"/>
          <w:szCs w:val="21"/>
        </w:rPr>
        <w:t>月</w:t>
      </w:r>
      <w:r w:rsidR="00167674" w:rsidRPr="00A71D2E">
        <w:rPr>
          <w:rFonts w:eastAsia="宋体" w:cs="Times New Roman"/>
          <w:kern w:val="2"/>
          <w:szCs w:val="21"/>
        </w:rPr>
        <w:t>3</w:t>
      </w:r>
      <w:r w:rsidRPr="00A71D2E">
        <w:rPr>
          <w:rFonts w:eastAsia="宋体" w:cs="Times New Roman"/>
          <w:kern w:val="2"/>
          <w:szCs w:val="21"/>
        </w:rPr>
        <w:t>1</w:t>
      </w:r>
      <w:r w:rsidRPr="00A71D2E">
        <w:rPr>
          <w:rFonts w:eastAsia="宋体" w:cs="Times New Roman" w:hint="eastAsia"/>
          <w:kern w:val="2"/>
          <w:szCs w:val="21"/>
        </w:rPr>
        <w:t>日</w:t>
      </w:r>
      <w:proofErr w:type="gramStart"/>
      <w:r w:rsidR="00167674" w:rsidRPr="00A71D2E">
        <w:rPr>
          <w:rFonts w:eastAsia="宋体" w:cs="Times New Roman" w:hint="eastAsia"/>
          <w:kern w:val="2"/>
          <w:szCs w:val="21"/>
        </w:rPr>
        <w:t>止</w:t>
      </w:r>
      <w:proofErr w:type="gramEnd"/>
      <w:r w:rsidR="00167674" w:rsidRPr="00A71D2E">
        <w:rPr>
          <w:rFonts w:eastAsia="宋体" w:cs="Times New Roman" w:hint="eastAsia"/>
          <w:kern w:val="2"/>
          <w:szCs w:val="21"/>
        </w:rPr>
        <w:t>年度</w:t>
      </w:r>
    </w:p>
    <w:p w:rsidR="00B755FC" w:rsidRPr="00A71D2E" w:rsidRDefault="00B755FC">
      <w:pPr>
        <w:tabs>
          <w:tab w:val="left" w:pos="4140"/>
        </w:tabs>
        <w:textAlignment w:val="baseline"/>
        <w:rPr>
          <w:rFonts w:eastAsia="宋体" w:cs="Times New Roman"/>
          <w:sz w:val="24"/>
          <w:szCs w:val="24"/>
        </w:rPr>
      </w:pPr>
    </w:p>
    <w:p w:rsidR="00B755FC" w:rsidRPr="00A71D2E" w:rsidRDefault="00B755FC">
      <w:pPr>
        <w:rPr>
          <w:rFonts w:eastAsia="宋体" w:cs="Times New Roman"/>
          <w:sz w:val="24"/>
          <w:szCs w:val="24"/>
        </w:rPr>
      </w:pPr>
    </w:p>
    <w:p w:rsidR="00B60260" w:rsidRPr="00A71D2E" w:rsidRDefault="00B60260">
      <w:pPr>
        <w:rPr>
          <w:rFonts w:eastAsia="宋体" w:cs="Times New Roman"/>
          <w:sz w:val="24"/>
          <w:szCs w:val="24"/>
        </w:rPr>
        <w:sectPr w:rsidR="00B60260" w:rsidRPr="00A71D2E" w:rsidSect="00452B2B">
          <w:headerReference w:type="even" r:id="rId9"/>
          <w:headerReference w:type="default" r:id="rId10"/>
          <w:footerReference w:type="even" r:id="rId11"/>
          <w:footerReference w:type="default" r:id="rId12"/>
          <w:headerReference w:type="first" r:id="rId13"/>
          <w:footerReference w:type="first" r:id="rId14"/>
          <w:pgSz w:w="11906" w:h="16838" w:code="9"/>
          <w:pgMar w:top="864" w:right="720" w:bottom="432" w:left="1008" w:header="720" w:footer="360" w:gutter="0"/>
          <w:pgNumType w:start="1"/>
          <w:cols w:space="708"/>
          <w:docGrid w:linePitch="360"/>
        </w:sectPr>
      </w:pPr>
    </w:p>
    <w:p w:rsidR="00B755FC" w:rsidRPr="00A71D2E" w:rsidRDefault="00B755FC">
      <w:pPr>
        <w:rPr>
          <w:rFonts w:eastAsia="宋体" w:cs="Times New Roman"/>
          <w:szCs w:val="21"/>
        </w:rPr>
      </w:pPr>
      <w:r w:rsidRPr="00A71D2E">
        <w:rPr>
          <w:rFonts w:eastAsia="宋体" w:cs="Times New Roman" w:hint="eastAsia"/>
          <w:szCs w:val="21"/>
        </w:rPr>
        <w:t>财务报表及审计报告</w:t>
      </w:r>
    </w:p>
    <w:p w:rsidR="00E4526A" w:rsidRPr="00A71D2E" w:rsidRDefault="007C7C92">
      <w:pPr>
        <w:tabs>
          <w:tab w:val="right" w:pos="10170"/>
        </w:tabs>
        <w:adjustRightInd/>
        <w:jc w:val="both"/>
        <w:rPr>
          <w:rFonts w:eastAsia="宋体" w:cs="Times New Roman"/>
          <w:kern w:val="2"/>
          <w:szCs w:val="21"/>
          <w:u w:val="single"/>
        </w:rPr>
      </w:pPr>
      <w:r w:rsidRPr="00A71D2E">
        <w:rPr>
          <w:rFonts w:eastAsia="宋体" w:cs="Times New Roman"/>
          <w:kern w:val="2"/>
          <w:szCs w:val="21"/>
          <w:u w:val="single"/>
        </w:rPr>
        <w:t>202</w:t>
      </w:r>
      <w:r w:rsidR="00F24807">
        <w:rPr>
          <w:rFonts w:eastAsia="宋体" w:cs="Times New Roman"/>
          <w:kern w:val="2"/>
          <w:szCs w:val="21"/>
          <w:u w:val="single"/>
        </w:rPr>
        <w:t>3</w:t>
      </w:r>
      <w:r w:rsidRPr="00A71D2E">
        <w:rPr>
          <w:rFonts w:eastAsia="宋体" w:cs="Times New Roman" w:hint="eastAsia"/>
          <w:kern w:val="2"/>
          <w:szCs w:val="21"/>
          <w:u w:val="single"/>
        </w:rPr>
        <w:t>年</w:t>
      </w:r>
      <w:r w:rsidRPr="00A71D2E">
        <w:rPr>
          <w:rFonts w:eastAsia="宋体" w:cs="Times New Roman"/>
          <w:kern w:val="2"/>
          <w:szCs w:val="21"/>
          <w:u w:val="single"/>
        </w:rPr>
        <w:t>1</w:t>
      </w:r>
      <w:r w:rsidR="009E6A12" w:rsidRPr="00A71D2E">
        <w:rPr>
          <w:rFonts w:eastAsia="宋体" w:cs="Times New Roman"/>
          <w:kern w:val="2"/>
          <w:szCs w:val="21"/>
          <w:u w:val="single"/>
        </w:rPr>
        <w:t>2</w:t>
      </w:r>
      <w:r w:rsidRPr="00A71D2E">
        <w:rPr>
          <w:rFonts w:eastAsia="宋体" w:cs="Times New Roman" w:hint="eastAsia"/>
          <w:kern w:val="2"/>
          <w:szCs w:val="21"/>
          <w:u w:val="single"/>
        </w:rPr>
        <w:t>月</w:t>
      </w:r>
      <w:r w:rsidR="009E6A12" w:rsidRPr="00A71D2E">
        <w:rPr>
          <w:rFonts w:eastAsia="宋体" w:cs="Times New Roman"/>
          <w:kern w:val="2"/>
          <w:szCs w:val="21"/>
          <w:u w:val="single"/>
        </w:rPr>
        <w:t>3</w:t>
      </w:r>
      <w:r w:rsidRPr="00A71D2E">
        <w:rPr>
          <w:rFonts w:eastAsia="宋体" w:cs="Times New Roman"/>
          <w:kern w:val="2"/>
          <w:szCs w:val="21"/>
          <w:u w:val="single"/>
        </w:rPr>
        <w:t>1</w:t>
      </w:r>
      <w:r w:rsidRPr="00A71D2E">
        <w:rPr>
          <w:rFonts w:eastAsia="宋体" w:cs="Times New Roman" w:hint="eastAsia"/>
          <w:kern w:val="2"/>
          <w:szCs w:val="21"/>
          <w:u w:val="single"/>
        </w:rPr>
        <w:t>日</w:t>
      </w:r>
      <w:proofErr w:type="gramStart"/>
      <w:r w:rsidR="009E6A12" w:rsidRPr="00A71D2E">
        <w:rPr>
          <w:rFonts w:eastAsia="宋体" w:cs="Times New Roman" w:hint="eastAsia"/>
          <w:kern w:val="2"/>
          <w:szCs w:val="21"/>
          <w:u w:val="single"/>
        </w:rPr>
        <w:t>止</w:t>
      </w:r>
      <w:proofErr w:type="gramEnd"/>
      <w:r w:rsidR="009E6A12" w:rsidRPr="00A71D2E">
        <w:rPr>
          <w:rFonts w:eastAsia="宋体" w:cs="Times New Roman" w:hint="eastAsia"/>
          <w:kern w:val="2"/>
          <w:szCs w:val="21"/>
          <w:u w:val="single"/>
        </w:rPr>
        <w:t>年度</w:t>
      </w:r>
      <w:r w:rsidR="00E4526A" w:rsidRPr="00A71D2E">
        <w:rPr>
          <w:rFonts w:eastAsia="宋体" w:cs="Times New Roman"/>
          <w:kern w:val="2"/>
          <w:szCs w:val="21"/>
          <w:u w:val="single"/>
        </w:rPr>
        <w:tab/>
      </w:r>
    </w:p>
    <w:p w:rsidR="00B755FC" w:rsidRPr="00A71D2E" w:rsidRDefault="00B755FC">
      <w:pPr>
        <w:rPr>
          <w:rFonts w:eastAsia="宋体" w:cs="Times New Roman"/>
          <w:szCs w:val="21"/>
        </w:rPr>
      </w:pPr>
    </w:p>
    <w:p w:rsidR="00B755FC" w:rsidRPr="00A71D2E" w:rsidRDefault="00B755FC">
      <w:pPr>
        <w:rPr>
          <w:rFonts w:eastAsia="宋体" w:cs="Times New Roman"/>
          <w:szCs w:val="21"/>
        </w:rPr>
      </w:pPr>
    </w:p>
    <w:p w:rsidR="001E0E49" w:rsidRPr="00A71D2E" w:rsidRDefault="001E0E49">
      <w:pPr>
        <w:rPr>
          <w:rFonts w:eastAsia="宋体" w:cs="Times New Roman"/>
          <w:szCs w:val="21"/>
        </w:rPr>
      </w:pPr>
    </w:p>
    <w:p w:rsidR="001E0E49" w:rsidRPr="00A71D2E" w:rsidRDefault="001E0E49">
      <w:pPr>
        <w:rPr>
          <w:rFonts w:eastAsia="宋体" w:cs="Times New Roman"/>
          <w:szCs w:val="21"/>
        </w:rPr>
      </w:pPr>
    </w:p>
    <w:p w:rsidR="00B755FC" w:rsidRPr="00A71D2E" w:rsidRDefault="00B755FC">
      <w:pPr>
        <w:rPr>
          <w:rFonts w:eastAsia="宋体" w:cs="Times New Roman"/>
          <w:caps/>
          <w:szCs w:val="21"/>
          <w:u w:val="single"/>
        </w:rPr>
      </w:pPr>
    </w:p>
    <w:p w:rsidR="00B755FC" w:rsidRPr="00A71D2E" w:rsidRDefault="00B755FC">
      <w:pPr>
        <w:rPr>
          <w:rFonts w:eastAsia="宋体" w:cs="Times New Roman"/>
          <w:caps/>
          <w:szCs w:val="21"/>
          <w:u w:val="single"/>
        </w:rPr>
      </w:pPr>
    </w:p>
    <w:p w:rsidR="00B755FC" w:rsidRPr="00A71D2E" w:rsidRDefault="00B755FC">
      <w:pPr>
        <w:tabs>
          <w:tab w:val="center" w:pos="8640"/>
        </w:tabs>
        <w:rPr>
          <w:rFonts w:eastAsia="宋体" w:cs="Times New Roman"/>
          <w:caps/>
          <w:szCs w:val="21"/>
        </w:rPr>
      </w:pPr>
      <w:r w:rsidRPr="00A71D2E">
        <w:rPr>
          <w:rFonts w:eastAsia="宋体" w:cs="Times New Roman" w:hint="eastAsia"/>
          <w:caps/>
          <w:szCs w:val="21"/>
          <w:u w:val="single"/>
        </w:rPr>
        <w:t>内容</w:t>
      </w:r>
      <w:r w:rsidRPr="00A71D2E">
        <w:rPr>
          <w:rFonts w:eastAsia="宋体" w:cs="Times New Roman"/>
          <w:caps/>
          <w:szCs w:val="21"/>
        </w:rPr>
        <w:tab/>
      </w:r>
      <w:r w:rsidRPr="00A71D2E">
        <w:rPr>
          <w:rFonts w:eastAsia="宋体" w:cs="Times New Roman" w:hint="eastAsia"/>
          <w:caps/>
          <w:szCs w:val="21"/>
          <w:u w:val="single"/>
        </w:rPr>
        <w:t>页码</w:t>
      </w:r>
    </w:p>
    <w:p w:rsidR="00B755FC" w:rsidRPr="00A71D2E" w:rsidRDefault="00B755FC">
      <w:pPr>
        <w:tabs>
          <w:tab w:val="center" w:pos="8640"/>
        </w:tabs>
        <w:rPr>
          <w:rFonts w:eastAsia="宋体" w:cs="Times New Roman"/>
          <w:caps/>
          <w:szCs w:val="21"/>
        </w:rPr>
      </w:pPr>
    </w:p>
    <w:p w:rsidR="00B755FC" w:rsidRPr="00A71D2E" w:rsidRDefault="00B755FC">
      <w:pPr>
        <w:tabs>
          <w:tab w:val="center" w:pos="8640"/>
        </w:tabs>
        <w:rPr>
          <w:rFonts w:eastAsia="宋体" w:cs="Times New Roman"/>
          <w:caps/>
          <w:szCs w:val="21"/>
        </w:rPr>
      </w:pPr>
    </w:p>
    <w:p w:rsidR="00B755FC" w:rsidRPr="00A71D2E" w:rsidRDefault="00B755FC">
      <w:pPr>
        <w:tabs>
          <w:tab w:val="center" w:pos="8640"/>
        </w:tabs>
        <w:rPr>
          <w:rFonts w:eastAsia="宋体" w:cs="Times New Roman"/>
          <w:caps/>
          <w:szCs w:val="21"/>
        </w:rPr>
      </w:pPr>
    </w:p>
    <w:p w:rsidR="00B755FC" w:rsidRPr="00A71D2E" w:rsidRDefault="00B755FC">
      <w:pPr>
        <w:tabs>
          <w:tab w:val="center" w:pos="8640"/>
        </w:tabs>
        <w:rPr>
          <w:rFonts w:eastAsia="宋体" w:cs="Times New Roman"/>
          <w:caps/>
          <w:szCs w:val="21"/>
        </w:rPr>
      </w:pPr>
      <w:r w:rsidRPr="00A71D2E">
        <w:rPr>
          <w:rFonts w:eastAsia="宋体" w:cs="Times New Roman" w:hint="eastAsia"/>
          <w:caps/>
          <w:szCs w:val="21"/>
        </w:rPr>
        <w:t>审计报告</w:t>
      </w:r>
      <w:r w:rsidRPr="00A71D2E">
        <w:rPr>
          <w:rFonts w:eastAsia="宋体" w:cs="Times New Roman"/>
          <w:caps/>
          <w:szCs w:val="21"/>
        </w:rPr>
        <w:tab/>
        <w:t xml:space="preserve">1 - </w:t>
      </w:r>
      <w:r w:rsidR="00B07360" w:rsidRPr="00A71D2E">
        <w:rPr>
          <w:rFonts w:eastAsia="宋体" w:cs="Times New Roman"/>
          <w:caps/>
          <w:szCs w:val="21"/>
        </w:rPr>
        <w:t>3</w:t>
      </w:r>
    </w:p>
    <w:p w:rsidR="00B755FC" w:rsidRPr="00A71D2E" w:rsidRDefault="00B755FC">
      <w:pPr>
        <w:tabs>
          <w:tab w:val="center" w:pos="8640"/>
        </w:tabs>
        <w:rPr>
          <w:rFonts w:eastAsia="宋体" w:cs="Times New Roman"/>
          <w:caps/>
          <w:szCs w:val="21"/>
        </w:rPr>
      </w:pPr>
    </w:p>
    <w:p w:rsidR="00B755FC" w:rsidRPr="00A71D2E" w:rsidRDefault="00B755FC">
      <w:pPr>
        <w:tabs>
          <w:tab w:val="center" w:pos="8640"/>
        </w:tabs>
        <w:rPr>
          <w:rFonts w:eastAsia="宋体" w:cs="Times New Roman"/>
          <w:caps/>
          <w:szCs w:val="21"/>
        </w:rPr>
      </w:pPr>
    </w:p>
    <w:p w:rsidR="00B755FC" w:rsidRPr="00A71D2E" w:rsidRDefault="00B755FC">
      <w:pPr>
        <w:tabs>
          <w:tab w:val="center" w:pos="8640"/>
        </w:tabs>
        <w:rPr>
          <w:rFonts w:eastAsia="宋体" w:cs="Times New Roman"/>
          <w:caps/>
          <w:szCs w:val="21"/>
        </w:rPr>
      </w:pPr>
      <w:r w:rsidRPr="00A71D2E">
        <w:rPr>
          <w:rFonts w:eastAsia="宋体" w:cs="Times New Roman" w:hint="eastAsia"/>
          <w:caps/>
          <w:szCs w:val="21"/>
        </w:rPr>
        <w:t>合并</w:t>
      </w:r>
      <w:r w:rsidR="00236764" w:rsidRPr="00A71D2E">
        <w:rPr>
          <w:rFonts w:eastAsia="宋体" w:cs="Times New Roman" w:hint="eastAsia"/>
          <w:caps/>
          <w:szCs w:val="21"/>
        </w:rPr>
        <w:t>及母公司</w:t>
      </w:r>
      <w:r w:rsidRPr="00A71D2E">
        <w:rPr>
          <w:rFonts w:eastAsia="宋体" w:cs="Times New Roman" w:hint="eastAsia"/>
          <w:caps/>
          <w:szCs w:val="21"/>
        </w:rPr>
        <w:t>资产负债表</w:t>
      </w:r>
      <w:r w:rsidRPr="00A71D2E">
        <w:rPr>
          <w:rFonts w:eastAsia="宋体" w:cs="Times New Roman"/>
          <w:caps/>
          <w:szCs w:val="21"/>
        </w:rPr>
        <w:tab/>
      </w:r>
      <w:r w:rsidR="00B07360" w:rsidRPr="00A71D2E">
        <w:rPr>
          <w:rFonts w:eastAsia="宋体" w:cs="Times New Roman"/>
          <w:caps/>
          <w:szCs w:val="21"/>
        </w:rPr>
        <w:t>4</w:t>
      </w:r>
      <w:r w:rsidR="00B07360" w:rsidRPr="00A71D2E">
        <w:rPr>
          <w:rFonts w:eastAsia="宋体" w:cs="Times New Roman"/>
          <w:szCs w:val="21"/>
        </w:rPr>
        <w:t xml:space="preserve"> </w:t>
      </w:r>
      <w:r w:rsidRPr="00A71D2E">
        <w:rPr>
          <w:rFonts w:eastAsia="宋体" w:cs="Times New Roman"/>
          <w:szCs w:val="21"/>
        </w:rPr>
        <w:t xml:space="preserve">- </w:t>
      </w:r>
      <w:r w:rsidR="00B07360" w:rsidRPr="00A71D2E">
        <w:rPr>
          <w:rFonts w:eastAsia="宋体" w:cs="Times New Roman"/>
          <w:szCs w:val="21"/>
        </w:rPr>
        <w:t>7</w:t>
      </w:r>
    </w:p>
    <w:p w:rsidR="00B755FC" w:rsidRPr="00A71D2E" w:rsidRDefault="00B755FC">
      <w:pPr>
        <w:tabs>
          <w:tab w:val="center" w:pos="8640"/>
        </w:tabs>
        <w:rPr>
          <w:rFonts w:eastAsia="宋体" w:cs="Times New Roman"/>
          <w:caps/>
          <w:szCs w:val="21"/>
        </w:rPr>
      </w:pPr>
    </w:p>
    <w:p w:rsidR="00B755FC" w:rsidRPr="00A71D2E" w:rsidRDefault="00B755FC">
      <w:pPr>
        <w:tabs>
          <w:tab w:val="center" w:pos="8640"/>
        </w:tabs>
        <w:rPr>
          <w:rFonts w:eastAsia="宋体" w:cs="Times New Roman"/>
          <w:caps/>
          <w:szCs w:val="21"/>
        </w:rPr>
      </w:pPr>
    </w:p>
    <w:p w:rsidR="00B755FC" w:rsidRPr="00A71D2E" w:rsidRDefault="00584E2A">
      <w:pPr>
        <w:tabs>
          <w:tab w:val="center" w:pos="8640"/>
        </w:tabs>
        <w:rPr>
          <w:rFonts w:eastAsia="宋体" w:cs="Times New Roman"/>
          <w:szCs w:val="21"/>
        </w:rPr>
      </w:pPr>
      <w:r w:rsidRPr="00A71D2E">
        <w:rPr>
          <w:rFonts w:eastAsia="宋体" w:cs="Times New Roman" w:hint="eastAsia"/>
          <w:szCs w:val="21"/>
        </w:rPr>
        <w:t>合并</w:t>
      </w:r>
      <w:r w:rsidR="00236764" w:rsidRPr="00A71D2E">
        <w:rPr>
          <w:rFonts w:eastAsia="宋体" w:cs="Times New Roman" w:hint="eastAsia"/>
          <w:caps/>
          <w:szCs w:val="21"/>
        </w:rPr>
        <w:t>及母公司</w:t>
      </w:r>
      <w:r w:rsidRPr="00A71D2E">
        <w:rPr>
          <w:rFonts w:eastAsia="宋体" w:cs="Times New Roman" w:hint="eastAsia"/>
          <w:szCs w:val="21"/>
        </w:rPr>
        <w:t>利润表</w:t>
      </w:r>
      <w:r w:rsidR="00B755FC" w:rsidRPr="00A71D2E">
        <w:rPr>
          <w:rFonts w:eastAsia="宋体" w:cs="Times New Roman"/>
          <w:szCs w:val="21"/>
        </w:rPr>
        <w:tab/>
      </w:r>
      <w:r w:rsidR="00B07360" w:rsidRPr="00A71D2E">
        <w:rPr>
          <w:rFonts w:eastAsia="宋体" w:cs="Times New Roman"/>
          <w:szCs w:val="21"/>
        </w:rPr>
        <w:t xml:space="preserve">8 </w:t>
      </w:r>
      <w:r w:rsidR="00FA7989" w:rsidRPr="00A71D2E">
        <w:rPr>
          <w:rFonts w:eastAsia="宋体" w:cs="Times New Roman"/>
          <w:szCs w:val="21"/>
        </w:rPr>
        <w:t>-</w:t>
      </w:r>
      <w:r w:rsidR="00236764" w:rsidRPr="00A71D2E">
        <w:rPr>
          <w:rFonts w:eastAsia="宋体" w:cs="Times New Roman"/>
          <w:szCs w:val="21"/>
        </w:rPr>
        <w:t xml:space="preserve"> </w:t>
      </w:r>
      <w:r w:rsidR="00B07360" w:rsidRPr="00A71D2E">
        <w:rPr>
          <w:rFonts w:eastAsia="宋体" w:cs="Times New Roman"/>
          <w:szCs w:val="21"/>
        </w:rPr>
        <w:t>9</w:t>
      </w:r>
    </w:p>
    <w:p w:rsidR="00B755FC" w:rsidRPr="00A71D2E" w:rsidRDefault="00B755FC">
      <w:pPr>
        <w:tabs>
          <w:tab w:val="center" w:pos="8640"/>
        </w:tabs>
        <w:rPr>
          <w:rFonts w:eastAsia="宋体" w:cs="Times New Roman"/>
          <w:szCs w:val="21"/>
        </w:rPr>
      </w:pPr>
    </w:p>
    <w:p w:rsidR="00B755FC" w:rsidRPr="00A71D2E" w:rsidRDefault="00B755FC">
      <w:pPr>
        <w:tabs>
          <w:tab w:val="center" w:pos="8640"/>
        </w:tabs>
        <w:rPr>
          <w:rFonts w:eastAsia="宋体" w:cs="Times New Roman"/>
          <w:szCs w:val="21"/>
        </w:rPr>
      </w:pPr>
    </w:p>
    <w:p w:rsidR="00B755FC" w:rsidRPr="00A71D2E" w:rsidRDefault="00584E2A">
      <w:pPr>
        <w:tabs>
          <w:tab w:val="center" w:pos="8640"/>
        </w:tabs>
        <w:rPr>
          <w:rFonts w:eastAsia="宋体" w:cs="Times New Roman"/>
          <w:caps/>
          <w:szCs w:val="21"/>
        </w:rPr>
      </w:pPr>
      <w:r w:rsidRPr="00A71D2E">
        <w:rPr>
          <w:rFonts w:eastAsia="宋体" w:cs="Times New Roman" w:hint="eastAsia"/>
          <w:caps/>
          <w:szCs w:val="21"/>
        </w:rPr>
        <w:t>合并</w:t>
      </w:r>
      <w:r w:rsidR="00236764" w:rsidRPr="00A71D2E">
        <w:rPr>
          <w:rFonts w:eastAsia="宋体" w:cs="Times New Roman" w:hint="eastAsia"/>
          <w:caps/>
          <w:szCs w:val="21"/>
        </w:rPr>
        <w:t>及母公司</w:t>
      </w:r>
      <w:r w:rsidRPr="00A71D2E">
        <w:rPr>
          <w:rFonts w:eastAsia="宋体" w:cs="Times New Roman" w:hint="eastAsia"/>
          <w:caps/>
          <w:szCs w:val="21"/>
        </w:rPr>
        <w:t>现金流量表</w:t>
      </w:r>
      <w:r w:rsidR="00B755FC" w:rsidRPr="00A71D2E">
        <w:rPr>
          <w:rFonts w:eastAsia="宋体" w:cs="Times New Roman"/>
          <w:caps/>
          <w:szCs w:val="21"/>
        </w:rPr>
        <w:tab/>
      </w:r>
      <w:r w:rsidR="0055616B" w:rsidRPr="00A71D2E">
        <w:rPr>
          <w:rFonts w:eastAsia="宋体" w:cs="Times New Roman"/>
          <w:caps/>
          <w:szCs w:val="21"/>
        </w:rPr>
        <w:t>1</w:t>
      </w:r>
      <w:r w:rsidR="00B07360" w:rsidRPr="00A71D2E">
        <w:rPr>
          <w:rFonts w:eastAsia="宋体" w:cs="Times New Roman"/>
          <w:caps/>
          <w:szCs w:val="21"/>
        </w:rPr>
        <w:t>0</w:t>
      </w:r>
      <w:r w:rsidR="00236764" w:rsidRPr="00A71D2E">
        <w:rPr>
          <w:rFonts w:eastAsia="宋体" w:cs="Times New Roman"/>
          <w:caps/>
          <w:szCs w:val="21"/>
        </w:rPr>
        <w:t xml:space="preserve"> - 1</w:t>
      </w:r>
      <w:r w:rsidR="00B07360" w:rsidRPr="00A71D2E">
        <w:rPr>
          <w:rFonts w:eastAsia="宋体" w:cs="Times New Roman"/>
          <w:caps/>
          <w:szCs w:val="21"/>
        </w:rPr>
        <w:t>1</w:t>
      </w:r>
    </w:p>
    <w:p w:rsidR="00B755FC" w:rsidRPr="00A71D2E" w:rsidRDefault="00B755FC">
      <w:pPr>
        <w:tabs>
          <w:tab w:val="center" w:pos="8640"/>
        </w:tabs>
        <w:rPr>
          <w:rFonts w:eastAsia="宋体" w:cs="Times New Roman"/>
          <w:caps/>
          <w:szCs w:val="21"/>
        </w:rPr>
      </w:pPr>
    </w:p>
    <w:p w:rsidR="00B755FC" w:rsidRPr="00A71D2E" w:rsidRDefault="00B755FC">
      <w:pPr>
        <w:tabs>
          <w:tab w:val="center" w:pos="8640"/>
        </w:tabs>
        <w:rPr>
          <w:rFonts w:eastAsia="宋体" w:cs="Times New Roman"/>
          <w:caps/>
          <w:szCs w:val="21"/>
        </w:rPr>
      </w:pPr>
    </w:p>
    <w:p w:rsidR="00B755FC" w:rsidRPr="00A71D2E" w:rsidRDefault="00584E2A">
      <w:pPr>
        <w:tabs>
          <w:tab w:val="center" w:pos="8640"/>
        </w:tabs>
        <w:rPr>
          <w:rFonts w:eastAsia="宋体" w:cs="Times New Roman"/>
          <w:szCs w:val="21"/>
        </w:rPr>
      </w:pPr>
      <w:r w:rsidRPr="00A71D2E">
        <w:rPr>
          <w:rFonts w:eastAsia="宋体" w:cs="Times New Roman" w:hint="eastAsia"/>
          <w:szCs w:val="21"/>
        </w:rPr>
        <w:t>合并</w:t>
      </w:r>
      <w:r w:rsidR="00236764" w:rsidRPr="00A71D2E">
        <w:rPr>
          <w:rFonts w:eastAsia="宋体" w:cs="Times New Roman" w:hint="eastAsia"/>
          <w:caps/>
          <w:szCs w:val="21"/>
        </w:rPr>
        <w:t>及母公司</w:t>
      </w:r>
      <w:r w:rsidR="00903DD2">
        <w:rPr>
          <w:rFonts w:eastAsia="宋体" w:cs="Times New Roman" w:hint="eastAsia"/>
          <w:caps/>
          <w:szCs w:val="21"/>
        </w:rPr>
        <w:t>股东</w:t>
      </w:r>
      <w:r w:rsidRPr="00A71D2E">
        <w:rPr>
          <w:rFonts w:eastAsia="宋体" w:cs="Times New Roman" w:hint="eastAsia"/>
          <w:szCs w:val="21"/>
        </w:rPr>
        <w:t>权益变动表</w:t>
      </w:r>
      <w:r w:rsidR="00B755FC" w:rsidRPr="00A71D2E">
        <w:rPr>
          <w:rFonts w:eastAsia="宋体" w:cs="Times New Roman"/>
          <w:szCs w:val="21"/>
        </w:rPr>
        <w:tab/>
      </w:r>
      <w:r w:rsidR="00B07360" w:rsidRPr="00A71D2E">
        <w:rPr>
          <w:rFonts w:eastAsia="宋体" w:cs="Times New Roman"/>
          <w:szCs w:val="21"/>
        </w:rPr>
        <w:t xml:space="preserve">12 </w:t>
      </w:r>
      <w:r w:rsidR="00236764" w:rsidRPr="00A71D2E">
        <w:rPr>
          <w:rFonts w:eastAsia="宋体" w:cs="Times New Roman"/>
          <w:szCs w:val="21"/>
        </w:rPr>
        <w:t xml:space="preserve">- </w:t>
      </w:r>
      <w:r w:rsidR="00B07360" w:rsidRPr="00A71D2E">
        <w:rPr>
          <w:rFonts w:eastAsia="宋体" w:cs="Times New Roman"/>
          <w:szCs w:val="21"/>
        </w:rPr>
        <w:t>13</w:t>
      </w:r>
    </w:p>
    <w:p w:rsidR="00B755FC" w:rsidRPr="00A71D2E" w:rsidRDefault="00B755FC">
      <w:pPr>
        <w:tabs>
          <w:tab w:val="center" w:pos="8640"/>
        </w:tabs>
        <w:rPr>
          <w:rFonts w:eastAsia="宋体" w:cs="Times New Roman"/>
          <w:szCs w:val="21"/>
        </w:rPr>
      </w:pPr>
    </w:p>
    <w:p w:rsidR="00B755FC" w:rsidRPr="00A71D2E" w:rsidRDefault="00B755FC">
      <w:pPr>
        <w:tabs>
          <w:tab w:val="center" w:pos="8640"/>
        </w:tabs>
        <w:rPr>
          <w:rFonts w:eastAsia="宋体" w:cs="Times New Roman"/>
          <w:szCs w:val="21"/>
        </w:rPr>
      </w:pPr>
    </w:p>
    <w:p w:rsidR="00B755FC" w:rsidRPr="00A71D2E" w:rsidRDefault="00B755FC">
      <w:pPr>
        <w:tabs>
          <w:tab w:val="center" w:pos="8640"/>
        </w:tabs>
        <w:rPr>
          <w:rFonts w:eastAsia="宋体" w:cs="Times New Roman"/>
          <w:szCs w:val="21"/>
        </w:rPr>
      </w:pPr>
      <w:r w:rsidRPr="00A71D2E">
        <w:rPr>
          <w:rFonts w:eastAsia="宋体" w:cs="Times New Roman" w:hint="eastAsia"/>
          <w:szCs w:val="21"/>
        </w:rPr>
        <w:t>财务报表附注</w:t>
      </w:r>
      <w:r w:rsidRPr="00A71D2E">
        <w:rPr>
          <w:rFonts w:eastAsia="宋体" w:cs="Times New Roman"/>
          <w:szCs w:val="21"/>
        </w:rPr>
        <w:tab/>
      </w:r>
      <w:r w:rsidR="00B07360" w:rsidRPr="00A71D2E">
        <w:rPr>
          <w:rFonts w:eastAsia="宋体" w:cs="Times New Roman"/>
          <w:szCs w:val="21"/>
        </w:rPr>
        <w:t xml:space="preserve">14 </w:t>
      </w:r>
      <w:r w:rsidR="00C35E40" w:rsidRPr="00A71D2E">
        <w:rPr>
          <w:rFonts w:eastAsia="宋体" w:cs="Times New Roman"/>
          <w:szCs w:val="21"/>
        </w:rPr>
        <w:t>-</w:t>
      </w:r>
      <w:r w:rsidR="00D60127" w:rsidRPr="00A71D2E">
        <w:rPr>
          <w:rFonts w:eastAsia="宋体" w:cs="Times New Roman"/>
          <w:szCs w:val="21"/>
        </w:rPr>
        <w:t xml:space="preserve"> </w:t>
      </w:r>
      <w:r w:rsidR="00FD1769" w:rsidRPr="00A71D2E">
        <w:rPr>
          <w:rFonts w:eastAsia="宋体" w:cs="Times New Roman"/>
          <w:szCs w:val="21"/>
        </w:rPr>
        <w:t>8</w:t>
      </w:r>
      <w:r w:rsidR="00E25E50">
        <w:rPr>
          <w:rFonts w:eastAsia="宋体" w:cs="Times New Roman"/>
          <w:szCs w:val="21"/>
        </w:rPr>
        <w:t>4</w:t>
      </w:r>
    </w:p>
    <w:p w:rsidR="00B755FC" w:rsidRPr="00A71D2E" w:rsidRDefault="00B755FC">
      <w:pPr>
        <w:rPr>
          <w:rFonts w:eastAsia="宋体" w:cs="Times New Roman"/>
          <w:sz w:val="24"/>
          <w:szCs w:val="24"/>
        </w:rPr>
      </w:pPr>
    </w:p>
    <w:p w:rsidR="00B60260" w:rsidRPr="00A71D2E" w:rsidRDefault="00B60260">
      <w:pPr>
        <w:rPr>
          <w:rFonts w:eastAsia="宋体" w:cs="Times New Roman"/>
          <w:sz w:val="24"/>
          <w:szCs w:val="24"/>
        </w:rPr>
        <w:sectPr w:rsidR="00B60260" w:rsidRPr="00A71D2E" w:rsidSect="00452B2B">
          <w:headerReference w:type="even" r:id="rId15"/>
          <w:headerReference w:type="default" r:id="rId16"/>
          <w:headerReference w:type="first" r:id="rId17"/>
          <w:pgSz w:w="11906" w:h="16838" w:code="9"/>
          <w:pgMar w:top="864" w:right="720" w:bottom="432" w:left="1008" w:header="720" w:footer="360" w:gutter="0"/>
          <w:pgNumType w:start="1"/>
          <w:cols w:space="720"/>
        </w:sectPr>
      </w:pPr>
    </w:p>
    <w:p w:rsidR="0094243D" w:rsidRDefault="0094243D">
      <w:pPr>
        <w:ind w:left="360"/>
        <w:jc w:val="center"/>
        <w:rPr>
          <w:rFonts w:eastAsia="宋体" w:cs="Times New Roman"/>
          <w:szCs w:val="21"/>
        </w:rPr>
      </w:pPr>
    </w:p>
    <w:p w:rsidR="005F14EE" w:rsidRPr="00A71D2E" w:rsidRDefault="005F14EE">
      <w:pPr>
        <w:ind w:left="360"/>
        <w:jc w:val="center"/>
        <w:rPr>
          <w:rFonts w:eastAsia="宋体" w:cs="Times New Roman"/>
          <w:szCs w:val="21"/>
        </w:rPr>
      </w:pPr>
    </w:p>
    <w:p w:rsidR="0094243D" w:rsidRPr="00A71D2E" w:rsidRDefault="0094243D">
      <w:pPr>
        <w:ind w:left="360"/>
        <w:jc w:val="center"/>
        <w:rPr>
          <w:rFonts w:eastAsia="宋体" w:cs="Times New Roman"/>
          <w:szCs w:val="21"/>
        </w:rPr>
      </w:pPr>
    </w:p>
    <w:p w:rsidR="008B1B14" w:rsidRPr="00A71D2E" w:rsidRDefault="008B1B14">
      <w:pPr>
        <w:ind w:left="360"/>
        <w:jc w:val="center"/>
        <w:rPr>
          <w:rFonts w:eastAsia="宋体" w:cs="Times New Roman"/>
          <w:szCs w:val="21"/>
        </w:rPr>
      </w:pPr>
    </w:p>
    <w:p w:rsidR="0071385F" w:rsidRPr="00A71D2E" w:rsidRDefault="0071385F">
      <w:pPr>
        <w:ind w:left="360"/>
        <w:jc w:val="center"/>
        <w:outlineLvl w:val="0"/>
        <w:rPr>
          <w:rFonts w:eastAsia="宋体" w:cs="Times New Roman"/>
          <w:b/>
          <w:snapToGrid w:val="0"/>
          <w:szCs w:val="21"/>
        </w:rPr>
      </w:pPr>
      <w:r w:rsidRPr="00A71D2E">
        <w:rPr>
          <w:rFonts w:eastAsia="宋体" w:cs="Times New Roman" w:hint="eastAsia"/>
          <w:b/>
          <w:snapToGrid w:val="0"/>
          <w:szCs w:val="21"/>
        </w:rPr>
        <w:t>审计报告</w:t>
      </w:r>
    </w:p>
    <w:p w:rsidR="0071385F" w:rsidRPr="00A71D2E" w:rsidRDefault="0071385F">
      <w:pPr>
        <w:jc w:val="right"/>
        <w:rPr>
          <w:rFonts w:eastAsia="宋体" w:cs="Times New Roman"/>
          <w:szCs w:val="21"/>
        </w:rPr>
      </w:pPr>
    </w:p>
    <w:p w:rsidR="0071385F" w:rsidRPr="00A71D2E" w:rsidRDefault="007B152F">
      <w:pPr>
        <w:jc w:val="right"/>
        <w:rPr>
          <w:rFonts w:eastAsia="宋体" w:cs="Times New Roman"/>
          <w:szCs w:val="21"/>
        </w:rPr>
      </w:pPr>
      <w:proofErr w:type="gramStart"/>
      <w:r w:rsidRPr="00A71D2E">
        <w:rPr>
          <w:rFonts w:eastAsia="宋体" w:cs="Times New Roman" w:hint="eastAsia"/>
          <w:szCs w:val="21"/>
        </w:rPr>
        <w:t>德师报</w:t>
      </w:r>
      <w:proofErr w:type="gramEnd"/>
      <w:r w:rsidR="005F14EE">
        <w:rPr>
          <w:rFonts w:eastAsia="宋体" w:cs="Times New Roman"/>
          <w:szCs w:val="21"/>
        </w:rPr>
        <w:t>(</w:t>
      </w:r>
      <w:r w:rsidRPr="00A71D2E">
        <w:rPr>
          <w:rFonts w:eastAsia="宋体" w:cs="Times New Roman" w:hint="eastAsia"/>
          <w:szCs w:val="21"/>
        </w:rPr>
        <w:t>审</w:t>
      </w:r>
      <w:r w:rsidR="005F14EE">
        <w:rPr>
          <w:rFonts w:eastAsia="宋体" w:cs="Times New Roman"/>
          <w:szCs w:val="21"/>
        </w:rPr>
        <w:t>)</w:t>
      </w:r>
      <w:r w:rsidRPr="00A71D2E">
        <w:rPr>
          <w:rFonts w:eastAsia="宋体" w:cs="Times New Roman" w:hint="eastAsia"/>
          <w:szCs w:val="21"/>
        </w:rPr>
        <w:t>字</w:t>
      </w:r>
      <w:r w:rsidR="005F14EE">
        <w:rPr>
          <w:rFonts w:eastAsia="宋体" w:cs="Times New Roman"/>
          <w:szCs w:val="21"/>
        </w:rPr>
        <w:t>(</w:t>
      </w:r>
      <w:r w:rsidRPr="00A71D2E">
        <w:rPr>
          <w:rFonts w:eastAsia="宋体" w:cs="Times New Roman"/>
          <w:szCs w:val="21"/>
        </w:rPr>
        <w:t>2</w:t>
      </w:r>
      <w:r w:rsidR="000348F8">
        <w:rPr>
          <w:rFonts w:eastAsia="宋体" w:cs="Times New Roman"/>
          <w:szCs w:val="21"/>
        </w:rPr>
        <w:t>4</w:t>
      </w:r>
      <w:r w:rsidR="005F14EE">
        <w:rPr>
          <w:rFonts w:eastAsia="宋体" w:cs="Times New Roman"/>
          <w:szCs w:val="21"/>
        </w:rPr>
        <w:t>)</w:t>
      </w:r>
      <w:r w:rsidRPr="00A71D2E">
        <w:rPr>
          <w:rFonts w:eastAsia="宋体" w:cs="Times New Roman" w:hint="eastAsia"/>
          <w:szCs w:val="21"/>
        </w:rPr>
        <w:t>第</w:t>
      </w:r>
      <w:r w:rsidR="00915838" w:rsidRPr="00A71D2E">
        <w:rPr>
          <w:rFonts w:eastAsia="宋体" w:cs="Times New Roman"/>
          <w:szCs w:val="21"/>
        </w:rPr>
        <w:t>P</w:t>
      </w:r>
      <w:r w:rsidR="00915838">
        <w:rPr>
          <w:rFonts w:eastAsia="宋体" w:cs="Times New Roman"/>
          <w:szCs w:val="21"/>
        </w:rPr>
        <w:t>04601</w:t>
      </w:r>
      <w:r w:rsidRPr="00A71D2E">
        <w:rPr>
          <w:rFonts w:eastAsia="宋体" w:cs="Times New Roman" w:hint="eastAsia"/>
          <w:szCs w:val="21"/>
        </w:rPr>
        <w:t>号</w:t>
      </w:r>
    </w:p>
    <w:p w:rsidR="0071385F" w:rsidRPr="00A71D2E" w:rsidRDefault="005F14EE">
      <w:pPr>
        <w:jc w:val="right"/>
        <w:rPr>
          <w:rFonts w:eastAsia="宋体" w:cs="Times New Roman"/>
          <w:szCs w:val="21"/>
        </w:rPr>
      </w:pPr>
      <w:r>
        <w:rPr>
          <w:rFonts w:eastAsia="宋体" w:cs="Times New Roman"/>
          <w:szCs w:val="21"/>
        </w:rPr>
        <w:t>(</w:t>
      </w:r>
      <w:r w:rsidR="0071385F" w:rsidRPr="00A71D2E">
        <w:rPr>
          <w:rFonts w:eastAsia="宋体" w:cs="Times New Roman" w:hint="eastAsia"/>
          <w:szCs w:val="21"/>
        </w:rPr>
        <w:t>第</w:t>
      </w:r>
      <w:r w:rsidR="0071385F" w:rsidRPr="00A71D2E">
        <w:rPr>
          <w:rFonts w:eastAsia="宋体" w:cs="Times New Roman"/>
          <w:szCs w:val="21"/>
        </w:rPr>
        <w:t>1</w:t>
      </w:r>
      <w:r w:rsidR="0071385F" w:rsidRPr="00A71D2E">
        <w:rPr>
          <w:rFonts w:eastAsia="宋体" w:cs="Times New Roman" w:hint="eastAsia"/>
          <w:szCs w:val="21"/>
        </w:rPr>
        <w:t>页，共</w:t>
      </w:r>
      <w:r w:rsidR="005B0E46" w:rsidRPr="00A71D2E">
        <w:rPr>
          <w:rFonts w:eastAsia="宋体" w:cs="Times New Roman"/>
          <w:szCs w:val="21"/>
        </w:rPr>
        <w:t>3</w:t>
      </w:r>
      <w:r w:rsidR="0071385F" w:rsidRPr="00A71D2E">
        <w:rPr>
          <w:rFonts w:eastAsia="宋体" w:cs="Times New Roman" w:hint="eastAsia"/>
          <w:szCs w:val="21"/>
        </w:rPr>
        <w:t>页</w:t>
      </w:r>
      <w:r>
        <w:rPr>
          <w:rFonts w:eastAsia="宋体" w:cs="Times New Roman"/>
          <w:szCs w:val="21"/>
        </w:rPr>
        <w:t>)</w:t>
      </w:r>
    </w:p>
    <w:p w:rsidR="005E7835" w:rsidRPr="00A71D2E" w:rsidRDefault="005E7835">
      <w:pPr>
        <w:ind w:left="360"/>
        <w:jc w:val="both"/>
        <w:rPr>
          <w:rFonts w:eastAsia="宋体" w:cs="Times New Roman"/>
          <w:szCs w:val="21"/>
        </w:rPr>
      </w:pPr>
    </w:p>
    <w:p w:rsidR="0071385F" w:rsidRPr="00A71D2E" w:rsidRDefault="007D29DD" w:rsidP="00800D4B">
      <w:pPr>
        <w:spacing w:line="228" w:lineRule="auto"/>
        <w:ind w:left="360"/>
        <w:jc w:val="both"/>
        <w:rPr>
          <w:rFonts w:eastAsia="宋体" w:cs="Times New Roman"/>
          <w:szCs w:val="21"/>
        </w:rPr>
      </w:pPr>
      <w:r w:rsidRPr="00A71D2E">
        <w:rPr>
          <w:rFonts w:eastAsia="宋体" w:cs="Times New Roman" w:hint="eastAsia"/>
          <w:szCs w:val="21"/>
        </w:rPr>
        <w:t>杭州萤石网络</w:t>
      </w:r>
      <w:r w:rsidR="00AF5C44" w:rsidRPr="00A71D2E">
        <w:rPr>
          <w:rFonts w:eastAsia="宋体" w:cs="Times New Roman" w:hint="eastAsia"/>
          <w:szCs w:val="21"/>
        </w:rPr>
        <w:t>股份</w:t>
      </w:r>
      <w:r w:rsidRPr="00A71D2E">
        <w:rPr>
          <w:rFonts w:eastAsia="宋体" w:cs="Times New Roman" w:hint="eastAsia"/>
          <w:szCs w:val="21"/>
        </w:rPr>
        <w:t>有限公司</w:t>
      </w:r>
      <w:r w:rsidR="0071385F" w:rsidRPr="00A71D2E">
        <w:rPr>
          <w:rFonts w:eastAsia="宋体" w:cs="Times New Roman" w:hint="eastAsia"/>
          <w:szCs w:val="21"/>
        </w:rPr>
        <w:t>全体股东</w:t>
      </w:r>
      <w:r w:rsidR="005F14EE">
        <w:rPr>
          <w:rFonts w:eastAsia="宋体" w:cs="Times New Roman" w:hint="eastAsia"/>
          <w:szCs w:val="21"/>
        </w:rPr>
        <w:t>：</w:t>
      </w:r>
    </w:p>
    <w:p w:rsidR="0071385F" w:rsidRPr="00A71D2E" w:rsidRDefault="0071385F" w:rsidP="00800D4B">
      <w:pPr>
        <w:spacing w:line="228" w:lineRule="auto"/>
        <w:ind w:left="360"/>
        <w:jc w:val="both"/>
        <w:rPr>
          <w:rFonts w:eastAsia="宋体" w:cs="Times New Roman"/>
          <w:szCs w:val="21"/>
        </w:rPr>
      </w:pPr>
    </w:p>
    <w:p w:rsidR="0071385F" w:rsidRPr="00A71D2E" w:rsidRDefault="0071385F" w:rsidP="00800D4B">
      <w:pPr>
        <w:tabs>
          <w:tab w:val="left" w:pos="500"/>
        </w:tabs>
        <w:spacing w:line="228" w:lineRule="auto"/>
        <w:ind w:left="360"/>
        <w:jc w:val="both"/>
        <w:rPr>
          <w:rFonts w:eastAsia="宋体" w:cs="Times New Roman"/>
          <w:b/>
          <w:szCs w:val="21"/>
        </w:rPr>
      </w:pPr>
      <w:r w:rsidRPr="00A71D2E">
        <w:rPr>
          <w:rFonts w:eastAsia="宋体" w:cs="Times New Roman" w:hint="eastAsia"/>
          <w:b/>
          <w:szCs w:val="21"/>
        </w:rPr>
        <w:t>一、审计意见</w:t>
      </w:r>
    </w:p>
    <w:p w:rsidR="0071385F" w:rsidRPr="00A71D2E" w:rsidRDefault="0071385F" w:rsidP="00800D4B">
      <w:pPr>
        <w:spacing w:line="228" w:lineRule="auto"/>
        <w:ind w:left="360" w:firstLine="414"/>
        <w:jc w:val="both"/>
        <w:rPr>
          <w:rFonts w:eastAsia="宋体" w:cs="Times New Roman"/>
          <w:szCs w:val="21"/>
        </w:rPr>
      </w:pPr>
    </w:p>
    <w:p w:rsidR="006C14C7" w:rsidRPr="00A71D2E" w:rsidRDefault="006C14C7" w:rsidP="00800D4B">
      <w:pPr>
        <w:spacing w:line="228" w:lineRule="auto"/>
        <w:ind w:left="360" w:firstLine="414"/>
        <w:jc w:val="both"/>
        <w:rPr>
          <w:rFonts w:eastAsia="宋体" w:cs="Times New Roman"/>
          <w:szCs w:val="21"/>
        </w:rPr>
      </w:pPr>
      <w:r w:rsidRPr="00A71D2E">
        <w:rPr>
          <w:rFonts w:eastAsia="宋体" w:cs="Times New Roman" w:hint="eastAsia"/>
          <w:szCs w:val="21"/>
        </w:rPr>
        <w:t>我们审计了杭州萤石网络</w:t>
      </w:r>
      <w:r w:rsidR="00AF5C44" w:rsidRPr="00A71D2E">
        <w:rPr>
          <w:rFonts w:eastAsia="宋体" w:cs="Times New Roman" w:hint="eastAsia"/>
          <w:szCs w:val="21"/>
        </w:rPr>
        <w:t>股份</w:t>
      </w:r>
      <w:r w:rsidRPr="00A71D2E">
        <w:rPr>
          <w:rFonts w:eastAsia="宋体" w:cs="Times New Roman" w:hint="eastAsia"/>
          <w:szCs w:val="21"/>
        </w:rPr>
        <w:t>有限公司</w:t>
      </w:r>
      <w:r w:rsidR="005F14EE">
        <w:rPr>
          <w:rFonts w:eastAsia="宋体" w:cs="Times New Roman"/>
          <w:szCs w:val="21"/>
        </w:rPr>
        <w:t>(</w:t>
      </w:r>
      <w:r w:rsidRPr="00A71D2E">
        <w:rPr>
          <w:rFonts w:eastAsia="宋体" w:cs="Times New Roman" w:hint="eastAsia"/>
          <w:szCs w:val="21"/>
        </w:rPr>
        <w:t>以下简称</w:t>
      </w:r>
      <w:r w:rsidRPr="00A71D2E">
        <w:rPr>
          <w:rFonts w:eastAsia="宋体" w:cs="Times New Roman"/>
          <w:szCs w:val="21"/>
        </w:rPr>
        <w:t>“</w:t>
      </w:r>
      <w:r w:rsidR="00983F50">
        <w:rPr>
          <w:rFonts w:eastAsia="宋体" w:cs="Times New Roman" w:hint="eastAsia"/>
          <w:szCs w:val="21"/>
        </w:rPr>
        <w:t>萤石网络</w:t>
      </w:r>
      <w:r w:rsidRPr="00A71D2E">
        <w:rPr>
          <w:rFonts w:eastAsia="宋体" w:cs="Times New Roman"/>
          <w:szCs w:val="21"/>
        </w:rPr>
        <w:t>”</w:t>
      </w:r>
      <w:r w:rsidR="005F14EE">
        <w:rPr>
          <w:rFonts w:eastAsia="宋体" w:cs="Times New Roman"/>
          <w:szCs w:val="21"/>
        </w:rPr>
        <w:t>)</w:t>
      </w:r>
      <w:r w:rsidRPr="00A71D2E">
        <w:rPr>
          <w:rFonts w:eastAsia="宋体" w:cs="Times New Roman" w:hint="eastAsia"/>
          <w:szCs w:val="21"/>
        </w:rPr>
        <w:t>的财务报表，包括</w:t>
      </w:r>
      <w:r w:rsidR="00A5385F" w:rsidRPr="00A71D2E">
        <w:rPr>
          <w:rFonts w:eastAsia="宋体" w:cs="Times New Roman"/>
          <w:szCs w:val="21"/>
        </w:rPr>
        <w:t>202</w:t>
      </w:r>
      <w:r w:rsidR="000348F8">
        <w:rPr>
          <w:rFonts w:eastAsia="宋体" w:cs="Times New Roman"/>
          <w:szCs w:val="21"/>
        </w:rPr>
        <w:t>3</w:t>
      </w:r>
      <w:r w:rsidR="00A5385F" w:rsidRPr="00A71D2E">
        <w:rPr>
          <w:rFonts w:eastAsia="宋体" w:cs="Times New Roman" w:hint="eastAsia"/>
          <w:szCs w:val="21"/>
        </w:rPr>
        <w:t>年</w:t>
      </w:r>
      <w:r w:rsidR="00AC4FD6" w:rsidRPr="00A71D2E">
        <w:rPr>
          <w:rFonts w:eastAsia="宋体" w:cs="Times New Roman"/>
          <w:szCs w:val="21"/>
        </w:rPr>
        <w:t>12</w:t>
      </w:r>
      <w:r w:rsidR="00A5385F" w:rsidRPr="00A71D2E">
        <w:rPr>
          <w:rFonts w:eastAsia="宋体" w:cs="Times New Roman" w:hint="eastAsia"/>
          <w:szCs w:val="21"/>
        </w:rPr>
        <w:t>月</w:t>
      </w:r>
      <w:r w:rsidR="00AC4FD6" w:rsidRPr="00A71D2E">
        <w:rPr>
          <w:rFonts w:eastAsia="宋体" w:cs="Times New Roman"/>
          <w:szCs w:val="21"/>
        </w:rPr>
        <w:t>31</w:t>
      </w:r>
      <w:r w:rsidR="00A5385F" w:rsidRPr="00A71D2E">
        <w:rPr>
          <w:rFonts w:eastAsia="宋体" w:cs="Times New Roman" w:hint="eastAsia"/>
          <w:szCs w:val="21"/>
        </w:rPr>
        <w:t>日</w:t>
      </w:r>
      <w:r w:rsidRPr="00A71D2E">
        <w:rPr>
          <w:rFonts w:eastAsia="宋体" w:cs="Times New Roman" w:hint="eastAsia"/>
          <w:szCs w:val="21"/>
        </w:rPr>
        <w:t>的合并及母公司资产负债表、</w:t>
      </w:r>
      <w:r w:rsidR="005A69BA" w:rsidRPr="00A71D2E">
        <w:rPr>
          <w:rFonts w:eastAsia="宋体" w:cs="Times New Roman"/>
          <w:szCs w:val="21"/>
        </w:rPr>
        <w:t>202</w:t>
      </w:r>
      <w:r w:rsidR="000348F8">
        <w:rPr>
          <w:rFonts w:eastAsia="宋体" w:cs="Times New Roman"/>
          <w:szCs w:val="21"/>
        </w:rPr>
        <w:t>3</w:t>
      </w:r>
      <w:r w:rsidR="005A69BA" w:rsidRPr="00A71D2E">
        <w:rPr>
          <w:rFonts w:eastAsia="宋体" w:cs="Times New Roman" w:hint="eastAsia"/>
          <w:szCs w:val="21"/>
        </w:rPr>
        <w:t>年</w:t>
      </w:r>
      <w:r w:rsidR="00AC4FD6" w:rsidRPr="00A71D2E">
        <w:rPr>
          <w:rFonts w:eastAsia="宋体" w:cs="Times New Roman" w:hint="eastAsia"/>
          <w:szCs w:val="21"/>
        </w:rPr>
        <w:t>度</w:t>
      </w:r>
      <w:r w:rsidRPr="00A71D2E">
        <w:rPr>
          <w:rFonts w:eastAsia="宋体" w:cs="Times New Roman" w:hint="eastAsia"/>
          <w:szCs w:val="21"/>
        </w:rPr>
        <w:t>的合并及母公司利润表、合并及母公司现金流量表、合并及母公司</w:t>
      </w:r>
      <w:r w:rsidR="00132876" w:rsidRPr="00A71D2E">
        <w:rPr>
          <w:rFonts w:eastAsia="宋体" w:cs="Times New Roman" w:hint="eastAsia"/>
          <w:szCs w:val="21"/>
        </w:rPr>
        <w:t>股东</w:t>
      </w:r>
      <w:r w:rsidRPr="00A71D2E">
        <w:rPr>
          <w:rFonts w:eastAsia="宋体" w:cs="Times New Roman" w:hint="eastAsia"/>
          <w:szCs w:val="21"/>
        </w:rPr>
        <w:t>权益变动表以及相关财务报表附注。</w:t>
      </w:r>
    </w:p>
    <w:p w:rsidR="006C14C7" w:rsidRPr="00A71D2E" w:rsidRDefault="006C14C7" w:rsidP="00800D4B">
      <w:pPr>
        <w:spacing w:line="228" w:lineRule="auto"/>
        <w:ind w:left="360" w:firstLine="414"/>
        <w:jc w:val="both"/>
        <w:rPr>
          <w:rFonts w:eastAsia="宋体" w:cs="Times New Roman"/>
          <w:szCs w:val="21"/>
        </w:rPr>
      </w:pPr>
    </w:p>
    <w:p w:rsidR="006C14C7" w:rsidRPr="00A71D2E" w:rsidRDefault="00AF5C44" w:rsidP="00800D4B">
      <w:pPr>
        <w:spacing w:line="228" w:lineRule="auto"/>
        <w:ind w:left="360" w:firstLine="414"/>
        <w:jc w:val="both"/>
        <w:rPr>
          <w:rFonts w:eastAsia="宋体" w:cs="Times New Roman"/>
          <w:szCs w:val="21"/>
        </w:rPr>
      </w:pPr>
      <w:r w:rsidRPr="00A71D2E">
        <w:rPr>
          <w:rFonts w:eastAsia="宋体" w:cs="Times New Roman" w:hint="eastAsia"/>
          <w:szCs w:val="21"/>
        </w:rPr>
        <w:t>我们认为，后附的财务报表在所有重大方面按照企业会计准则的规定编制，公允反映了</w:t>
      </w:r>
      <w:r w:rsidR="00983F50">
        <w:rPr>
          <w:rFonts w:eastAsia="宋体" w:cs="Times New Roman" w:hint="eastAsia"/>
          <w:szCs w:val="21"/>
        </w:rPr>
        <w:t>萤石网络</w:t>
      </w:r>
      <w:r w:rsidR="00A5385F" w:rsidRPr="00A71D2E">
        <w:rPr>
          <w:rFonts w:eastAsia="宋体" w:cs="Times New Roman"/>
          <w:szCs w:val="21"/>
        </w:rPr>
        <w:t>202</w:t>
      </w:r>
      <w:r w:rsidR="000348F8">
        <w:rPr>
          <w:rFonts w:eastAsia="宋体" w:cs="Times New Roman"/>
          <w:szCs w:val="21"/>
        </w:rPr>
        <w:t>3</w:t>
      </w:r>
      <w:r w:rsidR="00A5385F" w:rsidRPr="00A71D2E">
        <w:rPr>
          <w:rFonts w:eastAsia="宋体" w:cs="Times New Roman" w:hint="eastAsia"/>
          <w:szCs w:val="21"/>
        </w:rPr>
        <w:t>年</w:t>
      </w:r>
      <w:r w:rsidR="00AC4FD6" w:rsidRPr="00A71D2E">
        <w:rPr>
          <w:rFonts w:eastAsia="宋体" w:cs="Times New Roman"/>
          <w:szCs w:val="21"/>
        </w:rPr>
        <w:t>12</w:t>
      </w:r>
      <w:r w:rsidR="00A5385F" w:rsidRPr="00A71D2E">
        <w:rPr>
          <w:rFonts w:eastAsia="宋体" w:cs="Times New Roman" w:hint="eastAsia"/>
          <w:szCs w:val="21"/>
        </w:rPr>
        <w:t>月</w:t>
      </w:r>
      <w:r w:rsidR="00AC4FD6" w:rsidRPr="00A71D2E">
        <w:rPr>
          <w:rFonts w:eastAsia="宋体" w:cs="Times New Roman"/>
          <w:szCs w:val="21"/>
        </w:rPr>
        <w:t>31</w:t>
      </w:r>
      <w:r w:rsidR="00A5385F" w:rsidRPr="00A71D2E">
        <w:rPr>
          <w:rFonts w:eastAsia="宋体" w:cs="Times New Roman" w:hint="eastAsia"/>
          <w:szCs w:val="21"/>
        </w:rPr>
        <w:t>日</w:t>
      </w:r>
      <w:r w:rsidRPr="00A71D2E">
        <w:rPr>
          <w:rFonts w:eastAsia="宋体" w:cs="Times New Roman" w:hint="eastAsia"/>
          <w:szCs w:val="21"/>
        </w:rPr>
        <w:t>的合并及母公司财务状况以及</w:t>
      </w:r>
      <w:r w:rsidR="005A69BA" w:rsidRPr="00A71D2E">
        <w:rPr>
          <w:rFonts w:eastAsia="宋体" w:cs="Times New Roman"/>
          <w:szCs w:val="21"/>
        </w:rPr>
        <w:t>202</w:t>
      </w:r>
      <w:r w:rsidR="000348F8">
        <w:rPr>
          <w:rFonts w:eastAsia="宋体" w:cs="Times New Roman"/>
          <w:szCs w:val="21"/>
        </w:rPr>
        <w:t>3</w:t>
      </w:r>
      <w:r w:rsidR="005A69BA" w:rsidRPr="00A71D2E">
        <w:rPr>
          <w:rFonts w:eastAsia="宋体" w:cs="Times New Roman" w:hint="eastAsia"/>
          <w:szCs w:val="21"/>
        </w:rPr>
        <w:t>年</w:t>
      </w:r>
      <w:r w:rsidR="00AC4FD6" w:rsidRPr="00A71D2E">
        <w:rPr>
          <w:rFonts w:eastAsia="宋体" w:cs="Times New Roman" w:hint="eastAsia"/>
          <w:szCs w:val="21"/>
        </w:rPr>
        <w:t>度</w:t>
      </w:r>
      <w:r w:rsidRPr="00A71D2E">
        <w:rPr>
          <w:rFonts w:eastAsia="宋体" w:cs="Times New Roman" w:hint="eastAsia"/>
          <w:szCs w:val="21"/>
        </w:rPr>
        <w:t>的合并及母公司经营成果和合并及母公司现金流量</w:t>
      </w:r>
      <w:r w:rsidR="006C14C7" w:rsidRPr="00A71D2E">
        <w:rPr>
          <w:rFonts w:eastAsia="宋体" w:cs="Times New Roman" w:hint="eastAsia"/>
          <w:szCs w:val="21"/>
        </w:rPr>
        <w:t>。</w:t>
      </w:r>
    </w:p>
    <w:p w:rsidR="0071385F" w:rsidRPr="00A71D2E" w:rsidRDefault="0071385F" w:rsidP="00800D4B">
      <w:pPr>
        <w:spacing w:line="228" w:lineRule="auto"/>
        <w:ind w:left="360" w:firstLine="414"/>
        <w:jc w:val="both"/>
        <w:rPr>
          <w:rFonts w:eastAsia="宋体" w:cs="Times New Roman"/>
          <w:szCs w:val="21"/>
        </w:rPr>
      </w:pPr>
    </w:p>
    <w:p w:rsidR="0071385F" w:rsidRPr="00A71D2E" w:rsidRDefault="0071385F" w:rsidP="00800D4B">
      <w:pPr>
        <w:tabs>
          <w:tab w:val="left" w:pos="500"/>
        </w:tabs>
        <w:spacing w:line="228" w:lineRule="auto"/>
        <w:ind w:left="360"/>
        <w:jc w:val="both"/>
        <w:rPr>
          <w:rFonts w:eastAsia="宋体" w:cs="Times New Roman"/>
          <w:b/>
          <w:szCs w:val="21"/>
        </w:rPr>
      </w:pPr>
      <w:r w:rsidRPr="00A71D2E">
        <w:rPr>
          <w:rFonts w:eastAsia="宋体" w:cs="Times New Roman" w:hint="eastAsia"/>
          <w:b/>
          <w:szCs w:val="21"/>
        </w:rPr>
        <w:t>二、形成审计意见的基础</w:t>
      </w:r>
    </w:p>
    <w:p w:rsidR="0071385F" w:rsidRPr="00A71D2E" w:rsidRDefault="0071385F" w:rsidP="00800D4B">
      <w:pPr>
        <w:spacing w:line="228" w:lineRule="auto"/>
        <w:ind w:left="360" w:firstLine="414"/>
        <w:jc w:val="both"/>
        <w:rPr>
          <w:rFonts w:eastAsia="宋体" w:cs="Times New Roman"/>
          <w:szCs w:val="21"/>
        </w:rPr>
      </w:pPr>
    </w:p>
    <w:p w:rsidR="0071385F" w:rsidRPr="00A71D2E" w:rsidRDefault="006C14C7" w:rsidP="00800D4B">
      <w:pPr>
        <w:spacing w:line="228" w:lineRule="auto"/>
        <w:ind w:left="360" w:firstLine="414"/>
        <w:jc w:val="both"/>
        <w:rPr>
          <w:rFonts w:eastAsia="宋体" w:cs="Times New Roman"/>
          <w:szCs w:val="21"/>
        </w:rPr>
      </w:pPr>
      <w:r w:rsidRPr="00A71D2E">
        <w:rPr>
          <w:rFonts w:eastAsia="宋体" w:cs="Times New Roman" w:hint="eastAsia"/>
          <w:szCs w:val="21"/>
        </w:rPr>
        <w:t>我们按照中国注册会计师审计准则的规定执行了审计工作。审计报告的</w:t>
      </w:r>
      <w:r w:rsidRPr="00A71D2E">
        <w:rPr>
          <w:rFonts w:eastAsia="宋体" w:cs="Times New Roman"/>
          <w:szCs w:val="21"/>
        </w:rPr>
        <w:t>“</w:t>
      </w:r>
      <w:r w:rsidRPr="00A71D2E">
        <w:rPr>
          <w:rFonts w:eastAsia="宋体" w:cs="Times New Roman" w:hint="eastAsia"/>
          <w:szCs w:val="21"/>
        </w:rPr>
        <w:t>注册会计师对财务报表审计的责任</w:t>
      </w:r>
      <w:r w:rsidRPr="00A71D2E">
        <w:rPr>
          <w:rFonts w:eastAsia="宋体" w:cs="Times New Roman"/>
          <w:szCs w:val="21"/>
        </w:rPr>
        <w:t>”</w:t>
      </w:r>
      <w:r w:rsidRPr="00A71D2E">
        <w:rPr>
          <w:rFonts w:eastAsia="宋体" w:cs="Times New Roman" w:hint="eastAsia"/>
          <w:szCs w:val="21"/>
        </w:rPr>
        <w:t>部分进一步阐述了我们在这些准则下的责任。按照中国注册会计师职业道德守则，我们独立于</w:t>
      </w:r>
      <w:r w:rsidR="00983F50">
        <w:rPr>
          <w:rFonts w:eastAsia="宋体" w:cs="Times New Roman" w:hint="eastAsia"/>
          <w:szCs w:val="21"/>
        </w:rPr>
        <w:t>萤石网络</w:t>
      </w:r>
      <w:r w:rsidRPr="00A71D2E">
        <w:rPr>
          <w:rFonts w:eastAsia="宋体" w:cs="Times New Roman" w:hint="eastAsia"/>
          <w:szCs w:val="21"/>
        </w:rPr>
        <w:t>，并履行了职业道德方面的其他责任。我们相信，我们获取的审计证据是充分、适当的，为发表审计意见提供了基础。</w:t>
      </w:r>
    </w:p>
    <w:p w:rsidR="0071385F" w:rsidRPr="00A71D2E" w:rsidRDefault="0071385F" w:rsidP="00800D4B">
      <w:pPr>
        <w:spacing w:line="228" w:lineRule="auto"/>
        <w:ind w:left="360" w:firstLine="414"/>
        <w:jc w:val="both"/>
        <w:rPr>
          <w:rFonts w:eastAsia="宋体" w:cs="Times New Roman"/>
          <w:szCs w:val="21"/>
        </w:rPr>
      </w:pPr>
    </w:p>
    <w:p w:rsidR="00283BC4" w:rsidRPr="00A71D2E" w:rsidRDefault="00283BC4" w:rsidP="00800D4B">
      <w:pPr>
        <w:tabs>
          <w:tab w:val="left" w:pos="500"/>
        </w:tabs>
        <w:spacing w:line="228" w:lineRule="auto"/>
        <w:ind w:left="360"/>
        <w:jc w:val="both"/>
        <w:rPr>
          <w:rFonts w:eastAsia="宋体" w:cs="Times New Roman"/>
          <w:b/>
          <w:szCs w:val="21"/>
        </w:rPr>
      </w:pPr>
      <w:r w:rsidRPr="00A71D2E">
        <w:rPr>
          <w:rFonts w:eastAsia="宋体" w:cs="Times New Roman" w:hint="eastAsia"/>
          <w:b/>
          <w:szCs w:val="21"/>
        </w:rPr>
        <w:t>三、关键审计事项</w:t>
      </w:r>
    </w:p>
    <w:p w:rsidR="00283BC4" w:rsidRPr="00A71D2E" w:rsidRDefault="00283BC4" w:rsidP="00800D4B">
      <w:pPr>
        <w:spacing w:line="228" w:lineRule="auto"/>
        <w:ind w:left="360" w:firstLine="414"/>
        <w:jc w:val="both"/>
        <w:rPr>
          <w:rFonts w:eastAsia="宋体" w:cs="Times New Roman"/>
          <w:szCs w:val="21"/>
        </w:rPr>
      </w:pPr>
    </w:p>
    <w:p w:rsidR="00283BC4" w:rsidRPr="00A71D2E" w:rsidRDefault="00283BC4" w:rsidP="00800D4B">
      <w:pPr>
        <w:spacing w:line="228" w:lineRule="auto"/>
        <w:ind w:left="360" w:firstLine="414"/>
        <w:jc w:val="both"/>
        <w:rPr>
          <w:rFonts w:eastAsia="宋体" w:cs="Times New Roman"/>
          <w:szCs w:val="21"/>
        </w:rPr>
      </w:pPr>
      <w:r w:rsidRPr="00A71D2E">
        <w:rPr>
          <w:rFonts w:eastAsia="宋体" w:cs="Times New Roman" w:hint="eastAsia"/>
          <w:szCs w:val="21"/>
        </w:rPr>
        <w:t>关键审计事项是我们根据职业判断，认为对</w:t>
      </w:r>
      <w:r w:rsidR="001C4BC3" w:rsidRPr="00A71D2E">
        <w:rPr>
          <w:rFonts w:eastAsia="宋体" w:cs="Times New Roman" w:hint="eastAsia"/>
          <w:szCs w:val="21"/>
        </w:rPr>
        <w:t>本</w:t>
      </w:r>
      <w:r w:rsidR="00983F50">
        <w:rPr>
          <w:rFonts w:eastAsia="宋体" w:cs="Times New Roman" w:hint="eastAsia"/>
          <w:szCs w:val="21"/>
        </w:rPr>
        <w:t>期</w:t>
      </w:r>
      <w:r w:rsidRPr="00A71D2E">
        <w:rPr>
          <w:rFonts w:eastAsia="宋体" w:cs="Times New Roman" w:hint="eastAsia"/>
          <w:szCs w:val="21"/>
        </w:rPr>
        <w:t>财务报表审计最为重要的事项。这些事项的应对以对财务报表整体进行审计并形成审计意见为背景，我们不对这些事项单独发表意见。我们确定下列事项是需要在审计报告中沟通的关键审计事项。</w:t>
      </w:r>
    </w:p>
    <w:p w:rsidR="00283BC4" w:rsidRPr="00A71D2E" w:rsidRDefault="00283BC4" w:rsidP="00800D4B">
      <w:pPr>
        <w:spacing w:line="228" w:lineRule="auto"/>
        <w:ind w:left="360" w:firstLine="414"/>
        <w:jc w:val="both"/>
        <w:rPr>
          <w:rFonts w:eastAsia="宋体" w:cs="Times New Roman"/>
          <w:szCs w:val="21"/>
        </w:rPr>
      </w:pPr>
    </w:p>
    <w:p w:rsidR="00283BC4" w:rsidRPr="00A71D2E" w:rsidRDefault="00132876" w:rsidP="00800D4B">
      <w:pPr>
        <w:spacing w:line="228" w:lineRule="auto"/>
        <w:ind w:left="360" w:firstLine="414"/>
        <w:jc w:val="both"/>
        <w:rPr>
          <w:rFonts w:eastAsia="宋体" w:cs="Times New Roman"/>
          <w:b/>
          <w:szCs w:val="21"/>
        </w:rPr>
      </w:pPr>
      <w:r w:rsidRPr="00A71D2E">
        <w:rPr>
          <w:rFonts w:eastAsia="宋体" w:cs="Times New Roman" w:hint="eastAsia"/>
          <w:b/>
          <w:szCs w:val="21"/>
        </w:rPr>
        <w:t>智能家居产品销售收入发生</w:t>
      </w:r>
    </w:p>
    <w:p w:rsidR="00283BC4" w:rsidRPr="00A71D2E" w:rsidRDefault="00283BC4" w:rsidP="00800D4B">
      <w:pPr>
        <w:spacing w:line="228" w:lineRule="auto"/>
        <w:ind w:left="360" w:firstLine="414"/>
        <w:jc w:val="both"/>
        <w:rPr>
          <w:rFonts w:eastAsia="宋体" w:cs="Times New Roman"/>
          <w:szCs w:val="21"/>
        </w:rPr>
      </w:pPr>
    </w:p>
    <w:p w:rsidR="00283BC4" w:rsidRPr="00A71D2E" w:rsidRDefault="00283BC4" w:rsidP="00800D4B">
      <w:pPr>
        <w:spacing w:line="228" w:lineRule="auto"/>
        <w:ind w:left="360" w:firstLine="414"/>
        <w:jc w:val="both"/>
        <w:rPr>
          <w:rFonts w:eastAsia="宋体" w:cs="Times New Roman"/>
          <w:szCs w:val="21"/>
        </w:rPr>
      </w:pPr>
      <w:r w:rsidRPr="00A71D2E">
        <w:rPr>
          <w:rFonts w:eastAsia="宋体" w:cs="Times New Roman" w:hint="eastAsia"/>
          <w:szCs w:val="21"/>
        </w:rPr>
        <w:t>事项描述</w:t>
      </w:r>
    </w:p>
    <w:p w:rsidR="00283BC4" w:rsidRPr="00A71D2E" w:rsidRDefault="00283BC4" w:rsidP="00800D4B">
      <w:pPr>
        <w:spacing w:line="228" w:lineRule="auto"/>
        <w:ind w:left="360" w:firstLine="418"/>
        <w:jc w:val="both"/>
        <w:rPr>
          <w:rFonts w:eastAsia="宋体" w:cs="Times New Roman"/>
          <w:szCs w:val="21"/>
        </w:rPr>
      </w:pPr>
    </w:p>
    <w:p w:rsidR="00283BC4" w:rsidRPr="00A71D2E" w:rsidRDefault="00283BC4" w:rsidP="00800D4B">
      <w:pPr>
        <w:spacing w:line="228" w:lineRule="auto"/>
        <w:ind w:left="360" w:firstLine="414"/>
        <w:jc w:val="both"/>
        <w:rPr>
          <w:rFonts w:eastAsia="宋体" w:cs="Times New Roman"/>
          <w:szCs w:val="21"/>
        </w:rPr>
      </w:pPr>
      <w:r w:rsidRPr="000970F8">
        <w:rPr>
          <w:rFonts w:eastAsia="宋体" w:cs="Times New Roman" w:hint="eastAsia"/>
          <w:szCs w:val="21"/>
        </w:rPr>
        <w:t>如财务报表附注</w:t>
      </w:r>
      <w:r w:rsidR="005F14EE">
        <w:rPr>
          <w:rFonts w:eastAsia="宋体" w:cs="Times New Roman"/>
          <w:szCs w:val="21"/>
        </w:rPr>
        <w:t>(</w:t>
      </w:r>
      <w:r w:rsidRPr="000970F8">
        <w:rPr>
          <w:rFonts w:eastAsia="宋体" w:cs="Times New Roman" w:hint="eastAsia"/>
          <w:szCs w:val="21"/>
        </w:rPr>
        <w:t>三</w:t>
      </w:r>
      <w:r w:rsidR="005F14EE">
        <w:rPr>
          <w:rFonts w:eastAsia="宋体" w:cs="Times New Roman"/>
          <w:szCs w:val="21"/>
        </w:rPr>
        <w:t>)</w:t>
      </w:r>
      <w:r w:rsidRPr="000970F8">
        <w:rPr>
          <w:rFonts w:eastAsia="宋体" w:cs="Times New Roman" w:hint="eastAsia"/>
          <w:szCs w:val="21"/>
        </w:rPr>
        <w:t>、</w:t>
      </w:r>
      <w:r w:rsidR="005901DF" w:rsidRPr="000970F8">
        <w:rPr>
          <w:rFonts w:eastAsia="宋体" w:cs="Times New Roman"/>
          <w:szCs w:val="21"/>
        </w:rPr>
        <w:t>2</w:t>
      </w:r>
      <w:r w:rsidR="00083E48">
        <w:rPr>
          <w:rFonts w:eastAsia="宋体" w:cs="Times New Roman"/>
          <w:szCs w:val="21"/>
        </w:rPr>
        <w:t>7</w:t>
      </w:r>
      <w:r w:rsidR="00C246A8" w:rsidRPr="000970F8">
        <w:rPr>
          <w:rFonts w:eastAsia="宋体" w:cs="Times New Roman"/>
          <w:szCs w:val="21"/>
        </w:rPr>
        <w:t>“</w:t>
      </w:r>
      <w:r w:rsidRPr="000970F8">
        <w:rPr>
          <w:rFonts w:eastAsia="宋体" w:cs="Times New Roman" w:hint="eastAsia"/>
          <w:szCs w:val="21"/>
        </w:rPr>
        <w:t>收入</w:t>
      </w:r>
      <w:r w:rsidR="00C246A8" w:rsidRPr="000970F8">
        <w:rPr>
          <w:rFonts w:eastAsia="宋体" w:cs="Times New Roman"/>
          <w:szCs w:val="21"/>
        </w:rPr>
        <w:t>”</w:t>
      </w:r>
      <w:r w:rsidRPr="000970F8">
        <w:rPr>
          <w:rFonts w:eastAsia="宋体" w:cs="Times New Roman" w:hint="eastAsia"/>
          <w:szCs w:val="21"/>
        </w:rPr>
        <w:t>及附注</w:t>
      </w:r>
      <w:r w:rsidR="005F14EE">
        <w:rPr>
          <w:rFonts w:eastAsia="宋体" w:cs="Times New Roman"/>
          <w:szCs w:val="21"/>
        </w:rPr>
        <w:t>(</w:t>
      </w:r>
      <w:r w:rsidR="00AE698F" w:rsidRPr="000970F8">
        <w:rPr>
          <w:rFonts w:eastAsia="宋体" w:cs="Times New Roman" w:hint="eastAsia"/>
          <w:szCs w:val="21"/>
        </w:rPr>
        <w:t>五</w:t>
      </w:r>
      <w:r w:rsidR="005F14EE">
        <w:rPr>
          <w:rFonts w:eastAsia="宋体" w:cs="Times New Roman"/>
          <w:szCs w:val="21"/>
        </w:rPr>
        <w:t>)</w:t>
      </w:r>
      <w:r w:rsidRPr="000970F8">
        <w:rPr>
          <w:rFonts w:eastAsia="宋体" w:cs="Times New Roman" w:hint="eastAsia"/>
          <w:szCs w:val="21"/>
        </w:rPr>
        <w:t>、</w:t>
      </w:r>
      <w:r w:rsidR="00AE698F" w:rsidRPr="000970F8">
        <w:rPr>
          <w:rFonts w:eastAsia="宋体" w:cs="Times New Roman"/>
          <w:szCs w:val="21"/>
        </w:rPr>
        <w:t>3</w:t>
      </w:r>
      <w:r w:rsidR="00083E48">
        <w:rPr>
          <w:rFonts w:eastAsia="宋体" w:cs="Times New Roman"/>
          <w:szCs w:val="21"/>
        </w:rPr>
        <w:t>8</w:t>
      </w:r>
      <w:r w:rsidR="00C246A8" w:rsidRPr="000970F8">
        <w:rPr>
          <w:rFonts w:eastAsia="宋体" w:cs="Times New Roman"/>
          <w:szCs w:val="21"/>
        </w:rPr>
        <w:t>“</w:t>
      </w:r>
      <w:r w:rsidRPr="000970F8">
        <w:rPr>
          <w:rFonts w:eastAsia="宋体" w:cs="Times New Roman" w:hint="eastAsia"/>
          <w:szCs w:val="21"/>
        </w:rPr>
        <w:t>营业收入</w:t>
      </w:r>
      <w:r w:rsidR="00083E48">
        <w:rPr>
          <w:rFonts w:eastAsia="宋体" w:cs="Times New Roman" w:hint="eastAsia"/>
          <w:szCs w:val="21"/>
        </w:rPr>
        <w:t>和营业成本</w:t>
      </w:r>
      <w:r w:rsidR="00C246A8" w:rsidRPr="000970F8">
        <w:rPr>
          <w:rFonts w:eastAsia="宋体" w:cs="Times New Roman"/>
          <w:szCs w:val="21"/>
        </w:rPr>
        <w:t>”</w:t>
      </w:r>
      <w:r w:rsidRPr="000970F8">
        <w:rPr>
          <w:rFonts w:eastAsia="宋体" w:cs="Times New Roman" w:hint="eastAsia"/>
          <w:szCs w:val="21"/>
        </w:rPr>
        <w:t>所示，</w:t>
      </w:r>
      <w:r w:rsidR="00983F50" w:rsidRPr="000970F8">
        <w:rPr>
          <w:rFonts w:eastAsia="宋体" w:cs="Times New Roman" w:hint="eastAsia"/>
          <w:szCs w:val="21"/>
        </w:rPr>
        <w:t>萤石网络</w:t>
      </w:r>
      <w:r w:rsidRPr="000970F8">
        <w:rPr>
          <w:rFonts w:eastAsia="宋体" w:cs="Times New Roman" w:hint="eastAsia"/>
          <w:szCs w:val="21"/>
        </w:rPr>
        <w:t>的</w:t>
      </w:r>
      <w:r w:rsidR="000E72FC" w:rsidRPr="000970F8">
        <w:rPr>
          <w:rFonts w:eastAsia="宋体" w:cs="Times New Roman" w:hint="eastAsia"/>
          <w:szCs w:val="21"/>
        </w:rPr>
        <w:t>营业</w:t>
      </w:r>
      <w:r w:rsidRPr="000970F8">
        <w:rPr>
          <w:rFonts w:eastAsia="宋体" w:cs="Times New Roman" w:hint="eastAsia"/>
          <w:szCs w:val="21"/>
        </w:rPr>
        <w:t>收入主要来源于</w:t>
      </w:r>
      <w:r w:rsidR="006E0209" w:rsidRPr="000970F8">
        <w:rPr>
          <w:rFonts w:eastAsia="宋体" w:cs="Times New Roman" w:hint="eastAsia"/>
          <w:szCs w:val="21"/>
        </w:rPr>
        <w:t>智能家居产品</w:t>
      </w:r>
      <w:r w:rsidR="008A5325" w:rsidRPr="000970F8">
        <w:rPr>
          <w:rFonts w:eastAsia="宋体" w:cs="Times New Roman" w:hint="eastAsia"/>
          <w:szCs w:val="21"/>
        </w:rPr>
        <w:t>的销售</w:t>
      </w:r>
      <w:r w:rsidRPr="000970F8">
        <w:rPr>
          <w:rFonts w:eastAsia="宋体" w:cs="Times New Roman" w:hint="eastAsia"/>
          <w:szCs w:val="21"/>
        </w:rPr>
        <w:t>。</w:t>
      </w:r>
      <w:r w:rsidR="00C544DA" w:rsidRPr="000970F8">
        <w:rPr>
          <w:rFonts w:eastAsia="宋体" w:cs="Times New Roman" w:hint="eastAsia"/>
          <w:szCs w:val="21"/>
        </w:rPr>
        <w:t>本年度</w:t>
      </w:r>
      <w:r w:rsidR="00EA355E" w:rsidRPr="000970F8">
        <w:rPr>
          <w:rFonts w:eastAsia="宋体" w:cs="Times New Roman" w:hint="eastAsia"/>
          <w:szCs w:val="21"/>
        </w:rPr>
        <w:t>，</w:t>
      </w:r>
      <w:r w:rsidR="00983F50" w:rsidRPr="000970F8">
        <w:rPr>
          <w:rFonts w:eastAsia="宋体" w:cs="Times New Roman" w:hint="eastAsia"/>
          <w:szCs w:val="21"/>
        </w:rPr>
        <w:t>萤石网络</w:t>
      </w:r>
      <w:r w:rsidR="000F4245" w:rsidRPr="000970F8">
        <w:rPr>
          <w:rFonts w:eastAsia="宋体" w:cs="Times New Roman" w:hint="eastAsia"/>
          <w:szCs w:val="21"/>
        </w:rPr>
        <w:t>智能家居产品销售收入</w:t>
      </w:r>
      <w:r w:rsidR="00AC0206" w:rsidRPr="000970F8">
        <w:rPr>
          <w:rFonts w:eastAsia="宋体" w:cs="Times New Roman" w:hint="eastAsia"/>
          <w:szCs w:val="21"/>
        </w:rPr>
        <w:t>为人民币</w:t>
      </w:r>
      <w:r w:rsidR="000970F8" w:rsidRPr="000970F8">
        <w:rPr>
          <w:rFonts w:eastAsia="宋体" w:cs="Times New Roman"/>
          <w:szCs w:val="21"/>
        </w:rPr>
        <w:t>3,959,904,032.54</w:t>
      </w:r>
      <w:r w:rsidR="00E361F3" w:rsidRPr="000970F8">
        <w:rPr>
          <w:rFonts w:eastAsia="宋体" w:cs="Times New Roman" w:hint="eastAsia"/>
          <w:szCs w:val="21"/>
        </w:rPr>
        <w:t>元</w:t>
      </w:r>
      <w:r w:rsidR="00EA355E" w:rsidRPr="000970F8">
        <w:rPr>
          <w:rFonts w:eastAsia="宋体" w:cs="Times New Roman" w:hint="eastAsia"/>
          <w:szCs w:val="21"/>
        </w:rPr>
        <w:t>，</w:t>
      </w:r>
      <w:r w:rsidR="0092651B" w:rsidRPr="000970F8">
        <w:rPr>
          <w:rFonts w:eastAsia="宋体" w:cs="Times New Roman" w:hint="eastAsia"/>
          <w:szCs w:val="21"/>
        </w:rPr>
        <w:t>占营业收入比重达到</w:t>
      </w:r>
      <w:r w:rsidR="00DC45D6" w:rsidRPr="000970F8">
        <w:rPr>
          <w:rFonts w:eastAsia="宋体" w:cs="Times New Roman"/>
          <w:szCs w:val="21"/>
        </w:rPr>
        <w:t>8</w:t>
      </w:r>
      <w:r w:rsidR="00900F8B">
        <w:rPr>
          <w:rFonts w:eastAsia="宋体" w:cs="Times New Roman"/>
          <w:szCs w:val="21"/>
        </w:rPr>
        <w:t>1</w:t>
      </w:r>
      <w:r w:rsidR="00DC45D6" w:rsidRPr="000970F8">
        <w:rPr>
          <w:rFonts w:eastAsia="宋体" w:cs="Times New Roman"/>
          <w:szCs w:val="21"/>
        </w:rPr>
        <w:t>.</w:t>
      </w:r>
      <w:r w:rsidR="00900F8B">
        <w:rPr>
          <w:rFonts w:eastAsia="宋体" w:cs="Times New Roman"/>
          <w:szCs w:val="21"/>
        </w:rPr>
        <w:t>8</w:t>
      </w:r>
      <w:r w:rsidR="000970F8" w:rsidRPr="000970F8">
        <w:rPr>
          <w:rFonts w:eastAsia="宋体" w:cs="Times New Roman"/>
          <w:szCs w:val="21"/>
        </w:rPr>
        <w:t>2</w:t>
      </w:r>
      <w:r w:rsidR="0092651B" w:rsidRPr="000970F8">
        <w:rPr>
          <w:rFonts w:eastAsia="宋体" w:cs="Times New Roman"/>
          <w:szCs w:val="21"/>
        </w:rPr>
        <w:t>%</w:t>
      </w:r>
      <w:r w:rsidR="0092651B" w:rsidRPr="000970F8">
        <w:rPr>
          <w:rFonts w:eastAsia="宋体" w:cs="Times New Roman" w:hint="eastAsia"/>
          <w:szCs w:val="21"/>
        </w:rPr>
        <w:t>，对经营成果有重大影响。因此我们将智能家居产品销售收入发生作为关键审计事项</w:t>
      </w:r>
      <w:r w:rsidR="0092651B" w:rsidRPr="00A71D2E">
        <w:rPr>
          <w:rFonts w:eastAsia="宋体" w:cs="Times New Roman" w:hint="eastAsia"/>
          <w:szCs w:val="21"/>
        </w:rPr>
        <w:t>。</w:t>
      </w:r>
    </w:p>
    <w:p w:rsidR="007F4826" w:rsidRPr="00A71D2E" w:rsidRDefault="007F4826" w:rsidP="00800D4B">
      <w:pPr>
        <w:spacing w:line="228" w:lineRule="auto"/>
        <w:ind w:left="360" w:firstLine="414"/>
        <w:jc w:val="both"/>
        <w:rPr>
          <w:rFonts w:eastAsia="宋体" w:cs="Times New Roman"/>
          <w:szCs w:val="21"/>
        </w:rPr>
      </w:pPr>
    </w:p>
    <w:p w:rsidR="00006770" w:rsidRPr="00A71D2E" w:rsidRDefault="00006770" w:rsidP="00800D4B">
      <w:pPr>
        <w:spacing w:line="228" w:lineRule="auto"/>
        <w:ind w:left="360" w:firstLine="414"/>
        <w:jc w:val="both"/>
        <w:rPr>
          <w:rFonts w:eastAsia="宋体" w:cs="Times New Roman"/>
          <w:szCs w:val="21"/>
        </w:rPr>
      </w:pPr>
      <w:r w:rsidRPr="00A71D2E">
        <w:rPr>
          <w:rFonts w:eastAsia="宋体" w:cs="Times New Roman" w:hint="eastAsia"/>
          <w:szCs w:val="21"/>
        </w:rPr>
        <w:t>审计应对</w:t>
      </w:r>
    </w:p>
    <w:p w:rsidR="00006770" w:rsidRPr="00A71D2E" w:rsidRDefault="00006770" w:rsidP="00800D4B">
      <w:pPr>
        <w:spacing w:line="228" w:lineRule="auto"/>
        <w:ind w:left="360" w:firstLine="418"/>
        <w:jc w:val="both"/>
        <w:rPr>
          <w:rFonts w:eastAsia="宋体" w:cs="Times New Roman"/>
          <w:szCs w:val="21"/>
        </w:rPr>
      </w:pPr>
    </w:p>
    <w:p w:rsidR="00073D49" w:rsidRPr="00A71D2E" w:rsidRDefault="00073D49" w:rsidP="00800D4B">
      <w:pPr>
        <w:spacing w:line="228" w:lineRule="auto"/>
        <w:ind w:left="360" w:firstLine="414"/>
        <w:jc w:val="both"/>
        <w:rPr>
          <w:rFonts w:eastAsia="宋体" w:cs="Times New Roman"/>
          <w:szCs w:val="21"/>
        </w:rPr>
      </w:pPr>
      <w:r w:rsidRPr="00A71D2E">
        <w:rPr>
          <w:rFonts w:eastAsia="宋体" w:cs="Times New Roman" w:hint="eastAsia"/>
          <w:szCs w:val="21"/>
        </w:rPr>
        <w:t>针对上述销售收入，我们所执行的审计程序主要包括</w:t>
      </w:r>
      <w:r w:rsidR="005F14EE">
        <w:rPr>
          <w:rFonts w:eastAsia="宋体" w:cs="Times New Roman" w:hint="eastAsia"/>
          <w:szCs w:val="21"/>
        </w:rPr>
        <w:t>：</w:t>
      </w:r>
    </w:p>
    <w:p w:rsidR="00073D49" w:rsidRPr="00A71D2E" w:rsidRDefault="00073D49" w:rsidP="00800D4B">
      <w:pPr>
        <w:spacing w:line="228" w:lineRule="auto"/>
        <w:ind w:left="360" w:firstLine="418"/>
        <w:jc w:val="both"/>
        <w:rPr>
          <w:rFonts w:eastAsia="宋体" w:cs="Times New Roman"/>
          <w:szCs w:val="21"/>
        </w:rPr>
      </w:pPr>
    </w:p>
    <w:p w:rsidR="00E12C66" w:rsidRPr="00A71D2E" w:rsidRDefault="005B7E77">
      <w:pPr>
        <w:pStyle w:val="aff1"/>
        <w:numPr>
          <w:ilvl w:val="0"/>
          <w:numId w:val="11"/>
        </w:numPr>
        <w:spacing w:line="228" w:lineRule="auto"/>
        <w:ind w:left="1260" w:firstLineChars="0" w:hanging="486"/>
        <w:jc w:val="both"/>
        <w:rPr>
          <w:szCs w:val="21"/>
        </w:rPr>
      </w:pPr>
      <w:r w:rsidRPr="00A71D2E">
        <w:rPr>
          <w:rFonts w:hint="eastAsia"/>
          <w:szCs w:val="21"/>
        </w:rPr>
        <w:t>了解并评价</w:t>
      </w:r>
      <w:r w:rsidR="00983F50">
        <w:rPr>
          <w:rFonts w:hint="eastAsia"/>
          <w:szCs w:val="21"/>
        </w:rPr>
        <w:t>萤石网络</w:t>
      </w:r>
      <w:r w:rsidRPr="00A71D2E">
        <w:rPr>
          <w:rFonts w:hint="eastAsia"/>
          <w:szCs w:val="21"/>
        </w:rPr>
        <w:t>与</w:t>
      </w:r>
      <w:r w:rsidR="00E30827" w:rsidRPr="00A71D2E">
        <w:rPr>
          <w:rFonts w:hint="eastAsia"/>
          <w:szCs w:val="21"/>
        </w:rPr>
        <w:t>智能家居</w:t>
      </w:r>
      <w:r w:rsidRPr="00A71D2E">
        <w:rPr>
          <w:rFonts w:hint="eastAsia"/>
          <w:szCs w:val="21"/>
        </w:rPr>
        <w:t>产品销售收入确认相关的关键内部控制的设计和执行，并测试其运行的有效性</w:t>
      </w:r>
      <w:r w:rsidR="005F14EE">
        <w:rPr>
          <w:rFonts w:hint="eastAsia"/>
          <w:szCs w:val="21"/>
        </w:rPr>
        <w:t>；</w:t>
      </w:r>
    </w:p>
    <w:p w:rsidR="00E12C66" w:rsidRPr="00A71D2E" w:rsidRDefault="005A7ACE">
      <w:pPr>
        <w:pStyle w:val="aff1"/>
        <w:numPr>
          <w:ilvl w:val="0"/>
          <w:numId w:val="11"/>
        </w:numPr>
        <w:spacing w:line="228" w:lineRule="auto"/>
        <w:ind w:left="1260" w:firstLineChars="0" w:hanging="486"/>
        <w:jc w:val="both"/>
        <w:rPr>
          <w:szCs w:val="21"/>
        </w:rPr>
      </w:pPr>
      <w:r w:rsidRPr="00A71D2E">
        <w:rPr>
          <w:rFonts w:hint="eastAsia"/>
          <w:szCs w:val="21"/>
        </w:rPr>
        <w:t>获取</w:t>
      </w:r>
      <w:r w:rsidR="00B95200">
        <w:rPr>
          <w:rFonts w:hint="eastAsia"/>
          <w:szCs w:val="21"/>
        </w:rPr>
        <w:t>萤石网络</w:t>
      </w:r>
      <w:r w:rsidRPr="00A71D2E">
        <w:rPr>
          <w:rFonts w:hint="eastAsia"/>
          <w:szCs w:val="21"/>
        </w:rPr>
        <w:t>重大销售合同，检查与收入确认相关的主要合同条款，评价</w:t>
      </w:r>
      <w:r w:rsidR="00132876" w:rsidRPr="00A71D2E">
        <w:rPr>
          <w:rFonts w:hint="eastAsia"/>
          <w:szCs w:val="21"/>
        </w:rPr>
        <w:t>相关</w:t>
      </w:r>
      <w:r w:rsidRPr="00A71D2E">
        <w:rPr>
          <w:rFonts w:hint="eastAsia"/>
          <w:szCs w:val="21"/>
        </w:rPr>
        <w:t>产品销售收入确认政策是否符合企业会计准则的规定</w:t>
      </w:r>
      <w:r w:rsidR="005F14EE">
        <w:rPr>
          <w:rFonts w:hint="eastAsia"/>
          <w:szCs w:val="21"/>
        </w:rPr>
        <w:t>；</w:t>
      </w:r>
    </w:p>
    <w:p w:rsidR="005F14EE" w:rsidRDefault="0071416B">
      <w:pPr>
        <w:pStyle w:val="aff1"/>
        <w:numPr>
          <w:ilvl w:val="0"/>
          <w:numId w:val="11"/>
        </w:numPr>
        <w:spacing w:line="228" w:lineRule="auto"/>
        <w:ind w:left="1260" w:firstLineChars="0" w:hanging="486"/>
        <w:jc w:val="both"/>
        <w:rPr>
          <w:szCs w:val="21"/>
        </w:rPr>
      </w:pPr>
      <w:r w:rsidRPr="00A71D2E">
        <w:rPr>
          <w:rFonts w:hint="eastAsia"/>
          <w:szCs w:val="21"/>
        </w:rPr>
        <w:t>按产品类型对收入及毛利情况进行分析，获取管理层关于销售量、销售价格及毛利率变动情况的</w:t>
      </w:r>
      <w:r w:rsidR="00132876" w:rsidRPr="00A71D2E">
        <w:rPr>
          <w:rFonts w:hint="eastAsia"/>
          <w:szCs w:val="21"/>
        </w:rPr>
        <w:t>相关</w:t>
      </w:r>
      <w:r w:rsidRPr="00A71D2E">
        <w:rPr>
          <w:rFonts w:hint="eastAsia"/>
          <w:szCs w:val="21"/>
        </w:rPr>
        <w:t>解释</w:t>
      </w:r>
      <w:r w:rsidR="005F14EE">
        <w:rPr>
          <w:rFonts w:hint="eastAsia"/>
          <w:szCs w:val="21"/>
        </w:rPr>
        <w:t>；</w:t>
      </w:r>
    </w:p>
    <w:p w:rsidR="005F14EE" w:rsidRDefault="005F14EE">
      <w:pPr>
        <w:adjustRightInd/>
        <w:snapToGrid/>
        <w:rPr>
          <w:rFonts w:eastAsia="宋体" w:cs="Times New Roman"/>
          <w:szCs w:val="21"/>
        </w:rPr>
      </w:pPr>
      <w:r>
        <w:rPr>
          <w:szCs w:val="21"/>
        </w:rPr>
        <w:br w:type="page"/>
      </w:r>
    </w:p>
    <w:p w:rsidR="005F14EE" w:rsidRPr="00F66363" w:rsidRDefault="005F14EE" w:rsidP="005F14EE">
      <w:pPr>
        <w:adjustRightInd/>
        <w:snapToGrid/>
        <w:ind w:left="360"/>
        <w:rPr>
          <w:rFonts w:eastAsia="宋体" w:cs="Times New Roman"/>
          <w:szCs w:val="21"/>
        </w:rPr>
      </w:pPr>
    </w:p>
    <w:p w:rsidR="005F14EE" w:rsidRDefault="005F14EE" w:rsidP="005F14EE">
      <w:pPr>
        <w:adjustRightInd/>
        <w:snapToGrid/>
        <w:ind w:left="360"/>
        <w:rPr>
          <w:rFonts w:eastAsia="宋体" w:cs="Times New Roman"/>
          <w:szCs w:val="21"/>
        </w:rPr>
      </w:pPr>
    </w:p>
    <w:p w:rsidR="005F14EE" w:rsidRPr="00F66363" w:rsidRDefault="005F14EE" w:rsidP="005F14EE">
      <w:pPr>
        <w:adjustRightInd/>
        <w:snapToGrid/>
        <w:ind w:left="360"/>
        <w:rPr>
          <w:rFonts w:eastAsia="宋体" w:cs="Times New Roman"/>
          <w:szCs w:val="21"/>
        </w:rPr>
      </w:pPr>
    </w:p>
    <w:p w:rsidR="005F14EE" w:rsidRPr="00F66363" w:rsidRDefault="005F14EE" w:rsidP="005F14EE">
      <w:pPr>
        <w:adjustRightInd/>
        <w:snapToGrid/>
        <w:ind w:left="360"/>
        <w:rPr>
          <w:rFonts w:eastAsia="宋体" w:cs="Times New Roman"/>
          <w:szCs w:val="21"/>
        </w:rPr>
      </w:pPr>
    </w:p>
    <w:p w:rsidR="005F14EE" w:rsidRPr="00F66363" w:rsidRDefault="005F14EE" w:rsidP="005F14EE">
      <w:pPr>
        <w:tabs>
          <w:tab w:val="left" w:pos="500"/>
        </w:tabs>
        <w:ind w:left="360"/>
        <w:jc w:val="center"/>
        <w:rPr>
          <w:rFonts w:eastAsia="宋体" w:cs="Times New Roman"/>
          <w:szCs w:val="21"/>
        </w:rPr>
      </w:pPr>
      <w:r w:rsidRPr="00F66363">
        <w:rPr>
          <w:rFonts w:eastAsia="宋体" w:cs="Times New Roman" w:hint="eastAsia"/>
          <w:b/>
          <w:szCs w:val="21"/>
        </w:rPr>
        <w:t>审计报告</w:t>
      </w:r>
      <w:r w:rsidRPr="00F66363">
        <w:rPr>
          <w:rFonts w:eastAsia="宋体" w:cs="Times New Roman"/>
          <w:bCs/>
          <w:szCs w:val="21"/>
        </w:rPr>
        <w:t xml:space="preserve"> - </w:t>
      </w:r>
      <w:r w:rsidRPr="00F66363">
        <w:rPr>
          <w:rFonts w:eastAsia="宋体" w:cs="Times New Roman" w:hint="eastAsia"/>
          <w:bCs/>
          <w:szCs w:val="21"/>
        </w:rPr>
        <w:t>续</w:t>
      </w:r>
    </w:p>
    <w:p w:rsidR="005F14EE" w:rsidRPr="00F66363" w:rsidRDefault="005F14EE" w:rsidP="005F14EE">
      <w:pPr>
        <w:adjustRightInd/>
        <w:snapToGrid/>
        <w:ind w:left="360"/>
        <w:jc w:val="right"/>
        <w:rPr>
          <w:rFonts w:eastAsia="宋体" w:cs="Times New Roman"/>
          <w:szCs w:val="21"/>
        </w:rPr>
      </w:pPr>
    </w:p>
    <w:p w:rsidR="005F14EE" w:rsidRPr="00A71D2E" w:rsidRDefault="005F14EE" w:rsidP="005F14EE">
      <w:pPr>
        <w:jc w:val="right"/>
        <w:rPr>
          <w:rFonts w:eastAsia="宋体" w:cs="Times New Roman"/>
          <w:szCs w:val="21"/>
        </w:rPr>
      </w:pPr>
      <w:proofErr w:type="gramStart"/>
      <w:r w:rsidRPr="00A71D2E">
        <w:rPr>
          <w:rFonts w:eastAsia="宋体" w:cs="Times New Roman" w:hint="eastAsia"/>
          <w:szCs w:val="21"/>
        </w:rPr>
        <w:t>德师报</w:t>
      </w:r>
      <w:proofErr w:type="gramEnd"/>
      <w:r>
        <w:rPr>
          <w:rFonts w:eastAsia="宋体" w:cs="Times New Roman"/>
          <w:szCs w:val="21"/>
        </w:rPr>
        <w:t>(</w:t>
      </w:r>
      <w:r w:rsidRPr="00A71D2E">
        <w:rPr>
          <w:rFonts w:eastAsia="宋体" w:cs="Times New Roman" w:hint="eastAsia"/>
          <w:szCs w:val="21"/>
        </w:rPr>
        <w:t>审</w:t>
      </w:r>
      <w:r>
        <w:rPr>
          <w:rFonts w:eastAsia="宋体" w:cs="Times New Roman"/>
          <w:szCs w:val="21"/>
        </w:rPr>
        <w:t>)</w:t>
      </w:r>
      <w:r w:rsidRPr="00A71D2E">
        <w:rPr>
          <w:rFonts w:eastAsia="宋体" w:cs="Times New Roman" w:hint="eastAsia"/>
          <w:szCs w:val="21"/>
        </w:rPr>
        <w:t>字</w:t>
      </w:r>
      <w:r>
        <w:rPr>
          <w:rFonts w:eastAsia="宋体" w:cs="Times New Roman"/>
          <w:szCs w:val="21"/>
        </w:rPr>
        <w:t>(</w:t>
      </w:r>
      <w:r w:rsidRPr="00A71D2E">
        <w:rPr>
          <w:rFonts w:eastAsia="宋体" w:cs="Times New Roman"/>
          <w:szCs w:val="21"/>
        </w:rPr>
        <w:t>2</w:t>
      </w:r>
      <w:r>
        <w:rPr>
          <w:rFonts w:eastAsia="宋体" w:cs="Times New Roman"/>
          <w:szCs w:val="21"/>
        </w:rPr>
        <w:t>4)</w:t>
      </w:r>
      <w:r w:rsidRPr="00A71D2E">
        <w:rPr>
          <w:rFonts w:eastAsia="宋体" w:cs="Times New Roman" w:hint="eastAsia"/>
          <w:szCs w:val="21"/>
        </w:rPr>
        <w:t>第</w:t>
      </w:r>
      <w:r w:rsidRPr="00A71D2E">
        <w:rPr>
          <w:rFonts w:eastAsia="宋体" w:cs="Times New Roman"/>
          <w:szCs w:val="21"/>
        </w:rPr>
        <w:t>P</w:t>
      </w:r>
      <w:r w:rsidR="00915838">
        <w:rPr>
          <w:rFonts w:eastAsia="宋体" w:cs="Times New Roman"/>
          <w:szCs w:val="21"/>
        </w:rPr>
        <w:t>04601</w:t>
      </w:r>
      <w:r w:rsidRPr="00A71D2E">
        <w:rPr>
          <w:rFonts w:eastAsia="宋体" w:cs="Times New Roman" w:hint="eastAsia"/>
          <w:szCs w:val="21"/>
        </w:rPr>
        <w:t>号</w:t>
      </w:r>
    </w:p>
    <w:p w:rsidR="005F14EE" w:rsidRPr="00F66363" w:rsidRDefault="005F14EE" w:rsidP="005F14EE">
      <w:pPr>
        <w:adjustRightInd/>
        <w:snapToGrid/>
        <w:ind w:left="360"/>
        <w:jc w:val="right"/>
        <w:rPr>
          <w:rFonts w:eastAsia="宋体" w:cs="Times New Roman"/>
          <w:szCs w:val="21"/>
        </w:rPr>
      </w:pPr>
      <w:r>
        <w:rPr>
          <w:rFonts w:eastAsia="宋体" w:cs="Times New Roman"/>
          <w:szCs w:val="21"/>
        </w:rPr>
        <w:t>(</w:t>
      </w:r>
      <w:r w:rsidRPr="00F66363">
        <w:rPr>
          <w:rFonts w:eastAsia="宋体" w:cs="Times New Roman" w:hint="eastAsia"/>
          <w:szCs w:val="21"/>
        </w:rPr>
        <w:t>第</w:t>
      </w:r>
      <w:r w:rsidRPr="00F66363">
        <w:rPr>
          <w:rFonts w:eastAsia="宋体" w:cs="Times New Roman"/>
          <w:szCs w:val="21"/>
        </w:rPr>
        <w:t>2</w:t>
      </w:r>
      <w:r w:rsidRPr="00F66363">
        <w:rPr>
          <w:rFonts w:eastAsia="宋体" w:cs="Times New Roman" w:hint="eastAsia"/>
          <w:szCs w:val="21"/>
        </w:rPr>
        <w:t>页，共</w:t>
      </w:r>
      <w:r w:rsidRPr="00F66363">
        <w:rPr>
          <w:rFonts w:eastAsia="宋体" w:cs="Times New Roman"/>
          <w:szCs w:val="21"/>
        </w:rPr>
        <w:t>3</w:t>
      </w:r>
      <w:r w:rsidRPr="00F66363">
        <w:rPr>
          <w:rFonts w:eastAsia="宋体" w:cs="Times New Roman" w:hint="eastAsia"/>
          <w:szCs w:val="21"/>
        </w:rPr>
        <w:t>页</w:t>
      </w:r>
      <w:r>
        <w:rPr>
          <w:rFonts w:eastAsia="宋体" w:cs="Times New Roman"/>
          <w:szCs w:val="21"/>
        </w:rPr>
        <w:t>)</w:t>
      </w:r>
    </w:p>
    <w:p w:rsidR="005F14EE" w:rsidRPr="00F66363" w:rsidRDefault="005F14EE" w:rsidP="005F14EE">
      <w:pPr>
        <w:adjustRightInd/>
        <w:snapToGrid/>
        <w:ind w:left="360"/>
        <w:jc w:val="right"/>
        <w:rPr>
          <w:rFonts w:eastAsia="宋体" w:cs="Times New Roman"/>
          <w:szCs w:val="21"/>
        </w:rPr>
      </w:pPr>
    </w:p>
    <w:p w:rsidR="005F14EE" w:rsidRPr="00A71D2E" w:rsidRDefault="005F14EE" w:rsidP="005F14EE">
      <w:pPr>
        <w:tabs>
          <w:tab w:val="left" w:pos="500"/>
        </w:tabs>
        <w:spacing w:line="228" w:lineRule="auto"/>
        <w:ind w:left="360"/>
        <w:jc w:val="both"/>
        <w:rPr>
          <w:rFonts w:eastAsia="宋体" w:cs="Times New Roman"/>
          <w:b/>
          <w:szCs w:val="21"/>
        </w:rPr>
      </w:pPr>
      <w:r w:rsidRPr="00A71D2E">
        <w:rPr>
          <w:rFonts w:eastAsia="宋体" w:cs="Times New Roman" w:hint="eastAsia"/>
          <w:b/>
          <w:szCs w:val="21"/>
        </w:rPr>
        <w:t>三、关键审计事项</w:t>
      </w:r>
      <w:r w:rsidRPr="0027505B">
        <w:rPr>
          <w:rFonts w:eastAsia="宋体" w:cs="Times New Roman"/>
          <w:bCs/>
          <w:szCs w:val="21"/>
        </w:rPr>
        <w:t xml:space="preserve"> </w:t>
      </w:r>
      <w:r w:rsidRPr="00F66363">
        <w:rPr>
          <w:rFonts w:eastAsia="宋体" w:cs="Times New Roman"/>
          <w:bCs/>
          <w:szCs w:val="21"/>
        </w:rPr>
        <w:t xml:space="preserve">- </w:t>
      </w:r>
      <w:r w:rsidRPr="00F66363">
        <w:rPr>
          <w:rFonts w:eastAsia="宋体" w:cs="Times New Roman" w:hint="eastAsia"/>
          <w:bCs/>
          <w:szCs w:val="21"/>
        </w:rPr>
        <w:t>续</w:t>
      </w:r>
    </w:p>
    <w:p w:rsidR="005F14EE" w:rsidRPr="0027505B" w:rsidRDefault="005F14EE" w:rsidP="0027505B">
      <w:pPr>
        <w:spacing w:line="228" w:lineRule="auto"/>
        <w:ind w:left="360" w:firstLine="414"/>
        <w:jc w:val="both"/>
        <w:rPr>
          <w:rFonts w:eastAsia="宋体" w:cs="Times New Roman"/>
          <w:b/>
          <w:szCs w:val="21"/>
        </w:rPr>
      </w:pPr>
    </w:p>
    <w:p w:rsidR="005F14EE" w:rsidRPr="00A71D2E" w:rsidRDefault="005F14EE" w:rsidP="005F14EE">
      <w:pPr>
        <w:spacing w:line="228" w:lineRule="auto"/>
        <w:ind w:left="360" w:firstLine="414"/>
        <w:jc w:val="both"/>
        <w:rPr>
          <w:rFonts w:eastAsia="宋体" w:cs="Times New Roman"/>
          <w:b/>
          <w:szCs w:val="21"/>
        </w:rPr>
      </w:pPr>
      <w:r w:rsidRPr="00A71D2E">
        <w:rPr>
          <w:rFonts w:eastAsia="宋体" w:cs="Times New Roman" w:hint="eastAsia"/>
          <w:b/>
          <w:szCs w:val="21"/>
        </w:rPr>
        <w:t>智能家居产品销售收入发生</w:t>
      </w:r>
      <w:r w:rsidRPr="0027505B">
        <w:rPr>
          <w:rFonts w:eastAsia="宋体" w:cs="Times New Roman"/>
          <w:bCs/>
          <w:szCs w:val="21"/>
        </w:rPr>
        <w:t xml:space="preserve"> </w:t>
      </w:r>
      <w:r w:rsidRPr="00F66363">
        <w:rPr>
          <w:rFonts w:eastAsia="宋体" w:cs="Times New Roman"/>
          <w:bCs/>
          <w:szCs w:val="21"/>
        </w:rPr>
        <w:t xml:space="preserve">- </w:t>
      </w:r>
      <w:r w:rsidRPr="00F66363">
        <w:rPr>
          <w:rFonts w:eastAsia="宋体" w:cs="Times New Roman" w:hint="eastAsia"/>
          <w:bCs/>
          <w:szCs w:val="21"/>
        </w:rPr>
        <w:t>续</w:t>
      </w:r>
    </w:p>
    <w:p w:rsidR="005F14EE" w:rsidRPr="0027505B" w:rsidRDefault="005F14EE" w:rsidP="0027505B">
      <w:pPr>
        <w:spacing w:line="228" w:lineRule="auto"/>
        <w:ind w:left="360" w:firstLine="414"/>
        <w:jc w:val="both"/>
        <w:rPr>
          <w:rFonts w:eastAsia="宋体" w:cs="Times New Roman"/>
          <w:b/>
          <w:szCs w:val="21"/>
        </w:rPr>
      </w:pPr>
    </w:p>
    <w:p w:rsidR="005F14EE" w:rsidRPr="00A71D2E" w:rsidRDefault="005F14EE" w:rsidP="005F14EE">
      <w:pPr>
        <w:spacing w:line="228" w:lineRule="auto"/>
        <w:ind w:left="360" w:firstLine="414"/>
        <w:jc w:val="both"/>
        <w:rPr>
          <w:rFonts w:eastAsia="宋体" w:cs="Times New Roman"/>
          <w:szCs w:val="21"/>
        </w:rPr>
      </w:pPr>
      <w:r w:rsidRPr="00A71D2E">
        <w:rPr>
          <w:rFonts w:eastAsia="宋体" w:cs="Times New Roman" w:hint="eastAsia"/>
          <w:szCs w:val="21"/>
        </w:rPr>
        <w:t>审计应对</w:t>
      </w:r>
      <w:r>
        <w:rPr>
          <w:rFonts w:eastAsia="宋体" w:cs="Times New Roman" w:hint="eastAsia"/>
          <w:szCs w:val="21"/>
        </w:rPr>
        <w:t xml:space="preserve"> </w:t>
      </w:r>
      <w:r w:rsidRPr="00F66363">
        <w:rPr>
          <w:rFonts w:eastAsia="宋体" w:cs="Times New Roman"/>
          <w:bCs/>
          <w:szCs w:val="21"/>
        </w:rPr>
        <w:t xml:space="preserve">- </w:t>
      </w:r>
      <w:r w:rsidRPr="00F66363">
        <w:rPr>
          <w:rFonts w:eastAsia="宋体" w:cs="Times New Roman" w:hint="eastAsia"/>
          <w:bCs/>
          <w:szCs w:val="21"/>
        </w:rPr>
        <w:t>续</w:t>
      </w:r>
    </w:p>
    <w:p w:rsidR="005F14EE" w:rsidRPr="0027505B" w:rsidRDefault="005F14EE" w:rsidP="0027505B">
      <w:pPr>
        <w:spacing w:line="228" w:lineRule="auto"/>
        <w:ind w:left="360" w:firstLine="414"/>
        <w:jc w:val="both"/>
        <w:rPr>
          <w:b/>
          <w:szCs w:val="21"/>
        </w:rPr>
      </w:pPr>
    </w:p>
    <w:p w:rsidR="00561FC7" w:rsidRDefault="00CA7766">
      <w:pPr>
        <w:pStyle w:val="aff1"/>
        <w:numPr>
          <w:ilvl w:val="0"/>
          <w:numId w:val="11"/>
        </w:numPr>
        <w:spacing w:line="228" w:lineRule="auto"/>
        <w:ind w:left="1260" w:firstLineChars="0" w:hanging="486"/>
        <w:jc w:val="both"/>
        <w:rPr>
          <w:szCs w:val="21"/>
        </w:rPr>
      </w:pPr>
      <w:r w:rsidRPr="00CA7766">
        <w:rPr>
          <w:rFonts w:hint="eastAsia"/>
          <w:szCs w:val="21"/>
        </w:rPr>
        <w:t>对于通过线上</w:t>
      </w:r>
      <w:r w:rsidRPr="00CA7766">
        <w:rPr>
          <w:rFonts w:hint="eastAsia"/>
          <w:szCs w:val="21"/>
        </w:rPr>
        <w:t>B2C</w:t>
      </w:r>
      <w:r w:rsidRPr="00CA7766">
        <w:rPr>
          <w:rFonts w:hint="eastAsia"/>
          <w:szCs w:val="21"/>
        </w:rPr>
        <w:t>渠道产生的销售收入，利用计算机辅助审计技术，将财务系统中的交易记录，与业务系统中的发货记录和订单进行比对。我们还将业务系统中提取的通过支付宝及</w:t>
      </w:r>
      <w:proofErr w:type="gramStart"/>
      <w:r w:rsidRPr="00CA7766">
        <w:rPr>
          <w:rFonts w:hint="eastAsia"/>
          <w:szCs w:val="21"/>
        </w:rPr>
        <w:t>微信收款</w:t>
      </w:r>
      <w:proofErr w:type="gramEnd"/>
      <w:r w:rsidRPr="00CA7766">
        <w:rPr>
          <w:rFonts w:hint="eastAsia"/>
          <w:szCs w:val="21"/>
        </w:rPr>
        <w:t>的订单收款明细与从支付宝及</w:t>
      </w:r>
      <w:proofErr w:type="gramStart"/>
      <w:r w:rsidRPr="00CA7766">
        <w:rPr>
          <w:rFonts w:hint="eastAsia"/>
          <w:szCs w:val="21"/>
        </w:rPr>
        <w:t>微信平台</w:t>
      </w:r>
      <w:proofErr w:type="gramEnd"/>
      <w:r w:rsidRPr="00CA7766">
        <w:rPr>
          <w:rFonts w:hint="eastAsia"/>
          <w:szCs w:val="21"/>
        </w:rPr>
        <w:t>下载的资金对账单流水进行比对，并且对其他的订单收款选取样本，核对至银行收款记录，以验证销售收入发生的真实性</w:t>
      </w:r>
      <w:r w:rsidR="005F14EE">
        <w:rPr>
          <w:rFonts w:hint="eastAsia"/>
          <w:szCs w:val="21"/>
        </w:rPr>
        <w:t>；</w:t>
      </w:r>
    </w:p>
    <w:p w:rsidR="005F14EE" w:rsidRDefault="00E84927" w:rsidP="005F14EE">
      <w:pPr>
        <w:pStyle w:val="aff1"/>
        <w:numPr>
          <w:ilvl w:val="0"/>
          <w:numId w:val="11"/>
        </w:numPr>
        <w:spacing w:line="228" w:lineRule="auto"/>
        <w:ind w:left="1260" w:firstLineChars="0" w:hanging="486"/>
        <w:jc w:val="both"/>
        <w:rPr>
          <w:szCs w:val="21"/>
        </w:rPr>
      </w:pPr>
      <w:proofErr w:type="gramStart"/>
      <w:r w:rsidRPr="001D2B63">
        <w:rPr>
          <w:rFonts w:hint="eastAsia"/>
          <w:szCs w:val="21"/>
        </w:rPr>
        <w:t>对于除线上</w:t>
      </w:r>
      <w:proofErr w:type="gramEnd"/>
      <w:r w:rsidRPr="001D2B63">
        <w:rPr>
          <w:rFonts w:hint="eastAsia"/>
          <w:szCs w:val="21"/>
        </w:rPr>
        <w:t>B2C</w:t>
      </w:r>
      <w:r w:rsidRPr="001D2B63">
        <w:rPr>
          <w:rFonts w:hint="eastAsia"/>
          <w:szCs w:val="21"/>
        </w:rPr>
        <w:t>以外其他销售渠道产生的销售收入，从销售收入账面记录中选取交易样本，查看对应的销售合同或订单、出库单、运输记录、签收记录或结算单</w:t>
      </w:r>
      <w:r w:rsidR="005F14EE">
        <w:rPr>
          <w:rFonts w:hint="eastAsia"/>
          <w:szCs w:val="21"/>
        </w:rPr>
        <w:t>(</w:t>
      </w:r>
      <w:r w:rsidRPr="001D2B63">
        <w:rPr>
          <w:rFonts w:hint="eastAsia"/>
          <w:szCs w:val="21"/>
        </w:rPr>
        <w:t>如适用</w:t>
      </w:r>
      <w:r w:rsidR="005F14EE">
        <w:rPr>
          <w:rFonts w:hint="eastAsia"/>
          <w:szCs w:val="21"/>
        </w:rPr>
        <w:t>)</w:t>
      </w:r>
      <w:r w:rsidRPr="001D2B63">
        <w:rPr>
          <w:rFonts w:hint="eastAsia"/>
          <w:szCs w:val="21"/>
        </w:rPr>
        <w:t>等支持性文件。</w:t>
      </w:r>
    </w:p>
    <w:p w:rsidR="005F14EE" w:rsidRPr="0027505B" w:rsidRDefault="005F14EE" w:rsidP="0027505B">
      <w:pPr>
        <w:spacing w:line="228" w:lineRule="auto"/>
        <w:ind w:left="360" w:firstLine="414"/>
        <w:jc w:val="both"/>
        <w:rPr>
          <w:b/>
          <w:szCs w:val="21"/>
        </w:rPr>
      </w:pPr>
    </w:p>
    <w:p w:rsidR="00132876" w:rsidRPr="00A71D2E" w:rsidRDefault="00073D49" w:rsidP="00800D4B">
      <w:pPr>
        <w:tabs>
          <w:tab w:val="left" w:pos="500"/>
        </w:tabs>
        <w:spacing w:line="228" w:lineRule="auto"/>
        <w:ind w:left="360"/>
        <w:jc w:val="both"/>
        <w:rPr>
          <w:rFonts w:eastAsia="宋体" w:cs="Times New Roman"/>
          <w:b/>
          <w:szCs w:val="21"/>
        </w:rPr>
      </w:pPr>
      <w:r w:rsidRPr="00A71D2E">
        <w:rPr>
          <w:rFonts w:eastAsia="宋体" w:cs="Times New Roman" w:hint="eastAsia"/>
          <w:b/>
          <w:szCs w:val="21"/>
        </w:rPr>
        <w:t>四、</w:t>
      </w:r>
      <w:r w:rsidR="00132876" w:rsidRPr="00A71D2E">
        <w:rPr>
          <w:rFonts w:eastAsia="宋体" w:cs="Times New Roman" w:hint="eastAsia"/>
          <w:b/>
          <w:szCs w:val="21"/>
        </w:rPr>
        <w:t>其他信息</w:t>
      </w:r>
    </w:p>
    <w:p w:rsidR="00132876" w:rsidRPr="00A71D2E" w:rsidRDefault="00132876" w:rsidP="00800D4B">
      <w:pPr>
        <w:spacing w:line="228" w:lineRule="auto"/>
        <w:ind w:left="360" w:firstLine="414"/>
        <w:jc w:val="both"/>
        <w:rPr>
          <w:rFonts w:eastAsia="宋体" w:cs="Times New Roman"/>
          <w:b/>
          <w:szCs w:val="21"/>
        </w:rPr>
      </w:pPr>
    </w:p>
    <w:p w:rsidR="008B1A08" w:rsidRPr="00A71D2E" w:rsidRDefault="00983F50" w:rsidP="00800D4B">
      <w:pPr>
        <w:spacing w:line="228" w:lineRule="auto"/>
        <w:ind w:left="360" w:firstLine="414"/>
        <w:jc w:val="both"/>
        <w:rPr>
          <w:rFonts w:eastAsia="宋体" w:cs="Times New Roman"/>
          <w:szCs w:val="21"/>
        </w:rPr>
      </w:pPr>
      <w:r>
        <w:rPr>
          <w:rFonts w:eastAsia="宋体" w:cs="Times New Roman" w:hint="eastAsia"/>
          <w:szCs w:val="21"/>
        </w:rPr>
        <w:t>萤石网络</w:t>
      </w:r>
      <w:r w:rsidR="008B1A08" w:rsidRPr="00A71D2E">
        <w:rPr>
          <w:rFonts w:eastAsia="宋体" w:cs="Times New Roman" w:hint="eastAsia"/>
          <w:szCs w:val="21"/>
        </w:rPr>
        <w:t>管理层对其他信息负责。其他信息包括年度报告中涵盖的信息，但不包括财务报表和我们的审计报告。</w:t>
      </w:r>
    </w:p>
    <w:p w:rsidR="008B1A08" w:rsidRPr="00A71D2E" w:rsidRDefault="008B1A08" w:rsidP="00800D4B">
      <w:pPr>
        <w:spacing w:line="228" w:lineRule="auto"/>
        <w:ind w:left="360" w:firstLine="414"/>
        <w:jc w:val="both"/>
        <w:rPr>
          <w:rFonts w:eastAsia="宋体" w:cs="Times New Roman"/>
          <w:szCs w:val="21"/>
        </w:rPr>
      </w:pPr>
    </w:p>
    <w:p w:rsidR="008B1A08" w:rsidRPr="00A71D2E" w:rsidRDefault="008B1A08" w:rsidP="00800D4B">
      <w:pPr>
        <w:spacing w:line="228" w:lineRule="auto"/>
        <w:ind w:left="360" w:firstLine="414"/>
        <w:jc w:val="both"/>
        <w:rPr>
          <w:rFonts w:eastAsia="宋体" w:cs="Times New Roman"/>
          <w:szCs w:val="21"/>
        </w:rPr>
      </w:pPr>
      <w:r w:rsidRPr="00A71D2E">
        <w:rPr>
          <w:rFonts w:eastAsia="宋体" w:cs="Times New Roman" w:hint="eastAsia"/>
          <w:szCs w:val="21"/>
        </w:rPr>
        <w:t>我们对财务报表发表的审计意见</w:t>
      </w:r>
      <w:proofErr w:type="gramStart"/>
      <w:r w:rsidRPr="00A71D2E">
        <w:rPr>
          <w:rFonts w:eastAsia="宋体" w:cs="Times New Roman" w:hint="eastAsia"/>
          <w:szCs w:val="21"/>
        </w:rPr>
        <w:t>不</w:t>
      </w:r>
      <w:proofErr w:type="gramEnd"/>
      <w:r w:rsidRPr="00A71D2E">
        <w:rPr>
          <w:rFonts w:eastAsia="宋体" w:cs="Times New Roman" w:hint="eastAsia"/>
          <w:szCs w:val="21"/>
        </w:rPr>
        <w:t>涵盖其他信息，我们也不对其他信息发表任何形式的</w:t>
      </w:r>
      <w:proofErr w:type="gramStart"/>
      <w:r w:rsidRPr="00A71D2E">
        <w:rPr>
          <w:rFonts w:eastAsia="宋体" w:cs="Times New Roman" w:hint="eastAsia"/>
          <w:szCs w:val="21"/>
        </w:rPr>
        <w:t>鉴证</w:t>
      </w:r>
      <w:proofErr w:type="gramEnd"/>
      <w:r w:rsidRPr="00A71D2E">
        <w:rPr>
          <w:rFonts w:eastAsia="宋体" w:cs="Times New Roman" w:hint="eastAsia"/>
          <w:szCs w:val="21"/>
        </w:rPr>
        <w:t>结论。</w:t>
      </w:r>
    </w:p>
    <w:p w:rsidR="008B1A08" w:rsidRPr="00A71D2E" w:rsidRDefault="008B1A08" w:rsidP="00800D4B">
      <w:pPr>
        <w:spacing w:line="228" w:lineRule="auto"/>
        <w:ind w:left="360" w:firstLine="414"/>
        <w:jc w:val="both"/>
        <w:rPr>
          <w:rFonts w:eastAsia="宋体" w:cs="Times New Roman"/>
          <w:szCs w:val="21"/>
        </w:rPr>
      </w:pPr>
    </w:p>
    <w:p w:rsidR="008B1A08" w:rsidRPr="00A71D2E" w:rsidRDefault="008B1A08" w:rsidP="00800D4B">
      <w:pPr>
        <w:spacing w:line="228" w:lineRule="auto"/>
        <w:ind w:left="360" w:firstLine="414"/>
        <w:jc w:val="both"/>
        <w:rPr>
          <w:rFonts w:eastAsia="宋体" w:cs="Times New Roman"/>
          <w:szCs w:val="21"/>
        </w:rPr>
      </w:pPr>
      <w:r w:rsidRPr="00A71D2E">
        <w:rPr>
          <w:rFonts w:eastAsia="宋体" w:cs="Times New Roman" w:hint="eastAsia"/>
          <w:szCs w:val="21"/>
        </w:rPr>
        <w:t>结合我们对财务报表的审计，我们的责任是阅读其他信息，在此过程中，考虑其他信息是否与财务报表或我们在审计过程中了解到的情况存在重大不一致或者似乎存在重大错报。</w:t>
      </w:r>
    </w:p>
    <w:p w:rsidR="004F4B2A" w:rsidRPr="00A71D2E" w:rsidRDefault="004F4B2A" w:rsidP="00800D4B">
      <w:pPr>
        <w:spacing w:line="228" w:lineRule="auto"/>
        <w:ind w:left="360" w:firstLine="414"/>
        <w:jc w:val="both"/>
        <w:rPr>
          <w:rFonts w:eastAsia="宋体" w:cs="Times New Roman"/>
          <w:szCs w:val="21"/>
        </w:rPr>
      </w:pPr>
    </w:p>
    <w:p w:rsidR="008B1A08" w:rsidRPr="00A71D2E" w:rsidRDefault="008B1A08" w:rsidP="00800D4B">
      <w:pPr>
        <w:spacing w:line="228" w:lineRule="auto"/>
        <w:ind w:left="360" w:firstLine="414"/>
        <w:jc w:val="both"/>
        <w:rPr>
          <w:rFonts w:eastAsia="宋体" w:cs="Times New Roman"/>
          <w:szCs w:val="21"/>
        </w:rPr>
      </w:pPr>
      <w:r w:rsidRPr="00A71D2E">
        <w:rPr>
          <w:rFonts w:eastAsia="宋体" w:cs="Times New Roman" w:hint="eastAsia"/>
          <w:szCs w:val="21"/>
        </w:rPr>
        <w:t>基于我们已执行的工作，如果我们确定其他信息存在重大错报，我们应当报告该事实。在这方面，我们无任何事项需要报告。</w:t>
      </w:r>
    </w:p>
    <w:p w:rsidR="008B1A08" w:rsidRPr="00A71D2E" w:rsidRDefault="008B1A08" w:rsidP="00800D4B">
      <w:pPr>
        <w:spacing w:line="228" w:lineRule="auto"/>
        <w:ind w:left="360" w:firstLine="414"/>
        <w:jc w:val="both"/>
        <w:rPr>
          <w:rFonts w:eastAsia="宋体" w:cs="Times New Roman"/>
          <w:b/>
          <w:szCs w:val="21"/>
        </w:rPr>
      </w:pPr>
    </w:p>
    <w:p w:rsidR="00073D49" w:rsidRPr="00A71D2E" w:rsidRDefault="00132876" w:rsidP="00800D4B">
      <w:pPr>
        <w:tabs>
          <w:tab w:val="left" w:pos="500"/>
        </w:tabs>
        <w:spacing w:line="228" w:lineRule="auto"/>
        <w:ind w:left="360"/>
        <w:jc w:val="both"/>
        <w:rPr>
          <w:rFonts w:eastAsia="宋体" w:cs="Times New Roman"/>
          <w:b/>
          <w:szCs w:val="21"/>
        </w:rPr>
      </w:pPr>
      <w:r w:rsidRPr="00A71D2E">
        <w:rPr>
          <w:rFonts w:eastAsia="宋体" w:cs="Times New Roman" w:hint="eastAsia"/>
          <w:b/>
          <w:szCs w:val="21"/>
        </w:rPr>
        <w:t>五、</w:t>
      </w:r>
      <w:r w:rsidR="00073D49" w:rsidRPr="00A71D2E">
        <w:rPr>
          <w:rFonts w:eastAsia="宋体" w:cs="Times New Roman" w:hint="eastAsia"/>
          <w:b/>
          <w:szCs w:val="21"/>
        </w:rPr>
        <w:t>管理层和治理层对财务报表的责任</w:t>
      </w:r>
    </w:p>
    <w:p w:rsidR="00073D49" w:rsidRPr="00A71D2E" w:rsidRDefault="00073D49" w:rsidP="00800D4B">
      <w:pPr>
        <w:spacing w:line="228" w:lineRule="auto"/>
        <w:ind w:left="360" w:firstLine="414"/>
        <w:jc w:val="both"/>
        <w:rPr>
          <w:rFonts w:eastAsia="宋体" w:cs="Times New Roman"/>
          <w:szCs w:val="21"/>
        </w:rPr>
      </w:pPr>
    </w:p>
    <w:p w:rsidR="00073D49" w:rsidRPr="00A71D2E" w:rsidRDefault="00983F50" w:rsidP="00800D4B">
      <w:pPr>
        <w:spacing w:line="228" w:lineRule="auto"/>
        <w:ind w:left="360" w:firstLine="414"/>
        <w:jc w:val="both"/>
        <w:rPr>
          <w:rFonts w:eastAsia="宋体" w:cs="Times New Roman"/>
          <w:szCs w:val="21"/>
        </w:rPr>
      </w:pPr>
      <w:r>
        <w:rPr>
          <w:rFonts w:eastAsia="宋体" w:cs="Times New Roman" w:hint="eastAsia"/>
          <w:szCs w:val="21"/>
        </w:rPr>
        <w:t>萤石网络</w:t>
      </w:r>
      <w:r w:rsidR="00073D49" w:rsidRPr="00A71D2E">
        <w:rPr>
          <w:rFonts w:eastAsia="宋体" w:cs="Times New Roman" w:hint="eastAsia"/>
          <w:szCs w:val="21"/>
        </w:rPr>
        <w:t>管理</w:t>
      </w:r>
      <w:proofErr w:type="gramStart"/>
      <w:r w:rsidR="00073D49" w:rsidRPr="00A71D2E">
        <w:rPr>
          <w:rFonts w:eastAsia="宋体" w:cs="Times New Roman" w:hint="eastAsia"/>
          <w:szCs w:val="21"/>
        </w:rPr>
        <w:t>层负责</w:t>
      </w:r>
      <w:proofErr w:type="gramEnd"/>
      <w:r w:rsidR="00073D49" w:rsidRPr="00A71D2E">
        <w:rPr>
          <w:rFonts w:eastAsia="宋体" w:cs="Times New Roman" w:hint="eastAsia"/>
          <w:szCs w:val="21"/>
        </w:rPr>
        <w:t>按照企业会计准则的规定编制财务报表，使其实现公允反映，并设计、执行和维护必要的内部控制，以使财务报表不存在由于舞弊或错误导致的重大错报。</w:t>
      </w:r>
    </w:p>
    <w:p w:rsidR="00073D49" w:rsidRPr="00A71D2E" w:rsidRDefault="00073D49" w:rsidP="00800D4B">
      <w:pPr>
        <w:spacing w:line="228" w:lineRule="auto"/>
        <w:ind w:left="360" w:firstLine="414"/>
        <w:jc w:val="both"/>
        <w:rPr>
          <w:rFonts w:eastAsia="宋体" w:cs="Times New Roman"/>
          <w:szCs w:val="21"/>
        </w:rPr>
      </w:pPr>
    </w:p>
    <w:p w:rsidR="00073D49" w:rsidRPr="00A71D2E" w:rsidRDefault="00073D49" w:rsidP="00800D4B">
      <w:pPr>
        <w:spacing w:line="228" w:lineRule="auto"/>
        <w:ind w:left="360" w:firstLine="414"/>
        <w:jc w:val="both"/>
        <w:rPr>
          <w:rFonts w:eastAsia="宋体" w:cs="Times New Roman"/>
          <w:szCs w:val="21"/>
        </w:rPr>
      </w:pPr>
      <w:r w:rsidRPr="00A71D2E">
        <w:rPr>
          <w:rFonts w:eastAsia="宋体" w:cs="Times New Roman" w:hint="eastAsia"/>
          <w:szCs w:val="21"/>
        </w:rPr>
        <w:t>在编制财务报表时，管理</w:t>
      </w:r>
      <w:proofErr w:type="gramStart"/>
      <w:r w:rsidRPr="00A71D2E">
        <w:rPr>
          <w:rFonts w:eastAsia="宋体" w:cs="Times New Roman" w:hint="eastAsia"/>
          <w:szCs w:val="21"/>
        </w:rPr>
        <w:t>层负责</w:t>
      </w:r>
      <w:proofErr w:type="gramEnd"/>
      <w:r w:rsidRPr="00A71D2E">
        <w:rPr>
          <w:rFonts w:eastAsia="宋体" w:cs="Times New Roman" w:hint="eastAsia"/>
          <w:szCs w:val="21"/>
        </w:rPr>
        <w:t>评估</w:t>
      </w:r>
      <w:r w:rsidR="00983F50">
        <w:rPr>
          <w:rFonts w:eastAsia="宋体" w:cs="Times New Roman" w:hint="eastAsia"/>
          <w:szCs w:val="21"/>
        </w:rPr>
        <w:t>萤石网络</w:t>
      </w:r>
      <w:r w:rsidRPr="00A71D2E">
        <w:rPr>
          <w:rFonts w:eastAsia="宋体" w:cs="Times New Roman" w:hint="eastAsia"/>
          <w:szCs w:val="21"/>
        </w:rPr>
        <w:t>的持续经营能力，披露与持续经营相关的事项</w:t>
      </w:r>
      <w:r w:rsidR="005F14EE">
        <w:rPr>
          <w:rFonts w:eastAsia="宋体" w:cs="Times New Roman"/>
          <w:szCs w:val="21"/>
        </w:rPr>
        <w:t>(</w:t>
      </w:r>
      <w:r w:rsidRPr="00A71D2E">
        <w:rPr>
          <w:rFonts w:eastAsia="宋体" w:cs="Times New Roman" w:hint="eastAsia"/>
          <w:szCs w:val="21"/>
        </w:rPr>
        <w:t>如适用</w:t>
      </w:r>
      <w:r w:rsidR="005F14EE">
        <w:rPr>
          <w:rFonts w:eastAsia="宋体" w:cs="Times New Roman"/>
          <w:szCs w:val="21"/>
        </w:rPr>
        <w:t>)</w:t>
      </w:r>
      <w:r w:rsidRPr="00A71D2E">
        <w:rPr>
          <w:rFonts w:eastAsia="宋体" w:cs="Times New Roman" w:hint="eastAsia"/>
          <w:szCs w:val="21"/>
        </w:rPr>
        <w:t>，并运用持续经营假设，除非管理</w:t>
      </w:r>
      <w:proofErr w:type="gramStart"/>
      <w:r w:rsidRPr="00A71D2E">
        <w:rPr>
          <w:rFonts w:eastAsia="宋体" w:cs="Times New Roman" w:hint="eastAsia"/>
          <w:szCs w:val="21"/>
        </w:rPr>
        <w:t>层计划</w:t>
      </w:r>
      <w:proofErr w:type="gramEnd"/>
      <w:r w:rsidRPr="00A71D2E">
        <w:rPr>
          <w:rFonts w:eastAsia="宋体" w:cs="Times New Roman" w:hint="eastAsia"/>
          <w:szCs w:val="21"/>
        </w:rPr>
        <w:t>清算</w:t>
      </w:r>
      <w:r w:rsidR="00983F50">
        <w:rPr>
          <w:rFonts w:eastAsia="宋体" w:cs="Times New Roman" w:hint="eastAsia"/>
          <w:szCs w:val="21"/>
        </w:rPr>
        <w:t>萤石网络</w:t>
      </w:r>
      <w:r w:rsidRPr="00A71D2E">
        <w:rPr>
          <w:rFonts w:eastAsia="宋体" w:cs="Times New Roman" w:hint="eastAsia"/>
          <w:szCs w:val="21"/>
        </w:rPr>
        <w:t>、终止运营或别无其他现实的选择。</w:t>
      </w:r>
    </w:p>
    <w:p w:rsidR="00073D49" w:rsidRPr="00A71D2E" w:rsidRDefault="00073D49" w:rsidP="00800D4B">
      <w:pPr>
        <w:spacing w:line="228" w:lineRule="auto"/>
        <w:ind w:left="360" w:firstLine="414"/>
        <w:jc w:val="both"/>
        <w:rPr>
          <w:rFonts w:eastAsia="宋体" w:cs="Times New Roman"/>
          <w:szCs w:val="21"/>
        </w:rPr>
      </w:pPr>
    </w:p>
    <w:p w:rsidR="00073D49" w:rsidRPr="00A71D2E" w:rsidRDefault="00073D49" w:rsidP="00800D4B">
      <w:pPr>
        <w:spacing w:line="228" w:lineRule="auto"/>
        <w:ind w:left="360" w:firstLine="414"/>
        <w:jc w:val="both"/>
        <w:rPr>
          <w:rFonts w:eastAsia="宋体" w:cs="Times New Roman"/>
          <w:szCs w:val="21"/>
        </w:rPr>
      </w:pPr>
      <w:r w:rsidRPr="00A71D2E">
        <w:rPr>
          <w:rFonts w:eastAsia="宋体" w:cs="Times New Roman" w:hint="eastAsia"/>
          <w:szCs w:val="21"/>
        </w:rPr>
        <w:t>治理</w:t>
      </w:r>
      <w:proofErr w:type="gramStart"/>
      <w:r w:rsidRPr="00A71D2E">
        <w:rPr>
          <w:rFonts w:eastAsia="宋体" w:cs="Times New Roman" w:hint="eastAsia"/>
          <w:szCs w:val="21"/>
        </w:rPr>
        <w:t>层负责</w:t>
      </w:r>
      <w:proofErr w:type="gramEnd"/>
      <w:r w:rsidRPr="00A71D2E">
        <w:rPr>
          <w:rFonts w:eastAsia="宋体" w:cs="Times New Roman" w:hint="eastAsia"/>
          <w:szCs w:val="21"/>
        </w:rPr>
        <w:t>监督</w:t>
      </w:r>
      <w:r w:rsidR="00983F50">
        <w:rPr>
          <w:rFonts w:eastAsia="宋体" w:cs="Times New Roman" w:hint="eastAsia"/>
          <w:szCs w:val="21"/>
        </w:rPr>
        <w:t>萤石网络</w:t>
      </w:r>
      <w:r w:rsidRPr="00A71D2E">
        <w:rPr>
          <w:rFonts w:eastAsia="宋体" w:cs="Times New Roman" w:hint="eastAsia"/>
          <w:szCs w:val="21"/>
        </w:rPr>
        <w:t>的财务报告过程。</w:t>
      </w:r>
    </w:p>
    <w:p w:rsidR="00073D49" w:rsidRPr="00A71D2E" w:rsidRDefault="00073D49" w:rsidP="00800D4B">
      <w:pPr>
        <w:spacing w:line="228" w:lineRule="auto"/>
        <w:ind w:left="360" w:firstLine="414"/>
        <w:jc w:val="both"/>
        <w:rPr>
          <w:rFonts w:eastAsia="宋体" w:cs="Times New Roman"/>
          <w:szCs w:val="21"/>
        </w:rPr>
      </w:pPr>
    </w:p>
    <w:p w:rsidR="0071385F" w:rsidRPr="00A71D2E" w:rsidRDefault="00132876" w:rsidP="00800D4B">
      <w:pPr>
        <w:tabs>
          <w:tab w:val="left" w:pos="810"/>
        </w:tabs>
        <w:spacing w:line="228" w:lineRule="auto"/>
        <w:ind w:left="360"/>
        <w:jc w:val="both"/>
        <w:rPr>
          <w:rFonts w:eastAsia="宋体" w:cs="Times New Roman"/>
          <w:b/>
          <w:szCs w:val="21"/>
        </w:rPr>
      </w:pPr>
      <w:r w:rsidRPr="00A71D2E">
        <w:rPr>
          <w:rFonts w:eastAsia="宋体" w:cs="Times New Roman" w:hint="eastAsia"/>
          <w:b/>
          <w:szCs w:val="21"/>
        </w:rPr>
        <w:t>六</w:t>
      </w:r>
      <w:r w:rsidR="0071385F" w:rsidRPr="00A71D2E">
        <w:rPr>
          <w:rFonts w:eastAsia="宋体" w:cs="Times New Roman" w:hint="eastAsia"/>
          <w:b/>
          <w:szCs w:val="21"/>
        </w:rPr>
        <w:t>、注册会计师对财务报表审计的责任</w:t>
      </w:r>
    </w:p>
    <w:p w:rsidR="0071385F" w:rsidRPr="00A71D2E" w:rsidRDefault="0071385F" w:rsidP="00800D4B">
      <w:pPr>
        <w:spacing w:line="228" w:lineRule="auto"/>
        <w:ind w:left="360" w:firstLine="414"/>
        <w:jc w:val="both"/>
        <w:rPr>
          <w:rFonts w:eastAsia="宋体" w:cs="Times New Roman"/>
          <w:szCs w:val="21"/>
        </w:rPr>
      </w:pPr>
    </w:p>
    <w:p w:rsidR="006C14C7" w:rsidRDefault="006C14C7" w:rsidP="00800D4B">
      <w:pPr>
        <w:spacing w:line="228" w:lineRule="auto"/>
        <w:ind w:left="360" w:firstLine="414"/>
        <w:jc w:val="both"/>
        <w:rPr>
          <w:rFonts w:eastAsia="宋体" w:cs="Times New Roman"/>
          <w:szCs w:val="21"/>
        </w:rPr>
      </w:pPr>
      <w:r w:rsidRPr="00A71D2E">
        <w:rPr>
          <w:rFonts w:eastAsia="宋体" w:cs="Times New Roman" w:hint="eastAsia"/>
          <w:szCs w:val="21"/>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A71D2E">
        <w:rPr>
          <w:rFonts w:eastAsia="宋体" w:cs="Times New Roman" w:hint="eastAsia"/>
          <w:szCs w:val="21"/>
        </w:rPr>
        <w:t>报存在</w:t>
      </w:r>
      <w:proofErr w:type="gramEnd"/>
      <w:r w:rsidRPr="00A71D2E">
        <w:rPr>
          <w:rFonts w:eastAsia="宋体" w:cs="Times New Roman" w:hint="eastAsia"/>
          <w:szCs w:val="21"/>
        </w:rPr>
        <w:t>时总能发现。错报可能由于舞弊或错误导致，如果合理预期错报单独或汇总起来可能影响财务报表使用者依据财务报表</w:t>
      </w:r>
      <w:proofErr w:type="gramStart"/>
      <w:r w:rsidRPr="00A71D2E">
        <w:rPr>
          <w:rFonts w:eastAsia="宋体" w:cs="Times New Roman" w:hint="eastAsia"/>
          <w:szCs w:val="21"/>
        </w:rPr>
        <w:t>作出</w:t>
      </w:r>
      <w:proofErr w:type="gramEnd"/>
      <w:r w:rsidRPr="00A71D2E">
        <w:rPr>
          <w:rFonts w:eastAsia="宋体" w:cs="Times New Roman" w:hint="eastAsia"/>
          <w:szCs w:val="21"/>
        </w:rPr>
        <w:t>的经济决策，则通常认为错报是重大的。</w:t>
      </w:r>
    </w:p>
    <w:p w:rsidR="005F14EE" w:rsidRDefault="005F14EE">
      <w:pPr>
        <w:adjustRightInd/>
        <w:snapToGrid/>
        <w:rPr>
          <w:rFonts w:eastAsia="宋体" w:cs="Times New Roman"/>
          <w:szCs w:val="21"/>
        </w:rPr>
      </w:pPr>
      <w:r>
        <w:rPr>
          <w:rFonts w:eastAsia="宋体" w:cs="Times New Roman"/>
          <w:szCs w:val="21"/>
        </w:rPr>
        <w:br w:type="page"/>
      </w:r>
    </w:p>
    <w:p w:rsidR="005F14EE" w:rsidRPr="00F66363" w:rsidRDefault="005F14EE" w:rsidP="005F14EE">
      <w:pPr>
        <w:pStyle w:val="aff1"/>
        <w:ind w:left="360" w:firstLineChars="0" w:firstLine="0"/>
        <w:rPr>
          <w:szCs w:val="21"/>
        </w:rPr>
      </w:pPr>
    </w:p>
    <w:p w:rsidR="005F14EE" w:rsidRDefault="005F14EE" w:rsidP="005F14EE">
      <w:pPr>
        <w:pStyle w:val="aff1"/>
        <w:ind w:left="360" w:firstLineChars="0" w:firstLine="0"/>
        <w:rPr>
          <w:szCs w:val="21"/>
        </w:rPr>
      </w:pPr>
    </w:p>
    <w:p w:rsidR="005F14EE" w:rsidRPr="00F66363" w:rsidRDefault="005F14EE" w:rsidP="005F14EE">
      <w:pPr>
        <w:pStyle w:val="aff1"/>
        <w:ind w:left="360" w:firstLineChars="0" w:firstLine="0"/>
        <w:rPr>
          <w:szCs w:val="21"/>
        </w:rPr>
      </w:pPr>
    </w:p>
    <w:p w:rsidR="005F14EE" w:rsidRPr="00F66363" w:rsidRDefault="005F14EE" w:rsidP="005F14EE">
      <w:pPr>
        <w:pStyle w:val="aff1"/>
        <w:ind w:left="360" w:firstLineChars="0" w:firstLine="0"/>
        <w:rPr>
          <w:szCs w:val="21"/>
        </w:rPr>
      </w:pPr>
    </w:p>
    <w:p w:rsidR="005F14EE" w:rsidRPr="00F66363" w:rsidRDefault="005F14EE" w:rsidP="005F14EE">
      <w:pPr>
        <w:ind w:left="360"/>
        <w:jc w:val="center"/>
        <w:rPr>
          <w:rFonts w:eastAsia="宋体" w:cs="Times New Roman"/>
          <w:snapToGrid w:val="0"/>
          <w:szCs w:val="21"/>
        </w:rPr>
      </w:pPr>
      <w:r w:rsidRPr="00F66363">
        <w:rPr>
          <w:rFonts w:eastAsia="宋体" w:cs="Times New Roman" w:hint="eastAsia"/>
          <w:b/>
          <w:snapToGrid w:val="0"/>
          <w:szCs w:val="21"/>
        </w:rPr>
        <w:t>审计报告</w:t>
      </w:r>
      <w:r w:rsidRPr="00F66363">
        <w:rPr>
          <w:rFonts w:eastAsia="宋体" w:cs="Times New Roman"/>
          <w:bCs/>
          <w:snapToGrid w:val="0"/>
          <w:szCs w:val="21"/>
        </w:rPr>
        <w:t xml:space="preserve"> </w:t>
      </w:r>
      <w:r w:rsidRPr="00F66363">
        <w:rPr>
          <w:rFonts w:eastAsia="宋体" w:cs="Times New Roman"/>
          <w:bCs/>
          <w:szCs w:val="21"/>
        </w:rPr>
        <w:t xml:space="preserve">- </w:t>
      </w:r>
      <w:r w:rsidRPr="00F66363">
        <w:rPr>
          <w:rFonts w:eastAsia="宋体" w:cs="Times New Roman" w:hint="eastAsia"/>
          <w:bCs/>
          <w:szCs w:val="21"/>
        </w:rPr>
        <w:t>续</w:t>
      </w:r>
    </w:p>
    <w:p w:rsidR="005F14EE" w:rsidRPr="00F66363" w:rsidRDefault="005F14EE" w:rsidP="005F14EE">
      <w:pPr>
        <w:pStyle w:val="aff1"/>
        <w:ind w:left="360" w:right="8" w:firstLineChars="0" w:firstLine="0"/>
        <w:jc w:val="right"/>
        <w:rPr>
          <w:szCs w:val="21"/>
        </w:rPr>
      </w:pPr>
    </w:p>
    <w:p w:rsidR="005F14EE" w:rsidRPr="00A71D2E" w:rsidRDefault="005F14EE" w:rsidP="005F14EE">
      <w:pPr>
        <w:jc w:val="right"/>
        <w:rPr>
          <w:rFonts w:eastAsia="宋体" w:cs="Times New Roman"/>
          <w:szCs w:val="21"/>
        </w:rPr>
      </w:pPr>
      <w:proofErr w:type="gramStart"/>
      <w:r w:rsidRPr="00A71D2E">
        <w:rPr>
          <w:rFonts w:eastAsia="宋体" w:cs="Times New Roman" w:hint="eastAsia"/>
          <w:szCs w:val="21"/>
        </w:rPr>
        <w:t>德师报</w:t>
      </w:r>
      <w:proofErr w:type="gramEnd"/>
      <w:r>
        <w:rPr>
          <w:rFonts w:eastAsia="宋体" w:cs="Times New Roman"/>
          <w:szCs w:val="21"/>
        </w:rPr>
        <w:t>(</w:t>
      </w:r>
      <w:r w:rsidRPr="00A71D2E">
        <w:rPr>
          <w:rFonts w:eastAsia="宋体" w:cs="Times New Roman" w:hint="eastAsia"/>
          <w:szCs w:val="21"/>
        </w:rPr>
        <w:t>审</w:t>
      </w:r>
      <w:r>
        <w:rPr>
          <w:rFonts w:eastAsia="宋体" w:cs="Times New Roman"/>
          <w:szCs w:val="21"/>
        </w:rPr>
        <w:t>)</w:t>
      </w:r>
      <w:r w:rsidRPr="00A71D2E">
        <w:rPr>
          <w:rFonts w:eastAsia="宋体" w:cs="Times New Roman" w:hint="eastAsia"/>
          <w:szCs w:val="21"/>
        </w:rPr>
        <w:t>字</w:t>
      </w:r>
      <w:r>
        <w:rPr>
          <w:rFonts w:eastAsia="宋体" w:cs="Times New Roman"/>
          <w:szCs w:val="21"/>
        </w:rPr>
        <w:t>(</w:t>
      </w:r>
      <w:r w:rsidRPr="00A71D2E">
        <w:rPr>
          <w:rFonts w:eastAsia="宋体" w:cs="Times New Roman"/>
          <w:szCs w:val="21"/>
        </w:rPr>
        <w:t>2</w:t>
      </w:r>
      <w:r>
        <w:rPr>
          <w:rFonts w:eastAsia="宋体" w:cs="Times New Roman"/>
          <w:szCs w:val="21"/>
        </w:rPr>
        <w:t>4)</w:t>
      </w:r>
      <w:r w:rsidRPr="00A71D2E">
        <w:rPr>
          <w:rFonts w:eastAsia="宋体" w:cs="Times New Roman" w:hint="eastAsia"/>
          <w:szCs w:val="21"/>
        </w:rPr>
        <w:t>第</w:t>
      </w:r>
      <w:r w:rsidRPr="00A71D2E">
        <w:rPr>
          <w:rFonts w:eastAsia="宋体" w:cs="Times New Roman"/>
          <w:szCs w:val="21"/>
        </w:rPr>
        <w:t>P</w:t>
      </w:r>
      <w:r w:rsidR="00915838">
        <w:rPr>
          <w:rFonts w:eastAsia="宋体" w:cs="Times New Roman"/>
          <w:szCs w:val="21"/>
        </w:rPr>
        <w:t>04601</w:t>
      </w:r>
      <w:r w:rsidRPr="00A71D2E">
        <w:rPr>
          <w:rFonts w:eastAsia="宋体" w:cs="Times New Roman" w:hint="eastAsia"/>
          <w:szCs w:val="21"/>
        </w:rPr>
        <w:t>号</w:t>
      </w:r>
    </w:p>
    <w:p w:rsidR="005F14EE" w:rsidRPr="00F66363" w:rsidRDefault="005F14EE" w:rsidP="005F14EE">
      <w:pPr>
        <w:pStyle w:val="aff1"/>
        <w:ind w:left="360" w:right="8" w:firstLineChars="0" w:firstLine="0"/>
        <w:jc w:val="right"/>
        <w:rPr>
          <w:szCs w:val="21"/>
        </w:rPr>
      </w:pPr>
      <w:r>
        <w:rPr>
          <w:szCs w:val="21"/>
        </w:rPr>
        <w:t>(</w:t>
      </w:r>
      <w:r w:rsidRPr="00F66363">
        <w:rPr>
          <w:rFonts w:hint="eastAsia"/>
          <w:szCs w:val="21"/>
        </w:rPr>
        <w:t>第</w:t>
      </w:r>
      <w:r w:rsidRPr="00F66363">
        <w:rPr>
          <w:szCs w:val="21"/>
        </w:rPr>
        <w:t>3</w:t>
      </w:r>
      <w:r w:rsidRPr="00F66363">
        <w:rPr>
          <w:rFonts w:hint="eastAsia"/>
          <w:szCs w:val="21"/>
        </w:rPr>
        <w:t>页，共</w:t>
      </w:r>
      <w:r w:rsidRPr="00F66363">
        <w:rPr>
          <w:szCs w:val="21"/>
        </w:rPr>
        <w:t>3</w:t>
      </w:r>
      <w:r w:rsidRPr="00F66363">
        <w:rPr>
          <w:rFonts w:hint="eastAsia"/>
          <w:szCs w:val="21"/>
        </w:rPr>
        <w:t>页</w:t>
      </w:r>
      <w:r>
        <w:rPr>
          <w:szCs w:val="21"/>
        </w:rPr>
        <w:t>)</w:t>
      </w:r>
    </w:p>
    <w:p w:rsidR="005F14EE" w:rsidRPr="00F66363" w:rsidRDefault="005F14EE" w:rsidP="005F14EE">
      <w:pPr>
        <w:ind w:left="360"/>
        <w:jc w:val="both"/>
        <w:rPr>
          <w:rFonts w:eastAsia="宋体" w:cs="Times New Roman"/>
          <w:szCs w:val="21"/>
        </w:rPr>
      </w:pPr>
    </w:p>
    <w:p w:rsidR="005F14EE" w:rsidRPr="00F66363" w:rsidRDefault="005F14EE" w:rsidP="005F14EE">
      <w:pPr>
        <w:tabs>
          <w:tab w:val="left" w:pos="810"/>
        </w:tabs>
        <w:ind w:left="360"/>
        <w:rPr>
          <w:rFonts w:eastAsia="宋体" w:cs="Times New Roman"/>
          <w:b/>
          <w:szCs w:val="21"/>
        </w:rPr>
      </w:pPr>
      <w:r w:rsidRPr="00F66363">
        <w:rPr>
          <w:rFonts w:eastAsia="宋体" w:cs="Times New Roman" w:hint="eastAsia"/>
          <w:b/>
          <w:szCs w:val="21"/>
        </w:rPr>
        <w:t>六、注册会计师对财务报表审计的责任</w:t>
      </w:r>
      <w:r w:rsidRPr="00F66363">
        <w:rPr>
          <w:rFonts w:eastAsia="宋体" w:cs="Times New Roman"/>
          <w:bCs/>
          <w:szCs w:val="21"/>
        </w:rPr>
        <w:t xml:space="preserve"> </w:t>
      </w:r>
      <w:r w:rsidRPr="00F66363">
        <w:rPr>
          <w:rFonts w:eastAsia="宋体" w:cs="Times New Roman"/>
          <w:snapToGrid w:val="0"/>
          <w:szCs w:val="21"/>
        </w:rPr>
        <w:t xml:space="preserve">- </w:t>
      </w:r>
      <w:r w:rsidRPr="00F66363">
        <w:rPr>
          <w:rFonts w:eastAsia="宋体" w:cs="Times New Roman" w:hint="eastAsia"/>
          <w:snapToGrid w:val="0"/>
          <w:szCs w:val="21"/>
        </w:rPr>
        <w:t>续</w:t>
      </w:r>
    </w:p>
    <w:p w:rsidR="004448D8" w:rsidRDefault="004448D8" w:rsidP="00800D4B">
      <w:pPr>
        <w:spacing w:line="228" w:lineRule="auto"/>
        <w:ind w:left="360" w:firstLine="414"/>
        <w:jc w:val="both"/>
        <w:rPr>
          <w:rFonts w:eastAsia="宋体" w:cs="Times New Roman"/>
          <w:szCs w:val="21"/>
        </w:rPr>
      </w:pPr>
    </w:p>
    <w:p w:rsidR="004448D8" w:rsidRPr="00A71D2E" w:rsidRDefault="004448D8" w:rsidP="00800D4B">
      <w:pPr>
        <w:spacing w:line="228" w:lineRule="auto"/>
        <w:ind w:left="360" w:firstLine="414"/>
        <w:jc w:val="both"/>
        <w:rPr>
          <w:rFonts w:eastAsia="宋体" w:cs="Times New Roman"/>
          <w:szCs w:val="21"/>
        </w:rPr>
      </w:pPr>
      <w:r w:rsidRPr="00A71D2E">
        <w:rPr>
          <w:rFonts w:eastAsia="宋体" w:cs="Times New Roman" w:hint="eastAsia"/>
          <w:szCs w:val="21"/>
        </w:rPr>
        <w:t>在按照审计准则执行审计工作的过程中，我们运用职业判断，并保持职业怀疑。同时，我们也执行以下工作</w:t>
      </w:r>
      <w:r w:rsidR="005F14EE">
        <w:rPr>
          <w:rFonts w:eastAsia="宋体" w:cs="Times New Roman" w:hint="eastAsia"/>
          <w:szCs w:val="21"/>
        </w:rPr>
        <w:t>：</w:t>
      </w:r>
    </w:p>
    <w:p w:rsidR="004448D8" w:rsidRPr="00A71D2E" w:rsidRDefault="004448D8" w:rsidP="00800D4B">
      <w:pPr>
        <w:spacing w:line="228" w:lineRule="auto"/>
        <w:ind w:left="360" w:firstLine="414"/>
        <w:jc w:val="both"/>
        <w:rPr>
          <w:rFonts w:eastAsia="宋体" w:cs="Times New Roman"/>
          <w:szCs w:val="21"/>
        </w:rPr>
      </w:pPr>
    </w:p>
    <w:p w:rsidR="004448D8" w:rsidRPr="00A71D2E" w:rsidRDefault="004448D8">
      <w:pPr>
        <w:pStyle w:val="aff1"/>
        <w:numPr>
          <w:ilvl w:val="0"/>
          <w:numId w:val="10"/>
        </w:numPr>
        <w:spacing w:line="228" w:lineRule="auto"/>
        <w:ind w:left="1260" w:firstLineChars="0" w:hanging="486"/>
        <w:jc w:val="both"/>
        <w:rPr>
          <w:szCs w:val="21"/>
        </w:rPr>
      </w:pPr>
      <w:r w:rsidRPr="00A71D2E">
        <w:rPr>
          <w:rFonts w:hint="eastAsia"/>
          <w:szCs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rsidR="004448D8" w:rsidRPr="00A71D2E" w:rsidRDefault="004448D8">
      <w:pPr>
        <w:pStyle w:val="aff1"/>
        <w:numPr>
          <w:ilvl w:val="0"/>
          <w:numId w:val="10"/>
        </w:numPr>
        <w:spacing w:line="228" w:lineRule="auto"/>
        <w:ind w:left="1260" w:firstLineChars="0" w:hanging="486"/>
        <w:jc w:val="both"/>
        <w:rPr>
          <w:szCs w:val="21"/>
        </w:rPr>
      </w:pPr>
      <w:r w:rsidRPr="00A71D2E">
        <w:rPr>
          <w:rFonts w:hint="eastAsia"/>
          <w:szCs w:val="21"/>
        </w:rPr>
        <w:t>了解与审计相关的内部控制，以设计恰当的审计程序。</w:t>
      </w:r>
    </w:p>
    <w:p w:rsidR="004448D8" w:rsidRPr="00A71D2E" w:rsidRDefault="004448D8">
      <w:pPr>
        <w:pStyle w:val="aff1"/>
        <w:numPr>
          <w:ilvl w:val="0"/>
          <w:numId w:val="10"/>
        </w:numPr>
        <w:spacing w:line="228" w:lineRule="auto"/>
        <w:ind w:left="1260" w:firstLineChars="0" w:hanging="486"/>
        <w:jc w:val="both"/>
        <w:rPr>
          <w:szCs w:val="21"/>
        </w:rPr>
      </w:pPr>
      <w:r w:rsidRPr="00A71D2E">
        <w:rPr>
          <w:rFonts w:hint="eastAsia"/>
          <w:szCs w:val="21"/>
        </w:rPr>
        <w:t>评价管理层选用会计政策的恰当性和</w:t>
      </w:r>
      <w:proofErr w:type="gramStart"/>
      <w:r w:rsidRPr="00A71D2E">
        <w:rPr>
          <w:rFonts w:hint="eastAsia"/>
          <w:szCs w:val="21"/>
        </w:rPr>
        <w:t>作出</w:t>
      </w:r>
      <w:proofErr w:type="gramEnd"/>
      <w:r w:rsidRPr="00A71D2E">
        <w:rPr>
          <w:rFonts w:hint="eastAsia"/>
          <w:szCs w:val="21"/>
        </w:rPr>
        <w:t>会计估计及相关披露的合理性。</w:t>
      </w:r>
    </w:p>
    <w:p w:rsidR="004448D8" w:rsidRPr="00A71D2E" w:rsidRDefault="004448D8">
      <w:pPr>
        <w:pStyle w:val="aff1"/>
        <w:numPr>
          <w:ilvl w:val="0"/>
          <w:numId w:val="10"/>
        </w:numPr>
        <w:spacing w:line="228" w:lineRule="auto"/>
        <w:ind w:left="1260" w:firstLineChars="0" w:hanging="486"/>
        <w:jc w:val="both"/>
        <w:rPr>
          <w:szCs w:val="21"/>
        </w:rPr>
      </w:pPr>
      <w:r w:rsidRPr="00A71D2E">
        <w:rPr>
          <w:rFonts w:hint="eastAsia"/>
          <w:szCs w:val="21"/>
        </w:rPr>
        <w:t>对管理层使用持续经营假设的恰当性得出结论。同时，根据获取的审计证据，就可能导致对</w:t>
      </w:r>
      <w:r>
        <w:rPr>
          <w:rFonts w:hint="eastAsia"/>
          <w:szCs w:val="21"/>
        </w:rPr>
        <w:t>萤石网络</w:t>
      </w:r>
      <w:r w:rsidRPr="00A71D2E">
        <w:rPr>
          <w:rFonts w:hint="eastAsia"/>
          <w:szCs w:val="21"/>
        </w:rPr>
        <w:t>持续经营能力产生重大疑虑的事项或情况是否存在重大不确定性得出结论。如果我们得出结论认为存在重大不确定性，审计准则要求我们在审计报告中提请报表使用者注意财务报表中的相关披露</w:t>
      </w:r>
      <w:r w:rsidR="005F14EE">
        <w:rPr>
          <w:rFonts w:hint="eastAsia"/>
          <w:szCs w:val="21"/>
        </w:rPr>
        <w:t>；</w:t>
      </w:r>
      <w:r w:rsidRPr="00A71D2E">
        <w:rPr>
          <w:rFonts w:hint="eastAsia"/>
          <w:szCs w:val="21"/>
        </w:rPr>
        <w:t>如果披露不充分，我们应当发表非无保留意见。我们的结论基于截至审计报告日可获得的信息。然而，未来的事项或情况可能导致</w:t>
      </w:r>
      <w:r>
        <w:rPr>
          <w:rFonts w:hint="eastAsia"/>
          <w:szCs w:val="21"/>
        </w:rPr>
        <w:t>萤石网络</w:t>
      </w:r>
      <w:r w:rsidRPr="00A71D2E">
        <w:rPr>
          <w:rFonts w:hint="eastAsia"/>
          <w:szCs w:val="21"/>
        </w:rPr>
        <w:t>不能持续经营。</w:t>
      </w:r>
    </w:p>
    <w:p w:rsidR="004448D8" w:rsidRPr="00A71D2E" w:rsidRDefault="004448D8">
      <w:pPr>
        <w:pStyle w:val="aff1"/>
        <w:numPr>
          <w:ilvl w:val="0"/>
          <w:numId w:val="10"/>
        </w:numPr>
        <w:spacing w:line="228" w:lineRule="auto"/>
        <w:ind w:left="1260" w:firstLineChars="0" w:hanging="486"/>
        <w:jc w:val="both"/>
        <w:rPr>
          <w:szCs w:val="21"/>
        </w:rPr>
      </w:pPr>
      <w:r w:rsidRPr="00A71D2E">
        <w:rPr>
          <w:rFonts w:hint="eastAsia"/>
          <w:szCs w:val="21"/>
        </w:rPr>
        <w:t>评价财务报表的总</w:t>
      </w:r>
      <w:proofErr w:type="gramStart"/>
      <w:r w:rsidRPr="00A71D2E">
        <w:rPr>
          <w:rFonts w:hint="eastAsia"/>
          <w:szCs w:val="21"/>
        </w:rPr>
        <w:t>体列</w:t>
      </w:r>
      <w:proofErr w:type="gramEnd"/>
      <w:r w:rsidRPr="00A71D2E">
        <w:rPr>
          <w:rFonts w:hint="eastAsia"/>
          <w:szCs w:val="21"/>
        </w:rPr>
        <w:t>报</w:t>
      </w:r>
      <w:r w:rsidR="005F14EE">
        <w:rPr>
          <w:szCs w:val="21"/>
        </w:rPr>
        <w:t>(</w:t>
      </w:r>
      <w:r w:rsidRPr="00A71D2E">
        <w:rPr>
          <w:rFonts w:hint="eastAsia"/>
          <w:szCs w:val="21"/>
        </w:rPr>
        <w:t>包括披露</w:t>
      </w:r>
      <w:r w:rsidR="005F14EE">
        <w:rPr>
          <w:szCs w:val="21"/>
        </w:rPr>
        <w:t>)</w:t>
      </w:r>
      <w:r w:rsidRPr="00A71D2E">
        <w:rPr>
          <w:rFonts w:hint="eastAsia"/>
          <w:szCs w:val="21"/>
        </w:rPr>
        <w:t>、结构和内容，并评价财务报表是否公允反映相关交易和事项。</w:t>
      </w:r>
    </w:p>
    <w:p w:rsidR="004448D8" w:rsidRPr="00A71D2E" w:rsidRDefault="004448D8">
      <w:pPr>
        <w:pStyle w:val="aff1"/>
        <w:numPr>
          <w:ilvl w:val="0"/>
          <w:numId w:val="10"/>
        </w:numPr>
        <w:spacing w:line="228" w:lineRule="auto"/>
        <w:ind w:left="1260" w:firstLineChars="0" w:hanging="486"/>
        <w:jc w:val="both"/>
        <w:rPr>
          <w:szCs w:val="21"/>
        </w:rPr>
      </w:pPr>
      <w:r w:rsidRPr="00A71D2E">
        <w:rPr>
          <w:rFonts w:hint="eastAsia"/>
          <w:szCs w:val="21"/>
        </w:rPr>
        <w:t>就</w:t>
      </w:r>
      <w:r>
        <w:rPr>
          <w:rFonts w:hint="eastAsia"/>
          <w:szCs w:val="21"/>
        </w:rPr>
        <w:t>萤石网络</w:t>
      </w:r>
      <w:r w:rsidRPr="00A71D2E">
        <w:rPr>
          <w:rFonts w:hint="eastAsia"/>
          <w:szCs w:val="21"/>
        </w:rPr>
        <w:t>中实体或业务活动的财务信息获取充分、适当的审计证据，以对财务报表发表审计意见。我们负责指导、监督和执行集团审计，并对审计意见承担全部责任。</w:t>
      </w:r>
    </w:p>
    <w:p w:rsidR="005E7835" w:rsidRPr="00A71D2E" w:rsidRDefault="005E7835" w:rsidP="00F66363">
      <w:pPr>
        <w:ind w:left="360" w:firstLine="414"/>
        <w:jc w:val="both"/>
        <w:rPr>
          <w:szCs w:val="21"/>
        </w:rPr>
      </w:pPr>
    </w:p>
    <w:p w:rsidR="00CB0F7C" w:rsidRPr="00A71D2E" w:rsidRDefault="00CB0F7C">
      <w:pPr>
        <w:ind w:left="360" w:firstLine="414"/>
        <w:jc w:val="both"/>
        <w:rPr>
          <w:rFonts w:eastAsia="宋体" w:cs="Times New Roman"/>
          <w:szCs w:val="21"/>
        </w:rPr>
      </w:pPr>
      <w:r w:rsidRPr="00A71D2E">
        <w:rPr>
          <w:rFonts w:eastAsia="宋体" w:cs="Times New Roman" w:hint="eastAsia"/>
          <w:szCs w:val="21"/>
        </w:rPr>
        <w:t>我们与治理层就计划的审计范围、时间安排和重大审计发现等事项进行沟通，包括沟通我们在审计中识别出的值得关注的内部控制缺陷。</w:t>
      </w:r>
    </w:p>
    <w:p w:rsidR="00CB0F7C" w:rsidRPr="00A71D2E" w:rsidRDefault="00CB0F7C">
      <w:pPr>
        <w:ind w:left="360" w:firstLine="414"/>
        <w:jc w:val="both"/>
        <w:rPr>
          <w:rFonts w:eastAsia="宋体" w:cs="Times New Roman"/>
          <w:szCs w:val="21"/>
        </w:rPr>
      </w:pPr>
    </w:p>
    <w:p w:rsidR="006C37BB" w:rsidRPr="00A71D2E" w:rsidRDefault="00CB0F7C">
      <w:pPr>
        <w:ind w:left="360" w:firstLine="414"/>
        <w:jc w:val="both"/>
        <w:rPr>
          <w:rFonts w:eastAsia="宋体" w:cs="Times New Roman"/>
          <w:szCs w:val="21"/>
        </w:rPr>
      </w:pPr>
      <w:r w:rsidRPr="00A71D2E">
        <w:rPr>
          <w:rFonts w:eastAsia="宋体" w:cs="Times New Roman" w:hint="eastAsia"/>
          <w:szCs w:val="21"/>
        </w:rPr>
        <w:t>我们还就已遵守与独立性相关的职业道德要求向治理层提供声明，并与治理层沟通可能被</w:t>
      </w:r>
      <w:proofErr w:type="gramStart"/>
      <w:r w:rsidRPr="00A71D2E">
        <w:rPr>
          <w:rFonts w:eastAsia="宋体" w:cs="Times New Roman" w:hint="eastAsia"/>
          <w:szCs w:val="21"/>
        </w:rPr>
        <w:t>合理认为</w:t>
      </w:r>
      <w:proofErr w:type="gramEnd"/>
      <w:r w:rsidRPr="00A71D2E">
        <w:rPr>
          <w:rFonts w:eastAsia="宋体" w:cs="Times New Roman" w:hint="eastAsia"/>
          <w:szCs w:val="21"/>
        </w:rPr>
        <w:t>影响我们独立性的所有关系和其他事项，以及相关的防范措施</w:t>
      </w:r>
      <w:r w:rsidR="005F14EE">
        <w:rPr>
          <w:rFonts w:eastAsia="宋体" w:cs="Times New Roman"/>
          <w:szCs w:val="21"/>
        </w:rPr>
        <w:t>(</w:t>
      </w:r>
      <w:r w:rsidRPr="00A71D2E">
        <w:rPr>
          <w:rFonts w:eastAsia="宋体" w:cs="Times New Roman" w:hint="eastAsia"/>
          <w:szCs w:val="21"/>
        </w:rPr>
        <w:t>如适用</w:t>
      </w:r>
      <w:r w:rsidR="005F14EE">
        <w:rPr>
          <w:rFonts w:eastAsia="宋体" w:cs="Times New Roman"/>
          <w:szCs w:val="21"/>
        </w:rPr>
        <w:t>)</w:t>
      </w:r>
      <w:r w:rsidRPr="00A71D2E">
        <w:rPr>
          <w:rFonts w:eastAsia="宋体" w:cs="Times New Roman" w:hint="eastAsia"/>
          <w:szCs w:val="21"/>
        </w:rPr>
        <w:t>。</w:t>
      </w:r>
    </w:p>
    <w:p w:rsidR="00CB0F7C" w:rsidRPr="00A71D2E" w:rsidRDefault="00CB0F7C">
      <w:pPr>
        <w:ind w:left="360" w:firstLine="414"/>
        <w:jc w:val="both"/>
        <w:rPr>
          <w:rFonts w:eastAsia="宋体" w:cs="Times New Roman"/>
          <w:szCs w:val="21"/>
        </w:rPr>
      </w:pPr>
    </w:p>
    <w:p w:rsidR="00CB0F7C" w:rsidRPr="00A71D2E" w:rsidRDefault="00CB0F7C">
      <w:pPr>
        <w:ind w:left="360" w:firstLine="414"/>
        <w:jc w:val="both"/>
        <w:rPr>
          <w:rFonts w:eastAsia="宋体" w:cs="Times New Roman"/>
          <w:szCs w:val="21"/>
        </w:rPr>
      </w:pPr>
      <w:r w:rsidRPr="00A71D2E">
        <w:rPr>
          <w:rFonts w:eastAsia="宋体" w:cs="Times New Roman" w:hint="eastAsia"/>
          <w:szCs w:val="21"/>
        </w:rPr>
        <w:t>从与治理层沟通过的事项中，我们确定哪些事项对</w:t>
      </w:r>
      <w:r w:rsidR="0098479B" w:rsidRPr="00A71D2E">
        <w:rPr>
          <w:rFonts w:eastAsia="宋体" w:cs="Times New Roman" w:hint="eastAsia"/>
          <w:szCs w:val="21"/>
        </w:rPr>
        <w:t>本期</w:t>
      </w:r>
      <w:r w:rsidRPr="00A71D2E">
        <w:rPr>
          <w:rFonts w:eastAsia="宋体" w:cs="Times New Roman" w:hint="eastAsia"/>
          <w:szCs w:val="21"/>
        </w:rPr>
        <w:t>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rsidR="0071385F" w:rsidRPr="00A71D2E" w:rsidRDefault="0071385F" w:rsidP="00F66363">
      <w:pPr>
        <w:ind w:left="360"/>
        <w:jc w:val="both"/>
        <w:rPr>
          <w:rFonts w:eastAsia="宋体" w:cs="Times New Roman"/>
          <w:szCs w:val="21"/>
        </w:rPr>
      </w:pPr>
    </w:p>
    <w:p w:rsidR="0071385F" w:rsidRPr="00A71D2E" w:rsidRDefault="0071385F" w:rsidP="00F66363">
      <w:pPr>
        <w:ind w:left="360"/>
        <w:jc w:val="both"/>
        <w:rPr>
          <w:rFonts w:eastAsia="宋体" w:cs="Times New Roman"/>
          <w:szCs w:val="21"/>
        </w:rPr>
      </w:pPr>
    </w:p>
    <w:p w:rsidR="0071385F" w:rsidRPr="00A71D2E" w:rsidRDefault="0071385F">
      <w:pPr>
        <w:tabs>
          <w:tab w:val="center" w:pos="7920"/>
        </w:tabs>
        <w:ind w:left="360"/>
        <w:rPr>
          <w:rFonts w:eastAsia="宋体" w:cs="Times New Roman"/>
          <w:b/>
          <w:bCs/>
          <w:szCs w:val="21"/>
        </w:rPr>
      </w:pPr>
      <w:r w:rsidRPr="00A71D2E">
        <w:rPr>
          <w:rFonts w:eastAsia="宋体" w:cs="Times New Roman" w:hint="eastAsia"/>
          <w:szCs w:val="21"/>
        </w:rPr>
        <w:t>德勤华永会计师事务所</w:t>
      </w:r>
      <w:r w:rsidR="005F14EE">
        <w:rPr>
          <w:rFonts w:eastAsia="宋体" w:cs="Times New Roman"/>
          <w:szCs w:val="21"/>
        </w:rPr>
        <w:t>(</w:t>
      </w:r>
      <w:r w:rsidRPr="00A71D2E">
        <w:rPr>
          <w:rFonts w:eastAsia="宋体" w:cs="Times New Roman" w:hint="eastAsia"/>
          <w:szCs w:val="21"/>
        </w:rPr>
        <w:t>特殊普通合伙</w:t>
      </w:r>
      <w:r w:rsidR="005F14EE">
        <w:rPr>
          <w:rFonts w:eastAsia="宋体" w:cs="Times New Roman"/>
          <w:szCs w:val="21"/>
        </w:rPr>
        <w:t>)</w:t>
      </w:r>
      <w:r w:rsidRPr="00A71D2E">
        <w:rPr>
          <w:rFonts w:eastAsia="宋体" w:cs="Times New Roman"/>
          <w:b/>
          <w:bCs/>
          <w:szCs w:val="21"/>
        </w:rPr>
        <w:tab/>
      </w:r>
      <w:r w:rsidRPr="00A71D2E">
        <w:rPr>
          <w:rFonts w:eastAsia="宋体" w:cs="Times New Roman" w:hint="eastAsia"/>
          <w:szCs w:val="21"/>
        </w:rPr>
        <w:t>中国注册会计师</w:t>
      </w:r>
      <w:r w:rsidR="005F14EE">
        <w:rPr>
          <w:rFonts w:eastAsia="宋体" w:cs="Times New Roman" w:hint="eastAsia"/>
          <w:szCs w:val="21"/>
        </w:rPr>
        <w:t>：</w:t>
      </w:r>
    </w:p>
    <w:p w:rsidR="0071385F" w:rsidRPr="00A71D2E" w:rsidRDefault="0071385F">
      <w:pPr>
        <w:tabs>
          <w:tab w:val="center" w:pos="7920"/>
        </w:tabs>
        <w:rPr>
          <w:rFonts w:eastAsia="宋体" w:cs="Times New Roman"/>
          <w:szCs w:val="21"/>
        </w:rPr>
      </w:pPr>
      <w:r w:rsidRPr="00A71D2E">
        <w:rPr>
          <w:rFonts w:eastAsia="宋体" w:cs="Times New Roman"/>
          <w:szCs w:val="21"/>
        </w:rPr>
        <w:tab/>
      </w:r>
      <w:r w:rsidR="005F14EE">
        <w:rPr>
          <w:rFonts w:eastAsia="宋体" w:cs="Times New Roman"/>
          <w:szCs w:val="21"/>
        </w:rPr>
        <w:t>(</w:t>
      </w:r>
      <w:r w:rsidRPr="00A71D2E">
        <w:rPr>
          <w:rFonts w:eastAsia="宋体" w:cs="Times New Roman" w:hint="eastAsia"/>
          <w:szCs w:val="21"/>
        </w:rPr>
        <w:t>项目合伙人</w:t>
      </w:r>
      <w:r w:rsidR="005F14EE">
        <w:rPr>
          <w:rFonts w:eastAsia="宋体" w:cs="Times New Roman"/>
          <w:szCs w:val="21"/>
        </w:rPr>
        <w:t>)</w:t>
      </w:r>
    </w:p>
    <w:p w:rsidR="0071385F" w:rsidRPr="00A71D2E" w:rsidRDefault="0071385F">
      <w:pPr>
        <w:tabs>
          <w:tab w:val="center" w:pos="1989"/>
          <w:tab w:val="center" w:pos="7920"/>
        </w:tabs>
        <w:rPr>
          <w:rFonts w:eastAsia="宋体" w:cs="Times New Roman"/>
          <w:szCs w:val="21"/>
        </w:rPr>
      </w:pPr>
      <w:r w:rsidRPr="00A71D2E">
        <w:rPr>
          <w:rFonts w:eastAsia="宋体" w:cs="Times New Roman"/>
          <w:szCs w:val="21"/>
        </w:rPr>
        <w:tab/>
      </w:r>
      <w:r w:rsidRPr="00A71D2E">
        <w:rPr>
          <w:rFonts w:eastAsia="宋体" w:cs="Times New Roman" w:hint="eastAsia"/>
          <w:szCs w:val="21"/>
        </w:rPr>
        <w:t>中国</w:t>
      </w:r>
      <w:r w:rsidRPr="00A71D2E">
        <w:rPr>
          <w:rFonts w:eastAsia="宋体" w:cs="Times New Roman"/>
          <w:szCs w:val="21"/>
        </w:rPr>
        <w:t>•</w:t>
      </w:r>
      <w:r w:rsidRPr="00A71D2E">
        <w:rPr>
          <w:rFonts w:eastAsia="宋体" w:cs="Times New Roman" w:hint="eastAsia"/>
          <w:szCs w:val="21"/>
        </w:rPr>
        <w:t>上海</w:t>
      </w:r>
    </w:p>
    <w:p w:rsidR="0071385F" w:rsidRPr="00A71D2E" w:rsidRDefault="0071385F">
      <w:pPr>
        <w:tabs>
          <w:tab w:val="center" w:pos="7920"/>
        </w:tabs>
        <w:ind w:left="360"/>
        <w:rPr>
          <w:rFonts w:eastAsia="宋体" w:cs="Times New Roman"/>
          <w:szCs w:val="21"/>
        </w:rPr>
      </w:pPr>
    </w:p>
    <w:p w:rsidR="00E72558" w:rsidRPr="00A71D2E" w:rsidRDefault="00E72558">
      <w:pPr>
        <w:tabs>
          <w:tab w:val="center" w:pos="7920"/>
        </w:tabs>
        <w:ind w:left="360"/>
        <w:rPr>
          <w:rFonts w:eastAsia="宋体" w:cs="Times New Roman"/>
          <w:szCs w:val="21"/>
        </w:rPr>
      </w:pPr>
    </w:p>
    <w:p w:rsidR="0071385F" w:rsidRPr="00A71D2E" w:rsidRDefault="0071385F">
      <w:pPr>
        <w:tabs>
          <w:tab w:val="center" w:pos="7920"/>
        </w:tabs>
        <w:ind w:left="360"/>
        <w:rPr>
          <w:rFonts w:eastAsia="宋体" w:cs="Times New Roman"/>
          <w:szCs w:val="21"/>
        </w:rPr>
      </w:pPr>
    </w:p>
    <w:p w:rsidR="0071385F" w:rsidRPr="00A71D2E" w:rsidRDefault="0071385F">
      <w:pPr>
        <w:tabs>
          <w:tab w:val="center" w:pos="7920"/>
        </w:tabs>
        <w:ind w:left="360"/>
        <w:rPr>
          <w:rFonts w:eastAsia="宋体" w:cs="Times New Roman"/>
          <w:szCs w:val="21"/>
        </w:rPr>
      </w:pPr>
    </w:p>
    <w:p w:rsidR="0071385F" w:rsidRPr="00A71D2E" w:rsidRDefault="0071385F">
      <w:pPr>
        <w:tabs>
          <w:tab w:val="center" w:pos="7920"/>
        </w:tabs>
        <w:ind w:left="360"/>
        <w:rPr>
          <w:rFonts w:eastAsia="宋体" w:cs="Times New Roman"/>
          <w:szCs w:val="21"/>
        </w:rPr>
      </w:pPr>
      <w:r w:rsidRPr="00A71D2E">
        <w:rPr>
          <w:rFonts w:eastAsia="宋体" w:cs="Times New Roman"/>
          <w:szCs w:val="21"/>
        </w:rPr>
        <w:tab/>
      </w:r>
      <w:r w:rsidRPr="00A71D2E">
        <w:rPr>
          <w:rFonts w:eastAsia="宋体" w:cs="Times New Roman" w:hint="eastAsia"/>
          <w:szCs w:val="21"/>
        </w:rPr>
        <w:t>中国注册会计师</w:t>
      </w:r>
      <w:r w:rsidR="005F14EE">
        <w:rPr>
          <w:rFonts w:eastAsia="宋体" w:cs="Times New Roman" w:hint="eastAsia"/>
          <w:szCs w:val="21"/>
        </w:rPr>
        <w:t>：</w:t>
      </w:r>
    </w:p>
    <w:p w:rsidR="0071385F" w:rsidRPr="00A71D2E" w:rsidRDefault="0071385F">
      <w:pPr>
        <w:tabs>
          <w:tab w:val="center" w:pos="7920"/>
        </w:tabs>
        <w:ind w:left="360"/>
        <w:rPr>
          <w:rFonts w:eastAsia="宋体" w:cs="Times New Roman"/>
          <w:szCs w:val="21"/>
        </w:rPr>
      </w:pPr>
    </w:p>
    <w:p w:rsidR="0071385F" w:rsidRPr="00A71D2E" w:rsidRDefault="0071385F">
      <w:pPr>
        <w:tabs>
          <w:tab w:val="center" w:pos="7920"/>
        </w:tabs>
        <w:ind w:left="360"/>
        <w:rPr>
          <w:rFonts w:eastAsia="宋体" w:cs="Times New Roman"/>
          <w:szCs w:val="21"/>
        </w:rPr>
      </w:pPr>
    </w:p>
    <w:p w:rsidR="0071385F" w:rsidRPr="00A71D2E" w:rsidRDefault="0071385F">
      <w:pPr>
        <w:tabs>
          <w:tab w:val="center" w:pos="7920"/>
        </w:tabs>
        <w:ind w:left="360"/>
        <w:rPr>
          <w:rFonts w:eastAsia="宋体" w:cs="Times New Roman"/>
          <w:szCs w:val="21"/>
        </w:rPr>
      </w:pPr>
    </w:p>
    <w:p w:rsidR="0071385F" w:rsidRPr="00A71D2E" w:rsidRDefault="0071385F">
      <w:pPr>
        <w:tabs>
          <w:tab w:val="center" w:pos="7920"/>
        </w:tabs>
        <w:ind w:left="360"/>
        <w:rPr>
          <w:rFonts w:eastAsia="宋体" w:cs="Times New Roman"/>
          <w:szCs w:val="21"/>
        </w:rPr>
      </w:pPr>
    </w:p>
    <w:p w:rsidR="0071385F" w:rsidRPr="00A71D2E" w:rsidRDefault="0071385F">
      <w:pPr>
        <w:tabs>
          <w:tab w:val="center" w:pos="7920"/>
        </w:tabs>
        <w:ind w:left="360"/>
        <w:rPr>
          <w:rFonts w:eastAsia="宋体" w:cs="Times New Roman"/>
          <w:szCs w:val="21"/>
        </w:rPr>
      </w:pPr>
    </w:p>
    <w:p w:rsidR="0071385F" w:rsidRPr="00A71D2E" w:rsidRDefault="006C14C7">
      <w:pPr>
        <w:tabs>
          <w:tab w:val="center" w:pos="7920"/>
        </w:tabs>
        <w:ind w:left="360"/>
        <w:rPr>
          <w:rFonts w:eastAsia="宋体" w:cs="Times New Roman"/>
          <w:szCs w:val="21"/>
        </w:rPr>
      </w:pPr>
      <w:r w:rsidRPr="00A71D2E">
        <w:rPr>
          <w:rFonts w:eastAsia="宋体" w:cs="Times New Roman"/>
          <w:szCs w:val="21"/>
        </w:rPr>
        <w:tab/>
        <w:t>202</w:t>
      </w:r>
      <w:r w:rsidR="00800D4B">
        <w:rPr>
          <w:rFonts w:eastAsia="宋体" w:cs="Times New Roman"/>
          <w:szCs w:val="21"/>
        </w:rPr>
        <w:t>4</w:t>
      </w:r>
      <w:r w:rsidR="0071385F" w:rsidRPr="00A71D2E">
        <w:rPr>
          <w:rFonts w:eastAsia="宋体" w:cs="Times New Roman" w:hint="eastAsia"/>
          <w:szCs w:val="21"/>
        </w:rPr>
        <w:t>年</w:t>
      </w:r>
      <w:r w:rsidR="00071A1A">
        <w:rPr>
          <w:rFonts w:eastAsia="宋体" w:cs="Times New Roman"/>
          <w:szCs w:val="21"/>
        </w:rPr>
        <w:t>4</w:t>
      </w:r>
      <w:r w:rsidR="0071385F" w:rsidRPr="00A71D2E">
        <w:rPr>
          <w:rFonts w:eastAsia="宋体" w:cs="Times New Roman" w:hint="eastAsia"/>
          <w:szCs w:val="21"/>
        </w:rPr>
        <w:t>月</w:t>
      </w:r>
      <w:r w:rsidR="00071A1A">
        <w:rPr>
          <w:rFonts w:eastAsia="宋体" w:cs="Times New Roman"/>
          <w:szCs w:val="21"/>
        </w:rPr>
        <w:t>1</w:t>
      </w:r>
      <w:r w:rsidR="00724DFC">
        <w:rPr>
          <w:rFonts w:eastAsia="宋体" w:cs="Times New Roman"/>
          <w:szCs w:val="21"/>
        </w:rPr>
        <w:t>1</w:t>
      </w:r>
      <w:r w:rsidR="0071385F" w:rsidRPr="00A71D2E">
        <w:rPr>
          <w:rFonts w:eastAsia="宋体" w:cs="Times New Roman" w:hint="eastAsia"/>
          <w:szCs w:val="21"/>
        </w:rPr>
        <w:t>日</w:t>
      </w:r>
    </w:p>
    <w:p w:rsidR="00C35A6B" w:rsidRPr="00A71D2E" w:rsidRDefault="00C35A6B">
      <w:pPr>
        <w:tabs>
          <w:tab w:val="center" w:pos="7920"/>
        </w:tabs>
        <w:ind w:left="360"/>
        <w:rPr>
          <w:rFonts w:eastAsia="宋体" w:cs="Times New Roman"/>
          <w:sz w:val="24"/>
          <w:szCs w:val="24"/>
        </w:rPr>
      </w:pPr>
    </w:p>
    <w:p w:rsidR="00B60260" w:rsidRPr="00A71D2E" w:rsidRDefault="00B60260">
      <w:pPr>
        <w:rPr>
          <w:rFonts w:eastAsia="宋体" w:cs="Times New Roman"/>
          <w:szCs w:val="21"/>
        </w:rPr>
        <w:sectPr w:rsidR="00B60260" w:rsidRPr="00A71D2E" w:rsidSect="00452B2B">
          <w:headerReference w:type="even" r:id="rId18"/>
          <w:headerReference w:type="default" r:id="rId19"/>
          <w:footerReference w:type="default" r:id="rId20"/>
          <w:headerReference w:type="first" r:id="rId21"/>
          <w:pgSz w:w="11906" w:h="16838" w:code="9"/>
          <w:pgMar w:top="864" w:right="720" w:bottom="432" w:left="1008" w:header="720" w:footer="360" w:gutter="0"/>
          <w:pgNumType w:start="1"/>
          <w:cols w:space="720"/>
          <w:docGrid w:linePitch="286"/>
        </w:sectPr>
      </w:pPr>
    </w:p>
    <w:p w:rsidR="00E4526A" w:rsidRPr="00A71D2E" w:rsidRDefault="00A5385F" w:rsidP="005E3D65">
      <w:pPr>
        <w:tabs>
          <w:tab w:val="left" w:pos="10170"/>
        </w:tabs>
        <w:rPr>
          <w:rFonts w:eastAsia="宋体" w:cs="Times New Roman"/>
          <w:szCs w:val="21"/>
          <w:u w:val="single"/>
        </w:rPr>
      </w:pPr>
      <w:r w:rsidRPr="00A71D2E">
        <w:rPr>
          <w:rFonts w:eastAsia="宋体" w:cs="Times New Roman"/>
          <w:szCs w:val="21"/>
          <w:u w:val="single"/>
        </w:rPr>
        <w:t>202</w:t>
      </w:r>
      <w:r w:rsidR="00EF7B67">
        <w:rPr>
          <w:rFonts w:eastAsia="宋体" w:cs="Times New Roman"/>
          <w:szCs w:val="21"/>
          <w:u w:val="single"/>
        </w:rPr>
        <w:t>3</w:t>
      </w:r>
      <w:r w:rsidRPr="00A71D2E">
        <w:rPr>
          <w:rFonts w:eastAsia="宋体" w:cs="Times New Roman" w:hint="eastAsia"/>
          <w:szCs w:val="21"/>
          <w:u w:val="single"/>
        </w:rPr>
        <w:t>年</w:t>
      </w:r>
      <w:r w:rsidR="00E92E54" w:rsidRPr="00A71D2E">
        <w:rPr>
          <w:rFonts w:eastAsia="宋体" w:cs="Times New Roman"/>
          <w:szCs w:val="21"/>
          <w:u w:val="single"/>
        </w:rPr>
        <w:t>12</w:t>
      </w:r>
      <w:r w:rsidRPr="00A71D2E">
        <w:rPr>
          <w:rFonts w:eastAsia="宋体" w:cs="Times New Roman" w:hint="eastAsia"/>
          <w:szCs w:val="21"/>
          <w:u w:val="single"/>
        </w:rPr>
        <w:t>月</w:t>
      </w:r>
      <w:r w:rsidRPr="00A71D2E">
        <w:rPr>
          <w:rFonts w:eastAsia="宋体" w:cs="Times New Roman"/>
          <w:szCs w:val="21"/>
          <w:u w:val="single"/>
        </w:rPr>
        <w:t>3</w:t>
      </w:r>
      <w:r w:rsidR="00E92E54" w:rsidRPr="00A71D2E">
        <w:rPr>
          <w:rFonts w:eastAsia="宋体" w:cs="Times New Roman"/>
          <w:szCs w:val="21"/>
          <w:u w:val="single"/>
        </w:rPr>
        <w:t>1</w:t>
      </w:r>
      <w:r w:rsidRPr="00A71D2E">
        <w:rPr>
          <w:rFonts w:eastAsia="宋体" w:cs="Times New Roman" w:hint="eastAsia"/>
          <w:szCs w:val="21"/>
          <w:u w:val="single"/>
        </w:rPr>
        <w:t>日</w:t>
      </w:r>
      <w:r w:rsidR="00E4526A" w:rsidRPr="00A71D2E">
        <w:rPr>
          <w:rFonts w:eastAsia="宋体" w:cs="Times New Roman"/>
          <w:szCs w:val="21"/>
          <w:u w:val="single"/>
        </w:rPr>
        <w:tab/>
      </w:r>
    </w:p>
    <w:p w:rsidR="006F3692" w:rsidRPr="00A71D2E" w:rsidRDefault="006F3692">
      <w:pPr>
        <w:rPr>
          <w:rFonts w:eastAsia="宋体" w:cs="Times New Roman"/>
          <w:szCs w:val="21"/>
        </w:rPr>
      </w:pPr>
    </w:p>
    <w:p w:rsidR="00B755FC" w:rsidRPr="00A71D2E" w:rsidRDefault="00B755FC">
      <w:pPr>
        <w:jc w:val="center"/>
        <w:outlineLvl w:val="0"/>
        <w:rPr>
          <w:rFonts w:eastAsia="宋体" w:cs="Times New Roman"/>
          <w:szCs w:val="21"/>
        </w:rPr>
      </w:pPr>
      <w:r w:rsidRPr="00A71D2E">
        <w:rPr>
          <w:rFonts w:eastAsia="宋体" w:cs="Times New Roman" w:hint="eastAsia"/>
          <w:b/>
          <w:bCs/>
          <w:szCs w:val="21"/>
        </w:rPr>
        <w:t>合并资产负债表</w:t>
      </w:r>
    </w:p>
    <w:p w:rsidR="00B755FC" w:rsidRPr="00A71D2E" w:rsidRDefault="00461604">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00B755FC" w:rsidRPr="00A71D2E">
        <w:rPr>
          <w:rFonts w:eastAsia="宋体" w:cs="Times New Roman" w:hint="eastAsia"/>
          <w:szCs w:val="21"/>
        </w:rPr>
        <w:t>人民币元</w:t>
      </w:r>
    </w:p>
    <w:tbl>
      <w:tblPr>
        <w:tblStyle w:val="aff5"/>
        <w:tblW w:w="0" w:type="auto"/>
        <w:tblLayout w:type="fixed"/>
        <w:tblLook w:val="04A0" w:firstRow="1" w:lastRow="0" w:firstColumn="1" w:lastColumn="0" w:noHBand="0" w:noVBand="1"/>
      </w:tblPr>
      <w:tblGrid>
        <w:gridCol w:w="4558"/>
        <w:gridCol w:w="1512"/>
        <w:gridCol w:w="2047"/>
        <w:gridCol w:w="2048"/>
      </w:tblGrid>
      <w:tr w:rsidR="00105E0F" w:rsidRPr="005E3D65" w:rsidTr="0027505B">
        <w:trPr>
          <w:trHeight w:val="20"/>
        </w:trPr>
        <w:tc>
          <w:tcPr>
            <w:tcW w:w="4558" w:type="dxa"/>
            <w:shd w:val="clear" w:color="auto" w:fill="D9D9D9"/>
            <w:vAlign w:val="center"/>
          </w:tcPr>
          <w:p w:rsidR="00FC3D68" w:rsidRPr="005E3D65" w:rsidRDefault="00FC3D68">
            <w:pPr>
              <w:jc w:val="center"/>
              <w:rPr>
                <w:sz w:val="18"/>
                <w:szCs w:val="18"/>
              </w:rPr>
            </w:pPr>
            <w:r w:rsidRPr="005E3D65">
              <w:rPr>
                <w:rFonts w:hint="eastAsia"/>
                <w:sz w:val="18"/>
                <w:szCs w:val="18"/>
              </w:rPr>
              <w:t>项目</w:t>
            </w:r>
          </w:p>
        </w:tc>
        <w:tc>
          <w:tcPr>
            <w:tcW w:w="1512" w:type="dxa"/>
            <w:shd w:val="clear" w:color="auto" w:fill="D9D9D9"/>
            <w:vAlign w:val="center"/>
          </w:tcPr>
          <w:p w:rsidR="00FC3D68" w:rsidRPr="005E3D65" w:rsidRDefault="00FC3D68">
            <w:pPr>
              <w:jc w:val="center"/>
              <w:rPr>
                <w:sz w:val="18"/>
                <w:szCs w:val="18"/>
              </w:rPr>
            </w:pPr>
            <w:r w:rsidRPr="005E3D65">
              <w:rPr>
                <w:rFonts w:hint="eastAsia"/>
                <w:sz w:val="18"/>
                <w:szCs w:val="18"/>
              </w:rPr>
              <w:t>附注</w:t>
            </w:r>
          </w:p>
        </w:tc>
        <w:tc>
          <w:tcPr>
            <w:tcW w:w="2047" w:type="dxa"/>
            <w:shd w:val="clear" w:color="auto" w:fill="D9D9D9"/>
            <w:vAlign w:val="center"/>
          </w:tcPr>
          <w:p w:rsidR="00CE7C58" w:rsidRPr="005E3D65" w:rsidRDefault="00431F9F">
            <w:pPr>
              <w:jc w:val="center"/>
              <w:rPr>
                <w:sz w:val="18"/>
                <w:szCs w:val="18"/>
              </w:rPr>
            </w:pPr>
            <w:r w:rsidRPr="005E3D65">
              <w:rPr>
                <w:rFonts w:hint="eastAsia"/>
                <w:sz w:val="18"/>
                <w:szCs w:val="18"/>
              </w:rPr>
              <w:t>本年年末余额</w:t>
            </w:r>
          </w:p>
        </w:tc>
        <w:tc>
          <w:tcPr>
            <w:tcW w:w="2048" w:type="dxa"/>
            <w:shd w:val="clear" w:color="auto" w:fill="D9D9D9"/>
            <w:vAlign w:val="center"/>
          </w:tcPr>
          <w:p w:rsidR="00FC3D68" w:rsidRPr="005E3D65" w:rsidRDefault="00431F9F">
            <w:pPr>
              <w:jc w:val="center"/>
              <w:rPr>
                <w:sz w:val="18"/>
                <w:szCs w:val="18"/>
              </w:rPr>
            </w:pPr>
            <w:r w:rsidRPr="005E3D65">
              <w:rPr>
                <w:rFonts w:hint="eastAsia"/>
                <w:sz w:val="18"/>
                <w:szCs w:val="18"/>
              </w:rPr>
              <w:t>上年年末余额</w:t>
            </w:r>
          </w:p>
          <w:p w:rsidR="00CE7C58" w:rsidRPr="005E3D65" w:rsidRDefault="005F14EE">
            <w:pPr>
              <w:jc w:val="center"/>
              <w:rPr>
                <w:sz w:val="18"/>
                <w:szCs w:val="18"/>
              </w:rPr>
            </w:pPr>
            <w:r w:rsidRPr="005E3D65">
              <w:rPr>
                <w:rFonts w:hint="eastAsia"/>
                <w:sz w:val="18"/>
                <w:szCs w:val="18"/>
              </w:rPr>
              <w:t>(</w:t>
            </w:r>
            <w:r w:rsidR="00CE7C58" w:rsidRPr="005E3D65">
              <w:rPr>
                <w:rFonts w:hint="eastAsia"/>
                <w:sz w:val="18"/>
                <w:szCs w:val="18"/>
              </w:rPr>
              <w:t>已重述</w:t>
            </w:r>
            <w:r w:rsidRPr="005E3D65">
              <w:rPr>
                <w:rFonts w:hint="eastAsia"/>
                <w:sz w:val="18"/>
                <w:szCs w:val="18"/>
              </w:rPr>
              <w:t>)</w:t>
            </w:r>
          </w:p>
        </w:tc>
      </w:tr>
      <w:tr w:rsidR="00105E0F" w:rsidRPr="005E3D65" w:rsidTr="0027505B">
        <w:trPr>
          <w:trHeight w:val="20"/>
        </w:trPr>
        <w:tc>
          <w:tcPr>
            <w:tcW w:w="4558" w:type="dxa"/>
            <w:shd w:val="clear" w:color="auto" w:fill="D9D9D9"/>
            <w:vAlign w:val="center"/>
          </w:tcPr>
          <w:p w:rsidR="00FC3D68" w:rsidRPr="005E3D65" w:rsidRDefault="00FC3D68">
            <w:pPr>
              <w:rPr>
                <w:b/>
                <w:sz w:val="18"/>
                <w:szCs w:val="18"/>
              </w:rPr>
            </w:pPr>
            <w:r w:rsidRPr="005E3D65">
              <w:rPr>
                <w:rFonts w:hint="eastAsia"/>
                <w:b/>
                <w:sz w:val="18"/>
                <w:szCs w:val="18"/>
              </w:rPr>
              <w:t>流动资产</w:t>
            </w:r>
            <w:r w:rsidR="005F14EE" w:rsidRPr="005E3D65">
              <w:rPr>
                <w:rFonts w:hint="eastAsia"/>
                <w:b/>
                <w:sz w:val="18"/>
                <w:szCs w:val="18"/>
              </w:rPr>
              <w:t>：</w:t>
            </w:r>
          </w:p>
        </w:tc>
        <w:tc>
          <w:tcPr>
            <w:tcW w:w="1512" w:type="dxa"/>
            <w:shd w:val="clear" w:color="auto" w:fill="D9D9D9"/>
            <w:vAlign w:val="center"/>
          </w:tcPr>
          <w:p w:rsidR="00FC3D68" w:rsidRPr="005E3D65" w:rsidRDefault="00FC3D68">
            <w:pPr>
              <w:jc w:val="center"/>
              <w:rPr>
                <w:sz w:val="18"/>
                <w:szCs w:val="18"/>
              </w:rPr>
            </w:pPr>
          </w:p>
        </w:tc>
        <w:tc>
          <w:tcPr>
            <w:tcW w:w="2047" w:type="dxa"/>
            <w:shd w:val="clear" w:color="auto" w:fill="D9D9D9"/>
            <w:vAlign w:val="center"/>
          </w:tcPr>
          <w:p w:rsidR="00FC3D68" w:rsidRPr="005E3D65" w:rsidRDefault="00FC3D68">
            <w:pPr>
              <w:jc w:val="right"/>
              <w:rPr>
                <w:sz w:val="18"/>
                <w:szCs w:val="18"/>
              </w:rPr>
            </w:pPr>
          </w:p>
        </w:tc>
        <w:tc>
          <w:tcPr>
            <w:tcW w:w="2048" w:type="dxa"/>
            <w:shd w:val="clear" w:color="auto" w:fill="D9D9D9"/>
            <w:vAlign w:val="center"/>
          </w:tcPr>
          <w:p w:rsidR="00FC3D68" w:rsidRPr="005E3D65" w:rsidRDefault="00FC3D68">
            <w:pPr>
              <w:tabs>
                <w:tab w:val="decimal" w:pos="739"/>
              </w:tabs>
              <w:rPr>
                <w:sz w:val="18"/>
                <w:szCs w:val="18"/>
              </w:rPr>
            </w:pP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货币资金</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1</w:t>
            </w:r>
          </w:p>
        </w:tc>
        <w:tc>
          <w:tcPr>
            <w:tcW w:w="2047" w:type="dxa"/>
            <w:vAlign w:val="center"/>
          </w:tcPr>
          <w:p w:rsidR="0027267B" w:rsidRPr="005E3D65" w:rsidRDefault="00922BF4">
            <w:pPr>
              <w:jc w:val="right"/>
              <w:rPr>
                <w:sz w:val="18"/>
                <w:szCs w:val="18"/>
              </w:rPr>
            </w:pPr>
            <w:r w:rsidRPr="005E3D65">
              <w:rPr>
                <w:sz w:val="18"/>
                <w:szCs w:val="18"/>
              </w:rPr>
              <w:t>4,655,798,647.20</w:t>
            </w:r>
          </w:p>
        </w:tc>
        <w:tc>
          <w:tcPr>
            <w:tcW w:w="2048" w:type="dxa"/>
            <w:vAlign w:val="center"/>
          </w:tcPr>
          <w:p w:rsidR="0027267B" w:rsidRPr="005E3D65" w:rsidRDefault="0027267B">
            <w:pPr>
              <w:jc w:val="right"/>
              <w:rPr>
                <w:sz w:val="18"/>
                <w:szCs w:val="18"/>
              </w:rPr>
            </w:pPr>
            <w:r w:rsidRPr="005E3D65">
              <w:rPr>
                <w:sz w:val="18"/>
                <w:szCs w:val="18"/>
              </w:rPr>
              <w:t>4,806,366,681.46</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应收票据</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2</w:t>
            </w:r>
          </w:p>
        </w:tc>
        <w:tc>
          <w:tcPr>
            <w:tcW w:w="2047" w:type="dxa"/>
            <w:vAlign w:val="center"/>
          </w:tcPr>
          <w:p w:rsidR="0027267B" w:rsidRPr="005E3D65" w:rsidRDefault="00922BF4">
            <w:pPr>
              <w:jc w:val="right"/>
              <w:rPr>
                <w:sz w:val="18"/>
                <w:szCs w:val="18"/>
              </w:rPr>
            </w:pPr>
            <w:r w:rsidRPr="005E3D65">
              <w:rPr>
                <w:sz w:val="18"/>
                <w:szCs w:val="18"/>
              </w:rPr>
              <w:t>5,919,220.40</w:t>
            </w:r>
          </w:p>
        </w:tc>
        <w:tc>
          <w:tcPr>
            <w:tcW w:w="2048" w:type="dxa"/>
            <w:vAlign w:val="center"/>
          </w:tcPr>
          <w:p w:rsidR="0027267B" w:rsidRPr="005E3D65" w:rsidRDefault="0027267B">
            <w:pPr>
              <w:jc w:val="right"/>
              <w:rPr>
                <w:sz w:val="18"/>
                <w:szCs w:val="18"/>
              </w:rPr>
            </w:pPr>
            <w:r w:rsidRPr="005E3D65">
              <w:rPr>
                <w:sz w:val="18"/>
                <w:szCs w:val="18"/>
              </w:rPr>
              <w:t>209,587.60</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应收账款</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3</w:t>
            </w:r>
          </w:p>
        </w:tc>
        <w:tc>
          <w:tcPr>
            <w:tcW w:w="2047" w:type="dxa"/>
            <w:vAlign w:val="center"/>
          </w:tcPr>
          <w:p w:rsidR="0027267B" w:rsidRPr="005E3D65" w:rsidRDefault="00922BF4">
            <w:pPr>
              <w:jc w:val="right"/>
              <w:rPr>
                <w:sz w:val="18"/>
                <w:szCs w:val="18"/>
              </w:rPr>
            </w:pPr>
            <w:r w:rsidRPr="005E3D65">
              <w:rPr>
                <w:sz w:val="18"/>
                <w:szCs w:val="18"/>
              </w:rPr>
              <w:t>860,351,858.04</w:t>
            </w:r>
          </w:p>
        </w:tc>
        <w:tc>
          <w:tcPr>
            <w:tcW w:w="2048" w:type="dxa"/>
            <w:vAlign w:val="center"/>
          </w:tcPr>
          <w:p w:rsidR="0027267B" w:rsidRPr="005E3D65" w:rsidRDefault="0027267B">
            <w:pPr>
              <w:jc w:val="right"/>
              <w:rPr>
                <w:sz w:val="18"/>
                <w:szCs w:val="18"/>
              </w:rPr>
            </w:pPr>
            <w:r w:rsidRPr="005E3D65">
              <w:rPr>
                <w:sz w:val="18"/>
                <w:szCs w:val="18"/>
              </w:rPr>
              <w:t>716,296,512.50</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应收款项融资</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4</w:t>
            </w:r>
          </w:p>
        </w:tc>
        <w:tc>
          <w:tcPr>
            <w:tcW w:w="2047" w:type="dxa"/>
            <w:vAlign w:val="center"/>
          </w:tcPr>
          <w:p w:rsidR="0027267B" w:rsidRPr="005E3D65" w:rsidRDefault="00922BF4">
            <w:pPr>
              <w:jc w:val="right"/>
              <w:rPr>
                <w:sz w:val="18"/>
                <w:szCs w:val="18"/>
              </w:rPr>
            </w:pPr>
            <w:r w:rsidRPr="005E3D65">
              <w:rPr>
                <w:sz w:val="18"/>
                <w:szCs w:val="18"/>
              </w:rPr>
              <w:t>21,276,850.44</w:t>
            </w:r>
          </w:p>
        </w:tc>
        <w:tc>
          <w:tcPr>
            <w:tcW w:w="2048" w:type="dxa"/>
            <w:vAlign w:val="center"/>
          </w:tcPr>
          <w:p w:rsidR="0027267B" w:rsidRPr="005E3D65" w:rsidRDefault="0027267B">
            <w:pPr>
              <w:jc w:val="right"/>
              <w:rPr>
                <w:sz w:val="18"/>
                <w:szCs w:val="18"/>
              </w:rPr>
            </w:pPr>
            <w:r w:rsidRPr="005E3D65">
              <w:rPr>
                <w:sz w:val="18"/>
                <w:szCs w:val="18"/>
              </w:rPr>
              <w:t>2,290,950.59</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预付款项</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5</w:t>
            </w:r>
          </w:p>
        </w:tc>
        <w:tc>
          <w:tcPr>
            <w:tcW w:w="2047" w:type="dxa"/>
            <w:vAlign w:val="center"/>
          </w:tcPr>
          <w:p w:rsidR="0027267B" w:rsidRPr="005E3D65" w:rsidRDefault="00922BF4">
            <w:pPr>
              <w:jc w:val="right"/>
              <w:rPr>
                <w:sz w:val="18"/>
                <w:szCs w:val="18"/>
              </w:rPr>
            </w:pPr>
            <w:r w:rsidRPr="005E3D65">
              <w:rPr>
                <w:sz w:val="18"/>
                <w:szCs w:val="18"/>
              </w:rPr>
              <w:t>32,987,518.58</w:t>
            </w:r>
          </w:p>
        </w:tc>
        <w:tc>
          <w:tcPr>
            <w:tcW w:w="2048" w:type="dxa"/>
            <w:vAlign w:val="center"/>
          </w:tcPr>
          <w:p w:rsidR="0027267B" w:rsidRPr="005E3D65" w:rsidRDefault="0027267B">
            <w:pPr>
              <w:jc w:val="right"/>
              <w:rPr>
                <w:sz w:val="18"/>
                <w:szCs w:val="18"/>
              </w:rPr>
            </w:pPr>
            <w:r w:rsidRPr="005E3D65">
              <w:rPr>
                <w:sz w:val="18"/>
                <w:szCs w:val="18"/>
              </w:rPr>
              <w:t>33,956,711.40</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其他应收款</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6</w:t>
            </w:r>
          </w:p>
        </w:tc>
        <w:tc>
          <w:tcPr>
            <w:tcW w:w="2047" w:type="dxa"/>
            <w:vAlign w:val="center"/>
          </w:tcPr>
          <w:p w:rsidR="0027267B" w:rsidRPr="005E3D65" w:rsidRDefault="00922BF4">
            <w:pPr>
              <w:jc w:val="right"/>
              <w:rPr>
                <w:sz w:val="18"/>
                <w:szCs w:val="18"/>
              </w:rPr>
            </w:pPr>
            <w:r w:rsidRPr="005E3D65">
              <w:rPr>
                <w:sz w:val="18"/>
                <w:szCs w:val="18"/>
              </w:rPr>
              <w:t>23,816,037.03</w:t>
            </w:r>
          </w:p>
        </w:tc>
        <w:tc>
          <w:tcPr>
            <w:tcW w:w="2048" w:type="dxa"/>
            <w:vAlign w:val="center"/>
          </w:tcPr>
          <w:p w:rsidR="0027267B" w:rsidRPr="005E3D65" w:rsidRDefault="0027267B">
            <w:pPr>
              <w:jc w:val="right"/>
              <w:rPr>
                <w:sz w:val="18"/>
                <w:szCs w:val="18"/>
              </w:rPr>
            </w:pPr>
            <w:r w:rsidRPr="005E3D65">
              <w:rPr>
                <w:sz w:val="18"/>
                <w:szCs w:val="18"/>
              </w:rPr>
              <w:t>8,666,574.99</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存货</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7</w:t>
            </w:r>
          </w:p>
        </w:tc>
        <w:tc>
          <w:tcPr>
            <w:tcW w:w="2047" w:type="dxa"/>
            <w:vAlign w:val="center"/>
          </w:tcPr>
          <w:p w:rsidR="0027267B" w:rsidRPr="005E3D65" w:rsidRDefault="00922BF4">
            <w:pPr>
              <w:jc w:val="right"/>
              <w:rPr>
                <w:sz w:val="18"/>
                <w:szCs w:val="18"/>
              </w:rPr>
            </w:pPr>
            <w:r w:rsidRPr="005E3D65">
              <w:rPr>
                <w:sz w:val="18"/>
                <w:szCs w:val="18"/>
              </w:rPr>
              <w:t>694,770,094.37</w:t>
            </w:r>
          </w:p>
        </w:tc>
        <w:tc>
          <w:tcPr>
            <w:tcW w:w="2048" w:type="dxa"/>
            <w:vAlign w:val="center"/>
          </w:tcPr>
          <w:p w:rsidR="0027267B" w:rsidRPr="005E3D65" w:rsidRDefault="0027267B">
            <w:pPr>
              <w:jc w:val="right"/>
              <w:rPr>
                <w:sz w:val="18"/>
                <w:szCs w:val="18"/>
              </w:rPr>
            </w:pPr>
            <w:r w:rsidRPr="005E3D65">
              <w:rPr>
                <w:sz w:val="18"/>
                <w:szCs w:val="18"/>
              </w:rPr>
              <w:t>590,346,677.01</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一年内到期的非流动资产</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8</w:t>
            </w:r>
          </w:p>
        </w:tc>
        <w:tc>
          <w:tcPr>
            <w:tcW w:w="2047" w:type="dxa"/>
            <w:vAlign w:val="center"/>
          </w:tcPr>
          <w:p w:rsidR="0027267B" w:rsidRPr="005E3D65" w:rsidRDefault="00922BF4">
            <w:pPr>
              <w:jc w:val="right"/>
              <w:rPr>
                <w:sz w:val="18"/>
                <w:szCs w:val="18"/>
              </w:rPr>
            </w:pPr>
            <w:r w:rsidRPr="005E3D65">
              <w:rPr>
                <w:sz w:val="18"/>
                <w:szCs w:val="18"/>
              </w:rPr>
              <w:t>8,681,589.12</w:t>
            </w:r>
          </w:p>
        </w:tc>
        <w:tc>
          <w:tcPr>
            <w:tcW w:w="2048" w:type="dxa"/>
            <w:vAlign w:val="center"/>
          </w:tcPr>
          <w:p w:rsidR="0027267B" w:rsidRPr="005E3D65" w:rsidRDefault="0027267B">
            <w:pPr>
              <w:jc w:val="right"/>
              <w:rPr>
                <w:sz w:val="18"/>
                <w:szCs w:val="18"/>
              </w:rPr>
            </w:pPr>
            <w:r w:rsidRPr="005E3D65">
              <w:rPr>
                <w:sz w:val="18"/>
                <w:szCs w:val="18"/>
              </w:rPr>
              <w:t>8,945,100.00</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其他流动资产</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9</w:t>
            </w:r>
          </w:p>
        </w:tc>
        <w:tc>
          <w:tcPr>
            <w:tcW w:w="2047" w:type="dxa"/>
            <w:vAlign w:val="center"/>
          </w:tcPr>
          <w:p w:rsidR="0027267B" w:rsidRPr="005E3D65" w:rsidRDefault="00C65539">
            <w:pPr>
              <w:jc w:val="right"/>
              <w:rPr>
                <w:sz w:val="18"/>
                <w:szCs w:val="18"/>
              </w:rPr>
            </w:pPr>
            <w:r w:rsidRPr="005E3D65">
              <w:rPr>
                <w:sz w:val="18"/>
                <w:szCs w:val="18"/>
              </w:rPr>
              <w:t>80,551,686.20</w:t>
            </w:r>
          </w:p>
        </w:tc>
        <w:tc>
          <w:tcPr>
            <w:tcW w:w="2048" w:type="dxa"/>
            <w:vAlign w:val="center"/>
          </w:tcPr>
          <w:p w:rsidR="0027267B" w:rsidRPr="005E3D65" w:rsidRDefault="0027267B">
            <w:pPr>
              <w:jc w:val="right"/>
              <w:rPr>
                <w:sz w:val="18"/>
                <w:szCs w:val="18"/>
              </w:rPr>
            </w:pPr>
            <w:r w:rsidRPr="005E3D65">
              <w:rPr>
                <w:sz w:val="18"/>
                <w:szCs w:val="18"/>
              </w:rPr>
              <w:t>48,631,456.14</w:t>
            </w:r>
          </w:p>
        </w:tc>
      </w:tr>
      <w:tr w:rsidR="0027267B" w:rsidRPr="005E3D65" w:rsidTr="0027505B">
        <w:trPr>
          <w:trHeight w:val="20"/>
        </w:trPr>
        <w:tc>
          <w:tcPr>
            <w:tcW w:w="4558" w:type="dxa"/>
            <w:shd w:val="clear" w:color="auto" w:fill="D9D9D9"/>
            <w:vAlign w:val="center"/>
          </w:tcPr>
          <w:p w:rsidR="0027267B" w:rsidRPr="005E3D65" w:rsidRDefault="0027267B" w:rsidP="0027267B">
            <w:pPr>
              <w:rPr>
                <w:b/>
                <w:sz w:val="18"/>
                <w:szCs w:val="18"/>
              </w:rPr>
            </w:pPr>
            <w:r w:rsidRPr="005E3D65">
              <w:rPr>
                <w:rFonts w:hint="eastAsia"/>
                <w:b/>
                <w:sz w:val="18"/>
                <w:szCs w:val="18"/>
              </w:rPr>
              <w:t>流动资产合计</w:t>
            </w:r>
          </w:p>
        </w:tc>
        <w:tc>
          <w:tcPr>
            <w:tcW w:w="1512" w:type="dxa"/>
            <w:vAlign w:val="center"/>
          </w:tcPr>
          <w:p w:rsidR="0027267B" w:rsidRPr="005E3D65" w:rsidRDefault="0027267B" w:rsidP="0027267B">
            <w:pPr>
              <w:jc w:val="center"/>
              <w:rPr>
                <w:sz w:val="18"/>
                <w:szCs w:val="18"/>
              </w:rPr>
            </w:pPr>
          </w:p>
        </w:tc>
        <w:tc>
          <w:tcPr>
            <w:tcW w:w="2047" w:type="dxa"/>
            <w:vAlign w:val="center"/>
          </w:tcPr>
          <w:p w:rsidR="0027267B" w:rsidRPr="005E3D65" w:rsidRDefault="00C65539">
            <w:pPr>
              <w:jc w:val="right"/>
              <w:rPr>
                <w:b/>
                <w:sz w:val="18"/>
                <w:szCs w:val="18"/>
              </w:rPr>
            </w:pPr>
            <w:r w:rsidRPr="005E3D65">
              <w:rPr>
                <w:b/>
                <w:sz w:val="18"/>
                <w:szCs w:val="18"/>
              </w:rPr>
              <w:t>6,384,153,501.38</w:t>
            </w:r>
          </w:p>
        </w:tc>
        <w:tc>
          <w:tcPr>
            <w:tcW w:w="2048" w:type="dxa"/>
            <w:vAlign w:val="center"/>
          </w:tcPr>
          <w:p w:rsidR="0027267B" w:rsidRPr="005E3D65" w:rsidRDefault="0027267B">
            <w:pPr>
              <w:jc w:val="right"/>
              <w:rPr>
                <w:b/>
                <w:sz w:val="18"/>
                <w:szCs w:val="18"/>
              </w:rPr>
            </w:pPr>
            <w:r w:rsidRPr="005E3D65">
              <w:rPr>
                <w:b/>
                <w:sz w:val="18"/>
                <w:szCs w:val="18"/>
              </w:rPr>
              <w:t>6,215,710,251.69</w:t>
            </w:r>
          </w:p>
        </w:tc>
      </w:tr>
      <w:tr w:rsidR="0027267B" w:rsidRPr="005E3D65" w:rsidTr="0027505B">
        <w:trPr>
          <w:trHeight w:val="20"/>
        </w:trPr>
        <w:tc>
          <w:tcPr>
            <w:tcW w:w="4558" w:type="dxa"/>
            <w:shd w:val="clear" w:color="auto" w:fill="D9D9D9"/>
            <w:vAlign w:val="center"/>
          </w:tcPr>
          <w:p w:rsidR="0027267B" w:rsidRPr="005E3D65" w:rsidRDefault="0027267B" w:rsidP="0027267B">
            <w:pPr>
              <w:rPr>
                <w:b/>
                <w:sz w:val="18"/>
                <w:szCs w:val="18"/>
              </w:rPr>
            </w:pPr>
            <w:r w:rsidRPr="005E3D65">
              <w:rPr>
                <w:rFonts w:hint="eastAsia"/>
                <w:b/>
                <w:sz w:val="18"/>
                <w:szCs w:val="18"/>
              </w:rPr>
              <w:t>非流动资产</w:t>
            </w:r>
            <w:r w:rsidR="005F14EE" w:rsidRPr="005E3D65">
              <w:rPr>
                <w:rFonts w:hint="eastAsia"/>
                <w:b/>
                <w:sz w:val="18"/>
                <w:szCs w:val="18"/>
              </w:rPr>
              <w:t>：</w:t>
            </w:r>
          </w:p>
        </w:tc>
        <w:tc>
          <w:tcPr>
            <w:tcW w:w="1512" w:type="dxa"/>
            <w:vAlign w:val="center"/>
          </w:tcPr>
          <w:p w:rsidR="0027267B" w:rsidRPr="005E3D65" w:rsidRDefault="0027267B" w:rsidP="0027267B">
            <w:pPr>
              <w:jc w:val="center"/>
              <w:rPr>
                <w:sz w:val="18"/>
                <w:szCs w:val="18"/>
              </w:rPr>
            </w:pPr>
          </w:p>
        </w:tc>
        <w:tc>
          <w:tcPr>
            <w:tcW w:w="2047" w:type="dxa"/>
            <w:vAlign w:val="center"/>
          </w:tcPr>
          <w:p w:rsidR="0027267B" w:rsidRPr="005E3D65" w:rsidRDefault="0027267B">
            <w:pPr>
              <w:jc w:val="right"/>
              <w:rPr>
                <w:sz w:val="18"/>
                <w:szCs w:val="18"/>
              </w:rPr>
            </w:pPr>
          </w:p>
        </w:tc>
        <w:tc>
          <w:tcPr>
            <w:tcW w:w="2048" w:type="dxa"/>
            <w:vAlign w:val="center"/>
          </w:tcPr>
          <w:p w:rsidR="0027267B" w:rsidRPr="005E3D65" w:rsidRDefault="0027267B">
            <w:pPr>
              <w:jc w:val="right"/>
              <w:rPr>
                <w:sz w:val="18"/>
                <w:szCs w:val="18"/>
              </w:rPr>
            </w:pP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长期应收款</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10</w:t>
            </w:r>
          </w:p>
        </w:tc>
        <w:tc>
          <w:tcPr>
            <w:tcW w:w="2047" w:type="dxa"/>
            <w:vAlign w:val="center"/>
          </w:tcPr>
          <w:p w:rsidR="0027267B" w:rsidRPr="005E3D65" w:rsidRDefault="00CE7C58">
            <w:pPr>
              <w:jc w:val="right"/>
              <w:rPr>
                <w:sz w:val="18"/>
                <w:szCs w:val="18"/>
              </w:rPr>
            </w:pPr>
            <w:r w:rsidRPr="005E3D65">
              <w:rPr>
                <w:sz w:val="18"/>
                <w:szCs w:val="18"/>
              </w:rPr>
              <w:t>15,859,781.71</w:t>
            </w:r>
          </w:p>
        </w:tc>
        <w:tc>
          <w:tcPr>
            <w:tcW w:w="2048" w:type="dxa"/>
            <w:vAlign w:val="center"/>
          </w:tcPr>
          <w:p w:rsidR="0027267B" w:rsidRPr="005E3D65" w:rsidRDefault="0027267B">
            <w:pPr>
              <w:jc w:val="right"/>
              <w:rPr>
                <w:sz w:val="18"/>
                <w:szCs w:val="18"/>
              </w:rPr>
            </w:pPr>
            <w:r w:rsidRPr="005E3D65">
              <w:rPr>
                <w:sz w:val="18"/>
                <w:szCs w:val="18"/>
              </w:rPr>
              <w:t>18,423,598.98</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固定资产</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11</w:t>
            </w:r>
          </w:p>
        </w:tc>
        <w:tc>
          <w:tcPr>
            <w:tcW w:w="2047" w:type="dxa"/>
            <w:vAlign w:val="center"/>
          </w:tcPr>
          <w:p w:rsidR="0027267B" w:rsidRPr="005E3D65" w:rsidRDefault="00CE7C58">
            <w:pPr>
              <w:jc w:val="right"/>
              <w:rPr>
                <w:sz w:val="18"/>
                <w:szCs w:val="18"/>
              </w:rPr>
            </w:pPr>
            <w:r w:rsidRPr="005E3D65">
              <w:rPr>
                <w:sz w:val="18"/>
                <w:szCs w:val="18"/>
              </w:rPr>
              <w:t>156,940,008.33</w:t>
            </w:r>
          </w:p>
        </w:tc>
        <w:tc>
          <w:tcPr>
            <w:tcW w:w="2048" w:type="dxa"/>
            <w:vAlign w:val="center"/>
          </w:tcPr>
          <w:p w:rsidR="0027267B" w:rsidRPr="005E3D65" w:rsidRDefault="0027267B">
            <w:pPr>
              <w:jc w:val="right"/>
              <w:rPr>
                <w:sz w:val="18"/>
                <w:szCs w:val="18"/>
              </w:rPr>
            </w:pPr>
            <w:r w:rsidRPr="005E3D65">
              <w:rPr>
                <w:sz w:val="18"/>
                <w:szCs w:val="18"/>
              </w:rPr>
              <w:t>153,546,259.23</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在建工程</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12</w:t>
            </w:r>
          </w:p>
        </w:tc>
        <w:tc>
          <w:tcPr>
            <w:tcW w:w="2047" w:type="dxa"/>
            <w:vAlign w:val="center"/>
          </w:tcPr>
          <w:p w:rsidR="0027267B" w:rsidRPr="005E3D65" w:rsidRDefault="00CE7C58">
            <w:pPr>
              <w:jc w:val="right"/>
              <w:rPr>
                <w:sz w:val="18"/>
                <w:szCs w:val="18"/>
              </w:rPr>
            </w:pPr>
            <w:r w:rsidRPr="005E3D65">
              <w:rPr>
                <w:sz w:val="18"/>
                <w:szCs w:val="18"/>
              </w:rPr>
              <w:t>1,217,719,113.72</w:t>
            </w:r>
          </w:p>
        </w:tc>
        <w:tc>
          <w:tcPr>
            <w:tcW w:w="2048" w:type="dxa"/>
            <w:vAlign w:val="center"/>
          </w:tcPr>
          <w:p w:rsidR="0027267B" w:rsidRPr="005E3D65" w:rsidRDefault="0027267B">
            <w:pPr>
              <w:jc w:val="right"/>
              <w:rPr>
                <w:sz w:val="18"/>
                <w:szCs w:val="18"/>
              </w:rPr>
            </w:pPr>
            <w:r w:rsidRPr="005E3D65">
              <w:rPr>
                <w:sz w:val="18"/>
                <w:szCs w:val="18"/>
              </w:rPr>
              <w:t>367,890,779.46</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使用权资产</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13</w:t>
            </w:r>
          </w:p>
        </w:tc>
        <w:tc>
          <w:tcPr>
            <w:tcW w:w="2047" w:type="dxa"/>
            <w:vAlign w:val="center"/>
          </w:tcPr>
          <w:p w:rsidR="0027267B" w:rsidRPr="005E3D65" w:rsidRDefault="00CE7C58">
            <w:pPr>
              <w:jc w:val="right"/>
              <w:rPr>
                <w:sz w:val="18"/>
                <w:szCs w:val="18"/>
              </w:rPr>
            </w:pPr>
            <w:r w:rsidRPr="005E3D65">
              <w:rPr>
                <w:sz w:val="18"/>
                <w:szCs w:val="18"/>
              </w:rPr>
              <w:t>50,156,676.36</w:t>
            </w:r>
          </w:p>
        </w:tc>
        <w:tc>
          <w:tcPr>
            <w:tcW w:w="2048" w:type="dxa"/>
            <w:vAlign w:val="center"/>
          </w:tcPr>
          <w:p w:rsidR="0027267B" w:rsidRPr="005E3D65" w:rsidRDefault="0027267B">
            <w:pPr>
              <w:jc w:val="right"/>
              <w:rPr>
                <w:sz w:val="18"/>
                <w:szCs w:val="18"/>
              </w:rPr>
            </w:pPr>
            <w:r w:rsidRPr="005E3D65">
              <w:rPr>
                <w:sz w:val="18"/>
                <w:szCs w:val="18"/>
              </w:rPr>
              <w:t>84,433,600.93</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无形资产</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14</w:t>
            </w:r>
          </w:p>
        </w:tc>
        <w:tc>
          <w:tcPr>
            <w:tcW w:w="2047" w:type="dxa"/>
            <w:vAlign w:val="center"/>
          </w:tcPr>
          <w:p w:rsidR="0027267B" w:rsidRPr="005E3D65" w:rsidRDefault="00CE7C58">
            <w:pPr>
              <w:jc w:val="right"/>
              <w:rPr>
                <w:sz w:val="18"/>
                <w:szCs w:val="18"/>
              </w:rPr>
            </w:pPr>
            <w:r w:rsidRPr="005E3D65">
              <w:rPr>
                <w:sz w:val="18"/>
                <w:szCs w:val="18"/>
              </w:rPr>
              <w:t>228,598,108.79</w:t>
            </w:r>
          </w:p>
        </w:tc>
        <w:tc>
          <w:tcPr>
            <w:tcW w:w="2048" w:type="dxa"/>
            <w:vAlign w:val="center"/>
          </w:tcPr>
          <w:p w:rsidR="0027267B" w:rsidRPr="005E3D65" w:rsidRDefault="0027267B">
            <w:pPr>
              <w:jc w:val="right"/>
              <w:rPr>
                <w:sz w:val="18"/>
                <w:szCs w:val="18"/>
              </w:rPr>
            </w:pPr>
            <w:r w:rsidRPr="005E3D65">
              <w:rPr>
                <w:sz w:val="18"/>
                <w:szCs w:val="18"/>
              </w:rPr>
              <w:t>233,541,519.79</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长期待摊费用</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15</w:t>
            </w:r>
          </w:p>
        </w:tc>
        <w:tc>
          <w:tcPr>
            <w:tcW w:w="2047" w:type="dxa"/>
            <w:vAlign w:val="center"/>
          </w:tcPr>
          <w:p w:rsidR="0027267B" w:rsidRPr="005E3D65" w:rsidRDefault="00CE7C58">
            <w:pPr>
              <w:jc w:val="right"/>
              <w:rPr>
                <w:sz w:val="18"/>
                <w:szCs w:val="18"/>
              </w:rPr>
            </w:pPr>
            <w:r w:rsidRPr="005E3D65">
              <w:rPr>
                <w:sz w:val="18"/>
                <w:szCs w:val="18"/>
              </w:rPr>
              <w:t>5,652,129.90</w:t>
            </w:r>
          </w:p>
        </w:tc>
        <w:tc>
          <w:tcPr>
            <w:tcW w:w="2048" w:type="dxa"/>
            <w:vAlign w:val="center"/>
          </w:tcPr>
          <w:p w:rsidR="0027267B" w:rsidRPr="005E3D65" w:rsidRDefault="0027267B">
            <w:pPr>
              <w:jc w:val="right"/>
              <w:rPr>
                <w:sz w:val="18"/>
                <w:szCs w:val="18"/>
              </w:rPr>
            </w:pPr>
            <w:r w:rsidRPr="005E3D65">
              <w:rPr>
                <w:sz w:val="18"/>
                <w:szCs w:val="18"/>
              </w:rPr>
              <w:t>7,440,676.77</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递延所得税资产</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16</w:t>
            </w:r>
          </w:p>
        </w:tc>
        <w:tc>
          <w:tcPr>
            <w:tcW w:w="2047" w:type="dxa"/>
            <w:vAlign w:val="center"/>
          </w:tcPr>
          <w:p w:rsidR="0027267B" w:rsidRPr="005E3D65" w:rsidRDefault="00743C97">
            <w:pPr>
              <w:jc w:val="right"/>
              <w:rPr>
                <w:sz w:val="18"/>
                <w:szCs w:val="18"/>
              </w:rPr>
            </w:pPr>
            <w:r w:rsidRPr="005E3D65">
              <w:rPr>
                <w:sz w:val="18"/>
                <w:szCs w:val="18"/>
              </w:rPr>
              <w:t>128,980,470.76</w:t>
            </w:r>
          </w:p>
        </w:tc>
        <w:tc>
          <w:tcPr>
            <w:tcW w:w="2048" w:type="dxa"/>
            <w:vAlign w:val="center"/>
          </w:tcPr>
          <w:p w:rsidR="0027267B" w:rsidRPr="005E3D65" w:rsidRDefault="00743C97">
            <w:pPr>
              <w:jc w:val="right"/>
              <w:rPr>
                <w:sz w:val="18"/>
                <w:szCs w:val="18"/>
              </w:rPr>
            </w:pPr>
            <w:r w:rsidRPr="005E3D65">
              <w:rPr>
                <w:sz w:val="18"/>
                <w:szCs w:val="18"/>
              </w:rPr>
              <w:t>98,825,780.99</w:t>
            </w:r>
          </w:p>
        </w:tc>
      </w:tr>
      <w:tr w:rsidR="0027267B" w:rsidRPr="005E3D65" w:rsidTr="0027505B">
        <w:trPr>
          <w:trHeight w:val="20"/>
        </w:trPr>
        <w:tc>
          <w:tcPr>
            <w:tcW w:w="4558" w:type="dxa"/>
            <w:shd w:val="clear" w:color="auto" w:fill="D9D9D9"/>
            <w:vAlign w:val="center"/>
          </w:tcPr>
          <w:p w:rsidR="0027267B" w:rsidRPr="005E3D65" w:rsidRDefault="0027267B" w:rsidP="0027267B">
            <w:pPr>
              <w:tabs>
                <w:tab w:val="left" w:pos="168"/>
              </w:tabs>
              <w:rPr>
                <w:sz w:val="18"/>
                <w:szCs w:val="18"/>
              </w:rPr>
            </w:pPr>
            <w:r w:rsidRPr="005E3D65">
              <w:rPr>
                <w:sz w:val="18"/>
                <w:szCs w:val="18"/>
              </w:rPr>
              <w:tab/>
            </w:r>
            <w:r w:rsidRPr="005E3D65">
              <w:rPr>
                <w:rFonts w:hint="eastAsia"/>
                <w:sz w:val="18"/>
                <w:szCs w:val="18"/>
              </w:rPr>
              <w:t>其他非流动资产</w:t>
            </w:r>
          </w:p>
        </w:tc>
        <w:tc>
          <w:tcPr>
            <w:tcW w:w="1512" w:type="dxa"/>
            <w:vAlign w:val="center"/>
          </w:tcPr>
          <w:p w:rsidR="0027267B" w:rsidRPr="005E3D65" w:rsidRDefault="005F14EE" w:rsidP="0027267B">
            <w:pPr>
              <w:jc w:val="center"/>
              <w:rPr>
                <w:sz w:val="18"/>
                <w:szCs w:val="18"/>
              </w:rPr>
            </w:pPr>
            <w:r w:rsidRPr="005E3D65">
              <w:rPr>
                <w:sz w:val="18"/>
                <w:szCs w:val="18"/>
              </w:rPr>
              <w:t>(</w:t>
            </w:r>
            <w:r w:rsidR="0027267B" w:rsidRPr="005E3D65">
              <w:rPr>
                <w:rFonts w:hint="eastAsia"/>
                <w:sz w:val="18"/>
                <w:szCs w:val="18"/>
              </w:rPr>
              <w:t>五</w:t>
            </w:r>
            <w:r w:rsidRPr="005E3D65">
              <w:rPr>
                <w:sz w:val="18"/>
                <w:szCs w:val="18"/>
              </w:rPr>
              <w:t>)</w:t>
            </w:r>
            <w:r w:rsidR="0027267B" w:rsidRPr="005E3D65">
              <w:rPr>
                <w:sz w:val="18"/>
                <w:szCs w:val="18"/>
              </w:rPr>
              <w:t>17</w:t>
            </w:r>
          </w:p>
        </w:tc>
        <w:tc>
          <w:tcPr>
            <w:tcW w:w="2047" w:type="dxa"/>
            <w:vAlign w:val="center"/>
          </w:tcPr>
          <w:p w:rsidR="0027267B" w:rsidRPr="005E3D65" w:rsidRDefault="00743C97">
            <w:pPr>
              <w:jc w:val="right"/>
              <w:rPr>
                <w:sz w:val="18"/>
                <w:szCs w:val="18"/>
              </w:rPr>
            </w:pPr>
            <w:r w:rsidRPr="005E3D65">
              <w:rPr>
                <w:sz w:val="18"/>
                <w:szCs w:val="18"/>
              </w:rPr>
              <w:t>4,515,471.29</w:t>
            </w:r>
          </w:p>
        </w:tc>
        <w:tc>
          <w:tcPr>
            <w:tcW w:w="2048" w:type="dxa"/>
            <w:vAlign w:val="center"/>
          </w:tcPr>
          <w:p w:rsidR="0027267B" w:rsidRPr="005E3D65" w:rsidRDefault="0027267B">
            <w:pPr>
              <w:jc w:val="right"/>
              <w:rPr>
                <w:sz w:val="18"/>
                <w:szCs w:val="18"/>
              </w:rPr>
            </w:pPr>
            <w:r w:rsidRPr="005E3D65">
              <w:rPr>
                <w:sz w:val="18"/>
                <w:szCs w:val="18"/>
              </w:rPr>
              <w:t>3,726,739.31</w:t>
            </w:r>
          </w:p>
        </w:tc>
      </w:tr>
      <w:tr w:rsidR="0027267B" w:rsidRPr="005E3D65" w:rsidTr="0027505B">
        <w:trPr>
          <w:trHeight w:val="20"/>
        </w:trPr>
        <w:tc>
          <w:tcPr>
            <w:tcW w:w="4558" w:type="dxa"/>
            <w:shd w:val="clear" w:color="auto" w:fill="D9D9D9"/>
            <w:vAlign w:val="center"/>
          </w:tcPr>
          <w:p w:rsidR="0027267B" w:rsidRPr="005E3D65" w:rsidRDefault="0027267B" w:rsidP="0027267B">
            <w:pPr>
              <w:rPr>
                <w:b/>
                <w:sz w:val="18"/>
                <w:szCs w:val="18"/>
              </w:rPr>
            </w:pPr>
            <w:r w:rsidRPr="005E3D65">
              <w:rPr>
                <w:rFonts w:hint="eastAsia"/>
                <w:b/>
                <w:sz w:val="18"/>
                <w:szCs w:val="18"/>
              </w:rPr>
              <w:t>非流动资产合计</w:t>
            </w:r>
          </w:p>
        </w:tc>
        <w:tc>
          <w:tcPr>
            <w:tcW w:w="1512" w:type="dxa"/>
            <w:vAlign w:val="center"/>
          </w:tcPr>
          <w:p w:rsidR="0027267B" w:rsidRPr="005E3D65" w:rsidRDefault="0027267B" w:rsidP="0027267B">
            <w:pPr>
              <w:jc w:val="center"/>
              <w:rPr>
                <w:sz w:val="18"/>
                <w:szCs w:val="18"/>
              </w:rPr>
            </w:pPr>
          </w:p>
        </w:tc>
        <w:tc>
          <w:tcPr>
            <w:tcW w:w="2047" w:type="dxa"/>
            <w:vAlign w:val="center"/>
          </w:tcPr>
          <w:p w:rsidR="0027267B" w:rsidRPr="005E3D65" w:rsidRDefault="00743C97">
            <w:pPr>
              <w:jc w:val="right"/>
              <w:rPr>
                <w:b/>
                <w:sz w:val="18"/>
                <w:szCs w:val="18"/>
              </w:rPr>
            </w:pPr>
            <w:r w:rsidRPr="005E3D65">
              <w:rPr>
                <w:b/>
                <w:sz w:val="18"/>
                <w:szCs w:val="18"/>
              </w:rPr>
              <w:t>1,808,421,760.86</w:t>
            </w:r>
          </w:p>
        </w:tc>
        <w:tc>
          <w:tcPr>
            <w:tcW w:w="2048" w:type="dxa"/>
            <w:vAlign w:val="center"/>
          </w:tcPr>
          <w:p w:rsidR="0027267B" w:rsidRPr="005E3D65" w:rsidRDefault="00743C97">
            <w:pPr>
              <w:jc w:val="right"/>
              <w:rPr>
                <w:b/>
                <w:sz w:val="18"/>
                <w:szCs w:val="18"/>
              </w:rPr>
            </w:pPr>
            <w:r w:rsidRPr="005E3D65">
              <w:rPr>
                <w:b/>
                <w:sz w:val="18"/>
                <w:szCs w:val="18"/>
              </w:rPr>
              <w:t>967,828,955.46</w:t>
            </w:r>
          </w:p>
        </w:tc>
      </w:tr>
      <w:tr w:rsidR="0027267B" w:rsidRPr="005E3D65" w:rsidTr="0027505B">
        <w:trPr>
          <w:trHeight w:val="20"/>
        </w:trPr>
        <w:tc>
          <w:tcPr>
            <w:tcW w:w="4558" w:type="dxa"/>
            <w:shd w:val="clear" w:color="auto" w:fill="D9D9D9"/>
            <w:vAlign w:val="center"/>
          </w:tcPr>
          <w:p w:rsidR="0027267B" w:rsidRPr="005E3D65" w:rsidRDefault="0027267B" w:rsidP="0027267B">
            <w:pPr>
              <w:rPr>
                <w:b/>
                <w:sz w:val="18"/>
                <w:szCs w:val="18"/>
              </w:rPr>
            </w:pPr>
            <w:r w:rsidRPr="005E3D65">
              <w:rPr>
                <w:rFonts w:hint="eastAsia"/>
                <w:b/>
                <w:sz w:val="18"/>
                <w:szCs w:val="18"/>
              </w:rPr>
              <w:t>资产总计</w:t>
            </w:r>
          </w:p>
        </w:tc>
        <w:tc>
          <w:tcPr>
            <w:tcW w:w="1512" w:type="dxa"/>
            <w:vAlign w:val="center"/>
          </w:tcPr>
          <w:p w:rsidR="0027267B" w:rsidRPr="005E3D65" w:rsidRDefault="0027267B" w:rsidP="0027267B">
            <w:pPr>
              <w:jc w:val="center"/>
              <w:rPr>
                <w:sz w:val="18"/>
                <w:szCs w:val="18"/>
              </w:rPr>
            </w:pPr>
          </w:p>
        </w:tc>
        <w:tc>
          <w:tcPr>
            <w:tcW w:w="2047" w:type="dxa"/>
            <w:vAlign w:val="center"/>
          </w:tcPr>
          <w:p w:rsidR="0027267B" w:rsidRPr="005E3D65" w:rsidRDefault="00C65539">
            <w:pPr>
              <w:jc w:val="right"/>
              <w:rPr>
                <w:b/>
                <w:bCs/>
                <w:color w:val="000000"/>
                <w:sz w:val="18"/>
                <w:szCs w:val="18"/>
              </w:rPr>
            </w:pPr>
            <w:r w:rsidRPr="005E3D65">
              <w:rPr>
                <w:b/>
                <w:bCs/>
                <w:color w:val="000000"/>
                <w:sz w:val="18"/>
                <w:szCs w:val="18"/>
              </w:rPr>
              <w:t>8,192,575,262.24</w:t>
            </w:r>
          </w:p>
        </w:tc>
        <w:tc>
          <w:tcPr>
            <w:tcW w:w="2048" w:type="dxa"/>
            <w:vAlign w:val="center"/>
          </w:tcPr>
          <w:p w:rsidR="0027267B" w:rsidRPr="005E3D65" w:rsidRDefault="00743C97">
            <w:pPr>
              <w:jc w:val="right"/>
              <w:rPr>
                <w:b/>
                <w:bCs/>
                <w:color w:val="000000"/>
                <w:sz w:val="18"/>
                <w:szCs w:val="18"/>
              </w:rPr>
            </w:pPr>
            <w:r w:rsidRPr="005E3D65">
              <w:rPr>
                <w:b/>
                <w:bCs/>
                <w:color w:val="000000"/>
                <w:sz w:val="18"/>
                <w:szCs w:val="18"/>
              </w:rPr>
              <w:t>7,183,539,207.15</w:t>
            </w:r>
          </w:p>
        </w:tc>
      </w:tr>
    </w:tbl>
    <w:p w:rsidR="0051472B" w:rsidRPr="00A71D2E" w:rsidRDefault="0051472B">
      <w:pPr>
        <w:rPr>
          <w:rFonts w:eastAsia="宋体" w:cs="Times New Roman"/>
          <w:szCs w:val="21"/>
        </w:rPr>
      </w:pPr>
    </w:p>
    <w:p w:rsidR="0051472B" w:rsidRPr="00A71D2E" w:rsidRDefault="00B07360">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51472B" w:rsidRPr="00A71D2E">
        <w:rPr>
          <w:rFonts w:eastAsia="宋体" w:cs="Times New Roman" w:hint="eastAsia"/>
          <w:szCs w:val="21"/>
        </w:rPr>
        <w:t>页至</w:t>
      </w:r>
      <w:r w:rsidR="00F84572" w:rsidRPr="00A71D2E">
        <w:rPr>
          <w:rFonts w:eastAsia="宋体" w:cs="Times New Roman" w:hint="eastAsia"/>
          <w:szCs w:val="21"/>
        </w:rPr>
        <w:t>第</w:t>
      </w:r>
      <w:r w:rsidR="006208D2" w:rsidRPr="00F43E13">
        <w:rPr>
          <w:rFonts w:eastAsia="宋体" w:cs="Times New Roman"/>
          <w:szCs w:val="21"/>
        </w:rPr>
        <w:t>8</w:t>
      </w:r>
      <w:r w:rsidR="00E25E50">
        <w:rPr>
          <w:rFonts w:eastAsia="宋体" w:cs="Times New Roman"/>
          <w:szCs w:val="21"/>
        </w:rPr>
        <w:t>4</w:t>
      </w:r>
      <w:r w:rsidR="0051472B" w:rsidRPr="00A71D2E">
        <w:rPr>
          <w:rFonts w:eastAsia="宋体" w:cs="Times New Roman" w:hint="eastAsia"/>
          <w:szCs w:val="21"/>
        </w:rPr>
        <w:t>页的财务报表由下列负责人签署</w:t>
      </w:r>
      <w:r w:rsidR="005F14EE">
        <w:rPr>
          <w:rFonts w:eastAsia="宋体" w:cs="Times New Roman" w:hint="eastAsia"/>
          <w:szCs w:val="21"/>
        </w:rPr>
        <w:t>：</w:t>
      </w:r>
    </w:p>
    <w:p w:rsidR="0051472B" w:rsidRPr="00A71D2E" w:rsidRDefault="0051472B">
      <w:pPr>
        <w:rPr>
          <w:rFonts w:eastAsia="宋体" w:cs="Times New Roman"/>
          <w:szCs w:val="21"/>
        </w:rPr>
      </w:pPr>
    </w:p>
    <w:p w:rsidR="0051472B" w:rsidRPr="00A71D2E" w:rsidRDefault="0051472B">
      <w:pPr>
        <w:rPr>
          <w:rFonts w:eastAsia="宋体" w:cs="Times New Roman"/>
          <w:szCs w:val="21"/>
        </w:rPr>
      </w:pPr>
    </w:p>
    <w:p w:rsidR="0051472B" w:rsidRPr="00A71D2E" w:rsidRDefault="0051472B">
      <w:pPr>
        <w:rPr>
          <w:rFonts w:eastAsia="宋体" w:cs="Times New Roman"/>
          <w:szCs w:val="21"/>
        </w:rPr>
      </w:pPr>
    </w:p>
    <w:p w:rsidR="0051472B" w:rsidRPr="00A71D2E" w:rsidRDefault="0051472B">
      <w:pPr>
        <w:rPr>
          <w:rFonts w:eastAsia="宋体" w:cs="Times New Roman"/>
          <w:szCs w:val="21"/>
        </w:rPr>
      </w:pPr>
    </w:p>
    <w:p w:rsidR="0051472B" w:rsidRPr="00A71D2E" w:rsidRDefault="0051472B">
      <w:pPr>
        <w:rPr>
          <w:rFonts w:eastAsia="宋体" w:cs="Times New Roman"/>
          <w:szCs w:val="21"/>
        </w:rPr>
      </w:pP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_____________________</w:t>
      </w:r>
      <w:r w:rsidRPr="00A71D2E">
        <w:rPr>
          <w:rFonts w:eastAsia="宋体" w:cs="Times New Roman"/>
          <w:szCs w:val="21"/>
        </w:rPr>
        <w:tab/>
        <w:t>_____________________</w:t>
      </w: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r>
      <w:r w:rsidRPr="00A71D2E">
        <w:rPr>
          <w:rFonts w:eastAsia="宋体" w:cs="Times New Roman" w:hint="eastAsia"/>
          <w:szCs w:val="21"/>
        </w:rPr>
        <w:t>法定代表人</w:t>
      </w:r>
      <w:r w:rsidRPr="00A71D2E">
        <w:rPr>
          <w:rFonts w:eastAsia="宋体" w:cs="Times New Roman"/>
          <w:szCs w:val="21"/>
        </w:rPr>
        <w:tab/>
      </w:r>
      <w:r w:rsidRPr="00A71D2E">
        <w:rPr>
          <w:rFonts w:eastAsia="宋体" w:cs="Times New Roman" w:hint="eastAsia"/>
          <w:szCs w:val="21"/>
        </w:rPr>
        <w:t>主管会计工作负责人</w:t>
      </w:r>
      <w:r w:rsidRPr="00A71D2E">
        <w:rPr>
          <w:rFonts w:eastAsia="宋体" w:cs="Times New Roman"/>
          <w:szCs w:val="21"/>
        </w:rPr>
        <w:tab/>
      </w:r>
      <w:r w:rsidRPr="00A71D2E">
        <w:rPr>
          <w:rFonts w:eastAsia="宋体" w:cs="Times New Roman" w:hint="eastAsia"/>
          <w:szCs w:val="21"/>
        </w:rPr>
        <w:t>会计机构负责人</w:t>
      </w:r>
    </w:p>
    <w:p w:rsidR="0051472B" w:rsidRPr="00A71D2E" w:rsidRDefault="0051472B">
      <w:pPr>
        <w:widowControl w:val="0"/>
        <w:rPr>
          <w:rFonts w:eastAsia="宋体" w:cs="Times New Roman"/>
          <w:kern w:val="2"/>
          <w:szCs w:val="21"/>
        </w:rPr>
      </w:pPr>
    </w:p>
    <w:p w:rsidR="00B755FC" w:rsidRPr="00A71D2E" w:rsidRDefault="00B755FC">
      <w:pPr>
        <w:ind w:firstLine="2"/>
        <w:rPr>
          <w:rFonts w:eastAsia="宋体" w:cs="Times New Roman"/>
          <w:szCs w:val="21"/>
        </w:rPr>
      </w:pPr>
      <w:r w:rsidRPr="00A71D2E">
        <w:rPr>
          <w:rFonts w:eastAsia="宋体" w:cs="Times New Roman"/>
          <w:kern w:val="2"/>
          <w:szCs w:val="21"/>
        </w:rPr>
        <w:br w:type="page"/>
      </w:r>
    </w:p>
    <w:p w:rsidR="00291954" w:rsidRPr="00A71D2E" w:rsidRDefault="00A5385F" w:rsidP="005E3D65">
      <w:pPr>
        <w:tabs>
          <w:tab w:val="left" w:pos="10170"/>
        </w:tabs>
        <w:rPr>
          <w:rFonts w:eastAsia="宋体" w:cs="Times New Roman"/>
          <w:szCs w:val="21"/>
          <w:u w:val="single"/>
        </w:rPr>
      </w:pPr>
      <w:r w:rsidRPr="00A71D2E">
        <w:rPr>
          <w:rFonts w:eastAsia="宋体" w:cs="Times New Roman"/>
          <w:szCs w:val="21"/>
          <w:u w:val="single"/>
        </w:rPr>
        <w:t>202</w:t>
      </w:r>
      <w:r w:rsidR="000A0FCB">
        <w:rPr>
          <w:rFonts w:eastAsia="宋体" w:cs="Times New Roman"/>
          <w:szCs w:val="21"/>
          <w:u w:val="single"/>
        </w:rPr>
        <w:t>3</w:t>
      </w:r>
      <w:r w:rsidRPr="00A71D2E">
        <w:rPr>
          <w:rFonts w:eastAsia="宋体" w:cs="Times New Roman" w:hint="eastAsia"/>
          <w:szCs w:val="21"/>
          <w:u w:val="single"/>
        </w:rPr>
        <w:t>年</w:t>
      </w:r>
      <w:r w:rsidR="00716C10" w:rsidRPr="00A71D2E">
        <w:rPr>
          <w:rFonts w:eastAsia="宋体" w:cs="Times New Roman"/>
          <w:szCs w:val="21"/>
          <w:u w:val="single"/>
        </w:rPr>
        <w:t>12</w:t>
      </w:r>
      <w:r w:rsidRPr="00A71D2E">
        <w:rPr>
          <w:rFonts w:eastAsia="宋体" w:cs="Times New Roman" w:hint="eastAsia"/>
          <w:szCs w:val="21"/>
          <w:u w:val="single"/>
        </w:rPr>
        <w:t>月</w:t>
      </w:r>
      <w:r w:rsidR="00716C10" w:rsidRPr="00A71D2E">
        <w:rPr>
          <w:rFonts w:eastAsia="宋体" w:cs="Times New Roman"/>
          <w:szCs w:val="21"/>
          <w:u w:val="single"/>
        </w:rPr>
        <w:t>31</w:t>
      </w:r>
      <w:r w:rsidRPr="00A71D2E">
        <w:rPr>
          <w:rFonts w:eastAsia="宋体" w:cs="Times New Roman" w:hint="eastAsia"/>
          <w:szCs w:val="21"/>
          <w:u w:val="single"/>
        </w:rPr>
        <w:t>日</w:t>
      </w:r>
      <w:r w:rsidR="00291954" w:rsidRPr="00A71D2E">
        <w:rPr>
          <w:rFonts w:eastAsia="宋体" w:cs="Times New Roman"/>
          <w:szCs w:val="21"/>
          <w:u w:val="single"/>
        </w:rPr>
        <w:tab/>
      </w:r>
    </w:p>
    <w:p w:rsidR="006F3692" w:rsidRPr="00A71D2E" w:rsidRDefault="006F3692">
      <w:pPr>
        <w:rPr>
          <w:rFonts w:eastAsia="宋体" w:cs="Times New Roman"/>
          <w:bCs/>
          <w:szCs w:val="21"/>
        </w:rPr>
      </w:pPr>
    </w:p>
    <w:p w:rsidR="00B755FC" w:rsidRPr="00A71D2E" w:rsidRDefault="00B755FC">
      <w:pPr>
        <w:jc w:val="center"/>
        <w:rPr>
          <w:rFonts w:eastAsia="宋体" w:cs="Times New Roman"/>
          <w:szCs w:val="21"/>
        </w:rPr>
      </w:pPr>
      <w:r w:rsidRPr="00A71D2E">
        <w:rPr>
          <w:rFonts w:eastAsia="宋体" w:cs="Times New Roman" w:hint="eastAsia"/>
          <w:b/>
          <w:bCs/>
          <w:szCs w:val="21"/>
        </w:rPr>
        <w:t>合并资产负债表</w:t>
      </w:r>
      <w:r w:rsidRPr="00A71D2E">
        <w:rPr>
          <w:rFonts w:eastAsia="宋体" w:cs="Times New Roman"/>
          <w:bCs/>
          <w:szCs w:val="21"/>
        </w:rPr>
        <w:t xml:space="preserve"> - </w:t>
      </w:r>
      <w:r w:rsidRPr="00A71D2E">
        <w:rPr>
          <w:rFonts w:eastAsia="宋体" w:cs="Times New Roman" w:hint="eastAsia"/>
          <w:bCs/>
          <w:szCs w:val="21"/>
        </w:rPr>
        <w:t>续</w:t>
      </w:r>
    </w:p>
    <w:p w:rsidR="00B755FC" w:rsidRPr="00A71D2E" w:rsidRDefault="00461604">
      <w:pPr>
        <w:jc w:val="right"/>
        <w:rPr>
          <w:rFonts w:eastAsia="宋体" w:cs="Times New Roman"/>
          <w:bCs/>
          <w:szCs w:val="21"/>
        </w:rPr>
      </w:pPr>
      <w:r w:rsidRPr="00A71D2E">
        <w:rPr>
          <w:rFonts w:eastAsia="宋体" w:cs="Times New Roman" w:hint="eastAsia"/>
          <w:bCs/>
          <w:szCs w:val="21"/>
        </w:rPr>
        <w:t>单位</w:t>
      </w:r>
      <w:r w:rsidR="005F14EE">
        <w:rPr>
          <w:rFonts w:eastAsia="宋体" w:cs="Times New Roman" w:hint="eastAsia"/>
          <w:bCs/>
          <w:szCs w:val="21"/>
        </w:rPr>
        <w:t>：</w:t>
      </w:r>
      <w:r w:rsidR="00B755FC" w:rsidRPr="00A71D2E">
        <w:rPr>
          <w:rFonts w:eastAsia="宋体" w:cs="Times New Roman" w:hint="eastAsia"/>
          <w:bCs/>
          <w:szCs w:val="21"/>
        </w:rPr>
        <w:t>人民币元</w:t>
      </w:r>
    </w:p>
    <w:tbl>
      <w:tblPr>
        <w:tblStyle w:val="aff5"/>
        <w:tblW w:w="0" w:type="auto"/>
        <w:tblLayout w:type="fixed"/>
        <w:tblLook w:val="04A0" w:firstRow="1" w:lastRow="0" w:firstColumn="1" w:lastColumn="0" w:noHBand="0" w:noVBand="1"/>
      </w:tblPr>
      <w:tblGrid>
        <w:gridCol w:w="4558"/>
        <w:gridCol w:w="1512"/>
        <w:gridCol w:w="2052"/>
        <w:gridCol w:w="2043"/>
      </w:tblGrid>
      <w:tr w:rsidR="00F90566" w:rsidRPr="005E3D65" w:rsidTr="0027505B">
        <w:trPr>
          <w:trHeight w:val="20"/>
        </w:trPr>
        <w:tc>
          <w:tcPr>
            <w:tcW w:w="4558" w:type="dxa"/>
            <w:shd w:val="clear" w:color="auto" w:fill="D9D9D9"/>
            <w:vAlign w:val="center"/>
          </w:tcPr>
          <w:p w:rsidR="00F90566" w:rsidRPr="005E3D65" w:rsidRDefault="00F90566">
            <w:pPr>
              <w:jc w:val="center"/>
              <w:rPr>
                <w:sz w:val="18"/>
                <w:szCs w:val="18"/>
              </w:rPr>
            </w:pPr>
            <w:r w:rsidRPr="005E3D65">
              <w:rPr>
                <w:rFonts w:hint="eastAsia"/>
                <w:sz w:val="18"/>
                <w:szCs w:val="18"/>
              </w:rPr>
              <w:t>项目</w:t>
            </w:r>
          </w:p>
        </w:tc>
        <w:tc>
          <w:tcPr>
            <w:tcW w:w="1512" w:type="dxa"/>
            <w:shd w:val="clear" w:color="auto" w:fill="D9D9D9"/>
            <w:vAlign w:val="center"/>
          </w:tcPr>
          <w:p w:rsidR="00F90566" w:rsidRPr="005E3D65" w:rsidRDefault="00F90566">
            <w:pPr>
              <w:jc w:val="center"/>
              <w:rPr>
                <w:sz w:val="18"/>
                <w:szCs w:val="18"/>
              </w:rPr>
            </w:pPr>
            <w:r w:rsidRPr="005E3D65">
              <w:rPr>
                <w:rFonts w:hint="eastAsia"/>
                <w:sz w:val="18"/>
                <w:szCs w:val="18"/>
              </w:rPr>
              <w:t>附注</w:t>
            </w:r>
          </w:p>
        </w:tc>
        <w:tc>
          <w:tcPr>
            <w:tcW w:w="2052" w:type="dxa"/>
            <w:shd w:val="clear" w:color="auto" w:fill="D9D9D9"/>
            <w:vAlign w:val="center"/>
          </w:tcPr>
          <w:p w:rsidR="00F90566" w:rsidRPr="005E3D65" w:rsidRDefault="00F90566" w:rsidP="0027505B">
            <w:pPr>
              <w:jc w:val="center"/>
              <w:rPr>
                <w:sz w:val="18"/>
                <w:szCs w:val="18"/>
              </w:rPr>
            </w:pPr>
            <w:r w:rsidRPr="005E3D65">
              <w:rPr>
                <w:rFonts w:hint="eastAsia"/>
                <w:sz w:val="18"/>
                <w:szCs w:val="18"/>
              </w:rPr>
              <w:t>本年年末余额</w:t>
            </w:r>
          </w:p>
        </w:tc>
        <w:tc>
          <w:tcPr>
            <w:tcW w:w="2043" w:type="dxa"/>
            <w:shd w:val="clear" w:color="auto" w:fill="D9D9D9"/>
            <w:vAlign w:val="center"/>
          </w:tcPr>
          <w:p w:rsidR="00F90566" w:rsidRPr="005E3D65" w:rsidRDefault="00F90566" w:rsidP="0027505B">
            <w:pPr>
              <w:jc w:val="center"/>
              <w:rPr>
                <w:sz w:val="18"/>
                <w:szCs w:val="18"/>
              </w:rPr>
            </w:pPr>
            <w:r w:rsidRPr="005E3D65">
              <w:rPr>
                <w:rFonts w:hint="eastAsia"/>
                <w:sz w:val="18"/>
                <w:szCs w:val="18"/>
              </w:rPr>
              <w:t>上年年末余额</w:t>
            </w:r>
          </w:p>
          <w:p w:rsidR="00743C97" w:rsidRPr="005E3D65" w:rsidRDefault="005F14EE" w:rsidP="0027505B">
            <w:pPr>
              <w:jc w:val="center"/>
              <w:rPr>
                <w:sz w:val="18"/>
                <w:szCs w:val="18"/>
              </w:rPr>
            </w:pPr>
            <w:r w:rsidRPr="005E3D65">
              <w:rPr>
                <w:rFonts w:hint="eastAsia"/>
                <w:sz w:val="18"/>
                <w:szCs w:val="18"/>
              </w:rPr>
              <w:t>(</w:t>
            </w:r>
            <w:r w:rsidR="00743C97" w:rsidRPr="005E3D65">
              <w:rPr>
                <w:rFonts w:hint="eastAsia"/>
                <w:sz w:val="18"/>
                <w:szCs w:val="18"/>
              </w:rPr>
              <w:t>已重述</w:t>
            </w:r>
            <w:r w:rsidRPr="005E3D65">
              <w:rPr>
                <w:rFonts w:hint="eastAsia"/>
                <w:sz w:val="18"/>
                <w:szCs w:val="18"/>
              </w:rPr>
              <w:t>)</w:t>
            </w:r>
          </w:p>
        </w:tc>
      </w:tr>
      <w:tr w:rsidR="00A1700B" w:rsidRPr="005E3D65" w:rsidTr="0027505B">
        <w:trPr>
          <w:trHeight w:val="20"/>
        </w:trPr>
        <w:tc>
          <w:tcPr>
            <w:tcW w:w="4558" w:type="dxa"/>
            <w:shd w:val="clear" w:color="auto" w:fill="D9D9D9"/>
            <w:vAlign w:val="center"/>
          </w:tcPr>
          <w:p w:rsidR="00A1700B" w:rsidRPr="005E3D65" w:rsidRDefault="00A1700B">
            <w:pPr>
              <w:rPr>
                <w:b/>
                <w:sz w:val="18"/>
                <w:szCs w:val="18"/>
              </w:rPr>
            </w:pPr>
            <w:r w:rsidRPr="005E3D65">
              <w:rPr>
                <w:rFonts w:hint="eastAsia"/>
                <w:b/>
                <w:sz w:val="18"/>
                <w:szCs w:val="18"/>
              </w:rPr>
              <w:t>流动负债</w:t>
            </w:r>
            <w:r w:rsidR="005F14EE" w:rsidRPr="005E3D65">
              <w:rPr>
                <w:rFonts w:hint="eastAsia"/>
                <w:b/>
                <w:sz w:val="18"/>
                <w:szCs w:val="18"/>
              </w:rPr>
              <w:t>：</w:t>
            </w:r>
          </w:p>
        </w:tc>
        <w:tc>
          <w:tcPr>
            <w:tcW w:w="1512" w:type="dxa"/>
            <w:shd w:val="clear" w:color="auto" w:fill="D9D9D9"/>
            <w:vAlign w:val="center"/>
          </w:tcPr>
          <w:p w:rsidR="00A1700B" w:rsidRPr="005E3D65" w:rsidRDefault="00A1700B">
            <w:pPr>
              <w:jc w:val="center"/>
              <w:rPr>
                <w:sz w:val="18"/>
                <w:szCs w:val="18"/>
              </w:rPr>
            </w:pPr>
          </w:p>
        </w:tc>
        <w:tc>
          <w:tcPr>
            <w:tcW w:w="2052" w:type="dxa"/>
            <w:shd w:val="clear" w:color="auto" w:fill="D9D9D9"/>
            <w:vAlign w:val="center"/>
          </w:tcPr>
          <w:p w:rsidR="00A1700B" w:rsidRPr="005E3D65" w:rsidRDefault="00A1700B">
            <w:pPr>
              <w:jc w:val="right"/>
              <w:rPr>
                <w:sz w:val="18"/>
                <w:szCs w:val="18"/>
              </w:rPr>
            </w:pPr>
          </w:p>
        </w:tc>
        <w:tc>
          <w:tcPr>
            <w:tcW w:w="2043" w:type="dxa"/>
            <w:shd w:val="clear" w:color="auto" w:fill="D9D9D9"/>
            <w:vAlign w:val="center"/>
          </w:tcPr>
          <w:p w:rsidR="00A1700B" w:rsidRPr="005E3D65" w:rsidRDefault="00A1700B">
            <w:pPr>
              <w:jc w:val="right"/>
              <w:rPr>
                <w:sz w:val="18"/>
                <w:szCs w:val="18"/>
              </w:rPr>
            </w:pP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b/>
                <w:sz w:val="18"/>
                <w:szCs w:val="18"/>
              </w:rPr>
            </w:pPr>
            <w:r w:rsidRPr="005E3D65">
              <w:rPr>
                <w:sz w:val="18"/>
                <w:szCs w:val="18"/>
              </w:rPr>
              <w:tab/>
            </w:r>
            <w:r w:rsidRPr="005E3D65">
              <w:rPr>
                <w:rFonts w:hint="eastAsia"/>
                <w:sz w:val="18"/>
                <w:szCs w:val="18"/>
              </w:rPr>
              <w:t>短期借款</w:t>
            </w:r>
          </w:p>
        </w:tc>
        <w:tc>
          <w:tcPr>
            <w:tcW w:w="1512" w:type="dxa"/>
            <w:shd w:val="clear" w:color="auto" w:fill="auto"/>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1</w:t>
            </w:r>
            <w:r w:rsidR="0036095E" w:rsidRPr="005E3D65">
              <w:rPr>
                <w:sz w:val="18"/>
                <w:szCs w:val="18"/>
              </w:rPr>
              <w:t>9</w:t>
            </w:r>
          </w:p>
        </w:tc>
        <w:tc>
          <w:tcPr>
            <w:tcW w:w="2052" w:type="dxa"/>
            <w:shd w:val="clear" w:color="auto" w:fill="auto"/>
            <w:vAlign w:val="center"/>
          </w:tcPr>
          <w:p w:rsidR="000A0FCB" w:rsidRPr="005E3D65" w:rsidRDefault="00743C97">
            <w:pPr>
              <w:wordWrap w:val="0"/>
              <w:jc w:val="right"/>
              <w:rPr>
                <w:sz w:val="18"/>
                <w:szCs w:val="18"/>
              </w:rPr>
            </w:pPr>
            <w:r w:rsidRPr="005E3D65">
              <w:rPr>
                <w:sz w:val="18"/>
                <w:szCs w:val="18"/>
              </w:rPr>
              <w:t>-</w:t>
            </w:r>
            <w:r w:rsidR="0037058E" w:rsidRPr="005E3D65">
              <w:rPr>
                <w:sz w:val="18"/>
                <w:szCs w:val="18"/>
              </w:rPr>
              <w:t>    </w:t>
            </w:r>
          </w:p>
        </w:tc>
        <w:tc>
          <w:tcPr>
            <w:tcW w:w="2043" w:type="dxa"/>
            <w:shd w:val="clear" w:color="auto" w:fill="auto"/>
            <w:vAlign w:val="center"/>
          </w:tcPr>
          <w:p w:rsidR="000A0FCB" w:rsidRPr="005E3D65" w:rsidRDefault="000A0FCB">
            <w:pPr>
              <w:jc w:val="right"/>
              <w:rPr>
                <w:sz w:val="18"/>
                <w:szCs w:val="18"/>
              </w:rPr>
            </w:pPr>
            <w:r w:rsidRPr="005E3D65">
              <w:rPr>
                <w:sz w:val="18"/>
                <w:szCs w:val="18"/>
              </w:rPr>
              <w:t>200,165,000.00</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应付票据</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36095E" w:rsidRPr="005E3D65">
              <w:rPr>
                <w:sz w:val="18"/>
                <w:szCs w:val="18"/>
              </w:rPr>
              <w:t>20</w:t>
            </w:r>
          </w:p>
        </w:tc>
        <w:tc>
          <w:tcPr>
            <w:tcW w:w="2052" w:type="dxa"/>
            <w:vAlign w:val="center"/>
          </w:tcPr>
          <w:p w:rsidR="000A0FCB" w:rsidRPr="005E3D65" w:rsidRDefault="00743C97">
            <w:pPr>
              <w:jc w:val="right"/>
              <w:rPr>
                <w:sz w:val="18"/>
                <w:szCs w:val="18"/>
              </w:rPr>
            </w:pPr>
            <w:r w:rsidRPr="005E3D65">
              <w:rPr>
                <w:sz w:val="18"/>
                <w:szCs w:val="18"/>
              </w:rPr>
              <w:t>179,892,364.61</w:t>
            </w:r>
          </w:p>
        </w:tc>
        <w:tc>
          <w:tcPr>
            <w:tcW w:w="2043" w:type="dxa"/>
            <w:vAlign w:val="center"/>
          </w:tcPr>
          <w:p w:rsidR="000A0FCB" w:rsidRPr="005E3D65" w:rsidRDefault="000A0FCB">
            <w:pPr>
              <w:jc w:val="right"/>
              <w:rPr>
                <w:sz w:val="18"/>
                <w:szCs w:val="18"/>
              </w:rPr>
            </w:pPr>
            <w:r w:rsidRPr="005E3D65">
              <w:rPr>
                <w:sz w:val="18"/>
                <w:szCs w:val="18"/>
              </w:rPr>
              <w:t>143,496,422.45</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应付账款</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2</w:t>
            </w:r>
            <w:r w:rsidR="0036095E" w:rsidRPr="005E3D65">
              <w:rPr>
                <w:sz w:val="18"/>
                <w:szCs w:val="18"/>
              </w:rPr>
              <w:t>1</w:t>
            </w:r>
          </w:p>
        </w:tc>
        <w:tc>
          <w:tcPr>
            <w:tcW w:w="2052" w:type="dxa"/>
            <w:vAlign w:val="center"/>
          </w:tcPr>
          <w:p w:rsidR="000A0FCB" w:rsidRPr="005E3D65" w:rsidRDefault="00C65539">
            <w:pPr>
              <w:jc w:val="right"/>
              <w:rPr>
                <w:sz w:val="18"/>
                <w:szCs w:val="18"/>
              </w:rPr>
            </w:pPr>
            <w:r w:rsidRPr="005E3D65">
              <w:rPr>
                <w:sz w:val="18"/>
                <w:szCs w:val="18"/>
              </w:rPr>
              <w:t>1,307,459,168.11</w:t>
            </w:r>
          </w:p>
        </w:tc>
        <w:tc>
          <w:tcPr>
            <w:tcW w:w="2043" w:type="dxa"/>
            <w:vAlign w:val="center"/>
          </w:tcPr>
          <w:p w:rsidR="000A0FCB" w:rsidRPr="005E3D65" w:rsidRDefault="000A0FCB">
            <w:pPr>
              <w:jc w:val="right"/>
              <w:rPr>
                <w:sz w:val="18"/>
                <w:szCs w:val="18"/>
              </w:rPr>
            </w:pPr>
            <w:r w:rsidRPr="005E3D65">
              <w:rPr>
                <w:sz w:val="18"/>
                <w:szCs w:val="18"/>
              </w:rPr>
              <w:t>781,687,259.59</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合同负债</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2</w:t>
            </w:r>
            <w:r w:rsidR="0036095E" w:rsidRPr="005E3D65">
              <w:rPr>
                <w:sz w:val="18"/>
                <w:szCs w:val="18"/>
              </w:rPr>
              <w:t>2</w:t>
            </w:r>
          </w:p>
        </w:tc>
        <w:tc>
          <w:tcPr>
            <w:tcW w:w="2052" w:type="dxa"/>
            <w:vAlign w:val="center"/>
          </w:tcPr>
          <w:p w:rsidR="000A0FCB" w:rsidRPr="005E3D65" w:rsidRDefault="00743C97">
            <w:pPr>
              <w:jc w:val="right"/>
              <w:rPr>
                <w:sz w:val="18"/>
                <w:szCs w:val="18"/>
              </w:rPr>
            </w:pPr>
            <w:r w:rsidRPr="005E3D65">
              <w:rPr>
                <w:sz w:val="18"/>
                <w:szCs w:val="18"/>
              </w:rPr>
              <w:t>345,586,368.79</w:t>
            </w:r>
          </w:p>
        </w:tc>
        <w:tc>
          <w:tcPr>
            <w:tcW w:w="2043" w:type="dxa"/>
            <w:vAlign w:val="center"/>
          </w:tcPr>
          <w:p w:rsidR="000A0FCB" w:rsidRPr="005E3D65" w:rsidRDefault="000A0FCB">
            <w:pPr>
              <w:jc w:val="right"/>
              <w:rPr>
                <w:sz w:val="18"/>
                <w:szCs w:val="18"/>
              </w:rPr>
            </w:pPr>
            <w:r w:rsidRPr="005E3D65">
              <w:rPr>
                <w:sz w:val="18"/>
                <w:szCs w:val="18"/>
              </w:rPr>
              <w:t>259,544,232.75</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应付职工薪酬</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2</w:t>
            </w:r>
            <w:r w:rsidR="0036095E" w:rsidRPr="005E3D65">
              <w:rPr>
                <w:sz w:val="18"/>
                <w:szCs w:val="18"/>
              </w:rPr>
              <w:t>3</w:t>
            </w:r>
          </w:p>
        </w:tc>
        <w:tc>
          <w:tcPr>
            <w:tcW w:w="2052" w:type="dxa"/>
            <w:vAlign w:val="center"/>
          </w:tcPr>
          <w:p w:rsidR="000A0FCB" w:rsidRPr="005E3D65" w:rsidRDefault="00743C97">
            <w:pPr>
              <w:jc w:val="right"/>
              <w:rPr>
                <w:sz w:val="18"/>
                <w:szCs w:val="18"/>
              </w:rPr>
            </w:pPr>
            <w:r w:rsidRPr="005E3D65">
              <w:rPr>
                <w:sz w:val="18"/>
                <w:szCs w:val="18"/>
              </w:rPr>
              <w:t>299,565,383.57</w:t>
            </w:r>
          </w:p>
        </w:tc>
        <w:tc>
          <w:tcPr>
            <w:tcW w:w="2043" w:type="dxa"/>
            <w:vAlign w:val="center"/>
          </w:tcPr>
          <w:p w:rsidR="000A0FCB" w:rsidRPr="005E3D65" w:rsidRDefault="000A0FCB">
            <w:pPr>
              <w:jc w:val="right"/>
              <w:rPr>
                <w:sz w:val="18"/>
                <w:szCs w:val="18"/>
              </w:rPr>
            </w:pPr>
            <w:r w:rsidRPr="005E3D65">
              <w:rPr>
                <w:sz w:val="18"/>
                <w:szCs w:val="18"/>
              </w:rPr>
              <w:t>244,501,025.80</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应交税费</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2</w:t>
            </w:r>
            <w:r w:rsidR="0036095E" w:rsidRPr="005E3D65">
              <w:rPr>
                <w:sz w:val="18"/>
                <w:szCs w:val="18"/>
              </w:rPr>
              <w:t>4</w:t>
            </w:r>
          </w:p>
        </w:tc>
        <w:tc>
          <w:tcPr>
            <w:tcW w:w="2052" w:type="dxa"/>
            <w:vAlign w:val="center"/>
          </w:tcPr>
          <w:p w:rsidR="000A0FCB" w:rsidRPr="005E3D65" w:rsidRDefault="00C65539">
            <w:pPr>
              <w:jc w:val="right"/>
              <w:rPr>
                <w:sz w:val="18"/>
                <w:szCs w:val="18"/>
              </w:rPr>
            </w:pPr>
            <w:r w:rsidRPr="005E3D65">
              <w:rPr>
                <w:sz w:val="18"/>
                <w:szCs w:val="18"/>
              </w:rPr>
              <w:t>38,422,148.27</w:t>
            </w:r>
          </w:p>
        </w:tc>
        <w:tc>
          <w:tcPr>
            <w:tcW w:w="2043" w:type="dxa"/>
            <w:vAlign w:val="center"/>
          </w:tcPr>
          <w:p w:rsidR="000A0FCB" w:rsidRPr="005E3D65" w:rsidRDefault="000A0FCB">
            <w:pPr>
              <w:jc w:val="right"/>
              <w:rPr>
                <w:sz w:val="18"/>
                <w:szCs w:val="18"/>
              </w:rPr>
            </w:pPr>
            <w:r w:rsidRPr="005E3D65">
              <w:rPr>
                <w:sz w:val="18"/>
                <w:szCs w:val="18"/>
              </w:rPr>
              <w:t>46,095,205.30</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其他应付款</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2</w:t>
            </w:r>
            <w:r w:rsidR="0036095E" w:rsidRPr="005E3D65">
              <w:rPr>
                <w:sz w:val="18"/>
                <w:szCs w:val="18"/>
              </w:rPr>
              <w:t>5</w:t>
            </w:r>
          </w:p>
        </w:tc>
        <w:tc>
          <w:tcPr>
            <w:tcW w:w="2052" w:type="dxa"/>
            <w:vAlign w:val="center"/>
          </w:tcPr>
          <w:p w:rsidR="000A0FCB" w:rsidRPr="005E3D65" w:rsidRDefault="00743C97">
            <w:pPr>
              <w:jc w:val="right"/>
              <w:rPr>
                <w:sz w:val="18"/>
                <w:szCs w:val="18"/>
              </w:rPr>
            </w:pPr>
            <w:r w:rsidRPr="005E3D65">
              <w:rPr>
                <w:sz w:val="18"/>
                <w:szCs w:val="18"/>
              </w:rPr>
              <w:t>148,863,312.52</w:t>
            </w:r>
          </w:p>
        </w:tc>
        <w:tc>
          <w:tcPr>
            <w:tcW w:w="2043" w:type="dxa"/>
            <w:vAlign w:val="center"/>
          </w:tcPr>
          <w:p w:rsidR="000A0FCB" w:rsidRPr="005E3D65" w:rsidRDefault="000A0FCB">
            <w:pPr>
              <w:jc w:val="right"/>
              <w:rPr>
                <w:sz w:val="18"/>
                <w:szCs w:val="18"/>
              </w:rPr>
            </w:pPr>
            <w:r w:rsidRPr="005E3D65">
              <w:rPr>
                <w:sz w:val="18"/>
                <w:szCs w:val="18"/>
              </w:rPr>
              <w:t>118,627,013.56</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一年内到期的非流动负债</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2</w:t>
            </w:r>
            <w:r w:rsidR="0036095E" w:rsidRPr="005E3D65">
              <w:rPr>
                <w:sz w:val="18"/>
                <w:szCs w:val="18"/>
              </w:rPr>
              <w:t>6</w:t>
            </w:r>
          </w:p>
        </w:tc>
        <w:tc>
          <w:tcPr>
            <w:tcW w:w="2052" w:type="dxa"/>
            <w:vAlign w:val="center"/>
          </w:tcPr>
          <w:p w:rsidR="000A0FCB" w:rsidRPr="005E3D65" w:rsidRDefault="00743C97">
            <w:pPr>
              <w:jc w:val="right"/>
              <w:rPr>
                <w:sz w:val="18"/>
                <w:szCs w:val="18"/>
              </w:rPr>
            </w:pPr>
            <w:r w:rsidRPr="005E3D65">
              <w:rPr>
                <w:sz w:val="18"/>
                <w:szCs w:val="18"/>
              </w:rPr>
              <w:t>45,204,153.10</w:t>
            </w:r>
          </w:p>
        </w:tc>
        <w:tc>
          <w:tcPr>
            <w:tcW w:w="2043" w:type="dxa"/>
            <w:vAlign w:val="center"/>
          </w:tcPr>
          <w:p w:rsidR="000A0FCB" w:rsidRPr="005E3D65" w:rsidRDefault="000A0FCB">
            <w:pPr>
              <w:jc w:val="right"/>
              <w:rPr>
                <w:sz w:val="18"/>
                <w:szCs w:val="18"/>
              </w:rPr>
            </w:pPr>
            <w:r w:rsidRPr="005E3D65">
              <w:rPr>
                <w:sz w:val="18"/>
                <w:szCs w:val="18"/>
              </w:rPr>
              <w:t>52,278,577.02</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ind w:firstLineChars="100" w:firstLine="180"/>
              <w:rPr>
                <w:sz w:val="18"/>
                <w:szCs w:val="18"/>
              </w:rPr>
            </w:pPr>
            <w:r w:rsidRPr="005E3D65">
              <w:rPr>
                <w:rFonts w:hint="eastAsia"/>
                <w:sz w:val="18"/>
                <w:szCs w:val="18"/>
              </w:rPr>
              <w:t>其他流动负债</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2</w:t>
            </w:r>
            <w:r w:rsidR="0036095E" w:rsidRPr="005E3D65">
              <w:rPr>
                <w:sz w:val="18"/>
                <w:szCs w:val="18"/>
              </w:rPr>
              <w:t>7</w:t>
            </w:r>
          </w:p>
        </w:tc>
        <w:tc>
          <w:tcPr>
            <w:tcW w:w="2052" w:type="dxa"/>
            <w:vAlign w:val="center"/>
          </w:tcPr>
          <w:p w:rsidR="000A0FCB" w:rsidRPr="005E3D65" w:rsidRDefault="00743C97">
            <w:pPr>
              <w:jc w:val="right"/>
              <w:rPr>
                <w:sz w:val="18"/>
                <w:szCs w:val="18"/>
              </w:rPr>
            </w:pPr>
            <w:r w:rsidRPr="005E3D65">
              <w:rPr>
                <w:sz w:val="18"/>
                <w:szCs w:val="18"/>
              </w:rPr>
              <w:t>2,445,583.43</w:t>
            </w:r>
          </w:p>
        </w:tc>
        <w:tc>
          <w:tcPr>
            <w:tcW w:w="2043" w:type="dxa"/>
            <w:vAlign w:val="center"/>
          </w:tcPr>
          <w:p w:rsidR="000A0FCB" w:rsidRPr="005E3D65" w:rsidRDefault="000A0FCB">
            <w:pPr>
              <w:jc w:val="right"/>
              <w:rPr>
                <w:sz w:val="18"/>
                <w:szCs w:val="18"/>
              </w:rPr>
            </w:pPr>
            <w:r w:rsidRPr="005E3D65">
              <w:rPr>
                <w:sz w:val="18"/>
                <w:szCs w:val="18"/>
              </w:rPr>
              <w:t>2,100,708.85</w:t>
            </w:r>
          </w:p>
        </w:tc>
      </w:tr>
      <w:tr w:rsidR="000A0FCB" w:rsidRPr="005E3D65" w:rsidTr="0027505B">
        <w:trPr>
          <w:trHeight w:val="20"/>
        </w:trPr>
        <w:tc>
          <w:tcPr>
            <w:tcW w:w="4558" w:type="dxa"/>
            <w:shd w:val="clear" w:color="auto" w:fill="D9D9D9"/>
            <w:vAlign w:val="center"/>
          </w:tcPr>
          <w:p w:rsidR="000A0FCB" w:rsidRPr="005E3D65" w:rsidRDefault="000A0FCB" w:rsidP="000A0FCB">
            <w:pPr>
              <w:rPr>
                <w:b/>
                <w:sz w:val="18"/>
                <w:szCs w:val="18"/>
              </w:rPr>
            </w:pPr>
            <w:r w:rsidRPr="005E3D65">
              <w:rPr>
                <w:rFonts w:hint="eastAsia"/>
                <w:b/>
                <w:sz w:val="18"/>
                <w:szCs w:val="18"/>
              </w:rPr>
              <w:t>流动负债合计</w:t>
            </w:r>
          </w:p>
        </w:tc>
        <w:tc>
          <w:tcPr>
            <w:tcW w:w="1512" w:type="dxa"/>
            <w:vAlign w:val="center"/>
          </w:tcPr>
          <w:p w:rsidR="000A0FCB" w:rsidRPr="005E3D65" w:rsidRDefault="000A0FCB" w:rsidP="000A0FCB">
            <w:pPr>
              <w:jc w:val="center"/>
              <w:rPr>
                <w:sz w:val="18"/>
                <w:szCs w:val="18"/>
              </w:rPr>
            </w:pPr>
          </w:p>
        </w:tc>
        <w:tc>
          <w:tcPr>
            <w:tcW w:w="2052" w:type="dxa"/>
            <w:vAlign w:val="center"/>
          </w:tcPr>
          <w:p w:rsidR="000A0FCB" w:rsidRPr="005E3D65" w:rsidRDefault="00C65539">
            <w:pPr>
              <w:jc w:val="right"/>
              <w:rPr>
                <w:b/>
                <w:sz w:val="18"/>
                <w:szCs w:val="18"/>
              </w:rPr>
            </w:pPr>
            <w:r w:rsidRPr="005E3D65">
              <w:rPr>
                <w:b/>
                <w:sz w:val="18"/>
                <w:szCs w:val="18"/>
              </w:rPr>
              <w:t>2,367,438,482.40</w:t>
            </w:r>
          </w:p>
        </w:tc>
        <w:tc>
          <w:tcPr>
            <w:tcW w:w="2043" w:type="dxa"/>
            <w:vAlign w:val="center"/>
          </w:tcPr>
          <w:p w:rsidR="000A0FCB" w:rsidRPr="005E3D65" w:rsidRDefault="000A0FCB">
            <w:pPr>
              <w:jc w:val="right"/>
              <w:rPr>
                <w:b/>
                <w:sz w:val="18"/>
                <w:szCs w:val="18"/>
              </w:rPr>
            </w:pPr>
            <w:r w:rsidRPr="005E3D65">
              <w:rPr>
                <w:b/>
                <w:sz w:val="18"/>
                <w:szCs w:val="18"/>
              </w:rPr>
              <w:t>1,848,495,445.32</w:t>
            </w:r>
          </w:p>
        </w:tc>
      </w:tr>
      <w:tr w:rsidR="000A0FCB" w:rsidRPr="005E3D65" w:rsidTr="0027505B">
        <w:trPr>
          <w:trHeight w:val="20"/>
        </w:trPr>
        <w:tc>
          <w:tcPr>
            <w:tcW w:w="4558" w:type="dxa"/>
            <w:shd w:val="clear" w:color="auto" w:fill="D9D9D9"/>
            <w:vAlign w:val="center"/>
          </w:tcPr>
          <w:p w:rsidR="000A0FCB" w:rsidRPr="005E3D65" w:rsidRDefault="000A0FCB" w:rsidP="000A0FCB">
            <w:pPr>
              <w:rPr>
                <w:b/>
                <w:sz w:val="18"/>
                <w:szCs w:val="18"/>
              </w:rPr>
            </w:pPr>
            <w:r w:rsidRPr="005E3D65">
              <w:rPr>
                <w:rFonts w:hint="eastAsia"/>
                <w:b/>
                <w:sz w:val="18"/>
                <w:szCs w:val="18"/>
              </w:rPr>
              <w:t>非流动负债</w:t>
            </w:r>
            <w:r w:rsidR="005F14EE" w:rsidRPr="005E3D65">
              <w:rPr>
                <w:rFonts w:hint="eastAsia"/>
                <w:b/>
                <w:sz w:val="18"/>
                <w:szCs w:val="18"/>
              </w:rPr>
              <w:t>：</w:t>
            </w:r>
          </w:p>
        </w:tc>
        <w:tc>
          <w:tcPr>
            <w:tcW w:w="1512" w:type="dxa"/>
            <w:vAlign w:val="center"/>
          </w:tcPr>
          <w:p w:rsidR="000A0FCB" w:rsidRPr="005E3D65" w:rsidRDefault="000A0FCB" w:rsidP="000A0FCB">
            <w:pPr>
              <w:jc w:val="center"/>
              <w:rPr>
                <w:sz w:val="18"/>
                <w:szCs w:val="18"/>
              </w:rPr>
            </w:pPr>
          </w:p>
        </w:tc>
        <w:tc>
          <w:tcPr>
            <w:tcW w:w="2052" w:type="dxa"/>
            <w:vAlign w:val="center"/>
          </w:tcPr>
          <w:p w:rsidR="000A0FCB" w:rsidRPr="005E3D65" w:rsidRDefault="000A0FCB">
            <w:pPr>
              <w:jc w:val="right"/>
              <w:rPr>
                <w:sz w:val="18"/>
                <w:szCs w:val="18"/>
              </w:rPr>
            </w:pPr>
          </w:p>
        </w:tc>
        <w:tc>
          <w:tcPr>
            <w:tcW w:w="2043" w:type="dxa"/>
            <w:vAlign w:val="center"/>
          </w:tcPr>
          <w:p w:rsidR="000A0FCB" w:rsidRPr="005E3D65" w:rsidRDefault="000A0FCB">
            <w:pPr>
              <w:jc w:val="right"/>
              <w:rPr>
                <w:sz w:val="18"/>
                <w:szCs w:val="18"/>
              </w:rPr>
            </w:pP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4"/>
              </w:tabs>
              <w:rPr>
                <w:b/>
                <w:sz w:val="18"/>
                <w:szCs w:val="18"/>
              </w:rPr>
            </w:pPr>
            <w:r w:rsidRPr="005E3D65">
              <w:rPr>
                <w:sz w:val="18"/>
                <w:szCs w:val="18"/>
              </w:rPr>
              <w:tab/>
            </w:r>
            <w:r w:rsidRPr="005E3D65">
              <w:rPr>
                <w:rFonts w:hint="eastAsia"/>
                <w:sz w:val="18"/>
                <w:szCs w:val="18"/>
              </w:rPr>
              <w:t>长期借款</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2</w:t>
            </w:r>
            <w:r w:rsidR="0036095E" w:rsidRPr="005E3D65">
              <w:rPr>
                <w:sz w:val="18"/>
                <w:szCs w:val="18"/>
              </w:rPr>
              <w:t>8</w:t>
            </w:r>
          </w:p>
        </w:tc>
        <w:tc>
          <w:tcPr>
            <w:tcW w:w="2052" w:type="dxa"/>
            <w:vAlign w:val="center"/>
          </w:tcPr>
          <w:p w:rsidR="000A0FCB" w:rsidRPr="005E3D65" w:rsidRDefault="005E0042">
            <w:pPr>
              <w:jc w:val="right"/>
              <w:rPr>
                <w:sz w:val="18"/>
                <w:szCs w:val="18"/>
              </w:rPr>
            </w:pPr>
            <w:r w:rsidRPr="005E3D65">
              <w:rPr>
                <w:sz w:val="18"/>
                <w:szCs w:val="18"/>
              </w:rPr>
              <w:t>319,337,031.25</w:t>
            </w:r>
          </w:p>
        </w:tc>
        <w:tc>
          <w:tcPr>
            <w:tcW w:w="2043" w:type="dxa"/>
            <w:vAlign w:val="center"/>
          </w:tcPr>
          <w:p w:rsidR="000A0FCB" w:rsidRPr="005E3D65" w:rsidRDefault="000A0FCB">
            <w:pPr>
              <w:jc w:val="right"/>
              <w:rPr>
                <w:sz w:val="18"/>
                <w:szCs w:val="18"/>
              </w:rPr>
            </w:pPr>
            <w:r w:rsidRPr="005E3D65">
              <w:rPr>
                <w:sz w:val="18"/>
                <w:szCs w:val="18"/>
              </w:rPr>
              <w:t>227,811,259.46</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租赁负债</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2</w:t>
            </w:r>
            <w:r w:rsidR="0036095E" w:rsidRPr="005E3D65">
              <w:rPr>
                <w:sz w:val="18"/>
                <w:szCs w:val="18"/>
              </w:rPr>
              <w:t>9</w:t>
            </w:r>
          </w:p>
        </w:tc>
        <w:tc>
          <w:tcPr>
            <w:tcW w:w="2052" w:type="dxa"/>
            <w:vAlign w:val="center"/>
          </w:tcPr>
          <w:p w:rsidR="000A0FCB" w:rsidRPr="005E3D65" w:rsidRDefault="005E0042">
            <w:pPr>
              <w:jc w:val="right"/>
              <w:rPr>
                <w:sz w:val="18"/>
                <w:szCs w:val="18"/>
              </w:rPr>
            </w:pPr>
            <w:r w:rsidRPr="005E3D65">
              <w:rPr>
                <w:sz w:val="18"/>
                <w:szCs w:val="18"/>
              </w:rPr>
              <w:t>13,959,692.30</w:t>
            </w:r>
          </w:p>
        </w:tc>
        <w:tc>
          <w:tcPr>
            <w:tcW w:w="2043" w:type="dxa"/>
            <w:vAlign w:val="center"/>
          </w:tcPr>
          <w:p w:rsidR="000A0FCB" w:rsidRPr="005E3D65" w:rsidRDefault="000A0FCB">
            <w:pPr>
              <w:jc w:val="right"/>
              <w:rPr>
                <w:sz w:val="18"/>
                <w:szCs w:val="18"/>
              </w:rPr>
            </w:pPr>
            <w:r w:rsidRPr="005E3D65">
              <w:rPr>
                <w:sz w:val="18"/>
                <w:szCs w:val="18"/>
              </w:rPr>
              <w:t>44,095,300.99</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预计负债</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36095E" w:rsidRPr="005E3D65">
              <w:rPr>
                <w:sz w:val="18"/>
                <w:szCs w:val="18"/>
              </w:rPr>
              <w:t>30</w:t>
            </w:r>
          </w:p>
        </w:tc>
        <w:tc>
          <w:tcPr>
            <w:tcW w:w="2052" w:type="dxa"/>
            <w:vAlign w:val="center"/>
          </w:tcPr>
          <w:p w:rsidR="000A0FCB" w:rsidRPr="005E3D65" w:rsidRDefault="005E0042">
            <w:pPr>
              <w:jc w:val="right"/>
              <w:rPr>
                <w:sz w:val="18"/>
                <w:szCs w:val="18"/>
              </w:rPr>
            </w:pPr>
            <w:r w:rsidRPr="005E3D65">
              <w:rPr>
                <w:sz w:val="18"/>
                <w:szCs w:val="18"/>
              </w:rPr>
              <w:t>12,428,738.35</w:t>
            </w:r>
          </w:p>
        </w:tc>
        <w:tc>
          <w:tcPr>
            <w:tcW w:w="2043" w:type="dxa"/>
            <w:vAlign w:val="center"/>
          </w:tcPr>
          <w:p w:rsidR="000A0FCB" w:rsidRPr="005E3D65" w:rsidRDefault="000A0FCB">
            <w:pPr>
              <w:jc w:val="right"/>
              <w:rPr>
                <w:sz w:val="18"/>
                <w:szCs w:val="18"/>
              </w:rPr>
            </w:pPr>
            <w:r w:rsidRPr="005E3D65">
              <w:rPr>
                <w:sz w:val="18"/>
                <w:szCs w:val="18"/>
              </w:rPr>
              <w:t>7,849,236.67</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递延收益</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3</w:t>
            </w:r>
            <w:r w:rsidR="0036095E" w:rsidRPr="005E3D65">
              <w:rPr>
                <w:sz w:val="18"/>
                <w:szCs w:val="18"/>
              </w:rPr>
              <w:t>1</w:t>
            </w:r>
          </w:p>
        </w:tc>
        <w:tc>
          <w:tcPr>
            <w:tcW w:w="2052" w:type="dxa"/>
            <w:vAlign w:val="center"/>
          </w:tcPr>
          <w:p w:rsidR="000A0FCB" w:rsidRPr="005E3D65" w:rsidRDefault="00743C97">
            <w:pPr>
              <w:jc w:val="right"/>
              <w:rPr>
                <w:sz w:val="18"/>
                <w:szCs w:val="18"/>
              </w:rPr>
            </w:pPr>
            <w:r w:rsidRPr="005E3D65">
              <w:rPr>
                <w:sz w:val="18"/>
                <w:szCs w:val="18"/>
              </w:rPr>
              <w:t>184,278,194.20</w:t>
            </w:r>
          </w:p>
        </w:tc>
        <w:tc>
          <w:tcPr>
            <w:tcW w:w="2043" w:type="dxa"/>
            <w:vAlign w:val="center"/>
          </w:tcPr>
          <w:p w:rsidR="000A0FCB" w:rsidRPr="005E3D65" w:rsidRDefault="000A0FCB">
            <w:pPr>
              <w:jc w:val="right"/>
              <w:rPr>
                <w:sz w:val="18"/>
                <w:szCs w:val="18"/>
              </w:rPr>
            </w:pPr>
            <w:r w:rsidRPr="005E3D65">
              <w:rPr>
                <w:sz w:val="18"/>
                <w:szCs w:val="18"/>
              </w:rPr>
              <w:t>169,348,274.05</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其他非流动负债</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3</w:t>
            </w:r>
            <w:r w:rsidR="0036095E" w:rsidRPr="005E3D65">
              <w:rPr>
                <w:sz w:val="18"/>
                <w:szCs w:val="18"/>
              </w:rPr>
              <w:t>2</w:t>
            </w:r>
          </w:p>
        </w:tc>
        <w:tc>
          <w:tcPr>
            <w:tcW w:w="2052" w:type="dxa"/>
            <w:vAlign w:val="center"/>
          </w:tcPr>
          <w:p w:rsidR="000A0FCB" w:rsidRPr="005E3D65" w:rsidRDefault="005E0042">
            <w:pPr>
              <w:jc w:val="right"/>
              <w:rPr>
                <w:sz w:val="18"/>
                <w:szCs w:val="18"/>
              </w:rPr>
            </w:pPr>
            <w:r w:rsidRPr="005E3D65">
              <w:rPr>
                <w:sz w:val="18"/>
                <w:szCs w:val="18"/>
              </w:rPr>
              <w:t>30,140,767.27</w:t>
            </w:r>
          </w:p>
        </w:tc>
        <w:tc>
          <w:tcPr>
            <w:tcW w:w="2043" w:type="dxa"/>
            <w:vAlign w:val="center"/>
          </w:tcPr>
          <w:p w:rsidR="000A0FCB" w:rsidRPr="005E3D65" w:rsidRDefault="000A0FCB">
            <w:pPr>
              <w:jc w:val="right"/>
              <w:rPr>
                <w:sz w:val="18"/>
                <w:szCs w:val="18"/>
              </w:rPr>
            </w:pPr>
            <w:r w:rsidRPr="005E3D65">
              <w:rPr>
                <w:sz w:val="18"/>
                <w:szCs w:val="18"/>
              </w:rPr>
              <w:t>24,939,037.54</w:t>
            </w:r>
          </w:p>
        </w:tc>
      </w:tr>
      <w:tr w:rsidR="000A0FCB" w:rsidRPr="005E3D65" w:rsidTr="0027505B">
        <w:trPr>
          <w:trHeight w:val="20"/>
        </w:trPr>
        <w:tc>
          <w:tcPr>
            <w:tcW w:w="4558" w:type="dxa"/>
            <w:shd w:val="clear" w:color="auto" w:fill="D9D9D9"/>
            <w:vAlign w:val="center"/>
          </w:tcPr>
          <w:p w:rsidR="000A0FCB" w:rsidRPr="005E3D65" w:rsidRDefault="000A0FCB" w:rsidP="000A0FCB">
            <w:pPr>
              <w:rPr>
                <w:b/>
                <w:sz w:val="18"/>
                <w:szCs w:val="18"/>
              </w:rPr>
            </w:pPr>
            <w:r w:rsidRPr="005E3D65">
              <w:rPr>
                <w:rFonts w:hint="eastAsia"/>
                <w:b/>
                <w:sz w:val="18"/>
                <w:szCs w:val="18"/>
              </w:rPr>
              <w:t>非流动负债合计</w:t>
            </w:r>
          </w:p>
        </w:tc>
        <w:tc>
          <w:tcPr>
            <w:tcW w:w="1512" w:type="dxa"/>
            <w:vAlign w:val="center"/>
          </w:tcPr>
          <w:p w:rsidR="000A0FCB" w:rsidRPr="005E3D65" w:rsidRDefault="000A0FCB" w:rsidP="000A0FCB">
            <w:pPr>
              <w:jc w:val="center"/>
              <w:rPr>
                <w:sz w:val="18"/>
                <w:szCs w:val="18"/>
              </w:rPr>
            </w:pPr>
          </w:p>
        </w:tc>
        <w:tc>
          <w:tcPr>
            <w:tcW w:w="2052" w:type="dxa"/>
            <w:vAlign w:val="center"/>
          </w:tcPr>
          <w:p w:rsidR="000A0FCB" w:rsidRPr="005E3D65" w:rsidRDefault="005E0042">
            <w:pPr>
              <w:jc w:val="right"/>
              <w:rPr>
                <w:b/>
                <w:sz w:val="18"/>
                <w:szCs w:val="18"/>
              </w:rPr>
            </w:pPr>
            <w:r w:rsidRPr="005E3D65">
              <w:rPr>
                <w:b/>
                <w:sz w:val="18"/>
                <w:szCs w:val="18"/>
              </w:rPr>
              <w:t>560,144,423.37</w:t>
            </w:r>
          </w:p>
        </w:tc>
        <w:tc>
          <w:tcPr>
            <w:tcW w:w="2043" w:type="dxa"/>
            <w:vAlign w:val="center"/>
          </w:tcPr>
          <w:p w:rsidR="000A0FCB" w:rsidRPr="005E3D65" w:rsidRDefault="000A0FCB">
            <w:pPr>
              <w:jc w:val="right"/>
              <w:rPr>
                <w:b/>
                <w:sz w:val="18"/>
                <w:szCs w:val="18"/>
              </w:rPr>
            </w:pPr>
            <w:r w:rsidRPr="005E3D65">
              <w:rPr>
                <w:b/>
                <w:sz w:val="18"/>
                <w:szCs w:val="18"/>
              </w:rPr>
              <w:t>474,043,108.71</w:t>
            </w:r>
          </w:p>
        </w:tc>
      </w:tr>
      <w:tr w:rsidR="000A0FCB" w:rsidRPr="005E3D65" w:rsidTr="0027505B">
        <w:trPr>
          <w:trHeight w:val="20"/>
        </w:trPr>
        <w:tc>
          <w:tcPr>
            <w:tcW w:w="4558" w:type="dxa"/>
            <w:shd w:val="clear" w:color="auto" w:fill="D9D9D9"/>
            <w:vAlign w:val="center"/>
          </w:tcPr>
          <w:p w:rsidR="000A0FCB" w:rsidRPr="005E3D65" w:rsidRDefault="000A0FCB" w:rsidP="000A0FCB">
            <w:pPr>
              <w:rPr>
                <w:b/>
                <w:sz w:val="18"/>
                <w:szCs w:val="18"/>
              </w:rPr>
            </w:pPr>
            <w:r w:rsidRPr="005E3D65">
              <w:rPr>
                <w:rFonts w:hint="eastAsia"/>
                <w:b/>
                <w:sz w:val="18"/>
                <w:szCs w:val="18"/>
              </w:rPr>
              <w:t>负债合计</w:t>
            </w:r>
          </w:p>
        </w:tc>
        <w:tc>
          <w:tcPr>
            <w:tcW w:w="1512" w:type="dxa"/>
            <w:vAlign w:val="center"/>
          </w:tcPr>
          <w:p w:rsidR="000A0FCB" w:rsidRPr="005E3D65" w:rsidRDefault="000A0FCB" w:rsidP="000A0FCB">
            <w:pPr>
              <w:jc w:val="center"/>
              <w:rPr>
                <w:sz w:val="18"/>
                <w:szCs w:val="18"/>
              </w:rPr>
            </w:pPr>
          </w:p>
        </w:tc>
        <w:tc>
          <w:tcPr>
            <w:tcW w:w="2052" w:type="dxa"/>
            <w:vAlign w:val="center"/>
          </w:tcPr>
          <w:p w:rsidR="000A0FCB" w:rsidRPr="005E3D65" w:rsidRDefault="00C65539">
            <w:pPr>
              <w:jc w:val="right"/>
              <w:rPr>
                <w:b/>
                <w:sz w:val="18"/>
                <w:szCs w:val="18"/>
              </w:rPr>
            </w:pPr>
            <w:r w:rsidRPr="005E3D65">
              <w:rPr>
                <w:b/>
                <w:sz w:val="18"/>
                <w:szCs w:val="18"/>
              </w:rPr>
              <w:t>2,927,582,905.77</w:t>
            </w:r>
          </w:p>
        </w:tc>
        <w:tc>
          <w:tcPr>
            <w:tcW w:w="2043" w:type="dxa"/>
            <w:vAlign w:val="center"/>
          </w:tcPr>
          <w:p w:rsidR="000A0FCB" w:rsidRPr="005E3D65" w:rsidRDefault="000A0FCB">
            <w:pPr>
              <w:jc w:val="right"/>
              <w:rPr>
                <w:b/>
                <w:sz w:val="18"/>
                <w:szCs w:val="18"/>
              </w:rPr>
            </w:pPr>
            <w:r w:rsidRPr="005E3D65">
              <w:rPr>
                <w:b/>
                <w:sz w:val="18"/>
                <w:szCs w:val="18"/>
              </w:rPr>
              <w:t>2,322,538,554.03</w:t>
            </w:r>
          </w:p>
        </w:tc>
      </w:tr>
      <w:tr w:rsidR="000A0FCB" w:rsidRPr="005E3D65" w:rsidTr="0027505B">
        <w:trPr>
          <w:trHeight w:val="20"/>
        </w:trPr>
        <w:tc>
          <w:tcPr>
            <w:tcW w:w="4558" w:type="dxa"/>
            <w:shd w:val="clear" w:color="auto" w:fill="D9D9D9"/>
            <w:vAlign w:val="center"/>
          </w:tcPr>
          <w:p w:rsidR="000A0FCB" w:rsidRPr="005E3D65" w:rsidRDefault="000A0FCB" w:rsidP="000A0FCB">
            <w:pPr>
              <w:rPr>
                <w:b/>
                <w:sz w:val="18"/>
                <w:szCs w:val="18"/>
              </w:rPr>
            </w:pPr>
            <w:r w:rsidRPr="005E3D65">
              <w:rPr>
                <w:rFonts w:hint="eastAsia"/>
                <w:b/>
                <w:sz w:val="18"/>
                <w:szCs w:val="18"/>
              </w:rPr>
              <w:t>股东权益</w:t>
            </w:r>
            <w:r w:rsidR="005F14EE" w:rsidRPr="005E3D65">
              <w:rPr>
                <w:rFonts w:hint="eastAsia"/>
                <w:b/>
                <w:sz w:val="18"/>
                <w:szCs w:val="18"/>
              </w:rPr>
              <w:t>：</w:t>
            </w:r>
          </w:p>
        </w:tc>
        <w:tc>
          <w:tcPr>
            <w:tcW w:w="1512" w:type="dxa"/>
            <w:vAlign w:val="center"/>
          </w:tcPr>
          <w:p w:rsidR="000A0FCB" w:rsidRPr="005E3D65" w:rsidRDefault="000A0FCB" w:rsidP="000A0FCB">
            <w:pPr>
              <w:jc w:val="center"/>
              <w:rPr>
                <w:sz w:val="18"/>
                <w:szCs w:val="18"/>
              </w:rPr>
            </w:pPr>
          </w:p>
        </w:tc>
        <w:tc>
          <w:tcPr>
            <w:tcW w:w="2052" w:type="dxa"/>
            <w:vAlign w:val="center"/>
          </w:tcPr>
          <w:p w:rsidR="000A0FCB" w:rsidRPr="005E3D65" w:rsidRDefault="000A0FCB">
            <w:pPr>
              <w:jc w:val="right"/>
              <w:rPr>
                <w:sz w:val="18"/>
                <w:szCs w:val="18"/>
              </w:rPr>
            </w:pPr>
          </w:p>
        </w:tc>
        <w:tc>
          <w:tcPr>
            <w:tcW w:w="2043" w:type="dxa"/>
            <w:vAlign w:val="center"/>
          </w:tcPr>
          <w:p w:rsidR="000A0FCB" w:rsidRPr="005E3D65" w:rsidRDefault="000A0FCB">
            <w:pPr>
              <w:jc w:val="right"/>
              <w:rPr>
                <w:sz w:val="18"/>
                <w:szCs w:val="18"/>
              </w:rPr>
            </w:pP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股本</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3</w:t>
            </w:r>
            <w:r w:rsidR="0036095E" w:rsidRPr="005E3D65">
              <w:rPr>
                <w:sz w:val="18"/>
                <w:szCs w:val="18"/>
              </w:rPr>
              <w:t>3</w:t>
            </w:r>
          </w:p>
        </w:tc>
        <w:tc>
          <w:tcPr>
            <w:tcW w:w="2052" w:type="dxa"/>
            <w:vAlign w:val="center"/>
          </w:tcPr>
          <w:p w:rsidR="000A0FCB" w:rsidRPr="005E3D65" w:rsidRDefault="005E0042">
            <w:pPr>
              <w:jc w:val="right"/>
              <w:rPr>
                <w:sz w:val="18"/>
                <w:szCs w:val="18"/>
              </w:rPr>
            </w:pPr>
            <w:r w:rsidRPr="005E3D65">
              <w:rPr>
                <w:sz w:val="18"/>
                <w:szCs w:val="18"/>
              </w:rPr>
              <w:t>562,500,000.00</w:t>
            </w:r>
          </w:p>
        </w:tc>
        <w:tc>
          <w:tcPr>
            <w:tcW w:w="2043" w:type="dxa"/>
            <w:vAlign w:val="center"/>
          </w:tcPr>
          <w:p w:rsidR="000A0FCB" w:rsidRPr="005E3D65" w:rsidRDefault="000A0FCB">
            <w:pPr>
              <w:jc w:val="right"/>
              <w:rPr>
                <w:sz w:val="18"/>
                <w:szCs w:val="18"/>
              </w:rPr>
            </w:pPr>
            <w:r w:rsidRPr="005E3D65">
              <w:rPr>
                <w:sz w:val="18"/>
                <w:szCs w:val="18"/>
              </w:rPr>
              <w:t>562,500,000.00</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资本公积</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3</w:t>
            </w:r>
            <w:r w:rsidR="0036095E" w:rsidRPr="005E3D65">
              <w:rPr>
                <w:sz w:val="18"/>
                <w:szCs w:val="18"/>
              </w:rPr>
              <w:t>4</w:t>
            </w:r>
          </w:p>
        </w:tc>
        <w:tc>
          <w:tcPr>
            <w:tcW w:w="2052" w:type="dxa"/>
            <w:vAlign w:val="center"/>
          </w:tcPr>
          <w:p w:rsidR="000A0FCB" w:rsidRPr="005E3D65" w:rsidRDefault="005E0042">
            <w:pPr>
              <w:jc w:val="right"/>
              <w:rPr>
                <w:sz w:val="18"/>
                <w:szCs w:val="18"/>
              </w:rPr>
            </w:pPr>
            <w:r w:rsidRPr="005E3D65">
              <w:rPr>
                <w:sz w:val="18"/>
                <w:szCs w:val="18"/>
              </w:rPr>
              <w:t>3,346,583,123.41</w:t>
            </w:r>
          </w:p>
        </w:tc>
        <w:tc>
          <w:tcPr>
            <w:tcW w:w="2043" w:type="dxa"/>
            <w:vAlign w:val="center"/>
          </w:tcPr>
          <w:p w:rsidR="000A0FCB" w:rsidRPr="005E3D65" w:rsidRDefault="000A0FCB">
            <w:pPr>
              <w:jc w:val="right"/>
              <w:rPr>
                <w:sz w:val="18"/>
                <w:szCs w:val="18"/>
              </w:rPr>
            </w:pPr>
            <w:r w:rsidRPr="005E3D65">
              <w:rPr>
                <w:sz w:val="18"/>
                <w:szCs w:val="18"/>
              </w:rPr>
              <w:t>3,336,245,242.12</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其他综合收益</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3</w:t>
            </w:r>
            <w:r w:rsidR="0036095E" w:rsidRPr="005E3D65">
              <w:rPr>
                <w:sz w:val="18"/>
                <w:szCs w:val="18"/>
              </w:rPr>
              <w:t>5</w:t>
            </w:r>
          </w:p>
        </w:tc>
        <w:tc>
          <w:tcPr>
            <w:tcW w:w="2052" w:type="dxa"/>
            <w:vAlign w:val="center"/>
          </w:tcPr>
          <w:p w:rsidR="000A0FCB" w:rsidRPr="005E3D65" w:rsidRDefault="005F14EE">
            <w:pPr>
              <w:jc w:val="right"/>
              <w:rPr>
                <w:sz w:val="18"/>
                <w:szCs w:val="18"/>
              </w:rPr>
            </w:pPr>
            <w:r w:rsidRPr="005E3D65">
              <w:rPr>
                <w:sz w:val="18"/>
                <w:szCs w:val="18"/>
              </w:rPr>
              <w:t>(</w:t>
            </w:r>
            <w:r w:rsidR="005E0042" w:rsidRPr="005E3D65">
              <w:rPr>
                <w:sz w:val="18"/>
                <w:szCs w:val="18"/>
              </w:rPr>
              <w:t>3,132,03</w:t>
            </w:r>
            <w:r w:rsidR="009E278B" w:rsidRPr="005E3D65">
              <w:rPr>
                <w:sz w:val="18"/>
                <w:szCs w:val="18"/>
              </w:rPr>
              <w:t>0</w:t>
            </w:r>
            <w:r w:rsidR="005E0042" w:rsidRPr="005E3D65">
              <w:rPr>
                <w:sz w:val="18"/>
                <w:szCs w:val="18"/>
              </w:rPr>
              <w:t>.</w:t>
            </w:r>
            <w:r w:rsidR="009E278B" w:rsidRPr="005E3D65">
              <w:rPr>
                <w:sz w:val="18"/>
                <w:szCs w:val="18"/>
              </w:rPr>
              <w:t>97</w:t>
            </w:r>
            <w:r w:rsidRPr="005E3D65">
              <w:rPr>
                <w:sz w:val="18"/>
                <w:szCs w:val="18"/>
              </w:rPr>
              <w:t>)</w:t>
            </w:r>
          </w:p>
        </w:tc>
        <w:tc>
          <w:tcPr>
            <w:tcW w:w="2043" w:type="dxa"/>
            <w:vAlign w:val="center"/>
          </w:tcPr>
          <w:p w:rsidR="000A0FCB" w:rsidRPr="005E3D65" w:rsidRDefault="005F14EE">
            <w:pPr>
              <w:jc w:val="right"/>
              <w:rPr>
                <w:sz w:val="18"/>
                <w:szCs w:val="18"/>
              </w:rPr>
            </w:pPr>
            <w:r w:rsidRPr="005E3D65">
              <w:rPr>
                <w:sz w:val="18"/>
                <w:szCs w:val="18"/>
              </w:rPr>
              <w:t>(</w:t>
            </w:r>
            <w:r w:rsidR="000A0FCB" w:rsidRPr="005E3D65">
              <w:rPr>
                <w:sz w:val="18"/>
                <w:szCs w:val="18"/>
              </w:rPr>
              <w:t>2,595,089.93</w:t>
            </w:r>
            <w:r w:rsidRPr="005E3D65">
              <w:rPr>
                <w:sz w:val="18"/>
                <w:szCs w:val="18"/>
              </w:rPr>
              <w:t>)</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盈余公积</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3</w:t>
            </w:r>
            <w:r w:rsidR="0036095E" w:rsidRPr="005E3D65">
              <w:rPr>
                <w:sz w:val="18"/>
                <w:szCs w:val="18"/>
              </w:rPr>
              <w:t>6</w:t>
            </w:r>
          </w:p>
        </w:tc>
        <w:tc>
          <w:tcPr>
            <w:tcW w:w="2052" w:type="dxa"/>
            <w:vAlign w:val="center"/>
          </w:tcPr>
          <w:p w:rsidR="000A0FCB" w:rsidRPr="005E3D65" w:rsidRDefault="005E0042">
            <w:pPr>
              <w:jc w:val="right"/>
              <w:rPr>
                <w:sz w:val="18"/>
                <w:szCs w:val="18"/>
              </w:rPr>
            </w:pPr>
            <w:r w:rsidRPr="005E3D65">
              <w:rPr>
                <w:sz w:val="18"/>
                <w:szCs w:val="18"/>
              </w:rPr>
              <w:t>101,680,942.69</w:t>
            </w:r>
          </w:p>
        </w:tc>
        <w:tc>
          <w:tcPr>
            <w:tcW w:w="2043" w:type="dxa"/>
            <w:vAlign w:val="center"/>
          </w:tcPr>
          <w:p w:rsidR="000A0FCB" w:rsidRPr="005E3D65" w:rsidRDefault="005E0042">
            <w:pPr>
              <w:jc w:val="right"/>
              <w:rPr>
                <w:sz w:val="18"/>
                <w:szCs w:val="18"/>
              </w:rPr>
            </w:pPr>
            <w:r w:rsidRPr="005E3D65">
              <w:rPr>
                <w:sz w:val="18"/>
                <w:szCs w:val="18"/>
              </w:rPr>
              <w:t>41,121,077.83</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未分配利润</w:t>
            </w:r>
          </w:p>
        </w:tc>
        <w:tc>
          <w:tcPr>
            <w:tcW w:w="1512" w:type="dxa"/>
            <w:vAlign w:val="center"/>
          </w:tcPr>
          <w:p w:rsidR="000A0FCB" w:rsidRPr="005E3D65" w:rsidRDefault="005F14EE" w:rsidP="000A0FCB">
            <w:pPr>
              <w:jc w:val="center"/>
              <w:rPr>
                <w:sz w:val="18"/>
                <w:szCs w:val="18"/>
              </w:rPr>
            </w:pPr>
            <w:r w:rsidRPr="005E3D65">
              <w:rPr>
                <w:sz w:val="18"/>
                <w:szCs w:val="18"/>
              </w:rPr>
              <w:t>(</w:t>
            </w:r>
            <w:r w:rsidR="000A0FCB" w:rsidRPr="005E3D65">
              <w:rPr>
                <w:rFonts w:hint="eastAsia"/>
                <w:sz w:val="18"/>
                <w:szCs w:val="18"/>
              </w:rPr>
              <w:t>五</w:t>
            </w:r>
            <w:r w:rsidRPr="005E3D65">
              <w:rPr>
                <w:sz w:val="18"/>
                <w:szCs w:val="18"/>
              </w:rPr>
              <w:t>)</w:t>
            </w:r>
            <w:r w:rsidR="000A0FCB" w:rsidRPr="005E3D65">
              <w:rPr>
                <w:sz w:val="18"/>
                <w:szCs w:val="18"/>
              </w:rPr>
              <w:t>3</w:t>
            </w:r>
            <w:r w:rsidR="0036095E" w:rsidRPr="005E3D65">
              <w:rPr>
                <w:sz w:val="18"/>
                <w:szCs w:val="18"/>
              </w:rPr>
              <w:t>7</w:t>
            </w:r>
          </w:p>
        </w:tc>
        <w:tc>
          <w:tcPr>
            <w:tcW w:w="2052" w:type="dxa"/>
            <w:vAlign w:val="center"/>
          </w:tcPr>
          <w:p w:rsidR="000A0FCB" w:rsidRPr="005E3D65" w:rsidRDefault="005E0042">
            <w:pPr>
              <w:jc w:val="right"/>
              <w:rPr>
                <w:sz w:val="18"/>
                <w:szCs w:val="18"/>
              </w:rPr>
            </w:pPr>
            <w:r w:rsidRPr="005E3D65">
              <w:rPr>
                <w:sz w:val="18"/>
                <w:szCs w:val="18"/>
              </w:rPr>
              <w:t>1,257,360,321.34</w:t>
            </w:r>
          </w:p>
        </w:tc>
        <w:tc>
          <w:tcPr>
            <w:tcW w:w="2043" w:type="dxa"/>
            <w:vAlign w:val="center"/>
          </w:tcPr>
          <w:p w:rsidR="000A0FCB" w:rsidRPr="005E3D65" w:rsidRDefault="005E0042">
            <w:pPr>
              <w:jc w:val="right"/>
              <w:rPr>
                <w:sz w:val="18"/>
                <w:szCs w:val="18"/>
              </w:rPr>
            </w:pPr>
            <w:r w:rsidRPr="005E3D65">
              <w:rPr>
                <w:sz w:val="18"/>
                <w:szCs w:val="18"/>
              </w:rPr>
              <w:t>923,729,423.10</w:t>
            </w:r>
          </w:p>
        </w:tc>
      </w:tr>
      <w:tr w:rsidR="000A0FCB" w:rsidRPr="005E3D65" w:rsidTr="0027505B">
        <w:trPr>
          <w:trHeight w:val="20"/>
        </w:trPr>
        <w:tc>
          <w:tcPr>
            <w:tcW w:w="4558" w:type="dxa"/>
            <w:shd w:val="clear" w:color="auto" w:fill="D9D9D9"/>
            <w:vAlign w:val="center"/>
          </w:tcPr>
          <w:p w:rsidR="000A0FCB" w:rsidRPr="005E3D65" w:rsidRDefault="000A0FCB" w:rsidP="000A0FCB">
            <w:pPr>
              <w:tabs>
                <w:tab w:val="left" w:pos="177"/>
              </w:tabs>
              <w:rPr>
                <w:sz w:val="18"/>
                <w:szCs w:val="18"/>
              </w:rPr>
            </w:pPr>
            <w:r w:rsidRPr="005E3D65">
              <w:rPr>
                <w:sz w:val="18"/>
                <w:szCs w:val="18"/>
              </w:rPr>
              <w:tab/>
            </w:r>
            <w:r w:rsidRPr="005E3D65">
              <w:rPr>
                <w:rFonts w:hint="eastAsia"/>
                <w:sz w:val="18"/>
                <w:szCs w:val="18"/>
              </w:rPr>
              <w:t>归属于母公司所有者权益合计</w:t>
            </w:r>
          </w:p>
        </w:tc>
        <w:tc>
          <w:tcPr>
            <w:tcW w:w="1512" w:type="dxa"/>
            <w:vAlign w:val="center"/>
          </w:tcPr>
          <w:p w:rsidR="000A0FCB" w:rsidRPr="005E3D65" w:rsidRDefault="000A0FCB" w:rsidP="000A0FCB">
            <w:pPr>
              <w:jc w:val="center"/>
              <w:rPr>
                <w:sz w:val="18"/>
                <w:szCs w:val="18"/>
              </w:rPr>
            </w:pPr>
          </w:p>
        </w:tc>
        <w:tc>
          <w:tcPr>
            <w:tcW w:w="2052" w:type="dxa"/>
            <w:vAlign w:val="center"/>
          </w:tcPr>
          <w:p w:rsidR="000A0FCB" w:rsidRPr="005E3D65" w:rsidRDefault="009E278B">
            <w:pPr>
              <w:jc w:val="right"/>
              <w:rPr>
                <w:sz w:val="18"/>
                <w:szCs w:val="18"/>
              </w:rPr>
            </w:pPr>
            <w:r w:rsidRPr="005E3D65">
              <w:rPr>
                <w:sz w:val="18"/>
                <w:szCs w:val="18"/>
              </w:rPr>
              <w:t>5,264,992,356.47</w:t>
            </w:r>
          </w:p>
        </w:tc>
        <w:tc>
          <w:tcPr>
            <w:tcW w:w="2043" w:type="dxa"/>
            <w:vAlign w:val="center"/>
          </w:tcPr>
          <w:p w:rsidR="000A0FCB" w:rsidRPr="005E3D65" w:rsidRDefault="009E278B">
            <w:pPr>
              <w:jc w:val="right"/>
              <w:rPr>
                <w:sz w:val="18"/>
                <w:szCs w:val="18"/>
              </w:rPr>
            </w:pPr>
            <w:r w:rsidRPr="005E3D65">
              <w:rPr>
                <w:sz w:val="18"/>
                <w:szCs w:val="18"/>
              </w:rPr>
              <w:t>4,861,000,653.12</w:t>
            </w:r>
          </w:p>
        </w:tc>
      </w:tr>
      <w:tr w:rsidR="000A0FCB" w:rsidRPr="005E3D65" w:rsidTr="0027505B">
        <w:trPr>
          <w:trHeight w:val="20"/>
        </w:trPr>
        <w:tc>
          <w:tcPr>
            <w:tcW w:w="4558" w:type="dxa"/>
            <w:shd w:val="clear" w:color="auto" w:fill="D9D9D9"/>
            <w:vAlign w:val="center"/>
          </w:tcPr>
          <w:p w:rsidR="000A0FCB" w:rsidRPr="005E3D65" w:rsidRDefault="000A0FCB" w:rsidP="000A0FCB">
            <w:pPr>
              <w:rPr>
                <w:b/>
                <w:sz w:val="18"/>
                <w:szCs w:val="18"/>
              </w:rPr>
            </w:pPr>
            <w:r w:rsidRPr="005E3D65">
              <w:rPr>
                <w:rFonts w:hint="eastAsia"/>
                <w:b/>
                <w:sz w:val="18"/>
                <w:szCs w:val="18"/>
              </w:rPr>
              <w:t>股东权益合计</w:t>
            </w:r>
          </w:p>
        </w:tc>
        <w:tc>
          <w:tcPr>
            <w:tcW w:w="1512" w:type="dxa"/>
            <w:vAlign w:val="center"/>
          </w:tcPr>
          <w:p w:rsidR="000A0FCB" w:rsidRPr="005E3D65" w:rsidRDefault="000A0FCB" w:rsidP="000A0FCB">
            <w:pPr>
              <w:jc w:val="center"/>
              <w:rPr>
                <w:sz w:val="18"/>
                <w:szCs w:val="18"/>
              </w:rPr>
            </w:pPr>
          </w:p>
        </w:tc>
        <w:tc>
          <w:tcPr>
            <w:tcW w:w="2052" w:type="dxa"/>
            <w:vAlign w:val="center"/>
          </w:tcPr>
          <w:p w:rsidR="000A0FCB" w:rsidRPr="005E3D65" w:rsidRDefault="009E278B">
            <w:pPr>
              <w:jc w:val="right"/>
              <w:rPr>
                <w:b/>
                <w:sz w:val="18"/>
                <w:szCs w:val="18"/>
              </w:rPr>
            </w:pPr>
            <w:r w:rsidRPr="005E3D65">
              <w:rPr>
                <w:b/>
                <w:sz w:val="18"/>
                <w:szCs w:val="18"/>
              </w:rPr>
              <w:t>5,264,992,356.47</w:t>
            </w:r>
          </w:p>
        </w:tc>
        <w:tc>
          <w:tcPr>
            <w:tcW w:w="2043" w:type="dxa"/>
            <w:vAlign w:val="center"/>
          </w:tcPr>
          <w:p w:rsidR="000A0FCB" w:rsidRPr="005E3D65" w:rsidRDefault="009E278B">
            <w:pPr>
              <w:jc w:val="right"/>
              <w:rPr>
                <w:b/>
                <w:sz w:val="18"/>
                <w:szCs w:val="18"/>
              </w:rPr>
            </w:pPr>
            <w:r w:rsidRPr="005E3D65">
              <w:rPr>
                <w:b/>
                <w:sz w:val="18"/>
                <w:szCs w:val="18"/>
              </w:rPr>
              <w:t>4,861,000,653.12</w:t>
            </w:r>
          </w:p>
        </w:tc>
      </w:tr>
      <w:tr w:rsidR="000A0FCB" w:rsidRPr="005E3D65" w:rsidTr="0027505B">
        <w:trPr>
          <w:trHeight w:val="20"/>
        </w:trPr>
        <w:tc>
          <w:tcPr>
            <w:tcW w:w="4558" w:type="dxa"/>
            <w:shd w:val="clear" w:color="auto" w:fill="D9D9D9"/>
            <w:vAlign w:val="center"/>
          </w:tcPr>
          <w:p w:rsidR="000A0FCB" w:rsidRPr="005E3D65" w:rsidRDefault="000A0FCB" w:rsidP="000A0FCB">
            <w:pPr>
              <w:rPr>
                <w:b/>
                <w:sz w:val="18"/>
                <w:szCs w:val="18"/>
              </w:rPr>
            </w:pPr>
            <w:r w:rsidRPr="005E3D65">
              <w:rPr>
                <w:rFonts w:hint="eastAsia"/>
                <w:b/>
                <w:sz w:val="18"/>
                <w:szCs w:val="18"/>
              </w:rPr>
              <w:t>负债及股东权益合计</w:t>
            </w:r>
          </w:p>
        </w:tc>
        <w:tc>
          <w:tcPr>
            <w:tcW w:w="1512" w:type="dxa"/>
            <w:vAlign w:val="center"/>
          </w:tcPr>
          <w:p w:rsidR="000A0FCB" w:rsidRPr="005E3D65" w:rsidRDefault="000A0FCB" w:rsidP="000A0FCB">
            <w:pPr>
              <w:jc w:val="center"/>
              <w:rPr>
                <w:sz w:val="18"/>
                <w:szCs w:val="18"/>
              </w:rPr>
            </w:pPr>
          </w:p>
        </w:tc>
        <w:tc>
          <w:tcPr>
            <w:tcW w:w="2052" w:type="dxa"/>
            <w:vAlign w:val="center"/>
          </w:tcPr>
          <w:p w:rsidR="000A0FCB" w:rsidRPr="005E3D65" w:rsidRDefault="00C65539">
            <w:pPr>
              <w:jc w:val="right"/>
              <w:rPr>
                <w:b/>
                <w:sz w:val="18"/>
                <w:szCs w:val="18"/>
              </w:rPr>
            </w:pPr>
            <w:r w:rsidRPr="005E3D65">
              <w:rPr>
                <w:b/>
                <w:sz w:val="18"/>
                <w:szCs w:val="18"/>
              </w:rPr>
              <w:t>8,192,575,262.24</w:t>
            </w:r>
          </w:p>
        </w:tc>
        <w:tc>
          <w:tcPr>
            <w:tcW w:w="2043" w:type="dxa"/>
            <w:vAlign w:val="center"/>
          </w:tcPr>
          <w:p w:rsidR="000A0FCB" w:rsidRPr="005E3D65" w:rsidRDefault="009E278B">
            <w:pPr>
              <w:jc w:val="right"/>
              <w:rPr>
                <w:b/>
                <w:sz w:val="18"/>
                <w:szCs w:val="18"/>
              </w:rPr>
            </w:pPr>
            <w:r w:rsidRPr="005E3D65">
              <w:rPr>
                <w:b/>
                <w:sz w:val="18"/>
                <w:szCs w:val="18"/>
              </w:rPr>
              <w:t>7,183,539,207.15</w:t>
            </w:r>
          </w:p>
        </w:tc>
      </w:tr>
    </w:tbl>
    <w:p w:rsidR="007B68E0" w:rsidRPr="00A71D2E" w:rsidRDefault="007B68E0" w:rsidP="00F66363">
      <w:pPr>
        <w:rPr>
          <w:rFonts w:eastAsia="宋体" w:cs="Times New Roman"/>
          <w:szCs w:val="21"/>
        </w:rPr>
      </w:pPr>
    </w:p>
    <w:p w:rsidR="00B755FC" w:rsidRPr="00A71D2E" w:rsidRDefault="00B755FC" w:rsidP="00F66363">
      <w:pPr>
        <w:rPr>
          <w:rFonts w:eastAsia="宋体" w:cs="Times New Roman"/>
          <w:szCs w:val="21"/>
        </w:rPr>
      </w:pPr>
      <w:r w:rsidRPr="00A71D2E">
        <w:rPr>
          <w:rFonts w:eastAsia="宋体" w:cs="Times New Roman" w:hint="eastAsia"/>
          <w:szCs w:val="21"/>
        </w:rPr>
        <w:t>附注为财务报表的组成部分</w:t>
      </w:r>
    </w:p>
    <w:p w:rsidR="00B755FC" w:rsidRPr="00A71D2E" w:rsidRDefault="00B755FC" w:rsidP="00F66363">
      <w:pPr>
        <w:tabs>
          <w:tab w:val="left" w:pos="432"/>
        </w:tabs>
        <w:rPr>
          <w:rFonts w:eastAsia="宋体" w:cs="Times New Roman"/>
          <w:szCs w:val="21"/>
        </w:rPr>
      </w:pPr>
    </w:p>
    <w:p w:rsidR="004A7902" w:rsidRPr="00A71D2E" w:rsidRDefault="00B07360">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4A7902" w:rsidRPr="00A71D2E">
        <w:rPr>
          <w:rFonts w:eastAsia="宋体" w:cs="Times New Roman" w:hint="eastAsia"/>
          <w:szCs w:val="21"/>
        </w:rPr>
        <w:t>页至</w:t>
      </w:r>
      <w:r w:rsidR="006F55AB" w:rsidRPr="00A71D2E">
        <w:rPr>
          <w:rFonts w:eastAsia="宋体" w:cs="Times New Roman" w:hint="eastAsia"/>
          <w:szCs w:val="21"/>
        </w:rPr>
        <w:t>第</w:t>
      </w:r>
      <w:r w:rsidR="006208D2" w:rsidRPr="00F43E13">
        <w:rPr>
          <w:rFonts w:eastAsia="宋体" w:cs="Times New Roman"/>
          <w:szCs w:val="21"/>
        </w:rPr>
        <w:t>8</w:t>
      </w:r>
      <w:r w:rsidR="00E25E50">
        <w:rPr>
          <w:rFonts w:eastAsia="宋体" w:cs="Times New Roman"/>
          <w:szCs w:val="21"/>
        </w:rPr>
        <w:t>4</w:t>
      </w:r>
      <w:r w:rsidR="004A7902" w:rsidRPr="00A71D2E">
        <w:rPr>
          <w:rFonts w:eastAsia="宋体" w:cs="Times New Roman" w:hint="eastAsia"/>
          <w:szCs w:val="21"/>
        </w:rPr>
        <w:t>页的财务报表由下列负责人签署</w:t>
      </w:r>
      <w:r w:rsidR="005F14EE">
        <w:rPr>
          <w:rFonts w:eastAsia="宋体" w:cs="Times New Roman" w:hint="eastAsia"/>
          <w:szCs w:val="21"/>
        </w:rPr>
        <w:t>：</w:t>
      </w:r>
    </w:p>
    <w:p w:rsidR="008A5139" w:rsidRPr="00A71D2E" w:rsidRDefault="008A5139" w:rsidP="00F66363">
      <w:pPr>
        <w:rPr>
          <w:rFonts w:eastAsia="宋体" w:cs="Times New Roman"/>
          <w:szCs w:val="21"/>
        </w:rPr>
      </w:pPr>
    </w:p>
    <w:p w:rsidR="00A77CB8" w:rsidRPr="00A71D2E" w:rsidRDefault="00A77CB8" w:rsidP="00F66363">
      <w:pPr>
        <w:rPr>
          <w:rFonts w:eastAsia="宋体" w:cs="Times New Roman"/>
          <w:szCs w:val="21"/>
        </w:rPr>
      </w:pPr>
    </w:p>
    <w:p w:rsidR="00A77CB8" w:rsidRPr="00A71D2E" w:rsidRDefault="00A77CB8" w:rsidP="00F66363">
      <w:pPr>
        <w:rPr>
          <w:rFonts w:eastAsia="宋体" w:cs="Times New Roman"/>
          <w:szCs w:val="21"/>
        </w:rPr>
      </w:pPr>
    </w:p>
    <w:p w:rsidR="00A77CB8" w:rsidRPr="00A71D2E" w:rsidRDefault="00A77CB8" w:rsidP="00F66363">
      <w:pPr>
        <w:rPr>
          <w:rFonts w:eastAsia="宋体" w:cs="Times New Roman"/>
          <w:szCs w:val="21"/>
        </w:rPr>
      </w:pPr>
    </w:p>
    <w:p w:rsidR="00A77CB8" w:rsidRPr="00A71D2E" w:rsidRDefault="00A77CB8" w:rsidP="00F66363">
      <w:pPr>
        <w:rPr>
          <w:rFonts w:eastAsia="宋体" w:cs="Times New Roman"/>
          <w:szCs w:val="21"/>
        </w:rPr>
      </w:pPr>
    </w:p>
    <w:p w:rsidR="00375755" w:rsidRPr="00A71D2E" w:rsidRDefault="00375755" w:rsidP="0027505B">
      <w:pPr>
        <w:tabs>
          <w:tab w:val="center" w:pos="1800"/>
          <w:tab w:val="center" w:pos="5220"/>
          <w:tab w:val="center" w:pos="864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w:t>
      </w:r>
      <w:r w:rsidR="00AD01A4" w:rsidRPr="00A71D2E">
        <w:rPr>
          <w:rFonts w:eastAsia="宋体" w:cs="Times New Roman"/>
          <w:szCs w:val="21"/>
        </w:rPr>
        <w:t>_</w:t>
      </w:r>
      <w:r w:rsidR="00AD01A4" w:rsidRPr="00A71D2E">
        <w:rPr>
          <w:rFonts w:eastAsia="宋体" w:cs="Times New Roman"/>
          <w:szCs w:val="21"/>
        </w:rPr>
        <w:tab/>
        <w:t>_____________________</w:t>
      </w:r>
    </w:p>
    <w:p w:rsidR="00A77CB8" w:rsidRPr="00A71D2E" w:rsidRDefault="00F4668C" w:rsidP="0027505B">
      <w:pPr>
        <w:tabs>
          <w:tab w:val="center" w:pos="1800"/>
          <w:tab w:val="center" w:pos="5220"/>
          <w:tab w:val="center" w:pos="8640"/>
        </w:tabs>
        <w:rPr>
          <w:rFonts w:eastAsia="宋体" w:cs="Times New Roman"/>
          <w:szCs w:val="21"/>
        </w:rPr>
      </w:pPr>
      <w:r w:rsidRPr="00A71D2E">
        <w:rPr>
          <w:rFonts w:eastAsia="宋体" w:cs="Times New Roman"/>
          <w:szCs w:val="21"/>
        </w:rPr>
        <w:tab/>
      </w:r>
      <w:r w:rsidR="00375755" w:rsidRPr="00A71D2E">
        <w:rPr>
          <w:rFonts w:eastAsia="宋体" w:cs="Times New Roman" w:hint="eastAsia"/>
          <w:szCs w:val="21"/>
        </w:rPr>
        <w:t>法定代表人</w:t>
      </w:r>
      <w:r w:rsidRPr="00A71D2E">
        <w:rPr>
          <w:rFonts w:eastAsia="宋体" w:cs="Times New Roman"/>
          <w:szCs w:val="21"/>
        </w:rPr>
        <w:tab/>
      </w:r>
      <w:r w:rsidR="00375755" w:rsidRPr="00A71D2E">
        <w:rPr>
          <w:rFonts w:eastAsia="宋体" w:cs="Times New Roman" w:hint="eastAsia"/>
          <w:szCs w:val="21"/>
        </w:rPr>
        <w:t>主管会计工作负责人</w:t>
      </w:r>
      <w:r w:rsidRPr="00A71D2E">
        <w:rPr>
          <w:rFonts w:eastAsia="宋体" w:cs="Times New Roman"/>
          <w:szCs w:val="21"/>
        </w:rPr>
        <w:tab/>
      </w:r>
      <w:r w:rsidR="00375755" w:rsidRPr="00A71D2E">
        <w:rPr>
          <w:rFonts w:eastAsia="宋体" w:cs="Times New Roman" w:hint="eastAsia"/>
          <w:szCs w:val="21"/>
        </w:rPr>
        <w:t>会计机构负责人</w:t>
      </w:r>
    </w:p>
    <w:p w:rsidR="003A39B1" w:rsidRPr="00A71D2E" w:rsidRDefault="00375755">
      <w:pPr>
        <w:tabs>
          <w:tab w:val="left" w:pos="10170"/>
        </w:tabs>
        <w:rPr>
          <w:rFonts w:eastAsia="宋体" w:cs="Times New Roman"/>
          <w:szCs w:val="21"/>
        </w:rPr>
      </w:pPr>
      <w:r w:rsidRPr="00A71D2E">
        <w:rPr>
          <w:rFonts w:eastAsia="宋体" w:cs="Times New Roman"/>
          <w:szCs w:val="21"/>
        </w:rPr>
        <w:t xml:space="preserve"> </w:t>
      </w:r>
      <w:r w:rsidR="00B755FC" w:rsidRPr="00A71D2E">
        <w:rPr>
          <w:rFonts w:eastAsia="宋体" w:cs="Times New Roman"/>
          <w:szCs w:val="21"/>
        </w:rPr>
        <w:br w:type="page"/>
      </w:r>
    </w:p>
    <w:p w:rsidR="00291954" w:rsidRPr="00A71D2E" w:rsidRDefault="00A5385F">
      <w:pPr>
        <w:tabs>
          <w:tab w:val="left" w:pos="10170"/>
        </w:tabs>
        <w:rPr>
          <w:rFonts w:eastAsia="宋体" w:cs="Times New Roman"/>
          <w:szCs w:val="21"/>
          <w:u w:val="single"/>
        </w:rPr>
      </w:pPr>
      <w:r w:rsidRPr="00A71D2E">
        <w:rPr>
          <w:rFonts w:eastAsia="宋体" w:cs="Times New Roman"/>
          <w:szCs w:val="21"/>
          <w:u w:val="single"/>
        </w:rPr>
        <w:t>202</w:t>
      </w:r>
      <w:r w:rsidR="00896B42">
        <w:rPr>
          <w:rFonts w:eastAsia="宋体" w:cs="Times New Roman"/>
          <w:szCs w:val="21"/>
          <w:u w:val="single"/>
        </w:rPr>
        <w:t>3</w:t>
      </w:r>
      <w:r w:rsidRPr="00A71D2E">
        <w:rPr>
          <w:rFonts w:eastAsia="宋体" w:cs="Times New Roman" w:hint="eastAsia"/>
          <w:szCs w:val="21"/>
          <w:u w:val="single"/>
        </w:rPr>
        <w:t>年</w:t>
      </w:r>
      <w:r w:rsidR="00716C10" w:rsidRPr="00A71D2E">
        <w:rPr>
          <w:rFonts w:eastAsia="宋体" w:cs="Times New Roman"/>
          <w:szCs w:val="21"/>
          <w:u w:val="single"/>
        </w:rPr>
        <w:t>12</w:t>
      </w:r>
      <w:r w:rsidRPr="00A71D2E">
        <w:rPr>
          <w:rFonts w:eastAsia="宋体" w:cs="Times New Roman" w:hint="eastAsia"/>
          <w:szCs w:val="21"/>
          <w:u w:val="single"/>
        </w:rPr>
        <w:t>月</w:t>
      </w:r>
      <w:r w:rsidR="00716C10" w:rsidRPr="00A71D2E">
        <w:rPr>
          <w:rFonts w:eastAsia="宋体" w:cs="Times New Roman"/>
          <w:szCs w:val="21"/>
          <w:u w:val="single"/>
        </w:rPr>
        <w:t>31</w:t>
      </w:r>
      <w:r w:rsidRPr="00A71D2E">
        <w:rPr>
          <w:rFonts w:eastAsia="宋体" w:cs="Times New Roman" w:hint="eastAsia"/>
          <w:szCs w:val="21"/>
          <w:u w:val="single"/>
        </w:rPr>
        <w:t>日</w:t>
      </w:r>
      <w:r w:rsidR="00291954" w:rsidRPr="00A71D2E">
        <w:rPr>
          <w:rFonts w:eastAsia="宋体" w:cs="Times New Roman"/>
          <w:szCs w:val="21"/>
          <w:u w:val="single"/>
        </w:rPr>
        <w:tab/>
      </w:r>
    </w:p>
    <w:p w:rsidR="00A77D4A" w:rsidRPr="00A71D2E" w:rsidRDefault="00A77D4A">
      <w:pPr>
        <w:tabs>
          <w:tab w:val="left" w:pos="10170"/>
        </w:tabs>
        <w:rPr>
          <w:rFonts w:eastAsia="宋体" w:cs="Times New Roman"/>
          <w:szCs w:val="21"/>
        </w:rPr>
      </w:pPr>
    </w:p>
    <w:p w:rsidR="00D5660C" w:rsidRPr="00A71D2E" w:rsidRDefault="00D5660C">
      <w:pPr>
        <w:jc w:val="center"/>
        <w:outlineLvl w:val="0"/>
        <w:rPr>
          <w:rFonts w:eastAsia="宋体" w:cs="Times New Roman"/>
          <w:szCs w:val="21"/>
        </w:rPr>
      </w:pPr>
      <w:r w:rsidRPr="00A71D2E">
        <w:rPr>
          <w:rFonts w:eastAsia="宋体" w:cs="Times New Roman" w:hint="eastAsia"/>
          <w:b/>
          <w:bCs/>
          <w:szCs w:val="21"/>
        </w:rPr>
        <w:t>母公司资产负债表</w:t>
      </w:r>
    </w:p>
    <w:p w:rsidR="00D5660C" w:rsidRPr="00A71D2E" w:rsidRDefault="00D5660C">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Style w:val="aff5"/>
        <w:tblW w:w="0" w:type="auto"/>
        <w:tblInd w:w="-12" w:type="dxa"/>
        <w:tblLayout w:type="fixed"/>
        <w:tblLook w:val="04A0" w:firstRow="1" w:lastRow="0" w:firstColumn="1" w:lastColumn="0" w:noHBand="0" w:noVBand="1"/>
      </w:tblPr>
      <w:tblGrid>
        <w:gridCol w:w="4597"/>
        <w:gridCol w:w="1485"/>
        <w:gridCol w:w="2047"/>
        <w:gridCol w:w="2048"/>
      </w:tblGrid>
      <w:tr w:rsidR="00F90566" w:rsidRPr="005E3D65" w:rsidTr="0027505B">
        <w:trPr>
          <w:trHeight w:val="20"/>
        </w:trPr>
        <w:tc>
          <w:tcPr>
            <w:tcW w:w="4597" w:type="dxa"/>
            <w:shd w:val="clear" w:color="auto" w:fill="D9D9D9"/>
            <w:vAlign w:val="center"/>
          </w:tcPr>
          <w:p w:rsidR="00F90566" w:rsidRPr="005E3D65" w:rsidRDefault="00F90566">
            <w:pPr>
              <w:jc w:val="center"/>
              <w:rPr>
                <w:sz w:val="18"/>
                <w:szCs w:val="18"/>
              </w:rPr>
            </w:pPr>
            <w:r w:rsidRPr="005E3D65">
              <w:rPr>
                <w:rFonts w:hint="eastAsia"/>
                <w:sz w:val="18"/>
                <w:szCs w:val="18"/>
              </w:rPr>
              <w:t>项目</w:t>
            </w:r>
          </w:p>
        </w:tc>
        <w:tc>
          <w:tcPr>
            <w:tcW w:w="1485" w:type="dxa"/>
            <w:shd w:val="clear" w:color="auto" w:fill="D9D9D9"/>
            <w:vAlign w:val="center"/>
          </w:tcPr>
          <w:p w:rsidR="00F90566" w:rsidRPr="005E3D65" w:rsidRDefault="00F90566">
            <w:pPr>
              <w:jc w:val="center"/>
              <w:rPr>
                <w:sz w:val="18"/>
                <w:szCs w:val="18"/>
              </w:rPr>
            </w:pPr>
            <w:r w:rsidRPr="005E3D65">
              <w:rPr>
                <w:rFonts w:hint="eastAsia"/>
                <w:sz w:val="18"/>
                <w:szCs w:val="18"/>
              </w:rPr>
              <w:t>附注</w:t>
            </w:r>
          </w:p>
        </w:tc>
        <w:tc>
          <w:tcPr>
            <w:tcW w:w="2047" w:type="dxa"/>
            <w:shd w:val="clear" w:color="auto" w:fill="D9D9D9"/>
            <w:vAlign w:val="center"/>
          </w:tcPr>
          <w:p w:rsidR="00F90566" w:rsidRPr="005E3D65" w:rsidRDefault="00F90566">
            <w:pPr>
              <w:jc w:val="center"/>
              <w:rPr>
                <w:sz w:val="18"/>
                <w:szCs w:val="18"/>
              </w:rPr>
            </w:pPr>
            <w:r w:rsidRPr="005E3D65">
              <w:rPr>
                <w:rFonts w:hint="eastAsia"/>
                <w:sz w:val="18"/>
                <w:szCs w:val="18"/>
              </w:rPr>
              <w:t>本年年末余额</w:t>
            </w:r>
          </w:p>
        </w:tc>
        <w:tc>
          <w:tcPr>
            <w:tcW w:w="2048" w:type="dxa"/>
            <w:shd w:val="clear" w:color="auto" w:fill="D9D9D9"/>
            <w:vAlign w:val="center"/>
          </w:tcPr>
          <w:p w:rsidR="00F90566" w:rsidRPr="005E3D65" w:rsidRDefault="00F90566" w:rsidP="0027505B">
            <w:pPr>
              <w:jc w:val="center"/>
              <w:rPr>
                <w:sz w:val="18"/>
                <w:szCs w:val="18"/>
              </w:rPr>
            </w:pPr>
            <w:r w:rsidRPr="005E3D65">
              <w:rPr>
                <w:rFonts w:hint="eastAsia"/>
                <w:sz w:val="18"/>
                <w:szCs w:val="18"/>
              </w:rPr>
              <w:t>上年年末余额</w:t>
            </w:r>
          </w:p>
          <w:p w:rsidR="00140935" w:rsidRPr="005E3D65" w:rsidRDefault="005F14EE" w:rsidP="0027505B">
            <w:pPr>
              <w:jc w:val="center"/>
              <w:rPr>
                <w:sz w:val="18"/>
                <w:szCs w:val="18"/>
              </w:rPr>
            </w:pPr>
            <w:r w:rsidRPr="005E3D65">
              <w:rPr>
                <w:sz w:val="18"/>
                <w:szCs w:val="18"/>
              </w:rPr>
              <w:t>(</w:t>
            </w:r>
            <w:r w:rsidR="00140935" w:rsidRPr="005E3D65">
              <w:rPr>
                <w:rFonts w:hint="eastAsia"/>
                <w:sz w:val="18"/>
                <w:szCs w:val="18"/>
              </w:rPr>
              <w:t>已重述</w:t>
            </w:r>
            <w:r w:rsidRPr="005E3D65">
              <w:rPr>
                <w:rFonts w:hint="eastAsia"/>
                <w:sz w:val="18"/>
                <w:szCs w:val="18"/>
              </w:rPr>
              <w:t>)</w:t>
            </w:r>
          </w:p>
        </w:tc>
      </w:tr>
      <w:tr w:rsidR="00A1700B" w:rsidRPr="005E3D65" w:rsidTr="0027505B">
        <w:trPr>
          <w:trHeight w:val="20"/>
        </w:trPr>
        <w:tc>
          <w:tcPr>
            <w:tcW w:w="4597" w:type="dxa"/>
            <w:shd w:val="clear" w:color="auto" w:fill="D9D9D9"/>
            <w:vAlign w:val="center"/>
          </w:tcPr>
          <w:p w:rsidR="00A1700B" w:rsidRPr="005E3D65" w:rsidRDefault="00A1700B">
            <w:pPr>
              <w:rPr>
                <w:b/>
                <w:sz w:val="18"/>
                <w:szCs w:val="18"/>
              </w:rPr>
            </w:pPr>
            <w:r w:rsidRPr="005E3D65">
              <w:rPr>
                <w:rFonts w:hint="eastAsia"/>
                <w:b/>
                <w:sz w:val="18"/>
                <w:szCs w:val="18"/>
              </w:rPr>
              <w:t>流动资产</w:t>
            </w:r>
            <w:r w:rsidR="005F14EE" w:rsidRPr="005E3D65">
              <w:rPr>
                <w:rFonts w:hint="eastAsia"/>
                <w:b/>
                <w:sz w:val="18"/>
                <w:szCs w:val="18"/>
              </w:rPr>
              <w:t>：</w:t>
            </w:r>
          </w:p>
        </w:tc>
        <w:tc>
          <w:tcPr>
            <w:tcW w:w="1485" w:type="dxa"/>
            <w:shd w:val="clear" w:color="auto" w:fill="D9D9D9"/>
            <w:vAlign w:val="center"/>
          </w:tcPr>
          <w:p w:rsidR="00A1700B" w:rsidRPr="005E3D65" w:rsidRDefault="00A1700B">
            <w:pPr>
              <w:jc w:val="center"/>
              <w:rPr>
                <w:sz w:val="18"/>
                <w:szCs w:val="18"/>
              </w:rPr>
            </w:pPr>
          </w:p>
        </w:tc>
        <w:tc>
          <w:tcPr>
            <w:tcW w:w="2047" w:type="dxa"/>
            <w:shd w:val="clear" w:color="auto" w:fill="D9D9D9"/>
            <w:vAlign w:val="center"/>
          </w:tcPr>
          <w:p w:rsidR="00A1700B" w:rsidRPr="005E3D65" w:rsidRDefault="00A1700B">
            <w:pPr>
              <w:jc w:val="right"/>
              <w:rPr>
                <w:sz w:val="18"/>
                <w:szCs w:val="18"/>
              </w:rPr>
            </w:pPr>
          </w:p>
        </w:tc>
        <w:tc>
          <w:tcPr>
            <w:tcW w:w="2048" w:type="dxa"/>
            <w:shd w:val="clear" w:color="auto" w:fill="D9D9D9"/>
            <w:vAlign w:val="center"/>
          </w:tcPr>
          <w:p w:rsidR="00A1700B" w:rsidRPr="005E3D65" w:rsidRDefault="00A1700B">
            <w:pPr>
              <w:jc w:val="right"/>
              <w:rPr>
                <w:sz w:val="18"/>
                <w:szCs w:val="18"/>
              </w:rPr>
            </w:pP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货币资金</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140935">
            <w:pPr>
              <w:jc w:val="right"/>
              <w:rPr>
                <w:sz w:val="18"/>
                <w:szCs w:val="18"/>
              </w:rPr>
            </w:pPr>
            <w:r w:rsidRPr="005E3D65">
              <w:rPr>
                <w:sz w:val="18"/>
                <w:szCs w:val="18"/>
              </w:rPr>
              <w:t>1,992,395,825.04</w:t>
            </w:r>
          </w:p>
        </w:tc>
        <w:tc>
          <w:tcPr>
            <w:tcW w:w="2048" w:type="dxa"/>
            <w:vAlign w:val="center"/>
          </w:tcPr>
          <w:p w:rsidR="00435FBF" w:rsidRPr="005E3D65" w:rsidRDefault="00435FBF">
            <w:pPr>
              <w:jc w:val="right"/>
              <w:rPr>
                <w:sz w:val="18"/>
                <w:szCs w:val="18"/>
              </w:rPr>
            </w:pPr>
            <w:r w:rsidRPr="005E3D65">
              <w:rPr>
                <w:sz w:val="18"/>
                <w:szCs w:val="18"/>
              </w:rPr>
              <w:t>4,498,045,519.52</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应收票据</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140935">
            <w:pPr>
              <w:jc w:val="right"/>
              <w:rPr>
                <w:sz w:val="18"/>
                <w:szCs w:val="18"/>
              </w:rPr>
            </w:pPr>
            <w:r w:rsidRPr="005E3D65">
              <w:rPr>
                <w:sz w:val="18"/>
                <w:szCs w:val="18"/>
              </w:rPr>
              <w:t>5,919,220.40</w:t>
            </w:r>
          </w:p>
        </w:tc>
        <w:tc>
          <w:tcPr>
            <w:tcW w:w="2048" w:type="dxa"/>
            <w:vAlign w:val="center"/>
          </w:tcPr>
          <w:p w:rsidR="00435FBF" w:rsidRPr="005E3D65" w:rsidRDefault="00435FBF">
            <w:pPr>
              <w:jc w:val="right"/>
              <w:rPr>
                <w:sz w:val="18"/>
                <w:szCs w:val="18"/>
              </w:rPr>
            </w:pPr>
            <w:r w:rsidRPr="005E3D65">
              <w:rPr>
                <w:sz w:val="18"/>
                <w:szCs w:val="18"/>
              </w:rPr>
              <w:t>209,587.60</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应收账款</w:t>
            </w:r>
          </w:p>
        </w:tc>
        <w:tc>
          <w:tcPr>
            <w:tcW w:w="1485" w:type="dxa"/>
            <w:vAlign w:val="center"/>
          </w:tcPr>
          <w:p w:rsidR="00435FBF" w:rsidRPr="005E3D65" w:rsidRDefault="005F14EE" w:rsidP="00435FBF">
            <w:pPr>
              <w:jc w:val="center"/>
              <w:rPr>
                <w:sz w:val="18"/>
                <w:szCs w:val="18"/>
              </w:rPr>
            </w:pPr>
            <w:r w:rsidRPr="005E3D65">
              <w:rPr>
                <w:sz w:val="18"/>
                <w:szCs w:val="18"/>
              </w:rPr>
              <w:t>(</w:t>
            </w:r>
            <w:r w:rsidR="00435FBF" w:rsidRPr="005E3D65">
              <w:rPr>
                <w:rFonts w:hint="eastAsia"/>
                <w:sz w:val="18"/>
                <w:szCs w:val="18"/>
              </w:rPr>
              <w:t>十</w:t>
            </w:r>
            <w:r w:rsidR="009254AB" w:rsidRPr="005E3D65">
              <w:rPr>
                <w:rFonts w:hint="eastAsia"/>
                <w:sz w:val="18"/>
                <w:szCs w:val="18"/>
              </w:rPr>
              <w:t>五</w:t>
            </w:r>
            <w:r w:rsidRPr="005E3D65">
              <w:rPr>
                <w:sz w:val="18"/>
                <w:szCs w:val="18"/>
              </w:rPr>
              <w:t>)</w:t>
            </w:r>
            <w:r w:rsidR="00435FBF" w:rsidRPr="005E3D65">
              <w:rPr>
                <w:sz w:val="18"/>
                <w:szCs w:val="18"/>
              </w:rPr>
              <w:t>1</w:t>
            </w:r>
          </w:p>
        </w:tc>
        <w:tc>
          <w:tcPr>
            <w:tcW w:w="2047" w:type="dxa"/>
            <w:vAlign w:val="center"/>
          </w:tcPr>
          <w:p w:rsidR="00435FBF" w:rsidRPr="005E3D65" w:rsidRDefault="00140935">
            <w:pPr>
              <w:jc w:val="right"/>
              <w:rPr>
                <w:sz w:val="18"/>
                <w:szCs w:val="18"/>
              </w:rPr>
            </w:pPr>
            <w:r w:rsidRPr="005E3D65">
              <w:rPr>
                <w:sz w:val="18"/>
                <w:szCs w:val="18"/>
              </w:rPr>
              <w:t>977,125,474.95</w:t>
            </w:r>
          </w:p>
        </w:tc>
        <w:tc>
          <w:tcPr>
            <w:tcW w:w="2048" w:type="dxa"/>
            <w:vAlign w:val="center"/>
          </w:tcPr>
          <w:p w:rsidR="00435FBF" w:rsidRPr="005E3D65" w:rsidRDefault="00435FBF">
            <w:pPr>
              <w:jc w:val="right"/>
              <w:rPr>
                <w:sz w:val="18"/>
                <w:szCs w:val="18"/>
              </w:rPr>
            </w:pPr>
            <w:r w:rsidRPr="005E3D65">
              <w:rPr>
                <w:sz w:val="18"/>
                <w:szCs w:val="18"/>
              </w:rPr>
              <w:t>878,461,308.67</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应收款项融资</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140935">
            <w:pPr>
              <w:jc w:val="right"/>
              <w:rPr>
                <w:sz w:val="18"/>
                <w:szCs w:val="18"/>
              </w:rPr>
            </w:pPr>
            <w:r w:rsidRPr="005E3D65">
              <w:rPr>
                <w:sz w:val="18"/>
                <w:szCs w:val="18"/>
              </w:rPr>
              <w:t>21,276,850.44</w:t>
            </w:r>
          </w:p>
        </w:tc>
        <w:tc>
          <w:tcPr>
            <w:tcW w:w="2048" w:type="dxa"/>
            <w:vAlign w:val="center"/>
          </w:tcPr>
          <w:p w:rsidR="00435FBF" w:rsidRPr="005E3D65" w:rsidRDefault="00435FBF">
            <w:pPr>
              <w:jc w:val="right"/>
              <w:rPr>
                <w:sz w:val="18"/>
                <w:szCs w:val="18"/>
              </w:rPr>
            </w:pPr>
            <w:r w:rsidRPr="005E3D65">
              <w:rPr>
                <w:sz w:val="18"/>
                <w:szCs w:val="18"/>
              </w:rPr>
              <w:t>2,290,950.59</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预付款项</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140935">
            <w:pPr>
              <w:jc w:val="right"/>
              <w:rPr>
                <w:sz w:val="18"/>
                <w:szCs w:val="18"/>
              </w:rPr>
            </w:pPr>
            <w:r w:rsidRPr="005E3D65">
              <w:rPr>
                <w:sz w:val="18"/>
                <w:szCs w:val="18"/>
              </w:rPr>
              <w:t>27,388,232.91</w:t>
            </w:r>
          </w:p>
        </w:tc>
        <w:tc>
          <w:tcPr>
            <w:tcW w:w="2048" w:type="dxa"/>
            <w:vAlign w:val="center"/>
          </w:tcPr>
          <w:p w:rsidR="00435FBF" w:rsidRPr="005E3D65" w:rsidRDefault="00435FBF">
            <w:pPr>
              <w:jc w:val="right"/>
              <w:rPr>
                <w:sz w:val="18"/>
                <w:szCs w:val="18"/>
              </w:rPr>
            </w:pPr>
            <w:r w:rsidRPr="005E3D65">
              <w:rPr>
                <w:sz w:val="18"/>
                <w:szCs w:val="18"/>
              </w:rPr>
              <w:t>28,120,222.78</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其他应收款</w:t>
            </w:r>
          </w:p>
        </w:tc>
        <w:tc>
          <w:tcPr>
            <w:tcW w:w="1485" w:type="dxa"/>
            <w:vAlign w:val="center"/>
          </w:tcPr>
          <w:p w:rsidR="00435FBF" w:rsidRPr="005E3D65" w:rsidRDefault="005F14EE" w:rsidP="00435FBF">
            <w:pPr>
              <w:jc w:val="center"/>
              <w:rPr>
                <w:sz w:val="18"/>
                <w:szCs w:val="18"/>
              </w:rPr>
            </w:pPr>
            <w:r w:rsidRPr="005E3D65">
              <w:rPr>
                <w:sz w:val="18"/>
                <w:szCs w:val="18"/>
              </w:rPr>
              <w:t>(</w:t>
            </w:r>
            <w:r w:rsidR="00435FBF" w:rsidRPr="005E3D65">
              <w:rPr>
                <w:rFonts w:hint="eastAsia"/>
                <w:sz w:val="18"/>
                <w:szCs w:val="18"/>
              </w:rPr>
              <w:t>十</w:t>
            </w:r>
            <w:r w:rsidR="009254AB" w:rsidRPr="005E3D65">
              <w:rPr>
                <w:rFonts w:hint="eastAsia"/>
                <w:sz w:val="18"/>
                <w:szCs w:val="18"/>
              </w:rPr>
              <w:t>五</w:t>
            </w:r>
            <w:r w:rsidRPr="005E3D65">
              <w:rPr>
                <w:sz w:val="18"/>
                <w:szCs w:val="18"/>
              </w:rPr>
              <w:t>)</w:t>
            </w:r>
            <w:r w:rsidR="00435FBF" w:rsidRPr="005E3D65">
              <w:rPr>
                <w:sz w:val="18"/>
                <w:szCs w:val="18"/>
              </w:rPr>
              <w:t>2</w:t>
            </w:r>
          </w:p>
        </w:tc>
        <w:tc>
          <w:tcPr>
            <w:tcW w:w="2047" w:type="dxa"/>
            <w:vAlign w:val="center"/>
          </w:tcPr>
          <w:p w:rsidR="00435FBF" w:rsidRPr="005E3D65" w:rsidRDefault="00140935">
            <w:pPr>
              <w:jc w:val="right"/>
              <w:rPr>
                <w:sz w:val="18"/>
                <w:szCs w:val="18"/>
              </w:rPr>
            </w:pPr>
            <w:r w:rsidRPr="005E3D65">
              <w:rPr>
                <w:sz w:val="18"/>
                <w:szCs w:val="18"/>
              </w:rPr>
              <w:t>2,479,568,532.10</w:t>
            </w:r>
          </w:p>
        </w:tc>
        <w:tc>
          <w:tcPr>
            <w:tcW w:w="2048" w:type="dxa"/>
            <w:vAlign w:val="center"/>
          </w:tcPr>
          <w:p w:rsidR="00435FBF" w:rsidRPr="005E3D65" w:rsidRDefault="00435FBF">
            <w:pPr>
              <w:jc w:val="right"/>
              <w:rPr>
                <w:sz w:val="18"/>
                <w:szCs w:val="18"/>
              </w:rPr>
            </w:pPr>
            <w:r w:rsidRPr="005E3D65">
              <w:rPr>
                <w:sz w:val="18"/>
                <w:szCs w:val="18"/>
              </w:rPr>
              <w:t>344,095,846.46</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存货</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140935">
            <w:pPr>
              <w:jc w:val="right"/>
              <w:rPr>
                <w:sz w:val="18"/>
                <w:szCs w:val="18"/>
              </w:rPr>
            </w:pPr>
            <w:r w:rsidRPr="005E3D65">
              <w:rPr>
                <w:sz w:val="18"/>
                <w:szCs w:val="18"/>
              </w:rPr>
              <w:t>476,127,432.91</w:t>
            </w:r>
          </w:p>
        </w:tc>
        <w:tc>
          <w:tcPr>
            <w:tcW w:w="2048" w:type="dxa"/>
            <w:vAlign w:val="center"/>
          </w:tcPr>
          <w:p w:rsidR="00435FBF" w:rsidRPr="005E3D65" w:rsidRDefault="00435FBF">
            <w:pPr>
              <w:jc w:val="right"/>
              <w:rPr>
                <w:sz w:val="18"/>
                <w:szCs w:val="18"/>
              </w:rPr>
            </w:pPr>
            <w:r w:rsidRPr="005E3D65">
              <w:rPr>
                <w:sz w:val="18"/>
                <w:szCs w:val="18"/>
              </w:rPr>
              <w:t>472,615,983.06</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一年内到期的非流动资产</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140935">
            <w:pPr>
              <w:jc w:val="right"/>
              <w:rPr>
                <w:sz w:val="18"/>
                <w:szCs w:val="18"/>
              </w:rPr>
            </w:pPr>
            <w:r w:rsidRPr="005E3D65">
              <w:rPr>
                <w:sz w:val="18"/>
                <w:szCs w:val="18"/>
              </w:rPr>
              <w:t>2,317,922.09</w:t>
            </w:r>
          </w:p>
        </w:tc>
        <w:tc>
          <w:tcPr>
            <w:tcW w:w="2048" w:type="dxa"/>
            <w:vAlign w:val="center"/>
          </w:tcPr>
          <w:p w:rsidR="00435FBF" w:rsidRPr="005E3D65" w:rsidRDefault="00435FBF">
            <w:pPr>
              <w:jc w:val="right"/>
              <w:rPr>
                <w:sz w:val="18"/>
                <w:szCs w:val="18"/>
              </w:rPr>
            </w:pPr>
            <w:r w:rsidRPr="005E3D65">
              <w:rPr>
                <w:sz w:val="18"/>
                <w:szCs w:val="18"/>
              </w:rPr>
              <w:t>2,583,800.00</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其他流动资产</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140935">
            <w:pPr>
              <w:jc w:val="right"/>
              <w:rPr>
                <w:sz w:val="18"/>
                <w:szCs w:val="18"/>
              </w:rPr>
            </w:pPr>
            <w:r w:rsidRPr="005E3D65">
              <w:rPr>
                <w:sz w:val="18"/>
                <w:szCs w:val="18"/>
              </w:rPr>
              <w:t>145,562,712.75</w:t>
            </w:r>
          </w:p>
        </w:tc>
        <w:tc>
          <w:tcPr>
            <w:tcW w:w="2048" w:type="dxa"/>
            <w:vAlign w:val="center"/>
          </w:tcPr>
          <w:p w:rsidR="00435FBF" w:rsidRPr="005E3D65" w:rsidRDefault="00435FBF">
            <w:pPr>
              <w:jc w:val="right"/>
              <w:rPr>
                <w:sz w:val="18"/>
                <w:szCs w:val="18"/>
              </w:rPr>
            </w:pPr>
            <w:r w:rsidRPr="005E3D65">
              <w:rPr>
                <w:sz w:val="18"/>
                <w:szCs w:val="18"/>
              </w:rPr>
              <w:t>73,238,895.63</w:t>
            </w:r>
          </w:p>
        </w:tc>
      </w:tr>
      <w:tr w:rsidR="00435FBF" w:rsidRPr="005E3D65" w:rsidTr="0027505B">
        <w:trPr>
          <w:trHeight w:val="20"/>
        </w:trPr>
        <w:tc>
          <w:tcPr>
            <w:tcW w:w="4597" w:type="dxa"/>
            <w:shd w:val="clear" w:color="auto" w:fill="D9D9D9"/>
            <w:vAlign w:val="center"/>
          </w:tcPr>
          <w:p w:rsidR="00435FBF" w:rsidRPr="005E3D65" w:rsidRDefault="00435FBF" w:rsidP="00435FBF">
            <w:pPr>
              <w:rPr>
                <w:b/>
                <w:sz w:val="18"/>
                <w:szCs w:val="18"/>
              </w:rPr>
            </w:pPr>
            <w:r w:rsidRPr="005E3D65">
              <w:rPr>
                <w:rFonts w:hint="eastAsia"/>
                <w:b/>
                <w:sz w:val="18"/>
                <w:szCs w:val="18"/>
              </w:rPr>
              <w:t>流动资产合计</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140935">
            <w:pPr>
              <w:jc w:val="right"/>
              <w:rPr>
                <w:b/>
                <w:sz w:val="18"/>
                <w:szCs w:val="18"/>
              </w:rPr>
            </w:pPr>
            <w:r w:rsidRPr="005E3D65">
              <w:rPr>
                <w:b/>
                <w:sz w:val="18"/>
                <w:szCs w:val="18"/>
              </w:rPr>
              <w:t>6,127,682,203.59</w:t>
            </w:r>
          </w:p>
        </w:tc>
        <w:tc>
          <w:tcPr>
            <w:tcW w:w="2048" w:type="dxa"/>
            <w:vAlign w:val="center"/>
          </w:tcPr>
          <w:p w:rsidR="00435FBF" w:rsidRPr="005E3D65" w:rsidRDefault="00435FBF">
            <w:pPr>
              <w:jc w:val="right"/>
              <w:rPr>
                <w:b/>
                <w:sz w:val="18"/>
                <w:szCs w:val="18"/>
              </w:rPr>
            </w:pPr>
            <w:r w:rsidRPr="005E3D65">
              <w:rPr>
                <w:b/>
                <w:sz w:val="18"/>
                <w:szCs w:val="18"/>
              </w:rPr>
              <w:t>6,299,662,114.31</w:t>
            </w:r>
          </w:p>
        </w:tc>
      </w:tr>
      <w:tr w:rsidR="00435FBF" w:rsidRPr="005E3D65" w:rsidTr="0027505B">
        <w:trPr>
          <w:trHeight w:val="20"/>
        </w:trPr>
        <w:tc>
          <w:tcPr>
            <w:tcW w:w="4597" w:type="dxa"/>
            <w:shd w:val="clear" w:color="auto" w:fill="D9D9D9"/>
            <w:vAlign w:val="center"/>
          </w:tcPr>
          <w:p w:rsidR="00435FBF" w:rsidRPr="005E3D65" w:rsidRDefault="00435FBF" w:rsidP="00435FBF">
            <w:pPr>
              <w:rPr>
                <w:b/>
                <w:sz w:val="18"/>
                <w:szCs w:val="18"/>
              </w:rPr>
            </w:pPr>
            <w:r w:rsidRPr="005E3D65">
              <w:rPr>
                <w:rFonts w:hint="eastAsia"/>
                <w:b/>
                <w:sz w:val="18"/>
                <w:szCs w:val="18"/>
              </w:rPr>
              <w:t>非流动资产</w:t>
            </w:r>
            <w:r w:rsidR="005F14EE" w:rsidRPr="005E3D65">
              <w:rPr>
                <w:rFonts w:hint="eastAsia"/>
                <w:b/>
                <w:sz w:val="18"/>
                <w:szCs w:val="18"/>
              </w:rPr>
              <w:t>：</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435FBF">
            <w:pPr>
              <w:jc w:val="right"/>
              <w:rPr>
                <w:sz w:val="18"/>
                <w:szCs w:val="18"/>
              </w:rPr>
            </w:pPr>
          </w:p>
        </w:tc>
        <w:tc>
          <w:tcPr>
            <w:tcW w:w="2048" w:type="dxa"/>
            <w:vAlign w:val="center"/>
          </w:tcPr>
          <w:p w:rsidR="00435FBF" w:rsidRPr="005E3D65" w:rsidRDefault="00435FBF">
            <w:pPr>
              <w:jc w:val="right"/>
              <w:rPr>
                <w:sz w:val="18"/>
                <w:szCs w:val="18"/>
              </w:rPr>
            </w:pP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长期应收款</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sz w:val="18"/>
                <w:szCs w:val="18"/>
              </w:rPr>
            </w:pPr>
            <w:r w:rsidRPr="005E3D65">
              <w:rPr>
                <w:sz w:val="18"/>
                <w:szCs w:val="18"/>
              </w:rPr>
              <w:t>4,400,755.59</w:t>
            </w:r>
          </w:p>
        </w:tc>
        <w:tc>
          <w:tcPr>
            <w:tcW w:w="2048" w:type="dxa"/>
            <w:vAlign w:val="center"/>
          </w:tcPr>
          <w:p w:rsidR="00435FBF" w:rsidRPr="005E3D65" w:rsidRDefault="00435FBF">
            <w:pPr>
              <w:jc w:val="right"/>
              <w:rPr>
                <w:sz w:val="18"/>
                <w:szCs w:val="18"/>
              </w:rPr>
            </w:pPr>
            <w:r w:rsidRPr="005E3D65">
              <w:rPr>
                <w:sz w:val="18"/>
                <w:szCs w:val="18"/>
              </w:rPr>
              <w:t>5,235,124.73</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长期股权投资</w:t>
            </w:r>
          </w:p>
        </w:tc>
        <w:tc>
          <w:tcPr>
            <w:tcW w:w="1485" w:type="dxa"/>
            <w:vAlign w:val="center"/>
          </w:tcPr>
          <w:p w:rsidR="00435FBF" w:rsidRPr="005E3D65" w:rsidRDefault="005F14EE" w:rsidP="00435FBF">
            <w:pPr>
              <w:jc w:val="center"/>
              <w:rPr>
                <w:sz w:val="18"/>
                <w:szCs w:val="18"/>
              </w:rPr>
            </w:pPr>
            <w:r w:rsidRPr="005E3D65">
              <w:rPr>
                <w:sz w:val="18"/>
                <w:szCs w:val="18"/>
              </w:rPr>
              <w:t>(</w:t>
            </w:r>
            <w:r w:rsidR="00435FBF" w:rsidRPr="005E3D65">
              <w:rPr>
                <w:rFonts w:hint="eastAsia"/>
                <w:sz w:val="18"/>
                <w:szCs w:val="18"/>
              </w:rPr>
              <w:t>十</w:t>
            </w:r>
            <w:r w:rsidR="009254AB" w:rsidRPr="005E3D65">
              <w:rPr>
                <w:rFonts w:hint="eastAsia"/>
                <w:sz w:val="18"/>
                <w:szCs w:val="18"/>
              </w:rPr>
              <w:t>五</w:t>
            </w:r>
            <w:r w:rsidRPr="005E3D65">
              <w:rPr>
                <w:sz w:val="18"/>
                <w:szCs w:val="18"/>
              </w:rPr>
              <w:t>)</w:t>
            </w:r>
            <w:r w:rsidR="00435FBF" w:rsidRPr="005E3D65">
              <w:rPr>
                <w:sz w:val="18"/>
                <w:szCs w:val="18"/>
              </w:rPr>
              <w:t>3</w:t>
            </w:r>
          </w:p>
        </w:tc>
        <w:tc>
          <w:tcPr>
            <w:tcW w:w="2047" w:type="dxa"/>
            <w:vAlign w:val="center"/>
          </w:tcPr>
          <w:p w:rsidR="00435FBF" w:rsidRPr="005E3D65" w:rsidRDefault="00CF0966">
            <w:pPr>
              <w:jc w:val="right"/>
              <w:rPr>
                <w:sz w:val="18"/>
                <w:szCs w:val="18"/>
              </w:rPr>
            </w:pPr>
            <w:r w:rsidRPr="005E3D65">
              <w:rPr>
                <w:sz w:val="18"/>
                <w:szCs w:val="18"/>
              </w:rPr>
              <w:t>136,208,673.46</w:t>
            </w:r>
          </w:p>
        </w:tc>
        <w:tc>
          <w:tcPr>
            <w:tcW w:w="2048" w:type="dxa"/>
            <w:vAlign w:val="center"/>
          </w:tcPr>
          <w:p w:rsidR="00435FBF" w:rsidRPr="005E3D65" w:rsidRDefault="00435FBF">
            <w:pPr>
              <w:jc w:val="right"/>
              <w:rPr>
                <w:sz w:val="18"/>
                <w:szCs w:val="18"/>
              </w:rPr>
            </w:pPr>
            <w:r w:rsidRPr="005E3D65">
              <w:rPr>
                <w:sz w:val="18"/>
                <w:szCs w:val="18"/>
              </w:rPr>
              <w:t>136,208,673.46</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固定资产</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sz w:val="18"/>
                <w:szCs w:val="18"/>
              </w:rPr>
            </w:pPr>
            <w:r w:rsidRPr="005E3D65">
              <w:rPr>
                <w:sz w:val="18"/>
                <w:szCs w:val="18"/>
              </w:rPr>
              <w:t>31,311,854.44</w:t>
            </w:r>
          </w:p>
        </w:tc>
        <w:tc>
          <w:tcPr>
            <w:tcW w:w="2048" w:type="dxa"/>
            <w:vAlign w:val="center"/>
          </w:tcPr>
          <w:p w:rsidR="00435FBF" w:rsidRPr="005E3D65" w:rsidRDefault="00435FBF">
            <w:pPr>
              <w:jc w:val="right"/>
              <w:rPr>
                <w:sz w:val="18"/>
                <w:szCs w:val="18"/>
              </w:rPr>
            </w:pPr>
            <w:r w:rsidRPr="005E3D65">
              <w:rPr>
                <w:sz w:val="18"/>
                <w:szCs w:val="18"/>
              </w:rPr>
              <w:t>53,980,224.14</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在建工程</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sz w:val="18"/>
                <w:szCs w:val="18"/>
              </w:rPr>
            </w:pPr>
            <w:r w:rsidRPr="005E3D65">
              <w:rPr>
                <w:sz w:val="18"/>
                <w:szCs w:val="18"/>
              </w:rPr>
              <w:t>582,627,808.85</w:t>
            </w:r>
          </w:p>
        </w:tc>
        <w:tc>
          <w:tcPr>
            <w:tcW w:w="2048" w:type="dxa"/>
            <w:vAlign w:val="center"/>
          </w:tcPr>
          <w:p w:rsidR="00435FBF" w:rsidRPr="005E3D65" w:rsidRDefault="00435FBF">
            <w:pPr>
              <w:jc w:val="right"/>
              <w:rPr>
                <w:sz w:val="18"/>
                <w:szCs w:val="18"/>
              </w:rPr>
            </w:pPr>
            <w:r w:rsidRPr="005E3D65">
              <w:rPr>
                <w:sz w:val="18"/>
                <w:szCs w:val="18"/>
              </w:rPr>
              <w:t>293,011,129.51</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使用权资产</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sz w:val="18"/>
                <w:szCs w:val="18"/>
              </w:rPr>
            </w:pPr>
            <w:r w:rsidRPr="005E3D65">
              <w:rPr>
                <w:sz w:val="18"/>
                <w:szCs w:val="18"/>
              </w:rPr>
              <w:t>12,995,071.49</w:t>
            </w:r>
          </w:p>
        </w:tc>
        <w:tc>
          <w:tcPr>
            <w:tcW w:w="2048" w:type="dxa"/>
            <w:vAlign w:val="center"/>
          </w:tcPr>
          <w:p w:rsidR="00435FBF" w:rsidRPr="005E3D65" w:rsidRDefault="00435FBF">
            <w:pPr>
              <w:jc w:val="right"/>
              <w:rPr>
                <w:sz w:val="18"/>
                <w:szCs w:val="18"/>
              </w:rPr>
            </w:pPr>
            <w:r w:rsidRPr="005E3D65">
              <w:rPr>
                <w:sz w:val="18"/>
                <w:szCs w:val="18"/>
              </w:rPr>
              <w:t>25,927,887.52</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无形资产</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sz w:val="18"/>
                <w:szCs w:val="18"/>
              </w:rPr>
            </w:pPr>
            <w:r w:rsidRPr="005E3D65">
              <w:rPr>
                <w:sz w:val="18"/>
                <w:szCs w:val="18"/>
              </w:rPr>
              <w:t>25,061,449.03</w:t>
            </w:r>
          </w:p>
        </w:tc>
        <w:tc>
          <w:tcPr>
            <w:tcW w:w="2048" w:type="dxa"/>
            <w:vAlign w:val="center"/>
          </w:tcPr>
          <w:p w:rsidR="00435FBF" w:rsidRPr="005E3D65" w:rsidRDefault="00435FBF">
            <w:pPr>
              <w:jc w:val="right"/>
              <w:rPr>
                <w:sz w:val="18"/>
                <w:szCs w:val="18"/>
              </w:rPr>
            </w:pPr>
            <w:r w:rsidRPr="005E3D65">
              <w:rPr>
                <w:sz w:val="18"/>
                <w:szCs w:val="18"/>
              </w:rPr>
              <w:t>25,503,895.36</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长期待摊费用</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sz w:val="18"/>
                <w:szCs w:val="18"/>
              </w:rPr>
            </w:pPr>
            <w:r w:rsidRPr="005E3D65">
              <w:rPr>
                <w:sz w:val="18"/>
                <w:szCs w:val="18"/>
              </w:rPr>
              <w:t>3,656,925.34</w:t>
            </w:r>
          </w:p>
        </w:tc>
        <w:tc>
          <w:tcPr>
            <w:tcW w:w="2048" w:type="dxa"/>
            <w:vAlign w:val="center"/>
          </w:tcPr>
          <w:p w:rsidR="00435FBF" w:rsidRPr="005E3D65" w:rsidRDefault="00435FBF">
            <w:pPr>
              <w:jc w:val="right"/>
              <w:rPr>
                <w:sz w:val="18"/>
                <w:szCs w:val="18"/>
              </w:rPr>
            </w:pPr>
            <w:r w:rsidRPr="005E3D65">
              <w:rPr>
                <w:sz w:val="18"/>
                <w:szCs w:val="18"/>
              </w:rPr>
              <w:t>4,036,726.14</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递延所得税资产</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sz w:val="18"/>
                <w:szCs w:val="18"/>
              </w:rPr>
            </w:pPr>
            <w:r w:rsidRPr="005E3D65">
              <w:rPr>
                <w:sz w:val="18"/>
                <w:szCs w:val="18"/>
              </w:rPr>
              <w:t>35,065,320.93</w:t>
            </w:r>
          </w:p>
        </w:tc>
        <w:tc>
          <w:tcPr>
            <w:tcW w:w="2048" w:type="dxa"/>
            <w:vAlign w:val="center"/>
          </w:tcPr>
          <w:p w:rsidR="00435FBF" w:rsidRPr="005E3D65" w:rsidRDefault="00CF0966">
            <w:pPr>
              <w:jc w:val="right"/>
              <w:rPr>
                <w:sz w:val="18"/>
                <w:szCs w:val="18"/>
              </w:rPr>
            </w:pPr>
            <w:r w:rsidRPr="005E3D65">
              <w:rPr>
                <w:sz w:val="18"/>
                <w:szCs w:val="18"/>
              </w:rPr>
              <w:t>36,587,216.45</w:t>
            </w:r>
          </w:p>
        </w:tc>
      </w:tr>
      <w:tr w:rsidR="00435FBF" w:rsidRPr="005E3D65" w:rsidTr="0027505B">
        <w:trPr>
          <w:trHeight w:val="20"/>
        </w:trPr>
        <w:tc>
          <w:tcPr>
            <w:tcW w:w="4597" w:type="dxa"/>
            <w:shd w:val="clear" w:color="auto" w:fill="D9D9D9"/>
            <w:vAlign w:val="center"/>
          </w:tcPr>
          <w:p w:rsidR="00435FBF" w:rsidRPr="005E3D65" w:rsidRDefault="00435FBF" w:rsidP="00435FBF">
            <w:pPr>
              <w:tabs>
                <w:tab w:val="left" w:pos="177"/>
              </w:tabs>
              <w:rPr>
                <w:sz w:val="18"/>
                <w:szCs w:val="18"/>
              </w:rPr>
            </w:pPr>
            <w:r w:rsidRPr="005E3D65">
              <w:rPr>
                <w:sz w:val="18"/>
                <w:szCs w:val="18"/>
              </w:rPr>
              <w:tab/>
            </w:r>
            <w:r w:rsidRPr="005E3D65">
              <w:rPr>
                <w:rFonts w:hint="eastAsia"/>
                <w:sz w:val="18"/>
                <w:szCs w:val="18"/>
              </w:rPr>
              <w:t>其他非流动资产</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sz w:val="18"/>
                <w:szCs w:val="18"/>
              </w:rPr>
            </w:pPr>
            <w:r w:rsidRPr="005E3D65">
              <w:rPr>
                <w:sz w:val="18"/>
                <w:szCs w:val="18"/>
              </w:rPr>
              <w:t>30,078,215.96</w:t>
            </w:r>
          </w:p>
        </w:tc>
        <w:tc>
          <w:tcPr>
            <w:tcW w:w="2048" w:type="dxa"/>
            <w:vAlign w:val="center"/>
          </w:tcPr>
          <w:p w:rsidR="00435FBF" w:rsidRPr="005E3D65" w:rsidRDefault="00435FBF">
            <w:pPr>
              <w:jc w:val="right"/>
              <w:rPr>
                <w:sz w:val="18"/>
                <w:szCs w:val="18"/>
              </w:rPr>
            </w:pPr>
            <w:r w:rsidRPr="005E3D65">
              <w:rPr>
                <w:sz w:val="18"/>
                <w:szCs w:val="18"/>
              </w:rPr>
              <w:t>24,293,962.43</w:t>
            </w:r>
          </w:p>
        </w:tc>
      </w:tr>
      <w:tr w:rsidR="00435FBF" w:rsidRPr="005E3D65" w:rsidTr="0027505B">
        <w:trPr>
          <w:trHeight w:val="20"/>
        </w:trPr>
        <w:tc>
          <w:tcPr>
            <w:tcW w:w="4597" w:type="dxa"/>
            <w:shd w:val="clear" w:color="auto" w:fill="D9D9D9"/>
            <w:vAlign w:val="center"/>
          </w:tcPr>
          <w:p w:rsidR="00435FBF" w:rsidRPr="005E3D65" w:rsidRDefault="00435FBF" w:rsidP="00435FBF">
            <w:pPr>
              <w:rPr>
                <w:b/>
                <w:sz w:val="18"/>
                <w:szCs w:val="18"/>
              </w:rPr>
            </w:pPr>
            <w:r w:rsidRPr="005E3D65">
              <w:rPr>
                <w:rFonts w:hint="eastAsia"/>
                <w:b/>
                <w:sz w:val="18"/>
                <w:szCs w:val="18"/>
              </w:rPr>
              <w:t>非流动资产合计</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b/>
                <w:sz w:val="18"/>
                <w:szCs w:val="18"/>
              </w:rPr>
            </w:pPr>
            <w:r w:rsidRPr="005E3D65">
              <w:rPr>
                <w:b/>
                <w:sz w:val="18"/>
                <w:szCs w:val="18"/>
              </w:rPr>
              <w:t>861,406,075.09</w:t>
            </w:r>
          </w:p>
        </w:tc>
        <w:tc>
          <w:tcPr>
            <w:tcW w:w="2048" w:type="dxa"/>
            <w:vAlign w:val="center"/>
          </w:tcPr>
          <w:p w:rsidR="00435FBF" w:rsidRPr="005E3D65" w:rsidRDefault="00CF0966">
            <w:pPr>
              <w:jc w:val="right"/>
              <w:rPr>
                <w:b/>
                <w:sz w:val="18"/>
                <w:szCs w:val="18"/>
              </w:rPr>
            </w:pPr>
            <w:r w:rsidRPr="005E3D65">
              <w:rPr>
                <w:b/>
                <w:sz w:val="18"/>
                <w:szCs w:val="18"/>
              </w:rPr>
              <w:t>604,784,839.74</w:t>
            </w:r>
          </w:p>
        </w:tc>
      </w:tr>
      <w:tr w:rsidR="00435FBF" w:rsidRPr="005E3D65" w:rsidTr="0027505B">
        <w:trPr>
          <w:trHeight w:val="20"/>
        </w:trPr>
        <w:tc>
          <w:tcPr>
            <w:tcW w:w="4597" w:type="dxa"/>
            <w:shd w:val="clear" w:color="auto" w:fill="D9D9D9"/>
            <w:vAlign w:val="center"/>
          </w:tcPr>
          <w:p w:rsidR="00435FBF" w:rsidRPr="005E3D65" w:rsidRDefault="00435FBF" w:rsidP="00435FBF">
            <w:pPr>
              <w:rPr>
                <w:b/>
                <w:sz w:val="18"/>
                <w:szCs w:val="18"/>
              </w:rPr>
            </w:pPr>
            <w:r w:rsidRPr="005E3D65">
              <w:rPr>
                <w:rFonts w:hint="eastAsia"/>
                <w:b/>
                <w:sz w:val="18"/>
                <w:szCs w:val="18"/>
              </w:rPr>
              <w:t>资产总计</w:t>
            </w:r>
          </w:p>
        </w:tc>
        <w:tc>
          <w:tcPr>
            <w:tcW w:w="1485" w:type="dxa"/>
            <w:vAlign w:val="center"/>
          </w:tcPr>
          <w:p w:rsidR="00435FBF" w:rsidRPr="005E3D65" w:rsidRDefault="00435FBF" w:rsidP="00435FBF">
            <w:pPr>
              <w:jc w:val="center"/>
              <w:rPr>
                <w:sz w:val="18"/>
                <w:szCs w:val="18"/>
              </w:rPr>
            </w:pPr>
          </w:p>
        </w:tc>
        <w:tc>
          <w:tcPr>
            <w:tcW w:w="2047" w:type="dxa"/>
            <w:vAlign w:val="center"/>
          </w:tcPr>
          <w:p w:rsidR="00435FBF" w:rsidRPr="005E3D65" w:rsidRDefault="00CF0966">
            <w:pPr>
              <w:jc w:val="right"/>
              <w:rPr>
                <w:b/>
                <w:bCs/>
                <w:color w:val="000000"/>
                <w:sz w:val="18"/>
                <w:szCs w:val="18"/>
              </w:rPr>
            </w:pPr>
            <w:r w:rsidRPr="005E3D65">
              <w:rPr>
                <w:b/>
                <w:bCs/>
                <w:color w:val="000000"/>
                <w:sz w:val="18"/>
                <w:szCs w:val="18"/>
              </w:rPr>
              <w:t>6,989,088,278.68</w:t>
            </w:r>
          </w:p>
        </w:tc>
        <w:tc>
          <w:tcPr>
            <w:tcW w:w="2048" w:type="dxa"/>
            <w:vAlign w:val="center"/>
          </w:tcPr>
          <w:p w:rsidR="00435FBF" w:rsidRPr="005E3D65" w:rsidRDefault="00CF0966">
            <w:pPr>
              <w:jc w:val="right"/>
              <w:rPr>
                <w:b/>
                <w:bCs/>
                <w:color w:val="000000"/>
                <w:sz w:val="18"/>
                <w:szCs w:val="18"/>
              </w:rPr>
            </w:pPr>
            <w:r w:rsidRPr="005E3D65">
              <w:rPr>
                <w:b/>
                <w:bCs/>
                <w:color w:val="000000"/>
                <w:sz w:val="18"/>
                <w:szCs w:val="18"/>
              </w:rPr>
              <w:t>6,904,446,954.05</w:t>
            </w:r>
          </w:p>
        </w:tc>
      </w:tr>
    </w:tbl>
    <w:p w:rsidR="007B68E0" w:rsidRPr="00A71D2E" w:rsidRDefault="007B68E0">
      <w:pPr>
        <w:ind w:firstLine="2"/>
        <w:rPr>
          <w:rFonts w:eastAsia="宋体" w:cs="Times New Roman"/>
          <w:kern w:val="2"/>
          <w:szCs w:val="21"/>
        </w:rPr>
      </w:pPr>
    </w:p>
    <w:p w:rsidR="004A7902" w:rsidRPr="00A71D2E" w:rsidRDefault="00B07360">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4A7902" w:rsidRPr="00A71D2E">
        <w:rPr>
          <w:rFonts w:eastAsia="宋体" w:cs="Times New Roman" w:hint="eastAsia"/>
          <w:szCs w:val="21"/>
        </w:rPr>
        <w:t>页至</w:t>
      </w:r>
      <w:r w:rsidR="006F55AB" w:rsidRPr="00A71D2E">
        <w:rPr>
          <w:rFonts w:eastAsia="宋体" w:cs="Times New Roman" w:hint="eastAsia"/>
          <w:szCs w:val="21"/>
        </w:rPr>
        <w:t>第</w:t>
      </w:r>
      <w:r w:rsidR="006208D2" w:rsidRPr="00A71D2E">
        <w:rPr>
          <w:rFonts w:eastAsia="宋体" w:cs="Times New Roman"/>
          <w:szCs w:val="21"/>
        </w:rPr>
        <w:t>8</w:t>
      </w:r>
      <w:r w:rsidR="00E25E50">
        <w:rPr>
          <w:rFonts w:eastAsia="宋体" w:cs="Times New Roman"/>
          <w:szCs w:val="21"/>
        </w:rPr>
        <w:t>4</w:t>
      </w:r>
      <w:r w:rsidR="004A7902" w:rsidRPr="00A71D2E">
        <w:rPr>
          <w:rFonts w:eastAsia="宋体" w:cs="Times New Roman" w:hint="eastAsia"/>
          <w:szCs w:val="21"/>
        </w:rPr>
        <w:t>页的财务报表由下列负责人签署</w:t>
      </w:r>
      <w:r w:rsidR="005F14EE">
        <w:rPr>
          <w:rFonts w:eastAsia="宋体" w:cs="Times New Roman" w:hint="eastAsia"/>
          <w:szCs w:val="21"/>
        </w:rPr>
        <w:t>：</w:t>
      </w:r>
    </w:p>
    <w:p w:rsidR="0051472B" w:rsidRPr="00A71D2E" w:rsidRDefault="0051472B">
      <w:pPr>
        <w:rPr>
          <w:rFonts w:eastAsia="宋体" w:cs="Times New Roman"/>
          <w:szCs w:val="21"/>
        </w:rPr>
      </w:pPr>
    </w:p>
    <w:p w:rsidR="0051472B" w:rsidRPr="00A71D2E" w:rsidRDefault="0051472B">
      <w:pPr>
        <w:rPr>
          <w:rFonts w:eastAsia="宋体" w:cs="Times New Roman"/>
          <w:szCs w:val="21"/>
        </w:rPr>
      </w:pPr>
    </w:p>
    <w:p w:rsidR="0051472B" w:rsidRPr="00A71D2E" w:rsidRDefault="0051472B">
      <w:pPr>
        <w:rPr>
          <w:rFonts w:eastAsia="宋体" w:cs="Times New Roman"/>
          <w:szCs w:val="21"/>
        </w:rPr>
      </w:pPr>
    </w:p>
    <w:p w:rsidR="0051472B" w:rsidRPr="00A71D2E" w:rsidRDefault="0051472B">
      <w:pPr>
        <w:rPr>
          <w:rFonts w:eastAsia="宋体" w:cs="Times New Roman"/>
          <w:szCs w:val="21"/>
        </w:rPr>
      </w:pPr>
    </w:p>
    <w:p w:rsidR="0051472B" w:rsidRPr="00A71D2E" w:rsidRDefault="0051472B">
      <w:pPr>
        <w:rPr>
          <w:rFonts w:eastAsia="宋体" w:cs="Times New Roman"/>
          <w:szCs w:val="21"/>
        </w:rPr>
      </w:pP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_____________________</w:t>
      </w:r>
      <w:r w:rsidRPr="00A71D2E">
        <w:rPr>
          <w:rFonts w:eastAsia="宋体" w:cs="Times New Roman"/>
          <w:szCs w:val="21"/>
        </w:rPr>
        <w:tab/>
        <w:t>_____________________</w:t>
      </w: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r>
      <w:r w:rsidRPr="00A71D2E">
        <w:rPr>
          <w:rFonts w:eastAsia="宋体" w:cs="Times New Roman" w:hint="eastAsia"/>
          <w:szCs w:val="21"/>
        </w:rPr>
        <w:t>法定代表人</w:t>
      </w:r>
      <w:r w:rsidRPr="00A71D2E">
        <w:rPr>
          <w:rFonts w:eastAsia="宋体" w:cs="Times New Roman"/>
          <w:szCs w:val="21"/>
        </w:rPr>
        <w:tab/>
      </w:r>
      <w:r w:rsidRPr="00A71D2E">
        <w:rPr>
          <w:rFonts w:eastAsia="宋体" w:cs="Times New Roman" w:hint="eastAsia"/>
          <w:szCs w:val="21"/>
        </w:rPr>
        <w:t>主管会计工作负责人</w:t>
      </w:r>
      <w:r w:rsidRPr="00A71D2E">
        <w:rPr>
          <w:rFonts w:eastAsia="宋体" w:cs="Times New Roman"/>
          <w:szCs w:val="21"/>
        </w:rPr>
        <w:tab/>
      </w:r>
      <w:r w:rsidRPr="00A71D2E">
        <w:rPr>
          <w:rFonts w:eastAsia="宋体" w:cs="Times New Roman" w:hint="eastAsia"/>
          <w:szCs w:val="21"/>
        </w:rPr>
        <w:t>会计机构负责人</w:t>
      </w:r>
    </w:p>
    <w:p w:rsidR="007B68E0" w:rsidRPr="00A71D2E" w:rsidRDefault="007B68E0">
      <w:pPr>
        <w:ind w:firstLine="2"/>
        <w:rPr>
          <w:rFonts w:eastAsia="宋体" w:cs="Times New Roman"/>
          <w:kern w:val="2"/>
          <w:szCs w:val="21"/>
        </w:rPr>
      </w:pPr>
    </w:p>
    <w:p w:rsidR="007B68E0" w:rsidRPr="00A71D2E" w:rsidRDefault="007B68E0">
      <w:pPr>
        <w:ind w:firstLine="2"/>
        <w:rPr>
          <w:rFonts w:eastAsia="宋体" w:cs="Times New Roman"/>
          <w:kern w:val="2"/>
          <w:szCs w:val="21"/>
        </w:rPr>
      </w:pPr>
    </w:p>
    <w:p w:rsidR="00D5660C" w:rsidRPr="00A71D2E" w:rsidRDefault="00D5660C">
      <w:pPr>
        <w:ind w:firstLine="2"/>
        <w:rPr>
          <w:rFonts w:eastAsia="宋体" w:cs="Times New Roman"/>
          <w:szCs w:val="21"/>
        </w:rPr>
      </w:pPr>
      <w:r w:rsidRPr="00A71D2E">
        <w:rPr>
          <w:rFonts w:eastAsia="宋体" w:cs="Times New Roman"/>
          <w:kern w:val="2"/>
          <w:szCs w:val="21"/>
        </w:rPr>
        <w:br w:type="page"/>
      </w:r>
    </w:p>
    <w:p w:rsidR="00291954" w:rsidRPr="00A71D2E" w:rsidRDefault="00DE2975" w:rsidP="005E3D65">
      <w:pPr>
        <w:tabs>
          <w:tab w:val="left" w:pos="10170"/>
        </w:tabs>
        <w:rPr>
          <w:rFonts w:eastAsia="宋体" w:cs="Times New Roman"/>
          <w:szCs w:val="21"/>
          <w:u w:val="single"/>
        </w:rPr>
      </w:pPr>
      <w:r w:rsidRPr="00A71D2E">
        <w:rPr>
          <w:rFonts w:eastAsia="宋体" w:cs="Times New Roman"/>
          <w:szCs w:val="21"/>
          <w:u w:val="single"/>
        </w:rPr>
        <w:t>202</w:t>
      </w:r>
      <w:r w:rsidR="00E22CFD">
        <w:rPr>
          <w:rFonts w:eastAsia="宋体" w:cs="Times New Roman"/>
          <w:szCs w:val="21"/>
          <w:u w:val="single"/>
        </w:rPr>
        <w:t>3</w:t>
      </w:r>
      <w:r w:rsidRPr="00A71D2E">
        <w:rPr>
          <w:rFonts w:eastAsia="宋体" w:cs="Times New Roman" w:hint="eastAsia"/>
          <w:szCs w:val="21"/>
          <w:u w:val="single"/>
        </w:rPr>
        <w:t>年</w:t>
      </w:r>
      <w:r w:rsidRPr="00A71D2E">
        <w:rPr>
          <w:rFonts w:eastAsia="宋体" w:cs="Times New Roman"/>
          <w:szCs w:val="21"/>
          <w:u w:val="single"/>
        </w:rPr>
        <w:t>12</w:t>
      </w:r>
      <w:r w:rsidRPr="00A71D2E">
        <w:rPr>
          <w:rFonts w:eastAsia="宋体" w:cs="Times New Roman" w:hint="eastAsia"/>
          <w:szCs w:val="21"/>
          <w:u w:val="single"/>
        </w:rPr>
        <w:t>月</w:t>
      </w:r>
      <w:r w:rsidRPr="00A71D2E">
        <w:rPr>
          <w:rFonts w:eastAsia="宋体" w:cs="Times New Roman"/>
          <w:szCs w:val="21"/>
          <w:u w:val="single"/>
        </w:rPr>
        <w:t>31</w:t>
      </w:r>
      <w:r w:rsidRPr="00A71D2E">
        <w:rPr>
          <w:rFonts w:eastAsia="宋体" w:cs="Times New Roman" w:hint="eastAsia"/>
          <w:szCs w:val="21"/>
          <w:u w:val="single"/>
        </w:rPr>
        <w:t>日</w:t>
      </w:r>
      <w:r w:rsidR="00291954" w:rsidRPr="00A71D2E">
        <w:rPr>
          <w:rFonts w:eastAsia="宋体" w:cs="Times New Roman"/>
          <w:szCs w:val="21"/>
          <w:u w:val="single"/>
        </w:rPr>
        <w:tab/>
      </w:r>
    </w:p>
    <w:p w:rsidR="006F3692" w:rsidRPr="0027505B" w:rsidRDefault="006F3692">
      <w:pPr>
        <w:rPr>
          <w:rFonts w:eastAsia="宋体" w:cs="Times New Roman"/>
          <w:szCs w:val="21"/>
        </w:rPr>
      </w:pPr>
    </w:p>
    <w:p w:rsidR="00D5660C" w:rsidRPr="00A71D2E" w:rsidRDefault="00D5660C">
      <w:pPr>
        <w:jc w:val="center"/>
        <w:rPr>
          <w:rFonts w:eastAsia="宋体" w:cs="Times New Roman"/>
          <w:szCs w:val="21"/>
        </w:rPr>
      </w:pPr>
      <w:r w:rsidRPr="00A71D2E">
        <w:rPr>
          <w:rFonts w:eastAsia="宋体" w:cs="Times New Roman" w:hint="eastAsia"/>
          <w:b/>
          <w:bCs/>
          <w:szCs w:val="21"/>
        </w:rPr>
        <w:t>母公司资产负债表</w:t>
      </w:r>
      <w:r w:rsidRPr="00A71D2E">
        <w:rPr>
          <w:rFonts w:eastAsia="宋体" w:cs="Times New Roman"/>
          <w:bCs/>
          <w:szCs w:val="21"/>
        </w:rPr>
        <w:t xml:space="preserve"> - </w:t>
      </w:r>
      <w:r w:rsidRPr="00A71D2E">
        <w:rPr>
          <w:rFonts w:eastAsia="宋体" w:cs="Times New Roman" w:hint="eastAsia"/>
          <w:bCs/>
          <w:szCs w:val="21"/>
        </w:rPr>
        <w:t>续</w:t>
      </w:r>
    </w:p>
    <w:p w:rsidR="00D5660C" w:rsidRPr="00A71D2E" w:rsidRDefault="00D5660C" w:rsidP="0027505B">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Style w:val="aff5"/>
        <w:tblW w:w="10165" w:type="dxa"/>
        <w:tblLayout w:type="fixed"/>
        <w:tblLook w:val="04A0" w:firstRow="1" w:lastRow="0" w:firstColumn="1" w:lastColumn="0" w:noHBand="0" w:noVBand="1"/>
      </w:tblPr>
      <w:tblGrid>
        <w:gridCol w:w="4585"/>
        <w:gridCol w:w="1485"/>
        <w:gridCol w:w="2047"/>
        <w:gridCol w:w="2048"/>
      </w:tblGrid>
      <w:tr w:rsidR="00F90566" w:rsidRPr="005E3D65" w:rsidTr="0027505B">
        <w:trPr>
          <w:trHeight w:val="20"/>
        </w:trPr>
        <w:tc>
          <w:tcPr>
            <w:tcW w:w="4585" w:type="dxa"/>
            <w:shd w:val="clear" w:color="auto" w:fill="D9D9D9"/>
            <w:vAlign w:val="center"/>
          </w:tcPr>
          <w:p w:rsidR="00F90566" w:rsidRPr="005E3D65" w:rsidRDefault="00F90566">
            <w:pPr>
              <w:jc w:val="center"/>
              <w:rPr>
                <w:sz w:val="18"/>
                <w:szCs w:val="18"/>
              </w:rPr>
            </w:pPr>
            <w:r w:rsidRPr="005E3D65">
              <w:rPr>
                <w:rFonts w:hint="eastAsia"/>
                <w:sz w:val="18"/>
                <w:szCs w:val="18"/>
              </w:rPr>
              <w:t>项目</w:t>
            </w:r>
          </w:p>
        </w:tc>
        <w:tc>
          <w:tcPr>
            <w:tcW w:w="1485" w:type="dxa"/>
            <w:shd w:val="clear" w:color="auto" w:fill="D9D9D9"/>
            <w:vAlign w:val="center"/>
          </w:tcPr>
          <w:p w:rsidR="00F90566" w:rsidRPr="005E3D65" w:rsidRDefault="00F90566">
            <w:pPr>
              <w:jc w:val="center"/>
              <w:rPr>
                <w:sz w:val="18"/>
                <w:szCs w:val="18"/>
              </w:rPr>
            </w:pPr>
            <w:r w:rsidRPr="005E3D65">
              <w:rPr>
                <w:rFonts w:hint="eastAsia"/>
                <w:sz w:val="18"/>
                <w:szCs w:val="18"/>
              </w:rPr>
              <w:t>附注</w:t>
            </w:r>
          </w:p>
        </w:tc>
        <w:tc>
          <w:tcPr>
            <w:tcW w:w="2047" w:type="dxa"/>
            <w:shd w:val="clear" w:color="auto" w:fill="D9D9D9"/>
            <w:vAlign w:val="center"/>
          </w:tcPr>
          <w:p w:rsidR="00F90566" w:rsidRPr="005E3D65" w:rsidRDefault="00F90566">
            <w:pPr>
              <w:jc w:val="center"/>
              <w:rPr>
                <w:sz w:val="18"/>
                <w:szCs w:val="18"/>
              </w:rPr>
            </w:pPr>
            <w:r w:rsidRPr="005E3D65">
              <w:rPr>
                <w:rFonts w:hint="eastAsia"/>
                <w:sz w:val="18"/>
                <w:szCs w:val="18"/>
              </w:rPr>
              <w:t>本年年末余额</w:t>
            </w:r>
          </w:p>
        </w:tc>
        <w:tc>
          <w:tcPr>
            <w:tcW w:w="2048" w:type="dxa"/>
            <w:shd w:val="clear" w:color="auto" w:fill="D9D9D9"/>
            <w:vAlign w:val="center"/>
          </w:tcPr>
          <w:p w:rsidR="00F90566" w:rsidRPr="005E3D65" w:rsidRDefault="00F90566">
            <w:pPr>
              <w:jc w:val="center"/>
              <w:rPr>
                <w:sz w:val="18"/>
                <w:szCs w:val="18"/>
              </w:rPr>
            </w:pPr>
            <w:r w:rsidRPr="005E3D65">
              <w:rPr>
                <w:rFonts w:hint="eastAsia"/>
                <w:sz w:val="18"/>
                <w:szCs w:val="18"/>
              </w:rPr>
              <w:t>上年年末余额</w:t>
            </w:r>
          </w:p>
          <w:p w:rsidR="00CF0966" w:rsidRPr="005E3D65" w:rsidRDefault="005F14EE">
            <w:pPr>
              <w:jc w:val="center"/>
              <w:rPr>
                <w:sz w:val="18"/>
                <w:szCs w:val="18"/>
              </w:rPr>
            </w:pPr>
            <w:r w:rsidRPr="005E3D65">
              <w:rPr>
                <w:rFonts w:hint="eastAsia"/>
                <w:sz w:val="18"/>
                <w:szCs w:val="18"/>
              </w:rPr>
              <w:t>(</w:t>
            </w:r>
            <w:r w:rsidR="00CF0966" w:rsidRPr="005E3D65">
              <w:rPr>
                <w:rFonts w:hint="eastAsia"/>
                <w:sz w:val="18"/>
                <w:szCs w:val="18"/>
              </w:rPr>
              <w:t>已重述</w:t>
            </w:r>
            <w:r w:rsidRPr="005E3D65">
              <w:rPr>
                <w:rFonts w:hint="eastAsia"/>
                <w:sz w:val="18"/>
                <w:szCs w:val="18"/>
              </w:rPr>
              <w:t>)</w:t>
            </w:r>
          </w:p>
        </w:tc>
      </w:tr>
      <w:tr w:rsidR="00A1700B" w:rsidRPr="005E3D65" w:rsidTr="0027505B">
        <w:trPr>
          <w:trHeight w:val="20"/>
        </w:trPr>
        <w:tc>
          <w:tcPr>
            <w:tcW w:w="4585" w:type="dxa"/>
            <w:shd w:val="clear" w:color="auto" w:fill="D9D9D9"/>
            <w:vAlign w:val="center"/>
          </w:tcPr>
          <w:p w:rsidR="00A1700B" w:rsidRPr="005E3D65" w:rsidRDefault="00A1700B">
            <w:pPr>
              <w:rPr>
                <w:b/>
                <w:sz w:val="18"/>
                <w:szCs w:val="18"/>
              </w:rPr>
            </w:pPr>
            <w:r w:rsidRPr="005E3D65">
              <w:rPr>
                <w:rFonts w:hint="eastAsia"/>
                <w:b/>
                <w:sz w:val="18"/>
                <w:szCs w:val="18"/>
              </w:rPr>
              <w:t>流动负债</w:t>
            </w:r>
            <w:r w:rsidR="005F14EE" w:rsidRPr="005E3D65">
              <w:rPr>
                <w:rFonts w:hint="eastAsia"/>
                <w:b/>
                <w:sz w:val="18"/>
                <w:szCs w:val="18"/>
              </w:rPr>
              <w:t>：</w:t>
            </w:r>
          </w:p>
        </w:tc>
        <w:tc>
          <w:tcPr>
            <w:tcW w:w="1485" w:type="dxa"/>
            <w:shd w:val="clear" w:color="auto" w:fill="D9D9D9"/>
            <w:vAlign w:val="center"/>
          </w:tcPr>
          <w:p w:rsidR="00A1700B" w:rsidRPr="005E3D65" w:rsidRDefault="00A1700B">
            <w:pPr>
              <w:jc w:val="center"/>
              <w:rPr>
                <w:sz w:val="18"/>
                <w:szCs w:val="18"/>
              </w:rPr>
            </w:pPr>
          </w:p>
        </w:tc>
        <w:tc>
          <w:tcPr>
            <w:tcW w:w="2047" w:type="dxa"/>
            <w:shd w:val="clear" w:color="auto" w:fill="D9D9D9"/>
            <w:vAlign w:val="center"/>
          </w:tcPr>
          <w:p w:rsidR="00A1700B" w:rsidRPr="005E3D65" w:rsidRDefault="00A1700B">
            <w:pPr>
              <w:jc w:val="right"/>
              <w:rPr>
                <w:sz w:val="18"/>
                <w:szCs w:val="18"/>
              </w:rPr>
            </w:pPr>
          </w:p>
        </w:tc>
        <w:tc>
          <w:tcPr>
            <w:tcW w:w="2048" w:type="dxa"/>
            <w:shd w:val="clear" w:color="auto" w:fill="D9D9D9"/>
            <w:vAlign w:val="center"/>
          </w:tcPr>
          <w:p w:rsidR="00A1700B" w:rsidRPr="005E3D65" w:rsidRDefault="00A1700B">
            <w:pPr>
              <w:jc w:val="right"/>
              <w:rPr>
                <w:sz w:val="18"/>
                <w:szCs w:val="18"/>
              </w:rPr>
            </w:pP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短期借款</w:t>
            </w:r>
          </w:p>
        </w:tc>
        <w:tc>
          <w:tcPr>
            <w:tcW w:w="1485" w:type="dxa"/>
            <w:shd w:val="clear" w:color="auto" w:fill="auto"/>
            <w:vAlign w:val="center"/>
          </w:tcPr>
          <w:p w:rsidR="005E3D65" w:rsidRPr="005E3D65" w:rsidRDefault="005E3D65" w:rsidP="005E3D65">
            <w:pPr>
              <w:jc w:val="center"/>
              <w:rPr>
                <w:sz w:val="18"/>
                <w:szCs w:val="18"/>
              </w:rPr>
            </w:pPr>
          </w:p>
        </w:tc>
        <w:tc>
          <w:tcPr>
            <w:tcW w:w="2047" w:type="dxa"/>
            <w:shd w:val="clear" w:color="auto" w:fill="auto"/>
            <w:vAlign w:val="center"/>
          </w:tcPr>
          <w:p w:rsidR="005E3D65" w:rsidRPr="005E3D65" w:rsidRDefault="005E3D65" w:rsidP="0027505B">
            <w:pPr>
              <w:jc w:val="right"/>
              <w:rPr>
                <w:sz w:val="18"/>
                <w:szCs w:val="18"/>
              </w:rPr>
            </w:pPr>
            <w:r w:rsidRPr="005E3D65">
              <w:rPr>
                <w:sz w:val="18"/>
                <w:szCs w:val="18"/>
              </w:rPr>
              <w:t>-    </w:t>
            </w:r>
          </w:p>
        </w:tc>
        <w:tc>
          <w:tcPr>
            <w:tcW w:w="2048" w:type="dxa"/>
            <w:shd w:val="clear" w:color="auto" w:fill="auto"/>
            <w:vAlign w:val="center"/>
          </w:tcPr>
          <w:p w:rsidR="005E3D65" w:rsidRPr="005E3D65" w:rsidRDefault="005E3D65" w:rsidP="005E3D65">
            <w:pPr>
              <w:jc w:val="right"/>
              <w:rPr>
                <w:sz w:val="18"/>
                <w:szCs w:val="18"/>
              </w:rPr>
            </w:pPr>
            <w:r w:rsidRPr="005E3D65">
              <w:rPr>
                <w:sz w:val="18"/>
                <w:szCs w:val="18"/>
              </w:rPr>
              <w:t>200,165,000.00</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应付票据</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179,892,364.61</w:t>
            </w:r>
          </w:p>
        </w:tc>
        <w:tc>
          <w:tcPr>
            <w:tcW w:w="2048" w:type="dxa"/>
            <w:vAlign w:val="center"/>
          </w:tcPr>
          <w:p w:rsidR="005E3D65" w:rsidRPr="005E3D65" w:rsidRDefault="005E3D65" w:rsidP="005E3D65">
            <w:pPr>
              <w:jc w:val="right"/>
              <w:rPr>
                <w:sz w:val="18"/>
                <w:szCs w:val="18"/>
              </w:rPr>
            </w:pPr>
            <w:r w:rsidRPr="005E3D65">
              <w:rPr>
                <w:sz w:val="18"/>
                <w:szCs w:val="18"/>
              </w:rPr>
              <w:t>143,496,422.45</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应付账款</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1,479,925,104.09</w:t>
            </w:r>
          </w:p>
        </w:tc>
        <w:tc>
          <w:tcPr>
            <w:tcW w:w="2048" w:type="dxa"/>
            <w:vAlign w:val="center"/>
          </w:tcPr>
          <w:p w:rsidR="005E3D65" w:rsidRPr="005E3D65" w:rsidRDefault="005E3D65" w:rsidP="005E3D65">
            <w:pPr>
              <w:jc w:val="right"/>
              <w:rPr>
                <w:sz w:val="18"/>
                <w:szCs w:val="18"/>
              </w:rPr>
            </w:pPr>
            <w:r w:rsidRPr="005E3D65">
              <w:rPr>
                <w:sz w:val="18"/>
                <w:szCs w:val="18"/>
              </w:rPr>
              <w:t>671,692,379.35</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合同负债</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302,889,463.48</w:t>
            </w:r>
          </w:p>
        </w:tc>
        <w:tc>
          <w:tcPr>
            <w:tcW w:w="2048" w:type="dxa"/>
            <w:vAlign w:val="center"/>
          </w:tcPr>
          <w:p w:rsidR="005E3D65" w:rsidRPr="005E3D65" w:rsidRDefault="005E3D65" w:rsidP="005E3D65">
            <w:pPr>
              <w:jc w:val="right"/>
              <w:rPr>
                <w:sz w:val="18"/>
                <w:szCs w:val="18"/>
              </w:rPr>
            </w:pPr>
            <w:r w:rsidRPr="005E3D65">
              <w:rPr>
                <w:sz w:val="18"/>
                <w:szCs w:val="18"/>
              </w:rPr>
              <w:t>230,314,614.29</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应付职工薪酬</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84,488,911.57</w:t>
            </w:r>
          </w:p>
        </w:tc>
        <w:tc>
          <w:tcPr>
            <w:tcW w:w="2048" w:type="dxa"/>
            <w:vAlign w:val="center"/>
          </w:tcPr>
          <w:p w:rsidR="005E3D65" w:rsidRPr="005E3D65" w:rsidRDefault="005E3D65" w:rsidP="005E3D65">
            <w:pPr>
              <w:jc w:val="right"/>
              <w:rPr>
                <w:sz w:val="18"/>
                <w:szCs w:val="18"/>
              </w:rPr>
            </w:pPr>
            <w:r w:rsidRPr="005E3D65">
              <w:rPr>
                <w:sz w:val="18"/>
                <w:szCs w:val="18"/>
              </w:rPr>
              <w:t>79,995,420.53</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应交税费</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23,824,446.76</w:t>
            </w:r>
          </w:p>
        </w:tc>
        <w:tc>
          <w:tcPr>
            <w:tcW w:w="2048" w:type="dxa"/>
            <w:vAlign w:val="center"/>
          </w:tcPr>
          <w:p w:rsidR="005E3D65" w:rsidRPr="005E3D65" w:rsidRDefault="005E3D65" w:rsidP="005E3D65">
            <w:pPr>
              <w:jc w:val="right"/>
              <w:rPr>
                <w:sz w:val="18"/>
                <w:szCs w:val="18"/>
              </w:rPr>
            </w:pPr>
            <w:r w:rsidRPr="005E3D65">
              <w:rPr>
                <w:sz w:val="18"/>
                <w:szCs w:val="18"/>
              </w:rPr>
              <w:t>38,703,653.51</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其他应付款</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80,597,732.08</w:t>
            </w:r>
          </w:p>
        </w:tc>
        <w:tc>
          <w:tcPr>
            <w:tcW w:w="2048" w:type="dxa"/>
            <w:vAlign w:val="center"/>
          </w:tcPr>
          <w:p w:rsidR="005E3D65" w:rsidRPr="005E3D65" w:rsidRDefault="005E3D65" w:rsidP="005E3D65">
            <w:pPr>
              <w:jc w:val="right"/>
              <w:rPr>
                <w:sz w:val="18"/>
                <w:szCs w:val="18"/>
              </w:rPr>
            </w:pPr>
            <w:r w:rsidRPr="005E3D65">
              <w:rPr>
                <w:sz w:val="18"/>
                <w:szCs w:val="18"/>
              </w:rPr>
              <w:t>1,233,770,439.38</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一年内到期的非流动负债</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15,523,599.32</w:t>
            </w:r>
          </w:p>
        </w:tc>
        <w:tc>
          <w:tcPr>
            <w:tcW w:w="2048" w:type="dxa"/>
            <w:vAlign w:val="center"/>
          </w:tcPr>
          <w:p w:rsidR="005E3D65" w:rsidRPr="005E3D65" w:rsidRDefault="005E3D65" w:rsidP="005E3D65">
            <w:pPr>
              <w:jc w:val="right"/>
              <w:rPr>
                <w:sz w:val="18"/>
                <w:szCs w:val="18"/>
              </w:rPr>
            </w:pPr>
            <w:r w:rsidRPr="005E3D65">
              <w:rPr>
                <w:sz w:val="18"/>
                <w:szCs w:val="18"/>
              </w:rPr>
              <w:t>20,716,449.79</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其他流动负债</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2,442,252.81</w:t>
            </w:r>
          </w:p>
        </w:tc>
        <w:tc>
          <w:tcPr>
            <w:tcW w:w="2048" w:type="dxa"/>
            <w:vAlign w:val="center"/>
          </w:tcPr>
          <w:p w:rsidR="005E3D65" w:rsidRPr="005E3D65" w:rsidRDefault="005E3D65" w:rsidP="005E3D65">
            <w:pPr>
              <w:jc w:val="right"/>
              <w:rPr>
                <w:sz w:val="18"/>
                <w:szCs w:val="18"/>
              </w:rPr>
            </w:pPr>
            <w:r w:rsidRPr="005E3D65">
              <w:rPr>
                <w:sz w:val="18"/>
                <w:szCs w:val="18"/>
              </w:rPr>
              <w:t>2,081,147.72</w:t>
            </w:r>
          </w:p>
        </w:tc>
      </w:tr>
      <w:tr w:rsidR="005E3D65" w:rsidRPr="005E3D65" w:rsidTr="0027505B">
        <w:trPr>
          <w:trHeight w:val="20"/>
        </w:trPr>
        <w:tc>
          <w:tcPr>
            <w:tcW w:w="4585" w:type="dxa"/>
            <w:shd w:val="clear" w:color="auto" w:fill="D9D9D9"/>
            <w:vAlign w:val="center"/>
          </w:tcPr>
          <w:p w:rsidR="005E3D65" w:rsidRPr="005E3D65" w:rsidRDefault="005E3D65" w:rsidP="005E3D65">
            <w:pPr>
              <w:rPr>
                <w:b/>
                <w:sz w:val="18"/>
                <w:szCs w:val="18"/>
              </w:rPr>
            </w:pPr>
            <w:r w:rsidRPr="005E3D65">
              <w:rPr>
                <w:rFonts w:hint="eastAsia"/>
                <w:b/>
                <w:sz w:val="18"/>
                <w:szCs w:val="18"/>
              </w:rPr>
              <w:t>流动负债合计</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b/>
                <w:sz w:val="18"/>
                <w:szCs w:val="18"/>
              </w:rPr>
            </w:pPr>
            <w:r w:rsidRPr="005E3D65">
              <w:rPr>
                <w:b/>
                <w:sz w:val="18"/>
                <w:szCs w:val="18"/>
              </w:rPr>
              <w:t>2,169,583,874.72</w:t>
            </w:r>
          </w:p>
        </w:tc>
        <w:tc>
          <w:tcPr>
            <w:tcW w:w="2048" w:type="dxa"/>
            <w:vAlign w:val="center"/>
          </w:tcPr>
          <w:p w:rsidR="005E3D65" w:rsidRPr="005E3D65" w:rsidRDefault="005E3D65" w:rsidP="005E3D65">
            <w:pPr>
              <w:jc w:val="right"/>
              <w:rPr>
                <w:b/>
                <w:sz w:val="18"/>
                <w:szCs w:val="18"/>
              </w:rPr>
            </w:pPr>
            <w:r w:rsidRPr="005E3D65">
              <w:rPr>
                <w:b/>
                <w:sz w:val="18"/>
                <w:szCs w:val="18"/>
              </w:rPr>
              <w:t>2,620,935,527.02</w:t>
            </w:r>
          </w:p>
        </w:tc>
      </w:tr>
      <w:tr w:rsidR="005E3D65" w:rsidRPr="005E3D65" w:rsidTr="0027505B">
        <w:trPr>
          <w:trHeight w:val="20"/>
        </w:trPr>
        <w:tc>
          <w:tcPr>
            <w:tcW w:w="4585" w:type="dxa"/>
            <w:shd w:val="clear" w:color="auto" w:fill="D9D9D9"/>
            <w:vAlign w:val="center"/>
          </w:tcPr>
          <w:p w:rsidR="005E3D65" w:rsidRPr="005E3D65" w:rsidRDefault="005E3D65" w:rsidP="005E3D65">
            <w:pPr>
              <w:rPr>
                <w:b/>
                <w:sz w:val="18"/>
                <w:szCs w:val="18"/>
              </w:rPr>
            </w:pPr>
            <w:r w:rsidRPr="005E3D65">
              <w:rPr>
                <w:rFonts w:hint="eastAsia"/>
                <w:b/>
                <w:sz w:val="18"/>
                <w:szCs w:val="18"/>
              </w:rPr>
              <w:t>非流动负债：</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p>
        </w:tc>
        <w:tc>
          <w:tcPr>
            <w:tcW w:w="2048" w:type="dxa"/>
            <w:vAlign w:val="center"/>
          </w:tcPr>
          <w:p w:rsidR="005E3D65" w:rsidRPr="005E3D65" w:rsidRDefault="005E3D65" w:rsidP="005E3D65">
            <w:pPr>
              <w:jc w:val="right"/>
              <w:rPr>
                <w:sz w:val="18"/>
                <w:szCs w:val="18"/>
              </w:rPr>
            </w:pP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4"/>
              </w:tabs>
              <w:rPr>
                <w:b/>
                <w:sz w:val="18"/>
                <w:szCs w:val="18"/>
              </w:rPr>
            </w:pPr>
            <w:r w:rsidRPr="005E3D65">
              <w:rPr>
                <w:sz w:val="18"/>
                <w:szCs w:val="18"/>
              </w:rPr>
              <w:tab/>
            </w:r>
            <w:r w:rsidRPr="005E3D65">
              <w:rPr>
                <w:rFonts w:hint="eastAsia"/>
                <w:sz w:val="18"/>
                <w:szCs w:val="18"/>
              </w:rPr>
              <w:t>长期借款</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319,337,031.25</w:t>
            </w:r>
          </w:p>
        </w:tc>
        <w:tc>
          <w:tcPr>
            <w:tcW w:w="2048" w:type="dxa"/>
            <w:vAlign w:val="center"/>
          </w:tcPr>
          <w:p w:rsidR="005E3D65" w:rsidRPr="005E3D65" w:rsidRDefault="005E3D65" w:rsidP="005E3D65">
            <w:pPr>
              <w:jc w:val="right"/>
              <w:rPr>
                <w:sz w:val="18"/>
                <w:szCs w:val="18"/>
              </w:rPr>
            </w:pPr>
            <w:r w:rsidRPr="005E3D65">
              <w:rPr>
                <w:sz w:val="18"/>
                <w:szCs w:val="18"/>
              </w:rPr>
              <w:t>227,811,259.46</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租赁负债</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819,424.45</w:t>
            </w:r>
          </w:p>
        </w:tc>
        <w:tc>
          <w:tcPr>
            <w:tcW w:w="2048" w:type="dxa"/>
            <w:vAlign w:val="center"/>
          </w:tcPr>
          <w:p w:rsidR="005E3D65" w:rsidRPr="005E3D65" w:rsidRDefault="005E3D65" w:rsidP="005E3D65">
            <w:pPr>
              <w:jc w:val="right"/>
              <w:rPr>
                <w:sz w:val="18"/>
                <w:szCs w:val="18"/>
              </w:rPr>
            </w:pPr>
            <w:r w:rsidRPr="005E3D65">
              <w:rPr>
                <w:sz w:val="18"/>
                <w:szCs w:val="18"/>
              </w:rPr>
              <w:t>10,089,109.87</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预计负债</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12,428,738.35</w:t>
            </w:r>
          </w:p>
        </w:tc>
        <w:tc>
          <w:tcPr>
            <w:tcW w:w="2048" w:type="dxa"/>
            <w:vAlign w:val="center"/>
          </w:tcPr>
          <w:p w:rsidR="005E3D65" w:rsidRPr="005E3D65" w:rsidRDefault="005E3D65" w:rsidP="005E3D65">
            <w:pPr>
              <w:jc w:val="right"/>
              <w:rPr>
                <w:sz w:val="18"/>
                <w:szCs w:val="18"/>
              </w:rPr>
            </w:pPr>
            <w:r w:rsidRPr="005E3D65">
              <w:rPr>
                <w:sz w:val="18"/>
                <w:szCs w:val="18"/>
              </w:rPr>
              <w:t>7,849,236.67</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递延收益</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5,553,911.28</w:t>
            </w:r>
          </w:p>
        </w:tc>
        <w:tc>
          <w:tcPr>
            <w:tcW w:w="2048" w:type="dxa"/>
            <w:vAlign w:val="center"/>
          </w:tcPr>
          <w:p w:rsidR="005E3D65" w:rsidRPr="005E3D65" w:rsidRDefault="005E3D65" w:rsidP="005E3D65">
            <w:pPr>
              <w:jc w:val="right"/>
              <w:rPr>
                <w:sz w:val="18"/>
                <w:szCs w:val="18"/>
              </w:rPr>
            </w:pPr>
            <w:r w:rsidRPr="005E3D65">
              <w:rPr>
                <w:sz w:val="18"/>
                <w:szCs w:val="18"/>
              </w:rPr>
              <w:t>816,070.54</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其他非流动负债</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30,140,767.27</w:t>
            </w:r>
          </w:p>
        </w:tc>
        <w:tc>
          <w:tcPr>
            <w:tcW w:w="2048" w:type="dxa"/>
            <w:vAlign w:val="center"/>
          </w:tcPr>
          <w:p w:rsidR="005E3D65" w:rsidRPr="005E3D65" w:rsidRDefault="005E3D65" w:rsidP="005E3D65">
            <w:pPr>
              <w:jc w:val="right"/>
              <w:rPr>
                <w:sz w:val="18"/>
                <w:szCs w:val="18"/>
              </w:rPr>
            </w:pPr>
            <w:r w:rsidRPr="005E3D65">
              <w:rPr>
                <w:sz w:val="18"/>
                <w:szCs w:val="18"/>
              </w:rPr>
              <w:t>24,939,037.54</w:t>
            </w:r>
          </w:p>
        </w:tc>
      </w:tr>
      <w:tr w:rsidR="005E3D65" w:rsidRPr="005E3D65" w:rsidTr="0027505B">
        <w:trPr>
          <w:trHeight w:val="20"/>
        </w:trPr>
        <w:tc>
          <w:tcPr>
            <w:tcW w:w="4585" w:type="dxa"/>
            <w:shd w:val="clear" w:color="auto" w:fill="D9D9D9"/>
            <w:vAlign w:val="center"/>
          </w:tcPr>
          <w:p w:rsidR="005E3D65" w:rsidRPr="005E3D65" w:rsidRDefault="005E3D65" w:rsidP="005E3D65">
            <w:pPr>
              <w:rPr>
                <w:b/>
                <w:sz w:val="18"/>
                <w:szCs w:val="18"/>
              </w:rPr>
            </w:pPr>
            <w:r w:rsidRPr="005E3D65">
              <w:rPr>
                <w:rFonts w:hint="eastAsia"/>
                <w:b/>
                <w:sz w:val="18"/>
                <w:szCs w:val="18"/>
              </w:rPr>
              <w:t>非流动负债合计</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b/>
                <w:sz w:val="18"/>
                <w:szCs w:val="18"/>
              </w:rPr>
            </w:pPr>
            <w:r w:rsidRPr="005E3D65">
              <w:rPr>
                <w:b/>
                <w:sz w:val="18"/>
                <w:szCs w:val="18"/>
              </w:rPr>
              <w:t>368,279,872.60</w:t>
            </w:r>
          </w:p>
        </w:tc>
        <w:tc>
          <w:tcPr>
            <w:tcW w:w="2048" w:type="dxa"/>
            <w:vAlign w:val="center"/>
          </w:tcPr>
          <w:p w:rsidR="005E3D65" w:rsidRPr="005E3D65" w:rsidRDefault="005E3D65" w:rsidP="005E3D65">
            <w:pPr>
              <w:jc w:val="right"/>
              <w:rPr>
                <w:b/>
                <w:sz w:val="18"/>
                <w:szCs w:val="18"/>
              </w:rPr>
            </w:pPr>
            <w:r w:rsidRPr="005E3D65">
              <w:rPr>
                <w:b/>
                <w:sz w:val="18"/>
                <w:szCs w:val="18"/>
              </w:rPr>
              <w:t>271,504,714.08</w:t>
            </w:r>
          </w:p>
        </w:tc>
      </w:tr>
      <w:tr w:rsidR="005E3D65" w:rsidRPr="005E3D65" w:rsidTr="0027505B">
        <w:trPr>
          <w:trHeight w:val="20"/>
        </w:trPr>
        <w:tc>
          <w:tcPr>
            <w:tcW w:w="4585" w:type="dxa"/>
            <w:shd w:val="clear" w:color="auto" w:fill="D9D9D9"/>
            <w:vAlign w:val="center"/>
          </w:tcPr>
          <w:p w:rsidR="005E3D65" w:rsidRPr="005E3D65" w:rsidRDefault="005E3D65" w:rsidP="005E3D65">
            <w:pPr>
              <w:rPr>
                <w:b/>
                <w:sz w:val="18"/>
                <w:szCs w:val="18"/>
              </w:rPr>
            </w:pPr>
            <w:r w:rsidRPr="005E3D65">
              <w:rPr>
                <w:rFonts w:hint="eastAsia"/>
                <w:b/>
                <w:sz w:val="18"/>
                <w:szCs w:val="18"/>
              </w:rPr>
              <w:t>负债合计</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b/>
                <w:sz w:val="18"/>
                <w:szCs w:val="18"/>
              </w:rPr>
            </w:pPr>
            <w:r w:rsidRPr="005E3D65">
              <w:rPr>
                <w:b/>
                <w:sz w:val="18"/>
                <w:szCs w:val="18"/>
              </w:rPr>
              <w:t>2,537,863,747.32</w:t>
            </w:r>
          </w:p>
        </w:tc>
        <w:tc>
          <w:tcPr>
            <w:tcW w:w="2048" w:type="dxa"/>
            <w:vAlign w:val="center"/>
          </w:tcPr>
          <w:p w:rsidR="005E3D65" w:rsidRPr="005E3D65" w:rsidRDefault="005E3D65" w:rsidP="005E3D65">
            <w:pPr>
              <w:jc w:val="right"/>
              <w:rPr>
                <w:b/>
                <w:sz w:val="18"/>
                <w:szCs w:val="18"/>
              </w:rPr>
            </w:pPr>
            <w:r w:rsidRPr="005E3D65">
              <w:rPr>
                <w:b/>
                <w:sz w:val="18"/>
                <w:szCs w:val="18"/>
              </w:rPr>
              <w:t>2,892,440,241.10</w:t>
            </w:r>
          </w:p>
        </w:tc>
      </w:tr>
      <w:tr w:rsidR="005E3D65" w:rsidRPr="005E3D65" w:rsidTr="0027505B">
        <w:trPr>
          <w:trHeight w:val="20"/>
        </w:trPr>
        <w:tc>
          <w:tcPr>
            <w:tcW w:w="4585" w:type="dxa"/>
            <w:shd w:val="clear" w:color="auto" w:fill="D9D9D9"/>
            <w:vAlign w:val="center"/>
          </w:tcPr>
          <w:p w:rsidR="005E3D65" w:rsidRPr="005E3D65" w:rsidRDefault="005E3D65" w:rsidP="005E3D65">
            <w:pPr>
              <w:rPr>
                <w:b/>
                <w:sz w:val="18"/>
                <w:szCs w:val="18"/>
              </w:rPr>
            </w:pPr>
            <w:r w:rsidRPr="005E3D65">
              <w:rPr>
                <w:rFonts w:hint="eastAsia"/>
                <w:b/>
                <w:sz w:val="18"/>
                <w:szCs w:val="18"/>
              </w:rPr>
              <w:t>股东权益：</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p>
        </w:tc>
        <w:tc>
          <w:tcPr>
            <w:tcW w:w="2048" w:type="dxa"/>
            <w:vAlign w:val="center"/>
          </w:tcPr>
          <w:p w:rsidR="005E3D65" w:rsidRPr="005E3D65" w:rsidRDefault="005E3D65" w:rsidP="005E3D65">
            <w:pPr>
              <w:jc w:val="right"/>
              <w:rPr>
                <w:sz w:val="18"/>
                <w:szCs w:val="18"/>
              </w:rPr>
            </w:pP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股本</w:t>
            </w:r>
          </w:p>
        </w:tc>
        <w:tc>
          <w:tcPr>
            <w:tcW w:w="1485" w:type="dxa"/>
            <w:vAlign w:val="center"/>
          </w:tcPr>
          <w:p w:rsidR="005E3D65" w:rsidRPr="005E3D65" w:rsidRDefault="005E3D65" w:rsidP="005E3D65">
            <w:pPr>
              <w:jc w:val="center"/>
              <w:rPr>
                <w:sz w:val="18"/>
                <w:szCs w:val="18"/>
              </w:rPr>
            </w:pPr>
            <w:r w:rsidRPr="005E3D65">
              <w:rPr>
                <w:sz w:val="18"/>
                <w:szCs w:val="18"/>
              </w:rPr>
              <w:t>(</w:t>
            </w:r>
            <w:r w:rsidRPr="005E3D65">
              <w:rPr>
                <w:rFonts w:hint="eastAsia"/>
                <w:sz w:val="18"/>
                <w:szCs w:val="18"/>
              </w:rPr>
              <w:t>五</w:t>
            </w:r>
            <w:r w:rsidRPr="005E3D65">
              <w:rPr>
                <w:sz w:val="18"/>
                <w:szCs w:val="18"/>
              </w:rPr>
              <w:t>)33</w:t>
            </w:r>
          </w:p>
        </w:tc>
        <w:tc>
          <w:tcPr>
            <w:tcW w:w="2047" w:type="dxa"/>
            <w:vAlign w:val="center"/>
          </w:tcPr>
          <w:p w:rsidR="005E3D65" w:rsidRPr="005E3D65" w:rsidRDefault="005E3D65" w:rsidP="005E3D65">
            <w:pPr>
              <w:jc w:val="right"/>
              <w:rPr>
                <w:sz w:val="18"/>
                <w:szCs w:val="18"/>
              </w:rPr>
            </w:pPr>
            <w:r w:rsidRPr="005E3D65">
              <w:rPr>
                <w:sz w:val="18"/>
                <w:szCs w:val="18"/>
              </w:rPr>
              <w:t>562,500,000.00</w:t>
            </w:r>
          </w:p>
        </w:tc>
        <w:tc>
          <w:tcPr>
            <w:tcW w:w="2048" w:type="dxa"/>
            <w:vAlign w:val="center"/>
          </w:tcPr>
          <w:p w:rsidR="005E3D65" w:rsidRPr="005E3D65" w:rsidRDefault="005E3D65" w:rsidP="005E3D65">
            <w:pPr>
              <w:jc w:val="right"/>
              <w:rPr>
                <w:sz w:val="18"/>
                <w:szCs w:val="18"/>
              </w:rPr>
            </w:pPr>
            <w:r w:rsidRPr="005E3D65">
              <w:rPr>
                <w:sz w:val="18"/>
                <w:szCs w:val="18"/>
              </w:rPr>
              <w:t>562,500,000.00</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资本公积</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3,216,221,904.79</w:t>
            </w:r>
          </w:p>
        </w:tc>
        <w:tc>
          <w:tcPr>
            <w:tcW w:w="2048" w:type="dxa"/>
            <w:vAlign w:val="center"/>
          </w:tcPr>
          <w:p w:rsidR="005E3D65" w:rsidRPr="005E3D65" w:rsidRDefault="005E3D65" w:rsidP="005E3D65">
            <w:pPr>
              <w:jc w:val="right"/>
              <w:rPr>
                <w:sz w:val="18"/>
                <w:szCs w:val="18"/>
              </w:rPr>
            </w:pPr>
            <w:r w:rsidRPr="005E3D65">
              <w:rPr>
                <w:sz w:val="18"/>
                <w:szCs w:val="18"/>
              </w:rPr>
              <w:t>3,212,273,451.81</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盈余公积</w:t>
            </w:r>
          </w:p>
        </w:tc>
        <w:tc>
          <w:tcPr>
            <w:tcW w:w="1485" w:type="dxa"/>
            <w:vAlign w:val="center"/>
          </w:tcPr>
          <w:p w:rsidR="005E3D65" w:rsidRPr="005E3D65" w:rsidRDefault="005E3D65" w:rsidP="005E3D65">
            <w:pPr>
              <w:jc w:val="center"/>
              <w:rPr>
                <w:sz w:val="18"/>
                <w:szCs w:val="18"/>
              </w:rPr>
            </w:pPr>
            <w:r w:rsidRPr="005E3D65">
              <w:rPr>
                <w:sz w:val="18"/>
                <w:szCs w:val="18"/>
              </w:rPr>
              <w:t>(</w:t>
            </w:r>
            <w:r w:rsidRPr="005E3D65">
              <w:rPr>
                <w:rFonts w:hint="eastAsia"/>
                <w:sz w:val="18"/>
                <w:szCs w:val="18"/>
              </w:rPr>
              <w:t>五</w:t>
            </w:r>
            <w:r w:rsidRPr="005E3D65">
              <w:rPr>
                <w:sz w:val="18"/>
                <w:szCs w:val="18"/>
              </w:rPr>
              <w:t>)36</w:t>
            </w:r>
          </w:p>
        </w:tc>
        <w:tc>
          <w:tcPr>
            <w:tcW w:w="2047" w:type="dxa"/>
            <w:vAlign w:val="center"/>
          </w:tcPr>
          <w:p w:rsidR="005E3D65" w:rsidRPr="005E3D65" w:rsidRDefault="005E3D65" w:rsidP="005E3D65">
            <w:pPr>
              <w:jc w:val="right"/>
              <w:rPr>
                <w:sz w:val="18"/>
                <w:szCs w:val="18"/>
              </w:rPr>
            </w:pPr>
            <w:r w:rsidRPr="005E3D65">
              <w:rPr>
                <w:sz w:val="18"/>
                <w:szCs w:val="18"/>
              </w:rPr>
              <w:t>101,680,942.69</w:t>
            </w:r>
          </w:p>
        </w:tc>
        <w:tc>
          <w:tcPr>
            <w:tcW w:w="2048" w:type="dxa"/>
            <w:vAlign w:val="center"/>
          </w:tcPr>
          <w:p w:rsidR="005E3D65" w:rsidRPr="005E3D65" w:rsidRDefault="005E3D65" w:rsidP="005E3D65">
            <w:pPr>
              <w:jc w:val="right"/>
              <w:rPr>
                <w:sz w:val="18"/>
                <w:szCs w:val="18"/>
              </w:rPr>
            </w:pPr>
            <w:r w:rsidRPr="005E3D65">
              <w:rPr>
                <w:sz w:val="18"/>
                <w:szCs w:val="18"/>
              </w:rPr>
              <w:t>41,121,077.83</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177"/>
              </w:tabs>
              <w:rPr>
                <w:sz w:val="18"/>
                <w:szCs w:val="18"/>
              </w:rPr>
            </w:pPr>
            <w:r w:rsidRPr="005E3D65">
              <w:rPr>
                <w:sz w:val="18"/>
                <w:szCs w:val="18"/>
              </w:rPr>
              <w:tab/>
            </w:r>
            <w:r w:rsidRPr="005E3D65">
              <w:rPr>
                <w:rFonts w:hint="eastAsia"/>
                <w:sz w:val="18"/>
                <w:szCs w:val="18"/>
              </w:rPr>
              <w:t>未分配利润</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sz w:val="18"/>
                <w:szCs w:val="18"/>
              </w:rPr>
            </w:pPr>
            <w:r w:rsidRPr="005E3D65">
              <w:rPr>
                <w:sz w:val="18"/>
                <w:szCs w:val="18"/>
              </w:rPr>
              <w:t>570,821,683.88</w:t>
            </w:r>
          </w:p>
        </w:tc>
        <w:tc>
          <w:tcPr>
            <w:tcW w:w="2048" w:type="dxa"/>
            <w:vAlign w:val="center"/>
          </w:tcPr>
          <w:p w:rsidR="005E3D65" w:rsidRPr="005E3D65" w:rsidRDefault="005E3D65" w:rsidP="005E3D65">
            <w:pPr>
              <w:jc w:val="right"/>
              <w:rPr>
                <w:sz w:val="18"/>
                <w:szCs w:val="18"/>
              </w:rPr>
            </w:pPr>
            <w:r w:rsidRPr="005E3D65">
              <w:rPr>
                <w:sz w:val="18"/>
                <w:szCs w:val="18"/>
              </w:rPr>
              <w:t>196,112,183.31</w:t>
            </w:r>
          </w:p>
        </w:tc>
      </w:tr>
      <w:tr w:rsidR="005E3D65" w:rsidRPr="005E3D65" w:rsidTr="0027505B">
        <w:trPr>
          <w:trHeight w:val="20"/>
        </w:trPr>
        <w:tc>
          <w:tcPr>
            <w:tcW w:w="4585" w:type="dxa"/>
            <w:shd w:val="clear" w:color="auto" w:fill="D9D9D9"/>
            <w:vAlign w:val="center"/>
          </w:tcPr>
          <w:p w:rsidR="005E3D65" w:rsidRPr="005E3D65" w:rsidRDefault="005E3D65" w:rsidP="005E3D65">
            <w:pPr>
              <w:rPr>
                <w:b/>
                <w:sz w:val="18"/>
                <w:szCs w:val="18"/>
              </w:rPr>
            </w:pPr>
            <w:r w:rsidRPr="005E3D65">
              <w:rPr>
                <w:rFonts w:hint="eastAsia"/>
                <w:b/>
                <w:sz w:val="18"/>
                <w:szCs w:val="18"/>
              </w:rPr>
              <w:t>股东权益权益合计</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b/>
                <w:sz w:val="18"/>
                <w:szCs w:val="18"/>
              </w:rPr>
            </w:pPr>
            <w:r w:rsidRPr="005E3D65">
              <w:rPr>
                <w:b/>
                <w:sz w:val="18"/>
                <w:szCs w:val="18"/>
              </w:rPr>
              <w:t>4,451,224,531.36</w:t>
            </w:r>
          </w:p>
        </w:tc>
        <w:tc>
          <w:tcPr>
            <w:tcW w:w="2048" w:type="dxa"/>
            <w:vAlign w:val="center"/>
          </w:tcPr>
          <w:p w:rsidR="005E3D65" w:rsidRPr="005E3D65" w:rsidRDefault="005E3D65" w:rsidP="005E3D65">
            <w:pPr>
              <w:jc w:val="right"/>
              <w:rPr>
                <w:b/>
                <w:sz w:val="18"/>
                <w:szCs w:val="18"/>
              </w:rPr>
            </w:pPr>
            <w:r w:rsidRPr="005E3D65">
              <w:rPr>
                <w:b/>
                <w:sz w:val="18"/>
                <w:szCs w:val="18"/>
              </w:rPr>
              <w:t>4,012,006,712.95</w:t>
            </w:r>
          </w:p>
        </w:tc>
      </w:tr>
      <w:tr w:rsidR="005E3D65" w:rsidRPr="005E3D65" w:rsidTr="0027505B">
        <w:trPr>
          <w:trHeight w:val="20"/>
        </w:trPr>
        <w:tc>
          <w:tcPr>
            <w:tcW w:w="4585" w:type="dxa"/>
            <w:shd w:val="clear" w:color="auto" w:fill="D9D9D9"/>
            <w:vAlign w:val="center"/>
          </w:tcPr>
          <w:p w:rsidR="005E3D65" w:rsidRPr="005E3D65" w:rsidRDefault="005E3D65" w:rsidP="005E3D65">
            <w:pPr>
              <w:rPr>
                <w:b/>
                <w:sz w:val="18"/>
                <w:szCs w:val="18"/>
              </w:rPr>
            </w:pPr>
            <w:r w:rsidRPr="005E3D65">
              <w:rPr>
                <w:rFonts w:hint="eastAsia"/>
                <w:b/>
                <w:sz w:val="18"/>
                <w:szCs w:val="18"/>
              </w:rPr>
              <w:t>负债及股东权益合计</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jc w:val="right"/>
              <w:rPr>
                <w:b/>
                <w:sz w:val="18"/>
                <w:szCs w:val="18"/>
              </w:rPr>
            </w:pPr>
            <w:r w:rsidRPr="005E3D65">
              <w:rPr>
                <w:b/>
                <w:sz w:val="18"/>
                <w:szCs w:val="18"/>
              </w:rPr>
              <w:t>6,989,088,278.68</w:t>
            </w:r>
          </w:p>
        </w:tc>
        <w:tc>
          <w:tcPr>
            <w:tcW w:w="2048" w:type="dxa"/>
            <w:vAlign w:val="center"/>
          </w:tcPr>
          <w:p w:rsidR="005E3D65" w:rsidRPr="005E3D65" w:rsidRDefault="005E3D65" w:rsidP="005E3D65">
            <w:pPr>
              <w:jc w:val="right"/>
              <w:rPr>
                <w:b/>
                <w:sz w:val="18"/>
                <w:szCs w:val="18"/>
              </w:rPr>
            </w:pPr>
            <w:r w:rsidRPr="005E3D65">
              <w:rPr>
                <w:b/>
                <w:sz w:val="18"/>
                <w:szCs w:val="18"/>
              </w:rPr>
              <w:t>6,904,446,954.05</w:t>
            </w:r>
          </w:p>
        </w:tc>
      </w:tr>
    </w:tbl>
    <w:p w:rsidR="00143EA7" w:rsidRPr="00A71D2E" w:rsidRDefault="00143EA7">
      <w:pPr>
        <w:tabs>
          <w:tab w:val="right" w:pos="10178"/>
        </w:tabs>
        <w:rPr>
          <w:rFonts w:eastAsia="宋体" w:cs="Times New Roman"/>
          <w:kern w:val="2"/>
          <w:szCs w:val="21"/>
        </w:rPr>
      </w:pPr>
    </w:p>
    <w:p w:rsidR="0051472B" w:rsidRPr="00A71D2E" w:rsidRDefault="0051472B" w:rsidP="00F66363">
      <w:pPr>
        <w:rPr>
          <w:rFonts w:eastAsia="宋体" w:cs="Times New Roman"/>
          <w:szCs w:val="21"/>
        </w:rPr>
      </w:pPr>
      <w:r w:rsidRPr="00A71D2E">
        <w:rPr>
          <w:rFonts w:eastAsia="宋体" w:cs="Times New Roman" w:hint="eastAsia"/>
          <w:szCs w:val="21"/>
        </w:rPr>
        <w:t>附注为财务报表的组成部分</w:t>
      </w:r>
    </w:p>
    <w:p w:rsidR="0051472B" w:rsidRPr="00A71D2E" w:rsidRDefault="0051472B" w:rsidP="00F66363">
      <w:pPr>
        <w:rPr>
          <w:rFonts w:eastAsia="宋体" w:cs="Times New Roman"/>
          <w:szCs w:val="21"/>
        </w:rPr>
      </w:pPr>
    </w:p>
    <w:p w:rsidR="004A7902" w:rsidRPr="00A71D2E" w:rsidRDefault="00B07360">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4A7902" w:rsidRPr="00A71D2E">
        <w:rPr>
          <w:rFonts w:eastAsia="宋体" w:cs="Times New Roman" w:hint="eastAsia"/>
          <w:szCs w:val="21"/>
        </w:rPr>
        <w:t>页至</w:t>
      </w:r>
      <w:r w:rsidR="006F55AB" w:rsidRPr="00A71D2E">
        <w:rPr>
          <w:rFonts w:eastAsia="宋体" w:cs="Times New Roman" w:hint="eastAsia"/>
          <w:szCs w:val="21"/>
        </w:rPr>
        <w:t>第</w:t>
      </w:r>
      <w:r w:rsidR="006208D2" w:rsidRPr="00F43E13">
        <w:rPr>
          <w:rFonts w:eastAsia="宋体" w:cs="Times New Roman"/>
          <w:szCs w:val="21"/>
        </w:rPr>
        <w:t>8</w:t>
      </w:r>
      <w:r w:rsidR="00E25E50">
        <w:rPr>
          <w:rFonts w:eastAsia="宋体" w:cs="Times New Roman"/>
          <w:szCs w:val="21"/>
        </w:rPr>
        <w:t>4</w:t>
      </w:r>
      <w:r w:rsidR="004A7902" w:rsidRPr="00A71D2E">
        <w:rPr>
          <w:rFonts w:eastAsia="宋体" w:cs="Times New Roman" w:hint="eastAsia"/>
          <w:szCs w:val="21"/>
        </w:rPr>
        <w:t>页的财务报表由下列负责人签署</w:t>
      </w:r>
      <w:r w:rsidR="005F14EE">
        <w:rPr>
          <w:rFonts w:eastAsia="宋体" w:cs="Times New Roman" w:hint="eastAsia"/>
          <w:szCs w:val="21"/>
        </w:rPr>
        <w:t>：</w:t>
      </w: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_____________________</w:t>
      </w:r>
      <w:r w:rsidRPr="00A71D2E">
        <w:rPr>
          <w:rFonts w:eastAsia="宋体" w:cs="Times New Roman"/>
          <w:szCs w:val="21"/>
        </w:rPr>
        <w:tab/>
        <w:t>_____________________</w:t>
      </w: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r>
      <w:r w:rsidRPr="00A71D2E">
        <w:rPr>
          <w:rFonts w:eastAsia="宋体" w:cs="Times New Roman" w:hint="eastAsia"/>
          <w:szCs w:val="21"/>
        </w:rPr>
        <w:t>法定代表人</w:t>
      </w:r>
      <w:r w:rsidRPr="00A71D2E">
        <w:rPr>
          <w:rFonts w:eastAsia="宋体" w:cs="Times New Roman"/>
          <w:szCs w:val="21"/>
        </w:rPr>
        <w:tab/>
      </w:r>
      <w:r w:rsidRPr="00A71D2E">
        <w:rPr>
          <w:rFonts w:eastAsia="宋体" w:cs="Times New Roman" w:hint="eastAsia"/>
          <w:szCs w:val="21"/>
        </w:rPr>
        <w:t>主管会计工作负责人</w:t>
      </w:r>
      <w:r w:rsidRPr="00A71D2E">
        <w:rPr>
          <w:rFonts w:eastAsia="宋体" w:cs="Times New Roman"/>
          <w:szCs w:val="21"/>
        </w:rPr>
        <w:tab/>
      </w:r>
      <w:r w:rsidRPr="00A71D2E">
        <w:rPr>
          <w:rFonts w:eastAsia="宋体" w:cs="Times New Roman" w:hint="eastAsia"/>
          <w:szCs w:val="21"/>
        </w:rPr>
        <w:t>会计机构负责人</w:t>
      </w:r>
    </w:p>
    <w:p w:rsidR="0051472B" w:rsidRPr="00A71D2E" w:rsidRDefault="0051472B">
      <w:pPr>
        <w:tabs>
          <w:tab w:val="right" w:pos="10178"/>
        </w:tabs>
        <w:rPr>
          <w:rFonts w:eastAsia="宋体" w:cs="Times New Roman"/>
          <w:kern w:val="2"/>
          <w:szCs w:val="21"/>
        </w:rPr>
      </w:pPr>
    </w:p>
    <w:p w:rsidR="003A39B1" w:rsidRPr="00A71D2E" w:rsidRDefault="00D5660C">
      <w:pPr>
        <w:tabs>
          <w:tab w:val="right" w:pos="10178"/>
        </w:tabs>
        <w:rPr>
          <w:rFonts w:eastAsia="宋体" w:cs="Times New Roman"/>
          <w:kern w:val="2"/>
          <w:szCs w:val="21"/>
        </w:rPr>
      </w:pPr>
      <w:r w:rsidRPr="00A71D2E">
        <w:rPr>
          <w:rFonts w:eastAsia="宋体" w:cs="Times New Roman"/>
          <w:kern w:val="2"/>
          <w:szCs w:val="21"/>
        </w:rPr>
        <w:br w:type="page"/>
      </w:r>
    </w:p>
    <w:p w:rsidR="0038061D" w:rsidRPr="00A71D2E" w:rsidRDefault="00DC0713">
      <w:pPr>
        <w:tabs>
          <w:tab w:val="right" w:pos="10178"/>
        </w:tabs>
        <w:rPr>
          <w:rFonts w:eastAsia="宋体" w:cs="Times New Roman"/>
          <w:kern w:val="2"/>
          <w:szCs w:val="21"/>
          <w:u w:val="single"/>
        </w:rPr>
      </w:pPr>
      <w:r w:rsidRPr="00A71D2E">
        <w:rPr>
          <w:rFonts w:eastAsia="宋体" w:cs="Times New Roman"/>
          <w:kern w:val="2"/>
          <w:szCs w:val="21"/>
          <w:u w:val="single"/>
        </w:rPr>
        <w:t>202</w:t>
      </w:r>
      <w:r w:rsidR="00FD7641">
        <w:rPr>
          <w:rFonts w:eastAsia="宋体" w:cs="Times New Roman"/>
          <w:kern w:val="2"/>
          <w:szCs w:val="21"/>
          <w:u w:val="single"/>
        </w:rPr>
        <w:t>3</w:t>
      </w:r>
      <w:r w:rsidRPr="00A71D2E">
        <w:rPr>
          <w:rFonts w:eastAsia="宋体" w:cs="Times New Roman" w:hint="eastAsia"/>
          <w:kern w:val="2"/>
          <w:szCs w:val="21"/>
          <w:u w:val="single"/>
        </w:rPr>
        <w:t>年</w:t>
      </w:r>
      <w:r w:rsidRPr="00A71D2E">
        <w:rPr>
          <w:rFonts w:eastAsia="宋体" w:cs="Times New Roman"/>
          <w:kern w:val="2"/>
          <w:szCs w:val="21"/>
          <w:u w:val="single"/>
        </w:rPr>
        <w:t>12</w:t>
      </w:r>
      <w:r w:rsidRPr="00A71D2E">
        <w:rPr>
          <w:rFonts w:eastAsia="宋体" w:cs="Times New Roman" w:hint="eastAsia"/>
          <w:kern w:val="2"/>
          <w:szCs w:val="21"/>
          <w:u w:val="single"/>
        </w:rPr>
        <w:t>月</w:t>
      </w:r>
      <w:r w:rsidRPr="00A71D2E">
        <w:rPr>
          <w:rFonts w:eastAsia="宋体" w:cs="Times New Roman"/>
          <w:kern w:val="2"/>
          <w:szCs w:val="21"/>
          <w:u w:val="single"/>
        </w:rPr>
        <w:t>31</w:t>
      </w:r>
      <w:r w:rsidRPr="00A71D2E">
        <w:rPr>
          <w:rFonts w:eastAsia="宋体" w:cs="Times New Roman" w:hint="eastAsia"/>
          <w:kern w:val="2"/>
          <w:szCs w:val="21"/>
          <w:u w:val="single"/>
        </w:rPr>
        <w:t>日</w:t>
      </w:r>
      <w:proofErr w:type="gramStart"/>
      <w:r w:rsidRPr="00A71D2E">
        <w:rPr>
          <w:rFonts w:eastAsia="宋体" w:cs="Times New Roman" w:hint="eastAsia"/>
          <w:kern w:val="2"/>
          <w:szCs w:val="21"/>
          <w:u w:val="single"/>
        </w:rPr>
        <w:t>止</w:t>
      </w:r>
      <w:proofErr w:type="gramEnd"/>
      <w:r w:rsidRPr="00A71D2E">
        <w:rPr>
          <w:rFonts w:eastAsia="宋体" w:cs="Times New Roman" w:hint="eastAsia"/>
          <w:kern w:val="2"/>
          <w:szCs w:val="21"/>
          <w:u w:val="single"/>
        </w:rPr>
        <w:t>年度</w:t>
      </w:r>
      <w:r w:rsidR="0038061D" w:rsidRPr="00A71D2E">
        <w:rPr>
          <w:rFonts w:eastAsia="宋体" w:cs="Times New Roman"/>
          <w:kern w:val="2"/>
          <w:szCs w:val="21"/>
          <w:u w:val="single"/>
        </w:rPr>
        <w:tab/>
      </w:r>
    </w:p>
    <w:p w:rsidR="00A77D4A" w:rsidRPr="00A71D2E" w:rsidRDefault="00A77D4A">
      <w:pPr>
        <w:tabs>
          <w:tab w:val="right" w:pos="10178"/>
        </w:tabs>
        <w:rPr>
          <w:rFonts w:eastAsia="宋体" w:cs="Times New Roman"/>
          <w:szCs w:val="21"/>
        </w:rPr>
      </w:pPr>
    </w:p>
    <w:p w:rsidR="00B755FC" w:rsidRPr="00A71D2E" w:rsidRDefault="00B755FC">
      <w:pPr>
        <w:jc w:val="center"/>
        <w:outlineLvl w:val="0"/>
        <w:rPr>
          <w:rFonts w:eastAsia="宋体" w:cs="Times New Roman"/>
          <w:szCs w:val="21"/>
        </w:rPr>
      </w:pPr>
      <w:r w:rsidRPr="00A71D2E">
        <w:rPr>
          <w:rFonts w:eastAsia="宋体" w:cs="Times New Roman" w:hint="eastAsia"/>
          <w:b/>
          <w:bCs/>
          <w:szCs w:val="21"/>
        </w:rPr>
        <w:t>合并利润表</w:t>
      </w:r>
    </w:p>
    <w:p w:rsidR="00B755FC" w:rsidRPr="00A71D2E" w:rsidRDefault="00461604" w:rsidP="0027505B">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00B755FC" w:rsidRPr="00A71D2E">
        <w:rPr>
          <w:rFonts w:eastAsia="宋体" w:cs="Times New Roman" w:hint="eastAsia"/>
          <w:szCs w:val="21"/>
        </w:rPr>
        <w:t>人民币元</w:t>
      </w:r>
    </w:p>
    <w:tbl>
      <w:tblPr>
        <w:tblStyle w:val="aff5"/>
        <w:tblW w:w="0" w:type="auto"/>
        <w:tblLayout w:type="fixed"/>
        <w:tblLook w:val="04A0" w:firstRow="1" w:lastRow="0" w:firstColumn="1" w:lastColumn="0" w:noHBand="0" w:noVBand="1"/>
      </w:tblPr>
      <w:tblGrid>
        <w:gridCol w:w="4585"/>
        <w:gridCol w:w="1485"/>
        <w:gridCol w:w="2047"/>
        <w:gridCol w:w="2048"/>
      </w:tblGrid>
      <w:tr w:rsidR="00A1700B" w:rsidRPr="005E3D65" w:rsidTr="0027505B">
        <w:trPr>
          <w:trHeight w:val="20"/>
        </w:trPr>
        <w:tc>
          <w:tcPr>
            <w:tcW w:w="4585" w:type="dxa"/>
            <w:shd w:val="clear" w:color="auto" w:fill="D9D9D9"/>
            <w:vAlign w:val="center"/>
          </w:tcPr>
          <w:p w:rsidR="00A1700B" w:rsidRPr="005E3D65" w:rsidRDefault="00A1700B">
            <w:pPr>
              <w:jc w:val="center"/>
              <w:rPr>
                <w:sz w:val="18"/>
                <w:szCs w:val="18"/>
              </w:rPr>
            </w:pPr>
            <w:r w:rsidRPr="005E3D65">
              <w:rPr>
                <w:rFonts w:hint="eastAsia"/>
                <w:sz w:val="18"/>
                <w:szCs w:val="18"/>
              </w:rPr>
              <w:t>项目</w:t>
            </w:r>
          </w:p>
        </w:tc>
        <w:tc>
          <w:tcPr>
            <w:tcW w:w="1485" w:type="dxa"/>
            <w:shd w:val="clear" w:color="auto" w:fill="D9D9D9"/>
            <w:vAlign w:val="center"/>
          </w:tcPr>
          <w:p w:rsidR="00A1700B" w:rsidRPr="005E3D65" w:rsidRDefault="00A1700B">
            <w:pPr>
              <w:jc w:val="center"/>
              <w:rPr>
                <w:sz w:val="18"/>
                <w:szCs w:val="18"/>
              </w:rPr>
            </w:pPr>
            <w:r w:rsidRPr="005E3D65">
              <w:rPr>
                <w:rFonts w:hint="eastAsia"/>
                <w:sz w:val="18"/>
                <w:szCs w:val="18"/>
              </w:rPr>
              <w:t>附注</w:t>
            </w:r>
          </w:p>
        </w:tc>
        <w:tc>
          <w:tcPr>
            <w:tcW w:w="2047" w:type="dxa"/>
            <w:shd w:val="clear" w:color="auto" w:fill="D9D9D9"/>
            <w:vAlign w:val="center"/>
          </w:tcPr>
          <w:p w:rsidR="00A1700B" w:rsidRPr="005E3D65" w:rsidRDefault="00F90566">
            <w:pPr>
              <w:jc w:val="center"/>
              <w:rPr>
                <w:sz w:val="18"/>
                <w:szCs w:val="18"/>
              </w:rPr>
            </w:pPr>
            <w:r w:rsidRPr="005E3D65">
              <w:rPr>
                <w:rFonts w:hint="eastAsia"/>
                <w:sz w:val="18"/>
                <w:szCs w:val="18"/>
              </w:rPr>
              <w:t>本年发生额</w:t>
            </w:r>
          </w:p>
        </w:tc>
        <w:tc>
          <w:tcPr>
            <w:tcW w:w="2048" w:type="dxa"/>
            <w:shd w:val="clear" w:color="auto" w:fill="D9D9D9"/>
            <w:vAlign w:val="center"/>
          </w:tcPr>
          <w:p w:rsidR="00A1700B" w:rsidRPr="005E3D65" w:rsidRDefault="00F90566">
            <w:pPr>
              <w:jc w:val="center"/>
              <w:rPr>
                <w:sz w:val="18"/>
                <w:szCs w:val="18"/>
              </w:rPr>
            </w:pPr>
            <w:r w:rsidRPr="005E3D65">
              <w:rPr>
                <w:rFonts w:hint="eastAsia"/>
                <w:sz w:val="18"/>
                <w:szCs w:val="18"/>
              </w:rPr>
              <w:t>上年发生额</w:t>
            </w:r>
          </w:p>
          <w:p w:rsidR="0090110E" w:rsidRPr="005E3D65" w:rsidRDefault="005F14EE" w:rsidP="00D07BEA">
            <w:pPr>
              <w:jc w:val="center"/>
              <w:rPr>
                <w:sz w:val="18"/>
                <w:szCs w:val="18"/>
              </w:rPr>
            </w:pPr>
            <w:r w:rsidRPr="005E3D65">
              <w:rPr>
                <w:rFonts w:hint="eastAsia"/>
                <w:sz w:val="18"/>
                <w:szCs w:val="18"/>
              </w:rPr>
              <w:t>(</w:t>
            </w:r>
            <w:r w:rsidR="0090110E" w:rsidRPr="005E3D65">
              <w:rPr>
                <w:rFonts w:hint="eastAsia"/>
                <w:sz w:val="18"/>
                <w:szCs w:val="18"/>
              </w:rPr>
              <w:t>已重述</w:t>
            </w:r>
            <w:r w:rsidRPr="005E3D65">
              <w:rPr>
                <w:rFonts w:hint="eastAsia"/>
                <w:sz w:val="18"/>
                <w:szCs w:val="18"/>
              </w:rPr>
              <w:t>)</w:t>
            </w:r>
          </w:p>
        </w:tc>
      </w:tr>
      <w:tr w:rsidR="00401F18" w:rsidRPr="005E3D65" w:rsidTr="0027505B">
        <w:trPr>
          <w:trHeight w:val="20"/>
        </w:trPr>
        <w:tc>
          <w:tcPr>
            <w:tcW w:w="4585" w:type="dxa"/>
            <w:shd w:val="clear" w:color="auto" w:fill="D9D9D9"/>
            <w:vAlign w:val="center"/>
          </w:tcPr>
          <w:p w:rsidR="00401F18" w:rsidRPr="005E3D65" w:rsidRDefault="00401F18" w:rsidP="00401F18">
            <w:pPr>
              <w:rPr>
                <w:sz w:val="18"/>
                <w:szCs w:val="18"/>
              </w:rPr>
            </w:pPr>
            <w:r w:rsidRPr="005E3D65">
              <w:rPr>
                <w:rFonts w:hint="eastAsia"/>
                <w:sz w:val="18"/>
                <w:szCs w:val="18"/>
              </w:rPr>
              <w:t>一、营业收入</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3</w:t>
            </w:r>
            <w:r w:rsidR="0036095E" w:rsidRPr="005E3D65">
              <w:rPr>
                <w:sz w:val="18"/>
                <w:szCs w:val="18"/>
              </w:rPr>
              <w:t>8</w:t>
            </w:r>
          </w:p>
        </w:tc>
        <w:tc>
          <w:tcPr>
            <w:tcW w:w="2047" w:type="dxa"/>
            <w:vAlign w:val="center"/>
          </w:tcPr>
          <w:p w:rsidR="00401F18" w:rsidRPr="005E3D65" w:rsidRDefault="00EF0DDD" w:rsidP="00401F18">
            <w:pPr>
              <w:jc w:val="right"/>
              <w:rPr>
                <w:sz w:val="18"/>
                <w:szCs w:val="18"/>
              </w:rPr>
            </w:pPr>
            <w:r w:rsidRPr="005E3D65">
              <w:rPr>
                <w:sz w:val="18"/>
                <w:szCs w:val="18"/>
              </w:rPr>
              <w:t>4,839,744,865.55</w:t>
            </w:r>
          </w:p>
        </w:tc>
        <w:tc>
          <w:tcPr>
            <w:tcW w:w="2048" w:type="dxa"/>
            <w:vAlign w:val="center"/>
          </w:tcPr>
          <w:p w:rsidR="00401F18" w:rsidRPr="005E3D65" w:rsidRDefault="00401F18" w:rsidP="00401F18">
            <w:pPr>
              <w:jc w:val="right"/>
              <w:rPr>
                <w:sz w:val="18"/>
                <w:szCs w:val="18"/>
              </w:rPr>
            </w:pPr>
            <w:r w:rsidRPr="005E3D65">
              <w:rPr>
                <w:sz w:val="18"/>
                <w:szCs w:val="18"/>
              </w:rPr>
              <w:t>4,306,313,778.13</w:t>
            </w:r>
          </w:p>
        </w:tc>
      </w:tr>
      <w:tr w:rsidR="00401F18" w:rsidRPr="005E3D65" w:rsidTr="0027505B">
        <w:trPr>
          <w:trHeight w:val="20"/>
        </w:trPr>
        <w:tc>
          <w:tcPr>
            <w:tcW w:w="4585" w:type="dxa"/>
            <w:shd w:val="clear" w:color="auto" w:fill="D9D9D9"/>
            <w:vAlign w:val="center"/>
          </w:tcPr>
          <w:p w:rsidR="00401F18" w:rsidRPr="005E3D65" w:rsidRDefault="00401F18">
            <w:pPr>
              <w:tabs>
                <w:tab w:val="left" w:pos="357"/>
              </w:tabs>
              <w:rPr>
                <w:sz w:val="18"/>
                <w:szCs w:val="18"/>
              </w:rPr>
            </w:pPr>
            <w:r w:rsidRPr="005E3D65">
              <w:rPr>
                <w:sz w:val="18"/>
                <w:szCs w:val="18"/>
              </w:rPr>
              <w:tab/>
            </w:r>
            <w:r w:rsidRPr="005E3D65">
              <w:rPr>
                <w:rFonts w:hint="eastAsia"/>
                <w:sz w:val="18"/>
                <w:szCs w:val="18"/>
              </w:rPr>
              <w:t>减</w:t>
            </w:r>
            <w:r w:rsidR="005F14EE" w:rsidRPr="005E3D65">
              <w:rPr>
                <w:rFonts w:hint="eastAsia"/>
                <w:sz w:val="18"/>
                <w:szCs w:val="18"/>
              </w:rPr>
              <w:t>：</w:t>
            </w:r>
            <w:r w:rsidRPr="005E3D65">
              <w:rPr>
                <w:rFonts w:hint="eastAsia"/>
                <w:sz w:val="18"/>
                <w:szCs w:val="18"/>
              </w:rPr>
              <w:t>营业成本</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3</w:t>
            </w:r>
            <w:r w:rsidR="0036095E" w:rsidRPr="005E3D65">
              <w:rPr>
                <w:sz w:val="18"/>
                <w:szCs w:val="18"/>
              </w:rPr>
              <w:t>8</w:t>
            </w:r>
          </w:p>
        </w:tc>
        <w:tc>
          <w:tcPr>
            <w:tcW w:w="2047" w:type="dxa"/>
            <w:vAlign w:val="center"/>
          </w:tcPr>
          <w:p w:rsidR="00401F18" w:rsidRPr="005E3D65" w:rsidRDefault="00EF0DDD" w:rsidP="00401F18">
            <w:pPr>
              <w:jc w:val="right"/>
              <w:rPr>
                <w:sz w:val="18"/>
                <w:szCs w:val="18"/>
              </w:rPr>
            </w:pPr>
            <w:r w:rsidRPr="005E3D65">
              <w:rPr>
                <w:sz w:val="18"/>
                <w:szCs w:val="18"/>
              </w:rPr>
              <w:t>2,765,811,764.57</w:t>
            </w:r>
          </w:p>
        </w:tc>
        <w:tc>
          <w:tcPr>
            <w:tcW w:w="2048" w:type="dxa"/>
            <w:vAlign w:val="center"/>
          </w:tcPr>
          <w:p w:rsidR="00401F18" w:rsidRPr="005E3D65" w:rsidRDefault="00401F18" w:rsidP="00401F18">
            <w:pPr>
              <w:jc w:val="right"/>
              <w:rPr>
                <w:sz w:val="18"/>
                <w:szCs w:val="18"/>
              </w:rPr>
            </w:pPr>
            <w:r w:rsidRPr="005E3D65">
              <w:rPr>
                <w:sz w:val="18"/>
                <w:szCs w:val="18"/>
              </w:rPr>
              <w:t>2,738,091,151.91</w:t>
            </w:r>
          </w:p>
        </w:tc>
      </w:tr>
      <w:tr w:rsidR="00401F18" w:rsidRPr="005E3D65" w:rsidTr="0027505B">
        <w:trPr>
          <w:trHeight w:val="20"/>
        </w:trPr>
        <w:tc>
          <w:tcPr>
            <w:tcW w:w="4585" w:type="dxa"/>
            <w:shd w:val="clear" w:color="auto" w:fill="D9D9D9"/>
            <w:vAlign w:val="center"/>
          </w:tcPr>
          <w:p w:rsidR="00401F18" w:rsidRPr="005E3D65" w:rsidRDefault="00401F18">
            <w:pPr>
              <w:tabs>
                <w:tab w:val="left" w:pos="690"/>
              </w:tabs>
              <w:rPr>
                <w:sz w:val="18"/>
                <w:szCs w:val="18"/>
              </w:rPr>
            </w:pPr>
            <w:r w:rsidRPr="005E3D65">
              <w:rPr>
                <w:sz w:val="18"/>
                <w:szCs w:val="18"/>
              </w:rPr>
              <w:tab/>
            </w:r>
            <w:r w:rsidRPr="005E3D65">
              <w:rPr>
                <w:rFonts w:hint="eastAsia"/>
                <w:sz w:val="18"/>
                <w:szCs w:val="18"/>
              </w:rPr>
              <w:t>税金及附加</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3</w:t>
            </w:r>
            <w:r w:rsidR="0036095E" w:rsidRPr="005E3D65">
              <w:rPr>
                <w:sz w:val="18"/>
                <w:szCs w:val="18"/>
              </w:rPr>
              <w:t>9</w:t>
            </w:r>
          </w:p>
        </w:tc>
        <w:tc>
          <w:tcPr>
            <w:tcW w:w="2047" w:type="dxa"/>
            <w:vAlign w:val="center"/>
          </w:tcPr>
          <w:p w:rsidR="00401F18" w:rsidRPr="005E3D65" w:rsidRDefault="00EF0DDD" w:rsidP="00401F18">
            <w:pPr>
              <w:jc w:val="right"/>
              <w:rPr>
                <w:sz w:val="18"/>
                <w:szCs w:val="18"/>
              </w:rPr>
            </w:pPr>
            <w:r w:rsidRPr="005E3D65">
              <w:rPr>
                <w:sz w:val="18"/>
                <w:szCs w:val="18"/>
              </w:rPr>
              <w:t>29,575,094.79</w:t>
            </w:r>
          </w:p>
        </w:tc>
        <w:tc>
          <w:tcPr>
            <w:tcW w:w="2048" w:type="dxa"/>
            <w:vAlign w:val="center"/>
          </w:tcPr>
          <w:p w:rsidR="00401F18" w:rsidRPr="005E3D65" w:rsidRDefault="00401F18" w:rsidP="00401F18">
            <w:pPr>
              <w:jc w:val="right"/>
              <w:rPr>
                <w:sz w:val="18"/>
                <w:szCs w:val="18"/>
              </w:rPr>
            </w:pPr>
            <w:r w:rsidRPr="005E3D65">
              <w:rPr>
                <w:sz w:val="18"/>
                <w:szCs w:val="18"/>
              </w:rPr>
              <w:t>20,323,577.60</w:t>
            </w:r>
          </w:p>
        </w:tc>
      </w:tr>
      <w:tr w:rsidR="00401F18" w:rsidRPr="005E3D65" w:rsidTr="0027505B">
        <w:trPr>
          <w:trHeight w:val="20"/>
        </w:trPr>
        <w:tc>
          <w:tcPr>
            <w:tcW w:w="4585" w:type="dxa"/>
            <w:shd w:val="clear" w:color="auto" w:fill="D9D9D9"/>
            <w:vAlign w:val="center"/>
          </w:tcPr>
          <w:p w:rsidR="00401F18" w:rsidRPr="005E3D65" w:rsidRDefault="00401F18">
            <w:pPr>
              <w:tabs>
                <w:tab w:val="left" w:pos="690"/>
              </w:tabs>
              <w:rPr>
                <w:sz w:val="18"/>
                <w:szCs w:val="18"/>
              </w:rPr>
            </w:pPr>
            <w:r w:rsidRPr="005E3D65">
              <w:rPr>
                <w:sz w:val="18"/>
                <w:szCs w:val="18"/>
              </w:rPr>
              <w:tab/>
            </w:r>
            <w:r w:rsidRPr="005E3D65">
              <w:rPr>
                <w:rFonts w:hint="eastAsia"/>
                <w:sz w:val="18"/>
                <w:szCs w:val="18"/>
              </w:rPr>
              <w:t>销售费用</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36095E" w:rsidRPr="005E3D65">
              <w:rPr>
                <w:sz w:val="18"/>
                <w:szCs w:val="18"/>
              </w:rPr>
              <w:t>40</w:t>
            </w:r>
          </w:p>
        </w:tc>
        <w:tc>
          <w:tcPr>
            <w:tcW w:w="2047" w:type="dxa"/>
            <w:vAlign w:val="center"/>
          </w:tcPr>
          <w:p w:rsidR="00401F18" w:rsidRPr="005E3D65" w:rsidRDefault="00EF0DDD" w:rsidP="00401F18">
            <w:pPr>
              <w:jc w:val="right"/>
              <w:rPr>
                <w:sz w:val="18"/>
                <w:szCs w:val="18"/>
              </w:rPr>
            </w:pPr>
            <w:r w:rsidRPr="005E3D65">
              <w:rPr>
                <w:sz w:val="18"/>
                <w:szCs w:val="18"/>
              </w:rPr>
              <w:t>696,727,995.89</w:t>
            </w:r>
          </w:p>
        </w:tc>
        <w:tc>
          <w:tcPr>
            <w:tcW w:w="2048" w:type="dxa"/>
            <w:vAlign w:val="center"/>
          </w:tcPr>
          <w:p w:rsidR="00401F18" w:rsidRPr="005E3D65" w:rsidRDefault="00401F18" w:rsidP="00401F18">
            <w:pPr>
              <w:jc w:val="right"/>
              <w:rPr>
                <w:sz w:val="18"/>
                <w:szCs w:val="18"/>
              </w:rPr>
            </w:pPr>
            <w:r w:rsidRPr="005E3D65">
              <w:rPr>
                <w:sz w:val="18"/>
                <w:szCs w:val="18"/>
              </w:rPr>
              <w:t>542,554,728.48</w:t>
            </w:r>
          </w:p>
        </w:tc>
      </w:tr>
      <w:tr w:rsidR="00401F18" w:rsidRPr="005E3D65" w:rsidTr="0027505B">
        <w:trPr>
          <w:trHeight w:val="20"/>
        </w:trPr>
        <w:tc>
          <w:tcPr>
            <w:tcW w:w="4585" w:type="dxa"/>
            <w:shd w:val="clear" w:color="auto" w:fill="D9D9D9"/>
            <w:vAlign w:val="center"/>
          </w:tcPr>
          <w:p w:rsidR="00401F18" w:rsidRPr="005E3D65" w:rsidRDefault="00401F18">
            <w:pPr>
              <w:tabs>
                <w:tab w:val="left" w:pos="690"/>
              </w:tabs>
              <w:rPr>
                <w:sz w:val="18"/>
                <w:szCs w:val="18"/>
              </w:rPr>
            </w:pPr>
            <w:r w:rsidRPr="005E3D65">
              <w:rPr>
                <w:sz w:val="18"/>
                <w:szCs w:val="18"/>
              </w:rPr>
              <w:tab/>
            </w:r>
            <w:r w:rsidRPr="005E3D65">
              <w:rPr>
                <w:rFonts w:hint="eastAsia"/>
                <w:sz w:val="18"/>
                <w:szCs w:val="18"/>
              </w:rPr>
              <w:t>管理费用</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4</w:t>
            </w:r>
            <w:r w:rsidR="0036095E" w:rsidRPr="005E3D65">
              <w:rPr>
                <w:sz w:val="18"/>
                <w:szCs w:val="18"/>
              </w:rPr>
              <w:t>1</w:t>
            </w:r>
          </w:p>
        </w:tc>
        <w:tc>
          <w:tcPr>
            <w:tcW w:w="2047" w:type="dxa"/>
            <w:vAlign w:val="center"/>
          </w:tcPr>
          <w:p w:rsidR="00401F18" w:rsidRPr="005E3D65" w:rsidRDefault="00EF0DDD" w:rsidP="00401F18">
            <w:pPr>
              <w:jc w:val="right"/>
              <w:rPr>
                <w:sz w:val="18"/>
                <w:szCs w:val="18"/>
              </w:rPr>
            </w:pPr>
            <w:r w:rsidRPr="005E3D65">
              <w:rPr>
                <w:sz w:val="18"/>
                <w:szCs w:val="18"/>
              </w:rPr>
              <w:t>160,961,654.03</w:t>
            </w:r>
          </w:p>
        </w:tc>
        <w:tc>
          <w:tcPr>
            <w:tcW w:w="2048" w:type="dxa"/>
            <w:vAlign w:val="center"/>
          </w:tcPr>
          <w:p w:rsidR="00401F18" w:rsidRPr="005E3D65" w:rsidRDefault="00401F18" w:rsidP="00401F18">
            <w:pPr>
              <w:jc w:val="right"/>
              <w:rPr>
                <w:sz w:val="18"/>
                <w:szCs w:val="18"/>
              </w:rPr>
            </w:pPr>
            <w:r w:rsidRPr="005E3D65">
              <w:rPr>
                <w:sz w:val="18"/>
                <w:szCs w:val="18"/>
              </w:rPr>
              <w:t>147,203,981.05</w:t>
            </w:r>
          </w:p>
        </w:tc>
      </w:tr>
      <w:tr w:rsidR="00401F18" w:rsidRPr="005E3D65" w:rsidTr="0027505B">
        <w:trPr>
          <w:trHeight w:val="20"/>
        </w:trPr>
        <w:tc>
          <w:tcPr>
            <w:tcW w:w="4585" w:type="dxa"/>
            <w:shd w:val="clear" w:color="auto" w:fill="D9D9D9"/>
            <w:vAlign w:val="center"/>
          </w:tcPr>
          <w:p w:rsidR="00401F18" w:rsidRPr="005E3D65" w:rsidRDefault="00401F18">
            <w:pPr>
              <w:tabs>
                <w:tab w:val="left" w:pos="690"/>
              </w:tabs>
              <w:rPr>
                <w:sz w:val="18"/>
                <w:szCs w:val="18"/>
              </w:rPr>
            </w:pPr>
            <w:r w:rsidRPr="005E3D65">
              <w:rPr>
                <w:sz w:val="18"/>
                <w:szCs w:val="18"/>
              </w:rPr>
              <w:tab/>
            </w:r>
            <w:r w:rsidRPr="005E3D65">
              <w:rPr>
                <w:rFonts w:hint="eastAsia"/>
                <w:sz w:val="18"/>
                <w:szCs w:val="18"/>
              </w:rPr>
              <w:t>研发费用</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4</w:t>
            </w:r>
            <w:r w:rsidR="0036095E" w:rsidRPr="005E3D65">
              <w:rPr>
                <w:sz w:val="18"/>
                <w:szCs w:val="18"/>
              </w:rPr>
              <w:t>2</w:t>
            </w:r>
          </w:p>
        </w:tc>
        <w:tc>
          <w:tcPr>
            <w:tcW w:w="2047" w:type="dxa"/>
            <w:vAlign w:val="center"/>
          </w:tcPr>
          <w:p w:rsidR="00401F18" w:rsidRPr="005E3D65" w:rsidRDefault="00EF0DDD" w:rsidP="00401F18">
            <w:pPr>
              <w:jc w:val="right"/>
              <w:rPr>
                <w:sz w:val="18"/>
                <w:szCs w:val="18"/>
              </w:rPr>
            </w:pPr>
            <w:r w:rsidRPr="005E3D65">
              <w:rPr>
                <w:sz w:val="18"/>
                <w:szCs w:val="18"/>
              </w:rPr>
              <w:t>730,711,983.10</w:t>
            </w:r>
          </w:p>
        </w:tc>
        <w:tc>
          <w:tcPr>
            <w:tcW w:w="2048" w:type="dxa"/>
            <w:vAlign w:val="center"/>
          </w:tcPr>
          <w:p w:rsidR="00401F18" w:rsidRPr="005E3D65" w:rsidRDefault="00401F18" w:rsidP="00401F18">
            <w:pPr>
              <w:jc w:val="right"/>
              <w:rPr>
                <w:sz w:val="18"/>
                <w:szCs w:val="18"/>
              </w:rPr>
            </w:pPr>
            <w:r w:rsidRPr="005E3D65">
              <w:rPr>
                <w:sz w:val="18"/>
                <w:szCs w:val="18"/>
              </w:rPr>
              <w:t>602,974,205.46</w:t>
            </w:r>
          </w:p>
        </w:tc>
      </w:tr>
      <w:tr w:rsidR="00401F18" w:rsidRPr="005E3D65" w:rsidTr="0027505B">
        <w:trPr>
          <w:trHeight w:val="20"/>
        </w:trPr>
        <w:tc>
          <w:tcPr>
            <w:tcW w:w="4585" w:type="dxa"/>
            <w:shd w:val="clear" w:color="auto" w:fill="D9D9D9"/>
            <w:vAlign w:val="center"/>
          </w:tcPr>
          <w:p w:rsidR="00401F18" w:rsidRPr="005E3D65" w:rsidRDefault="00401F18">
            <w:pPr>
              <w:tabs>
                <w:tab w:val="left" w:pos="690"/>
              </w:tabs>
              <w:rPr>
                <w:sz w:val="18"/>
                <w:szCs w:val="18"/>
              </w:rPr>
            </w:pPr>
            <w:r w:rsidRPr="005E3D65">
              <w:rPr>
                <w:sz w:val="18"/>
                <w:szCs w:val="18"/>
              </w:rPr>
              <w:tab/>
            </w:r>
            <w:r w:rsidRPr="005E3D65">
              <w:rPr>
                <w:rFonts w:hint="eastAsia"/>
                <w:sz w:val="18"/>
                <w:szCs w:val="18"/>
              </w:rPr>
              <w:t>财务费用</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4</w:t>
            </w:r>
            <w:r w:rsidR="0036095E" w:rsidRPr="005E3D65">
              <w:rPr>
                <w:sz w:val="18"/>
                <w:szCs w:val="18"/>
              </w:rPr>
              <w:t>3</w:t>
            </w:r>
          </w:p>
        </w:tc>
        <w:tc>
          <w:tcPr>
            <w:tcW w:w="2047" w:type="dxa"/>
            <w:vAlign w:val="center"/>
          </w:tcPr>
          <w:p w:rsidR="00401F18" w:rsidRPr="005E3D65" w:rsidRDefault="005F14EE" w:rsidP="00401F18">
            <w:pPr>
              <w:jc w:val="right"/>
              <w:rPr>
                <w:sz w:val="18"/>
                <w:szCs w:val="18"/>
              </w:rPr>
            </w:pPr>
            <w:r w:rsidRPr="005E3D65">
              <w:rPr>
                <w:sz w:val="18"/>
                <w:szCs w:val="18"/>
              </w:rPr>
              <w:t>(</w:t>
            </w:r>
            <w:r w:rsidR="00EF0DDD" w:rsidRPr="005E3D65">
              <w:rPr>
                <w:sz w:val="18"/>
                <w:szCs w:val="18"/>
              </w:rPr>
              <w:t>61,473,792.79</w:t>
            </w:r>
            <w:r w:rsidRPr="005E3D65">
              <w:rPr>
                <w:sz w:val="18"/>
                <w:szCs w:val="18"/>
              </w:rPr>
              <w:t>)</w:t>
            </w:r>
          </w:p>
        </w:tc>
        <w:tc>
          <w:tcPr>
            <w:tcW w:w="2048" w:type="dxa"/>
            <w:vAlign w:val="center"/>
          </w:tcPr>
          <w:p w:rsidR="00401F18" w:rsidRPr="005E3D65" w:rsidRDefault="005F14EE" w:rsidP="00401F18">
            <w:pPr>
              <w:jc w:val="right"/>
              <w:rPr>
                <w:sz w:val="18"/>
                <w:szCs w:val="18"/>
              </w:rPr>
            </w:pPr>
            <w:r w:rsidRPr="005E3D65">
              <w:rPr>
                <w:sz w:val="18"/>
                <w:szCs w:val="18"/>
              </w:rPr>
              <w:t>(</w:t>
            </w:r>
            <w:r w:rsidR="00401F18" w:rsidRPr="005E3D65">
              <w:rPr>
                <w:sz w:val="18"/>
                <w:szCs w:val="18"/>
              </w:rPr>
              <w:t>29,210,980.05</w:t>
            </w:r>
            <w:r w:rsidRPr="005E3D65">
              <w:rPr>
                <w:sz w:val="18"/>
                <w:szCs w:val="18"/>
              </w:rPr>
              <w:t>)</w:t>
            </w:r>
          </w:p>
        </w:tc>
      </w:tr>
      <w:tr w:rsidR="00401F18" w:rsidRPr="005E3D65" w:rsidTr="0027505B">
        <w:trPr>
          <w:trHeight w:val="20"/>
        </w:trPr>
        <w:tc>
          <w:tcPr>
            <w:tcW w:w="4585" w:type="dxa"/>
            <w:shd w:val="clear" w:color="auto" w:fill="D9D9D9"/>
            <w:vAlign w:val="center"/>
          </w:tcPr>
          <w:p w:rsidR="00401F18" w:rsidRPr="005E3D65" w:rsidRDefault="00401F18">
            <w:pPr>
              <w:tabs>
                <w:tab w:val="left" w:pos="690"/>
              </w:tabs>
              <w:rPr>
                <w:sz w:val="18"/>
                <w:szCs w:val="18"/>
              </w:rPr>
            </w:pPr>
            <w:r w:rsidRPr="005E3D65">
              <w:rPr>
                <w:sz w:val="18"/>
                <w:szCs w:val="18"/>
              </w:rPr>
              <w:tab/>
            </w:r>
            <w:r w:rsidRPr="005E3D65">
              <w:rPr>
                <w:rFonts w:hint="eastAsia"/>
                <w:sz w:val="18"/>
                <w:szCs w:val="18"/>
              </w:rPr>
              <w:t>其中</w:t>
            </w:r>
            <w:r w:rsidR="005F14EE" w:rsidRPr="005E3D65">
              <w:rPr>
                <w:rFonts w:hint="eastAsia"/>
                <w:sz w:val="18"/>
                <w:szCs w:val="18"/>
              </w:rPr>
              <w:t>：</w:t>
            </w:r>
            <w:r w:rsidRPr="005E3D65">
              <w:rPr>
                <w:rFonts w:hint="eastAsia"/>
                <w:sz w:val="18"/>
                <w:szCs w:val="18"/>
              </w:rPr>
              <w:t>利息费用</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EF0DDD" w:rsidP="00401F18">
            <w:pPr>
              <w:jc w:val="right"/>
              <w:rPr>
                <w:sz w:val="18"/>
                <w:szCs w:val="18"/>
              </w:rPr>
            </w:pPr>
            <w:r w:rsidRPr="005E3D65">
              <w:rPr>
                <w:sz w:val="18"/>
                <w:szCs w:val="18"/>
              </w:rPr>
              <w:t>7,424,225.41</w:t>
            </w:r>
          </w:p>
        </w:tc>
        <w:tc>
          <w:tcPr>
            <w:tcW w:w="2048" w:type="dxa"/>
            <w:vAlign w:val="center"/>
          </w:tcPr>
          <w:p w:rsidR="00401F18" w:rsidRPr="005E3D65" w:rsidRDefault="00401F18" w:rsidP="00401F18">
            <w:pPr>
              <w:jc w:val="right"/>
              <w:rPr>
                <w:sz w:val="18"/>
                <w:szCs w:val="18"/>
              </w:rPr>
            </w:pPr>
            <w:r w:rsidRPr="005E3D65">
              <w:rPr>
                <w:sz w:val="18"/>
                <w:szCs w:val="18"/>
              </w:rPr>
              <w:t>13,158,325.10</w:t>
            </w:r>
          </w:p>
        </w:tc>
      </w:tr>
      <w:tr w:rsidR="00401F18" w:rsidRPr="005E3D65" w:rsidTr="0027505B">
        <w:trPr>
          <w:trHeight w:val="20"/>
        </w:trPr>
        <w:tc>
          <w:tcPr>
            <w:tcW w:w="4585" w:type="dxa"/>
            <w:shd w:val="clear" w:color="auto" w:fill="D9D9D9"/>
            <w:vAlign w:val="center"/>
          </w:tcPr>
          <w:p w:rsidR="00401F18" w:rsidRPr="005E3D65" w:rsidRDefault="00401F18" w:rsidP="0027505B">
            <w:pPr>
              <w:tabs>
                <w:tab w:val="left" w:pos="1248"/>
              </w:tabs>
              <w:rPr>
                <w:sz w:val="18"/>
                <w:szCs w:val="18"/>
              </w:rPr>
            </w:pPr>
            <w:r w:rsidRPr="005E3D65">
              <w:rPr>
                <w:sz w:val="18"/>
                <w:szCs w:val="18"/>
              </w:rPr>
              <w:tab/>
            </w:r>
            <w:r w:rsidRPr="005E3D65">
              <w:rPr>
                <w:rFonts w:hint="eastAsia"/>
                <w:sz w:val="18"/>
                <w:szCs w:val="18"/>
              </w:rPr>
              <w:t>利息收入</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EF0DDD" w:rsidP="00401F18">
            <w:pPr>
              <w:jc w:val="right"/>
              <w:rPr>
                <w:sz w:val="18"/>
                <w:szCs w:val="18"/>
              </w:rPr>
            </w:pPr>
            <w:r w:rsidRPr="005E3D65">
              <w:rPr>
                <w:sz w:val="18"/>
                <w:szCs w:val="18"/>
              </w:rPr>
              <w:t>70,553,851.93</w:t>
            </w:r>
          </w:p>
        </w:tc>
        <w:tc>
          <w:tcPr>
            <w:tcW w:w="2048" w:type="dxa"/>
            <w:vAlign w:val="center"/>
          </w:tcPr>
          <w:p w:rsidR="00401F18" w:rsidRPr="005E3D65" w:rsidRDefault="00401F18" w:rsidP="00401F18">
            <w:pPr>
              <w:jc w:val="right"/>
              <w:rPr>
                <w:sz w:val="18"/>
                <w:szCs w:val="18"/>
              </w:rPr>
            </w:pPr>
            <w:r w:rsidRPr="005E3D65">
              <w:rPr>
                <w:sz w:val="18"/>
                <w:szCs w:val="18"/>
              </w:rPr>
              <w:t>34,833,182.29</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Pr="005E3D65">
              <w:rPr>
                <w:rFonts w:hint="eastAsia"/>
                <w:sz w:val="18"/>
                <w:szCs w:val="18"/>
              </w:rPr>
              <w:t>加</w:t>
            </w:r>
            <w:r w:rsidR="005F14EE" w:rsidRPr="005E3D65">
              <w:rPr>
                <w:rFonts w:hint="eastAsia"/>
                <w:sz w:val="18"/>
                <w:szCs w:val="18"/>
              </w:rPr>
              <w:t>：</w:t>
            </w:r>
            <w:r w:rsidRPr="005E3D65">
              <w:rPr>
                <w:rFonts w:hint="eastAsia"/>
                <w:sz w:val="18"/>
                <w:szCs w:val="18"/>
              </w:rPr>
              <w:t>其他收益</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4</w:t>
            </w:r>
            <w:r w:rsidR="0036095E" w:rsidRPr="005E3D65">
              <w:rPr>
                <w:sz w:val="18"/>
                <w:szCs w:val="18"/>
              </w:rPr>
              <w:t>4</w:t>
            </w:r>
          </w:p>
        </w:tc>
        <w:tc>
          <w:tcPr>
            <w:tcW w:w="2047" w:type="dxa"/>
            <w:vAlign w:val="center"/>
          </w:tcPr>
          <w:p w:rsidR="00401F18" w:rsidRPr="005E3D65" w:rsidRDefault="00EF0DDD" w:rsidP="00401F18">
            <w:pPr>
              <w:jc w:val="right"/>
              <w:rPr>
                <w:sz w:val="18"/>
                <w:szCs w:val="18"/>
              </w:rPr>
            </w:pPr>
            <w:r w:rsidRPr="005E3D65">
              <w:rPr>
                <w:sz w:val="18"/>
                <w:szCs w:val="18"/>
              </w:rPr>
              <w:t>68,407,613.79</w:t>
            </w:r>
          </w:p>
        </w:tc>
        <w:tc>
          <w:tcPr>
            <w:tcW w:w="2048" w:type="dxa"/>
            <w:vAlign w:val="center"/>
          </w:tcPr>
          <w:p w:rsidR="00401F18" w:rsidRPr="005E3D65" w:rsidRDefault="00401F18" w:rsidP="00401F18">
            <w:pPr>
              <w:jc w:val="right"/>
              <w:rPr>
                <w:sz w:val="18"/>
                <w:szCs w:val="18"/>
              </w:rPr>
            </w:pPr>
            <w:r w:rsidRPr="005E3D65">
              <w:rPr>
                <w:sz w:val="18"/>
                <w:szCs w:val="18"/>
              </w:rPr>
              <w:t>80,015,437.91</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717"/>
              </w:tabs>
              <w:rPr>
                <w:sz w:val="18"/>
                <w:szCs w:val="18"/>
              </w:rPr>
            </w:pPr>
            <w:r w:rsidRPr="005E3D65">
              <w:rPr>
                <w:sz w:val="18"/>
                <w:szCs w:val="18"/>
              </w:rPr>
              <w:tab/>
            </w:r>
            <w:r w:rsidRPr="005E3D65">
              <w:rPr>
                <w:rFonts w:hint="eastAsia"/>
                <w:sz w:val="18"/>
                <w:szCs w:val="18"/>
              </w:rPr>
              <w:t>资产处置</w:t>
            </w:r>
            <w:r w:rsidR="00EF0DDD" w:rsidRPr="005E3D65">
              <w:rPr>
                <w:rFonts w:hint="eastAsia"/>
                <w:sz w:val="18"/>
                <w:szCs w:val="18"/>
              </w:rPr>
              <w:t>收益</w:t>
            </w:r>
            <w:r w:rsidR="005F14EE" w:rsidRPr="005E3D65">
              <w:rPr>
                <w:rFonts w:hint="eastAsia"/>
                <w:sz w:val="18"/>
                <w:szCs w:val="18"/>
              </w:rPr>
              <w:t>(</w:t>
            </w:r>
            <w:r w:rsidRPr="005E3D65">
              <w:rPr>
                <w:rFonts w:hint="eastAsia"/>
                <w:sz w:val="18"/>
                <w:szCs w:val="18"/>
              </w:rPr>
              <w:t>损失</w:t>
            </w:r>
            <w:r w:rsidR="005F14EE" w:rsidRPr="005E3D65">
              <w:rPr>
                <w:rFonts w:hint="eastAsia"/>
                <w:sz w:val="18"/>
                <w:szCs w:val="18"/>
              </w:rPr>
              <w:t>)</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EF0DDD" w:rsidP="00401F18">
            <w:pPr>
              <w:jc w:val="right"/>
              <w:rPr>
                <w:sz w:val="18"/>
                <w:szCs w:val="18"/>
              </w:rPr>
            </w:pPr>
            <w:r w:rsidRPr="005E3D65">
              <w:rPr>
                <w:sz w:val="18"/>
                <w:szCs w:val="18"/>
              </w:rPr>
              <w:t>185,503.89</w:t>
            </w:r>
          </w:p>
        </w:tc>
        <w:tc>
          <w:tcPr>
            <w:tcW w:w="2048" w:type="dxa"/>
            <w:vAlign w:val="center"/>
          </w:tcPr>
          <w:p w:rsidR="00401F18" w:rsidRPr="005E3D65" w:rsidRDefault="005F14EE" w:rsidP="00401F18">
            <w:pPr>
              <w:jc w:val="right"/>
              <w:rPr>
                <w:sz w:val="18"/>
                <w:szCs w:val="18"/>
              </w:rPr>
            </w:pPr>
            <w:r w:rsidRPr="005E3D65">
              <w:rPr>
                <w:sz w:val="18"/>
                <w:szCs w:val="18"/>
              </w:rPr>
              <w:t>(</w:t>
            </w:r>
            <w:r w:rsidR="00401F18" w:rsidRPr="005E3D65">
              <w:rPr>
                <w:sz w:val="18"/>
                <w:szCs w:val="18"/>
              </w:rPr>
              <w:t>18,203.42</w:t>
            </w:r>
            <w:r w:rsidRPr="005E3D65">
              <w:rPr>
                <w:sz w:val="18"/>
                <w:szCs w:val="18"/>
              </w:rPr>
              <w:t>)</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717"/>
              </w:tabs>
              <w:rPr>
                <w:sz w:val="18"/>
                <w:szCs w:val="18"/>
              </w:rPr>
            </w:pPr>
            <w:r w:rsidRPr="005E3D65">
              <w:rPr>
                <w:sz w:val="18"/>
                <w:szCs w:val="18"/>
              </w:rPr>
              <w:tab/>
            </w:r>
            <w:r w:rsidRPr="005E3D65">
              <w:rPr>
                <w:rFonts w:hint="eastAsia"/>
                <w:sz w:val="18"/>
                <w:szCs w:val="18"/>
              </w:rPr>
              <w:t>信用减值损失</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4</w:t>
            </w:r>
            <w:r w:rsidR="0036095E" w:rsidRPr="005E3D65">
              <w:rPr>
                <w:sz w:val="18"/>
                <w:szCs w:val="18"/>
              </w:rPr>
              <w:t>5</w:t>
            </w:r>
          </w:p>
        </w:tc>
        <w:tc>
          <w:tcPr>
            <w:tcW w:w="2047" w:type="dxa"/>
            <w:vAlign w:val="center"/>
          </w:tcPr>
          <w:p w:rsidR="00401F18" w:rsidRPr="005E3D65" w:rsidRDefault="005F14EE" w:rsidP="00401F18">
            <w:pPr>
              <w:jc w:val="right"/>
              <w:rPr>
                <w:sz w:val="18"/>
                <w:szCs w:val="18"/>
              </w:rPr>
            </w:pPr>
            <w:r w:rsidRPr="005E3D65">
              <w:rPr>
                <w:sz w:val="18"/>
                <w:szCs w:val="18"/>
              </w:rPr>
              <w:t>(</w:t>
            </w:r>
            <w:r w:rsidR="00EF0DDD" w:rsidRPr="005E3D65">
              <w:rPr>
                <w:sz w:val="18"/>
                <w:szCs w:val="18"/>
              </w:rPr>
              <w:t>3,266,721.12</w:t>
            </w:r>
            <w:r w:rsidRPr="005E3D65">
              <w:rPr>
                <w:sz w:val="18"/>
                <w:szCs w:val="18"/>
              </w:rPr>
              <w:t>)</w:t>
            </w:r>
          </w:p>
        </w:tc>
        <w:tc>
          <w:tcPr>
            <w:tcW w:w="2048" w:type="dxa"/>
            <w:vAlign w:val="center"/>
          </w:tcPr>
          <w:p w:rsidR="00401F18" w:rsidRPr="005E3D65" w:rsidRDefault="005F14EE" w:rsidP="00401F18">
            <w:pPr>
              <w:jc w:val="right"/>
              <w:rPr>
                <w:sz w:val="18"/>
                <w:szCs w:val="18"/>
              </w:rPr>
            </w:pPr>
            <w:r w:rsidRPr="005E3D65">
              <w:rPr>
                <w:sz w:val="18"/>
                <w:szCs w:val="18"/>
              </w:rPr>
              <w:t>(</w:t>
            </w:r>
            <w:r w:rsidR="00401F18" w:rsidRPr="005E3D65">
              <w:rPr>
                <w:sz w:val="18"/>
                <w:szCs w:val="18"/>
              </w:rPr>
              <w:t>3,032,749.71</w:t>
            </w:r>
            <w:r w:rsidRPr="005E3D65">
              <w:rPr>
                <w:sz w:val="18"/>
                <w:szCs w:val="18"/>
              </w:rPr>
              <w:t>)</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717"/>
              </w:tabs>
              <w:rPr>
                <w:sz w:val="18"/>
                <w:szCs w:val="18"/>
              </w:rPr>
            </w:pPr>
            <w:r w:rsidRPr="005E3D65">
              <w:rPr>
                <w:sz w:val="18"/>
                <w:szCs w:val="18"/>
              </w:rPr>
              <w:tab/>
            </w:r>
            <w:r w:rsidRPr="005E3D65">
              <w:rPr>
                <w:rFonts w:hint="eastAsia"/>
                <w:sz w:val="18"/>
                <w:szCs w:val="18"/>
              </w:rPr>
              <w:t>资产减值损失</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46</w:t>
            </w:r>
          </w:p>
        </w:tc>
        <w:tc>
          <w:tcPr>
            <w:tcW w:w="2047" w:type="dxa"/>
            <w:vAlign w:val="center"/>
          </w:tcPr>
          <w:p w:rsidR="00401F18" w:rsidRPr="005E3D65" w:rsidRDefault="005F14EE" w:rsidP="00401F18">
            <w:pPr>
              <w:jc w:val="right"/>
              <w:rPr>
                <w:sz w:val="18"/>
                <w:szCs w:val="18"/>
              </w:rPr>
            </w:pPr>
            <w:r w:rsidRPr="005E3D65">
              <w:rPr>
                <w:sz w:val="18"/>
                <w:szCs w:val="18"/>
              </w:rPr>
              <w:t>(</w:t>
            </w:r>
            <w:r w:rsidR="00EF0DDD" w:rsidRPr="005E3D65">
              <w:rPr>
                <w:sz w:val="18"/>
                <w:szCs w:val="18"/>
              </w:rPr>
              <w:t>10,963,112.45</w:t>
            </w:r>
            <w:r w:rsidRPr="005E3D65">
              <w:rPr>
                <w:sz w:val="18"/>
                <w:szCs w:val="18"/>
              </w:rPr>
              <w:t>)</w:t>
            </w:r>
          </w:p>
        </w:tc>
        <w:tc>
          <w:tcPr>
            <w:tcW w:w="2048" w:type="dxa"/>
            <w:vAlign w:val="center"/>
          </w:tcPr>
          <w:p w:rsidR="00401F18" w:rsidRPr="005E3D65" w:rsidRDefault="005F14EE" w:rsidP="00401F18">
            <w:pPr>
              <w:jc w:val="right"/>
              <w:rPr>
                <w:sz w:val="18"/>
                <w:szCs w:val="18"/>
              </w:rPr>
            </w:pPr>
            <w:r w:rsidRPr="005E3D65">
              <w:rPr>
                <w:sz w:val="18"/>
                <w:szCs w:val="18"/>
              </w:rPr>
              <w:t>(</w:t>
            </w:r>
            <w:r w:rsidR="00401F18" w:rsidRPr="005E3D65">
              <w:rPr>
                <w:sz w:val="18"/>
                <w:szCs w:val="18"/>
              </w:rPr>
              <w:t>30,409,292.05</w:t>
            </w:r>
            <w:r w:rsidRPr="005E3D65">
              <w:rPr>
                <w:sz w:val="18"/>
                <w:szCs w:val="18"/>
              </w:rPr>
              <w:t>)</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rFonts w:hint="eastAsia"/>
                <w:sz w:val="18"/>
                <w:szCs w:val="18"/>
              </w:rPr>
              <w:t>二、营业利润</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EF0DDD" w:rsidP="00401F18">
            <w:pPr>
              <w:jc w:val="right"/>
              <w:rPr>
                <w:sz w:val="18"/>
                <w:szCs w:val="18"/>
              </w:rPr>
            </w:pPr>
            <w:r w:rsidRPr="005E3D65">
              <w:rPr>
                <w:sz w:val="18"/>
                <w:szCs w:val="18"/>
              </w:rPr>
              <w:t>571,793,450.07</w:t>
            </w:r>
          </w:p>
        </w:tc>
        <w:tc>
          <w:tcPr>
            <w:tcW w:w="2048" w:type="dxa"/>
            <w:vAlign w:val="center"/>
          </w:tcPr>
          <w:p w:rsidR="00401F18" w:rsidRPr="005E3D65" w:rsidRDefault="00401F18" w:rsidP="00401F18">
            <w:pPr>
              <w:jc w:val="right"/>
              <w:rPr>
                <w:sz w:val="18"/>
                <w:szCs w:val="18"/>
              </w:rPr>
            </w:pPr>
            <w:r w:rsidRPr="005E3D65">
              <w:rPr>
                <w:sz w:val="18"/>
                <w:szCs w:val="18"/>
              </w:rPr>
              <w:t>330,932,306.41</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Pr="005E3D65">
              <w:rPr>
                <w:rFonts w:hint="eastAsia"/>
                <w:sz w:val="18"/>
                <w:szCs w:val="18"/>
              </w:rPr>
              <w:t>加</w:t>
            </w:r>
            <w:r w:rsidR="005F14EE" w:rsidRPr="005E3D65">
              <w:rPr>
                <w:rFonts w:hint="eastAsia"/>
                <w:sz w:val="18"/>
                <w:szCs w:val="18"/>
              </w:rPr>
              <w:t>：</w:t>
            </w:r>
            <w:r w:rsidRPr="005E3D65">
              <w:rPr>
                <w:rFonts w:hint="eastAsia"/>
                <w:sz w:val="18"/>
                <w:szCs w:val="18"/>
              </w:rPr>
              <w:t>营业外收入</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4</w:t>
            </w:r>
            <w:r w:rsidR="0036095E" w:rsidRPr="005E3D65">
              <w:rPr>
                <w:sz w:val="18"/>
                <w:szCs w:val="18"/>
              </w:rPr>
              <w:t>7</w:t>
            </w:r>
          </w:p>
        </w:tc>
        <w:tc>
          <w:tcPr>
            <w:tcW w:w="2047" w:type="dxa"/>
            <w:vAlign w:val="center"/>
          </w:tcPr>
          <w:p w:rsidR="00401F18" w:rsidRPr="005E3D65" w:rsidRDefault="00EF0DDD" w:rsidP="00401F18">
            <w:pPr>
              <w:jc w:val="right"/>
              <w:rPr>
                <w:sz w:val="18"/>
                <w:szCs w:val="18"/>
              </w:rPr>
            </w:pPr>
            <w:r w:rsidRPr="005E3D65">
              <w:rPr>
                <w:sz w:val="18"/>
                <w:szCs w:val="18"/>
              </w:rPr>
              <w:t>1,013,091.73</w:t>
            </w:r>
          </w:p>
        </w:tc>
        <w:tc>
          <w:tcPr>
            <w:tcW w:w="2048" w:type="dxa"/>
            <w:vAlign w:val="center"/>
          </w:tcPr>
          <w:p w:rsidR="00401F18" w:rsidRPr="005E3D65" w:rsidRDefault="00401F18" w:rsidP="00401F18">
            <w:pPr>
              <w:jc w:val="right"/>
              <w:rPr>
                <w:sz w:val="18"/>
                <w:szCs w:val="18"/>
              </w:rPr>
            </w:pPr>
            <w:r w:rsidRPr="005E3D65">
              <w:rPr>
                <w:sz w:val="18"/>
                <w:szCs w:val="18"/>
              </w:rPr>
              <w:t>982,251.44</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Pr="005E3D65">
              <w:rPr>
                <w:rFonts w:hint="eastAsia"/>
                <w:sz w:val="18"/>
                <w:szCs w:val="18"/>
              </w:rPr>
              <w:t>减</w:t>
            </w:r>
            <w:r w:rsidR="005F14EE" w:rsidRPr="005E3D65">
              <w:rPr>
                <w:rFonts w:hint="eastAsia"/>
                <w:sz w:val="18"/>
                <w:szCs w:val="18"/>
              </w:rPr>
              <w:t>：</w:t>
            </w:r>
            <w:r w:rsidRPr="005E3D65">
              <w:rPr>
                <w:rFonts w:hint="eastAsia"/>
                <w:sz w:val="18"/>
                <w:szCs w:val="18"/>
              </w:rPr>
              <w:t>营业外支出</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4</w:t>
            </w:r>
            <w:r w:rsidR="0036095E" w:rsidRPr="005E3D65">
              <w:rPr>
                <w:sz w:val="18"/>
                <w:szCs w:val="18"/>
              </w:rPr>
              <w:t>8</w:t>
            </w:r>
          </w:p>
        </w:tc>
        <w:tc>
          <w:tcPr>
            <w:tcW w:w="2047" w:type="dxa"/>
            <w:vAlign w:val="center"/>
          </w:tcPr>
          <w:p w:rsidR="00401F18" w:rsidRPr="005E3D65" w:rsidRDefault="00EF0DDD" w:rsidP="00401F18">
            <w:pPr>
              <w:jc w:val="right"/>
              <w:rPr>
                <w:sz w:val="18"/>
                <w:szCs w:val="18"/>
              </w:rPr>
            </w:pPr>
            <w:r w:rsidRPr="005E3D65">
              <w:rPr>
                <w:sz w:val="18"/>
                <w:szCs w:val="18"/>
              </w:rPr>
              <w:t>5,237,341.36</w:t>
            </w:r>
          </w:p>
        </w:tc>
        <w:tc>
          <w:tcPr>
            <w:tcW w:w="2048" w:type="dxa"/>
            <w:vAlign w:val="center"/>
          </w:tcPr>
          <w:p w:rsidR="00401F18" w:rsidRPr="005E3D65" w:rsidRDefault="00401F18" w:rsidP="00401F18">
            <w:pPr>
              <w:jc w:val="right"/>
              <w:rPr>
                <w:sz w:val="18"/>
                <w:szCs w:val="18"/>
              </w:rPr>
            </w:pPr>
            <w:r w:rsidRPr="005E3D65">
              <w:rPr>
                <w:sz w:val="18"/>
                <w:szCs w:val="18"/>
              </w:rPr>
              <w:t>465,562.70</w:t>
            </w:r>
          </w:p>
        </w:tc>
      </w:tr>
      <w:tr w:rsidR="00401F18" w:rsidRPr="005E3D65" w:rsidTr="0027505B">
        <w:trPr>
          <w:trHeight w:val="20"/>
        </w:trPr>
        <w:tc>
          <w:tcPr>
            <w:tcW w:w="4585" w:type="dxa"/>
            <w:shd w:val="clear" w:color="auto" w:fill="D9D9D9"/>
            <w:vAlign w:val="center"/>
          </w:tcPr>
          <w:p w:rsidR="00401F18" w:rsidRPr="005E3D65" w:rsidRDefault="00401F18" w:rsidP="00401F18">
            <w:pPr>
              <w:rPr>
                <w:sz w:val="18"/>
                <w:szCs w:val="18"/>
              </w:rPr>
            </w:pPr>
            <w:r w:rsidRPr="005E3D65">
              <w:rPr>
                <w:rFonts w:hint="eastAsia"/>
                <w:sz w:val="18"/>
                <w:szCs w:val="18"/>
              </w:rPr>
              <w:t>三、利润总额</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EF0DDD" w:rsidP="00401F18">
            <w:pPr>
              <w:jc w:val="right"/>
              <w:rPr>
                <w:sz w:val="18"/>
                <w:szCs w:val="18"/>
              </w:rPr>
            </w:pPr>
            <w:r w:rsidRPr="005E3D65">
              <w:rPr>
                <w:sz w:val="18"/>
                <w:szCs w:val="18"/>
              </w:rPr>
              <w:t>567,569,200.44</w:t>
            </w:r>
          </w:p>
        </w:tc>
        <w:tc>
          <w:tcPr>
            <w:tcW w:w="2048" w:type="dxa"/>
            <w:vAlign w:val="center"/>
          </w:tcPr>
          <w:p w:rsidR="00401F18" w:rsidRPr="005E3D65" w:rsidRDefault="00401F18" w:rsidP="00401F18">
            <w:pPr>
              <w:jc w:val="right"/>
              <w:rPr>
                <w:sz w:val="18"/>
                <w:szCs w:val="18"/>
              </w:rPr>
            </w:pPr>
            <w:r w:rsidRPr="005E3D65">
              <w:rPr>
                <w:sz w:val="18"/>
                <w:szCs w:val="18"/>
              </w:rPr>
              <w:t>331,448,995.15</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Pr="005E3D65">
              <w:rPr>
                <w:rFonts w:hint="eastAsia"/>
                <w:sz w:val="18"/>
                <w:szCs w:val="18"/>
              </w:rPr>
              <w:t>减</w:t>
            </w:r>
            <w:r w:rsidR="005F14EE" w:rsidRPr="005E3D65">
              <w:rPr>
                <w:rFonts w:hint="eastAsia"/>
                <w:sz w:val="18"/>
                <w:szCs w:val="18"/>
              </w:rPr>
              <w:t>：</w:t>
            </w:r>
            <w:r w:rsidRPr="005E3D65">
              <w:rPr>
                <w:rFonts w:hint="eastAsia"/>
                <w:sz w:val="18"/>
                <w:szCs w:val="18"/>
              </w:rPr>
              <w:t>所得税费用</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4</w:t>
            </w:r>
            <w:r w:rsidR="0036095E" w:rsidRPr="005E3D65">
              <w:rPr>
                <w:sz w:val="18"/>
                <w:szCs w:val="18"/>
              </w:rPr>
              <w:t>9</w:t>
            </w:r>
          </w:p>
        </w:tc>
        <w:tc>
          <w:tcPr>
            <w:tcW w:w="2047" w:type="dxa"/>
            <w:vAlign w:val="center"/>
          </w:tcPr>
          <w:p w:rsidR="00401F18" w:rsidRPr="005E3D65" w:rsidRDefault="00EF0DDD" w:rsidP="00401F18">
            <w:pPr>
              <w:jc w:val="right"/>
              <w:rPr>
                <w:sz w:val="18"/>
                <w:szCs w:val="18"/>
              </w:rPr>
            </w:pPr>
            <w:r w:rsidRPr="005E3D65">
              <w:rPr>
                <w:sz w:val="18"/>
                <w:szCs w:val="18"/>
              </w:rPr>
              <w:t>4,628,437.34</w:t>
            </w:r>
          </w:p>
        </w:tc>
        <w:tc>
          <w:tcPr>
            <w:tcW w:w="2048" w:type="dxa"/>
            <w:vAlign w:val="center"/>
          </w:tcPr>
          <w:p w:rsidR="00401F18" w:rsidRPr="005E3D65" w:rsidRDefault="005F14EE" w:rsidP="00401F18">
            <w:pPr>
              <w:jc w:val="right"/>
              <w:rPr>
                <w:sz w:val="18"/>
                <w:szCs w:val="18"/>
              </w:rPr>
            </w:pPr>
            <w:r w:rsidRPr="005E3D65">
              <w:rPr>
                <w:sz w:val="18"/>
                <w:szCs w:val="18"/>
              </w:rPr>
              <w:t>(</w:t>
            </w:r>
            <w:r w:rsidR="00EF0DDD" w:rsidRPr="005E3D65">
              <w:rPr>
                <w:sz w:val="18"/>
                <w:szCs w:val="18"/>
              </w:rPr>
              <w:t>2,040,219.27</w:t>
            </w:r>
            <w:r w:rsidRPr="005E3D65">
              <w:rPr>
                <w:rFonts w:hint="eastAsia"/>
                <w:sz w:val="18"/>
                <w:szCs w:val="18"/>
              </w:rPr>
              <w:t>)</w:t>
            </w:r>
          </w:p>
        </w:tc>
      </w:tr>
      <w:tr w:rsidR="00401F18" w:rsidRPr="005E3D65" w:rsidTr="0027505B">
        <w:trPr>
          <w:trHeight w:val="20"/>
        </w:trPr>
        <w:tc>
          <w:tcPr>
            <w:tcW w:w="4585" w:type="dxa"/>
            <w:shd w:val="clear" w:color="auto" w:fill="D9D9D9"/>
            <w:vAlign w:val="center"/>
          </w:tcPr>
          <w:p w:rsidR="00401F18" w:rsidRPr="005E3D65" w:rsidRDefault="00401F18" w:rsidP="00401F18">
            <w:pPr>
              <w:rPr>
                <w:sz w:val="18"/>
                <w:szCs w:val="18"/>
              </w:rPr>
            </w:pPr>
            <w:r w:rsidRPr="005E3D65">
              <w:rPr>
                <w:rFonts w:hint="eastAsia"/>
                <w:sz w:val="18"/>
                <w:szCs w:val="18"/>
              </w:rPr>
              <w:t>四、净利润</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EF0DDD" w:rsidP="00401F18">
            <w:pPr>
              <w:jc w:val="right"/>
              <w:rPr>
                <w:sz w:val="18"/>
                <w:szCs w:val="18"/>
              </w:rPr>
            </w:pPr>
            <w:r w:rsidRPr="005E3D65">
              <w:rPr>
                <w:sz w:val="18"/>
                <w:szCs w:val="18"/>
              </w:rPr>
              <w:t>562,940,763.10</w:t>
            </w:r>
          </w:p>
        </w:tc>
        <w:tc>
          <w:tcPr>
            <w:tcW w:w="2048" w:type="dxa"/>
            <w:vAlign w:val="center"/>
          </w:tcPr>
          <w:p w:rsidR="00401F18" w:rsidRPr="005E3D65" w:rsidRDefault="00EF0DDD" w:rsidP="00401F18">
            <w:pPr>
              <w:jc w:val="right"/>
              <w:rPr>
                <w:sz w:val="18"/>
                <w:szCs w:val="18"/>
              </w:rPr>
            </w:pPr>
            <w:r w:rsidRPr="005E3D65">
              <w:rPr>
                <w:sz w:val="18"/>
                <w:szCs w:val="18"/>
              </w:rPr>
              <w:t>333,489,214.42</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30"/>
              </w:tabs>
              <w:rPr>
                <w:sz w:val="18"/>
                <w:szCs w:val="18"/>
              </w:rPr>
            </w:pPr>
            <w:r w:rsidRPr="005E3D65">
              <w:rPr>
                <w:sz w:val="18"/>
                <w:szCs w:val="18"/>
              </w:rPr>
              <w:tab/>
            </w:r>
            <w:r w:rsidR="005F14EE" w:rsidRPr="005E3D65">
              <w:rPr>
                <w:sz w:val="18"/>
                <w:szCs w:val="18"/>
              </w:rPr>
              <w:t>(</w:t>
            </w:r>
            <w:proofErr w:type="gramStart"/>
            <w:r w:rsidRPr="005E3D65">
              <w:rPr>
                <w:rFonts w:hint="eastAsia"/>
                <w:sz w:val="18"/>
                <w:szCs w:val="18"/>
              </w:rPr>
              <w:t>一</w:t>
            </w:r>
            <w:proofErr w:type="gramEnd"/>
            <w:r w:rsidR="005F14EE" w:rsidRPr="005E3D65">
              <w:rPr>
                <w:sz w:val="18"/>
                <w:szCs w:val="18"/>
              </w:rPr>
              <w:t>)</w:t>
            </w:r>
            <w:r w:rsidRPr="005E3D65">
              <w:rPr>
                <w:rFonts w:hint="eastAsia"/>
                <w:sz w:val="18"/>
                <w:szCs w:val="18"/>
              </w:rPr>
              <w:t>按经营持续性分类</w:t>
            </w:r>
            <w:r w:rsidR="005F14EE" w:rsidRPr="005E3D65">
              <w:rPr>
                <w:rFonts w:hint="eastAsia"/>
                <w:sz w:val="18"/>
                <w:szCs w:val="18"/>
              </w:rPr>
              <w:t>：</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401F18" w:rsidP="00401F18">
            <w:pPr>
              <w:jc w:val="right"/>
              <w:rPr>
                <w:sz w:val="18"/>
                <w:szCs w:val="18"/>
              </w:rPr>
            </w:pPr>
          </w:p>
        </w:tc>
        <w:tc>
          <w:tcPr>
            <w:tcW w:w="2048" w:type="dxa"/>
            <w:vAlign w:val="center"/>
          </w:tcPr>
          <w:p w:rsidR="00401F18" w:rsidRPr="005E3D65" w:rsidRDefault="00401F18" w:rsidP="00401F18">
            <w:pPr>
              <w:jc w:val="right"/>
              <w:rPr>
                <w:sz w:val="18"/>
                <w:szCs w:val="18"/>
              </w:rPr>
            </w:pPr>
          </w:p>
        </w:tc>
      </w:tr>
      <w:tr w:rsidR="00401F18" w:rsidRPr="005E3D65" w:rsidTr="0027505B">
        <w:trPr>
          <w:trHeight w:val="20"/>
        </w:trPr>
        <w:tc>
          <w:tcPr>
            <w:tcW w:w="4585" w:type="dxa"/>
            <w:shd w:val="clear" w:color="auto" w:fill="D9D9D9"/>
            <w:vAlign w:val="center"/>
          </w:tcPr>
          <w:p w:rsidR="00401F18" w:rsidRPr="005E3D65" w:rsidRDefault="00401F18" w:rsidP="00401F18">
            <w:pPr>
              <w:ind w:left="843" w:hanging="198"/>
              <w:rPr>
                <w:sz w:val="18"/>
                <w:szCs w:val="18"/>
              </w:rPr>
            </w:pPr>
            <w:r w:rsidRPr="005E3D65">
              <w:rPr>
                <w:sz w:val="18"/>
                <w:szCs w:val="18"/>
              </w:rPr>
              <w:t>1.</w:t>
            </w:r>
            <w:r w:rsidRPr="005E3D65">
              <w:rPr>
                <w:rFonts w:hint="eastAsia"/>
                <w:sz w:val="18"/>
                <w:szCs w:val="18"/>
              </w:rPr>
              <w:t>持续经营净利润</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EF0DDD" w:rsidP="00401F18">
            <w:pPr>
              <w:jc w:val="right"/>
              <w:rPr>
                <w:sz w:val="18"/>
                <w:szCs w:val="18"/>
              </w:rPr>
            </w:pPr>
            <w:r w:rsidRPr="005E3D65">
              <w:rPr>
                <w:sz w:val="18"/>
                <w:szCs w:val="18"/>
              </w:rPr>
              <w:t>562,940,763.10</w:t>
            </w:r>
          </w:p>
        </w:tc>
        <w:tc>
          <w:tcPr>
            <w:tcW w:w="2048" w:type="dxa"/>
            <w:vAlign w:val="center"/>
          </w:tcPr>
          <w:p w:rsidR="00401F18" w:rsidRPr="005E3D65" w:rsidRDefault="00EF0DDD" w:rsidP="00401F18">
            <w:pPr>
              <w:jc w:val="right"/>
              <w:rPr>
                <w:sz w:val="18"/>
                <w:szCs w:val="18"/>
              </w:rPr>
            </w:pPr>
            <w:r w:rsidRPr="005E3D65">
              <w:rPr>
                <w:sz w:val="18"/>
                <w:szCs w:val="18"/>
              </w:rPr>
              <w:t>333,489,214.42</w:t>
            </w:r>
          </w:p>
        </w:tc>
      </w:tr>
      <w:tr w:rsidR="00401F18" w:rsidRPr="005E3D65" w:rsidTr="0027505B">
        <w:trPr>
          <w:trHeight w:val="20"/>
        </w:trPr>
        <w:tc>
          <w:tcPr>
            <w:tcW w:w="4585" w:type="dxa"/>
            <w:shd w:val="clear" w:color="auto" w:fill="D9D9D9"/>
            <w:vAlign w:val="center"/>
          </w:tcPr>
          <w:p w:rsidR="00401F18" w:rsidRPr="005E3D65" w:rsidRDefault="00401F18" w:rsidP="00401F18">
            <w:pPr>
              <w:ind w:left="843" w:hanging="198"/>
              <w:rPr>
                <w:sz w:val="18"/>
                <w:szCs w:val="18"/>
              </w:rPr>
            </w:pPr>
            <w:r w:rsidRPr="005E3D65">
              <w:rPr>
                <w:sz w:val="18"/>
                <w:szCs w:val="18"/>
              </w:rPr>
              <w:t>2.</w:t>
            </w:r>
            <w:r w:rsidRPr="005E3D65">
              <w:rPr>
                <w:rFonts w:hint="eastAsia"/>
                <w:sz w:val="18"/>
                <w:szCs w:val="18"/>
              </w:rPr>
              <w:t>终止经营净利润</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9A13FB" w:rsidP="00EF0DDD">
            <w:pPr>
              <w:wordWrap w:val="0"/>
              <w:jc w:val="right"/>
              <w:rPr>
                <w:sz w:val="18"/>
                <w:szCs w:val="18"/>
              </w:rPr>
            </w:pPr>
            <w:r w:rsidRPr="005E3D65">
              <w:rPr>
                <w:sz w:val="18"/>
                <w:szCs w:val="18"/>
              </w:rPr>
              <w:t>-    </w:t>
            </w:r>
          </w:p>
        </w:tc>
        <w:tc>
          <w:tcPr>
            <w:tcW w:w="2048" w:type="dxa"/>
            <w:vAlign w:val="center"/>
          </w:tcPr>
          <w:p w:rsidR="00401F18" w:rsidRPr="005E3D65" w:rsidRDefault="00401F18" w:rsidP="00401F18">
            <w:pPr>
              <w:jc w:val="right"/>
              <w:rPr>
                <w:sz w:val="18"/>
                <w:szCs w:val="18"/>
              </w:rPr>
            </w:pPr>
            <w:r w:rsidRPr="005E3D65">
              <w:rPr>
                <w:sz w:val="18"/>
                <w:szCs w:val="18"/>
              </w:rPr>
              <w:t>-    </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005F14EE" w:rsidRPr="005E3D65">
              <w:rPr>
                <w:sz w:val="18"/>
                <w:szCs w:val="18"/>
              </w:rPr>
              <w:t>(</w:t>
            </w:r>
            <w:r w:rsidRPr="005E3D65">
              <w:rPr>
                <w:rFonts w:hint="eastAsia"/>
                <w:sz w:val="18"/>
                <w:szCs w:val="18"/>
              </w:rPr>
              <w:t>二</w:t>
            </w:r>
            <w:r w:rsidR="005F14EE" w:rsidRPr="005E3D65">
              <w:rPr>
                <w:sz w:val="18"/>
                <w:szCs w:val="18"/>
              </w:rPr>
              <w:t>)</w:t>
            </w:r>
            <w:r w:rsidRPr="005E3D65">
              <w:rPr>
                <w:rFonts w:hint="eastAsia"/>
                <w:sz w:val="18"/>
                <w:szCs w:val="18"/>
              </w:rPr>
              <w:t>按所有权归属分类</w:t>
            </w:r>
            <w:r w:rsidR="005F14EE" w:rsidRPr="005E3D65">
              <w:rPr>
                <w:rFonts w:hint="eastAsia"/>
                <w:sz w:val="18"/>
                <w:szCs w:val="18"/>
              </w:rPr>
              <w:t>：</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401F18" w:rsidP="00401F18">
            <w:pPr>
              <w:jc w:val="right"/>
              <w:rPr>
                <w:sz w:val="18"/>
                <w:szCs w:val="18"/>
              </w:rPr>
            </w:pPr>
          </w:p>
        </w:tc>
        <w:tc>
          <w:tcPr>
            <w:tcW w:w="2048" w:type="dxa"/>
            <w:vAlign w:val="center"/>
          </w:tcPr>
          <w:p w:rsidR="00401F18" w:rsidRPr="005E3D65" w:rsidRDefault="00401F18" w:rsidP="00401F18">
            <w:pPr>
              <w:jc w:val="right"/>
              <w:rPr>
                <w:sz w:val="18"/>
                <w:szCs w:val="18"/>
              </w:rPr>
            </w:pPr>
          </w:p>
        </w:tc>
      </w:tr>
      <w:tr w:rsidR="005B4CA0" w:rsidRPr="005E3D65" w:rsidTr="0027505B">
        <w:trPr>
          <w:trHeight w:val="20"/>
        </w:trPr>
        <w:tc>
          <w:tcPr>
            <w:tcW w:w="4585" w:type="dxa"/>
            <w:shd w:val="clear" w:color="auto" w:fill="D9D9D9"/>
            <w:vAlign w:val="center"/>
          </w:tcPr>
          <w:p w:rsidR="005B4CA0" w:rsidRPr="005E3D65" w:rsidRDefault="005B4CA0" w:rsidP="005B4CA0">
            <w:pPr>
              <w:ind w:left="843" w:hanging="198"/>
              <w:rPr>
                <w:sz w:val="18"/>
                <w:szCs w:val="18"/>
              </w:rPr>
            </w:pPr>
            <w:r w:rsidRPr="005E3D65">
              <w:rPr>
                <w:sz w:val="18"/>
                <w:szCs w:val="18"/>
              </w:rPr>
              <w:t>1.</w:t>
            </w:r>
            <w:r w:rsidRPr="005E3D65">
              <w:rPr>
                <w:rFonts w:hint="eastAsia"/>
                <w:sz w:val="18"/>
                <w:szCs w:val="18"/>
              </w:rPr>
              <w:t>归属于母公司所有者的净利润</w:t>
            </w:r>
          </w:p>
        </w:tc>
        <w:tc>
          <w:tcPr>
            <w:tcW w:w="1485" w:type="dxa"/>
            <w:vAlign w:val="center"/>
          </w:tcPr>
          <w:p w:rsidR="005B4CA0" w:rsidRPr="005E3D65" w:rsidRDefault="005B4CA0" w:rsidP="005B4CA0">
            <w:pPr>
              <w:jc w:val="center"/>
              <w:rPr>
                <w:sz w:val="18"/>
                <w:szCs w:val="18"/>
              </w:rPr>
            </w:pPr>
          </w:p>
        </w:tc>
        <w:tc>
          <w:tcPr>
            <w:tcW w:w="2047" w:type="dxa"/>
            <w:vAlign w:val="center"/>
          </w:tcPr>
          <w:p w:rsidR="005B4CA0" w:rsidRPr="005E3D65" w:rsidRDefault="005B4CA0" w:rsidP="005B4CA0">
            <w:pPr>
              <w:jc w:val="right"/>
              <w:rPr>
                <w:sz w:val="18"/>
                <w:szCs w:val="18"/>
              </w:rPr>
            </w:pPr>
            <w:r w:rsidRPr="005E3D65">
              <w:rPr>
                <w:sz w:val="18"/>
                <w:szCs w:val="18"/>
              </w:rPr>
              <w:t>562,940,763.10</w:t>
            </w:r>
          </w:p>
        </w:tc>
        <w:tc>
          <w:tcPr>
            <w:tcW w:w="2048" w:type="dxa"/>
            <w:vAlign w:val="center"/>
          </w:tcPr>
          <w:p w:rsidR="005B4CA0" w:rsidRPr="005E3D65" w:rsidRDefault="005B4CA0" w:rsidP="005B4CA0">
            <w:pPr>
              <w:jc w:val="right"/>
              <w:rPr>
                <w:sz w:val="18"/>
                <w:szCs w:val="18"/>
              </w:rPr>
            </w:pPr>
            <w:r w:rsidRPr="005E3D65">
              <w:rPr>
                <w:sz w:val="18"/>
                <w:szCs w:val="18"/>
              </w:rPr>
              <w:t>333,489,214.42</w:t>
            </w:r>
          </w:p>
        </w:tc>
      </w:tr>
      <w:tr w:rsidR="00401F18" w:rsidRPr="005E3D65" w:rsidTr="0027505B">
        <w:trPr>
          <w:trHeight w:val="20"/>
        </w:trPr>
        <w:tc>
          <w:tcPr>
            <w:tcW w:w="4585" w:type="dxa"/>
            <w:shd w:val="clear" w:color="auto" w:fill="D9D9D9"/>
            <w:vAlign w:val="center"/>
          </w:tcPr>
          <w:p w:rsidR="00401F18" w:rsidRPr="005E3D65" w:rsidRDefault="00401F18" w:rsidP="00401F18">
            <w:pPr>
              <w:ind w:left="843" w:hanging="198"/>
              <w:rPr>
                <w:sz w:val="18"/>
                <w:szCs w:val="18"/>
              </w:rPr>
            </w:pPr>
            <w:r w:rsidRPr="005E3D65">
              <w:rPr>
                <w:sz w:val="18"/>
                <w:szCs w:val="18"/>
              </w:rPr>
              <w:t>2.</w:t>
            </w:r>
            <w:r w:rsidRPr="005E3D65">
              <w:rPr>
                <w:rFonts w:hint="eastAsia"/>
                <w:sz w:val="18"/>
                <w:szCs w:val="18"/>
              </w:rPr>
              <w:t>少数股东损益</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68555D" w:rsidP="00401F18">
            <w:pPr>
              <w:jc w:val="right"/>
              <w:rPr>
                <w:sz w:val="18"/>
                <w:szCs w:val="18"/>
              </w:rPr>
            </w:pPr>
            <w:r w:rsidRPr="005E3D65">
              <w:rPr>
                <w:sz w:val="18"/>
                <w:szCs w:val="18"/>
              </w:rPr>
              <w:t>-    </w:t>
            </w:r>
          </w:p>
        </w:tc>
        <w:tc>
          <w:tcPr>
            <w:tcW w:w="2048" w:type="dxa"/>
            <w:vAlign w:val="center"/>
          </w:tcPr>
          <w:p w:rsidR="00401F18" w:rsidRPr="005E3D65" w:rsidRDefault="00401F18" w:rsidP="00401F18">
            <w:pPr>
              <w:jc w:val="right"/>
              <w:rPr>
                <w:sz w:val="18"/>
                <w:szCs w:val="18"/>
              </w:rPr>
            </w:pPr>
            <w:r w:rsidRPr="005E3D65">
              <w:rPr>
                <w:sz w:val="18"/>
                <w:szCs w:val="18"/>
              </w:rPr>
              <w:t>-    </w:t>
            </w:r>
          </w:p>
        </w:tc>
      </w:tr>
      <w:tr w:rsidR="00401F18" w:rsidRPr="005E3D65" w:rsidTr="0027505B">
        <w:trPr>
          <w:trHeight w:val="20"/>
        </w:trPr>
        <w:tc>
          <w:tcPr>
            <w:tcW w:w="4585" w:type="dxa"/>
            <w:shd w:val="clear" w:color="auto" w:fill="D9D9D9"/>
            <w:vAlign w:val="center"/>
          </w:tcPr>
          <w:p w:rsidR="00401F18" w:rsidRPr="005E3D65" w:rsidRDefault="00401F18" w:rsidP="00401F18">
            <w:pPr>
              <w:rPr>
                <w:sz w:val="18"/>
                <w:szCs w:val="18"/>
              </w:rPr>
            </w:pPr>
            <w:r w:rsidRPr="005E3D65">
              <w:rPr>
                <w:rFonts w:hint="eastAsia"/>
                <w:sz w:val="18"/>
                <w:szCs w:val="18"/>
              </w:rPr>
              <w:t>五、其他综合收益</w:t>
            </w:r>
            <w:r w:rsidR="005F14EE" w:rsidRPr="005E3D65">
              <w:rPr>
                <w:sz w:val="18"/>
                <w:szCs w:val="18"/>
              </w:rPr>
              <w:t>(</w:t>
            </w:r>
            <w:r w:rsidRPr="005E3D65">
              <w:rPr>
                <w:rFonts w:hint="eastAsia"/>
                <w:sz w:val="18"/>
                <w:szCs w:val="18"/>
              </w:rPr>
              <w:t>亏损</w:t>
            </w:r>
            <w:r w:rsidR="005F14EE" w:rsidRPr="005E3D65">
              <w:rPr>
                <w:sz w:val="18"/>
                <w:szCs w:val="18"/>
              </w:rPr>
              <w:t>)</w:t>
            </w:r>
            <w:r w:rsidRPr="005E3D65">
              <w:rPr>
                <w:rFonts w:hint="eastAsia"/>
                <w:sz w:val="18"/>
                <w:szCs w:val="18"/>
              </w:rPr>
              <w:t>的税后净额</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5F14EE" w:rsidP="00401F18">
            <w:pPr>
              <w:jc w:val="right"/>
              <w:rPr>
                <w:sz w:val="18"/>
                <w:szCs w:val="18"/>
              </w:rPr>
            </w:pPr>
            <w:r w:rsidRPr="005E3D65">
              <w:rPr>
                <w:sz w:val="18"/>
                <w:szCs w:val="18"/>
              </w:rPr>
              <w:t>(</w:t>
            </w:r>
            <w:r w:rsidR="00B575C6" w:rsidRPr="005E3D65">
              <w:rPr>
                <w:sz w:val="18"/>
                <w:szCs w:val="18"/>
              </w:rPr>
              <w:t>536,941.0</w:t>
            </w:r>
            <w:r w:rsidR="000D5ABF" w:rsidRPr="005E3D65">
              <w:rPr>
                <w:sz w:val="18"/>
                <w:szCs w:val="18"/>
              </w:rPr>
              <w:t>4</w:t>
            </w:r>
            <w:r w:rsidRPr="005E3D65">
              <w:rPr>
                <w:sz w:val="18"/>
                <w:szCs w:val="18"/>
              </w:rPr>
              <w:t>)</w:t>
            </w:r>
          </w:p>
        </w:tc>
        <w:tc>
          <w:tcPr>
            <w:tcW w:w="2048" w:type="dxa"/>
            <w:vAlign w:val="center"/>
          </w:tcPr>
          <w:p w:rsidR="00401F18" w:rsidRPr="005E3D65" w:rsidRDefault="005F14EE" w:rsidP="00401F18">
            <w:pPr>
              <w:jc w:val="right"/>
              <w:rPr>
                <w:sz w:val="18"/>
                <w:szCs w:val="18"/>
              </w:rPr>
            </w:pPr>
            <w:r w:rsidRPr="005E3D65">
              <w:rPr>
                <w:sz w:val="18"/>
                <w:szCs w:val="18"/>
              </w:rPr>
              <w:t>(</w:t>
            </w:r>
            <w:r w:rsidR="00401F18" w:rsidRPr="005E3D65">
              <w:rPr>
                <w:sz w:val="18"/>
                <w:szCs w:val="18"/>
              </w:rPr>
              <w:t>6,676,888.20</w:t>
            </w:r>
            <w:r w:rsidRPr="005E3D65">
              <w:rPr>
                <w:sz w:val="18"/>
                <w:szCs w:val="18"/>
              </w:rPr>
              <w:t>)</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005F14EE" w:rsidRPr="005E3D65">
              <w:rPr>
                <w:sz w:val="18"/>
                <w:szCs w:val="18"/>
              </w:rPr>
              <w:t>(</w:t>
            </w:r>
            <w:proofErr w:type="gramStart"/>
            <w:r w:rsidRPr="005E3D65">
              <w:rPr>
                <w:rFonts w:hint="eastAsia"/>
                <w:sz w:val="18"/>
                <w:szCs w:val="18"/>
              </w:rPr>
              <w:t>一</w:t>
            </w:r>
            <w:proofErr w:type="gramEnd"/>
            <w:r w:rsidR="005F14EE" w:rsidRPr="005E3D65">
              <w:rPr>
                <w:sz w:val="18"/>
                <w:szCs w:val="18"/>
              </w:rPr>
              <w:t>)</w:t>
            </w:r>
            <w:r w:rsidRPr="005E3D65">
              <w:rPr>
                <w:rFonts w:hint="eastAsia"/>
                <w:sz w:val="18"/>
                <w:szCs w:val="18"/>
              </w:rPr>
              <w:t>将重分类进损益的其他综合收益</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401F18" w:rsidP="00401F18">
            <w:pPr>
              <w:jc w:val="right"/>
              <w:rPr>
                <w:sz w:val="18"/>
                <w:szCs w:val="18"/>
              </w:rPr>
            </w:pPr>
          </w:p>
        </w:tc>
        <w:tc>
          <w:tcPr>
            <w:tcW w:w="2048" w:type="dxa"/>
            <w:vAlign w:val="center"/>
          </w:tcPr>
          <w:p w:rsidR="00401F18" w:rsidRPr="005E3D65" w:rsidRDefault="00401F18" w:rsidP="00401F18">
            <w:pPr>
              <w:jc w:val="right"/>
              <w:rPr>
                <w:sz w:val="18"/>
                <w:szCs w:val="18"/>
              </w:rPr>
            </w:pPr>
          </w:p>
        </w:tc>
      </w:tr>
      <w:tr w:rsidR="00401F18" w:rsidRPr="005E3D65" w:rsidTr="0027505B">
        <w:trPr>
          <w:trHeight w:val="20"/>
        </w:trPr>
        <w:tc>
          <w:tcPr>
            <w:tcW w:w="4585" w:type="dxa"/>
            <w:shd w:val="clear" w:color="auto" w:fill="D9D9D9"/>
            <w:vAlign w:val="center"/>
          </w:tcPr>
          <w:p w:rsidR="00401F18" w:rsidRPr="005E3D65" w:rsidRDefault="00401F18" w:rsidP="00401F18">
            <w:pPr>
              <w:ind w:left="843" w:hanging="198"/>
              <w:rPr>
                <w:sz w:val="18"/>
                <w:szCs w:val="18"/>
              </w:rPr>
            </w:pPr>
            <w:r w:rsidRPr="005E3D65">
              <w:rPr>
                <w:sz w:val="18"/>
                <w:szCs w:val="18"/>
              </w:rPr>
              <w:t>1.</w:t>
            </w:r>
            <w:r w:rsidRPr="005E3D65">
              <w:rPr>
                <w:rFonts w:hint="eastAsia"/>
                <w:sz w:val="18"/>
                <w:szCs w:val="18"/>
              </w:rPr>
              <w:t>外币财务报表折算差额</w:t>
            </w:r>
          </w:p>
        </w:tc>
        <w:tc>
          <w:tcPr>
            <w:tcW w:w="1485" w:type="dxa"/>
            <w:vAlign w:val="center"/>
          </w:tcPr>
          <w:p w:rsidR="00401F18" w:rsidRPr="005E3D65" w:rsidRDefault="005F14EE" w:rsidP="00401F18">
            <w:pPr>
              <w:jc w:val="center"/>
              <w:rPr>
                <w:sz w:val="18"/>
                <w:szCs w:val="18"/>
              </w:rPr>
            </w:pPr>
            <w:r w:rsidRPr="005E3D65">
              <w:rPr>
                <w:sz w:val="18"/>
                <w:szCs w:val="18"/>
              </w:rPr>
              <w:t>(</w:t>
            </w:r>
            <w:r w:rsidR="00401F18" w:rsidRPr="005E3D65">
              <w:rPr>
                <w:rFonts w:hint="eastAsia"/>
                <w:sz w:val="18"/>
                <w:szCs w:val="18"/>
              </w:rPr>
              <w:t>五</w:t>
            </w:r>
            <w:r w:rsidRPr="005E3D65">
              <w:rPr>
                <w:sz w:val="18"/>
                <w:szCs w:val="18"/>
              </w:rPr>
              <w:t>)</w:t>
            </w:r>
            <w:r w:rsidR="00401F18" w:rsidRPr="005E3D65">
              <w:rPr>
                <w:sz w:val="18"/>
                <w:szCs w:val="18"/>
              </w:rPr>
              <w:t>3</w:t>
            </w:r>
            <w:r w:rsidR="0036095E" w:rsidRPr="005E3D65">
              <w:rPr>
                <w:sz w:val="18"/>
                <w:szCs w:val="18"/>
              </w:rPr>
              <w:t>5</w:t>
            </w:r>
          </w:p>
        </w:tc>
        <w:tc>
          <w:tcPr>
            <w:tcW w:w="2047" w:type="dxa"/>
            <w:vAlign w:val="center"/>
          </w:tcPr>
          <w:p w:rsidR="00401F18" w:rsidRPr="005E3D65" w:rsidRDefault="005F14EE" w:rsidP="00401F18">
            <w:pPr>
              <w:jc w:val="right"/>
              <w:rPr>
                <w:sz w:val="18"/>
                <w:szCs w:val="18"/>
              </w:rPr>
            </w:pPr>
            <w:r w:rsidRPr="005E3D65">
              <w:rPr>
                <w:sz w:val="18"/>
                <w:szCs w:val="18"/>
              </w:rPr>
              <w:t>(</w:t>
            </w:r>
            <w:r w:rsidR="00B575C6" w:rsidRPr="005E3D65">
              <w:rPr>
                <w:sz w:val="18"/>
                <w:szCs w:val="18"/>
              </w:rPr>
              <w:t>536,941.0</w:t>
            </w:r>
            <w:r w:rsidR="000D5ABF" w:rsidRPr="005E3D65">
              <w:rPr>
                <w:sz w:val="18"/>
                <w:szCs w:val="18"/>
              </w:rPr>
              <w:t>4</w:t>
            </w:r>
            <w:r w:rsidRPr="005E3D65">
              <w:rPr>
                <w:sz w:val="18"/>
                <w:szCs w:val="18"/>
              </w:rPr>
              <w:t>)</w:t>
            </w:r>
          </w:p>
        </w:tc>
        <w:tc>
          <w:tcPr>
            <w:tcW w:w="2048" w:type="dxa"/>
            <w:vAlign w:val="center"/>
          </w:tcPr>
          <w:p w:rsidR="00401F18" w:rsidRPr="005E3D65" w:rsidRDefault="005F14EE" w:rsidP="00401F18">
            <w:pPr>
              <w:jc w:val="right"/>
              <w:rPr>
                <w:sz w:val="18"/>
                <w:szCs w:val="18"/>
              </w:rPr>
            </w:pPr>
            <w:r w:rsidRPr="005E3D65">
              <w:rPr>
                <w:sz w:val="18"/>
                <w:szCs w:val="18"/>
              </w:rPr>
              <w:t>(</w:t>
            </w:r>
            <w:r w:rsidR="00401F18" w:rsidRPr="005E3D65">
              <w:rPr>
                <w:sz w:val="18"/>
                <w:szCs w:val="18"/>
              </w:rPr>
              <w:t>6,676,888.20</w:t>
            </w:r>
            <w:r w:rsidRPr="005E3D65">
              <w:rPr>
                <w:sz w:val="18"/>
                <w:szCs w:val="18"/>
              </w:rPr>
              <w:t>)</w:t>
            </w:r>
          </w:p>
        </w:tc>
      </w:tr>
      <w:tr w:rsidR="00401F18" w:rsidRPr="005E3D65" w:rsidTr="0027505B">
        <w:trPr>
          <w:trHeight w:val="20"/>
        </w:trPr>
        <w:tc>
          <w:tcPr>
            <w:tcW w:w="4585" w:type="dxa"/>
            <w:shd w:val="clear" w:color="auto" w:fill="D9D9D9"/>
            <w:vAlign w:val="center"/>
          </w:tcPr>
          <w:p w:rsidR="00401F18" w:rsidRPr="005E3D65" w:rsidRDefault="00401F18" w:rsidP="00401F18">
            <w:pPr>
              <w:rPr>
                <w:sz w:val="18"/>
                <w:szCs w:val="18"/>
              </w:rPr>
            </w:pPr>
            <w:r w:rsidRPr="005E3D65">
              <w:rPr>
                <w:rFonts w:hint="eastAsia"/>
                <w:sz w:val="18"/>
                <w:szCs w:val="18"/>
              </w:rPr>
              <w:t>六、综合收益总额</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B575C6" w:rsidP="00401F18">
            <w:pPr>
              <w:jc w:val="right"/>
              <w:rPr>
                <w:sz w:val="18"/>
                <w:szCs w:val="18"/>
              </w:rPr>
            </w:pPr>
            <w:r w:rsidRPr="005E3D65">
              <w:rPr>
                <w:sz w:val="18"/>
                <w:szCs w:val="18"/>
              </w:rPr>
              <w:t>562,403,822.0</w:t>
            </w:r>
            <w:r w:rsidR="000D5ABF" w:rsidRPr="005E3D65">
              <w:rPr>
                <w:sz w:val="18"/>
                <w:szCs w:val="18"/>
              </w:rPr>
              <w:t>6</w:t>
            </w:r>
          </w:p>
        </w:tc>
        <w:tc>
          <w:tcPr>
            <w:tcW w:w="2048" w:type="dxa"/>
            <w:vAlign w:val="center"/>
          </w:tcPr>
          <w:p w:rsidR="00401F18" w:rsidRPr="005E3D65" w:rsidRDefault="00A14570" w:rsidP="00401F18">
            <w:pPr>
              <w:jc w:val="right"/>
              <w:rPr>
                <w:sz w:val="18"/>
                <w:szCs w:val="18"/>
              </w:rPr>
            </w:pPr>
            <w:r w:rsidRPr="005E3D65">
              <w:rPr>
                <w:sz w:val="18"/>
                <w:szCs w:val="18"/>
              </w:rPr>
              <w:t>326,812,326.22</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Pr="005E3D65">
              <w:rPr>
                <w:rFonts w:hint="eastAsia"/>
                <w:sz w:val="18"/>
                <w:szCs w:val="18"/>
              </w:rPr>
              <w:t>归属于母公司所有者的综合收益总额</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B575C6" w:rsidP="00401F18">
            <w:pPr>
              <w:jc w:val="right"/>
              <w:rPr>
                <w:sz w:val="18"/>
                <w:szCs w:val="18"/>
              </w:rPr>
            </w:pPr>
            <w:r w:rsidRPr="005E3D65">
              <w:rPr>
                <w:sz w:val="18"/>
                <w:szCs w:val="18"/>
              </w:rPr>
              <w:t>562,403,822.0</w:t>
            </w:r>
            <w:r w:rsidR="000D5ABF" w:rsidRPr="005E3D65">
              <w:rPr>
                <w:sz w:val="18"/>
                <w:szCs w:val="18"/>
              </w:rPr>
              <w:t>6</w:t>
            </w:r>
          </w:p>
        </w:tc>
        <w:tc>
          <w:tcPr>
            <w:tcW w:w="2048" w:type="dxa"/>
            <w:vAlign w:val="center"/>
          </w:tcPr>
          <w:p w:rsidR="00401F18" w:rsidRPr="005E3D65" w:rsidRDefault="00A14570" w:rsidP="00401F18">
            <w:pPr>
              <w:jc w:val="right"/>
              <w:rPr>
                <w:sz w:val="18"/>
                <w:szCs w:val="18"/>
              </w:rPr>
            </w:pPr>
            <w:r w:rsidRPr="005E3D65">
              <w:rPr>
                <w:sz w:val="18"/>
                <w:szCs w:val="18"/>
              </w:rPr>
              <w:t>326,812,326.22</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Pr="005E3D65">
              <w:rPr>
                <w:rFonts w:hint="eastAsia"/>
                <w:sz w:val="18"/>
                <w:szCs w:val="18"/>
              </w:rPr>
              <w:t>归属于少数股东的综合收益总额</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9A13FB" w:rsidP="00B575C6">
            <w:pPr>
              <w:wordWrap w:val="0"/>
              <w:jc w:val="right"/>
              <w:rPr>
                <w:sz w:val="18"/>
                <w:szCs w:val="18"/>
              </w:rPr>
            </w:pPr>
            <w:r w:rsidRPr="005E3D65">
              <w:rPr>
                <w:sz w:val="18"/>
                <w:szCs w:val="18"/>
              </w:rPr>
              <w:t>-    </w:t>
            </w:r>
          </w:p>
        </w:tc>
        <w:tc>
          <w:tcPr>
            <w:tcW w:w="2048" w:type="dxa"/>
            <w:vAlign w:val="center"/>
          </w:tcPr>
          <w:p w:rsidR="00401F18" w:rsidRPr="005E3D65" w:rsidRDefault="00401F18" w:rsidP="00401F18">
            <w:pPr>
              <w:jc w:val="right"/>
              <w:rPr>
                <w:sz w:val="18"/>
                <w:szCs w:val="18"/>
              </w:rPr>
            </w:pPr>
            <w:r w:rsidRPr="005E3D65">
              <w:rPr>
                <w:sz w:val="18"/>
                <w:szCs w:val="18"/>
              </w:rPr>
              <w:t>-    </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30"/>
              </w:tabs>
              <w:rPr>
                <w:sz w:val="18"/>
                <w:szCs w:val="18"/>
              </w:rPr>
            </w:pPr>
            <w:r w:rsidRPr="005E3D65">
              <w:rPr>
                <w:rFonts w:hint="eastAsia"/>
                <w:sz w:val="18"/>
                <w:szCs w:val="18"/>
              </w:rPr>
              <w:t>七、每股收益</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401F18" w:rsidP="00401F18">
            <w:pPr>
              <w:jc w:val="right"/>
              <w:rPr>
                <w:sz w:val="18"/>
                <w:szCs w:val="18"/>
              </w:rPr>
            </w:pPr>
          </w:p>
        </w:tc>
        <w:tc>
          <w:tcPr>
            <w:tcW w:w="2048" w:type="dxa"/>
            <w:vAlign w:val="center"/>
          </w:tcPr>
          <w:p w:rsidR="00401F18" w:rsidRPr="005E3D65" w:rsidRDefault="00401F18" w:rsidP="00401F18">
            <w:pPr>
              <w:jc w:val="right"/>
              <w:rPr>
                <w:sz w:val="18"/>
                <w:szCs w:val="18"/>
              </w:rPr>
            </w:pP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005F14EE" w:rsidRPr="005E3D65">
              <w:rPr>
                <w:sz w:val="18"/>
                <w:szCs w:val="18"/>
              </w:rPr>
              <w:t>(</w:t>
            </w:r>
            <w:proofErr w:type="gramStart"/>
            <w:r w:rsidRPr="005E3D65">
              <w:rPr>
                <w:rFonts w:hint="eastAsia"/>
                <w:sz w:val="18"/>
                <w:szCs w:val="18"/>
              </w:rPr>
              <w:t>一</w:t>
            </w:r>
            <w:proofErr w:type="gramEnd"/>
            <w:r w:rsidR="005F14EE" w:rsidRPr="005E3D65">
              <w:rPr>
                <w:sz w:val="18"/>
                <w:szCs w:val="18"/>
              </w:rPr>
              <w:t>)</w:t>
            </w:r>
            <w:r w:rsidRPr="005E3D65">
              <w:rPr>
                <w:rFonts w:hint="eastAsia"/>
                <w:sz w:val="18"/>
                <w:szCs w:val="18"/>
              </w:rPr>
              <w:t>基本每股收益</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B575C6" w:rsidP="00401F18">
            <w:pPr>
              <w:jc w:val="right"/>
              <w:rPr>
                <w:sz w:val="18"/>
                <w:szCs w:val="18"/>
              </w:rPr>
            </w:pPr>
            <w:r w:rsidRPr="005E3D65">
              <w:rPr>
                <w:rFonts w:hint="eastAsia"/>
                <w:sz w:val="18"/>
                <w:szCs w:val="18"/>
              </w:rPr>
              <w:t>1</w:t>
            </w:r>
            <w:r w:rsidRPr="005E3D65">
              <w:rPr>
                <w:sz w:val="18"/>
                <w:szCs w:val="18"/>
              </w:rPr>
              <w:t>.00</w:t>
            </w:r>
          </w:p>
        </w:tc>
        <w:tc>
          <w:tcPr>
            <w:tcW w:w="2048" w:type="dxa"/>
            <w:vAlign w:val="center"/>
          </w:tcPr>
          <w:p w:rsidR="00401F18" w:rsidRPr="005E3D65" w:rsidRDefault="00401F18" w:rsidP="00401F18">
            <w:pPr>
              <w:jc w:val="right"/>
              <w:rPr>
                <w:sz w:val="18"/>
                <w:szCs w:val="18"/>
              </w:rPr>
            </w:pPr>
            <w:r w:rsidRPr="005E3D65">
              <w:rPr>
                <w:sz w:val="18"/>
                <w:szCs w:val="18"/>
              </w:rPr>
              <w:t>0.74</w:t>
            </w:r>
          </w:p>
        </w:tc>
      </w:tr>
      <w:tr w:rsidR="00401F18" w:rsidRPr="005E3D65" w:rsidTr="0027505B">
        <w:trPr>
          <w:trHeight w:val="20"/>
        </w:trPr>
        <w:tc>
          <w:tcPr>
            <w:tcW w:w="4585" w:type="dxa"/>
            <w:shd w:val="clear" w:color="auto" w:fill="D9D9D9"/>
            <w:vAlign w:val="center"/>
          </w:tcPr>
          <w:p w:rsidR="00401F18" w:rsidRPr="005E3D65" w:rsidRDefault="00401F18" w:rsidP="00401F18">
            <w:pPr>
              <w:tabs>
                <w:tab w:val="left" w:pos="357"/>
              </w:tabs>
              <w:rPr>
                <w:sz w:val="18"/>
                <w:szCs w:val="18"/>
              </w:rPr>
            </w:pPr>
            <w:r w:rsidRPr="005E3D65">
              <w:rPr>
                <w:sz w:val="18"/>
                <w:szCs w:val="18"/>
              </w:rPr>
              <w:tab/>
            </w:r>
            <w:r w:rsidR="005F14EE" w:rsidRPr="005E3D65">
              <w:rPr>
                <w:sz w:val="18"/>
                <w:szCs w:val="18"/>
              </w:rPr>
              <w:t>(</w:t>
            </w:r>
            <w:r w:rsidRPr="005E3D65">
              <w:rPr>
                <w:rFonts w:hint="eastAsia"/>
                <w:sz w:val="18"/>
                <w:szCs w:val="18"/>
              </w:rPr>
              <w:t>二</w:t>
            </w:r>
            <w:r w:rsidR="005F14EE" w:rsidRPr="005E3D65">
              <w:rPr>
                <w:sz w:val="18"/>
                <w:szCs w:val="18"/>
              </w:rPr>
              <w:t>)</w:t>
            </w:r>
            <w:r w:rsidRPr="005E3D65">
              <w:rPr>
                <w:rFonts w:hint="eastAsia"/>
                <w:sz w:val="18"/>
                <w:szCs w:val="18"/>
              </w:rPr>
              <w:t>稀释每股收益</w:t>
            </w:r>
          </w:p>
        </w:tc>
        <w:tc>
          <w:tcPr>
            <w:tcW w:w="1485" w:type="dxa"/>
            <w:vAlign w:val="center"/>
          </w:tcPr>
          <w:p w:rsidR="00401F18" w:rsidRPr="005E3D65" w:rsidRDefault="00401F18" w:rsidP="00401F18">
            <w:pPr>
              <w:jc w:val="center"/>
              <w:rPr>
                <w:sz w:val="18"/>
                <w:szCs w:val="18"/>
              </w:rPr>
            </w:pPr>
          </w:p>
        </w:tc>
        <w:tc>
          <w:tcPr>
            <w:tcW w:w="2047" w:type="dxa"/>
            <w:vAlign w:val="center"/>
          </w:tcPr>
          <w:p w:rsidR="00401F18" w:rsidRPr="005E3D65" w:rsidRDefault="00B575C6" w:rsidP="00401F18">
            <w:pPr>
              <w:jc w:val="right"/>
              <w:rPr>
                <w:sz w:val="18"/>
                <w:szCs w:val="18"/>
              </w:rPr>
            </w:pPr>
            <w:r w:rsidRPr="005E3D65">
              <w:rPr>
                <w:rFonts w:hint="eastAsia"/>
                <w:sz w:val="18"/>
                <w:szCs w:val="18"/>
              </w:rPr>
              <w:t>不适用</w:t>
            </w:r>
          </w:p>
        </w:tc>
        <w:tc>
          <w:tcPr>
            <w:tcW w:w="2048" w:type="dxa"/>
            <w:vAlign w:val="center"/>
          </w:tcPr>
          <w:p w:rsidR="00401F18" w:rsidRPr="005E3D65" w:rsidRDefault="00401F18" w:rsidP="00401F18">
            <w:pPr>
              <w:jc w:val="right"/>
              <w:rPr>
                <w:sz w:val="18"/>
                <w:szCs w:val="18"/>
              </w:rPr>
            </w:pPr>
            <w:r w:rsidRPr="005E3D65">
              <w:rPr>
                <w:rFonts w:hint="eastAsia"/>
                <w:sz w:val="18"/>
                <w:szCs w:val="18"/>
              </w:rPr>
              <w:t>不适用</w:t>
            </w:r>
          </w:p>
        </w:tc>
      </w:tr>
    </w:tbl>
    <w:p w:rsidR="00143EA7" w:rsidRPr="00A71D2E" w:rsidRDefault="00143EA7">
      <w:pPr>
        <w:tabs>
          <w:tab w:val="right" w:pos="10178"/>
        </w:tabs>
        <w:rPr>
          <w:rFonts w:eastAsia="宋体" w:cs="Times New Roman"/>
          <w:kern w:val="2"/>
          <w:szCs w:val="21"/>
        </w:rPr>
      </w:pPr>
    </w:p>
    <w:p w:rsidR="0051472B" w:rsidRPr="00A71D2E" w:rsidRDefault="0051472B" w:rsidP="00F66363">
      <w:pPr>
        <w:rPr>
          <w:rFonts w:eastAsia="宋体" w:cs="Times New Roman"/>
          <w:szCs w:val="21"/>
        </w:rPr>
      </w:pPr>
      <w:r w:rsidRPr="00A71D2E">
        <w:rPr>
          <w:rFonts w:eastAsia="宋体" w:cs="Times New Roman" w:hint="eastAsia"/>
          <w:szCs w:val="21"/>
        </w:rPr>
        <w:t>附注为财务报表的组成部分</w:t>
      </w:r>
    </w:p>
    <w:p w:rsidR="0051472B" w:rsidRPr="00A71D2E" w:rsidRDefault="0051472B" w:rsidP="00F66363">
      <w:pPr>
        <w:rPr>
          <w:rFonts w:eastAsia="宋体" w:cs="Times New Roman"/>
          <w:szCs w:val="21"/>
        </w:rPr>
      </w:pPr>
    </w:p>
    <w:p w:rsidR="004A7902" w:rsidRPr="00A71D2E" w:rsidRDefault="00B07360">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4A7902" w:rsidRPr="00A71D2E">
        <w:rPr>
          <w:rFonts w:eastAsia="宋体" w:cs="Times New Roman" w:hint="eastAsia"/>
          <w:szCs w:val="21"/>
        </w:rPr>
        <w:t>页至</w:t>
      </w:r>
      <w:r w:rsidR="006F55AB" w:rsidRPr="00A71D2E">
        <w:rPr>
          <w:rFonts w:eastAsia="宋体" w:cs="Times New Roman" w:hint="eastAsia"/>
          <w:szCs w:val="21"/>
        </w:rPr>
        <w:t>第</w:t>
      </w:r>
      <w:r w:rsidR="006208D2" w:rsidRPr="00F43E13">
        <w:rPr>
          <w:rFonts w:eastAsia="宋体" w:cs="Times New Roman"/>
          <w:szCs w:val="21"/>
        </w:rPr>
        <w:t>8</w:t>
      </w:r>
      <w:r w:rsidR="00E25E50">
        <w:rPr>
          <w:rFonts w:eastAsia="宋体" w:cs="Times New Roman"/>
          <w:szCs w:val="21"/>
        </w:rPr>
        <w:t>4</w:t>
      </w:r>
      <w:r w:rsidR="004A7902" w:rsidRPr="00F43E13">
        <w:rPr>
          <w:rFonts w:eastAsia="宋体" w:cs="Times New Roman" w:hint="eastAsia"/>
          <w:szCs w:val="21"/>
        </w:rPr>
        <w:t>页</w:t>
      </w:r>
      <w:r w:rsidR="004A7902" w:rsidRPr="00A71D2E">
        <w:rPr>
          <w:rFonts w:eastAsia="宋体" w:cs="Times New Roman" w:hint="eastAsia"/>
          <w:szCs w:val="21"/>
        </w:rPr>
        <w:t>的财务报表由下列负责人签署</w:t>
      </w:r>
      <w:r w:rsidR="005F14EE">
        <w:rPr>
          <w:rFonts w:eastAsia="宋体" w:cs="Times New Roman" w:hint="eastAsia"/>
          <w:szCs w:val="21"/>
        </w:rPr>
        <w:t>：</w:t>
      </w: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_____________________</w:t>
      </w:r>
      <w:r w:rsidRPr="00A71D2E">
        <w:rPr>
          <w:rFonts w:eastAsia="宋体" w:cs="Times New Roman"/>
          <w:szCs w:val="21"/>
        </w:rPr>
        <w:tab/>
        <w:t>_____________________</w:t>
      </w: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r>
      <w:r w:rsidRPr="00A71D2E">
        <w:rPr>
          <w:rFonts w:eastAsia="宋体" w:cs="Times New Roman" w:hint="eastAsia"/>
          <w:szCs w:val="21"/>
        </w:rPr>
        <w:t>法定代表人</w:t>
      </w:r>
      <w:r w:rsidRPr="00A71D2E">
        <w:rPr>
          <w:rFonts w:eastAsia="宋体" w:cs="Times New Roman"/>
          <w:szCs w:val="21"/>
        </w:rPr>
        <w:tab/>
      </w:r>
      <w:r w:rsidRPr="00A71D2E">
        <w:rPr>
          <w:rFonts w:eastAsia="宋体" w:cs="Times New Roman" w:hint="eastAsia"/>
          <w:szCs w:val="21"/>
        </w:rPr>
        <w:t>主管会计工作负责人</w:t>
      </w:r>
      <w:r w:rsidRPr="00A71D2E">
        <w:rPr>
          <w:rFonts w:eastAsia="宋体" w:cs="Times New Roman"/>
          <w:szCs w:val="21"/>
        </w:rPr>
        <w:tab/>
      </w:r>
      <w:r w:rsidRPr="00A71D2E">
        <w:rPr>
          <w:rFonts w:eastAsia="宋体" w:cs="Times New Roman" w:hint="eastAsia"/>
          <w:szCs w:val="21"/>
        </w:rPr>
        <w:t>会计机构负责人</w:t>
      </w:r>
    </w:p>
    <w:p w:rsidR="003A39B1" w:rsidRPr="00A71D2E" w:rsidRDefault="00B755FC">
      <w:pPr>
        <w:tabs>
          <w:tab w:val="right" w:pos="10178"/>
        </w:tabs>
        <w:rPr>
          <w:rFonts w:eastAsia="宋体" w:cs="Times New Roman"/>
          <w:kern w:val="2"/>
          <w:szCs w:val="21"/>
        </w:rPr>
      </w:pPr>
      <w:r w:rsidRPr="00A71D2E">
        <w:rPr>
          <w:rFonts w:eastAsia="宋体" w:cs="Times New Roman"/>
          <w:kern w:val="2"/>
          <w:szCs w:val="21"/>
        </w:rPr>
        <w:br w:type="page"/>
      </w:r>
    </w:p>
    <w:p w:rsidR="00291954" w:rsidRPr="00A71D2E" w:rsidRDefault="00DC0713">
      <w:pPr>
        <w:tabs>
          <w:tab w:val="right" w:pos="10178"/>
        </w:tabs>
        <w:rPr>
          <w:rFonts w:eastAsia="宋体" w:cs="Times New Roman"/>
          <w:kern w:val="2"/>
          <w:szCs w:val="21"/>
          <w:u w:val="single"/>
        </w:rPr>
      </w:pPr>
      <w:r w:rsidRPr="00A71D2E">
        <w:rPr>
          <w:rFonts w:eastAsia="宋体" w:cs="Times New Roman"/>
          <w:kern w:val="2"/>
          <w:szCs w:val="21"/>
          <w:u w:val="single"/>
        </w:rPr>
        <w:t>202</w:t>
      </w:r>
      <w:r w:rsidR="00FB775E">
        <w:rPr>
          <w:rFonts w:eastAsia="宋体" w:cs="Times New Roman"/>
          <w:kern w:val="2"/>
          <w:szCs w:val="21"/>
          <w:u w:val="single"/>
        </w:rPr>
        <w:t>3</w:t>
      </w:r>
      <w:r w:rsidRPr="00A71D2E">
        <w:rPr>
          <w:rFonts w:eastAsia="宋体" w:cs="Times New Roman" w:hint="eastAsia"/>
          <w:kern w:val="2"/>
          <w:szCs w:val="21"/>
          <w:u w:val="single"/>
        </w:rPr>
        <w:t>年</w:t>
      </w:r>
      <w:r w:rsidRPr="00A71D2E">
        <w:rPr>
          <w:rFonts w:eastAsia="宋体" w:cs="Times New Roman"/>
          <w:kern w:val="2"/>
          <w:szCs w:val="21"/>
          <w:u w:val="single"/>
        </w:rPr>
        <w:t>12</w:t>
      </w:r>
      <w:r w:rsidRPr="00A71D2E">
        <w:rPr>
          <w:rFonts w:eastAsia="宋体" w:cs="Times New Roman" w:hint="eastAsia"/>
          <w:kern w:val="2"/>
          <w:szCs w:val="21"/>
          <w:u w:val="single"/>
        </w:rPr>
        <w:t>月</w:t>
      </w:r>
      <w:r w:rsidRPr="00A71D2E">
        <w:rPr>
          <w:rFonts w:eastAsia="宋体" w:cs="Times New Roman"/>
          <w:kern w:val="2"/>
          <w:szCs w:val="21"/>
          <w:u w:val="single"/>
        </w:rPr>
        <w:t>31</w:t>
      </w:r>
      <w:r w:rsidRPr="00A71D2E">
        <w:rPr>
          <w:rFonts w:eastAsia="宋体" w:cs="Times New Roman" w:hint="eastAsia"/>
          <w:kern w:val="2"/>
          <w:szCs w:val="21"/>
          <w:u w:val="single"/>
        </w:rPr>
        <w:t>日</w:t>
      </w:r>
      <w:proofErr w:type="gramStart"/>
      <w:r w:rsidRPr="00A71D2E">
        <w:rPr>
          <w:rFonts w:eastAsia="宋体" w:cs="Times New Roman" w:hint="eastAsia"/>
          <w:kern w:val="2"/>
          <w:szCs w:val="21"/>
          <w:u w:val="single"/>
        </w:rPr>
        <w:t>止</w:t>
      </w:r>
      <w:proofErr w:type="gramEnd"/>
      <w:r w:rsidRPr="00A71D2E">
        <w:rPr>
          <w:rFonts w:eastAsia="宋体" w:cs="Times New Roman" w:hint="eastAsia"/>
          <w:kern w:val="2"/>
          <w:szCs w:val="21"/>
          <w:u w:val="single"/>
        </w:rPr>
        <w:t>年度</w:t>
      </w:r>
      <w:r w:rsidR="00291954" w:rsidRPr="00A71D2E">
        <w:rPr>
          <w:rFonts w:eastAsia="宋体" w:cs="Times New Roman"/>
          <w:kern w:val="2"/>
          <w:szCs w:val="21"/>
          <w:u w:val="single"/>
        </w:rPr>
        <w:tab/>
      </w:r>
    </w:p>
    <w:p w:rsidR="00A77D4A" w:rsidRPr="00A71D2E" w:rsidRDefault="00A77D4A">
      <w:pPr>
        <w:tabs>
          <w:tab w:val="right" w:pos="10178"/>
        </w:tabs>
        <w:rPr>
          <w:rFonts w:eastAsia="宋体" w:cs="Times New Roman"/>
          <w:szCs w:val="21"/>
        </w:rPr>
      </w:pPr>
    </w:p>
    <w:p w:rsidR="00B755FC" w:rsidRPr="00A71D2E" w:rsidRDefault="00C766B0">
      <w:pPr>
        <w:jc w:val="center"/>
        <w:outlineLvl w:val="0"/>
        <w:rPr>
          <w:rFonts w:eastAsia="宋体" w:cs="Times New Roman"/>
          <w:szCs w:val="21"/>
        </w:rPr>
      </w:pPr>
      <w:r w:rsidRPr="00A71D2E">
        <w:rPr>
          <w:rFonts w:eastAsia="宋体" w:cs="Times New Roman" w:hint="eastAsia"/>
          <w:b/>
          <w:bCs/>
          <w:szCs w:val="21"/>
        </w:rPr>
        <w:t>母</w:t>
      </w:r>
      <w:r w:rsidR="00B755FC" w:rsidRPr="00A71D2E">
        <w:rPr>
          <w:rFonts w:eastAsia="宋体" w:cs="Times New Roman" w:hint="eastAsia"/>
          <w:b/>
          <w:bCs/>
          <w:szCs w:val="21"/>
        </w:rPr>
        <w:t>公司利润表</w:t>
      </w:r>
    </w:p>
    <w:p w:rsidR="00B755FC" w:rsidRPr="00A71D2E" w:rsidRDefault="00461604" w:rsidP="0027505B">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00B755FC" w:rsidRPr="00A71D2E">
        <w:rPr>
          <w:rFonts w:eastAsia="宋体" w:cs="Times New Roman" w:hint="eastAsia"/>
          <w:szCs w:val="21"/>
        </w:rPr>
        <w:t>人民币元</w:t>
      </w:r>
    </w:p>
    <w:tbl>
      <w:tblPr>
        <w:tblStyle w:val="aff5"/>
        <w:tblW w:w="0" w:type="auto"/>
        <w:tblLayout w:type="fixed"/>
        <w:tblLook w:val="04A0" w:firstRow="1" w:lastRow="0" w:firstColumn="1" w:lastColumn="0" w:noHBand="0" w:noVBand="1"/>
      </w:tblPr>
      <w:tblGrid>
        <w:gridCol w:w="4585"/>
        <w:gridCol w:w="1485"/>
        <w:gridCol w:w="2047"/>
        <w:gridCol w:w="2048"/>
      </w:tblGrid>
      <w:tr w:rsidR="00E95BC7" w:rsidRPr="005E3D65" w:rsidTr="0027505B">
        <w:trPr>
          <w:trHeight w:val="20"/>
        </w:trPr>
        <w:tc>
          <w:tcPr>
            <w:tcW w:w="4585" w:type="dxa"/>
            <w:shd w:val="clear" w:color="auto" w:fill="D9D9D9"/>
            <w:vAlign w:val="center"/>
          </w:tcPr>
          <w:p w:rsidR="00E95BC7" w:rsidRPr="005E3D65" w:rsidRDefault="00E95BC7">
            <w:pPr>
              <w:jc w:val="center"/>
              <w:rPr>
                <w:sz w:val="18"/>
                <w:szCs w:val="18"/>
              </w:rPr>
            </w:pPr>
            <w:r w:rsidRPr="005E3D65">
              <w:rPr>
                <w:rFonts w:hint="eastAsia"/>
                <w:sz w:val="18"/>
                <w:szCs w:val="18"/>
              </w:rPr>
              <w:t>项目</w:t>
            </w:r>
          </w:p>
        </w:tc>
        <w:tc>
          <w:tcPr>
            <w:tcW w:w="1485" w:type="dxa"/>
            <w:shd w:val="clear" w:color="auto" w:fill="D9D9D9"/>
            <w:vAlign w:val="center"/>
          </w:tcPr>
          <w:p w:rsidR="00E95BC7" w:rsidRPr="005E3D65" w:rsidRDefault="00E95BC7">
            <w:pPr>
              <w:jc w:val="center"/>
              <w:rPr>
                <w:sz w:val="18"/>
                <w:szCs w:val="18"/>
              </w:rPr>
            </w:pPr>
            <w:r w:rsidRPr="005E3D65">
              <w:rPr>
                <w:rFonts w:hint="eastAsia"/>
                <w:sz w:val="18"/>
                <w:szCs w:val="18"/>
              </w:rPr>
              <w:t>附注</w:t>
            </w:r>
          </w:p>
        </w:tc>
        <w:tc>
          <w:tcPr>
            <w:tcW w:w="2047" w:type="dxa"/>
            <w:shd w:val="clear" w:color="auto" w:fill="D9D9D9"/>
            <w:vAlign w:val="center"/>
          </w:tcPr>
          <w:p w:rsidR="00E95BC7" w:rsidRPr="005E3D65" w:rsidRDefault="00E95BC7">
            <w:pPr>
              <w:jc w:val="center"/>
              <w:rPr>
                <w:sz w:val="18"/>
                <w:szCs w:val="18"/>
              </w:rPr>
            </w:pPr>
            <w:r w:rsidRPr="005E3D65">
              <w:rPr>
                <w:rFonts w:hint="eastAsia"/>
                <w:sz w:val="18"/>
                <w:szCs w:val="18"/>
              </w:rPr>
              <w:t>本年发生额</w:t>
            </w:r>
          </w:p>
        </w:tc>
        <w:tc>
          <w:tcPr>
            <w:tcW w:w="2048" w:type="dxa"/>
            <w:shd w:val="clear" w:color="auto" w:fill="D9D9D9"/>
            <w:vAlign w:val="center"/>
          </w:tcPr>
          <w:p w:rsidR="00E95BC7" w:rsidRPr="005E3D65" w:rsidRDefault="00E95BC7">
            <w:pPr>
              <w:jc w:val="center"/>
              <w:rPr>
                <w:sz w:val="18"/>
                <w:szCs w:val="18"/>
              </w:rPr>
            </w:pPr>
            <w:r w:rsidRPr="005E3D65">
              <w:rPr>
                <w:rFonts w:hint="eastAsia"/>
                <w:sz w:val="18"/>
                <w:szCs w:val="18"/>
              </w:rPr>
              <w:t>上年发生额</w:t>
            </w:r>
          </w:p>
          <w:p w:rsidR="0090110E" w:rsidRPr="005E3D65" w:rsidRDefault="005F14EE">
            <w:pPr>
              <w:jc w:val="center"/>
              <w:rPr>
                <w:sz w:val="18"/>
                <w:szCs w:val="18"/>
              </w:rPr>
            </w:pPr>
            <w:r w:rsidRPr="005E3D65">
              <w:rPr>
                <w:rFonts w:hint="eastAsia"/>
                <w:sz w:val="18"/>
                <w:szCs w:val="18"/>
              </w:rPr>
              <w:t>(</w:t>
            </w:r>
            <w:r w:rsidR="0090110E" w:rsidRPr="005E3D65">
              <w:rPr>
                <w:rFonts w:hint="eastAsia"/>
                <w:sz w:val="18"/>
                <w:szCs w:val="18"/>
              </w:rPr>
              <w:t>已重述</w:t>
            </w:r>
            <w:r w:rsidRPr="005E3D65">
              <w:rPr>
                <w:rFonts w:hint="eastAsia"/>
                <w:sz w:val="18"/>
                <w:szCs w:val="18"/>
              </w:rPr>
              <w:t>)</w:t>
            </w:r>
          </w:p>
        </w:tc>
      </w:tr>
      <w:tr w:rsidR="0044509C" w:rsidRPr="005E3D65" w:rsidTr="0027505B">
        <w:trPr>
          <w:trHeight w:val="20"/>
        </w:trPr>
        <w:tc>
          <w:tcPr>
            <w:tcW w:w="4585" w:type="dxa"/>
            <w:shd w:val="clear" w:color="auto" w:fill="D9D9D9"/>
            <w:vAlign w:val="center"/>
          </w:tcPr>
          <w:p w:rsidR="0044509C" w:rsidRPr="005E3D65" w:rsidRDefault="0044509C" w:rsidP="0044509C">
            <w:pPr>
              <w:rPr>
                <w:sz w:val="18"/>
                <w:szCs w:val="18"/>
              </w:rPr>
            </w:pPr>
            <w:r w:rsidRPr="005E3D65">
              <w:rPr>
                <w:rFonts w:hint="eastAsia"/>
                <w:sz w:val="18"/>
                <w:szCs w:val="18"/>
              </w:rPr>
              <w:t>一、营业收入</w:t>
            </w:r>
          </w:p>
        </w:tc>
        <w:tc>
          <w:tcPr>
            <w:tcW w:w="1485" w:type="dxa"/>
            <w:vAlign w:val="center"/>
          </w:tcPr>
          <w:p w:rsidR="0044509C" w:rsidRPr="005E3D65" w:rsidRDefault="005F14EE" w:rsidP="0044509C">
            <w:pPr>
              <w:jc w:val="center"/>
              <w:rPr>
                <w:sz w:val="18"/>
                <w:szCs w:val="18"/>
              </w:rPr>
            </w:pPr>
            <w:r w:rsidRPr="005E3D65">
              <w:rPr>
                <w:sz w:val="18"/>
                <w:szCs w:val="18"/>
              </w:rPr>
              <w:t>(</w:t>
            </w:r>
            <w:r w:rsidR="0044509C" w:rsidRPr="005E3D65">
              <w:rPr>
                <w:rFonts w:hint="eastAsia"/>
                <w:sz w:val="18"/>
                <w:szCs w:val="18"/>
              </w:rPr>
              <w:t>十</w:t>
            </w:r>
            <w:r w:rsidR="009254AB" w:rsidRPr="005E3D65">
              <w:rPr>
                <w:rFonts w:hint="eastAsia"/>
                <w:sz w:val="18"/>
                <w:szCs w:val="18"/>
              </w:rPr>
              <w:t>五</w:t>
            </w:r>
            <w:r w:rsidRPr="005E3D65">
              <w:rPr>
                <w:sz w:val="18"/>
                <w:szCs w:val="18"/>
              </w:rPr>
              <w:t>)</w:t>
            </w:r>
            <w:r w:rsidR="0044509C" w:rsidRPr="005E3D65">
              <w:rPr>
                <w:sz w:val="18"/>
                <w:szCs w:val="18"/>
              </w:rPr>
              <w:t>4</w:t>
            </w:r>
          </w:p>
        </w:tc>
        <w:tc>
          <w:tcPr>
            <w:tcW w:w="2047" w:type="dxa"/>
            <w:vAlign w:val="center"/>
          </w:tcPr>
          <w:p w:rsidR="0044509C" w:rsidRPr="005E3D65" w:rsidRDefault="0090110E" w:rsidP="0044509C">
            <w:pPr>
              <w:jc w:val="right"/>
              <w:rPr>
                <w:sz w:val="18"/>
                <w:szCs w:val="18"/>
              </w:rPr>
            </w:pPr>
            <w:r w:rsidRPr="005E3D65">
              <w:rPr>
                <w:sz w:val="18"/>
                <w:szCs w:val="18"/>
              </w:rPr>
              <w:t>4,766,579,498.32</w:t>
            </w:r>
          </w:p>
        </w:tc>
        <w:tc>
          <w:tcPr>
            <w:tcW w:w="2048" w:type="dxa"/>
            <w:vAlign w:val="center"/>
          </w:tcPr>
          <w:p w:rsidR="0044509C" w:rsidRPr="005E3D65" w:rsidRDefault="0044509C" w:rsidP="0044509C">
            <w:pPr>
              <w:jc w:val="right"/>
              <w:rPr>
                <w:sz w:val="18"/>
                <w:szCs w:val="18"/>
              </w:rPr>
            </w:pPr>
            <w:r w:rsidRPr="005E3D65">
              <w:rPr>
                <w:sz w:val="18"/>
                <w:szCs w:val="18"/>
              </w:rPr>
              <w:t>4,298,537,607.55</w:t>
            </w:r>
          </w:p>
        </w:tc>
      </w:tr>
      <w:tr w:rsidR="0044509C" w:rsidRPr="005E3D65" w:rsidTr="0027505B">
        <w:trPr>
          <w:trHeight w:val="20"/>
        </w:trPr>
        <w:tc>
          <w:tcPr>
            <w:tcW w:w="4585" w:type="dxa"/>
            <w:shd w:val="clear" w:color="auto" w:fill="D9D9D9"/>
            <w:vAlign w:val="center"/>
          </w:tcPr>
          <w:p w:rsidR="0044509C" w:rsidRPr="005E3D65" w:rsidRDefault="0044509C">
            <w:pPr>
              <w:tabs>
                <w:tab w:val="left" w:pos="333"/>
              </w:tabs>
              <w:rPr>
                <w:sz w:val="18"/>
                <w:szCs w:val="18"/>
              </w:rPr>
            </w:pPr>
            <w:r w:rsidRPr="005E3D65">
              <w:rPr>
                <w:sz w:val="18"/>
                <w:szCs w:val="18"/>
              </w:rPr>
              <w:tab/>
            </w:r>
            <w:r w:rsidRPr="005E3D65">
              <w:rPr>
                <w:rFonts w:hint="eastAsia"/>
                <w:sz w:val="18"/>
                <w:szCs w:val="18"/>
              </w:rPr>
              <w:t>减</w:t>
            </w:r>
            <w:r w:rsidR="005F14EE" w:rsidRPr="005E3D65">
              <w:rPr>
                <w:rFonts w:hint="eastAsia"/>
                <w:sz w:val="18"/>
                <w:szCs w:val="18"/>
              </w:rPr>
              <w:t>：</w:t>
            </w:r>
            <w:r w:rsidRPr="005E3D65">
              <w:rPr>
                <w:rFonts w:hint="eastAsia"/>
                <w:sz w:val="18"/>
                <w:szCs w:val="18"/>
              </w:rPr>
              <w:t>营业成本</w:t>
            </w:r>
          </w:p>
        </w:tc>
        <w:tc>
          <w:tcPr>
            <w:tcW w:w="1485" w:type="dxa"/>
            <w:vAlign w:val="center"/>
          </w:tcPr>
          <w:p w:rsidR="0044509C" w:rsidRPr="005E3D65" w:rsidRDefault="005F14EE" w:rsidP="0044509C">
            <w:pPr>
              <w:jc w:val="center"/>
              <w:rPr>
                <w:sz w:val="18"/>
                <w:szCs w:val="18"/>
              </w:rPr>
            </w:pPr>
            <w:r w:rsidRPr="005E3D65">
              <w:rPr>
                <w:sz w:val="18"/>
                <w:szCs w:val="18"/>
              </w:rPr>
              <w:t>(</w:t>
            </w:r>
            <w:r w:rsidR="0044509C" w:rsidRPr="005E3D65">
              <w:rPr>
                <w:rFonts w:hint="eastAsia"/>
                <w:sz w:val="18"/>
                <w:szCs w:val="18"/>
              </w:rPr>
              <w:t>十</w:t>
            </w:r>
            <w:r w:rsidR="009254AB" w:rsidRPr="005E3D65">
              <w:rPr>
                <w:rFonts w:hint="eastAsia"/>
                <w:sz w:val="18"/>
                <w:szCs w:val="18"/>
              </w:rPr>
              <w:t>五</w:t>
            </w:r>
            <w:r w:rsidRPr="005E3D65">
              <w:rPr>
                <w:sz w:val="18"/>
                <w:szCs w:val="18"/>
              </w:rPr>
              <w:t>)</w:t>
            </w:r>
            <w:r w:rsidR="0044509C" w:rsidRPr="005E3D65">
              <w:rPr>
                <w:sz w:val="18"/>
                <w:szCs w:val="18"/>
              </w:rPr>
              <w:t>4</w:t>
            </w:r>
          </w:p>
        </w:tc>
        <w:tc>
          <w:tcPr>
            <w:tcW w:w="2047" w:type="dxa"/>
            <w:vAlign w:val="center"/>
          </w:tcPr>
          <w:p w:rsidR="0044509C" w:rsidRPr="005E3D65" w:rsidRDefault="0090110E" w:rsidP="0044509C">
            <w:pPr>
              <w:jc w:val="right"/>
              <w:rPr>
                <w:sz w:val="18"/>
                <w:szCs w:val="18"/>
              </w:rPr>
            </w:pPr>
            <w:r w:rsidRPr="005E3D65">
              <w:rPr>
                <w:sz w:val="18"/>
                <w:szCs w:val="18"/>
              </w:rPr>
              <w:t>4,083,920,471.41</w:t>
            </w:r>
          </w:p>
        </w:tc>
        <w:tc>
          <w:tcPr>
            <w:tcW w:w="2048" w:type="dxa"/>
            <w:vAlign w:val="center"/>
          </w:tcPr>
          <w:p w:rsidR="0044509C" w:rsidRPr="005E3D65" w:rsidRDefault="0044509C" w:rsidP="0044509C">
            <w:pPr>
              <w:jc w:val="right"/>
              <w:rPr>
                <w:sz w:val="18"/>
                <w:szCs w:val="18"/>
              </w:rPr>
            </w:pPr>
            <w:r w:rsidRPr="005E3D65">
              <w:rPr>
                <w:sz w:val="18"/>
                <w:szCs w:val="18"/>
              </w:rPr>
              <w:t>3,697,999,798.62</w:t>
            </w:r>
          </w:p>
        </w:tc>
      </w:tr>
      <w:tr w:rsidR="0044509C" w:rsidRPr="005E3D65" w:rsidTr="0027505B">
        <w:trPr>
          <w:trHeight w:val="20"/>
        </w:trPr>
        <w:tc>
          <w:tcPr>
            <w:tcW w:w="4585" w:type="dxa"/>
            <w:shd w:val="clear" w:color="auto" w:fill="D9D9D9"/>
            <w:vAlign w:val="center"/>
          </w:tcPr>
          <w:p w:rsidR="0044509C" w:rsidRPr="005E3D65" w:rsidRDefault="0044509C">
            <w:pPr>
              <w:tabs>
                <w:tab w:val="left" w:pos="717"/>
              </w:tabs>
              <w:rPr>
                <w:sz w:val="18"/>
                <w:szCs w:val="18"/>
              </w:rPr>
            </w:pPr>
            <w:r w:rsidRPr="005E3D65">
              <w:rPr>
                <w:sz w:val="18"/>
                <w:szCs w:val="18"/>
              </w:rPr>
              <w:tab/>
            </w:r>
            <w:r w:rsidRPr="005E3D65">
              <w:rPr>
                <w:rFonts w:hint="eastAsia"/>
                <w:sz w:val="18"/>
                <w:szCs w:val="18"/>
              </w:rPr>
              <w:t>税金及附加</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90110E" w:rsidP="0044509C">
            <w:pPr>
              <w:jc w:val="right"/>
              <w:rPr>
                <w:sz w:val="18"/>
                <w:szCs w:val="18"/>
              </w:rPr>
            </w:pPr>
            <w:r w:rsidRPr="005E3D65">
              <w:rPr>
                <w:sz w:val="18"/>
                <w:szCs w:val="18"/>
              </w:rPr>
              <w:t>13,591,537.99</w:t>
            </w:r>
          </w:p>
        </w:tc>
        <w:tc>
          <w:tcPr>
            <w:tcW w:w="2048" w:type="dxa"/>
            <w:vAlign w:val="center"/>
          </w:tcPr>
          <w:p w:rsidR="0044509C" w:rsidRPr="005E3D65" w:rsidRDefault="0044509C" w:rsidP="0044509C">
            <w:pPr>
              <w:jc w:val="right"/>
              <w:rPr>
                <w:sz w:val="18"/>
                <w:szCs w:val="18"/>
              </w:rPr>
            </w:pPr>
            <w:r w:rsidRPr="005E3D65">
              <w:rPr>
                <w:sz w:val="18"/>
                <w:szCs w:val="18"/>
              </w:rPr>
              <w:t>9,047,779.71</w:t>
            </w:r>
          </w:p>
        </w:tc>
      </w:tr>
      <w:tr w:rsidR="0044509C" w:rsidRPr="005E3D65" w:rsidTr="0027505B">
        <w:trPr>
          <w:trHeight w:val="20"/>
        </w:trPr>
        <w:tc>
          <w:tcPr>
            <w:tcW w:w="4585" w:type="dxa"/>
            <w:shd w:val="clear" w:color="auto" w:fill="D9D9D9"/>
            <w:vAlign w:val="center"/>
          </w:tcPr>
          <w:p w:rsidR="0044509C" w:rsidRPr="005E3D65" w:rsidRDefault="0044509C">
            <w:pPr>
              <w:tabs>
                <w:tab w:val="left" w:pos="717"/>
              </w:tabs>
              <w:rPr>
                <w:sz w:val="18"/>
                <w:szCs w:val="18"/>
              </w:rPr>
            </w:pPr>
            <w:r w:rsidRPr="005E3D65">
              <w:rPr>
                <w:sz w:val="18"/>
                <w:szCs w:val="18"/>
              </w:rPr>
              <w:tab/>
            </w:r>
            <w:r w:rsidRPr="005E3D65">
              <w:rPr>
                <w:rFonts w:hint="eastAsia"/>
                <w:sz w:val="18"/>
                <w:szCs w:val="18"/>
              </w:rPr>
              <w:t>销售费用</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90110E" w:rsidP="0044509C">
            <w:pPr>
              <w:jc w:val="right"/>
              <w:rPr>
                <w:sz w:val="18"/>
                <w:szCs w:val="18"/>
              </w:rPr>
            </w:pPr>
            <w:r w:rsidRPr="005E3D65">
              <w:rPr>
                <w:sz w:val="18"/>
                <w:szCs w:val="18"/>
              </w:rPr>
              <w:t>483,332,027.87</w:t>
            </w:r>
          </w:p>
        </w:tc>
        <w:tc>
          <w:tcPr>
            <w:tcW w:w="2048" w:type="dxa"/>
            <w:vAlign w:val="center"/>
          </w:tcPr>
          <w:p w:rsidR="0044509C" w:rsidRPr="005E3D65" w:rsidRDefault="0044509C" w:rsidP="0044509C">
            <w:pPr>
              <w:jc w:val="right"/>
              <w:rPr>
                <w:sz w:val="18"/>
                <w:szCs w:val="18"/>
              </w:rPr>
            </w:pPr>
            <w:r w:rsidRPr="005E3D65">
              <w:rPr>
                <w:sz w:val="18"/>
                <w:szCs w:val="18"/>
              </w:rPr>
              <w:t>397,868,784.19</w:t>
            </w:r>
          </w:p>
        </w:tc>
      </w:tr>
      <w:tr w:rsidR="0044509C" w:rsidRPr="005E3D65" w:rsidTr="0027505B">
        <w:trPr>
          <w:trHeight w:val="20"/>
        </w:trPr>
        <w:tc>
          <w:tcPr>
            <w:tcW w:w="4585" w:type="dxa"/>
            <w:shd w:val="clear" w:color="auto" w:fill="D9D9D9"/>
            <w:vAlign w:val="center"/>
          </w:tcPr>
          <w:p w:rsidR="0044509C" w:rsidRPr="005E3D65" w:rsidRDefault="0044509C">
            <w:pPr>
              <w:tabs>
                <w:tab w:val="left" w:pos="717"/>
              </w:tabs>
              <w:rPr>
                <w:sz w:val="18"/>
                <w:szCs w:val="18"/>
              </w:rPr>
            </w:pPr>
            <w:r w:rsidRPr="005E3D65">
              <w:rPr>
                <w:sz w:val="18"/>
                <w:szCs w:val="18"/>
              </w:rPr>
              <w:tab/>
            </w:r>
            <w:r w:rsidRPr="005E3D65">
              <w:rPr>
                <w:rFonts w:hint="eastAsia"/>
                <w:sz w:val="18"/>
                <w:szCs w:val="18"/>
              </w:rPr>
              <w:t>管理费用</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90110E" w:rsidP="0044509C">
            <w:pPr>
              <w:jc w:val="right"/>
              <w:rPr>
                <w:sz w:val="18"/>
                <w:szCs w:val="18"/>
              </w:rPr>
            </w:pPr>
            <w:r w:rsidRPr="005E3D65">
              <w:rPr>
                <w:sz w:val="18"/>
                <w:szCs w:val="18"/>
              </w:rPr>
              <w:t>85,260,746.35</w:t>
            </w:r>
          </w:p>
        </w:tc>
        <w:tc>
          <w:tcPr>
            <w:tcW w:w="2048" w:type="dxa"/>
            <w:vAlign w:val="center"/>
          </w:tcPr>
          <w:p w:rsidR="0044509C" w:rsidRPr="005E3D65" w:rsidRDefault="0044509C" w:rsidP="0044509C">
            <w:pPr>
              <w:jc w:val="right"/>
              <w:rPr>
                <w:sz w:val="18"/>
                <w:szCs w:val="18"/>
              </w:rPr>
            </w:pPr>
            <w:r w:rsidRPr="005E3D65">
              <w:rPr>
                <w:sz w:val="18"/>
                <w:szCs w:val="18"/>
              </w:rPr>
              <w:t>97,484,091.62</w:t>
            </w:r>
          </w:p>
        </w:tc>
      </w:tr>
      <w:tr w:rsidR="0044509C" w:rsidRPr="005E3D65" w:rsidTr="0027505B">
        <w:trPr>
          <w:trHeight w:val="20"/>
        </w:trPr>
        <w:tc>
          <w:tcPr>
            <w:tcW w:w="4585" w:type="dxa"/>
            <w:shd w:val="clear" w:color="auto" w:fill="D9D9D9"/>
            <w:vAlign w:val="center"/>
          </w:tcPr>
          <w:p w:rsidR="0044509C" w:rsidRPr="005E3D65" w:rsidRDefault="0044509C">
            <w:pPr>
              <w:tabs>
                <w:tab w:val="left" w:pos="717"/>
              </w:tabs>
              <w:rPr>
                <w:sz w:val="18"/>
                <w:szCs w:val="18"/>
              </w:rPr>
            </w:pPr>
            <w:r w:rsidRPr="005E3D65">
              <w:rPr>
                <w:sz w:val="18"/>
                <w:szCs w:val="18"/>
              </w:rPr>
              <w:tab/>
            </w:r>
            <w:r w:rsidRPr="005E3D65">
              <w:rPr>
                <w:rFonts w:hint="eastAsia"/>
                <w:sz w:val="18"/>
                <w:szCs w:val="18"/>
              </w:rPr>
              <w:t>研发费用</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90110E" w:rsidP="0044509C">
            <w:pPr>
              <w:jc w:val="right"/>
              <w:rPr>
                <w:sz w:val="18"/>
                <w:szCs w:val="18"/>
              </w:rPr>
            </w:pPr>
            <w:r w:rsidRPr="005E3D65">
              <w:rPr>
                <w:sz w:val="18"/>
                <w:szCs w:val="18"/>
              </w:rPr>
              <w:t>3,111,111.22</w:t>
            </w:r>
          </w:p>
        </w:tc>
        <w:tc>
          <w:tcPr>
            <w:tcW w:w="2048" w:type="dxa"/>
            <w:vAlign w:val="center"/>
          </w:tcPr>
          <w:p w:rsidR="0044509C" w:rsidRPr="005E3D65" w:rsidRDefault="0044509C" w:rsidP="0044509C">
            <w:pPr>
              <w:jc w:val="right"/>
              <w:rPr>
                <w:sz w:val="18"/>
                <w:szCs w:val="18"/>
              </w:rPr>
            </w:pPr>
            <w:r w:rsidRPr="005E3D65">
              <w:rPr>
                <w:sz w:val="18"/>
                <w:szCs w:val="18"/>
              </w:rPr>
              <w:t>4,192,831.23</w:t>
            </w:r>
          </w:p>
        </w:tc>
      </w:tr>
      <w:tr w:rsidR="0044509C" w:rsidRPr="005E3D65" w:rsidTr="0027505B">
        <w:trPr>
          <w:trHeight w:val="20"/>
        </w:trPr>
        <w:tc>
          <w:tcPr>
            <w:tcW w:w="4585" w:type="dxa"/>
            <w:shd w:val="clear" w:color="auto" w:fill="D9D9D9"/>
            <w:vAlign w:val="center"/>
          </w:tcPr>
          <w:p w:rsidR="0044509C" w:rsidRPr="005E3D65" w:rsidRDefault="0044509C">
            <w:pPr>
              <w:tabs>
                <w:tab w:val="left" w:pos="717"/>
              </w:tabs>
              <w:rPr>
                <w:sz w:val="18"/>
                <w:szCs w:val="18"/>
              </w:rPr>
            </w:pPr>
            <w:r w:rsidRPr="005E3D65">
              <w:rPr>
                <w:sz w:val="18"/>
                <w:szCs w:val="18"/>
              </w:rPr>
              <w:tab/>
            </w:r>
            <w:r w:rsidRPr="005E3D65">
              <w:rPr>
                <w:rFonts w:hint="eastAsia"/>
                <w:sz w:val="18"/>
                <w:szCs w:val="18"/>
              </w:rPr>
              <w:t>财务费用</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5F14EE" w:rsidP="0044509C">
            <w:pPr>
              <w:jc w:val="right"/>
              <w:rPr>
                <w:sz w:val="18"/>
                <w:szCs w:val="18"/>
              </w:rPr>
            </w:pPr>
            <w:r w:rsidRPr="005E3D65">
              <w:rPr>
                <w:sz w:val="18"/>
                <w:szCs w:val="18"/>
              </w:rPr>
              <w:t>(</w:t>
            </w:r>
            <w:r w:rsidR="0090110E" w:rsidRPr="005E3D65">
              <w:rPr>
                <w:sz w:val="18"/>
                <w:szCs w:val="18"/>
              </w:rPr>
              <w:t>37,112,393.93</w:t>
            </w:r>
            <w:r w:rsidRPr="005E3D65">
              <w:rPr>
                <w:sz w:val="18"/>
                <w:szCs w:val="18"/>
              </w:rPr>
              <w:t>)</w:t>
            </w:r>
          </w:p>
        </w:tc>
        <w:tc>
          <w:tcPr>
            <w:tcW w:w="2048" w:type="dxa"/>
            <w:vAlign w:val="center"/>
          </w:tcPr>
          <w:p w:rsidR="0044509C" w:rsidRPr="005E3D65" w:rsidRDefault="005F14EE" w:rsidP="0044509C">
            <w:pPr>
              <w:jc w:val="right"/>
              <w:rPr>
                <w:sz w:val="18"/>
                <w:szCs w:val="18"/>
              </w:rPr>
            </w:pPr>
            <w:r w:rsidRPr="005E3D65">
              <w:rPr>
                <w:sz w:val="18"/>
                <w:szCs w:val="18"/>
              </w:rPr>
              <w:t>(</w:t>
            </w:r>
            <w:r w:rsidR="0044509C" w:rsidRPr="005E3D65">
              <w:rPr>
                <w:sz w:val="18"/>
                <w:szCs w:val="18"/>
              </w:rPr>
              <w:t>5,482,205.30</w:t>
            </w:r>
            <w:r w:rsidRPr="005E3D65">
              <w:rPr>
                <w:sz w:val="18"/>
                <w:szCs w:val="18"/>
              </w:rPr>
              <w:t>)</w:t>
            </w:r>
          </w:p>
        </w:tc>
      </w:tr>
      <w:tr w:rsidR="0044509C" w:rsidRPr="005E3D65" w:rsidTr="0027505B">
        <w:trPr>
          <w:trHeight w:val="20"/>
        </w:trPr>
        <w:tc>
          <w:tcPr>
            <w:tcW w:w="4585" w:type="dxa"/>
            <w:shd w:val="clear" w:color="auto" w:fill="D9D9D9"/>
            <w:vAlign w:val="center"/>
          </w:tcPr>
          <w:p w:rsidR="0044509C" w:rsidRPr="005E3D65" w:rsidRDefault="0044509C">
            <w:pPr>
              <w:tabs>
                <w:tab w:val="left" w:pos="717"/>
              </w:tabs>
              <w:rPr>
                <w:sz w:val="18"/>
                <w:szCs w:val="18"/>
              </w:rPr>
            </w:pPr>
            <w:r w:rsidRPr="005E3D65">
              <w:rPr>
                <w:sz w:val="18"/>
                <w:szCs w:val="18"/>
              </w:rPr>
              <w:tab/>
            </w:r>
            <w:r w:rsidRPr="005E3D65">
              <w:rPr>
                <w:rFonts w:hint="eastAsia"/>
                <w:sz w:val="18"/>
                <w:szCs w:val="18"/>
              </w:rPr>
              <w:t>其中</w:t>
            </w:r>
            <w:r w:rsidR="005F14EE" w:rsidRPr="005E3D65">
              <w:rPr>
                <w:rFonts w:hint="eastAsia"/>
                <w:sz w:val="18"/>
                <w:szCs w:val="18"/>
              </w:rPr>
              <w:t>：</w:t>
            </w:r>
            <w:r w:rsidRPr="005E3D65">
              <w:rPr>
                <w:rFonts w:hint="eastAsia"/>
                <w:sz w:val="18"/>
                <w:szCs w:val="18"/>
              </w:rPr>
              <w:t>利息费用</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12,820,326.79</w:t>
            </w:r>
          </w:p>
        </w:tc>
        <w:tc>
          <w:tcPr>
            <w:tcW w:w="2048" w:type="dxa"/>
            <w:vAlign w:val="center"/>
          </w:tcPr>
          <w:p w:rsidR="0044509C" w:rsidRPr="005E3D65" w:rsidRDefault="0044509C" w:rsidP="0044509C">
            <w:pPr>
              <w:jc w:val="right"/>
              <w:rPr>
                <w:sz w:val="18"/>
                <w:szCs w:val="18"/>
              </w:rPr>
            </w:pPr>
            <w:r w:rsidRPr="005E3D65">
              <w:rPr>
                <w:sz w:val="18"/>
                <w:szCs w:val="18"/>
              </w:rPr>
              <w:t>38,500,531.63</w:t>
            </w:r>
          </w:p>
        </w:tc>
      </w:tr>
      <w:tr w:rsidR="0044509C" w:rsidRPr="005E3D65" w:rsidTr="0027505B">
        <w:trPr>
          <w:trHeight w:val="20"/>
        </w:trPr>
        <w:tc>
          <w:tcPr>
            <w:tcW w:w="4585" w:type="dxa"/>
            <w:shd w:val="clear" w:color="auto" w:fill="D9D9D9"/>
            <w:vAlign w:val="center"/>
          </w:tcPr>
          <w:p w:rsidR="0044509C" w:rsidRPr="005E3D65" w:rsidRDefault="0044509C" w:rsidP="0044509C">
            <w:pPr>
              <w:tabs>
                <w:tab w:val="left" w:pos="1257"/>
              </w:tabs>
              <w:rPr>
                <w:sz w:val="18"/>
                <w:szCs w:val="18"/>
              </w:rPr>
            </w:pPr>
            <w:r w:rsidRPr="005E3D65">
              <w:rPr>
                <w:sz w:val="18"/>
                <w:szCs w:val="18"/>
              </w:rPr>
              <w:tab/>
            </w:r>
            <w:r w:rsidRPr="005E3D65">
              <w:rPr>
                <w:rFonts w:hint="eastAsia"/>
                <w:sz w:val="18"/>
                <w:szCs w:val="18"/>
              </w:rPr>
              <w:t>利息收入</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39,115,371.13</w:t>
            </w:r>
          </w:p>
        </w:tc>
        <w:tc>
          <w:tcPr>
            <w:tcW w:w="2048" w:type="dxa"/>
            <w:vAlign w:val="center"/>
          </w:tcPr>
          <w:p w:rsidR="0044509C" w:rsidRPr="005E3D65" w:rsidRDefault="0044509C" w:rsidP="0044509C">
            <w:pPr>
              <w:jc w:val="right"/>
              <w:rPr>
                <w:sz w:val="18"/>
                <w:szCs w:val="18"/>
              </w:rPr>
            </w:pPr>
            <w:r w:rsidRPr="005E3D65">
              <w:rPr>
                <w:sz w:val="18"/>
                <w:szCs w:val="18"/>
              </w:rPr>
              <w:t>34,563,459.37</w:t>
            </w:r>
          </w:p>
        </w:tc>
      </w:tr>
      <w:tr w:rsidR="0044509C" w:rsidRPr="005E3D65" w:rsidTr="0027505B">
        <w:trPr>
          <w:trHeight w:val="20"/>
        </w:trPr>
        <w:tc>
          <w:tcPr>
            <w:tcW w:w="4585" w:type="dxa"/>
            <w:shd w:val="clear" w:color="auto" w:fill="D9D9D9"/>
            <w:vAlign w:val="center"/>
          </w:tcPr>
          <w:p w:rsidR="0044509C" w:rsidRPr="005E3D65" w:rsidRDefault="0044509C">
            <w:pPr>
              <w:tabs>
                <w:tab w:val="left" w:pos="333"/>
              </w:tabs>
              <w:rPr>
                <w:sz w:val="18"/>
                <w:szCs w:val="18"/>
              </w:rPr>
            </w:pPr>
            <w:r w:rsidRPr="005E3D65">
              <w:rPr>
                <w:sz w:val="18"/>
                <w:szCs w:val="18"/>
              </w:rPr>
              <w:tab/>
            </w:r>
            <w:r w:rsidRPr="005E3D65">
              <w:rPr>
                <w:rFonts w:hint="eastAsia"/>
                <w:sz w:val="18"/>
                <w:szCs w:val="18"/>
              </w:rPr>
              <w:t>加</w:t>
            </w:r>
            <w:r w:rsidR="005F14EE" w:rsidRPr="005E3D65">
              <w:rPr>
                <w:rFonts w:hint="eastAsia"/>
                <w:sz w:val="18"/>
                <w:szCs w:val="18"/>
              </w:rPr>
              <w:t>：</w:t>
            </w:r>
            <w:r w:rsidRPr="005E3D65">
              <w:rPr>
                <w:rFonts w:hint="eastAsia"/>
                <w:sz w:val="18"/>
                <w:szCs w:val="18"/>
              </w:rPr>
              <w:t>其他收益</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14,211,325.02</w:t>
            </w:r>
          </w:p>
        </w:tc>
        <w:tc>
          <w:tcPr>
            <w:tcW w:w="2048" w:type="dxa"/>
            <w:vAlign w:val="center"/>
          </w:tcPr>
          <w:p w:rsidR="0044509C" w:rsidRPr="005E3D65" w:rsidRDefault="0044509C" w:rsidP="0044509C">
            <w:pPr>
              <w:jc w:val="right"/>
              <w:rPr>
                <w:sz w:val="18"/>
                <w:szCs w:val="18"/>
              </w:rPr>
            </w:pPr>
            <w:r w:rsidRPr="005E3D65">
              <w:rPr>
                <w:sz w:val="18"/>
                <w:szCs w:val="18"/>
              </w:rPr>
              <w:t>12,304,465.97</w:t>
            </w:r>
          </w:p>
        </w:tc>
      </w:tr>
      <w:tr w:rsidR="0044509C" w:rsidRPr="005E3D65" w:rsidTr="0027505B">
        <w:trPr>
          <w:trHeight w:val="20"/>
        </w:trPr>
        <w:tc>
          <w:tcPr>
            <w:tcW w:w="4585" w:type="dxa"/>
            <w:shd w:val="clear" w:color="auto" w:fill="D9D9D9"/>
            <w:vAlign w:val="center"/>
          </w:tcPr>
          <w:p w:rsidR="0044509C" w:rsidRPr="005E3D65" w:rsidRDefault="0044509C" w:rsidP="0044509C">
            <w:pPr>
              <w:tabs>
                <w:tab w:val="left" w:pos="717"/>
              </w:tabs>
              <w:rPr>
                <w:sz w:val="18"/>
                <w:szCs w:val="18"/>
              </w:rPr>
            </w:pPr>
            <w:r w:rsidRPr="005E3D65">
              <w:rPr>
                <w:sz w:val="18"/>
                <w:szCs w:val="18"/>
              </w:rPr>
              <w:tab/>
            </w:r>
            <w:r w:rsidRPr="005E3D65">
              <w:rPr>
                <w:rFonts w:hint="eastAsia"/>
                <w:sz w:val="18"/>
                <w:szCs w:val="18"/>
              </w:rPr>
              <w:t>投资收益</w:t>
            </w:r>
          </w:p>
        </w:tc>
        <w:tc>
          <w:tcPr>
            <w:tcW w:w="1485" w:type="dxa"/>
            <w:vAlign w:val="center"/>
          </w:tcPr>
          <w:p w:rsidR="0044509C" w:rsidRPr="005E3D65" w:rsidRDefault="005F14EE" w:rsidP="0044509C">
            <w:pPr>
              <w:jc w:val="center"/>
              <w:rPr>
                <w:sz w:val="18"/>
                <w:szCs w:val="18"/>
              </w:rPr>
            </w:pPr>
            <w:r w:rsidRPr="005E3D65">
              <w:rPr>
                <w:sz w:val="18"/>
                <w:szCs w:val="18"/>
              </w:rPr>
              <w:t>(</w:t>
            </w:r>
            <w:r w:rsidR="0044509C" w:rsidRPr="005E3D65">
              <w:rPr>
                <w:rFonts w:hint="eastAsia"/>
                <w:sz w:val="18"/>
                <w:szCs w:val="18"/>
              </w:rPr>
              <w:t>十</w:t>
            </w:r>
            <w:r w:rsidR="009254AB" w:rsidRPr="005E3D65">
              <w:rPr>
                <w:rFonts w:hint="eastAsia"/>
                <w:sz w:val="18"/>
                <w:szCs w:val="18"/>
              </w:rPr>
              <w:t>五</w:t>
            </w:r>
            <w:r w:rsidRPr="005E3D65">
              <w:rPr>
                <w:sz w:val="18"/>
                <w:szCs w:val="18"/>
              </w:rPr>
              <w:t>)</w:t>
            </w:r>
            <w:r w:rsidR="0044509C" w:rsidRPr="005E3D65">
              <w:rPr>
                <w:sz w:val="18"/>
                <w:szCs w:val="18"/>
              </w:rPr>
              <w:t>5</w:t>
            </w:r>
          </w:p>
        </w:tc>
        <w:tc>
          <w:tcPr>
            <w:tcW w:w="2047" w:type="dxa"/>
            <w:vAlign w:val="center"/>
          </w:tcPr>
          <w:p w:rsidR="0044509C" w:rsidRPr="005E3D65" w:rsidRDefault="00A37CE4" w:rsidP="0044509C">
            <w:pPr>
              <w:jc w:val="right"/>
              <w:rPr>
                <w:sz w:val="18"/>
                <w:szCs w:val="18"/>
              </w:rPr>
            </w:pPr>
            <w:r w:rsidRPr="005E3D65">
              <w:rPr>
                <w:sz w:val="18"/>
                <w:szCs w:val="18"/>
              </w:rPr>
              <w:t>500,000,000.00</w:t>
            </w:r>
          </w:p>
        </w:tc>
        <w:tc>
          <w:tcPr>
            <w:tcW w:w="2048" w:type="dxa"/>
            <w:vAlign w:val="center"/>
          </w:tcPr>
          <w:p w:rsidR="0044509C" w:rsidRPr="005E3D65" w:rsidRDefault="0044509C" w:rsidP="0044509C">
            <w:pPr>
              <w:jc w:val="right"/>
              <w:rPr>
                <w:sz w:val="18"/>
                <w:szCs w:val="18"/>
              </w:rPr>
            </w:pPr>
            <w:r w:rsidRPr="005E3D65">
              <w:rPr>
                <w:sz w:val="18"/>
                <w:szCs w:val="18"/>
              </w:rPr>
              <w:t>150,000,000.00</w:t>
            </w:r>
          </w:p>
        </w:tc>
      </w:tr>
      <w:tr w:rsidR="005E3D65" w:rsidRPr="005E3D65" w:rsidTr="0027505B">
        <w:trPr>
          <w:trHeight w:val="20"/>
        </w:trPr>
        <w:tc>
          <w:tcPr>
            <w:tcW w:w="4585" w:type="dxa"/>
            <w:shd w:val="clear" w:color="auto" w:fill="D9D9D9"/>
            <w:vAlign w:val="center"/>
          </w:tcPr>
          <w:p w:rsidR="005E3D65" w:rsidRPr="005E3D65" w:rsidRDefault="005E3D65" w:rsidP="005E3D65">
            <w:pPr>
              <w:tabs>
                <w:tab w:val="left" w:pos="717"/>
              </w:tabs>
              <w:ind w:firstLineChars="400" w:firstLine="720"/>
              <w:rPr>
                <w:sz w:val="18"/>
                <w:szCs w:val="18"/>
              </w:rPr>
            </w:pPr>
            <w:r w:rsidRPr="005E3D65">
              <w:rPr>
                <w:rFonts w:hint="eastAsia"/>
                <w:sz w:val="18"/>
                <w:szCs w:val="18"/>
              </w:rPr>
              <w:t>资产处置损失</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27505B">
            <w:pPr>
              <w:jc w:val="right"/>
              <w:rPr>
                <w:sz w:val="18"/>
                <w:szCs w:val="18"/>
              </w:rPr>
            </w:pPr>
            <w:r w:rsidRPr="005E3D65">
              <w:rPr>
                <w:sz w:val="18"/>
                <w:szCs w:val="18"/>
              </w:rPr>
              <w:t>-    </w:t>
            </w:r>
          </w:p>
        </w:tc>
        <w:tc>
          <w:tcPr>
            <w:tcW w:w="2048" w:type="dxa"/>
            <w:vAlign w:val="center"/>
          </w:tcPr>
          <w:p w:rsidR="005E3D65" w:rsidRPr="005E3D65" w:rsidRDefault="005E3D65" w:rsidP="005E3D65">
            <w:pPr>
              <w:jc w:val="right"/>
              <w:rPr>
                <w:sz w:val="18"/>
                <w:szCs w:val="18"/>
              </w:rPr>
            </w:pPr>
            <w:r w:rsidRPr="005E3D65">
              <w:rPr>
                <w:sz w:val="18"/>
                <w:szCs w:val="18"/>
              </w:rPr>
              <w:t>(18,203.42)</w:t>
            </w:r>
          </w:p>
        </w:tc>
      </w:tr>
      <w:tr w:rsidR="0044509C" w:rsidRPr="005E3D65" w:rsidTr="0027505B">
        <w:trPr>
          <w:trHeight w:val="20"/>
        </w:trPr>
        <w:tc>
          <w:tcPr>
            <w:tcW w:w="4585" w:type="dxa"/>
            <w:shd w:val="clear" w:color="auto" w:fill="D9D9D9"/>
            <w:vAlign w:val="center"/>
          </w:tcPr>
          <w:p w:rsidR="0044509C" w:rsidRPr="005E3D65" w:rsidRDefault="0044509C" w:rsidP="0044509C">
            <w:pPr>
              <w:tabs>
                <w:tab w:val="left" w:pos="717"/>
              </w:tabs>
              <w:rPr>
                <w:sz w:val="18"/>
                <w:szCs w:val="18"/>
              </w:rPr>
            </w:pPr>
            <w:r w:rsidRPr="005E3D65">
              <w:rPr>
                <w:sz w:val="18"/>
                <w:szCs w:val="18"/>
              </w:rPr>
              <w:tab/>
            </w:r>
            <w:r w:rsidRPr="005E3D65">
              <w:rPr>
                <w:rFonts w:hint="eastAsia"/>
                <w:sz w:val="18"/>
                <w:szCs w:val="18"/>
              </w:rPr>
              <w:t>信用减值损失</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5F14EE" w:rsidP="0044509C">
            <w:pPr>
              <w:jc w:val="right"/>
              <w:rPr>
                <w:sz w:val="18"/>
                <w:szCs w:val="18"/>
              </w:rPr>
            </w:pPr>
            <w:r w:rsidRPr="005E3D65">
              <w:rPr>
                <w:sz w:val="18"/>
                <w:szCs w:val="18"/>
              </w:rPr>
              <w:t>(</w:t>
            </w:r>
            <w:r w:rsidR="00A37CE4" w:rsidRPr="005E3D65">
              <w:rPr>
                <w:sz w:val="18"/>
                <w:szCs w:val="18"/>
              </w:rPr>
              <w:t>3,250,088.50</w:t>
            </w:r>
            <w:r w:rsidRPr="005E3D65">
              <w:rPr>
                <w:sz w:val="18"/>
                <w:szCs w:val="18"/>
              </w:rPr>
              <w:t>)</w:t>
            </w:r>
          </w:p>
        </w:tc>
        <w:tc>
          <w:tcPr>
            <w:tcW w:w="2048" w:type="dxa"/>
            <w:vAlign w:val="center"/>
          </w:tcPr>
          <w:p w:rsidR="0044509C" w:rsidRPr="005E3D65" w:rsidRDefault="005F14EE" w:rsidP="0044509C">
            <w:pPr>
              <w:jc w:val="right"/>
              <w:rPr>
                <w:sz w:val="18"/>
                <w:szCs w:val="18"/>
              </w:rPr>
            </w:pPr>
            <w:r w:rsidRPr="005E3D65">
              <w:rPr>
                <w:sz w:val="18"/>
                <w:szCs w:val="18"/>
              </w:rPr>
              <w:t>(</w:t>
            </w:r>
            <w:r w:rsidR="0044509C" w:rsidRPr="005E3D65">
              <w:rPr>
                <w:sz w:val="18"/>
                <w:szCs w:val="18"/>
              </w:rPr>
              <w:t>3,157,701.73</w:t>
            </w:r>
            <w:r w:rsidRPr="005E3D65">
              <w:rPr>
                <w:sz w:val="18"/>
                <w:szCs w:val="18"/>
              </w:rPr>
              <w:t>)</w:t>
            </w:r>
          </w:p>
        </w:tc>
      </w:tr>
      <w:tr w:rsidR="0044509C" w:rsidRPr="005E3D65" w:rsidTr="0027505B">
        <w:trPr>
          <w:trHeight w:val="20"/>
        </w:trPr>
        <w:tc>
          <w:tcPr>
            <w:tcW w:w="4585" w:type="dxa"/>
            <w:shd w:val="clear" w:color="auto" w:fill="D9D9D9"/>
            <w:vAlign w:val="center"/>
          </w:tcPr>
          <w:p w:rsidR="0044509C" w:rsidRPr="005E3D65" w:rsidRDefault="0044509C" w:rsidP="0044509C">
            <w:pPr>
              <w:tabs>
                <w:tab w:val="left" w:pos="717"/>
              </w:tabs>
              <w:rPr>
                <w:sz w:val="18"/>
                <w:szCs w:val="18"/>
              </w:rPr>
            </w:pPr>
            <w:r w:rsidRPr="005E3D65">
              <w:rPr>
                <w:sz w:val="18"/>
                <w:szCs w:val="18"/>
              </w:rPr>
              <w:tab/>
            </w:r>
            <w:r w:rsidRPr="005E3D65">
              <w:rPr>
                <w:rFonts w:hint="eastAsia"/>
                <w:sz w:val="18"/>
                <w:szCs w:val="18"/>
              </w:rPr>
              <w:t>资产减值损失</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5F14EE" w:rsidP="0044509C">
            <w:pPr>
              <w:jc w:val="right"/>
              <w:rPr>
                <w:sz w:val="18"/>
                <w:szCs w:val="18"/>
              </w:rPr>
            </w:pPr>
            <w:r w:rsidRPr="005E3D65">
              <w:rPr>
                <w:sz w:val="18"/>
                <w:szCs w:val="18"/>
              </w:rPr>
              <w:t>(</w:t>
            </w:r>
            <w:r w:rsidR="00A37CE4" w:rsidRPr="005E3D65">
              <w:rPr>
                <w:sz w:val="18"/>
                <w:szCs w:val="18"/>
              </w:rPr>
              <w:t>4,724,481.55</w:t>
            </w:r>
            <w:r w:rsidRPr="005E3D65">
              <w:rPr>
                <w:sz w:val="18"/>
                <w:szCs w:val="18"/>
              </w:rPr>
              <w:t>)</w:t>
            </w:r>
          </w:p>
        </w:tc>
        <w:tc>
          <w:tcPr>
            <w:tcW w:w="2048" w:type="dxa"/>
            <w:vAlign w:val="center"/>
          </w:tcPr>
          <w:p w:rsidR="0044509C" w:rsidRPr="005E3D65" w:rsidRDefault="005F14EE" w:rsidP="0044509C">
            <w:pPr>
              <w:jc w:val="right"/>
              <w:rPr>
                <w:sz w:val="18"/>
                <w:szCs w:val="18"/>
              </w:rPr>
            </w:pPr>
            <w:r w:rsidRPr="005E3D65">
              <w:rPr>
                <w:sz w:val="18"/>
                <w:szCs w:val="18"/>
              </w:rPr>
              <w:t>(</w:t>
            </w:r>
            <w:r w:rsidR="0044509C" w:rsidRPr="005E3D65">
              <w:rPr>
                <w:sz w:val="18"/>
                <w:szCs w:val="18"/>
              </w:rPr>
              <w:t>23,639,757.24</w:t>
            </w:r>
            <w:r w:rsidRPr="005E3D65">
              <w:rPr>
                <w:sz w:val="18"/>
                <w:szCs w:val="18"/>
              </w:rPr>
              <w:t>)</w:t>
            </w:r>
          </w:p>
        </w:tc>
      </w:tr>
      <w:tr w:rsidR="0044509C" w:rsidRPr="005E3D65" w:rsidTr="0027505B">
        <w:trPr>
          <w:trHeight w:val="20"/>
        </w:trPr>
        <w:tc>
          <w:tcPr>
            <w:tcW w:w="4585" w:type="dxa"/>
            <w:shd w:val="clear" w:color="auto" w:fill="D9D9D9"/>
            <w:vAlign w:val="center"/>
          </w:tcPr>
          <w:p w:rsidR="0044509C" w:rsidRPr="005E3D65" w:rsidRDefault="0044509C" w:rsidP="0044509C">
            <w:pPr>
              <w:rPr>
                <w:sz w:val="18"/>
                <w:szCs w:val="18"/>
              </w:rPr>
            </w:pPr>
            <w:r w:rsidRPr="005E3D65">
              <w:rPr>
                <w:rFonts w:hint="eastAsia"/>
                <w:sz w:val="18"/>
                <w:szCs w:val="18"/>
              </w:rPr>
              <w:t>二、营业利润</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640,712,752.38</w:t>
            </w:r>
          </w:p>
        </w:tc>
        <w:tc>
          <w:tcPr>
            <w:tcW w:w="2048" w:type="dxa"/>
            <w:vAlign w:val="center"/>
          </w:tcPr>
          <w:p w:rsidR="0044509C" w:rsidRPr="005E3D65" w:rsidRDefault="0044509C" w:rsidP="0044509C">
            <w:pPr>
              <w:jc w:val="right"/>
              <w:rPr>
                <w:sz w:val="18"/>
                <w:szCs w:val="18"/>
              </w:rPr>
            </w:pPr>
            <w:r w:rsidRPr="005E3D65">
              <w:rPr>
                <w:sz w:val="18"/>
                <w:szCs w:val="18"/>
              </w:rPr>
              <w:t>232,915,331.06</w:t>
            </w:r>
          </w:p>
        </w:tc>
      </w:tr>
      <w:tr w:rsidR="0044509C" w:rsidRPr="005E3D65" w:rsidTr="0027505B">
        <w:trPr>
          <w:trHeight w:val="20"/>
        </w:trPr>
        <w:tc>
          <w:tcPr>
            <w:tcW w:w="4585" w:type="dxa"/>
            <w:shd w:val="clear" w:color="auto" w:fill="D9D9D9"/>
            <w:vAlign w:val="center"/>
          </w:tcPr>
          <w:p w:rsidR="0044509C" w:rsidRPr="005E3D65" w:rsidRDefault="0044509C">
            <w:pPr>
              <w:tabs>
                <w:tab w:val="left" w:pos="333"/>
              </w:tabs>
              <w:rPr>
                <w:sz w:val="18"/>
                <w:szCs w:val="18"/>
              </w:rPr>
            </w:pPr>
            <w:r w:rsidRPr="005E3D65">
              <w:rPr>
                <w:sz w:val="18"/>
                <w:szCs w:val="18"/>
              </w:rPr>
              <w:tab/>
            </w:r>
            <w:r w:rsidRPr="005E3D65">
              <w:rPr>
                <w:rFonts w:hint="eastAsia"/>
                <w:sz w:val="18"/>
                <w:szCs w:val="18"/>
              </w:rPr>
              <w:t>加</w:t>
            </w:r>
            <w:r w:rsidR="005F14EE" w:rsidRPr="005E3D65">
              <w:rPr>
                <w:rFonts w:hint="eastAsia"/>
                <w:sz w:val="18"/>
                <w:szCs w:val="18"/>
              </w:rPr>
              <w:t>：</w:t>
            </w:r>
            <w:r w:rsidRPr="005E3D65">
              <w:rPr>
                <w:rFonts w:hint="eastAsia"/>
                <w:sz w:val="18"/>
                <w:szCs w:val="18"/>
              </w:rPr>
              <w:t>营业外收入</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627,983.71</w:t>
            </w:r>
          </w:p>
        </w:tc>
        <w:tc>
          <w:tcPr>
            <w:tcW w:w="2048" w:type="dxa"/>
            <w:vAlign w:val="center"/>
          </w:tcPr>
          <w:p w:rsidR="0044509C" w:rsidRPr="005E3D65" w:rsidRDefault="0044509C" w:rsidP="0044509C">
            <w:pPr>
              <w:jc w:val="right"/>
              <w:rPr>
                <w:sz w:val="18"/>
                <w:szCs w:val="18"/>
              </w:rPr>
            </w:pPr>
            <w:r w:rsidRPr="005E3D65">
              <w:rPr>
                <w:sz w:val="18"/>
                <w:szCs w:val="18"/>
              </w:rPr>
              <w:t>692,451.13</w:t>
            </w:r>
          </w:p>
        </w:tc>
      </w:tr>
      <w:tr w:rsidR="0044509C" w:rsidRPr="005E3D65" w:rsidTr="0027505B">
        <w:trPr>
          <w:trHeight w:val="20"/>
        </w:trPr>
        <w:tc>
          <w:tcPr>
            <w:tcW w:w="4585" w:type="dxa"/>
            <w:shd w:val="clear" w:color="auto" w:fill="D9D9D9"/>
            <w:vAlign w:val="center"/>
          </w:tcPr>
          <w:p w:rsidR="0044509C" w:rsidRPr="005E3D65" w:rsidRDefault="0044509C">
            <w:pPr>
              <w:tabs>
                <w:tab w:val="left" w:pos="333"/>
              </w:tabs>
              <w:rPr>
                <w:sz w:val="18"/>
                <w:szCs w:val="18"/>
              </w:rPr>
            </w:pPr>
            <w:r w:rsidRPr="005E3D65">
              <w:rPr>
                <w:sz w:val="18"/>
                <w:szCs w:val="18"/>
              </w:rPr>
              <w:tab/>
            </w:r>
            <w:r w:rsidRPr="005E3D65">
              <w:rPr>
                <w:rFonts w:hint="eastAsia"/>
                <w:sz w:val="18"/>
                <w:szCs w:val="18"/>
              </w:rPr>
              <w:t>减</w:t>
            </w:r>
            <w:r w:rsidR="005F14EE" w:rsidRPr="005E3D65">
              <w:rPr>
                <w:rFonts w:hint="eastAsia"/>
                <w:sz w:val="18"/>
                <w:szCs w:val="18"/>
              </w:rPr>
              <w:t>：</w:t>
            </w:r>
            <w:r w:rsidRPr="005E3D65">
              <w:rPr>
                <w:rFonts w:hint="eastAsia"/>
                <w:sz w:val="18"/>
                <w:szCs w:val="18"/>
              </w:rPr>
              <w:t>营业外支出</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4,909,061.51</w:t>
            </w:r>
          </w:p>
        </w:tc>
        <w:tc>
          <w:tcPr>
            <w:tcW w:w="2048" w:type="dxa"/>
            <w:vAlign w:val="center"/>
          </w:tcPr>
          <w:p w:rsidR="0044509C" w:rsidRPr="005E3D65" w:rsidRDefault="0044509C" w:rsidP="0044509C">
            <w:pPr>
              <w:jc w:val="right"/>
              <w:rPr>
                <w:sz w:val="18"/>
                <w:szCs w:val="18"/>
              </w:rPr>
            </w:pPr>
            <w:r w:rsidRPr="005E3D65">
              <w:rPr>
                <w:sz w:val="18"/>
                <w:szCs w:val="18"/>
              </w:rPr>
              <w:t>305,013.72</w:t>
            </w:r>
          </w:p>
        </w:tc>
      </w:tr>
      <w:tr w:rsidR="0044509C" w:rsidRPr="005E3D65" w:rsidTr="0027505B">
        <w:trPr>
          <w:trHeight w:val="20"/>
        </w:trPr>
        <w:tc>
          <w:tcPr>
            <w:tcW w:w="4585" w:type="dxa"/>
            <w:shd w:val="clear" w:color="auto" w:fill="D9D9D9"/>
            <w:vAlign w:val="center"/>
          </w:tcPr>
          <w:p w:rsidR="0044509C" w:rsidRPr="005E3D65" w:rsidRDefault="0044509C" w:rsidP="0044509C">
            <w:pPr>
              <w:rPr>
                <w:sz w:val="18"/>
                <w:szCs w:val="18"/>
              </w:rPr>
            </w:pPr>
            <w:r w:rsidRPr="005E3D65">
              <w:rPr>
                <w:rFonts w:hint="eastAsia"/>
                <w:sz w:val="18"/>
                <w:szCs w:val="18"/>
              </w:rPr>
              <w:t>三、利润总额</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636,431,674.58</w:t>
            </w:r>
          </w:p>
        </w:tc>
        <w:tc>
          <w:tcPr>
            <w:tcW w:w="2048" w:type="dxa"/>
            <w:vAlign w:val="center"/>
          </w:tcPr>
          <w:p w:rsidR="0044509C" w:rsidRPr="005E3D65" w:rsidRDefault="0044509C" w:rsidP="0044509C">
            <w:pPr>
              <w:jc w:val="right"/>
              <w:rPr>
                <w:sz w:val="18"/>
                <w:szCs w:val="18"/>
              </w:rPr>
            </w:pPr>
            <w:r w:rsidRPr="005E3D65">
              <w:rPr>
                <w:sz w:val="18"/>
                <w:szCs w:val="18"/>
              </w:rPr>
              <w:t>233,302,768.47</w:t>
            </w:r>
          </w:p>
        </w:tc>
      </w:tr>
      <w:tr w:rsidR="0044509C" w:rsidRPr="005E3D65" w:rsidTr="0027505B">
        <w:trPr>
          <w:trHeight w:val="20"/>
        </w:trPr>
        <w:tc>
          <w:tcPr>
            <w:tcW w:w="4585" w:type="dxa"/>
            <w:shd w:val="clear" w:color="auto" w:fill="D9D9D9"/>
            <w:vAlign w:val="center"/>
          </w:tcPr>
          <w:p w:rsidR="0044509C" w:rsidRPr="005E3D65" w:rsidRDefault="0044509C">
            <w:pPr>
              <w:tabs>
                <w:tab w:val="left" w:pos="333"/>
              </w:tabs>
              <w:rPr>
                <w:sz w:val="18"/>
                <w:szCs w:val="18"/>
              </w:rPr>
            </w:pPr>
            <w:r w:rsidRPr="005E3D65">
              <w:rPr>
                <w:sz w:val="18"/>
                <w:szCs w:val="18"/>
              </w:rPr>
              <w:tab/>
            </w:r>
            <w:r w:rsidRPr="005E3D65">
              <w:rPr>
                <w:rFonts w:hint="eastAsia"/>
                <w:sz w:val="18"/>
                <w:szCs w:val="18"/>
              </w:rPr>
              <w:t>减</w:t>
            </w:r>
            <w:r w:rsidR="005F14EE" w:rsidRPr="005E3D65">
              <w:rPr>
                <w:rFonts w:hint="eastAsia"/>
                <w:sz w:val="18"/>
                <w:szCs w:val="18"/>
              </w:rPr>
              <w:t>：</w:t>
            </w:r>
            <w:r w:rsidRPr="005E3D65">
              <w:rPr>
                <w:rFonts w:hint="eastAsia"/>
                <w:sz w:val="18"/>
                <w:szCs w:val="18"/>
              </w:rPr>
              <w:t>所得税费用</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32,412,309.15</w:t>
            </w:r>
          </w:p>
        </w:tc>
        <w:tc>
          <w:tcPr>
            <w:tcW w:w="2048" w:type="dxa"/>
            <w:vAlign w:val="center"/>
          </w:tcPr>
          <w:p w:rsidR="0044509C" w:rsidRPr="005E3D65" w:rsidRDefault="00A37CE4" w:rsidP="0044509C">
            <w:pPr>
              <w:jc w:val="right"/>
              <w:rPr>
                <w:sz w:val="18"/>
                <w:szCs w:val="18"/>
              </w:rPr>
            </w:pPr>
            <w:r w:rsidRPr="005E3D65">
              <w:rPr>
                <w:sz w:val="18"/>
                <w:szCs w:val="18"/>
              </w:rPr>
              <w:t>28,491,861.57</w:t>
            </w:r>
          </w:p>
        </w:tc>
      </w:tr>
      <w:tr w:rsidR="0044509C" w:rsidRPr="005E3D65" w:rsidTr="0027505B">
        <w:trPr>
          <w:trHeight w:val="20"/>
        </w:trPr>
        <w:tc>
          <w:tcPr>
            <w:tcW w:w="4585" w:type="dxa"/>
            <w:shd w:val="clear" w:color="auto" w:fill="D9D9D9"/>
            <w:vAlign w:val="center"/>
          </w:tcPr>
          <w:p w:rsidR="0044509C" w:rsidRPr="005E3D65" w:rsidRDefault="0044509C" w:rsidP="0044509C">
            <w:pPr>
              <w:rPr>
                <w:sz w:val="18"/>
                <w:szCs w:val="18"/>
              </w:rPr>
            </w:pPr>
            <w:r w:rsidRPr="005E3D65">
              <w:rPr>
                <w:rFonts w:hint="eastAsia"/>
                <w:sz w:val="18"/>
                <w:szCs w:val="18"/>
              </w:rPr>
              <w:t>四、净利润</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604,019,365.43</w:t>
            </w:r>
          </w:p>
        </w:tc>
        <w:tc>
          <w:tcPr>
            <w:tcW w:w="2048" w:type="dxa"/>
            <w:vAlign w:val="center"/>
          </w:tcPr>
          <w:p w:rsidR="0044509C" w:rsidRPr="005E3D65" w:rsidRDefault="00A37CE4" w:rsidP="0044509C">
            <w:pPr>
              <w:jc w:val="right"/>
              <w:rPr>
                <w:sz w:val="18"/>
                <w:szCs w:val="18"/>
              </w:rPr>
            </w:pPr>
            <w:r w:rsidRPr="005E3D65">
              <w:rPr>
                <w:sz w:val="18"/>
                <w:szCs w:val="18"/>
              </w:rPr>
              <w:t>204,810,906.90</w:t>
            </w:r>
          </w:p>
        </w:tc>
      </w:tr>
      <w:tr w:rsidR="005E3D65" w:rsidRPr="005E3D65" w:rsidTr="0027505B">
        <w:trPr>
          <w:trHeight w:val="20"/>
        </w:trPr>
        <w:tc>
          <w:tcPr>
            <w:tcW w:w="4585" w:type="dxa"/>
            <w:shd w:val="clear" w:color="auto" w:fill="D9D9D9"/>
            <w:vAlign w:val="center"/>
          </w:tcPr>
          <w:p w:rsidR="005E3D65" w:rsidRPr="005E3D65" w:rsidRDefault="005E3D65" w:rsidP="005E3D65">
            <w:pPr>
              <w:rPr>
                <w:sz w:val="18"/>
                <w:szCs w:val="18"/>
              </w:rPr>
            </w:pPr>
            <w:r w:rsidRPr="005E3D65">
              <w:rPr>
                <w:rFonts w:hint="eastAsia"/>
                <w:sz w:val="18"/>
                <w:szCs w:val="18"/>
              </w:rPr>
              <w:t>五、其他综合收益的税后净额</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5E3D65">
            <w:pPr>
              <w:wordWrap w:val="0"/>
              <w:jc w:val="right"/>
              <w:rPr>
                <w:sz w:val="18"/>
                <w:szCs w:val="18"/>
              </w:rPr>
            </w:pPr>
            <w:r w:rsidRPr="005E3D65">
              <w:rPr>
                <w:sz w:val="18"/>
                <w:szCs w:val="18"/>
              </w:rPr>
              <w:t>-    </w:t>
            </w:r>
          </w:p>
        </w:tc>
        <w:tc>
          <w:tcPr>
            <w:tcW w:w="2048" w:type="dxa"/>
            <w:vAlign w:val="center"/>
          </w:tcPr>
          <w:p w:rsidR="005E3D65" w:rsidRPr="005E3D65" w:rsidRDefault="005E3D65" w:rsidP="005E3D65">
            <w:pPr>
              <w:jc w:val="right"/>
              <w:rPr>
                <w:sz w:val="18"/>
                <w:szCs w:val="18"/>
              </w:rPr>
            </w:pPr>
            <w:r w:rsidRPr="005E3D65">
              <w:rPr>
                <w:sz w:val="18"/>
                <w:szCs w:val="18"/>
              </w:rPr>
              <w:t>-    </w:t>
            </w:r>
          </w:p>
        </w:tc>
      </w:tr>
      <w:tr w:rsidR="0044509C" w:rsidRPr="005E3D65" w:rsidTr="0027505B">
        <w:trPr>
          <w:trHeight w:val="20"/>
        </w:trPr>
        <w:tc>
          <w:tcPr>
            <w:tcW w:w="4585" w:type="dxa"/>
            <w:shd w:val="clear" w:color="auto" w:fill="D9D9D9"/>
            <w:vAlign w:val="center"/>
          </w:tcPr>
          <w:p w:rsidR="0044509C" w:rsidRPr="005E3D65" w:rsidRDefault="0044509C" w:rsidP="0044509C">
            <w:pPr>
              <w:rPr>
                <w:sz w:val="18"/>
                <w:szCs w:val="18"/>
              </w:rPr>
            </w:pPr>
            <w:r w:rsidRPr="005E3D65">
              <w:rPr>
                <w:rFonts w:hint="eastAsia"/>
                <w:sz w:val="18"/>
                <w:szCs w:val="18"/>
              </w:rPr>
              <w:t>六、综合收益总额</w:t>
            </w:r>
          </w:p>
        </w:tc>
        <w:tc>
          <w:tcPr>
            <w:tcW w:w="1485" w:type="dxa"/>
            <w:vAlign w:val="center"/>
          </w:tcPr>
          <w:p w:rsidR="0044509C" w:rsidRPr="005E3D65" w:rsidRDefault="0044509C" w:rsidP="0044509C">
            <w:pPr>
              <w:jc w:val="center"/>
              <w:rPr>
                <w:sz w:val="18"/>
                <w:szCs w:val="18"/>
              </w:rPr>
            </w:pPr>
          </w:p>
        </w:tc>
        <w:tc>
          <w:tcPr>
            <w:tcW w:w="2047" w:type="dxa"/>
            <w:vAlign w:val="center"/>
          </w:tcPr>
          <w:p w:rsidR="0044509C" w:rsidRPr="005E3D65" w:rsidRDefault="00A37CE4" w:rsidP="0044509C">
            <w:pPr>
              <w:jc w:val="right"/>
              <w:rPr>
                <w:sz w:val="18"/>
                <w:szCs w:val="18"/>
              </w:rPr>
            </w:pPr>
            <w:r w:rsidRPr="005E3D65">
              <w:rPr>
                <w:sz w:val="18"/>
                <w:szCs w:val="18"/>
              </w:rPr>
              <w:t>604,019,365.43</w:t>
            </w:r>
          </w:p>
        </w:tc>
        <w:tc>
          <w:tcPr>
            <w:tcW w:w="2048" w:type="dxa"/>
            <w:vAlign w:val="center"/>
          </w:tcPr>
          <w:p w:rsidR="0044509C" w:rsidRPr="005E3D65" w:rsidRDefault="00A37CE4" w:rsidP="0044509C">
            <w:pPr>
              <w:jc w:val="right"/>
              <w:rPr>
                <w:sz w:val="18"/>
                <w:szCs w:val="18"/>
              </w:rPr>
            </w:pPr>
            <w:r w:rsidRPr="005E3D65">
              <w:rPr>
                <w:sz w:val="18"/>
                <w:szCs w:val="18"/>
              </w:rPr>
              <w:t>204,810,906.90</w:t>
            </w:r>
          </w:p>
        </w:tc>
      </w:tr>
    </w:tbl>
    <w:p w:rsidR="000828CF" w:rsidRPr="00A71D2E" w:rsidRDefault="000828CF">
      <w:pPr>
        <w:tabs>
          <w:tab w:val="right" w:pos="10178"/>
        </w:tabs>
        <w:rPr>
          <w:rFonts w:eastAsia="宋体" w:cs="Times New Roman"/>
          <w:kern w:val="2"/>
          <w:szCs w:val="21"/>
        </w:rPr>
      </w:pPr>
    </w:p>
    <w:p w:rsidR="0051472B" w:rsidRPr="00A71D2E" w:rsidRDefault="0051472B" w:rsidP="00F66363">
      <w:pPr>
        <w:rPr>
          <w:rFonts w:eastAsia="宋体" w:cs="Times New Roman"/>
          <w:szCs w:val="21"/>
        </w:rPr>
      </w:pPr>
      <w:r w:rsidRPr="00A71D2E">
        <w:rPr>
          <w:rFonts w:eastAsia="宋体" w:cs="Times New Roman" w:hint="eastAsia"/>
          <w:szCs w:val="21"/>
        </w:rPr>
        <w:t>附注为财务报表的组成部分</w:t>
      </w:r>
    </w:p>
    <w:p w:rsidR="0051472B" w:rsidRPr="00A71D2E" w:rsidRDefault="0051472B" w:rsidP="00F66363">
      <w:pPr>
        <w:rPr>
          <w:rFonts w:eastAsia="宋体" w:cs="Times New Roman"/>
          <w:szCs w:val="21"/>
        </w:rPr>
      </w:pPr>
    </w:p>
    <w:p w:rsidR="004A7902" w:rsidRPr="00A71D2E" w:rsidRDefault="00B07360">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4A7902" w:rsidRPr="00A71D2E">
        <w:rPr>
          <w:rFonts w:eastAsia="宋体" w:cs="Times New Roman" w:hint="eastAsia"/>
          <w:szCs w:val="21"/>
        </w:rPr>
        <w:t>页至</w:t>
      </w:r>
      <w:r w:rsidR="006F55AB" w:rsidRPr="00A71D2E">
        <w:rPr>
          <w:rFonts w:eastAsia="宋体" w:cs="Times New Roman" w:hint="eastAsia"/>
          <w:szCs w:val="21"/>
        </w:rPr>
        <w:t>第</w:t>
      </w:r>
      <w:r w:rsidR="006208D2" w:rsidRPr="00F43E13">
        <w:rPr>
          <w:rFonts w:eastAsia="宋体" w:cs="Times New Roman"/>
          <w:szCs w:val="21"/>
        </w:rPr>
        <w:t>8</w:t>
      </w:r>
      <w:r w:rsidR="00E25E50">
        <w:rPr>
          <w:rFonts w:eastAsia="宋体" w:cs="Times New Roman"/>
          <w:szCs w:val="21"/>
        </w:rPr>
        <w:t>4</w:t>
      </w:r>
      <w:r w:rsidR="004A7902" w:rsidRPr="00A71D2E">
        <w:rPr>
          <w:rFonts w:eastAsia="宋体" w:cs="Times New Roman" w:hint="eastAsia"/>
          <w:szCs w:val="21"/>
        </w:rPr>
        <w:t>页的财务报表由下列负责人签署</w:t>
      </w:r>
      <w:r w:rsidR="005F14EE">
        <w:rPr>
          <w:rFonts w:eastAsia="宋体" w:cs="Times New Roman" w:hint="eastAsia"/>
          <w:szCs w:val="21"/>
        </w:rPr>
        <w:t>：</w:t>
      </w: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_____________________</w:t>
      </w:r>
      <w:r w:rsidRPr="00A71D2E">
        <w:rPr>
          <w:rFonts w:eastAsia="宋体" w:cs="Times New Roman"/>
          <w:szCs w:val="21"/>
        </w:rPr>
        <w:tab/>
        <w:t>_____________________</w:t>
      </w: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r>
      <w:r w:rsidRPr="00A71D2E">
        <w:rPr>
          <w:rFonts w:eastAsia="宋体" w:cs="Times New Roman" w:hint="eastAsia"/>
          <w:szCs w:val="21"/>
        </w:rPr>
        <w:t>法定代表人</w:t>
      </w:r>
      <w:r w:rsidRPr="00A71D2E">
        <w:rPr>
          <w:rFonts w:eastAsia="宋体" w:cs="Times New Roman"/>
          <w:szCs w:val="21"/>
        </w:rPr>
        <w:tab/>
      </w:r>
      <w:r w:rsidRPr="00A71D2E">
        <w:rPr>
          <w:rFonts w:eastAsia="宋体" w:cs="Times New Roman" w:hint="eastAsia"/>
          <w:szCs w:val="21"/>
        </w:rPr>
        <w:t>主管会计工作负责人</w:t>
      </w:r>
      <w:r w:rsidRPr="00A71D2E">
        <w:rPr>
          <w:rFonts w:eastAsia="宋体" w:cs="Times New Roman"/>
          <w:szCs w:val="21"/>
        </w:rPr>
        <w:tab/>
      </w:r>
      <w:r w:rsidRPr="00A71D2E">
        <w:rPr>
          <w:rFonts w:eastAsia="宋体" w:cs="Times New Roman" w:hint="eastAsia"/>
          <w:szCs w:val="21"/>
        </w:rPr>
        <w:t>会计机构负责人</w:t>
      </w:r>
    </w:p>
    <w:p w:rsidR="003A39B1" w:rsidRPr="00A71D2E" w:rsidRDefault="00B755FC">
      <w:pPr>
        <w:tabs>
          <w:tab w:val="right" w:pos="10178"/>
        </w:tabs>
        <w:rPr>
          <w:rFonts w:eastAsia="宋体" w:cs="Times New Roman"/>
          <w:kern w:val="2"/>
          <w:szCs w:val="21"/>
        </w:rPr>
      </w:pPr>
      <w:r w:rsidRPr="00A71D2E">
        <w:rPr>
          <w:rFonts w:eastAsia="宋体" w:cs="Times New Roman"/>
          <w:kern w:val="2"/>
          <w:szCs w:val="21"/>
        </w:rPr>
        <w:br w:type="page"/>
      </w:r>
    </w:p>
    <w:p w:rsidR="00291954" w:rsidRPr="00A71D2E" w:rsidRDefault="00DC0713">
      <w:pPr>
        <w:tabs>
          <w:tab w:val="right" w:pos="10178"/>
        </w:tabs>
        <w:rPr>
          <w:rFonts w:eastAsia="宋体" w:cs="Times New Roman"/>
          <w:kern w:val="2"/>
          <w:szCs w:val="21"/>
          <w:u w:val="single"/>
        </w:rPr>
      </w:pPr>
      <w:r w:rsidRPr="00A71D2E">
        <w:rPr>
          <w:rFonts w:eastAsia="宋体" w:cs="Times New Roman"/>
          <w:kern w:val="2"/>
          <w:szCs w:val="21"/>
          <w:u w:val="single"/>
        </w:rPr>
        <w:t>202</w:t>
      </w:r>
      <w:r w:rsidR="00D817B0">
        <w:rPr>
          <w:rFonts w:eastAsia="宋体" w:cs="Times New Roman"/>
          <w:kern w:val="2"/>
          <w:szCs w:val="21"/>
          <w:u w:val="single"/>
        </w:rPr>
        <w:t>3</w:t>
      </w:r>
      <w:r w:rsidRPr="00A71D2E">
        <w:rPr>
          <w:rFonts w:eastAsia="宋体" w:cs="Times New Roman" w:hint="eastAsia"/>
          <w:kern w:val="2"/>
          <w:szCs w:val="21"/>
          <w:u w:val="single"/>
        </w:rPr>
        <w:t>年</w:t>
      </w:r>
      <w:r w:rsidRPr="00A71D2E">
        <w:rPr>
          <w:rFonts w:eastAsia="宋体" w:cs="Times New Roman"/>
          <w:kern w:val="2"/>
          <w:szCs w:val="21"/>
          <w:u w:val="single"/>
        </w:rPr>
        <w:t>12</w:t>
      </w:r>
      <w:r w:rsidRPr="00A71D2E">
        <w:rPr>
          <w:rFonts w:eastAsia="宋体" w:cs="Times New Roman" w:hint="eastAsia"/>
          <w:kern w:val="2"/>
          <w:szCs w:val="21"/>
          <w:u w:val="single"/>
        </w:rPr>
        <w:t>月</w:t>
      </w:r>
      <w:r w:rsidRPr="00A71D2E">
        <w:rPr>
          <w:rFonts w:eastAsia="宋体" w:cs="Times New Roman"/>
          <w:kern w:val="2"/>
          <w:szCs w:val="21"/>
          <w:u w:val="single"/>
        </w:rPr>
        <w:t>31</w:t>
      </w:r>
      <w:r w:rsidRPr="00A71D2E">
        <w:rPr>
          <w:rFonts w:eastAsia="宋体" w:cs="Times New Roman" w:hint="eastAsia"/>
          <w:kern w:val="2"/>
          <w:szCs w:val="21"/>
          <w:u w:val="single"/>
        </w:rPr>
        <w:t>日</w:t>
      </w:r>
      <w:proofErr w:type="gramStart"/>
      <w:r w:rsidRPr="00A71D2E">
        <w:rPr>
          <w:rFonts w:eastAsia="宋体" w:cs="Times New Roman" w:hint="eastAsia"/>
          <w:kern w:val="2"/>
          <w:szCs w:val="21"/>
          <w:u w:val="single"/>
        </w:rPr>
        <w:t>止</w:t>
      </w:r>
      <w:proofErr w:type="gramEnd"/>
      <w:r w:rsidRPr="00A71D2E">
        <w:rPr>
          <w:rFonts w:eastAsia="宋体" w:cs="Times New Roman" w:hint="eastAsia"/>
          <w:kern w:val="2"/>
          <w:szCs w:val="21"/>
          <w:u w:val="single"/>
        </w:rPr>
        <w:t>年度</w:t>
      </w:r>
      <w:r w:rsidR="00291954" w:rsidRPr="00A71D2E">
        <w:rPr>
          <w:rFonts w:eastAsia="宋体" w:cs="Times New Roman"/>
          <w:kern w:val="2"/>
          <w:szCs w:val="21"/>
          <w:u w:val="single"/>
        </w:rPr>
        <w:tab/>
      </w:r>
    </w:p>
    <w:p w:rsidR="00A77D4A" w:rsidRPr="00A71D2E" w:rsidRDefault="00A77D4A">
      <w:pPr>
        <w:tabs>
          <w:tab w:val="right" w:pos="10178"/>
        </w:tabs>
        <w:rPr>
          <w:rFonts w:eastAsia="宋体" w:cs="Times New Roman"/>
          <w:szCs w:val="21"/>
        </w:rPr>
      </w:pPr>
    </w:p>
    <w:p w:rsidR="00B755FC" w:rsidRPr="00A71D2E" w:rsidRDefault="00B755FC">
      <w:pPr>
        <w:jc w:val="center"/>
        <w:outlineLvl w:val="0"/>
        <w:rPr>
          <w:rFonts w:eastAsia="宋体" w:cs="Times New Roman"/>
          <w:szCs w:val="21"/>
        </w:rPr>
      </w:pPr>
      <w:r w:rsidRPr="00A71D2E">
        <w:rPr>
          <w:rFonts w:eastAsia="宋体" w:cs="Times New Roman" w:hint="eastAsia"/>
          <w:b/>
          <w:bCs/>
          <w:szCs w:val="21"/>
        </w:rPr>
        <w:t>合并现金流量表</w:t>
      </w:r>
    </w:p>
    <w:p w:rsidR="00B755FC" w:rsidRPr="00A71D2E" w:rsidRDefault="00461604" w:rsidP="0027505B">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00B755FC" w:rsidRPr="00A71D2E">
        <w:rPr>
          <w:rFonts w:eastAsia="宋体" w:cs="Times New Roman" w:hint="eastAsia"/>
          <w:szCs w:val="21"/>
        </w:rPr>
        <w:t>人民币元</w:t>
      </w:r>
    </w:p>
    <w:tbl>
      <w:tblPr>
        <w:tblStyle w:val="aff5"/>
        <w:tblW w:w="0" w:type="auto"/>
        <w:tblInd w:w="-12" w:type="dxa"/>
        <w:tblLayout w:type="fixed"/>
        <w:tblLook w:val="04A0" w:firstRow="1" w:lastRow="0" w:firstColumn="1" w:lastColumn="0" w:noHBand="0" w:noVBand="1"/>
      </w:tblPr>
      <w:tblGrid>
        <w:gridCol w:w="4597"/>
        <w:gridCol w:w="1485"/>
        <w:gridCol w:w="2047"/>
        <w:gridCol w:w="2048"/>
      </w:tblGrid>
      <w:tr w:rsidR="00E95BC7" w:rsidRPr="005E3D65" w:rsidTr="0027505B">
        <w:trPr>
          <w:trHeight w:val="20"/>
        </w:trPr>
        <w:tc>
          <w:tcPr>
            <w:tcW w:w="4597" w:type="dxa"/>
            <w:shd w:val="clear" w:color="auto" w:fill="D9D9D9"/>
            <w:vAlign w:val="center"/>
          </w:tcPr>
          <w:p w:rsidR="00E95BC7" w:rsidRPr="005E3D65" w:rsidRDefault="00E95BC7">
            <w:pPr>
              <w:jc w:val="center"/>
              <w:rPr>
                <w:sz w:val="18"/>
                <w:szCs w:val="18"/>
              </w:rPr>
            </w:pPr>
            <w:r w:rsidRPr="005E3D65">
              <w:rPr>
                <w:rFonts w:hint="eastAsia"/>
                <w:sz w:val="18"/>
                <w:szCs w:val="18"/>
              </w:rPr>
              <w:t>项目</w:t>
            </w:r>
          </w:p>
        </w:tc>
        <w:tc>
          <w:tcPr>
            <w:tcW w:w="1485" w:type="dxa"/>
            <w:shd w:val="clear" w:color="auto" w:fill="D9D9D9"/>
            <w:vAlign w:val="center"/>
          </w:tcPr>
          <w:p w:rsidR="00E95BC7" w:rsidRPr="005E3D65" w:rsidRDefault="00E95BC7">
            <w:pPr>
              <w:jc w:val="center"/>
              <w:rPr>
                <w:sz w:val="18"/>
                <w:szCs w:val="18"/>
              </w:rPr>
            </w:pPr>
            <w:r w:rsidRPr="005E3D65">
              <w:rPr>
                <w:rFonts w:hint="eastAsia"/>
                <w:sz w:val="18"/>
                <w:szCs w:val="18"/>
              </w:rPr>
              <w:t>附注</w:t>
            </w:r>
          </w:p>
        </w:tc>
        <w:tc>
          <w:tcPr>
            <w:tcW w:w="2047" w:type="dxa"/>
            <w:shd w:val="clear" w:color="auto" w:fill="D9D9D9"/>
            <w:vAlign w:val="center"/>
          </w:tcPr>
          <w:p w:rsidR="00E95BC7" w:rsidRPr="005E3D65" w:rsidRDefault="00E95BC7">
            <w:pPr>
              <w:jc w:val="center"/>
              <w:rPr>
                <w:sz w:val="18"/>
                <w:szCs w:val="18"/>
              </w:rPr>
            </w:pPr>
            <w:r w:rsidRPr="005E3D65">
              <w:rPr>
                <w:rFonts w:hint="eastAsia"/>
                <w:sz w:val="18"/>
                <w:szCs w:val="18"/>
              </w:rPr>
              <w:t>本年发生额</w:t>
            </w:r>
          </w:p>
        </w:tc>
        <w:tc>
          <w:tcPr>
            <w:tcW w:w="2048" w:type="dxa"/>
            <w:shd w:val="clear" w:color="auto" w:fill="D9D9D9"/>
            <w:vAlign w:val="center"/>
          </w:tcPr>
          <w:p w:rsidR="00E95BC7" w:rsidRPr="005E3D65" w:rsidRDefault="00E95BC7">
            <w:pPr>
              <w:jc w:val="center"/>
              <w:rPr>
                <w:sz w:val="18"/>
                <w:szCs w:val="18"/>
              </w:rPr>
            </w:pPr>
            <w:r w:rsidRPr="005E3D65">
              <w:rPr>
                <w:rFonts w:hint="eastAsia"/>
                <w:sz w:val="18"/>
                <w:szCs w:val="18"/>
              </w:rPr>
              <w:t>上年发生额</w:t>
            </w:r>
          </w:p>
        </w:tc>
      </w:tr>
      <w:tr w:rsidR="00A1700B" w:rsidRPr="005E3D65" w:rsidTr="0027505B">
        <w:trPr>
          <w:trHeight w:val="20"/>
        </w:trPr>
        <w:tc>
          <w:tcPr>
            <w:tcW w:w="4597" w:type="dxa"/>
            <w:shd w:val="clear" w:color="auto" w:fill="D9D9D9"/>
            <w:vAlign w:val="center"/>
          </w:tcPr>
          <w:p w:rsidR="00A1700B" w:rsidRPr="005E3D65" w:rsidRDefault="00A1700B">
            <w:pPr>
              <w:rPr>
                <w:b/>
                <w:sz w:val="18"/>
                <w:szCs w:val="18"/>
              </w:rPr>
            </w:pPr>
            <w:r w:rsidRPr="005E3D65">
              <w:rPr>
                <w:rFonts w:hint="eastAsia"/>
                <w:b/>
                <w:sz w:val="18"/>
                <w:szCs w:val="18"/>
              </w:rPr>
              <w:t>一、经营活动产生的现金流量</w:t>
            </w:r>
          </w:p>
        </w:tc>
        <w:tc>
          <w:tcPr>
            <w:tcW w:w="1485" w:type="dxa"/>
            <w:shd w:val="clear" w:color="auto" w:fill="D9D9D9"/>
            <w:vAlign w:val="center"/>
          </w:tcPr>
          <w:p w:rsidR="00A1700B" w:rsidRPr="005E3D65" w:rsidRDefault="00A1700B">
            <w:pPr>
              <w:jc w:val="center"/>
              <w:rPr>
                <w:sz w:val="18"/>
                <w:szCs w:val="18"/>
              </w:rPr>
            </w:pPr>
          </w:p>
        </w:tc>
        <w:tc>
          <w:tcPr>
            <w:tcW w:w="2047" w:type="dxa"/>
            <w:shd w:val="clear" w:color="auto" w:fill="D9D9D9"/>
            <w:vAlign w:val="center"/>
          </w:tcPr>
          <w:p w:rsidR="00A1700B" w:rsidRPr="005E3D65" w:rsidRDefault="00A1700B">
            <w:pPr>
              <w:jc w:val="right"/>
              <w:rPr>
                <w:sz w:val="18"/>
                <w:szCs w:val="18"/>
              </w:rPr>
            </w:pPr>
          </w:p>
        </w:tc>
        <w:tc>
          <w:tcPr>
            <w:tcW w:w="2048" w:type="dxa"/>
            <w:shd w:val="clear" w:color="auto" w:fill="D9D9D9"/>
            <w:vAlign w:val="center"/>
          </w:tcPr>
          <w:p w:rsidR="00A1700B" w:rsidRPr="005E3D65" w:rsidRDefault="00A1700B">
            <w:pPr>
              <w:jc w:val="right"/>
              <w:rPr>
                <w:sz w:val="18"/>
                <w:szCs w:val="18"/>
              </w:rPr>
            </w:pP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销售商品、提供劳务收到的现金</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D87076" w:rsidP="00493A81">
            <w:pPr>
              <w:jc w:val="right"/>
              <w:rPr>
                <w:sz w:val="18"/>
                <w:szCs w:val="18"/>
              </w:rPr>
            </w:pPr>
            <w:r w:rsidRPr="005E3D65">
              <w:rPr>
                <w:sz w:val="18"/>
                <w:szCs w:val="18"/>
              </w:rPr>
              <w:t>5,520,864,218.70</w:t>
            </w:r>
          </w:p>
        </w:tc>
        <w:tc>
          <w:tcPr>
            <w:tcW w:w="2048" w:type="dxa"/>
            <w:vAlign w:val="center"/>
          </w:tcPr>
          <w:p w:rsidR="00493A81" w:rsidRPr="005E3D65" w:rsidRDefault="00493A81" w:rsidP="00493A81">
            <w:pPr>
              <w:jc w:val="right"/>
              <w:rPr>
                <w:sz w:val="18"/>
                <w:szCs w:val="18"/>
              </w:rPr>
            </w:pPr>
            <w:r w:rsidRPr="005E3D65">
              <w:rPr>
                <w:sz w:val="18"/>
                <w:szCs w:val="18"/>
              </w:rPr>
              <w:t>4,941,491,186.20</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收到的税费返还</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C0597C" w:rsidP="00493A81">
            <w:pPr>
              <w:jc w:val="right"/>
              <w:rPr>
                <w:sz w:val="18"/>
                <w:szCs w:val="18"/>
              </w:rPr>
            </w:pPr>
            <w:r w:rsidRPr="005E3D65">
              <w:rPr>
                <w:sz w:val="18"/>
                <w:szCs w:val="18"/>
              </w:rPr>
              <w:t>159,809,154.99</w:t>
            </w:r>
          </w:p>
        </w:tc>
        <w:tc>
          <w:tcPr>
            <w:tcW w:w="2048" w:type="dxa"/>
            <w:vAlign w:val="center"/>
          </w:tcPr>
          <w:p w:rsidR="00493A81" w:rsidRPr="005E3D65" w:rsidRDefault="00493A81" w:rsidP="00493A81">
            <w:pPr>
              <w:jc w:val="right"/>
              <w:rPr>
                <w:sz w:val="18"/>
                <w:szCs w:val="18"/>
              </w:rPr>
            </w:pPr>
            <w:r w:rsidRPr="005E3D65">
              <w:rPr>
                <w:sz w:val="18"/>
                <w:szCs w:val="18"/>
              </w:rPr>
              <w:t>79,232,466.07</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收到其他与经营活动有关的现金</w:t>
            </w:r>
          </w:p>
        </w:tc>
        <w:tc>
          <w:tcPr>
            <w:tcW w:w="1485" w:type="dxa"/>
            <w:vAlign w:val="center"/>
          </w:tcPr>
          <w:p w:rsidR="00493A81" w:rsidRPr="005E3D65" w:rsidRDefault="005F14EE" w:rsidP="00493A81">
            <w:pPr>
              <w:jc w:val="center"/>
              <w:rPr>
                <w:sz w:val="18"/>
                <w:szCs w:val="18"/>
              </w:rPr>
            </w:pPr>
            <w:r w:rsidRPr="005E3D65">
              <w:rPr>
                <w:sz w:val="18"/>
                <w:szCs w:val="18"/>
              </w:rPr>
              <w:t>(</w:t>
            </w:r>
            <w:r w:rsidR="00493A81" w:rsidRPr="005E3D65">
              <w:rPr>
                <w:rFonts w:hint="eastAsia"/>
                <w:sz w:val="18"/>
                <w:szCs w:val="18"/>
              </w:rPr>
              <w:t>五</w:t>
            </w:r>
            <w:r w:rsidRPr="005E3D65">
              <w:rPr>
                <w:sz w:val="18"/>
                <w:szCs w:val="18"/>
              </w:rPr>
              <w:t>)</w:t>
            </w:r>
            <w:r w:rsidR="0036095E" w:rsidRPr="005E3D65">
              <w:rPr>
                <w:sz w:val="18"/>
                <w:szCs w:val="18"/>
              </w:rPr>
              <w:t>50</w:t>
            </w:r>
          </w:p>
        </w:tc>
        <w:tc>
          <w:tcPr>
            <w:tcW w:w="2047" w:type="dxa"/>
            <w:vAlign w:val="center"/>
          </w:tcPr>
          <w:p w:rsidR="00493A81" w:rsidRPr="005E3D65" w:rsidRDefault="003331A7" w:rsidP="00493A81">
            <w:pPr>
              <w:jc w:val="right"/>
              <w:rPr>
                <w:sz w:val="18"/>
                <w:szCs w:val="18"/>
              </w:rPr>
            </w:pPr>
            <w:r w:rsidRPr="005E3D65">
              <w:rPr>
                <w:sz w:val="18"/>
                <w:szCs w:val="18"/>
              </w:rPr>
              <w:t>125,202,903.30</w:t>
            </w:r>
          </w:p>
        </w:tc>
        <w:tc>
          <w:tcPr>
            <w:tcW w:w="2048" w:type="dxa"/>
            <w:vAlign w:val="center"/>
          </w:tcPr>
          <w:p w:rsidR="00493A81" w:rsidRPr="005E3D65" w:rsidRDefault="00493A81" w:rsidP="00493A81">
            <w:pPr>
              <w:jc w:val="right"/>
              <w:rPr>
                <w:sz w:val="18"/>
                <w:szCs w:val="18"/>
              </w:rPr>
            </w:pPr>
            <w:r w:rsidRPr="005E3D65">
              <w:rPr>
                <w:sz w:val="18"/>
                <w:szCs w:val="18"/>
              </w:rPr>
              <w:t>90,899,312.77</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b/>
                <w:sz w:val="18"/>
                <w:szCs w:val="18"/>
              </w:rPr>
              <w:tab/>
            </w:r>
            <w:r w:rsidRPr="005E3D65">
              <w:rPr>
                <w:rFonts w:hint="eastAsia"/>
                <w:b/>
                <w:sz w:val="18"/>
                <w:szCs w:val="18"/>
              </w:rPr>
              <w:t>经营活动现金流入小计</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C0597C" w:rsidP="00493A81">
            <w:pPr>
              <w:jc w:val="right"/>
              <w:rPr>
                <w:b/>
                <w:sz w:val="18"/>
                <w:szCs w:val="18"/>
              </w:rPr>
            </w:pPr>
            <w:r w:rsidRPr="005E3D65">
              <w:rPr>
                <w:b/>
                <w:sz w:val="18"/>
                <w:szCs w:val="18"/>
              </w:rPr>
              <w:t>5,805,876,276.99</w:t>
            </w:r>
          </w:p>
        </w:tc>
        <w:tc>
          <w:tcPr>
            <w:tcW w:w="2048" w:type="dxa"/>
            <w:vAlign w:val="center"/>
          </w:tcPr>
          <w:p w:rsidR="00493A81" w:rsidRPr="005E3D65" w:rsidRDefault="00493A81" w:rsidP="00493A81">
            <w:pPr>
              <w:jc w:val="right"/>
              <w:rPr>
                <w:b/>
                <w:sz w:val="18"/>
                <w:szCs w:val="18"/>
              </w:rPr>
            </w:pPr>
            <w:r w:rsidRPr="005E3D65">
              <w:rPr>
                <w:b/>
                <w:sz w:val="18"/>
                <w:szCs w:val="18"/>
              </w:rPr>
              <w:t>5,111,622,965.04</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购买商品、接受劳务支付的现金</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5B3877" w:rsidP="00493A81">
            <w:pPr>
              <w:jc w:val="right"/>
              <w:rPr>
                <w:sz w:val="18"/>
                <w:szCs w:val="18"/>
              </w:rPr>
            </w:pPr>
            <w:r w:rsidRPr="005E3D65">
              <w:rPr>
                <w:sz w:val="18"/>
                <w:szCs w:val="18"/>
              </w:rPr>
              <w:t>2,935,382,937.16</w:t>
            </w:r>
          </w:p>
        </w:tc>
        <w:tc>
          <w:tcPr>
            <w:tcW w:w="2048" w:type="dxa"/>
            <w:vAlign w:val="center"/>
          </w:tcPr>
          <w:p w:rsidR="00493A81" w:rsidRPr="005E3D65" w:rsidRDefault="00493A81" w:rsidP="00493A81">
            <w:pPr>
              <w:jc w:val="right"/>
              <w:rPr>
                <w:sz w:val="18"/>
                <w:szCs w:val="18"/>
              </w:rPr>
            </w:pPr>
            <w:r w:rsidRPr="005E3D65">
              <w:rPr>
                <w:sz w:val="18"/>
                <w:szCs w:val="18"/>
              </w:rPr>
              <w:t>2,678,871,630.53</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支付给职工以及为职工支付的现金</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D87076" w:rsidP="00493A81">
            <w:pPr>
              <w:jc w:val="right"/>
              <w:rPr>
                <w:sz w:val="18"/>
                <w:szCs w:val="18"/>
              </w:rPr>
            </w:pPr>
            <w:r w:rsidRPr="005E3D65">
              <w:rPr>
                <w:sz w:val="18"/>
                <w:szCs w:val="18"/>
              </w:rPr>
              <w:t>1,019,658,645.98</w:t>
            </w:r>
          </w:p>
        </w:tc>
        <w:tc>
          <w:tcPr>
            <w:tcW w:w="2048" w:type="dxa"/>
            <w:vAlign w:val="center"/>
          </w:tcPr>
          <w:p w:rsidR="00493A81" w:rsidRPr="005E3D65" w:rsidRDefault="00493A81" w:rsidP="00493A81">
            <w:pPr>
              <w:jc w:val="right"/>
              <w:rPr>
                <w:sz w:val="18"/>
                <w:szCs w:val="18"/>
              </w:rPr>
            </w:pPr>
            <w:r w:rsidRPr="005E3D65">
              <w:rPr>
                <w:sz w:val="18"/>
                <w:szCs w:val="18"/>
              </w:rPr>
              <w:t>930,007,006.73</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支付的各项税费</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C0597C" w:rsidP="00493A81">
            <w:pPr>
              <w:jc w:val="right"/>
              <w:rPr>
                <w:sz w:val="18"/>
                <w:szCs w:val="18"/>
              </w:rPr>
            </w:pPr>
            <w:r w:rsidRPr="005E3D65">
              <w:rPr>
                <w:sz w:val="18"/>
                <w:szCs w:val="18"/>
              </w:rPr>
              <w:t>237,821,019.04</w:t>
            </w:r>
          </w:p>
        </w:tc>
        <w:tc>
          <w:tcPr>
            <w:tcW w:w="2048" w:type="dxa"/>
            <w:vAlign w:val="center"/>
          </w:tcPr>
          <w:p w:rsidR="00493A81" w:rsidRPr="005E3D65" w:rsidRDefault="00493A81" w:rsidP="00493A81">
            <w:pPr>
              <w:jc w:val="right"/>
              <w:rPr>
                <w:sz w:val="18"/>
                <w:szCs w:val="18"/>
              </w:rPr>
            </w:pPr>
            <w:r w:rsidRPr="005E3D65">
              <w:rPr>
                <w:sz w:val="18"/>
                <w:szCs w:val="18"/>
              </w:rPr>
              <w:t>259,136,239.42</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支付其他与经营活动有关的现金</w:t>
            </w:r>
          </w:p>
        </w:tc>
        <w:tc>
          <w:tcPr>
            <w:tcW w:w="1485" w:type="dxa"/>
            <w:vAlign w:val="center"/>
          </w:tcPr>
          <w:p w:rsidR="00493A81" w:rsidRPr="005E3D65" w:rsidRDefault="005F14EE" w:rsidP="00493A81">
            <w:pPr>
              <w:jc w:val="center"/>
              <w:rPr>
                <w:sz w:val="18"/>
                <w:szCs w:val="18"/>
              </w:rPr>
            </w:pPr>
            <w:r w:rsidRPr="005E3D65">
              <w:rPr>
                <w:sz w:val="18"/>
                <w:szCs w:val="18"/>
              </w:rPr>
              <w:t>(</w:t>
            </w:r>
            <w:r w:rsidR="00493A81" w:rsidRPr="005E3D65">
              <w:rPr>
                <w:rFonts w:hint="eastAsia"/>
                <w:sz w:val="18"/>
                <w:szCs w:val="18"/>
              </w:rPr>
              <w:t>五</w:t>
            </w:r>
            <w:r w:rsidRPr="005E3D65">
              <w:rPr>
                <w:sz w:val="18"/>
                <w:szCs w:val="18"/>
              </w:rPr>
              <w:t>)</w:t>
            </w:r>
            <w:r w:rsidR="0036095E" w:rsidRPr="005E3D65">
              <w:rPr>
                <w:sz w:val="18"/>
                <w:szCs w:val="18"/>
              </w:rPr>
              <w:t>50</w:t>
            </w:r>
          </w:p>
        </w:tc>
        <w:tc>
          <w:tcPr>
            <w:tcW w:w="2047" w:type="dxa"/>
            <w:vAlign w:val="center"/>
          </w:tcPr>
          <w:p w:rsidR="00493A81" w:rsidRPr="005E3D65" w:rsidRDefault="009254AB" w:rsidP="00493A81">
            <w:pPr>
              <w:jc w:val="right"/>
              <w:rPr>
                <w:sz w:val="18"/>
                <w:szCs w:val="18"/>
              </w:rPr>
            </w:pPr>
            <w:r w:rsidRPr="005E3D65">
              <w:rPr>
                <w:sz w:val="18"/>
                <w:szCs w:val="18"/>
              </w:rPr>
              <w:t xml:space="preserve">642,447,485.12 </w:t>
            </w:r>
          </w:p>
        </w:tc>
        <w:tc>
          <w:tcPr>
            <w:tcW w:w="2048" w:type="dxa"/>
            <w:vAlign w:val="center"/>
          </w:tcPr>
          <w:p w:rsidR="00493A81" w:rsidRPr="005E3D65" w:rsidRDefault="00493A81" w:rsidP="00493A81">
            <w:pPr>
              <w:jc w:val="right"/>
              <w:rPr>
                <w:sz w:val="18"/>
                <w:szCs w:val="18"/>
              </w:rPr>
            </w:pPr>
            <w:r w:rsidRPr="005E3D65">
              <w:rPr>
                <w:sz w:val="18"/>
                <w:szCs w:val="18"/>
              </w:rPr>
              <w:t>508,050,044.91</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b/>
                <w:sz w:val="18"/>
                <w:szCs w:val="18"/>
              </w:rPr>
              <w:tab/>
            </w:r>
            <w:r w:rsidRPr="005E3D65">
              <w:rPr>
                <w:rFonts w:hint="eastAsia"/>
                <w:b/>
                <w:sz w:val="18"/>
                <w:szCs w:val="18"/>
              </w:rPr>
              <w:t>经营活动现金流出小计</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C0597C" w:rsidP="00493A81">
            <w:pPr>
              <w:jc w:val="right"/>
              <w:rPr>
                <w:b/>
                <w:sz w:val="18"/>
                <w:szCs w:val="18"/>
              </w:rPr>
            </w:pPr>
            <w:r w:rsidRPr="005E3D65">
              <w:rPr>
                <w:b/>
                <w:sz w:val="18"/>
                <w:szCs w:val="18"/>
              </w:rPr>
              <w:t xml:space="preserve">4,835,310,087.30 </w:t>
            </w:r>
          </w:p>
        </w:tc>
        <w:tc>
          <w:tcPr>
            <w:tcW w:w="2048" w:type="dxa"/>
            <w:vAlign w:val="center"/>
          </w:tcPr>
          <w:p w:rsidR="00493A81" w:rsidRPr="005E3D65" w:rsidRDefault="00493A81" w:rsidP="00493A81">
            <w:pPr>
              <w:jc w:val="right"/>
              <w:rPr>
                <w:b/>
                <w:sz w:val="18"/>
                <w:szCs w:val="18"/>
              </w:rPr>
            </w:pPr>
            <w:r w:rsidRPr="005E3D65">
              <w:rPr>
                <w:b/>
                <w:sz w:val="18"/>
                <w:szCs w:val="18"/>
              </w:rPr>
              <w:t>4,376,064,921.59</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b/>
                <w:sz w:val="18"/>
                <w:szCs w:val="18"/>
              </w:rPr>
              <w:tab/>
            </w:r>
            <w:r w:rsidRPr="005E3D65">
              <w:rPr>
                <w:rFonts w:hint="eastAsia"/>
                <w:b/>
                <w:sz w:val="18"/>
                <w:szCs w:val="18"/>
              </w:rPr>
              <w:t>经营活动产生的现金流量净额</w:t>
            </w:r>
          </w:p>
        </w:tc>
        <w:tc>
          <w:tcPr>
            <w:tcW w:w="1485" w:type="dxa"/>
            <w:vAlign w:val="center"/>
          </w:tcPr>
          <w:p w:rsidR="00493A81" w:rsidRPr="005E3D65" w:rsidRDefault="005F14EE" w:rsidP="00493A81">
            <w:pPr>
              <w:jc w:val="center"/>
              <w:rPr>
                <w:sz w:val="18"/>
                <w:szCs w:val="18"/>
              </w:rPr>
            </w:pPr>
            <w:r w:rsidRPr="005E3D65">
              <w:rPr>
                <w:sz w:val="18"/>
                <w:szCs w:val="18"/>
              </w:rPr>
              <w:t>(</w:t>
            </w:r>
            <w:r w:rsidR="00493A81" w:rsidRPr="005E3D65">
              <w:rPr>
                <w:rFonts w:hint="eastAsia"/>
                <w:sz w:val="18"/>
                <w:szCs w:val="18"/>
              </w:rPr>
              <w:t>五</w:t>
            </w:r>
            <w:r w:rsidRPr="005E3D65">
              <w:rPr>
                <w:sz w:val="18"/>
                <w:szCs w:val="18"/>
              </w:rPr>
              <w:t>)</w:t>
            </w:r>
            <w:r w:rsidR="00493A81" w:rsidRPr="005E3D65">
              <w:rPr>
                <w:sz w:val="18"/>
                <w:szCs w:val="18"/>
              </w:rPr>
              <w:t>5</w:t>
            </w:r>
            <w:r w:rsidR="0036095E" w:rsidRPr="005E3D65">
              <w:rPr>
                <w:sz w:val="18"/>
                <w:szCs w:val="18"/>
              </w:rPr>
              <w:t>1</w:t>
            </w:r>
          </w:p>
        </w:tc>
        <w:tc>
          <w:tcPr>
            <w:tcW w:w="2047" w:type="dxa"/>
            <w:vAlign w:val="center"/>
          </w:tcPr>
          <w:p w:rsidR="00493A81" w:rsidRPr="005E3D65" w:rsidRDefault="009254AB" w:rsidP="00493A81">
            <w:pPr>
              <w:jc w:val="right"/>
              <w:rPr>
                <w:b/>
                <w:sz w:val="18"/>
                <w:szCs w:val="18"/>
              </w:rPr>
            </w:pPr>
            <w:r w:rsidRPr="005E3D65">
              <w:rPr>
                <w:b/>
                <w:sz w:val="18"/>
                <w:szCs w:val="18"/>
              </w:rPr>
              <w:t>970,566,189.69</w:t>
            </w:r>
          </w:p>
        </w:tc>
        <w:tc>
          <w:tcPr>
            <w:tcW w:w="2048" w:type="dxa"/>
            <w:vAlign w:val="center"/>
          </w:tcPr>
          <w:p w:rsidR="00493A81" w:rsidRPr="005E3D65" w:rsidRDefault="00493A81" w:rsidP="00493A81">
            <w:pPr>
              <w:jc w:val="right"/>
              <w:rPr>
                <w:b/>
                <w:sz w:val="18"/>
                <w:szCs w:val="18"/>
              </w:rPr>
            </w:pPr>
            <w:r w:rsidRPr="005E3D65">
              <w:rPr>
                <w:b/>
                <w:sz w:val="18"/>
                <w:szCs w:val="18"/>
              </w:rPr>
              <w:t xml:space="preserve">735,558,043.45 </w:t>
            </w:r>
          </w:p>
        </w:tc>
      </w:tr>
      <w:tr w:rsidR="00493A81" w:rsidRPr="005E3D65" w:rsidTr="0027505B">
        <w:trPr>
          <w:trHeight w:val="20"/>
        </w:trPr>
        <w:tc>
          <w:tcPr>
            <w:tcW w:w="4597" w:type="dxa"/>
            <w:shd w:val="clear" w:color="auto" w:fill="D9D9D9"/>
            <w:vAlign w:val="center"/>
          </w:tcPr>
          <w:p w:rsidR="00493A81" w:rsidRPr="005E3D65" w:rsidRDefault="00493A81" w:rsidP="00493A81">
            <w:pPr>
              <w:tabs>
                <w:tab w:val="left" w:pos="363"/>
              </w:tabs>
              <w:rPr>
                <w:b/>
                <w:sz w:val="18"/>
                <w:szCs w:val="18"/>
              </w:rPr>
            </w:pPr>
            <w:r w:rsidRPr="005E3D65">
              <w:rPr>
                <w:rFonts w:hint="eastAsia"/>
                <w:b/>
                <w:sz w:val="18"/>
                <w:szCs w:val="18"/>
              </w:rPr>
              <w:t>二、投资活动产生的现金流量</w:t>
            </w:r>
          </w:p>
        </w:tc>
        <w:tc>
          <w:tcPr>
            <w:tcW w:w="1485" w:type="dxa"/>
            <w:shd w:val="clear" w:color="auto" w:fill="D9D9D9"/>
            <w:vAlign w:val="center"/>
          </w:tcPr>
          <w:p w:rsidR="00493A81" w:rsidRPr="005E3D65" w:rsidRDefault="00493A81" w:rsidP="00493A81">
            <w:pPr>
              <w:jc w:val="center"/>
              <w:rPr>
                <w:sz w:val="18"/>
                <w:szCs w:val="18"/>
              </w:rPr>
            </w:pPr>
          </w:p>
        </w:tc>
        <w:tc>
          <w:tcPr>
            <w:tcW w:w="2047" w:type="dxa"/>
            <w:shd w:val="clear" w:color="auto" w:fill="D9D9D9"/>
            <w:vAlign w:val="center"/>
          </w:tcPr>
          <w:p w:rsidR="00493A81" w:rsidRPr="005E3D65" w:rsidRDefault="00493A81" w:rsidP="00493A81">
            <w:pPr>
              <w:jc w:val="right"/>
              <w:rPr>
                <w:sz w:val="18"/>
                <w:szCs w:val="18"/>
              </w:rPr>
            </w:pPr>
          </w:p>
        </w:tc>
        <w:tc>
          <w:tcPr>
            <w:tcW w:w="2048" w:type="dxa"/>
            <w:shd w:val="clear" w:color="auto" w:fill="D9D9D9"/>
            <w:vAlign w:val="center"/>
          </w:tcPr>
          <w:p w:rsidR="00493A81" w:rsidRPr="005E3D65" w:rsidRDefault="00493A81" w:rsidP="00493A81">
            <w:pPr>
              <w:jc w:val="right"/>
              <w:rPr>
                <w:sz w:val="18"/>
                <w:szCs w:val="18"/>
              </w:rPr>
            </w:pP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处置固定资产、无形资产和其他长期</w:t>
            </w:r>
          </w:p>
          <w:p w:rsidR="00493A81" w:rsidRPr="005E3D65" w:rsidRDefault="00493A81" w:rsidP="0027505B">
            <w:pPr>
              <w:tabs>
                <w:tab w:val="left" w:pos="390"/>
              </w:tabs>
              <w:rPr>
                <w:sz w:val="18"/>
                <w:szCs w:val="18"/>
              </w:rPr>
            </w:pPr>
            <w:r w:rsidRPr="005E3D65">
              <w:rPr>
                <w:b/>
                <w:sz w:val="18"/>
                <w:szCs w:val="18"/>
              </w:rPr>
              <w:tab/>
              <w:t>    </w:t>
            </w:r>
            <w:r w:rsidRPr="005E3D65">
              <w:rPr>
                <w:rFonts w:hint="eastAsia"/>
                <w:sz w:val="18"/>
                <w:szCs w:val="18"/>
              </w:rPr>
              <w:t>资产收到的现金净额</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D87076" w:rsidP="00493A81">
            <w:pPr>
              <w:jc w:val="right"/>
              <w:rPr>
                <w:sz w:val="18"/>
                <w:szCs w:val="18"/>
              </w:rPr>
            </w:pPr>
            <w:r w:rsidRPr="005E3D65">
              <w:rPr>
                <w:sz w:val="18"/>
                <w:szCs w:val="18"/>
              </w:rPr>
              <w:t>329,453.55</w:t>
            </w:r>
          </w:p>
        </w:tc>
        <w:tc>
          <w:tcPr>
            <w:tcW w:w="2048" w:type="dxa"/>
            <w:vAlign w:val="center"/>
          </w:tcPr>
          <w:p w:rsidR="00493A81" w:rsidRPr="005E3D65" w:rsidRDefault="00493A81" w:rsidP="00493A81">
            <w:pPr>
              <w:jc w:val="right"/>
              <w:rPr>
                <w:sz w:val="18"/>
                <w:szCs w:val="18"/>
              </w:rPr>
            </w:pPr>
            <w:r w:rsidRPr="005E3D65">
              <w:rPr>
                <w:sz w:val="18"/>
                <w:szCs w:val="18"/>
              </w:rPr>
              <w:t>273,751.17</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b/>
                <w:sz w:val="18"/>
                <w:szCs w:val="18"/>
              </w:rPr>
              <w:tab/>
            </w:r>
            <w:r w:rsidRPr="005E3D65">
              <w:rPr>
                <w:rFonts w:hint="eastAsia"/>
                <w:b/>
                <w:sz w:val="18"/>
                <w:szCs w:val="18"/>
              </w:rPr>
              <w:t>投资活动现金流入小计</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D87076" w:rsidP="00493A81">
            <w:pPr>
              <w:jc w:val="right"/>
              <w:rPr>
                <w:b/>
                <w:sz w:val="18"/>
                <w:szCs w:val="18"/>
              </w:rPr>
            </w:pPr>
            <w:r w:rsidRPr="005E3D65">
              <w:rPr>
                <w:b/>
                <w:sz w:val="18"/>
                <w:szCs w:val="18"/>
              </w:rPr>
              <w:t>329,453.55</w:t>
            </w:r>
          </w:p>
        </w:tc>
        <w:tc>
          <w:tcPr>
            <w:tcW w:w="2048" w:type="dxa"/>
            <w:vAlign w:val="center"/>
          </w:tcPr>
          <w:p w:rsidR="00493A81" w:rsidRPr="005E3D65" w:rsidRDefault="00493A81" w:rsidP="00493A81">
            <w:pPr>
              <w:jc w:val="right"/>
              <w:rPr>
                <w:b/>
                <w:sz w:val="18"/>
                <w:szCs w:val="18"/>
              </w:rPr>
            </w:pPr>
            <w:r w:rsidRPr="005E3D65">
              <w:rPr>
                <w:b/>
                <w:sz w:val="18"/>
                <w:szCs w:val="18"/>
              </w:rPr>
              <w:t>273,751.17</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购建固定资产、无形资产和其他长期</w:t>
            </w:r>
          </w:p>
          <w:p w:rsidR="00493A81" w:rsidRPr="005E3D65" w:rsidRDefault="00493A81" w:rsidP="0027505B">
            <w:pPr>
              <w:tabs>
                <w:tab w:val="left" w:pos="390"/>
              </w:tabs>
              <w:rPr>
                <w:sz w:val="18"/>
                <w:szCs w:val="18"/>
              </w:rPr>
            </w:pPr>
            <w:r w:rsidRPr="005E3D65">
              <w:rPr>
                <w:b/>
                <w:sz w:val="18"/>
                <w:szCs w:val="18"/>
              </w:rPr>
              <w:tab/>
            </w:r>
            <w:r w:rsidRPr="005E3D65">
              <w:rPr>
                <w:bCs/>
                <w:sz w:val="18"/>
                <w:szCs w:val="18"/>
              </w:rPr>
              <w:t>    </w:t>
            </w:r>
            <w:r w:rsidRPr="005E3D65">
              <w:rPr>
                <w:rFonts w:hint="eastAsia"/>
                <w:sz w:val="18"/>
                <w:szCs w:val="18"/>
              </w:rPr>
              <w:t>资产支付的现金</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536536" w:rsidP="00493A81">
            <w:pPr>
              <w:jc w:val="right"/>
              <w:rPr>
                <w:sz w:val="18"/>
                <w:szCs w:val="18"/>
              </w:rPr>
            </w:pPr>
            <w:r w:rsidRPr="005E3D65">
              <w:rPr>
                <w:sz w:val="18"/>
                <w:szCs w:val="18"/>
              </w:rPr>
              <w:t>7</w:t>
            </w:r>
            <w:r w:rsidR="005B3877" w:rsidRPr="005E3D65">
              <w:rPr>
                <w:sz w:val="18"/>
                <w:szCs w:val="18"/>
              </w:rPr>
              <w:t>90</w:t>
            </w:r>
            <w:r w:rsidRPr="005E3D65">
              <w:rPr>
                <w:sz w:val="18"/>
                <w:szCs w:val="18"/>
              </w:rPr>
              <w:t>,</w:t>
            </w:r>
            <w:r w:rsidR="005B3877" w:rsidRPr="005E3D65">
              <w:rPr>
                <w:sz w:val="18"/>
                <w:szCs w:val="18"/>
              </w:rPr>
              <w:t>6</w:t>
            </w:r>
            <w:r w:rsidRPr="005E3D65">
              <w:rPr>
                <w:sz w:val="18"/>
                <w:szCs w:val="18"/>
              </w:rPr>
              <w:t>4</w:t>
            </w:r>
            <w:r w:rsidR="005B3877" w:rsidRPr="005E3D65">
              <w:rPr>
                <w:sz w:val="18"/>
                <w:szCs w:val="18"/>
              </w:rPr>
              <w:t>1</w:t>
            </w:r>
            <w:r w:rsidRPr="005E3D65">
              <w:rPr>
                <w:sz w:val="18"/>
                <w:szCs w:val="18"/>
              </w:rPr>
              <w:t>,4</w:t>
            </w:r>
            <w:r w:rsidR="005B3877" w:rsidRPr="005E3D65">
              <w:rPr>
                <w:sz w:val="18"/>
                <w:szCs w:val="18"/>
              </w:rPr>
              <w:t>92</w:t>
            </w:r>
            <w:r w:rsidRPr="005E3D65">
              <w:rPr>
                <w:sz w:val="18"/>
                <w:szCs w:val="18"/>
              </w:rPr>
              <w:t>.2</w:t>
            </w:r>
            <w:r w:rsidR="005B3877" w:rsidRPr="005E3D65">
              <w:rPr>
                <w:sz w:val="18"/>
                <w:szCs w:val="18"/>
              </w:rPr>
              <w:t>5</w:t>
            </w:r>
          </w:p>
        </w:tc>
        <w:tc>
          <w:tcPr>
            <w:tcW w:w="2048" w:type="dxa"/>
            <w:vAlign w:val="center"/>
          </w:tcPr>
          <w:p w:rsidR="00493A81" w:rsidRPr="005E3D65" w:rsidRDefault="00493A81" w:rsidP="00493A81">
            <w:pPr>
              <w:jc w:val="right"/>
              <w:rPr>
                <w:sz w:val="18"/>
                <w:szCs w:val="18"/>
              </w:rPr>
            </w:pPr>
            <w:r w:rsidRPr="005E3D65">
              <w:rPr>
                <w:sz w:val="18"/>
                <w:szCs w:val="18"/>
              </w:rPr>
              <w:t>337,109,693.02</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b/>
                <w:sz w:val="18"/>
                <w:szCs w:val="18"/>
              </w:rPr>
              <w:tab/>
            </w:r>
            <w:r w:rsidRPr="005E3D65">
              <w:rPr>
                <w:rFonts w:hint="eastAsia"/>
                <w:b/>
                <w:sz w:val="18"/>
                <w:szCs w:val="18"/>
              </w:rPr>
              <w:t>投资活动现金流出小计</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5B3877" w:rsidP="00493A81">
            <w:pPr>
              <w:jc w:val="right"/>
              <w:rPr>
                <w:b/>
                <w:sz w:val="18"/>
                <w:szCs w:val="18"/>
              </w:rPr>
            </w:pPr>
            <w:r w:rsidRPr="005E3D65">
              <w:rPr>
                <w:b/>
                <w:sz w:val="18"/>
                <w:szCs w:val="18"/>
              </w:rPr>
              <w:t>790,641,492.25</w:t>
            </w:r>
          </w:p>
        </w:tc>
        <w:tc>
          <w:tcPr>
            <w:tcW w:w="2048" w:type="dxa"/>
            <w:vAlign w:val="center"/>
          </w:tcPr>
          <w:p w:rsidR="00493A81" w:rsidRPr="005E3D65" w:rsidRDefault="00493A81" w:rsidP="00493A81">
            <w:pPr>
              <w:jc w:val="right"/>
              <w:rPr>
                <w:b/>
                <w:sz w:val="18"/>
                <w:szCs w:val="18"/>
              </w:rPr>
            </w:pPr>
            <w:r w:rsidRPr="005E3D65">
              <w:rPr>
                <w:b/>
                <w:sz w:val="18"/>
                <w:szCs w:val="18"/>
              </w:rPr>
              <w:t>337,109,693.02</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b/>
                <w:sz w:val="18"/>
                <w:szCs w:val="18"/>
              </w:rPr>
              <w:tab/>
            </w:r>
            <w:r w:rsidRPr="005E3D65">
              <w:rPr>
                <w:rFonts w:hint="eastAsia"/>
                <w:b/>
                <w:sz w:val="18"/>
                <w:szCs w:val="18"/>
              </w:rPr>
              <w:t>投资活动产生的现金流量净额</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5F14EE" w:rsidP="00493A81">
            <w:pPr>
              <w:jc w:val="right"/>
              <w:rPr>
                <w:b/>
                <w:sz w:val="18"/>
                <w:szCs w:val="18"/>
              </w:rPr>
            </w:pPr>
            <w:r w:rsidRPr="005E3D65">
              <w:rPr>
                <w:b/>
                <w:sz w:val="18"/>
                <w:szCs w:val="18"/>
              </w:rPr>
              <w:t>(</w:t>
            </w:r>
            <w:r w:rsidR="005B3877" w:rsidRPr="005E3D65">
              <w:rPr>
                <w:b/>
                <w:sz w:val="18"/>
                <w:szCs w:val="18"/>
              </w:rPr>
              <w:t>790,312,038.70</w:t>
            </w:r>
            <w:r w:rsidRPr="005E3D65">
              <w:rPr>
                <w:b/>
                <w:sz w:val="18"/>
                <w:szCs w:val="18"/>
              </w:rPr>
              <w:t>)</w:t>
            </w:r>
          </w:p>
        </w:tc>
        <w:tc>
          <w:tcPr>
            <w:tcW w:w="2048" w:type="dxa"/>
            <w:vAlign w:val="center"/>
          </w:tcPr>
          <w:p w:rsidR="00493A81" w:rsidRPr="005E3D65" w:rsidRDefault="005F14EE" w:rsidP="00493A81">
            <w:pPr>
              <w:jc w:val="right"/>
              <w:rPr>
                <w:b/>
                <w:sz w:val="18"/>
                <w:szCs w:val="18"/>
              </w:rPr>
            </w:pPr>
            <w:r w:rsidRPr="005E3D65">
              <w:rPr>
                <w:b/>
                <w:sz w:val="18"/>
                <w:szCs w:val="18"/>
              </w:rPr>
              <w:t>(</w:t>
            </w:r>
            <w:r w:rsidR="00493A81" w:rsidRPr="005E3D65">
              <w:rPr>
                <w:b/>
                <w:sz w:val="18"/>
                <w:szCs w:val="18"/>
              </w:rPr>
              <w:t>336,835,941.85</w:t>
            </w:r>
            <w:r w:rsidRPr="005E3D65">
              <w:rPr>
                <w:b/>
                <w:sz w:val="18"/>
                <w:szCs w:val="18"/>
              </w:rPr>
              <w:t>)</w:t>
            </w:r>
          </w:p>
        </w:tc>
      </w:tr>
      <w:tr w:rsidR="00493A81" w:rsidRPr="005E3D65" w:rsidTr="0027505B">
        <w:trPr>
          <w:trHeight w:val="20"/>
        </w:trPr>
        <w:tc>
          <w:tcPr>
            <w:tcW w:w="4597" w:type="dxa"/>
            <w:shd w:val="clear" w:color="auto" w:fill="D9D9D9"/>
            <w:vAlign w:val="center"/>
          </w:tcPr>
          <w:p w:rsidR="00493A81" w:rsidRPr="005E3D65" w:rsidRDefault="00493A81" w:rsidP="00493A81">
            <w:pPr>
              <w:rPr>
                <w:b/>
                <w:sz w:val="18"/>
                <w:szCs w:val="18"/>
              </w:rPr>
            </w:pPr>
            <w:r w:rsidRPr="005E3D65">
              <w:rPr>
                <w:rFonts w:hint="eastAsia"/>
                <w:b/>
                <w:sz w:val="18"/>
                <w:szCs w:val="18"/>
              </w:rPr>
              <w:t>三、筹资活动产生的现金流量</w:t>
            </w:r>
          </w:p>
        </w:tc>
        <w:tc>
          <w:tcPr>
            <w:tcW w:w="1485" w:type="dxa"/>
            <w:shd w:val="clear" w:color="auto" w:fill="D9D9D9"/>
            <w:vAlign w:val="center"/>
          </w:tcPr>
          <w:p w:rsidR="00493A81" w:rsidRPr="005E3D65" w:rsidRDefault="00493A81" w:rsidP="00493A81">
            <w:pPr>
              <w:jc w:val="center"/>
              <w:rPr>
                <w:sz w:val="18"/>
                <w:szCs w:val="18"/>
              </w:rPr>
            </w:pPr>
          </w:p>
        </w:tc>
        <w:tc>
          <w:tcPr>
            <w:tcW w:w="2047" w:type="dxa"/>
            <w:shd w:val="clear" w:color="auto" w:fill="D9D9D9"/>
            <w:vAlign w:val="center"/>
          </w:tcPr>
          <w:p w:rsidR="00493A81" w:rsidRPr="005E3D65" w:rsidRDefault="00493A81" w:rsidP="00493A81">
            <w:pPr>
              <w:jc w:val="right"/>
              <w:rPr>
                <w:sz w:val="18"/>
                <w:szCs w:val="18"/>
              </w:rPr>
            </w:pPr>
          </w:p>
        </w:tc>
        <w:tc>
          <w:tcPr>
            <w:tcW w:w="2048" w:type="dxa"/>
            <w:shd w:val="clear" w:color="auto" w:fill="D9D9D9"/>
            <w:vAlign w:val="center"/>
          </w:tcPr>
          <w:p w:rsidR="00493A81" w:rsidRPr="005E3D65" w:rsidRDefault="00493A81" w:rsidP="00493A81">
            <w:pPr>
              <w:jc w:val="right"/>
              <w:rPr>
                <w:sz w:val="18"/>
                <w:szCs w:val="18"/>
              </w:rPr>
            </w:pPr>
          </w:p>
        </w:tc>
      </w:tr>
      <w:tr w:rsidR="005E3D65" w:rsidRPr="005E3D65" w:rsidTr="0027505B">
        <w:trPr>
          <w:trHeight w:val="20"/>
        </w:trPr>
        <w:tc>
          <w:tcPr>
            <w:tcW w:w="4597" w:type="dxa"/>
            <w:shd w:val="clear" w:color="auto" w:fill="D9D9D9"/>
            <w:vAlign w:val="center"/>
          </w:tcPr>
          <w:p w:rsidR="005E3D65" w:rsidRPr="005E3D65" w:rsidRDefault="005E3D65" w:rsidP="0027505B">
            <w:pPr>
              <w:tabs>
                <w:tab w:val="left" w:pos="390"/>
              </w:tabs>
              <w:rPr>
                <w:sz w:val="18"/>
                <w:szCs w:val="18"/>
              </w:rPr>
            </w:pPr>
            <w:r w:rsidRPr="005E3D65">
              <w:rPr>
                <w:b/>
                <w:sz w:val="18"/>
                <w:szCs w:val="18"/>
              </w:rPr>
              <w:tab/>
            </w:r>
            <w:r w:rsidRPr="005E3D65">
              <w:rPr>
                <w:rFonts w:hint="eastAsia"/>
                <w:sz w:val="18"/>
                <w:szCs w:val="18"/>
              </w:rPr>
              <w:t>吸收投资所收到的现金</w:t>
            </w:r>
          </w:p>
        </w:tc>
        <w:tc>
          <w:tcPr>
            <w:tcW w:w="1485" w:type="dxa"/>
            <w:vAlign w:val="center"/>
          </w:tcPr>
          <w:p w:rsidR="005E3D65" w:rsidRPr="005E3D65" w:rsidRDefault="005E3D65" w:rsidP="005E3D65">
            <w:pPr>
              <w:jc w:val="center"/>
              <w:rPr>
                <w:sz w:val="18"/>
                <w:szCs w:val="18"/>
              </w:rPr>
            </w:pPr>
          </w:p>
        </w:tc>
        <w:tc>
          <w:tcPr>
            <w:tcW w:w="2047" w:type="dxa"/>
            <w:vAlign w:val="center"/>
          </w:tcPr>
          <w:p w:rsidR="005E3D65" w:rsidRPr="005E3D65" w:rsidRDefault="005E3D65" w:rsidP="0027505B">
            <w:pPr>
              <w:jc w:val="right"/>
              <w:rPr>
                <w:sz w:val="18"/>
                <w:szCs w:val="18"/>
              </w:rPr>
            </w:pPr>
            <w:r w:rsidRPr="005E3D65">
              <w:rPr>
                <w:sz w:val="18"/>
                <w:szCs w:val="18"/>
              </w:rPr>
              <w:t>-    </w:t>
            </w:r>
          </w:p>
        </w:tc>
        <w:tc>
          <w:tcPr>
            <w:tcW w:w="2048" w:type="dxa"/>
            <w:vAlign w:val="center"/>
          </w:tcPr>
          <w:p w:rsidR="005E3D65" w:rsidRPr="005E3D65" w:rsidRDefault="005E3D65" w:rsidP="005E3D65">
            <w:pPr>
              <w:jc w:val="right"/>
              <w:rPr>
                <w:sz w:val="18"/>
                <w:szCs w:val="18"/>
              </w:rPr>
            </w:pPr>
            <w:r w:rsidRPr="005E3D65">
              <w:rPr>
                <w:sz w:val="18"/>
                <w:szCs w:val="18"/>
              </w:rPr>
              <w:t>3,147,475,235.85</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取得借款收到的现金</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D87076" w:rsidP="00493A81">
            <w:pPr>
              <w:jc w:val="right"/>
              <w:rPr>
                <w:sz w:val="18"/>
                <w:szCs w:val="18"/>
              </w:rPr>
            </w:pPr>
            <w:r w:rsidRPr="005E3D65">
              <w:rPr>
                <w:sz w:val="18"/>
                <w:szCs w:val="18"/>
              </w:rPr>
              <w:t>92,525,771.79</w:t>
            </w:r>
          </w:p>
        </w:tc>
        <w:tc>
          <w:tcPr>
            <w:tcW w:w="2048" w:type="dxa"/>
            <w:vAlign w:val="center"/>
          </w:tcPr>
          <w:p w:rsidR="00493A81" w:rsidRPr="005E3D65" w:rsidRDefault="00493A81" w:rsidP="00493A81">
            <w:pPr>
              <w:jc w:val="right"/>
              <w:rPr>
                <w:sz w:val="18"/>
                <w:szCs w:val="18"/>
              </w:rPr>
            </w:pPr>
            <w:r w:rsidRPr="005E3D65">
              <w:rPr>
                <w:sz w:val="18"/>
                <w:szCs w:val="18"/>
              </w:rPr>
              <w:t>429,811,259.46</w:t>
            </w:r>
          </w:p>
        </w:tc>
      </w:tr>
      <w:tr w:rsidR="00493A81" w:rsidRPr="005E3D65" w:rsidTr="0027505B">
        <w:trPr>
          <w:trHeight w:val="20"/>
        </w:trPr>
        <w:tc>
          <w:tcPr>
            <w:tcW w:w="4597" w:type="dxa"/>
            <w:shd w:val="clear" w:color="auto" w:fill="D9D9D9"/>
            <w:vAlign w:val="center"/>
          </w:tcPr>
          <w:p w:rsidR="00493A81" w:rsidRPr="005E3D65" w:rsidRDefault="00F36ADA" w:rsidP="0027505B">
            <w:pPr>
              <w:tabs>
                <w:tab w:val="left" w:pos="390"/>
              </w:tabs>
              <w:rPr>
                <w:bCs/>
                <w:sz w:val="18"/>
                <w:szCs w:val="18"/>
              </w:rPr>
            </w:pPr>
            <w:r>
              <w:rPr>
                <w:bCs/>
                <w:sz w:val="18"/>
                <w:szCs w:val="18"/>
              </w:rPr>
              <w:tab/>
            </w:r>
            <w:r w:rsidR="00493A81" w:rsidRPr="005E3D65">
              <w:rPr>
                <w:rFonts w:hint="eastAsia"/>
                <w:bCs/>
                <w:sz w:val="18"/>
                <w:szCs w:val="18"/>
              </w:rPr>
              <w:t>收到的其他与筹资活动有关的现金</w:t>
            </w:r>
          </w:p>
        </w:tc>
        <w:tc>
          <w:tcPr>
            <w:tcW w:w="1485" w:type="dxa"/>
            <w:vAlign w:val="center"/>
          </w:tcPr>
          <w:p w:rsidR="00493A81" w:rsidRPr="005E3D65" w:rsidRDefault="005F14EE" w:rsidP="00493A81">
            <w:pPr>
              <w:jc w:val="center"/>
              <w:rPr>
                <w:sz w:val="18"/>
                <w:szCs w:val="18"/>
              </w:rPr>
            </w:pPr>
            <w:r w:rsidRPr="005E3D65">
              <w:rPr>
                <w:sz w:val="18"/>
                <w:szCs w:val="18"/>
              </w:rPr>
              <w:t>(</w:t>
            </w:r>
            <w:r w:rsidR="0036095E" w:rsidRPr="005E3D65">
              <w:rPr>
                <w:rFonts w:hint="eastAsia"/>
                <w:sz w:val="18"/>
                <w:szCs w:val="18"/>
              </w:rPr>
              <w:t>五</w:t>
            </w:r>
            <w:r w:rsidRPr="005E3D65">
              <w:rPr>
                <w:sz w:val="18"/>
                <w:szCs w:val="18"/>
              </w:rPr>
              <w:t>)</w:t>
            </w:r>
            <w:r w:rsidR="0036095E" w:rsidRPr="005E3D65">
              <w:rPr>
                <w:sz w:val="18"/>
                <w:szCs w:val="18"/>
              </w:rPr>
              <w:t>50</w:t>
            </w:r>
          </w:p>
        </w:tc>
        <w:tc>
          <w:tcPr>
            <w:tcW w:w="2047" w:type="dxa"/>
            <w:vAlign w:val="center"/>
          </w:tcPr>
          <w:p w:rsidR="00493A81" w:rsidRPr="005E3D65" w:rsidRDefault="00D87076" w:rsidP="00493A81">
            <w:pPr>
              <w:jc w:val="right"/>
              <w:rPr>
                <w:sz w:val="18"/>
                <w:szCs w:val="18"/>
              </w:rPr>
            </w:pPr>
            <w:r w:rsidRPr="005E3D65">
              <w:rPr>
                <w:sz w:val="18"/>
                <w:szCs w:val="18"/>
              </w:rPr>
              <w:t>491,573.65</w:t>
            </w:r>
          </w:p>
        </w:tc>
        <w:tc>
          <w:tcPr>
            <w:tcW w:w="2048" w:type="dxa"/>
            <w:vAlign w:val="center"/>
          </w:tcPr>
          <w:p w:rsidR="00493A81" w:rsidRPr="005E3D65" w:rsidRDefault="00493A81" w:rsidP="00493A81">
            <w:pPr>
              <w:jc w:val="right"/>
              <w:rPr>
                <w:sz w:val="18"/>
                <w:szCs w:val="18"/>
              </w:rPr>
            </w:pPr>
            <w:r w:rsidRPr="005E3D65">
              <w:rPr>
                <w:sz w:val="18"/>
                <w:szCs w:val="18"/>
              </w:rPr>
              <w:t>305,980.80</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b/>
                <w:sz w:val="18"/>
                <w:szCs w:val="18"/>
              </w:rPr>
              <w:tab/>
            </w:r>
            <w:r w:rsidRPr="005E3D65">
              <w:rPr>
                <w:rFonts w:hint="eastAsia"/>
                <w:b/>
                <w:sz w:val="18"/>
                <w:szCs w:val="18"/>
              </w:rPr>
              <w:t>筹资活动现金流入小计</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D87076" w:rsidP="00493A81">
            <w:pPr>
              <w:jc w:val="right"/>
              <w:rPr>
                <w:b/>
                <w:sz w:val="18"/>
                <w:szCs w:val="18"/>
              </w:rPr>
            </w:pPr>
            <w:r w:rsidRPr="005E3D65">
              <w:rPr>
                <w:b/>
                <w:sz w:val="18"/>
                <w:szCs w:val="18"/>
              </w:rPr>
              <w:t>93,017,345.44</w:t>
            </w:r>
          </w:p>
        </w:tc>
        <w:tc>
          <w:tcPr>
            <w:tcW w:w="2048" w:type="dxa"/>
            <w:vAlign w:val="center"/>
          </w:tcPr>
          <w:p w:rsidR="00493A81" w:rsidRPr="005E3D65" w:rsidRDefault="00493A81" w:rsidP="00493A81">
            <w:pPr>
              <w:jc w:val="right"/>
              <w:rPr>
                <w:b/>
                <w:sz w:val="18"/>
                <w:szCs w:val="18"/>
              </w:rPr>
            </w:pPr>
            <w:r w:rsidRPr="005E3D65">
              <w:rPr>
                <w:b/>
                <w:sz w:val="18"/>
                <w:szCs w:val="18"/>
              </w:rPr>
              <w:t>3,577,592,476.11</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sz w:val="18"/>
                <w:szCs w:val="18"/>
              </w:rPr>
              <w:tab/>
            </w:r>
            <w:r w:rsidRPr="005E3D65">
              <w:rPr>
                <w:rFonts w:hint="eastAsia"/>
                <w:sz w:val="18"/>
                <w:szCs w:val="18"/>
              </w:rPr>
              <w:t>偿还债务所支付的现金</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D87076" w:rsidP="00493A81">
            <w:pPr>
              <w:jc w:val="right"/>
              <w:rPr>
                <w:bCs/>
                <w:sz w:val="18"/>
                <w:szCs w:val="18"/>
              </w:rPr>
            </w:pPr>
            <w:r w:rsidRPr="005E3D65">
              <w:rPr>
                <w:bCs/>
                <w:sz w:val="18"/>
                <w:szCs w:val="18"/>
              </w:rPr>
              <w:t>201,000,000.00</w:t>
            </w:r>
          </w:p>
        </w:tc>
        <w:tc>
          <w:tcPr>
            <w:tcW w:w="2048" w:type="dxa"/>
            <w:vAlign w:val="center"/>
          </w:tcPr>
          <w:p w:rsidR="00493A81" w:rsidRPr="005E3D65" w:rsidRDefault="00493A81" w:rsidP="00493A81">
            <w:pPr>
              <w:jc w:val="right"/>
              <w:rPr>
                <w:sz w:val="18"/>
                <w:szCs w:val="18"/>
              </w:rPr>
            </w:pPr>
            <w:r w:rsidRPr="005E3D65">
              <w:rPr>
                <w:bCs/>
                <w:sz w:val="18"/>
                <w:szCs w:val="18"/>
              </w:rPr>
              <w:t>351,000,000.00</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分配股利、利润和偿付利息所支付的现金</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D87076" w:rsidP="00493A81">
            <w:pPr>
              <w:jc w:val="right"/>
              <w:rPr>
                <w:sz w:val="18"/>
                <w:szCs w:val="18"/>
              </w:rPr>
            </w:pPr>
            <w:r w:rsidRPr="005E3D65">
              <w:rPr>
                <w:sz w:val="18"/>
                <w:szCs w:val="18"/>
              </w:rPr>
              <w:t>183,945,621.78</w:t>
            </w:r>
          </w:p>
        </w:tc>
        <w:tc>
          <w:tcPr>
            <w:tcW w:w="2048" w:type="dxa"/>
            <w:vAlign w:val="center"/>
          </w:tcPr>
          <w:p w:rsidR="00493A81" w:rsidRPr="005E3D65" w:rsidRDefault="00493A81" w:rsidP="00493A81">
            <w:pPr>
              <w:jc w:val="right"/>
              <w:rPr>
                <w:sz w:val="18"/>
                <w:szCs w:val="18"/>
              </w:rPr>
            </w:pPr>
            <w:r w:rsidRPr="005E3D65">
              <w:rPr>
                <w:sz w:val="18"/>
                <w:szCs w:val="18"/>
              </w:rPr>
              <w:t>12,903,883.20</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sz w:val="18"/>
                <w:szCs w:val="18"/>
              </w:rPr>
            </w:pPr>
            <w:r w:rsidRPr="005E3D65">
              <w:rPr>
                <w:b/>
                <w:sz w:val="18"/>
                <w:szCs w:val="18"/>
              </w:rPr>
              <w:tab/>
            </w:r>
            <w:r w:rsidRPr="005E3D65">
              <w:rPr>
                <w:rFonts w:hint="eastAsia"/>
                <w:sz w:val="18"/>
                <w:szCs w:val="18"/>
              </w:rPr>
              <w:t>支付其他与筹资活动有关的现金</w:t>
            </w:r>
          </w:p>
        </w:tc>
        <w:tc>
          <w:tcPr>
            <w:tcW w:w="1485" w:type="dxa"/>
            <w:vAlign w:val="center"/>
          </w:tcPr>
          <w:p w:rsidR="00493A81" w:rsidRPr="005E3D65" w:rsidRDefault="005F14EE" w:rsidP="00493A81">
            <w:pPr>
              <w:jc w:val="center"/>
              <w:rPr>
                <w:sz w:val="18"/>
                <w:szCs w:val="18"/>
              </w:rPr>
            </w:pPr>
            <w:r w:rsidRPr="005E3D65">
              <w:rPr>
                <w:sz w:val="18"/>
                <w:szCs w:val="18"/>
              </w:rPr>
              <w:t>(</w:t>
            </w:r>
            <w:r w:rsidR="00493A81" w:rsidRPr="005E3D65">
              <w:rPr>
                <w:rFonts w:hint="eastAsia"/>
                <w:sz w:val="18"/>
                <w:szCs w:val="18"/>
              </w:rPr>
              <w:t>五</w:t>
            </w:r>
            <w:r w:rsidRPr="005E3D65">
              <w:rPr>
                <w:sz w:val="18"/>
                <w:szCs w:val="18"/>
              </w:rPr>
              <w:t>)</w:t>
            </w:r>
            <w:r w:rsidR="0036095E" w:rsidRPr="005E3D65">
              <w:rPr>
                <w:sz w:val="18"/>
                <w:szCs w:val="18"/>
              </w:rPr>
              <w:t>50</w:t>
            </w:r>
          </w:p>
        </w:tc>
        <w:tc>
          <w:tcPr>
            <w:tcW w:w="2047" w:type="dxa"/>
            <w:vAlign w:val="center"/>
          </w:tcPr>
          <w:p w:rsidR="00493A81" w:rsidRPr="005E3D65" w:rsidRDefault="009254AB" w:rsidP="00493A81">
            <w:pPr>
              <w:jc w:val="right"/>
              <w:rPr>
                <w:sz w:val="18"/>
                <w:szCs w:val="18"/>
              </w:rPr>
            </w:pPr>
            <w:r w:rsidRPr="005E3D65">
              <w:rPr>
                <w:sz w:val="18"/>
                <w:szCs w:val="18"/>
              </w:rPr>
              <w:t>59,633,648.11</w:t>
            </w:r>
          </w:p>
        </w:tc>
        <w:tc>
          <w:tcPr>
            <w:tcW w:w="2048" w:type="dxa"/>
            <w:vAlign w:val="center"/>
          </w:tcPr>
          <w:p w:rsidR="00493A81" w:rsidRPr="005E3D65" w:rsidRDefault="00493A81" w:rsidP="00493A81">
            <w:pPr>
              <w:jc w:val="right"/>
              <w:rPr>
                <w:sz w:val="18"/>
                <w:szCs w:val="18"/>
              </w:rPr>
            </w:pPr>
            <w:r w:rsidRPr="005E3D65">
              <w:rPr>
                <w:sz w:val="18"/>
                <w:szCs w:val="18"/>
              </w:rPr>
              <w:t>45,379,768.98</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b/>
                <w:sz w:val="18"/>
                <w:szCs w:val="18"/>
              </w:rPr>
              <w:tab/>
            </w:r>
            <w:r w:rsidRPr="005E3D65">
              <w:rPr>
                <w:rFonts w:hint="eastAsia"/>
                <w:b/>
                <w:sz w:val="18"/>
                <w:szCs w:val="18"/>
              </w:rPr>
              <w:t>筹资活动现金流出小计</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9254AB" w:rsidP="00D87076">
            <w:pPr>
              <w:ind w:left="720" w:hanging="720"/>
              <w:jc w:val="right"/>
              <w:rPr>
                <w:b/>
                <w:sz w:val="18"/>
                <w:szCs w:val="18"/>
              </w:rPr>
            </w:pPr>
            <w:r w:rsidRPr="005E3D65">
              <w:rPr>
                <w:b/>
                <w:sz w:val="18"/>
                <w:szCs w:val="18"/>
              </w:rPr>
              <w:t>444,579,269.89</w:t>
            </w:r>
          </w:p>
        </w:tc>
        <w:tc>
          <w:tcPr>
            <w:tcW w:w="2048" w:type="dxa"/>
            <w:vAlign w:val="center"/>
          </w:tcPr>
          <w:p w:rsidR="00493A81" w:rsidRPr="005E3D65" w:rsidRDefault="00493A81" w:rsidP="00493A81">
            <w:pPr>
              <w:jc w:val="right"/>
              <w:rPr>
                <w:b/>
                <w:sz w:val="18"/>
                <w:szCs w:val="18"/>
              </w:rPr>
            </w:pPr>
            <w:r w:rsidRPr="005E3D65">
              <w:rPr>
                <w:b/>
                <w:sz w:val="18"/>
                <w:szCs w:val="18"/>
              </w:rPr>
              <w:t>409,283,652.18</w:t>
            </w:r>
          </w:p>
        </w:tc>
      </w:tr>
      <w:tr w:rsidR="00493A81" w:rsidRPr="005E3D65" w:rsidTr="0027505B">
        <w:trPr>
          <w:trHeight w:val="20"/>
        </w:trPr>
        <w:tc>
          <w:tcPr>
            <w:tcW w:w="4597" w:type="dxa"/>
            <w:shd w:val="clear" w:color="auto" w:fill="D9D9D9"/>
            <w:vAlign w:val="center"/>
          </w:tcPr>
          <w:p w:rsidR="00493A81" w:rsidRPr="005E3D65" w:rsidRDefault="00493A81" w:rsidP="0027505B">
            <w:pPr>
              <w:tabs>
                <w:tab w:val="left" w:pos="390"/>
              </w:tabs>
              <w:rPr>
                <w:b/>
                <w:sz w:val="18"/>
                <w:szCs w:val="18"/>
              </w:rPr>
            </w:pPr>
            <w:r w:rsidRPr="005E3D65">
              <w:rPr>
                <w:b/>
                <w:sz w:val="18"/>
                <w:szCs w:val="18"/>
              </w:rPr>
              <w:tab/>
            </w:r>
            <w:r w:rsidRPr="005E3D65">
              <w:rPr>
                <w:rFonts w:hint="eastAsia"/>
                <w:b/>
                <w:sz w:val="18"/>
                <w:szCs w:val="18"/>
              </w:rPr>
              <w:t>筹资活动产生的现金流量净额</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5F14EE" w:rsidP="00493A81">
            <w:pPr>
              <w:jc w:val="right"/>
              <w:rPr>
                <w:b/>
                <w:sz w:val="18"/>
                <w:szCs w:val="18"/>
              </w:rPr>
            </w:pPr>
            <w:r w:rsidRPr="005E3D65">
              <w:rPr>
                <w:b/>
                <w:sz w:val="18"/>
                <w:szCs w:val="18"/>
              </w:rPr>
              <w:t>(</w:t>
            </w:r>
            <w:r w:rsidR="009254AB" w:rsidRPr="005E3D65">
              <w:rPr>
                <w:b/>
                <w:sz w:val="18"/>
                <w:szCs w:val="18"/>
              </w:rPr>
              <w:t>351,561,924.45</w:t>
            </w:r>
            <w:r w:rsidRPr="005E3D65">
              <w:rPr>
                <w:b/>
                <w:sz w:val="18"/>
                <w:szCs w:val="18"/>
              </w:rPr>
              <w:t>)</w:t>
            </w:r>
          </w:p>
        </w:tc>
        <w:tc>
          <w:tcPr>
            <w:tcW w:w="2048" w:type="dxa"/>
            <w:vAlign w:val="center"/>
          </w:tcPr>
          <w:p w:rsidR="00493A81" w:rsidRPr="005E3D65" w:rsidRDefault="00493A81" w:rsidP="00493A81">
            <w:pPr>
              <w:jc w:val="right"/>
              <w:rPr>
                <w:b/>
                <w:sz w:val="18"/>
                <w:szCs w:val="18"/>
              </w:rPr>
            </w:pPr>
            <w:r w:rsidRPr="005E3D65">
              <w:rPr>
                <w:b/>
                <w:sz w:val="18"/>
                <w:szCs w:val="18"/>
              </w:rPr>
              <w:t>3,168,308,823.93</w:t>
            </w:r>
          </w:p>
        </w:tc>
      </w:tr>
      <w:tr w:rsidR="00493A81" w:rsidRPr="005E3D65" w:rsidTr="0027505B">
        <w:trPr>
          <w:trHeight w:val="20"/>
        </w:trPr>
        <w:tc>
          <w:tcPr>
            <w:tcW w:w="4597" w:type="dxa"/>
            <w:shd w:val="clear" w:color="auto" w:fill="D9D9D9"/>
            <w:vAlign w:val="center"/>
          </w:tcPr>
          <w:p w:rsidR="00493A81" w:rsidRPr="005E3D65" w:rsidRDefault="00493A81" w:rsidP="00493A81">
            <w:pPr>
              <w:rPr>
                <w:b/>
                <w:sz w:val="18"/>
                <w:szCs w:val="18"/>
              </w:rPr>
            </w:pPr>
            <w:r w:rsidRPr="005E3D65">
              <w:rPr>
                <w:rFonts w:hint="eastAsia"/>
                <w:b/>
                <w:sz w:val="18"/>
                <w:szCs w:val="18"/>
              </w:rPr>
              <w:t>四、汇率变动对现金及现金等价物的影响额</w:t>
            </w:r>
          </w:p>
        </w:tc>
        <w:tc>
          <w:tcPr>
            <w:tcW w:w="1485" w:type="dxa"/>
            <w:vAlign w:val="center"/>
          </w:tcPr>
          <w:p w:rsidR="00493A81" w:rsidRPr="005E3D65" w:rsidRDefault="00493A81" w:rsidP="00493A81">
            <w:pPr>
              <w:jc w:val="center"/>
              <w:rPr>
                <w:sz w:val="18"/>
                <w:szCs w:val="18"/>
              </w:rPr>
            </w:pPr>
          </w:p>
        </w:tc>
        <w:tc>
          <w:tcPr>
            <w:tcW w:w="2047" w:type="dxa"/>
            <w:vAlign w:val="center"/>
          </w:tcPr>
          <w:p w:rsidR="00493A81" w:rsidRPr="005E3D65" w:rsidRDefault="00D87076" w:rsidP="00493A81">
            <w:pPr>
              <w:jc w:val="right"/>
              <w:rPr>
                <w:b/>
                <w:sz w:val="18"/>
                <w:szCs w:val="18"/>
              </w:rPr>
            </w:pPr>
            <w:r w:rsidRPr="005E3D65">
              <w:rPr>
                <w:b/>
                <w:sz w:val="18"/>
                <w:szCs w:val="18"/>
              </w:rPr>
              <w:t>2,652,237.95</w:t>
            </w:r>
          </w:p>
        </w:tc>
        <w:tc>
          <w:tcPr>
            <w:tcW w:w="2048" w:type="dxa"/>
            <w:vAlign w:val="center"/>
          </w:tcPr>
          <w:p w:rsidR="00493A81" w:rsidRPr="005E3D65" w:rsidRDefault="00493A81" w:rsidP="00493A81">
            <w:pPr>
              <w:jc w:val="right"/>
              <w:rPr>
                <w:b/>
                <w:sz w:val="18"/>
                <w:szCs w:val="18"/>
              </w:rPr>
            </w:pPr>
            <w:r w:rsidRPr="005E3D65">
              <w:rPr>
                <w:b/>
                <w:sz w:val="18"/>
                <w:szCs w:val="18"/>
              </w:rPr>
              <w:t>6,849,476.70</w:t>
            </w:r>
          </w:p>
        </w:tc>
      </w:tr>
      <w:tr w:rsidR="00493A81" w:rsidRPr="005E3D65" w:rsidTr="0027505B">
        <w:trPr>
          <w:trHeight w:val="20"/>
        </w:trPr>
        <w:tc>
          <w:tcPr>
            <w:tcW w:w="4597" w:type="dxa"/>
            <w:shd w:val="clear" w:color="auto" w:fill="D9D9D9"/>
            <w:vAlign w:val="center"/>
          </w:tcPr>
          <w:p w:rsidR="00493A81" w:rsidRPr="005E3D65" w:rsidRDefault="00493A81" w:rsidP="00493A81">
            <w:pPr>
              <w:rPr>
                <w:b/>
                <w:sz w:val="18"/>
                <w:szCs w:val="18"/>
              </w:rPr>
            </w:pPr>
            <w:r w:rsidRPr="005E3D65">
              <w:rPr>
                <w:rFonts w:hint="eastAsia"/>
                <w:b/>
                <w:sz w:val="18"/>
                <w:szCs w:val="18"/>
              </w:rPr>
              <w:t>五、现金及现金等价物净增加</w:t>
            </w:r>
            <w:r w:rsidR="005F14EE" w:rsidRPr="005E3D65">
              <w:rPr>
                <w:rFonts w:hint="eastAsia"/>
                <w:b/>
                <w:sz w:val="18"/>
                <w:szCs w:val="18"/>
              </w:rPr>
              <w:t>(</w:t>
            </w:r>
            <w:r w:rsidR="00817B4A" w:rsidRPr="005E3D65">
              <w:rPr>
                <w:rFonts w:hint="eastAsia"/>
                <w:b/>
                <w:sz w:val="18"/>
                <w:szCs w:val="18"/>
              </w:rPr>
              <w:t>减少</w:t>
            </w:r>
            <w:r w:rsidR="005F14EE" w:rsidRPr="005E3D65">
              <w:rPr>
                <w:b/>
                <w:sz w:val="18"/>
                <w:szCs w:val="18"/>
              </w:rPr>
              <w:t>)</w:t>
            </w:r>
            <w:r w:rsidRPr="005E3D65">
              <w:rPr>
                <w:rFonts w:hint="eastAsia"/>
                <w:b/>
                <w:sz w:val="18"/>
                <w:szCs w:val="18"/>
              </w:rPr>
              <w:t>额</w:t>
            </w:r>
          </w:p>
        </w:tc>
        <w:tc>
          <w:tcPr>
            <w:tcW w:w="1485" w:type="dxa"/>
            <w:vAlign w:val="center"/>
          </w:tcPr>
          <w:p w:rsidR="00493A81" w:rsidRPr="005E3D65" w:rsidRDefault="005F14EE" w:rsidP="00493A81">
            <w:pPr>
              <w:jc w:val="center"/>
              <w:rPr>
                <w:sz w:val="18"/>
                <w:szCs w:val="18"/>
              </w:rPr>
            </w:pPr>
            <w:r w:rsidRPr="005E3D65">
              <w:rPr>
                <w:sz w:val="18"/>
                <w:szCs w:val="18"/>
              </w:rPr>
              <w:t>(</w:t>
            </w:r>
            <w:r w:rsidR="00493A81" w:rsidRPr="005E3D65">
              <w:rPr>
                <w:rFonts w:hint="eastAsia"/>
                <w:sz w:val="18"/>
                <w:szCs w:val="18"/>
              </w:rPr>
              <w:t>五</w:t>
            </w:r>
            <w:r w:rsidRPr="005E3D65">
              <w:rPr>
                <w:sz w:val="18"/>
                <w:szCs w:val="18"/>
              </w:rPr>
              <w:t>)</w:t>
            </w:r>
            <w:r w:rsidR="00493A81" w:rsidRPr="005E3D65">
              <w:rPr>
                <w:sz w:val="18"/>
                <w:szCs w:val="18"/>
              </w:rPr>
              <w:t>5</w:t>
            </w:r>
            <w:r w:rsidR="0036095E" w:rsidRPr="005E3D65">
              <w:rPr>
                <w:sz w:val="18"/>
                <w:szCs w:val="18"/>
              </w:rPr>
              <w:t>1</w:t>
            </w:r>
          </w:p>
        </w:tc>
        <w:tc>
          <w:tcPr>
            <w:tcW w:w="2047" w:type="dxa"/>
            <w:vAlign w:val="center"/>
          </w:tcPr>
          <w:p w:rsidR="00493A81" w:rsidRPr="005E3D65" w:rsidRDefault="005F14EE" w:rsidP="00493A81">
            <w:pPr>
              <w:jc w:val="right"/>
              <w:rPr>
                <w:b/>
                <w:sz w:val="18"/>
                <w:szCs w:val="18"/>
              </w:rPr>
            </w:pPr>
            <w:r w:rsidRPr="005E3D65">
              <w:rPr>
                <w:b/>
                <w:sz w:val="18"/>
                <w:szCs w:val="18"/>
              </w:rPr>
              <w:t>(</w:t>
            </w:r>
            <w:r w:rsidR="003331A7" w:rsidRPr="005E3D65">
              <w:rPr>
                <w:b/>
                <w:sz w:val="18"/>
                <w:szCs w:val="18"/>
              </w:rPr>
              <w:t>168,655,535.51</w:t>
            </w:r>
            <w:r w:rsidRPr="005E3D65">
              <w:rPr>
                <w:b/>
                <w:sz w:val="18"/>
                <w:szCs w:val="18"/>
              </w:rPr>
              <w:t>)</w:t>
            </w:r>
          </w:p>
        </w:tc>
        <w:tc>
          <w:tcPr>
            <w:tcW w:w="2048" w:type="dxa"/>
            <w:vAlign w:val="center"/>
          </w:tcPr>
          <w:p w:rsidR="00493A81" w:rsidRPr="005E3D65" w:rsidRDefault="00493A81" w:rsidP="00493A81">
            <w:pPr>
              <w:jc w:val="right"/>
              <w:rPr>
                <w:b/>
                <w:sz w:val="18"/>
                <w:szCs w:val="18"/>
              </w:rPr>
            </w:pPr>
            <w:r w:rsidRPr="005E3D65">
              <w:rPr>
                <w:b/>
                <w:sz w:val="18"/>
                <w:szCs w:val="18"/>
              </w:rPr>
              <w:t>3,573,880,402.23</w:t>
            </w:r>
          </w:p>
        </w:tc>
      </w:tr>
      <w:tr w:rsidR="006F07CD" w:rsidRPr="005E3D65" w:rsidTr="0027505B">
        <w:trPr>
          <w:trHeight w:val="20"/>
        </w:trPr>
        <w:tc>
          <w:tcPr>
            <w:tcW w:w="4597" w:type="dxa"/>
            <w:shd w:val="clear" w:color="auto" w:fill="D9D9D9"/>
            <w:vAlign w:val="center"/>
          </w:tcPr>
          <w:p w:rsidR="006F07CD" w:rsidRPr="005E3D65" w:rsidRDefault="006F07CD" w:rsidP="0027505B">
            <w:pPr>
              <w:tabs>
                <w:tab w:val="left" w:pos="390"/>
              </w:tabs>
              <w:rPr>
                <w:sz w:val="18"/>
                <w:szCs w:val="18"/>
              </w:rPr>
            </w:pPr>
            <w:r w:rsidRPr="005E3D65">
              <w:rPr>
                <w:b/>
                <w:sz w:val="18"/>
                <w:szCs w:val="18"/>
              </w:rPr>
              <w:tab/>
            </w:r>
            <w:r w:rsidRPr="005E3D65">
              <w:rPr>
                <w:rFonts w:hint="eastAsia"/>
                <w:sz w:val="18"/>
                <w:szCs w:val="18"/>
              </w:rPr>
              <w:t>加</w:t>
            </w:r>
            <w:r w:rsidR="005F14EE" w:rsidRPr="005E3D65">
              <w:rPr>
                <w:rFonts w:hint="eastAsia"/>
                <w:sz w:val="18"/>
                <w:szCs w:val="18"/>
              </w:rPr>
              <w:t>：</w:t>
            </w:r>
            <w:r w:rsidRPr="005E3D65">
              <w:rPr>
                <w:rFonts w:hint="eastAsia"/>
                <w:sz w:val="18"/>
                <w:szCs w:val="18"/>
              </w:rPr>
              <w:t>年初现金及现金等价物余额</w:t>
            </w:r>
          </w:p>
        </w:tc>
        <w:tc>
          <w:tcPr>
            <w:tcW w:w="1485" w:type="dxa"/>
            <w:vAlign w:val="center"/>
          </w:tcPr>
          <w:p w:rsidR="006F07CD" w:rsidRPr="005E3D65" w:rsidRDefault="006F07CD" w:rsidP="006F07CD">
            <w:pPr>
              <w:jc w:val="center"/>
              <w:rPr>
                <w:sz w:val="18"/>
                <w:szCs w:val="18"/>
              </w:rPr>
            </w:pPr>
          </w:p>
        </w:tc>
        <w:tc>
          <w:tcPr>
            <w:tcW w:w="2047" w:type="dxa"/>
            <w:vAlign w:val="center"/>
          </w:tcPr>
          <w:p w:rsidR="006F07CD" w:rsidRPr="005E3D65" w:rsidRDefault="006F07CD" w:rsidP="006F07CD">
            <w:pPr>
              <w:jc w:val="right"/>
              <w:rPr>
                <w:bCs/>
                <w:sz w:val="18"/>
                <w:szCs w:val="18"/>
              </w:rPr>
            </w:pPr>
            <w:r w:rsidRPr="005E3D65">
              <w:rPr>
                <w:bCs/>
                <w:sz w:val="18"/>
                <w:szCs w:val="18"/>
              </w:rPr>
              <w:t>4,804,766,681.46</w:t>
            </w:r>
          </w:p>
        </w:tc>
        <w:tc>
          <w:tcPr>
            <w:tcW w:w="2048" w:type="dxa"/>
            <w:vAlign w:val="center"/>
          </w:tcPr>
          <w:p w:rsidR="006F07CD" w:rsidRPr="005E3D65" w:rsidRDefault="006F07CD" w:rsidP="006F07CD">
            <w:pPr>
              <w:jc w:val="right"/>
              <w:rPr>
                <w:sz w:val="18"/>
                <w:szCs w:val="18"/>
              </w:rPr>
            </w:pPr>
            <w:r w:rsidRPr="005E3D65">
              <w:rPr>
                <w:sz w:val="18"/>
                <w:szCs w:val="18"/>
              </w:rPr>
              <w:t>1,230,886,279.23</w:t>
            </w:r>
          </w:p>
        </w:tc>
      </w:tr>
      <w:tr w:rsidR="006F07CD" w:rsidRPr="005E3D65" w:rsidTr="0027505B">
        <w:trPr>
          <w:trHeight w:val="20"/>
        </w:trPr>
        <w:tc>
          <w:tcPr>
            <w:tcW w:w="4597" w:type="dxa"/>
            <w:shd w:val="clear" w:color="auto" w:fill="D9D9D9"/>
            <w:vAlign w:val="center"/>
          </w:tcPr>
          <w:p w:rsidR="006F07CD" w:rsidRPr="005E3D65" w:rsidRDefault="006F07CD" w:rsidP="006F07CD">
            <w:pPr>
              <w:rPr>
                <w:b/>
                <w:sz w:val="18"/>
                <w:szCs w:val="18"/>
              </w:rPr>
            </w:pPr>
            <w:r w:rsidRPr="005E3D65">
              <w:rPr>
                <w:rFonts w:hint="eastAsia"/>
                <w:b/>
                <w:sz w:val="18"/>
                <w:szCs w:val="18"/>
              </w:rPr>
              <w:t>六、年末现金及现金等价物余额</w:t>
            </w:r>
          </w:p>
        </w:tc>
        <w:tc>
          <w:tcPr>
            <w:tcW w:w="1485" w:type="dxa"/>
            <w:vAlign w:val="center"/>
          </w:tcPr>
          <w:p w:rsidR="006F07CD" w:rsidRPr="005E3D65" w:rsidRDefault="005F14EE" w:rsidP="006F07CD">
            <w:pPr>
              <w:jc w:val="center"/>
              <w:rPr>
                <w:sz w:val="18"/>
                <w:szCs w:val="18"/>
              </w:rPr>
            </w:pPr>
            <w:r w:rsidRPr="005E3D65">
              <w:rPr>
                <w:sz w:val="18"/>
                <w:szCs w:val="18"/>
              </w:rPr>
              <w:t>(</w:t>
            </w:r>
            <w:r w:rsidR="006F07CD" w:rsidRPr="005E3D65">
              <w:rPr>
                <w:rFonts w:hint="eastAsia"/>
                <w:sz w:val="18"/>
                <w:szCs w:val="18"/>
              </w:rPr>
              <w:t>五</w:t>
            </w:r>
            <w:r w:rsidRPr="005E3D65">
              <w:rPr>
                <w:sz w:val="18"/>
                <w:szCs w:val="18"/>
              </w:rPr>
              <w:t>)</w:t>
            </w:r>
            <w:r w:rsidR="006F07CD" w:rsidRPr="005E3D65">
              <w:rPr>
                <w:sz w:val="18"/>
                <w:szCs w:val="18"/>
              </w:rPr>
              <w:t>5</w:t>
            </w:r>
            <w:r w:rsidR="0036095E" w:rsidRPr="005E3D65">
              <w:rPr>
                <w:sz w:val="18"/>
                <w:szCs w:val="18"/>
              </w:rPr>
              <w:t>1</w:t>
            </w:r>
          </w:p>
        </w:tc>
        <w:tc>
          <w:tcPr>
            <w:tcW w:w="2047" w:type="dxa"/>
            <w:vAlign w:val="center"/>
          </w:tcPr>
          <w:p w:rsidR="006F07CD" w:rsidRPr="005E3D65" w:rsidRDefault="003331A7" w:rsidP="006F07CD">
            <w:pPr>
              <w:jc w:val="right"/>
              <w:rPr>
                <w:b/>
                <w:sz w:val="18"/>
                <w:szCs w:val="18"/>
              </w:rPr>
            </w:pPr>
            <w:r w:rsidRPr="005E3D65">
              <w:rPr>
                <w:b/>
                <w:sz w:val="18"/>
                <w:szCs w:val="18"/>
              </w:rPr>
              <w:t>4,636,111,145.95</w:t>
            </w:r>
          </w:p>
        </w:tc>
        <w:tc>
          <w:tcPr>
            <w:tcW w:w="2048" w:type="dxa"/>
            <w:vAlign w:val="center"/>
          </w:tcPr>
          <w:p w:rsidR="006F07CD" w:rsidRPr="005E3D65" w:rsidRDefault="006F07CD" w:rsidP="006F07CD">
            <w:pPr>
              <w:jc w:val="right"/>
              <w:rPr>
                <w:b/>
                <w:sz w:val="18"/>
                <w:szCs w:val="18"/>
              </w:rPr>
            </w:pPr>
            <w:r w:rsidRPr="005E3D65">
              <w:rPr>
                <w:b/>
                <w:sz w:val="18"/>
                <w:szCs w:val="18"/>
              </w:rPr>
              <w:t>4,804,766,681.46</w:t>
            </w:r>
          </w:p>
        </w:tc>
      </w:tr>
    </w:tbl>
    <w:p w:rsidR="00981564" w:rsidRPr="00A71D2E" w:rsidRDefault="00981564">
      <w:pPr>
        <w:tabs>
          <w:tab w:val="right" w:pos="10178"/>
        </w:tabs>
        <w:rPr>
          <w:rFonts w:eastAsia="宋体" w:cs="Times New Roman"/>
          <w:kern w:val="2"/>
          <w:szCs w:val="21"/>
        </w:rPr>
      </w:pPr>
    </w:p>
    <w:p w:rsidR="0051472B" w:rsidRPr="00A71D2E" w:rsidRDefault="0051472B" w:rsidP="00F66363">
      <w:pPr>
        <w:rPr>
          <w:rFonts w:eastAsia="宋体" w:cs="Times New Roman"/>
          <w:szCs w:val="21"/>
        </w:rPr>
      </w:pPr>
      <w:r w:rsidRPr="00A71D2E">
        <w:rPr>
          <w:rFonts w:eastAsia="宋体" w:cs="Times New Roman" w:hint="eastAsia"/>
          <w:szCs w:val="21"/>
        </w:rPr>
        <w:t>附注为财务报表的组成部分</w:t>
      </w:r>
    </w:p>
    <w:p w:rsidR="0051472B" w:rsidRPr="00A71D2E" w:rsidRDefault="0051472B" w:rsidP="00F66363">
      <w:pPr>
        <w:rPr>
          <w:rFonts w:eastAsia="宋体" w:cs="Times New Roman"/>
          <w:szCs w:val="21"/>
        </w:rPr>
      </w:pPr>
    </w:p>
    <w:p w:rsidR="004A7902" w:rsidRPr="00A71D2E" w:rsidRDefault="00B07360">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4A7902" w:rsidRPr="00A71D2E">
        <w:rPr>
          <w:rFonts w:eastAsia="宋体" w:cs="Times New Roman" w:hint="eastAsia"/>
          <w:szCs w:val="21"/>
        </w:rPr>
        <w:t>页至</w:t>
      </w:r>
      <w:r w:rsidR="006F55AB" w:rsidRPr="00A71D2E">
        <w:rPr>
          <w:rFonts w:eastAsia="宋体" w:cs="Times New Roman" w:hint="eastAsia"/>
          <w:szCs w:val="21"/>
        </w:rPr>
        <w:t>第</w:t>
      </w:r>
      <w:r w:rsidR="006208D2" w:rsidRPr="00F43E13">
        <w:rPr>
          <w:rFonts w:eastAsia="宋体" w:cs="Times New Roman"/>
          <w:szCs w:val="21"/>
        </w:rPr>
        <w:t>8</w:t>
      </w:r>
      <w:r w:rsidR="00E25E50">
        <w:rPr>
          <w:rFonts w:eastAsia="宋体" w:cs="Times New Roman"/>
          <w:szCs w:val="21"/>
        </w:rPr>
        <w:t>4</w:t>
      </w:r>
      <w:r w:rsidR="004A7902" w:rsidRPr="00A71D2E">
        <w:rPr>
          <w:rFonts w:eastAsia="宋体" w:cs="Times New Roman" w:hint="eastAsia"/>
          <w:szCs w:val="21"/>
        </w:rPr>
        <w:t>页的财务报表由下列负责人签署</w:t>
      </w:r>
      <w:r w:rsidR="005F14EE">
        <w:rPr>
          <w:rFonts w:eastAsia="宋体" w:cs="Times New Roman" w:hint="eastAsia"/>
          <w:szCs w:val="21"/>
        </w:rPr>
        <w:t>：</w:t>
      </w: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_____________________</w:t>
      </w:r>
      <w:r w:rsidRPr="00A71D2E">
        <w:rPr>
          <w:rFonts w:eastAsia="宋体" w:cs="Times New Roman"/>
          <w:szCs w:val="21"/>
        </w:rPr>
        <w:tab/>
        <w:t>_____________________</w:t>
      </w: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r>
      <w:r w:rsidRPr="00A71D2E">
        <w:rPr>
          <w:rFonts w:eastAsia="宋体" w:cs="Times New Roman" w:hint="eastAsia"/>
          <w:szCs w:val="21"/>
        </w:rPr>
        <w:t>法定代表人</w:t>
      </w:r>
      <w:r w:rsidRPr="00A71D2E">
        <w:rPr>
          <w:rFonts w:eastAsia="宋体" w:cs="Times New Roman"/>
          <w:szCs w:val="21"/>
        </w:rPr>
        <w:tab/>
      </w:r>
      <w:r w:rsidRPr="00A71D2E">
        <w:rPr>
          <w:rFonts w:eastAsia="宋体" w:cs="Times New Roman" w:hint="eastAsia"/>
          <w:szCs w:val="21"/>
        </w:rPr>
        <w:t>主管会计工作负责人</w:t>
      </w:r>
      <w:r w:rsidRPr="00A71D2E">
        <w:rPr>
          <w:rFonts w:eastAsia="宋体" w:cs="Times New Roman"/>
          <w:szCs w:val="21"/>
        </w:rPr>
        <w:tab/>
      </w:r>
      <w:r w:rsidRPr="00A71D2E">
        <w:rPr>
          <w:rFonts w:eastAsia="宋体" w:cs="Times New Roman" w:hint="eastAsia"/>
          <w:szCs w:val="21"/>
        </w:rPr>
        <w:t>会计机构负责人</w:t>
      </w:r>
    </w:p>
    <w:p w:rsidR="003A39B1" w:rsidRPr="00A71D2E" w:rsidRDefault="00B755FC">
      <w:pPr>
        <w:tabs>
          <w:tab w:val="right" w:pos="10178"/>
        </w:tabs>
        <w:rPr>
          <w:rFonts w:eastAsia="宋体" w:cs="Times New Roman"/>
          <w:kern w:val="2"/>
          <w:szCs w:val="21"/>
        </w:rPr>
      </w:pPr>
      <w:r w:rsidRPr="00A71D2E">
        <w:rPr>
          <w:rFonts w:eastAsia="宋体" w:cs="Times New Roman"/>
          <w:kern w:val="2"/>
          <w:szCs w:val="21"/>
        </w:rPr>
        <w:br w:type="page"/>
      </w:r>
    </w:p>
    <w:p w:rsidR="00291954" w:rsidRPr="00A71D2E" w:rsidRDefault="00DC0713">
      <w:pPr>
        <w:tabs>
          <w:tab w:val="right" w:pos="10178"/>
        </w:tabs>
        <w:rPr>
          <w:rFonts w:eastAsia="宋体" w:cs="Times New Roman"/>
          <w:kern w:val="2"/>
          <w:szCs w:val="21"/>
          <w:u w:val="single"/>
        </w:rPr>
      </w:pPr>
      <w:r w:rsidRPr="00A71D2E">
        <w:rPr>
          <w:rFonts w:eastAsia="宋体" w:cs="Times New Roman"/>
          <w:kern w:val="2"/>
          <w:szCs w:val="21"/>
          <w:u w:val="single"/>
        </w:rPr>
        <w:t>202</w:t>
      </w:r>
      <w:r w:rsidR="00E20187">
        <w:rPr>
          <w:rFonts w:eastAsia="宋体" w:cs="Times New Roman"/>
          <w:kern w:val="2"/>
          <w:szCs w:val="21"/>
          <w:u w:val="single"/>
        </w:rPr>
        <w:t>3</w:t>
      </w:r>
      <w:r w:rsidRPr="00A71D2E">
        <w:rPr>
          <w:rFonts w:eastAsia="宋体" w:cs="Times New Roman" w:hint="eastAsia"/>
          <w:kern w:val="2"/>
          <w:szCs w:val="21"/>
          <w:u w:val="single"/>
        </w:rPr>
        <w:t>年</w:t>
      </w:r>
      <w:r w:rsidRPr="00A71D2E">
        <w:rPr>
          <w:rFonts w:eastAsia="宋体" w:cs="Times New Roman"/>
          <w:kern w:val="2"/>
          <w:szCs w:val="21"/>
          <w:u w:val="single"/>
        </w:rPr>
        <w:t>12</w:t>
      </w:r>
      <w:r w:rsidRPr="00A71D2E">
        <w:rPr>
          <w:rFonts w:eastAsia="宋体" w:cs="Times New Roman" w:hint="eastAsia"/>
          <w:kern w:val="2"/>
          <w:szCs w:val="21"/>
          <w:u w:val="single"/>
        </w:rPr>
        <w:t>月</w:t>
      </w:r>
      <w:r w:rsidRPr="00A71D2E">
        <w:rPr>
          <w:rFonts w:eastAsia="宋体" w:cs="Times New Roman"/>
          <w:kern w:val="2"/>
          <w:szCs w:val="21"/>
          <w:u w:val="single"/>
        </w:rPr>
        <w:t>31</w:t>
      </w:r>
      <w:r w:rsidRPr="00A71D2E">
        <w:rPr>
          <w:rFonts w:eastAsia="宋体" w:cs="Times New Roman" w:hint="eastAsia"/>
          <w:kern w:val="2"/>
          <w:szCs w:val="21"/>
          <w:u w:val="single"/>
        </w:rPr>
        <w:t>日</w:t>
      </w:r>
      <w:proofErr w:type="gramStart"/>
      <w:r w:rsidRPr="00A71D2E">
        <w:rPr>
          <w:rFonts w:eastAsia="宋体" w:cs="Times New Roman" w:hint="eastAsia"/>
          <w:kern w:val="2"/>
          <w:szCs w:val="21"/>
          <w:u w:val="single"/>
        </w:rPr>
        <w:t>止</w:t>
      </w:r>
      <w:proofErr w:type="gramEnd"/>
      <w:r w:rsidRPr="00A71D2E">
        <w:rPr>
          <w:rFonts w:eastAsia="宋体" w:cs="Times New Roman" w:hint="eastAsia"/>
          <w:kern w:val="2"/>
          <w:szCs w:val="21"/>
          <w:u w:val="single"/>
        </w:rPr>
        <w:t>年度</w:t>
      </w:r>
      <w:r w:rsidR="00291954" w:rsidRPr="00A71D2E">
        <w:rPr>
          <w:rFonts w:eastAsia="宋体" w:cs="Times New Roman"/>
          <w:kern w:val="2"/>
          <w:szCs w:val="21"/>
          <w:u w:val="single"/>
        </w:rPr>
        <w:tab/>
      </w:r>
    </w:p>
    <w:p w:rsidR="00A77D4A" w:rsidRPr="00A71D2E" w:rsidRDefault="00A77D4A">
      <w:pPr>
        <w:tabs>
          <w:tab w:val="right" w:pos="10178"/>
        </w:tabs>
        <w:rPr>
          <w:rFonts w:eastAsia="宋体" w:cs="Times New Roman"/>
          <w:szCs w:val="21"/>
        </w:rPr>
      </w:pPr>
    </w:p>
    <w:p w:rsidR="00B755FC" w:rsidRPr="00A71D2E" w:rsidRDefault="00C766B0">
      <w:pPr>
        <w:jc w:val="center"/>
        <w:outlineLvl w:val="0"/>
        <w:rPr>
          <w:rFonts w:eastAsia="宋体" w:cs="Times New Roman"/>
          <w:szCs w:val="21"/>
        </w:rPr>
      </w:pPr>
      <w:r w:rsidRPr="00A71D2E">
        <w:rPr>
          <w:rFonts w:eastAsia="宋体" w:cs="Times New Roman" w:hint="eastAsia"/>
          <w:b/>
          <w:bCs/>
          <w:szCs w:val="21"/>
        </w:rPr>
        <w:t>母</w:t>
      </w:r>
      <w:r w:rsidR="00B755FC" w:rsidRPr="00A71D2E">
        <w:rPr>
          <w:rFonts w:eastAsia="宋体" w:cs="Times New Roman" w:hint="eastAsia"/>
          <w:b/>
          <w:bCs/>
          <w:szCs w:val="21"/>
        </w:rPr>
        <w:t>公司现金流量表</w:t>
      </w:r>
    </w:p>
    <w:p w:rsidR="00B755FC" w:rsidRPr="00A71D2E" w:rsidRDefault="00461604">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00B755FC" w:rsidRPr="00A71D2E">
        <w:rPr>
          <w:rFonts w:eastAsia="宋体" w:cs="Times New Roman" w:hint="eastAsia"/>
          <w:szCs w:val="21"/>
        </w:rPr>
        <w:t>人民币元</w:t>
      </w:r>
    </w:p>
    <w:tbl>
      <w:tblPr>
        <w:tblStyle w:val="aff5"/>
        <w:tblW w:w="10165" w:type="dxa"/>
        <w:tblLayout w:type="fixed"/>
        <w:tblLook w:val="04A0" w:firstRow="1" w:lastRow="0" w:firstColumn="1" w:lastColumn="0" w:noHBand="0" w:noVBand="1"/>
      </w:tblPr>
      <w:tblGrid>
        <w:gridCol w:w="6091"/>
        <w:gridCol w:w="2037"/>
        <w:gridCol w:w="2037"/>
      </w:tblGrid>
      <w:tr w:rsidR="00B45E29" w:rsidRPr="00F36ADA" w:rsidTr="0027505B">
        <w:trPr>
          <w:trHeight w:val="20"/>
        </w:trPr>
        <w:tc>
          <w:tcPr>
            <w:tcW w:w="6091" w:type="dxa"/>
            <w:shd w:val="clear" w:color="auto" w:fill="D9D9D9"/>
            <w:vAlign w:val="center"/>
          </w:tcPr>
          <w:p w:rsidR="00B45E29" w:rsidRPr="00F36ADA" w:rsidRDefault="00B45E29">
            <w:pPr>
              <w:jc w:val="center"/>
              <w:rPr>
                <w:sz w:val="18"/>
                <w:szCs w:val="18"/>
              </w:rPr>
            </w:pPr>
            <w:r w:rsidRPr="00F36ADA">
              <w:rPr>
                <w:rFonts w:hint="eastAsia"/>
                <w:sz w:val="18"/>
                <w:szCs w:val="18"/>
              </w:rPr>
              <w:t>项目</w:t>
            </w:r>
          </w:p>
        </w:tc>
        <w:tc>
          <w:tcPr>
            <w:tcW w:w="2037" w:type="dxa"/>
            <w:shd w:val="clear" w:color="auto" w:fill="D9D9D9"/>
            <w:vAlign w:val="center"/>
          </w:tcPr>
          <w:p w:rsidR="00B45E29" w:rsidRPr="00F36ADA" w:rsidRDefault="00B45E29">
            <w:pPr>
              <w:jc w:val="center"/>
              <w:rPr>
                <w:sz w:val="18"/>
                <w:szCs w:val="18"/>
              </w:rPr>
            </w:pPr>
            <w:r w:rsidRPr="00F36ADA">
              <w:rPr>
                <w:rFonts w:hint="eastAsia"/>
                <w:sz w:val="18"/>
                <w:szCs w:val="18"/>
              </w:rPr>
              <w:t>本年发生额</w:t>
            </w:r>
          </w:p>
        </w:tc>
        <w:tc>
          <w:tcPr>
            <w:tcW w:w="2037" w:type="dxa"/>
            <w:shd w:val="clear" w:color="auto" w:fill="D9D9D9"/>
            <w:vAlign w:val="center"/>
          </w:tcPr>
          <w:p w:rsidR="00B45E29" w:rsidRPr="00F36ADA" w:rsidRDefault="00B45E29">
            <w:pPr>
              <w:jc w:val="center"/>
              <w:rPr>
                <w:sz w:val="18"/>
                <w:szCs w:val="18"/>
              </w:rPr>
            </w:pPr>
            <w:r w:rsidRPr="00F36ADA">
              <w:rPr>
                <w:rFonts w:hint="eastAsia"/>
                <w:sz w:val="18"/>
                <w:szCs w:val="18"/>
              </w:rPr>
              <w:t>上年发生额</w:t>
            </w:r>
          </w:p>
        </w:tc>
      </w:tr>
      <w:tr w:rsidR="00B45E29" w:rsidRPr="00F36ADA" w:rsidTr="0027505B">
        <w:trPr>
          <w:trHeight w:val="20"/>
        </w:trPr>
        <w:tc>
          <w:tcPr>
            <w:tcW w:w="6091" w:type="dxa"/>
            <w:shd w:val="clear" w:color="auto" w:fill="D9D9D9"/>
            <w:vAlign w:val="center"/>
          </w:tcPr>
          <w:p w:rsidR="00B45E29" w:rsidRPr="00F36ADA" w:rsidRDefault="00B45E29">
            <w:pPr>
              <w:rPr>
                <w:b/>
                <w:sz w:val="18"/>
                <w:szCs w:val="18"/>
              </w:rPr>
            </w:pPr>
            <w:r w:rsidRPr="00F36ADA">
              <w:rPr>
                <w:rFonts w:hint="eastAsia"/>
                <w:b/>
                <w:sz w:val="18"/>
                <w:szCs w:val="18"/>
              </w:rPr>
              <w:t>一、经营活动产生的现金流量</w:t>
            </w:r>
          </w:p>
        </w:tc>
        <w:tc>
          <w:tcPr>
            <w:tcW w:w="2037" w:type="dxa"/>
            <w:shd w:val="clear" w:color="auto" w:fill="D9D9D9"/>
            <w:vAlign w:val="center"/>
          </w:tcPr>
          <w:p w:rsidR="00B45E29" w:rsidRPr="00F36ADA" w:rsidRDefault="00B45E29">
            <w:pPr>
              <w:jc w:val="right"/>
              <w:rPr>
                <w:sz w:val="18"/>
                <w:szCs w:val="18"/>
              </w:rPr>
            </w:pPr>
          </w:p>
        </w:tc>
        <w:tc>
          <w:tcPr>
            <w:tcW w:w="2037" w:type="dxa"/>
            <w:shd w:val="clear" w:color="auto" w:fill="D9D9D9"/>
            <w:vAlign w:val="center"/>
          </w:tcPr>
          <w:p w:rsidR="00B45E29" w:rsidRPr="00F36ADA" w:rsidRDefault="00B45E29">
            <w:pPr>
              <w:jc w:val="right"/>
              <w:rPr>
                <w:sz w:val="18"/>
                <w:szCs w:val="18"/>
              </w:rPr>
            </w:pP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销售商品、提供劳务收到的现金</w:t>
            </w:r>
          </w:p>
        </w:tc>
        <w:tc>
          <w:tcPr>
            <w:tcW w:w="2037" w:type="dxa"/>
            <w:vAlign w:val="center"/>
          </w:tcPr>
          <w:p w:rsidR="00AA1A26" w:rsidRPr="00F36ADA" w:rsidRDefault="00D87076" w:rsidP="00AA1A26">
            <w:pPr>
              <w:jc w:val="right"/>
              <w:rPr>
                <w:sz w:val="18"/>
                <w:szCs w:val="18"/>
              </w:rPr>
            </w:pPr>
            <w:r w:rsidRPr="00F36ADA">
              <w:rPr>
                <w:sz w:val="18"/>
                <w:szCs w:val="18"/>
              </w:rPr>
              <w:t>5,221,680,593.39</w:t>
            </w:r>
          </w:p>
        </w:tc>
        <w:tc>
          <w:tcPr>
            <w:tcW w:w="2037" w:type="dxa"/>
            <w:vAlign w:val="center"/>
          </w:tcPr>
          <w:p w:rsidR="00AA1A26" w:rsidRPr="00F36ADA" w:rsidRDefault="00AA1A26" w:rsidP="00AA1A26">
            <w:pPr>
              <w:jc w:val="right"/>
              <w:rPr>
                <w:sz w:val="18"/>
                <w:szCs w:val="18"/>
              </w:rPr>
            </w:pPr>
            <w:r w:rsidRPr="00F36ADA">
              <w:rPr>
                <w:sz w:val="18"/>
                <w:szCs w:val="18"/>
              </w:rPr>
              <w:t>4,602,417,192.21</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收到的税费返还</w:t>
            </w:r>
          </w:p>
        </w:tc>
        <w:tc>
          <w:tcPr>
            <w:tcW w:w="2037" w:type="dxa"/>
            <w:vAlign w:val="center"/>
          </w:tcPr>
          <w:p w:rsidR="00AA1A26" w:rsidRPr="00F36ADA" w:rsidRDefault="00D87076" w:rsidP="00AA1A26">
            <w:pPr>
              <w:jc w:val="right"/>
              <w:rPr>
                <w:sz w:val="18"/>
                <w:szCs w:val="18"/>
              </w:rPr>
            </w:pPr>
            <w:r w:rsidRPr="00F36ADA">
              <w:rPr>
                <w:sz w:val="18"/>
                <w:szCs w:val="18"/>
              </w:rPr>
              <w:t>94,780,268.87</w:t>
            </w:r>
          </w:p>
        </w:tc>
        <w:tc>
          <w:tcPr>
            <w:tcW w:w="2037" w:type="dxa"/>
            <w:vAlign w:val="center"/>
          </w:tcPr>
          <w:p w:rsidR="00AA1A26" w:rsidRPr="00F36ADA" w:rsidRDefault="00AA1A26" w:rsidP="00AA1A26">
            <w:pPr>
              <w:jc w:val="right"/>
              <w:rPr>
                <w:sz w:val="18"/>
                <w:szCs w:val="18"/>
              </w:rPr>
            </w:pPr>
            <w:r w:rsidRPr="00F36ADA">
              <w:rPr>
                <w:sz w:val="18"/>
                <w:szCs w:val="18"/>
              </w:rPr>
              <w:t>44,087,743.92</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收到其他与经营活动有关的现金</w:t>
            </w:r>
          </w:p>
        </w:tc>
        <w:tc>
          <w:tcPr>
            <w:tcW w:w="2037" w:type="dxa"/>
            <w:vAlign w:val="center"/>
          </w:tcPr>
          <w:p w:rsidR="00AA1A26" w:rsidRPr="00F36ADA" w:rsidRDefault="009254AB" w:rsidP="00AA1A26">
            <w:pPr>
              <w:jc w:val="right"/>
              <w:rPr>
                <w:sz w:val="18"/>
                <w:szCs w:val="18"/>
              </w:rPr>
            </w:pPr>
            <w:r w:rsidRPr="00F36ADA">
              <w:rPr>
                <w:sz w:val="18"/>
                <w:szCs w:val="18"/>
              </w:rPr>
              <w:t>95,820,035.84</w:t>
            </w:r>
          </w:p>
        </w:tc>
        <w:tc>
          <w:tcPr>
            <w:tcW w:w="2037" w:type="dxa"/>
            <w:vAlign w:val="center"/>
          </w:tcPr>
          <w:p w:rsidR="00AA1A26" w:rsidRPr="00F36ADA" w:rsidRDefault="00AA1A26" w:rsidP="00AA1A26">
            <w:pPr>
              <w:jc w:val="right"/>
              <w:rPr>
                <w:sz w:val="18"/>
                <w:szCs w:val="18"/>
              </w:rPr>
            </w:pPr>
            <w:r w:rsidRPr="00F36ADA">
              <w:rPr>
                <w:sz w:val="18"/>
                <w:szCs w:val="18"/>
              </w:rPr>
              <w:t>50,629,148.80</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b/>
                <w:sz w:val="18"/>
                <w:szCs w:val="18"/>
              </w:rPr>
              <w:tab/>
            </w:r>
            <w:r w:rsidRPr="00F36ADA">
              <w:rPr>
                <w:rFonts w:hint="eastAsia"/>
                <w:b/>
                <w:sz w:val="18"/>
                <w:szCs w:val="18"/>
              </w:rPr>
              <w:t>经营活动现金流入小计</w:t>
            </w:r>
          </w:p>
        </w:tc>
        <w:tc>
          <w:tcPr>
            <w:tcW w:w="2037" w:type="dxa"/>
            <w:vAlign w:val="center"/>
          </w:tcPr>
          <w:p w:rsidR="00AA1A26" w:rsidRPr="00F36ADA" w:rsidRDefault="009254AB" w:rsidP="00AA1A26">
            <w:pPr>
              <w:jc w:val="right"/>
              <w:rPr>
                <w:b/>
                <w:sz w:val="18"/>
                <w:szCs w:val="18"/>
              </w:rPr>
            </w:pPr>
            <w:r w:rsidRPr="00F36ADA">
              <w:rPr>
                <w:b/>
                <w:sz w:val="18"/>
                <w:szCs w:val="18"/>
              </w:rPr>
              <w:t>5,412,280,898.10</w:t>
            </w:r>
          </w:p>
        </w:tc>
        <w:tc>
          <w:tcPr>
            <w:tcW w:w="2037" w:type="dxa"/>
            <w:vAlign w:val="center"/>
          </w:tcPr>
          <w:p w:rsidR="00AA1A26" w:rsidRPr="00F36ADA" w:rsidRDefault="00AA1A26" w:rsidP="00AA1A26">
            <w:pPr>
              <w:jc w:val="right"/>
              <w:rPr>
                <w:b/>
                <w:sz w:val="18"/>
                <w:szCs w:val="18"/>
              </w:rPr>
            </w:pPr>
            <w:r w:rsidRPr="00F36ADA">
              <w:rPr>
                <w:b/>
                <w:sz w:val="18"/>
                <w:szCs w:val="18"/>
              </w:rPr>
              <w:t>4,697,134,084.93</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购买商品、接受劳务支付的现金</w:t>
            </w:r>
          </w:p>
        </w:tc>
        <w:tc>
          <w:tcPr>
            <w:tcW w:w="2037" w:type="dxa"/>
            <w:vAlign w:val="center"/>
          </w:tcPr>
          <w:p w:rsidR="00AA1A26" w:rsidRPr="00F36ADA" w:rsidRDefault="00536536" w:rsidP="00AA1A26">
            <w:pPr>
              <w:jc w:val="right"/>
              <w:rPr>
                <w:sz w:val="18"/>
                <w:szCs w:val="18"/>
              </w:rPr>
            </w:pPr>
            <w:r w:rsidRPr="00F36ADA">
              <w:rPr>
                <w:sz w:val="18"/>
                <w:szCs w:val="18"/>
              </w:rPr>
              <w:t>3,7</w:t>
            </w:r>
            <w:r w:rsidR="005B3877" w:rsidRPr="00F36ADA">
              <w:rPr>
                <w:sz w:val="18"/>
                <w:szCs w:val="18"/>
              </w:rPr>
              <w:t>97</w:t>
            </w:r>
            <w:r w:rsidRPr="00F36ADA">
              <w:rPr>
                <w:sz w:val="18"/>
                <w:szCs w:val="18"/>
              </w:rPr>
              <w:t>,4</w:t>
            </w:r>
            <w:r w:rsidR="005B3877" w:rsidRPr="00F36ADA">
              <w:rPr>
                <w:sz w:val="18"/>
                <w:szCs w:val="18"/>
              </w:rPr>
              <w:t>03</w:t>
            </w:r>
            <w:r w:rsidRPr="00F36ADA">
              <w:rPr>
                <w:sz w:val="18"/>
                <w:szCs w:val="18"/>
              </w:rPr>
              <w:t>,3</w:t>
            </w:r>
            <w:r w:rsidR="005B3877" w:rsidRPr="00F36ADA">
              <w:rPr>
                <w:sz w:val="18"/>
                <w:szCs w:val="18"/>
              </w:rPr>
              <w:t>26</w:t>
            </w:r>
            <w:r w:rsidRPr="00F36ADA">
              <w:rPr>
                <w:sz w:val="18"/>
                <w:szCs w:val="18"/>
              </w:rPr>
              <w:t>.</w:t>
            </w:r>
            <w:r w:rsidR="005B3877" w:rsidRPr="00F36ADA">
              <w:rPr>
                <w:sz w:val="18"/>
                <w:szCs w:val="18"/>
              </w:rPr>
              <w:t>75</w:t>
            </w:r>
          </w:p>
        </w:tc>
        <w:tc>
          <w:tcPr>
            <w:tcW w:w="2037" w:type="dxa"/>
            <w:vAlign w:val="center"/>
          </w:tcPr>
          <w:p w:rsidR="00AA1A26" w:rsidRPr="00F36ADA" w:rsidRDefault="00AA1A26" w:rsidP="00AA1A26">
            <w:pPr>
              <w:jc w:val="right"/>
              <w:rPr>
                <w:sz w:val="18"/>
                <w:szCs w:val="18"/>
              </w:rPr>
            </w:pPr>
            <w:r w:rsidRPr="00F36ADA">
              <w:rPr>
                <w:sz w:val="18"/>
                <w:szCs w:val="18"/>
              </w:rPr>
              <w:t>3,705,682,186.19</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支付给职工以及为职工支付的现金</w:t>
            </w:r>
          </w:p>
        </w:tc>
        <w:tc>
          <w:tcPr>
            <w:tcW w:w="2037" w:type="dxa"/>
            <w:vAlign w:val="center"/>
          </w:tcPr>
          <w:p w:rsidR="00AA1A26" w:rsidRPr="00F36ADA" w:rsidRDefault="00D87076" w:rsidP="00AA1A26">
            <w:pPr>
              <w:jc w:val="right"/>
              <w:rPr>
                <w:sz w:val="18"/>
                <w:szCs w:val="18"/>
              </w:rPr>
            </w:pPr>
            <w:r w:rsidRPr="00F36ADA">
              <w:rPr>
                <w:sz w:val="18"/>
                <w:szCs w:val="18"/>
              </w:rPr>
              <w:t>318,920,318.81</w:t>
            </w:r>
          </w:p>
        </w:tc>
        <w:tc>
          <w:tcPr>
            <w:tcW w:w="2037" w:type="dxa"/>
            <w:vAlign w:val="center"/>
          </w:tcPr>
          <w:p w:rsidR="00AA1A26" w:rsidRPr="00F36ADA" w:rsidRDefault="00AA1A26" w:rsidP="00AA1A26">
            <w:pPr>
              <w:jc w:val="right"/>
              <w:rPr>
                <w:sz w:val="18"/>
                <w:szCs w:val="18"/>
              </w:rPr>
            </w:pPr>
            <w:r w:rsidRPr="00F36ADA">
              <w:rPr>
                <w:sz w:val="18"/>
                <w:szCs w:val="18"/>
              </w:rPr>
              <w:t>384,803,677.24</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支付的各项税费</w:t>
            </w:r>
          </w:p>
        </w:tc>
        <w:tc>
          <w:tcPr>
            <w:tcW w:w="2037" w:type="dxa"/>
            <w:vAlign w:val="center"/>
          </w:tcPr>
          <w:p w:rsidR="00AA1A26" w:rsidRPr="00F36ADA" w:rsidRDefault="000C2EEF" w:rsidP="00AA1A26">
            <w:pPr>
              <w:jc w:val="right"/>
              <w:rPr>
                <w:sz w:val="18"/>
                <w:szCs w:val="18"/>
              </w:rPr>
            </w:pPr>
            <w:r w:rsidRPr="00F36ADA">
              <w:rPr>
                <w:sz w:val="18"/>
                <w:szCs w:val="18"/>
              </w:rPr>
              <w:t>11</w:t>
            </w:r>
            <w:r w:rsidR="005B3877" w:rsidRPr="00F36ADA">
              <w:rPr>
                <w:sz w:val="18"/>
                <w:szCs w:val="18"/>
              </w:rPr>
              <w:t>2</w:t>
            </w:r>
            <w:r w:rsidRPr="00F36ADA">
              <w:rPr>
                <w:sz w:val="18"/>
                <w:szCs w:val="18"/>
              </w:rPr>
              <w:t>,7</w:t>
            </w:r>
            <w:r w:rsidR="005B3877" w:rsidRPr="00F36ADA">
              <w:rPr>
                <w:sz w:val="18"/>
                <w:szCs w:val="18"/>
              </w:rPr>
              <w:t>47</w:t>
            </w:r>
            <w:r w:rsidRPr="00F36ADA">
              <w:rPr>
                <w:sz w:val="18"/>
                <w:szCs w:val="18"/>
              </w:rPr>
              <w:t>,0</w:t>
            </w:r>
            <w:r w:rsidR="005B3877" w:rsidRPr="00F36ADA">
              <w:rPr>
                <w:sz w:val="18"/>
                <w:szCs w:val="18"/>
              </w:rPr>
              <w:t>41</w:t>
            </w:r>
            <w:r w:rsidRPr="00F36ADA">
              <w:rPr>
                <w:sz w:val="18"/>
                <w:szCs w:val="18"/>
              </w:rPr>
              <w:t>.8</w:t>
            </w:r>
            <w:r w:rsidR="005B3877" w:rsidRPr="00F36ADA">
              <w:rPr>
                <w:sz w:val="18"/>
                <w:szCs w:val="18"/>
              </w:rPr>
              <w:t>4</w:t>
            </w:r>
          </w:p>
        </w:tc>
        <w:tc>
          <w:tcPr>
            <w:tcW w:w="2037" w:type="dxa"/>
            <w:vAlign w:val="center"/>
          </w:tcPr>
          <w:p w:rsidR="00AA1A26" w:rsidRPr="00F36ADA" w:rsidRDefault="00AA1A26" w:rsidP="00AA1A26">
            <w:pPr>
              <w:jc w:val="right"/>
              <w:rPr>
                <w:sz w:val="18"/>
                <w:szCs w:val="18"/>
              </w:rPr>
            </w:pPr>
            <w:r w:rsidRPr="00F36ADA">
              <w:rPr>
                <w:sz w:val="18"/>
                <w:szCs w:val="18"/>
              </w:rPr>
              <w:t>111,309,851.88</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支付其他与经营活动有关的现金</w:t>
            </w:r>
          </w:p>
        </w:tc>
        <w:tc>
          <w:tcPr>
            <w:tcW w:w="2037" w:type="dxa"/>
            <w:vAlign w:val="center"/>
          </w:tcPr>
          <w:p w:rsidR="00AA1A26" w:rsidRPr="00F36ADA" w:rsidRDefault="009254AB" w:rsidP="00AA1A26">
            <w:pPr>
              <w:jc w:val="right"/>
              <w:rPr>
                <w:sz w:val="18"/>
                <w:szCs w:val="18"/>
              </w:rPr>
            </w:pPr>
            <w:r w:rsidRPr="00F36ADA">
              <w:rPr>
                <w:sz w:val="18"/>
                <w:szCs w:val="18"/>
              </w:rPr>
              <w:t>337,575,668.85</w:t>
            </w:r>
          </w:p>
        </w:tc>
        <w:tc>
          <w:tcPr>
            <w:tcW w:w="2037" w:type="dxa"/>
            <w:vAlign w:val="center"/>
          </w:tcPr>
          <w:p w:rsidR="00AA1A26" w:rsidRPr="00F36ADA" w:rsidRDefault="00AA1A26" w:rsidP="00AA1A26">
            <w:pPr>
              <w:jc w:val="right"/>
              <w:rPr>
                <w:sz w:val="18"/>
                <w:szCs w:val="18"/>
              </w:rPr>
            </w:pPr>
            <w:r w:rsidRPr="00F36ADA">
              <w:rPr>
                <w:sz w:val="18"/>
                <w:szCs w:val="18"/>
              </w:rPr>
              <w:t>361,596,848.41</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b/>
                <w:sz w:val="18"/>
                <w:szCs w:val="18"/>
              </w:rPr>
              <w:tab/>
            </w:r>
            <w:r w:rsidRPr="00F36ADA">
              <w:rPr>
                <w:rFonts w:hint="eastAsia"/>
                <w:b/>
                <w:sz w:val="18"/>
                <w:szCs w:val="18"/>
              </w:rPr>
              <w:t>经营活动现金流出小计</w:t>
            </w:r>
          </w:p>
        </w:tc>
        <w:tc>
          <w:tcPr>
            <w:tcW w:w="2037" w:type="dxa"/>
            <w:vAlign w:val="center"/>
          </w:tcPr>
          <w:p w:rsidR="00AA1A26" w:rsidRPr="00F36ADA" w:rsidRDefault="009254AB" w:rsidP="00AA1A26">
            <w:pPr>
              <w:jc w:val="right"/>
              <w:rPr>
                <w:b/>
                <w:bCs/>
                <w:sz w:val="18"/>
                <w:szCs w:val="18"/>
              </w:rPr>
            </w:pPr>
            <w:r w:rsidRPr="00F36ADA">
              <w:rPr>
                <w:b/>
                <w:bCs/>
                <w:sz w:val="18"/>
                <w:szCs w:val="18"/>
              </w:rPr>
              <w:t>4,566,646,356.25</w:t>
            </w:r>
          </w:p>
        </w:tc>
        <w:tc>
          <w:tcPr>
            <w:tcW w:w="2037" w:type="dxa"/>
            <w:vAlign w:val="center"/>
          </w:tcPr>
          <w:p w:rsidR="00AA1A26" w:rsidRPr="00F36ADA" w:rsidRDefault="00AA1A26" w:rsidP="00AA1A26">
            <w:pPr>
              <w:jc w:val="right"/>
              <w:rPr>
                <w:b/>
                <w:sz w:val="18"/>
                <w:szCs w:val="18"/>
              </w:rPr>
            </w:pPr>
            <w:r w:rsidRPr="00F36ADA">
              <w:rPr>
                <w:b/>
                <w:bCs/>
                <w:sz w:val="18"/>
                <w:szCs w:val="18"/>
              </w:rPr>
              <w:t>4,563,392,563.72</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b/>
                <w:sz w:val="18"/>
                <w:szCs w:val="18"/>
              </w:rPr>
              <w:tab/>
            </w:r>
            <w:r w:rsidRPr="00F36ADA">
              <w:rPr>
                <w:rFonts w:hint="eastAsia"/>
                <w:b/>
                <w:sz w:val="18"/>
                <w:szCs w:val="18"/>
              </w:rPr>
              <w:t>经营活动产生的现金流量净额</w:t>
            </w:r>
          </w:p>
        </w:tc>
        <w:tc>
          <w:tcPr>
            <w:tcW w:w="2037" w:type="dxa"/>
            <w:vAlign w:val="center"/>
          </w:tcPr>
          <w:p w:rsidR="00AA1A26" w:rsidRPr="00F36ADA" w:rsidRDefault="009254AB" w:rsidP="00AA1A26">
            <w:pPr>
              <w:jc w:val="right"/>
              <w:rPr>
                <w:b/>
                <w:sz w:val="18"/>
                <w:szCs w:val="18"/>
              </w:rPr>
            </w:pPr>
            <w:r w:rsidRPr="00F36ADA">
              <w:rPr>
                <w:b/>
                <w:sz w:val="18"/>
                <w:szCs w:val="18"/>
              </w:rPr>
              <w:t>845,634,541.85</w:t>
            </w:r>
          </w:p>
        </w:tc>
        <w:tc>
          <w:tcPr>
            <w:tcW w:w="2037" w:type="dxa"/>
            <w:vAlign w:val="center"/>
          </w:tcPr>
          <w:p w:rsidR="00AA1A26" w:rsidRPr="00F36ADA" w:rsidRDefault="00AA1A26" w:rsidP="00AA1A26">
            <w:pPr>
              <w:jc w:val="right"/>
              <w:rPr>
                <w:b/>
                <w:sz w:val="18"/>
                <w:szCs w:val="18"/>
              </w:rPr>
            </w:pPr>
            <w:r w:rsidRPr="00F36ADA">
              <w:rPr>
                <w:b/>
                <w:sz w:val="18"/>
                <w:szCs w:val="18"/>
              </w:rPr>
              <w:t>133,741,521.21</w:t>
            </w:r>
          </w:p>
        </w:tc>
      </w:tr>
      <w:tr w:rsidR="00AA1A26" w:rsidRPr="00F36ADA" w:rsidTr="0027505B">
        <w:trPr>
          <w:trHeight w:val="20"/>
        </w:trPr>
        <w:tc>
          <w:tcPr>
            <w:tcW w:w="6091" w:type="dxa"/>
            <w:shd w:val="clear" w:color="auto" w:fill="D9D9D9"/>
            <w:vAlign w:val="center"/>
          </w:tcPr>
          <w:p w:rsidR="00AA1A26" w:rsidRPr="00F36ADA" w:rsidRDefault="00AA1A26" w:rsidP="00AA1A26">
            <w:pPr>
              <w:rPr>
                <w:b/>
                <w:sz w:val="18"/>
                <w:szCs w:val="18"/>
              </w:rPr>
            </w:pPr>
            <w:r w:rsidRPr="00F36ADA">
              <w:rPr>
                <w:rFonts w:hint="eastAsia"/>
                <w:b/>
                <w:sz w:val="18"/>
                <w:szCs w:val="18"/>
              </w:rPr>
              <w:t>二、投资活动产生的现金流量</w:t>
            </w:r>
          </w:p>
        </w:tc>
        <w:tc>
          <w:tcPr>
            <w:tcW w:w="2037" w:type="dxa"/>
            <w:shd w:val="clear" w:color="auto" w:fill="D9D9D9"/>
            <w:vAlign w:val="center"/>
          </w:tcPr>
          <w:p w:rsidR="00AA1A26" w:rsidRPr="00F36ADA" w:rsidRDefault="00AA1A26" w:rsidP="00AA1A26">
            <w:pPr>
              <w:jc w:val="right"/>
              <w:rPr>
                <w:b/>
                <w:sz w:val="18"/>
                <w:szCs w:val="18"/>
              </w:rPr>
            </w:pPr>
          </w:p>
        </w:tc>
        <w:tc>
          <w:tcPr>
            <w:tcW w:w="2037" w:type="dxa"/>
            <w:shd w:val="clear" w:color="auto" w:fill="D9D9D9"/>
            <w:vAlign w:val="center"/>
          </w:tcPr>
          <w:p w:rsidR="00AA1A26" w:rsidRPr="00F36ADA" w:rsidRDefault="00AA1A26" w:rsidP="00AA1A26">
            <w:pPr>
              <w:jc w:val="right"/>
              <w:rPr>
                <w:b/>
                <w:sz w:val="18"/>
                <w:szCs w:val="18"/>
              </w:rPr>
            </w:pP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取得投资收益收到的现金</w:t>
            </w:r>
          </w:p>
        </w:tc>
        <w:tc>
          <w:tcPr>
            <w:tcW w:w="2037" w:type="dxa"/>
            <w:vAlign w:val="center"/>
          </w:tcPr>
          <w:p w:rsidR="00AA1A26" w:rsidRPr="00F36ADA" w:rsidRDefault="0027505B" w:rsidP="00AA1A26">
            <w:pPr>
              <w:jc w:val="right"/>
              <w:rPr>
                <w:sz w:val="18"/>
                <w:szCs w:val="18"/>
              </w:rPr>
            </w:pPr>
            <w:r w:rsidRPr="003A6201">
              <w:rPr>
                <w:sz w:val="18"/>
                <w:szCs w:val="18"/>
              </w:rPr>
              <w:t>150,000,000.00</w:t>
            </w:r>
          </w:p>
        </w:tc>
        <w:tc>
          <w:tcPr>
            <w:tcW w:w="2037" w:type="dxa"/>
            <w:vAlign w:val="center"/>
          </w:tcPr>
          <w:p w:rsidR="00AA1A26" w:rsidRPr="00F36ADA" w:rsidRDefault="00AA1A26" w:rsidP="00AA1A26">
            <w:pPr>
              <w:jc w:val="right"/>
              <w:rPr>
                <w:sz w:val="18"/>
                <w:szCs w:val="18"/>
              </w:rPr>
            </w:pPr>
            <w:r w:rsidRPr="00F36ADA">
              <w:rPr>
                <w:sz w:val="18"/>
                <w:szCs w:val="18"/>
              </w:rPr>
              <w:t>400,617.73</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处置固定资产、无形资产和其他</w:t>
            </w:r>
          </w:p>
          <w:p w:rsidR="00AA1A26" w:rsidRPr="00F36ADA" w:rsidRDefault="00AA1A26">
            <w:pPr>
              <w:tabs>
                <w:tab w:val="left" w:pos="357"/>
              </w:tabs>
              <w:rPr>
                <w:sz w:val="18"/>
                <w:szCs w:val="18"/>
              </w:rPr>
            </w:pPr>
            <w:r w:rsidRPr="00F36ADA">
              <w:rPr>
                <w:b/>
                <w:sz w:val="18"/>
                <w:szCs w:val="18"/>
              </w:rPr>
              <w:tab/>
            </w:r>
            <w:r w:rsidRPr="00F36ADA">
              <w:rPr>
                <w:bCs/>
                <w:sz w:val="18"/>
                <w:szCs w:val="18"/>
              </w:rPr>
              <w:t>    </w:t>
            </w:r>
            <w:r w:rsidRPr="00F36ADA">
              <w:rPr>
                <w:rFonts w:hint="eastAsia"/>
                <w:sz w:val="18"/>
                <w:szCs w:val="18"/>
              </w:rPr>
              <w:t>长期资产收到的现金净额</w:t>
            </w:r>
          </w:p>
        </w:tc>
        <w:tc>
          <w:tcPr>
            <w:tcW w:w="2037" w:type="dxa"/>
            <w:vAlign w:val="center"/>
          </w:tcPr>
          <w:p w:rsidR="00AA1A26" w:rsidRPr="00F36ADA" w:rsidRDefault="00D87076" w:rsidP="00AA1A26">
            <w:pPr>
              <w:jc w:val="right"/>
              <w:rPr>
                <w:sz w:val="18"/>
                <w:szCs w:val="18"/>
              </w:rPr>
            </w:pPr>
            <w:r w:rsidRPr="00F36ADA">
              <w:rPr>
                <w:sz w:val="18"/>
                <w:szCs w:val="18"/>
              </w:rPr>
              <w:t>24,864,054.83</w:t>
            </w:r>
          </w:p>
        </w:tc>
        <w:tc>
          <w:tcPr>
            <w:tcW w:w="2037" w:type="dxa"/>
            <w:vAlign w:val="center"/>
          </w:tcPr>
          <w:p w:rsidR="00AA1A26" w:rsidRPr="00F36ADA" w:rsidRDefault="00AA1A26" w:rsidP="00AA1A26">
            <w:pPr>
              <w:jc w:val="right"/>
              <w:rPr>
                <w:sz w:val="18"/>
                <w:szCs w:val="18"/>
              </w:rPr>
            </w:pPr>
            <w:r w:rsidRPr="00F36ADA">
              <w:rPr>
                <w:sz w:val="18"/>
                <w:szCs w:val="18"/>
              </w:rPr>
              <w:t>55,111,122.50</w:t>
            </w:r>
          </w:p>
        </w:tc>
      </w:tr>
      <w:tr w:rsidR="00F36ADA" w:rsidRPr="00F36ADA" w:rsidTr="0027505B">
        <w:trPr>
          <w:trHeight w:val="20"/>
        </w:trPr>
        <w:tc>
          <w:tcPr>
            <w:tcW w:w="6091" w:type="dxa"/>
            <w:shd w:val="clear" w:color="auto" w:fill="D9D9D9"/>
            <w:vAlign w:val="center"/>
          </w:tcPr>
          <w:p w:rsidR="00F36ADA" w:rsidRPr="00F36ADA" w:rsidRDefault="00F36ADA">
            <w:pPr>
              <w:tabs>
                <w:tab w:val="left" w:pos="357"/>
              </w:tabs>
              <w:rPr>
                <w:sz w:val="18"/>
                <w:szCs w:val="18"/>
              </w:rPr>
            </w:pPr>
            <w:r w:rsidRPr="00F36ADA">
              <w:rPr>
                <w:b/>
                <w:sz w:val="18"/>
                <w:szCs w:val="18"/>
              </w:rPr>
              <w:tab/>
            </w:r>
            <w:r w:rsidRPr="00F36ADA">
              <w:rPr>
                <w:rFonts w:hint="eastAsia"/>
                <w:sz w:val="18"/>
                <w:szCs w:val="18"/>
              </w:rPr>
              <w:t>收到其他与投资活动有关的现金</w:t>
            </w:r>
          </w:p>
        </w:tc>
        <w:tc>
          <w:tcPr>
            <w:tcW w:w="2037" w:type="dxa"/>
            <w:vAlign w:val="center"/>
          </w:tcPr>
          <w:p w:rsidR="00F36ADA" w:rsidRPr="00F36ADA" w:rsidRDefault="00F36ADA" w:rsidP="0027505B">
            <w:pPr>
              <w:jc w:val="right"/>
              <w:rPr>
                <w:sz w:val="18"/>
                <w:szCs w:val="18"/>
              </w:rPr>
            </w:pPr>
            <w:r w:rsidRPr="005E3D65">
              <w:rPr>
                <w:sz w:val="18"/>
                <w:szCs w:val="18"/>
              </w:rPr>
              <w:t>-    </w:t>
            </w:r>
          </w:p>
        </w:tc>
        <w:tc>
          <w:tcPr>
            <w:tcW w:w="2037" w:type="dxa"/>
            <w:vAlign w:val="center"/>
          </w:tcPr>
          <w:p w:rsidR="00F36ADA" w:rsidRPr="00F36ADA" w:rsidRDefault="00F36ADA" w:rsidP="00F36ADA">
            <w:pPr>
              <w:jc w:val="right"/>
              <w:rPr>
                <w:sz w:val="18"/>
                <w:szCs w:val="18"/>
              </w:rPr>
            </w:pPr>
            <w:r w:rsidRPr="00F36ADA">
              <w:rPr>
                <w:sz w:val="18"/>
                <w:szCs w:val="18"/>
              </w:rPr>
              <w:t>45,204,706.43</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b/>
                <w:sz w:val="18"/>
                <w:szCs w:val="18"/>
              </w:rPr>
              <w:tab/>
            </w:r>
            <w:r w:rsidRPr="00F36ADA">
              <w:rPr>
                <w:rFonts w:hint="eastAsia"/>
                <w:b/>
                <w:sz w:val="18"/>
                <w:szCs w:val="18"/>
              </w:rPr>
              <w:t>投资活动现金流入小计</w:t>
            </w:r>
          </w:p>
        </w:tc>
        <w:tc>
          <w:tcPr>
            <w:tcW w:w="2037" w:type="dxa"/>
            <w:vAlign w:val="center"/>
          </w:tcPr>
          <w:p w:rsidR="00AA1A26" w:rsidRPr="00F36ADA" w:rsidRDefault="0027505B" w:rsidP="00AA1A26">
            <w:pPr>
              <w:jc w:val="right"/>
              <w:rPr>
                <w:b/>
                <w:sz w:val="18"/>
                <w:szCs w:val="18"/>
              </w:rPr>
            </w:pPr>
            <w:r w:rsidRPr="003A6201">
              <w:rPr>
                <w:b/>
                <w:sz w:val="18"/>
                <w:szCs w:val="18"/>
              </w:rPr>
              <w:t>174,864,054.83</w:t>
            </w:r>
          </w:p>
        </w:tc>
        <w:tc>
          <w:tcPr>
            <w:tcW w:w="2037" w:type="dxa"/>
            <w:vAlign w:val="center"/>
          </w:tcPr>
          <w:p w:rsidR="00AA1A26" w:rsidRPr="00F36ADA" w:rsidRDefault="00AA1A26" w:rsidP="00AA1A26">
            <w:pPr>
              <w:jc w:val="right"/>
              <w:rPr>
                <w:b/>
                <w:sz w:val="18"/>
                <w:szCs w:val="18"/>
              </w:rPr>
            </w:pPr>
            <w:r w:rsidRPr="00F36ADA">
              <w:rPr>
                <w:b/>
                <w:sz w:val="18"/>
                <w:szCs w:val="18"/>
              </w:rPr>
              <w:t>100,716,446.66</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购建固定资产、无形资产和其他</w:t>
            </w:r>
          </w:p>
          <w:p w:rsidR="00AA1A26" w:rsidRPr="00F36ADA" w:rsidRDefault="00AA1A26">
            <w:pPr>
              <w:tabs>
                <w:tab w:val="left" w:pos="357"/>
              </w:tabs>
              <w:rPr>
                <w:sz w:val="18"/>
                <w:szCs w:val="18"/>
              </w:rPr>
            </w:pPr>
            <w:r w:rsidRPr="00F36ADA">
              <w:rPr>
                <w:b/>
                <w:sz w:val="18"/>
                <w:szCs w:val="18"/>
              </w:rPr>
              <w:tab/>
            </w:r>
            <w:r w:rsidRPr="00F36ADA">
              <w:rPr>
                <w:bCs/>
                <w:sz w:val="18"/>
                <w:szCs w:val="18"/>
              </w:rPr>
              <w:t>    </w:t>
            </w:r>
            <w:r w:rsidRPr="00F36ADA">
              <w:rPr>
                <w:rFonts w:hint="eastAsia"/>
                <w:sz w:val="18"/>
                <w:szCs w:val="18"/>
              </w:rPr>
              <w:t>长期资产支付的现金</w:t>
            </w:r>
          </w:p>
        </w:tc>
        <w:tc>
          <w:tcPr>
            <w:tcW w:w="2037" w:type="dxa"/>
            <w:vAlign w:val="center"/>
          </w:tcPr>
          <w:p w:rsidR="00AA1A26" w:rsidRPr="00F36ADA" w:rsidRDefault="002A2E2A" w:rsidP="00AA1A26">
            <w:pPr>
              <w:jc w:val="right"/>
              <w:rPr>
                <w:sz w:val="18"/>
                <w:szCs w:val="18"/>
              </w:rPr>
            </w:pPr>
            <w:r w:rsidRPr="00F36ADA">
              <w:rPr>
                <w:sz w:val="18"/>
                <w:szCs w:val="18"/>
              </w:rPr>
              <w:t>249,895,302.97</w:t>
            </w:r>
          </w:p>
        </w:tc>
        <w:tc>
          <w:tcPr>
            <w:tcW w:w="2037" w:type="dxa"/>
            <w:vAlign w:val="center"/>
          </w:tcPr>
          <w:p w:rsidR="00AA1A26" w:rsidRPr="00F36ADA" w:rsidRDefault="00AA1A26" w:rsidP="00AA1A26">
            <w:pPr>
              <w:jc w:val="right"/>
              <w:rPr>
                <w:sz w:val="18"/>
                <w:szCs w:val="18"/>
              </w:rPr>
            </w:pPr>
            <w:r w:rsidRPr="00F36ADA">
              <w:rPr>
                <w:sz w:val="18"/>
                <w:szCs w:val="18"/>
              </w:rPr>
              <w:t>240,462,110.44</w:t>
            </w:r>
          </w:p>
        </w:tc>
      </w:tr>
      <w:tr w:rsidR="00F36ADA" w:rsidRPr="00F36ADA" w:rsidTr="0027505B">
        <w:trPr>
          <w:trHeight w:val="20"/>
        </w:trPr>
        <w:tc>
          <w:tcPr>
            <w:tcW w:w="6091" w:type="dxa"/>
            <w:shd w:val="clear" w:color="auto" w:fill="D9D9D9"/>
            <w:vAlign w:val="center"/>
          </w:tcPr>
          <w:p w:rsidR="00F36ADA" w:rsidRPr="00F36ADA" w:rsidRDefault="00F36ADA">
            <w:pPr>
              <w:tabs>
                <w:tab w:val="left" w:pos="357"/>
              </w:tabs>
              <w:rPr>
                <w:b/>
                <w:sz w:val="18"/>
                <w:szCs w:val="18"/>
              </w:rPr>
            </w:pPr>
            <w:r w:rsidRPr="00F36ADA">
              <w:rPr>
                <w:b/>
                <w:sz w:val="18"/>
                <w:szCs w:val="18"/>
              </w:rPr>
              <w:tab/>
            </w:r>
            <w:r w:rsidRPr="00F36ADA">
              <w:rPr>
                <w:rFonts w:hint="eastAsia"/>
                <w:sz w:val="18"/>
                <w:szCs w:val="18"/>
              </w:rPr>
              <w:t>支付其他与投资活动有关的现金</w:t>
            </w:r>
          </w:p>
        </w:tc>
        <w:tc>
          <w:tcPr>
            <w:tcW w:w="2037" w:type="dxa"/>
            <w:vAlign w:val="center"/>
          </w:tcPr>
          <w:p w:rsidR="00F36ADA" w:rsidRPr="00F36ADA" w:rsidRDefault="00F36ADA" w:rsidP="00F36ADA">
            <w:pPr>
              <w:jc w:val="right"/>
              <w:rPr>
                <w:sz w:val="18"/>
                <w:szCs w:val="18"/>
              </w:rPr>
            </w:pPr>
            <w:r w:rsidRPr="00F36ADA">
              <w:rPr>
                <w:sz w:val="18"/>
                <w:szCs w:val="18"/>
              </w:rPr>
              <w:t>1,794,889,100.00</w:t>
            </w:r>
          </w:p>
        </w:tc>
        <w:tc>
          <w:tcPr>
            <w:tcW w:w="2037" w:type="dxa"/>
            <w:vAlign w:val="center"/>
          </w:tcPr>
          <w:p w:rsidR="00F36ADA" w:rsidRPr="00F36ADA" w:rsidRDefault="00F36ADA" w:rsidP="0027505B">
            <w:pPr>
              <w:jc w:val="right"/>
              <w:rPr>
                <w:sz w:val="18"/>
                <w:szCs w:val="18"/>
              </w:rPr>
            </w:pPr>
            <w:r w:rsidRPr="005E3D65">
              <w:rPr>
                <w:sz w:val="18"/>
                <w:szCs w:val="18"/>
              </w:rPr>
              <w:t>-    </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b/>
                <w:sz w:val="18"/>
                <w:szCs w:val="18"/>
              </w:rPr>
              <w:tab/>
            </w:r>
            <w:r w:rsidRPr="00F36ADA">
              <w:rPr>
                <w:rFonts w:hint="eastAsia"/>
                <w:b/>
                <w:sz w:val="18"/>
                <w:szCs w:val="18"/>
              </w:rPr>
              <w:t>投资活动现金流出小计</w:t>
            </w:r>
          </w:p>
        </w:tc>
        <w:tc>
          <w:tcPr>
            <w:tcW w:w="2037" w:type="dxa"/>
            <w:vAlign w:val="center"/>
          </w:tcPr>
          <w:p w:rsidR="00AA1A26" w:rsidRPr="00F36ADA" w:rsidRDefault="002A2E2A" w:rsidP="00AA1A26">
            <w:pPr>
              <w:jc w:val="right"/>
              <w:rPr>
                <w:b/>
                <w:sz w:val="18"/>
                <w:szCs w:val="18"/>
              </w:rPr>
            </w:pPr>
            <w:r w:rsidRPr="00F36ADA">
              <w:rPr>
                <w:b/>
                <w:sz w:val="18"/>
                <w:szCs w:val="18"/>
              </w:rPr>
              <w:t>2,044,784,402.97</w:t>
            </w:r>
          </w:p>
        </w:tc>
        <w:tc>
          <w:tcPr>
            <w:tcW w:w="2037" w:type="dxa"/>
            <w:vAlign w:val="center"/>
          </w:tcPr>
          <w:p w:rsidR="00AA1A26" w:rsidRPr="00F36ADA" w:rsidRDefault="00AA1A26" w:rsidP="00AA1A26">
            <w:pPr>
              <w:jc w:val="right"/>
              <w:rPr>
                <w:b/>
                <w:sz w:val="18"/>
                <w:szCs w:val="18"/>
              </w:rPr>
            </w:pPr>
            <w:r w:rsidRPr="00F36ADA">
              <w:rPr>
                <w:b/>
                <w:sz w:val="18"/>
                <w:szCs w:val="18"/>
              </w:rPr>
              <w:t>240,462,110.44</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b/>
                <w:sz w:val="18"/>
                <w:szCs w:val="18"/>
              </w:rPr>
              <w:tab/>
            </w:r>
            <w:r w:rsidRPr="00F36ADA">
              <w:rPr>
                <w:rFonts w:hint="eastAsia"/>
                <w:b/>
                <w:sz w:val="18"/>
                <w:szCs w:val="18"/>
              </w:rPr>
              <w:t>投资活动产生的现金流量净额</w:t>
            </w:r>
          </w:p>
        </w:tc>
        <w:tc>
          <w:tcPr>
            <w:tcW w:w="2037" w:type="dxa"/>
            <w:vAlign w:val="center"/>
          </w:tcPr>
          <w:p w:rsidR="00AA1A26" w:rsidRPr="00F36ADA" w:rsidRDefault="0027505B" w:rsidP="00AA1A26">
            <w:pPr>
              <w:jc w:val="right"/>
              <w:rPr>
                <w:b/>
                <w:sz w:val="18"/>
                <w:szCs w:val="18"/>
              </w:rPr>
            </w:pPr>
            <w:r w:rsidRPr="003A6201">
              <w:rPr>
                <w:b/>
                <w:sz w:val="18"/>
                <w:szCs w:val="18"/>
              </w:rPr>
              <w:t>(1,869,920,348.14)</w:t>
            </w:r>
          </w:p>
        </w:tc>
        <w:tc>
          <w:tcPr>
            <w:tcW w:w="2037" w:type="dxa"/>
            <w:vAlign w:val="center"/>
          </w:tcPr>
          <w:p w:rsidR="00AA1A26" w:rsidRPr="00F36ADA" w:rsidRDefault="005F14EE" w:rsidP="00AA1A26">
            <w:pPr>
              <w:jc w:val="right"/>
              <w:rPr>
                <w:b/>
                <w:sz w:val="18"/>
                <w:szCs w:val="18"/>
              </w:rPr>
            </w:pPr>
            <w:r w:rsidRPr="00F36ADA">
              <w:rPr>
                <w:b/>
                <w:sz w:val="18"/>
                <w:szCs w:val="18"/>
              </w:rPr>
              <w:t>(</w:t>
            </w:r>
            <w:r w:rsidR="00AA1A26" w:rsidRPr="00F36ADA">
              <w:rPr>
                <w:b/>
                <w:sz w:val="18"/>
                <w:szCs w:val="18"/>
              </w:rPr>
              <w:t>139,745,663.78</w:t>
            </w:r>
            <w:r w:rsidRPr="00F36ADA">
              <w:rPr>
                <w:b/>
                <w:sz w:val="18"/>
                <w:szCs w:val="18"/>
              </w:rPr>
              <w:t>)</w:t>
            </w:r>
          </w:p>
        </w:tc>
      </w:tr>
      <w:tr w:rsidR="00AA1A26" w:rsidRPr="00F36ADA" w:rsidTr="0027505B">
        <w:trPr>
          <w:trHeight w:val="20"/>
        </w:trPr>
        <w:tc>
          <w:tcPr>
            <w:tcW w:w="6091" w:type="dxa"/>
            <w:shd w:val="clear" w:color="auto" w:fill="D9D9D9"/>
            <w:vAlign w:val="center"/>
          </w:tcPr>
          <w:p w:rsidR="00AA1A26" w:rsidRPr="00F36ADA" w:rsidRDefault="00AA1A26" w:rsidP="00AA1A26">
            <w:pPr>
              <w:rPr>
                <w:b/>
                <w:sz w:val="18"/>
                <w:szCs w:val="18"/>
              </w:rPr>
            </w:pPr>
            <w:r w:rsidRPr="00F36ADA">
              <w:rPr>
                <w:rFonts w:hint="eastAsia"/>
                <w:b/>
                <w:sz w:val="18"/>
                <w:szCs w:val="18"/>
              </w:rPr>
              <w:t>三、筹资活动产生的现金流量</w:t>
            </w:r>
          </w:p>
        </w:tc>
        <w:tc>
          <w:tcPr>
            <w:tcW w:w="2037" w:type="dxa"/>
            <w:shd w:val="clear" w:color="auto" w:fill="D9D9D9"/>
            <w:vAlign w:val="center"/>
          </w:tcPr>
          <w:p w:rsidR="00AA1A26" w:rsidRPr="00F36ADA" w:rsidRDefault="00AA1A26" w:rsidP="00AA1A26">
            <w:pPr>
              <w:jc w:val="right"/>
              <w:rPr>
                <w:b/>
                <w:sz w:val="18"/>
                <w:szCs w:val="18"/>
              </w:rPr>
            </w:pPr>
          </w:p>
        </w:tc>
        <w:tc>
          <w:tcPr>
            <w:tcW w:w="2037" w:type="dxa"/>
            <w:shd w:val="clear" w:color="auto" w:fill="D9D9D9"/>
            <w:vAlign w:val="center"/>
          </w:tcPr>
          <w:p w:rsidR="00AA1A26" w:rsidRPr="00F36ADA" w:rsidRDefault="00AA1A26" w:rsidP="00AA1A26">
            <w:pPr>
              <w:jc w:val="right"/>
              <w:rPr>
                <w:b/>
                <w:sz w:val="18"/>
                <w:szCs w:val="18"/>
              </w:rPr>
            </w:pPr>
          </w:p>
        </w:tc>
      </w:tr>
      <w:tr w:rsidR="00F36ADA" w:rsidRPr="00F36ADA" w:rsidTr="0027505B">
        <w:trPr>
          <w:trHeight w:val="20"/>
        </w:trPr>
        <w:tc>
          <w:tcPr>
            <w:tcW w:w="6091" w:type="dxa"/>
            <w:shd w:val="clear" w:color="auto" w:fill="D9D9D9"/>
            <w:vAlign w:val="center"/>
          </w:tcPr>
          <w:p w:rsidR="00F36ADA" w:rsidRPr="00F36ADA" w:rsidRDefault="00F36ADA">
            <w:pPr>
              <w:tabs>
                <w:tab w:val="left" w:pos="357"/>
              </w:tabs>
              <w:rPr>
                <w:sz w:val="18"/>
                <w:szCs w:val="18"/>
              </w:rPr>
            </w:pPr>
            <w:r w:rsidRPr="00F36ADA">
              <w:rPr>
                <w:b/>
                <w:sz w:val="18"/>
                <w:szCs w:val="18"/>
              </w:rPr>
              <w:tab/>
            </w:r>
            <w:r w:rsidRPr="00F36ADA">
              <w:rPr>
                <w:rFonts w:hint="eastAsia"/>
                <w:sz w:val="18"/>
                <w:szCs w:val="18"/>
              </w:rPr>
              <w:t>吸收投资所收到的现金</w:t>
            </w:r>
          </w:p>
        </w:tc>
        <w:tc>
          <w:tcPr>
            <w:tcW w:w="2037" w:type="dxa"/>
            <w:vAlign w:val="center"/>
          </w:tcPr>
          <w:p w:rsidR="00F36ADA" w:rsidRPr="00F36ADA" w:rsidRDefault="00F36ADA" w:rsidP="0027505B">
            <w:pPr>
              <w:jc w:val="right"/>
              <w:rPr>
                <w:sz w:val="18"/>
                <w:szCs w:val="18"/>
              </w:rPr>
            </w:pPr>
            <w:r w:rsidRPr="005E3D65">
              <w:rPr>
                <w:sz w:val="18"/>
                <w:szCs w:val="18"/>
              </w:rPr>
              <w:t>-    </w:t>
            </w:r>
          </w:p>
        </w:tc>
        <w:tc>
          <w:tcPr>
            <w:tcW w:w="2037" w:type="dxa"/>
            <w:vAlign w:val="center"/>
          </w:tcPr>
          <w:p w:rsidR="00F36ADA" w:rsidRPr="00F36ADA" w:rsidRDefault="00F36ADA" w:rsidP="00F36ADA">
            <w:pPr>
              <w:jc w:val="right"/>
              <w:rPr>
                <w:sz w:val="18"/>
                <w:szCs w:val="18"/>
              </w:rPr>
            </w:pPr>
            <w:r w:rsidRPr="00F36ADA">
              <w:rPr>
                <w:sz w:val="18"/>
                <w:szCs w:val="18"/>
              </w:rPr>
              <w:t>3,147,475,235.85</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b/>
                <w:sz w:val="18"/>
                <w:szCs w:val="18"/>
              </w:rPr>
              <w:tab/>
            </w:r>
            <w:r w:rsidRPr="00F36ADA">
              <w:rPr>
                <w:rFonts w:hint="eastAsia"/>
                <w:sz w:val="18"/>
                <w:szCs w:val="18"/>
              </w:rPr>
              <w:t>取得借款收到的现金</w:t>
            </w:r>
          </w:p>
        </w:tc>
        <w:tc>
          <w:tcPr>
            <w:tcW w:w="2037" w:type="dxa"/>
            <w:vAlign w:val="center"/>
          </w:tcPr>
          <w:p w:rsidR="00AA1A26" w:rsidRPr="00F36ADA" w:rsidRDefault="008C2A32" w:rsidP="00AA1A26">
            <w:pPr>
              <w:jc w:val="right"/>
              <w:rPr>
                <w:sz w:val="18"/>
                <w:szCs w:val="18"/>
              </w:rPr>
            </w:pPr>
            <w:r w:rsidRPr="00F36ADA">
              <w:rPr>
                <w:sz w:val="18"/>
                <w:szCs w:val="18"/>
              </w:rPr>
              <w:t>92,525,771.79</w:t>
            </w:r>
          </w:p>
        </w:tc>
        <w:tc>
          <w:tcPr>
            <w:tcW w:w="2037" w:type="dxa"/>
            <w:vAlign w:val="center"/>
          </w:tcPr>
          <w:p w:rsidR="00AA1A26" w:rsidRPr="00F36ADA" w:rsidRDefault="00AA1A26" w:rsidP="00AA1A26">
            <w:pPr>
              <w:jc w:val="right"/>
              <w:rPr>
                <w:sz w:val="18"/>
                <w:szCs w:val="18"/>
              </w:rPr>
            </w:pPr>
            <w:r w:rsidRPr="00F36ADA">
              <w:rPr>
                <w:sz w:val="18"/>
                <w:szCs w:val="18"/>
              </w:rPr>
              <w:t>429,811,259.46</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sz w:val="18"/>
                <w:szCs w:val="18"/>
              </w:rPr>
            </w:pPr>
            <w:r w:rsidRPr="00F36ADA">
              <w:rPr>
                <w:b/>
                <w:sz w:val="18"/>
                <w:szCs w:val="18"/>
              </w:rPr>
              <w:tab/>
            </w:r>
            <w:r w:rsidRPr="00F36ADA">
              <w:rPr>
                <w:rFonts w:hint="eastAsia"/>
                <w:sz w:val="18"/>
                <w:szCs w:val="18"/>
              </w:rPr>
              <w:t>收到其他与筹资活动有关的现金</w:t>
            </w:r>
          </w:p>
        </w:tc>
        <w:tc>
          <w:tcPr>
            <w:tcW w:w="2037" w:type="dxa"/>
            <w:vAlign w:val="center"/>
          </w:tcPr>
          <w:p w:rsidR="00AA1A26" w:rsidRPr="00F36ADA" w:rsidRDefault="008C2A32" w:rsidP="00AA1A26">
            <w:pPr>
              <w:jc w:val="right"/>
              <w:rPr>
                <w:sz w:val="18"/>
                <w:szCs w:val="18"/>
              </w:rPr>
            </w:pPr>
            <w:r w:rsidRPr="00F36ADA">
              <w:rPr>
                <w:sz w:val="18"/>
                <w:szCs w:val="18"/>
              </w:rPr>
              <w:t>161,709.25</w:t>
            </w:r>
          </w:p>
        </w:tc>
        <w:tc>
          <w:tcPr>
            <w:tcW w:w="2037" w:type="dxa"/>
            <w:vAlign w:val="center"/>
          </w:tcPr>
          <w:p w:rsidR="00AA1A26" w:rsidRPr="00F36ADA" w:rsidRDefault="00AA1A26" w:rsidP="00AA1A26">
            <w:pPr>
              <w:jc w:val="right"/>
              <w:rPr>
                <w:sz w:val="18"/>
                <w:szCs w:val="18"/>
              </w:rPr>
            </w:pPr>
            <w:r w:rsidRPr="00F36ADA">
              <w:rPr>
                <w:sz w:val="18"/>
                <w:szCs w:val="18"/>
              </w:rPr>
              <w:t>122,473,619.63</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b/>
                <w:sz w:val="18"/>
                <w:szCs w:val="18"/>
              </w:rPr>
              <w:tab/>
            </w:r>
            <w:r w:rsidRPr="00F36ADA">
              <w:rPr>
                <w:rFonts w:hint="eastAsia"/>
                <w:b/>
                <w:sz w:val="18"/>
                <w:szCs w:val="18"/>
              </w:rPr>
              <w:t>筹资活动现金流入小计</w:t>
            </w:r>
          </w:p>
        </w:tc>
        <w:tc>
          <w:tcPr>
            <w:tcW w:w="2037" w:type="dxa"/>
            <w:vAlign w:val="center"/>
          </w:tcPr>
          <w:p w:rsidR="00AA1A26" w:rsidRPr="00F36ADA" w:rsidRDefault="008C2A32" w:rsidP="00AA1A26">
            <w:pPr>
              <w:jc w:val="right"/>
              <w:rPr>
                <w:b/>
                <w:sz w:val="18"/>
                <w:szCs w:val="18"/>
              </w:rPr>
            </w:pPr>
            <w:r w:rsidRPr="00F36ADA">
              <w:rPr>
                <w:b/>
                <w:sz w:val="18"/>
                <w:szCs w:val="18"/>
              </w:rPr>
              <w:t>92,687,481.04</w:t>
            </w:r>
          </w:p>
        </w:tc>
        <w:tc>
          <w:tcPr>
            <w:tcW w:w="2037" w:type="dxa"/>
            <w:vAlign w:val="center"/>
          </w:tcPr>
          <w:p w:rsidR="00AA1A26" w:rsidRPr="00F36ADA" w:rsidRDefault="00AA1A26" w:rsidP="00AA1A26">
            <w:pPr>
              <w:jc w:val="right"/>
              <w:rPr>
                <w:b/>
                <w:sz w:val="18"/>
                <w:szCs w:val="18"/>
              </w:rPr>
            </w:pPr>
            <w:r w:rsidRPr="00F36ADA">
              <w:rPr>
                <w:b/>
                <w:sz w:val="18"/>
                <w:szCs w:val="18"/>
              </w:rPr>
              <w:t>3,699,760,114.94</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sz w:val="18"/>
                <w:szCs w:val="18"/>
              </w:rPr>
              <w:tab/>
            </w:r>
            <w:r w:rsidRPr="00F36ADA">
              <w:rPr>
                <w:rFonts w:hint="eastAsia"/>
                <w:sz w:val="18"/>
                <w:szCs w:val="18"/>
              </w:rPr>
              <w:t>偿还债务所支付的现金</w:t>
            </w:r>
          </w:p>
        </w:tc>
        <w:tc>
          <w:tcPr>
            <w:tcW w:w="2037" w:type="dxa"/>
            <w:vAlign w:val="center"/>
          </w:tcPr>
          <w:p w:rsidR="00AA1A26" w:rsidRPr="00F36ADA" w:rsidRDefault="008C2A32" w:rsidP="00AA1A26">
            <w:pPr>
              <w:jc w:val="right"/>
              <w:rPr>
                <w:bCs/>
                <w:sz w:val="18"/>
                <w:szCs w:val="18"/>
              </w:rPr>
            </w:pPr>
            <w:r w:rsidRPr="00F36ADA">
              <w:rPr>
                <w:bCs/>
                <w:sz w:val="18"/>
                <w:szCs w:val="18"/>
              </w:rPr>
              <w:t>201,000,000.00</w:t>
            </w:r>
          </w:p>
        </w:tc>
        <w:tc>
          <w:tcPr>
            <w:tcW w:w="2037" w:type="dxa"/>
            <w:vAlign w:val="center"/>
          </w:tcPr>
          <w:p w:rsidR="00AA1A26" w:rsidRPr="00F36ADA" w:rsidRDefault="00AA1A26" w:rsidP="00AA1A26">
            <w:pPr>
              <w:jc w:val="right"/>
              <w:rPr>
                <w:b/>
                <w:sz w:val="18"/>
                <w:szCs w:val="18"/>
              </w:rPr>
            </w:pPr>
            <w:r w:rsidRPr="00F36ADA">
              <w:rPr>
                <w:bCs/>
                <w:sz w:val="18"/>
                <w:szCs w:val="18"/>
              </w:rPr>
              <w:t>351,000,000.00</w:t>
            </w:r>
          </w:p>
        </w:tc>
      </w:tr>
      <w:tr w:rsidR="00AA1A26" w:rsidRPr="00F36ADA" w:rsidTr="0027505B">
        <w:trPr>
          <w:trHeight w:val="20"/>
        </w:trPr>
        <w:tc>
          <w:tcPr>
            <w:tcW w:w="6091" w:type="dxa"/>
            <w:shd w:val="clear" w:color="auto" w:fill="D9D9D9"/>
            <w:vAlign w:val="center"/>
          </w:tcPr>
          <w:p w:rsidR="00AA1A26" w:rsidRPr="00F36ADA" w:rsidRDefault="00AA1A26">
            <w:pPr>
              <w:tabs>
                <w:tab w:val="left" w:pos="357"/>
              </w:tabs>
              <w:rPr>
                <w:b/>
                <w:sz w:val="18"/>
                <w:szCs w:val="18"/>
              </w:rPr>
            </w:pPr>
            <w:r w:rsidRPr="00F36ADA">
              <w:rPr>
                <w:b/>
                <w:sz w:val="18"/>
                <w:szCs w:val="18"/>
              </w:rPr>
              <w:tab/>
            </w:r>
            <w:r w:rsidRPr="00F36ADA">
              <w:rPr>
                <w:rFonts w:hint="eastAsia"/>
                <w:sz w:val="18"/>
                <w:szCs w:val="18"/>
              </w:rPr>
              <w:t>分配股利、利润和偿付利息所支付的现金</w:t>
            </w:r>
          </w:p>
        </w:tc>
        <w:tc>
          <w:tcPr>
            <w:tcW w:w="2037" w:type="dxa"/>
            <w:vAlign w:val="center"/>
          </w:tcPr>
          <w:p w:rsidR="00AA1A26" w:rsidRPr="00F36ADA" w:rsidRDefault="008C2A32" w:rsidP="00AA1A26">
            <w:pPr>
              <w:jc w:val="right"/>
              <w:rPr>
                <w:sz w:val="18"/>
                <w:szCs w:val="18"/>
              </w:rPr>
            </w:pPr>
            <w:r w:rsidRPr="00F36ADA">
              <w:rPr>
                <w:sz w:val="18"/>
                <w:szCs w:val="18"/>
              </w:rPr>
              <w:t>191,027,591.91</w:t>
            </w:r>
          </w:p>
        </w:tc>
        <w:tc>
          <w:tcPr>
            <w:tcW w:w="2037" w:type="dxa"/>
            <w:vAlign w:val="center"/>
          </w:tcPr>
          <w:p w:rsidR="00AA1A26" w:rsidRPr="00F36ADA" w:rsidRDefault="00AA1A26" w:rsidP="00AA1A26">
            <w:pPr>
              <w:jc w:val="right"/>
              <w:rPr>
                <w:sz w:val="18"/>
                <w:szCs w:val="18"/>
              </w:rPr>
            </w:pPr>
            <w:r w:rsidRPr="00F36ADA">
              <w:rPr>
                <w:sz w:val="18"/>
                <w:szCs w:val="18"/>
              </w:rPr>
              <w:t>40,951,749.26</w:t>
            </w:r>
          </w:p>
        </w:tc>
      </w:tr>
      <w:tr w:rsidR="0027505B" w:rsidRPr="00F36ADA" w:rsidTr="0027505B">
        <w:trPr>
          <w:trHeight w:val="20"/>
        </w:trPr>
        <w:tc>
          <w:tcPr>
            <w:tcW w:w="6091" w:type="dxa"/>
            <w:shd w:val="clear" w:color="auto" w:fill="D9D9D9"/>
            <w:vAlign w:val="center"/>
          </w:tcPr>
          <w:p w:rsidR="0027505B" w:rsidRPr="00F36ADA" w:rsidRDefault="0027505B" w:rsidP="0027505B">
            <w:pPr>
              <w:tabs>
                <w:tab w:val="left" w:pos="357"/>
              </w:tabs>
              <w:rPr>
                <w:sz w:val="18"/>
                <w:szCs w:val="18"/>
              </w:rPr>
            </w:pPr>
            <w:r w:rsidRPr="00F36ADA">
              <w:rPr>
                <w:b/>
                <w:sz w:val="18"/>
                <w:szCs w:val="18"/>
              </w:rPr>
              <w:tab/>
            </w:r>
            <w:r w:rsidRPr="00F36ADA">
              <w:rPr>
                <w:rFonts w:hint="eastAsia"/>
                <w:sz w:val="18"/>
                <w:szCs w:val="18"/>
              </w:rPr>
              <w:t>支付其他与筹资活动有关的现金</w:t>
            </w:r>
          </w:p>
        </w:tc>
        <w:tc>
          <w:tcPr>
            <w:tcW w:w="2037" w:type="dxa"/>
            <w:vAlign w:val="center"/>
          </w:tcPr>
          <w:p w:rsidR="0027505B" w:rsidRPr="00F36ADA" w:rsidRDefault="0027505B" w:rsidP="0027505B">
            <w:pPr>
              <w:jc w:val="right"/>
              <w:rPr>
                <w:sz w:val="18"/>
                <w:szCs w:val="18"/>
              </w:rPr>
            </w:pPr>
            <w:r w:rsidRPr="003A6201">
              <w:rPr>
                <w:sz w:val="18"/>
                <w:szCs w:val="18"/>
              </w:rPr>
              <w:t>1,184,053,753.17</w:t>
            </w:r>
          </w:p>
        </w:tc>
        <w:tc>
          <w:tcPr>
            <w:tcW w:w="2037" w:type="dxa"/>
            <w:vAlign w:val="center"/>
          </w:tcPr>
          <w:p w:rsidR="0027505B" w:rsidRPr="00F36ADA" w:rsidRDefault="0027505B" w:rsidP="0027505B">
            <w:pPr>
              <w:jc w:val="right"/>
              <w:rPr>
                <w:sz w:val="18"/>
                <w:szCs w:val="18"/>
              </w:rPr>
            </w:pPr>
            <w:r w:rsidRPr="00F36ADA">
              <w:rPr>
                <w:sz w:val="18"/>
                <w:szCs w:val="18"/>
              </w:rPr>
              <w:t>33,519,036.74</w:t>
            </w:r>
          </w:p>
        </w:tc>
      </w:tr>
      <w:tr w:rsidR="0027505B" w:rsidRPr="00F36ADA" w:rsidTr="0027505B">
        <w:trPr>
          <w:trHeight w:val="20"/>
        </w:trPr>
        <w:tc>
          <w:tcPr>
            <w:tcW w:w="6091" w:type="dxa"/>
            <w:shd w:val="clear" w:color="auto" w:fill="D9D9D9"/>
            <w:vAlign w:val="center"/>
          </w:tcPr>
          <w:p w:rsidR="0027505B" w:rsidRPr="00F36ADA" w:rsidRDefault="0027505B" w:rsidP="0027505B">
            <w:pPr>
              <w:tabs>
                <w:tab w:val="left" w:pos="357"/>
              </w:tabs>
              <w:rPr>
                <w:b/>
                <w:sz w:val="18"/>
                <w:szCs w:val="18"/>
              </w:rPr>
            </w:pPr>
            <w:r w:rsidRPr="00F36ADA">
              <w:rPr>
                <w:b/>
                <w:sz w:val="18"/>
                <w:szCs w:val="18"/>
              </w:rPr>
              <w:tab/>
            </w:r>
            <w:r w:rsidRPr="00F36ADA">
              <w:rPr>
                <w:rFonts w:hint="eastAsia"/>
                <w:b/>
                <w:sz w:val="18"/>
                <w:szCs w:val="18"/>
              </w:rPr>
              <w:t>筹资活动现金流出小计</w:t>
            </w:r>
          </w:p>
        </w:tc>
        <w:tc>
          <w:tcPr>
            <w:tcW w:w="2037" w:type="dxa"/>
            <w:vAlign w:val="center"/>
          </w:tcPr>
          <w:p w:rsidR="0027505B" w:rsidRPr="00F36ADA" w:rsidRDefault="0027505B" w:rsidP="0027505B">
            <w:pPr>
              <w:jc w:val="right"/>
              <w:rPr>
                <w:b/>
                <w:sz w:val="18"/>
                <w:szCs w:val="18"/>
              </w:rPr>
            </w:pPr>
            <w:r w:rsidRPr="003A6201">
              <w:rPr>
                <w:b/>
                <w:sz w:val="18"/>
                <w:szCs w:val="18"/>
              </w:rPr>
              <w:t>1,576,081,345.08</w:t>
            </w:r>
          </w:p>
        </w:tc>
        <w:tc>
          <w:tcPr>
            <w:tcW w:w="2037" w:type="dxa"/>
            <w:vAlign w:val="center"/>
          </w:tcPr>
          <w:p w:rsidR="0027505B" w:rsidRPr="00F36ADA" w:rsidRDefault="0027505B" w:rsidP="0027505B">
            <w:pPr>
              <w:jc w:val="right"/>
              <w:rPr>
                <w:b/>
                <w:sz w:val="18"/>
                <w:szCs w:val="18"/>
              </w:rPr>
            </w:pPr>
            <w:r w:rsidRPr="00F36ADA">
              <w:rPr>
                <w:b/>
                <w:sz w:val="18"/>
                <w:szCs w:val="18"/>
              </w:rPr>
              <w:t>425,470,786.00</w:t>
            </w:r>
          </w:p>
        </w:tc>
      </w:tr>
      <w:tr w:rsidR="0027505B" w:rsidRPr="00F36ADA" w:rsidTr="0027505B">
        <w:trPr>
          <w:trHeight w:val="20"/>
        </w:trPr>
        <w:tc>
          <w:tcPr>
            <w:tcW w:w="6091" w:type="dxa"/>
            <w:shd w:val="clear" w:color="auto" w:fill="D9D9D9"/>
            <w:vAlign w:val="center"/>
          </w:tcPr>
          <w:p w:rsidR="0027505B" w:rsidRPr="00F36ADA" w:rsidRDefault="0027505B" w:rsidP="0027505B">
            <w:pPr>
              <w:tabs>
                <w:tab w:val="left" w:pos="357"/>
              </w:tabs>
              <w:rPr>
                <w:b/>
                <w:sz w:val="18"/>
                <w:szCs w:val="18"/>
              </w:rPr>
            </w:pPr>
            <w:r w:rsidRPr="00F36ADA">
              <w:rPr>
                <w:b/>
                <w:sz w:val="18"/>
                <w:szCs w:val="18"/>
              </w:rPr>
              <w:tab/>
            </w:r>
            <w:r w:rsidRPr="00F36ADA">
              <w:rPr>
                <w:rFonts w:hint="eastAsia"/>
                <w:b/>
                <w:sz w:val="18"/>
                <w:szCs w:val="18"/>
              </w:rPr>
              <w:t>筹资活动产生的现金流量净额</w:t>
            </w:r>
          </w:p>
        </w:tc>
        <w:tc>
          <w:tcPr>
            <w:tcW w:w="2037" w:type="dxa"/>
            <w:vAlign w:val="center"/>
          </w:tcPr>
          <w:p w:rsidR="0027505B" w:rsidRPr="00F36ADA" w:rsidRDefault="0027505B" w:rsidP="0027505B">
            <w:pPr>
              <w:jc w:val="right"/>
              <w:rPr>
                <w:b/>
                <w:sz w:val="18"/>
                <w:szCs w:val="18"/>
              </w:rPr>
            </w:pPr>
            <w:r w:rsidRPr="003A6201">
              <w:rPr>
                <w:b/>
                <w:sz w:val="18"/>
                <w:szCs w:val="18"/>
              </w:rPr>
              <w:t>(1,483,393,864.04)</w:t>
            </w:r>
          </w:p>
        </w:tc>
        <w:tc>
          <w:tcPr>
            <w:tcW w:w="2037" w:type="dxa"/>
            <w:vAlign w:val="center"/>
          </w:tcPr>
          <w:p w:rsidR="0027505B" w:rsidRPr="00F36ADA" w:rsidRDefault="0027505B" w:rsidP="0027505B">
            <w:pPr>
              <w:jc w:val="right"/>
              <w:rPr>
                <w:b/>
                <w:sz w:val="18"/>
                <w:szCs w:val="18"/>
              </w:rPr>
            </w:pPr>
            <w:r w:rsidRPr="00F36ADA">
              <w:rPr>
                <w:b/>
                <w:sz w:val="18"/>
                <w:szCs w:val="18"/>
              </w:rPr>
              <w:t>3,274,289,328.94</w:t>
            </w:r>
          </w:p>
        </w:tc>
      </w:tr>
      <w:tr w:rsidR="00AA1A26" w:rsidRPr="00F36ADA" w:rsidTr="0027505B">
        <w:trPr>
          <w:trHeight w:val="20"/>
        </w:trPr>
        <w:tc>
          <w:tcPr>
            <w:tcW w:w="6091" w:type="dxa"/>
            <w:shd w:val="clear" w:color="auto" w:fill="D9D9D9"/>
            <w:vAlign w:val="center"/>
          </w:tcPr>
          <w:p w:rsidR="00AA1A26" w:rsidRPr="00F36ADA" w:rsidRDefault="00AA1A26" w:rsidP="00AA1A26">
            <w:pPr>
              <w:rPr>
                <w:b/>
                <w:sz w:val="18"/>
                <w:szCs w:val="18"/>
              </w:rPr>
            </w:pPr>
            <w:r w:rsidRPr="00F36ADA">
              <w:rPr>
                <w:rFonts w:hint="eastAsia"/>
                <w:b/>
                <w:sz w:val="18"/>
                <w:szCs w:val="18"/>
              </w:rPr>
              <w:t>四、汇率变动对现金及现金等价物的影响额</w:t>
            </w:r>
          </w:p>
        </w:tc>
        <w:tc>
          <w:tcPr>
            <w:tcW w:w="2037" w:type="dxa"/>
            <w:vAlign w:val="center"/>
          </w:tcPr>
          <w:p w:rsidR="00AA1A26" w:rsidRPr="00F36ADA" w:rsidRDefault="008C2A32" w:rsidP="00AA1A26">
            <w:pPr>
              <w:jc w:val="right"/>
              <w:rPr>
                <w:b/>
                <w:sz w:val="18"/>
                <w:szCs w:val="18"/>
              </w:rPr>
            </w:pPr>
            <w:r w:rsidRPr="00F36ADA">
              <w:rPr>
                <w:b/>
                <w:sz w:val="18"/>
                <w:szCs w:val="18"/>
              </w:rPr>
              <w:t>1,656,853.88</w:t>
            </w:r>
          </w:p>
        </w:tc>
        <w:tc>
          <w:tcPr>
            <w:tcW w:w="2037" w:type="dxa"/>
            <w:vAlign w:val="center"/>
          </w:tcPr>
          <w:p w:rsidR="00AA1A26" w:rsidRPr="00F36ADA" w:rsidRDefault="00AA1A26" w:rsidP="00AA1A26">
            <w:pPr>
              <w:jc w:val="right"/>
              <w:rPr>
                <w:b/>
                <w:sz w:val="18"/>
                <w:szCs w:val="18"/>
              </w:rPr>
            </w:pPr>
            <w:r w:rsidRPr="00F36ADA">
              <w:rPr>
                <w:b/>
                <w:sz w:val="18"/>
                <w:szCs w:val="18"/>
              </w:rPr>
              <w:t>6,279,614.25</w:t>
            </w:r>
          </w:p>
        </w:tc>
      </w:tr>
      <w:tr w:rsidR="00AA1A26" w:rsidRPr="00F36ADA" w:rsidTr="0027505B">
        <w:trPr>
          <w:trHeight w:val="20"/>
        </w:trPr>
        <w:tc>
          <w:tcPr>
            <w:tcW w:w="6091" w:type="dxa"/>
            <w:shd w:val="clear" w:color="auto" w:fill="D9D9D9"/>
            <w:vAlign w:val="center"/>
          </w:tcPr>
          <w:p w:rsidR="00AA1A26" w:rsidRPr="00F36ADA" w:rsidRDefault="00AA1A26" w:rsidP="00AA1A26">
            <w:pPr>
              <w:rPr>
                <w:b/>
                <w:sz w:val="18"/>
                <w:szCs w:val="18"/>
              </w:rPr>
            </w:pPr>
            <w:r w:rsidRPr="00F36ADA">
              <w:rPr>
                <w:rFonts w:hint="eastAsia"/>
                <w:b/>
                <w:sz w:val="18"/>
                <w:szCs w:val="18"/>
              </w:rPr>
              <w:t>五、现金及现金等价物净增加</w:t>
            </w:r>
            <w:r w:rsidR="005F14EE" w:rsidRPr="00F36ADA">
              <w:rPr>
                <w:rFonts w:hint="eastAsia"/>
                <w:b/>
                <w:sz w:val="18"/>
                <w:szCs w:val="18"/>
              </w:rPr>
              <w:t>(</w:t>
            </w:r>
            <w:r w:rsidR="00A70041" w:rsidRPr="00F36ADA">
              <w:rPr>
                <w:rFonts w:hint="eastAsia"/>
                <w:b/>
                <w:sz w:val="18"/>
                <w:szCs w:val="18"/>
              </w:rPr>
              <w:t>减少</w:t>
            </w:r>
            <w:r w:rsidR="005F14EE" w:rsidRPr="00F36ADA">
              <w:rPr>
                <w:b/>
                <w:sz w:val="18"/>
                <w:szCs w:val="18"/>
              </w:rPr>
              <w:t>)</w:t>
            </w:r>
            <w:r w:rsidRPr="00F36ADA">
              <w:rPr>
                <w:rFonts w:hint="eastAsia"/>
                <w:b/>
                <w:sz w:val="18"/>
                <w:szCs w:val="18"/>
              </w:rPr>
              <w:t>额</w:t>
            </w:r>
          </w:p>
        </w:tc>
        <w:tc>
          <w:tcPr>
            <w:tcW w:w="2037" w:type="dxa"/>
            <w:vAlign w:val="center"/>
          </w:tcPr>
          <w:p w:rsidR="00AA1A26" w:rsidRPr="00F36ADA" w:rsidRDefault="005F14EE" w:rsidP="00AA1A26">
            <w:pPr>
              <w:jc w:val="right"/>
              <w:rPr>
                <w:b/>
                <w:sz w:val="18"/>
                <w:szCs w:val="18"/>
              </w:rPr>
            </w:pPr>
            <w:r w:rsidRPr="00F36ADA">
              <w:rPr>
                <w:b/>
                <w:sz w:val="18"/>
                <w:szCs w:val="18"/>
              </w:rPr>
              <w:t>(</w:t>
            </w:r>
            <w:r w:rsidR="003331A7" w:rsidRPr="00F36ADA">
              <w:rPr>
                <w:b/>
                <w:sz w:val="18"/>
                <w:szCs w:val="18"/>
              </w:rPr>
              <w:t>2,506,022,816.45</w:t>
            </w:r>
            <w:r w:rsidRPr="00F36ADA">
              <w:rPr>
                <w:b/>
                <w:sz w:val="18"/>
                <w:szCs w:val="18"/>
              </w:rPr>
              <w:t>)</w:t>
            </w:r>
          </w:p>
        </w:tc>
        <w:tc>
          <w:tcPr>
            <w:tcW w:w="2037" w:type="dxa"/>
            <w:vAlign w:val="center"/>
          </w:tcPr>
          <w:p w:rsidR="00AA1A26" w:rsidRPr="00F36ADA" w:rsidRDefault="00AA1A26" w:rsidP="00AA1A26">
            <w:pPr>
              <w:jc w:val="right"/>
              <w:rPr>
                <w:b/>
                <w:sz w:val="18"/>
                <w:szCs w:val="18"/>
              </w:rPr>
            </w:pPr>
            <w:r w:rsidRPr="00F36ADA">
              <w:rPr>
                <w:b/>
                <w:sz w:val="18"/>
                <w:szCs w:val="18"/>
              </w:rPr>
              <w:t>3,274,564,800.62</w:t>
            </w:r>
          </w:p>
        </w:tc>
      </w:tr>
      <w:tr w:rsidR="003F7893" w:rsidRPr="00F36ADA" w:rsidTr="0027505B">
        <w:trPr>
          <w:trHeight w:val="20"/>
        </w:trPr>
        <w:tc>
          <w:tcPr>
            <w:tcW w:w="6091" w:type="dxa"/>
            <w:shd w:val="clear" w:color="auto" w:fill="D9D9D9"/>
            <w:vAlign w:val="center"/>
          </w:tcPr>
          <w:p w:rsidR="003F7893" w:rsidRPr="00F36ADA" w:rsidRDefault="003F7893" w:rsidP="0027505B">
            <w:pPr>
              <w:tabs>
                <w:tab w:val="left" w:pos="375"/>
              </w:tabs>
              <w:rPr>
                <w:sz w:val="18"/>
                <w:szCs w:val="18"/>
              </w:rPr>
            </w:pPr>
            <w:r w:rsidRPr="00F36ADA">
              <w:rPr>
                <w:b/>
                <w:sz w:val="18"/>
                <w:szCs w:val="18"/>
              </w:rPr>
              <w:tab/>
            </w:r>
            <w:r w:rsidRPr="00F36ADA">
              <w:rPr>
                <w:rFonts w:hint="eastAsia"/>
                <w:sz w:val="18"/>
                <w:szCs w:val="18"/>
              </w:rPr>
              <w:t>加</w:t>
            </w:r>
            <w:r w:rsidR="005F14EE" w:rsidRPr="00F36ADA">
              <w:rPr>
                <w:rFonts w:hint="eastAsia"/>
                <w:sz w:val="18"/>
                <w:szCs w:val="18"/>
              </w:rPr>
              <w:t>：</w:t>
            </w:r>
            <w:r w:rsidRPr="00F36ADA">
              <w:rPr>
                <w:rFonts w:hint="eastAsia"/>
                <w:sz w:val="18"/>
                <w:szCs w:val="18"/>
              </w:rPr>
              <w:t>年初现金及现金等价物余额</w:t>
            </w:r>
          </w:p>
        </w:tc>
        <w:tc>
          <w:tcPr>
            <w:tcW w:w="2037" w:type="dxa"/>
            <w:vAlign w:val="center"/>
          </w:tcPr>
          <w:p w:rsidR="003F7893" w:rsidRPr="00F36ADA" w:rsidRDefault="003F7893" w:rsidP="003F7893">
            <w:pPr>
              <w:jc w:val="right"/>
              <w:rPr>
                <w:bCs/>
                <w:sz w:val="18"/>
                <w:szCs w:val="18"/>
              </w:rPr>
            </w:pPr>
            <w:r w:rsidRPr="00F36ADA">
              <w:rPr>
                <w:bCs/>
                <w:sz w:val="18"/>
                <w:szCs w:val="18"/>
              </w:rPr>
              <w:t>4,496,445,519.52</w:t>
            </w:r>
          </w:p>
        </w:tc>
        <w:tc>
          <w:tcPr>
            <w:tcW w:w="2037" w:type="dxa"/>
            <w:vAlign w:val="center"/>
          </w:tcPr>
          <w:p w:rsidR="003F7893" w:rsidRPr="00F36ADA" w:rsidRDefault="003F7893" w:rsidP="003F7893">
            <w:pPr>
              <w:jc w:val="right"/>
              <w:rPr>
                <w:sz w:val="18"/>
                <w:szCs w:val="18"/>
              </w:rPr>
            </w:pPr>
            <w:r w:rsidRPr="00F36ADA">
              <w:rPr>
                <w:sz w:val="18"/>
                <w:szCs w:val="18"/>
              </w:rPr>
              <w:t>1,221,880,718.90</w:t>
            </w:r>
          </w:p>
        </w:tc>
      </w:tr>
      <w:tr w:rsidR="003F7893" w:rsidRPr="00F36ADA" w:rsidTr="0027505B">
        <w:trPr>
          <w:trHeight w:val="20"/>
        </w:trPr>
        <w:tc>
          <w:tcPr>
            <w:tcW w:w="6091" w:type="dxa"/>
            <w:shd w:val="clear" w:color="auto" w:fill="D9D9D9"/>
            <w:vAlign w:val="center"/>
          </w:tcPr>
          <w:p w:rsidR="003F7893" w:rsidRPr="00F36ADA" w:rsidRDefault="003F7893" w:rsidP="003F7893">
            <w:pPr>
              <w:rPr>
                <w:b/>
                <w:sz w:val="18"/>
                <w:szCs w:val="18"/>
              </w:rPr>
            </w:pPr>
            <w:r w:rsidRPr="00F36ADA">
              <w:rPr>
                <w:rFonts w:hint="eastAsia"/>
                <w:b/>
                <w:sz w:val="18"/>
                <w:szCs w:val="18"/>
              </w:rPr>
              <w:t>六、年末现金及现金等价物余额</w:t>
            </w:r>
          </w:p>
        </w:tc>
        <w:tc>
          <w:tcPr>
            <w:tcW w:w="2037" w:type="dxa"/>
            <w:vAlign w:val="center"/>
          </w:tcPr>
          <w:p w:rsidR="003F7893" w:rsidRPr="00F36ADA" w:rsidRDefault="003331A7" w:rsidP="008C2A32">
            <w:pPr>
              <w:ind w:left="720" w:hanging="720"/>
              <w:jc w:val="right"/>
              <w:rPr>
                <w:b/>
                <w:sz w:val="18"/>
                <w:szCs w:val="18"/>
              </w:rPr>
            </w:pPr>
            <w:r w:rsidRPr="00F36ADA">
              <w:rPr>
                <w:b/>
                <w:sz w:val="18"/>
                <w:szCs w:val="18"/>
              </w:rPr>
              <w:t>1,990,422,703.07</w:t>
            </w:r>
          </w:p>
        </w:tc>
        <w:tc>
          <w:tcPr>
            <w:tcW w:w="2037" w:type="dxa"/>
            <w:vAlign w:val="center"/>
          </w:tcPr>
          <w:p w:rsidR="003F7893" w:rsidRPr="00F36ADA" w:rsidRDefault="003F7893" w:rsidP="003F7893">
            <w:pPr>
              <w:jc w:val="right"/>
              <w:rPr>
                <w:b/>
                <w:sz w:val="18"/>
                <w:szCs w:val="18"/>
              </w:rPr>
            </w:pPr>
            <w:r w:rsidRPr="00F36ADA">
              <w:rPr>
                <w:b/>
                <w:sz w:val="18"/>
                <w:szCs w:val="18"/>
              </w:rPr>
              <w:t>4,496,445,519.52</w:t>
            </w:r>
          </w:p>
        </w:tc>
      </w:tr>
    </w:tbl>
    <w:p w:rsidR="0051472B" w:rsidRPr="00A71D2E" w:rsidRDefault="0051472B" w:rsidP="00F66363">
      <w:pPr>
        <w:rPr>
          <w:rFonts w:eastAsia="宋体" w:cs="Times New Roman"/>
          <w:szCs w:val="21"/>
        </w:rPr>
      </w:pPr>
    </w:p>
    <w:p w:rsidR="004A7902" w:rsidRPr="00A71D2E" w:rsidRDefault="00B07360">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4A7902" w:rsidRPr="00A71D2E">
        <w:rPr>
          <w:rFonts w:eastAsia="宋体" w:cs="Times New Roman" w:hint="eastAsia"/>
          <w:szCs w:val="21"/>
        </w:rPr>
        <w:t>页至</w:t>
      </w:r>
      <w:r w:rsidR="006F55AB" w:rsidRPr="00A71D2E">
        <w:rPr>
          <w:rFonts w:eastAsia="宋体" w:cs="Times New Roman" w:hint="eastAsia"/>
          <w:szCs w:val="21"/>
        </w:rPr>
        <w:t>第</w:t>
      </w:r>
      <w:r w:rsidR="006208D2" w:rsidRPr="00F43E13">
        <w:rPr>
          <w:rFonts w:eastAsia="宋体" w:cs="Times New Roman"/>
          <w:szCs w:val="21"/>
        </w:rPr>
        <w:t>8</w:t>
      </w:r>
      <w:r w:rsidR="00E25E50">
        <w:rPr>
          <w:rFonts w:eastAsia="宋体" w:cs="Times New Roman"/>
          <w:szCs w:val="21"/>
        </w:rPr>
        <w:t>4</w:t>
      </w:r>
      <w:r w:rsidR="004A7902" w:rsidRPr="00A71D2E">
        <w:rPr>
          <w:rFonts w:eastAsia="宋体" w:cs="Times New Roman" w:hint="eastAsia"/>
          <w:szCs w:val="21"/>
        </w:rPr>
        <w:t>页的财务报表由下列负责人签署</w:t>
      </w:r>
      <w:r w:rsidR="005F14EE">
        <w:rPr>
          <w:rFonts w:eastAsia="宋体" w:cs="Times New Roman" w:hint="eastAsia"/>
          <w:szCs w:val="21"/>
        </w:rPr>
        <w:t>：</w:t>
      </w: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F66363">
      <w:pPr>
        <w:rPr>
          <w:rFonts w:eastAsia="宋体" w:cs="Times New Roman"/>
          <w:szCs w:val="21"/>
        </w:rPr>
      </w:pP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_____________________</w:t>
      </w:r>
      <w:r w:rsidRPr="00A71D2E">
        <w:rPr>
          <w:rFonts w:eastAsia="宋体" w:cs="Times New Roman"/>
          <w:szCs w:val="21"/>
        </w:rPr>
        <w:tab/>
        <w:t>_____________________</w:t>
      </w:r>
    </w:p>
    <w:p w:rsidR="0051472B" w:rsidRPr="00A71D2E" w:rsidRDefault="0051472B" w:rsidP="0027505B">
      <w:pPr>
        <w:tabs>
          <w:tab w:val="center" w:pos="1800"/>
          <w:tab w:val="center" w:pos="5220"/>
          <w:tab w:val="center" w:pos="8640"/>
        </w:tabs>
        <w:rPr>
          <w:rFonts w:eastAsia="宋体" w:cs="Times New Roman"/>
          <w:szCs w:val="21"/>
        </w:rPr>
      </w:pPr>
      <w:r w:rsidRPr="00A71D2E">
        <w:rPr>
          <w:rFonts w:eastAsia="宋体" w:cs="Times New Roman"/>
          <w:szCs w:val="21"/>
        </w:rPr>
        <w:tab/>
      </w:r>
      <w:r w:rsidRPr="00A71D2E">
        <w:rPr>
          <w:rFonts w:eastAsia="宋体" w:cs="Times New Roman" w:hint="eastAsia"/>
          <w:szCs w:val="21"/>
        </w:rPr>
        <w:t>法定代表人</w:t>
      </w:r>
      <w:r w:rsidRPr="00A71D2E">
        <w:rPr>
          <w:rFonts w:eastAsia="宋体" w:cs="Times New Roman"/>
          <w:szCs w:val="21"/>
        </w:rPr>
        <w:tab/>
      </w:r>
      <w:r w:rsidRPr="00A71D2E">
        <w:rPr>
          <w:rFonts w:eastAsia="宋体" w:cs="Times New Roman" w:hint="eastAsia"/>
          <w:szCs w:val="21"/>
        </w:rPr>
        <w:t>主管会计工作负责人</w:t>
      </w:r>
      <w:r w:rsidRPr="00A71D2E">
        <w:rPr>
          <w:rFonts w:eastAsia="宋体" w:cs="Times New Roman"/>
          <w:szCs w:val="21"/>
        </w:rPr>
        <w:tab/>
      </w:r>
      <w:r w:rsidRPr="00A71D2E">
        <w:rPr>
          <w:rFonts w:eastAsia="宋体" w:cs="Times New Roman" w:hint="eastAsia"/>
          <w:szCs w:val="21"/>
        </w:rPr>
        <w:t>会计机构负责人</w:t>
      </w:r>
    </w:p>
    <w:p w:rsidR="004E1889" w:rsidRPr="00A71D2E" w:rsidRDefault="004E1889">
      <w:pPr>
        <w:rPr>
          <w:rFonts w:eastAsia="宋体" w:cs="Times New Roman"/>
          <w:szCs w:val="21"/>
        </w:rPr>
      </w:pPr>
    </w:p>
    <w:p w:rsidR="00B60260" w:rsidRPr="00A71D2E" w:rsidRDefault="00B60260">
      <w:pPr>
        <w:rPr>
          <w:rFonts w:eastAsia="宋体" w:cs="Times New Roman"/>
          <w:szCs w:val="21"/>
        </w:rPr>
        <w:sectPr w:rsidR="00B60260" w:rsidRPr="00A71D2E" w:rsidSect="00452B2B">
          <w:headerReference w:type="even" r:id="rId22"/>
          <w:headerReference w:type="default" r:id="rId23"/>
          <w:headerReference w:type="first" r:id="rId24"/>
          <w:pgSz w:w="11906" w:h="16838" w:code="9"/>
          <w:pgMar w:top="864" w:right="720" w:bottom="432" w:left="1008" w:header="720" w:footer="360" w:gutter="0"/>
          <w:cols w:space="720"/>
        </w:sectPr>
      </w:pPr>
    </w:p>
    <w:p w:rsidR="00291954" w:rsidRPr="00A71D2E" w:rsidRDefault="00DC0713" w:rsidP="00F36ADA">
      <w:pPr>
        <w:tabs>
          <w:tab w:val="right" w:pos="15542"/>
        </w:tabs>
        <w:rPr>
          <w:rFonts w:eastAsia="宋体" w:cs="Times New Roman"/>
          <w:kern w:val="2"/>
          <w:szCs w:val="21"/>
          <w:u w:val="single"/>
        </w:rPr>
      </w:pPr>
      <w:r w:rsidRPr="00A71D2E">
        <w:rPr>
          <w:rFonts w:eastAsia="宋体" w:cs="Times New Roman"/>
          <w:kern w:val="2"/>
          <w:szCs w:val="21"/>
          <w:u w:val="single"/>
        </w:rPr>
        <w:t>202</w:t>
      </w:r>
      <w:r w:rsidR="00C0610D">
        <w:rPr>
          <w:rFonts w:eastAsia="宋体" w:cs="Times New Roman"/>
          <w:kern w:val="2"/>
          <w:szCs w:val="21"/>
          <w:u w:val="single"/>
        </w:rPr>
        <w:t>3</w:t>
      </w:r>
      <w:r w:rsidRPr="00A71D2E">
        <w:rPr>
          <w:rFonts w:eastAsia="宋体" w:cs="Times New Roman" w:hint="eastAsia"/>
          <w:kern w:val="2"/>
          <w:szCs w:val="21"/>
          <w:u w:val="single"/>
        </w:rPr>
        <w:t>年</w:t>
      </w:r>
      <w:r w:rsidRPr="00A71D2E">
        <w:rPr>
          <w:rFonts w:eastAsia="宋体" w:cs="Times New Roman"/>
          <w:kern w:val="2"/>
          <w:szCs w:val="21"/>
          <w:u w:val="single"/>
        </w:rPr>
        <w:t>12</w:t>
      </w:r>
      <w:r w:rsidRPr="00A71D2E">
        <w:rPr>
          <w:rFonts w:eastAsia="宋体" w:cs="Times New Roman" w:hint="eastAsia"/>
          <w:kern w:val="2"/>
          <w:szCs w:val="21"/>
          <w:u w:val="single"/>
        </w:rPr>
        <w:t>月</w:t>
      </w:r>
      <w:r w:rsidRPr="00A71D2E">
        <w:rPr>
          <w:rFonts w:eastAsia="宋体" w:cs="Times New Roman"/>
          <w:kern w:val="2"/>
          <w:szCs w:val="21"/>
          <w:u w:val="single"/>
        </w:rPr>
        <w:t>31</w:t>
      </w:r>
      <w:r w:rsidRPr="00A71D2E">
        <w:rPr>
          <w:rFonts w:eastAsia="宋体" w:cs="Times New Roman" w:hint="eastAsia"/>
          <w:kern w:val="2"/>
          <w:szCs w:val="21"/>
          <w:u w:val="single"/>
        </w:rPr>
        <w:t>日</w:t>
      </w:r>
      <w:proofErr w:type="gramStart"/>
      <w:r w:rsidRPr="00A71D2E">
        <w:rPr>
          <w:rFonts w:eastAsia="宋体" w:cs="Times New Roman" w:hint="eastAsia"/>
          <w:kern w:val="2"/>
          <w:szCs w:val="21"/>
          <w:u w:val="single"/>
        </w:rPr>
        <w:t>止</w:t>
      </w:r>
      <w:proofErr w:type="gramEnd"/>
      <w:r w:rsidRPr="00A71D2E">
        <w:rPr>
          <w:rFonts w:eastAsia="宋体" w:cs="Times New Roman" w:hint="eastAsia"/>
          <w:kern w:val="2"/>
          <w:szCs w:val="21"/>
          <w:u w:val="single"/>
        </w:rPr>
        <w:t>年度</w:t>
      </w:r>
      <w:r w:rsidR="00291954" w:rsidRPr="00A71D2E">
        <w:rPr>
          <w:rFonts w:eastAsia="宋体" w:cs="Times New Roman"/>
          <w:kern w:val="2"/>
          <w:szCs w:val="21"/>
          <w:u w:val="single"/>
        </w:rPr>
        <w:tab/>
      </w:r>
    </w:p>
    <w:p w:rsidR="00A77D4A" w:rsidRPr="00A71D2E" w:rsidRDefault="00A77D4A">
      <w:pPr>
        <w:tabs>
          <w:tab w:val="right" w:pos="15542"/>
        </w:tabs>
        <w:rPr>
          <w:rFonts w:eastAsia="宋体" w:cs="Times New Roman"/>
          <w:szCs w:val="21"/>
        </w:rPr>
      </w:pPr>
    </w:p>
    <w:p w:rsidR="00B755FC" w:rsidRPr="00A71D2E" w:rsidRDefault="00C609D5">
      <w:pPr>
        <w:jc w:val="center"/>
        <w:outlineLvl w:val="0"/>
        <w:rPr>
          <w:rFonts w:eastAsia="宋体" w:cs="Times New Roman"/>
          <w:szCs w:val="21"/>
        </w:rPr>
      </w:pPr>
      <w:r w:rsidRPr="00A71D2E">
        <w:rPr>
          <w:rFonts w:eastAsia="宋体" w:cs="Times New Roman" w:hint="eastAsia"/>
          <w:b/>
          <w:bCs/>
          <w:szCs w:val="21"/>
        </w:rPr>
        <w:t>合并</w:t>
      </w:r>
      <w:r w:rsidR="00B34162" w:rsidRPr="00A71D2E">
        <w:rPr>
          <w:rFonts w:eastAsia="宋体" w:cs="Times New Roman" w:hint="eastAsia"/>
          <w:b/>
          <w:bCs/>
          <w:szCs w:val="21"/>
        </w:rPr>
        <w:t>股东</w:t>
      </w:r>
      <w:r w:rsidR="00B755FC" w:rsidRPr="00A71D2E">
        <w:rPr>
          <w:rFonts w:eastAsia="宋体" w:cs="Times New Roman" w:hint="eastAsia"/>
          <w:b/>
          <w:bCs/>
          <w:szCs w:val="21"/>
        </w:rPr>
        <w:t>权益变动表</w:t>
      </w:r>
    </w:p>
    <w:p w:rsidR="009C5EC8" w:rsidRPr="00A71D2E" w:rsidRDefault="009C5EC8">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Style w:val="aff5"/>
        <w:tblW w:w="15543" w:type="dxa"/>
        <w:tblInd w:w="-23" w:type="dxa"/>
        <w:tblLayout w:type="fixed"/>
        <w:tblLook w:val="04A0" w:firstRow="1" w:lastRow="0" w:firstColumn="1" w:lastColumn="0" w:noHBand="0" w:noVBand="1"/>
      </w:tblPr>
      <w:tblGrid>
        <w:gridCol w:w="3704"/>
        <w:gridCol w:w="1973"/>
        <w:gridCol w:w="1973"/>
        <w:gridCol w:w="1973"/>
        <w:gridCol w:w="1973"/>
        <w:gridCol w:w="1973"/>
        <w:gridCol w:w="1974"/>
      </w:tblGrid>
      <w:tr w:rsidR="002E24FA" w:rsidRPr="002A1069" w:rsidTr="0027505B">
        <w:trPr>
          <w:trHeight w:val="20"/>
        </w:trPr>
        <w:tc>
          <w:tcPr>
            <w:tcW w:w="3704" w:type="dxa"/>
            <w:vMerge w:val="restart"/>
            <w:shd w:val="clear" w:color="auto" w:fill="D9D9D9"/>
            <w:vAlign w:val="center"/>
          </w:tcPr>
          <w:p w:rsidR="00B5181D" w:rsidRPr="002A1069" w:rsidRDefault="00B5181D">
            <w:pPr>
              <w:ind w:right="-11"/>
              <w:jc w:val="center"/>
              <w:rPr>
                <w:sz w:val="18"/>
                <w:szCs w:val="18"/>
              </w:rPr>
            </w:pPr>
            <w:r w:rsidRPr="002A1069">
              <w:rPr>
                <w:rFonts w:hint="eastAsia"/>
                <w:sz w:val="18"/>
                <w:szCs w:val="18"/>
              </w:rPr>
              <w:t>项目</w:t>
            </w:r>
          </w:p>
        </w:tc>
        <w:tc>
          <w:tcPr>
            <w:tcW w:w="11839" w:type="dxa"/>
            <w:gridSpan w:val="6"/>
            <w:shd w:val="clear" w:color="auto" w:fill="D9D9D9"/>
            <w:vAlign w:val="center"/>
          </w:tcPr>
          <w:p w:rsidR="00B5181D" w:rsidRPr="002A1069" w:rsidRDefault="00E95BC7">
            <w:pPr>
              <w:ind w:right="-11"/>
              <w:jc w:val="center"/>
              <w:rPr>
                <w:sz w:val="18"/>
                <w:szCs w:val="18"/>
              </w:rPr>
            </w:pPr>
            <w:r w:rsidRPr="002A1069">
              <w:rPr>
                <w:rFonts w:hint="eastAsia"/>
                <w:sz w:val="18"/>
                <w:szCs w:val="18"/>
              </w:rPr>
              <w:t>本年</w:t>
            </w:r>
          </w:p>
        </w:tc>
      </w:tr>
      <w:tr w:rsidR="002E24FA" w:rsidRPr="002A1069" w:rsidTr="0027505B">
        <w:trPr>
          <w:trHeight w:val="20"/>
        </w:trPr>
        <w:tc>
          <w:tcPr>
            <w:tcW w:w="3704" w:type="dxa"/>
            <w:vMerge/>
            <w:shd w:val="clear" w:color="auto" w:fill="D9D9D9"/>
            <w:vAlign w:val="center"/>
          </w:tcPr>
          <w:p w:rsidR="00B5181D" w:rsidRPr="002A1069" w:rsidRDefault="00B5181D">
            <w:pPr>
              <w:ind w:right="-11"/>
              <w:jc w:val="center"/>
              <w:rPr>
                <w:sz w:val="18"/>
                <w:szCs w:val="18"/>
              </w:rPr>
            </w:pPr>
          </w:p>
        </w:tc>
        <w:tc>
          <w:tcPr>
            <w:tcW w:w="1973" w:type="dxa"/>
            <w:shd w:val="clear" w:color="auto" w:fill="D9D9D9"/>
            <w:vAlign w:val="center"/>
          </w:tcPr>
          <w:p w:rsidR="00B5181D" w:rsidRPr="002A1069" w:rsidRDefault="00B5181D">
            <w:pPr>
              <w:ind w:right="-11"/>
              <w:jc w:val="center"/>
              <w:rPr>
                <w:sz w:val="18"/>
                <w:szCs w:val="18"/>
              </w:rPr>
            </w:pPr>
            <w:r w:rsidRPr="002A1069">
              <w:rPr>
                <w:rFonts w:hint="eastAsia"/>
                <w:sz w:val="18"/>
                <w:szCs w:val="18"/>
              </w:rPr>
              <w:t>股本</w:t>
            </w:r>
          </w:p>
        </w:tc>
        <w:tc>
          <w:tcPr>
            <w:tcW w:w="1973" w:type="dxa"/>
            <w:shd w:val="clear" w:color="auto" w:fill="D9D9D9"/>
            <w:vAlign w:val="center"/>
          </w:tcPr>
          <w:p w:rsidR="00B5181D" w:rsidRPr="002A1069" w:rsidRDefault="00B5181D">
            <w:pPr>
              <w:ind w:right="-11"/>
              <w:jc w:val="center"/>
              <w:rPr>
                <w:sz w:val="18"/>
                <w:szCs w:val="18"/>
              </w:rPr>
            </w:pPr>
            <w:r w:rsidRPr="002A1069">
              <w:rPr>
                <w:rFonts w:hint="eastAsia"/>
                <w:sz w:val="18"/>
                <w:szCs w:val="18"/>
              </w:rPr>
              <w:t>资本公积</w:t>
            </w:r>
          </w:p>
        </w:tc>
        <w:tc>
          <w:tcPr>
            <w:tcW w:w="1973" w:type="dxa"/>
            <w:shd w:val="clear" w:color="auto" w:fill="D9D9D9"/>
            <w:vAlign w:val="center"/>
          </w:tcPr>
          <w:p w:rsidR="00B5181D" w:rsidRPr="002A1069" w:rsidRDefault="00B5181D">
            <w:pPr>
              <w:ind w:right="-11"/>
              <w:jc w:val="center"/>
              <w:rPr>
                <w:sz w:val="18"/>
                <w:szCs w:val="18"/>
              </w:rPr>
            </w:pPr>
            <w:r w:rsidRPr="002A1069">
              <w:rPr>
                <w:rFonts w:hint="eastAsia"/>
                <w:sz w:val="18"/>
                <w:szCs w:val="18"/>
              </w:rPr>
              <w:t>其他综合收益</w:t>
            </w:r>
          </w:p>
        </w:tc>
        <w:tc>
          <w:tcPr>
            <w:tcW w:w="1973" w:type="dxa"/>
            <w:shd w:val="clear" w:color="auto" w:fill="D9D9D9"/>
            <w:vAlign w:val="center"/>
          </w:tcPr>
          <w:p w:rsidR="00B5181D" w:rsidRPr="002A1069" w:rsidRDefault="00B5181D">
            <w:pPr>
              <w:ind w:right="-11"/>
              <w:jc w:val="center"/>
              <w:rPr>
                <w:sz w:val="18"/>
                <w:szCs w:val="18"/>
              </w:rPr>
            </w:pPr>
            <w:r w:rsidRPr="002A1069">
              <w:rPr>
                <w:rFonts w:hint="eastAsia"/>
                <w:sz w:val="18"/>
                <w:szCs w:val="18"/>
              </w:rPr>
              <w:t>盈余公积</w:t>
            </w:r>
          </w:p>
        </w:tc>
        <w:tc>
          <w:tcPr>
            <w:tcW w:w="1973" w:type="dxa"/>
            <w:shd w:val="clear" w:color="auto" w:fill="D9D9D9"/>
            <w:vAlign w:val="center"/>
          </w:tcPr>
          <w:p w:rsidR="00B5181D" w:rsidRPr="002A1069" w:rsidRDefault="00B5181D">
            <w:pPr>
              <w:ind w:right="-11"/>
              <w:jc w:val="center"/>
              <w:rPr>
                <w:sz w:val="18"/>
                <w:szCs w:val="18"/>
              </w:rPr>
            </w:pPr>
            <w:r w:rsidRPr="002A1069">
              <w:rPr>
                <w:rFonts w:hint="eastAsia"/>
                <w:sz w:val="18"/>
                <w:szCs w:val="18"/>
              </w:rPr>
              <w:t>未分配利润</w:t>
            </w:r>
          </w:p>
        </w:tc>
        <w:tc>
          <w:tcPr>
            <w:tcW w:w="1974" w:type="dxa"/>
            <w:shd w:val="clear" w:color="auto" w:fill="D9D9D9"/>
            <w:vAlign w:val="center"/>
          </w:tcPr>
          <w:p w:rsidR="00B5181D" w:rsidRPr="002A1069" w:rsidRDefault="00B34162">
            <w:pPr>
              <w:ind w:right="-11"/>
              <w:jc w:val="center"/>
              <w:rPr>
                <w:sz w:val="18"/>
                <w:szCs w:val="18"/>
              </w:rPr>
            </w:pPr>
            <w:r w:rsidRPr="002A1069">
              <w:rPr>
                <w:rFonts w:hint="eastAsia"/>
                <w:sz w:val="18"/>
                <w:szCs w:val="18"/>
              </w:rPr>
              <w:t>股东</w:t>
            </w:r>
            <w:r w:rsidR="00B5181D" w:rsidRPr="002A1069">
              <w:rPr>
                <w:rFonts w:hint="eastAsia"/>
                <w:sz w:val="18"/>
                <w:szCs w:val="18"/>
              </w:rPr>
              <w:t>权益合计</w:t>
            </w:r>
          </w:p>
        </w:tc>
      </w:tr>
      <w:tr w:rsidR="00992735" w:rsidRPr="002A1069" w:rsidTr="0027505B">
        <w:trPr>
          <w:trHeight w:val="20"/>
        </w:trPr>
        <w:tc>
          <w:tcPr>
            <w:tcW w:w="3704" w:type="dxa"/>
            <w:shd w:val="clear" w:color="auto" w:fill="D9D9D9"/>
            <w:vAlign w:val="center"/>
          </w:tcPr>
          <w:p w:rsidR="00992735" w:rsidRPr="002A1069" w:rsidRDefault="00992735" w:rsidP="00992735">
            <w:pPr>
              <w:ind w:right="-11"/>
              <w:rPr>
                <w:sz w:val="18"/>
                <w:szCs w:val="18"/>
              </w:rPr>
            </w:pPr>
            <w:r w:rsidRPr="002A1069">
              <w:rPr>
                <w:rFonts w:hint="eastAsia"/>
                <w:sz w:val="18"/>
                <w:szCs w:val="18"/>
              </w:rPr>
              <w:t>一、</w:t>
            </w:r>
            <w:r w:rsidR="00D967FE" w:rsidRPr="002A1069">
              <w:rPr>
                <w:rFonts w:hint="eastAsia"/>
                <w:sz w:val="18"/>
                <w:szCs w:val="18"/>
              </w:rPr>
              <w:t>上年年末</w:t>
            </w:r>
            <w:r w:rsidRPr="002A1069">
              <w:rPr>
                <w:rFonts w:hint="eastAsia"/>
                <w:sz w:val="18"/>
                <w:szCs w:val="18"/>
              </w:rPr>
              <w:t>余额</w:t>
            </w:r>
          </w:p>
        </w:tc>
        <w:tc>
          <w:tcPr>
            <w:tcW w:w="1973" w:type="dxa"/>
            <w:vAlign w:val="center"/>
          </w:tcPr>
          <w:p w:rsidR="00992735" w:rsidRPr="002A1069" w:rsidRDefault="00992735" w:rsidP="00992735">
            <w:pPr>
              <w:ind w:right="-11"/>
              <w:jc w:val="right"/>
              <w:rPr>
                <w:bCs/>
                <w:sz w:val="18"/>
                <w:szCs w:val="18"/>
              </w:rPr>
            </w:pPr>
            <w:r w:rsidRPr="002A1069">
              <w:rPr>
                <w:bCs/>
                <w:sz w:val="18"/>
                <w:szCs w:val="18"/>
              </w:rPr>
              <w:t>562,500,000.00</w:t>
            </w:r>
          </w:p>
        </w:tc>
        <w:tc>
          <w:tcPr>
            <w:tcW w:w="1973" w:type="dxa"/>
            <w:vAlign w:val="center"/>
          </w:tcPr>
          <w:p w:rsidR="00992735" w:rsidRPr="002A1069" w:rsidRDefault="00992735" w:rsidP="00992735">
            <w:pPr>
              <w:ind w:right="-11"/>
              <w:jc w:val="right"/>
              <w:rPr>
                <w:bCs/>
                <w:sz w:val="18"/>
                <w:szCs w:val="18"/>
              </w:rPr>
            </w:pPr>
            <w:r w:rsidRPr="002A1069">
              <w:rPr>
                <w:bCs/>
                <w:sz w:val="18"/>
                <w:szCs w:val="18"/>
              </w:rPr>
              <w:t>3,336,245,242.12</w:t>
            </w:r>
          </w:p>
        </w:tc>
        <w:tc>
          <w:tcPr>
            <w:tcW w:w="1973" w:type="dxa"/>
            <w:vAlign w:val="center"/>
          </w:tcPr>
          <w:p w:rsidR="00992735" w:rsidRPr="002A1069" w:rsidRDefault="005F14EE" w:rsidP="00992735">
            <w:pPr>
              <w:ind w:right="-11"/>
              <w:jc w:val="right"/>
              <w:rPr>
                <w:bCs/>
                <w:sz w:val="18"/>
                <w:szCs w:val="18"/>
              </w:rPr>
            </w:pPr>
            <w:r w:rsidRPr="002A1069">
              <w:rPr>
                <w:bCs/>
                <w:sz w:val="18"/>
                <w:szCs w:val="18"/>
              </w:rPr>
              <w:t>(</w:t>
            </w:r>
            <w:r w:rsidR="00992735" w:rsidRPr="002A1069">
              <w:rPr>
                <w:bCs/>
                <w:sz w:val="18"/>
                <w:szCs w:val="18"/>
              </w:rPr>
              <w:t>2,595,089.93</w:t>
            </w:r>
            <w:r w:rsidRPr="002A1069">
              <w:rPr>
                <w:bCs/>
                <w:sz w:val="18"/>
                <w:szCs w:val="18"/>
              </w:rPr>
              <w:t>)</w:t>
            </w:r>
          </w:p>
        </w:tc>
        <w:tc>
          <w:tcPr>
            <w:tcW w:w="1973" w:type="dxa"/>
            <w:vAlign w:val="center"/>
          </w:tcPr>
          <w:p w:rsidR="00992735" w:rsidRPr="002A1069" w:rsidRDefault="00992735" w:rsidP="00992735">
            <w:pPr>
              <w:ind w:right="-11"/>
              <w:jc w:val="right"/>
              <w:rPr>
                <w:bCs/>
                <w:sz w:val="18"/>
                <w:szCs w:val="18"/>
              </w:rPr>
            </w:pPr>
            <w:r w:rsidRPr="002A1069">
              <w:rPr>
                <w:bCs/>
                <w:sz w:val="18"/>
                <w:szCs w:val="18"/>
              </w:rPr>
              <w:t>40,903,366.63</w:t>
            </w:r>
          </w:p>
        </w:tc>
        <w:tc>
          <w:tcPr>
            <w:tcW w:w="1973" w:type="dxa"/>
            <w:vAlign w:val="center"/>
          </w:tcPr>
          <w:p w:rsidR="00992735" w:rsidRPr="002A1069" w:rsidRDefault="00992735" w:rsidP="00992735">
            <w:pPr>
              <w:tabs>
                <w:tab w:val="decimal" w:pos="1332"/>
              </w:tabs>
              <w:ind w:right="-11"/>
              <w:jc w:val="right"/>
              <w:rPr>
                <w:bCs/>
                <w:sz w:val="18"/>
                <w:szCs w:val="18"/>
              </w:rPr>
            </w:pPr>
            <w:r w:rsidRPr="002A1069">
              <w:rPr>
                <w:bCs/>
                <w:sz w:val="18"/>
                <w:szCs w:val="18"/>
              </w:rPr>
              <w:t>922,120,835.79</w:t>
            </w:r>
          </w:p>
        </w:tc>
        <w:tc>
          <w:tcPr>
            <w:tcW w:w="1974" w:type="dxa"/>
            <w:vAlign w:val="center"/>
          </w:tcPr>
          <w:p w:rsidR="00992735" w:rsidRPr="002A1069" w:rsidRDefault="00992735" w:rsidP="00992735">
            <w:pPr>
              <w:tabs>
                <w:tab w:val="decimal" w:pos="1333"/>
              </w:tabs>
              <w:ind w:right="-11"/>
              <w:jc w:val="right"/>
              <w:rPr>
                <w:bCs/>
                <w:sz w:val="18"/>
                <w:szCs w:val="18"/>
              </w:rPr>
            </w:pPr>
            <w:r w:rsidRPr="002A1069">
              <w:rPr>
                <w:bCs/>
                <w:sz w:val="18"/>
                <w:szCs w:val="18"/>
              </w:rPr>
              <w:t>4,859,174,354.61</w:t>
            </w:r>
          </w:p>
        </w:tc>
      </w:tr>
      <w:tr w:rsidR="00274FC3" w:rsidRPr="002A1069" w:rsidTr="0027505B">
        <w:trPr>
          <w:trHeight w:val="20"/>
        </w:trPr>
        <w:tc>
          <w:tcPr>
            <w:tcW w:w="3704" w:type="dxa"/>
            <w:shd w:val="clear" w:color="auto" w:fill="D9D9D9"/>
            <w:vAlign w:val="center"/>
          </w:tcPr>
          <w:p w:rsidR="00274FC3" w:rsidRPr="002A1069" w:rsidRDefault="00274FC3" w:rsidP="00274FC3">
            <w:pPr>
              <w:ind w:right="-11" w:firstLineChars="200" w:firstLine="360"/>
              <w:rPr>
                <w:sz w:val="18"/>
                <w:szCs w:val="18"/>
              </w:rPr>
            </w:pPr>
            <w:r w:rsidRPr="002A1069">
              <w:rPr>
                <w:rFonts w:hint="eastAsia"/>
                <w:sz w:val="18"/>
                <w:szCs w:val="18"/>
              </w:rPr>
              <w:t>加</w:t>
            </w:r>
            <w:r w:rsidR="005F14EE" w:rsidRPr="002A1069">
              <w:rPr>
                <w:rFonts w:hint="eastAsia"/>
                <w:sz w:val="18"/>
                <w:szCs w:val="18"/>
              </w:rPr>
              <w:t>：</w:t>
            </w:r>
            <w:r w:rsidRPr="002A1069">
              <w:rPr>
                <w:rFonts w:hint="eastAsia"/>
                <w:sz w:val="18"/>
                <w:szCs w:val="18"/>
              </w:rPr>
              <w:t>会计政策变更</w:t>
            </w:r>
            <w:r w:rsidR="005F14EE" w:rsidRPr="002A1069">
              <w:rPr>
                <w:sz w:val="18"/>
                <w:szCs w:val="18"/>
              </w:rPr>
              <w:t>(</w:t>
            </w:r>
            <w:r w:rsidRPr="002A1069">
              <w:rPr>
                <w:rFonts w:hint="eastAsia"/>
                <w:sz w:val="18"/>
                <w:szCs w:val="18"/>
              </w:rPr>
              <w:t>详见附注</w:t>
            </w:r>
            <w:r w:rsidR="005F14EE" w:rsidRPr="002A1069">
              <w:rPr>
                <w:sz w:val="18"/>
                <w:szCs w:val="18"/>
              </w:rPr>
              <w:t>(</w:t>
            </w:r>
            <w:r w:rsidRPr="002A1069">
              <w:rPr>
                <w:rFonts w:hint="eastAsia"/>
                <w:sz w:val="18"/>
                <w:szCs w:val="18"/>
              </w:rPr>
              <w:t>三</w:t>
            </w:r>
            <w:r w:rsidR="005F14EE" w:rsidRPr="002A1069">
              <w:rPr>
                <w:sz w:val="18"/>
                <w:szCs w:val="18"/>
              </w:rPr>
              <w:t>)</w:t>
            </w:r>
            <w:r w:rsidRPr="002A1069">
              <w:rPr>
                <w:rFonts w:hint="eastAsia"/>
                <w:sz w:val="18"/>
                <w:szCs w:val="18"/>
              </w:rPr>
              <w:t>、</w:t>
            </w:r>
            <w:r w:rsidRPr="002A1069">
              <w:rPr>
                <w:rFonts w:hint="eastAsia"/>
                <w:sz w:val="18"/>
                <w:szCs w:val="18"/>
              </w:rPr>
              <w:t>3</w:t>
            </w:r>
            <w:r w:rsidR="0036095E" w:rsidRPr="002A1069">
              <w:rPr>
                <w:sz w:val="18"/>
                <w:szCs w:val="18"/>
              </w:rPr>
              <w:t>3</w:t>
            </w:r>
            <w:r w:rsidR="005F14EE" w:rsidRPr="002A1069">
              <w:rPr>
                <w:sz w:val="18"/>
                <w:szCs w:val="18"/>
              </w:rPr>
              <w:t>)</w:t>
            </w:r>
          </w:p>
        </w:tc>
        <w:tc>
          <w:tcPr>
            <w:tcW w:w="1973" w:type="dxa"/>
            <w:vAlign w:val="center"/>
          </w:tcPr>
          <w:p w:rsidR="00274FC3" w:rsidRPr="002A1069" w:rsidRDefault="00274FC3" w:rsidP="002057D5">
            <w:pPr>
              <w:pStyle w:val="aff1"/>
              <w:wordWrap w:val="0"/>
              <w:ind w:left="360" w:firstLineChars="0" w:firstLine="0"/>
              <w:jc w:val="right"/>
              <w:rPr>
                <w:bCs/>
                <w:sz w:val="18"/>
                <w:szCs w:val="18"/>
              </w:rPr>
            </w:pPr>
            <w:r w:rsidRPr="002A1069">
              <w:rPr>
                <w:sz w:val="18"/>
                <w:szCs w:val="18"/>
              </w:rPr>
              <w:t>-    </w:t>
            </w:r>
          </w:p>
        </w:tc>
        <w:tc>
          <w:tcPr>
            <w:tcW w:w="1973" w:type="dxa"/>
            <w:vAlign w:val="center"/>
          </w:tcPr>
          <w:p w:rsidR="00274FC3" w:rsidRPr="002A1069" w:rsidRDefault="00274FC3" w:rsidP="002057D5">
            <w:pPr>
              <w:pStyle w:val="aff1"/>
              <w:wordWrap w:val="0"/>
              <w:ind w:left="360" w:right="11" w:firstLineChars="0" w:firstLine="0"/>
              <w:jc w:val="right"/>
              <w:rPr>
                <w:bCs/>
                <w:sz w:val="18"/>
                <w:szCs w:val="18"/>
              </w:rPr>
            </w:pPr>
            <w:r w:rsidRPr="002A1069">
              <w:rPr>
                <w:sz w:val="18"/>
                <w:szCs w:val="18"/>
              </w:rPr>
              <w:t>-    </w:t>
            </w:r>
          </w:p>
        </w:tc>
        <w:tc>
          <w:tcPr>
            <w:tcW w:w="1973" w:type="dxa"/>
            <w:vAlign w:val="center"/>
          </w:tcPr>
          <w:p w:rsidR="00274FC3" w:rsidRPr="002A1069" w:rsidRDefault="00274FC3" w:rsidP="002057D5">
            <w:pPr>
              <w:pStyle w:val="aff1"/>
              <w:wordWrap w:val="0"/>
              <w:ind w:left="360" w:firstLineChars="0" w:firstLine="0"/>
              <w:jc w:val="right"/>
              <w:rPr>
                <w:bCs/>
                <w:sz w:val="18"/>
                <w:szCs w:val="18"/>
              </w:rPr>
            </w:pPr>
            <w:r w:rsidRPr="002A1069">
              <w:rPr>
                <w:sz w:val="18"/>
                <w:szCs w:val="18"/>
              </w:rPr>
              <w:t>-    </w:t>
            </w:r>
          </w:p>
        </w:tc>
        <w:tc>
          <w:tcPr>
            <w:tcW w:w="1973" w:type="dxa"/>
            <w:vAlign w:val="center"/>
          </w:tcPr>
          <w:p w:rsidR="00274FC3" w:rsidRPr="002A1069" w:rsidRDefault="00274FC3" w:rsidP="00274FC3">
            <w:pPr>
              <w:ind w:right="-11"/>
              <w:jc w:val="right"/>
              <w:rPr>
                <w:bCs/>
                <w:sz w:val="18"/>
                <w:szCs w:val="18"/>
              </w:rPr>
            </w:pPr>
            <w:r w:rsidRPr="002A1069">
              <w:rPr>
                <w:bCs/>
                <w:sz w:val="18"/>
                <w:szCs w:val="18"/>
              </w:rPr>
              <w:t>217,711.20</w:t>
            </w:r>
          </w:p>
        </w:tc>
        <w:tc>
          <w:tcPr>
            <w:tcW w:w="1973" w:type="dxa"/>
            <w:vAlign w:val="center"/>
          </w:tcPr>
          <w:p w:rsidR="00274FC3" w:rsidRPr="002A1069" w:rsidRDefault="00274FC3" w:rsidP="00274FC3">
            <w:pPr>
              <w:tabs>
                <w:tab w:val="decimal" w:pos="1332"/>
              </w:tabs>
              <w:ind w:right="-11"/>
              <w:jc w:val="right"/>
              <w:rPr>
                <w:bCs/>
                <w:sz w:val="18"/>
                <w:szCs w:val="18"/>
              </w:rPr>
            </w:pPr>
            <w:r w:rsidRPr="002A1069">
              <w:rPr>
                <w:bCs/>
                <w:sz w:val="18"/>
                <w:szCs w:val="18"/>
              </w:rPr>
              <w:t>1,608,587.31</w:t>
            </w:r>
          </w:p>
        </w:tc>
        <w:tc>
          <w:tcPr>
            <w:tcW w:w="1974" w:type="dxa"/>
            <w:vAlign w:val="center"/>
          </w:tcPr>
          <w:p w:rsidR="00274FC3" w:rsidRPr="002A1069" w:rsidRDefault="00274FC3" w:rsidP="00274FC3">
            <w:pPr>
              <w:tabs>
                <w:tab w:val="decimal" w:pos="1333"/>
              </w:tabs>
              <w:ind w:right="-11"/>
              <w:jc w:val="right"/>
              <w:rPr>
                <w:bCs/>
                <w:sz w:val="18"/>
                <w:szCs w:val="18"/>
              </w:rPr>
            </w:pPr>
            <w:r w:rsidRPr="002A1069">
              <w:rPr>
                <w:bCs/>
                <w:sz w:val="18"/>
                <w:szCs w:val="18"/>
              </w:rPr>
              <w:t>1,826,298.51</w:t>
            </w:r>
          </w:p>
        </w:tc>
      </w:tr>
      <w:tr w:rsidR="00D967FE" w:rsidRPr="002A1069" w:rsidTr="0027505B">
        <w:trPr>
          <w:trHeight w:val="20"/>
        </w:trPr>
        <w:tc>
          <w:tcPr>
            <w:tcW w:w="3704" w:type="dxa"/>
            <w:shd w:val="clear" w:color="auto" w:fill="D9D9D9"/>
            <w:vAlign w:val="center"/>
          </w:tcPr>
          <w:p w:rsidR="00D967FE" w:rsidRPr="002A1069" w:rsidRDefault="00D967FE" w:rsidP="00D967FE">
            <w:pPr>
              <w:ind w:right="-11"/>
              <w:rPr>
                <w:sz w:val="18"/>
                <w:szCs w:val="18"/>
              </w:rPr>
            </w:pPr>
            <w:r w:rsidRPr="002A1069">
              <w:rPr>
                <w:rFonts w:hint="eastAsia"/>
                <w:sz w:val="18"/>
                <w:szCs w:val="18"/>
              </w:rPr>
              <w:t>二、本年年初余额</w:t>
            </w:r>
          </w:p>
        </w:tc>
        <w:tc>
          <w:tcPr>
            <w:tcW w:w="1973" w:type="dxa"/>
            <w:vAlign w:val="center"/>
          </w:tcPr>
          <w:p w:rsidR="00D967FE" w:rsidRPr="002A1069" w:rsidRDefault="00A14570" w:rsidP="00992735">
            <w:pPr>
              <w:ind w:right="-11"/>
              <w:jc w:val="right"/>
              <w:rPr>
                <w:bCs/>
                <w:sz w:val="18"/>
                <w:szCs w:val="18"/>
              </w:rPr>
            </w:pPr>
            <w:r w:rsidRPr="002A1069">
              <w:rPr>
                <w:bCs/>
                <w:sz w:val="18"/>
                <w:szCs w:val="18"/>
              </w:rPr>
              <w:t>562,500,000.00</w:t>
            </w:r>
          </w:p>
        </w:tc>
        <w:tc>
          <w:tcPr>
            <w:tcW w:w="1973" w:type="dxa"/>
            <w:vAlign w:val="center"/>
          </w:tcPr>
          <w:p w:rsidR="00D967FE" w:rsidRPr="002A1069" w:rsidRDefault="00A14570" w:rsidP="00992735">
            <w:pPr>
              <w:ind w:right="-11"/>
              <w:jc w:val="right"/>
              <w:rPr>
                <w:bCs/>
                <w:sz w:val="18"/>
                <w:szCs w:val="18"/>
              </w:rPr>
            </w:pPr>
            <w:r w:rsidRPr="002A1069">
              <w:rPr>
                <w:bCs/>
                <w:sz w:val="18"/>
                <w:szCs w:val="18"/>
              </w:rPr>
              <w:t>3,336,245,242.12</w:t>
            </w:r>
          </w:p>
        </w:tc>
        <w:tc>
          <w:tcPr>
            <w:tcW w:w="1973" w:type="dxa"/>
            <w:vAlign w:val="center"/>
          </w:tcPr>
          <w:p w:rsidR="00D967FE" w:rsidRPr="002A1069" w:rsidRDefault="005F14EE" w:rsidP="00992735">
            <w:pPr>
              <w:ind w:right="-11"/>
              <w:jc w:val="right"/>
              <w:rPr>
                <w:bCs/>
                <w:sz w:val="18"/>
                <w:szCs w:val="18"/>
              </w:rPr>
            </w:pPr>
            <w:r w:rsidRPr="002A1069">
              <w:rPr>
                <w:bCs/>
                <w:sz w:val="18"/>
                <w:szCs w:val="18"/>
              </w:rPr>
              <w:t>(</w:t>
            </w:r>
            <w:r w:rsidR="00A14570" w:rsidRPr="002A1069">
              <w:rPr>
                <w:bCs/>
                <w:sz w:val="18"/>
                <w:szCs w:val="18"/>
              </w:rPr>
              <w:t>2,595,089.93</w:t>
            </w:r>
            <w:r w:rsidRPr="002A1069">
              <w:rPr>
                <w:bCs/>
                <w:sz w:val="18"/>
                <w:szCs w:val="18"/>
              </w:rPr>
              <w:t>)</w:t>
            </w:r>
          </w:p>
        </w:tc>
        <w:tc>
          <w:tcPr>
            <w:tcW w:w="1973" w:type="dxa"/>
            <w:vAlign w:val="center"/>
          </w:tcPr>
          <w:p w:rsidR="00D967FE" w:rsidRPr="002A1069" w:rsidRDefault="00A14570" w:rsidP="00992735">
            <w:pPr>
              <w:ind w:right="-11"/>
              <w:jc w:val="right"/>
              <w:rPr>
                <w:bCs/>
                <w:sz w:val="18"/>
                <w:szCs w:val="18"/>
              </w:rPr>
            </w:pPr>
            <w:r w:rsidRPr="002A1069">
              <w:rPr>
                <w:bCs/>
                <w:sz w:val="18"/>
                <w:szCs w:val="18"/>
              </w:rPr>
              <w:t>41,121,077.83</w:t>
            </w:r>
          </w:p>
        </w:tc>
        <w:tc>
          <w:tcPr>
            <w:tcW w:w="1973" w:type="dxa"/>
            <w:vAlign w:val="center"/>
          </w:tcPr>
          <w:p w:rsidR="00D967FE" w:rsidRPr="002A1069" w:rsidRDefault="00A14570" w:rsidP="00992735">
            <w:pPr>
              <w:tabs>
                <w:tab w:val="decimal" w:pos="1332"/>
              </w:tabs>
              <w:ind w:right="-11"/>
              <w:jc w:val="right"/>
              <w:rPr>
                <w:bCs/>
                <w:sz w:val="18"/>
                <w:szCs w:val="18"/>
              </w:rPr>
            </w:pPr>
            <w:r w:rsidRPr="002A1069">
              <w:rPr>
                <w:bCs/>
                <w:sz w:val="18"/>
                <w:szCs w:val="18"/>
              </w:rPr>
              <w:t>923,729,423.10</w:t>
            </w:r>
          </w:p>
        </w:tc>
        <w:tc>
          <w:tcPr>
            <w:tcW w:w="1974" w:type="dxa"/>
            <w:vAlign w:val="center"/>
          </w:tcPr>
          <w:p w:rsidR="00D967FE" w:rsidRPr="002A1069" w:rsidRDefault="00A14570" w:rsidP="00992735">
            <w:pPr>
              <w:tabs>
                <w:tab w:val="decimal" w:pos="1333"/>
              </w:tabs>
              <w:ind w:right="-11"/>
              <w:jc w:val="right"/>
              <w:rPr>
                <w:bCs/>
                <w:sz w:val="18"/>
                <w:szCs w:val="18"/>
              </w:rPr>
            </w:pPr>
            <w:r w:rsidRPr="002A1069">
              <w:rPr>
                <w:bCs/>
                <w:sz w:val="18"/>
                <w:szCs w:val="18"/>
              </w:rPr>
              <w:t>4,861,000,653.12</w:t>
            </w:r>
          </w:p>
        </w:tc>
      </w:tr>
      <w:tr w:rsidR="00A14570" w:rsidRPr="002A1069" w:rsidTr="0027505B">
        <w:trPr>
          <w:trHeight w:val="20"/>
        </w:trPr>
        <w:tc>
          <w:tcPr>
            <w:tcW w:w="3704" w:type="dxa"/>
            <w:shd w:val="clear" w:color="auto" w:fill="D9D9D9"/>
            <w:vAlign w:val="center"/>
          </w:tcPr>
          <w:p w:rsidR="00A14570" w:rsidRPr="002A1069" w:rsidRDefault="00A14570" w:rsidP="00A14570">
            <w:pPr>
              <w:ind w:right="-11"/>
              <w:rPr>
                <w:sz w:val="18"/>
                <w:szCs w:val="18"/>
              </w:rPr>
            </w:pPr>
            <w:r w:rsidRPr="002A1069">
              <w:rPr>
                <w:rFonts w:hint="eastAsia"/>
                <w:sz w:val="18"/>
                <w:szCs w:val="18"/>
              </w:rPr>
              <w:t>三、本年增减变动金额</w:t>
            </w:r>
          </w:p>
        </w:tc>
        <w:tc>
          <w:tcPr>
            <w:tcW w:w="1973" w:type="dxa"/>
            <w:vAlign w:val="center"/>
          </w:tcPr>
          <w:p w:rsidR="00A14570" w:rsidRPr="002A1069" w:rsidRDefault="00A14570" w:rsidP="00A14570">
            <w:pPr>
              <w:wordWrap w:val="0"/>
              <w:ind w:right="-11"/>
              <w:jc w:val="right"/>
              <w:rPr>
                <w:sz w:val="18"/>
                <w:szCs w:val="18"/>
              </w:rPr>
            </w:pPr>
            <w:r w:rsidRPr="002A1069">
              <w:rPr>
                <w:sz w:val="18"/>
                <w:szCs w:val="18"/>
              </w:rPr>
              <w:t>-    </w:t>
            </w:r>
          </w:p>
        </w:tc>
        <w:tc>
          <w:tcPr>
            <w:tcW w:w="1973" w:type="dxa"/>
            <w:vAlign w:val="center"/>
          </w:tcPr>
          <w:p w:rsidR="00A14570" w:rsidRPr="002A1069" w:rsidRDefault="00A14570" w:rsidP="00A14570">
            <w:pPr>
              <w:ind w:right="-11"/>
              <w:jc w:val="right"/>
              <w:rPr>
                <w:sz w:val="18"/>
                <w:szCs w:val="18"/>
              </w:rPr>
            </w:pPr>
            <w:r w:rsidRPr="002A1069">
              <w:rPr>
                <w:sz w:val="18"/>
                <w:szCs w:val="18"/>
              </w:rPr>
              <w:t>10,337,881.29</w:t>
            </w:r>
          </w:p>
        </w:tc>
        <w:tc>
          <w:tcPr>
            <w:tcW w:w="1973" w:type="dxa"/>
            <w:vAlign w:val="center"/>
          </w:tcPr>
          <w:p w:rsidR="00A14570" w:rsidRPr="002A1069" w:rsidRDefault="005F14EE" w:rsidP="00A14570">
            <w:pPr>
              <w:ind w:right="-11"/>
              <w:jc w:val="right"/>
              <w:rPr>
                <w:sz w:val="18"/>
                <w:szCs w:val="18"/>
              </w:rPr>
            </w:pPr>
            <w:r w:rsidRPr="002A1069">
              <w:rPr>
                <w:sz w:val="18"/>
                <w:szCs w:val="18"/>
              </w:rPr>
              <w:t>(</w:t>
            </w:r>
            <w:r w:rsidR="00A14570" w:rsidRPr="002A1069">
              <w:rPr>
                <w:sz w:val="18"/>
                <w:szCs w:val="18"/>
              </w:rPr>
              <w:t>536,941.0</w:t>
            </w:r>
            <w:r w:rsidR="000D5ABF" w:rsidRPr="002A1069">
              <w:rPr>
                <w:sz w:val="18"/>
                <w:szCs w:val="18"/>
              </w:rPr>
              <w:t>4</w:t>
            </w:r>
            <w:r w:rsidRPr="002A1069">
              <w:rPr>
                <w:sz w:val="18"/>
                <w:szCs w:val="18"/>
              </w:rPr>
              <w:t>)</w:t>
            </w:r>
          </w:p>
        </w:tc>
        <w:tc>
          <w:tcPr>
            <w:tcW w:w="1973" w:type="dxa"/>
            <w:vAlign w:val="center"/>
          </w:tcPr>
          <w:p w:rsidR="00A14570" w:rsidRPr="002A1069" w:rsidRDefault="00A14570" w:rsidP="00A14570">
            <w:pPr>
              <w:ind w:right="-11"/>
              <w:jc w:val="right"/>
              <w:rPr>
                <w:sz w:val="18"/>
                <w:szCs w:val="18"/>
              </w:rPr>
            </w:pPr>
            <w:r w:rsidRPr="002A1069">
              <w:rPr>
                <w:sz w:val="18"/>
                <w:szCs w:val="18"/>
              </w:rPr>
              <w:t>60,559,864.86</w:t>
            </w:r>
          </w:p>
        </w:tc>
        <w:tc>
          <w:tcPr>
            <w:tcW w:w="1973" w:type="dxa"/>
            <w:vAlign w:val="center"/>
          </w:tcPr>
          <w:p w:rsidR="00A14570" w:rsidRPr="002A1069" w:rsidRDefault="001D6DA4" w:rsidP="00A14570">
            <w:pPr>
              <w:tabs>
                <w:tab w:val="decimal" w:pos="1332"/>
              </w:tabs>
              <w:ind w:right="-11"/>
              <w:jc w:val="right"/>
              <w:rPr>
                <w:sz w:val="18"/>
                <w:szCs w:val="18"/>
              </w:rPr>
            </w:pPr>
            <w:r w:rsidRPr="002A1069">
              <w:rPr>
                <w:sz w:val="18"/>
                <w:szCs w:val="18"/>
              </w:rPr>
              <w:t>333,630,898.24</w:t>
            </w:r>
          </w:p>
        </w:tc>
        <w:tc>
          <w:tcPr>
            <w:tcW w:w="1974" w:type="dxa"/>
            <w:vAlign w:val="center"/>
          </w:tcPr>
          <w:p w:rsidR="00A14570" w:rsidRPr="002A1069" w:rsidRDefault="001D6DA4" w:rsidP="00A14570">
            <w:pPr>
              <w:tabs>
                <w:tab w:val="decimal" w:pos="1333"/>
              </w:tabs>
              <w:ind w:right="-11"/>
              <w:jc w:val="right"/>
              <w:rPr>
                <w:sz w:val="18"/>
                <w:szCs w:val="18"/>
              </w:rPr>
            </w:pPr>
            <w:r w:rsidRPr="002A1069">
              <w:rPr>
                <w:sz w:val="18"/>
                <w:szCs w:val="18"/>
              </w:rPr>
              <w:t>403,991,703.3</w:t>
            </w:r>
            <w:r w:rsidR="000D5ABF" w:rsidRPr="002A1069">
              <w:rPr>
                <w:sz w:val="18"/>
                <w:szCs w:val="18"/>
              </w:rPr>
              <w:t>5</w:t>
            </w:r>
          </w:p>
        </w:tc>
      </w:tr>
      <w:tr w:rsidR="00A14570" w:rsidRPr="002A1069" w:rsidTr="0027505B">
        <w:trPr>
          <w:trHeight w:val="20"/>
        </w:trPr>
        <w:tc>
          <w:tcPr>
            <w:tcW w:w="3704" w:type="dxa"/>
            <w:shd w:val="clear" w:color="auto" w:fill="D9D9D9"/>
            <w:vAlign w:val="center"/>
          </w:tcPr>
          <w:p w:rsidR="00A14570" w:rsidRPr="002A1069" w:rsidRDefault="005F14EE" w:rsidP="00A14570">
            <w:pPr>
              <w:ind w:left="360" w:right="-11"/>
              <w:rPr>
                <w:sz w:val="18"/>
                <w:szCs w:val="18"/>
              </w:rPr>
            </w:pPr>
            <w:r w:rsidRPr="002A1069">
              <w:rPr>
                <w:sz w:val="18"/>
                <w:szCs w:val="18"/>
              </w:rPr>
              <w:t>(</w:t>
            </w:r>
            <w:proofErr w:type="gramStart"/>
            <w:r w:rsidR="00A14570" w:rsidRPr="002A1069">
              <w:rPr>
                <w:rFonts w:hint="eastAsia"/>
                <w:sz w:val="18"/>
                <w:szCs w:val="18"/>
              </w:rPr>
              <w:t>一</w:t>
            </w:r>
            <w:proofErr w:type="gramEnd"/>
            <w:r w:rsidRPr="002A1069">
              <w:rPr>
                <w:sz w:val="18"/>
                <w:szCs w:val="18"/>
              </w:rPr>
              <w:t>)</w:t>
            </w:r>
            <w:r w:rsidR="00A14570" w:rsidRPr="002A1069">
              <w:rPr>
                <w:rFonts w:hint="eastAsia"/>
                <w:sz w:val="18"/>
                <w:szCs w:val="18"/>
              </w:rPr>
              <w:t>综合收益总额</w:t>
            </w:r>
          </w:p>
        </w:tc>
        <w:tc>
          <w:tcPr>
            <w:tcW w:w="1973" w:type="dxa"/>
            <w:vAlign w:val="center"/>
          </w:tcPr>
          <w:p w:rsidR="00A14570" w:rsidRPr="002A1069" w:rsidRDefault="00A14570" w:rsidP="00A14570">
            <w:pPr>
              <w:ind w:right="-11"/>
              <w:jc w:val="right"/>
              <w:rPr>
                <w:sz w:val="18"/>
                <w:szCs w:val="18"/>
              </w:rPr>
            </w:pPr>
            <w:r w:rsidRPr="002A1069">
              <w:rPr>
                <w:sz w:val="18"/>
                <w:szCs w:val="18"/>
              </w:rPr>
              <w:t>-    </w:t>
            </w:r>
          </w:p>
        </w:tc>
        <w:tc>
          <w:tcPr>
            <w:tcW w:w="1973" w:type="dxa"/>
            <w:vAlign w:val="center"/>
          </w:tcPr>
          <w:p w:rsidR="00A14570" w:rsidRPr="002A1069" w:rsidRDefault="00A14570" w:rsidP="00A14570">
            <w:pPr>
              <w:ind w:right="-11"/>
              <w:jc w:val="right"/>
              <w:rPr>
                <w:sz w:val="18"/>
                <w:szCs w:val="18"/>
              </w:rPr>
            </w:pPr>
            <w:r w:rsidRPr="002A1069">
              <w:rPr>
                <w:sz w:val="18"/>
                <w:szCs w:val="18"/>
              </w:rPr>
              <w:t>-    </w:t>
            </w:r>
          </w:p>
        </w:tc>
        <w:tc>
          <w:tcPr>
            <w:tcW w:w="1973" w:type="dxa"/>
            <w:vAlign w:val="center"/>
          </w:tcPr>
          <w:p w:rsidR="00A14570" w:rsidRPr="002A1069" w:rsidRDefault="005F14EE" w:rsidP="00A14570">
            <w:pPr>
              <w:ind w:right="-11"/>
              <w:jc w:val="right"/>
              <w:rPr>
                <w:sz w:val="18"/>
                <w:szCs w:val="18"/>
              </w:rPr>
            </w:pPr>
            <w:r w:rsidRPr="002A1069">
              <w:rPr>
                <w:sz w:val="18"/>
                <w:szCs w:val="18"/>
              </w:rPr>
              <w:t>(</w:t>
            </w:r>
            <w:r w:rsidR="00A14570" w:rsidRPr="002A1069">
              <w:rPr>
                <w:sz w:val="18"/>
                <w:szCs w:val="18"/>
              </w:rPr>
              <w:t>536,941.0</w:t>
            </w:r>
            <w:r w:rsidR="000D5ABF" w:rsidRPr="002A1069">
              <w:rPr>
                <w:sz w:val="18"/>
                <w:szCs w:val="18"/>
              </w:rPr>
              <w:t>4</w:t>
            </w:r>
            <w:r w:rsidRPr="002A1069">
              <w:rPr>
                <w:rFonts w:hint="eastAsia"/>
                <w:sz w:val="18"/>
                <w:szCs w:val="18"/>
              </w:rPr>
              <w:t>)</w:t>
            </w:r>
          </w:p>
        </w:tc>
        <w:tc>
          <w:tcPr>
            <w:tcW w:w="1973" w:type="dxa"/>
            <w:vAlign w:val="center"/>
          </w:tcPr>
          <w:p w:rsidR="00A14570" w:rsidRPr="002A1069" w:rsidRDefault="00A14570" w:rsidP="00A14570">
            <w:pPr>
              <w:ind w:right="-11"/>
              <w:jc w:val="right"/>
              <w:rPr>
                <w:sz w:val="18"/>
                <w:szCs w:val="18"/>
              </w:rPr>
            </w:pPr>
            <w:r w:rsidRPr="002A1069">
              <w:rPr>
                <w:sz w:val="18"/>
                <w:szCs w:val="18"/>
              </w:rPr>
              <w:t>-    </w:t>
            </w:r>
          </w:p>
        </w:tc>
        <w:tc>
          <w:tcPr>
            <w:tcW w:w="1973" w:type="dxa"/>
            <w:shd w:val="clear" w:color="auto" w:fill="auto"/>
            <w:vAlign w:val="center"/>
          </w:tcPr>
          <w:p w:rsidR="00A14570" w:rsidRPr="002A1069" w:rsidRDefault="001D6DA4" w:rsidP="00A14570">
            <w:pPr>
              <w:ind w:right="-11"/>
              <w:jc w:val="right"/>
              <w:rPr>
                <w:sz w:val="18"/>
                <w:szCs w:val="18"/>
              </w:rPr>
            </w:pPr>
            <w:r w:rsidRPr="002A1069">
              <w:rPr>
                <w:sz w:val="18"/>
                <w:szCs w:val="18"/>
              </w:rPr>
              <w:t>562,940,763.10</w:t>
            </w:r>
          </w:p>
        </w:tc>
        <w:tc>
          <w:tcPr>
            <w:tcW w:w="1974" w:type="dxa"/>
            <w:shd w:val="clear" w:color="auto" w:fill="auto"/>
            <w:vAlign w:val="center"/>
          </w:tcPr>
          <w:p w:rsidR="00A14570" w:rsidRPr="002A1069" w:rsidRDefault="001D6DA4" w:rsidP="00A14570">
            <w:pPr>
              <w:ind w:right="-11"/>
              <w:jc w:val="right"/>
              <w:rPr>
                <w:sz w:val="18"/>
                <w:szCs w:val="18"/>
              </w:rPr>
            </w:pPr>
            <w:r w:rsidRPr="002A1069">
              <w:rPr>
                <w:sz w:val="18"/>
                <w:szCs w:val="18"/>
              </w:rPr>
              <w:t>562,403,822.0</w:t>
            </w:r>
            <w:r w:rsidR="00B06B88" w:rsidRPr="002A1069">
              <w:rPr>
                <w:sz w:val="18"/>
                <w:szCs w:val="18"/>
              </w:rPr>
              <w:t>6</w:t>
            </w:r>
          </w:p>
        </w:tc>
      </w:tr>
      <w:tr w:rsidR="001D6DA4" w:rsidRPr="002A1069" w:rsidTr="0027505B">
        <w:trPr>
          <w:trHeight w:val="20"/>
        </w:trPr>
        <w:tc>
          <w:tcPr>
            <w:tcW w:w="3704" w:type="dxa"/>
            <w:shd w:val="clear" w:color="auto" w:fill="D9D9D9"/>
            <w:vAlign w:val="center"/>
          </w:tcPr>
          <w:p w:rsidR="001D6DA4" w:rsidRPr="002A1069" w:rsidRDefault="005F14EE" w:rsidP="001D6DA4">
            <w:pPr>
              <w:ind w:left="360" w:right="-11"/>
              <w:rPr>
                <w:sz w:val="18"/>
                <w:szCs w:val="18"/>
              </w:rPr>
            </w:pPr>
            <w:r w:rsidRPr="002A1069">
              <w:rPr>
                <w:sz w:val="18"/>
                <w:szCs w:val="18"/>
              </w:rPr>
              <w:t>(</w:t>
            </w:r>
            <w:r w:rsidR="001D6DA4" w:rsidRPr="002A1069">
              <w:rPr>
                <w:rFonts w:hint="eastAsia"/>
                <w:sz w:val="18"/>
                <w:szCs w:val="18"/>
              </w:rPr>
              <w:t>二</w:t>
            </w:r>
            <w:r w:rsidRPr="002A1069">
              <w:rPr>
                <w:sz w:val="18"/>
                <w:szCs w:val="18"/>
              </w:rPr>
              <w:t>)</w:t>
            </w:r>
            <w:r w:rsidR="001D6DA4" w:rsidRPr="002A1069">
              <w:rPr>
                <w:rFonts w:hint="eastAsia"/>
                <w:sz w:val="18"/>
                <w:szCs w:val="18"/>
              </w:rPr>
              <w:t>所有者投入和减少资本</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10,337,881.29</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tabs>
                <w:tab w:val="decimal" w:pos="1332"/>
              </w:tabs>
              <w:ind w:right="-11"/>
              <w:jc w:val="right"/>
              <w:rPr>
                <w:sz w:val="18"/>
                <w:szCs w:val="18"/>
              </w:rPr>
            </w:pPr>
            <w:r w:rsidRPr="002A1069">
              <w:rPr>
                <w:sz w:val="18"/>
                <w:szCs w:val="18"/>
              </w:rPr>
              <w:t>-    </w:t>
            </w:r>
          </w:p>
        </w:tc>
        <w:tc>
          <w:tcPr>
            <w:tcW w:w="1974" w:type="dxa"/>
            <w:vAlign w:val="center"/>
          </w:tcPr>
          <w:p w:rsidR="001D6DA4" w:rsidRPr="002A1069" w:rsidRDefault="001D6DA4" w:rsidP="001D6DA4">
            <w:pPr>
              <w:ind w:right="-11"/>
              <w:jc w:val="right"/>
              <w:rPr>
                <w:sz w:val="18"/>
                <w:szCs w:val="18"/>
              </w:rPr>
            </w:pPr>
            <w:r w:rsidRPr="002A1069">
              <w:rPr>
                <w:sz w:val="18"/>
                <w:szCs w:val="18"/>
              </w:rPr>
              <w:t>10,337,881.29</w:t>
            </w:r>
          </w:p>
        </w:tc>
      </w:tr>
      <w:tr w:rsidR="001D6DA4" w:rsidRPr="002A1069" w:rsidTr="0027505B">
        <w:trPr>
          <w:trHeight w:val="20"/>
        </w:trPr>
        <w:tc>
          <w:tcPr>
            <w:tcW w:w="3704" w:type="dxa"/>
            <w:shd w:val="clear" w:color="auto" w:fill="D9D9D9"/>
            <w:vAlign w:val="center"/>
          </w:tcPr>
          <w:p w:rsidR="001D6DA4" w:rsidRPr="002A1069" w:rsidRDefault="001D6DA4" w:rsidP="001D6DA4">
            <w:pPr>
              <w:ind w:left="657" w:right="-11"/>
              <w:rPr>
                <w:sz w:val="18"/>
                <w:szCs w:val="18"/>
              </w:rPr>
            </w:pPr>
            <w:r w:rsidRPr="002A1069">
              <w:rPr>
                <w:sz w:val="18"/>
                <w:szCs w:val="18"/>
              </w:rPr>
              <w:t>1.</w:t>
            </w:r>
            <w:r w:rsidRPr="002A1069">
              <w:rPr>
                <w:rFonts w:hint="eastAsia"/>
                <w:sz w:val="18"/>
                <w:szCs w:val="18"/>
              </w:rPr>
              <w:t>股份支付计入所有者权益的金额</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10,337,881.29</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tabs>
                <w:tab w:val="decimal" w:pos="1332"/>
              </w:tabs>
              <w:ind w:right="-11"/>
              <w:jc w:val="right"/>
              <w:rPr>
                <w:sz w:val="18"/>
                <w:szCs w:val="18"/>
              </w:rPr>
            </w:pPr>
            <w:r w:rsidRPr="002A1069">
              <w:rPr>
                <w:sz w:val="18"/>
                <w:szCs w:val="18"/>
              </w:rPr>
              <w:t>-    </w:t>
            </w:r>
          </w:p>
        </w:tc>
        <w:tc>
          <w:tcPr>
            <w:tcW w:w="1974" w:type="dxa"/>
            <w:vAlign w:val="center"/>
          </w:tcPr>
          <w:p w:rsidR="001D6DA4" w:rsidRPr="002A1069" w:rsidRDefault="001D6DA4" w:rsidP="001D6DA4">
            <w:pPr>
              <w:ind w:right="-11"/>
              <w:jc w:val="right"/>
              <w:rPr>
                <w:sz w:val="18"/>
                <w:szCs w:val="18"/>
              </w:rPr>
            </w:pPr>
            <w:r w:rsidRPr="002A1069">
              <w:rPr>
                <w:sz w:val="18"/>
                <w:szCs w:val="18"/>
              </w:rPr>
              <w:t>10,337,881.29</w:t>
            </w:r>
          </w:p>
        </w:tc>
      </w:tr>
      <w:tr w:rsidR="001D6DA4" w:rsidRPr="002A1069" w:rsidTr="0027505B">
        <w:trPr>
          <w:trHeight w:val="20"/>
        </w:trPr>
        <w:tc>
          <w:tcPr>
            <w:tcW w:w="3704" w:type="dxa"/>
            <w:shd w:val="clear" w:color="auto" w:fill="D9D9D9"/>
            <w:vAlign w:val="center"/>
          </w:tcPr>
          <w:p w:rsidR="001D6DA4" w:rsidRPr="002A1069" w:rsidRDefault="005F14EE" w:rsidP="001D6DA4">
            <w:pPr>
              <w:ind w:left="366" w:right="-11"/>
              <w:rPr>
                <w:sz w:val="18"/>
                <w:szCs w:val="18"/>
              </w:rPr>
            </w:pPr>
            <w:r w:rsidRPr="002A1069">
              <w:rPr>
                <w:sz w:val="18"/>
                <w:szCs w:val="18"/>
              </w:rPr>
              <w:t>(</w:t>
            </w:r>
            <w:r w:rsidR="001D6DA4" w:rsidRPr="002A1069">
              <w:rPr>
                <w:rFonts w:hint="eastAsia"/>
                <w:sz w:val="18"/>
                <w:szCs w:val="18"/>
              </w:rPr>
              <w:t>三</w:t>
            </w:r>
            <w:r w:rsidRPr="002A1069">
              <w:rPr>
                <w:sz w:val="18"/>
                <w:szCs w:val="18"/>
              </w:rPr>
              <w:t>)</w:t>
            </w:r>
            <w:r w:rsidR="001D6DA4" w:rsidRPr="002A1069">
              <w:rPr>
                <w:rFonts w:hint="eastAsia"/>
                <w:sz w:val="18"/>
                <w:szCs w:val="18"/>
              </w:rPr>
              <w:t>利润分配</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60,559,864.86</w:t>
            </w:r>
          </w:p>
        </w:tc>
        <w:tc>
          <w:tcPr>
            <w:tcW w:w="1973" w:type="dxa"/>
            <w:vAlign w:val="center"/>
          </w:tcPr>
          <w:p w:rsidR="001D6DA4" w:rsidRPr="002A1069" w:rsidRDefault="005F14EE" w:rsidP="001D6DA4">
            <w:pPr>
              <w:tabs>
                <w:tab w:val="decimal" w:pos="1332"/>
              </w:tabs>
              <w:ind w:right="-11"/>
              <w:jc w:val="right"/>
              <w:rPr>
                <w:sz w:val="18"/>
                <w:szCs w:val="18"/>
              </w:rPr>
            </w:pPr>
            <w:r w:rsidRPr="002A1069">
              <w:rPr>
                <w:sz w:val="18"/>
                <w:szCs w:val="18"/>
              </w:rPr>
              <w:t>(</w:t>
            </w:r>
            <w:r w:rsidR="001D6DA4" w:rsidRPr="002A1069">
              <w:rPr>
                <w:sz w:val="18"/>
                <w:szCs w:val="18"/>
              </w:rPr>
              <w:t>229,309,864.86</w:t>
            </w:r>
            <w:r w:rsidRPr="002A1069">
              <w:rPr>
                <w:sz w:val="18"/>
                <w:szCs w:val="18"/>
              </w:rPr>
              <w:t>)</w:t>
            </w:r>
          </w:p>
        </w:tc>
        <w:tc>
          <w:tcPr>
            <w:tcW w:w="1974" w:type="dxa"/>
            <w:vAlign w:val="center"/>
          </w:tcPr>
          <w:p w:rsidR="001D6DA4" w:rsidRPr="002A1069" w:rsidRDefault="005F14EE" w:rsidP="001D6DA4">
            <w:pPr>
              <w:ind w:right="-11"/>
              <w:jc w:val="right"/>
              <w:rPr>
                <w:sz w:val="18"/>
                <w:szCs w:val="18"/>
              </w:rPr>
            </w:pPr>
            <w:r w:rsidRPr="002A1069">
              <w:rPr>
                <w:sz w:val="18"/>
                <w:szCs w:val="18"/>
              </w:rPr>
              <w:t>(</w:t>
            </w:r>
            <w:r w:rsidR="001D6DA4" w:rsidRPr="002A1069">
              <w:rPr>
                <w:sz w:val="18"/>
                <w:szCs w:val="18"/>
              </w:rPr>
              <w:t>168,750,000.00</w:t>
            </w:r>
            <w:r w:rsidRPr="002A1069">
              <w:rPr>
                <w:sz w:val="18"/>
                <w:szCs w:val="18"/>
              </w:rPr>
              <w:t>)</w:t>
            </w:r>
          </w:p>
        </w:tc>
      </w:tr>
      <w:tr w:rsidR="001D6DA4" w:rsidRPr="002A1069" w:rsidTr="0027505B">
        <w:trPr>
          <w:trHeight w:val="20"/>
        </w:trPr>
        <w:tc>
          <w:tcPr>
            <w:tcW w:w="3704" w:type="dxa"/>
            <w:shd w:val="clear" w:color="auto" w:fill="D9D9D9"/>
            <w:vAlign w:val="center"/>
          </w:tcPr>
          <w:p w:rsidR="001D6DA4" w:rsidRPr="002A1069" w:rsidRDefault="001D6DA4" w:rsidP="001D6DA4">
            <w:pPr>
              <w:ind w:left="657" w:right="-11"/>
              <w:rPr>
                <w:sz w:val="18"/>
                <w:szCs w:val="18"/>
              </w:rPr>
            </w:pPr>
            <w:r w:rsidRPr="002A1069">
              <w:rPr>
                <w:sz w:val="18"/>
                <w:szCs w:val="18"/>
              </w:rPr>
              <w:t>1.</w:t>
            </w:r>
            <w:r w:rsidRPr="002A1069">
              <w:rPr>
                <w:rFonts w:hint="eastAsia"/>
                <w:sz w:val="18"/>
                <w:szCs w:val="18"/>
              </w:rPr>
              <w:t>提取盈余公积</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60,559,864.86</w:t>
            </w:r>
          </w:p>
        </w:tc>
        <w:tc>
          <w:tcPr>
            <w:tcW w:w="1973" w:type="dxa"/>
            <w:vAlign w:val="center"/>
          </w:tcPr>
          <w:p w:rsidR="001D6DA4" w:rsidRPr="002A1069" w:rsidRDefault="005F14EE" w:rsidP="001D6DA4">
            <w:pPr>
              <w:tabs>
                <w:tab w:val="decimal" w:pos="1332"/>
              </w:tabs>
              <w:ind w:right="-11"/>
              <w:jc w:val="right"/>
              <w:rPr>
                <w:sz w:val="18"/>
                <w:szCs w:val="18"/>
              </w:rPr>
            </w:pPr>
            <w:r w:rsidRPr="002A1069">
              <w:rPr>
                <w:sz w:val="18"/>
                <w:szCs w:val="18"/>
              </w:rPr>
              <w:t>(</w:t>
            </w:r>
            <w:r w:rsidR="001D6DA4" w:rsidRPr="002A1069">
              <w:rPr>
                <w:sz w:val="18"/>
                <w:szCs w:val="18"/>
              </w:rPr>
              <w:t>60,559,864.86</w:t>
            </w:r>
            <w:r w:rsidRPr="002A1069">
              <w:rPr>
                <w:sz w:val="18"/>
                <w:szCs w:val="18"/>
              </w:rPr>
              <w:t>)</w:t>
            </w:r>
          </w:p>
        </w:tc>
        <w:tc>
          <w:tcPr>
            <w:tcW w:w="1974" w:type="dxa"/>
            <w:vAlign w:val="center"/>
          </w:tcPr>
          <w:p w:rsidR="001D6DA4" w:rsidRPr="002A1069" w:rsidRDefault="00A069C8" w:rsidP="002057D5">
            <w:pPr>
              <w:pStyle w:val="aff1"/>
              <w:wordWrap w:val="0"/>
              <w:ind w:left="360" w:firstLineChars="0" w:firstLine="0"/>
              <w:jc w:val="right"/>
              <w:rPr>
                <w:sz w:val="18"/>
                <w:szCs w:val="18"/>
              </w:rPr>
            </w:pPr>
            <w:r w:rsidRPr="002A1069">
              <w:rPr>
                <w:sz w:val="18"/>
                <w:szCs w:val="18"/>
              </w:rPr>
              <w:t>-    </w:t>
            </w:r>
          </w:p>
        </w:tc>
      </w:tr>
      <w:tr w:rsidR="001D6DA4" w:rsidRPr="002A1069" w:rsidTr="0027505B">
        <w:trPr>
          <w:trHeight w:val="20"/>
        </w:trPr>
        <w:tc>
          <w:tcPr>
            <w:tcW w:w="3704" w:type="dxa"/>
            <w:shd w:val="clear" w:color="auto" w:fill="D9D9D9"/>
            <w:vAlign w:val="center"/>
          </w:tcPr>
          <w:p w:rsidR="001D6DA4" w:rsidRPr="002A1069" w:rsidRDefault="001D6DA4" w:rsidP="001D6DA4">
            <w:pPr>
              <w:ind w:left="657" w:right="-11"/>
              <w:rPr>
                <w:sz w:val="18"/>
                <w:szCs w:val="18"/>
              </w:rPr>
            </w:pPr>
            <w:r w:rsidRPr="002A1069">
              <w:rPr>
                <w:rFonts w:hint="eastAsia"/>
                <w:sz w:val="18"/>
                <w:szCs w:val="18"/>
              </w:rPr>
              <w:t>2</w:t>
            </w:r>
            <w:r w:rsidRPr="002A1069">
              <w:rPr>
                <w:sz w:val="18"/>
                <w:szCs w:val="18"/>
              </w:rPr>
              <w:t>.</w:t>
            </w:r>
            <w:r w:rsidRPr="002A1069">
              <w:rPr>
                <w:rFonts w:hint="eastAsia"/>
                <w:sz w:val="18"/>
                <w:szCs w:val="18"/>
              </w:rPr>
              <w:t>对所有者的分配</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1D6DA4" w:rsidP="001D6DA4">
            <w:pPr>
              <w:ind w:right="-11"/>
              <w:jc w:val="right"/>
              <w:rPr>
                <w:sz w:val="18"/>
                <w:szCs w:val="18"/>
              </w:rPr>
            </w:pPr>
            <w:r w:rsidRPr="002A1069">
              <w:rPr>
                <w:sz w:val="18"/>
                <w:szCs w:val="18"/>
              </w:rPr>
              <w:t>-    </w:t>
            </w:r>
          </w:p>
        </w:tc>
        <w:tc>
          <w:tcPr>
            <w:tcW w:w="1973" w:type="dxa"/>
            <w:vAlign w:val="center"/>
          </w:tcPr>
          <w:p w:rsidR="001D6DA4" w:rsidRPr="002A1069" w:rsidRDefault="005F14EE" w:rsidP="001D6DA4">
            <w:pPr>
              <w:tabs>
                <w:tab w:val="decimal" w:pos="1332"/>
              </w:tabs>
              <w:ind w:right="-11"/>
              <w:jc w:val="right"/>
              <w:rPr>
                <w:sz w:val="18"/>
                <w:szCs w:val="18"/>
              </w:rPr>
            </w:pPr>
            <w:r w:rsidRPr="002A1069">
              <w:rPr>
                <w:sz w:val="18"/>
                <w:szCs w:val="18"/>
              </w:rPr>
              <w:t>(</w:t>
            </w:r>
            <w:r w:rsidR="001D6DA4" w:rsidRPr="002A1069">
              <w:rPr>
                <w:sz w:val="18"/>
                <w:szCs w:val="18"/>
              </w:rPr>
              <w:t>168,750,000.00</w:t>
            </w:r>
            <w:r w:rsidRPr="002A1069">
              <w:rPr>
                <w:sz w:val="18"/>
                <w:szCs w:val="18"/>
              </w:rPr>
              <w:t>)</w:t>
            </w:r>
          </w:p>
        </w:tc>
        <w:tc>
          <w:tcPr>
            <w:tcW w:w="1974" w:type="dxa"/>
            <w:vAlign w:val="center"/>
          </w:tcPr>
          <w:p w:rsidR="001D6DA4" w:rsidRPr="002A1069" w:rsidRDefault="005F14EE" w:rsidP="001D6DA4">
            <w:pPr>
              <w:ind w:right="-11"/>
              <w:jc w:val="right"/>
              <w:rPr>
                <w:sz w:val="18"/>
                <w:szCs w:val="18"/>
              </w:rPr>
            </w:pPr>
            <w:r w:rsidRPr="002A1069">
              <w:rPr>
                <w:sz w:val="18"/>
                <w:szCs w:val="18"/>
              </w:rPr>
              <w:t>(</w:t>
            </w:r>
            <w:r w:rsidR="001D6DA4" w:rsidRPr="002A1069">
              <w:rPr>
                <w:sz w:val="18"/>
                <w:szCs w:val="18"/>
              </w:rPr>
              <w:t>168,750,000.00</w:t>
            </w:r>
            <w:r w:rsidRPr="002A1069">
              <w:rPr>
                <w:sz w:val="18"/>
                <w:szCs w:val="18"/>
              </w:rPr>
              <w:t>)</w:t>
            </w:r>
          </w:p>
        </w:tc>
      </w:tr>
      <w:tr w:rsidR="001D6DA4" w:rsidRPr="002A1069" w:rsidTr="0027505B">
        <w:trPr>
          <w:trHeight w:val="20"/>
        </w:trPr>
        <w:tc>
          <w:tcPr>
            <w:tcW w:w="3704" w:type="dxa"/>
            <w:shd w:val="clear" w:color="auto" w:fill="D9D9D9"/>
            <w:vAlign w:val="center"/>
          </w:tcPr>
          <w:p w:rsidR="001D6DA4" w:rsidRPr="002A1069" w:rsidRDefault="001D6DA4" w:rsidP="001D6DA4">
            <w:pPr>
              <w:ind w:right="-11"/>
              <w:rPr>
                <w:sz w:val="18"/>
                <w:szCs w:val="18"/>
              </w:rPr>
            </w:pPr>
            <w:r w:rsidRPr="002A1069">
              <w:rPr>
                <w:rFonts w:hint="eastAsia"/>
                <w:b/>
                <w:sz w:val="18"/>
                <w:szCs w:val="18"/>
              </w:rPr>
              <w:t>四、本年年末余额</w:t>
            </w:r>
          </w:p>
        </w:tc>
        <w:tc>
          <w:tcPr>
            <w:tcW w:w="1973" w:type="dxa"/>
            <w:vAlign w:val="center"/>
          </w:tcPr>
          <w:p w:rsidR="001D6DA4" w:rsidRPr="002A1069" w:rsidRDefault="001D6DA4" w:rsidP="001D6DA4">
            <w:pPr>
              <w:ind w:right="-11"/>
              <w:jc w:val="right"/>
              <w:rPr>
                <w:b/>
                <w:sz w:val="18"/>
                <w:szCs w:val="18"/>
              </w:rPr>
            </w:pPr>
            <w:r w:rsidRPr="002A1069">
              <w:rPr>
                <w:b/>
                <w:sz w:val="18"/>
                <w:szCs w:val="18"/>
              </w:rPr>
              <w:t>562,500,000.00</w:t>
            </w:r>
          </w:p>
        </w:tc>
        <w:tc>
          <w:tcPr>
            <w:tcW w:w="1973" w:type="dxa"/>
            <w:vAlign w:val="center"/>
          </w:tcPr>
          <w:p w:rsidR="001D6DA4" w:rsidRPr="002A1069" w:rsidRDefault="001D6DA4" w:rsidP="001D6DA4">
            <w:pPr>
              <w:ind w:right="-11"/>
              <w:jc w:val="right"/>
              <w:rPr>
                <w:b/>
                <w:sz w:val="18"/>
                <w:szCs w:val="18"/>
              </w:rPr>
            </w:pPr>
            <w:r w:rsidRPr="002A1069">
              <w:rPr>
                <w:b/>
                <w:sz w:val="18"/>
                <w:szCs w:val="18"/>
              </w:rPr>
              <w:t>3,346,583,123.41</w:t>
            </w:r>
          </w:p>
        </w:tc>
        <w:tc>
          <w:tcPr>
            <w:tcW w:w="1973" w:type="dxa"/>
            <w:vAlign w:val="center"/>
          </w:tcPr>
          <w:p w:rsidR="001D6DA4" w:rsidRPr="002A1069" w:rsidRDefault="005F14EE" w:rsidP="001D6DA4">
            <w:pPr>
              <w:ind w:right="-11"/>
              <w:jc w:val="right"/>
              <w:rPr>
                <w:b/>
                <w:sz w:val="18"/>
                <w:szCs w:val="18"/>
              </w:rPr>
            </w:pPr>
            <w:r w:rsidRPr="002A1069">
              <w:rPr>
                <w:b/>
                <w:sz w:val="18"/>
                <w:szCs w:val="18"/>
              </w:rPr>
              <w:t>(</w:t>
            </w:r>
            <w:r w:rsidR="001D6DA4" w:rsidRPr="002A1069">
              <w:rPr>
                <w:b/>
                <w:sz w:val="18"/>
                <w:szCs w:val="18"/>
              </w:rPr>
              <w:t>3,132,030.97</w:t>
            </w:r>
            <w:r w:rsidRPr="002A1069">
              <w:rPr>
                <w:b/>
                <w:sz w:val="18"/>
                <w:szCs w:val="18"/>
              </w:rPr>
              <w:t>)</w:t>
            </w:r>
          </w:p>
        </w:tc>
        <w:tc>
          <w:tcPr>
            <w:tcW w:w="1973" w:type="dxa"/>
            <w:vAlign w:val="center"/>
          </w:tcPr>
          <w:p w:rsidR="001D6DA4" w:rsidRPr="002A1069" w:rsidRDefault="001D6DA4" w:rsidP="001D6DA4">
            <w:pPr>
              <w:ind w:right="-11"/>
              <w:jc w:val="right"/>
              <w:rPr>
                <w:b/>
                <w:sz w:val="18"/>
                <w:szCs w:val="18"/>
              </w:rPr>
            </w:pPr>
            <w:r w:rsidRPr="002A1069">
              <w:rPr>
                <w:b/>
                <w:sz w:val="18"/>
                <w:szCs w:val="18"/>
              </w:rPr>
              <w:t>101,680,942.69</w:t>
            </w:r>
          </w:p>
        </w:tc>
        <w:tc>
          <w:tcPr>
            <w:tcW w:w="1973" w:type="dxa"/>
            <w:vAlign w:val="center"/>
          </w:tcPr>
          <w:p w:rsidR="001D6DA4" w:rsidRPr="002A1069" w:rsidRDefault="001D6DA4" w:rsidP="001D6DA4">
            <w:pPr>
              <w:tabs>
                <w:tab w:val="decimal" w:pos="1332"/>
              </w:tabs>
              <w:ind w:right="-11"/>
              <w:jc w:val="right"/>
              <w:rPr>
                <w:b/>
                <w:sz w:val="18"/>
                <w:szCs w:val="18"/>
              </w:rPr>
            </w:pPr>
            <w:r w:rsidRPr="002A1069">
              <w:rPr>
                <w:b/>
                <w:sz w:val="18"/>
                <w:szCs w:val="18"/>
              </w:rPr>
              <w:t>1,257,360,321.34</w:t>
            </w:r>
          </w:p>
        </w:tc>
        <w:tc>
          <w:tcPr>
            <w:tcW w:w="1974" w:type="dxa"/>
            <w:vAlign w:val="center"/>
          </w:tcPr>
          <w:p w:rsidR="001D6DA4" w:rsidRPr="002A1069" w:rsidRDefault="001D6DA4" w:rsidP="001D6DA4">
            <w:pPr>
              <w:tabs>
                <w:tab w:val="decimal" w:pos="1333"/>
              </w:tabs>
              <w:ind w:right="-11"/>
              <w:jc w:val="right"/>
              <w:rPr>
                <w:b/>
                <w:sz w:val="18"/>
                <w:szCs w:val="18"/>
              </w:rPr>
            </w:pPr>
            <w:r w:rsidRPr="002A1069">
              <w:rPr>
                <w:b/>
                <w:sz w:val="18"/>
                <w:szCs w:val="18"/>
              </w:rPr>
              <w:t>5,264,992,356.47</w:t>
            </w:r>
          </w:p>
        </w:tc>
      </w:tr>
    </w:tbl>
    <w:p w:rsidR="00B5181D" w:rsidRPr="00A71D2E" w:rsidRDefault="00B5181D" w:rsidP="00F66363">
      <w:pPr>
        <w:rPr>
          <w:rFonts w:eastAsia="宋体" w:cs="Times New Roman"/>
          <w:szCs w:val="21"/>
        </w:rPr>
      </w:pPr>
    </w:p>
    <w:p w:rsidR="00B755FC" w:rsidRPr="00A71D2E" w:rsidRDefault="00FA114E">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00B755FC" w:rsidRPr="00A71D2E">
        <w:rPr>
          <w:rFonts w:eastAsia="宋体" w:cs="Times New Roman" w:hint="eastAsia"/>
          <w:szCs w:val="21"/>
        </w:rPr>
        <w:t>人民币元</w:t>
      </w:r>
    </w:p>
    <w:tbl>
      <w:tblPr>
        <w:tblStyle w:val="aff5"/>
        <w:tblW w:w="15543" w:type="dxa"/>
        <w:tblInd w:w="-23" w:type="dxa"/>
        <w:tblLayout w:type="fixed"/>
        <w:tblLook w:val="04A0" w:firstRow="1" w:lastRow="0" w:firstColumn="1" w:lastColumn="0" w:noHBand="0" w:noVBand="1"/>
      </w:tblPr>
      <w:tblGrid>
        <w:gridCol w:w="3704"/>
        <w:gridCol w:w="1973"/>
        <w:gridCol w:w="1973"/>
        <w:gridCol w:w="1973"/>
        <w:gridCol w:w="1973"/>
        <w:gridCol w:w="1973"/>
        <w:gridCol w:w="1974"/>
      </w:tblGrid>
      <w:tr w:rsidR="00992735" w:rsidRPr="002A1069" w:rsidTr="0027505B">
        <w:trPr>
          <w:trHeight w:val="20"/>
        </w:trPr>
        <w:tc>
          <w:tcPr>
            <w:tcW w:w="3704" w:type="dxa"/>
            <w:vMerge w:val="restart"/>
            <w:shd w:val="clear" w:color="auto" w:fill="D9D9D9"/>
            <w:vAlign w:val="center"/>
          </w:tcPr>
          <w:p w:rsidR="00992735" w:rsidRPr="002A1069" w:rsidRDefault="00992735" w:rsidP="00E456AF">
            <w:pPr>
              <w:ind w:right="-11"/>
              <w:jc w:val="center"/>
              <w:rPr>
                <w:sz w:val="18"/>
                <w:szCs w:val="18"/>
              </w:rPr>
            </w:pPr>
            <w:r w:rsidRPr="002A1069">
              <w:rPr>
                <w:rFonts w:hint="eastAsia"/>
                <w:sz w:val="18"/>
                <w:szCs w:val="18"/>
              </w:rPr>
              <w:t>项目</w:t>
            </w:r>
          </w:p>
        </w:tc>
        <w:tc>
          <w:tcPr>
            <w:tcW w:w="11839" w:type="dxa"/>
            <w:gridSpan w:val="6"/>
            <w:shd w:val="clear" w:color="auto" w:fill="D9D9D9"/>
            <w:vAlign w:val="center"/>
          </w:tcPr>
          <w:p w:rsidR="00992735" w:rsidRPr="002A1069" w:rsidRDefault="00992735" w:rsidP="00E456AF">
            <w:pPr>
              <w:ind w:right="-11"/>
              <w:jc w:val="center"/>
              <w:rPr>
                <w:sz w:val="18"/>
                <w:szCs w:val="18"/>
              </w:rPr>
            </w:pPr>
            <w:r w:rsidRPr="002A1069">
              <w:rPr>
                <w:rFonts w:hint="eastAsia"/>
                <w:sz w:val="18"/>
                <w:szCs w:val="18"/>
              </w:rPr>
              <w:t>上年</w:t>
            </w:r>
            <w:r w:rsidR="005F14EE" w:rsidRPr="002A1069">
              <w:rPr>
                <w:rFonts w:hint="eastAsia"/>
                <w:sz w:val="18"/>
                <w:szCs w:val="18"/>
              </w:rPr>
              <w:t>(</w:t>
            </w:r>
            <w:r w:rsidR="00D967FE" w:rsidRPr="002A1069">
              <w:rPr>
                <w:rFonts w:hint="eastAsia"/>
                <w:sz w:val="18"/>
                <w:szCs w:val="18"/>
              </w:rPr>
              <w:t>已重述</w:t>
            </w:r>
            <w:r w:rsidR="005F14EE" w:rsidRPr="002A1069">
              <w:rPr>
                <w:rFonts w:hint="eastAsia"/>
                <w:sz w:val="18"/>
                <w:szCs w:val="18"/>
              </w:rPr>
              <w:t>)</w:t>
            </w:r>
          </w:p>
        </w:tc>
      </w:tr>
      <w:tr w:rsidR="00992735" w:rsidRPr="002A1069" w:rsidTr="0027505B">
        <w:trPr>
          <w:trHeight w:val="20"/>
        </w:trPr>
        <w:tc>
          <w:tcPr>
            <w:tcW w:w="3704" w:type="dxa"/>
            <w:vMerge/>
            <w:shd w:val="clear" w:color="auto" w:fill="D9D9D9"/>
            <w:vAlign w:val="center"/>
          </w:tcPr>
          <w:p w:rsidR="00992735" w:rsidRPr="002A1069" w:rsidRDefault="00992735" w:rsidP="00E456AF">
            <w:pPr>
              <w:ind w:right="-11"/>
              <w:jc w:val="center"/>
              <w:rPr>
                <w:sz w:val="18"/>
                <w:szCs w:val="18"/>
              </w:rPr>
            </w:pPr>
          </w:p>
        </w:tc>
        <w:tc>
          <w:tcPr>
            <w:tcW w:w="1973" w:type="dxa"/>
            <w:shd w:val="clear" w:color="auto" w:fill="D9D9D9"/>
            <w:vAlign w:val="center"/>
          </w:tcPr>
          <w:p w:rsidR="00992735" w:rsidRPr="002A1069" w:rsidRDefault="00992735" w:rsidP="00E456AF">
            <w:pPr>
              <w:ind w:right="-11"/>
              <w:jc w:val="center"/>
              <w:rPr>
                <w:sz w:val="18"/>
                <w:szCs w:val="18"/>
              </w:rPr>
            </w:pPr>
            <w:r w:rsidRPr="002A1069">
              <w:rPr>
                <w:rFonts w:hint="eastAsia"/>
                <w:sz w:val="18"/>
                <w:szCs w:val="18"/>
              </w:rPr>
              <w:t>股本</w:t>
            </w:r>
          </w:p>
        </w:tc>
        <w:tc>
          <w:tcPr>
            <w:tcW w:w="1973" w:type="dxa"/>
            <w:shd w:val="clear" w:color="auto" w:fill="D9D9D9"/>
            <w:vAlign w:val="center"/>
          </w:tcPr>
          <w:p w:rsidR="00992735" w:rsidRPr="002A1069" w:rsidRDefault="00992735" w:rsidP="00E456AF">
            <w:pPr>
              <w:ind w:right="-11"/>
              <w:jc w:val="center"/>
              <w:rPr>
                <w:sz w:val="18"/>
                <w:szCs w:val="18"/>
              </w:rPr>
            </w:pPr>
            <w:r w:rsidRPr="002A1069">
              <w:rPr>
                <w:rFonts w:hint="eastAsia"/>
                <w:sz w:val="18"/>
                <w:szCs w:val="18"/>
              </w:rPr>
              <w:t>资本公积</w:t>
            </w:r>
          </w:p>
        </w:tc>
        <w:tc>
          <w:tcPr>
            <w:tcW w:w="1973" w:type="dxa"/>
            <w:shd w:val="clear" w:color="auto" w:fill="D9D9D9"/>
            <w:vAlign w:val="center"/>
          </w:tcPr>
          <w:p w:rsidR="00992735" w:rsidRPr="002A1069" w:rsidRDefault="00992735" w:rsidP="00E456AF">
            <w:pPr>
              <w:ind w:right="-11"/>
              <w:jc w:val="center"/>
              <w:rPr>
                <w:sz w:val="18"/>
                <w:szCs w:val="18"/>
              </w:rPr>
            </w:pPr>
            <w:r w:rsidRPr="002A1069">
              <w:rPr>
                <w:rFonts w:hint="eastAsia"/>
                <w:sz w:val="18"/>
                <w:szCs w:val="18"/>
              </w:rPr>
              <w:t>其他综合收益</w:t>
            </w:r>
          </w:p>
        </w:tc>
        <w:tc>
          <w:tcPr>
            <w:tcW w:w="1973" w:type="dxa"/>
            <w:shd w:val="clear" w:color="auto" w:fill="D9D9D9"/>
            <w:vAlign w:val="center"/>
          </w:tcPr>
          <w:p w:rsidR="00992735" w:rsidRPr="002A1069" w:rsidRDefault="00992735" w:rsidP="00E456AF">
            <w:pPr>
              <w:ind w:right="-11"/>
              <w:jc w:val="center"/>
              <w:rPr>
                <w:sz w:val="18"/>
                <w:szCs w:val="18"/>
              </w:rPr>
            </w:pPr>
            <w:r w:rsidRPr="002A1069">
              <w:rPr>
                <w:rFonts w:hint="eastAsia"/>
                <w:sz w:val="18"/>
                <w:szCs w:val="18"/>
              </w:rPr>
              <w:t>盈余公积</w:t>
            </w:r>
          </w:p>
        </w:tc>
        <w:tc>
          <w:tcPr>
            <w:tcW w:w="1973" w:type="dxa"/>
            <w:shd w:val="clear" w:color="auto" w:fill="D9D9D9"/>
            <w:vAlign w:val="center"/>
          </w:tcPr>
          <w:p w:rsidR="00992735" w:rsidRPr="002A1069" w:rsidRDefault="00992735" w:rsidP="00E456AF">
            <w:pPr>
              <w:ind w:right="-11"/>
              <w:jc w:val="center"/>
              <w:rPr>
                <w:sz w:val="18"/>
                <w:szCs w:val="18"/>
              </w:rPr>
            </w:pPr>
            <w:r w:rsidRPr="002A1069">
              <w:rPr>
                <w:rFonts w:hint="eastAsia"/>
                <w:sz w:val="18"/>
                <w:szCs w:val="18"/>
              </w:rPr>
              <w:t>未分配利润</w:t>
            </w:r>
          </w:p>
        </w:tc>
        <w:tc>
          <w:tcPr>
            <w:tcW w:w="1974" w:type="dxa"/>
            <w:shd w:val="clear" w:color="auto" w:fill="D9D9D9"/>
            <w:vAlign w:val="center"/>
          </w:tcPr>
          <w:p w:rsidR="00992735" w:rsidRPr="002A1069" w:rsidRDefault="00992735" w:rsidP="00E456AF">
            <w:pPr>
              <w:ind w:right="-11"/>
              <w:jc w:val="center"/>
              <w:rPr>
                <w:sz w:val="18"/>
                <w:szCs w:val="18"/>
              </w:rPr>
            </w:pPr>
            <w:r w:rsidRPr="002A1069">
              <w:rPr>
                <w:rFonts w:hint="eastAsia"/>
                <w:sz w:val="18"/>
                <w:szCs w:val="18"/>
              </w:rPr>
              <w:t>股东权益合计</w:t>
            </w:r>
          </w:p>
        </w:tc>
      </w:tr>
      <w:tr w:rsidR="00992735" w:rsidRPr="002A1069" w:rsidTr="0027505B">
        <w:trPr>
          <w:trHeight w:val="20"/>
        </w:trPr>
        <w:tc>
          <w:tcPr>
            <w:tcW w:w="3704" w:type="dxa"/>
            <w:shd w:val="clear" w:color="auto" w:fill="D9D9D9"/>
            <w:vAlign w:val="center"/>
          </w:tcPr>
          <w:p w:rsidR="00992735" w:rsidRPr="002A1069" w:rsidRDefault="00D967FE" w:rsidP="00E456AF">
            <w:pPr>
              <w:ind w:right="-11"/>
              <w:rPr>
                <w:sz w:val="18"/>
                <w:szCs w:val="18"/>
              </w:rPr>
            </w:pPr>
            <w:r w:rsidRPr="002A1069">
              <w:rPr>
                <w:rFonts w:hint="eastAsia"/>
                <w:sz w:val="18"/>
                <w:szCs w:val="18"/>
              </w:rPr>
              <w:t>一、上年年末余额</w:t>
            </w:r>
          </w:p>
        </w:tc>
        <w:tc>
          <w:tcPr>
            <w:tcW w:w="1973" w:type="dxa"/>
            <w:vAlign w:val="center"/>
          </w:tcPr>
          <w:p w:rsidR="00992735" w:rsidRPr="002A1069" w:rsidRDefault="00992735" w:rsidP="00E456AF">
            <w:pPr>
              <w:ind w:right="-11"/>
              <w:jc w:val="right"/>
              <w:rPr>
                <w:bCs/>
                <w:sz w:val="18"/>
                <w:szCs w:val="18"/>
              </w:rPr>
            </w:pPr>
            <w:r w:rsidRPr="002A1069">
              <w:rPr>
                <w:bCs/>
                <w:sz w:val="18"/>
                <w:szCs w:val="18"/>
              </w:rPr>
              <w:t>450,000,000.00</w:t>
            </w:r>
          </w:p>
        </w:tc>
        <w:tc>
          <w:tcPr>
            <w:tcW w:w="1973" w:type="dxa"/>
            <w:vAlign w:val="center"/>
          </w:tcPr>
          <w:p w:rsidR="00992735" w:rsidRPr="002A1069" w:rsidRDefault="00992735" w:rsidP="00E456AF">
            <w:pPr>
              <w:ind w:right="-11"/>
              <w:jc w:val="right"/>
              <w:rPr>
                <w:bCs/>
                <w:sz w:val="18"/>
                <w:szCs w:val="18"/>
              </w:rPr>
            </w:pPr>
            <w:r w:rsidRPr="002A1069">
              <w:rPr>
                <w:bCs/>
                <w:sz w:val="18"/>
                <w:szCs w:val="18"/>
              </w:rPr>
              <w:t>325,121,006.31</w:t>
            </w:r>
          </w:p>
        </w:tc>
        <w:tc>
          <w:tcPr>
            <w:tcW w:w="1973" w:type="dxa"/>
            <w:vAlign w:val="center"/>
          </w:tcPr>
          <w:p w:rsidR="00992735" w:rsidRPr="002A1069" w:rsidRDefault="00992735" w:rsidP="00E456AF">
            <w:pPr>
              <w:ind w:right="-11"/>
              <w:jc w:val="right"/>
              <w:rPr>
                <w:bCs/>
                <w:sz w:val="18"/>
                <w:szCs w:val="18"/>
              </w:rPr>
            </w:pPr>
            <w:r w:rsidRPr="002A1069">
              <w:rPr>
                <w:bCs/>
                <w:sz w:val="18"/>
                <w:szCs w:val="18"/>
              </w:rPr>
              <w:t>4,081,798.27</w:t>
            </w:r>
          </w:p>
        </w:tc>
        <w:tc>
          <w:tcPr>
            <w:tcW w:w="1973" w:type="dxa"/>
            <w:vAlign w:val="center"/>
          </w:tcPr>
          <w:p w:rsidR="00992735" w:rsidRPr="002A1069" w:rsidRDefault="00992735" w:rsidP="00E456AF">
            <w:pPr>
              <w:ind w:right="-11"/>
              <w:jc w:val="right"/>
              <w:rPr>
                <w:bCs/>
                <w:sz w:val="18"/>
                <w:szCs w:val="18"/>
              </w:rPr>
            </w:pPr>
            <w:r w:rsidRPr="002A1069">
              <w:rPr>
                <w:bCs/>
                <w:sz w:val="18"/>
                <w:szCs w:val="18"/>
              </w:rPr>
              <w:t>20,385,501.31</w:t>
            </w:r>
          </w:p>
        </w:tc>
        <w:tc>
          <w:tcPr>
            <w:tcW w:w="1973" w:type="dxa"/>
            <w:vAlign w:val="center"/>
          </w:tcPr>
          <w:p w:rsidR="00992735" w:rsidRPr="002A1069" w:rsidRDefault="00992735" w:rsidP="00E456AF">
            <w:pPr>
              <w:tabs>
                <w:tab w:val="decimal" w:pos="1332"/>
              </w:tabs>
              <w:ind w:right="-11"/>
              <w:jc w:val="right"/>
              <w:rPr>
                <w:bCs/>
                <w:sz w:val="18"/>
                <w:szCs w:val="18"/>
              </w:rPr>
            </w:pPr>
            <w:r w:rsidRPr="002A1069">
              <w:rPr>
                <w:bCs/>
                <w:sz w:val="18"/>
                <w:szCs w:val="18"/>
              </w:rPr>
              <w:t>609,566,123.55</w:t>
            </w:r>
          </w:p>
        </w:tc>
        <w:tc>
          <w:tcPr>
            <w:tcW w:w="1974" w:type="dxa"/>
            <w:vAlign w:val="center"/>
          </w:tcPr>
          <w:p w:rsidR="00992735" w:rsidRPr="002A1069" w:rsidRDefault="00992735" w:rsidP="00E456AF">
            <w:pPr>
              <w:tabs>
                <w:tab w:val="decimal" w:pos="1333"/>
              </w:tabs>
              <w:ind w:right="-11"/>
              <w:jc w:val="right"/>
              <w:rPr>
                <w:bCs/>
                <w:sz w:val="18"/>
                <w:szCs w:val="18"/>
              </w:rPr>
            </w:pPr>
            <w:r w:rsidRPr="002A1069">
              <w:rPr>
                <w:bCs/>
                <w:sz w:val="18"/>
                <w:szCs w:val="18"/>
              </w:rPr>
              <w:t>1,409,154,429.44</w:t>
            </w:r>
          </w:p>
        </w:tc>
      </w:tr>
      <w:tr w:rsidR="00D967FE" w:rsidRPr="002A1069" w:rsidTr="0027505B">
        <w:trPr>
          <w:trHeight w:val="20"/>
        </w:trPr>
        <w:tc>
          <w:tcPr>
            <w:tcW w:w="3704" w:type="dxa"/>
            <w:shd w:val="clear" w:color="auto" w:fill="D9D9D9"/>
            <w:vAlign w:val="center"/>
          </w:tcPr>
          <w:p w:rsidR="00D967FE" w:rsidRPr="002A1069" w:rsidRDefault="00D967FE" w:rsidP="00D967FE">
            <w:pPr>
              <w:ind w:right="-11" w:firstLineChars="200" w:firstLine="360"/>
              <w:rPr>
                <w:sz w:val="18"/>
                <w:szCs w:val="18"/>
              </w:rPr>
            </w:pPr>
            <w:r w:rsidRPr="002A1069">
              <w:rPr>
                <w:rFonts w:hint="eastAsia"/>
                <w:sz w:val="18"/>
                <w:szCs w:val="18"/>
              </w:rPr>
              <w:t>加</w:t>
            </w:r>
            <w:r w:rsidR="005F14EE" w:rsidRPr="002A1069">
              <w:rPr>
                <w:rFonts w:hint="eastAsia"/>
                <w:sz w:val="18"/>
                <w:szCs w:val="18"/>
              </w:rPr>
              <w:t>：</w:t>
            </w:r>
            <w:r w:rsidRPr="002A1069">
              <w:rPr>
                <w:rFonts w:hint="eastAsia"/>
                <w:sz w:val="18"/>
                <w:szCs w:val="18"/>
              </w:rPr>
              <w:t>会计政策变更</w:t>
            </w:r>
            <w:r w:rsidR="005F14EE" w:rsidRPr="002A1069">
              <w:rPr>
                <w:sz w:val="18"/>
                <w:szCs w:val="18"/>
              </w:rPr>
              <w:t>(</w:t>
            </w:r>
            <w:r w:rsidRPr="002A1069">
              <w:rPr>
                <w:rFonts w:hint="eastAsia"/>
                <w:sz w:val="18"/>
                <w:szCs w:val="18"/>
              </w:rPr>
              <w:t>详见附注</w:t>
            </w:r>
            <w:r w:rsidR="005F14EE" w:rsidRPr="002A1069">
              <w:rPr>
                <w:sz w:val="18"/>
                <w:szCs w:val="18"/>
              </w:rPr>
              <w:t>(</w:t>
            </w:r>
            <w:r w:rsidRPr="002A1069">
              <w:rPr>
                <w:rFonts w:hint="eastAsia"/>
                <w:sz w:val="18"/>
                <w:szCs w:val="18"/>
              </w:rPr>
              <w:t>三</w:t>
            </w:r>
            <w:r w:rsidR="005F14EE" w:rsidRPr="002A1069">
              <w:rPr>
                <w:sz w:val="18"/>
                <w:szCs w:val="18"/>
              </w:rPr>
              <w:t>)</w:t>
            </w:r>
            <w:r w:rsidRPr="002A1069">
              <w:rPr>
                <w:rFonts w:hint="eastAsia"/>
                <w:sz w:val="18"/>
                <w:szCs w:val="18"/>
              </w:rPr>
              <w:t>、</w:t>
            </w:r>
            <w:r w:rsidRPr="002A1069">
              <w:rPr>
                <w:rFonts w:hint="eastAsia"/>
                <w:sz w:val="18"/>
                <w:szCs w:val="18"/>
              </w:rPr>
              <w:t>3</w:t>
            </w:r>
            <w:r w:rsidR="0036095E" w:rsidRPr="002A1069">
              <w:rPr>
                <w:sz w:val="18"/>
                <w:szCs w:val="18"/>
              </w:rPr>
              <w:t>3</w:t>
            </w:r>
            <w:r w:rsidR="005F14EE" w:rsidRPr="002A1069">
              <w:rPr>
                <w:sz w:val="18"/>
                <w:szCs w:val="18"/>
              </w:rPr>
              <w:t>)</w:t>
            </w:r>
          </w:p>
        </w:tc>
        <w:tc>
          <w:tcPr>
            <w:tcW w:w="1973" w:type="dxa"/>
            <w:vAlign w:val="center"/>
          </w:tcPr>
          <w:p w:rsidR="00D967FE" w:rsidRPr="002A1069" w:rsidRDefault="007F337E" w:rsidP="002057D5">
            <w:pPr>
              <w:pStyle w:val="aff1"/>
              <w:wordWrap w:val="0"/>
              <w:ind w:left="360" w:right="27" w:firstLineChars="0" w:firstLine="0"/>
              <w:jc w:val="right"/>
              <w:rPr>
                <w:bCs/>
                <w:sz w:val="18"/>
                <w:szCs w:val="18"/>
              </w:rPr>
            </w:pPr>
            <w:r w:rsidRPr="002A1069">
              <w:rPr>
                <w:sz w:val="18"/>
                <w:szCs w:val="18"/>
              </w:rPr>
              <w:t>-    </w:t>
            </w:r>
          </w:p>
        </w:tc>
        <w:tc>
          <w:tcPr>
            <w:tcW w:w="1973" w:type="dxa"/>
            <w:vAlign w:val="center"/>
          </w:tcPr>
          <w:p w:rsidR="00D967FE" w:rsidRPr="002A1069" w:rsidRDefault="007F337E" w:rsidP="002057D5">
            <w:pPr>
              <w:pStyle w:val="aff1"/>
              <w:wordWrap w:val="0"/>
              <w:ind w:left="360" w:firstLineChars="0" w:firstLine="0"/>
              <w:jc w:val="right"/>
              <w:rPr>
                <w:bCs/>
                <w:sz w:val="18"/>
                <w:szCs w:val="18"/>
              </w:rPr>
            </w:pPr>
            <w:r w:rsidRPr="002A1069">
              <w:rPr>
                <w:sz w:val="18"/>
                <w:szCs w:val="18"/>
              </w:rPr>
              <w:t>-    </w:t>
            </w:r>
          </w:p>
        </w:tc>
        <w:tc>
          <w:tcPr>
            <w:tcW w:w="1973" w:type="dxa"/>
            <w:vAlign w:val="center"/>
          </w:tcPr>
          <w:p w:rsidR="00D967FE" w:rsidRPr="002A1069" w:rsidRDefault="007F337E" w:rsidP="002057D5">
            <w:pPr>
              <w:pStyle w:val="aff1"/>
              <w:wordWrap w:val="0"/>
              <w:ind w:left="360" w:firstLineChars="0" w:firstLine="0"/>
              <w:jc w:val="right"/>
              <w:rPr>
                <w:bCs/>
                <w:sz w:val="18"/>
                <w:szCs w:val="18"/>
              </w:rPr>
            </w:pPr>
            <w:r w:rsidRPr="002A1069">
              <w:rPr>
                <w:sz w:val="18"/>
                <w:szCs w:val="18"/>
              </w:rPr>
              <w:t>-    </w:t>
            </w:r>
          </w:p>
        </w:tc>
        <w:tc>
          <w:tcPr>
            <w:tcW w:w="1973" w:type="dxa"/>
            <w:vAlign w:val="center"/>
          </w:tcPr>
          <w:p w:rsidR="00D967FE" w:rsidRPr="002A1069" w:rsidRDefault="001D5118" w:rsidP="002057D5">
            <w:pPr>
              <w:pStyle w:val="aff1"/>
              <w:wordWrap w:val="0"/>
              <w:ind w:left="360" w:right="-10" w:firstLineChars="0" w:firstLine="0"/>
              <w:jc w:val="right"/>
              <w:rPr>
                <w:bCs/>
                <w:sz w:val="18"/>
                <w:szCs w:val="18"/>
              </w:rPr>
            </w:pPr>
            <w:r w:rsidRPr="002A1069">
              <w:rPr>
                <w:sz w:val="18"/>
                <w:szCs w:val="18"/>
              </w:rPr>
              <w:t>127,242.92</w:t>
            </w:r>
          </w:p>
        </w:tc>
        <w:tc>
          <w:tcPr>
            <w:tcW w:w="1973" w:type="dxa"/>
            <w:vAlign w:val="center"/>
          </w:tcPr>
          <w:p w:rsidR="00D967FE" w:rsidRPr="002A1069" w:rsidRDefault="001D5118" w:rsidP="00E456AF">
            <w:pPr>
              <w:tabs>
                <w:tab w:val="decimal" w:pos="1332"/>
              </w:tabs>
              <w:ind w:right="-11"/>
              <w:jc w:val="right"/>
              <w:rPr>
                <w:bCs/>
                <w:sz w:val="18"/>
                <w:szCs w:val="18"/>
              </w:rPr>
            </w:pPr>
            <w:r w:rsidRPr="002A1069">
              <w:rPr>
                <w:bCs/>
                <w:sz w:val="18"/>
                <w:szCs w:val="18"/>
              </w:rPr>
              <w:t>1,282,418.73</w:t>
            </w:r>
          </w:p>
        </w:tc>
        <w:tc>
          <w:tcPr>
            <w:tcW w:w="1974" w:type="dxa"/>
            <w:vAlign w:val="center"/>
          </w:tcPr>
          <w:p w:rsidR="00D967FE" w:rsidRPr="002A1069" w:rsidRDefault="00A14570" w:rsidP="00E456AF">
            <w:pPr>
              <w:tabs>
                <w:tab w:val="decimal" w:pos="1333"/>
              </w:tabs>
              <w:ind w:right="-11"/>
              <w:jc w:val="right"/>
              <w:rPr>
                <w:bCs/>
                <w:sz w:val="18"/>
                <w:szCs w:val="18"/>
              </w:rPr>
            </w:pPr>
            <w:r w:rsidRPr="002A1069">
              <w:rPr>
                <w:bCs/>
                <w:sz w:val="18"/>
                <w:szCs w:val="18"/>
              </w:rPr>
              <w:t>1,409,661.65</w:t>
            </w:r>
          </w:p>
        </w:tc>
      </w:tr>
      <w:tr w:rsidR="00D967FE" w:rsidRPr="002A1069" w:rsidTr="0027505B">
        <w:trPr>
          <w:trHeight w:val="20"/>
        </w:trPr>
        <w:tc>
          <w:tcPr>
            <w:tcW w:w="3704" w:type="dxa"/>
            <w:shd w:val="clear" w:color="auto" w:fill="D9D9D9"/>
            <w:vAlign w:val="center"/>
          </w:tcPr>
          <w:p w:rsidR="00D967FE" w:rsidRPr="002A1069" w:rsidRDefault="00D967FE" w:rsidP="00D967FE">
            <w:pPr>
              <w:ind w:right="-11"/>
              <w:rPr>
                <w:sz w:val="18"/>
                <w:szCs w:val="18"/>
              </w:rPr>
            </w:pPr>
            <w:r w:rsidRPr="002A1069">
              <w:rPr>
                <w:rFonts w:hint="eastAsia"/>
                <w:sz w:val="18"/>
                <w:szCs w:val="18"/>
              </w:rPr>
              <w:t>二、本年年初余额</w:t>
            </w:r>
          </w:p>
        </w:tc>
        <w:tc>
          <w:tcPr>
            <w:tcW w:w="1973" w:type="dxa"/>
            <w:vAlign w:val="center"/>
          </w:tcPr>
          <w:p w:rsidR="00D967FE" w:rsidRPr="002A1069" w:rsidRDefault="00A14570" w:rsidP="00E456AF">
            <w:pPr>
              <w:ind w:right="-11"/>
              <w:jc w:val="right"/>
              <w:rPr>
                <w:bCs/>
                <w:sz w:val="18"/>
                <w:szCs w:val="18"/>
              </w:rPr>
            </w:pPr>
            <w:r w:rsidRPr="002A1069">
              <w:rPr>
                <w:bCs/>
                <w:sz w:val="18"/>
                <w:szCs w:val="18"/>
              </w:rPr>
              <w:t>450,000,000.00</w:t>
            </w:r>
          </w:p>
        </w:tc>
        <w:tc>
          <w:tcPr>
            <w:tcW w:w="1973" w:type="dxa"/>
            <w:vAlign w:val="center"/>
          </w:tcPr>
          <w:p w:rsidR="00D967FE" w:rsidRPr="002A1069" w:rsidRDefault="00A14570" w:rsidP="00E456AF">
            <w:pPr>
              <w:ind w:right="-11"/>
              <w:jc w:val="right"/>
              <w:rPr>
                <w:bCs/>
                <w:sz w:val="18"/>
                <w:szCs w:val="18"/>
              </w:rPr>
            </w:pPr>
            <w:r w:rsidRPr="002A1069">
              <w:rPr>
                <w:bCs/>
                <w:sz w:val="18"/>
                <w:szCs w:val="18"/>
              </w:rPr>
              <w:t>325,121,006.31</w:t>
            </w:r>
          </w:p>
        </w:tc>
        <w:tc>
          <w:tcPr>
            <w:tcW w:w="1973" w:type="dxa"/>
            <w:vAlign w:val="center"/>
          </w:tcPr>
          <w:p w:rsidR="00D967FE" w:rsidRPr="002A1069" w:rsidRDefault="00A14570" w:rsidP="00E456AF">
            <w:pPr>
              <w:ind w:right="-11"/>
              <w:jc w:val="right"/>
              <w:rPr>
                <w:bCs/>
                <w:sz w:val="18"/>
                <w:szCs w:val="18"/>
              </w:rPr>
            </w:pPr>
            <w:r w:rsidRPr="002A1069">
              <w:rPr>
                <w:bCs/>
                <w:sz w:val="18"/>
                <w:szCs w:val="18"/>
              </w:rPr>
              <w:t>4,081,798.27</w:t>
            </w:r>
          </w:p>
        </w:tc>
        <w:tc>
          <w:tcPr>
            <w:tcW w:w="1973" w:type="dxa"/>
            <w:vAlign w:val="center"/>
          </w:tcPr>
          <w:p w:rsidR="00D967FE" w:rsidRPr="002A1069" w:rsidRDefault="001D5118" w:rsidP="00E456AF">
            <w:pPr>
              <w:ind w:right="-11"/>
              <w:jc w:val="right"/>
              <w:rPr>
                <w:bCs/>
                <w:sz w:val="18"/>
                <w:szCs w:val="18"/>
              </w:rPr>
            </w:pPr>
            <w:r w:rsidRPr="002A1069">
              <w:rPr>
                <w:bCs/>
                <w:sz w:val="18"/>
                <w:szCs w:val="18"/>
              </w:rPr>
              <w:t>20,512,744.23</w:t>
            </w:r>
          </w:p>
        </w:tc>
        <w:tc>
          <w:tcPr>
            <w:tcW w:w="1973" w:type="dxa"/>
            <w:vAlign w:val="center"/>
          </w:tcPr>
          <w:p w:rsidR="00D967FE" w:rsidRPr="002A1069" w:rsidRDefault="001D5118" w:rsidP="00E456AF">
            <w:pPr>
              <w:tabs>
                <w:tab w:val="decimal" w:pos="1332"/>
              </w:tabs>
              <w:ind w:right="-11"/>
              <w:jc w:val="right"/>
              <w:rPr>
                <w:bCs/>
                <w:sz w:val="18"/>
                <w:szCs w:val="18"/>
              </w:rPr>
            </w:pPr>
            <w:r w:rsidRPr="002A1069">
              <w:rPr>
                <w:bCs/>
                <w:sz w:val="18"/>
                <w:szCs w:val="18"/>
              </w:rPr>
              <w:t>610,848,542.28</w:t>
            </w:r>
          </w:p>
        </w:tc>
        <w:tc>
          <w:tcPr>
            <w:tcW w:w="1974" w:type="dxa"/>
            <w:vAlign w:val="center"/>
          </w:tcPr>
          <w:p w:rsidR="00D967FE" w:rsidRPr="002A1069" w:rsidRDefault="00A14570" w:rsidP="00E456AF">
            <w:pPr>
              <w:tabs>
                <w:tab w:val="decimal" w:pos="1333"/>
              </w:tabs>
              <w:ind w:right="-11"/>
              <w:jc w:val="right"/>
              <w:rPr>
                <w:bCs/>
                <w:sz w:val="18"/>
                <w:szCs w:val="18"/>
              </w:rPr>
            </w:pPr>
            <w:r w:rsidRPr="002A1069">
              <w:rPr>
                <w:bCs/>
                <w:sz w:val="18"/>
                <w:szCs w:val="18"/>
              </w:rPr>
              <w:t>1,410,564,091.09</w:t>
            </w:r>
          </w:p>
        </w:tc>
      </w:tr>
      <w:tr w:rsidR="00992735" w:rsidRPr="002A1069" w:rsidTr="0027505B">
        <w:trPr>
          <w:trHeight w:val="20"/>
        </w:trPr>
        <w:tc>
          <w:tcPr>
            <w:tcW w:w="3704" w:type="dxa"/>
            <w:shd w:val="clear" w:color="auto" w:fill="D9D9D9"/>
            <w:vAlign w:val="center"/>
          </w:tcPr>
          <w:p w:rsidR="00992735" w:rsidRPr="002A1069" w:rsidRDefault="00D967FE" w:rsidP="00E456AF">
            <w:pPr>
              <w:ind w:right="-11"/>
              <w:rPr>
                <w:sz w:val="18"/>
                <w:szCs w:val="18"/>
              </w:rPr>
            </w:pPr>
            <w:r w:rsidRPr="002A1069">
              <w:rPr>
                <w:rFonts w:hint="eastAsia"/>
                <w:sz w:val="18"/>
                <w:szCs w:val="18"/>
              </w:rPr>
              <w:t>三</w:t>
            </w:r>
            <w:r w:rsidR="00992735" w:rsidRPr="002A1069">
              <w:rPr>
                <w:rFonts w:hint="eastAsia"/>
                <w:sz w:val="18"/>
                <w:szCs w:val="18"/>
              </w:rPr>
              <w:t>、本年增减变动金额</w:t>
            </w:r>
          </w:p>
        </w:tc>
        <w:tc>
          <w:tcPr>
            <w:tcW w:w="1973" w:type="dxa"/>
            <w:vAlign w:val="center"/>
          </w:tcPr>
          <w:p w:rsidR="00992735" w:rsidRPr="002A1069" w:rsidRDefault="00992735" w:rsidP="00E456AF">
            <w:pPr>
              <w:ind w:right="-11"/>
              <w:jc w:val="right"/>
              <w:rPr>
                <w:sz w:val="18"/>
                <w:szCs w:val="18"/>
              </w:rPr>
            </w:pPr>
            <w:r w:rsidRPr="002A1069">
              <w:rPr>
                <w:sz w:val="18"/>
                <w:szCs w:val="18"/>
              </w:rPr>
              <w:t>112,500,000.00</w:t>
            </w:r>
          </w:p>
        </w:tc>
        <w:tc>
          <w:tcPr>
            <w:tcW w:w="1973" w:type="dxa"/>
            <w:vAlign w:val="center"/>
          </w:tcPr>
          <w:p w:rsidR="00992735" w:rsidRPr="002A1069" w:rsidRDefault="00992735" w:rsidP="00E456AF">
            <w:pPr>
              <w:ind w:right="-11"/>
              <w:jc w:val="right"/>
              <w:rPr>
                <w:sz w:val="18"/>
                <w:szCs w:val="18"/>
              </w:rPr>
            </w:pPr>
            <w:r w:rsidRPr="002A1069">
              <w:rPr>
                <w:sz w:val="18"/>
                <w:szCs w:val="18"/>
              </w:rPr>
              <w:t>3,011,124,235.81</w:t>
            </w:r>
          </w:p>
        </w:tc>
        <w:tc>
          <w:tcPr>
            <w:tcW w:w="1973" w:type="dxa"/>
            <w:vAlign w:val="center"/>
          </w:tcPr>
          <w:p w:rsidR="00992735" w:rsidRPr="002A1069" w:rsidRDefault="005F14EE" w:rsidP="00E456AF">
            <w:pPr>
              <w:ind w:right="-11"/>
              <w:jc w:val="right"/>
              <w:rPr>
                <w:sz w:val="18"/>
                <w:szCs w:val="18"/>
              </w:rPr>
            </w:pPr>
            <w:r w:rsidRPr="002A1069">
              <w:rPr>
                <w:sz w:val="18"/>
                <w:szCs w:val="18"/>
              </w:rPr>
              <w:t>(</w:t>
            </w:r>
            <w:r w:rsidR="00992735" w:rsidRPr="002A1069">
              <w:rPr>
                <w:sz w:val="18"/>
                <w:szCs w:val="18"/>
              </w:rPr>
              <w:t>6,676,888.20</w:t>
            </w:r>
            <w:r w:rsidRPr="002A1069">
              <w:rPr>
                <w:sz w:val="18"/>
                <w:szCs w:val="18"/>
              </w:rPr>
              <w:t>)</w:t>
            </w:r>
          </w:p>
        </w:tc>
        <w:tc>
          <w:tcPr>
            <w:tcW w:w="1973" w:type="dxa"/>
            <w:vAlign w:val="center"/>
          </w:tcPr>
          <w:p w:rsidR="00992735" w:rsidRPr="002A1069" w:rsidRDefault="001D5118" w:rsidP="00E456AF">
            <w:pPr>
              <w:ind w:right="-11"/>
              <w:jc w:val="right"/>
              <w:rPr>
                <w:sz w:val="18"/>
                <w:szCs w:val="18"/>
              </w:rPr>
            </w:pPr>
            <w:r w:rsidRPr="002A1069">
              <w:rPr>
                <w:sz w:val="18"/>
                <w:szCs w:val="18"/>
              </w:rPr>
              <w:t>20,608,333.60</w:t>
            </w:r>
          </w:p>
        </w:tc>
        <w:tc>
          <w:tcPr>
            <w:tcW w:w="1973" w:type="dxa"/>
            <w:vAlign w:val="center"/>
          </w:tcPr>
          <w:p w:rsidR="00992735" w:rsidRPr="002A1069" w:rsidRDefault="001D5118" w:rsidP="00E456AF">
            <w:pPr>
              <w:tabs>
                <w:tab w:val="decimal" w:pos="1332"/>
              </w:tabs>
              <w:ind w:right="-11"/>
              <w:jc w:val="right"/>
              <w:rPr>
                <w:sz w:val="18"/>
                <w:szCs w:val="18"/>
              </w:rPr>
            </w:pPr>
            <w:r w:rsidRPr="002A1069">
              <w:rPr>
                <w:sz w:val="18"/>
                <w:szCs w:val="18"/>
              </w:rPr>
              <w:t>312,880,880.82</w:t>
            </w:r>
          </w:p>
        </w:tc>
        <w:tc>
          <w:tcPr>
            <w:tcW w:w="1974" w:type="dxa"/>
            <w:vAlign w:val="center"/>
          </w:tcPr>
          <w:p w:rsidR="00992735" w:rsidRPr="002A1069" w:rsidRDefault="00A14570" w:rsidP="00E456AF">
            <w:pPr>
              <w:tabs>
                <w:tab w:val="decimal" w:pos="1333"/>
              </w:tabs>
              <w:ind w:right="-11"/>
              <w:jc w:val="right"/>
              <w:rPr>
                <w:sz w:val="18"/>
                <w:szCs w:val="18"/>
              </w:rPr>
            </w:pPr>
            <w:r w:rsidRPr="002A1069">
              <w:rPr>
                <w:sz w:val="18"/>
                <w:szCs w:val="18"/>
              </w:rPr>
              <w:t>3,450,436,562.03</w:t>
            </w:r>
          </w:p>
        </w:tc>
      </w:tr>
      <w:tr w:rsidR="00992735" w:rsidRPr="002A1069" w:rsidTr="0027505B">
        <w:trPr>
          <w:trHeight w:val="20"/>
        </w:trPr>
        <w:tc>
          <w:tcPr>
            <w:tcW w:w="3704" w:type="dxa"/>
            <w:shd w:val="clear" w:color="auto" w:fill="D9D9D9"/>
            <w:vAlign w:val="center"/>
          </w:tcPr>
          <w:p w:rsidR="00992735" w:rsidRPr="002A1069" w:rsidRDefault="005F14EE" w:rsidP="00E456AF">
            <w:pPr>
              <w:ind w:left="360" w:right="-11"/>
              <w:rPr>
                <w:sz w:val="18"/>
                <w:szCs w:val="18"/>
              </w:rPr>
            </w:pPr>
            <w:r w:rsidRPr="002A1069">
              <w:rPr>
                <w:sz w:val="18"/>
                <w:szCs w:val="18"/>
              </w:rPr>
              <w:t>(</w:t>
            </w:r>
            <w:proofErr w:type="gramStart"/>
            <w:r w:rsidR="00992735" w:rsidRPr="002A1069">
              <w:rPr>
                <w:rFonts w:hint="eastAsia"/>
                <w:sz w:val="18"/>
                <w:szCs w:val="18"/>
              </w:rPr>
              <w:t>一</w:t>
            </w:r>
            <w:proofErr w:type="gramEnd"/>
            <w:r w:rsidRPr="002A1069">
              <w:rPr>
                <w:sz w:val="18"/>
                <w:szCs w:val="18"/>
              </w:rPr>
              <w:t>)</w:t>
            </w:r>
            <w:r w:rsidR="00992735" w:rsidRPr="002A1069">
              <w:rPr>
                <w:rFonts w:hint="eastAsia"/>
                <w:sz w:val="18"/>
                <w:szCs w:val="18"/>
              </w:rPr>
              <w:t>综合收益总额</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5F14EE" w:rsidP="00E456AF">
            <w:pPr>
              <w:ind w:right="-11"/>
              <w:jc w:val="right"/>
              <w:rPr>
                <w:sz w:val="18"/>
                <w:szCs w:val="18"/>
              </w:rPr>
            </w:pPr>
            <w:r w:rsidRPr="002A1069">
              <w:rPr>
                <w:sz w:val="18"/>
                <w:szCs w:val="18"/>
              </w:rPr>
              <w:t>(</w:t>
            </w:r>
            <w:r w:rsidR="00992735" w:rsidRPr="002A1069">
              <w:rPr>
                <w:sz w:val="18"/>
                <w:szCs w:val="18"/>
              </w:rPr>
              <w:t>6,676,888.20</w:t>
            </w:r>
            <w:r w:rsidRPr="002A1069">
              <w:rPr>
                <w:sz w:val="18"/>
                <w:szCs w:val="18"/>
              </w:rPr>
              <w:t>)</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shd w:val="clear" w:color="auto" w:fill="auto"/>
            <w:vAlign w:val="center"/>
          </w:tcPr>
          <w:p w:rsidR="00992735" w:rsidRPr="002A1069" w:rsidRDefault="00A14570" w:rsidP="00E456AF">
            <w:pPr>
              <w:ind w:right="-11"/>
              <w:jc w:val="right"/>
              <w:rPr>
                <w:sz w:val="18"/>
                <w:szCs w:val="18"/>
              </w:rPr>
            </w:pPr>
            <w:r w:rsidRPr="002A1069">
              <w:rPr>
                <w:sz w:val="18"/>
                <w:szCs w:val="18"/>
              </w:rPr>
              <w:t>333,489,214.42</w:t>
            </w:r>
          </w:p>
        </w:tc>
        <w:tc>
          <w:tcPr>
            <w:tcW w:w="1974" w:type="dxa"/>
            <w:shd w:val="clear" w:color="auto" w:fill="auto"/>
            <w:vAlign w:val="center"/>
          </w:tcPr>
          <w:p w:rsidR="00992735" w:rsidRPr="002A1069" w:rsidRDefault="00A14570" w:rsidP="00E456AF">
            <w:pPr>
              <w:ind w:right="-11"/>
              <w:jc w:val="right"/>
              <w:rPr>
                <w:sz w:val="18"/>
                <w:szCs w:val="18"/>
              </w:rPr>
            </w:pPr>
            <w:r w:rsidRPr="002A1069">
              <w:rPr>
                <w:sz w:val="18"/>
                <w:szCs w:val="18"/>
              </w:rPr>
              <w:t>326,812,326.22</w:t>
            </w:r>
          </w:p>
        </w:tc>
      </w:tr>
      <w:tr w:rsidR="00992735" w:rsidRPr="002A1069" w:rsidTr="0027505B">
        <w:trPr>
          <w:trHeight w:val="20"/>
        </w:trPr>
        <w:tc>
          <w:tcPr>
            <w:tcW w:w="3704" w:type="dxa"/>
            <w:shd w:val="clear" w:color="auto" w:fill="D9D9D9"/>
            <w:vAlign w:val="center"/>
          </w:tcPr>
          <w:p w:rsidR="00992735" w:rsidRPr="002A1069" w:rsidRDefault="005F14EE" w:rsidP="00E456AF">
            <w:pPr>
              <w:ind w:left="360" w:right="-11"/>
              <w:rPr>
                <w:sz w:val="18"/>
                <w:szCs w:val="18"/>
              </w:rPr>
            </w:pPr>
            <w:r w:rsidRPr="002A1069">
              <w:rPr>
                <w:sz w:val="18"/>
                <w:szCs w:val="18"/>
              </w:rPr>
              <w:t>(</w:t>
            </w:r>
            <w:r w:rsidR="00992735" w:rsidRPr="002A1069">
              <w:rPr>
                <w:rFonts w:hint="eastAsia"/>
                <w:sz w:val="18"/>
                <w:szCs w:val="18"/>
              </w:rPr>
              <w:t>二</w:t>
            </w:r>
            <w:r w:rsidRPr="002A1069">
              <w:rPr>
                <w:sz w:val="18"/>
                <w:szCs w:val="18"/>
              </w:rPr>
              <w:t>)</w:t>
            </w:r>
            <w:r w:rsidR="00992735" w:rsidRPr="002A1069">
              <w:rPr>
                <w:rFonts w:hint="eastAsia"/>
                <w:sz w:val="18"/>
                <w:szCs w:val="18"/>
              </w:rPr>
              <w:t>所有者投入和减少资本</w:t>
            </w:r>
          </w:p>
        </w:tc>
        <w:tc>
          <w:tcPr>
            <w:tcW w:w="1973" w:type="dxa"/>
            <w:vAlign w:val="center"/>
          </w:tcPr>
          <w:p w:rsidR="00992735" w:rsidRPr="002A1069" w:rsidRDefault="00992735" w:rsidP="00E456AF">
            <w:pPr>
              <w:ind w:right="-11"/>
              <w:jc w:val="right"/>
              <w:rPr>
                <w:sz w:val="18"/>
                <w:szCs w:val="18"/>
              </w:rPr>
            </w:pPr>
            <w:r w:rsidRPr="002A1069">
              <w:rPr>
                <w:sz w:val="18"/>
                <w:szCs w:val="18"/>
              </w:rPr>
              <w:t>112,500,000.00</w:t>
            </w:r>
          </w:p>
        </w:tc>
        <w:tc>
          <w:tcPr>
            <w:tcW w:w="1973" w:type="dxa"/>
            <w:vAlign w:val="center"/>
          </w:tcPr>
          <w:p w:rsidR="00992735" w:rsidRPr="002A1069" w:rsidRDefault="00992735" w:rsidP="00E456AF">
            <w:pPr>
              <w:ind w:right="-11"/>
              <w:jc w:val="right"/>
              <w:rPr>
                <w:sz w:val="18"/>
                <w:szCs w:val="18"/>
              </w:rPr>
            </w:pPr>
            <w:r w:rsidRPr="002A1069">
              <w:rPr>
                <w:sz w:val="18"/>
                <w:szCs w:val="18"/>
              </w:rPr>
              <w:t>3,011,124,235.81</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tabs>
                <w:tab w:val="decimal" w:pos="1332"/>
              </w:tabs>
              <w:ind w:right="-11"/>
              <w:jc w:val="right"/>
              <w:rPr>
                <w:sz w:val="18"/>
                <w:szCs w:val="18"/>
              </w:rPr>
            </w:pPr>
            <w:r w:rsidRPr="002A1069">
              <w:rPr>
                <w:sz w:val="18"/>
                <w:szCs w:val="18"/>
              </w:rPr>
              <w:t>-    </w:t>
            </w:r>
          </w:p>
        </w:tc>
        <w:tc>
          <w:tcPr>
            <w:tcW w:w="1974" w:type="dxa"/>
            <w:vAlign w:val="center"/>
          </w:tcPr>
          <w:p w:rsidR="00992735" w:rsidRPr="002A1069" w:rsidRDefault="00992735" w:rsidP="00E456AF">
            <w:pPr>
              <w:ind w:right="-11"/>
              <w:jc w:val="right"/>
              <w:rPr>
                <w:sz w:val="18"/>
                <w:szCs w:val="18"/>
              </w:rPr>
            </w:pPr>
            <w:r w:rsidRPr="002A1069">
              <w:rPr>
                <w:sz w:val="18"/>
                <w:szCs w:val="18"/>
              </w:rPr>
              <w:t>3,123,624,235.81</w:t>
            </w:r>
          </w:p>
        </w:tc>
      </w:tr>
      <w:tr w:rsidR="00992735" w:rsidRPr="002A1069" w:rsidTr="0027505B">
        <w:trPr>
          <w:trHeight w:val="20"/>
        </w:trPr>
        <w:tc>
          <w:tcPr>
            <w:tcW w:w="3704" w:type="dxa"/>
            <w:shd w:val="clear" w:color="auto" w:fill="D9D9D9"/>
            <w:vAlign w:val="center"/>
          </w:tcPr>
          <w:p w:rsidR="00992735" w:rsidRPr="002A1069" w:rsidRDefault="00992735" w:rsidP="00E456AF">
            <w:pPr>
              <w:ind w:left="660" w:right="-11"/>
              <w:rPr>
                <w:sz w:val="18"/>
                <w:szCs w:val="18"/>
              </w:rPr>
            </w:pPr>
            <w:r w:rsidRPr="002A1069">
              <w:rPr>
                <w:sz w:val="18"/>
                <w:szCs w:val="18"/>
              </w:rPr>
              <w:t>1.</w:t>
            </w:r>
            <w:r w:rsidRPr="002A1069">
              <w:rPr>
                <w:rFonts w:hint="eastAsia"/>
                <w:sz w:val="18"/>
                <w:szCs w:val="18"/>
              </w:rPr>
              <w:t>股东投入的普通股</w:t>
            </w:r>
          </w:p>
        </w:tc>
        <w:tc>
          <w:tcPr>
            <w:tcW w:w="1973" w:type="dxa"/>
            <w:vAlign w:val="center"/>
          </w:tcPr>
          <w:p w:rsidR="00992735" w:rsidRPr="002A1069" w:rsidRDefault="00992735" w:rsidP="00E456AF">
            <w:pPr>
              <w:ind w:right="-11"/>
              <w:jc w:val="right"/>
              <w:rPr>
                <w:sz w:val="18"/>
                <w:szCs w:val="18"/>
              </w:rPr>
            </w:pPr>
            <w:r w:rsidRPr="002A1069">
              <w:rPr>
                <w:sz w:val="18"/>
                <w:szCs w:val="18"/>
              </w:rPr>
              <w:t>112,500,000.00</w:t>
            </w:r>
          </w:p>
        </w:tc>
        <w:tc>
          <w:tcPr>
            <w:tcW w:w="1973" w:type="dxa"/>
            <w:vAlign w:val="center"/>
          </w:tcPr>
          <w:p w:rsidR="00992735" w:rsidRPr="002A1069" w:rsidRDefault="00992735" w:rsidP="00E456AF">
            <w:pPr>
              <w:ind w:right="-11"/>
              <w:jc w:val="right"/>
              <w:rPr>
                <w:sz w:val="18"/>
                <w:szCs w:val="18"/>
              </w:rPr>
            </w:pPr>
            <w:r w:rsidRPr="002A1069">
              <w:rPr>
                <w:sz w:val="18"/>
                <w:szCs w:val="18"/>
              </w:rPr>
              <w:t>3,008,865,252.83</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tabs>
                <w:tab w:val="decimal" w:pos="1332"/>
              </w:tabs>
              <w:ind w:right="-11"/>
              <w:jc w:val="right"/>
              <w:rPr>
                <w:sz w:val="18"/>
                <w:szCs w:val="18"/>
              </w:rPr>
            </w:pPr>
            <w:r w:rsidRPr="002A1069">
              <w:rPr>
                <w:sz w:val="18"/>
                <w:szCs w:val="18"/>
              </w:rPr>
              <w:t>-    </w:t>
            </w:r>
          </w:p>
        </w:tc>
        <w:tc>
          <w:tcPr>
            <w:tcW w:w="1974" w:type="dxa"/>
            <w:vAlign w:val="center"/>
          </w:tcPr>
          <w:p w:rsidR="00992735" w:rsidRPr="002A1069" w:rsidRDefault="00992735" w:rsidP="00E456AF">
            <w:pPr>
              <w:ind w:right="-11"/>
              <w:jc w:val="right"/>
              <w:rPr>
                <w:sz w:val="18"/>
                <w:szCs w:val="18"/>
              </w:rPr>
            </w:pPr>
            <w:r w:rsidRPr="002A1069">
              <w:rPr>
                <w:sz w:val="18"/>
                <w:szCs w:val="18"/>
              </w:rPr>
              <w:t>3,121,365,252.83</w:t>
            </w:r>
          </w:p>
        </w:tc>
      </w:tr>
      <w:tr w:rsidR="00992735" w:rsidRPr="002A1069" w:rsidTr="0027505B">
        <w:trPr>
          <w:trHeight w:val="20"/>
        </w:trPr>
        <w:tc>
          <w:tcPr>
            <w:tcW w:w="3704" w:type="dxa"/>
            <w:shd w:val="clear" w:color="auto" w:fill="D9D9D9"/>
            <w:vAlign w:val="center"/>
          </w:tcPr>
          <w:p w:rsidR="00992735" w:rsidRPr="002A1069" w:rsidRDefault="00992735" w:rsidP="00E456AF">
            <w:pPr>
              <w:ind w:left="657" w:right="-11"/>
              <w:rPr>
                <w:sz w:val="18"/>
                <w:szCs w:val="18"/>
              </w:rPr>
            </w:pPr>
            <w:r w:rsidRPr="002A1069">
              <w:rPr>
                <w:sz w:val="18"/>
                <w:szCs w:val="18"/>
              </w:rPr>
              <w:t>2.</w:t>
            </w:r>
            <w:r w:rsidRPr="002A1069">
              <w:rPr>
                <w:rFonts w:hint="eastAsia"/>
                <w:sz w:val="18"/>
                <w:szCs w:val="18"/>
              </w:rPr>
              <w:t>股份支付计入所有者权益的金额</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ind w:right="-11"/>
              <w:jc w:val="right"/>
              <w:rPr>
                <w:sz w:val="18"/>
                <w:szCs w:val="18"/>
              </w:rPr>
            </w:pPr>
            <w:r w:rsidRPr="002A1069">
              <w:rPr>
                <w:sz w:val="18"/>
                <w:szCs w:val="18"/>
              </w:rPr>
              <w:t>2,258,982.98</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tabs>
                <w:tab w:val="decimal" w:pos="1332"/>
              </w:tabs>
              <w:ind w:right="-11"/>
              <w:jc w:val="right"/>
              <w:rPr>
                <w:sz w:val="18"/>
                <w:szCs w:val="18"/>
              </w:rPr>
            </w:pPr>
            <w:r w:rsidRPr="002A1069">
              <w:rPr>
                <w:sz w:val="18"/>
                <w:szCs w:val="18"/>
              </w:rPr>
              <w:t>-    </w:t>
            </w:r>
          </w:p>
        </w:tc>
        <w:tc>
          <w:tcPr>
            <w:tcW w:w="1974" w:type="dxa"/>
            <w:vAlign w:val="center"/>
          </w:tcPr>
          <w:p w:rsidR="00992735" w:rsidRPr="002A1069" w:rsidRDefault="00992735" w:rsidP="00E456AF">
            <w:pPr>
              <w:ind w:right="-11"/>
              <w:jc w:val="right"/>
              <w:rPr>
                <w:sz w:val="18"/>
                <w:szCs w:val="18"/>
              </w:rPr>
            </w:pPr>
            <w:r w:rsidRPr="002A1069">
              <w:rPr>
                <w:sz w:val="18"/>
                <w:szCs w:val="18"/>
              </w:rPr>
              <w:t>2,258,982.98</w:t>
            </w:r>
          </w:p>
        </w:tc>
      </w:tr>
      <w:tr w:rsidR="00992735" w:rsidRPr="002A1069" w:rsidTr="0027505B">
        <w:trPr>
          <w:trHeight w:val="20"/>
        </w:trPr>
        <w:tc>
          <w:tcPr>
            <w:tcW w:w="3704" w:type="dxa"/>
            <w:shd w:val="clear" w:color="auto" w:fill="D9D9D9"/>
            <w:vAlign w:val="center"/>
          </w:tcPr>
          <w:p w:rsidR="00992735" w:rsidRPr="002A1069" w:rsidRDefault="005F14EE" w:rsidP="00E456AF">
            <w:pPr>
              <w:ind w:left="366" w:right="-11"/>
              <w:rPr>
                <w:sz w:val="18"/>
                <w:szCs w:val="18"/>
              </w:rPr>
            </w:pPr>
            <w:r w:rsidRPr="002A1069">
              <w:rPr>
                <w:sz w:val="18"/>
                <w:szCs w:val="18"/>
              </w:rPr>
              <w:t>(</w:t>
            </w:r>
            <w:r w:rsidR="00992735" w:rsidRPr="002A1069">
              <w:rPr>
                <w:rFonts w:hint="eastAsia"/>
                <w:sz w:val="18"/>
                <w:szCs w:val="18"/>
              </w:rPr>
              <w:t>三</w:t>
            </w:r>
            <w:r w:rsidRPr="002A1069">
              <w:rPr>
                <w:sz w:val="18"/>
                <w:szCs w:val="18"/>
              </w:rPr>
              <w:t>)</w:t>
            </w:r>
            <w:r w:rsidR="00992735" w:rsidRPr="002A1069">
              <w:rPr>
                <w:rFonts w:hint="eastAsia"/>
                <w:sz w:val="18"/>
                <w:szCs w:val="18"/>
              </w:rPr>
              <w:t>利润分配</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1D5118" w:rsidP="00E456AF">
            <w:pPr>
              <w:ind w:right="-11"/>
              <w:jc w:val="right"/>
              <w:rPr>
                <w:sz w:val="18"/>
                <w:szCs w:val="18"/>
              </w:rPr>
            </w:pPr>
            <w:r w:rsidRPr="002A1069">
              <w:rPr>
                <w:sz w:val="18"/>
                <w:szCs w:val="18"/>
              </w:rPr>
              <w:t>20,608,333.60</w:t>
            </w:r>
          </w:p>
        </w:tc>
        <w:tc>
          <w:tcPr>
            <w:tcW w:w="1973" w:type="dxa"/>
            <w:vAlign w:val="center"/>
          </w:tcPr>
          <w:p w:rsidR="00992735" w:rsidRPr="002A1069" w:rsidRDefault="005F14EE" w:rsidP="00E456AF">
            <w:pPr>
              <w:tabs>
                <w:tab w:val="decimal" w:pos="1332"/>
              </w:tabs>
              <w:ind w:right="-11"/>
              <w:jc w:val="right"/>
              <w:rPr>
                <w:sz w:val="18"/>
                <w:szCs w:val="18"/>
              </w:rPr>
            </w:pPr>
            <w:r w:rsidRPr="002A1069">
              <w:rPr>
                <w:sz w:val="18"/>
                <w:szCs w:val="18"/>
              </w:rPr>
              <w:t>(</w:t>
            </w:r>
            <w:r w:rsidR="001D5118" w:rsidRPr="002A1069">
              <w:rPr>
                <w:sz w:val="18"/>
                <w:szCs w:val="18"/>
              </w:rPr>
              <w:t>20,608,333.60</w:t>
            </w:r>
            <w:r w:rsidRPr="002A1069">
              <w:rPr>
                <w:sz w:val="18"/>
                <w:szCs w:val="18"/>
              </w:rPr>
              <w:t>)</w:t>
            </w:r>
          </w:p>
        </w:tc>
        <w:tc>
          <w:tcPr>
            <w:tcW w:w="1974" w:type="dxa"/>
            <w:vAlign w:val="center"/>
          </w:tcPr>
          <w:p w:rsidR="00992735" w:rsidRPr="002A1069" w:rsidRDefault="00992735" w:rsidP="00E456AF">
            <w:pPr>
              <w:ind w:right="-11"/>
              <w:jc w:val="right"/>
              <w:rPr>
                <w:sz w:val="18"/>
                <w:szCs w:val="18"/>
              </w:rPr>
            </w:pPr>
            <w:r w:rsidRPr="002A1069">
              <w:rPr>
                <w:sz w:val="18"/>
                <w:szCs w:val="18"/>
              </w:rPr>
              <w:t>-    </w:t>
            </w:r>
          </w:p>
        </w:tc>
      </w:tr>
      <w:tr w:rsidR="00992735" w:rsidRPr="002A1069" w:rsidTr="0027505B">
        <w:trPr>
          <w:trHeight w:val="20"/>
        </w:trPr>
        <w:tc>
          <w:tcPr>
            <w:tcW w:w="3704" w:type="dxa"/>
            <w:shd w:val="clear" w:color="auto" w:fill="D9D9D9"/>
            <w:vAlign w:val="center"/>
          </w:tcPr>
          <w:p w:rsidR="00992735" w:rsidRPr="002A1069" w:rsidRDefault="00992735" w:rsidP="00E456AF">
            <w:pPr>
              <w:ind w:left="657" w:right="-11"/>
              <w:rPr>
                <w:sz w:val="18"/>
                <w:szCs w:val="18"/>
              </w:rPr>
            </w:pPr>
            <w:r w:rsidRPr="002A1069">
              <w:rPr>
                <w:sz w:val="18"/>
                <w:szCs w:val="18"/>
              </w:rPr>
              <w:t>1.</w:t>
            </w:r>
            <w:r w:rsidRPr="002A1069">
              <w:rPr>
                <w:rFonts w:hint="eastAsia"/>
                <w:sz w:val="18"/>
                <w:szCs w:val="18"/>
              </w:rPr>
              <w:t>提取盈余公积</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992735" w:rsidP="00E456AF">
            <w:pPr>
              <w:ind w:right="-11"/>
              <w:jc w:val="right"/>
              <w:rPr>
                <w:sz w:val="18"/>
                <w:szCs w:val="18"/>
              </w:rPr>
            </w:pPr>
            <w:r w:rsidRPr="002A1069">
              <w:rPr>
                <w:sz w:val="18"/>
                <w:szCs w:val="18"/>
              </w:rPr>
              <w:t>-    </w:t>
            </w:r>
          </w:p>
        </w:tc>
        <w:tc>
          <w:tcPr>
            <w:tcW w:w="1973" w:type="dxa"/>
            <w:vAlign w:val="center"/>
          </w:tcPr>
          <w:p w:rsidR="00992735" w:rsidRPr="002A1069" w:rsidRDefault="001D5118" w:rsidP="00E456AF">
            <w:pPr>
              <w:ind w:right="-11"/>
              <w:jc w:val="right"/>
              <w:rPr>
                <w:sz w:val="18"/>
                <w:szCs w:val="18"/>
              </w:rPr>
            </w:pPr>
            <w:r w:rsidRPr="002A1069">
              <w:rPr>
                <w:sz w:val="18"/>
                <w:szCs w:val="18"/>
              </w:rPr>
              <w:t>20,608,333.60</w:t>
            </w:r>
          </w:p>
        </w:tc>
        <w:tc>
          <w:tcPr>
            <w:tcW w:w="1973" w:type="dxa"/>
            <w:vAlign w:val="center"/>
          </w:tcPr>
          <w:p w:rsidR="00992735" w:rsidRPr="002A1069" w:rsidRDefault="005F14EE" w:rsidP="00E456AF">
            <w:pPr>
              <w:tabs>
                <w:tab w:val="decimal" w:pos="1332"/>
              </w:tabs>
              <w:ind w:right="-11"/>
              <w:jc w:val="right"/>
              <w:rPr>
                <w:sz w:val="18"/>
                <w:szCs w:val="18"/>
              </w:rPr>
            </w:pPr>
            <w:r w:rsidRPr="002A1069">
              <w:rPr>
                <w:sz w:val="18"/>
                <w:szCs w:val="18"/>
              </w:rPr>
              <w:t>(</w:t>
            </w:r>
            <w:r w:rsidR="001D5118" w:rsidRPr="002A1069">
              <w:rPr>
                <w:sz w:val="18"/>
                <w:szCs w:val="18"/>
              </w:rPr>
              <w:t>20,608,333.60</w:t>
            </w:r>
            <w:r w:rsidRPr="002A1069">
              <w:rPr>
                <w:sz w:val="18"/>
                <w:szCs w:val="18"/>
              </w:rPr>
              <w:t>)</w:t>
            </w:r>
          </w:p>
        </w:tc>
        <w:tc>
          <w:tcPr>
            <w:tcW w:w="1974" w:type="dxa"/>
            <w:vAlign w:val="center"/>
          </w:tcPr>
          <w:p w:rsidR="00992735" w:rsidRPr="002A1069" w:rsidRDefault="00992735" w:rsidP="00E456AF">
            <w:pPr>
              <w:ind w:right="-11"/>
              <w:jc w:val="right"/>
              <w:rPr>
                <w:sz w:val="18"/>
                <w:szCs w:val="18"/>
              </w:rPr>
            </w:pPr>
            <w:r w:rsidRPr="002A1069">
              <w:rPr>
                <w:sz w:val="18"/>
                <w:szCs w:val="18"/>
              </w:rPr>
              <w:t>-    </w:t>
            </w:r>
          </w:p>
        </w:tc>
      </w:tr>
      <w:tr w:rsidR="00992735" w:rsidRPr="002A1069" w:rsidTr="0027505B">
        <w:trPr>
          <w:trHeight w:val="20"/>
        </w:trPr>
        <w:tc>
          <w:tcPr>
            <w:tcW w:w="3704" w:type="dxa"/>
            <w:shd w:val="clear" w:color="auto" w:fill="D9D9D9"/>
            <w:vAlign w:val="center"/>
          </w:tcPr>
          <w:p w:rsidR="00992735" w:rsidRPr="002A1069" w:rsidRDefault="00D967FE" w:rsidP="00E456AF">
            <w:pPr>
              <w:ind w:right="-11"/>
              <w:rPr>
                <w:sz w:val="18"/>
                <w:szCs w:val="18"/>
              </w:rPr>
            </w:pPr>
            <w:r w:rsidRPr="002A1069">
              <w:rPr>
                <w:rFonts w:hint="eastAsia"/>
                <w:b/>
                <w:sz w:val="18"/>
                <w:szCs w:val="18"/>
              </w:rPr>
              <w:t>四</w:t>
            </w:r>
            <w:r w:rsidR="00992735" w:rsidRPr="002A1069">
              <w:rPr>
                <w:rFonts w:hint="eastAsia"/>
                <w:b/>
                <w:sz w:val="18"/>
                <w:szCs w:val="18"/>
              </w:rPr>
              <w:t>、本年年末余额</w:t>
            </w:r>
          </w:p>
        </w:tc>
        <w:tc>
          <w:tcPr>
            <w:tcW w:w="1973" w:type="dxa"/>
            <w:vAlign w:val="center"/>
          </w:tcPr>
          <w:p w:rsidR="00992735" w:rsidRPr="002A1069" w:rsidRDefault="00992735" w:rsidP="00E456AF">
            <w:pPr>
              <w:ind w:right="-11"/>
              <w:jc w:val="right"/>
              <w:rPr>
                <w:b/>
                <w:sz w:val="18"/>
                <w:szCs w:val="18"/>
              </w:rPr>
            </w:pPr>
            <w:r w:rsidRPr="002A1069">
              <w:rPr>
                <w:b/>
                <w:sz w:val="18"/>
                <w:szCs w:val="18"/>
              </w:rPr>
              <w:t>562,500,000.00</w:t>
            </w:r>
          </w:p>
        </w:tc>
        <w:tc>
          <w:tcPr>
            <w:tcW w:w="1973" w:type="dxa"/>
            <w:vAlign w:val="center"/>
          </w:tcPr>
          <w:p w:rsidR="00992735" w:rsidRPr="002A1069" w:rsidRDefault="00992735" w:rsidP="00E456AF">
            <w:pPr>
              <w:ind w:right="-11"/>
              <w:jc w:val="right"/>
              <w:rPr>
                <w:b/>
                <w:sz w:val="18"/>
                <w:szCs w:val="18"/>
              </w:rPr>
            </w:pPr>
            <w:r w:rsidRPr="002A1069">
              <w:rPr>
                <w:b/>
                <w:sz w:val="18"/>
                <w:szCs w:val="18"/>
              </w:rPr>
              <w:t>3,336,245,242.12</w:t>
            </w:r>
          </w:p>
        </w:tc>
        <w:tc>
          <w:tcPr>
            <w:tcW w:w="1973" w:type="dxa"/>
            <w:vAlign w:val="center"/>
          </w:tcPr>
          <w:p w:rsidR="00992735" w:rsidRPr="002A1069" w:rsidRDefault="005F14EE" w:rsidP="00E456AF">
            <w:pPr>
              <w:ind w:right="-11"/>
              <w:jc w:val="right"/>
              <w:rPr>
                <w:b/>
                <w:sz w:val="18"/>
                <w:szCs w:val="18"/>
              </w:rPr>
            </w:pPr>
            <w:r w:rsidRPr="002A1069">
              <w:rPr>
                <w:b/>
                <w:sz w:val="18"/>
                <w:szCs w:val="18"/>
              </w:rPr>
              <w:t>(</w:t>
            </w:r>
            <w:r w:rsidR="00992735" w:rsidRPr="002A1069">
              <w:rPr>
                <w:b/>
                <w:sz w:val="18"/>
                <w:szCs w:val="18"/>
              </w:rPr>
              <w:t>2,595,089.93</w:t>
            </w:r>
            <w:r w:rsidRPr="002A1069">
              <w:rPr>
                <w:b/>
                <w:sz w:val="18"/>
                <w:szCs w:val="18"/>
              </w:rPr>
              <w:t>)</w:t>
            </w:r>
          </w:p>
        </w:tc>
        <w:tc>
          <w:tcPr>
            <w:tcW w:w="1973" w:type="dxa"/>
            <w:vAlign w:val="center"/>
          </w:tcPr>
          <w:p w:rsidR="00992735" w:rsidRPr="002A1069" w:rsidRDefault="00A14570" w:rsidP="00E456AF">
            <w:pPr>
              <w:ind w:right="-11"/>
              <w:jc w:val="right"/>
              <w:rPr>
                <w:b/>
                <w:sz w:val="18"/>
                <w:szCs w:val="18"/>
              </w:rPr>
            </w:pPr>
            <w:r w:rsidRPr="002A1069">
              <w:rPr>
                <w:b/>
                <w:sz w:val="18"/>
                <w:szCs w:val="18"/>
              </w:rPr>
              <w:t>41,121,077.83</w:t>
            </w:r>
          </w:p>
        </w:tc>
        <w:tc>
          <w:tcPr>
            <w:tcW w:w="1973" w:type="dxa"/>
            <w:vAlign w:val="center"/>
          </w:tcPr>
          <w:p w:rsidR="00992735" w:rsidRPr="002A1069" w:rsidRDefault="00A14570" w:rsidP="00E456AF">
            <w:pPr>
              <w:tabs>
                <w:tab w:val="decimal" w:pos="1332"/>
              </w:tabs>
              <w:ind w:right="-11"/>
              <w:jc w:val="right"/>
              <w:rPr>
                <w:b/>
                <w:sz w:val="18"/>
                <w:szCs w:val="18"/>
              </w:rPr>
            </w:pPr>
            <w:r w:rsidRPr="002A1069">
              <w:rPr>
                <w:b/>
                <w:sz w:val="18"/>
                <w:szCs w:val="18"/>
              </w:rPr>
              <w:t>923,729,423.10</w:t>
            </w:r>
          </w:p>
        </w:tc>
        <w:tc>
          <w:tcPr>
            <w:tcW w:w="1974" w:type="dxa"/>
            <w:vAlign w:val="center"/>
          </w:tcPr>
          <w:p w:rsidR="00992735" w:rsidRPr="002A1069" w:rsidRDefault="00A14570" w:rsidP="00E456AF">
            <w:pPr>
              <w:tabs>
                <w:tab w:val="decimal" w:pos="1333"/>
              </w:tabs>
              <w:ind w:right="-11"/>
              <w:jc w:val="right"/>
              <w:rPr>
                <w:b/>
                <w:sz w:val="18"/>
                <w:szCs w:val="18"/>
              </w:rPr>
            </w:pPr>
            <w:r w:rsidRPr="002A1069">
              <w:rPr>
                <w:b/>
                <w:sz w:val="18"/>
                <w:szCs w:val="18"/>
              </w:rPr>
              <w:t>4,861,000,653.12</w:t>
            </w:r>
          </w:p>
        </w:tc>
      </w:tr>
    </w:tbl>
    <w:p w:rsidR="008F6279" w:rsidRPr="00A71D2E" w:rsidRDefault="008F6279">
      <w:pPr>
        <w:tabs>
          <w:tab w:val="right" w:pos="15542"/>
        </w:tabs>
        <w:rPr>
          <w:rFonts w:eastAsia="宋体" w:cs="Times New Roman"/>
          <w:szCs w:val="21"/>
        </w:rPr>
      </w:pPr>
    </w:p>
    <w:p w:rsidR="009C5EC8" w:rsidRPr="00A71D2E" w:rsidRDefault="00B07360" w:rsidP="00F66363">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4A7902" w:rsidRPr="00A71D2E">
        <w:rPr>
          <w:rFonts w:eastAsia="宋体" w:cs="Times New Roman" w:hint="eastAsia"/>
          <w:szCs w:val="21"/>
        </w:rPr>
        <w:t>页至</w:t>
      </w:r>
      <w:r w:rsidR="006F55AB" w:rsidRPr="00A71D2E">
        <w:rPr>
          <w:rFonts w:eastAsia="宋体" w:cs="Times New Roman" w:hint="eastAsia"/>
          <w:szCs w:val="21"/>
        </w:rPr>
        <w:t>第</w:t>
      </w:r>
      <w:r w:rsidR="006C7A68">
        <w:rPr>
          <w:rFonts w:eastAsia="宋体" w:cs="Times New Roman" w:hint="eastAsia"/>
          <w:szCs w:val="21"/>
        </w:rPr>
        <w:t>8</w:t>
      </w:r>
      <w:r w:rsidR="00E25E50">
        <w:rPr>
          <w:rFonts w:eastAsia="宋体" w:cs="Times New Roman"/>
          <w:szCs w:val="21"/>
        </w:rPr>
        <w:t>4</w:t>
      </w:r>
      <w:r w:rsidR="004A7902" w:rsidRPr="00A71D2E">
        <w:rPr>
          <w:rFonts w:eastAsia="宋体" w:cs="Times New Roman" w:hint="eastAsia"/>
          <w:szCs w:val="21"/>
        </w:rPr>
        <w:t>页的财务报表由下列负责人签署</w:t>
      </w:r>
      <w:r w:rsidR="005F14EE">
        <w:rPr>
          <w:rFonts w:eastAsia="宋体" w:cs="Times New Roman" w:hint="eastAsia"/>
          <w:szCs w:val="21"/>
        </w:rPr>
        <w:t>：</w:t>
      </w:r>
    </w:p>
    <w:p w:rsidR="009C5EC8" w:rsidRDefault="009C5EC8" w:rsidP="00F66363">
      <w:pPr>
        <w:rPr>
          <w:rFonts w:eastAsia="宋体" w:cs="Times New Roman"/>
          <w:szCs w:val="21"/>
        </w:rPr>
      </w:pPr>
    </w:p>
    <w:p w:rsidR="00DD203F" w:rsidRPr="00A71D2E" w:rsidRDefault="00DD203F" w:rsidP="00F66363">
      <w:pPr>
        <w:rPr>
          <w:rFonts w:eastAsia="宋体" w:cs="Times New Roman"/>
          <w:szCs w:val="21"/>
        </w:rPr>
      </w:pPr>
    </w:p>
    <w:p w:rsidR="0078445C" w:rsidRDefault="0078445C">
      <w:pPr>
        <w:tabs>
          <w:tab w:val="center" w:pos="2790"/>
          <w:tab w:val="center" w:pos="7920"/>
          <w:tab w:val="center" w:pos="12780"/>
        </w:tabs>
        <w:rPr>
          <w:rFonts w:eastAsia="宋体" w:cs="Times New Roman"/>
          <w:szCs w:val="21"/>
        </w:rPr>
      </w:pPr>
    </w:p>
    <w:p w:rsidR="00DF7A91" w:rsidRPr="00A71D2E" w:rsidRDefault="00DF7A91">
      <w:pPr>
        <w:tabs>
          <w:tab w:val="center" w:pos="2790"/>
          <w:tab w:val="center" w:pos="7920"/>
          <w:tab w:val="center" w:pos="1278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_____________________</w:t>
      </w:r>
      <w:r w:rsidRPr="00A71D2E">
        <w:rPr>
          <w:rFonts w:eastAsia="宋体" w:cs="Times New Roman"/>
          <w:szCs w:val="21"/>
        </w:rPr>
        <w:tab/>
        <w:t>_____________________</w:t>
      </w:r>
    </w:p>
    <w:p w:rsidR="00B5181D" w:rsidRPr="00A71D2E" w:rsidRDefault="00DF7A91" w:rsidP="00F66363">
      <w:pPr>
        <w:tabs>
          <w:tab w:val="center" w:pos="2790"/>
          <w:tab w:val="center" w:pos="7920"/>
          <w:tab w:val="center" w:pos="12780"/>
        </w:tabs>
        <w:rPr>
          <w:rFonts w:eastAsia="宋体" w:cs="Times New Roman"/>
          <w:szCs w:val="21"/>
        </w:rPr>
      </w:pPr>
      <w:r w:rsidRPr="00A71D2E">
        <w:rPr>
          <w:rFonts w:eastAsia="宋体" w:cs="Times New Roman"/>
          <w:szCs w:val="21"/>
        </w:rPr>
        <w:tab/>
      </w:r>
      <w:r w:rsidRPr="00A71D2E">
        <w:rPr>
          <w:rFonts w:eastAsia="宋体" w:cs="Times New Roman" w:hint="eastAsia"/>
          <w:szCs w:val="21"/>
        </w:rPr>
        <w:t>法定代表人</w:t>
      </w:r>
      <w:r w:rsidRPr="00A71D2E">
        <w:rPr>
          <w:rFonts w:eastAsia="宋体" w:cs="Times New Roman"/>
          <w:szCs w:val="21"/>
        </w:rPr>
        <w:tab/>
      </w:r>
      <w:r w:rsidRPr="00A71D2E">
        <w:rPr>
          <w:rFonts w:eastAsia="宋体" w:cs="Times New Roman" w:hint="eastAsia"/>
          <w:szCs w:val="21"/>
        </w:rPr>
        <w:t>主管会计工作负责人</w:t>
      </w:r>
      <w:r w:rsidRPr="00A71D2E">
        <w:rPr>
          <w:rFonts w:eastAsia="宋体" w:cs="Times New Roman"/>
          <w:szCs w:val="21"/>
        </w:rPr>
        <w:tab/>
      </w:r>
      <w:r w:rsidRPr="00A71D2E">
        <w:rPr>
          <w:rFonts w:eastAsia="宋体" w:cs="Times New Roman" w:hint="eastAsia"/>
          <w:szCs w:val="21"/>
        </w:rPr>
        <w:t>会计机构负责人</w:t>
      </w:r>
      <w:r w:rsidR="00B5181D" w:rsidRPr="00A71D2E">
        <w:rPr>
          <w:rFonts w:eastAsia="宋体" w:cs="Times New Roman"/>
          <w:szCs w:val="21"/>
        </w:rPr>
        <w:br w:type="page"/>
      </w:r>
    </w:p>
    <w:p w:rsidR="00B5181D" w:rsidRPr="00A71D2E" w:rsidRDefault="00DC0713">
      <w:pPr>
        <w:tabs>
          <w:tab w:val="right" w:pos="15542"/>
        </w:tabs>
        <w:rPr>
          <w:rFonts w:eastAsia="宋体" w:cs="Times New Roman"/>
          <w:kern w:val="2"/>
          <w:szCs w:val="21"/>
          <w:u w:val="single"/>
        </w:rPr>
      </w:pPr>
      <w:r w:rsidRPr="00A71D2E">
        <w:rPr>
          <w:rFonts w:eastAsia="宋体" w:cs="Times New Roman"/>
          <w:kern w:val="2"/>
          <w:szCs w:val="21"/>
          <w:u w:val="single"/>
        </w:rPr>
        <w:t>202</w:t>
      </w:r>
      <w:r w:rsidR="008516EE">
        <w:rPr>
          <w:rFonts w:eastAsia="宋体" w:cs="Times New Roman"/>
          <w:kern w:val="2"/>
          <w:szCs w:val="21"/>
          <w:u w:val="single"/>
        </w:rPr>
        <w:t>3</w:t>
      </w:r>
      <w:r w:rsidRPr="00A71D2E">
        <w:rPr>
          <w:rFonts w:eastAsia="宋体" w:cs="Times New Roman" w:hint="eastAsia"/>
          <w:kern w:val="2"/>
          <w:szCs w:val="21"/>
          <w:u w:val="single"/>
        </w:rPr>
        <w:t>年</w:t>
      </w:r>
      <w:r w:rsidRPr="00A71D2E">
        <w:rPr>
          <w:rFonts w:eastAsia="宋体" w:cs="Times New Roman"/>
          <w:kern w:val="2"/>
          <w:szCs w:val="21"/>
          <w:u w:val="single"/>
        </w:rPr>
        <w:t>12</w:t>
      </w:r>
      <w:r w:rsidRPr="00A71D2E">
        <w:rPr>
          <w:rFonts w:eastAsia="宋体" w:cs="Times New Roman" w:hint="eastAsia"/>
          <w:kern w:val="2"/>
          <w:szCs w:val="21"/>
          <w:u w:val="single"/>
        </w:rPr>
        <w:t>月</w:t>
      </w:r>
      <w:r w:rsidRPr="00A71D2E">
        <w:rPr>
          <w:rFonts w:eastAsia="宋体" w:cs="Times New Roman"/>
          <w:kern w:val="2"/>
          <w:szCs w:val="21"/>
          <w:u w:val="single"/>
        </w:rPr>
        <w:t>31</w:t>
      </w:r>
      <w:r w:rsidRPr="00A71D2E">
        <w:rPr>
          <w:rFonts w:eastAsia="宋体" w:cs="Times New Roman" w:hint="eastAsia"/>
          <w:kern w:val="2"/>
          <w:szCs w:val="21"/>
          <w:u w:val="single"/>
        </w:rPr>
        <w:t>日</w:t>
      </w:r>
      <w:proofErr w:type="gramStart"/>
      <w:r w:rsidRPr="00A71D2E">
        <w:rPr>
          <w:rFonts w:eastAsia="宋体" w:cs="Times New Roman" w:hint="eastAsia"/>
          <w:kern w:val="2"/>
          <w:szCs w:val="21"/>
          <w:u w:val="single"/>
        </w:rPr>
        <w:t>止</w:t>
      </w:r>
      <w:proofErr w:type="gramEnd"/>
      <w:r w:rsidRPr="00A71D2E">
        <w:rPr>
          <w:rFonts w:eastAsia="宋体" w:cs="Times New Roman" w:hint="eastAsia"/>
          <w:kern w:val="2"/>
          <w:szCs w:val="21"/>
          <w:u w:val="single"/>
        </w:rPr>
        <w:t>年度</w:t>
      </w:r>
      <w:r w:rsidR="00B5181D" w:rsidRPr="00A71D2E">
        <w:rPr>
          <w:rFonts w:eastAsia="宋体" w:cs="Times New Roman"/>
          <w:kern w:val="2"/>
          <w:szCs w:val="21"/>
          <w:u w:val="single"/>
        </w:rPr>
        <w:tab/>
      </w:r>
    </w:p>
    <w:p w:rsidR="00B5181D" w:rsidRPr="00A71D2E" w:rsidRDefault="00B5181D">
      <w:pPr>
        <w:tabs>
          <w:tab w:val="right" w:pos="15542"/>
        </w:tabs>
        <w:rPr>
          <w:rFonts w:eastAsia="宋体" w:cs="Times New Roman"/>
          <w:szCs w:val="21"/>
        </w:rPr>
      </w:pPr>
    </w:p>
    <w:p w:rsidR="00BF2CC8" w:rsidRPr="00A71D2E" w:rsidRDefault="008B5A95">
      <w:pPr>
        <w:jc w:val="center"/>
        <w:outlineLvl w:val="0"/>
        <w:rPr>
          <w:rFonts w:eastAsia="宋体" w:cs="Times New Roman"/>
          <w:szCs w:val="21"/>
        </w:rPr>
      </w:pPr>
      <w:r w:rsidRPr="00A71D2E">
        <w:rPr>
          <w:rFonts w:eastAsia="宋体" w:cs="Times New Roman" w:hint="eastAsia"/>
          <w:b/>
          <w:bCs/>
          <w:szCs w:val="21"/>
        </w:rPr>
        <w:t>母公司</w:t>
      </w:r>
      <w:r w:rsidR="001E01F0" w:rsidRPr="00A71D2E">
        <w:rPr>
          <w:rFonts w:eastAsia="宋体" w:cs="Times New Roman" w:hint="eastAsia"/>
          <w:b/>
          <w:bCs/>
          <w:szCs w:val="21"/>
        </w:rPr>
        <w:t>股东</w:t>
      </w:r>
      <w:r w:rsidR="00BF2CC8" w:rsidRPr="00A71D2E">
        <w:rPr>
          <w:rFonts w:eastAsia="宋体" w:cs="Times New Roman" w:hint="eastAsia"/>
          <w:b/>
          <w:bCs/>
          <w:szCs w:val="21"/>
        </w:rPr>
        <w:t>权益变动表</w:t>
      </w:r>
      <w:bookmarkStart w:id="0" w:name="当前项"/>
      <w:bookmarkEnd w:id="0"/>
    </w:p>
    <w:p w:rsidR="00DD5A35" w:rsidRPr="00A71D2E" w:rsidRDefault="00DD5A35">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Style w:val="aff5"/>
        <w:tblW w:w="15525" w:type="dxa"/>
        <w:tblInd w:w="-5" w:type="dxa"/>
        <w:tblLayout w:type="fixed"/>
        <w:tblLook w:val="04A0" w:firstRow="1" w:lastRow="0" w:firstColumn="1" w:lastColumn="0" w:noHBand="0" w:noVBand="1"/>
      </w:tblPr>
      <w:tblGrid>
        <w:gridCol w:w="3686"/>
        <w:gridCol w:w="2367"/>
        <w:gridCol w:w="2368"/>
        <w:gridCol w:w="2368"/>
        <w:gridCol w:w="2368"/>
        <w:gridCol w:w="2368"/>
      </w:tblGrid>
      <w:tr w:rsidR="008D4FCE" w:rsidRPr="002A1069" w:rsidTr="0027505B">
        <w:trPr>
          <w:trHeight w:val="20"/>
        </w:trPr>
        <w:tc>
          <w:tcPr>
            <w:tcW w:w="3686" w:type="dxa"/>
            <w:vMerge w:val="restart"/>
            <w:shd w:val="clear" w:color="auto" w:fill="D9D9D9"/>
            <w:vAlign w:val="center"/>
          </w:tcPr>
          <w:p w:rsidR="008D4FCE" w:rsidRPr="002A1069" w:rsidRDefault="008D4FCE">
            <w:pPr>
              <w:ind w:right="-11"/>
              <w:jc w:val="center"/>
              <w:rPr>
                <w:sz w:val="18"/>
                <w:szCs w:val="18"/>
              </w:rPr>
            </w:pPr>
            <w:r w:rsidRPr="002A1069">
              <w:rPr>
                <w:rFonts w:hint="eastAsia"/>
                <w:sz w:val="18"/>
                <w:szCs w:val="18"/>
              </w:rPr>
              <w:t>项目</w:t>
            </w:r>
          </w:p>
        </w:tc>
        <w:tc>
          <w:tcPr>
            <w:tcW w:w="11839" w:type="dxa"/>
            <w:gridSpan w:val="5"/>
            <w:shd w:val="clear" w:color="auto" w:fill="D9D9D9"/>
            <w:vAlign w:val="center"/>
          </w:tcPr>
          <w:p w:rsidR="008D4FCE" w:rsidRPr="002A1069" w:rsidRDefault="008D4FCE">
            <w:pPr>
              <w:ind w:right="-11"/>
              <w:jc w:val="center"/>
              <w:rPr>
                <w:sz w:val="18"/>
                <w:szCs w:val="18"/>
              </w:rPr>
            </w:pPr>
            <w:r w:rsidRPr="002A1069">
              <w:rPr>
                <w:rFonts w:hint="eastAsia"/>
                <w:sz w:val="18"/>
                <w:szCs w:val="18"/>
              </w:rPr>
              <w:t>本年</w:t>
            </w:r>
          </w:p>
        </w:tc>
      </w:tr>
      <w:tr w:rsidR="008D4FCE" w:rsidRPr="002A1069" w:rsidTr="0027505B">
        <w:trPr>
          <w:trHeight w:val="20"/>
        </w:trPr>
        <w:tc>
          <w:tcPr>
            <w:tcW w:w="3686" w:type="dxa"/>
            <w:vMerge/>
            <w:shd w:val="clear" w:color="auto" w:fill="D9D9D9"/>
            <w:vAlign w:val="center"/>
          </w:tcPr>
          <w:p w:rsidR="008D4FCE" w:rsidRPr="002A1069" w:rsidRDefault="008D4FCE">
            <w:pPr>
              <w:ind w:right="-11"/>
              <w:jc w:val="center"/>
              <w:rPr>
                <w:sz w:val="18"/>
                <w:szCs w:val="18"/>
              </w:rPr>
            </w:pPr>
          </w:p>
        </w:tc>
        <w:tc>
          <w:tcPr>
            <w:tcW w:w="2367" w:type="dxa"/>
            <w:shd w:val="clear" w:color="auto" w:fill="D9D9D9"/>
            <w:vAlign w:val="center"/>
          </w:tcPr>
          <w:p w:rsidR="008D4FCE" w:rsidRPr="002A1069" w:rsidRDefault="008D4FCE">
            <w:pPr>
              <w:ind w:right="-11"/>
              <w:jc w:val="center"/>
              <w:rPr>
                <w:sz w:val="18"/>
                <w:szCs w:val="18"/>
              </w:rPr>
            </w:pPr>
            <w:r w:rsidRPr="002A1069">
              <w:rPr>
                <w:rFonts w:hint="eastAsia"/>
                <w:sz w:val="18"/>
                <w:szCs w:val="18"/>
              </w:rPr>
              <w:t>股本</w:t>
            </w:r>
          </w:p>
        </w:tc>
        <w:tc>
          <w:tcPr>
            <w:tcW w:w="2368" w:type="dxa"/>
            <w:shd w:val="clear" w:color="auto" w:fill="D9D9D9"/>
            <w:vAlign w:val="center"/>
          </w:tcPr>
          <w:p w:rsidR="008D4FCE" w:rsidRPr="002A1069" w:rsidRDefault="008D4FCE">
            <w:pPr>
              <w:ind w:right="-11"/>
              <w:jc w:val="center"/>
              <w:rPr>
                <w:sz w:val="18"/>
                <w:szCs w:val="18"/>
              </w:rPr>
            </w:pPr>
            <w:r w:rsidRPr="002A1069">
              <w:rPr>
                <w:rFonts w:hint="eastAsia"/>
                <w:sz w:val="18"/>
                <w:szCs w:val="18"/>
              </w:rPr>
              <w:t>资本公积</w:t>
            </w:r>
          </w:p>
        </w:tc>
        <w:tc>
          <w:tcPr>
            <w:tcW w:w="2368" w:type="dxa"/>
            <w:shd w:val="clear" w:color="auto" w:fill="D9D9D9"/>
            <w:vAlign w:val="center"/>
          </w:tcPr>
          <w:p w:rsidR="008D4FCE" w:rsidRPr="002A1069" w:rsidRDefault="008D4FCE">
            <w:pPr>
              <w:ind w:right="-11"/>
              <w:jc w:val="center"/>
              <w:rPr>
                <w:sz w:val="18"/>
                <w:szCs w:val="18"/>
              </w:rPr>
            </w:pPr>
            <w:r w:rsidRPr="002A1069">
              <w:rPr>
                <w:rFonts w:hint="eastAsia"/>
                <w:sz w:val="18"/>
                <w:szCs w:val="18"/>
              </w:rPr>
              <w:t>盈余公积</w:t>
            </w:r>
          </w:p>
        </w:tc>
        <w:tc>
          <w:tcPr>
            <w:tcW w:w="2368" w:type="dxa"/>
            <w:shd w:val="clear" w:color="auto" w:fill="D9D9D9"/>
            <w:vAlign w:val="center"/>
          </w:tcPr>
          <w:p w:rsidR="008D4FCE" w:rsidRPr="002A1069" w:rsidRDefault="008D4FCE">
            <w:pPr>
              <w:ind w:right="-11"/>
              <w:jc w:val="center"/>
              <w:rPr>
                <w:sz w:val="18"/>
                <w:szCs w:val="18"/>
              </w:rPr>
            </w:pPr>
            <w:r w:rsidRPr="002A1069">
              <w:rPr>
                <w:rFonts w:hint="eastAsia"/>
                <w:sz w:val="18"/>
                <w:szCs w:val="18"/>
              </w:rPr>
              <w:t>未分配利润</w:t>
            </w:r>
          </w:p>
        </w:tc>
        <w:tc>
          <w:tcPr>
            <w:tcW w:w="2368" w:type="dxa"/>
            <w:shd w:val="clear" w:color="auto" w:fill="D9D9D9"/>
            <w:vAlign w:val="center"/>
          </w:tcPr>
          <w:p w:rsidR="008D4FCE" w:rsidRPr="002A1069" w:rsidRDefault="001E01F0">
            <w:pPr>
              <w:ind w:right="-11"/>
              <w:jc w:val="center"/>
              <w:rPr>
                <w:sz w:val="18"/>
                <w:szCs w:val="18"/>
              </w:rPr>
            </w:pPr>
            <w:r w:rsidRPr="002A1069">
              <w:rPr>
                <w:rFonts w:hint="eastAsia"/>
                <w:sz w:val="18"/>
                <w:szCs w:val="18"/>
              </w:rPr>
              <w:t>股东</w:t>
            </w:r>
            <w:r w:rsidR="008D4FCE" w:rsidRPr="002A1069">
              <w:rPr>
                <w:rFonts w:hint="eastAsia"/>
                <w:sz w:val="18"/>
                <w:szCs w:val="18"/>
              </w:rPr>
              <w:t>权益合计</w:t>
            </w:r>
          </w:p>
        </w:tc>
      </w:tr>
      <w:tr w:rsidR="001D6DA4" w:rsidRPr="002A1069" w:rsidTr="0027505B">
        <w:trPr>
          <w:trHeight w:val="20"/>
        </w:trPr>
        <w:tc>
          <w:tcPr>
            <w:tcW w:w="3686" w:type="dxa"/>
            <w:shd w:val="clear" w:color="auto" w:fill="D9D9D9"/>
            <w:vAlign w:val="center"/>
          </w:tcPr>
          <w:p w:rsidR="001D6DA4" w:rsidRPr="002A1069" w:rsidRDefault="001D6DA4" w:rsidP="001D6DA4">
            <w:pPr>
              <w:ind w:right="-11"/>
              <w:rPr>
                <w:sz w:val="18"/>
                <w:szCs w:val="18"/>
              </w:rPr>
            </w:pPr>
            <w:r w:rsidRPr="002A1069">
              <w:rPr>
                <w:rFonts w:hint="eastAsia"/>
                <w:sz w:val="18"/>
                <w:szCs w:val="18"/>
              </w:rPr>
              <w:t>一、上年年末余额</w:t>
            </w:r>
          </w:p>
        </w:tc>
        <w:tc>
          <w:tcPr>
            <w:tcW w:w="2367" w:type="dxa"/>
            <w:vAlign w:val="center"/>
          </w:tcPr>
          <w:p w:rsidR="001D6DA4" w:rsidRPr="002A1069" w:rsidRDefault="001D6DA4" w:rsidP="001D6DA4">
            <w:pPr>
              <w:ind w:right="-11"/>
              <w:jc w:val="right"/>
              <w:rPr>
                <w:bCs/>
                <w:sz w:val="18"/>
                <w:szCs w:val="18"/>
              </w:rPr>
            </w:pPr>
            <w:r w:rsidRPr="002A1069">
              <w:rPr>
                <w:bCs/>
                <w:sz w:val="18"/>
                <w:szCs w:val="18"/>
              </w:rPr>
              <w:t>562,500,000.00</w:t>
            </w:r>
          </w:p>
        </w:tc>
        <w:tc>
          <w:tcPr>
            <w:tcW w:w="2368" w:type="dxa"/>
            <w:vAlign w:val="center"/>
          </w:tcPr>
          <w:p w:rsidR="001D6DA4" w:rsidRPr="002A1069" w:rsidRDefault="001D6DA4" w:rsidP="001D6DA4">
            <w:pPr>
              <w:ind w:right="-11"/>
              <w:jc w:val="right"/>
              <w:rPr>
                <w:bCs/>
                <w:sz w:val="18"/>
                <w:szCs w:val="18"/>
              </w:rPr>
            </w:pPr>
            <w:r w:rsidRPr="002A1069">
              <w:rPr>
                <w:bCs/>
                <w:sz w:val="18"/>
                <w:szCs w:val="18"/>
              </w:rPr>
              <w:t>3,212,273,451.81</w:t>
            </w:r>
          </w:p>
        </w:tc>
        <w:tc>
          <w:tcPr>
            <w:tcW w:w="2368" w:type="dxa"/>
            <w:vAlign w:val="center"/>
          </w:tcPr>
          <w:p w:rsidR="001D6DA4" w:rsidRPr="002A1069" w:rsidRDefault="001D6DA4" w:rsidP="001D6DA4">
            <w:pPr>
              <w:ind w:right="-11"/>
              <w:jc w:val="right"/>
              <w:rPr>
                <w:bCs/>
                <w:sz w:val="18"/>
                <w:szCs w:val="18"/>
              </w:rPr>
            </w:pPr>
            <w:r w:rsidRPr="002A1069">
              <w:rPr>
                <w:bCs/>
                <w:sz w:val="18"/>
                <w:szCs w:val="18"/>
              </w:rPr>
              <w:t>40,903,366.63</w:t>
            </w:r>
          </w:p>
        </w:tc>
        <w:tc>
          <w:tcPr>
            <w:tcW w:w="2368" w:type="dxa"/>
            <w:vAlign w:val="center"/>
          </w:tcPr>
          <w:p w:rsidR="001D6DA4" w:rsidRPr="002A1069" w:rsidRDefault="001D6DA4" w:rsidP="001D6DA4">
            <w:pPr>
              <w:tabs>
                <w:tab w:val="decimal" w:pos="1332"/>
              </w:tabs>
              <w:ind w:right="-11"/>
              <w:jc w:val="right"/>
              <w:rPr>
                <w:bCs/>
                <w:sz w:val="18"/>
                <w:szCs w:val="18"/>
              </w:rPr>
            </w:pPr>
            <w:r w:rsidRPr="002A1069">
              <w:rPr>
                <w:bCs/>
                <w:sz w:val="18"/>
                <w:szCs w:val="18"/>
              </w:rPr>
              <w:t>195,425,211.67</w:t>
            </w:r>
          </w:p>
        </w:tc>
        <w:tc>
          <w:tcPr>
            <w:tcW w:w="2368" w:type="dxa"/>
            <w:vAlign w:val="center"/>
          </w:tcPr>
          <w:p w:rsidR="001D6DA4" w:rsidRPr="002A1069" w:rsidRDefault="001D6DA4" w:rsidP="001D6DA4">
            <w:pPr>
              <w:tabs>
                <w:tab w:val="decimal" w:pos="1333"/>
              </w:tabs>
              <w:ind w:right="-11"/>
              <w:jc w:val="right"/>
              <w:rPr>
                <w:bCs/>
                <w:sz w:val="18"/>
                <w:szCs w:val="18"/>
              </w:rPr>
            </w:pPr>
            <w:r w:rsidRPr="002A1069">
              <w:rPr>
                <w:bCs/>
                <w:sz w:val="18"/>
                <w:szCs w:val="18"/>
              </w:rPr>
              <w:t>4,011,102,030.11</w:t>
            </w:r>
          </w:p>
        </w:tc>
      </w:tr>
      <w:tr w:rsidR="007A5FD8" w:rsidRPr="002A1069" w:rsidTr="0027505B">
        <w:trPr>
          <w:trHeight w:val="20"/>
        </w:trPr>
        <w:tc>
          <w:tcPr>
            <w:tcW w:w="3686" w:type="dxa"/>
            <w:shd w:val="clear" w:color="auto" w:fill="D9D9D9"/>
            <w:vAlign w:val="center"/>
          </w:tcPr>
          <w:p w:rsidR="007A5FD8" w:rsidRPr="002A1069" w:rsidRDefault="007A5FD8" w:rsidP="007A5FD8">
            <w:pPr>
              <w:ind w:right="-11" w:firstLineChars="200" w:firstLine="360"/>
              <w:rPr>
                <w:sz w:val="18"/>
                <w:szCs w:val="18"/>
              </w:rPr>
            </w:pPr>
            <w:r w:rsidRPr="002A1069">
              <w:rPr>
                <w:rFonts w:hint="eastAsia"/>
                <w:sz w:val="18"/>
                <w:szCs w:val="18"/>
              </w:rPr>
              <w:t>加</w:t>
            </w:r>
            <w:r w:rsidR="005F14EE" w:rsidRPr="002A1069">
              <w:rPr>
                <w:rFonts w:hint="eastAsia"/>
                <w:sz w:val="18"/>
                <w:szCs w:val="18"/>
              </w:rPr>
              <w:t>：</w:t>
            </w:r>
            <w:r w:rsidRPr="002A1069">
              <w:rPr>
                <w:rFonts w:hint="eastAsia"/>
                <w:sz w:val="18"/>
                <w:szCs w:val="18"/>
              </w:rPr>
              <w:t>会计政策变更</w:t>
            </w:r>
            <w:r w:rsidR="005F14EE" w:rsidRPr="002A1069">
              <w:rPr>
                <w:sz w:val="18"/>
                <w:szCs w:val="18"/>
              </w:rPr>
              <w:t>(</w:t>
            </w:r>
            <w:r w:rsidRPr="002A1069">
              <w:rPr>
                <w:rFonts w:hint="eastAsia"/>
                <w:sz w:val="18"/>
                <w:szCs w:val="18"/>
              </w:rPr>
              <w:t>详见附注</w:t>
            </w:r>
            <w:r w:rsidR="005F14EE" w:rsidRPr="002A1069">
              <w:rPr>
                <w:sz w:val="18"/>
                <w:szCs w:val="18"/>
              </w:rPr>
              <w:t>(</w:t>
            </w:r>
            <w:r w:rsidRPr="002A1069">
              <w:rPr>
                <w:rFonts w:hint="eastAsia"/>
                <w:sz w:val="18"/>
                <w:szCs w:val="18"/>
              </w:rPr>
              <w:t>三</w:t>
            </w:r>
            <w:r w:rsidR="005F14EE" w:rsidRPr="002A1069">
              <w:rPr>
                <w:sz w:val="18"/>
                <w:szCs w:val="18"/>
              </w:rPr>
              <w:t>)</w:t>
            </w:r>
            <w:r w:rsidRPr="002A1069">
              <w:rPr>
                <w:rFonts w:hint="eastAsia"/>
                <w:sz w:val="18"/>
                <w:szCs w:val="18"/>
              </w:rPr>
              <w:t>、</w:t>
            </w:r>
            <w:r w:rsidRPr="002A1069">
              <w:rPr>
                <w:rFonts w:hint="eastAsia"/>
                <w:sz w:val="18"/>
                <w:szCs w:val="18"/>
              </w:rPr>
              <w:t>3</w:t>
            </w:r>
            <w:r w:rsidR="0036095E" w:rsidRPr="002A1069">
              <w:rPr>
                <w:sz w:val="18"/>
                <w:szCs w:val="18"/>
              </w:rPr>
              <w:t>3</w:t>
            </w:r>
            <w:r w:rsidR="005F14EE" w:rsidRPr="002A1069">
              <w:rPr>
                <w:sz w:val="18"/>
                <w:szCs w:val="18"/>
              </w:rPr>
              <w:t>)</w:t>
            </w:r>
          </w:p>
        </w:tc>
        <w:tc>
          <w:tcPr>
            <w:tcW w:w="2367" w:type="dxa"/>
            <w:vAlign w:val="center"/>
          </w:tcPr>
          <w:p w:rsidR="007A5FD8" w:rsidRPr="002A1069" w:rsidRDefault="007A5FD8" w:rsidP="007A5FD8">
            <w:pPr>
              <w:ind w:right="-11"/>
              <w:jc w:val="right"/>
              <w:rPr>
                <w:bCs/>
                <w:sz w:val="18"/>
                <w:szCs w:val="18"/>
              </w:rPr>
            </w:pPr>
            <w:r w:rsidRPr="002A1069">
              <w:rPr>
                <w:bCs/>
                <w:sz w:val="18"/>
                <w:szCs w:val="18"/>
              </w:rPr>
              <w:t>-    </w:t>
            </w:r>
          </w:p>
        </w:tc>
        <w:tc>
          <w:tcPr>
            <w:tcW w:w="2368" w:type="dxa"/>
            <w:vAlign w:val="center"/>
          </w:tcPr>
          <w:p w:rsidR="007A5FD8" w:rsidRPr="002A1069" w:rsidRDefault="007A5FD8" w:rsidP="007A5FD8">
            <w:pPr>
              <w:ind w:right="-11"/>
              <w:jc w:val="right"/>
              <w:rPr>
                <w:bCs/>
                <w:sz w:val="18"/>
                <w:szCs w:val="18"/>
              </w:rPr>
            </w:pPr>
            <w:r w:rsidRPr="002A1069">
              <w:rPr>
                <w:bCs/>
                <w:sz w:val="18"/>
                <w:szCs w:val="18"/>
              </w:rPr>
              <w:t>-    </w:t>
            </w:r>
          </w:p>
        </w:tc>
        <w:tc>
          <w:tcPr>
            <w:tcW w:w="2368" w:type="dxa"/>
            <w:vAlign w:val="center"/>
          </w:tcPr>
          <w:p w:rsidR="007A5FD8" w:rsidRPr="002A1069" w:rsidRDefault="007A5FD8" w:rsidP="007A5FD8">
            <w:pPr>
              <w:ind w:right="-11"/>
              <w:jc w:val="right"/>
              <w:rPr>
                <w:bCs/>
                <w:sz w:val="18"/>
                <w:szCs w:val="18"/>
              </w:rPr>
            </w:pPr>
            <w:r w:rsidRPr="002A1069">
              <w:rPr>
                <w:bCs/>
                <w:sz w:val="18"/>
                <w:szCs w:val="18"/>
              </w:rPr>
              <w:t>217,711.20</w:t>
            </w:r>
          </w:p>
        </w:tc>
        <w:tc>
          <w:tcPr>
            <w:tcW w:w="2368" w:type="dxa"/>
            <w:vAlign w:val="center"/>
          </w:tcPr>
          <w:p w:rsidR="007A5FD8" w:rsidRPr="002A1069" w:rsidRDefault="007A5FD8" w:rsidP="007A5FD8">
            <w:pPr>
              <w:tabs>
                <w:tab w:val="decimal" w:pos="1332"/>
              </w:tabs>
              <w:ind w:right="-11"/>
              <w:jc w:val="right"/>
              <w:rPr>
                <w:bCs/>
                <w:sz w:val="18"/>
                <w:szCs w:val="18"/>
              </w:rPr>
            </w:pPr>
            <w:r w:rsidRPr="002A1069">
              <w:rPr>
                <w:bCs/>
                <w:sz w:val="18"/>
                <w:szCs w:val="18"/>
              </w:rPr>
              <w:t>686,971.64</w:t>
            </w:r>
          </w:p>
        </w:tc>
        <w:tc>
          <w:tcPr>
            <w:tcW w:w="2368" w:type="dxa"/>
            <w:vAlign w:val="center"/>
          </w:tcPr>
          <w:p w:rsidR="007A5FD8" w:rsidRPr="002A1069" w:rsidRDefault="007A5FD8" w:rsidP="007A5FD8">
            <w:pPr>
              <w:tabs>
                <w:tab w:val="decimal" w:pos="1333"/>
              </w:tabs>
              <w:ind w:right="-11"/>
              <w:jc w:val="right"/>
              <w:rPr>
                <w:bCs/>
                <w:sz w:val="18"/>
                <w:szCs w:val="18"/>
              </w:rPr>
            </w:pPr>
            <w:r w:rsidRPr="002A1069">
              <w:rPr>
                <w:bCs/>
                <w:sz w:val="18"/>
                <w:szCs w:val="18"/>
              </w:rPr>
              <w:t>904,682.84</w:t>
            </w:r>
          </w:p>
        </w:tc>
      </w:tr>
      <w:tr w:rsidR="007A5FD8" w:rsidRPr="002A1069" w:rsidTr="0027505B">
        <w:trPr>
          <w:trHeight w:val="20"/>
        </w:trPr>
        <w:tc>
          <w:tcPr>
            <w:tcW w:w="3686" w:type="dxa"/>
            <w:shd w:val="clear" w:color="auto" w:fill="D9D9D9"/>
            <w:vAlign w:val="center"/>
          </w:tcPr>
          <w:p w:rsidR="007A5FD8" w:rsidRPr="002A1069" w:rsidRDefault="007A5FD8" w:rsidP="007A5FD8">
            <w:pPr>
              <w:ind w:right="-11"/>
              <w:rPr>
                <w:sz w:val="18"/>
                <w:szCs w:val="18"/>
              </w:rPr>
            </w:pPr>
            <w:r w:rsidRPr="002A1069">
              <w:rPr>
                <w:rFonts w:hint="eastAsia"/>
                <w:sz w:val="18"/>
                <w:szCs w:val="18"/>
              </w:rPr>
              <w:t>二、本年年初余额</w:t>
            </w:r>
          </w:p>
        </w:tc>
        <w:tc>
          <w:tcPr>
            <w:tcW w:w="2367" w:type="dxa"/>
            <w:vAlign w:val="center"/>
          </w:tcPr>
          <w:p w:rsidR="007A5FD8" w:rsidRPr="002A1069" w:rsidRDefault="007A5FD8" w:rsidP="007A5FD8">
            <w:pPr>
              <w:ind w:right="-11"/>
              <w:jc w:val="right"/>
              <w:rPr>
                <w:bCs/>
                <w:sz w:val="18"/>
                <w:szCs w:val="18"/>
              </w:rPr>
            </w:pPr>
            <w:r w:rsidRPr="002A1069">
              <w:rPr>
                <w:bCs/>
                <w:sz w:val="18"/>
                <w:szCs w:val="18"/>
              </w:rPr>
              <w:t>562,500,000.00</w:t>
            </w:r>
          </w:p>
        </w:tc>
        <w:tc>
          <w:tcPr>
            <w:tcW w:w="2368" w:type="dxa"/>
            <w:vAlign w:val="center"/>
          </w:tcPr>
          <w:p w:rsidR="007A5FD8" w:rsidRPr="002A1069" w:rsidRDefault="007A5FD8" w:rsidP="007A5FD8">
            <w:pPr>
              <w:ind w:right="-11"/>
              <w:jc w:val="right"/>
              <w:rPr>
                <w:bCs/>
                <w:sz w:val="18"/>
                <w:szCs w:val="18"/>
              </w:rPr>
            </w:pPr>
            <w:r w:rsidRPr="002A1069">
              <w:rPr>
                <w:bCs/>
                <w:sz w:val="18"/>
                <w:szCs w:val="18"/>
              </w:rPr>
              <w:t>3,212,273,451.81</w:t>
            </w:r>
          </w:p>
        </w:tc>
        <w:tc>
          <w:tcPr>
            <w:tcW w:w="2368" w:type="dxa"/>
            <w:vAlign w:val="center"/>
          </w:tcPr>
          <w:p w:rsidR="007A5FD8" w:rsidRPr="002A1069" w:rsidRDefault="007A5FD8" w:rsidP="007A5FD8">
            <w:pPr>
              <w:ind w:right="-11"/>
              <w:jc w:val="right"/>
              <w:rPr>
                <w:bCs/>
                <w:sz w:val="18"/>
                <w:szCs w:val="18"/>
              </w:rPr>
            </w:pPr>
            <w:r w:rsidRPr="002A1069">
              <w:rPr>
                <w:bCs/>
                <w:sz w:val="18"/>
                <w:szCs w:val="18"/>
              </w:rPr>
              <w:t>41,121,077.83</w:t>
            </w:r>
          </w:p>
        </w:tc>
        <w:tc>
          <w:tcPr>
            <w:tcW w:w="2368" w:type="dxa"/>
            <w:vAlign w:val="center"/>
          </w:tcPr>
          <w:p w:rsidR="007A5FD8" w:rsidRPr="002A1069" w:rsidRDefault="007A5FD8" w:rsidP="007A5FD8">
            <w:pPr>
              <w:tabs>
                <w:tab w:val="decimal" w:pos="1332"/>
              </w:tabs>
              <w:ind w:right="-11"/>
              <w:jc w:val="right"/>
              <w:rPr>
                <w:bCs/>
                <w:sz w:val="18"/>
                <w:szCs w:val="18"/>
              </w:rPr>
            </w:pPr>
            <w:r w:rsidRPr="002A1069">
              <w:rPr>
                <w:bCs/>
                <w:sz w:val="18"/>
                <w:szCs w:val="18"/>
              </w:rPr>
              <w:t>196,112,183.31</w:t>
            </w:r>
          </w:p>
        </w:tc>
        <w:tc>
          <w:tcPr>
            <w:tcW w:w="2368" w:type="dxa"/>
            <w:vAlign w:val="center"/>
          </w:tcPr>
          <w:p w:rsidR="007A5FD8" w:rsidRPr="002A1069" w:rsidRDefault="007A5FD8" w:rsidP="007A5FD8">
            <w:pPr>
              <w:tabs>
                <w:tab w:val="decimal" w:pos="1333"/>
              </w:tabs>
              <w:ind w:right="-11"/>
              <w:jc w:val="right"/>
              <w:rPr>
                <w:bCs/>
                <w:sz w:val="18"/>
                <w:szCs w:val="18"/>
              </w:rPr>
            </w:pPr>
            <w:r w:rsidRPr="002A1069">
              <w:rPr>
                <w:bCs/>
                <w:sz w:val="18"/>
                <w:szCs w:val="18"/>
              </w:rPr>
              <w:t>4,012,006,712.95</w:t>
            </w:r>
          </w:p>
        </w:tc>
      </w:tr>
      <w:tr w:rsidR="00110921" w:rsidRPr="002A1069" w:rsidTr="0027505B">
        <w:trPr>
          <w:trHeight w:val="20"/>
        </w:trPr>
        <w:tc>
          <w:tcPr>
            <w:tcW w:w="3686" w:type="dxa"/>
            <w:shd w:val="clear" w:color="auto" w:fill="D9D9D9"/>
            <w:vAlign w:val="center"/>
          </w:tcPr>
          <w:p w:rsidR="00110921" w:rsidRPr="002A1069" w:rsidRDefault="00110921" w:rsidP="00110921">
            <w:pPr>
              <w:ind w:right="-11"/>
              <w:rPr>
                <w:sz w:val="18"/>
                <w:szCs w:val="18"/>
              </w:rPr>
            </w:pPr>
            <w:r w:rsidRPr="002A1069">
              <w:rPr>
                <w:rFonts w:hint="eastAsia"/>
                <w:sz w:val="18"/>
                <w:szCs w:val="18"/>
              </w:rPr>
              <w:t>三、本年增减变动金额</w:t>
            </w:r>
          </w:p>
        </w:tc>
        <w:tc>
          <w:tcPr>
            <w:tcW w:w="2367" w:type="dxa"/>
            <w:vAlign w:val="center"/>
          </w:tcPr>
          <w:p w:rsidR="00110921" w:rsidRPr="002A1069" w:rsidRDefault="00110921" w:rsidP="00110921">
            <w:pPr>
              <w:ind w:right="-11"/>
              <w:jc w:val="right"/>
              <w:rPr>
                <w:sz w:val="18"/>
                <w:szCs w:val="18"/>
              </w:rPr>
            </w:pPr>
            <w:r w:rsidRPr="002A1069">
              <w:rPr>
                <w:bCs/>
                <w:sz w:val="18"/>
                <w:szCs w:val="18"/>
              </w:rPr>
              <w:t>-    </w:t>
            </w:r>
          </w:p>
        </w:tc>
        <w:tc>
          <w:tcPr>
            <w:tcW w:w="2368" w:type="dxa"/>
            <w:vAlign w:val="center"/>
          </w:tcPr>
          <w:p w:rsidR="00110921" w:rsidRPr="002A1069" w:rsidRDefault="0078445C" w:rsidP="00110921">
            <w:pPr>
              <w:ind w:right="-11"/>
              <w:jc w:val="right"/>
              <w:rPr>
                <w:sz w:val="18"/>
                <w:szCs w:val="18"/>
              </w:rPr>
            </w:pPr>
            <w:r w:rsidRPr="002A1069">
              <w:rPr>
                <w:sz w:val="18"/>
                <w:szCs w:val="18"/>
              </w:rPr>
              <w:t>3,948,452.98</w:t>
            </w:r>
          </w:p>
        </w:tc>
        <w:tc>
          <w:tcPr>
            <w:tcW w:w="2368" w:type="dxa"/>
            <w:vAlign w:val="center"/>
          </w:tcPr>
          <w:p w:rsidR="00110921" w:rsidRPr="002A1069" w:rsidRDefault="0078445C" w:rsidP="00110921">
            <w:pPr>
              <w:ind w:right="-11"/>
              <w:jc w:val="right"/>
              <w:rPr>
                <w:sz w:val="18"/>
                <w:szCs w:val="18"/>
              </w:rPr>
            </w:pPr>
            <w:r w:rsidRPr="002A1069">
              <w:rPr>
                <w:sz w:val="18"/>
                <w:szCs w:val="18"/>
              </w:rPr>
              <w:t>60,559,864.86</w:t>
            </w:r>
          </w:p>
        </w:tc>
        <w:tc>
          <w:tcPr>
            <w:tcW w:w="2368" w:type="dxa"/>
            <w:vAlign w:val="center"/>
          </w:tcPr>
          <w:p w:rsidR="00110921" w:rsidRPr="002A1069" w:rsidRDefault="0078445C" w:rsidP="00110921">
            <w:pPr>
              <w:tabs>
                <w:tab w:val="decimal" w:pos="1332"/>
              </w:tabs>
              <w:ind w:right="-11"/>
              <w:jc w:val="right"/>
              <w:rPr>
                <w:sz w:val="18"/>
                <w:szCs w:val="18"/>
              </w:rPr>
            </w:pPr>
            <w:r w:rsidRPr="002A1069">
              <w:rPr>
                <w:sz w:val="18"/>
                <w:szCs w:val="18"/>
              </w:rPr>
              <w:t>374,709,500.57</w:t>
            </w:r>
          </w:p>
        </w:tc>
        <w:tc>
          <w:tcPr>
            <w:tcW w:w="2368" w:type="dxa"/>
            <w:vAlign w:val="center"/>
          </w:tcPr>
          <w:p w:rsidR="00110921" w:rsidRPr="002A1069" w:rsidRDefault="0078445C" w:rsidP="00110921">
            <w:pPr>
              <w:tabs>
                <w:tab w:val="decimal" w:pos="1333"/>
              </w:tabs>
              <w:ind w:right="-11"/>
              <w:jc w:val="right"/>
              <w:rPr>
                <w:sz w:val="18"/>
                <w:szCs w:val="18"/>
              </w:rPr>
            </w:pPr>
            <w:r w:rsidRPr="002A1069">
              <w:rPr>
                <w:sz w:val="18"/>
                <w:szCs w:val="18"/>
              </w:rPr>
              <w:t>439,217,818.41</w:t>
            </w:r>
          </w:p>
        </w:tc>
      </w:tr>
      <w:tr w:rsidR="0078445C" w:rsidRPr="002A1069" w:rsidTr="0027505B">
        <w:trPr>
          <w:trHeight w:val="20"/>
        </w:trPr>
        <w:tc>
          <w:tcPr>
            <w:tcW w:w="3686" w:type="dxa"/>
            <w:shd w:val="clear" w:color="auto" w:fill="D9D9D9"/>
            <w:vAlign w:val="center"/>
          </w:tcPr>
          <w:p w:rsidR="0078445C" w:rsidRPr="002A1069" w:rsidRDefault="005F14EE" w:rsidP="0078445C">
            <w:pPr>
              <w:ind w:left="360" w:right="-11"/>
              <w:rPr>
                <w:sz w:val="18"/>
                <w:szCs w:val="18"/>
              </w:rPr>
            </w:pPr>
            <w:r w:rsidRPr="002A1069">
              <w:rPr>
                <w:sz w:val="18"/>
                <w:szCs w:val="18"/>
              </w:rPr>
              <w:t>(</w:t>
            </w:r>
            <w:proofErr w:type="gramStart"/>
            <w:r w:rsidR="0078445C" w:rsidRPr="002A1069">
              <w:rPr>
                <w:rFonts w:hint="eastAsia"/>
                <w:sz w:val="18"/>
                <w:szCs w:val="18"/>
              </w:rPr>
              <w:t>一</w:t>
            </w:r>
            <w:proofErr w:type="gramEnd"/>
            <w:r w:rsidRPr="002A1069">
              <w:rPr>
                <w:sz w:val="18"/>
                <w:szCs w:val="18"/>
              </w:rPr>
              <w:t>)</w:t>
            </w:r>
            <w:r w:rsidR="0078445C" w:rsidRPr="002A1069">
              <w:rPr>
                <w:rFonts w:hint="eastAsia"/>
                <w:sz w:val="18"/>
                <w:szCs w:val="18"/>
              </w:rPr>
              <w:t>综合收益总额</w:t>
            </w:r>
          </w:p>
        </w:tc>
        <w:tc>
          <w:tcPr>
            <w:tcW w:w="2367"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shd w:val="clear" w:color="auto" w:fill="auto"/>
            <w:vAlign w:val="center"/>
          </w:tcPr>
          <w:p w:rsidR="0078445C" w:rsidRPr="002A1069" w:rsidRDefault="0078445C" w:rsidP="0078445C">
            <w:pPr>
              <w:ind w:right="-11"/>
              <w:jc w:val="right"/>
              <w:rPr>
                <w:sz w:val="18"/>
                <w:szCs w:val="18"/>
              </w:rPr>
            </w:pPr>
            <w:r w:rsidRPr="002A1069">
              <w:rPr>
                <w:sz w:val="18"/>
                <w:szCs w:val="18"/>
              </w:rPr>
              <w:t>604,019,365.43</w:t>
            </w:r>
          </w:p>
        </w:tc>
        <w:tc>
          <w:tcPr>
            <w:tcW w:w="2368" w:type="dxa"/>
            <w:shd w:val="clear" w:color="auto" w:fill="auto"/>
            <w:vAlign w:val="center"/>
          </w:tcPr>
          <w:p w:rsidR="0078445C" w:rsidRPr="002A1069" w:rsidRDefault="0078445C" w:rsidP="0078445C">
            <w:pPr>
              <w:ind w:right="-11"/>
              <w:jc w:val="right"/>
              <w:rPr>
                <w:sz w:val="18"/>
                <w:szCs w:val="18"/>
              </w:rPr>
            </w:pPr>
            <w:r w:rsidRPr="002A1069">
              <w:rPr>
                <w:sz w:val="18"/>
                <w:szCs w:val="18"/>
              </w:rPr>
              <w:t>604,019,365.43</w:t>
            </w:r>
          </w:p>
        </w:tc>
      </w:tr>
      <w:tr w:rsidR="0078445C" w:rsidRPr="002A1069" w:rsidTr="0027505B">
        <w:trPr>
          <w:trHeight w:val="20"/>
        </w:trPr>
        <w:tc>
          <w:tcPr>
            <w:tcW w:w="3686" w:type="dxa"/>
            <w:shd w:val="clear" w:color="auto" w:fill="D9D9D9"/>
            <w:vAlign w:val="center"/>
          </w:tcPr>
          <w:p w:rsidR="0078445C" w:rsidRPr="002A1069" w:rsidRDefault="005F14EE" w:rsidP="0078445C">
            <w:pPr>
              <w:ind w:left="360" w:right="-11"/>
              <w:rPr>
                <w:sz w:val="18"/>
                <w:szCs w:val="18"/>
              </w:rPr>
            </w:pPr>
            <w:r w:rsidRPr="002A1069">
              <w:rPr>
                <w:sz w:val="18"/>
                <w:szCs w:val="18"/>
              </w:rPr>
              <w:t>(</w:t>
            </w:r>
            <w:r w:rsidR="0078445C" w:rsidRPr="002A1069">
              <w:rPr>
                <w:rFonts w:hint="eastAsia"/>
                <w:sz w:val="18"/>
                <w:szCs w:val="18"/>
              </w:rPr>
              <w:t>二</w:t>
            </w:r>
            <w:r w:rsidRPr="002A1069">
              <w:rPr>
                <w:sz w:val="18"/>
                <w:szCs w:val="18"/>
              </w:rPr>
              <w:t>)</w:t>
            </w:r>
            <w:r w:rsidR="0078445C" w:rsidRPr="002A1069">
              <w:rPr>
                <w:rFonts w:hint="eastAsia"/>
                <w:sz w:val="18"/>
                <w:szCs w:val="18"/>
              </w:rPr>
              <w:t>所有者投入和减少资本</w:t>
            </w:r>
          </w:p>
        </w:tc>
        <w:tc>
          <w:tcPr>
            <w:tcW w:w="2367"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sz w:val="18"/>
                <w:szCs w:val="18"/>
              </w:rPr>
              <w:t>3,948,452.98</w:t>
            </w:r>
          </w:p>
        </w:tc>
        <w:tc>
          <w:tcPr>
            <w:tcW w:w="2368"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tabs>
                <w:tab w:val="decimal" w:pos="1332"/>
              </w:tabs>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sz w:val="18"/>
                <w:szCs w:val="18"/>
              </w:rPr>
              <w:t>3,948,452.98</w:t>
            </w:r>
          </w:p>
        </w:tc>
      </w:tr>
      <w:tr w:rsidR="0078445C" w:rsidRPr="002A1069" w:rsidTr="0027505B">
        <w:trPr>
          <w:trHeight w:val="20"/>
        </w:trPr>
        <w:tc>
          <w:tcPr>
            <w:tcW w:w="3686" w:type="dxa"/>
            <w:shd w:val="clear" w:color="auto" w:fill="D9D9D9"/>
            <w:vAlign w:val="center"/>
          </w:tcPr>
          <w:p w:rsidR="0078445C" w:rsidRPr="002A1069" w:rsidRDefault="0078445C" w:rsidP="0078445C">
            <w:pPr>
              <w:ind w:left="657" w:right="-11"/>
              <w:rPr>
                <w:sz w:val="18"/>
                <w:szCs w:val="18"/>
              </w:rPr>
            </w:pPr>
            <w:r w:rsidRPr="002A1069">
              <w:rPr>
                <w:sz w:val="18"/>
                <w:szCs w:val="18"/>
              </w:rPr>
              <w:t>1.</w:t>
            </w:r>
            <w:r w:rsidRPr="002A1069">
              <w:rPr>
                <w:rFonts w:hint="eastAsia"/>
                <w:sz w:val="18"/>
                <w:szCs w:val="18"/>
              </w:rPr>
              <w:t>股份支付计入所有者权益的金额</w:t>
            </w:r>
          </w:p>
        </w:tc>
        <w:tc>
          <w:tcPr>
            <w:tcW w:w="2367"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sz w:val="18"/>
                <w:szCs w:val="18"/>
              </w:rPr>
              <w:t>3,948,452.98</w:t>
            </w:r>
          </w:p>
        </w:tc>
        <w:tc>
          <w:tcPr>
            <w:tcW w:w="2368"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tabs>
                <w:tab w:val="decimal" w:pos="1332"/>
              </w:tabs>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sz w:val="18"/>
                <w:szCs w:val="18"/>
              </w:rPr>
              <w:t>3,948,452.98</w:t>
            </w:r>
          </w:p>
        </w:tc>
      </w:tr>
      <w:tr w:rsidR="0078445C" w:rsidRPr="002A1069" w:rsidTr="0027505B">
        <w:trPr>
          <w:trHeight w:val="20"/>
        </w:trPr>
        <w:tc>
          <w:tcPr>
            <w:tcW w:w="3686" w:type="dxa"/>
            <w:shd w:val="clear" w:color="auto" w:fill="D9D9D9"/>
            <w:vAlign w:val="center"/>
          </w:tcPr>
          <w:p w:rsidR="0078445C" w:rsidRPr="002A1069" w:rsidRDefault="005F14EE" w:rsidP="0078445C">
            <w:pPr>
              <w:ind w:left="366" w:right="-11"/>
              <w:rPr>
                <w:sz w:val="18"/>
                <w:szCs w:val="18"/>
              </w:rPr>
            </w:pPr>
            <w:r w:rsidRPr="002A1069">
              <w:rPr>
                <w:sz w:val="18"/>
                <w:szCs w:val="18"/>
              </w:rPr>
              <w:t>(</w:t>
            </w:r>
            <w:r w:rsidR="0078445C" w:rsidRPr="002A1069">
              <w:rPr>
                <w:rFonts w:hint="eastAsia"/>
                <w:sz w:val="18"/>
                <w:szCs w:val="18"/>
              </w:rPr>
              <w:t>三</w:t>
            </w:r>
            <w:r w:rsidRPr="002A1069">
              <w:rPr>
                <w:sz w:val="18"/>
                <w:szCs w:val="18"/>
              </w:rPr>
              <w:t>)</w:t>
            </w:r>
            <w:r w:rsidR="0078445C" w:rsidRPr="002A1069">
              <w:rPr>
                <w:rFonts w:hint="eastAsia"/>
                <w:sz w:val="18"/>
                <w:szCs w:val="18"/>
              </w:rPr>
              <w:t>利润分配</w:t>
            </w:r>
          </w:p>
        </w:tc>
        <w:tc>
          <w:tcPr>
            <w:tcW w:w="2367"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sz w:val="18"/>
                <w:szCs w:val="18"/>
              </w:rPr>
              <w:t>60,559,864.86</w:t>
            </w:r>
          </w:p>
        </w:tc>
        <w:tc>
          <w:tcPr>
            <w:tcW w:w="2368" w:type="dxa"/>
            <w:vAlign w:val="center"/>
          </w:tcPr>
          <w:p w:rsidR="0078445C" w:rsidRPr="002A1069" w:rsidRDefault="005F14EE" w:rsidP="0078445C">
            <w:pPr>
              <w:tabs>
                <w:tab w:val="decimal" w:pos="1332"/>
              </w:tabs>
              <w:ind w:right="-11"/>
              <w:jc w:val="right"/>
              <w:rPr>
                <w:sz w:val="18"/>
                <w:szCs w:val="18"/>
              </w:rPr>
            </w:pPr>
            <w:r w:rsidRPr="002A1069">
              <w:rPr>
                <w:sz w:val="18"/>
                <w:szCs w:val="18"/>
              </w:rPr>
              <w:t>(</w:t>
            </w:r>
            <w:r w:rsidR="0078445C" w:rsidRPr="002A1069">
              <w:rPr>
                <w:sz w:val="18"/>
                <w:szCs w:val="18"/>
              </w:rPr>
              <w:t>229,309,864.86</w:t>
            </w:r>
            <w:r w:rsidRPr="002A1069">
              <w:rPr>
                <w:sz w:val="18"/>
                <w:szCs w:val="18"/>
              </w:rPr>
              <w:t>)</w:t>
            </w:r>
          </w:p>
        </w:tc>
        <w:tc>
          <w:tcPr>
            <w:tcW w:w="2368" w:type="dxa"/>
            <w:vAlign w:val="center"/>
          </w:tcPr>
          <w:p w:rsidR="0078445C" w:rsidRPr="002A1069" w:rsidRDefault="005F14EE" w:rsidP="0078445C">
            <w:pPr>
              <w:ind w:right="-11"/>
              <w:jc w:val="right"/>
              <w:rPr>
                <w:sz w:val="18"/>
                <w:szCs w:val="18"/>
              </w:rPr>
            </w:pPr>
            <w:r w:rsidRPr="002A1069">
              <w:rPr>
                <w:sz w:val="18"/>
                <w:szCs w:val="18"/>
              </w:rPr>
              <w:t>(</w:t>
            </w:r>
            <w:r w:rsidR="0078445C" w:rsidRPr="002A1069">
              <w:rPr>
                <w:sz w:val="18"/>
                <w:szCs w:val="18"/>
              </w:rPr>
              <w:t>168,750,000.00</w:t>
            </w:r>
            <w:r w:rsidRPr="002A1069">
              <w:rPr>
                <w:sz w:val="18"/>
                <w:szCs w:val="18"/>
              </w:rPr>
              <w:t>)</w:t>
            </w:r>
          </w:p>
        </w:tc>
      </w:tr>
      <w:tr w:rsidR="0078445C" w:rsidRPr="002A1069" w:rsidTr="0027505B">
        <w:trPr>
          <w:trHeight w:val="20"/>
        </w:trPr>
        <w:tc>
          <w:tcPr>
            <w:tcW w:w="3686" w:type="dxa"/>
            <w:shd w:val="clear" w:color="auto" w:fill="D9D9D9"/>
            <w:vAlign w:val="center"/>
          </w:tcPr>
          <w:p w:rsidR="0078445C" w:rsidRPr="002A1069" w:rsidRDefault="0078445C" w:rsidP="0078445C">
            <w:pPr>
              <w:ind w:left="657" w:right="-11"/>
              <w:rPr>
                <w:sz w:val="18"/>
                <w:szCs w:val="18"/>
              </w:rPr>
            </w:pPr>
            <w:r w:rsidRPr="002A1069">
              <w:rPr>
                <w:sz w:val="18"/>
                <w:szCs w:val="18"/>
              </w:rPr>
              <w:t>1.</w:t>
            </w:r>
            <w:r w:rsidRPr="002A1069">
              <w:rPr>
                <w:rFonts w:hint="eastAsia"/>
                <w:sz w:val="18"/>
                <w:szCs w:val="18"/>
              </w:rPr>
              <w:t>提取盈余公积</w:t>
            </w:r>
          </w:p>
        </w:tc>
        <w:tc>
          <w:tcPr>
            <w:tcW w:w="2367"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sz w:val="18"/>
                <w:szCs w:val="18"/>
              </w:rPr>
              <w:t>60,559,864.86</w:t>
            </w:r>
          </w:p>
        </w:tc>
        <w:tc>
          <w:tcPr>
            <w:tcW w:w="2368" w:type="dxa"/>
            <w:vAlign w:val="center"/>
          </w:tcPr>
          <w:p w:rsidR="0078445C" w:rsidRPr="002A1069" w:rsidRDefault="005F14EE" w:rsidP="0078445C">
            <w:pPr>
              <w:tabs>
                <w:tab w:val="decimal" w:pos="1332"/>
              </w:tabs>
              <w:ind w:right="-11"/>
              <w:jc w:val="right"/>
              <w:rPr>
                <w:sz w:val="18"/>
                <w:szCs w:val="18"/>
              </w:rPr>
            </w:pPr>
            <w:r w:rsidRPr="002A1069">
              <w:rPr>
                <w:sz w:val="18"/>
                <w:szCs w:val="18"/>
              </w:rPr>
              <w:t>(</w:t>
            </w:r>
            <w:r w:rsidR="0078445C" w:rsidRPr="002A1069">
              <w:rPr>
                <w:sz w:val="18"/>
                <w:szCs w:val="18"/>
              </w:rPr>
              <w:t>60,559,864.86</w:t>
            </w:r>
            <w:r w:rsidRPr="002A1069">
              <w:rPr>
                <w:sz w:val="18"/>
                <w:szCs w:val="18"/>
              </w:rPr>
              <w:t>)</w:t>
            </w:r>
          </w:p>
        </w:tc>
        <w:tc>
          <w:tcPr>
            <w:tcW w:w="2368" w:type="dxa"/>
            <w:vAlign w:val="center"/>
          </w:tcPr>
          <w:p w:rsidR="0078445C" w:rsidRPr="002A1069" w:rsidRDefault="0078445C" w:rsidP="0078445C">
            <w:pPr>
              <w:ind w:right="-11"/>
              <w:jc w:val="right"/>
              <w:rPr>
                <w:sz w:val="18"/>
                <w:szCs w:val="18"/>
              </w:rPr>
            </w:pPr>
            <w:r w:rsidRPr="002A1069">
              <w:rPr>
                <w:bCs/>
                <w:sz w:val="18"/>
                <w:szCs w:val="18"/>
              </w:rPr>
              <w:t>-    </w:t>
            </w:r>
          </w:p>
        </w:tc>
      </w:tr>
      <w:tr w:rsidR="0078445C" w:rsidRPr="002A1069" w:rsidTr="0027505B">
        <w:trPr>
          <w:trHeight w:val="20"/>
        </w:trPr>
        <w:tc>
          <w:tcPr>
            <w:tcW w:w="3686" w:type="dxa"/>
            <w:shd w:val="clear" w:color="auto" w:fill="D9D9D9"/>
            <w:vAlign w:val="center"/>
          </w:tcPr>
          <w:p w:rsidR="0078445C" w:rsidRPr="002A1069" w:rsidRDefault="0078445C" w:rsidP="0078445C">
            <w:pPr>
              <w:ind w:left="657" w:right="-11"/>
              <w:rPr>
                <w:sz w:val="18"/>
                <w:szCs w:val="18"/>
              </w:rPr>
            </w:pPr>
            <w:r w:rsidRPr="002A1069">
              <w:rPr>
                <w:rFonts w:hint="eastAsia"/>
                <w:sz w:val="18"/>
                <w:szCs w:val="18"/>
              </w:rPr>
              <w:t>2</w:t>
            </w:r>
            <w:r w:rsidRPr="002A1069">
              <w:rPr>
                <w:sz w:val="18"/>
                <w:szCs w:val="18"/>
              </w:rPr>
              <w:t>.</w:t>
            </w:r>
            <w:r w:rsidRPr="002A1069">
              <w:rPr>
                <w:rFonts w:hint="eastAsia"/>
                <w:sz w:val="18"/>
                <w:szCs w:val="18"/>
              </w:rPr>
              <w:t>对所有者的分配</w:t>
            </w:r>
          </w:p>
        </w:tc>
        <w:tc>
          <w:tcPr>
            <w:tcW w:w="2367"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78445C" w:rsidP="0078445C">
            <w:pPr>
              <w:ind w:right="-11"/>
              <w:jc w:val="right"/>
              <w:rPr>
                <w:sz w:val="18"/>
                <w:szCs w:val="18"/>
              </w:rPr>
            </w:pPr>
            <w:r w:rsidRPr="002A1069">
              <w:rPr>
                <w:bCs/>
                <w:sz w:val="18"/>
                <w:szCs w:val="18"/>
              </w:rPr>
              <w:t>-    </w:t>
            </w:r>
          </w:p>
        </w:tc>
        <w:tc>
          <w:tcPr>
            <w:tcW w:w="2368" w:type="dxa"/>
            <w:vAlign w:val="center"/>
          </w:tcPr>
          <w:p w:rsidR="0078445C" w:rsidRPr="002A1069" w:rsidRDefault="005F14EE" w:rsidP="0078445C">
            <w:pPr>
              <w:tabs>
                <w:tab w:val="decimal" w:pos="1332"/>
              </w:tabs>
              <w:ind w:right="-11"/>
              <w:jc w:val="right"/>
              <w:rPr>
                <w:sz w:val="18"/>
                <w:szCs w:val="18"/>
              </w:rPr>
            </w:pPr>
            <w:r w:rsidRPr="002A1069">
              <w:rPr>
                <w:sz w:val="18"/>
                <w:szCs w:val="18"/>
              </w:rPr>
              <w:t>(</w:t>
            </w:r>
            <w:r w:rsidR="0078445C" w:rsidRPr="002A1069">
              <w:rPr>
                <w:sz w:val="18"/>
                <w:szCs w:val="18"/>
              </w:rPr>
              <w:t>168,750,000.00</w:t>
            </w:r>
            <w:r w:rsidRPr="002A1069">
              <w:rPr>
                <w:sz w:val="18"/>
                <w:szCs w:val="18"/>
              </w:rPr>
              <w:t>)</w:t>
            </w:r>
          </w:p>
        </w:tc>
        <w:tc>
          <w:tcPr>
            <w:tcW w:w="2368" w:type="dxa"/>
            <w:vAlign w:val="center"/>
          </w:tcPr>
          <w:p w:rsidR="0078445C" w:rsidRPr="002A1069" w:rsidRDefault="005F14EE" w:rsidP="0078445C">
            <w:pPr>
              <w:ind w:right="-11"/>
              <w:jc w:val="right"/>
              <w:rPr>
                <w:sz w:val="18"/>
                <w:szCs w:val="18"/>
              </w:rPr>
            </w:pPr>
            <w:r w:rsidRPr="002A1069">
              <w:rPr>
                <w:sz w:val="18"/>
                <w:szCs w:val="18"/>
              </w:rPr>
              <w:t>(</w:t>
            </w:r>
            <w:r w:rsidR="0078445C" w:rsidRPr="002A1069">
              <w:rPr>
                <w:sz w:val="18"/>
                <w:szCs w:val="18"/>
              </w:rPr>
              <w:t>168,750,000.00</w:t>
            </w:r>
            <w:r w:rsidRPr="002A1069">
              <w:rPr>
                <w:sz w:val="18"/>
                <w:szCs w:val="18"/>
              </w:rPr>
              <w:t>)</w:t>
            </w:r>
          </w:p>
        </w:tc>
      </w:tr>
      <w:tr w:rsidR="0078445C" w:rsidRPr="002A1069" w:rsidTr="0027505B">
        <w:trPr>
          <w:trHeight w:val="20"/>
        </w:trPr>
        <w:tc>
          <w:tcPr>
            <w:tcW w:w="3686" w:type="dxa"/>
            <w:shd w:val="clear" w:color="auto" w:fill="D9D9D9"/>
            <w:vAlign w:val="center"/>
          </w:tcPr>
          <w:p w:rsidR="0078445C" w:rsidRPr="002A1069" w:rsidRDefault="0078445C" w:rsidP="0078445C">
            <w:pPr>
              <w:ind w:right="-11"/>
              <w:rPr>
                <w:sz w:val="18"/>
                <w:szCs w:val="18"/>
              </w:rPr>
            </w:pPr>
            <w:r w:rsidRPr="002A1069">
              <w:rPr>
                <w:rFonts w:hint="eastAsia"/>
                <w:b/>
                <w:sz w:val="18"/>
                <w:szCs w:val="18"/>
              </w:rPr>
              <w:t>四、本年年末余额</w:t>
            </w:r>
          </w:p>
        </w:tc>
        <w:tc>
          <w:tcPr>
            <w:tcW w:w="2367" w:type="dxa"/>
            <w:vAlign w:val="center"/>
          </w:tcPr>
          <w:p w:rsidR="0078445C" w:rsidRPr="002A1069" w:rsidRDefault="0078445C" w:rsidP="0078445C">
            <w:pPr>
              <w:ind w:right="-11"/>
              <w:jc w:val="right"/>
              <w:rPr>
                <w:b/>
                <w:sz w:val="18"/>
                <w:szCs w:val="18"/>
              </w:rPr>
            </w:pPr>
            <w:r w:rsidRPr="002A1069">
              <w:rPr>
                <w:b/>
                <w:sz w:val="18"/>
                <w:szCs w:val="18"/>
              </w:rPr>
              <w:t>562,500,000.00</w:t>
            </w:r>
          </w:p>
        </w:tc>
        <w:tc>
          <w:tcPr>
            <w:tcW w:w="2368" w:type="dxa"/>
            <w:vAlign w:val="center"/>
          </w:tcPr>
          <w:p w:rsidR="0078445C" w:rsidRPr="002A1069" w:rsidRDefault="0078445C" w:rsidP="0078445C">
            <w:pPr>
              <w:ind w:right="-11"/>
              <w:jc w:val="right"/>
              <w:rPr>
                <w:b/>
                <w:sz w:val="18"/>
                <w:szCs w:val="18"/>
              </w:rPr>
            </w:pPr>
            <w:r w:rsidRPr="002A1069">
              <w:rPr>
                <w:b/>
                <w:sz w:val="18"/>
                <w:szCs w:val="18"/>
              </w:rPr>
              <w:t>3,216,221,904.79</w:t>
            </w:r>
          </w:p>
        </w:tc>
        <w:tc>
          <w:tcPr>
            <w:tcW w:w="2368" w:type="dxa"/>
            <w:vAlign w:val="center"/>
          </w:tcPr>
          <w:p w:rsidR="0078445C" w:rsidRPr="002A1069" w:rsidRDefault="0078445C" w:rsidP="0078445C">
            <w:pPr>
              <w:ind w:right="-11"/>
              <w:jc w:val="right"/>
              <w:rPr>
                <w:b/>
                <w:sz w:val="18"/>
                <w:szCs w:val="18"/>
              </w:rPr>
            </w:pPr>
            <w:r w:rsidRPr="002A1069">
              <w:rPr>
                <w:b/>
                <w:sz w:val="18"/>
                <w:szCs w:val="18"/>
              </w:rPr>
              <w:t>101,680,942.69</w:t>
            </w:r>
          </w:p>
        </w:tc>
        <w:tc>
          <w:tcPr>
            <w:tcW w:w="2368" w:type="dxa"/>
            <w:vAlign w:val="center"/>
          </w:tcPr>
          <w:p w:rsidR="0078445C" w:rsidRPr="002A1069" w:rsidRDefault="0078445C" w:rsidP="0078445C">
            <w:pPr>
              <w:tabs>
                <w:tab w:val="decimal" w:pos="1332"/>
              </w:tabs>
              <w:ind w:right="-11"/>
              <w:jc w:val="right"/>
              <w:rPr>
                <w:b/>
                <w:sz w:val="18"/>
                <w:szCs w:val="18"/>
              </w:rPr>
            </w:pPr>
            <w:r w:rsidRPr="002A1069">
              <w:rPr>
                <w:b/>
                <w:sz w:val="18"/>
                <w:szCs w:val="18"/>
              </w:rPr>
              <w:t>570,821,683.88</w:t>
            </w:r>
          </w:p>
        </w:tc>
        <w:tc>
          <w:tcPr>
            <w:tcW w:w="2368" w:type="dxa"/>
            <w:vAlign w:val="center"/>
          </w:tcPr>
          <w:p w:rsidR="0078445C" w:rsidRPr="002A1069" w:rsidRDefault="0078445C" w:rsidP="0078445C">
            <w:pPr>
              <w:tabs>
                <w:tab w:val="decimal" w:pos="1333"/>
              </w:tabs>
              <w:ind w:right="-11"/>
              <w:jc w:val="right"/>
              <w:rPr>
                <w:b/>
                <w:sz w:val="18"/>
                <w:szCs w:val="18"/>
              </w:rPr>
            </w:pPr>
            <w:r w:rsidRPr="002A1069">
              <w:rPr>
                <w:b/>
                <w:sz w:val="18"/>
                <w:szCs w:val="18"/>
              </w:rPr>
              <w:t>4,451,224,531.36</w:t>
            </w:r>
          </w:p>
        </w:tc>
      </w:tr>
    </w:tbl>
    <w:p w:rsidR="008D4FCE" w:rsidRPr="00A71D2E" w:rsidRDefault="008D4FCE" w:rsidP="00F66363">
      <w:pPr>
        <w:rPr>
          <w:rFonts w:eastAsia="宋体" w:cs="Times New Roman"/>
          <w:szCs w:val="21"/>
        </w:rPr>
      </w:pPr>
    </w:p>
    <w:p w:rsidR="00B14D1A" w:rsidRPr="00A71D2E" w:rsidRDefault="00B14D1A">
      <w:pPr>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Style w:val="aff5"/>
        <w:tblW w:w="15525" w:type="dxa"/>
        <w:tblInd w:w="-5" w:type="dxa"/>
        <w:tblLayout w:type="fixed"/>
        <w:tblLook w:val="04A0" w:firstRow="1" w:lastRow="0" w:firstColumn="1" w:lastColumn="0" w:noHBand="0" w:noVBand="1"/>
      </w:tblPr>
      <w:tblGrid>
        <w:gridCol w:w="3686"/>
        <w:gridCol w:w="2367"/>
        <w:gridCol w:w="2368"/>
        <w:gridCol w:w="2368"/>
        <w:gridCol w:w="2368"/>
        <w:gridCol w:w="2368"/>
      </w:tblGrid>
      <w:tr w:rsidR="00541306" w:rsidRPr="002A1069" w:rsidTr="0027505B">
        <w:trPr>
          <w:trHeight w:val="20"/>
        </w:trPr>
        <w:tc>
          <w:tcPr>
            <w:tcW w:w="3686" w:type="dxa"/>
            <w:vMerge w:val="restart"/>
            <w:shd w:val="clear" w:color="auto" w:fill="D9D9D9"/>
            <w:vAlign w:val="center"/>
          </w:tcPr>
          <w:p w:rsidR="00541306" w:rsidRPr="002A1069" w:rsidRDefault="00541306" w:rsidP="00E456AF">
            <w:pPr>
              <w:ind w:right="-11"/>
              <w:jc w:val="center"/>
              <w:rPr>
                <w:sz w:val="18"/>
                <w:szCs w:val="18"/>
              </w:rPr>
            </w:pPr>
            <w:r w:rsidRPr="002A1069">
              <w:rPr>
                <w:rFonts w:hint="eastAsia"/>
                <w:sz w:val="18"/>
                <w:szCs w:val="18"/>
              </w:rPr>
              <w:t>项目</w:t>
            </w:r>
          </w:p>
        </w:tc>
        <w:tc>
          <w:tcPr>
            <w:tcW w:w="11839" w:type="dxa"/>
            <w:gridSpan w:val="5"/>
            <w:shd w:val="clear" w:color="auto" w:fill="D9D9D9"/>
            <w:vAlign w:val="center"/>
          </w:tcPr>
          <w:p w:rsidR="00541306" w:rsidRPr="002A1069" w:rsidRDefault="00541306" w:rsidP="00E456AF">
            <w:pPr>
              <w:ind w:right="-11"/>
              <w:jc w:val="center"/>
              <w:rPr>
                <w:sz w:val="18"/>
                <w:szCs w:val="18"/>
              </w:rPr>
            </w:pPr>
            <w:r w:rsidRPr="002A1069">
              <w:rPr>
                <w:rFonts w:hint="eastAsia"/>
                <w:sz w:val="18"/>
                <w:szCs w:val="18"/>
              </w:rPr>
              <w:t>上年</w:t>
            </w:r>
            <w:r w:rsidR="005F14EE" w:rsidRPr="002A1069">
              <w:rPr>
                <w:rFonts w:hint="eastAsia"/>
                <w:sz w:val="18"/>
                <w:szCs w:val="18"/>
              </w:rPr>
              <w:t>(</w:t>
            </w:r>
            <w:r w:rsidR="001D6DA4" w:rsidRPr="002A1069">
              <w:rPr>
                <w:rFonts w:hint="eastAsia"/>
                <w:sz w:val="18"/>
                <w:szCs w:val="18"/>
              </w:rPr>
              <w:t>已重述</w:t>
            </w:r>
            <w:r w:rsidR="005F14EE" w:rsidRPr="002A1069">
              <w:rPr>
                <w:rFonts w:hint="eastAsia"/>
                <w:sz w:val="18"/>
                <w:szCs w:val="18"/>
              </w:rPr>
              <w:t>)</w:t>
            </w:r>
          </w:p>
        </w:tc>
      </w:tr>
      <w:tr w:rsidR="00541306" w:rsidRPr="002A1069" w:rsidTr="0027505B">
        <w:trPr>
          <w:trHeight w:val="20"/>
        </w:trPr>
        <w:tc>
          <w:tcPr>
            <w:tcW w:w="3686" w:type="dxa"/>
            <w:vMerge/>
            <w:shd w:val="clear" w:color="auto" w:fill="D9D9D9"/>
            <w:vAlign w:val="center"/>
          </w:tcPr>
          <w:p w:rsidR="00541306" w:rsidRPr="002A1069" w:rsidRDefault="00541306" w:rsidP="00E456AF">
            <w:pPr>
              <w:ind w:right="-11"/>
              <w:jc w:val="center"/>
              <w:rPr>
                <w:sz w:val="18"/>
                <w:szCs w:val="18"/>
              </w:rPr>
            </w:pPr>
          </w:p>
        </w:tc>
        <w:tc>
          <w:tcPr>
            <w:tcW w:w="2367" w:type="dxa"/>
            <w:shd w:val="clear" w:color="auto" w:fill="D9D9D9"/>
            <w:vAlign w:val="center"/>
          </w:tcPr>
          <w:p w:rsidR="00541306" w:rsidRPr="002A1069" w:rsidRDefault="00541306" w:rsidP="00E456AF">
            <w:pPr>
              <w:ind w:right="-11"/>
              <w:jc w:val="center"/>
              <w:rPr>
                <w:sz w:val="18"/>
                <w:szCs w:val="18"/>
              </w:rPr>
            </w:pPr>
            <w:r w:rsidRPr="002A1069">
              <w:rPr>
                <w:rFonts w:hint="eastAsia"/>
                <w:sz w:val="18"/>
                <w:szCs w:val="18"/>
              </w:rPr>
              <w:t>股本</w:t>
            </w:r>
          </w:p>
        </w:tc>
        <w:tc>
          <w:tcPr>
            <w:tcW w:w="2368" w:type="dxa"/>
            <w:shd w:val="clear" w:color="auto" w:fill="D9D9D9"/>
            <w:vAlign w:val="center"/>
          </w:tcPr>
          <w:p w:rsidR="00541306" w:rsidRPr="002A1069" w:rsidRDefault="00541306" w:rsidP="00E456AF">
            <w:pPr>
              <w:ind w:right="-11"/>
              <w:jc w:val="center"/>
              <w:rPr>
                <w:sz w:val="18"/>
                <w:szCs w:val="18"/>
              </w:rPr>
            </w:pPr>
            <w:r w:rsidRPr="002A1069">
              <w:rPr>
                <w:rFonts w:hint="eastAsia"/>
                <w:sz w:val="18"/>
                <w:szCs w:val="18"/>
              </w:rPr>
              <w:t>资本公积</w:t>
            </w:r>
          </w:p>
        </w:tc>
        <w:tc>
          <w:tcPr>
            <w:tcW w:w="2368" w:type="dxa"/>
            <w:shd w:val="clear" w:color="auto" w:fill="D9D9D9"/>
            <w:vAlign w:val="center"/>
          </w:tcPr>
          <w:p w:rsidR="00541306" w:rsidRPr="002A1069" w:rsidRDefault="00541306" w:rsidP="00E456AF">
            <w:pPr>
              <w:ind w:right="-11"/>
              <w:jc w:val="center"/>
              <w:rPr>
                <w:sz w:val="18"/>
                <w:szCs w:val="18"/>
              </w:rPr>
            </w:pPr>
            <w:r w:rsidRPr="002A1069">
              <w:rPr>
                <w:rFonts w:hint="eastAsia"/>
                <w:sz w:val="18"/>
                <w:szCs w:val="18"/>
              </w:rPr>
              <w:t>盈余公积</w:t>
            </w:r>
          </w:p>
        </w:tc>
        <w:tc>
          <w:tcPr>
            <w:tcW w:w="2368" w:type="dxa"/>
            <w:shd w:val="clear" w:color="auto" w:fill="D9D9D9"/>
            <w:vAlign w:val="center"/>
          </w:tcPr>
          <w:p w:rsidR="00541306" w:rsidRPr="002A1069" w:rsidRDefault="00541306" w:rsidP="00E456AF">
            <w:pPr>
              <w:ind w:right="-11"/>
              <w:jc w:val="center"/>
              <w:rPr>
                <w:sz w:val="18"/>
                <w:szCs w:val="18"/>
              </w:rPr>
            </w:pPr>
            <w:r w:rsidRPr="002A1069">
              <w:rPr>
                <w:rFonts w:hint="eastAsia"/>
                <w:sz w:val="18"/>
                <w:szCs w:val="18"/>
              </w:rPr>
              <w:t>未分配利润</w:t>
            </w:r>
          </w:p>
        </w:tc>
        <w:tc>
          <w:tcPr>
            <w:tcW w:w="2368" w:type="dxa"/>
            <w:shd w:val="clear" w:color="auto" w:fill="D9D9D9"/>
            <w:vAlign w:val="center"/>
          </w:tcPr>
          <w:p w:rsidR="00541306" w:rsidRPr="002A1069" w:rsidRDefault="00541306" w:rsidP="00E456AF">
            <w:pPr>
              <w:ind w:right="-11"/>
              <w:jc w:val="center"/>
              <w:rPr>
                <w:sz w:val="18"/>
                <w:szCs w:val="18"/>
              </w:rPr>
            </w:pPr>
            <w:r w:rsidRPr="002A1069">
              <w:rPr>
                <w:rFonts w:hint="eastAsia"/>
                <w:sz w:val="18"/>
                <w:szCs w:val="18"/>
              </w:rPr>
              <w:t>股东权益合计</w:t>
            </w:r>
          </w:p>
        </w:tc>
      </w:tr>
      <w:tr w:rsidR="001D6DA4" w:rsidRPr="002A1069" w:rsidTr="0027505B">
        <w:trPr>
          <w:trHeight w:val="20"/>
        </w:trPr>
        <w:tc>
          <w:tcPr>
            <w:tcW w:w="3686" w:type="dxa"/>
            <w:shd w:val="clear" w:color="auto" w:fill="D9D9D9"/>
            <w:vAlign w:val="center"/>
          </w:tcPr>
          <w:p w:rsidR="001D6DA4" w:rsidRPr="002A1069" w:rsidRDefault="001D6DA4" w:rsidP="001D6DA4">
            <w:pPr>
              <w:ind w:right="-11"/>
              <w:rPr>
                <w:sz w:val="18"/>
                <w:szCs w:val="18"/>
              </w:rPr>
            </w:pPr>
            <w:r w:rsidRPr="002A1069">
              <w:rPr>
                <w:rFonts w:hint="eastAsia"/>
                <w:sz w:val="18"/>
                <w:szCs w:val="18"/>
              </w:rPr>
              <w:t>一、上年年末余额</w:t>
            </w:r>
          </w:p>
        </w:tc>
        <w:tc>
          <w:tcPr>
            <w:tcW w:w="2367" w:type="dxa"/>
            <w:vAlign w:val="center"/>
          </w:tcPr>
          <w:p w:rsidR="001D6DA4" w:rsidRPr="002A1069" w:rsidRDefault="001D6DA4" w:rsidP="001D6DA4">
            <w:pPr>
              <w:ind w:right="-11"/>
              <w:jc w:val="right"/>
              <w:rPr>
                <w:bCs/>
                <w:sz w:val="18"/>
                <w:szCs w:val="18"/>
              </w:rPr>
            </w:pPr>
            <w:r w:rsidRPr="002A1069">
              <w:rPr>
                <w:bCs/>
                <w:sz w:val="18"/>
                <w:szCs w:val="18"/>
              </w:rPr>
              <w:t>450,000,000.00</w:t>
            </w:r>
          </w:p>
        </w:tc>
        <w:tc>
          <w:tcPr>
            <w:tcW w:w="2368" w:type="dxa"/>
            <w:vAlign w:val="center"/>
          </w:tcPr>
          <w:p w:rsidR="001D6DA4" w:rsidRPr="002A1069" w:rsidRDefault="001D6DA4" w:rsidP="001D6DA4">
            <w:pPr>
              <w:ind w:right="-11"/>
              <w:jc w:val="right"/>
              <w:rPr>
                <w:bCs/>
                <w:sz w:val="18"/>
                <w:szCs w:val="18"/>
              </w:rPr>
            </w:pPr>
            <w:r w:rsidRPr="002A1069">
              <w:rPr>
                <w:bCs/>
                <w:sz w:val="18"/>
                <w:szCs w:val="18"/>
              </w:rPr>
              <w:t>202,531,959.18</w:t>
            </w:r>
          </w:p>
        </w:tc>
        <w:tc>
          <w:tcPr>
            <w:tcW w:w="2368" w:type="dxa"/>
            <w:vAlign w:val="center"/>
          </w:tcPr>
          <w:p w:rsidR="001D6DA4" w:rsidRPr="002A1069" w:rsidRDefault="001D6DA4" w:rsidP="001D6DA4">
            <w:pPr>
              <w:ind w:right="-11"/>
              <w:jc w:val="right"/>
              <w:rPr>
                <w:bCs/>
                <w:sz w:val="18"/>
                <w:szCs w:val="18"/>
              </w:rPr>
            </w:pPr>
            <w:r w:rsidRPr="002A1069">
              <w:rPr>
                <w:bCs/>
                <w:sz w:val="18"/>
                <w:szCs w:val="18"/>
              </w:rPr>
              <w:t xml:space="preserve">20,385,501.31 </w:t>
            </w:r>
          </w:p>
        </w:tc>
        <w:tc>
          <w:tcPr>
            <w:tcW w:w="2368" w:type="dxa"/>
            <w:vAlign w:val="center"/>
          </w:tcPr>
          <w:p w:rsidR="001D6DA4" w:rsidRPr="002A1069" w:rsidRDefault="001D6DA4" w:rsidP="001D6DA4">
            <w:pPr>
              <w:tabs>
                <w:tab w:val="decimal" w:pos="1332"/>
              </w:tabs>
              <w:ind w:right="-11"/>
              <w:jc w:val="right"/>
              <w:rPr>
                <w:bCs/>
                <w:sz w:val="18"/>
                <w:szCs w:val="18"/>
              </w:rPr>
            </w:pPr>
            <w:r w:rsidRPr="002A1069">
              <w:rPr>
                <w:bCs/>
                <w:sz w:val="18"/>
                <w:szCs w:val="18"/>
              </w:rPr>
              <w:t>10,764,423.78</w:t>
            </w:r>
          </w:p>
        </w:tc>
        <w:tc>
          <w:tcPr>
            <w:tcW w:w="2368" w:type="dxa"/>
            <w:vAlign w:val="center"/>
          </w:tcPr>
          <w:p w:rsidR="001D6DA4" w:rsidRPr="002A1069" w:rsidRDefault="001D6DA4" w:rsidP="001D6DA4">
            <w:pPr>
              <w:tabs>
                <w:tab w:val="decimal" w:pos="1333"/>
              </w:tabs>
              <w:ind w:right="-11"/>
              <w:jc w:val="right"/>
              <w:rPr>
                <w:bCs/>
                <w:sz w:val="18"/>
                <w:szCs w:val="18"/>
              </w:rPr>
            </w:pPr>
            <w:r w:rsidRPr="002A1069">
              <w:rPr>
                <w:bCs/>
                <w:sz w:val="18"/>
                <w:szCs w:val="18"/>
              </w:rPr>
              <w:t>683,681,884.27</w:t>
            </w:r>
          </w:p>
        </w:tc>
      </w:tr>
      <w:tr w:rsidR="00CF2A51" w:rsidRPr="002A1069" w:rsidTr="0027505B">
        <w:trPr>
          <w:trHeight w:val="20"/>
        </w:trPr>
        <w:tc>
          <w:tcPr>
            <w:tcW w:w="3686" w:type="dxa"/>
            <w:shd w:val="clear" w:color="auto" w:fill="D9D9D9"/>
            <w:vAlign w:val="center"/>
          </w:tcPr>
          <w:p w:rsidR="00CF2A51" w:rsidRPr="002A1069" w:rsidRDefault="00CF2A51" w:rsidP="00CF2A51">
            <w:pPr>
              <w:ind w:right="-11" w:firstLineChars="200" w:firstLine="360"/>
              <w:rPr>
                <w:sz w:val="18"/>
                <w:szCs w:val="18"/>
              </w:rPr>
            </w:pPr>
            <w:r w:rsidRPr="002A1069">
              <w:rPr>
                <w:rFonts w:hint="eastAsia"/>
                <w:sz w:val="18"/>
                <w:szCs w:val="18"/>
              </w:rPr>
              <w:t>加</w:t>
            </w:r>
            <w:r w:rsidR="005F14EE" w:rsidRPr="002A1069">
              <w:rPr>
                <w:rFonts w:hint="eastAsia"/>
                <w:sz w:val="18"/>
                <w:szCs w:val="18"/>
              </w:rPr>
              <w:t>：</w:t>
            </w:r>
            <w:r w:rsidRPr="002A1069">
              <w:rPr>
                <w:rFonts w:hint="eastAsia"/>
                <w:sz w:val="18"/>
                <w:szCs w:val="18"/>
              </w:rPr>
              <w:t>会计政策变更</w:t>
            </w:r>
            <w:r w:rsidR="005F14EE" w:rsidRPr="002A1069">
              <w:rPr>
                <w:sz w:val="18"/>
                <w:szCs w:val="18"/>
              </w:rPr>
              <w:t>(</w:t>
            </w:r>
            <w:r w:rsidRPr="002A1069">
              <w:rPr>
                <w:rFonts w:hint="eastAsia"/>
                <w:sz w:val="18"/>
                <w:szCs w:val="18"/>
              </w:rPr>
              <w:t>详见附注</w:t>
            </w:r>
            <w:r w:rsidR="005F14EE" w:rsidRPr="002A1069">
              <w:rPr>
                <w:sz w:val="18"/>
                <w:szCs w:val="18"/>
              </w:rPr>
              <w:t>(</w:t>
            </w:r>
            <w:r w:rsidRPr="002A1069">
              <w:rPr>
                <w:rFonts w:hint="eastAsia"/>
                <w:sz w:val="18"/>
                <w:szCs w:val="18"/>
              </w:rPr>
              <w:t>三</w:t>
            </w:r>
            <w:r w:rsidR="005F14EE" w:rsidRPr="002A1069">
              <w:rPr>
                <w:sz w:val="18"/>
                <w:szCs w:val="18"/>
              </w:rPr>
              <w:t>)</w:t>
            </w:r>
            <w:r w:rsidRPr="002A1069">
              <w:rPr>
                <w:rFonts w:hint="eastAsia"/>
                <w:sz w:val="18"/>
                <w:szCs w:val="18"/>
              </w:rPr>
              <w:t>、</w:t>
            </w:r>
            <w:r w:rsidRPr="002A1069">
              <w:rPr>
                <w:rFonts w:hint="eastAsia"/>
                <w:sz w:val="18"/>
                <w:szCs w:val="18"/>
              </w:rPr>
              <w:t>3</w:t>
            </w:r>
            <w:r w:rsidR="0036095E" w:rsidRPr="002A1069">
              <w:rPr>
                <w:sz w:val="18"/>
                <w:szCs w:val="18"/>
              </w:rPr>
              <w:t>3</w:t>
            </w:r>
            <w:r w:rsidR="005F14EE" w:rsidRPr="002A1069">
              <w:rPr>
                <w:sz w:val="18"/>
                <w:szCs w:val="18"/>
              </w:rPr>
              <w:t>)</w:t>
            </w:r>
          </w:p>
        </w:tc>
        <w:tc>
          <w:tcPr>
            <w:tcW w:w="2367" w:type="dxa"/>
            <w:vAlign w:val="center"/>
          </w:tcPr>
          <w:p w:rsidR="00CF2A51" w:rsidRPr="002A1069" w:rsidRDefault="00CF2A51" w:rsidP="00CF2A51">
            <w:pPr>
              <w:ind w:right="-11"/>
              <w:jc w:val="right"/>
              <w:rPr>
                <w:bCs/>
                <w:sz w:val="18"/>
                <w:szCs w:val="18"/>
              </w:rPr>
            </w:pPr>
            <w:r w:rsidRPr="002A1069">
              <w:rPr>
                <w:bCs/>
                <w:sz w:val="18"/>
                <w:szCs w:val="18"/>
              </w:rPr>
              <w:t>-    </w:t>
            </w:r>
          </w:p>
        </w:tc>
        <w:tc>
          <w:tcPr>
            <w:tcW w:w="2368" w:type="dxa"/>
            <w:vAlign w:val="center"/>
          </w:tcPr>
          <w:p w:rsidR="00CF2A51" w:rsidRPr="002A1069" w:rsidRDefault="00CF2A51" w:rsidP="00CF2A51">
            <w:pPr>
              <w:ind w:right="-11"/>
              <w:jc w:val="right"/>
              <w:rPr>
                <w:bCs/>
                <w:sz w:val="18"/>
                <w:szCs w:val="18"/>
              </w:rPr>
            </w:pPr>
            <w:r w:rsidRPr="002A1069">
              <w:rPr>
                <w:bCs/>
                <w:sz w:val="18"/>
                <w:szCs w:val="18"/>
              </w:rPr>
              <w:t>-    </w:t>
            </w:r>
          </w:p>
        </w:tc>
        <w:tc>
          <w:tcPr>
            <w:tcW w:w="2368" w:type="dxa"/>
            <w:vAlign w:val="center"/>
          </w:tcPr>
          <w:p w:rsidR="00CF2A51" w:rsidRPr="002A1069" w:rsidRDefault="001D5118" w:rsidP="00CF2A51">
            <w:pPr>
              <w:ind w:right="-11"/>
              <w:jc w:val="right"/>
              <w:rPr>
                <w:bCs/>
                <w:sz w:val="18"/>
                <w:szCs w:val="18"/>
              </w:rPr>
            </w:pPr>
            <w:r w:rsidRPr="002A1069">
              <w:rPr>
                <w:sz w:val="18"/>
                <w:szCs w:val="18"/>
              </w:rPr>
              <w:t>127,242.92</w:t>
            </w:r>
          </w:p>
        </w:tc>
        <w:tc>
          <w:tcPr>
            <w:tcW w:w="2368" w:type="dxa"/>
            <w:vAlign w:val="center"/>
          </w:tcPr>
          <w:p w:rsidR="00CF2A51" w:rsidRPr="002A1069" w:rsidRDefault="001D5118" w:rsidP="00CF2A51">
            <w:pPr>
              <w:tabs>
                <w:tab w:val="decimal" w:pos="1332"/>
              </w:tabs>
              <w:ind w:right="-11"/>
              <w:jc w:val="right"/>
              <w:rPr>
                <w:bCs/>
                <w:sz w:val="18"/>
                <w:szCs w:val="18"/>
              </w:rPr>
            </w:pPr>
            <w:r w:rsidRPr="002A1069">
              <w:rPr>
                <w:bCs/>
                <w:sz w:val="18"/>
                <w:szCs w:val="18"/>
              </w:rPr>
              <w:t>1,145,186.23</w:t>
            </w:r>
          </w:p>
        </w:tc>
        <w:tc>
          <w:tcPr>
            <w:tcW w:w="2368" w:type="dxa"/>
            <w:vAlign w:val="center"/>
          </w:tcPr>
          <w:p w:rsidR="00CF2A51" w:rsidRPr="002A1069" w:rsidRDefault="00CF2A51" w:rsidP="00CF2A51">
            <w:pPr>
              <w:tabs>
                <w:tab w:val="decimal" w:pos="1333"/>
              </w:tabs>
              <w:ind w:right="-11"/>
              <w:jc w:val="right"/>
              <w:rPr>
                <w:bCs/>
                <w:sz w:val="18"/>
                <w:szCs w:val="18"/>
              </w:rPr>
            </w:pPr>
            <w:r w:rsidRPr="002A1069">
              <w:rPr>
                <w:bCs/>
                <w:sz w:val="18"/>
                <w:szCs w:val="18"/>
              </w:rPr>
              <w:t>1,272,429.15</w:t>
            </w:r>
          </w:p>
        </w:tc>
      </w:tr>
      <w:tr w:rsidR="00CF2A51" w:rsidRPr="002A1069" w:rsidTr="0027505B">
        <w:trPr>
          <w:trHeight w:val="20"/>
        </w:trPr>
        <w:tc>
          <w:tcPr>
            <w:tcW w:w="3686" w:type="dxa"/>
            <w:shd w:val="clear" w:color="auto" w:fill="D9D9D9"/>
            <w:vAlign w:val="center"/>
          </w:tcPr>
          <w:p w:rsidR="00CF2A51" w:rsidRPr="002A1069" w:rsidRDefault="00CF2A51" w:rsidP="00CF2A51">
            <w:pPr>
              <w:ind w:right="-11"/>
              <w:rPr>
                <w:sz w:val="18"/>
                <w:szCs w:val="18"/>
              </w:rPr>
            </w:pPr>
            <w:r w:rsidRPr="002A1069">
              <w:rPr>
                <w:rFonts w:hint="eastAsia"/>
                <w:sz w:val="18"/>
                <w:szCs w:val="18"/>
              </w:rPr>
              <w:t>二、本年年初余额</w:t>
            </w:r>
          </w:p>
        </w:tc>
        <w:tc>
          <w:tcPr>
            <w:tcW w:w="2367" w:type="dxa"/>
            <w:vAlign w:val="center"/>
          </w:tcPr>
          <w:p w:rsidR="00CF2A51" w:rsidRPr="002A1069" w:rsidRDefault="00CF2A51" w:rsidP="00CF2A51">
            <w:pPr>
              <w:ind w:right="-11"/>
              <w:jc w:val="right"/>
              <w:rPr>
                <w:bCs/>
                <w:sz w:val="18"/>
                <w:szCs w:val="18"/>
              </w:rPr>
            </w:pPr>
            <w:r w:rsidRPr="002A1069">
              <w:rPr>
                <w:bCs/>
                <w:sz w:val="18"/>
                <w:szCs w:val="18"/>
              </w:rPr>
              <w:t>450,000,000.00</w:t>
            </w:r>
          </w:p>
        </w:tc>
        <w:tc>
          <w:tcPr>
            <w:tcW w:w="2368" w:type="dxa"/>
            <w:vAlign w:val="center"/>
          </w:tcPr>
          <w:p w:rsidR="00CF2A51" w:rsidRPr="002A1069" w:rsidRDefault="00CF2A51" w:rsidP="00CF2A51">
            <w:pPr>
              <w:ind w:right="-11"/>
              <w:jc w:val="right"/>
              <w:rPr>
                <w:bCs/>
                <w:sz w:val="18"/>
                <w:szCs w:val="18"/>
              </w:rPr>
            </w:pPr>
            <w:r w:rsidRPr="002A1069">
              <w:rPr>
                <w:bCs/>
                <w:sz w:val="18"/>
                <w:szCs w:val="18"/>
              </w:rPr>
              <w:t>202,531,959.18</w:t>
            </w:r>
          </w:p>
        </w:tc>
        <w:tc>
          <w:tcPr>
            <w:tcW w:w="2368" w:type="dxa"/>
            <w:vAlign w:val="center"/>
          </w:tcPr>
          <w:p w:rsidR="00CF2A51" w:rsidRPr="002A1069" w:rsidRDefault="001D5118" w:rsidP="00CF2A51">
            <w:pPr>
              <w:ind w:right="-11"/>
              <w:jc w:val="right"/>
              <w:rPr>
                <w:bCs/>
                <w:sz w:val="18"/>
                <w:szCs w:val="18"/>
              </w:rPr>
            </w:pPr>
            <w:r w:rsidRPr="002A1069">
              <w:rPr>
                <w:bCs/>
                <w:sz w:val="18"/>
                <w:szCs w:val="18"/>
              </w:rPr>
              <w:t xml:space="preserve">20,512,744.23 </w:t>
            </w:r>
            <w:r w:rsidR="00CF2A51" w:rsidRPr="002A1069">
              <w:rPr>
                <w:bCs/>
                <w:sz w:val="18"/>
                <w:szCs w:val="18"/>
              </w:rPr>
              <w:t xml:space="preserve"> </w:t>
            </w:r>
          </w:p>
        </w:tc>
        <w:tc>
          <w:tcPr>
            <w:tcW w:w="2368" w:type="dxa"/>
            <w:vAlign w:val="center"/>
          </w:tcPr>
          <w:p w:rsidR="00CF2A51" w:rsidRPr="002A1069" w:rsidRDefault="001D5118" w:rsidP="00CF2A51">
            <w:pPr>
              <w:tabs>
                <w:tab w:val="decimal" w:pos="1332"/>
              </w:tabs>
              <w:ind w:right="-11"/>
              <w:jc w:val="right"/>
              <w:rPr>
                <w:bCs/>
                <w:sz w:val="18"/>
                <w:szCs w:val="18"/>
              </w:rPr>
            </w:pPr>
            <w:r w:rsidRPr="002A1069">
              <w:rPr>
                <w:bCs/>
                <w:sz w:val="18"/>
                <w:szCs w:val="18"/>
              </w:rPr>
              <w:t>11,909,610.01</w:t>
            </w:r>
          </w:p>
        </w:tc>
        <w:tc>
          <w:tcPr>
            <w:tcW w:w="2368" w:type="dxa"/>
            <w:vAlign w:val="center"/>
          </w:tcPr>
          <w:p w:rsidR="00CF2A51" w:rsidRPr="002A1069" w:rsidRDefault="00CF2A51" w:rsidP="00CF2A51">
            <w:pPr>
              <w:tabs>
                <w:tab w:val="decimal" w:pos="1333"/>
              </w:tabs>
              <w:ind w:right="-11"/>
              <w:jc w:val="right"/>
              <w:rPr>
                <w:bCs/>
                <w:sz w:val="18"/>
                <w:szCs w:val="18"/>
              </w:rPr>
            </w:pPr>
            <w:r w:rsidRPr="002A1069">
              <w:rPr>
                <w:bCs/>
                <w:sz w:val="18"/>
                <w:szCs w:val="18"/>
              </w:rPr>
              <w:t>684,954,313.42</w:t>
            </w:r>
          </w:p>
        </w:tc>
      </w:tr>
      <w:tr w:rsidR="00CF2A51" w:rsidRPr="002A1069" w:rsidTr="0027505B">
        <w:trPr>
          <w:trHeight w:val="20"/>
        </w:trPr>
        <w:tc>
          <w:tcPr>
            <w:tcW w:w="3686" w:type="dxa"/>
            <w:shd w:val="clear" w:color="auto" w:fill="D9D9D9"/>
            <w:vAlign w:val="center"/>
          </w:tcPr>
          <w:p w:rsidR="00CF2A51" w:rsidRPr="002A1069" w:rsidRDefault="00CF2A51" w:rsidP="00CF2A51">
            <w:pPr>
              <w:ind w:right="-11"/>
              <w:rPr>
                <w:sz w:val="18"/>
                <w:szCs w:val="18"/>
              </w:rPr>
            </w:pPr>
            <w:r w:rsidRPr="002A1069">
              <w:rPr>
                <w:rFonts w:hint="eastAsia"/>
                <w:sz w:val="18"/>
                <w:szCs w:val="18"/>
              </w:rPr>
              <w:t>三、本年增减变动金额</w:t>
            </w:r>
          </w:p>
        </w:tc>
        <w:tc>
          <w:tcPr>
            <w:tcW w:w="2367" w:type="dxa"/>
            <w:vAlign w:val="center"/>
          </w:tcPr>
          <w:p w:rsidR="00CF2A51" w:rsidRPr="002A1069" w:rsidRDefault="00CF2A51" w:rsidP="00CF2A51">
            <w:pPr>
              <w:ind w:right="-11"/>
              <w:jc w:val="right"/>
              <w:rPr>
                <w:sz w:val="18"/>
                <w:szCs w:val="18"/>
              </w:rPr>
            </w:pPr>
            <w:r w:rsidRPr="002A1069">
              <w:rPr>
                <w:sz w:val="18"/>
                <w:szCs w:val="18"/>
              </w:rPr>
              <w:t>112,500,000.00</w:t>
            </w:r>
          </w:p>
        </w:tc>
        <w:tc>
          <w:tcPr>
            <w:tcW w:w="2368" w:type="dxa"/>
            <w:vAlign w:val="center"/>
          </w:tcPr>
          <w:p w:rsidR="00CF2A51" w:rsidRPr="002A1069" w:rsidRDefault="00CF2A51" w:rsidP="00CF2A51">
            <w:pPr>
              <w:ind w:right="-11"/>
              <w:jc w:val="right"/>
              <w:rPr>
                <w:sz w:val="18"/>
                <w:szCs w:val="18"/>
              </w:rPr>
            </w:pPr>
            <w:r w:rsidRPr="002A1069">
              <w:rPr>
                <w:sz w:val="18"/>
                <w:szCs w:val="18"/>
              </w:rPr>
              <w:t>3,009,741,492.63</w:t>
            </w:r>
          </w:p>
        </w:tc>
        <w:tc>
          <w:tcPr>
            <w:tcW w:w="2368" w:type="dxa"/>
            <w:vAlign w:val="center"/>
          </w:tcPr>
          <w:p w:rsidR="00CF2A51" w:rsidRPr="002A1069" w:rsidRDefault="001D5118" w:rsidP="00CF2A51">
            <w:pPr>
              <w:ind w:right="-11"/>
              <w:jc w:val="right"/>
              <w:rPr>
                <w:sz w:val="18"/>
                <w:szCs w:val="18"/>
              </w:rPr>
            </w:pPr>
            <w:r w:rsidRPr="002A1069">
              <w:rPr>
                <w:sz w:val="18"/>
                <w:szCs w:val="18"/>
              </w:rPr>
              <w:t>20,608,333.60</w:t>
            </w:r>
          </w:p>
        </w:tc>
        <w:tc>
          <w:tcPr>
            <w:tcW w:w="2368" w:type="dxa"/>
            <w:vAlign w:val="center"/>
          </w:tcPr>
          <w:p w:rsidR="00CF2A51" w:rsidRPr="002A1069" w:rsidRDefault="001D5118" w:rsidP="00CF2A51">
            <w:pPr>
              <w:tabs>
                <w:tab w:val="decimal" w:pos="1332"/>
              </w:tabs>
              <w:ind w:right="-11"/>
              <w:jc w:val="right"/>
              <w:rPr>
                <w:sz w:val="18"/>
                <w:szCs w:val="18"/>
              </w:rPr>
            </w:pPr>
            <w:r w:rsidRPr="002A1069">
              <w:rPr>
                <w:sz w:val="18"/>
                <w:szCs w:val="18"/>
              </w:rPr>
              <w:t xml:space="preserve">184,202,573.30 </w:t>
            </w:r>
          </w:p>
        </w:tc>
        <w:tc>
          <w:tcPr>
            <w:tcW w:w="2368" w:type="dxa"/>
            <w:vAlign w:val="center"/>
          </w:tcPr>
          <w:p w:rsidR="00CF2A51" w:rsidRPr="002A1069" w:rsidRDefault="00CF2A51" w:rsidP="00CF2A51">
            <w:pPr>
              <w:tabs>
                <w:tab w:val="decimal" w:pos="1333"/>
              </w:tabs>
              <w:ind w:right="-11"/>
              <w:jc w:val="right"/>
              <w:rPr>
                <w:sz w:val="18"/>
                <w:szCs w:val="18"/>
              </w:rPr>
            </w:pPr>
            <w:r w:rsidRPr="002A1069">
              <w:rPr>
                <w:sz w:val="18"/>
                <w:szCs w:val="18"/>
              </w:rPr>
              <w:t>3,327,052,399.53</w:t>
            </w:r>
          </w:p>
        </w:tc>
      </w:tr>
      <w:tr w:rsidR="00CF2A51" w:rsidRPr="002A1069" w:rsidTr="0027505B">
        <w:trPr>
          <w:trHeight w:val="20"/>
        </w:trPr>
        <w:tc>
          <w:tcPr>
            <w:tcW w:w="3686" w:type="dxa"/>
            <w:shd w:val="clear" w:color="auto" w:fill="D9D9D9"/>
            <w:vAlign w:val="center"/>
          </w:tcPr>
          <w:p w:rsidR="00CF2A51" w:rsidRPr="002A1069" w:rsidRDefault="005F14EE" w:rsidP="00CF2A51">
            <w:pPr>
              <w:ind w:left="360" w:right="-11"/>
              <w:rPr>
                <w:sz w:val="18"/>
                <w:szCs w:val="18"/>
              </w:rPr>
            </w:pPr>
            <w:r w:rsidRPr="002A1069">
              <w:rPr>
                <w:sz w:val="18"/>
                <w:szCs w:val="18"/>
              </w:rPr>
              <w:t>(</w:t>
            </w:r>
            <w:proofErr w:type="gramStart"/>
            <w:r w:rsidR="00CF2A51" w:rsidRPr="002A1069">
              <w:rPr>
                <w:rFonts w:hint="eastAsia"/>
                <w:sz w:val="18"/>
                <w:szCs w:val="18"/>
              </w:rPr>
              <w:t>一</w:t>
            </w:r>
            <w:proofErr w:type="gramEnd"/>
            <w:r w:rsidRPr="002A1069">
              <w:rPr>
                <w:sz w:val="18"/>
                <w:szCs w:val="18"/>
              </w:rPr>
              <w:t>)</w:t>
            </w:r>
            <w:r w:rsidR="00CF2A51" w:rsidRPr="002A1069">
              <w:rPr>
                <w:rFonts w:hint="eastAsia"/>
                <w:sz w:val="18"/>
                <w:szCs w:val="18"/>
              </w:rPr>
              <w:t>综合收益总额</w:t>
            </w:r>
          </w:p>
        </w:tc>
        <w:tc>
          <w:tcPr>
            <w:tcW w:w="2367"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shd w:val="clear" w:color="auto" w:fill="auto"/>
            <w:vAlign w:val="center"/>
          </w:tcPr>
          <w:p w:rsidR="00CF2A51" w:rsidRPr="002A1069" w:rsidRDefault="00CF2A51" w:rsidP="00CF2A51">
            <w:pPr>
              <w:ind w:right="-11"/>
              <w:jc w:val="right"/>
              <w:rPr>
                <w:sz w:val="18"/>
                <w:szCs w:val="18"/>
              </w:rPr>
            </w:pPr>
            <w:r w:rsidRPr="002A1069">
              <w:rPr>
                <w:sz w:val="18"/>
                <w:szCs w:val="18"/>
              </w:rPr>
              <w:t>204,810,906.90</w:t>
            </w:r>
          </w:p>
        </w:tc>
        <w:tc>
          <w:tcPr>
            <w:tcW w:w="2368" w:type="dxa"/>
            <w:shd w:val="clear" w:color="auto" w:fill="auto"/>
            <w:vAlign w:val="center"/>
          </w:tcPr>
          <w:p w:rsidR="00CF2A51" w:rsidRPr="002A1069" w:rsidRDefault="00CF2A51" w:rsidP="00CF2A51">
            <w:pPr>
              <w:ind w:right="-11"/>
              <w:jc w:val="right"/>
              <w:rPr>
                <w:sz w:val="18"/>
                <w:szCs w:val="18"/>
              </w:rPr>
            </w:pPr>
            <w:r w:rsidRPr="002A1069">
              <w:rPr>
                <w:sz w:val="18"/>
                <w:szCs w:val="18"/>
              </w:rPr>
              <w:t>204,810,906.90</w:t>
            </w:r>
          </w:p>
        </w:tc>
      </w:tr>
      <w:tr w:rsidR="00CF2A51" w:rsidRPr="002A1069" w:rsidTr="0027505B">
        <w:trPr>
          <w:trHeight w:val="20"/>
        </w:trPr>
        <w:tc>
          <w:tcPr>
            <w:tcW w:w="3686" w:type="dxa"/>
            <w:shd w:val="clear" w:color="auto" w:fill="D9D9D9"/>
            <w:vAlign w:val="center"/>
          </w:tcPr>
          <w:p w:rsidR="00CF2A51" w:rsidRPr="002A1069" w:rsidRDefault="005F14EE" w:rsidP="00CF2A51">
            <w:pPr>
              <w:ind w:left="360" w:right="-11"/>
              <w:rPr>
                <w:sz w:val="18"/>
                <w:szCs w:val="18"/>
              </w:rPr>
            </w:pPr>
            <w:r w:rsidRPr="002A1069">
              <w:rPr>
                <w:sz w:val="18"/>
                <w:szCs w:val="18"/>
              </w:rPr>
              <w:t>(</w:t>
            </w:r>
            <w:r w:rsidR="00CF2A51" w:rsidRPr="002A1069">
              <w:rPr>
                <w:rFonts w:hint="eastAsia"/>
                <w:sz w:val="18"/>
                <w:szCs w:val="18"/>
              </w:rPr>
              <w:t>二</w:t>
            </w:r>
            <w:r w:rsidRPr="002A1069">
              <w:rPr>
                <w:sz w:val="18"/>
                <w:szCs w:val="18"/>
              </w:rPr>
              <w:t>)</w:t>
            </w:r>
            <w:r w:rsidR="00CF2A51" w:rsidRPr="002A1069">
              <w:rPr>
                <w:rFonts w:hint="eastAsia"/>
                <w:sz w:val="18"/>
                <w:szCs w:val="18"/>
              </w:rPr>
              <w:t>所有者投入和减少资本</w:t>
            </w:r>
          </w:p>
        </w:tc>
        <w:tc>
          <w:tcPr>
            <w:tcW w:w="2367" w:type="dxa"/>
            <w:vAlign w:val="center"/>
          </w:tcPr>
          <w:p w:rsidR="00CF2A51" w:rsidRPr="002A1069" w:rsidRDefault="00CF2A51" w:rsidP="00CF2A51">
            <w:pPr>
              <w:ind w:right="-11"/>
              <w:jc w:val="right"/>
              <w:rPr>
                <w:sz w:val="18"/>
                <w:szCs w:val="18"/>
              </w:rPr>
            </w:pPr>
            <w:r w:rsidRPr="002A1069">
              <w:rPr>
                <w:sz w:val="18"/>
                <w:szCs w:val="18"/>
              </w:rPr>
              <w:t>112,500,000.00</w:t>
            </w:r>
          </w:p>
        </w:tc>
        <w:tc>
          <w:tcPr>
            <w:tcW w:w="2368" w:type="dxa"/>
            <w:vAlign w:val="center"/>
          </w:tcPr>
          <w:p w:rsidR="00CF2A51" w:rsidRPr="002A1069" w:rsidRDefault="00CF2A51" w:rsidP="00CF2A51">
            <w:pPr>
              <w:ind w:right="-11"/>
              <w:jc w:val="right"/>
              <w:rPr>
                <w:sz w:val="18"/>
                <w:szCs w:val="18"/>
              </w:rPr>
            </w:pPr>
            <w:r w:rsidRPr="002A1069">
              <w:rPr>
                <w:sz w:val="18"/>
                <w:szCs w:val="18"/>
              </w:rPr>
              <w:t>3,009,741,492.63</w:t>
            </w:r>
          </w:p>
        </w:tc>
        <w:tc>
          <w:tcPr>
            <w:tcW w:w="2368"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CF2A51" w:rsidP="00CF2A51">
            <w:pPr>
              <w:tabs>
                <w:tab w:val="decimal" w:pos="1332"/>
              </w:tabs>
              <w:ind w:right="-11"/>
              <w:jc w:val="right"/>
              <w:rPr>
                <w:sz w:val="18"/>
                <w:szCs w:val="18"/>
              </w:rPr>
            </w:pPr>
            <w:r w:rsidRPr="002A1069">
              <w:rPr>
                <w:sz w:val="18"/>
                <w:szCs w:val="18"/>
              </w:rPr>
              <w:t>-    </w:t>
            </w:r>
          </w:p>
        </w:tc>
        <w:tc>
          <w:tcPr>
            <w:tcW w:w="2368" w:type="dxa"/>
            <w:vAlign w:val="center"/>
          </w:tcPr>
          <w:p w:rsidR="00CF2A51" w:rsidRPr="002A1069" w:rsidRDefault="00CF2A51" w:rsidP="00CF2A51">
            <w:pPr>
              <w:ind w:right="-11"/>
              <w:jc w:val="right"/>
              <w:rPr>
                <w:sz w:val="18"/>
                <w:szCs w:val="18"/>
              </w:rPr>
            </w:pPr>
            <w:r w:rsidRPr="002A1069">
              <w:rPr>
                <w:sz w:val="18"/>
                <w:szCs w:val="18"/>
              </w:rPr>
              <w:t>3,122,241,492.63</w:t>
            </w:r>
          </w:p>
        </w:tc>
      </w:tr>
      <w:tr w:rsidR="00CF2A51" w:rsidRPr="002A1069" w:rsidTr="0027505B">
        <w:trPr>
          <w:trHeight w:val="20"/>
        </w:trPr>
        <w:tc>
          <w:tcPr>
            <w:tcW w:w="3686" w:type="dxa"/>
            <w:shd w:val="clear" w:color="auto" w:fill="D9D9D9"/>
            <w:vAlign w:val="center"/>
          </w:tcPr>
          <w:p w:rsidR="00CF2A51" w:rsidRPr="002A1069" w:rsidRDefault="00CF2A51" w:rsidP="00CF2A51">
            <w:pPr>
              <w:ind w:left="660" w:right="-11"/>
              <w:rPr>
                <w:sz w:val="18"/>
                <w:szCs w:val="18"/>
              </w:rPr>
            </w:pPr>
            <w:r w:rsidRPr="002A1069">
              <w:rPr>
                <w:sz w:val="18"/>
                <w:szCs w:val="18"/>
              </w:rPr>
              <w:t>1.</w:t>
            </w:r>
            <w:r w:rsidRPr="002A1069">
              <w:rPr>
                <w:rFonts w:hint="eastAsia"/>
                <w:sz w:val="18"/>
                <w:szCs w:val="18"/>
              </w:rPr>
              <w:t>股东投入的普通股</w:t>
            </w:r>
          </w:p>
        </w:tc>
        <w:tc>
          <w:tcPr>
            <w:tcW w:w="2367" w:type="dxa"/>
            <w:vAlign w:val="center"/>
          </w:tcPr>
          <w:p w:rsidR="00CF2A51" w:rsidRPr="002A1069" w:rsidRDefault="00CF2A51" w:rsidP="00CF2A51">
            <w:pPr>
              <w:ind w:right="-11"/>
              <w:jc w:val="right"/>
              <w:rPr>
                <w:sz w:val="18"/>
                <w:szCs w:val="18"/>
              </w:rPr>
            </w:pPr>
            <w:r w:rsidRPr="002A1069">
              <w:rPr>
                <w:sz w:val="18"/>
                <w:szCs w:val="18"/>
              </w:rPr>
              <w:t>112,500,000.00</w:t>
            </w:r>
          </w:p>
        </w:tc>
        <w:tc>
          <w:tcPr>
            <w:tcW w:w="2368" w:type="dxa"/>
            <w:vAlign w:val="center"/>
          </w:tcPr>
          <w:p w:rsidR="00CF2A51" w:rsidRPr="002A1069" w:rsidRDefault="00CF2A51" w:rsidP="00CF2A51">
            <w:pPr>
              <w:ind w:right="-11"/>
              <w:jc w:val="right"/>
              <w:rPr>
                <w:sz w:val="18"/>
                <w:szCs w:val="18"/>
              </w:rPr>
            </w:pPr>
            <w:r w:rsidRPr="002A1069">
              <w:rPr>
                <w:sz w:val="18"/>
                <w:szCs w:val="18"/>
              </w:rPr>
              <w:t>3,008,865,252.83</w:t>
            </w:r>
          </w:p>
        </w:tc>
        <w:tc>
          <w:tcPr>
            <w:tcW w:w="2368"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CF2A51" w:rsidP="00CF2A51">
            <w:pPr>
              <w:tabs>
                <w:tab w:val="decimal" w:pos="1332"/>
              </w:tabs>
              <w:ind w:right="-11"/>
              <w:jc w:val="right"/>
              <w:rPr>
                <w:sz w:val="18"/>
                <w:szCs w:val="18"/>
              </w:rPr>
            </w:pPr>
            <w:r w:rsidRPr="002A1069">
              <w:rPr>
                <w:sz w:val="18"/>
                <w:szCs w:val="18"/>
              </w:rPr>
              <w:t>-    </w:t>
            </w:r>
          </w:p>
        </w:tc>
        <w:tc>
          <w:tcPr>
            <w:tcW w:w="2368" w:type="dxa"/>
            <w:vAlign w:val="center"/>
          </w:tcPr>
          <w:p w:rsidR="00CF2A51" w:rsidRPr="002A1069" w:rsidRDefault="00CF2A51" w:rsidP="00CF2A51">
            <w:pPr>
              <w:ind w:right="-11"/>
              <w:jc w:val="right"/>
              <w:rPr>
                <w:sz w:val="18"/>
                <w:szCs w:val="18"/>
              </w:rPr>
            </w:pPr>
            <w:r w:rsidRPr="002A1069">
              <w:rPr>
                <w:sz w:val="18"/>
                <w:szCs w:val="18"/>
              </w:rPr>
              <w:t>3,121,365,252.83</w:t>
            </w:r>
          </w:p>
        </w:tc>
      </w:tr>
      <w:tr w:rsidR="00CF2A51" w:rsidRPr="002A1069" w:rsidTr="0027505B">
        <w:trPr>
          <w:trHeight w:val="20"/>
        </w:trPr>
        <w:tc>
          <w:tcPr>
            <w:tcW w:w="3686" w:type="dxa"/>
            <w:shd w:val="clear" w:color="auto" w:fill="D9D9D9"/>
            <w:vAlign w:val="center"/>
          </w:tcPr>
          <w:p w:rsidR="00CF2A51" w:rsidRPr="002A1069" w:rsidRDefault="00CF2A51" w:rsidP="00CF2A51">
            <w:pPr>
              <w:ind w:left="657" w:right="-11"/>
              <w:rPr>
                <w:sz w:val="18"/>
                <w:szCs w:val="18"/>
              </w:rPr>
            </w:pPr>
            <w:r w:rsidRPr="002A1069">
              <w:rPr>
                <w:sz w:val="18"/>
                <w:szCs w:val="18"/>
              </w:rPr>
              <w:t>2.</w:t>
            </w:r>
            <w:r w:rsidRPr="002A1069">
              <w:rPr>
                <w:rFonts w:hint="eastAsia"/>
                <w:sz w:val="18"/>
                <w:szCs w:val="18"/>
              </w:rPr>
              <w:t>股份支付计入所有者权益的金额</w:t>
            </w:r>
          </w:p>
        </w:tc>
        <w:tc>
          <w:tcPr>
            <w:tcW w:w="2367"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CF2A51" w:rsidP="00CF2A51">
            <w:pPr>
              <w:ind w:right="-11"/>
              <w:jc w:val="right"/>
              <w:rPr>
                <w:sz w:val="18"/>
                <w:szCs w:val="18"/>
              </w:rPr>
            </w:pPr>
            <w:r w:rsidRPr="002A1069">
              <w:rPr>
                <w:sz w:val="18"/>
                <w:szCs w:val="18"/>
              </w:rPr>
              <w:t>876,239.80</w:t>
            </w:r>
          </w:p>
        </w:tc>
        <w:tc>
          <w:tcPr>
            <w:tcW w:w="2368"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CF2A51" w:rsidP="00CF2A51">
            <w:pPr>
              <w:tabs>
                <w:tab w:val="decimal" w:pos="1332"/>
              </w:tabs>
              <w:ind w:right="-11"/>
              <w:jc w:val="right"/>
              <w:rPr>
                <w:sz w:val="18"/>
                <w:szCs w:val="18"/>
              </w:rPr>
            </w:pPr>
            <w:r w:rsidRPr="002A1069">
              <w:rPr>
                <w:sz w:val="18"/>
                <w:szCs w:val="18"/>
              </w:rPr>
              <w:t>-    </w:t>
            </w:r>
          </w:p>
        </w:tc>
        <w:tc>
          <w:tcPr>
            <w:tcW w:w="2368" w:type="dxa"/>
            <w:vAlign w:val="center"/>
          </w:tcPr>
          <w:p w:rsidR="00CF2A51" w:rsidRPr="002A1069" w:rsidRDefault="00CF2A51" w:rsidP="00CF2A51">
            <w:pPr>
              <w:ind w:right="-11"/>
              <w:jc w:val="right"/>
              <w:rPr>
                <w:sz w:val="18"/>
                <w:szCs w:val="18"/>
              </w:rPr>
            </w:pPr>
            <w:r w:rsidRPr="002A1069">
              <w:rPr>
                <w:sz w:val="18"/>
                <w:szCs w:val="18"/>
              </w:rPr>
              <w:t>876,239.80</w:t>
            </w:r>
          </w:p>
        </w:tc>
      </w:tr>
      <w:tr w:rsidR="00CF2A51" w:rsidRPr="002A1069" w:rsidTr="0027505B">
        <w:trPr>
          <w:trHeight w:val="20"/>
        </w:trPr>
        <w:tc>
          <w:tcPr>
            <w:tcW w:w="3686" w:type="dxa"/>
            <w:shd w:val="clear" w:color="auto" w:fill="D9D9D9"/>
            <w:vAlign w:val="center"/>
          </w:tcPr>
          <w:p w:rsidR="00CF2A51" w:rsidRPr="002A1069" w:rsidRDefault="005F14EE" w:rsidP="00CF2A51">
            <w:pPr>
              <w:ind w:left="366" w:right="-11"/>
              <w:rPr>
                <w:sz w:val="18"/>
                <w:szCs w:val="18"/>
              </w:rPr>
            </w:pPr>
            <w:r w:rsidRPr="002A1069">
              <w:rPr>
                <w:sz w:val="18"/>
                <w:szCs w:val="18"/>
              </w:rPr>
              <w:t>(</w:t>
            </w:r>
            <w:r w:rsidR="00CF2A51" w:rsidRPr="002A1069">
              <w:rPr>
                <w:rFonts w:hint="eastAsia"/>
                <w:sz w:val="18"/>
                <w:szCs w:val="18"/>
              </w:rPr>
              <w:t>三</w:t>
            </w:r>
            <w:r w:rsidRPr="002A1069">
              <w:rPr>
                <w:sz w:val="18"/>
                <w:szCs w:val="18"/>
              </w:rPr>
              <w:t>)</w:t>
            </w:r>
            <w:r w:rsidR="00CF2A51" w:rsidRPr="002A1069">
              <w:rPr>
                <w:rFonts w:hint="eastAsia"/>
                <w:sz w:val="18"/>
                <w:szCs w:val="18"/>
              </w:rPr>
              <w:t>利润分配</w:t>
            </w:r>
          </w:p>
        </w:tc>
        <w:tc>
          <w:tcPr>
            <w:tcW w:w="2367"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1D5118" w:rsidP="00CF2A51">
            <w:pPr>
              <w:ind w:right="-11"/>
              <w:jc w:val="right"/>
              <w:rPr>
                <w:sz w:val="18"/>
                <w:szCs w:val="18"/>
              </w:rPr>
            </w:pPr>
            <w:r w:rsidRPr="002A1069">
              <w:rPr>
                <w:sz w:val="18"/>
                <w:szCs w:val="18"/>
              </w:rPr>
              <w:t>20,608,333.60</w:t>
            </w:r>
          </w:p>
        </w:tc>
        <w:tc>
          <w:tcPr>
            <w:tcW w:w="2368" w:type="dxa"/>
            <w:vAlign w:val="center"/>
          </w:tcPr>
          <w:p w:rsidR="00CF2A51" w:rsidRPr="002A1069" w:rsidRDefault="005F14EE" w:rsidP="00CF2A51">
            <w:pPr>
              <w:tabs>
                <w:tab w:val="decimal" w:pos="1332"/>
              </w:tabs>
              <w:ind w:right="-11"/>
              <w:jc w:val="right"/>
              <w:rPr>
                <w:sz w:val="18"/>
                <w:szCs w:val="18"/>
              </w:rPr>
            </w:pPr>
            <w:r w:rsidRPr="002A1069">
              <w:rPr>
                <w:sz w:val="18"/>
                <w:szCs w:val="18"/>
              </w:rPr>
              <w:t>(</w:t>
            </w:r>
            <w:r w:rsidR="001D5118" w:rsidRPr="002A1069">
              <w:rPr>
                <w:sz w:val="18"/>
                <w:szCs w:val="18"/>
              </w:rPr>
              <w:t>20,608,333.60</w:t>
            </w:r>
            <w:r w:rsidRPr="002A1069">
              <w:rPr>
                <w:sz w:val="18"/>
                <w:szCs w:val="18"/>
              </w:rPr>
              <w:t>)</w:t>
            </w:r>
          </w:p>
        </w:tc>
        <w:tc>
          <w:tcPr>
            <w:tcW w:w="2368" w:type="dxa"/>
            <w:vAlign w:val="center"/>
          </w:tcPr>
          <w:p w:rsidR="00CF2A51" w:rsidRPr="002A1069" w:rsidRDefault="00CF2A51" w:rsidP="00CF2A51">
            <w:pPr>
              <w:ind w:right="-11"/>
              <w:jc w:val="right"/>
              <w:rPr>
                <w:sz w:val="18"/>
                <w:szCs w:val="18"/>
              </w:rPr>
            </w:pPr>
            <w:r w:rsidRPr="002A1069">
              <w:rPr>
                <w:sz w:val="18"/>
                <w:szCs w:val="18"/>
              </w:rPr>
              <w:t>-    </w:t>
            </w:r>
          </w:p>
        </w:tc>
      </w:tr>
      <w:tr w:rsidR="00CF2A51" w:rsidRPr="002A1069" w:rsidTr="0027505B">
        <w:trPr>
          <w:trHeight w:val="20"/>
        </w:trPr>
        <w:tc>
          <w:tcPr>
            <w:tcW w:w="3686" w:type="dxa"/>
            <w:shd w:val="clear" w:color="auto" w:fill="D9D9D9"/>
            <w:vAlign w:val="center"/>
          </w:tcPr>
          <w:p w:rsidR="00CF2A51" w:rsidRPr="002A1069" w:rsidRDefault="00CF2A51" w:rsidP="00CF2A51">
            <w:pPr>
              <w:ind w:left="657" w:right="-11"/>
              <w:rPr>
                <w:sz w:val="18"/>
                <w:szCs w:val="18"/>
              </w:rPr>
            </w:pPr>
            <w:r w:rsidRPr="002A1069">
              <w:rPr>
                <w:sz w:val="18"/>
                <w:szCs w:val="18"/>
              </w:rPr>
              <w:t>1.</w:t>
            </w:r>
            <w:r w:rsidRPr="002A1069">
              <w:rPr>
                <w:rFonts w:hint="eastAsia"/>
                <w:sz w:val="18"/>
                <w:szCs w:val="18"/>
              </w:rPr>
              <w:t>提取盈余公积</w:t>
            </w:r>
          </w:p>
        </w:tc>
        <w:tc>
          <w:tcPr>
            <w:tcW w:w="2367"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CF2A51" w:rsidP="00CF2A51">
            <w:pPr>
              <w:ind w:right="-11"/>
              <w:jc w:val="right"/>
              <w:rPr>
                <w:sz w:val="18"/>
                <w:szCs w:val="18"/>
              </w:rPr>
            </w:pPr>
            <w:r w:rsidRPr="002A1069">
              <w:rPr>
                <w:sz w:val="18"/>
                <w:szCs w:val="18"/>
              </w:rPr>
              <w:t>-    </w:t>
            </w:r>
          </w:p>
        </w:tc>
        <w:tc>
          <w:tcPr>
            <w:tcW w:w="2368" w:type="dxa"/>
            <w:vAlign w:val="center"/>
          </w:tcPr>
          <w:p w:rsidR="00CF2A51" w:rsidRPr="002A1069" w:rsidRDefault="001D5118" w:rsidP="00CF2A51">
            <w:pPr>
              <w:ind w:right="-11"/>
              <w:jc w:val="right"/>
              <w:rPr>
                <w:sz w:val="18"/>
                <w:szCs w:val="18"/>
              </w:rPr>
            </w:pPr>
            <w:r w:rsidRPr="002A1069">
              <w:rPr>
                <w:sz w:val="18"/>
                <w:szCs w:val="18"/>
              </w:rPr>
              <w:t>20,608,333.60</w:t>
            </w:r>
          </w:p>
        </w:tc>
        <w:tc>
          <w:tcPr>
            <w:tcW w:w="2368" w:type="dxa"/>
            <w:vAlign w:val="center"/>
          </w:tcPr>
          <w:p w:rsidR="00CF2A51" w:rsidRPr="002A1069" w:rsidRDefault="005F14EE" w:rsidP="00CF2A51">
            <w:pPr>
              <w:tabs>
                <w:tab w:val="decimal" w:pos="1332"/>
              </w:tabs>
              <w:ind w:right="-11"/>
              <w:jc w:val="right"/>
              <w:rPr>
                <w:sz w:val="18"/>
                <w:szCs w:val="18"/>
              </w:rPr>
            </w:pPr>
            <w:r w:rsidRPr="002A1069">
              <w:rPr>
                <w:sz w:val="18"/>
                <w:szCs w:val="18"/>
              </w:rPr>
              <w:t>(</w:t>
            </w:r>
            <w:r w:rsidR="001D5118" w:rsidRPr="002A1069">
              <w:rPr>
                <w:sz w:val="18"/>
                <w:szCs w:val="18"/>
              </w:rPr>
              <w:t>20,608,333.60</w:t>
            </w:r>
            <w:r w:rsidRPr="002A1069">
              <w:rPr>
                <w:rFonts w:hint="eastAsia"/>
                <w:sz w:val="18"/>
                <w:szCs w:val="18"/>
              </w:rPr>
              <w:t>)</w:t>
            </w:r>
          </w:p>
        </w:tc>
        <w:tc>
          <w:tcPr>
            <w:tcW w:w="2368" w:type="dxa"/>
            <w:vAlign w:val="center"/>
          </w:tcPr>
          <w:p w:rsidR="00CF2A51" w:rsidRPr="002A1069" w:rsidRDefault="00CF2A51" w:rsidP="00CF2A51">
            <w:pPr>
              <w:ind w:right="-11"/>
              <w:jc w:val="right"/>
              <w:rPr>
                <w:sz w:val="18"/>
                <w:szCs w:val="18"/>
              </w:rPr>
            </w:pPr>
            <w:r w:rsidRPr="002A1069">
              <w:rPr>
                <w:sz w:val="18"/>
                <w:szCs w:val="18"/>
              </w:rPr>
              <w:t>-    </w:t>
            </w:r>
          </w:p>
        </w:tc>
      </w:tr>
      <w:tr w:rsidR="00CF2A51" w:rsidRPr="002A1069" w:rsidTr="0027505B">
        <w:trPr>
          <w:trHeight w:val="20"/>
        </w:trPr>
        <w:tc>
          <w:tcPr>
            <w:tcW w:w="3686" w:type="dxa"/>
            <w:shd w:val="clear" w:color="auto" w:fill="D9D9D9"/>
            <w:vAlign w:val="center"/>
          </w:tcPr>
          <w:p w:rsidR="00CF2A51" w:rsidRPr="002A1069" w:rsidRDefault="00CF2A51" w:rsidP="00CF2A51">
            <w:pPr>
              <w:ind w:right="-11"/>
              <w:rPr>
                <w:sz w:val="18"/>
                <w:szCs w:val="18"/>
              </w:rPr>
            </w:pPr>
            <w:r w:rsidRPr="002A1069">
              <w:rPr>
                <w:rFonts w:hint="eastAsia"/>
                <w:b/>
                <w:sz w:val="18"/>
                <w:szCs w:val="18"/>
              </w:rPr>
              <w:t>四、本年年末余额</w:t>
            </w:r>
          </w:p>
        </w:tc>
        <w:tc>
          <w:tcPr>
            <w:tcW w:w="2367" w:type="dxa"/>
            <w:vAlign w:val="center"/>
          </w:tcPr>
          <w:p w:rsidR="00CF2A51" w:rsidRPr="002A1069" w:rsidRDefault="00CF2A51" w:rsidP="00CF2A51">
            <w:pPr>
              <w:ind w:right="-11"/>
              <w:jc w:val="right"/>
              <w:rPr>
                <w:b/>
                <w:sz w:val="18"/>
                <w:szCs w:val="18"/>
              </w:rPr>
            </w:pPr>
            <w:r w:rsidRPr="002A1069">
              <w:rPr>
                <w:b/>
                <w:sz w:val="18"/>
                <w:szCs w:val="18"/>
              </w:rPr>
              <w:t>562,500,000.00</w:t>
            </w:r>
          </w:p>
        </w:tc>
        <w:tc>
          <w:tcPr>
            <w:tcW w:w="2368" w:type="dxa"/>
            <w:vAlign w:val="center"/>
          </w:tcPr>
          <w:p w:rsidR="00CF2A51" w:rsidRPr="002A1069" w:rsidRDefault="00CF2A51" w:rsidP="00CF2A51">
            <w:pPr>
              <w:ind w:right="-11"/>
              <w:jc w:val="right"/>
              <w:rPr>
                <w:b/>
                <w:sz w:val="18"/>
                <w:szCs w:val="18"/>
              </w:rPr>
            </w:pPr>
            <w:r w:rsidRPr="002A1069">
              <w:rPr>
                <w:b/>
                <w:sz w:val="18"/>
                <w:szCs w:val="18"/>
              </w:rPr>
              <w:t>3,212,273,451.81</w:t>
            </w:r>
          </w:p>
        </w:tc>
        <w:tc>
          <w:tcPr>
            <w:tcW w:w="2368" w:type="dxa"/>
            <w:vAlign w:val="center"/>
          </w:tcPr>
          <w:p w:rsidR="00CF2A51" w:rsidRPr="002A1069" w:rsidRDefault="00CF2A51" w:rsidP="00CF2A51">
            <w:pPr>
              <w:ind w:right="-11"/>
              <w:jc w:val="right"/>
              <w:rPr>
                <w:b/>
                <w:sz w:val="18"/>
                <w:szCs w:val="18"/>
              </w:rPr>
            </w:pPr>
            <w:r w:rsidRPr="002A1069">
              <w:rPr>
                <w:b/>
                <w:sz w:val="18"/>
                <w:szCs w:val="18"/>
              </w:rPr>
              <w:t>41,121,077.83</w:t>
            </w:r>
          </w:p>
        </w:tc>
        <w:tc>
          <w:tcPr>
            <w:tcW w:w="2368" w:type="dxa"/>
            <w:vAlign w:val="center"/>
          </w:tcPr>
          <w:p w:rsidR="00CF2A51" w:rsidRPr="002A1069" w:rsidRDefault="00CF2A51" w:rsidP="00CF2A51">
            <w:pPr>
              <w:tabs>
                <w:tab w:val="decimal" w:pos="1332"/>
              </w:tabs>
              <w:ind w:right="-11"/>
              <w:jc w:val="right"/>
              <w:rPr>
                <w:b/>
                <w:sz w:val="18"/>
                <w:szCs w:val="18"/>
              </w:rPr>
            </w:pPr>
            <w:r w:rsidRPr="002A1069">
              <w:rPr>
                <w:b/>
                <w:sz w:val="18"/>
                <w:szCs w:val="18"/>
              </w:rPr>
              <w:t>196,112,183.31</w:t>
            </w:r>
          </w:p>
        </w:tc>
        <w:tc>
          <w:tcPr>
            <w:tcW w:w="2368" w:type="dxa"/>
            <w:vAlign w:val="center"/>
          </w:tcPr>
          <w:p w:rsidR="00CF2A51" w:rsidRPr="002A1069" w:rsidRDefault="00CF2A51" w:rsidP="00CF2A51">
            <w:pPr>
              <w:tabs>
                <w:tab w:val="decimal" w:pos="1333"/>
              </w:tabs>
              <w:ind w:right="-11"/>
              <w:jc w:val="right"/>
              <w:rPr>
                <w:b/>
                <w:sz w:val="18"/>
                <w:szCs w:val="18"/>
              </w:rPr>
            </w:pPr>
            <w:r w:rsidRPr="002A1069">
              <w:rPr>
                <w:b/>
                <w:sz w:val="18"/>
                <w:szCs w:val="18"/>
              </w:rPr>
              <w:t>4,012,006,712.95</w:t>
            </w:r>
          </w:p>
        </w:tc>
      </w:tr>
    </w:tbl>
    <w:p w:rsidR="002C2F72" w:rsidRPr="00A71D2E" w:rsidRDefault="002C2F72">
      <w:pPr>
        <w:rPr>
          <w:rFonts w:eastAsia="宋体" w:cs="Times New Roman"/>
          <w:szCs w:val="21"/>
        </w:rPr>
      </w:pPr>
    </w:p>
    <w:p w:rsidR="004A7902" w:rsidRPr="00A71D2E" w:rsidRDefault="00B07360">
      <w:pPr>
        <w:rPr>
          <w:rFonts w:eastAsia="宋体" w:cs="Times New Roman"/>
          <w:szCs w:val="21"/>
        </w:rPr>
      </w:pPr>
      <w:r w:rsidRPr="00A71D2E">
        <w:rPr>
          <w:rFonts w:eastAsia="宋体" w:cs="Times New Roman" w:hint="eastAsia"/>
          <w:szCs w:val="21"/>
        </w:rPr>
        <w:t>第</w:t>
      </w:r>
      <w:r w:rsidRPr="00A71D2E">
        <w:rPr>
          <w:rFonts w:eastAsia="宋体" w:cs="Times New Roman"/>
          <w:szCs w:val="21"/>
        </w:rPr>
        <w:t>4</w:t>
      </w:r>
      <w:r w:rsidR="004A7902" w:rsidRPr="00A71D2E">
        <w:rPr>
          <w:rFonts w:eastAsia="宋体" w:cs="Times New Roman" w:hint="eastAsia"/>
          <w:szCs w:val="21"/>
        </w:rPr>
        <w:t>页至</w:t>
      </w:r>
      <w:r w:rsidR="006F55AB" w:rsidRPr="00A71D2E">
        <w:rPr>
          <w:rFonts w:eastAsia="宋体" w:cs="Times New Roman" w:hint="eastAsia"/>
          <w:szCs w:val="21"/>
        </w:rPr>
        <w:t>第</w:t>
      </w:r>
      <w:r w:rsidR="006C7A68">
        <w:rPr>
          <w:rFonts w:eastAsia="宋体" w:cs="Times New Roman"/>
          <w:szCs w:val="21"/>
        </w:rPr>
        <w:t>8</w:t>
      </w:r>
      <w:r w:rsidR="00E25E50">
        <w:rPr>
          <w:rFonts w:eastAsia="宋体" w:cs="Times New Roman"/>
          <w:szCs w:val="21"/>
        </w:rPr>
        <w:t>4</w:t>
      </w:r>
      <w:r w:rsidR="004A7902" w:rsidRPr="00F43E13">
        <w:rPr>
          <w:rFonts w:eastAsia="宋体" w:cs="Times New Roman" w:hint="eastAsia"/>
          <w:szCs w:val="21"/>
        </w:rPr>
        <w:t>页</w:t>
      </w:r>
      <w:r w:rsidR="004A7902" w:rsidRPr="00A71D2E">
        <w:rPr>
          <w:rFonts w:eastAsia="宋体" w:cs="Times New Roman" w:hint="eastAsia"/>
          <w:szCs w:val="21"/>
        </w:rPr>
        <w:t>的财务报表由下列负责人签署</w:t>
      </w:r>
      <w:r w:rsidR="005F14EE">
        <w:rPr>
          <w:rFonts w:eastAsia="宋体" w:cs="Times New Roman" w:hint="eastAsia"/>
          <w:szCs w:val="21"/>
        </w:rPr>
        <w:t>：</w:t>
      </w:r>
    </w:p>
    <w:p w:rsidR="00C512AE" w:rsidRDefault="00C512AE">
      <w:pPr>
        <w:rPr>
          <w:rFonts w:eastAsia="宋体" w:cs="Times New Roman"/>
          <w:szCs w:val="21"/>
        </w:rPr>
      </w:pPr>
    </w:p>
    <w:p w:rsidR="0078445C" w:rsidRDefault="0078445C">
      <w:pPr>
        <w:rPr>
          <w:rFonts w:eastAsia="宋体" w:cs="Times New Roman"/>
          <w:szCs w:val="21"/>
        </w:rPr>
      </w:pPr>
    </w:p>
    <w:p w:rsidR="00DD203F" w:rsidRPr="00A71D2E" w:rsidRDefault="00DD203F">
      <w:pPr>
        <w:rPr>
          <w:rFonts w:eastAsia="宋体" w:cs="Times New Roman"/>
          <w:szCs w:val="21"/>
        </w:rPr>
      </w:pPr>
    </w:p>
    <w:p w:rsidR="0051472B" w:rsidRPr="00A71D2E" w:rsidRDefault="0051472B">
      <w:pPr>
        <w:tabs>
          <w:tab w:val="center" w:pos="2790"/>
          <w:tab w:val="center" w:pos="7920"/>
          <w:tab w:val="center" w:pos="12780"/>
        </w:tabs>
        <w:rPr>
          <w:rFonts w:eastAsia="宋体" w:cs="Times New Roman"/>
          <w:szCs w:val="21"/>
        </w:rPr>
      </w:pPr>
      <w:r w:rsidRPr="00A71D2E">
        <w:rPr>
          <w:rFonts w:eastAsia="宋体" w:cs="Times New Roman"/>
          <w:szCs w:val="21"/>
        </w:rPr>
        <w:tab/>
        <w:t>____________________</w:t>
      </w:r>
      <w:r w:rsidRPr="00A71D2E">
        <w:rPr>
          <w:rFonts w:eastAsia="宋体" w:cs="Times New Roman"/>
          <w:szCs w:val="21"/>
        </w:rPr>
        <w:tab/>
        <w:t>_____________________</w:t>
      </w:r>
      <w:r w:rsidRPr="00A71D2E">
        <w:rPr>
          <w:rFonts w:eastAsia="宋体" w:cs="Times New Roman"/>
          <w:szCs w:val="21"/>
        </w:rPr>
        <w:tab/>
        <w:t>_____________________</w:t>
      </w:r>
    </w:p>
    <w:p w:rsidR="0051472B" w:rsidRPr="00A71D2E" w:rsidRDefault="0051472B" w:rsidP="00F66363">
      <w:pPr>
        <w:tabs>
          <w:tab w:val="center" w:pos="2790"/>
          <w:tab w:val="center" w:pos="7920"/>
          <w:tab w:val="center" w:pos="12780"/>
        </w:tabs>
        <w:rPr>
          <w:rFonts w:eastAsia="宋体" w:cs="Times New Roman"/>
          <w:kern w:val="2"/>
        </w:rPr>
      </w:pPr>
      <w:r w:rsidRPr="00A71D2E">
        <w:rPr>
          <w:rFonts w:eastAsia="宋体" w:cs="Times New Roman"/>
          <w:szCs w:val="21"/>
        </w:rPr>
        <w:tab/>
      </w:r>
      <w:r w:rsidRPr="00A71D2E">
        <w:rPr>
          <w:rFonts w:eastAsia="宋体" w:cs="Times New Roman" w:hint="eastAsia"/>
          <w:szCs w:val="21"/>
        </w:rPr>
        <w:t>法定代表人</w:t>
      </w:r>
      <w:r w:rsidRPr="00A71D2E">
        <w:rPr>
          <w:rFonts w:eastAsia="宋体" w:cs="Times New Roman"/>
          <w:szCs w:val="21"/>
        </w:rPr>
        <w:tab/>
      </w:r>
      <w:r w:rsidRPr="00A71D2E">
        <w:rPr>
          <w:rFonts w:eastAsia="宋体" w:cs="Times New Roman" w:hint="eastAsia"/>
          <w:szCs w:val="21"/>
        </w:rPr>
        <w:t>主管会计工作负责人</w:t>
      </w:r>
      <w:r w:rsidRPr="00A71D2E">
        <w:rPr>
          <w:rFonts w:eastAsia="宋体" w:cs="Times New Roman"/>
          <w:szCs w:val="21"/>
        </w:rPr>
        <w:tab/>
      </w:r>
      <w:r w:rsidRPr="00A71D2E">
        <w:rPr>
          <w:rFonts w:eastAsia="宋体" w:cs="Times New Roman" w:hint="eastAsia"/>
          <w:szCs w:val="21"/>
        </w:rPr>
        <w:t>会计机构负责人</w:t>
      </w:r>
    </w:p>
    <w:p w:rsidR="00B60260" w:rsidRPr="00A71D2E" w:rsidRDefault="00B60260">
      <w:pPr>
        <w:tabs>
          <w:tab w:val="right" w:pos="15110"/>
        </w:tabs>
        <w:rPr>
          <w:rFonts w:eastAsia="宋体" w:cs="Times New Roman"/>
          <w:kern w:val="2"/>
        </w:rPr>
        <w:sectPr w:rsidR="00B60260" w:rsidRPr="00A71D2E" w:rsidSect="00452B2B">
          <w:headerReference w:type="even" r:id="rId25"/>
          <w:headerReference w:type="default" r:id="rId26"/>
          <w:footerReference w:type="even" r:id="rId27"/>
          <w:headerReference w:type="first" r:id="rId28"/>
          <w:footerReference w:type="first" r:id="rId29"/>
          <w:pgSz w:w="16838" w:h="11906" w:orient="landscape" w:code="9"/>
          <w:pgMar w:top="1008" w:right="432" w:bottom="720" w:left="864" w:header="720" w:footer="360" w:gutter="0"/>
          <w:cols w:space="720"/>
          <w:docGrid w:linePitch="312"/>
        </w:sectPr>
      </w:pPr>
    </w:p>
    <w:p w:rsidR="00392253" w:rsidRPr="003C2170" w:rsidRDefault="00392253" w:rsidP="003C2170">
      <w:pPr>
        <w:pStyle w:val="1"/>
        <w:keepNext w:val="0"/>
        <w:keepLines w:val="0"/>
        <w:adjustRightInd w:val="0"/>
        <w:snapToGrid w:val="0"/>
        <w:ind w:left="720" w:hanging="720"/>
        <w:contextualSpacing w:val="0"/>
        <w:jc w:val="both"/>
        <w:rPr>
          <w:rFonts w:ascii="Times New Roman" w:hAnsi="Times New Roman" w:cs="Times New Roman"/>
          <w:szCs w:val="21"/>
        </w:rPr>
      </w:pPr>
      <w:r w:rsidRPr="003C2170">
        <w:rPr>
          <w:rFonts w:ascii="Times New Roman" w:hAnsi="Times New Roman" w:cs="Times New Roman" w:hint="eastAsia"/>
          <w:szCs w:val="21"/>
        </w:rPr>
        <w:t>公司基本情况</w:t>
      </w:r>
    </w:p>
    <w:p w:rsidR="0071385F" w:rsidRPr="003C2170" w:rsidRDefault="0071385F" w:rsidP="003C2170">
      <w:pPr>
        <w:ind w:left="720"/>
        <w:jc w:val="both"/>
        <w:rPr>
          <w:rFonts w:eastAsia="宋体" w:cs="Times New Roman"/>
          <w:szCs w:val="21"/>
        </w:rPr>
      </w:pPr>
    </w:p>
    <w:p w:rsidR="00D0389F" w:rsidRPr="003C2170" w:rsidRDefault="00D0389F" w:rsidP="003C2170">
      <w:pPr>
        <w:ind w:left="720"/>
        <w:jc w:val="both"/>
        <w:rPr>
          <w:rFonts w:eastAsia="宋体" w:cs="Times New Roman"/>
          <w:b/>
          <w:bCs/>
          <w:szCs w:val="21"/>
          <w:u w:val="single"/>
        </w:rPr>
      </w:pPr>
      <w:r w:rsidRPr="003C2170">
        <w:rPr>
          <w:rFonts w:eastAsia="宋体" w:cs="Times New Roman" w:hint="eastAsia"/>
          <w:bCs/>
          <w:szCs w:val="21"/>
          <w:u w:val="single"/>
        </w:rPr>
        <w:t>1</w:t>
      </w:r>
      <w:r w:rsidRPr="003C2170">
        <w:rPr>
          <w:rFonts w:eastAsia="宋体" w:cs="Times New Roman" w:hint="eastAsia"/>
          <w:bCs/>
          <w:szCs w:val="21"/>
          <w:u w:val="single"/>
        </w:rPr>
        <w:t>、公司概况</w:t>
      </w:r>
    </w:p>
    <w:p w:rsidR="0071385F" w:rsidRPr="003C2170" w:rsidRDefault="0071385F" w:rsidP="003C2170">
      <w:pPr>
        <w:tabs>
          <w:tab w:val="left" w:pos="432"/>
        </w:tabs>
        <w:ind w:left="720"/>
        <w:jc w:val="both"/>
        <w:rPr>
          <w:rFonts w:eastAsia="宋体" w:cs="Times New Roman"/>
          <w:szCs w:val="21"/>
        </w:rPr>
      </w:pPr>
    </w:p>
    <w:p w:rsidR="006E4C62" w:rsidRPr="003C2170" w:rsidRDefault="00D65D25" w:rsidP="0027505B">
      <w:pPr>
        <w:ind w:left="720"/>
        <w:jc w:val="both"/>
        <w:rPr>
          <w:rFonts w:eastAsia="宋体" w:cs="Times New Roman"/>
          <w:szCs w:val="21"/>
        </w:rPr>
      </w:pPr>
      <w:r w:rsidRPr="003C2170">
        <w:rPr>
          <w:rFonts w:eastAsia="宋体" w:cs="Times New Roman" w:hint="eastAsia"/>
          <w:szCs w:val="21"/>
        </w:rPr>
        <w:t>杭州萤石网络股份有限公司</w:t>
      </w:r>
      <w:r w:rsidR="005F14EE" w:rsidRPr="003C2170">
        <w:rPr>
          <w:rFonts w:eastAsia="宋体" w:cs="Times New Roman"/>
          <w:szCs w:val="21"/>
        </w:rPr>
        <w:t>(</w:t>
      </w:r>
      <w:r w:rsidRPr="003C2170">
        <w:rPr>
          <w:rFonts w:eastAsia="宋体" w:cs="Times New Roman" w:hint="eastAsia"/>
          <w:szCs w:val="21"/>
        </w:rPr>
        <w:t>以下简称</w:t>
      </w:r>
      <w:r w:rsidR="00C246A8" w:rsidRPr="003C2170">
        <w:rPr>
          <w:rFonts w:eastAsia="宋体" w:cs="Times New Roman"/>
          <w:szCs w:val="21"/>
        </w:rPr>
        <w:t>“</w:t>
      </w:r>
      <w:r w:rsidRPr="003C2170">
        <w:rPr>
          <w:rFonts w:eastAsia="宋体" w:cs="Times New Roman" w:hint="eastAsia"/>
          <w:szCs w:val="21"/>
        </w:rPr>
        <w:t>公司</w:t>
      </w:r>
      <w:r w:rsidR="00C246A8" w:rsidRPr="003C2170">
        <w:rPr>
          <w:rFonts w:eastAsia="宋体" w:cs="Times New Roman"/>
          <w:szCs w:val="21"/>
        </w:rPr>
        <w:t>”</w:t>
      </w:r>
      <w:r w:rsidRPr="003C2170">
        <w:rPr>
          <w:rFonts w:eastAsia="宋体" w:cs="Times New Roman" w:hint="eastAsia"/>
          <w:szCs w:val="21"/>
        </w:rPr>
        <w:t>或</w:t>
      </w:r>
      <w:r w:rsidR="00C246A8" w:rsidRPr="003C2170">
        <w:rPr>
          <w:rFonts w:eastAsia="宋体" w:cs="Times New Roman"/>
          <w:szCs w:val="21"/>
        </w:rPr>
        <w:t>“</w:t>
      </w:r>
      <w:r w:rsidRPr="003C2170">
        <w:rPr>
          <w:rFonts w:eastAsia="宋体" w:cs="Times New Roman" w:hint="eastAsia"/>
          <w:szCs w:val="21"/>
        </w:rPr>
        <w:t>本公司</w:t>
      </w:r>
      <w:r w:rsidR="00C246A8" w:rsidRPr="003C2170">
        <w:rPr>
          <w:rFonts w:eastAsia="宋体" w:cs="Times New Roman"/>
          <w:szCs w:val="21"/>
        </w:rPr>
        <w:t>”</w:t>
      </w:r>
      <w:r w:rsidR="005F14EE" w:rsidRPr="003C2170">
        <w:rPr>
          <w:rFonts w:eastAsia="宋体" w:cs="Times New Roman"/>
          <w:szCs w:val="21"/>
        </w:rPr>
        <w:t>)</w:t>
      </w:r>
      <w:r w:rsidR="003F0409" w:rsidRPr="003C2170">
        <w:rPr>
          <w:rFonts w:eastAsia="宋体" w:cs="Times New Roman" w:hint="eastAsia"/>
          <w:szCs w:val="21"/>
        </w:rPr>
        <w:t>前身为杭州萤石网络有限公司，</w:t>
      </w:r>
      <w:r w:rsidR="00B74E29" w:rsidRPr="003C2170">
        <w:rPr>
          <w:rFonts w:eastAsia="宋体" w:cs="Times New Roman" w:hint="eastAsia"/>
          <w:szCs w:val="21"/>
        </w:rPr>
        <w:t>系</w:t>
      </w:r>
      <w:r w:rsidR="0053128E" w:rsidRPr="003C2170">
        <w:rPr>
          <w:rFonts w:eastAsia="宋体" w:cs="Times New Roman" w:hint="eastAsia"/>
          <w:szCs w:val="21"/>
        </w:rPr>
        <w:t>由杭州海康</w:t>
      </w:r>
      <w:proofErr w:type="gramStart"/>
      <w:r w:rsidR="0053128E" w:rsidRPr="003C2170">
        <w:rPr>
          <w:rFonts w:eastAsia="宋体" w:cs="Times New Roman" w:hint="eastAsia"/>
          <w:szCs w:val="21"/>
        </w:rPr>
        <w:t>威视数字</w:t>
      </w:r>
      <w:proofErr w:type="gramEnd"/>
      <w:r w:rsidR="0053128E" w:rsidRPr="003C2170">
        <w:rPr>
          <w:rFonts w:eastAsia="宋体" w:cs="Times New Roman" w:hint="eastAsia"/>
          <w:szCs w:val="21"/>
        </w:rPr>
        <w:t>技术股份有限公司</w:t>
      </w:r>
      <w:r w:rsidR="005F14EE" w:rsidRPr="003C2170">
        <w:rPr>
          <w:rFonts w:eastAsia="宋体" w:cs="Times New Roman"/>
          <w:szCs w:val="21"/>
        </w:rPr>
        <w:t>(</w:t>
      </w:r>
      <w:r w:rsidR="0053128E" w:rsidRPr="003C2170">
        <w:rPr>
          <w:rFonts w:eastAsia="宋体" w:cs="Times New Roman" w:hint="eastAsia"/>
          <w:szCs w:val="21"/>
        </w:rPr>
        <w:t>以下简称</w:t>
      </w:r>
      <w:r w:rsidR="0053128E" w:rsidRPr="003C2170">
        <w:rPr>
          <w:rFonts w:eastAsia="宋体" w:cs="Times New Roman"/>
          <w:szCs w:val="21"/>
        </w:rPr>
        <w:t>“</w:t>
      </w:r>
      <w:r w:rsidR="0053128E" w:rsidRPr="003C2170">
        <w:rPr>
          <w:rFonts w:eastAsia="宋体" w:cs="Times New Roman" w:hint="eastAsia"/>
          <w:szCs w:val="21"/>
        </w:rPr>
        <w:t>海康威视股份公司</w:t>
      </w:r>
      <w:r w:rsidR="0053128E" w:rsidRPr="003C2170">
        <w:rPr>
          <w:rFonts w:eastAsia="宋体" w:cs="Times New Roman"/>
          <w:szCs w:val="21"/>
        </w:rPr>
        <w:t>”</w:t>
      </w:r>
      <w:r w:rsidR="005F14EE" w:rsidRPr="003C2170">
        <w:rPr>
          <w:rFonts w:eastAsia="宋体" w:cs="Times New Roman"/>
          <w:szCs w:val="21"/>
        </w:rPr>
        <w:t>)</w:t>
      </w:r>
      <w:r w:rsidR="0053128E" w:rsidRPr="003C2170">
        <w:rPr>
          <w:rFonts w:eastAsia="宋体" w:cs="Times New Roman" w:hint="eastAsia"/>
          <w:szCs w:val="21"/>
        </w:rPr>
        <w:t>投资设立，并于</w:t>
      </w:r>
      <w:r w:rsidR="0053128E" w:rsidRPr="003C2170">
        <w:rPr>
          <w:rFonts w:eastAsia="宋体" w:cs="Times New Roman"/>
          <w:szCs w:val="21"/>
        </w:rPr>
        <w:t>2015</w:t>
      </w:r>
      <w:r w:rsidR="0053128E" w:rsidRPr="003C2170">
        <w:rPr>
          <w:rFonts w:eastAsia="宋体" w:cs="Times New Roman" w:hint="eastAsia"/>
          <w:szCs w:val="21"/>
        </w:rPr>
        <w:t>年</w:t>
      </w:r>
      <w:r w:rsidR="0053128E" w:rsidRPr="003C2170">
        <w:rPr>
          <w:rFonts w:eastAsia="宋体" w:cs="Times New Roman"/>
          <w:szCs w:val="21"/>
        </w:rPr>
        <w:t>3</w:t>
      </w:r>
      <w:r w:rsidR="0053128E" w:rsidRPr="003C2170">
        <w:rPr>
          <w:rFonts w:eastAsia="宋体" w:cs="Times New Roman" w:hint="eastAsia"/>
          <w:szCs w:val="21"/>
        </w:rPr>
        <w:t>月</w:t>
      </w:r>
      <w:r w:rsidR="0053128E" w:rsidRPr="003C2170">
        <w:rPr>
          <w:rFonts w:eastAsia="宋体" w:cs="Times New Roman"/>
          <w:szCs w:val="21"/>
        </w:rPr>
        <w:t>25</w:t>
      </w:r>
      <w:r w:rsidR="0053128E" w:rsidRPr="003C2170">
        <w:rPr>
          <w:rFonts w:eastAsia="宋体" w:cs="Times New Roman" w:hint="eastAsia"/>
          <w:szCs w:val="21"/>
        </w:rPr>
        <w:t>日在杭州市高新区</w:t>
      </w:r>
      <w:r w:rsidR="005F14EE" w:rsidRPr="003C2170">
        <w:rPr>
          <w:rFonts w:eastAsia="宋体" w:cs="Times New Roman"/>
          <w:szCs w:val="21"/>
        </w:rPr>
        <w:t>(</w:t>
      </w:r>
      <w:r w:rsidR="0053128E" w:rsidRPr="003C2170">
        <w:rPr>
          <w:rFonts w:eastAsia="宋体" w:cs="Times New Roman" w:hint="eastAsia"/>
          <w:szCs w:val="21"/>
        </w:rPr>
        <w:t>滨江</w:t>
      </w:r>
      <w:r w:rsidR="005F14EE" w:rsidRPr="003C2170">
        <w:rPr>
          <w:rFonts w:eastAsia="宋体" w:cs="Times New Roman"/>
          <w:szCs w:val="21"/>
        </w:rPr>
        <w:t>)</w:t>
      </w:r>
      <w:r w:rsidR="0053128E" w:rsidRPr="003C2170">
        <w:rPr>
          <w:rFonts w:eastAsia="宋体" w:cs="Times New Roman" w:hint="eastAsia"/>
          <w:szCs w:val="21"/>
        </w:rPr>
        <w:t>市场监督管理局登记注册，</w:t>
      </w:r>
      <w:r w:rsidR="006E4C62" w:rsidRPr="003C2170">
        <w:rPr>
          <w:rFonts w:eastAsia="宋体" w:cs="Times New Roman" w:hint="eastAsia"/>
          <w:szCs w:val="21"/>
        </w:rPr>
        <w:t>注册地址为杭州市滨江区阡陌路</w:t>
      </w:r>
      <w:r w:rsidR="006E4C62" w:rsidRPr="003C2170">
        <w:rPr>
          <w:rFonts w:eastAsia="宋体" w:cs="Times New Roman" w:hint="eastAsia"/>
          <w:szCs w:val="21"/>
        </w:rPr>
        <w:t>555</w:t>
      </w:r>
      <w:r w:rsidR="006E4C62" w:rsidRPr="003C2170">
        <w:rPr>
          <w:rFonts w:eastAsia="宋体" w:cs="Times New Roman" w:hint="eastAsia"/>
          <w:szCs w:val="21"/>
        </w:rPr>
        <w:t>号。</w:t>
      </w:r>
    </w:p>
    <w:p w:rsidR="006E4C62" w:rsidRPr="003C2170" w:rsidRDefault="006E4C62" w:rsidP="0027505B">
      <w:pPr>
        <w:ind w:left="720"/>
        <w:jc w:val="both"/>
        <w:rPr>
          <w:rFonts w:eastAsia="宋体" w:cs="Times New Roman"/>
          <w:szCs w:val="21"/>
        </w:rPr>
      </w:pPr>
    </w:p>
    <w:p w:rsidR="0053128E" w:rsidRPr="003C2170" w:rsidRDefault="00FC70C3" w:rsidP="0027505B">
      <w:pPr>
        <w:ind w:left="720"/>
        <w:jc w:val="both"/>
        <w:rPr>
          <w:rFonts w:eastAsia="宋体" w:cs="Times New Roman"/>
          <w:szCs w:val="21"/>
        </w:rPr>
      </w:pPr>
      <w:r w:rsidRPr="003C2170">
        <w:rPr>
          <w:rFonts w:eastAsia="宋体" w:cs="Times New Roman" w:hint="eastAsia"/>
          <w:szCs w:val="21"/>
        </w:rPr>
        <w:t>于</w:t>
      </w:r>
      <w:r w:rsidRPr="003C2170">
        <w:rPr>
          <w:rFonts w:eastAsia="宋体" w:cs="Times New Roman" w:hint="eastAsia"/>
          <w:szCs w:val="21"/>
        </w:rPr>
        <w:t>2021</w:t>
      </w:r>
      <w:r w:rsidRPr="003C2170">
        <w:rPr>
          <w:rFonts w:eastAsia="宋体" w:cs="Times New Roman" w:hint="eastAsia"/>
          <w:szCs w:val="21"/>
        </w:rPr>
        <w:t>年</w:t>
      </w:r>
      <w:r w:rsidRPr="003C2170">
        <w:rPr>
          <w:rFonts w:eastAsia="宋体" w:cs="Times New Roman" w:hint="eastAsia"/>
          <w:szCs w:val="21"/>
        </w:rPr>
        <w:t>6</w:t>
      </w:r>
      <w:r w:rsidRPr="003C2170">
        <w:rPr>
          <w:rFonts w:eastAsia="宋体" w:cs="Times New Roman" w:hint="eastAsia"/>
          <w:szCs w:val="21"/>
        </w:rPr>
        <w:t>月</w:t>
      </w:r>
      <w:r w:rsidR="0018056F" w:rsidRPr="003C2170">
        <w:rPr>
          <w:rFonts w:eastAsia="宋体" w:cs="Times New Roman" w:hint="eastAsia"/>
          <w:szCs w:val="21"/>
        </w:rPr>
        <w:t>2</w:t>
      </w:r>
      <w:r w:rsidR="0018056F" w:rsidRPr="003C2170">
        <w:rPr>
          <w:rFonts w:eastAsia="宋体" w:cs="Times New Roman"/>
          <w:szCs w:val="21"/>
        </w:rPr>
        <w:t>4</w:t>
      </w:r>
      <w:r w:rsidRPr="003C2170">
        <w:rPr>
          <w:rFonts w:eastAsia="宋体" w:cs="Times New Roman" w:hint="eastAsia"/>
          <w:szCs w:val="21"/>
        </w:rPr>
        <w:t>日，公司依法整体改制为股份有限公司，并更名为杭州萤石网络股份有限公司。经过历次增资和股权转让，截至公司首次公开发行股票前，公司注册资本为人民币</w:t>
      </w:r>
      <w:r w:rsidRPr="003C2170">
        <w:rPr>
          <w:rFonts w:eastAsia="宋体" w:cs="Times New Roman" w:hint="eastAsia"/>
          <w:szCs w:val="21"/>
        </w:rPr>
        <w:t>450,000,000.00</w:t>
      </w:r>
      <w:r w:rsidRPr="003C2170">
        <w:rPr>
          <w:rFonts w:eastAsia="宋体" w:cs="Times New Roman" w:hint="eastAsia"/>
          <w:szCs w:val="21"/>
        </w:rPr>
        <w:t>元。于</w:t>
      </w:r>
      <w:r w:rsidRPr="003C2170">
        <w:rPr>
          <w:rFonts w:eastAsia="宋体" w:cs="Times New Roman" w:hint="eastAsia"/>
          <w:szCs w:val="21"/>
        </w:rPr>
        <w:t>2022</w:t>
      </w:r>
      <w:r w:rsidRPr="003C2170">
        <w:rPr>
          <w:rFonts w:eastAsia="宋体" w:cs="Times New Roman" w:hint="eastAsia"/>
          <w:szCs w:val="21"/>
        </w:rPr>
        <w:t>年</w:t>
      </w:r>
      <w:r w:rsidRPr="003C2170">
        <w:rPr>
          <w:rFonts w:eastAsia="宋体" w:cs="Times New Roman" w:hint="eastAsia"/>
          <w:szCs w:val="21"/>
        </w:rPr>
        <w:t>12</w:t>
      </w:r>
      <w:r w:rsidRPr="003C2170">
        <w:rPr>
          <w:rFonts w:eastAsia="宋体" w:cs="Times New Roman" w:hint="eastAsia"/>
          <w:szCs w:val="21"/>
        </w:rPr>
        <w:t>月</w:t>
      </w:r>
      <w:r w:rsidRPr="003C2170">
        <w:rPr>
          <w:rFonts w:eastAsia="宋体" w:cs="Times New Roman" w:hint="eastAsia"/>
          <w:szCs w:val="21"/>
        </w:rPr>
        <w:t>2</w:t>
      </w:r>
      <w:r w:rsidR="003F0409" w:rsidRPr="003C2170">
        <w:rPr>
          <w:rFonts w:eastAsia="宋体" w:cs="Times New Roman"/>
          <w:szCs w:val="21"/>
        </w:rPr>
        <w:t>2</w:t>
      </w:r>
      <w:r w:rsidRPr="003C2170">
        <w:rPr>
          <w:rFonts w:eastAsia="宋体" w:cs="Times New Roman" w:hint="eastAsia"/>
          <w:szCs w:val="21"/>
        </w:rPr>
        <w:t>日，</w:t>
      </w:r>
      <w:r w:rsidR="003F0409" w:rsidRPr="003C2170">
        <w:rPr>
          <w:rFonts w:eastAsia="宋体" w:cs="Times New Roman" w:hint="eastAsia"/>
          <w:szCs w:val="21"/>
        </w:rPr>
        <w:t>公司</w:t>
      </w:r>
      <w:r w:rsidRPr="003C2170">
        <w:rPr>
          <w:rFonts w:eastAsia="宋体" w:cs="Times New Roman" w:hint="eastAsia"/>
          <w:szCs w:val="21"/>
        </w:rPr>
        <w:t>经中国证券监督管理委员会《关于同意杭州萤石网络股份有限公司首次公开发行股票注册的批复》</w:t>
      </w:r>
      <w:r w:rsidR="005F14EE" w:rsidRPr="003C2170">
        <w:rPr>
          <w:rFonts w:eastAsia="宋体" w:cs="Times New Roman" w:hint="eastAsia"/>
          <w:szCs w:val="21"/>
        </w:rPr>
        <w:t>(</w:t>
      </w:r>
      <w:r w:rsidRPr="003C2170">
        <w:rPr>
          <w:rFonts w:eastAsia="宋体" w:cs="Times New Roman" w:hint="eastAsia"/>
          <w:szCs w:val="21"/>
        </w:rPr>
        <w:t>证监许可</w:t>
      </w:r>
      <w:r w:rsidRPr="003C2170">
        <w:rPr>
          <w:rFonts w:eastAsia="宋体" w:cs="Times New Roman" w:hint="eastAsia"/>
          <w:szCs w:val="21"/>
        </w:rPr>
        <w:t>[2022]2840</w:t>
      </w:r>
      <w:r w:rsidRPr="003C2170">
        <w:rPr>
          <w:rFonts w:eastAsia="宋体" w:cs="Times New Roman" w:hint="eastAsia"/>
          <w:szCs w:val="21"/>
        </w:rPr>
        <w:t>号</w:t>
      </w:r>
      <w:r w:rsidR="005F14EE" w:rsidRPr="003C2170">
        <w:rPr>
          <w:rFonts w:eastAsia="宋体" w:cs="Times New Roman" w:hint="eastAsia"/>
          <w:szCs w:val="21"/>
        </w:rPr>
        <w:t>)</w:t>
      </w:r>
      <w:r w:rsidRPr="003C2170">
        <w:rPr>
          <w:rFonts w:eastAsia="宋体" w:cs="Times New Roman" w:hint="eastAsia"/>
          <w:szCs w:val="21"/>
        </w:rPr>
        <w:t>核准，在上海证券交易所</w:t>
      </w:r>
      <w:proofErr w:type="gramStart"/>
      <w:r w:rsidRPr="003C2170">
        <w:rPr>
          <w:rFonts w:eastAsia="宋体" w:cs="Times New Roman" w:hint="eastAsia"/>
          <w:szCs w:val="21"/>
        </w:rPr>
        <w:t>科创板</w:t>
      </w:r>
      <w:proofErr w:type="gramEnd"/>
      <w:r w:rsidRPr="003C2170">
        <w:rPr>
          <w:rFonts w:eastAsia="宋体" w:cs="Times New Roman" w:hint="eastAsia"/>
          <w:szCs w:val="21"/>
        </w:rPr>
        <w:t>首发上市，发行人民币普通股股票</w:t>
      </w:r>
      <w:r w:rsidRPr="003C2170">
        <w:rPr>
          <w:rFonts w:eastAsia="宋体" w:cs="Times New Roman" w:hint="eastAsia"/>
          <w:szCs w:val="21"/>
        </w:rPr>
        <w:t>112,500,000</w:t>
      </w:r>
      <w:r w:rsidRPr="003C2170">
        <w:rPr>
          <w:rFonts w:eastAsia="宋体" w:cs="Times New Roman" w:hint="eastAsia"/>
          <w:szCs w:val="21"/>
        </w:rPr>
        <w:t>股，每股面值为人民币</w:t>
      </w:r>
      <w:r w:rsidRPr="003C2170">
        <w:rPr>
          <w:rFonts w:eastAsia="宋体" w:cs="Times New Roman" w:hint="eastAsia"/>
          <w:szCs w:val="21"/>
        </w:rPr>
        <w:t>1.00</w:t>
      </w:r>
      <w:r w:rsidRPr="003C2170">
        <w:rPr>
          <w:rFonts w:eastAsia="宋体" w:cs="Times New Roman" w:hint="eastAsia"/>
          <w:szCs w:val="21"/>
        </w:rPr>
        <w:t>元，增加注册资本人民币</w:t>
      </w:r>
      <w:r w:rsidRPr="003C2170">
        <w:rPr>
          <w:rFonts w:eastAsia="宋体" w:cs="Times New Roman" w:hint="eastAsia"/>
          <w:szCs w:val="21"/>
        </w:rPr>
        <w:t>112,500,000.00</w:t>
      </w:r>
      <w:r w:rsidRPr="003C2170">
        <w:rPr>
          <w:rFonts w:eastAsia="宋体" w:cs="Times New Roman" w:hint="eastAsia"/>
          <w:szCs w:val="21"/>
        </w:rPr>
        <w:t>元，变更后的注册资本</w:t>
      </w:r>
      <w:r w:rsidR="003F0409" w:rsidRPr="003C2170">
        <w:rPr>
          <w:rFonts w:eastAsia="宋体" w:cs="Times New Roman" w:hint="eastAsia"/>
          <w:szCs w:val="21"/>
        </w:rPr>
        <w:t>及股本</w:t>
      </w:r>
      <w:r w:rsidRPr="003C2170">
        <w:rPr>
          <w:rFonts w:eastAsia="宋体" w:cs="Times New Roman" w:hint="eastAsia"/>
          <w:szCs w:val="21"/>
        </w:rPr>
        <w:t>为人民币</w:t>
      </w:r>
      <w:r w:rsidRPr="003C2170">
        <w:rPr>
          <w:rFonts w:eastAsia="宋体" w:cs="Times New Roman" w:hint="eastAsia"/>
          <w:szCs w:val="21"/>
        </w:rPr>
        <w:t>562,500,000.00</w:t>
      </w:r>
      <w:r w:rsidRPr="003C2170">
        <w:rPr>
          <w:rFonts w:eastAsia="宋体" w:cs="Times New Roman" w:hint="eastAsia"/>
          <w:szCs w:val="21"/>
        </w:rPr>
        <w:t>元。投资方实际出资情况详见附注</w:t>
      </w:r>
      <w:r w:rsidR="005F14EE" w:rsidRPr="003C2170">
        <w:rPr>
          <w:rFonts w:eastAsia="宋体" w:cs="Times New Roman" w:hint="eastAsia"/>
          <w:szCs w:val="21"/>
        </w:rPr>
        <w:t>(</w:t>
      </w:r>
      <w:r w:rsidRPr="003C2170">
        <w:rPr>
          <w:rFonts w:eastAsia="宋体" w:cs="Times New Roman" w:hint="eastAsia"/>
          <w:szCs w:val="21"/>
        </w:rPr>
        <w:t>五</w:t>
      </w:r>
      <w:r w:rsidR="005F14EE" w:rsidRPr="003C2170">
        <w:rPr>
          <w:rFonts w:eastAsia="宋体" w:cs="Times New Roman" w:hint="eastAsia"/>
          <w:szCs w:val="21"/>
        </w:rPr>
        <w:t>)</w:t>
      </w:r>
      <w:r w:rsidRPr="003C2170">
        <w:rPr>
          <w:rFonts w:eastAsia="宋体" w:cs="Times New Roman" w:hint="eastAsia"/>
          <w:szCs w:val="21"/>
        </w:rPr>
        <w:t>、</w:t>
      </w:r>
      <w:r w:rsidRPr="003C2170">
        <w:rPr>
          <w:rFonts w:eastAsia="宋体" w:cs="Times New Roman" w:hint="eastAsia"/>
          <w:szCs w:val="21"/>
        </w:rPr>
        <w:t>3</w:t>
      </w:r>
      <w:r w:rsidR="000C2EEF" w:rsidRPr="003C2170">
        <w:rPr>
          <w:rFonts w:eastAsia="宋体" w:cs="Times New Roman"/>
          <w:szCs w:val="21"/>
        </w:rPr>
        <w:t>3</w:t>
      </w:r>
      <w:r w:rsidRPr="003C2170">
        <w:rPr>
          <w:rFonts w:eastAsia="宋体" w:cs="Times New Roman" w:hint="eastAsia"/>
          <w:szCs w:val="21"/>
        </w:rPr>
        <w:t>。</w:t>
      </w:r>
    </w:p>
    <w:p w:rsidR="00DC2E89" w:rsidRPr="003C2170" w:rsidRDefault="00DC2E89" w:rsidP="0027505B">
      <w:pPr>
        <w:ind w:left="720"/>
        <w:jc w:val="both"/>
        <w:rPr>
          <w:rFonts w:eastAsia="宋体" w:cs="Times New Roman"/>
          <w:szCs w:val="21"/>
        </w:rPr>
      </w:pPr>
    </w:p>
    <w:p w:rsidR="00017F72" w:rsidRPr="003C2170" w:rsidRDefault="0053128E" w:rsidP="0027505B">
      <w:pPr>
        <w:ind w:left="720"/>
        <w:jc w:val="both"/>
        <w:rPr>
          <w:rFonts w:eastAsia="宋体" w:cs="Times New Roman"/>
          <w:szCs w:val="21"/>
        </w:rPr>
      </w:pPr>
      <w:r w:rsidRPr="003C2170">
        <w:rPr>
          <w:rFonts w:eastAsia="宋体" w:cs="Times New Roman" w:hint="eastAsia"/>
          <w:szCs w:val="21"/>
        </w:rPr>
        <w:t>本公司及其子公司</w:t>
      </w:r>
      <w:r w:rsidR="005F14EE" w:rsidRPr="003C2170">
        <w:rPr>
          <w:rFonts w:eastAsia="宋体" w:cs="Times New Roman"/>
          <w:szCs w:val="21"/>
        </w:rPr>
        <w:t>(</w:t>
      </w:r>
      <w:r w:rsidRPr="003C2170">
        <w:rPr>
          <w:rFonts w:eastAsia="宋体" w:cs="Times New Roman" w:hint="eastAsia"/>
          <w:szCs w:val="21"/>
        </w:rPr>
        <w:t>以下简称</w:t>
      </w:r>
      <w:r w:rsidRPr="003C2170">
        <w:rPr>
          <w:rFonts w:eastAsia="宋体" w:cs="Times New Roman"/>
          <w:szCs w:val="21"/>
        </w:rPr>
        <w:t>“</w:t>
      </w:r>
      <w:r w:rsidRPr="003C2170">
        <w:rPr>
          <w:rFonts w:eastAsia="宋体" w:cs="Times New Roman" w:hint="eastAsia"/>
          <w:szCs w:val="21"/>
        </w:rPr>
        <w:t>本集团</w:t>
      </w:r>
      <w:r w:rsidRPr="003C2170">
        <w:rPr>
          <w:rFonts w:eastAsia="宋体" w:cs="Times New Roman"/>
          <w:szCs w:val="21"/>
        </w:rPr>
        <w:t>”</w:t>
      </w:r>
      <w:r w:rsidR="005F14EE" w:rsidRPr="003C2170">
        <w:rPr>
          <w:rFonts w:eastAsia="宋体" w:cs="Times New Roman"/>
          <w:szCs w:val="21"/>
        </w:rPr>
        <w:t>)</w:t>
      </w:r>
      <w:r w:rsidRPr="003C2170">
        <w:rPr>
          <w:rFonts w:eastAsia="宋体" w:cs="Times New Roman" w:hint="eastAsia"/>
          <w:szCs w:val="21"/>
        </w:rPr>
        <w:t>主要从事智能硬件电子产品及软件的生产制造、技术开发、技术咨询、技术服务及网络信息服务、云计算技术业务等。</w:t>
      </w:r>
    </w:p>
    <w:p w:rsidR="00017F72" w:rsidRPr="003C2170" w:rsidRDefault="00017F72" w:rsidP="0027505B">
      <w:pPr>
        <w:ind w:left="720"/>
        <w:jc w:val="both"/>
        <w:rPr>
          <w:rFonts w:eastAsia="宋体" w:cs="Times New Roman"/>
          <w:szCs w:val="21"/>
        </w:rPr>
      </w:pPr>
    </w:p>
    <w:p w:rsidR="0071385F" w:rsidRPr="003C2170" w:rsidRDefault="0053128E" w:rsidP="0027505B">
      <w:pPr>
        <w:ind w:left="720"/>
        <w:jc w:val="both"/>
        <w:rPr>
          <w:rFonts w:eastAsia="宋体" w:cs="Times New Roman"/>
          <w:szCs w:val="21"/>
        </w:rPr>
      </w:pPr>
      <w:r w:rsidRPr="003C2170">
        <w:rPr>
          <w:rFonts w:eastAsia="宋体" w:cs="Times New Roman" w:hint="eastAsia"/>
          <w:szCs w:val="21"/>
        </w:rPr>
        <w:t>本公司的母公司为</w:t>
      </w:r>
      <w:proofErr w:type="gramStart"/>
      <w:r w:rsidRPr="003C2170">
        <w:rPr>
          <w:rFonts w:eastAsia="宋体" w:cs="Times New Roman" w:hint="eastAsia"/>
          <w:szCs w:val="21"/>
        </w:rPr>
        <w:t>海康威视股份公司</w:t>
      </w:r>
      <w:proofErr w:type="gramEnd"/>
      <w:r w:rsidRPr="003C2170">
        <w:rPr>
          <w:rFonts w:eastAsia="宋体" w:cs="Times New Roman" w:hint="eastAsia"/>
          <w:szCs w:val="21"/>
        </w:rPr>
        <w:t>，最终控股公司为中国电子科技集团有限公司</w:t>
      </w:r>
      <w:r w:rsidR="005F14EE" w:rsidRPr="003C2170">
        <w:rPr>
          <w:rFonts w:eastAsia="宋体" w:cs="Times New Roman"/>
          <w:szCs w:val="21"/>
        </w:rPr>
        <w:t>(</w:t>
      </w:r>
      <w:r w:rsidRPr="003C2170">
        <w:rPr>
          <w:rFonts w:eastAsia="宋体" w:cs="Times New Roman" w:hint="eastAsia"/>
          <w:szCs w:val="21"/>
        </w:rPr>
        <w:t>以下简称</w:t>
      </w:r>
      <w:r w:rsidRPr="003C2170">
        <w:rPr>
          <w:rFonts w:eastAsia="宋体" w:cs="Times New Roman"/>
          <w:szCs w:val="21"/>
        </w:rPr>
        <w:t>“</w:t>
      </w:r>
      <w:r w:rsidRPr="003C2170">
        <w:rPr>
          <w:rFonts w:eastAsia="宋体" w:cs="Times New Roman" w:hint="eastAsia"/>
          <w:szCs w:val="21"/>
        </w:rPr>
        <w:t>中电</w:t>
      </w:r>
      <w:r w:rsidRPr="003C2170">
        <w:rPr>
          <w:rFonts w:eastAsia="宋体" w:cs="Times New Roman"/>
          <w:szCs w:val="21"/>
        </w:rPr>
        <w:t>”</w:t>
      </w:r>
      <w:r w:rsidR="005F14EE" w:rsidRPr="003C2170">
        <w:rPr>
          <w:rFonts w:eastAsia="宋体" w:cs="Times New Roman"/>
          <w:szCs w:val="21"/>
        </w:rPr>
        <w:t>)</w:t>
      </w:r>
      <w:r w:rsidRPr="003C2170">
        <w:rPr>
          <w:rFonts w:eastAsia="宋体" w:cs="Times New Roman" w:hint="eastAsia"/>
          <w:szCs w:val="21"/>
        </w:rPr>
        <w:t>。</w:t>
      </w:r>
    </w:p>
    <w:p w:rsidR="0071385F" w:rsidRPr="003C2170" w:rsidRDefault="0071385F" w:rsidP="0027505B">
      <w:pPr>
        <w:ind w:left="720"/>
        <w:jc w:val="both"/>
        <w:rPr>
          <w:rFonts w:eastAsia="宋体" w:cs="Times New Roman"/>
          <w:szCs w:val="21"/>
        </w:rPr>
      </w:pPr>
    </w:p>
    <w:p w:rsidR="00D0389F" w:rsidRPr="003C2170" w:rsidRDefault="00D0389F" w:rsidP="003C2170">
      <w:pPr>
        <w:ind w:left="720"/>
        <w:jc w:val="both"/>
        <w:rPr>
          <w:rFonts w:eastAsia="宋体" w:cs="Times New Roman"/>
          <w:b/>
          <w:bCs/>
          <w:szCs w:val="21"/>
          <w:u w:val="single"/>
        </w:rPr>
      </w:pPr>
      <w:r w:rsidRPr="003C2170">
        <w:rPr>
          <w:rFonts w:eastAsia="宋体" w:cs="Times New Roman"/>
          <w:bCs/>
          <w:szCs w:val="21"/>
          <w:u w:val="single"/>
        </w:rPr>
        <w:t>2</w:t>
      </w:r>
      <w:r w:rsidRPr="003C2170">
        <w:rPr>
          <w:rFonts w:eastAsia="宋体" w:cs="Times New Roman" w:hint="eastAsia"/>
          <w:bCs/>
          <w:szCs w:val="21"/>
          <w:u w:val="single"/>
        </w:rPr>
        <w:t>、财务报表批准报出日</w:t>
      </w:r>
    </w:p>
    <w:p w:rsidR="00392253" w:rsidRPr="003C2170" w:rsidRDefault="00392253" w:rsidP="0027505B">
      <w:pPr>
        <w:ind w:left="720"/>
        <w:jc w:val="both"/>
        <w:rPr>
          <w:rFonts w:eastAsia="宋体" w:cs="Times New Roman"/>
          <w:szCs w:val="21"/>
        </w:rPr>
      </w:pPr>
    </w:p>
    <w:p w:rsidR="00392253" w:rsidRPr="003C2170" w:rsidRDefault="00392253" w:rsidP="0027505B">
      <w:pPr>
        <w:ind w:left="720"/>
        <w:jc w:val="both"/>
        <w:rPr>
          <w:rFonts w:eastAsia="宋体" w:cs="Times New Roman"/>
          <w:szCs w:val="21"/>
        </w:rPr>
      </w:pPr>
      <w:r w:rsidRPr="003C2170">
        <w:rPr>
          <w:rFonts w:eastAsia="宋体" w:cs="Times New Roman" w:hint="eastAsia"/>
          <w:szCs w:val="21"/>
        </w:rPr>
        <w:t>本公司的公司及合并财务报表于</w:t>
      </w:r>
      <w:r w:rsidRPr="003C2170">
        <w:rPr>
          <w:rFonts w:eastAsia="宋体" w:cs="Times New Roman"/>
          <w:szCs w:val="21"/>
        </w:rPr>
        <w:t>202</w:t>
      </w:r>
      <w:r w:rsidR="00D8008D" w:rsidRPr="003C2170">
        <w:rPr>
          <w:rFonts w:eastAsia="宋体" w:cs="Times New Roman"/>
          <w:szCs w:val="21"/>
        </w:rPr>
        <w:t>4</w:t>
      </w:r>
      <w:r w:rsidRPr="003C2170">
        <w:rPr>
          <w:rFonts w:eastAsia="宋体" w:cs="Times New Roman" w:hint="eastAsia"/>
          <w:szCs w:val="21"/>
        </w:rPr>
        <w:t>年</w:t>
      </w:r>
      <w:r w:rsidRPr="003C2170">
        <w:rPr>
          <w:rFonts w:eastAsia="宋体" w:cs="Times New Roman"/>
          <w:szCs w:val="21"/>
        </w:rPr>
        <w:t>4</w:t>
      </w:r>
      <w:r w:rsidRPr="003C2170">
        <w:rPr>
          <w:rFonts w:eastAsia="宋体" w:cs="Times New Roman" w:hint="eastAsia"/>
          <w:szCs w:val="21"/>
        </w:rPr>
        <w:t>月</w:t>
      </w:r>
      <w:r w:rsidR="003A41FF" w:rsidRPr="003C2170">
        <w:rPr>
          <w:rFonts w:eastAsia="宋体" w:cs="Times New Roman"/>
          <w:szCs w:val="21"/>
        </w:rPr>
        <w:t>1</w:t>
      </w:r>
      <w:r w:rsidR="00E25E50" w:rsidRPr="003C2170">
        <w:rPr>
          <w:rFonts w:eastAsia="宋体" w:cs="Times New Roman"/>
          <w:szCs w:val="21"/>
        </w:rPr>
        <w:t>1</w:t>
      </w:r>
      <w:r w:rsidRPr="003C2170">
        <w:rPr>
          <w:rFonts w:eastAsia="宋体" w:cs="Times New Roman" w:hint="eastAsia"/>
          <w:szCs w:val="21"/>
        </w:rPr>
        <w:t>日已经本公司董事会批准。</w:t>
      </w:r>
    </w:p>
    <w:p w:rsidR="00392253" w:rsidRPr="003C2170" w:rsidRDefault="00392253" w:rsidP="003C2170">
      <w:pPr>
        <w:tabs>
          <w:tab w:val="left" w:pos="432"/>
        </w:tabs>
        <w:ind w:left="720"/>
        <w:jc w:val="both"/>
        <w:rPr>
          <w:rFonts w:eastAsia="宋体" w:cs="Times New Roman"/>
          <w:szCs w:val="21"/>
        </w:rPr>
      </w:pPr>
    </w:p>
    <w:p w:rsidR="0071385F" w:rsidRPr="003C2170" w:rsidRDefault="0071385F" w:rsidP="003C2170">
      <w:pPr>
        <w:tabs>
          <w:tab w:val="left" w:pos="432"/>
        </w:tabs>
        <w:ind w:left="720"/>
        <w:jc w:val="both"/>
        <w:rPr>
          <w:rFonts w:eastAsia="宋体" w:cs="Times New Roman"/>
          <w:szCs w:val="21"/>
        </w:rPr>
      </w:pPr>
    </w:p>
    <w:p w:rsidR="0071385F" w:rsidRPr="003C2170" w:rsidRDefault="0071385F" w:rsidP="003C2170">
      <w:pPr>
        <w:pStyle w:val="1"/>
        <w:keepNext w:val="0"/>
        <w:keepLines w:val="0"/>
        <w:adjustRightInd w:val="0"/>
        <w:snapToGrid w:val="0"/>
        <w:ind w:left="720" w:hanging="720"/>
        <w:contextualSpacing w:val="0"/>
        <w:jc w:val="both"/>
        <w:rPr>
          <w:rFonts w:ascii="Times New Roman" w:hAnsi="Times New Roman" w:cs="Times New Roman"/>
          <w:szCs w:val="21"/>
        </w:rPr>
      </w:pPr>
      <w:r w:rsidRPr="003C2170">
        <w:rPr>
          <w:rFonts w:ascii="Times New Roman" w:hAnsi="Times New Roman" w:cs="Times New Roman" w:hint="eastAsia"/>
          <w:szCs w:val="21"/>
        </w:rPr>
        <w:t>财务报表的编制基础</w:t>
      </w:r>
    </w:p>
    <w:p w:rsidR="0071385F" w:rsidRPr="003C2170" w:rsidRDefault="0071385F" w:rsidP="003C2170">
      <w:pPr>
        <w:ind w:left="720"/>
        <w:jc w:val="both"/>
        <w:rPr>
          <w:rFonts w:eastAsia="宋体" w:cs="Times New Roman"/>
          <w:snapToGrid w:val="0"/>
          <w:szCs w:val="21"/>
        </w:rPr>
      </w:pPr>
    </w:p>
    <w:p w:rsidR="0071385F" w:rsidRPr="003C2170" w:rsidRDefault="0071385F" w:rsidP="003C2170">
      <w:pPr>
        <w:ind w:left="720"/>
        <w:jc w:val="both"/>
        <w:rPr>
          <w:rFonts w:eastAsia="宋体" w:cs="Times New Roman"/>
          <w:snapToGrid w:val="0"/>
          <w:szCs w:val="21"/>
          <w:u w:val="single"/>
        </w:rPr>
      </w:pPr>
      <w:r w:rsidRPr="003C2170">
        <w:rPr>
          <w:rFonts w:eastAsia="宋体" w:cs="Times New Roman" w:hint="eastAsia"/>
          <w:snapToGrid w:val="0"/>
          <w:szCs w:val="21"/>
          <w:u w:val="single"/>
        </w:rPr>
        <w:t>编制基础</w:t>
      </w:r>
    </w:p>
    <w:p w:rsidR="0071385F" w:rsidRPr="003C2170" w:rsidRDefault="0071385F" w:rsidP="003C2170">
      <w:pPr>
        <w:ind w:left="720"/>
        <w:jc w:val="both"/>
        <w:rPr>
          <w:rFonts w:eastAsia="宋体" w:cs="Times New Roman"/>
          <w:snapToGrid w:val="0"/>
          <w:szCs w:val="21"/>
        </w:rPr>
      </w:pPr>
    </w:p>
    <w:p w:rsidR="00493063" w:rsidRPr="003C2170" w:rsidRDefault="001F21DA" w:rsidP="003C2170">
      <w:pPr>
        <w:autoSpaceDE w:val="0"/>
        <w:autoSpaceDN w:val="0"/>
        <w:ind w:left="720"/>
        <w:jc w:val="both"/>
        <w:rPr>
          <w:rFonts w:eastAsia="宋体" w:cs="Times New Roman"/>
          <w:szCs w:val="21"/>
        </w:rPr>
      </w:pPr>
      <w:r w:rsidRPr="003C2170">
        <w:rPr>
          <w:rFonts w:eastAsia="宋体" w:cs="Times New Roman" w:hint="eastAsia"/>
          <w:snapToGrid w:val="0"/>
          <w:spacing w:val="8"/>
          <w:szCs w:val="21"/>
        </w:rPr>
        <w:t>本集团执行财政部颁布的企业会计准则及相关规定</w:t>
      </w:r>
      <w:r w:rsidR="005F14EE" w:rsidRPr="003C2170">
        <w:rPr>
          <w:rFonts w:eastAsia="宋体" w:cs="Times New Roman"/>
          <w:snapToGrid w:val="0"/>
          <w:spacing w:val="8"/>
          <w:szCs w:val="21"/>
        </w:rPr>
        <w:t>(</w:t>
      </w:r>
      <w:r w:rsidRPr="003C2170">
        <w:rPr>
          <w:rFonts w:eastAsia="宋体" w:cs="Times New Roman" w:hint="eastAsia"/>
          <w:snapToGrid w:val="0"/>
          <w:spacing w:val="8"/>
          <w:szCs w:val="21"/>
        </w:rPr>
        <w:t>以下简称</w:t>
      </w:r>
      <w:r w:rsidR="00C246A8" w:rsidRPr="003C2170">
        <w:rPr>
          <w:rFonts w:eastAsia="宋体" w:cs="Times New Roman"/>
          <w:szCs w:val="21"/>
        </w:rPr>
        <w:t>“</w:t>
      </w:r>
      <w:r w:rsidRPr="003C2170">
        <w:rPr>
          <w:rFonts w:eastAsia="宋体" w:cs="Times New Roman" w:hint="eastAsia"/>
          <w:snapToGrid w:val="0"/>
          <w:spacing w:val="8"/>
          <w:szCs w:val="21"/>
        </w:rPr>
        <w:t>企业会计准则</w:t>
      </w:r>
      <w:r w:rsidR="00C246A8" w:rsidRPr="003C2170">
        <w:rPr>
          <w:rFonts w:eastAsia="宋体" w:cs="Times New Roman"/>
          <w:szCs w:val="21"/>
        </w:rPr>
        <w:t>”</w:t>
      </w:r>
      <w:r w:rsidR="005F14EE" w:rsidRPr="003C2170">
        <w:rPr>
          <w:rFonts w:eastAsia="宋体" w:cs="Times New Roman"/>
          <w:snapToGrid w:val="0"/>
          <w:spacing w:val="8"/>
          <w:szCs w:val="21"/>
        </w:rPr>
        <w:t>)</w:t>
      </w:r>
      <w:r w:rsidRPr="003C2170">
        <w:rPr>
          <w:rFonts w:eastAsia="宋体" w:cs="Times New Roman" w:hint="eastAsia"/>
          <w:snapToGrid w:val="0"/>
          <w:spacing w:val="8"/>
          <w:szCs w:val="21"/>
        </w:rPr>
        <w:t>。此外，本集团还按照《公开发行证券的公司信息披露编报规则第</w:t>
      </w:r>
      <w:r w:rsidRPr="003C2170">
        <w:rPr>
          <w:rFonts w:eastAsia="宋体" w:cs="Times New Roman"/>
          <w:snapToGrid w:val="0"/>
          <w:spacing w:val="8"/>
          <w:szCs w:val="21"/>
        </w:rPr>
        <w:t xml:space="preserve">15 </w:t>
      </w:r>
      <w:r w:rsidRPr="003C2170">
        <w:rPr>
          <w:rFonts w:eastAsia="宋体" w:cs="Times New Roman" w:hint="eastAsia"/>
          <w:snapToGrid w:val="0"/>
          <w:spacing w:val="8"/>
          <w:szCs w:val="21"/>
        </w:rPr>
        <w:t>号</w:t>
      </w:r>
      <w:r w:rsidR="000956DE" w:rsidRPr="003C2170">
        <w:rPr>
          <w:rFonts w:eastAsia="宋体" w:cs="Times New Roman"/>
          <w:szCs w:val="21"/>
        </w:rPr>
        <w:t>——</w:t>
      </w:r>
      <w:r w:rsidRPr="003C2170">
        <w:rPr>
          <w:rFonts w:eastAsia="宋体" w:cs="Times New Roman" w:hint="eastAsia"/>
          <w:snapToGrid w:val="0"/>
          <w:spacing w:val="8"/>
          <w:szCs w:val="21"/>
        </w:rPr>
        <w:t>财务报告的一般规定</w:t>
      </w:r>
      <w:r w:rsidR="005F14EE" w:rsidRPr="003C2170">
        <w:rPr>
          <w:rFonts w:eastAsia="宋体" w:cs="Times New Roman"/>
          <w:snapToGrid w:val="0"/>
          <w:spacing w:val="8"/>
          <w:szCs w:val="21"/>
        </w:rPr>
        <w:t>(</w:t>
      </w:r>
      <w:r w:rsidRPr="003C2170">
        <w:rPr>
          <w:rFonts w:eastAsia="宋体" w:cs="Times New Roman"/>
          <w:snapToGrid w:val="0"/>
          <w:spacing w:val="8"/>
          <w:szCs w:val="21"/>
        </w:rPr>
        <w:t>20</w:t>
      </w:r>
      <w:r w:rsidR="00CF6DCB" w:rsidRPr="003C2170">
        <w:rPr>
          <w:rFonts w:eastAsia="宋体" w:cs="Times New Roman"/>
          <w:snapToGrid w:val="0"/>
          <w:spacing w:val="8"/>
          <w:szCs w:val="21"/>
        </w:rPr>
        <w:t>2</w:t>
      </w:r>
      <w:r w:rsidR="00392253" w:rsidRPr="003C2170">
        <w:rPr>
          <w:rFonts w:eastAsia="宋体" w:cs="Times New Roman"/>
          <w:snapToGrid w:val="0"/>
          <w:spacing w:val="8"/>
          <w:szCs w:val="21"/>
        </w:rPr>
        <w:t>3</w:t>
      </w:r>
      <w:r w:rsidRPr="003C2170">
        <w:rPr>
          <w:rFonts w:eastAsia="宋体" w:cs="Times New Roman" w:hint="eastAsia"/>
          <w:snapToGrid w:val="0"/>
          <w:spacing w:val="8"/>
          <w:szCs w:val="21"/>
        </w:rPr>
        <w:t>年修订</w:t>
      </w:r>
      <w:r w:rsidR="005F14EE" w:rsidRPr="003C2170">
        <w:rPr>
          <w:rFonts w:eastAsia="宋体" w:cs="Times New Roman"/>
          <w:snapToGrid w:val="0"/>
          <w:spacing w:val="8"/>
          <w:szCs w:val="21"/>
        </w:rPr>
        <w:t>)</w:t>
      </w:r>
      <w:r w:rsidRPr="003C2170">
        <w:rPr>
          <w:rFonts w:eastAsia="宋体" w:cs="Times New Roman" w:hint="eastAsia"/>
          <w:snapToGrid w:val="0"/>
          <w:spacing w:val="8"/>
          <w:szCs w:val="21"/>
        </w:rPr>
        <w:t>》披露有关财务信息。</w:t>
      </w:r>
    </w:p>
    <w:p w:rsidR="0071385F" w:rsidRPr="003C2170" w:rsidRDefault="0071385F" w:rsidP="003C2170">
      <w:pPr>
        <w:autoSpaceDE w:val="0"/>
        <w:autoSpaceDN w:val="0"/>
        <w:ind w:left="720"/>
        <w:jc w:val="both"/>
        <w:rPr>
          <w:rFonts w:eastAsia="宋体" w:cs="Times New Roman"/>
          <w:szCs w:val="21"/>
        </w:rPr>
      </w:pPr>
    </w:p>
    <w:p w:rsidR="00FB3D06" w:rsidRPr="003C2170" w:rsidRDefault="00FB3D06" w:rsidP="003C2170">
      <w:pPr>
        <w:tabs>
          <w:tab w:val="left" w:pos="1134"/>
        </w:tabs>
        <w:ind w:left="720"/>
        <w:jc w:val="both"/>
        <w:rPr>
          <w:rFonts w:eastAsia="宋体" w:cs="Times New Roman"/>
          <w:snapToGrid w:val="0"/>
          <w:szCs w:val="21"/>
          <w:u w:val="single"/>
        </w:rPr>
      </w:pPr>
      <w:r w:rsidRPr="003C2170">
        <w:rPr>
          <w:rFonts w:eastAsia="宋体" w:cs="Times New Roman" w:hint="eastAsia"/>
          <w:snapToGrid w:val="0"/>
          <w:szCs w:val="21"/>
          <w:u w:val="single"/>
        </w:rPr>
        <w:t>持续经营</w:t>
      </w:r>
    </w:p>
    <w:p w:rsidR="00FB3D06" w:rsidRPr="003C2170" w:rsidRDefault="00FB3D06" w:rsidP="003C2170">
      <w:pPr>
        <w:tabs>
          <w:tab w:val="left" w:pos="1134"/>
        </w:tabs>
        <w:ind w:left="720"/>
        <w:jc w:val="both"/>
        <w:rPr>
          <w:rFonts w:eastAsia="宋体" w:cs="Times New Roman"/>
          <w:snapToGrid w:val="0"/>
          <w:szCs w:val="21"/>
        </w:rPr>
      </w:pPr>
    </w:p>
    <w:p w:rsidR="00072F53" w:rsidRPr="003C2170" w:rsidRDefault="00FB3D06" w:rsidP="003C2170">
      <w:pPr>
        <w:ind w:left="720"/>
        <w:jc w:val="both"/>
        <w:rPr>
          <w:rFonts w:eastAsia="宋体" w:cs="Times New Roman"/>
          <w:snapToGrid w:val="0"/>
          <w:szCs w:val="21"/>
        </w:rPr>
      </w:pPr>
      <w:r w:rsidRPr="003C2170">
        <w:rPr>
          <w:rFonts w:eastAsia="宋体" w:cs="Times New Roman" w:hint="eastAsia"/>
          <w:snapToGrid w:val="0"/>
          <w:szCs w:val="21"/>
        </w:rPr>
        <w:t>本集团对自</w:t>
      </w:r>
      <w:r w:rsidR="005B7BFA" w:rsidRPr="003C2170">
        <w:rPr>
          <w:rFonts w:eastAsia="宋体" w:cs="Times New Roman"/>
          <w:snapToGrid w:val="0"/>
          <w:szCs w:val="21"/>
        </w:rPr>
        <w:t>202</w:t>
      </w:r>
      <w:r w:rsidR="00483BCA" w:rsidRPr="003C2170">
        <w:rPr>
          <w:rFonts w:eastAsia="宋体" w:cs="Times New Roman"/>
          <w:snapToGrid w:val="0"/>
          <w:szCs w:val="21"/>
        </w:rPr>
        <w:t>3</w:t>
      </w:r>
      <w:r w:rsidR="005B7BFA" w:rsidRPr="003C2170">
        <w:rPr>
          <w:rFonts w:eastAsia="宋体" w:cs="Times New Roman" w:hint="eastAsia"/>
          <w:snapToGrid w:val="0"/>
          <w:szCs w:val="21"/>
        </w:rPr>
        <w:t>年</w:t>
      </w:r>
      <w:r w:rsidR="005B7BFA" w:rsidRPr="003C2170">
        <w:rPr>
          <w:rFonts w:eastAsia="宋体" w:cs="Times New Roman"/>
          <w:snapToGrid w:val="0"/>
          <w:szCs w:val="21"/>
        </w:rPr>
        <w:t>12</w:t>
      </w:r>
      <w:r w:rsidR="005B7BFA" w:rsidRPr="003C2170">
        <w:rPr>
          <w:rFonts w:eastAsia="宋体" w:cs="Times New Roman" w:hint="eastAsia"/>
          <w:snapToGrid w:val="0"/>
          <w:szCs w:val="21"/>
        </w:rPr>
        <w:t>月</w:t>
      </w:r>
      <w:r w:rsidR="005B7BFA" w:rsidRPr="003C2170">
        <w:rPr>
          <w:rFonts w:eastAsia="宋体" w:cs="Times New Roman"/>
          <w:snapToGrid w:val="0"/>
          <w:szCs w:val="21"/>
        </w:rPr>
        <w:t>31</w:t>
      </w:r>
      <w:r w:rsidR="005B7BFA" w:rsidRPr="003C2170">
        <w:rPr>
          <w:rFonts w:eastAsia="宋体" w:cs="Times New Roman" w:hint="eastAsia"/>
          <w:snapToGrid w:val="0"/>
          <w:szCs w:val="21"/>
        </w:rPr>
        <w:t>日</w:t>
      </w:r>
      <w:r w:rsidRPr="003C2170">
        <w:rPr>
          <w:rFonts w:eastAsia="宋体" w:cs="Times New Roman" w:hint="eastAsia"/>
          <w:snapToGrid w:val="0"/>
          <w:szCs w:val="21"/>
        </w:rPr>
        <w:t>起</w:t>
      </w:r>
      <w:r w:rsidRPr="003C2170">
        <w:rPr>
          <w:rFonts w:eastAsia="宋体" w:cs="Times New Roman"/>
          <w:snapToGrid w:val="0"/>
          <w:szCs w:val="21"/>
        </w:rPr>
        <w:t>12</w:t>
      </w:r>
      <w:r w:rsidRPr="003C2170">
        <w:rPr>
          <w:rFonts w:eastAsia="宋体" w:cs="Times New Roman" w:hint="eastAsia"/>
          <w:snapToGrid w:val="0"/>
          <w:szCs w:val="21"/>
        </w:rPr>
        <w:t>个月的持续经营能力进行了评价，未发现对持续经营能力产生重大怀疑的事项和情况。因此，本财务报表系在持续经营假设的基础上编制。</w:t>
      </w:r>
    </w:p>
    <w:p w:rsidR="00FB3D06" w:rsidRPr="003C2170" w:rsidRDefault="00FB3D06" w:rsidP="003C2170">
      <w:pPr>
        <w:ind w:left="720"/>
        <w:jc w:val="both"/>
        <w:rPr>
          <w:rFonts w:eastAsia="宋体" w:cs="Times New Roman"/>
          <w:snapToGrid w:val="0"/>
          <w:szCs w:val="21"/>
          <w:u w:val="single"/>
        </w:rPr>
      </w:pPr>
    </w:p>
    <w:p w:rsidR="00F95395" w:rsidRPr="003C2170" w:rsidRDefault="00F95395" w:rsidP="003C2170">
      <w:pPr>
        <w:ind w:left="720"/>
        <w:jc w:val="both"/>
        <w:rPr>
          <w:rFonts w:eastAsia="宋体" w:cs="Times New Roman"/>
          <w:snapToGrid w:val="0"/>
          <w:szCs w:val="21"/>
          <w:u w:val="single"/>
        </w:rPr>
      </w:pPr>
      <w:r w:rsidRPr="003C2170">
        <w:rPr>
          <w:rFonts w:eastAsia="宋体" w:cs="Times New Roman" w:hint="eastAsia"/>
          <w:snapToGrid w:val="0"/>
          <w:szCs w:val="21"/>
          <w:u w:val="single"/>
        </w:rPr>
        <w:t>记账基础和计价原则</w:t>
      </w:r>
    </w:p>
    <w:p w:rsidR="00F95395" w:rsidRPr="003C2170" w:rsidRDefault="00F95395" w:rsidP="003C2170">
      <w:pPr>
        <w:autoSpaceDE w:val="0"/>
        <w:autoSpaceDN w:val="0"/>
        <w:ind w:left="720"/>
        <w:jc w:val="both"/>
        <w:rPr>
          <w:rFonts w:eastAsia="宋体" w:cs="Times New Roman"/>
          <w:szCs w:val="21"/>
        </w:rPr>
      </w:pPr>
    </w:p>
    <w:p w:rsidR="00F95395" w:rsidRPr="003C2170" w:rsidRDefault="00F95395" w:rsidP="003C2170">
      <w:pPr>
        <w:autoSpaceDE w:val="0"/>
        <w:autoSpaceDN w:val="0"/>
        <w:ind w:left="720"/>
        <w:jc w:val="both"/>
        <w:rPr>
          <w:rFonts w:eastAsia="宋体" w:cs="Times New Roman"/>
          <w:szCs w:val="21"/>
        </w:rPr>
      </w:pPr>
      <w:r w:rsidRPr="003C2170">
        <w:rPr>
          <w:rFonts w:eastAsia="宋体" w:cs="Times New Roman" w:hint="eastAsia"/>
          <w:szCs w:val="21"/>
        </w:rPr>
        <w:t>本集团会计核算以权责发生制为记账基础。除某些金融工具以公允价值计量外，本财务报表以历史成本作为计量基础。资产如果发生减值，则按照相关规定计提相应的减值准备。</w:t>
      </w:r>
    </w:p>
    <w:p w:rsidR="00F95395" w:rsidRPr="003C2170" w:rsidRDefault="00F95395" w:rsidP="003C2170">
      <w:pPr>
        <w:tabs>
          <w:tab w:val="left" w:pos="432"/>
        </w:tabs>
        <w:ind w:left="720"/>
        <w:jc w:val="both"/>
        <w:rPr>
          <w:rFonts w:eastAsia="宋体" w:cs="Times New Roman"/>
          <w:szCs w:val="21"/>
        </w:rPr>
      </w:pPr>
    </w:p>
    <w:p w:rsidR="00F95395"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在历史成本计量下，资产按照购置时支付的现金或者现金等价物的金额或者所付出的对价的公允价值计量。负债按照因承担现时义务而实际收到的款项或者资产的金额，或者承担现时义务的合同金额，或者按照日常活动中为偿还负债预期需要支付的现金或者现金等价物的金额计量。</w:t>
      </w:r>
    </w:p>
    <w:p w:rsidR="0009636F" w:rsidRPr="003C2170" w:rsidRDefault="0009636F" w:rsidP="0027505B">
      <w:pPr>
        <w:jc w:val="both"/>
        <w:rPr>
          <w:rFonts w:eastAsia="宋体" w:cs="Times New Roman"/>
          <w:snapToGrid w:val="0"/>
          <w:szCs w:val="21"/>
        </w:rPr>
      </w:pPr>
      <w:r w:rsidRPr="003C2170">
        <w:rPr>
          <w:rFonts w:eastAsia="宋体" w:cs="Times New Roman"/>
          <w:snapToGrid w:val="0"/>
          <w:szCs w:val="21"/>
        </w:rPr>
        <w:br w:type="page"/>
      </w:r>
    </w:p>
    <w:p w:rsidR="0009636F" w:rsidRPr="003C2170" w:rsidRDefault="005F14EE" w:rsidP="003C2170">
      <w:pPr>
        <w:jc w:val="both"/>
        <w:rPr>
          <w:rFonts w:eastAsia="宋体" w:cs="Times New Roman"/>
          <w:b/>
          <w:snapToGrid w:val="0"/>
          <w:szCs w:val="21"/>
        </w:rPr>
      </w:pPr>
      <w:r w:rsidRPr="003C2170">
        <w:rPr>
          <w:rFonts w:eastAsia="宋体" w:cs="Times New Roman"/>
          <w:b/>
          <w:snapToGrid w:val="0"/>
          <w:szCs w:val="21"/>
        </w:rPr>
        <w:t>(</w:t>
      </w:r>
      <w:r w:rsidR="0009636F" w:rsidRPr="003C2170">
        <w:rPr>
          <w:rFonts w:eastAsia="宋体" w:cs="Times New Roman" w:hint="eastAsia"/>
          <w:b/>
          <w:snapToGrid w:val="0"/>
          <w:szCs w:val="21"/>
        </w:rPr>
        <w:t>二</w:t>
      </w:r>
      <w:r w:rsidRPr="003C2170">
        <w:rPr>
          <w:rFonts w:eastAsia="宋体" w:cs="Times New Roman"/>
          <w:b/>
          <w:snapToGrid w:val="0"/>
          <w:szCs w:val="21"/>
        </w:rPr>
        <w:t>)</w:t>
      </w:r>
      <w:r w:rsidR="0009636F" w:rsidRPr="003C2170">
        <w:rPr>
          <w:rFonts w:eastAsia="宋体" w:cs="Times New Roman"/>
          <w:b/>
          <w:snapToGrid w:val="0"/>
          <w:szCs w:val="21"/>
        </w:rPr>
        <w:tab/>
      </w:r>
      <w:r w:rsidR="0009636F" w:rsidRPr="003C2170">
        <w:rPr>
          <w:rFonts w:eastAsia="宋体" w:cs="Times New Roman" w:hint="eastAsia"/>
          <w:b/>
          <w:snapToGrid w:val="0"/>
          <w:szCs w:val="21"/>
        </w:rPr>
        <w:t>财务报表的编制基础</w:t>
      </w:r>
      <w:r w:rsidR="0009636F" w:rsidRPr="003C2170">
        <w:rPr>
          <w:rFonts w:eastAsia="宋体" w:cs="Times New Roman"/>
          <w:szCs w:val="21"/>
        </w:rPr>
        <w:t xml:space="preserve"> - </w:t>
      </w:r>
      <w:r w:rsidR="0009636F" w:rsidRPr="003C2170">
        <w:rPr>
          <w:rFonts w:eastAsia="宋体" w:cs="Times New Roman" w:hint="eastAsia"/>
          <w:szCs w:val="21"/>
        </w:rPr>
        <w:t>续</w:t>
      </w:r>
    </w:p>
    <w:p w:rsidR="0009636F" w:rsidRPr="003C2170" w:rsidRDefault="0009636F" w:rsidP="003C2170">
      <w:pPr>
        <w:ind w:left="720"/>
        <w:jc w:val="both"/>
        <w:rPr>
          <w:rFonts w:eastAsia="宋体" w:cs="Times New Roman"/>
          <w:snapToGrid w:val="0"/>
          <w:szCs w:val="21"/>
          <w:u w:val="single"/>
        </w:rPr>
      </w:pPr>
    </w:p>
    <w:p w:rsidR="0009636F" w:rsidRPr="003C2170" w:rsidRDefault="0009636F" w:rsidP="003C2170">
      <w:pPr>
        <w:ind w:left="720"/>
        <w:jc w:val="both"/>
        <w:rPr>
          <w:rFonts w:eastAsia="宋体" w:cs="Times New Roman"/>
          <w:snapToGrid w:val="0"/>
          <w:szCs w:val="21"/>
          <w:u w:val="single"/>
        </w:rPr>
      </w:pPr>
      <w:r w:rsidRPr="003C2170">
        <w:rPr>
          <w:rFonts w:eastAsia="宋体" w:cs="Times New Roman" w:hint="eastAsia"/>
          <w:snapToGrid w:val="0"/>
          <w:szCs w:val="21"/>
          <w:u w:val="single"/>
        </w:rPr>
        <w:t>记账基础和计价原则</w:t>
      </w:r>
      <w:r w:rsidRPr="003C2170">
        <w:rPr>
          <w:rFonts w:eastAsia="宋体" w:cs="Times New Roman"/>
          <w:snapToGrid w:val="0"/>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F95395" w:rsidRPr="003C2170" w:rsidRDefault="00F95395" w:rsidP="003C2170">
      <w:pPr>
        <w:ind w:left="720"/>
        <w:jc w:val="both"/>
        <w:rPr>
          <w:rFonts w:eastAsia="宋体" w:cs="Times New Roman"/>
          <w:snapToGrid w:val="0"/>
          <w:szCs w:val="21"/>
        </w:rPr>
      </w:pPr>
    </w:p>
    <w:p w:rsidR="00491F10"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公允价值是市场参与者在计量日发生的有序交易中，出售一项资产所能收到或者转移一项负债所需支付的价格。无论公允价值是可观察到的还是采用估值技术估计的，在本财务报表中计量和披露的公允价值均在此基础上予以确定。</w:t>
      </w:r>
    </w:p>
    <w:p w:rsidR="00F95395" w:rsidRPr="003C2170" w:rsidRDefault="00F95395" w:rsidP="003C2170">
      <w:pPr>
        <w:ind w:left="720"/>
        <w:jc w:val="both"/>
        <w:rPr>
          <w:rFonts w:eastAsia="宋体" w:cs="Times New Roman"/>
          <w:snapToGrid w:val="0"/>
          <w:szCs w:val="21"/>
        </w:rPr>
      </w:pPr>
    </w:p>
    <w:p w:rsidR="00F95395"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以公允价值计量非金融资产时，考虑市场参与者将该资产用于最佳用途产生经济利益的能力，或者将该资产出售给能够用于最佳用途的其他市场参与者产生经济利益的能力。</w:t>
      </w:r>
    </w:p>
    <w:p w:rsidR="00F95395" w:rsidRPr="003C2170" w:rsidRDefault="00F95395" w:rsidP="003C2170">
      <w:pPr>
        <w:ind w:left="720"/>
        <w:jc w:val="both"/>
        <w:rPr>
          <w:rFonts w:eastAsia="宋体" w:cs="Times New Roman"/>
          <w:snapToGrid w:val="0"/>
          <w:szCs w:val="21"/>
        </w:rPr>
      </w:pPr>
    </w:p>
    <w:p w:rsidR="00F95395"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对于以交易价格作为初始确认时的公允价值，且在公允价值后续计量中使用了涉及不可观察输入值的估值技术的金融资产，在估值过程中校正该估值技术，以使估值技术确定的初始确认结果与交易价格相等。</w:t>
      </w:r>
    </w:p>
    <w:p w:rsidR="00F95395" w:rsidRPr="003C2170" w:rsidRDefault="00F95395" w:rsidP="003C2170">
      <w:pPr>
        <w:tabs>
          <w:tab w:val="left" w:pos="432"/>
        </w:tabs>
        <w:ind w:left="720"/>
        <w:jc w:val="both"/>
        <w:rPr>
          <w:rFonts w:eastAsia="宋体" w:cs="Times New Roman"/>
          <w:szCs w:val="21"/>
        </w:rPr>
      </w:pPr>
    </w:p>
    <w:p w:rsidR="00F95395"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公允价值计量基于公允价值的输入值的可观察程度以及该等输入值对公允价值计量整体的重要性，被划分为三个层次</w:t>
      </w:r>
      <w:r w:rsidR="005F14EE" w:rsidRPr="003C2170">
        <w:rPr>
          <w:rFonts w:eastAsia="宋体" w:cs="Times New Roman" w:hint="eastAsia"/>
          <w:snapToGrid w:val="0"/>
          <w:szCs w:val="21"/>
        </w:rPr>
        <w:t>：</w:t>
      </w:r>
    </w:p>
    <w:p w:rsidR="00F95395" w:rsidRPr="003C2170" w:rsidRDefault="00F95395" w:rsidP="003C2170">
      <w:pPr>
        <w:ind w:left="720"/>
        <w:jc w:val="both"/>
        <w:rPr>
          <w:rFonts w:eastAsia="宋体" w:cs="Times New Roman"/>
          <w:snapToGrid w:val="0"/>
          <w:szCs w:val="21"/>
        </w:rPr>
      </w:pPr>
    </w:p>
    <w:p w:rsidR="00F95395" w:rsidRPr="003C2170" w:rsidRDefault="00F95395" w:rsidP="003C2170">
      <w:pPr>
        <w:pStyle w:val="aff1"/>
        <w:numPr>
          <w:ilvl w:val="0"/>
          <w:numId w:val="36"/>
        </w:numPr>
        <w:ind w:left="1260" w:firstLineChars="0" w:hanging="540"/>
        <w:jc w:val="both"/>
        <w:rPr>
          <w:snapToGrid w:val="0"/>
          <w:szCs w:val="21"/>
        </w:rPr>
      </w:pPr>
      <w:r w:rsidRPr="003C2170">
        <w:rPr>
          <w:rFonts w:hint="eastAsia"/>
          <w:snapToGrid w:val="0"/>
          <w:szCs w:val="21"/>
        </w:rPr>
        <w:t>第一层次输入值是在计量</w:t>
      </w:r>
      <w:proofErr w:type="gramStart"/>
      <w:r w:rsidRPr="003C2170">
        <w:rPr>
          <w:rFonts w:hint="eastAsia"/>
          <w:snapToGrid w:val="0"/>
          <w:szCs w:val="21"/>
        </w:rPr>
        <w:t>日能够</w:t>
      </w:r>
      <w:proofErr w:type="gramEnd"/>
      <w:r w:rsidRPr="003C2170">
        <w:rPr>
          <w:rFonts w:hint="eastAsia"/>
          <w:snapToGrid w:val="0"/>
          <w:szCs w:val="21"/>
        </w:rPr>
        <w:t>取得的相同资产或负债在活跃市场上未经调整的报价。</w:t>
      </w:r>
    </w:p>
    <w:p w:rsidR="00F95395" w:rsidRPr="003C2170" w:rsidRDefault="00F95395" w:rsidP="003C2170">
      <w:pPr>
        <w:pStyle w:val="aff1"/>
        <w:numPr>
          <w:ilvl w:val="0"/>
          <w:numId w:val="36"/>
        </w:numPr>
        <w:ind w:left="1260" w:firstLineChars="0" w:hanging="540"/>
        <w:jc w:val="both"/>
        <w:rPr>
          <w:snapToGrid w:val="0"/>
          <w:szCs w:val="21"/>
        </w:rPr>
      </w:pPr>
      <w:r w:rsidRPr="003C2170">
        <w:rPr>
          <w:rFonts w:hint="eastAsia"/>
          <w:snapToGrid w:val="0"/>
          <w:szCs w:val="21"/>
        </w:rPr>
        <w:t>第二层次输入值是除第一层次输入</w:t>
      </w:r>
      <w:proofErr w:type="gramStart"/>
      <w:r w:rsidRPr="003C2170">
        <w:rPr>
          <w:rFonts w:hint="eastAsia"/>
          <w:snapToGrid w:val="0"/>
          <w:szCs w:val="21"/>
        </w:rPr>
        <w:t>值外相关</w:t>
      </w:r>
      <w:proofErr w:type="gramEnd"/>
      <w:r w:rsidRPr="003C2170">
        <w:rPr>
          <w:rFonts w:hint="eastAsia"/>
          <w:snapToGrid w:val="0"/>
          <w:szCs w:val="21"/>
        </w:rPr>
        <w:t>资产或负债直接或</w:t>
      </w:r>
      <w:proofErr w:type="gramStart"/>
      <w:r w:rsidRPr="003C2170">
        <w:rPr>
          <w:rFonts w:hint="eastAsia"/>
          <w:snapToGrid w:val="0"/>
          <w:szCs w:val="21"/>
        </w:rPr>
        <w:t>间接可</w:t>
      </w:r>
      <w:proofErr w:type="gramEnd"/>
      <w:r w:rsidRPr="003C2170">
        <w:rPr>
          <w:rFonts w:hint="eastAsia"/>
          <w:snapToGrid w:val="0"/>
          <w:szCs w:val="21"/>
        </w:rPr>
        <w:t>观察的输入值。</w:t>
      </w:r>
    </w:p>
    <w:p w:rsidR="00F95395" w:rsidRPr="003C2170" w:rsidRDefault="00F95395" w:rsidP="003C2170">
      <w:pPr>
        <w:pStyle w:val="aff1"/>
        <w:numPr>
          <w:ilvl w:val="0"/>
          <w:numId w:val="36"/>
        </w:numPr>
        <w:ind w:left="1260" w:firstLineChars="0" w:hanging="540"/>
        <w:jc w:val="both"/>
        <w:rPr>
          <w:snapToGrid w:val="0"/>
          <w:szCs w:val="21"/>
        </w:rPr>
      </w:pPr>
      <w:r w:rsidRPr="003C2170">
        <w:rPr>
          <w:rFonts w:hint="eastAsia"/>
          <w:snapToGrid w:val="0"/>
          <w:szCs w:val="21"/>
        </w:rPr>
        <w:t>第三层次输入值是相关资产或负债的不可观察输入值。</w:t>
      </w:r>
    </w:p>
    <w:p w:rsidR="00F95395" w:rsidRPr="003C2170" w:rsidRDefault="00F95395" w:rsidP="003C2170">
      <w:pPr>
        <w:tabs>
          <w:tab w:val="left" w:pos="1134"/>
        </w:tabs>
        <w:ind w:left="709"/>
        <w:jc w:val="both"/>
        <w:rPr>
          <w:rFonts w:eastAsia="宋体" w:cs="Times New Roman"/>
          <w:snapToGrid w:val="0"/>
          <w:szCs w:val="21"/>
        </w:rPr>
      </w:pPr>
    </w:p>
    <w:p w:rsidR="00F95395" w:rsidRPr="003C2170" w:rsidRDefault="00F95395" w:rsidP="003C2170">
      <w:pPr>
        <w:tabs>
          <w:tab w:val="left" w:pos="1134"/>
        </w:tabs>
        <w:ind w:left="709"/>
        <w:jc w:val="both"/>
        <w:rPr>
          <w:rFonts w:eastAsia="宋体" w:cs="Times New Roman"/>
          <w:snapToGrid w:val="0"/>
          <w:szCs w:val="21"/>
        </w:rPr>
      </w:pPr>
    </w:p>
    <w:p w:rsidR="0071385F" w:rsidRPr="003C2170" w:rsidRDefault="0071385F" w:rsidP="003C2170">
      <w:pPr>
        <w:pStyle w:val="1"/>
        <w:keepNext w:val="0"/>
        <w:keepLines w:val="0"/>
        <w:adjustRightInd w:val="0"/>
        <w:snapToGrid w:val="0"/>
        <w:ind w:left="720" w:hanging="720"/>
        <w:contextualSpacing w:val="0"/>
        <w:jc w:val="both"/>
        <w:rPr>
          <w:rFonts w:ascii="Times New Roman" w:hAnsi="Times New Roman" w:cs="Times New Roman"/>
          <w:szCs w:val="21"/>
        </w:rPr>
      </w:pPr>
      <w:r w:rsidRPr="003C2170">
        <w:rPr>
          <w:rFonts w:ascii="Times New Roman" w:hAnsi="Times New Roman" w:cs="Times New Roman" w:hint="eastAsia"/>
          <w:szCs w:val="21"/>
        </w:rPr>
        <w:t>重要会计政策和会计估计</w:t>
      </w:r>
    </w:p>
    <w:p w:rsidR="007E6A0C" w:rsidRPr="003C2170" w:rsidRDefault="007E6A0C" w:rsidP="003C2170">
      <w:pPr>
        <w:ind w:left="720"/>
        <w:jc w:val="both"/>
        <w:rPr>
          <w:rFonts w:eastAsia="宋体" w:cs="Times New Roman"/>
          <w:snapToGrid w:val="0"/>
          <w:szCs w:val="21"/>
        </w:rPr>
      </w:pPr>
    </w:p>
    <w:p w:rsidR="00F4118F" w:rsidRPr="003C2170" w:rsidRDefault="007E6A0C" w:rsidP="003C2170">
      <w:pPr>
        <w:ind w:left="720"/>
        <w:jc w:val="both"/>
        <w:rPr>
          <w:rFonts w:eastAsia="宋体" w:cs="Times New Roman"/>
          <w:snapToGrid w:val="0"/>
          <w:szCs w:val="21"/>
        </w:rPr>
      </w:pPr>
      <w:r w:rsidRPr="003C2170">
        <w:rPr>
          <w:rFonts w:eastAsia="宋体" w:cs="Times New Roman" w:hint="eastAsia"/>
          <w:snapToGrid w:val="0"/>
          <w:szCs w:val="21"/>
        </w:rPr>
        <w:t>本集团根据生产经营特点确定具体会计政策和会计估计，主要体现在应收账款的预期信用损失的计量</w:t>
      </w:r>
      <w:r w:rsidR="005F14EE" w:rsidRPr="003C2170">
        <w:rPr>
          <w:rFonts w:eastAsia="宋体" w:cs="Times New Roman" w:hint="eastAsia"/>
          <w:snapToGrid w:val="0"/>
          <w:szCs w:val="21"/>
        </w:rPr>
        <w:t>(</w:t>
      </w:r>
      <w:r w:rsidRPr="003C2170">
        <w:rPr>
          <w:rFonts w:eastAsia="宋体" w:cs="Times New Roman" w:hint="eastAsia"/>
          <w:snapToGrid w:val="0"/>
          <w:szCs w:val="21"/>
        </w:rPr>
        <w:t>附注</w:t>
      </w:r>
      <w:r w:rsidR="001A57F3">
        <w:rPr>
          <w:rFonts w:eastAsia="宋体" w:cs="Times New Roman" w:hint="eastAsia"/>
          <w:snapToGrid w:val="0"/>
          <w:szCs w:val="21"/>
        </w:rPr>
        <w:t>(</w:t>
      </w:r>
      <w:r w:rsidRPr="003C2170">
        <w:rPr>
          <w:rFonts w:eastAsia="宋体" w:cs="Times New Roman" w:hint="eastAsia"/>
          <w:snapToGrid w:val="0"/>
          <w:szCs w:val="21"/>
        </w:rPr>
        <w:t>三</w:t>
      </w:r>
      <w:r w:rsidR="001A57F3">
        <w:rPr>
          <w:rFonts w:eastAsia="宋体" w:cs="Times New Roman" w:hint="eastAsia"/>
          <w:snapToGrid w:val="0"/>
          <w:szCs w:val="21"/>
        </w:rPr>
        <w:t>)</w:t>
      </w:r>
      <w:r w:rsidRPr="003C2170">
        <w:rPr>
          <w:rFonts w:eastAsia="宋体" w:cs="Times New Roman" w:hint="eastAsia"/>
          <w:snapToGrid w:val="0"/>
          <w:szCs w:val="21"/>
        </w:rPr>
        <w:t>、</w:t>
      </w:r>
      <w:r w:rsidRPr="003C2170">
        <w:rPr>
          <w:rFonts w:eastAsia="宋体" w:cs="Times New Roman" w:hint="eastAsia"/>
          <w:snapToGrid w:val="0"/>
          <w:szCs w:val="21"/>
        </w:rPr>
        <w:t>1</w:t>
      </w:r>
      <w:r w:rsidRPr="003C2170">
        <w:rPr>
          <w:rFonts w:eastAsia="宋体" w:cs="Times New Roman"/>
          <w:snapToGrid w:val="0"/>
          <w:szCs w:val="21"/>
        </w:rPr>
        <w:t>2</w:t>
      </w:r>
      <w:r w:rsidR="005F14EE" w:rsidRPr="003C2170">
        <w:rPr>
          <w:rFonts w:eastAsia="宋体" w:cs="Times New Roman"/>
          <w:snapToGrid w:val="0"/>
          <w:szCs w:val="21"/>
        </w:rPr>
        <w:t>)</w:t>
      </w:r>
      <w:r w:rsidRPr="003C2170">
        <w:rPr>
          <w:rFonts w:eastAsia="宋体" w:cs="Times New Roman" w:hint="eastAsia"/>
          <w:snapToGrid w:val="0"/>
          <w:szCs w:val="21"/>
        </w:rPr>
        <w:t>、存货的计价方法及其跌价损失的计量</w:t>
      </w:r>
      <w:r w:rsidR="005F14EE" w:rsidRPr="003C2170">
        <w:rPr>
          <w:rFonts w:eastAsia="宋体" w:cs="Times New Roman" w:hint="eastAsia"/>
          <w:snapToGrid w:val="0"/>
          <w:szCs w:val="21"/>
        </w:rPr>
        <w:t>(</w:t>
      </w:r>
      <w:r w:rsidRPr="003C2170">
        <w:rPr>
          <w:rFonts w:eastAsia="宋体" w:cs="Times New Roman" w:hint="eastAsia"/>
          <w:snapToGrid w:val="0"/>
          <w:szCs w:val="21"/>
        </w:rPr>
        <w:t>附注</w:t>
      </w:r>
      <w:r w:rsidR="001A57F3">
        <w:rPr>
          <w:rFonts w:eastAsia="宋体" w:cs="Times New Roman" w:hint="eastAsia"/>
          <w:snapToGrid w:val="0"/>
          <w:szCs w:val="21"/>
        </w:rPr>
        <w:t>(</w:t>
      </w:r>
      <w:r w:rsidRPr="003C2170">
        <w:rPr>
          <w:rFonts w:eastAsia="宋体" w:cs="Times New Roman" w:hint="eastAsia"/>
          <w:snapToGrid w:val="0"/>
          <w:szCs w:val="21"/>
        </w:rPr>
        <w:t>三</w:t>
      </w:r>
      <w:r w:rsidR="001A57F3">
        <w:rPr>
          <w:rFonts w:eastAsia="宋体" w:cs="Times New Roman" w:hint="eastAsia"/>
          <w:snapToGrid w:val="0"/>
          <w:szCs w:val="21"/>
        </w:rPr>
        <w:t>)</w:t>
      </w:r>
      <w:r w:rsidRPr="003C2170">
        <w:rPr>
          <w:rFonts w:eastAsia="宋体" w:cs="Times New Roman" w:hint="eastAsia"/>
          <w:snapToGrid w:val="0"/>
          <w:szCs w:val="21"/>
        </w:rPr>
        <w:t>、</w:t>
      </w:r>
      <w:r w:rsidRPr="003C2170">
        <w:rPr>
          <w:rFonts w:eastAsia="宋体" w:cs="Times New Roman" w:hint="eastAsia"/>
          <w:snapToGrid w:val="0"/>
          <w:szCs w:val="21"/>
        </w:rPr>
        <w:t>1</w:t>
      </w:r>
      <w:r w:rsidRPr="003C2170">
        <w:rPr>
          <w:rFonts w:eastAsia="宋体" w:cs="Times New Roman"/>
          <w:snapToGrid w:val="0"/>
          <w:szCs w:val="21"/>
        </w:rPr>
        <w:t>5</w:t>
      </w:r>
      <w:r w:rsidR="005F14EE" w:rsidRPr="003C2170">
        <w:rPr>
          <w:rFonts w:eastAsia="宋体" w:cs="Times New Roman"/>
          <w:snapToGrid w:val="0"/>
          <w:szCs w:val="21"/>
        </w:rPr>
        <w:t>)</w:t>
      </w:r>
      <w:r w:rsidRPr="003C2170">
        <w:rPr>
          <w:rFonts w:eastAsia="宋体" w:cs="Times New Roman" w:hint="eastAsia"/>
          <w:snapToGrid w:val="0"/>
          <w:szCs w:val="21"/>
        </w:rPr>
        <w:t>、固定资产折旧、无形资产和使用权资产摊销</w:t>
      </w:r>
      <w:r w:rsidR="005F14EE" w:rsidRPr="003C2170">
        <w:rPr>
          <w:rFonts w:eastAsia="宋体" w:cs="Times New Roman" w:hint="eastAsia"/>
          <w:snapToGrid w:val="0"/>
          <w:szCs w:val="21"/>
        </w:rPr>
        <w:t>(</w:t>
      </w:r>
      <w:r w:rsidRPr="003C2170">
        <w:rPr>
          <w:rFonts w:eastAsia="宋体" w:cs="Times New Roman" w:hint="eastAsia"/>
          <w:snapToGrid w:val="0"/>
          <w:szCs w:val="21"/>
        </w:rPr>
        <w:t>附注</w:t>
      </w:r>
      <w:r w:rsidR="001A57F3">
        <w:rPr>
          <w:rFonts w:eastAsia="宋体" w:cs="Times New Roman" w:hint="eastAsia"/>
          <w:snapToGrid w:val="0"/>
          <w:szCs w:val="21"/>
        </w:rPr>
        <w:t>(</w:t>
      </w:r>
      <w:r w:rsidRPr="003C2170">
        <w:rPr>
          <w:rFonts w:eastAsia="宋体" w:cs="Times New Roman" w:hint="eastAsia"/>
          <w:snapToGrid w:val="0"/>
          <w:szCs w:val="21"/>
        </w:rPr>
        <w:t>三</w:t>
      </w:r>
      <w:r w:rsidR="001A57F3">
        <w:rPr>
          <w:rFonts w:eastAsia="宋体" w:cs="Times New Roman" w:hint="eastAsia"/>
          <w:snapToGrid w:val="0"/>
          <w:szCs w:val="21"/>
        </w:rPr>
        <w:t>)</w:t>
      </w:r>
      <w:r w:rsidRPr="003C2170">
        <w:rPr>
          <w:rFonts w:eastAsia="宋体" w:cs="Times New Roman" w:hint="eastAsia"/>
          <w:snapToGrid w:val="0"/>
          <w:szCs w:val="21"/>
        </w:rPr>
        <w:t>、</w:t>
      </w:r>
      <w:r w:rsidRPr="003C2170">
        <w:rPr>
          <w:rFonts w:eastAsia="宋体" w:cs="Times New Roman" w:hint="eastAsia"/>
          <w:snapToGrid w:val="0"/>
          <w:szCs w:val="21"/>
        </w:rPr>
        <w:t>1</w:t>
      </w:r>
      <w:r w:rsidR="00BB6B39" w:rsidRPr="003C2170">
        <w:rPr>
          <w:rFonts w:eastAsia="宋体" w:cs="Times New Roman"/>
          <w:snapToGrid w:val="0"/>
          <w:szCs w:val="21"/>
        </w:rPr>
        <w:t>7</w:t>
      </w:r>
      <w:r w:rsidRPr="003C2170">
        <w:rPr>
          <w:rFonts w:eastAsia="宋体" w:cs="Times New Roman" w:hint="eastAsia"/>
          <w:snapToGrid w:val="0"/>
          <w:szCs w:val="21"/>
        </w:rPr>
        <w:t>、</w:t>
      </w:r>
      <w:r w:rsidR="00BB6B39" w:rsidRPr="003C2170">
        <w:rPr>
          <w:rFonts w:eastAsia="宋体" w:cs="Times New Roman"/>
          <w:snapToGrid w:val="0"/>
          <w:szCs w:val="21"/>
        </w:rPr>
        <w:t>20</w:t>
      </w:r>
      <w:r w:rsidRPr="003C2170">
        <w:rPr>
          <w:rFonts w:eastAsia="宋体" w:cs="Times New Roman" w:hint="eastAsia"/>
          <w:snapToGrid w:val="0"/>
          <w:szCs w:val="21"/>
        </w:rPr>
        <w:t>、</w:t>
      </w:r>
      <w:r w:rsidR="00BB6B39" w:rsidRPr="003C2170">
        <w:rPr>
          <w:rFonts w:eastAsia="宋体" w:cs="Times New Roman"/>
          <w:snapToGrid w:val="0"/>
          <w:szCs w:val="21"/>
        </w:rPr>
        <w:t>30</w:t>
      </w:r>
      <w:r w:rsidR="005F14EE" w:rsidRPr="003C2170">
        <w:rPr>
          <w:rFonts w:eastAsia="宋体" w:cs="Times New Roman" w:hint="eastAsia"/>
          <w:snapToGrid w:val="0"/>
          <w:szCs w:val="21"/>
        </w:rPr>
        <w:t>)</w:t>
      </w:r>
      <w:r w:rsidRPr="003C2170">
        <w:rPr>
          <w:rFonts w:eastAsia="宋体" w:cs="Times New Roman" w:hint="eastAsia"/>
          <w:snapToGrid w:val="0"/>
          <w:szCs w:val="21"/>
        </w:rPr>
        <w:t>以及收入的确认和计量</w:t>
      </w:r>
      <w:r w:rsidR="005F14EE" w:rsidRPr="003C2170">
        <w:rPr>
          <w:rFonts w:eastAsia="宋体" w:cs="Times New Roman" w:hint="eastAsia"/>
          <w:snapToGrid w:val="0"/>
          <w:szCs w:val="21"/>
        </w:rPr>
        <w:t>(</w:t>
      </w:r>
      <w:r w:rsidRPr="003C2170">
        <w:rPr>
          <w:rFonts w:eastAsia="宋体" w:cs="Times New Roman" w:hint="eastAsia"/>
          <w:snapToGrid w:val="0"/>
          <w:szCs w:val="21"/>
        </w:rPr>
        <w:t>附注</w:t>
      </w:r>
      <w:r w:rsidR="001A57F3">
        <w:rPr>
          <w:rFonts w:eastAsia="宋体" w:cs="Times New Roman" w:hint="eastAsia"/>
          <w:snapToGrid w:val="0"/>
          <w:szCs w:val="21"/>
        </w:rPr>
        <w:t>(</w:t>
      </w:r>
      <w:r w:rsidRPr="003C2170">
        <w:rPr>
          <w:rFonts w:eastAsia="宋体" w:cs="Times New Roman" w:hint="eastAsia"/>
          <w:snapToGrid w:val="0"/>
          <w:szCs w:val="21"/>
        </w:rPr>
        <w:t>三</w:t>
      </w:r>
      <w:r w:rsidR="001A57F3">
        <w:rPr>
          <w:rFonts w:eastAsia="宋体" w:cs="Times New Roman" w:hint="eastAsia"/>
          <w:snapToGrid w:val="0"/>
          <w:szCs w:val="21"/>
        </w:rPr>
        <w:t>)</w:t>
      </w:r>
      <w:r w:rsidRPr="003C2170">
        <w:rPr>
          <w:rFonts w:eastAsia="宋体" w:cs="Times New Roman" w:hint="eastAsia"/>
          <w:snapToGrid w:val="0"/>
          <w:szCs w:val="21"/>
        </w:rPr>
        <w:t>、</w:t>
      </w:r>
      <w:r w:rsidRPr="003C2170">
        <w:rPr>
          <w:rFonts w:eastAsia="宋体" w:cs="Times New Roman"/>
          <w:snapToGrid w:val="0"/>
          <w:szCs w:val="21"/>
        </w:rPr>
        <w:t>2</w:t>
      </w:r>
      <w:r w:rsidR="00BB6B39" w:rsidRPr="003C2170">
        <w:rPr>
          <w:rFonts w:eastAsia="宋体" w:cs="Times New Roman"/>
          <w:snapToGrid w:val="0"/>
          <w:szCs w:val="21"/>
        </w:rPr>
        <w:t>7</w:t>
      </w:r>
      <w:r w:rsidR="005F14EE" w:rsidRPr="003C2170">
        <w:rPr>
          <w:rFonts w:eastAsia="宋体" w:cs="Times New Roman"/>
          <w:snapToGrid w:val="0"/>
          <w:szCs w:val="21"/>
        </w:rPr>
        <w:t>)</w:t>
      </w:r>
    </w:p>
    <w:p w:rsidR="007E6A0C" w:rsidRPr="003C2170" w:rsidRDefault="007E6A0C" w:rsidP="003C2170">
      <w:pPr>
        <w:ind w:left="720"/>
        <w:jc w:val="both"/>
        <w:rPr>
          <w:rFonts w:eastAsia="宋体" w:cs="Times New Roman"/>
          <w:snapToGrid w:val="0"/>
          <w:szCs w:val="21"/>
        </w:rPr>
      </w:pPr>
    </w:p>
    <w:p w:rsidR="0071385F" w:rsidRPr="003C2170" w:rsidRDefault="00F95395" w:rsidP="003C2170">
      <w:pPr>
        <w:pStyle w:val="2"/>
        <w:numPr>
          <w:ilvl w:val="3"/>
          <w:numId w:val="1"/>
        </w:numPr>
        <w:adjustRightInd w:val="0"/>
        <w:snapToGrid w:val="0"/>
        <w:ind w:left="1440"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遵循企业会计准则的声明</w:t>
      </w:r>
    </w:p>
    <w:p w:rsidR="0071385F" w:rsidRPr="003C2170" w:rsidRDefault="0071385F" w:rsidP="003C2170">
      <w:pPr>
        <w:ind w:left="720"/>
        <w:jc w:val="both"/>
        <w:rPr>
          <w:rFonts w:eastAsia="宋体" w:cs="Times New Roman"/>
          <w:snapToGrid w:val="0"/>
          <w:szCs w:val="21"/>
        </w:rPr>
      </w:pPr>
    </w:p>
    <w:p w:rsidR="0071385F"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本公司编制的财务报表符合企业会计准则的要求，真实、完整地反映了本公司于</w:t>
      </w:r>
      <w:r w:rsidR="00DE2975" w:rsidRPr="003C2170">
        <w:rPr>
          <w:rFonts w:eastAsia="宋体" w:cs="Times New Roman"/>
          <w:snapToGrid w:val="0"/>
          <w:szCs w:val="21"/>
        </w:rPr>
        <w:t>202</w:t>
      </w:r>
      <w:r w:rsidR="00F0319D" w:rsidRPr="003C2170">
        <w:rPr>
          <w:rFonts w:eastAsia="宋体" w:cs="Times New Roman"/>
          <w:snapToGrid w:val="0"/>
          <w:szCs w:val="21"/>
        </w:rPr>
        <w:t>3</w:t>
      </w:r>
      <w:r w:rsidR="00DE2975" w:rsidRPr="003C2170">
        <w:rPr>
          <w:rFonts w:eastAsia="宋体" w:cs="Times New Roman" w:hint="eastAsia"/>
          <w:snapToGrid w:val="0"/>
          <w:szCs w:val="21"/>
        </w:rPr>
        <w:t>年</w:t>
      </w:r>
      <w:r w:rsidR="00DE2975" w:rsidRPr="003C2170">
        <w:rPr>
          <w:rFonts w:eastAsia="宋体" w:cs="Times New Roman"/>
          <w:snapToGrid w:val="0"/>
          <w:szCs w:val="21"/>
        </w:rPr>
        <w:t>12</w:t>
      </w:r>
      <w:r w:rsidR="00DE2975" w:rsidRPr="003C2170">
        <w:rPr>
          <w:rFonts w:eastAsia="宋体" w:cs="Times New Roman" w:hint="eastAsia"/>
          <w:snapToGrid w:val="0"/>
          <w:szCs w:val="21"/>
        </w:rPr>
        <w:t>月</w:t>
      </w:r>
      <w:r w:rsidR="00DE2975" w:rsidRPr="003C2170">
        <w:rPr>
          <w:rFonts w:eastAsia="宋体" w:cs="Times New Roman"/>
          <w:snapToGrid w:val="0"/>
          <w:szCs w:val="21"/>
        </w:rPr>
        <w:t>31</w:t>
      </w:r>
      <w:r w:rsidR="00DE2975" w:rsidRPr="003C2170">
        <w:rPr>
          <w:rFonts w:eastAsia="宋体" w:cs="Times New Roman" w:hint="eastAsia"/>
          <w:snapToGrid w:val="0"/>
          <w:szCs w:val="21"/>
        </w:rPr>
        <w:t>日</w:t>
      </w:r>
      <w:r w:rsidRPr="003C2170">
        <w:rPr>
          <w:rFonts w:eastAsia="宋体" w:cs="Times New Roman" w:hint="eastAsia"/>
          <w:snapToGrid w:val="0"/>
          <w:szCs w:val="21"/>
        </w:rPr>
        <w:t>的公司及合并财务状况以及</w:t>
      </w:r>
      <w:r w:rsidR="00DC0713" w:rsidRPr="003C2170">
        <w:rPr>
          <w:rFonts w:eastAsia="宋体" w:cs="Times New Roman"/>
          <w:snapToGrid w:val="0"/>
          <w:szCs w:val="21"/>
        </w:rPr>
        <w:t>202</w:t>
      </w:r>
      <w:r w:rsidR="00F0319D" w:rsidRPr="003C2170">
        <w:rPr>
          <w:rFonts w:eastAsia="宋体" w:cs="Times New Roman"/>
          <w:snapToGrid w:val="0"/>
          <w:szCs w:val="21"/>
        </w:rPr>
        <w:t>3</w:t>
      </w:r>
      <w:r w:rsidR="00DC0713" w:rsidRPr="003C2170">
        <w:rPr>
          <w:rFonts w:eastAsia="宋体" w:cs="Times New Roman" w:hint="eastAsia"/>
          <w:snapToGrid w:val="0"/>
          <w:szCs w:val="21"/>
        </w:rPr>
        <w:t>年度</w:t>
      </w:r>
      <w:r w:rsidRPr="003C2170">
        <w:rPr>
          <w:rFonts w:eastAsia="宋体" w:cs="Times New Roman" w:hint="eastAsia"/>
          <w:snapToGrid w:val="0"/>
          <w:szCs w:val="21"/>
        </w:rPr>
        <w:t>的公司及合并经营成果</w:t>
      </w:r>
      <w:r w:rsidR="00392253" w:rsidRPr="003C2170">
        <w:rPr>
          <w:rFonts w:eastAsia="宋体" w:cs="Times New Roman" w:hint="eastAsia"/>
          <w:snapToGrid w:val="0"/>
          <w:szCs w:val="21"/>
        </w:rPr>
        <w:t>、公司及合并股东权益变动和</w:t>
      </w:r>
      <w:r w:rsidRPr="003C2170">
        <w:rPr>
          <w:rFonts w:eastAsia="宋体" w:cs="Times New Roman" w:hint="eastAsia"/>
          <w:snapToGrid w:val="0"/>
          <w:szCs w:val="21"/>
        </w:rPr>
        <w:t>公司及合并现金流量。</w:t>
      </w:r>
    </w:p>
    <w:p w:rsidR="00F95395" w:rsidRPr="003C2170" w:rsidRDefault="00F95395" w:rsidP="003C2170">
      <w:pPr>
        <w:ind w:left="720"/>
        <w:jc w:val="both"/>
        <w:rPr>
          <w:rFonts w:eastAsia="宋体" w:cs="Times New Roman"/>
          <w:snapToGrid w:val="0"/>
          <w:szCs w:val="21"/>
        </w:rPr>
      </w:pPr>
    </w:p>
    <w:p w:rsidR="00F95395" w:rsidRPr="003C2170" w:rsidRDefault="00F95395" w:rsidP="003C2170">
      <w:pPr>
        <w:pStyle w:val="2"/>
        <w:numPr>
          <w:ilvl w:val="3"/>
          <w:numId w:val="1"/>
        </w:numPr>
        <w:adjustRightInd w:val="0"/>
        <w:snapToGrid w:val="0"/>
        <w:ind w:left="1440"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会计期间</w:t>
      </w:r>
    </w:p>
    <w:p w:rsidR="00F95395" w:rsidRPr="003C2170" w:rsidRDefault="00F95395" w:rsidP="003C2170">
      <w:pPr>
        <w:ind w:left="749"/>
        <w:jc w:val="both"/>
        <w:rPr>
          <w:rFonts w:eastAsia="宋体" w:cs="Times New Roman"/>
          <w:snapToGrid w:val="0"/>
          <w:szCs w:val="21"/>
        </w:rPr>
      </w:pPr>
    </w:p>
    <w:p w:rsidR="00F95395"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本集团的会计年度为公历年度，即每年</w:t>
      </w:r>
      <w:r w:rsidRPr="003C2170">
        <w:rPr>
          <w:rFonts w:eastAsia="宋体" w:cs="Times New Roman"/>
          <w:snapToGrid w:val="0"/>
          <w:szCs w:val="21"/>
        </w:rPr>
        <w:t>1</w:t>
      </w:r>
      <w:r w:rsidRPr="003C2170">
        <w:rPr>
          <w:rFonts w:eastAsia="宋体" w:cs="Times New Roman" w:hint="eastAsia"/>
          <w:snapToGrid w:val="0"/>
          <w:szCs w:val="21"/>
        </w:rPr>
        <w:t>月</w:t>
      </w:r>
      <w:r w:rsidRPr="003C2170">
        <w:rPr>
          <w:rFonts w:eastAsia="宋体" w:cs="Times New Roman"/>
          <w:snapToGrid w:val="0"/>
          <w:szCs w:val="21"/>
        </w:rPr>
        <w:t>1</w:t>
      </w:r>
      <w:r w:rsidRPr="003C2170">
        <w:rPr>
          <w:rFonts w:eastAsia="宋体" w:cs="Times New Roman" w:hint="eastAsia"/>
          <w:snapToGrid w:val="0"/>
          <w:szCs w:val="21"/>
        </w:rPr>
        <w:t>日起至</w:t>
      </w:r>
      <w:r w:rsidRPr="003C2170">
        <w:rPr>
          <w:rFonts w:eastAsia="宋体" w:cs="Times New Roman"/>
          <w:snapToGrid w:val="0"/>
          <w:szCs w:val="21"/>
        </w:rPr>
        <w:t>12</w:t>
      </w:r>
      <w:r w:rsidRPr="003C2170">
        <w:rPr>
          <w:rFonts w:eastAsia="宋体" w:cs="Times New Roman" w:hint="eastAsia"/>
          <w:snapToGrid w:val="0"/>
          <w:szCs w:val="21"/>
        </w:rPr>
        <w:t>月</w:t>
      </w:r>
      <w:r w:rsidRPr="003C2170">
        <w:rPr>
          <w:rFonts w:eastAsia="宋体" w:cs="Times New Roman"/>
          <w:snapToGrid w:val="0"/>
          <w:szCs w:val="21"/>
        </w:rPr>
        <w:t>31</w:t>
      </w:r>
      <w:r w:rsidRPr="003C2170">
        <w:rPr>
          <w:rFonts w:eastAsia="宋体" w:cs="Times New Roman" w:hint="eastAsia"/>
          <w:snapToGrid w:val="0"/>
          <w:szCs w:val="21"/>
        </w:rPr>
        <w:t>日止。</w:t>
      </w:r>
    </w:p>
    <w:p w:rsidR="00694CFB" w:rsidRPr="003C2170" w:rsidRDefault="00694CFB" w:rsidP="003C2170">
      <w:pPr>
        <w:ind w:left="720"/>
        <w:jc w:val="both"/>
        <w:rPr>
          <w:rFonts w:eastAsia="宋体" w:cs="Times New Roman"/>
          <w:snapToGrid w:val="0"/>
          <w:szCs w:val="21"/>
        </w:rPr>
      </w:pPr>
    </w:p>
    <w:p w:rsidR="00F95395" w:rsidRPr="003C2170" w:rsidRDefault="00F95395" w:rsidP="003C2170">
      <w:pPr>
        <w:pStyle w:val="2"/>
        <w:numPr>
          <w:ilvl w:val="3"/>
          <w:numId w:val="1"/>
        </w:numPr>
        <w:adjustRightInd w:val="0"/>
        <w:snapToGrid w:val="0"/>
        <w:ind w:left="720" w:firstLine="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营业周期</w:t>
      </w:r>
    </w:p>
    <w:p w:rsidR="00F95395" w:rsidRPr="003C2170" w:rsidRDefault="00F95395" w:rsidP="003C2170">
      <w:pPr>
        <w:ind w:left="720"/>
        <w:jc w:val="both"/>
        <w:rPr>
          <w:rFonts w:eastAsia="宋体" w:cs="Times New Roman"/>
          <w:b/>
          <w:szCs w:val="21"/>
        </w:rPr>
      </w:pPr>
    </w:p>
    <w:p w:rsidR="00493063"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营业周期是指企业从购买用于加工的资产起</w:t>
      </w:r>
      <w:proofErr w:type="gramStart"/>
      <w:r w:rsidRPr="003C2170">
        <w:rPr>
          <w:rFonts w:eastAsia="宋体" w:cs="Times New Roman" w:hint="eastAsia"/>
          <w:snapToGrid w:val="0"/>
          <w:szCs w:val="21"/>
        </w:rPr>
        <w:t>至实现</w:t>
      </w:r>
      <w:proofErr w:type="gramEnd"/>
      <w:r w:rsidRPr="003C2170">
        <w:rPr>
          <w:rFonts w:eastAsia="宋体" w:cs="Times New Roman" w:hint="eastAsia"/>
          <w:snapToGrid w:val="0"/>
          <w:szCs w:val="21"/>
        </w:rPr>
        <w:t>现金或现金等价物的期间。本集团的营业周期</w:t>
      </w:r>
      <w:r w:rsidR="00A816D8" w:rsidRPr="003C2170">
        <w:rPr>
          <w:rFonts w:eastAsia="宋体" w:cs="Times New Roman" w:hint="eastAsia"/>
          <w:snapToGrid w:val="0"/>
          <w:szCs w:val="21"/>
        </w:rPr>
        <w:t>小于</w:t>
      </w:r>
      <w:r w:rsidRPr="003C2170">
        <w:rPr>
          <w:rFonts w:eastAsia="宋体" w:cs="Times New Roman"/>
          <w:snapToGrid w:val="0"/>
          <w:szCs w:val="21"/>
        </w:rPr>
        <w:t>12</w:t>
      </w:r>
      <w:r w:rsidR="00102A7D" w:rsidRPr="003C2170">
        <w:rPr>
          <w:rFonts w:eastAsia="宋体" w:cs="Times New Roman" w:hint="eastAsia"/>
          <w:snapToGrid w:val="0"/>
          <w:szCs w:val="21"/>
        </w:rPr>
        <w:t>个月</w:t>
      </w:r>
      <w:r w:rsidR="00A816D8" w:rsidRPr="003C2170">
        <w:rPr>
          <w:rFonts w:eastAsia="宋体" w:cs="Times New Roman" w:hint="eastAsia"/>
          <w:snapToGrid w:val="0"/>
          <w:szCs w:val="21"/>
        </w:rPr>
        <w:t>，本集团以</w:t>
      </w:r>
      <w:r w:rsidR="00A816D8" w:rsidRPr="003C2170">
        <w:rPr>
          <w:rFonts w:eastAsia="宋体" w:cs="Times New Roman"/>
          <w:snapToGrid w:val="0"/>
          <w:szCs w:val="21"/>
        </w:rPr>
        <w:t>12</w:t>
      </w:r>
      <w:r w:rsidR="00A816D8" w:rsidRPr="003C2170">
        <w:rPr>
          <w:rFonts w:eastAsia="宋体" w:cs="Times New Roman" w:hint="eastAsia"/>
          <w:snapToGrid w:val="0"/>
          <w:szCs w:val="21"/>
        </w:rPr>
        <w:t>个月作为资产和负债流动性的划分标准。</w:t>
      </w:r>
    </w:p>
    <w:p w:rsidR="0071385F" w:rsidRPr="003C2170" w:rsidRDefault="0071385F" w:rsidP="003C2170">
      <w:pPr>
        <w:ind w:left="720"/>
        <w:jc w:val="both"/>
        <w:rPr>
          <w:rFonts w:eastAsia="宋体" w:cs="Times New Roman"/>
          <w:snapToGrid w:val="0"/>
          <w:szCs w:val="21"/>
        </w:rPr>
      </w:pPr>
    </w:p>
    <w:p w:rsidR="0071385F" w:rsidRPr="003C2170" w:rsidRDefault="00685B1D" w:rsidP="003C2170">
      <w:pPr>
        <w:pStyle w:val="2"/>
        <w:numPr>
          <w:ilvl w:val="3"/>
          <w:numId w:val="1"/>
        </w:numPr>
        <w:adjustRightInd w:val="0"/>
        <w:snapToGrid w:val="0"/>
        <w:ind w:left="720" w:firstLine="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记账本位币</w:t>
      </w:r>
    </w:p>
    <w:p w:rsidR="0071385F" w:rsidRPr="003C2170" w:rsidRDefault="0071385F" w:rsidP="003C2170">
      <w:pPr>
        <w:ind w:left="720"/>
        <w:jc w:val="both"/>
        <w:rPr>
          <w:rFonts w:eastAsia="宋体" w:cs="Times New Roman"/>
          <w:snapToGrid w:val="0"/>
          <w:szCs w:val="21"/>
        </w:rPr>
      </w:pPr>
    </w:p>
    <w:p w:rsidR="00493063" w:rsidRPr="003C2170" w:rsidRDefault="00A54201" w:rsidP="003C2170">
      <w:pPr>
        <w:ind w:left="720"/>
        <w:jc w:val="both"/>
        <w:rPr>
          <w:rFonts w:eastAsia="宋体" w:cs="Times New Roman"/>
          <w:snapToGrid w:val="0"/>
          <w:szCs w:val="21"/>
        </w:rPr>
      </w:pPr>
      <w:r w:rsidRPr="003C2170">
        <w:rPr>
          <w:rFonts w:eastAsia="宋体" w:cs="Times New Roman" w:hint="eastAsia"/>
          <w:snapToGrid w:val="0"/>
          <w:szCs w:val="21"/>
        </w:rPr>
        <w:t>人民币为本公司及境内子公司经营所处的主要经济环境中的货币，本公司及境内子公司以人民币为记账本位币。本公司之境外子公司根据其经营所处经济环境中的主要货币确定其记账本位币。本公司之境外子公司的记账本位币</w:t>
      </w:r>
      <w:r w:rsidRPr="003C2170">
        <w:rPr>
          <w:rFonts w:eastAsia="宋体" w:cs="Times New Roman" w:hint="eastAsia"/>
          <w:szCs w:val="21"/>
        </w:rPr>
        <w:t>参见附注</w:t>
      </w:r>
      <w:r w:rsidR="005F14EE" w:rsidRPr="003C2170">
        <w:rPr>
          <w:rFonts w:eastAsia="宋体" w:cs="Times New Roman"/>
          <w:szCs w:val="21"/>
        </w:rPr>
        <w:t>(</w:t>
      </w:r>
      <w:r w:rsidRPr="003C2170">
        <w:rPr>
          <w:rFonts w:eastAsia="宋体" w:cs="Times New Roman" w:hint="eastAsia"/>
          <w:szCs w:val="21"/>
        </w:rPr>
        <w:t>五</w:t>
      </w:r>
      <w:r w:rsidR="005F14EE" w:rsidRPr="003C2170">
        <w:rPr>
          <w:rFonts w:eastAsia="宋体" w:cs="Times New Roman"/>
          <w:szCs w:val="21"/>
        </w:rPr>
        <w:t>)</w:t>
      </w:r>
      <w:r w:rsidRPr="003C2170">
        <w:rPr>
          <w:rFonts w:eastAsia="宋体" w:cs="Times New Roman" w:hint="eastAsia"/>
          <w:szCs w:val="21"/>
        </w:rPr>
        <w:t>、</w:t>
      </w:r>
      <w:r w:rsidR="006B34F1" w:rsidRPr="003C2170">
        <w:rPr>
          <w:rFonts w:eastAsia="宋体" w:cs="Times New Roman"/>
          <w:szCs w:val="21"/>
        </w:rPr>
        <w:t>5</w:t>
      </w:r>
      <w:r w:rsidR="0036095E" w:rsidRPr="003C2170">
        <w:rPr>
          <w:rFonts w:eastAsia="宋体" w:cs="Times New Roman"/>
          <w:szCs w:val="21"/>
        </w:rPr>
        <w:t>2</w:t>
      </w:r>
      <w:r w:rsidRPr="003C2170">
        <w:rPr>
          <w:rFonts w:eastAsia="宋体" w:cs="Times New Roman" w:hint="eastAsia"/>
          <w:szCs w:val="21"/>
        </w:rPr>
        <w:t>。</w:t>
      </w:r>
      <w:r w:rsidRPr="003C2170">
        <w:rPr>
          <w:rFonts w:eastAsia="宋体" w:cs="Times New Roman" w:hint="eastAsia"/>
          <w:snapToGrid w:val="0"/>
          <w:szCs w:val="21"/>
        </w:rPr>
        <w:t>本集团编制本财务报表时采用的货币为人民币。</w:t>
      </w:r>
    </w:p>
    <w:p w:rsidR="00DA33EA" w:rsidRDefault="00DA33EA">
      <w:pPr>
        <w:adjustRightInd/>
        <w:snapToGrid/>
        <w:rPr>
          <w:rFonts w:eastAsia="宋体" w:cs="Times New Roman"/>
          <w:snapToGrid w:val="0"/>
          <w:szCs w:val="21"/>
        </w:rPr>
      </w:pPr>
      <w:r>
        <w:rPr>
          <w:rFonts w:eastAsia="宋体" w:cs="Times New Roman"/>
          <w:snapToGrid w:val="0"/>
          <w:szCs w:val="21"/>
        </w:rPr>
        <w:br w:type="page"/>
      </w:r>
    </w:p>
    <w:p w:rsidR="00DA33EA" w:rsidRPr="00A71D2E" w:rsidRDefault="005F14EE" w:rsidP="00DA33EA">
      <w:pPr>
        <w:jc w:val="both"/>
        <w:rPr>
          <w:rFonts w:eastAsia="宋体" w:cs="Times New Roman"/>
          <w:szCs w:val="21"/>
        </w:rPr>
      </w:pPr>
      <w:r>
        <w:rPr>
          <w:rFonts w:eastAsia="宋体" w:cs="Times New Roman"/>
          <w:b/>
          <w:szCs w:val="21"/>
        </w:rPr>
        <w:t>(</w:t>
      </w:r>
      <w:r w:rsidR="00DA33EA" w:rsidRPr="00A71D2E">
        <w:rPr>
          <w:rFonts w:eastAsia="宋体" w:cs="Times New Roman" w:hint="eastAsia"/>
          <w:b/>
          <w:szCs w:val="21"/>
        </w:rPr>
        <w:t>三</w:t>
      </w:r>
      <w:r>
        <w:rPr>
          <w:rFonts w:eastAsia="宋体" w:cs="Times New Roman"/>
          <w:b/>
          <w:szCs w:val="21"/>
        </w:rPr>
        <w:t>)</w:t>
      </w:r>
      <w:r w:rsidR="00DA33EA" w:rsidRPr="00A71D2E">
        <w:rPr>
          <w:rFonts w:eastAsia="宋体" w:cs="Times New Roman"/>
          <w:b/>
          <w:szCs w:val="21"/>
        </w:rPr>
        <w:tab/>
      </w:r>
      <w:r w:rsidR="00DA33EA" w:rsidRPr="00A71D2E">
        <w:rPr>
          <w:rFonts w:eastAsia="宋体" w:cs="Times New Roman" w:hint="eastAsia"/>
          <w:b/>
          <w:szCs w:val="21"/>
        </w:rPr>
        <w:t>重要会计政策和会计估计</w:t>
      </w:r>
      <w:r w:rsidR="00DA33EA" w:rsidRPr="00A71D2E">
        <w:rPr>
          <w:rFonts w:eastAsia="宋体" w:cs="Times New Roman"/>
          <w:szCs w:val="21"/>
        </w:rPr>
        <w:t xml:space="preserve"> - </w:t>
      </w:r>
      <w:r w:rsidR="00DA33EA" w:rsidRPr="00A71D2E">
        <w:rPr>
          <w:rFonts w:eastAsia="宋体" w:cs="Times New Roman" w:hint="eastAsia"/>
          <w:szCs w:val="21"/>
        </w:rPr>
        <w:t>续</w:t>
      </w:r>
    </w:p>
    <w:p w:rsidR="00181AE1" w:rsidRPr="00DA33EA" w:rsidRDefault="00181AE1" w:rsidP="003C2170">
      <w:pPr>
        <w:ind w:left="720"/>
        <w:jc w:val="both"/>
        <w:rPr>
          <w:rFonts w:eastAsia="宋体" w:cs="Times New Roman"/>
          <w:snapToGrid w:val="0"/>
          <w:szCs w:val="21"/>
        </w:rPr>
      </w:pPr>
    </w:p>
    <w:p w:rsidR="00392253" w:rsidRPr="00A71D2E" w:rsidRDefault="00392253" w:rsidP="00392253">
      <w:pPr>
        <w:pStyle w:val="2"/>
        <w:numPr>
          <w:ilvl w:val="3"/>
          <w:numId w:val="1"/>
        </w:numPr>
        <w:adjustRightInd w:val="0"/>
        <w:snapToGrid w:val="0"/>
        <w:ind w:left="720" w:firstLine="0"/>
        <w:contextualSpacing w:val="0"/>
        <w:jc w:val="both"/>
        <w:rPr>
          <w:rFonts w:ascii="Times New Roman" w:eastAsia="宋体" w:hAnsi="Times New Roman" w:cs="Times New Roman"/>
          <w:szCs w:val="21"/>
        </w:rPr>
      </w:pPr>
      <w:r>
        <w:rPr>
          <w:rFonts w:ascii="Times New Roman" w:eastAsia="宋体" w:hAnsi="Times New Roman" w:cs="Times New Roman" w:hint="eastAsia"/>
          <w:szCs w:val="21"/>
        </w:rPr>
        <w:t>重要性标准确定方法和选择依据</w:t>
      </w:r>
    </w:p>
    <w:p w:rsidR="00392253" w:rsidRDefault="00392253">
      <w:pPr>
        <w:ind w:left="720"/>
        <w:jc w:val="both"/>
        <w:rPr>
          <w:rFonts w:eastAsia="宋体" w:cs="Times New Roman"/>
          <w:snapToGrid w:val="0"/>
          <w:szCs w:val="21"/>
        </w:rPr>
      </w:pP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4500"/>
      </w:tblGrid>
      <w:tr w:rsidR="00C44009" w:rsidRPr="00402E18" w:rsidTr="0027505B">
        <w:trPr>
          <w:trHeight w:val="20"/>
        </w:trPr>
        <w:tc>
          <w:tcPr>
            <w:tcW w:w="4950" w:type="dxa"/>
            <w:shd w:val="clear" w:color="auto" w:fill="D9D9D9" w:themeFill="background1" w:themeFillShade="D9"/>
            <w:noWrap/>
            <w:vAlign w:val="center"/>
            <w:hideMark/>
          </w:tcPr>
          <w:p w:rsidR="00C44009" w:rsidRPr="00402E18" w:rsidRDefault="00C44009" w:rsidP="00E456AF">
            <w:pPr>
              <w:jc w:val="center"/>
              <w:rPr>
                <w:rFonts w:eastAsia="宋体" w:cs="Times New Roman"/>
                <w:szCs w:val="21"/>
              </w:rPr>
            </w:pPr>
            <w:r w:rsidRPr="00402E18">
              <w:rPr>
                <w:rFonts w:eastAsia="宋体" w:cs="Times New Roman" w:hint="eastAsia"/>
                <w:szCs w:val="21"/>
              </w:rPr>
              <w:t>项目</w:t>
            </w:r>
          </w:p>
        </w:tc>
        <w:tc>
          <w:tcPr>
            <w:tcW w:w="4500" w:type="dxa"/>
            <w:shd w:val="clear" w:color="auto" w:fill="D9D9D9" w:themeFill="background1" w:themeFillShade="D9"/>
            <w:noWrap/>
            <w:vAlign w:val="center"/>
            <w:hideMark/>
          </w:tcPr>
          <w:p w:rsidR="00C44009" w:rsidRPr="00402E18" w:rsidRDefault="00C44009" w:rsidP="00E456AF">
            <w:pPr>
              <w:jc w:val="center"/>
              <w:rPr>
                <w:rFonts w:eastAsia="宋体" w:cs="Times New Roman"/>
                <w:szCs w:val="21"/>
              </w:rPr>
            </w:pPr>
            <w:r w:rsidRPr="00402E18">
              <w:rPr>
                <w:rFonts w:eastAsia="宋体" w:cs="Times New Roman" w:hint="eastAsia"/>
                <w:szCs w:val="21"/>
              </w:rPr>
              <w:t>重要性标准</w:t>
            </w:r>
          </w:p>
        </w:tc>
      </w:tr>
      <w:tr w:rsidR="00502CDD" w:rsidRPr="00402E18" w:rsidTr="0027505B">
        <w:trPr>
          <w:trHeight w:val="20"/>
        </w:trPr>
        <w:tc>
          <w:tcPr>
            <w:tcW w:w="4950" w:type="dxa"/>
            <w:noWrap/>
            <w:vAlign w:val="center"/>
            <w:hideMark/>
          </w:tcPr>
          <w:p w:rsidR="00502CDD" w:rsidRPr="00402E18" w:rsidRDefault="00502CDD" w:rsidP="00434816">
            <w:pPr>
              <w:rPr>
                <w:rFonts w:eastAsia="宋体" w:cs="Times New Roman"/>
                <w:szCs w:val="21"/>
              </w:rPr>
            </w:pPr>
            <w:r w:rsidRPr="00402E18">
              <w:rPr>
                <w:rFonts w:eastAsia="宋体" w:cs="Times New Roman" w:hint="eastAsia"/>
                <w:szCs w:val="21"/>
              </w:rPr>
              <w:t>重要的单项计提坏账准备的应收款项</w:t>
            </w:r>
          </w:p>
        </w:tc>
        <w:tc>
          <w:tcPr>
            <w:tcW w:w="4500" w:type="dxa"/>
            <w:noWrap/>
            <w:vAlign w:val="center"/>
            <w:hideMark/>
          </w:tcPr>
          <w:p w:rsidR="00502CDD" w:rsidRPr="00402E18" w:rsidRDefault="00A13039" w:rsidP="00434816">
            <w:pPr>
              <w:rPr>
                <w:rFonts w:eastAsia="宋体" w:cs="Times New Roman"/>
                <w:szCs w:val="21"/>
              </w:rPr>
            </w:pPr>
            <w:r w:rsidRPr="00402E18">
              <w:rPr>
                <w:rFonts w:hint="eastAsia"/>
                <w:szCs w:val="21"/>
              </w:rPr>
              <w:t>单项</w:t>
            </w:r>
            <w:r w:rsidR="00E6213D" w:rsidRPr="00402E18">
              <w:rPr>
                <w:rFonts w:hint="eastAsia"/>
                <w:szCs w:val="21"/>
              </w:rPr>
              <w:t>金额占</w:t>
            </w:r>
            <w:r w:rsidRPr="00402E18">
              <w:rPr>
                <w:rFonts w:hint="eastAsia"/>
                <w:szCs w:val="21"/>
              </w:rPr>
              <w:t>应收</w:t>
            </w:r>
            <w:r w:rsidR="001A2E94" w:rsidRPr="00402E18">
              <w:rPr>
                <w:rFonts w:hint="eastAsia"/>
                <w:szCs w:val="21"/>
              </w:rPr>
              <w:t>账款</w:t>
            </w:r>
            <w:r w:rsidRPr="00402E18">
              <w:rPr>
                <w:rFonts w:hint="eastAsia"/>
                <w:szCs w:val="21"/>
              </w:rPr>
              <w:t>余额</w:t>
            </w:r>
            <w:r w:rsidR="00E6213D" w:rsidRPr="00402E18">
              <w:rPr>
                <w:rFonts w:hint="eastAsia"/>
                <w:szCs w:val="21"/>
              </w:rPr>
              <w:t>的</w:t>
            </w:r>
            <w:r w:rsidRPr="00402E18">
              <w:rPr>
                <w:szCs w:val="21"/>
              </w:rPr>
              <w:t>1%</w:t>
            </w:r>
          </w:p>
        </w:tc>
      </w:tr>
      <w:tr w:rsidR="006E21FB" w:rsidRPr="00402E18" w:rsidTr="0027505B">
        <w:trPr>
          <w:trHeight w:val="20"/>
        </w:trPr>
        <w:tc>
          <w:tcPr>
            <w:tcW w:w="4950" w:type="dxa"/>
            <w:noWrap/>
            <w:vAlign w:val="center"/>
          </w:tcPr>
          <w:p w:rsidR="006E21FB" w:rsidRPr="00402E18" w:rsidRDefault="006E21FB" w:rsidP="006E21FB">
            <w:pPr>
              <w:rPr>
                <w:rFonts w:eastAsia="宋体" w:cs="Times New Roman"/>
                <w:szCs w:val="21"/>
              </w:rPr>
            </w:pPr>
            <w:r w:rsidRPr="00402E18">
              <w:rPr>
                <w:rFonts w:eastAsia="宋体" w:cs="Times New Roman" w:hint="eastAsia"/>
                <w:szCs w:val="21"/>
              </w:rPr>
              <w:t>重要的在建工程</w:t>
            </w:r>
          </w:p>
        </w:tc>
        <w:tc>
          <w:tcPr>
            <w:tcW w:w="4500" w:type="dxa"/>
            <w:noWrap/>
            <w:vAlign w:val="center"/>
          </w:tcPr>
          <w:p w:rsidR="006E21FB" w:rsidRPr="00402E18" w:rsidRDefault="006E21FB" w:rsidP="006E21FB">
            <w:pPr>
              <w:rPr>
                <w:szCs w:val="21"/>
              </w:rPr>
            </w:pPr>
            <w:r w:rsidRPr="00402E18">
              <w:rPr>
                <w:rFonts w:ascii="宋体" w:eastAsia="宋体" w:hAnsi="宋体" w:cs="宋体" w:hint="eastAsia"/>
                <w:szCs w:val="21"/>
              </w:rPr>
              <w:t>单项在建工程账面余额</w:t>
            </w:r>
            <w:r w:rsidR="00073E5C" w:rsidRPr="00402E18">
              <w:rPr>
                <w:rFonts w:ascii="宋体" w:eastAsia="宋体" w:hAnsi="宋体" w:cs="宋体" w:hint="eastAsia"/>
                <w:szCs w:val="21"/>
              </w:rPr>
              <w:t>占</w:t>
            </w:r>
            <w:r w:rsidR="00F42965" w:rsidRPr="00402E18">
              <w:rPr>
                <w:rFonts w:ascii="宋体" w:eastAsia="宋体" w:hAnsi="宋体" w:cs="宋体" w:hint="eastAsia"/>
                <w:szCs w:val="21"/>
              </w:rPr>
              <w:t>总</w:t>
            </w:r>
            <w:r w:rsidRPr="00402E18">
              <w:rPr>
                <w:rFonts w:ascii="宋体" w:eastAsia="宋体" w:hAnsi="宋体" w:cs="宋体" w:hint="eastAsia"/>
                <w:szCs w:val="21"/>
              </w:rPr>
              <w:t>资产</w:t>
            </w:r>
            <w:r w:rsidR="00F42965" w:rsidRPr="00402E18">
              <w:rPr>
                <w:rFonts w:asciiTheme="majorHAnsi" w:eastAsia="宋体" w:hAnsiTheme="majorHAnsi" w:cstheme="majorHAnsi" w:hint="eastAsia"/>
                <w:szCs w:val="21"/>
              </w:rPr>
              <w:t>余额的</w:t>
            </w:r>
            <w:r w:rsidRPr="00402E18">
              <w:rPr>
                <w:rFonts w:asciiTheme="majorHAnsi" w:eastAsia="宋体" w:hAnsiTheme="majorHAnsi" w:cstheme="majorHAnsi" w:hint="eastAsia"/>
                <w:szCs w:val="21"/>
              </w:rPr>
              <w:t>0</w:t>
            </w:r>
            <w:r w:rsidRPr="00402E18">
              <w:rPr>
                <w:rFonts w:asciiTheme="majorHAnsi" w:eastAsia="宋体" w:hAnsiTheme="majorHAnsi" w:cstheme="majorHAnsi"/>
                <w:szCs w:val="21"/>
              </w:rPr>
              <w:t>.5%</w:t>
            </w:r>
          </w:p>
        </w:tc>
      </w:tr>
      <w:tr w:rsidR="006E21FB" w:rsidRPr="00402E18" w:rsidTr="0027505B">
        <w:trPr>
          <w:trHeight w:val="20"/>
        </w:trPr>
        <w:tc>
          <w:tcPr>
            <w:tcW w:w="4950" w:type="dxa"/>
            <w:noWrap/>
            <w:vAlign w:val="center"/>
          </w:tcPr>
          <w:p w:rsidR="006E21FB" w:rsidRPr="00402E18" w:rsidRDefault="006E21FB" w:rsidP="006E21FB">
            <w:pPr>
              <w:rPr>
                <w:rFonts w:eastAsia="宋体" w:cs="Times New Roman"/>
                <w:szCs w:val="21"/>
              </w:rPr>
            </w:pPr>
            <w:r w:rsidRPr="00402E18">
              <w:rPr>
                <w:rFonts w:eastAsia="宋体" w:cs="Times New Roman"/>
                <w:szCs w:val="21"/>
              </w:rPr>
              <w:t>重要的单项账龄超过一年的应付账款及其他应付款</w:t>
            </w:r>
          </w:p>
        </w:tc>
        <w:tc>
          <w:tcPr>
            <w:tcW w:w="4500" w:type="dxa"/>
            <w:noWrap/>
            <w:vAlign w:val="center"/>
          </w:tcPr>
          <w:p w:rsidR="006E21FB" w:rsidRPr="00402E18" w:rsidRDefault="006E21FB" w:rsidP="006E21FB">
            <w:pPr>
              <w:rPr>
                <w:rFonts w:eastAsia="宋体" w:cs="Times New Roman"/>
                <w:szCs w:val="21"/>
              </w:rPr>
            </w:pPr>
            <w:r w:rsidRPr="00402E18">
              <w:rPr>
                <w:rFonts w:eastAsia="宋体" w:cs="Times New Roman"/>
                <w:szCs w:val="21"/>
              </w:rPr>
              <w:t>单项账龄超过一年的应付账款及其他应付款分别占应付账款及其他应付款余额的</w:t>
            </w:r>
            <w:r w:rsidRPr="00402E18">
              <w:rPr>
                <w:rFonts w:eastAsia="宋体" w:cs="Times New Roman"/>
                <w:szCs w:val="21"/>
              </w:rPr>
              <w:t>2%</w:t>
            </w:r>
            <w:r w:rsidRPr="00402E18">
              <w:rPr>
                <w:rFonts w:eastAsia="宋体" w:cs="Times New Roman"/>
                <w:szCs w:val="21"/>
              </w:rPr>
              <w:t>以上</w:t>
            </w:r>
          </w:p>
        </w:tc>
      </w:tr>
    </w:tbl>
    <w:p w:rsidR="00392253" w:rsidRPr="003C2170" w:rsidRDefault="00392253" w:rsidP="0027505B">
      <w:pPr>
        <w:ind w:left="720"/>
        <w:jc w:val="both"/>
        <w:rPr>
          <w:rFonts w:eastAsia="宋体" w:cs="Times New Roman"/>
          <w:snapToGrid w:val="0"/>
          <w:szCs w:val="21"/>
        </w:rPr>
      </w:pPr>
    </w:p>
    <w:p w:rsidR="00F95395" w:rsidRPr="003C2170" w:rsidRDefault="00F95395" w:rsidP="003C2170">
      <w:pPr>
        <w:pStyle w:val="2"/>
        <w:numPr>
          <w:ilvl w:val="3"/>
          <w:numId w:val="1"/>
        </w:numPr>
        <w:adjustRightInd w:val="0"/>
        <w:snapToGrid w:val="0"/>
        <w:ind w:left="1440"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同</w:t>
      </w:r>
      <w:proofErr w:type="gramStart"/>
      <w:r w:rsidRPr="003C2170">
        <w:rPr>
          <w:rFonts w:ascii="Times New Roman" w:eastAsia="宋体" w:hAnsi="Times New Roman" w:cs="Times New Roman" w:hint="eastAsia"/>
          <w:szCs w:val="21"/>
        </w:rPr>
        <w:t>一控制</w:t>
      </w:r>
      <w:proofErr w:type="gramEnd"/>
      <w:r w:rsidRPr="003C2170">
        <w:rPr>
          <w:rFonts w:ascii="Times New Roman" w:eastAsia="宋体" w:hAnsi="Times New Roman" w:cs="Times New Roman" w:hint="eastAsia"/>
          <w:szCs w:val="21"/>
        </w:rPr>
        <w:t>和非同</w:t>
      </w:r>
      <w:proofErr w:type="gramStart"/>
      <w:r w:rsidRPr="003C2170">
        <w:rPr>
          <w:rFonts w:ascii="Times New Roman" w:eastAsia="宋体" w:hAnsi="Times New Roman" w:cs="Times New Roman" w:hint="eastAsia"/>
          <w:szCs w:val="21"/>
        </w:rPr>
        <w:t>一控制</w:t>
      </w:r>
      <w:proofErr w:type="gramEnd"/>
      <w:r w:rsidRPr="003C2170">
        <w:rPr>
          <w:rFonts w:ascii="Times New Roman" w:eastAsia="宋体" w:hAnsi="Times New Roman" w:cs="Times New Roman" w:hint="eastAsia"/>
          <w:szCs w:val="21"/>
        </w:rPr>
        <w:t>下企业合并的会计处理方法</w:t>
      </w:r>
    </w:p>
    <w:p w:rsidR="00F95395" w:rsidRPr="003C2170" w:rsidRDefault="00F95395" w:rsidP="003C2170">
      <w:pPr>
        <w:ind w:left="720"/>
        <w:jc w:val="both"/>
        <w:rPr>
          <w:rFonts w:eastAsia="宋体" w:cs="Times New Roman"/>
          <w:snapToGrid w:val="0"/>
          <w:szCs w:val="21"/>
        </w:rPr>
      </w:pPr>
    </w:p>
    <w:p w:rsidR="00F95395"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企业合并分为同</w:t>
      </w:r>
      <w:proofErr w:type="gramStart"/>
      <w:r w:rsidRPr="003C2170">
        <w:rPr>
          <w:rFonts w:eastAsia="宋体" w:cs="Times New Roman" w:hint="eastAsia"/>
          <w:snapToGrid w:val="0"/>
          <w:szCs w:val="21"/>
        </w:rPr>
        <w:t>一控制</w:t>
      </w:r>
      <w:proofErr w:type="gramEnd"/>
      <w:r w:rsidRPr="003C2170">
        <w:rPr>
          <w:rFonts w:eastAsia="宋体" w:cs="Times New Roman" w:hint="eastAsia"/>
          <w:snapToGrid w:val="0"/>
          <w:szCs w:val="21"/>
        </w:rPr>
        <w:t>下的企业合并和非同</w:t>
      </w:r>
      <w:proofErr w:type="gramStart"/>
      <w:r w:rsidRPr="003C2170">
        <w:rPr>
          <w:rFonts w:eastAsia="宋体" w:cs="Times New Roman" w:hint="eastAsia"/>
          <w:snapToGrid w:val="0"/>
          <w:szCs w:val="21"/>
        </w:rPr>
        <w:t>一控制</w:t>
      </w:r>
      <w:proofErr w:type="gramEnd"/>
      <w:r w:rsidRPr="003C2170">
        <w:rPr>
          <w:rFonts w:eastAsia="宋体" w:cs="Times New Roman" w:hint="eastAsia"/>
          <w:snapToGrid w:val="0"/>
          <w:szCs w:val="21"/>
        </w:rPr>
        <w:t>下的企业合并。本公司仅有同</w:t>
      </w:r>
      <w:proofErr w:type="gramStart"/>
      <w:r w:rsidRPr="003C2170">
        <w:rPr>
          <w:rFonts w:eastAsia="宋体" w:cs="Times New Roman" w:hint="eastAsia"/>
          <w:snapToGrid w:val="0"/>
          <w:szCs w:val="21"/>
        </w:rPr>
        <w:t>一控制</w:t>
      </w:r>
      <w:proofErr w:type="gramEnd"/>
      <w:r w:rsidRPr="003C2170">
        <w:rPr>
          <w:rFonts w:eastAsia="宋体" w:cs="Times New Roman" w:hint="eastAsia"/>
          <w:snapToGrid w:val="0"/>
          <w:szCs w:val="21"/>
        </w:rPr>
        <w:t>下的企业合并。</w:t>
      </w:r>
    </w:p>
    <w:p w:rsidR="005D7660" w:rsidRPr="003C2170" w:rsidRDefault="005D7660" w:rsidP="0027505B">
      <w:pPr>
        <w:ind w:left="720"/>
        <w:jc w:val="both"/>
        <w:rPr>
          <w:rFonts w:eastAsia="宋体" w:cs="Times New Roman"/>
          <w:snapToGrid w:val="0"/>
          <w:szCs w:val="21"/>
        </w:rPr>
      </w:pPr>
    </w:p>
    <w:p w:rsidR="00F95395" w:rsidRPr="003C2170" w:rsidRDefault="0068099F" w:rsidP="003C2170">
      <w:pPr>
        <w:ind w:left="720"/>
        <w:jc w:val="both"/>
        <w:rPr>
          <w:rFonts w:eastAsia="宋体" w:cs="Times New Roman"/>
          <w:snapToGrid w:val="0"/>
          <w:szCs w:val="21"/>
          <w:u w:val="single"/>
        </w:rPr>
      </w:pPr>
      <w:r w:rsidRPr="003C2170">
        <w:rPr>
          <w:rFonts w:eastAsia="宋体" w:cs="Times New Roman"/>
          <w:snapToGrid w:val="0"/>
          <w:szCs w:val="21"/>
          <w:u w:val="single"/>
        </w:rPr>
        <w:t>6</w:t>
      </w:r>
      <w:r w:rsidR="00F95395" w:rsidRPr="003C2170">
        <w:rPr>
          <w:rFonts w:eastAsia="宋体" w:cs="Times New Roman"/>
          <w:snapToGrid w:val="0"/>
          <w:szCs w:val="21"/>
          <w:u w:val="single"/>
        </w:rPr>
        <w:t>.1</w:t>
      </w:r>
      <w:r w:rsidR="00F95395" w:rsidRPr="003C2170">
        <w:rPr>
          <w:rFonts w:eastAsia="宋体" w:cs="Times New Roman"/>
          <w:snapToGrid w:val="0"/>
          <w:szCs w:val="21"/>
          <w:u w:val="single"/>
        </w:rPr>
        <w:tab/>
      </w:r>
      <w:r w:rsidR="00F95395" w:rsidRPr="003C2170">
        <w:rPr>
          <w:rFonts w:eastAsia="宋体" w:cs="Times New Roman" w:hint="eastAsia"/>
          <w:snapToGrid w:val="0"/>
          <w:szCs w:val="21"/>
          <w:u w:val="single"/>
        </w:rPr>
        <w:t>同</w:t>
      </w:r>
      <w:proofErr w:type="gramStart"/>
      <w:r w:rsidR="00F95395" w:rsidRPr="003C2170">
        <w:rPr>
          <w:rFonts w:eastAsia="宋体" w:cs="Times New Roman" w:hint="eastAsia"/>
          <w:snapToGrid w:val="0"/>
          <w:szCs w:val="21"/>
          <w:u w:val="single"/>
        </w:rPr>
        <w:t>一控制</w:t>
      </w:r>
      <w:proofErr w:type="gramEnd"/>
      <w:r w:rsidR="00F95395" w:rsidRPr="003C2170">
        <w:rPr>
          <w:rFonts w:eastAsia="宋体" w:cs="Times New Roman" w:hint="eastAsia"/>
          <w:snapToGrid w:val="0"/>
          <w:szCs w:val="21"/>
          <w:u w:val="single"/>
        </w:rPr>
        <w:t>下的企业合并</w:t>
      </w:r>
    </w:p>
    <w:p w:rsidR="00F95395" w:rsidRPr="003C2170" w:rsidRDefault="00F95395" w:rsidP="003C2170">
      <w:pPr>
        <w:ind w:left="720"/>
        <w:jc w:val="both"/>
        <w:rPr>
          <w:rFonts w:eastAsia="宋体" w:cs="Times New Roman"/>
          <w:snapToGrid w:val="0"/>
          <w:szCs w:val="21"/>
        </w:rPr>
      </w:pPr>
    </w:p>
    <w:p w:rsidR="00F95395"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参与合并的企业在合并前后均受同一方或相同的多方最终控制，且</w:t>
      </w:r>
      <w:proofErr w:type="gramStart"/>
      <w:r w:rsidRPr="003C2170">
        <w:rPr>
          <w:rFonts w:eastAsia="宋体" w:cs="Times New Roman" w:hint="eastAsia"/>
          <w:snapToGrid w:val="0"/>
          <w:szCs w:val="21"/>
        </w:rPr>
        <w:t>该控制</w:t>
      </w:r>
      <w:proofErr w:type="gramEnd"/>
      <w:r w:rsidRPr="003C2170">
        <w:rPr>
          <w:rFonts w:eastAsia="宋体" w:cs="Times New Roman" w:hint="eastAsia"/>
          <w:snapToGrid w:val="0"/>
          <w:szCs w:val="21"/>
        </w:rPr>
        <w:t>并非暂时性的，为同</w:t>
      </w:r>
      <w:proofErr w:type="gramStart"/>
      <w:r w:rsidRPr="003C2170">
        <w:rPr>
          <w:rFonts w:eastAsia="宋体" w:cs="Times New Roman" w:hint="eastAsia"/>
          <w:snapToGrid w:val="0"/>
          <w:szCs w:val="21"/>
        </w:rPr>
        <w:t>一控制</w:t>
      </w:r>
      <w:proofErr w:type="gramEnd"/>
      <w:r w:rsidRPr="003C2170">
        <w:rPr>
          <w:rFonts w:eastAsia="宋体" w:cs="Times New Roman" w:hint="eastAsia"/>
          <w:snapToGrid w:val="0"/>
          <w:szCs w:val="21"/>
        </w:rPr>
        <w:t>下的企业合并。</w:t>
      </w:r>
    </w:p>
    <w:p w:rsidR="00F95395" w:rsidRPr="003C2170" w:rsidRDefault="00F95395" w:rsidP="003C2170">
      <w:pPr>
        <w:ind w:left="720"/>
        <w:jc w:val="both"/>
        <w:rPr>
          <w:rFonts w:eastAsia="宋体" w:cs="Times New Roman"/>
          <w:snapToGrid w:val="0"/>
          <w:szCs w:val="21"/>
        </w:rPr>
      </w:pPr>
    </w:p>
    <w:p w:rsidR="00F95395"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在企业合并中取得的资产和负债，按</w:t>
      </w:r>
      <w:proofErr w:type="gramStart"/>
      <w:r w:rsidRPr="003C2170">
        <w:rPr>
          <w:rFonts w:eastAsia="宋体" w:cs="Times New Roman" w:hint="eastAsia"/>
          <w:snapToGrid w:val="0"/>
          <w:szCs w:val="21"/>
        </w:rPr>
        <w:t>合并日</w:t>
      </w:r>
      <w:proofErr w:type="gramEnd"/>
      <w:r w:rsidRPr="003C2170">
        <w:rPr>
          <w:rFonts w:eastAsia="宋体" w:cs="Times New Roman" w:hint="eastAsia"/>
          <w:snapToGrid w:val="0"/>
          <w:szCs w:val="21"/>
        </w:rPr>
        <w:t>其在被合并方的账面价值计量。合并方取得的净资产账面价值与支付的合并对价的账面价值的差额，调整资本公积中的股本溢价，股本溢价不足冲减的则调整留存收益。</w:t>
      </w:r>
    </w:p>
    <w:p w:rsidR="00F95395" w:rsidRPr="003C2170" w:rsidRDefault="00F95395" w:rsidP="003C2170">
      <w:pPr>
        <w:ind w:left="720"/>
        <w:jc w:val="both"/>
        <w:rPr>
          <w:rFonts w:eastAsia="宋体" w:cs="Times New Roman"/>
          <w:snapToGrid w:val="0"/>
          <w:szCs w:val="21"/>
        </w:rPr>
      </w:pPr>
    </w:p>
    <w:p w:rsidR="00F95395"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为进行企业合并发生的各项直接费用，于发生时计入当期损益。</w:t>
      </w:r>
    </w:p>
    <w:p w:rsidR="0071385F" w:rsidRPr="003C2170" w:rsidRDefault="0071385F" w:rsidP="003C2170">
      <w:pPr>
        <w:ind w:left="720"/>
        <w:jc w:val="both"/>
        <w:rPr>
          <w:rFonts w:eastAsia="宋体" w:cs="Times New Roman"/>
          <w:snapToGrid w:val="0"/>
          <w:szCs w:val="21"/>
        </w:rPr>
      </w:pPr>
    </w:p>
    <w:p w:rsidR="0071385F" w:rsidRPr="003C2170" w:rsidRDefault="0068099F" w:rsidP="003C2170">
      <w:pPr>
        <w:pStyle w:val="2"/>
        <w:numPr>
          <w:ilvl w:val="3"/>
          <w:numId w:val="1"/>
        </w:numPr>
        <w:adjustRightInd w:val="0"/>
        <w:snapToGrid w:val="0"/>
        <w:ind w:left="1440"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控制的判断标准和</w:t>
      </w:r>
      <w:r w:rsidR="0071385F" w:rsidRPr="003C2170">
        <w:rPr>
          <w:rFonts w:ascii="Times New Roman" w:eastAsia="宋体" w:hAnsi="Times New Roman" w:cs="Times New Roman" w:hint="eastAsia"/>
          <w:szCs w:val="21"/>
        </w:rPr>
        <w:t>合并财务报表的编制方法</w:t>
      </w:r>
    </w:p>
    <w:p w:rsidR="0071385F" w:rsidRPr="003C2170" w:rsidRDefault="0071385F" w:rsidP="003C2170">
      <w:pPr>
        <w:ind w:left="720"/>
        <w:jc w:val="both"/>
        <w:rPr>
          <w:rFonts w:eastAsia="宋体" w:cs="Times New Roman"/>
          <w:snapToGrid w:val="0"/>
          <w:szCs w:val="21"/>
        </w:rPr>
      </w:pPr>
    </w:p>
    <w:p w:rsidR="0068099F" w:rsidRPr="003C2170" w:rsidRDefault="0068099F" w:rsidP="003C2170">
      <w:pPr>
        <w:ind w:left="720"/>
        <w:jc w:val="both"/>
        <w:rPr>
          <w:rFonts w:eastAsia="宋体" w:cs="Times New Roman"/>
          <w:snapToGrid w:val="0"/>
          <w:szCs w:val="21"/>
          <w:u w:val="single"/>
        </w:rPr>
      </w:pPr>
      <w:r w:rsidRPr="003C2170">
        <w:rPr>
          <w:rFonts w:eastAsia="宋体" w:cs="Times New Roman"/>
          <w:snapToGrid w:val="0"/>
          <w:szCs w:val="21"/>
          <w:u w:val="single"/>
        </w:rPr>
        <w:t>7.1</w:t>
      </w:r>
      <w:r w:rsidRPr="003C2170">
        <w:rPr>
          <w:rFonts w:eastAsia="宋体" w:cs="Times New Roman"/>
          <w:snapToGrid w:val="0"/>
          <w:szCs w:val="21"/>
          <w:u w:val="single"/>
        </w:rPr>
        <w:tab/>
      </w:r>
      <w:r w:rsidRPr="003C2170">
        <w:rPr>
          <w:rFonts w:eastAsia="宋体" w:cs="Times New Roman" w:hint="eastAsia"/>
          <w:snapToGrid w:val="0"/>
          <w:szCs w:val="21"/>
          <w:u w:val="single"/>
        </w:rPr>
        <w:t>控制的判断标准</w:t>
      </w:r>
    </w:p>
    <w:p w:rsidR="0068099F" w:rsidRPr="003C2170" w:rsidRDefault="0068099F" w:rsidP="003C2170">
      <w:pPr>
        <w:ind w:left="720"/>
        <w:jc w:val="both"/>
        <w:rPr>
          <w:rFonts w:eastAsia="宋体" w:cs="Times New Roman"/>
          <w:snapToGrid w:val="0"/>
          <w:szCs w:val="21"/>
        </w:rPr>
      </w:pPr>
    </w:p>
    <w:p w:rsidR="0068099F" w:rsidRPr="003C2170" w:rsidRDefault="0068099F" w:rsidP="003C2170">
      <w:pPr>
        <w:ind w:left="720"/>
        <w:jc w:val="both"/>
        <w:rPr>
          <w:rFonts w:eastAsia="宋体" w:cs="Times New Roman"/>
          <w:snapToGrid w:val="0"/>
          <w:szCs w:val="21"/>
        </w:rPr>
      </w:pPr>
      <w:r w:rsidRPr="003C2170">
        <w:rPr>
          <w:rFonts w:eastAsia="宋体" w:cs="Times New Roman" w:hint="eastAsia"/>
          <w:snapToGrid w:val="0"/>
          <w:szCs w:val="21"/>
        </w:rPr>
        <w:t>控制是指投资方拥有对被投资方的权力，通过参与被投资方的相关活动而享有可变回报，并且有能力运用对被投资方的权力影响其回报金额。一旦相关事实和情况的变化导致上述控制定义涉及的相关要素发生了变化，本集团将进行重新评估。</w:t>
      </w:r>
    </w:p>
    <w:p w:rsidR="0068099F" w:rsidRPr="003C2170" w:rsidRDefault="0068099F" w:rsidP="003C2170">
      <w:pPr>
        <w:ind w:left="720"/>
        <w:jc w:val="both"/>
        <w:rPr>
          <w:rFonts w:eastAsia="宋体" w:cs="Times New Roman"/>
          <w:snapToGrid w:val="0"/>
          <w:szCs w:val="21"/>
        </w:rPr>
      </w:pPr>
    </w:p>
    <w:p w:rsidR="0068099F" w:rsidRPr="003C2170" w:rsidRDefault="0068099F" w:rsidP="003C2170">
      <w:pPr>
        <w:ind w:left="720"/>
        <w:jc w:val="both"/>
        <w:rPr>
          <w:rFonts w:eastAsia="宋体" w:cs="Times New Roman"/>
          <w:snapToGrid w:val="0"/>
          <w:szCs w:val="21"/>
          <w:u w:val="single"/>
        </w:rPr>
      </w:pPr>
      <w:r w:rsidRPr="003C2170">
        <w:rPr>
          <w:rFonts w:eastAsia="宋体" w:cs="Times New Roman"/>
          <w:snapToGrid w:val="0"/>
          <w:szCs w:val="21"/>
          <w:u w:val="single"/>
        </w:rPr>
        <w:t>7.2</w:t>
      </w:r>
      <w:r w:rsidRPr="003C2170">
        <w:rPr>
          <w:rFonts w:eastAsia="宋体" w:cs="Times New Roman"/>
          <w:snapToGrid w:val="0"/>
          <w:szCs w:val="21"/>
          <w:u w:val="single"/>
        </w:rPr>
        <w:tab/>
      </w:r>
      <w:r w:rsidRPr="003C2170">
        <w:rPr>
          <w:rFonts w:eastAsia="宋体" w:cs="Times New Roman" w:hint="eastAsia"/>
          <w:snapToGrid w:val="0"/>
          <w:szCs w:val="21"/>
          <w:u w:val="single"/>
        </w:rPr>
        <w:t>合并财务报表的编制方法</w:t>
      </w:r>
    </w:p>
    <w:p w:rsidR="0068099F" w:rsidRPr="003C2170" w:rsidRDefault="0068099F" w:rsidP="003C2170">
      <w:pPr>
        <w:ind w:left="720"/>
        <w:jc w:val="both"/>
        <w:rPr>
          <w:rFonts w:eastAsia="宋体" w:cs="Times New Roman"/>
          <w:snapToGrid w:val="0"/>
          <w:szCs w:val="21"/>
        </w:rPr>
      </w:pPr>
    </w:p>
    <w:p w:rsidR="00685B1D" w:rsidRPr="003C2170" w:rsidRDefault="00685B1D" w:rsidP="003C2170">
      <w:pPr>
        <w:ind w:left="720"/>
        <w:jc w:val="both"/>
        <w:rPr>
          <w:rFonts w:eastAsia="宋体" w:cs="Times New Roman"/>
          <w:snapToGrid w:val="0"/>
          <w:szCs w:val="21"/>
        </w:rPr>
      </w:pPr>
      <w:r w:rsidRPr="003C2170">
        <w:rPr>
          <w:rFonts w:eastAsia="宋体" w:cs="Times New Roman" w:hint="eastAsia"/>
          <w:snapToGrid w:val="0"/>
          <w:szCs w:val="21"/>
        </w:rPr>
        <w:t>合并财务报表的合并范围以控制为基础予以确定。</w:t>
      </w:r>
    </w:p>
    <w:p w:rsidR="00685B1D" w:rsidRPr="003C2170" w:rsidRDefault="00685B1D" w:rsidP="003C2170">
      <w:pPr>
        <w:ind w:left="720"/>
        <w:jc w:val="both"/>
        <w:rPr>
          <w:rFonts w:eastAsia="宋体" w:cs="Times New Roman"/>
          <w:snapToGrid w:val="0"/>
          <w:szCs w:val="21"/>
        </w:rPr>
      </w:pPr>
    </w:p>
    <w:p w:rsidR="00685B1D" w:rsidRPr="003C2170" w:rsidRDefault="00685B1D" w:rsidP="003C2170">
      <w:pPr>
        <w:ind w:left="720"/>
        <w:jc w:val="both"/>
        <w:rPr>
          <w:rFonts w:eastAsia="宋体" w:cs="Times New Roman"/>
          <w:snapToGrid w:val="0"/>
          <w:szCs w:val="21"/>
        </w:rPr>
      </w:pPr>
      <w:r w:rsidRPr="003C2170">
        <w:rPr>
          <w:rFonts w:eastAsia="宋体" w:cs="Times New Roman" w:hint="eastAsia"/>
          <w:snapToGrid w:val="0"/>
          <w:szCs w:val="21"/>
        </w:rPr>
        <w:t>子公司的合并起始于本集团获得对该子公司的控制权时，终止于本集团丧失对该子公司的控制权时。</w:t>
      </w:r>
    </w:p>
    <w:p w:rsidR="00685B1D" w:rsidRPr="003C2170" w:rsidRDefault="00685B1D" w:rsidP="003C2170">
      <w:pPr>
        <w:ind w:left="720"/>
        <w:jc w:val="both"/>
        <w:rPr>
          <w:rFonts w:eastAsia="宋体" w:cs="Times New Roman"/>
          <w:snapToGrid w:val="0"/>
          <w:szCs w:val="21"/>
        </w:rPr>
      </w:pPr>
    </w:p>
    <w:p w:rsidR="00685B1D" w:rsidRPr="003C2170" w:rsidRDefault="00685B1D" w:rsidP="003C2170">
      <w:pPr>
        <w:ind w:left="720"/>
        <w:jc w:val="both"/>
        <w:rPr>
          <w:rFonts w:eastAsia="宋体" w:cs="Times New Roman"/>
          <w:snapToGrid w:val="0"/>
          <w:szCs w:val="21"/>
        </w:rPr>
      </w:pPr>
      <w:r w:rsidRPr="003C2170">
        <w:rPr>
          <w:rFonts w:eastAsia="宋体" w:cs="Times New Roman" w:hint="eastAsia"/>
          <w:snapToGrid w:val="0"/>
          <w:szCs w:val="21"/>
        </w:rPr>
        <w:t>对于本集团处置的子公司，</w:t>
      </w:r>
      <w:proofErr w:type="gramStart"/>
      <w:r w:rsidRPr="003C2170">
        <w:rPr>
          <w:rFonts w:eastAsia="宋体" w:cs="Times New Roman" w:hint="eastAsia"/>
          <w:snapToGrid w:val="0"/>
          <w:szCs w:val="21"/>
        </w:rPr>
        <w:t>处置日</w:t>
      </w:r>
      <w:proofErr w:type="gramEnd"/>
      <w:r w:rsidR="005F14EE" w:rsidRPr="003C2170">
        <w:rPr>
          <w:rFonts w:eastAsia="宋体" w:cs="Times New Roman"/>
          <w:snapToGrid w:val="0"/>
          <w:szCs w:val="21"/>
        </w:rPr>
        <w:t>(</w:t>
      </w:r>
      <w:r w:rsidRPr="003C2170">
        <w:rPr>
          <w:rFonts w:eastAsia="宋体" w:cs="Times New Roman" w:hint="eastAsia"/>
          <w:snapToGrid w:val="0"/>
          <w:szCs w:val="21"/>
        </w:rPr>
        <w:t>丧失控制权的日期</w:t>
      </w:r>
      <w:r w:rsidR="005F14EE" w:rsidRPr="003C2170">
        <w:rPr>
          <w:rFonts w:eastAsia="宋体" w:cs="Times New Roman"/>
          <w:snapToGrid w:val="0"/>
          <w:szCs w:val="21"/>
        </w:rPr>
        <w:t>)</w:t>
      </w:r>
      <w:r w:rsidRPr="003C2170">
        <w:rPr>
          <w:rFonts w:eastAsia="宋体" w:cs="Times New Roman" w:hint="eastAsia"/>
          <w:snapToGrid w:val="0"/>
          <w:szCs w:val="21"/>
        </w:rPr>
        <w:t>前的经营成果和现金流量已经适当地包括在合并利润表和合并现金流量表中。</w:t>
      </w:r>
    </w:p>
    <w:p w:rsidR="00685B1D" w:rsidRPr="003C2170" w:rsidRDefault="00685B1D" w:rsidP="003C2170">
      <w:pPr>
        <w:ind w:left="720"/>
        <w:jc w:val="both"/>
        <w:rPr>
          <w:rFonts w:eastAsia="宋体" w:cs="Times New Roman"/>
          <w:snapToGrid w:val="0"/>
          <w:szCs w:val="21"/>
        </w:rPr>
      </w:pPr>
    </w:p>
    <w:p w:rsidR="00442AF6" w:rsidRPr="003C2170" w:rsidRDefault="00442AF6" w:rsidP="003C2170">
      <w:pPr>
        <w:ind w:left="720"/>
        <w:jc w:val="both"/>
        <w:rPr>
          <w:rFonts w:eastAsia="宋体" w:cs="Times New Roman"/>
          <w:snapToGrid w:val="0"/>
          <w:szCs w:val="21"/>
        </w:rPr>
      </w:pPr>
      <w:r w:rsidRPr="003C2170">
        <w:rPr>
          <w:rFonts w:eastAsia="宋体" w:cs="Times New Roman" w:hint="eastAsia"/>
          <w:snapToGrid w:val="0"/>
          <w:szCs w:val="21"/>
        </w:rPr>
        <w:t>对于通过同</w:t>
      </w:r>
      <w:proofErr w:type="gramStart"/>
      <w:r w:rsidRPr="003C2170">
        <w:rPr>
          <w:rFonts w:eastAsia="宋体" w:cs="Times New Roman" w:hint="eastAsia"/>
          <w:snapToGrid w:val="0"/>
          <w:szCs w:val="21"/>
        </w:rPr>
        <w:t>一控制</w:t>
      </w:r>
      <w:proofErr w:type="gramEnd"/>
      <w:r w:rsidRPr="003C2170">
        <w:rPr>
          <w:rFonts w:eastAsia="宋体" w:cs="Times New Roman" w:hint="eastAsia"/>
          <w:snapToGrid w:val="0"/>
          <w:szCs w:val="21"/>
        </w:rPr>
        <w:t>下的企业合并取得的子公司，无论该项企业合并发生在报告期的任一时点，视同该子公司自同受最终控制方控制之日起纳入本集团的合并范围，其</w:t>
      </w:r>
      <w:proofErr w:type="gramStart"/>
      <w:r w:rsidRPr="003C2170">
        <w:rPr>
          <w:rFonts w:eastAsia="宋体" w:cs="Times New Roman" w:hint="eastAsia"/>
          <w:snapToGrid w:val="0"/>
          <w:szCs w:val="21"/>
        </w:rPr>
        <w:t>自报告</w:t>
      </w:r>
      <w:proofErr w:type="gramEnd"/>
      <w:r w:rsidRPr="003C2170">
        <w:rPr>
          <w:rFonts w:eastAsia="宋体" w:cs="Times New Roman" w:hint="eastAsia"/>
          <w:snapToGrid w:val="0"/>
          <w:szCs w:val="21"/>
        </w:rPr>
        <w:t>期最早期间期初起的经营成果和现金流量</w:t>
      </w:r>
      <w:proofErr w:type="gramStart"/>
      <w:r w:rsidRPr="003C2170">
        <w:rPr>
          <w:rFonts w:eastAsia="宋体" w:cs="Times New Roman" w:hint="eastAsia"/>
          <w:snapToGrid w:val="0"/>
          <w:szCs w:val="21"/>
        </w:rPr>
        <w:t>已适当</w:t>
      </w:r>
      <w:proofErr w:type="gramEnd"/>
      <w:r w:rsidRPr="003C2170">
        <w:rPr>
          <w:rFonts w:eastAsia="宋体" w:cs="Times New Roman" w:hint="eastAsia"/>
          <w:snapToGrid w:val="0"/>
          <w:szCs w:val="21"/>
        </w:rPr>
        <w:t>地包括在合并利润表和合并现金流量表中。</w:t>
      </w:r>
    </w:p>
    <w:p w:rsidR="00442AF6" w:rsidRPr="003C2170" w:rsidRDefault="00442AF6" w:rsidP="003C2170">
      <w:pPr>
        <w:ind w:left="720"/>
        <w:jc w:val="both"/>
        <w:rPr>
          <w:rFonts w:eastAsia="宋体" w:cs="Times New Roman"/>
          <w:snapToGrid w:val="0"/>
          <w:szCs w:val="21"/>
        </w:rPr>
      </w:pPr>
    </w:p>
    <w:p w:rsidR="003714D0" w:rsidRPr="003C2170" w:rsidRDefault="003714D0" w:rsidP="003C2170">
      <w:pPr>
        <w:ind w:left="720"/>
        <w:jc w:val="both"/>
        <w:rPr>
          <w:rFonts w:eastAsia="宋体" w:cs="Times New Roman"/>
          <w:snapToGrid w:val="0"/>
          <w:szCs w:val="21"/>
        </w:rPr>
      </w:pPr>
      <w:r w:rsidRPr="003C2170">
        <w:rPr>
          <w:rFonts w:eastAsia="宋体" w:cs="Times New Roman" w:hint="eastAsia"/>
          <w:snapToGrid w:val="0"/>
          <w:szCs w:val="21"/>
        </w:rPr>
        <w:t>子公司采用的主要会计政策和会计期间按照本公司统一规定的会计政策和会计期间厘定。</w:t>
      </w:r>
    </w:p>
    <w:p w:rsidR="003714D0" w:rsidRPr="003C2170" w:rsidRDefault="003714D0" w:rsidP="003C2170">
      <w:pPr>
        <w:ind w:left="720"/>
        <w:jc w:val="both"/>
        <w:rPr>
          <w:rFonts w:eastAsia="宋体" w:cs="Times New Roman"/>
          <w:snapToGrid w:val="0"/>
          <w:szCs w:val="21"/>
        </w:rPr>
      </w:pPr>
    </w:p>
    <w:p w:rsidR="003714D0" w:rsidRPr="003C2170" w:rsidRDefault="003714D0" w:rsidP="003C2170">
      <w:pPr>
        <w:ind w:left="720"/>
        <w:jc w:val="both"/>
        <w:rPr>
          <w:rFonts w:eastAsia="宋体" w:cs="Times New Roman"/>
          <w:snapToGrid w:val="0"/>
          <w:szCs w:val="21"/>
        </w:rPr>
      </w:pPr>
      <w:r w:rsidRPr="003C2170">
        <w:rPr>
          <w:rFonts w:eastAsia="宋体" w:cs="Times New Roman" w:hint="eastAsia"/>
          <w:snapToGrid w:val="0"/>
          <w:szCs w:val="21"/>
        </w:rPr>
        <w:t>本公司与子公司及子公司相互之间发生的内部交易对合并财务报表的影响于合并时</w:t>
      </w:r>
      <w:proofErr w:type="gramStart"/>
      <w:r w:rsidRPr="003C2170">
        <w:rPr>
          <w:rFonts w:eastAsia="宋体" w:cs="Times New Roman" w:hint="eastAsia"/>
          <w:snapToGrid w:val="0"/>
          <w:szCs w:val="21"/>
        </w:rPr>
        <w:t>抵销</w:t>
      </w:r>
      <w:proofErr w:type="gramEnd"/>
      <w:r w:rsidRPr="003C2170">
        <w:rPr>
          <w:rFonts w:eastAsia="宋体" w:cs="Times New Roman" w:hint="eastAsia"/>
          <w:snapToGrid w:val="0"/>
          <w:szCs w:val="21"/>
        </w:rPr>
        <w:t>。</w:t>
      </w:r>
    </w:p>
    <w:p w:rsidR="004B3FEA" w:rsidRPr="003C2170" w:rsidRDefault="004B3FEA" w:rsidP="0027505B">
      <w:pPr>
        <w:jc w:val="both"/>
        <w:rPr>
          <w:rFonts w:eastAsia="宋体" w:cs="Times New Roman"/>
          <w:snapToGrid w:val="0"/>
          <w:szCs w:val="21"/>
        </w:rPr>
      </w:pPr>
      <w:r w:rsidRPr="003C2170">
        <w:rPr>
          <w:rFonts w:eastAsia="宋体" w:cs="Times New Roman"/>
          <w:snapToGrid w:val="0"/>
          <w:szCs w:val="21"/>
        </w:rPr>
        <w:br w:type="page"/>
      </w:r>
    </w:p>
    <w:p w:rsidR="004B3FEA" w:rsidRPr="003C2170" w:rsidRDefault="005F14EE" w:rsidP="003C2170">
      <w:pPr>
        <w:jc w:val="both"/>
        <w:rPr>
          <w:rFonts w:eastAsia="宋体" w:cs="Times New Roman"/>
          <w:szCs w:val="21"/>
        </w:rPr>
      </w:pPr>
      <w:r w:rsidRPr="003C2170">
        <w:rPr>
          <w:rFonts w:eastAsia="宋体" w:cs="Times New Roman"/>
          <w:b/>
          <w:szCs w:val="21"/>
        </w:rPr>
        <w:t>(</w:t>
      </w:r>
      <w:r w:rsidR="004B3FEA" w:rsidRPr="003C2170">
        <w:rPr>
          <w:rFonts w:eastAsia="宋体" w:cs="Times New Roman" w:hint="eastAsia"/>
          <w:b/>
          <w:szCs w:val="21"/>
        </w:rPr>
        <w:t>三</w:t>
      </w:r>
      <w:r w:rsidRPr="003C2170">
        <w:rPr>
          <w:rFonts w:eastAsia="宋体" w:cs="Times New Roman"/>
          <w:b/>
          <w:szCs w:val="21"/>
        </w:rPr>
        <w:t>)</w:t>
      </w:r>
      <w:r w:rsidR="004B3FEA" w:rsidRPr="003C2170">
        <w:rPr>
          <w:rFonts w:eastAsia="宋体" w:cs="Times New Roman"/>
          <w:b/>
          <w:szCs w:val="21"/>
        </w:rPr>
        <w:tab/>
      </w:r>
      <w:r w:rsidR="004B3FEA" w:rsidRPr="003C2170">
        <w:rPr>
          <w:rFonts w:eastAsia="宋体" w:cs="Times New Roman" w:hint="eastAsia"/>
          <w:b/>
          <w:szCs w:val="21"/>
        </w:rPr>
        <w:t>重要会计政策和会计估计</w:t>
      </w:r>
      <w:r w:rsidR="004B3FEA" w:rsidRPr="003C2170">
        <w:rPr>
          <w:rFonts w:eastAsia="宋体" w:cs="Times New Roman"/>
          <w:szCs w:val="21"/>
        </w:rPr>
        <w:t xml:space="preserve"> - </w:t>
      </w:r>
      <w:r w:rsidR="004B3FEA" w:rsidRPr="003C2170">
        <w:rPr>
          <w:rFonts w:eastAsia="宋体" w:cs="Times New Roman" w:hint="eastAsia"/>
          <w:szCs w:val="21"/>
        </w:rPr>
        <w:t>续</w:t>
      </w:r>
    </w:p>
    <w:p w:rsidR="0071385F" w:rsidRPr="003C2170" w:rsidRDefault="0071385F" w:rsidP="003C2170">
      <w:pPr>
        <w:ind w:left="720"/>
        <w:jc w:val="both"/>
        <w:rPr>
          <w:rFonts w:eastAsia="宋体" w:cs="Times New Roman"/>
          <w:snapToGrid w:val="0"/>
          <w:szCs w:val="21"/>
        </w:rPr>
      </w:pPr>
    </w:p>
    <w:p w:rsidR="00F95395" w:rsidRPr="003C2170" w:rsidRDefault="00F95395" w:rsidP="0027505B">
      <w:pPr>
        <w:pStyle w:val="2"/>
        <w:numPr>
          <w:ilvl w:val="0"/>
          <w:numId w:val="39"/>
        </w:numPr>
        <w:adjustRightInd w:val="0"/>
        <w:snapToGrid w:val="0"/>
        <w:ind w:left="1440" w:hanging="709"/>
        <w:contextualSpacing w:val="0"/>
        <w:jc w:val="both"/>
        <w:rPr>
          <w:rFonts w:ascii="Times New Roman" w:eastAsia="宋体" w:hAnsi="Times New Roman" w:cs="Times New Roman"/>
          <w:snapToGrid w:val="0"/>
          <w:szCs w:val="21"/>
        </w:rPr>
      </w:pPr>
      <w:r w:rsidRPr="003C2170">
        <w:rPr>
          <w:rFonts w:ascii="Times New Roman" w:eastAsia="宋体" w:hAnsi="Times New Roman" w:cs="Times New Roman" w:hint="eastAsia"/>
          <w:snapToGrid w:val="0"/>
          <w:szCs w:val="21"/>
        </w:rPr>
        <w:t>现金及现金等价物的确定标准</w:t>
      </w:r>
    </w:p>
    <w:p w:rsidR="00F95395" w:rsidRPr="003C2170" w:rsidRDefault="00F95395" w:rsidP="003C2170">
      <w:pPr>
        <w:ind w:left="720"/>
        <w:jc w:val="both"/>
        <w:rPr>
          <w:rFonts w:eastAsia="宋体" w:cs="Times New Roman"/>
          <w:snapToGrid w:val="0"/>
          <w:szCs w:val="21"/>
        </w:rPr>
      </w:pPr>
    </w:p>
    <w:p w:rsidR="00493063" w:rsidRPr="003C2170" w:rsidRDefault="00F95395" w:rsidP="003C2170">
      <w:pPr>
        <w:ind w:left="720"/>
        <w:jc w:val="both"/>
        <w:rPr>
          <w:rFonts w:eastAsia="宋体" w:cs="Times New Roman"/>
          <w:snapToGrid w:val="0"/>
          <w:szCs w:val="21"/>
        </w:rPr>
      </w:pPr>
      <w:r w:rsidRPr="003C2170">
        <w:rPr>
          <w:rFonts w:eastAsia="宋体" w:cs="Times New Roman" w:hint="eastAsia"/>
          <w:snapToGrid w:val="0"/>
          <w:szCs w:val="21"/>
        </w:rPr>
        <w:t>现金是指库存现金以及可以随时用于支付的存款。现金等价物是指本集团持有的期限短</w:t>
      </w:r>
      <w:r w:rsidR="005F14EE" w:rsidRPr="003C2170">
        <w:rPr>
          <w:rFonts w:eastAsia="宋体" w:cs="Times New Roman"/>
          <w:snapToGrid w:val="0"/>
          <w:szCs w:val="21"/>
        </w:rPr>
        <w:t>(</w:t>
      </w:r>
      <w:r w:rsidRPr="003C2170">
        <w:rPr>
          <w:rFonts w:eastAsia="宋体" w:cs="Times New Roman" w:hint="eastAsia"/>
          <w:snapToGrid w:val="0"/>
          <w:szCs w:val="21"/>
        </w:rPr>
        <w:t>一般指从购买日起三个月内到期</w:t>
      </w:r>
      <w:r w:rsidR="005F14EE" w:rsidRPr="003C2170">
        <w:rPr>
          <w:rFonts w:eastAsia="宋体" w:cs="Times New Roman"/>
          <w:snapToGrid w:val="0"/>
          <w:szCs w:val="21"/>
        </w:rPr>
        <w:t>)</w:t>
      </w:r>
      <w:r w:rsidRPr="003C2170">
        <w:rPr>
          <w:rFonts w:eastAsia="宋体" w:cs="Times New Roman" w:hint="eastAsia"/>
          <w:snapToGrid w:val="0"/>
          <w:szCs w:val="21"/>
        </w:rPr>
        <w:t>、流动性强、易于转换为已知金额现金、价值变动风险很小的投资。</w:t>
      </w:r>
    </w:p>
    <w:p w:rsidR="0071385F" w:rsidRPr="003C2170" w:rsidRDefault="0071385F" w:rsidP="003C2170">
      <w:pPr>
        <w:ind w:left="720"/>
        <w:jc w:val="both"/>
        <w:rPr>
          <w:rFonts w:eastAsia="宋体" w:cs="Times New Roman"/>
          <w:szCs w:val="21"/>
        </w:rPr>
      </w:pPr>
    </w:p>
    <w:p w:rsidR="00D16F99" w:rsidRPr="003C2170" w:rsidRDefault="00D16F99" w:rsidP="0027505B">
      <w:pPr>
        <w:pStyle w:val="2"/>
        <w:numPr>
          <w:ilvl w:val="0"/>
          <w:numId w:val="39"/>
        </w:numPr>
        <w:adjustRightInd w:val="0"/>
        <w:snapToGrid w:val="0"/>
        <w:ind w:left="1440" w:hanging="709"/>
        <w:contextualSpacing w:val="0"/>
        <w:jc w:val="both"/>
        <w:rPr>
          <w:rFonts w:ascii="Times New Roman" w:eastAsia="宋体" w:hAnsi="Times New Roman" w:cs="Times New Roman"/>
          <w:snapToGrid w:val="0"/>
          <w:szCs w:val="21"/>
        </w:rPr>
      </w:pPr>
      <w:r w:rsidRPr="003C2170">
        <w:rPr>
          <w:rFonts w:ascii="Times New Roman" w:eastAsia="宋体" w:hAnsi="Times New Roman" w:cs="Times New Roman" w:hint="eastAsia"/>
          <w:snapToGrid w:val="0"/>
          <w:szCs w:val="21"/>
        </w:rPr>
        <w:t>外币业务和外币报表折算</w:t>
      </w:r>
    </w:p>
    <w:p w:rsidR="00D16F99" w:rsidRPr="003C2170" w:rsidRDefault="00D16F99" w:rsidP="003C2170">
      <w:pPr>
        <w:tabs>
          <w:tab w:val="left" w:pos="432"/>
        </w:tabs>
        <w:ind w:left="720"/>
        <w:jc w:val="both"/>
        <w:rPr>
          <w:rFonts w:eastAsia="宋体" w:cs="Times New Roman"/>
          <w:szCs w:val="21"/>
        </w:rPr>
      </w:pPr>
    </w:p>
    <w:p w:rsidR="00D16F99" w:rsidRPr="003C2170" w:rsidRDefault="00FB6FD3" w:rsidP="003C2170">
      <w:pPr>
        <w:ind w:left="720"/>
        <w:jc w:val="both"/>
        <w:rPr>
          <w:rFonts w:eastAsia="宋体" w:cs="Times New Roman"/>
          <w:szCs w:val="21"/>
          <w:u w:val="single"/>
        </w:rPr>
      </w:pPr>
      <w:r w:rsidRPr="003C2170">
        <w:rPr>
          <w:rFonts w:eastAsia="宋体" w:cs="Times New Roman"/>
          <w:szCs w:val="21"/>
          <w:u w:val="single"/>
        </w:rPr>
        <w:t>9</w:t>
      </w:r>
      <w:r w:rsidR="00D16F99" w:rsidRPr="003C2170">
        <w:rPr>
          <w:rFonts w:eastAsia="宋体" w:cs="Times New Roman"/>
          <w:szCs w:val="21"/>
          <w:u w:val="single"/>
        </w:rPr>
        <w:t>.1</w:t>
      </w:r>
      <w:r w:rsidR="00D16F99" w:rsidRPr="003C2170">
        <w:rPr>
          <w:rFonts w:eastAsia="宋体" w:cs="Times New Roman"/>
          <w:szCs w:val="21"/>
          <w:u w:val="single"/>
        </w:rPr>
        <w:tab/>
      </w:r>
      <w:r w:rsidR="00D16F99" w:rsidRPr="003C2170">
        <w:rPr>
          <w:rFonts w:eastAsia="宋体" w:cs="Times New Roman" w:hint="eastAsia"/>
          <w:szCs w:val="21"/>
          <w:u w:val="single"/>
        </w:rPr>
        <w:t>外币业务</w:t>
      </w:r>
    </w:p>
    <w:p w:rsidR="00D16F99" w:rsidRPr="003C2170" w:rsidRDefault="00D16F99" w:rsidP="003C2170">
      <w:pPr>
        <w:ind w:left="720"/>
        <w:jc w:val="both"/>
        <w:rPr>
          <w:rFonts w:eastAsia="宋体" w:cs="Times New Roman"/>
          <w:snapToGrid w:val="0"/>
          <w:szCs w:val="21"/>
        </w:rPr>
      </w:pPr>
    </w:p>
    <w:p w:rsidR="00D16F99" w:rsidRPr="003C2170" w:rsidRDefault="00D16F99" w:rsidP="003C2170">
      <w:pPr>
        <w:ind w:left="720"/>
        <w:jc w:val="both"/>
        <w:rPr>
          <w:rFonts w:eastAsia="宋体" w:cs="Times New Roman"/>
          <w:szCs w:val="21"/>
        </w:rPr>
      </w:pPr>
      <w:r w:rsidRPr="003C2170">
        <w:rPr>
          <w:rFonts w:eastAsia="宋体" w:cs="Times New Roman" w:hint="eastAsia"/>
          <w:szCs w:val="21"/>
        </w:rPr>
        <w:t>外币交易在初始确认时采用与交易发生日即期汇率近似的汇率折算，与交易发生日即期汇率近似的汇率按交易发生当月月初的市场汇价中间价计算确定。</w:t>
      </w:r>
    </w:p>
    <w:p w:rsidR="00D16F99" w:rsidRPr="003C2170" w:rsidRDefault="00D16F99" w:rsidP="003C2170">
      <w:pPr>
        <w:ind w:left="720"/>
        <w:jc w:val="both"/>
        <w:rPr>
          <w:rFonts w:eastAsia="宋体" w:cs="Times New Roman"/>
          <w:szCs w:val="21"/>
        </w:rPr>
      </w:pPr>
    </w:p>
    <w:p w:rsidR="00D16F99" w:rsidRPr="003C2170" w:rsidRDefault="00D16F99" w:rsidP="003C2170">
      <w:pPr>
        <w:ind w:left="720"/>
        <w:jc w:val="both"/>
        <w:rPr>
          <w:rFonts w:eastAsia="宋体" w:cs="Times New Roman"/>
          <w:szCs w:val="21"/>
        </w:rPr>
      </w:pPr>
      <w:r w:rsidRPr="003C2170">
        <w:rPr>
          <w:rFonts w:eastAsia="宋体" w:cs="Times New Roman" w:hint="eastAsia"/>
          <w:szCs w:val="21"/>
        </w:rPr>
        <w:t>于资产负债表日，外币货币性项目采用该日即期汇率折算为人民币，因该日的即期汇率与初始确认时或者前一资产负债表日即期汇率不同而产生的汇兑差额，均计入当期损益。</w:t>
      </w:r>
    </w:p>
    <w:p w:rsidR="00D16F99" w:rsidRPr="003C2170" w:rsidRDefault="00D16F99" w:rsidP="003C2170">
      <w:pPr>
        <w:autoSpaceDE w:val="0"/>
        <w:autoSpaceDN w:val="0"/>
        <w:ind w:left="720"/>
        <w:jc w:val="both"/>
        <w:textAlignment w:val="baseline"/>
        <w:rPr>
          <w:rFonts w:eastAsia="宋体" w:cs="Times New Roman"/>
          <w:szCs w:val="21"/>
        </w:rPr>
      </w:pPr>
    </w:p>
    <w:p w:rsidR="005D7660" w:rsidRPr="003C2170" w:rsidRDefault="00D16F99" w:rsidP="003C2170">
      <w:pPr>
        <w:ind w:left="720"/>
        <w:jc w:val="both"/>
        <w:rPr>
          <w:rFonts w:eastAsia="宋体" w:cs="Times New Roman"/>
          <w:szCs w:val="21"/>
        </w:rPr>
      </w:pPr>
      <w:r w:rsidRPr="003C2170">
        <w:rPr>
          <w:rFonts w:eastAsia="宋体" w:cs="Times New Roman" w:hint="eastAsia"/>
          <w:szCs w:val="21"/>
        </w:rPr>
        <w:t>以历史成本计量的外币非货币性项目仍以交易发生日的即期汇率折算的记账本位</w:t>
      </w:r>
      <w:proofErr w:type="gramStart"/>
      <w:r w:rsidRPr="003C2170">
        <w:rPr>
          <w:rFonts w:eastAsia="宋体" w:cs="Times New Roman" w:hint="eastAsia"/>
          <w:szCs w:val="21"/>
        </w:rPr>
        <w:t>币金额</w:t>
      </w:r>
      <w:proofErr w:type="gramEnd"/>
      <w:r w:rsidRPr="003C2170">
        <w:rPr>
          <w:rFonts w:eastAsia="宋体" w:cs="Times New Roman" w:hint="eastAsia"/>
          <w:szCs w:val="21"/>
        </w:rPr>
        <w:t>计量。</w:t>
      </w:r>
    </w:p>
    <w:p w:rsidR="0093792C" w:rsidRPr="003C2170" w:rsidRDefault="0093792C" w:rsidP="003C2170">
      <w:pPr>
        <w:autoSpaceDE w:val="0"/>
        <w:autoSpaceDN w:val="0"/>
        <w:ind w:left="720"/>
        <w:jc w:val="both"/>
        <w:textAlignment w:val="baseline"/>
        <w:rPr>
          <w:rFonts w:eastAsia="宋体" w:cs="Times New Roman"/>
          <w:szCs w:val="21"/>
          <w:u w:val="single"/>
        </w:rPr>
      </w:pPr>
    </w:p>
    <w:p w:rsidR="00D16F99" w:rsidRPr="003C2170" w:rsidRDefault="00FB6FD3" w:rsidP="003C2170">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9</w:t>
      </w:r>
      <w:r w:rsidR="00D16F99" w:rsidRPr="003C2170">
        <w:rPr>
          <w:rFonts w:eastAsia="宋体" w:cs="Times New Roman"/>
          <w:szCs w:val="21"/>
          <w:u w:val="single"/>
        </w:rPr>
        <w:t>.2</w:t>
      </w:r>
      <w:r w:rsidR="00D16F99" w:rsidRPr="003C2170">
        <w:rPr>
          <w:rFonts w:eastAsia="宋体" w:cs="Times New Roman"/>
          <w:szCs w:val="21"/>
          <w:u w:val="single"/>
        </w:rPr>
        <w:tab/>
      </w:r>
      <w:r w:rsidR="00D16F99" w:rsidRPr="003C2170">
        <w:rPr>
          <w:rFonts w:eastAsia="宋体" w:cs="Times New Roman" w:hint="eastAsia"/>
          <w:szCs w:val="21"/>
          <w:u w:val="single"/>
        </w:rPr>
        <w:t>外币财务报表折算</w:t>
      </w:r>
    </w:p>
    <w:p w:rsidR="00D16F99" w:rsidRPr="003C2170" w:rsidRDefault="00D16F99" w:rsidP="003C2170">
      <w:pPr>
        <w:autoSpaceDE w:val="0"/>
        <w:autoSpaceDN w:val="0"/>
        <w:ind w:left="720"/>
        <w:jc w:val="both"/>
        <w:textAlignment w:val="baseline"/>
        <w:rPr>
          <w:rFonts w:eastAsia="宋体" w:cs="Times New Roman"/>
          <w:szCs w:val="21"/>
        </w:rPr>
      </w:pPr>
    </w:p>
    <w:p w:rsidR="00D16F99" w:rsidRPr="003C2170" w:rsidRDefault="00D16F99"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为编制合并财务报表，境外经营的外币财务报表按以下方法折算为人民币报表</w:t>
      </w:r>
      <w:r w:rsidR="005F14EE" w:rsidRPr="003C2170">
        <w:rPr>
          <w:rFonts w:eastAsia="宋体" w:cs="Times New Roman" w:hint="eastAsia"/>
          <w:szCs w:val="21"/>
        </w:rPr>
        <w:t>：</w:t>
      </w:r>
      <w:r w:rsidRPr="003C2170">
        <w:rPr>
          <w:rFonts w:eastAsia="宋体" w:cs="Times New Roman" w:hint="eastAsia"/>
          <w:szCs w:val="21"/>
        </w:rPr>
        <w:t>资产负债表中的所有资产、负债类项目按资产负债表日的即期汇率折算</w:t>
      </w:r>
      <w:r w:rsidR="005F14EE" w:rsidRPr="003C2170">
        <w:rPr>
          <w:rFonts w:eastAsia="宋体" w:cs="Times New Roman" w:hint="eastAsia"/>
          <w:szCs w:val="21"/>
        </w:rPr>
        <w:t>；</w:t>
      </w:r>
      <w:r w:rsidRPr="003C2170">
        <w:rPr>
          <w:rFonts w:eastAsia="宋体" w:cs="Times New Roman" w:hint="eastAsia"/>
          <w:szCs w:val="21"/>
        </w:rPr>
        <w:t>股东权益项目按发生时的即期汇率折算</w:t>
      </w:r>
      <w:r w:rsidR="005F14EE" w:rsidRPr="003C2170">
        <w:rPr>
          <w:rFonts w:eastAsia="宋体" w:cs="Times New Roman" w:hint="eastAsia"/>
          <w:szCs w:val="21"/>
        </w:rPr>
        <w:t>；</w:t>
      </w:r>
      <w:r w:rsidRPr="003C2170">
        <w:rPr>
          <w:rFonts w:eastAsia="宋体" w:cs="Times New Roman" w:hint="eastAsia"/>
          <w:szCs w:val="21"/>
        </w:rPr>
        <w:t>利润表中的所有项目及反映利润分配发生额的项目按与交易发生日即期汇率近似的汇率折算</w:t>
      </w:r>
      <w:r w:rsidR="005F14EE" w:rsidRPr="003C2170">
        <w:rPr>
          <w:rFonts w:eastAsia="宋体" w:cs="Times New Roman" w:hint="eastAsia"/>
          <w:szCs w:val="21"/>
        </w:rPr>
        <w:t>；</w:t>
      </w:r>
      <w:r w:rsidRPr="003C2170">
        <w:rPr>
          <w:rFonts w:eastAsia="宋体" w:cs="Times New Roman" w:hint="eastAsia"/>
          <w:szCs w:val="21"/>
        </w:rPr>
        <w:t>折算后资产类项目与负债类项目和股东权益类项目合计数的差额确认为其他综合收益并计入股东权益。</w:t>
      </w:r>
    </w:p>
    <w:p w:rsidR="00D16F99" w:rsidRPr="003C2170" w:rsidRDefault="00D16F99" w:rsidP="003C2170">
      <w:pPr>
        <w:autoSpaceDE w:val="0"/>
        <w:autoSpaceDN w:val="0"/>
        <w:ind w:left="720"/>
        <w:jc w:val="both"/>
        <w:textAlignment w:val="baseline"/>
        <w:rPr>
          <w:rFonts w:eastAsia="宋体" w:cs="Times New Roman"/>
          <w:szCs w:val="21"/>
        </w:rPr>
      </w:pPr>
    </w:p>
    <w:p w:rsidR="00D16F99" w:rsidRPr="003C2170" w:rsidRDefault="00D16F99" w:rsidP="003C2170">
      <w:pPr>
        <w:autoSpaceDE w:val="0"/>
        <w:autoSpaceDN w:val="0"/>
        <w:ind w:left="720"/>
        <w:jc w:val="both"/>
        <w:textAlignment w:val="baseline"/>
        <w:rPr>
          <w:rFonts w:eastAsia="宋体" w:cs="Times New Roman"/>
          <w:szCs w:val="21"/>
          <w:u w:val="single"/>
        </w:rPr>
      </w:pPr>
      <w:r w:rsidRPr="003C2170">
        <w:rPr>
          <w:rFonts w:eastAsia="宋体" w:cs="Times New Roman" w:hint="eastAsia"/>
          <w:szCs w:val="21"/>
        </w:rPr>
        <w:t>外币现金流量以及境外子公司的现金流量，采用与现金流量发生日即期汇率近似的汇率折算，汇率变动对现金及现金等价物的影响额，作为调节项目，在现金流量表中以</w:t>
      </w:r>
      <w:r w:rsidR="00C246A8" w:rsidRPr="003C2170">
        <w:rPr>
          <w:rFonts w:eastAsia="宋体" w:cs="Times New Roman"/>
          <w:szCs w:val="21"/>
        </w:rPr>
        <w:t>“</w:t>
      </w:r>
      <w:r w:rsidRPr="003C2170">
        <w:rPr>
          <w:rFonts w:eastAsia="宋体" w:cs="Times New Roman" w:hint="eastAsia"/>
          <w:szCs w:val="21"/>
        </w:rPr>
        <w:t>汇率变动对现金及现金等价物的影响</w:t>
      </w:r>
      <w:r w:rsidR="00C246A8" w:rsidRPr="003C2170">
        <w:rPr>
          <w:rFonts w:eastAsia="宋体" w:cs="Times New Roman"/>
          <w:szCs w:val="21"/>
        </w:rPr>
        <w:t>”</w:t>
      </w:r>
      <w:r w:rsidRPr="003C2170">
        <w:rPr>
          <w:rFonts w:eastAsia="宋体" w:cs="Times New Roman" w:hint="eastAsia"/>
          <w:szCs w:val="21"/>
        </w:rPr>
        <w:t>单独列示。</w:t>
      </w:r>
    </w:p>
    <w:p w:rsidR="00D16F99" w:rsidRPr="003C2170" w:rsidRDefault="00D16F99" w:rsidP="003C2170">
      <w:pPr>
        <w:autoSpaceDE w:val="0"/>
        <w:autoSpaceDN w:val="0"/>
        <w:ind w:left="720"/>
        <w:jc w:val="both"/>
        <w:textAlignment w:val="baseline"/>
        <w:rPr>
          <w:rFonts w:eastAsia="宋体" w:cs="Times New Roman"/>
          <w:szCs w:val="21"/>
        </w:rPr>
      </w:pPr>
    </w:p>
    <w:p w:rsidR="00D16F99" w:rsidRPr="003C2170" w:rsidRDefault="00D16F99"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上</w:t>
      </w:r>
      <w:proofErr w:type="gramStart"/>
      <w:r w:rsidRPr="003C2170">
        <w:rPr>
          <w:rFonts w:eastAsia="宋体" w:cs="Times New Roman" w:hint="eastAsia"/>
          <w:szCs w:val="21"/>
        </w:rPr>
        <w:t>年年末数和</w:t>
      </w:r>
      <w:proofErr w:type="gramEnd"/>
      <w:r w:rsidRPr="003C2170">
        <w:rPr>
          <w:rFonts w:eastAsia="宋体" w:cs="Times New Roman" w:hint="eastAsia"/>
          <w:szCs w:val="21"/>
        </w:rPr>
        <w:t>上年实际</w:t>
      </w:r>
      <w:proofErr w:type="gramStart"/>
      <w:r w:rsidRPr="003C2170">
        <w:rPr>
          <w:rFonts w:eastAsia="宋体" w:cs="Times New Roman" w:hint="eastAsia"/>
          <w:szCs w:val="21"/>
        </w:rPr>
        <w:t>数按照</w:t>
      </w:r>
      <w:proofErr w:type="gramEnd"/>
      <w:r w:rsidRPr="003C2170">
        <w:rPr>
          <w:rFonts w:eastAsia="宋体" w:cs="Times New Roman" w:hint="eastAsia"/>
          <w:szCs w:val="21"/>
        </w:rPr>
        <w:t>上年财务报表折算后的数额列示。</w:t>
      </w:r>
    </w:p>
    <w:p w:rsidR="00D16F99" w:rsidRPr="003C2170" w:rsidRDefault="00D16F99" w:rsidP="003C2170">
      <w:pPr>
        <w:autoSpaceDE w:val="0"/>
        <w:autoSpaceDN w:val="0"/>
        <w:ind w:left="720"/>
        <w:jc w:val="both"/>
        <w:textAlignment w:val="baseline"/>
        <w:rPr>
          <w:rFonts w:eastAsia="宋体" w:cs="Times New Roman"/>
          <w:szCs w:val="21"/>
        </w:rPr>
      </w:pPr>
    </w:p>
    <w:p w:rsidR="00D16F99" w:rsidRPr="003C2170" w:rsidRDefault="00D16F99"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在处置本集团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D16F99" w:rsidRPr="003C2170" w:rsidRDefault="00D16F99" w:rsidP="003C2170">
      <w:pPr>
        <w:autoSpaceDE w:val="0"/>
        <w:autoSpaceDN w:val="0"/>
        <w:ind w:left="720"/>
        <w:jc w:val="both"/>
        <w:textAlignment w:val="baseline"/>
        <w:rPr>
          <w:rFonts w:eastAsia="宋体" w:cs="Times New Roman"/>
          <w:szCs w:val="21"/>
        </w:rPr>
      </w:pPr>
    </w:p>
    <w:p w:rsidR="00D16F99" w:rsidRPr="003C2170" w:rsidRDefault="00D16F99" w:rsidP="003C2170">
      <w:pPr>
        <w:ind w:left="720"/>
        <w:jc w:val="both"/>
        <w:rPr>
          <w:rFonts w:eastAsia="宋体" w:cs="Times New Roman"/>
          <w:snapToGrid w:val="0"/>
          <w:szCs w:val="21"/>
        </w:rPr>
      </w:pPr>
      <w:r w:rsidRPr="003C2170">
        <w:rPr>
          <w:rFonts w:eastAsia="宋体" w:cs="Times New Roman" w:hint="eastAsia"/>
          <w:szCs w:val="21"/>
        </w:rPr>
        <w:t>在处置部分股权投资或其他原因导致持有境外经营权益比例降低但不丧失对境外经营控制权时，与该境外经营处置部分相关的外币报表折算差额将归属于少数股东权益，不转入当期损益。</w:t>
      </w:r>
    </w:p>
    <w:p w:rsidR="00D16F99" w:rsidRPr="003C2170" w:rsidRDefault="00D16F99" w:rsidP="003C2170">
      <w:pPr>
        <w:ind w:left="720"/>
        <w:jc w:val="both"/>
        <w:rPr>
          <w:rFonts w:eastAsia="宋体" w:cs="Times New Roman"/>
          <w:snapToGrid w:val="0"/>
          <w:szCs w:val="21"/>
        </w:rPr>
      </w:pPr>
    </w:p>
    <w:p w:rsidR="0071385F" w:rsidRPr="003C2170" w:rsidRDefault="00685B1D" w:rsidP="0027505B">
      <w:pPr>
        <w:pStyle w:val="2"/>
        <w:numPr>
          <w:ilvl w:val="0"/>
          <w:numId w:val="39"/>
        </w:numPr>
        <w:adjustRightInd w:val="0"/>
        <w:snapToGrid w:val="0"/>
        <w:ind w:left="1440" w:hanging="709"/>
        <w:contextualSpacing w:val="0"/>
        <w:jc w:val="both"/>
        <w:rPr>
          <w:rFonts w:ascii="Times New Roman" w:eastAsia="宋体" w:hAnsi="Times New Roman" w:cs="Times New Roman"/>
          <w:snapToGrid w:val="0"/>
          <w:szCs w:val="21"/>
        </w:rPr>
      </w:pPr>
      <w:r w:rsidRPr="003C2170">
        <w:rPr>
          <w:rFonts w:ascii="Times New Roman" w:eastAsia="宋体" w:hAnsi="Times New Roman" w:cs="Times New Roman" w:hint="eastAsia"/>
          <w:snapToGrid w:val="0"/>
          <w:szCs w:val="21"/>
        </w:rPr>
        <w:t>金融工具</w:t>
      </w:r>
    </w:p>
    <w:p w:rsidR="0071385F" w:rsidRPr="003C2170" w:rsidRDefault="0071385F" w:rsidP="003C2170">
      <w:pPr>
        <w:ind w:left="720"/>
        <w:jc w:val="both"/>
        <w:rPr>
          <w:rFonts w:eastAsia="宋体" w:cs="Times New Roman"/>
          <w:szCs w:val="21"/>
        </w:rPr>
      </w:pPr>
    </w:p>
    <w:p w:rsidR="00BB0D93" w:rsidRPr="003C2170" w:rsidRDefault="00BB0D93" w:rsidP="003C2170">
      <w:pPr>
        <w:ind w:left="720"/>
        <w:jc w:val="both"/>
        <w:rPr>
          <w:rFonts w:eastAsia="宋体" w:cs="Times New Roman"/>
          <w:szCs w:val="21"/>
        </w:rPr>
      </w:pPr>
      <w:r w:rsidRPr="003C2170">
        <w:rPr>
          <w:rFonts w:eastAsia="宋体" w:cs="Times New Roman" w:hint="eastAsia"/>
          <w:szCs w:val="21"/>
        </w:rPr>
        <w:t>本集团在成为金融工具合同的一方时确认一项金融资产或金融负债。</w:t>
      </w:r>
    </w:p>
    <w:p w:rsidR="00BB0D93" w:rsidRPr="003C2170" w:rsidRDefault="00BB0D93" w:rsidP="003C2170">
      <w:pPr>
        <w:ind w:left="720"/>
        <w:jc w:val="both"/>
        <w:rPr>
          <w:rFonts w:eastAsia="宋体" w:cs="Times New Roman"/>
          <w:szCs w:val="21"/>
        </w:rPr>
      </w:pPr>
    </w:p>
    <w:p w:rsidR="00BB0D93" w:rsidRPr="003C2170" w:rsidRDefault="00BB0D93" w:rsidP="003C2170">
      <w:pPr>
        <w:ind w:left="720"/>
        <w:jc w:val="both"/>
        <w:rPr>
          <w:rFonts w:eastAsia="宋体" w:cs="Times New Roman"/>
          <w:szCs w:val="21"/>
        </w:rPr>
      </w:pPr>
      <w:r w:rsidRPr="003C2170">
        <w:rPr>
          <w:rFonts w:eastAsia="宋体" w:cs="Times New Roman" w:hint="eastAsia"/>
          <w:szCs w:val="21"/>
        </w:rPr>
        <w:t>对于以常规方式购买或出售金融资产的，在交易日确认将收到的资产和为此将承担的负债，或者在交易日终止确认已出售的资产。</w:t>
      </w:r>
    </w:p>
    <w:p w:rsidR="00BB0D93" w:rsidRPr="003C2170" w:rsidRDefault="00BB0D93" w:rsidP="003C2170">
      <w:pPr>
        <w:ind w:left="720"/>
        <w:jc w:val="both"/>
        <w:rPr>
          <w:rFonts w:eastAsia="宋体" w:cs="Times New Roman"/>
          <w:szCs w:val="21"/>
        </w:rPr>
      </w:pPr>
    </w:p>
    <w:p w:rsidR="00402E18" w:rsidRDefault="00BB0D93" w:rsidP="0027505B">
      <w:pPr>
        <w:ind w:left="720"/>
        <w:jc w:val="both"/>
        <w:rPr>
          <w:rFonts w:eastAsia="宋体" w:cs="Times New Roman"/>
          <w:szCs w:val="21"/>
        </w:rPr>
      </w:pPr>
      <w:r w:rsidRPr="003C2170">
        <w:rPr>
          <w:rFonts w:eastAsia="宋体" w:cs="Times New Roman" w:hint="eastAsia"/>
          <w:szCs w:val="21"/>
        </w:rPr>
        <w:t>金融资产和金融负债在初始确认时以公允价值计量</w:t>
      </w:r>
      <w:r w:rsidR="005F14EE" w:rsidRPr="003C2170">
        <w:rPr>
          <w:rFonts w:eastAsia="宋体" w:cs="Times New Roman" w:hint="eastAsia"/>
          <w:szCs w:val="21"/>
        </w:rPr>
        <w:t>(</w:t>
      </w:r>
      <w:r w:rsidR="00FB6FD3" w:rsidRPr="003C2170">
        <w:rPr>
          <w:rFonts w:eastAsia="宋体" w:cs="Times New Roman" w:hint="eastAsia"/>
          <w:szCs w:val="21"/>
        </w:rPr>
        <w:t>金融资产和金融负债的公允价值的确定方法参见附注</w:t>
      </w:r>
      <w:r w:rsidR="005F14EE" w:rsidRPr="003C2170">
        <w:rPr>
          <w:rFonts w:eastAsia="宋体" w:cs="Times New Roman" w:hint="eastAsia"/>
          <w:szCs w:val="21"/>
        </w:rPr>
        <w:t>(</w:t>
      </w:r>
      <w:r w:rsidR="00FB6FD3" w:rsidRPr="003C2170">
        <w:rPr>
          <w:rFonts w:eastAsia="宋体" w:cs="Times New Roman" w:hint="eastAsia"/>
          <w:szCs w:val="21"/>
        </w:rPr>
        <w:t>二</w:t>
      </w:r>
      <w:r w:rsidR="005F14EE" w:rsidRPr="003C2170">
        <w:rPr>
          <w:rFonts w:eastAsia="宋体" w:cs="Times New Roman"/>
          <w:szCs w:val="21"/>
        </w:rPr>
        <w:t>)</w:t>
      </w:r>
      <w:r w:rsidR="00FB6FD3" w:rsidRPr="003C2170">
        <w:rPr>
          <w:rFonts w:eastAsia="宋体" w:cs="Times New Roman" w:hint="eastAsia"/>
          <w:szCs w:val="21"/>
        </w:rPr>
        <w:t>中记账基础和计价原则的相关披露</w:t>
      </w:r>
      <w:r w:rsidR="005F14EE" w:rsidRPr="003C2170">
        <w:rPr>
          <w:rFonts w:eastAsia="宋体" w:cs="Times New Roman"/>
          <w:szCs w:val="21"/>
        </w:rPr>
        <w:t>)</w:t>
      </w:r>
      <w:r w:rsidRPr="003C2170">
        <w:rPr>
          <w:rFonts w:eastAsia="宋体" w:cs="Times New Roman" w:hint="eastAsia"/>
          <w:szCs w:val="21"/>
        </w:rPr>
        <w:t>。对于以公允价值计量且其变动计入当期损益的金融资产和金融负债，相关的交易费用直接计入当期损益</w:t>
      </w:r>
      <w:r w:rsidR="005F14EE" w:rsidRPr="003C2170">
        <w:rPr>
          <w:rFonts w:eastAsia="宋体" w:cs="Times New Roman" w:hint="eastAsia"/>
          <w:szCs w:val="21"/>
        </w:rPr>
        <w:t>；</w:t>
      </w:r>
      <w:r w:rsidRPr="003C2170">
        <w:rPr>
          <w:rFonts w:eastAsia="宋体" w:cs="Times New Roman" w:hint="eastAsia"/>
          <w:szCs w:val="21"/>
        </w:rPr>
        <w:t>对于其他类别的金融资产和金融负债，相关交易费用计入初始确认金额。当本集团按照《企业会计准则第</w:t>
      </w:r>
      <w:r w:rsidRPr="003C2170">
        <w:rPr>
          <w:rFonts w:eastAsia="宋体" w:cs="Times New Roman"/>
          <w:szCs w:val="21"/>
        </w:rPr>
        <w:t>14</w:t>
      </w:r>
      <w:r w:rsidRPr="003C2170">
        <w:rPr>
          <w:rFonts w:eastAsia="宋体" w:cs="Times New Roman" w:hint="eastAsia"/>
          <w:szCs w:val="21"/>
        </w:rPr>
        <w:t>号</w:t>
      </w:r>
      <w:r w:rsidRPr="003C2170">
        <w:rPr>
          <w:rFonts w:eastAsia="宋体" w:cs="Times New Roman"/>
          <w:szCs w:val="21"/>
        </w:rPr>
        <w:t>——</w:t>
      </w:r>
      <w:r w:rsidRPr="003C2170">
        <w:rPr>
          <w:rFonts w:eastAsia="宋体" w:cs="Times New Roman" w:hint="eastAsia"/>
          <w:szCs w:val="21"/>
        </w:rPr>
        <w:t>收入》</w:t>
      </w:r>
      <w:r w:rsidR="005F14EE" w:rsidRPr="003C2170">
        <w:rPr>
          <w:rFonts w:eastAsia="宋体" w:cs="Times New Roman"/>
          <w:szCs w:val="21"/>
        </w:rPr>
        <w:t>(</w:t>
      </w:r>
      <w:r w:rsidRPr="003C2170">
        <w:rPr>
          <w:rFonts w:eastAsia="宋体" w:cs="Times New Roman"/>
          <w:szCs w:val="21"/>
        </w:rPr>
        <w:t>“</w:t>
      </w:r>
      <w:r w:rsidRPr="003C2170">
        <w:rPr>
          <w:rFonts w:eastAsia="宋体" w:cs="Times New Roman" w:hint="eastAsia"/>
          <w:szCs w:val="21"/>
        </w:rPr>
        <w:t>收入准则</w:t>
      </w:r>
      <w:r w:rsidRPr="003C2170">
        <w:rPr>
          <w:rFonts w:eastAsia="宋体" w:cs="Times New Roman"/>
          <w:szCs w:val="21"/>
        </w:rPr>
        <w:t>”</w:t>
      </w:r>
      <w:r w:rsidR="005F14EE" w:rsidRPr="003C2170">
        <w:rPr>
          <w:rFonts w:eastAsia="宋体" w:cs="Times New Roman"/>
          <w:szCs w:val="21"/>
        </w:rPr>
        <w:t>)</w:t>
      </w:r>
      <w:r w:rsidRPr="003C2170">
        <w:rPr>
          <w:rFonts w:eastAsia="宋体" w:cs="Times New Roman" w:hint="eastAsia"/>
          <w:szCs w:val="21"/>
        </w:rPr>
        <w:t>初始确认未包含重大融资成分或不考虑不超过一年的合同中的融资成分的应收账款时，按照收入准则定义的交易价格进行初始计量。</w:t>
      </w:r>
      <w:r w:rsidR="00402E18">
        <w:rPr>
          <w:rFonts w:eastAsia="宋体" w:cs="Times New Roman"/>
          <w:szCs w:val="21"/>
        </w:rPr>
        <w:br w:type="page"/>
      </w:r>
    </w:p>
    <w:p w:rsidR="00B73082" w:rsidRPr="003C2170" w:rsidRDefault="005F14EE" w:rsidP="003C2170">
      <w:pPr>
        <w:jc w:val="both"/>
        <w:rPr>
          <w:rFonts w:eastAsia="宋体" w:cs="Times New Roman"/>
          <w:szCs w:val="21"/>
        </w:rPr>
      </w:pPr>
      <w:r w:rsidRPr="003C2170">
        <w:rPr>
          <w:rFonts w:eastAsia="宋体" w:cs="Times New Roman"/>
          <w:b/>
          <w:szCs w:val="21"/>
        </w:rPr>
        <w:t>(</w:t>
      </w:r>
      <w:r w:rsidR="00B73082" w:rsidRPr="003C2170">
        <w:rPr>
          <w:rFonts w:eastAsia="宋体" w:cs="Times New Roman" w:hint="eastAsia"/>
          <w:b/>
          <w:szCs w:val="21"/>
        </w:rPr>
        <w:t>三</w:t>
      </w:r>
      <w:r w:rsidRPr="003C2170">
        <w:rPr>
          <w:rFonts w:eastAsia="宋体" w:cs="Times New Roman"/>
          <w:b/>
          <w:szCs w:val="21"/>
        </w:rPr>
        <w:t>)</w:t>
      </w:r>
      <w:r w:rsidR="00B73082" w:rsidRPr="003C2170">
        <w:rPr>
          <w:rFonts w:eastAsia="宋体" w:cs="Times New Roman"/>
          <w:b/>
          <w:szCs w:val="21"/>
        </w:rPr>
        <w:tab/>
      </w:r>
      <w:r w:rsidR="00B73082" w:rsidRPr="003C2170">
        <w:rPr>
          <w:rFonts w:eastAsia="宋体" w:cs="Times New Roman" w:hint="eastAsia"/>
          <w:b/>
          <w:szCs w:val="21"/>
        </w:rPr>
        <w:t>重要会计政策和会计估计</w:t>
      </w:r>
      <w:r w:rsidR="00B73082" w:rsidRPr="003C2170">
        <w:rPr>
          <w:rFonts w:eastAsia="宋体" w:cs="Times New Roman"/>
          <w:szCs w:val="21"/>
        </w:rPr>
        <w:t xml:space="preserve"> - </w:t>
      </w:r>
      <w:r w:rsidR="00B73082" w:rsidRPr="003C2170">
        <w:rPr>
          <w:rFonts w:eastAsia="宋体" w:cs="Times New Roman" w:hint="eastAsia"/>
          <w:szCs w:val="21"/>
        </w:rPr>
        <w:t>续</w:t>
      </w:r>
    </w:p>
    <w:p w:rsidR="00B73082" w:rsidRPr="003C2170" w:rsidRDefault="00B73082" w:rsidP="003C2170">
      <w:pPr>
        <w:jc w:val="both"/>
        <w:rPr>
          <w:rFonts w:eastAsia="宋体" w:cs="Times New Roman"/>
          <w:szCs w:val="21"/>
        </w:rPr>
      </w:pPr>
    </w:p>
    <w:p w:rsidR="00B73082" w:rsidRPr="003C2170" w:rsidRDefault="00B73082" w:rsidP="003C2170">
      <w:pPr>
        <w:ind w:left="720"/>
        <w:jc w:val="both"/>
        <w:rPr>
          <w:rFonts w:eastAsia="宋体" w:cs="Times New Roman"/>
          <w:b/>
          <w:szCs w:val="21"/>
        </w:rPr>
      </w:pPr>
      <w:r w:rsidRPr="003C2170">
        <w:rPr>
          <w:rFonts w:eastAsia="宋体" w:cs="Times New Roman"/>
          <w:b/>
          <w:szCs w:val="21"/>
        </w:rPr>
        <w:t>10.</w:t>
      </w:r>
      <w:r w:rsidRPr="003C2170">
        <w:rPr>
          <w:rFonts w:eastAsia="宋体" w:cs="Times New Roman"/>
          <w:b/>
          <w:szCs w:val="21"/>
        </w:rPr>
        <w:tab/>
      </w:r>
      <w:r w:rsidRPr="003C2170">
        <w:rPr>
          <w:rFonts w:eastAsia="宋体" w:cs="Times New Roman" w:hint="eastAsia"/>
          <w:b/>
          <w:bCs/>
          <w:snapToGrid w:val="0"/>
          <w:szCs w:val="21"/>
        </w:rPr>
        <w:t>金融工具</w:t>
      </w:r>
      <w:r w:rsidRPr="003C2170">
        <w:rPr>
          <w:rFonts w:eastAsia="宋体" w:cs="Times New Roman"/>
          <w:szCs w:val="21"/>
        </w:rPr>
        <w:t xml:space="preserve"> - </w:t>
      </w:r>
      <w:r w:rsidRPr="003C2170">
        <w:rPr>
          <w:rFonts w:eastAsia="宋体" w:cs="Times New Roman" w:hint="eastAsia"/>
          <w:szCs w:val="21"/>
        </w:rPr>
        <w:t>续</w:t>
      </w:r>
    </w:p>
    <w:p w:rsidR="0094243D" w:rsidRPr="003C2170" w:rsidRDefault="0094243D" w:rsidP="00402E18">
      <w:pPr>
        <w:ind w:left="720"/>
        <w:jc w:val="both"/>
        <w:rPr>
          <w:rFonts w:eastAsia="宋体" w:cs="Times New Roman"/>
          <w:szCs w:val="21"/>
        </w:rPr>
      </w:pPr>
    </w:p>
    <w:p w:rsidR="00D8008D" w:rsidRPr="003C2170" w:rsidRDefault="0094243D" w:rsidP="00402E18">
      <w:pPr>
        <w:ind w:left="720"/>
        <w:jc w:val="both"/>
        <w:rPr>
          <w:rFonts w:eastAsia="宋体" w:cs="Times New Roman"/>
          <w:szCs w:val="21"/>
        </w:rPr>
      </w:pPr>
      <w:r w:rsidRPr="003C2170">
        <w:rPr>
          <w:rFonts w:eastAsia="宋体" w:cs="Times New Roman" w:hint="eastAsia"/>
          <w:szCs w:val="21"/>
        </w:rPr>
        <w:t>实际利率法是指计算金融资产或金融负债的摊</w:t>
      </w:r>
      <w:proofErr w:type="gramStart"/>
      <w:r w:rsidRPr="003C2170">
        <w:rPr>
          <w:rFonts w:eastAsia="宋体" w:cs="Times New Roman" w:hint="eastAsia"/>
          <w:szCs w:val="21"/>
        </w:rPr>
        <w:t>余成本</w:t>
      </w:r>
      <w:proofErr w:type="gramEnd"/>
      <w:r w:rsidRPr="003C2170">
        <w:rPr>
          <w:rFonts w:eastAsia="宋体" w:cs="Times New Roman" w:hint="eastAsia"/>
          <w:szCs w:val="21"/>
        </w:rPr>
        <w:t>以及将利息收入或利息费用分摊计入各会计期间的方法。</w:t>
      </w:r>
    </w:p>
    <w:p w:rsidR="00D8008D" w:rsidRPr="003C2170" w:rsidRDefault="00D8008D" w:rsidP="0027505B">
      <w:pPr>
        <w:ind w:left="720"/>
        <w:jc w:val="both"/>
        <w:rPr>
          <w:rFonts w:eastAsia="宋体" w:cs="Times New Roman"/>
          <w:szCs w:val="21"/>
        </w:rPr>
      </w:pPr>
    </w:p>
    <w:p w:rsidR="00BB0D93" w:rsidRPr="003C2170" w:rsidRDefault="00BB0D93" w:rsidP="00402E18">
      <w:pPr>
        <w:ind w:left="720"/>
        <w:jc w:val="both"/>
        <w:rPr>
          <w:rFonts w:eastAsia="宋体" w:cs="Times New Roman"/>
          <w:szCs w:val="21"/>
        </w:rPr>
      </w:pPr>
      <w:r w:rsidRPr="003C2170">
        <w:rPr>
          <w:rFonts w:eastAsia="宋体" w:cs="Times New Roman" w:hint="eastAsia"/>
          <w:szCs w:val="21"/>
        </w:rPr>
        <w:t>实际利率，是指将金融资产或金融负债在预计存续期的估计未来现金流量，折现为该金融资产账面余额或该金融负债摊</w:t>
      </w:r>
      <w:proofErr w:type="gramStart"/>
      <w:r w:rsidRPr="003C2170">
        <w:rPr>
          <w:rFonts w:eastAsia="宋体" w:cs="Times New Roman" w:hint="eastAsia"/>
          <w:szCs w:val="21"/>
        </w:rPr>
        <w:t>余成本</w:t>
      </w:r>
      <w:proofErr w:type="gramEnd"/>
      <w:r w:rsidRPr="003C2170">
        <w:rPr>
          <w:rFonts w:eastAsia="宋体" w:cs="Times New Roman" w:hint="eastAsia"/>
          <w:szCs w:val="21"/>
        </w:rPr>
        <w:t>所使用的利率。在确定实际利率时，在考虑金融资产或金融负债所有合同条款</w:t>
      </w:r>
      <w:r w:rsidR="005F14EE" w:rsidRPr="003C2170">
        <w:rPr>
          <w:rFonts w:eastAsia="宋体" w:cs="Times New Roman"/>
          <w:szCs w:val="21"/>
        </w:rPr>
        <w:t>(</w:t>
      </w:r>
      <w:r w:rsidRPr="003C2170">
        <w:rPr>
          <w:rFonts w:eastAsia="宋体" w:cs="Times New Roman" w:hint="eastAsia"/>
          <w:szCs w:val="21"/>
        </w:rPr>
        <w:t>如提前还款、展期、看涨期权或其他类似期权等</w:t>
      </w:r>
      <w:r w:rsidR="005F14EE" w:rsidRPr="003C2170">
        <w:rPr>
          <w:rFonts w:eastAsia="宋体" w:cs="Times New Roman"/>
          <w:szCs w:val="21"/>
        </w:rPr>
        <w:t>)</w:t>
      </w:r>
      <w:r w:rsidRPr="003C2170">
        <w:rPr>
          <w:rFonts w:eastAsia="宋体" w:cs="Times New Roman" w:hint="eastAsia"/>
          <w:szCs w:val="21"/>
        </w:rPr>
        <w:t>的基础上估计预期现金流量，但不考虑预期信用损失。</w:t>
      </w:r>
    </w:p>
    <w:p w:rsidR="00BB0D93" w:rsidRPr="003C2170" w:rsidRDefault="00BB0D93" w:rsidP="00402E18">
      <w:pPr>
        <w:ind w:left="720"/>
        <w:jc w:val="both"/>
        <w:rPr>
          <w:rFonts w:eastAsia="宋体" w:cs="Times New Roman"/>
          <w:szCs w:val="21"/>
        </w:rPr>
      </w:pPr>
    </w:p>
    <w:p w:rsidR="00685B1D" w:rsidRPr="003C2170" w:rsidRDefault="00BB0D93" w:rsidP="00402E18">
      <w:pPr>
        <w:ind w:left="720"/>
        <w:jc w:val="both"/>
        <w:rPr>
          <w:rFonts w:eastAsia="宋体" w:cs="Times New Roman"/>
          <w:szCs w:val="21"/>
        </w:rPr>
      </w:pPr>
      <w:r w:rsidRPr="003C2170">
        <w:rPr>
          <w:rFonts w:eastAsia="宋体" w:cs="Times New Roman" w:hint="eastAsia"/>
          <w:szCs w:val="21"/>
        </w:rPr>
        <w:t>金融资产或金融负债的摊</w:t>
      </w:r>
      <w:proofErr w:type="gramStart"/>
      <w:r w:rsidRPr="003C2170">
        <w:rPr>
          <w:rFonts w:eastAsia="宋体" w:cs="Times New Roman" w:hint="eastAsia"/>
          <w:szCs w:val="21"/>
        </w:rPr>
        <w:t>余成本</w:t>
      </w:r>
      <w:proofErr w:type="gramEnd"/>
      <w:r w:rsidRPr="003C2170">
        <w:rPr>
          <w:rFonts w:eastAsia="宋体" w:cs="Times New Roman" w:hint="eastAsia"/>
          <w:szCs w:val="21"/>
        </w:rPr>
        <w:t>是以该金融资产或金融负债的初始确认金额扣除已偿还的本金，加上或减去采用实际利率法将该初始确认金额与到期</w:t>
      </w:r>
      <w:proofErr w:type="gramStart"/>
      <w:r w:rsidRPr="003C2170">
        <w:rPr>
          <w:rFonts w:eastAsia="宋体" w:cs="Times New Roman" w:hint="eastAsia"/>
          <w:szCs w:val="21"/>
        </w:rPr>
        <w:t>日金额</w:t>
      </w:r>
      <w:proofErr w:type="gramEnd"/>
      <w:r w:rsidRPr="003C2170">
        <w:rPr>
          <w:rFonts w:eastAsia="宋体" w:cs="Times New Roman" w:hint="eastAsia"/>
          <w:szCs w:val="21"/>
        </w:rPr>
        <w:t>之间的差额进行摊销形成的累计摊销额，再扣除累计计提的损失准备</w:t>
      </w:r>
      <w:r w:rsidR="005F14EE" w:rsidRPr="003C2170">
        <w:rPr>
          <w:rFonts w:eastAsia="宋体" w:cs="Times New Roman"/>
          <w:szCs w:val="21"/>
        </w:rPr>
        <w:t>(</w:t>
      </w:r>
      <w:r w:rsidRPr="003C2170">
        <w:rPr>
          <w:rFonts w:eastAsia="宋体" w:cs="Times New Roman" w:hint="eastAsia"/>
          <w:szCs w:val="21"/>
        </w:rPr>
        <w:t>仅适用于金融资产</w:t>
      </w:r>
      <w:r w:rsidR="005F14EE" w:rsidRPr="003C2170">
        <w:rPr>
          <w:rFonts w:eastAsia="宋体" w:cs="Times New Roman"/>
          <w:szCs w:val="21"/>
        </w:rPr>
        <w:t>)</w:t>
      </w:r>
      <w:r w:rsidRPr="003C2170">
        <w:rPr>
          <w:rFonts w:eastAsia="宋体" w:cs="Times New Roman" w:hint="eastAsia"/>
          <w:szCs w:val="21"/>
        </w:rPr>
        <w:t>。</w:t>
      </w:r>
    </w:p>
    <w:p w:rsidR="00BB0D93" w:rsidRPr="003C2170" w:rsidRDefault="00BB0D93" w:rsidP="0027505B">
      <w:pPr>
        <w:ind w:left="720"/>
        <w:jc w:val="both"/>
        <w:rPr>
          <w:rFonts w:eastAsia="宋体" w:cs="Times New Roman"/>
          <w:szCs w:val="21"/>
        </w:rPr>
      </w:pPr>
    </w:p>
    <w:p w:rsidR="0071385F" w:rsidRPr="003C2170" w:rsidRDefault="00FB6FD3" w:rsidP="00402E18">
      <w:pPr>
        <w:ind w:left="720"/>
        <w:jc w:val="both"/>
        <w:rPr>
          <w:rFonts w:eastAsia="宋体" w:cs="Times New Roman"/>
          <w:szCs w:val="21"/>
          <w:u w:val="single"/>
        </w:rPr>
      </w:pPr>
      <w:r w:rsidRPr="003C2170">
        <w:rPr>
          <w:rFonts w:eastAsia="宋体" w:cs="Times New Roman"/>
          <w:szCs w:val="21"/>
          <w:u w:val="single"/>
        </w:rPr>
        <w:t>10</w:t>
      </w:r>
      <w:r w:rsidR="0071385F" w:rsidRPr="003C2170">
        <w:rPr>
          <w:rFonts w:eastAsia="宋体" w:cs="Times New Roman"/>
          <w:szCs w:val="21"/>
          <w:u w:val="single"/>
        </w:rPr>
        <w:t>.1</w:t>
      </w:r>
      <w:r w:rsidR="0071385F" w:rsidRPr="003C2170">
        <w:rPr>
          <w:rFonts w:eastAsia="宋体" w:cs="Times New Roman"/>
          <w:szCs w:val="21"/>
          <w:u w:val="single"/>
        </w:rPr>
        <w:tab/>
      </w:r>
      <w:r w:rsidR="00CF4B8A" w:rsidRPr="003C2170">
        <w:rPr>
          <w:rFonts w:eastAsia="宋体" w:cs="Times New Roman" w:hint="eastAsia"/>
          <w:szCs w:val="21"/>
          <w:u w:val="single"/>
        </w:rPr>
        <w:t>金融资产的分类、确认与计量</w:t>
      </w:r>
    </w:p>
    <w:p w:rsidR="0071385F" w:rsidRPr="003C2170" w:rsidRDefault="0071385F" w:rsidP="00402E18">
      <w:pPr>
        <w:ind w:left="720"/>
        <w:jc w:val="both"/>
        <w:rPr>
          <w:rFonts w:eastAsia="宋体" w:cs="Times New Roman"/>
          <w:snapToGrid w:val="0"/>
          <w:szCs w:val="21"/>
        </w:rPr>
      </w:pPr>
    </w:p>
    <w:p w:rsidR="00181AE1" w:rsidRPr="003C2170" w:rsidRDefault="00CF4B8A" w:rsidP="00402E18">
      <w:pPr>
        <w:ind w:left="720"/>
        <w:jc w:val="both"/>
        <w:rPr>
          <w:rFonts w:eastAsia="宋体" w:cs="Times New Roman"/>
          <w:szCs w:val="21"/>
        </w:rPr>
      </w:pPr>
      <w:r w:rsidRPr="003C2170">
        <w:rPr>
          <w:rFonts w:eastAsia="宋体" w:cs="Times New Roman" w:hint="eastAsia"/>
          <w:szCs w:val="21"/>
        </w:rPr>
        <w:t>初始确认后，本集团对不同类别的金融资产，分别以摊余成本、以公允价值计量且其变动计入其他综合收益或以公允价值计量且其变动计入当期损益进行后续计量。</w:t>
      </w:r>
    </w:p>
    <w:p w:rsidR="00181AE1" w:rsidRPr="003C2170" w:rsidRDefault="00181AE1" w:rsidP="003C2170">
      <w:pPr>
        <w:ind w:left="720"/>
        <w:jc w:val="both"/>
        <w:rPr>
          <w:rFonts w:eastAsia="宋体" w:cs="Times New Roman"/>
          <w:szCs w:val="21"/>
        </w:rPr>
      </w:pPr>
    </w:p>
    <w:p w:rsidR="00D33E53" w:rsidRPr="003C2170" w:rsidRDefault="00D33E53" w:rsidP="003C2170">
      <w:pPr>
        <w:ind w:left="720"/>
        <w:jc w:val="both"/>
        <w:rPr>
          <w:rFonts w:eastAsia="宋体" w:cs="Times New Roman"/>
          <w:szCs w:val="21"/>
        </w:rPr>
      </w:pPr>
      <w:r w:rsidRPr="003C2170">
        <w:rPr>
          <w:rFonts w:eastAsia="宋体" w:cs="Times New Roman" w:hint="eastAsia"/>
          <w:szCs w:val="21"/>
        </w:rPr>
        <w:t>金融资产的合同条款规定在特定日期产生的现金流量仅为对本金和以</w:t>
      </w:r>
      <w:proofErr w:type="gramStart"/>
      <w:r w:rsidRPr="003C2170">
        <w:rPr>
          <w:rFonts w:eastAsia="宋体" w:cs="Times New Roman" w:hint="eastAsia"/>
          <w:szCs w:val="21"/>
        </w:rPr>
        <w:t>未偿付本</w:t>
      </w:r>
      <w:proofErr w:type="gramEnd"/>
      <w:r w:rsidRPr="003C2170">
        <w:rPr>
          <w:rFonts w:eastAsia="宋体" w:cs="Times New Roman" w:hint="eastAsia"/>
          <w:szCs w:val="21"/>
        </w:rPr>
        <w:t>金金额为基础的利息的支付，且本集团管理该金融资产的业务模式是以收取合同现金流量为目标，则本集团将该金融资产分类为以摊</w:t>
      </w:r>
      <w:proofErr w:type="gramStart"/>
      <w:r w:rsidRPr="003C2170">
        <w:rPr>
          <w:rFonts w:eastAsia="宋体" w:cs="Times New Roman" w:hint="eastAsia"/>
          <w:szCs w:val="21"/>
        </w:rPr>
        <w:t>余成本</w:t>
      </w:r>
      <w:proofErr w:type="gramEnd"/>
      <w:r w:rsidRPr="003C2170">
        <w:rPr>
          <w:rFonts w:eastAsia="宋体" w:cs="Times New Roman" w:hint="eastAsia"/>
          <w:szCs w:val="21"/>
        </w:rPr>
        <w:t>计量的金融资产。本集团</w:t>
      </w:r>
      <w:r w:rsidR="0020056E" w:rsidRPr="003C2170">
        <w:rPr>
          <w:rFonts w:eastAsia="宋体" w:cs="Times New Roman" w:hint="eastAsia"/>
          <w:szCs w:val="21"/>
        </w:rPr>
        <w:t>分类为以摊</w:t>
      </w:r>
      <w:proofErr w:type="gramStart"/>
      <w:r w:rsidR="0020056E" w:rsidRPr="003C2170">
        <w:rPr>
          <w:rFonts w:eastAsia="宋体" w:cs="Times New Roman" w:hint="eastAsia"/>
          <w:szCs w:val="21"/>
        </w:rPr>
        <w:t>余成本</w:t>
      </w:r>
      <w:proofErr w:type="gramEnd"/>
      <w:r w:rsidR="0020056E" w:rsidRPr="003C2170">
        <w:rPr>
          <w:rFonts w:eastAsia="宋体" w:cs="Times New Roman" w:hint="eastAsia"/>
          <w:szCs w:val="21"/>
        </w:rPr>
        <w:t>计量的金融资产包括货币资金、应收票据、应收账款、</w:t>
      </w:r>
      <w:r w:rsidRPr="003C2170">
        <w:rPr>
          <w:rFonts w:eastAsia="宋体" w:cs="Times New Roman" w:hint="eastAsia"/>
          <w:szCs w:val="21"/>
        </w:rPr>
        <w:t>其他应收款</w:t>
      </w:r>
      <w:r w:rsidR="0020056E" w:rsidRPr="003C2170">
        <w:rPr>
          <w:rFonts w:eastAsia="宋体" w:cs="Times New Roman" w:hint="eastAsia"/>
          <w:szCs w:val="21"/>
        </w:rPr>
        <w:t>和长期应收款</w:t>
      </w:r>
      <w:r w:rsidRPr="003C2170">
        <w:rPr>
          <w:rFonts w:eastAsia="宋体" w:cs="Times New Roman" w:hint="eastAsia"/>
          <w:szCs w:val="21"/>
        </w:rPr>
        <w:t>等。</w:t>
      </w:r>
    </w:p>
    <w:p w:rsidR="00D33E53" w:rsidRPr="003C2170" w:rsidRDefault="00D33E53" w:rsidP="003C2170">
      <w:pPr>
        <w:ind w:left="720"/>
        <w:jc w:val="both"/>
        <w:rPr>
          <w:rFonts w:eastAsia="宋体" w:cs="Times New Roman"/>
          <w:szCs w:val="21"/>
        </w:rPr>
      </w:pPr>
    </w:p>
    <w:p w:rsidR="00D33E53" w:rsidRPr="003C2170" w:rsidRDefault="00D33E53" w:rsidP="003C2170">
      <w:pPr>
        <w:ind w:left="720"/>
        <w:jc w:val="both"/>
        <w:rPr>
          <w:rFonts w:eastAsia="宋体" w:cs="Times New Roman"/>
          <w:szCs w:val="21"/>
        </w:rPr>
      </w:pPr>
      <w:r w:rsidRPr="003C2170">
        <w:rPr>
          <w:rFonts w:eastAsia="宋体" w:cs="Times New Roman" w:hint="eastAsia"/>
          <w:szCs w:val="21"/>
        </w:rPr>
        <w:t>金融资产的合同条款规定在特定日期产生的现金流量仅为对本金和以</w:t>
      </w:r>
      <w:proofErr w:type="gramStart"/>
      <w:r w:rsidRPr="003C2170">
        <w:rPr>
          <w:rFonts w:eastAsia="宋体" w:cs="Times New Roman" w:hint="eastAsia"/>
          <w:szCs w:val="21"/>
        </w:rPr>
        <w:t>未偿付本</w:t>
      </w:r>
      <w:proofErr w:type="gramEnd"/>
      <w:r w:rsidRPr="003C2170">
        <w:rPr>
          <w:rFonts w:eastAsia="宋体" w:cs="Times New Roman" w:hint="eastAsia"/>
          <w:szCs w:val="21"/>
        </w:rPr>
        <w:t>金金额为基础的利息的支付，且本集团管理该金融资产的业务模式既以收取合同现金流量为目标又以出售该金融资产为目标的，则该金融资产分类为以公允价值计量且其变动计入其他综合收益的金融资产。取得时分类为以公允价值计量且其变动计入其他综合收益的应收账款与应收票据，列示于应收款项融资，其余取得时期限在一年内</w:t>
      </w:r>
      <w:r w:rsidR="005F14EE" w:rsidRPr="003C2170">
        <w:rPr>
          <w:rFonts w:eastAsia="宋体" w:cs="Times New Roman"/>
          <w:szCs w:val="21"/>
        </w:rPr>
        <w:t>(</w:t>
      </w:r>
      <w:r w:rsidRPr="003C2170">
        <w:rPr>
          <w:rFonts w:eastAsia="宋体" w:cs="Times New Roman" w:hint="eastAsia"/>
          <w:szCs w:val="21"/>
        </w:rPr>
        <w:t>含一年</w:t>
      </w:r>
      <w:r w:rsidR="005F14EE" w:rsidRPr="003C2170">
        <w:rPr>
          <w:rFonts w:eastAsia="宋体" w:cs="Times New Roman"/>
          <w:szCs w:val="21"/>
        </w:rPr>
        <w:t>)</w:t>
      </w:r>
      <w:r w:rsidRPr="003C2170">
        <w:rPr>
          <w:rFonts w:eastAsia="宋体" w:cs="Times New Roman" w:hint="eastAsia"/>
          <w:szCs w:val="21"/>
        </w:rPr>
        <w:t>项目列示于其他流动资产。其他此类金融资产自取得起期限在一年以上的，列示为其他债权投资，自资产负债表日起一年内</w:t>
      </w:r>
      <w:r w:rsidR="005F14EE" w:rsidRPr="003C2170">
        <w:rPr>
          <w:rFonts w:eastAsia="宋体" w:cs="Times New Roman"/>
          <w:szCs w:val="21"/>
        </w:rPr>
        <w:t>(</w:t>
      </w:r>
      <w:r w:rsidRPr="003C2170">
        <w:rPr>
          <w:rFonts w:eastAsia="宋体" w:cs="Times New Roman" w:hint="eastAsia"/>
          <w:szCs w:val="21"/>
        </w:rPr>
        <w:t>含一年</w:t>
      </w:r>
      <w:r w:rsidR="005F14EE" w:rsidRPr="003C2170">
        <w:rPr>
          <w:rFonts w:eastAsia="宋体" w:cs="Times New Roman"/>
          <w:szCs w:val="21"/>
        </w:rPr>
        <w:t>)</w:t>
      </w:r>
      <w:r w:rsidRPr="003C2170">
        <w:rPr>
          <w:rFonts w:eastAsia="宋体" w:cs="Times New Roman" w:hint="eastAsia"/>
          <w:szCs w:val="21"/>
        </w:rPr>
        <w:t>到期的，列示于一年内到期的非流动资产。</w:t>
      </w:r>
    </w:p>
    <w:p w:rsidR="00CF4B8A" w:rsidRPr="003C2170" w:rsidRDefault="00CF4B8A" w:rsidP="003C2170">
      <w:pPr>
        <w:ind w:left="720"/>
        <w:jc w:val="both"/>
        <w:rPr>
          <w:rFonts w:eastAsia="宋体" w:cs="Times New Roman"/>
          <w:szCs w:val="21"/>
        </w:rPr>
      </w:pPr>
    </w:p>
    <w:p w:rsidR="0071385F" w:rsidRPr="003C2170" w:rsidRDefault="00CF4B8A" w:rsidP="003C2170">
      <w:pPr>
        <w:ind w:left="720"/>
        <w:jc w:val="both"/>
        <w:rPr>
          <w:rFonts w:eastAsia="宋体" w:cs="Times New Roman"/>
          <w:szCs w:val="21"/>
        </w:rPr>
      </w:pPr>
      <w:r w:rsidRPr="003C2170">
        <w:rPr>
          <w:rFonts w:eastAsia="宋体" w:cs="Times New Roman" w:hint="eastAsia"/>
          <w:szCs w:val="21"/>
        </w:rPr>
        <w:t>金融资产满足下列条件之一的，表明本集团持有该金融资产的目的是交易性的</w:t>
      </w:r>
      <w:r w:rsidR="005F14EE" w:rsidRPr="003C2170">
        <w:rPr>
          <w:rFonts w:eastAsia="宋体" w:cs="Times New Roman" w:hint="eastAsia"/>
          <w:szCs w:val="21"/>
        </w:rPr>
        <w:t>：</w:t>
      </w:r>
    </w:p>
    <w:p w:rsidR="0071385F" w:rsidRPr="003C2170" w:rsidRDefault="0071385F" w:rsidP="003C2170">
      <w:pPr>
        <w:autoSpaceDE w:val="0"/>
        <w:autoSpaceDN w:val="0"/>
        <w:ind w:left="720"/>
        <w:jc w:val="both"/>
        <w:textAlignment w:val="baseline"/>
        <w:rPr>
          <w:rFonts w:eastAsia="宋体" w:cs="Times New Roman"/>
          <w:szCs w:val="21"/>
        </w:rPr>
      </w:pPr>
    </w:p>
    <w:p w:rsidR="00CF4B8A" w:rsidRPr="003C2170" w:rsidRDefault="00CF4B8A" w:rsidP="003C2170">
      <w:pPr>
        <w:pStyle w:val="aff1"/>
        <w:numPr>
          <w:ilvl w:val="0"/>
          <w:numId w:val="36"/>
        </w:numPr>
        <w:ind w:left="1260" w:firstLineChars="0" w:hanging="540"/>
        <w:jc w:val="both"/>
        <w:rPr>
          <w:snapToGrid w:val="0"/>
          <w:szCs w:val="21"/>
        </w:rPr>
      </w:pPr>
      <w:r w:rsidRPr="003C2170">
        <w:rPr>
          <w:rFonts w:hint="eastAsia"/>
          <w:snapToGrid w:val="0"/>
          <w:szCs w:val="21"/>
        </w:rPr>
        <w:t>取得相关金融资产的目的，主要是为了近期出售。</w:t>
      </w:r>
    </w:p>
    <w:p w:rsidR="00CF4B8A" w:rsidRPr="003C2170" w:rsidRDefault="00CF4B8A" w:rsidP="003C2170">
      <w:pPr>
        <w:pStyle w:val="aff1"/>
        <w:numPr>
          <w:ilvl w:val="0"/>
          <w:numId w:val="36"/>
        </w:numPr>
        <w:ind w:left="1260" w:firstLineChars="0" w:hanging="540"/>
        <w:jc w:val="both"/>
        <w:rPr>
          <w:snapToGrid w:val="0"/>
          <w:szCs w:val="21"/>
        </w:rPr>
      </w:pPr>
      <w:r w:rsidRPr="003C2170">
        <w:rPr>
          <w:rFonts w:hint="eastAsia"/>
          <w:snapToGrid w:val="0"/>
          <w:szCs w:val="21"/>
        </w:rPr>
        <w:t>相关金融资产在初始确认时属于集中管理的可辨认金融工具组合的一部分，且有客观证据表明近期实际存在短期获利模式。</w:t>
      </w:r>
    </w:p>
    <w:p w:rsidR="00CF4B8A" w:rsidRPr="003C2170" w:rsidRDefault="00CF4B8A" w:rsidP="003C2170">
      <w:pPr>
        <w:pStyle w:val="aff1"/>
        <w:numPr>
          <w:ilvl w:val="0"/>
          <w:numId w:val="36"/>
        </w:numPr>
        <w:ind w:left="1260" w:firstLineChars="0" w:hanging="540"/>
        <w:jc w:val="both"/>
        <w:rPr>
          <w:snapToGrid w:val="0"/>
          <w:szCs w:val="21"/>
        </w:rPr>
      </w:pPr>
      <w:r w:rsidRPr="003C2170">
        <w:rPr>
          <w:rFonts w:hint="eastAsia"/>
          <w:snapToGrid w:val="0"/>
          <w:szCs w:val="21"/>
        </w:rPr>
        <w:t>相关金融资产属于衍生工具。但符合财务担保合同定义的衍生工具以及被指定为有效套</w:t>
      </w:r>
      <w:proofErr w:type="gramStart"/>
      <w:r w:rsidRPr="003C2170">
        <w:rPr>
          <w:rFonts w:hint="eastAsia"/>
          <w:snapToGrid w:val="0"/>
          <w:szCs w:val="21"/>
        </w:rPr>
        <w:t>期工具</w:t>
      </w:r>
      <w:proofErr w:type="gramEnd"/>
      <w:r w:rsidRPr="003C2170">
        <w:rPr>
          <w:rFonts w:hint="eastAsia"/>
          <w:snapToGrid w:val="0"/>
          <w:szCs w:val="21"/>
        </w:rPr>
        <w:t>的衍生工具除外。</w:t>
      </w:r>
    </w:p>
    <w:p w:rsidR="00CF4B8A" w:rsidRPr="003C2170" w:rsidRDefault="00CF4B8A" w:rsidP="003C2170">
      <w:pPr>
        <w:autoSpaceDE w:val="0"/>
        <w:autoSpaceDN w:val="0"/>
        <w:ind w:left="720"/>
        <w:jc w:val="both"/>
        <w:textAlignment w:val="baseline"/>
        <w:rPr>
          <w:rFonts w:eastAsia="宋体" w:cs="Times New Roman"/>
          <w:szCs w:val="21"/>
        </w:rPr>
      </w:pPr>
    </w:p>
    <w:p w:rsidR="00CF4B8A" w:rsidRPr="003C2170" w:rsidRDefault="00CF4B8A"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以公允价值计量且其变动计入当期损益的金融资产包括分类为以公允价值计量且其变动计入当期损益的金融资产和指定为以公允价值计量且其变动计入当期损益的金融资产</w:t>
      </w:r>
      <w:r w:rsidR="005F14EE" w:rsidRPr="003C2170">
        <w:rPr>
          <w:rFonts w:eastAsia="宋体" w:cs="Times New Roman" w:hint="eastAsia"/>
          <w:szCs w:val="21"/>
        </w:rPr>
        <w:t>：</w:t>
      </w:r>
    </w:p>
    <w:p w:rsidR="00CF4B8A" w:rsidRPr="003C2170" w:rsidRDefault="00CF4B8A" w:rsidP="003C2170">
      <w:pPr>
        <w:autoSpaceDE w:val="0"/>
        <w:autoSpaceDN w:val="0"/>
        <w:ind w:left="720"/>
        <w:jc w:val="both"/>
        <w:textAlignment w:val="baseline"/>
        <w:rPr>
          <w:rFonts w:eastAsia="宋体" w:cs="Times New Roman"/>
          <w:szCs w:val="21"/>
        </w:rPr>
      </w:pPr>
    </w:p>
    <w:p w:rsidR="00CF4B8A" w:rsidRPr="003C2170" w:rsidRDefault="00CF4B8A" w:rsidP="003C2170">
      <w:pPr>
        <w:pStyle w:val="aff1"/>
        <w:numPr>
          <w:ilvl w:val="0"/>
          <w:numId w:val="36"/>
        </w:numPr>
        <w:ind w:left="1260" w:firstLineChars="0" w:hanging="540"/>
        <w:jc w:val="both"/>
        <w:rPr>
          <w:snapToGrid w:val="0"/>
          <w:szCs w:val="21"/>
        </w:rPr>
      </w:pPr>
      <w:r w:rsidRPr="003C2170">
        <w:rPr>
          <w:rFonts w:hint="eastAsia"/>
          <w:snapToGrid w:val="0"/>
          <w:szCs w:val="21"/>
        </w:rPr>
        <w:t>不符合分类为以摊</w:t>
      </w:r>
      <w:proofErr w:type="gramStart"/>
      <w:r w:rsidRPr="003C2170">
        <w:rPr>
          <w:rFonts w:hint="eastAsia"/>
          <w:snapToGrid w:val="0"/>
          <w:szCs w:val="21"/>
        </w:rPr>
        <w:t>余成本</w:t>
      </w:r>
      <w:proofErr w:type="gramEnd"/>
      <w:r w:rsidRPr="003C2170">
        <w:rPr>
          <w:rFonts w:hint="eastAsia"/>
          <w:snapToGrid w:val="0"/>
          <w:szCs w:val="21"/>
        </w:rPr>
        <w:t>计量的金融资产、以公允价值计量且其变动计入其他综合收益的金融资产条件的金融资产均分类为以公允价值计量且其变动计入当期损益的金融资产。</w:t>
      </w:r>
    </w:p>
    <w:p w:rsidR="00CF4B8A" w:rsidRPr="003C2170" w:rsidRDefault="00CF4B8A" w:rsidP="003C2170">
      <w:pPr>
        <w:pStyle w:val="aff1"/>
        <w:numPr>
          <w:ilvl w:val="0"/>
          <w:numId w:val="36"/>
        </w:numPr>
        <w:ind w:left="1260" w:firstLineChars="0" w:hanging="540"/>
        <w:jc w:val="both"/>
        <w:rPr>
          <w:szCs w:val="21"/>
        </w:rPr>
      </w:pPr>
      <w:r w:rsidRPr="003C2170">
        <w:rPr>
          <w:rFonts w:hint="eastAsia"/>
          <w:snapToGrid w:val="0"/>
          <w:szCs w:val="21"/>
        </w:rPr>
        <w:t>在初始确认时，为消除或显著减少会计错配，本集团可以将金融资产不可撤销地指定为以公允价值计量且其变动</w:t>
      </w:r>
      <w:r w:rsidRPr="003C2170">
        <w:rPr>
          <w:rFonts w:hint="eastAsia"/>
          <w:szCs w:val="21"/>
        </w:rPr>
        <w:t>计入当期损益的金融资产。</w:t>
      </w:r>
    </w:p>
    <w:p w:rsidR="00CF4B8A" w:rsidRPr="003C2170" w:rsidRDefault="00CF4B8A" w:rsidP="003C2170">
      <w:pPr>
        <w:autoSpaceDE w:val="0"/>
        <w:autoSpaceDN w:val="0"/>
        <w:ind w:left="1400" w:hanging="671"/>
        <w:jc w:val="both"/>
        <w:textAlignment w:val="baseline"/>
        <w:rPr>
          <w:rFonts w:eastAsia="宋体" w:cs="Times New Roman"/>
          <w:szCs w:val="21"/>
        </w:rPr>
      </w:pPr>
    </w:p>
    <w:p w:rsidR="00D8008D" w:rsidRPr="003C2170" w:rsidRDefault="003F0409" w:rsidP="003C2170">
      <w:pPr>
        <w:autoSpaceDE w:val="0"/>
        <w:autoSpaceDN w:val="0"/>
        <w:ind w:left="720" w:firstLine="9"/>
        <w:jc w:val="both"/>
        <w:textAlignment w:val="baseline"/>
        <w:rPr>
          <w:rFonts w:eastAsia="宋体" w:cs="Times New Roman"/>
          <w:szCs w:val="21"/>
        </w:rPr>
      </w:pPr>
      <w:r w:rsidRPr="003C2170">
        <w:rPr>
          <w:rFonts w:eastAsia="宋体" w:cs="Times New Roman" w:hint="eastAsia"/>
          <w:szCs w:val="21"/>
        </w:rPr>
        <w:t>除衍生金融资产外的</w:t>
      </w:r>
      <w:r w:rsidR="00CF4B8A" w:rsidRPr="003C2170">
        <w:rPr>
          <w:rFonts w:eastAsia="宋体" w:cs="Times New Roman" w:hint="eastAsia"/>
          <w:szCs w:val="21"/>
        </w:rPr>
        <w:t>以公允价值计量且其变动计入当期损益的金融资产列示于交易性金融资产。自资产负债表日起超过一年到期</w:t>
      </w:r>
      <w:r w:rsidR="005F14EE" w:rsidRPr="003C2170">
        <w:rPr>
          <w:rFonts w:eastAsia="宋体" w:cs="Times New Roman"/>
          <w:szCs w:val="21"/>
        </w:rPr>
        <w:t>(</w:t>
      </w:r>
      <w:r w:rsidR="00CF4B8A" w:rsidRPr="003C2170">
        <w:rPr>
          <w:rFonts w:eastAsia="宋体" w:cs="Times New Roman" w:hint="eastAsia"/>
          <w:szCs w:val="21"/>
        </w:rPr>
        <w:t>或无固定期限</w:t>
      </w:r>
      <w:r w:rsidR="005F14EE" w:rsidRPr="003C2170">
        <w:rPr>
          <w:rFonts w:eastAsia="宋体" w:cs="Times New Roman"/>
          <w:szCs w:val="21"/>
        </w:rPr>
        <w:t>)</w:t>
      </w:r>
      <w:r w:rsidR="00CF4B8A" w:rsidRPr="003C2170">
        <w:rPr>
          <w:rFonts w:eastAsia="宋体" w:cs="Times New Roman" w:hint="eastAsia"/>
          <w:szCs w:val="21"/>
        </w:rPr>
        <w:t>且预期持有超过一年的，列示于其他非流动金融资产。</w:t>
      </w:r>
    </w:p>
    <w:p w:rsidR="00D8008D" w:rsidRPr="003C2170" w:rsidRDefault="00D8008D" w:rsidP="0027505B">
      <w:pPr>
        <w:jc w:val="both"/>
        <w:rPr>
          <w:rFonts w:eastAsia="宋体" w:cs="Times New Roman"/>
          <w:szCs w:val="21"/>
        </w:rPr>
      </w:pPr>
      <w:r w:rsidRPr="003C2170">
        <w:rPr>
          <w:rFonts w:eastAsia="宋体" w:cs="Times New Roman"/>
          <w:szCs w:val="21"/>
        </w:rPr>
        <w:br w:type="page"/>
      </w:r>
    </w:p>
    <w:p w:rsidR="00D8008D" w:rsidRPr="003C2170" w:rsidRDefault="005F14EE" w:rsidP="003C2170">
      <w:pPr>
        <w:jc w:val="both"/>
        <w:rPr>
          <w:rFonts w:eastAsia="宋体" w:cs="Times New Roman"/>
          <w:szCs w:val="21"/>
        </w:rPr>
      </w:pPr>
      <w:r w:rsidRPr="003C2170">
        <w:rPr>
          <w:rFonts w:eastAsia="宋体" w:cs="Times New Roman"/>
          <w:b/>
          <w:szCs w:val="21"/>
        </w:rPr>
        <w:t>(</w:t>
      </w:r>
      <w:r w:rsidR="00D8008D" w:rsidRPr="003C2170">
        <w:rPr>
          <w:rFonts w:eastAsia="宋体" w:cs="Times New Roman" w:hint="eastAsia"/>
          <w:b/>
          <w:szCs w:val="21"/>
        </w:rPr>
        <w:t>三</w:t>
      </w:r>
      <w:r w:rsidRPr="003C2170">
        <w:rPr>
          <w:rFonts w:eastAsia="宋体" w:cs="Times New Roman"/>
          <w:b/>
          <w:szCs w:val="21"/>
        </w:rPr>
        <w:t>)</w:t>
      </w:r>
      <w:r w:rsidR="00D8008D" w:rsidRPr="003C2170">
        <w:rPr>
          <w:rFonts w:eastAsia="宋体" w:cs="Times New Roman"/>
          <w:b/>
          <w:szCs w:val="21"/>
        </w:rPr>
        <w:tab/>
      </w:r>
      <w:r w:rsidR="00D8008D" w:rsidRPr="003C2170">
        <w:rPr>
          <w:rFonts w:eastAsia="宋体" w:cs="Times New Roman" w:hint="eastAsia"/>
          <w:b/>
          <w:szCs w:val="21"/>
        </w:rPr>
        <w:t>重要会计政策和会计估计</w:t>
      </w:r>
      <w:r w:rsidR="00D8008D" w:rsidRPr="003C2170">
        <w:rPr>
          <w:rFonts w:eastAsia="宋体" w:cs="Times New Roman"/>
          <w:szCs w:val="21"/>
        </w:rPr>
        <w:t xml:space="preserve"> - </w:t>
      </w:r>
      <w:r w:rsidR="00D8008D" w:rsidRPr="003C2170">
        <w:rPr>
          <w:rFonts w:eastAsia="宋体" w:cs="Times New Roman" w:hint="eastAsia"/>
          <w:szCs w:val="21"/>
        </w:rPr>
        <w:t>续</w:t>
      </w:r>
    </w:p>
    <w:p w:rsidR="00D8008D" w:rsidRPr="003C2170" w:rsidRDefault="00D8008D" w:rsidP="003C2170">
      <w:pPr>
        <w:jc w:val="both"/>
        <w:rPr>
          <w:rFonts w:eastAsia="宋体" w:cs="Times New Roman"/>
          <w:szCs w:val="21"/>
        </w:rPr>
      </w:pPr>
    </w:p>
    <w:p w:rsidR="00D8008D" w:rsidRPr="003C2170" w:rsidRDefault="00D8008D" w:rsidP="003C2170">
      <w:pPr>
        <w:ind w:left="720"/>
        <w:jc w:val="both"/>
        <w:rPr>
          <w:rFonts w:eastAsia="宋体" w:cs="Times New Roman"/>
          <w:b/>
          <w:szCs w:val="21"/>
        </w:rPr>
      </w:pPr>
      <w:r w:rsidRPr="003C2170">
        <w:rPr>
          <w:rFonts w:eastAsia="宋体" w:cs="Times New Roman"/>
          <w:b/>
          <w:szCs w:val="21"/>
        </w:rPr>
        <w:t>10.</w:t>
      </w:r>
      <w:r w:rsidRPr="003C2170">
        <w:rPr>
          <w:rFonts w:eastAsia="宋体" w:cs="Times New Roman"/>
          <w:b/>
          <w:szCs w:val="21"/>
        </w:rPr>
        <w:tab/>
      </w:r>
      <w:r w:rsidRPr="003C2170">
        <w:rPr>
          <w:rFonts w:eastAsia="宋体" w:cs="Times New Roman" w:hint="eastAsia"/>
          <w:b/>
          <w:bCs/>
          <w:snapToGrid w:val="0"/>
          <w:szCs w:val="21"/>
        </w:rPr>
        <w:t>金融工具</w:t>
      </w:r>
      <w:r w:rsidRPr="003C2170">
        <w:rPr>
          <w:rFonts w:eastAsia="宋体" w:cs="Times New Roman"/>
          <w:szCs w:val="21"/>
        </w:rPr>
        <w:t xml:space="preserve"> - </w:t>
      </w:r>
      <w:r w:rsidRPr="003C2170">
        <w:rPr>
          <w:rFonts w:eastAsia="宋体" w:cs="Times New Roman" w:hint="eastAsia"/>
          <w:szCs w:val="21"/>
        </w:rPr>
        <w:t>续</w:t>
      </w:r>
    </w:p>
    <w:p w:rsidR="0094243D" w:rsidRPr="003C2170" w:rsidRDefault="0094243D" w:rsidP="003C2170">
      <w:pPr>
        <w:autoSpaceDE w:val="0"/>
        <w:autoSpaceDN w:val="0"/>
        <w:ind w:left="720" w:firstLine="9"/>
        <w:jc w:val="both"/>
        <w:textAlignment w:val="baseline"/>
        <w:rPr>
          <w:rFonts w:eastAsia="宋体" w:cs="Times New Roman"/>
          <w:szCs w:val="21"/>
        </w:rPr>
      </w:pPr>
    </w:p>
    <w:p w:rsidR="00D8008D" w:rsidRPr="003C2170" w:rsidRDefault="00D8008D" w:rsidP="0027505B">
      <w:pPr>
        <w:ind w:left="720"/>
        <w:jc w:val="both"/>
        <w:rPr>
          <w:rFonts w:eastAsia="宋体" w:cs="Times New Roman"/>
          <w:szCs w:val="21"/>
          <w:u w:val="single"/>
        </w:rPr>
      </w:pPr>
      <w:r w:rsidRPr="003C2170">
        <w:rPr>
          <w:rFonts w:eastAsia="宋体" w:cs="Times New Roman"/>
          <w:szCs w:val="21"/>
          <w:u w:val="single"/>
        </w:rPr>
        <w:t>10.1</w:t>
      </w:r>
      <w:r w:rsidRPr="003C2170">
        <w:rPr>
          <w:rFonts w:eastAsia="宋体" w:cs="Times New Roman"/>
          <w:szCs w:val="21"/>
          <w:u w:val="single"/>
        </w:rPr>
        <w:tab/>
      </w:r>
      <w:r w:rsidRPr="003C2170">
        <w:rPr>
          <w:rFonts w:eastAsia="宋体" w:cs="Times New Roman" w:hint="eastAsia"/>
          <w:szCs w:val="21"/>
          <w:u w:val="single"/>
        </w:rPr>
        <w:t>金融资产的分类、确认与计量</w:t>
      </w:r>
      <w:r w:rsidRPr="003C2170">
        <w:rPr>
          <w:rFonts w:eastAsia="宋体" w:cs="Times New Roman"/>
          <w:szCs w:val="21"/>
        </w:rPr>
        <w:t xml:space="preserve"> - </w:t>
      </w:r>
      <w:r w:rsidRPr="003C2170">
        <w:rPr>
          <w:rFonts w:eastAsia="宋体" w:cs="Times New Roman" w:hint="eastAsia"/>
          <w:szCs w:val="21"/>
        </w:rPr>
        <w:t>续</w:t>
      </w:r>
    </w:p>
    <w:p w:rsidR="00CF4B8A" w:rsidRPr="003C2170" w:rsidRDefault="00CF4B8A" w:rsidP="003C2170">
      <w:pPr>
        <w:autoSpaceDE w:val="0"/>
        <w:autoSpaceDN w:val="0"/>
        <w:ind w:left="720"/>
        <w:jc w:val="both"/>
        <w:textAlignment w:val="baseline"/>
        <w:rPr>
          <w:rFonts w:eastAsia="宋体" w:cs="Times New Roman"/>
          <w:szCs w:val="21"/>
        </w:rPr>
      </w:pPr>
    </w:p>
    <w:p w:rsidR="00C53B16" w:rsidRPr="003C2170" w:rsidRDefault="00FB6FD3" w:rsidP="003C2170">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C53B16" w:rsidRPr="003C2170">
        <w:rPr>
          <w:rFonts w:eastAsia="宋体" w:cs="Times New Roman"/>
          <w:szCs w:val="21"/>
          <w:u w:val="single"/>
        </w:rPr>
        <w:t>.1.1</w:t>
      </w:r>
      <w:r w:rsidR="00C53B16" w:rsidRPr="003C2170">
        <w:rPr>
          <w:rFonts w:eastAsia="宋体" w:cs="Times New Roman"/>
          <w:szCs w:val="21"/>
          <w:u w:val="single"/>
        </w:rPr>
        <w:tab/>
      </w:r>
      <w:r w:rsidR="00C53B16" w:rsidRPr="003C2170">
        <w:rPr>
          <w:rFonts w:eastAsia="宋体" w:cs="Times New Roman" w:hint="eastAsia"/>
          <w:szCs w:val="21"/>
          <w:u w:val="single"/>
        </w:rPr>
        <w:t>以摊</w:t>
      </w:r>
      <w:proofErr w:type="gramStart"/>
      <w:r w:rsidR="00C53B16" w:rsidRPr="003C2170">
        <w:rPr>
          <w:rFonts w:eastAsia="宋体" w:cs="Times New Roman" w:hint="eastAsia"/>
          <w:szCs w:val="21"/>
          <w:u w:val="single"/>
        </w:rPr>
        <w:t>余成本</w:t>
      </w:r>
      <w:proofErr w:type="gramEnd"/>
      <w:r w:rsidR="00C53B16" w:rsidRPr="003C2170">
        <w:rPr>
          <w:rFonts w:eastAsia="宋体" w:cs="Times New Roman" w:hint="eastAsia"/>
          <w:szCs w:val="21"/>
          <w:u w:val="single"/>
        </w:rPr>
        <w:t>计量的金融资产</w:t>
      </w:r>
    </w:p>
    <w:p w:rsidR="00CF4B8A" w:rsidRPr="003C2170" w:rsidRDefault="00CF4B8A" w:rsidP="003C2170">
      <w:pPr>
        <w:autoSpaceDE w:val="0"/>
        <w:autoSpaceDN w:val="0"/>
        <w:ind w:left="720"/>
        <w:jc w:val="both"/>
        <w:textAlignment w:val="baseline"/>
        <w:rPr>
          <w:rFonts w:eastAsia="宋体" w:cs="Times New Roman"/>
          <w:szCs w:val="21"/>
        </w:rPr>
      </w:pPr>
    </w:p>
    <w:p w:rsidR="00C53B16" w:rsidRPr="003C2170" w:rsidRDefault="00C53B16"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以摊</w:t>
      </w:r>
      <w:proofErr w:type="gramStart"/>
      <w:r w:rsidRPr="003C2170">
        <w:rPr>
          <w:rFonts w:eastAsia="宋体" w:cs="Times New Roman" w:hint="eastAsia"/>
          <w:szCs w:val="21"/>
        </w:rPr>
        <w:t>余成本</w:t>
      </w:r>
      <w:proofErr w:type="gramEnd"/>
      <w:r w:rsidRPr="003C2170">
        <w:rPr>
          <w:rFonts w:eastAsia="宋体" w:cs="Times New Roman" w:hint="eastAsia"/>
          <w:szCs w:val="21"/>
        </w:rPr>
        <w:t>计量的金融资产采用实际利率法，</w:t>
      </w:r>
      <w:proofErr w:type="gramStart"/>
      <w:r w:rsidRPr="003C2170">
        <w:rPr>
          <w:rFonts w:eastAsia="宋体" w:cs="Times New Roman" w:hint="eastAsia"/>
          <w:szCs w:val="21"/>
        </w:rPr>
        <w:t>按摊余成本</w:t>
      </w:r>
      <w:proofErr w:type="gramEnd"/>
      <w:r w:rsidRPr="003C2170">
        <w:rPr>
          <w:rFonts w:eastAsia="宋体" w:cs="Times New Roman" w:hint="eastAsia"/>
          <w:szCs w:val="21"/>
        </w:rPr>
        <w:t>进行后续计量，发生减值时或终止确认产生的利得或损失，计入当期损益。</w:t>
      </w:r>
    </w:p>
    <w:p w:rsidR="005D7660" w:rsidRPr="003C2170" w:rsidRDefault="005D7660" w:rsidP="0027505B">
      <w:pPr>
        <w:autoSpaceDE w:val="0"/>
        <w:autoSpaceDN w:val="0"/>
        <w:ind w:left="720"/>
        <w:jc w:val="both"/>
        <w:textAlignment w:val="baseline"/>
        <w:rPr>
          <w:rFonts w:eastAsia="宋体" w:cs="Times New Roman"/>
          <w:szCs w:val="21"/>
        </w:rPr>
      </w:pPr>
    </w:p>
    <w:p w:rsidR="00D33E53" w:rsidRPr="003C2170" w:rsidRDefault="00D33E53" w:rsidP="0027505B">
      <w:pPr>
        <w:autoSpaceDE w:val="0"/>
        <w:autoSpaceDN w:val="0"/>
        <w:ind w:left="720"/>
        <w:jc w:val="both"/>
        <w:textAlignment w:val="baseline"/>
        <w:rPr>
          <w:rFonts w:eastAsia="宋体" w:cs="Times New Roman"/>
          <w:szCs w:val="21"/>
        </w:rPr>
      </w:pPr>
      <w:r w:rsidRPr="003C2170">
        <w:rPr>
          <w:rFonts w:eastAsia="宋体" w:cs="Times New Roman" w:hint="eastAsia"/>
          <w:szCs w:val="21"/>
        </w:rPr>
        <w:t>本集团对以摊</w:t>
      </w:r>
      <w:proofErr w:type="gramStart"/>
      <w:r w:rsidRPr="003C2170">
        <w:rPr>
          <w:rFonts w:eastAsia="宋体" w:cs="Times New Roman" w:hint="eastAsia"/>
          <w:szCs w:val="21"/>
        </w:rPr>
        <w:t>余成本</w:t>
      </w:r>
      <w:proofErr w:type="gramEnd"/>
      <w:r w:rsidRPr="003C2170">
        <w:rPr>
          <w:rFonts w:eastAsia="宋体" w:cs="Times New Roman" w:hint="eastAsia"/>
          <w:szCs w:val="21"/>
        </w:rPr>
        <w:t>计量的金融资产按照实际利率法确认利息收入。除下列情况外，本集团根据金融资产账面余额乘以实际利率计算确定利息收入</w:t>
      </w:r>
      <w:r w:rsidR="005F14EE" w:rsidRPr="003C2170">
        <w:rPr>
          <w:rFonts w:eastAsia="宋体" w:cs="Times New Roman" w:hint="eastAsia"/>
          <w:szCs w:val="21"/>
        </w:rPr>
        <w:t>：</w:t>
      </w:r>
    </w:p>
    <w:p w:rsidR="00D33E53" w:rsidRPr="003C2170" w:rsidRDefault="00D33E53" w:rsidP="0027505B">
      <w:pPr>
        <w:autoSpaceDE w:val="0"/>
        <w:autoSpaceDN w:val="0"/>
        <w:ind w:left="720"/>
        <w:jc w:val="both"/>
        <w:textAlignment w:val="baseline"/>
        <w:rPr>
          <w:rFonts w:eastAsia="宋体" w:cs="Times New Roman"/>
          <w:szCs w:val="21"/>
        </w:rPr>
      </w:pPr>
    </w:p>
    <w:p w:rsidR="00D33E53" w:rsidRPr="003C2170" w:rsidRDefault="00D33E53" w:rsidP="0027505B">
      <w:pPr>
        <w:pStyle w:val="aff1"/>
        <w:numPr>
          <w:ilvl w:val="0"/>
          <w:numId w:val="36"/>
        </w:numPr>
        <w:ind w:left="1260" w:firstLineChars="0" w:hanging="540"/>
        <w:jc w:val="both"/>
        <w:rPr>
          <w:snapToGrid w:val="0"/>
          <w:szCs w:val="21"/>
        </w:rPr>
      </w:pPr>
      <w:r w:rsidRPr="003C2170">
        <w:rPr>
          <w:rFonts w:hint="eastAsia"/>
          <w:snapToGrid w:val="0"/>
          <w:szCs w:val="21"/>
        </w:rPr>
        <w:t>对于</w:t>
      </w:r>
      <w:proofErr w:type="gramStart"/>
      <w:r w:rsidRPr="003C2170">
        <w:rPr>
          <w:rFonts w:hint="eastAsia"/>
          <w:snapToGrid w:val="0"/>
          <w:szCs w:val="21"/>
        </w:rPr>
        <w:t>购入或源生</w:t>
      </w:r>
      <w:proofErr w:type="gramEnd"/>
      <w:r w:rsidRPr="003C2170">
        <w:rPr>
          <w:rFonts w:hint="eastAsia"/>
          <w:snapToGrid w:val="0"/>
          <w:szCs w:val="21"/>
        </w:rPr>
        <w:t>的已发生信用减值的金融资产，本集团自初始确认起，按照该金融资产的摊</w:t>
      </w:r>
      <w:proofErr w:type="gramStart"/>
      <w:r w:rsidRPr="003C2170">
        <w:rPr>
          <w:rFonts w:hint="eastAsia"/>
          <w:snapToGrid w:val="0"/>
          <w:szCs w:val="21"/>
        </w:rPr>
        <w:t>余成本</w:t>
      </w:r>
      <w:proofErr w:type="gramEnd"/>
      <w:r w:rsidRPr="003C2170">
        <w:rPr>
          <w:rFonts w:hint="eastAsia"/>
          <w:snapToGrid w:val="0"/>
          <w:szCs w:val="21"/>
        </w:rPr>
        <w:t>和经信用调整的实际利率计算确定其利息收入。</w:t>
      </w:r>
    </w:p>
    <w:p w:rsidR="00181AE1" w:rsidRPr="003C2170" w:rsidRDefault="00D33E53" w:rsidP="0027505B">
      <w:pPr>
        <w:pStyle w:val="aff1"/>
        <w:numPr>
          <w:ilvl w:val="0"/>
          <w:numId w:val="36"/>
        </w:numPr>
        <w:ind w:left="1260" w:firstLineChars="0" w:hanging="540"/>
        <w:jc w:val="both"/>
        <w:rPr>
          <w:szCs w:val="21"/>
        </w:rPr>
      </w:pPr>
      <w:r w:rsidRPr="003C2170">
        <w:rPr>
          <w:rFonts w:hint="eastAsia"/>
          <w:snapToGrid w:val="0"/>
          <w:szCs w:val="21"/>
        </w:rPr>
        <w:t>对于</w:t>
      </w:r>
      <w:proofErr w:type="gramStart"/>
      <w:r w:rsidRPr="003C2170">
        <w:rPr>
          <w:rFonts w:hint="eastAsia"/>
          <w:snapToGrid w:val="0"/>
          <w:szCs w:val="21"/>
        </w:rPr>
        <w:t>购入或源生</w:t>
      </w:r>
      <w:proofErr w:type="gramEnd"/>
      <w:r w:rsidRPr="003C2170">
        <w:rPr>
          <w:rFonts w:hint="eastAsia"/>
          <w:snapToGrid w:val="0"/>
          <w:szCs w:val="21"/>
        </w:rPr>
        <w:t>的未发生信用减值、但在后续期间成为已发生信用减值的金融资产，本集团在后续期间，按照该金融资产的摊</w:t>
      </w:r>
      <w:proofErr w:type="gramStart"/>
      <w:r w:rsidRPr="003C2170">
        <w:rPr>
          <w:rFonts w:hint="eastAsia"/>
          <w:snapToGrid w:val="0"/>
          <w:szCs w:val="21"/>
        </w:rPr>
        <w:t>余成本</w:t>
      </w:r>
      <w:proofErr w:type="gramEnd"/>
      <w:r w:rsidRPr="003C2170">
        <w:rPr>
          <w:rFonts w:hint="eastAsia"/>
          <w:snapToGrid w:val="0"/>
          <w:szCs w:val="21"/>
        </w:rPr>
        <w:t>和实际利率计算确定其利息收入。若该金融工具在后续期间因其信用</w:t>
      </w:r>
      <w:r w:rsidRPr="003C2170">
        <w:rPr>
          <w:rFonts w:hint="eastAsia"/>
          <w:szCs w:val="21"/>
        </w:rPr>
        <w:t>风险有所改善而不再存在信用减值，并且这一改善可与应用上述规定之后发生的某一事件相联系，本</w:t>
      </w:r>
      <w:proofErr w:type="gramStart"/>
      <w:r w:rsidRPr="003C2170">
        <w:rPr>
          <w:rFonts w:hint="eastAsia"/>
          <w:szCs w:val="21"/>
        </w:rPr>
        <w:t>集团转按实际</w:t>
      </w:r>
      <w:proofErr w:type="gramEnd"/>
      <w:r w:rsidRPr="003C2170">
        <w:rPr>
          <w:rFonts w:hint="eastAsia"/>
          <w:szCs w:val="21"/>
        </w:rPr>
        <w:t>利率乘以该金融资产账面余额来计算确定利息收入。</w:t>
      </w:r>
    </w:p>
    <w:p w:rsidR="00C53B16" w:rsidRPr="003C2170" w:rsidRDefault="00C53B16" w:rsidP="0027505B">
      <w:pPr>
        <w:ind w:left="720"/>
        <w:jc w:val="both"/>
        <w:rPr>
          <w:rFonts w:eastAsia="宋体" w:cs="Times New Roman"/>
          <w:szCs w:val="21"/>
        </w:rPr>
      </w:pPr>
    </w:p>
    <w:p w:rsidR="00C53B16" w:rsidRPr="003C2170" w:rsidRDefault="00FB6FD3" w:rsidP="0027505B">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C53B16" w:rsidRPr="003C2170">
        <w:rPr>
          <w:rFonts w:eastAsia="宋体" w:cs="Times New Roman"/>
          <w:szCs w:val="21"/>
          <w:u w:val="single"/>
        </w:rPr>
        <w:t>.1.2</w:t>
      </w:r>
      <w:r w:rsidR="00C53B16" w:rsidRPr="003C2170">
        <w:rPr>
          <w:rFonts w:eastAsia="宋体" w:cs="Times New Roman"/>
          <w:szCs w:val="21"/>
          <w:u w:val="single"/>
        </w:rPr>
        <w:tab/>
      </w:r>
      <w:r w:rsidR="00C53B16" w:rsidRPr="003C2170">
        <w:rPr>
          <w:rFonts w:eastAsia="宋体" w:cs="Times New Roman" w:hint="eastAsia"/>
          <w:szCs w:val="21"/>
          <w:u w:val="single"/>
        </w:rPr>
        <w:t>以公允价值计量且其变动计入其他综合收益的金融资产</w:t>
      </w:r>
    </w:p>
    <w:p w:rsidR="00C53B16" w:rsidRPr="003C2170" w:rsidRDefault="00C53B16" w:rsidP="0027505B">
      <w:pPr>
        <w:autoSpaceDE w:val="0"/>
        <w:autoSpaceDN w:val="0"/>
        <w:ind w:left="720"/>
        <w:jc w:val="both"/>
        <w:textAlignment w:val="baseline"/>
        <w:rPr>
          <w:rFonts w:eastAsia="宋体" w:cs="Times New Roman"/>
          <w:szCs w:val="21"/>
        </w:rPr>
      </w:pPr>
    </w:p>
    <w:p w:rsidR="00C53B16" w:rsidRPr="003C2170" w:rsidRDefault="00C53B16" w:rsidP="0027505B">
      <w:pPr>
        <w:autoSpaceDE w:val="0"/>
        <w:autoSpaceDN w:val="0"/>
        <w:ind w:left="720"/>
        <w:jc w:val="both"/>
        <w:textAlignment w:val="baseline"/>
        <w:rPr>
          <w:rFonts w:eastAsia="宋体" w:cs="Times New Roman"/>
          <w:szCs w:val="21"/>
        </w:rPr>
      </w:pPr>
      <w:r w:rsidRPr="003C2170">
        <w:rPr>
          <w:rFonts w:eastAsia="宋体" w:cs="Times New Roman" w:hint="eastAsia"/>
          <w:szCs w:val="21"/>
        </w:rPr>
        <w:t>分类为以公允价值计量且其变动计入其他综合收益的金融资产相关的减值损失或利得、采用实际利率法计算的利息收入计入当期损益，除此以外该金融资产的公允价值变动均计入其他综合收益。该金融资产计入各期损益的金额与视同其一直</w:t>
      </w:r>
      <w:proofErr w:type="gramStart"/>
      <w:r w:rsidRPr="003C2170">
        <w:rPr>
          <w:rFonts w:eastAsia="宋体" w:cs="Times New Roman" w:hint="eastAsia"/>
          <w:szCs w:val="21"/>
        </w:rPr>
        <w:t>按摊余成本</w:t>
      </w:r>
      <w:proofErr w:type="gramEnd"/>
      <w:r w:rsidRPr="003C2170">
        <w:rPr>
          <w:rFonts w:eastAsia="宋体" w:cs="Times New Roman" w:hint="eastAsia"/>
          <w:szCs w:val="21"/>
        </w:rPr>
        <w:t>计量而计入各期损益的金额相等。该金融资产终止确认时，之前计入其他综合收益的累计利得或损失从其他综合收益中转出，计入当期损益。</w:t>
      </w:r>
    </w:p>
    <w:p w:rsidR="00C53B16" w:rsidRPr="003C2170" w:rsidRDefault="00C53B16" w:rsidP="0027505B">
      <w:pPr>
        <w:autoSpaceDE w:val="0"/>
        <w:autoSpaceDN w:val="0"/>
        <w:ind w:left="720"/>
        <w:jc w:val="both"/>
        <w:textAlignment w:val="baseline"/>
        <w:rPr>
          <w:rFonts w:eastAsia="宋体" w:cs="Times New Roman"/>
          <w:szCs w:val="21"/>
        </w:rPr>
      </w:pPr>
    </w:p>
    <w:p w:rsidR="00C53B16" w:rsidRPr="003C2170" w:rsidRDefault="00FB6FD3" w:rsidP="0027505B">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C53B16" w:rsidRPr="003C2170">
        <w:rPr>
          <w:rFonts w:eastAsia="宋体" w:cs="Times New Roman"/>
          <w:szCs w:val="21"/>
          <w:u w:val="single"/>
        </w:rPr>
        <w:t xml:space="preserve">.1.3 </w:t>
      </w:r>
      <w:r w:rsidR="00C53B16" w:rsidRPr="003C2170">
        <w:rPr>
          <w:rFonts w:eastAsia="宋体" w:cs="Times New Roman"/>
          <w:szCs w:val="21"/>
          <w:u w:val="single"/>
        </w:rPr>
        <w:tab/>
      </w:r>
      <w:r w:rsidR="00C53B16" w:rsidRPr="003C2170">
        <w:rPr>
          <w:rFonts w:eastAsia="宋体" w:cs="Times New Roman" w:hint="eastAsia"/>
          <w:szCs w:val="21"/>
          <w:u w:val="single"/>
        </w:rPr>
        <w:t>以公允价值计量且其变动计入当期损益的金融资产</w:t>
      </w:r>
    </w:p>
    <w:p w:rsidR="00C53B16" w:rsidRPr="003C2170" w:rsidRDefault="00C53B16" w:rsidP="0027505B">
      <w:pPr>
        <w:autoSpaceDE w:val="0"/>
        <w:autoSpaceDN w:val="0"/>
        <w:ind w:left="720"/>
        <w:jc w:val="both"/>
        <w:textAlignment w:val="baseline"/>
        <w:rPr>
          <w:rFonts w:eastAsia="宋体" w:cs="Times New Roman"/>
          <w:szCs w:val="21"/>
        </w:rPr>
      </w:pPr>
    </w:p>
    <w:p w:rsidR="00CF4B8A" w:rsidRPr="003C2170" w:rsidRDefault="00C53B16" w:rsidP="0027505B">
      <w:pPr>
        <w:autoSpaceDE w:val="0"/>
        <w:autoSpaceDN w:val="0"/>
        <w:ind w:left="720"/>
        <w:jc w:val="both"/>
        <w:textAlignment w:val="baseline"/>
        <w:rPr>
          <w:rFonts w:eastAsia="宋体" w:cs="Times New Roman"/>
          <w:szCs w:val="21"/>
        </w:rPr>
      </w:pPr>
      <w:r w:rsidRPr="003C2170">
        <w:rPr>
          <w:rFonts w:eastAsia="宋体" w:cs="Times New Roman" w:hint="eastAsia"/>
          <w:szCs w:val="21"/>
        </w:rPr>
        <w:t>以公允价值计量且其变动计入当期损益的金融资产以公允价值进行后续计量，公允价值变动形成的利得或损失以及与该金融资产相关的股利和利息收入计入当期损益。</w:t>
      </w:r>
    </w:p>
    <w:p w:rsidR="00CF4B8A" w:rsidRPr="003C2170" w:rsidRDefault="00CF4B8A" w:rsidP="0027505B">
      <w:pPr>
        <w:autoSpaceDE w:val="0"/>
        <w:autoSpaceDN w:val="0"/>
        <w:ind w:left="720"/>
        <w:jc w:val="both"/>
        <w:textAlignment w:val="baseline"/>
        <w:rPr>
          <w:rFonts w:eastAsia="宋体" w:cs="Times New Roman"/>
          <w:szCs w:val="21"/>
        </w:rPr>
      </w:pPr>
    </w:p>
    <w:p w:rsidR="0071385F" w:rsidRPr="003C2170" w:rsidRDefault="00FB6FD3" w:rsidP="0027505B">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71385F" w:rsidRPr="003C2170">
        <w:rPr>
          <w:rFonts w:eastAsia="宋体" w:cs="Times New Roman"/>
          <w:szCs w:val="21"/>
          <w:u w:val="single"/>
        </w:rPr>
        <w:t>.2</w:t>
      </w:r>
      <w:r w:rsidR="0071385F" w:rsidRPr="003C2170">
        <w:rPr>
          <w:rFonts w:eastAsia="宋体" w:cs="Times New Roman"/>
          <w:szCs w:val="21"/>
          <w:u w:val="single"/>
        </w:rPr>
        <w:tab/>
      </w:r>
      <w:r w:rsidR="00C53B16" w:rsidRPr="003C2170">
        <w:rPr>
          <w:rFonts w:eastAsia="宋体" w:cs="Times New Roman" w:hint="eastAsia"/>
          <w:szCs w:val="21"/>
          <w:u w:val="single"/>
        </w:rPr>
        <w:t>金融工具减值</w:t>
      </w:r>
    </w:p>
    <w:p w:rsidR="0071385F" w:rsidRPr="003C2170" w:rsidRDefault="0071385F" w:rsidP="0027505B">
      <w:pPr>
        <w:autoSpaceDE w:val="0"/>
        <w:autoSpaceDN w:val="0"/>
        <w:ind w:left="720"/>
        <w:jc w:val="both"/>
        <w:textAlignment w:val="baseline"/>
        <w:rPr>
          <w:rFonts w:eastAsia="宋体" w:cs="Times New Roman"/>
          <w:szCs w:val="21"/>
        </w:rPr>
      </w:pPr>
    </w:p>
    <w:p w:rsidR="00C3742E" w:rsidRPr="003C2170" w:rsidRDefault="00C3742E" w:rsidP="0027505B">
      <w:pPr>
        <w:autoSpaceDE w:val="0"/>
        <w:autoSpaceDN w:val="0"/>
        <w:ind w:left="720"/>
        <w:jc w:val="both"/>
        <w:textAlignment w:val="baseline"/>
        <w:rPr>
          <w:rFonts w:eastAsia="宋体" w:cs="Times New Roman"/>
          <w:szCs w:val="21"/>
        </w:rPr>
      </w:pPr>
      <w:r w:rsidRPr="003C2170">
        <w:rPr>
          <w:rFonts w:eastAsia="宋体" w:cs="Times New Roman" w:hint="eastAsia"/>
          <w:szCs w:val="21"/>
        </w:rPr>
        <w:t>本集团对以摊</w:t>
      </w:r>
      <w:proofErr w:type="gramStart"/>
      <w:r w:rsidRPr="003C2170">
        <w:rPr>
          <w:rFonts w:eastAsia="宋体" w:cs="Times New Roman" w:hint="eastAsia"/>
          <w:szCs w:val="21"/>
        </w:rPr>
        <w:t>余成本</w:t>
      </w:r>
      <w:proofErr w:type="gramEnd"/>
      <w:r w:rsidRPr="003C2170">
        <w:rPr>
          <w:rFonts w:eastAsia="宋体" w:cs="Times New Roman" w:hint="eastAsia"/>
          <w:szCs w:val="21"/>
        </w:rPr>
        <w:t>计量的金融资产、</w:t>
      </w:r>
      <w:r w:rsidR="005239E8" w:rsidRPr="003C2170">
        <w:rPr>
          <w:rFonts w:eastAsia="宋体" w:cs="Times New Roman" w:hint="eastAsia"/>
          <w:szCs w:val="21"/>
        </w:rPr>
        <w:t>分类为以公允价值计量且其变动计入其他综合收益的金融资产</w:t>
      </w:r>
      <w:r w:rsidR="00BD4A79" w:rsidRPr="003C2170">
        <w:rPr>
          <w:rFonts w:eastAsia="宋体" w:cs="Times New Roman" w:hint="eastAsia"/>
          <w:szCs w:val="21"/>
        </w:rPr>
        <w:t>及合同资产</w:t>
      </w:r>
      <w:r w:rsidRPr="003C2170">
        <w:rPr>
          <w:rFonts w:eastAsia="宋体" w:cs="Times New Roman" w:hint="eastAsia"/>
          <w:szCs w:val="21"/>
        </w:rPr>
        <w:t>以预期信用损失为基础进行减值会计处理并确认损失准备。</w:t>
      </w:r>
    </w:p>
    <w:p w:rsidR="00C3742E" w:rsidRPr="003C2170" w:rsidRDefault="00C3742E" w:rsidP="0027505B">
      <w:pPr>
        <w:autoSpaceDE w:val="0"/>
        <w:autoSpaceDN w:val="0"/>
        <w:ind w:left="720"/>
        <w:jc w:val="both"/>
        <w:textAlignment w:val="baseline"/>
        <w:rPr>
          <w:rFonts w:eastAsia="宋体" w:cs="Times New Roman"/>
          <w:szCs w:val="21"/>
        </w:rPr>
      </w:pPr>
    </w:p>
    <w:p w:rsidR="00C3742E" w:rsidRPr="003C2170" w:rsidRDefault="00C3742E" w:rsidP="0027505B">
      <w:pPr>
        <w:autoSpaceDE w:val="0"/>
        <w:autoSpaceDN w:val="0"/>
        <w:ind w:left="720"/>
        <w:jc w:val="both"/>
        <w:textAlignment w:val="baseline"/>
        <w:rPr>
          <w:rFonts w:eastAsia="宋体" w:cs="Times New Roman"/>
          <w:szCs w:val="21"/>
        </w:rPr>
      </w:pPr>
      <w:r w:rsidRPr="003C2170">
        <w:rPr>
          <w:rFonts w:eastAsia="宋体" w:cs="Times New Roman" w:hint="eastAsia"/>
          <w:szCs w:val="21"/>
        </w:rPr>
        <w:t>本集团对由收入准则规范的交易形成且未</w:t>
      </w:r>
      <w:r w:rsidR="005239E8" w:rsidRPr="003C2170">
        <w:rPr>
          <w:rFonts w:eastAsia="宋体" w:cs="Times New Roman" w:hint="eastAsia"/>
          <w:szCs w:val="21"/>
        </w:rPr>
        <w:t>包含重大融资成分或不考虑不超过一年的合同中的融资成分的</w:t>
      </w:r>
      <w:r w:rsidR="00BD4A79" w:rsidRPr="003C2170">
        <w:rPr>
          <w:rFonts w:eastAsia="宋体" w:cs="Times New Roman" w:hint="eastAsia"/>
          <w:szCs w:val="21"/>
        </w:rPr>
        <w:t>合同资产、</w:t>
      </w:r>
      <w:r w:rsidRPr="003C2170">
        <w:rPr>
          <w:rFonts w:eastAsia="宋体" w:cs="Times New Roman" w:hint="eastAsia"/>
          <w:szCs w:val="21"/>
        </w:rPr>
        <w:t>应收账款及应收票据，按照相当于整个存续期内预期信用损失的金额计量损失准备。</w:t>
      </w:r>
    </w:p>
    <w:p w:rsidR="00C3742E" w:rsidRPr="003C2170" w:rsidRDefault="00C3742E" w:rsidP="0027505B">
      <w:pPr>
        <w:autoSpaceDE w:val="0"/>
        <w:autoSpaceDN w:val="0"/>
        <w:ind w:left="720"/>
        <w:jc w:val="both"/>
        <w:textAlignment w:val="baseline"/>
        <w:rPr>
          <w:rFonts w:eastAsia="宋体" w:cs="Times New Roman"/>
          <w:szCs w:val="21"/>
        </w:rPr>
      </w:pPr>
    </w:p>
    <w:p w:rsidR="00D8008D" w:rsidRPr="003C2170" w:rsidRDefault="00C3742E" w:rsidP="0027505B">
      <w:pPr>
        <w:autoSpaceDE w:val="0"/>
        <w:autoSpaceDN w:val="0"/>
        <w:ind w:left="720"/>
        <w:jc w:val="both"/>
        <w:textAlignment w:val="baseline"/>
        <w:rPr>
          <w:rFonts w:eastAsia="宋体" w:cs="Times New Roman"/>
          <w:szCs w:val="21"/>
        </w:rPr>
      </w:pPr>
      <w:r w:rsidRPr="003C2170">
        <w:rPr>
          <w:rFonts w:eastAsia="宋体" w:cs="Times New Roman" w:hint="eastAsia"/>
          <w:szCs w:val="21"/>
        </w:rPr>
        <w:t>对于其他金融工具，除</w:t>
      </w:r>
      <w:proofErr w:type="gramStart"/>
      <w:r w:rsidRPr="003C2170">
        <w:rPr>
          <w:rFonts w:eastAsia="宋体" w:cs="Times New Roman" w:hint="eastAsia"/>
          <w:szCs w:val="21"/>
        </w:rPr>
        <w:t>购买或源生</w:t>
      </w:r>
      <w:proofErr w:type="gramEnd"/>
      <w:r w:rsidRPr="003C2170">
        <w:rPr>
          <w:rFonts w:eastAsia="宋体" w:cs="Times New Roman" w:hint="eastAsia"/>
          <w:szCs w:val="21"/>
        </w:rPr>
        <w:t>的已发生信用减值的金融资产外，本集团在每个资产负债表日评估相关金融工具的信用风险自初始确认后的变动情况。若该金融工具的信用风险自初始确认后已显著增加，本集团按照相当于该金融工具整个存续期内预期信用损失的金额计量其损失准备</w:t>
      </w:r>
      <w:r w:rsidR="005F14EE" w:rsidRPr="003C2170">
        <w:rPr>
          <w:rFonts w:eastAsia="宋体" w:cs="Times New Roman" w:hint="eastAsia"/>
          <w:szCs w:val="21"/>
        </w:rPr>
        <w:t>；</w:t>
      </w:r>
      <w:r w:rsidRPr="003C2170">
        <w:rPr>
          <w:rFonts w:eastAsia="宋体" w:cs="Times New Roman" w:hint="eastAsia"/>
          <w:szCs w:val="21"/>
        </w:rPr>
        <w:t>若该金融工具的信用风险自初始确认后并未显著增加，本集团按照相当于该金融工具未来</w:t>
      </w:r>
      <w:r w:rsidRPr="003C2170">
        <w:rPr>
          <w:rFonts w:eastAsia="宋体" w:cs="Times New Roman"/>
          <w:szCs w:val="21"/>
        </w:rPr>
        <w:t>12</w:t>
      </w:r>
      <w:r w:rsidRPr="003C2170">
        <w:rPr>
          <w:rFonts w:eastAsia="宋体" w:cs="Times New Roman" w:hint="eastAsia"/>
          <w:szCs w:val="21"/>
        </w:rPr>
        <w:t>个月内预期信用损失的金额计量其损失准备。信用损失准备的增加或转回金额，除分类为以公允价值计量且其变动计入其他综合收益的金融资产外，作为减值损失或利得计入当期损益。对于分类为以公允价值计量且其变动计入其他综合收益的金融资产，本集团在其他综合收益中确认其信用损失准备，并将减值损失或利得计入当期损益，且不减少该金融资产在资产负债表中列示的账面价值。</w:t>
      </w:r>
    </w:p>
    <w:p w:rsidR="00D8008D" w:rsidRPr="003C2170" w:rsidRDefault="00D8008D" w:rsidP="0027505B">
      <w:pPr>
        <w:jc w:val="both"/>
        <w:rPr>
          <w:rFonts w:eastAsia="宋体" w:cs="Times New Roman"/>
          <w:szCs w:val="21"/>
        </w:rPr>
      </w:pPr>
      <w:r w:rsidRPr="003C2170">
        <w:rPr>
          <w:rFonts w:eastAsia="宋体" w:cs="Times New Roman"/>
          <w:szCs w:val="21"/>
        </w:rPr>
        <w:br w:type="page"/>
      </w:r>
    </w:p>
    <w:p w:rsidR="00D8008D" w:rsidRPr="003C2170" w:rsidRDefault="005F14EE" w:rsidP="003C2170">
      <w:pPr>
        <w:jc w:val="both"/>
        <w:rPr>
          <w:rFonts w:eastAsia="宋体" w:cs="Times New Roman"/>
          <w:szCs w:val="21"/>
        </w:rPr>
      </w:pPr>
      <w:r w:rsidRPr="003C2170">
        <w:rPr>
          <w:rFonts w:eastAsia="宋体" w:cs="Times New Roman"/>
          <w:b/>
          <w:szCs w:val="21"/>
        </w:rPr>
        <w:t>(</w:t>
      </w:r>
      <w:r w:rsidR="00D8008D" w:rsidRPr="003C2170">
        <w:rPr>
          <w:rFonts w:eastAsia="宋体" w:cs="Times New Roman" w:hint="eastAsia"/>
          <w:b/>
          <w:szCs w:val="21"/>
        </w:rPr>
        <w:t>三</w:t>
      </w:r>
      <w:r w:rsidRPr="003C2170">
        <w:rPr>
          <w:rFonts w:eastAsia="宋体" w:cs="Times New Roman"/>
          <w:b/>
          <w:szCs w:val="21"/>
        </w:rPr>
        <w:t>)</w:t>
      </w:r>
      <w:r w:rsidR="00D8008D" w:rsidRPr="003C2170">
        <w:rPr>
          <w:rFonts w:eastAsia="宋体" w:cs="Times New Roman"/>
          <w:b/>
          <w:szCs w:val="21"/>
        </w:rPr>
        <w:tab/>
      </w:r>
      <w:r w:rsidR="00D8008D" w:rsidRPr="003C2170">
        <w:rPr>
          <w:rFonts w:eastAsia="宋体" w:cs="Times New Roman" w:hint="eastAsia"/>
          <w:b/>
          <w:szCs w:val="21"/>
        </w:rPr>
        <w:t>重要会计政策和会计估计</w:t>
      </w:r>
      <w:r w:rsidR="00D8008D" w:rsidRPr="003C2170">
        <w:rPr>
          <w:rFonts w:eastAsia="宋体" w:cs="Times New Roman"/>
          <w:szCs w:val="21"/>
        </w:rPr>
        <w:t xml:space="preserve"> - </w:t>
      </w:r>
      <w:r w:rsidR="00D8008D" w:rsidRPr="003C2170">
        <w:rPr>
          <w:rFonts w:eastAsia="宋体" w:cs="Times New Roman" w:hint="eastAsia"/>
          <w:szCs w:val="21"/>
        </w:rPr>
        <w:t>续</w:t>
      </w:r>
    </w:p>
    <w:p w:rsidR="00D8008D" w:rsidRPr="003C2170" w:rsidRDefault="00D8008D" w:rsidP="003C2170">
      <w:pPr>
        <w:ind w:left="720"/>
        <w:jc w:val="both"/>
        <w:rPr>
          <w:rFonts w:eastAsia="宋体" w:cs="Times New Roman"/>
          <w:snapToGrid w:val="0"/>
          <w:szCs w:val="21"/>
        </w:rPr>
      </w:pPr>
    </w:p>
    <w:p w:rsidR="00D8008D" w:rsidRPr="003C2170" w:rsidRDefault="00D8008D" w:rsidP="003C2170">
      <w:pPr>
        <w:ind w:left="1440" w:hanging="720"/>
        <w:jc w:val="both"/>
        <w:rPr>
          <w:rFonts w:eastAsia="宋体" w:cs="Times New Roman"/>
          <w:b/>
          <w:szCs w:val="21"/>
        </w:rPr>
      </w:pPr>
      <w:r w:rsidRPr="003C2170">
        <w:rPr>
          <w:rFonts w:eastAsia="宋体" w:cs="Times New Roman"/>
          <w:b/>
          <w:szCs w:val="21"/>
        </w:rPr>
        <w:t>10.</w:t>
      </w:r>
      <w:r w:rsidRPr="003C2170">
        <w:rPr>
          <w:rFonts w:eastAsia="宋体" w:cs="Times New Roman"/>
          <w:b/>
          <w:szCs w:val="21"/>
        </w:rPr>
        <w:tab/>
      </w:r>
      <w:r w:rsidRPr="003C2170">
        <w:rPr>
          <w:rFonts w:eastAsia="宋体" w:cs="Times New Roman" w:hint="eastAsia"/>
          <w:b/>
          <w:szCs w:val="21"/>
        </w:rPr>
        <w:t>金融工具</w:t>
      </w:r>
      <w:r w:rsidRPr="003C2170">
        <w:rPr>
          <w:rFonts w:eastAsia="宋体" w:cs="Times New Roman"/>
          <w:szCs w:val="21"/>
        </w:rPr>
        <w:t xml:space="preserve"> - </w:t>
      </w:r>
      <w:r w:rsidRPr="003C2170">
        <w:rPr>
          <w:rFonts w:eastAsia="宋体" w:cs="Times New Roman" w:hint="eastAsia"/>
          <w:szCs w:val="21"/>
        </w:rPr>
        <w:t>续</w:t>
      </w:r>
    </w:p>
    <w:p w:rsidR="00D8008D" w:rsidRPr="003C2170" w:rsidRDefault="00D8008D" w:rsidP="003C2170">
      <w:pPr>
        <w:ind w:left="720"/>
        <w:jc w:val="both"/>
        <w:rPr>
          <w:rFonts w:eastAsia="宋体" w:cs="Times New Roman"/>
          <w:szCs w:val="21"/>
        </w:rPr>
      </w:pPr>
    </w:p>
    <w:p w:rsidR="005D7660" w:rsidRPr="003C2170" w:rsidRDefault="00D8008D" w:rsidP="003C2170">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10.2</w:t>
      </w:r>
      <w:r w:rsidRPr="003C2170">
        <w:rPr>
          <w:rFonts w:eastAsia="宋体" w:cs="Times New Roman"/>
          <w:szCs w:val="21"/>
          <w:u w:val="single"/>
        </w:rPr>
        <w:tab/>
      </w:r>
      <w:r w:rsidRPr="003C2170">
        <w:rPr>
          <w:rFonts w:eastAsia="宋体" w:cs="Times New Roman" w:hint="eastAsia"/>
          <w:szCs w:val="21"/>
          <w:u w:val="single"/>
        </w:rPr>
        <w:t>金融工具减值</w:t>
      </w:r>
      <w:r w:rsidRPr="003C2170">
        <w:rPr>
          <w:rFonts w:eastAsia="宋体" w:cs="Times New Roman"/>
          <w:szCs w:val="21"/>
        </w:rPr>
        <w:t xml:space="preserve"> - </w:t>
      </w:r>
      <w:r w:rsidRPr="003C2170">
        <w:rPr>
          <w:rFonts w:eastAsia="宋体" w:cs="Times New Roman" w:hint="eastAsia"/>
          <w:szCs w:val="21"/>
        </w:rPr>
        <w:t>续</w:t>
      </w:r>
    </w:p>
    <w:p w:rsidR="00D33E53" w:rsidRPr="003C2170" w:rsidRDefault="00D33E53" w:rsidP="0027505B">
      <w:pPr>
        <w:autoSpaceDE w:val="0"/>
        <w:autoSpaceDN w:val="0"/>
        <w:ind w:left="729"/>
        <w:jc w:val="both"/>
        <w:textAlignment w:val="baseline"/>
        <w:rPr>
          <w:rFonts w:eastAsia="宋体" w:cs="Times New Roman"/>
          <w:szCs w:val="21"/>
        </w:rPr>
      </w:pPr>
    </w:p>
    <w:p w:rsidR="005D7660" w:rsidRPr="003C2170" w:rsidRDefault="00D33E53" w:rsidP="0027505B">
      <w:pPr>
        <w:autoSpaceDE w:val="0"/>
        <w:autoSpaceDN w:val="0"/>
        <w:ind w:left="729"/>
        <w:jc w:val="both"/>
        <w:textAlignment w:val="baseline"/>
        <w:rPr>
          <w:rFonts w:eastAsia="宋体" w:cs="Times New Roman"/>
          <w:szCs w:val="21"/>
        </w:rPr>
      </w:pPr>
      <w:r w:rsidRPr="003C2170">
        <w:rPr>
          <w:rFonts w:eastAsia="宋体" w:cs="Times New Roman" w:hint="eastAsia"/>
          <w:szCs w:val="21"/>
        </w:rPr>
        <w:t>本集团在前一会计期间已经按照相当于金融工具整个存续期内预期信用损失的金额计量了损失准备，但在当期资产负债表日，该金融工具已不再属于自初始确认后信用风险显著增加的情形的，本集团在当期资产负债表</w:t>
      </w:r>
      <w:proofErr w:type="gramStart"/>
      <w:r w:rsidRPr="003C2170">
        <w:rPr>
          <w:rFonts w:eastAsia="宋体" w:cs="Times New Roman" w:hint="eastAsia"/>
          <w:szCs w:val="21"/>
        </w:rPr>
        <w:t>日按照</w:t>
      </w:r>
      <w:proofErr w:type="gramEnd"/>
      <w:r w:rsidRPr="003C2170">
        <w:rPr>
          <w:rFonts w:eastAsia="宋体" w:cs="Times New Roman" w:hint="eastAsia"/>
          <w:szCs w:val="21"/>
        </w:rPr>
        <w:t>相当于未来</w:t>
      </w:r>
      <w:r w:rsidRPr="003C2170">
        <w:rPr>
          <w:rFonts w:eastAsia="宋体" w:cs="Times New Roman"/>
          <w:szCs w:val="21"/>
        </w:rPr>
        <w:t>12</w:t>
      </w:r>
      <w:r w:rsidRPr="003C2170">
        <w:rPr>
          <w:rFonts w:eastAsia="宋体" w:cs="Times New Roman" w:hint="eastAsia"/>
          <w:szCs w:val="21"/>
        </w:rPr>
        <w:t>个月内预期信用损失的金额计量该金融工具的损失准备，由此形成的损失准备的转回金额作为减值利得计入当期损益。</w:t>
      </w:r>
    </w:p>
    <w:p w:rsidR="00630FA6" w:rsidRPr="003C2170" w:rsidRDefault="00630FA6" w:rsidP="003C2170">
      <w:pPr>
        <w:autoSpaceDE w:val="0"/>
        <w:autoSpaceDN w:val="0"/>
        <w:ind w:left="729"/>
        <w:jc w:val="both"/>
        <w:textAlignment w:val="baseline"/>
        <w:rPr>
          <w:rFonts w:eastAsia="宋体" w:cs="Times New Roman"/>
          <w:szCs w:val="21"/>
        </w:rPr>
      </w:pPr>
    </w:p>
    <w:p w:rsidR="00616FB7" w:rsidRPr="003C2170" w:rsidRDefault="00FB6FD3" w:rsidP="003C2170">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616FB7" w:rsidRPr="003C2170">
        <w:rPr>
          <w:rFonts w:eastAsia="宋体" w:cs="Times New Roman"/>
          <w:szCs w:val="21"/>
          <w:u w:val="single"/>
        </w:rPr>
        <w:t>.2.1</w:t>
      </w:r>
      <w:r w:rsidR="00616FB7" w:rsidRPr="003C2170">
        <w:rPr>
          <w:rFonts w:eastAsia="宋体" w:cs="Times New Roman"/>
          <w:szCs w:val="21"/>
          <w:u w:val="single"/>
        </w:rPr>
        <w:tab/>
      </w:r>
      <w:r w:rsidR="00616FB7" w:rsidRPr="003C2170">
        <w:rPr>
          <w:rFonts w:eastAsia="宋体" w:cs="Times New Roman" w:hint="eastAsia"/>
          <w:szCs w:val="21"/>
          <w:u w:val="single"/>
        </w:rPr>
        <w:t>信用风险显著增加</w:t>
      </w:r>
    </w:p>
    <w:p w:rsidR="00C3742E" w:rsidRPr="003C2170" w:rsidRDefault="00C3742E" w:rsidP="003C2170">
      <w:pPr>
        <w:autoSpaceDE w:val="0"/>
        <w:autoSpaceDN w:val="0"/>
        <w:ind w:left="729"/>
        <w:jc w:val="both"/>
        <w:textAlignment w:val="baseline"/>
        <w:rPr>
          <w:rFonts w:eastAsia="宋体" w:cs="Times New Roman"/>
          <w:szCs w:val="21"/>
        </w:rPr>
      </w:pPr>
    </w:p>
    <w:p w:rsidR="00616FB7" w:rsidRPr="003C2170" w:rsidRDefault="00616FB7" w:rsidP="003C2170">
      <w:pPr>
        <w:autoSpaceDE w:val="0"/>
        <w:autoSpaceDN w:val="0"/>
        <w:ind w:left="729"/>
        <w:jc w:val="both"/>
        <w:textAlignment w:val="baseline"/>
        <w:rPr>
          <w:rFonts w:eastAsia="宋体" w:cs="Times New Roman"/>
          <w:szCs w:val="21"/>
        </w:rPr>
      </w:pPr>
      <w:r w:rsidRPr="003C2170">
        <w:rPr>
          <w:rFonts w:eastAsia="宋体" w:cs="Times New Roman" w:hint="eastAsia"/>
          <w:szCs w:val="21"/>
        </w:rPr>
        <w:t>本集团利用可获得的合理且有依据的前瞻性信息，通过比较金融工具在资产负债表日发生违约的风险与在初始确认日发生违约的风险，以确定金融工具的信用风险自初始确认后是否已显著增加。</w:t>
      </w:r>
    </w:p>
    <w:p w:rsidR="00616FB7" w:rsidRPr="003C2170" w:rsidRDefault="00616FB7" w:rsidP="003C2170">
      <w:pPr>
        <w:autoSpaceDE w:val="0"/>
        <w:autoSpaceDN w:val="0"/>
        <w:ind w:left="729"/>
        <w:jc w:val="both"/>
        <w:textAlignment w:val="baseline"/>
        <w:rPr>
          <w:rFonts w:eastAsia="宋体" w:cs="Times New Roman"/>
          <w:szCs w:val="21"/>
        </w:rPr>
      </w:pPr>
    </w:p>
    <w:p w:rsidR="00C3742E" w:rsidRPr="003C2170" w:rsidRDefault="00616FB7" w:rsidP="003C2170">
      <w:pPr>
        <w:autoSpaceDE w:val="0"/>
        <w:autoSpaceDN w:val="0"/>
        <w:ind w:left="729"/>
        <w:jc w:val="both"/>
        <w:textAlignment w:val="baseline"/>
        <w:rPr>
          <w:rFonts w:eastAsia="宋体" w:cs="Times New Roman"/>
          <w:szCs w:val="21"/>
        </w:rPr>
      </w:pPr>
      <w:r w:rsidRPr="003C2170">
        <w:rPr>
          <w:rFonts w:eastAsia="宋体" w:cs="Times New Roman" w:hint="eastAsia"/>
          <w:szCs w:val="21"/>
        </w:rPr>
        <w:t>本集团在评估信用风险是否显著增加时会考虑如下因素</w:t>
      </w:r>
      <w:r w:rsidR="005F14EE" w:rsidRPr="003C2170">
        <w:rPr>
          <w:rFonts w:eastAsia="宋体" w:cs="Times New Roman" w:hint="eastAsia"/>
          <w:szCs w:val="21"/>
        </w:rPr>
        <w:t>：</w:t>
      </w:r>
    </w:p>
    <w:p w:rsidR="00C3742E" w:rsidRPr="003C2170" w:rsidRDefault="00C3742E" w:rsidP="003C2170">
      <w:pPr>
        <w:autoSpaceDE w:val="0"/>
        <w:autoSpaceDN w:val="0"/>
        <w:ind w:left="729"/>
        <w:jc w:val="both"/>
        <w:textAlignment w:val="baseline"/>
        <w:rPr>
          <w:rFonts w:eastAsia="宋体" w:cs="Times New Roman"/>
          <w:szCs w:val="21"/>
        </w:rPr>
      </w:pPr>
    </w:p>
    <w:p w:rsidR="00616FB7" w:rsidRPr="003C2170" w:rsidRDefault="005F14EE" w:rsidP="003C2170">
      <w:pPr>
        <w:autoSpaceDE w:val="0"/>
        <w:autoSpaceDN w:val="0"/>
        <w:ind w:left="1440" w:hanging="720"/>
        <w:jc w:val="both"/>
        <w:rPr>
          <w:rFonts w:eastAsia="宋体" w:cs="Times New Roman"/>
          <w:szCs w:val="21"/>
        </w:rPr>
      </w:pPr>
      <w:r w:rsidRPr="003C2170">
        <w:rPr>
          <w:rFonts w:eastAsia="宋体" w:cs="Times New Roman"/>
          <w:szCs w:val="21"/>
        </w:rPr>
        <w:t>(</w:t>
      </w:r>
      <w:r w:rsidR="00616FB7" w:rsidRPr="003C2170">
        <w:rPr>
          <w:rFonts w:eastAsia="宋体" w:cs="Times New Roman"/>
          <w:szCs w:val="21"/>
        </w:rPr>
        <w:t>1</w:t>
      </w:r>
      <w:r w:rsidRPr="003C2170">
        <w:rPr>
          <w:rFonts w:eastAsia="宋体" w:cs="Times New Roman"/>
          <w:szCs w:val="21"/>
        </w:rPr>
        <w:t>)</w:t>
      </w:r>
      <w:r w:rsidR="00616FB7" w:rsidRPr="003C2170">
        <w:rPr>
          <w:rFonts w:eastAsia="宋体" w:cs="Times New Roman"/>
          <w:szCs w:val="21"/>
        </w:rPr>
        <w:tab/>
      </w:r>
      <w:r w:rsidR="00616FB7" w:rsidRPr="003C2170">
        <w:rPr>
          <w:rFonts w:eastAsia="宋体" w:cs="Times New Roman" w:hint="eastAsia"/>
          <w:szCs w:val="21"/>
        </w:rPr>
        <w:t>信用风险变化所导致的内部价格指标是否发生显著变化</w:t>
      </w:r>
      <w:r w:rsidRPr="003C2170">
        <w:rPr>
          <w:rFonts w:eastAsia="宋体" w:cs="Times New Roman" w:hint="eastAsia"/>
          <w:szCs w:val="21"/>
        </w:rPr>
        <w:t>；</w:t>
      </w:r>
    </w:p>
    <w:p w:rsidR="00616FB7" w:rsidRPr="003C2170" w:rsidRDefault="005F14EE" w:rsidP="003C2170">
      <w:pPr>
        <w:autoSpaceDE w:val="0"/>
        <w:autoSpaceDN w:val="0"/>
        <w:ind w:left="1440" w:hanging="720"/>
        <w:jc w:val="both"/>
        <w:rPr>
          <w:rFonts w:eastAsia="宋体" w:cs="Times New Roman"/>
          <w:szCs w:val="21"/>
        </w:rPr>
      </w:pPr>
      <w:r w:rsidRPr="003C2170">
        <w:rPr>
          <w:rFonts w:eastAsia="宋体" w:cs="Times New Roman"/>
          <w:szCs w:val="21"/>
        </w:rPr>
        <w:t>(</w:t>
      </w:r>
      <w:r w:rsidR="00616FB7" w:rsidRPr="003C2170">
        <w:rPr>
          <w:rFonts w:eastAsia="宋体" w:cs="Times New Roman"/>
          <w:szCs w:val="21"/>
        </w:rPr>
        <w:t>2</w:t>
      </w:r>
      <w:r w:rsidRPr="003C2170">
        <w:rPr>
          <w:rFonts w:eastAsia="宋体" w:cs="Times New Roman"/>
          <w:szCs w:val="21"/>
        </w:rPr>
        <w:t>)</w:t>
      </w:r>
      <w:r w:rsidR="00616FB7" w:rsidRPr="003C2170">
        <w:rPr>
          <w:rFonts w:eastAsia="宋体" w:cs="Times New Roman"/>
          <w:szCs w:val="21"/>
        </w:rPr>
        <w:tab/>
      </w:r>
      <w:r w:rsidR="00616FB7" w:rsidRPr="003C2170">
        <w:rPr>
          <w:rFonts w:eastAsia="宋体" w:cs="Times New Roman" w:hint="eastAsia"/>
          <w:szCs w:val="21"/>
        </w:rPr>
        <w:t>金融工具外部信用评级实际或预期是否发生显著变化</w:t>
      </w:r>
      <w:r w:rsidRPr="003C2170">
        <w:rPr>
          <w:rFonts w:eastAsia="宋体" w:cs="Times New Roman" w:hint="eastAsia"/>
          <w:szCs w:val="21"/>
        </w:rPr>
        <w:t>；</w:t>
      </w:r>
    </w:p>
    <w:p w:rsidR="00181AE1" w:rsidRPr="003C2170" w:rsidRDefault="005F14EE" w:rsidP="003C2170">
      <w:pPr>
        <w:autoSpaceDE w:val="0"/>
        <w:autoSpaceDN w:val="0"/>
        <w:ind w:left="1440" w:hanging="720"/>
        <w:jc w:val="both"/>
        <w:rPr>
          <w:rFonts w:eastAsia="宋体" w:cs="Times New Roman"/>
          <w:szCs w:val="21"/>
        </w:rPr>
      </w:pPr>
      <w:r w:rsidRPr="003C2170">
        <w:rPr>
          <w:rFonts w:eastAsia="宋体" w:cs="Times New Roman"/>
          <w:szCs w:val="21"/>
        </w:rPr>
        <w:t>(</w:t>
      </w:r>
      <w:r w:rsidR="00616FB7" w:rsidRPr="003C2170">
        <w:rPr>
          <w:rFonts w:eastAsia="宋体" w:cs="Times New Roman"/>
          <w:szCs w:val="21"/>
        </w:rPr>
        <w:t>3</w:t>
      </w:r>
      <w:r w:rsidRPr="003C2170">
        <w:rPr>
          <w:rFonts w:eastAsia="宋体" w:cs="Times New Roman"/>
          <w:szCs w:val="21"/>
        </w:rPr>
        <w:t>)</w:t>
      </w:r>
      <w:r w:rsidR="00616FB7" w:rsidRPr="003C2170">
        <w:rPr>
          <w:rFonts w:eastAsia="宋体" w:cs="Times New Roman"/>
          <w:szCs w:val="21"/>
        </w:rPr>
        <w:tab/>
      </w:r>
      <w:r w:rsidR="00616FB7" w:rsidRPr="003C2170">
        <w:rPr>
          <w:rFonts w:eastAsia="宋体" w:cs="Times New Roman" w:hint="eastAsia"/>
          <w:szCs w:val="21"/>
        </w:rPr>
        <w:t>对债务人实际或预期的内部信用评级是否下调</w:t>
      </w:r>
      <w:r w:rsidRPr="003C2170">
        <w:rPr>
          <w:rFonts w:eastAsia="宋体" w:cs="Times New Roman" w:hint="eastAsia"/>
          <w:szCs w:val="21"/>
        </w:rPr>
        <w:t>；</w:t>
      </w:r>
    </w:p>
    <w:p w:rsidR="00616FB7" w:rsidRPr="003C2170" w:rsidRDefault="005F14EE" w:rsidP="003C2170">
      <w:pPr>
        <w:autoSpaceDE w:val="0"/>
        <w:autoSpaceDN w:val="0"/>
        <w:ind w:left="1440" w:hanging="720"/>
        <w:jc w:val="both"/>
        <w:rPr>
          <w:rFonts w:eastAsia="宋体" w:cs="Times New Roman"/>
          <w:szCs w:val="21"/>
        </w:rPr>
      </w:pPr>
      <w:r w:rsidRPr="003C2170">
        <w:rPr>
          <w:rFonts w:eastAsia="宋体" w:cs="Times New Roman"/>
          <w:szCs w:val="21"/>
        </w:rPr>
        <w:t>(</w:t>
      </w:r>
      <w:r w:rsidR="00616FB7" w:rsidRPr="003C2170">
        <w:rPr>
          <w:rFonts w:eastAsia="宋体" w:cs="Times New Roman"/>
          <w:szCs w:val="21"/>
        </w:rPr>
        <w:t>4</w:t>
      </w:r>
      <w:r w:rsidRPr="003C2170">
        <w:rPr>
          <w:rFonts w:eastAsia="宋体" w:cs="Times New Roman"/>
          <w:szCs w:val="21"/>
        </w:rPr>
        <w:t>)</w:t>
      </w:r>
      <w:r w:rsidR="00616FB7" w:rsidRPr="003C2170">
        <w:rPr>
          <w:rFonts w:eastAsia="宋体" w:cs="Times New Roman"/>
          <w:szCs w:val="21"/>
        </w:rPr>
        <w:tab/>
      </w:r>
      <w:r w:rsidR="00616FB7" w:rsidRPr="003C2170">
        <w:rPr>
          <w:rFonts w:eastAsia="宋体" w:cs="Times New Roman" w:hint="eastAsia"/>
          <w:szCs w:val="21"/>
        </w:rPr>
        <w:t>预期将导致债务人履行其偿债义务的能力发生显著变化的业务、财务或经济状况是否发生不利变化</w:t>
      </w:r>
      <w:r w:rsidRPr="003C2170">
        <w:rPr>
          <w:rFonts w:eastAsia="宋体" w:cs="Times New Roman" w:hint="eastAsia"/>
          <w:szCs w:val="21"/>
        </w:rPr>
        <w:t>；</w:t>
      </w:r>
    </w:p>
    <w:p w:rsidR="00616FB7" w:rsidRPr="003C2170" w:rsidRDefault="005F14EE" w:rsidP="003C2170">
      <w:pPr>
        <w:autoSpaceDE w:val="0"/>
        <w:autoSpaceDN w:val="0"/>
        <w:ind w:left="1440" w:hanging="720"/>
        <w:jc w:val="both"/>
        <w:rPr>
          <w:rFonts w:eastAsia="宋体" w:cs="Times New Roman"/>
          <w:szCs w:val="21"/>
        </w:rPr>
      </w:pPr>
      <w:r w:rsidRPr="003C2170">
        <w:rPr>
          <w:rFonts w:eastAsia="宋体" w:cs="Times New Roman"/>
          <w:szCs w:val="21"/>
        </w:rPr>
        <w:t>(</w:t>
      </w:r>
      <w:r w:rsidR="00616FB7" w:rsidRPr="003C2170">
        <w:rPr>
          <w:rFonts w:eastAsia="宋体" w:cs="Times New Roman"/>
          <w:szCs w:val="21"/>
        </w:rPr>
        <w:t>5</w:t>
      </w:r>
      <w:r w:rsidRPr="003C2170">
        <w:rPr>
          <w:rFonts w:eastAsia="宋体" w:cs="Times New Roman"/>
          <w:szCs w:val="21"/>
        </w:rPr>
        <w:t>)</w:t>
      </w:r>
      <w:r w:rsidR="00616FB7" w:rsidRPr="003C2170">
        <w:rPr>
          <w:rFonts w:eastAsia="宋体" w:cs="Times New Roman"/>
          <w:szCs w:val="21"/>
        </w:rPr>
        <w:tab/>
      </w:r>
      <w:r w:rsidR="00616FB7" w:rsidRPr="003C2170">
        <w:rPr>
          <w:rFonts w:eastAsia="宋体" w:cs="Times New Roman" w:hint="eastAsia"/>
          <w:szCs w:val="21"/>
        </w:rPr>
        <w:t>债务人经营成果实际或预期是否发生显著变化</w:t>
      </w:r>
      <w:r w:rsidRPr="003C2170">
        <w:rPr>
          <w:rFonts w:eastAsia="宋体" w:cs="Times New Roman" w:hint="eastAsia"/>
          <w:szCs w:val="21"/>
        </w:rPr>
        <w:t>；</w:t>
      </w:r>
    </w:p>
    <w:p w:rsidR="00616FB7" w:rsidRPr="003C2170" w:rsidRDefault="005F14EE" w:rsidP="003C2170">
      <w:pPr>
        <w:autoSpaceDE w:val="0"/>
        <w:autoSpaceDN w:val="0"/>
        <w:ind w:left="1440" w:hanging="720"/>
        <w:jc w:val="both"/>
        <w:rPr>
          <w:rFonts w:eastAsia="宋体" w:cs="Times New Roman"/>
          <w:szCs w:val="21"/>
        </w:rPr>
      </w:pPr>
      <w:r w:rsidRPr="003C2170">
        <w:rPr>
          <w:rFonts w:eastAsia="宋体" w:cs="Times New Roman"/>
          <w:szCs w:val="21"/>
        </w:rPr>
        <w:t>(</w:t>
      </w:r>
      <w:r w:rsidR="00616FB7" w:rsidRPr="003C2170">
        <w:rPr>
          <w:rFonts w:eastAsia="宋体" w:cs="Times New Roman"/>
          <w:szCs w:val="21"/>
        </w:rPr>
        <w:t>6</w:t>
      </w:r>
      <w:r w:rsidRPr="003C2170">
        <w:rPr>
          <w:rFonts w:eastAsia="宋体" w:cs="Times New Roman"/>
          <w:szCs w:val="21"/>
        </w:rPr>
        <w:t>)</w:t>
      </w:r>
      <w:r w:rsidR="00616FB7" w:rsidRPr="003C2170">
        <w:rPr>
          <w:rFonts w:eastAsia="宋体" w:cs="Times New Roman"/>
          <w:szCs w:val="21"/>
        </w:rPr>
        <w:tab/>
      </w:r>
      <w:r w:rsidR="00616FB7" w:rsidRPr="003C2170">
        <w:rPr>
          <w:rFonts w:eastAsia="宋体" w:cs="Times New Roman" w:hint="eastAsia"/>
          <w:szCs w:val="21"/>
        </w:rPr>
        <w:t>债务人所处的监管、经济或技术环境是否发生显著不利变化</w:t>
      </w:r>
      <w:r w:rsidRPr="003C2170">
        <w:rPr>
          <w:rFonts w:eastAsia="宋体" w:cs="Times New Roman" w:hint="eastAsia"/>
          <w:szCs w:val="21"/>
        </w:rPr>
        <w:t>；</w:t>
      </w:r>
    </w:p>
    <w:p w:rsidR="00616FB7" w:rsidRPr="003C2170" w:rsidRDefault="005F14EE" w:rsidP="003C2170">
      <w:pPr>
        <w:autoSpaceDE w:val="0"/>
        <w:autoSpaceDN w:val="0"/>
        <w:ind w:left="1440" w:hanging="720"/>
        <w:jc w:val="both"/>
        <w:rPr>
          <w:rFonts w:eastAsia="宋体" w:cs="Times New Roman"/>
          <w:szCs w:val="21"/>
        </w:rPr>
      </w:pPr>
      <w:r w:rsidRPr="003C2170">
        <w:rPr>
          <w:rFonts w:eastAsia="宋体" w:cs="Times New Roman"/>
          <w:szCs w:val="21"/>
        </w:rPr>
        <w:t>(</w:t>
      </w:r>
      <w:r w:rsidR="00616FB7" w:rsidRPr="003C2170">
        <w:rPr>
          <w:rFonts w:eastAsia="宋体" w:cs="Times New Roman"/>
          <w:szCs w:val="21"/>
        </w:rPr>
        <w:t>7</w:t>
      </w:r>
      <w:r w:rsidRPr="003C2170">
        <w:rPr>
          <w:rFonts w:eastAsia="宋体" w:cs="Times New Roman"/>
          <w:szCs w:val="21"/>
        </w:rPr>
        <w:t>)</w:t>
      </w:r>
      <w:r w:rsidR="00616FB7" w:rsidRPr="003C2170">
        <w:rPr>
          <w:rFonts w:eastAsia="宋体" w:cs="Times New Roman"/>
          <w:szCs w:val="21"/>
        </w:rPr>
        <w:tab/>
      </w:r>
      <w:r w:rsidR="00616FB7" w:rsidRPr="003C2170">
        <w:rPr>
          <w:rFonts w:eastAsia="宋体" w:cs="Times New Roman" w:hint="eastAsia"/>
          <w:szCs w:val="21"/>
        </w:rPr>
        <w:t>作为债务抵押的担保物价值或第三方提供的担保或信用增级质量是否发生显著变化。这些变化预期将降低债务人按合同规定期限还款的经济动机或者影响违约概率</w:t>
      </w:r>
      <w:r w:rsidRPr="003C2170">
        <w:rPr>
          <w:rFonts w:eastAsia="宋体" w:cs="Times New Roman" w:hint="eastAsia"/>
          <w:szCs w:val="21"/>
        </w:rPr>
        <w:t>；</w:t>
      </w:r>
    </w:p>
    <w:p w:rsidR="00616FB7" w:rsidRPr="003C2170" w:rsidRDefault="005F14EE" w:rsidP="003C2170">
      <w:pPr>
        <w:autoSpaceDE w:val="0"/>
        <w:autoSpaceDN w:val="0"/>
        <w:ind w:left="1440" w:hanging="720"/>
        <w:jc w:val="both"/>
        <w:rPr>
          <w:rFonts w:eastAsia="宋体" w:cs="Times New Roman"/>
          <w:szCs w:val="21"/>
        </w:rPr>
      </w:pPr>
      <w:r w:rsidRPr="003C2170">
        <w:rPr>
          <w:rFonts w:eastAsia="宋体" w:cs="Times New Roman"/>
          <w:szCs w:val="21"/>
        </w:rPr>
        <w:t>(</w:t>
      </w:r>
      <w:r w:rsidR="00616FB7" w:rsidRPr="003C2170">
        <w:rPr>
          <w:rFonts w:eastAsia="宋体" w:cs="Times New Roman"/>
          <w:szCs w:val="21"/>
        </w:rPr>
        <w:t>8</w:t>
      </w:r>
      <w:r w:rsidRPr="003C2170">
        <w:rPr>
          <w:rFonts w:eastAsia="宋体" w:cs="Times New Roman"/>
          <w:szCs w:val="21"/>
        </w:rPr>
        <w:t>)</w:t>
      </w:r>
      <w:r w:rsidR="00616FB7" w:rsidRPr="003C2170">
        <w:rPr>
          <w:rFonts w:eastAsia="宋体" w:cs="Times New Roman"/>
          <w:szCs w:val="21"/>
        </w:rPr>
        <w:tab/>
      </w:r>
      <w:r w:rsidR="00616FB7" w:rsidRPr="003C2170">
        <w:rPr>
          <w:rFonts w:eastAsia="宋体" w:cs="Times New Roman" w:hint="eastAsia"/>
          <w:szCs w:val="21"/>
        </w:rPr>
        <w:t>预期将降低借款人按合同约定期限还款的经济动机是否发生显著变化</w:t>
      </w:r>
      <w:r w:rsidRPr="003C2170">
        <w:rPr>
          <w:rFonts w:eastAsia="宋体" w:cs="Times New Roman" w:hint="eastAsia"/>
          <w:szCs w:val="21"/>
        </w:rPr>
        <w:t>；</w:t>
      </w:r>
    </w:p>
    <w:p w:rsidR="00616FB7" w:rsidRPr="003C2170" w:rsidRDefault="005F14EE" w:rsidP="003C2170">
      <w:pPr>
        <w:autoSpaceDE w:val="0"/>
        <w:autoSpaceDN w:val="0"/>
        <w:ind w:left="1440" w:hanging="720"/>
        <w:jc w:val="both"/>
        <w:rPr>
          <w:rFonts w:eastAsia="宋体" w:cs="Times New Roman"/>
          <w:szCs w:val="21"/>
        </w:rPr>
      </w:pPr>
      <w:r w:rsidRPr="003C2170">
        <w:rPr>
          <w:rFonts w:eastAsia="宋体" w:cs="Times New Roman"/>
          <w:szCs w:val="21"/>
        </w:rPr>
        <w:t>(</w:t>
      </w:r>
      <w:r w:rsidR="00616FB7" w:rsidRPr="003C2170">
        <w:rPr>
          <w:rFonts w:eastAsia="宋体" w:cs="Times New Roman"/>
          <w:szCs w:val="21"/>
        </w:rPr>
        <w:t>9</w:t>
      </w:r>
      <w:r w:rsidRPr="003C2170">
        <w:rPr>
          <w:rFonts w:eastAsia="宋体" w:cs="Times New Roman"/>
          <w:szCs w:val="21"/>
        </w:rPr>
        <w:t>)</w:t>
      </w:r>
      <w:r w:rsidR="00616FB7" w:rsidRPr="003C2170">
        <w:rPr>
          <w:rFonts w:eastAsia="宋体" w:cs="Times New Roman"/>
          <w:szCs w:val="21"/>
        </w:rPr>
        <w:tab/>
      </w:r>
      <w:r w:rsidR="00616FB7" w:rsidRPr="003C2170">
        <w:rPr>
          <w:rFonts w:eastAsia="宋体" w:cs="Times New Roman" w:hint="eastAsia"/>
          <w:szCs w:val="21"/>
        </w:rPr>
        <w:t>债务人预期表现和还款行为是否发生显著变化。</w:t>
      </w:r>
    </w:p>
    <w:p w:rsidR="00C3742E" w:rsidRPr="003C2170" w:rsidRDefault="00C3742E" w:rsidP="003C2170">
      <w:pPr>
        <w:autoSpaceDE w:val="0"/>
        <w:autoSpaceDN w:val="0"/>
        <w:ind w:left="729"/>
        <w:jc w:val="both"/>
        <w:textAlignment w:val="baseline"/>
        <w:rPr>
          <w:rFonts w:eastAsia="宋体" w:cs="Times New Roman"/>
          <w:szCs w:val="21"/>
        </w:rPr>
      </w:pPr>
    </w:p>
    <w:p w:rsidR="00616FB7" w:rsidRPr="003C2170" w:rsidRDefault="00616FB7" w:rsidP="003C2170">
      <w:pPr>
        <w:autoSpaceDE w:val="0"/>
        <w:autoSpaceDN w:val="0"/>
        <w:ind w:left="720" w:firstLine="9"/>
        <w:jc w:val="both"/>
        <w:rPr>
          <w:rFonts w:eastAsia="宋体" w:cs="Times New Roman"/>
          <w:szCs w:val="21"/>
        </w:rPr>
      </w:pPr>
      <w:r w:rsidRPr="003C2170">
        <w:rPr>
          <w:rFonts w:eastAsia="宋体" w:cs="Times New Roman" w:hint="eastAsia"/>
          <w:szCs w:val="21"/>
        </w:rPr>
        <w:t>无论经上述评估后信用风险是否显著增加，当金融工具合同付款已发生逾期超过</w:t>
      </w:r>
      <w:r w:rsidR="005F14EE" w:rsidRPr="003C2170">
        <w:rPr>
          <w:rFonts w:eastAsia="宋体" w:cs="Times New Roman"/>
          <w:szCs w:val="21"/>
        </w:rPr>
        <w:t>(</w:t>
      </w:r>
      <w:r w:rsidRPr="003C2170">
        <w:rPr>
          <w:rFonts w:eastAsia="宋体" w:cs="Times New Roman" w:hint="eastAsia"/>
          <w:szCs w:val="21"/>
        </w:rPr>
        <w:t>含</w:t>
      </w:r>
      <w:r w:rsidR="005F14EE" w:rsidRPr="003C2170">
        <w:rPr>
          <w:rFonts w:eastAsia="宋体" w:cs="Times New Roman"/>
          <w:szCs w:val="21"/>
        </w:rPr>
        <w:t>)</w:t>
      </w:r>
      <w:r w:rsidRPr="003C2170">
        <w:rPr>
          <w:rFonts w:eastAsia="宋体" w:cs="Times New Roman"/>
          <w:szCs w:val="21"/>
        </w:rPr>
        <w:t>30</w:t>
      </w:r>
      <w:r w:rsidRPr="003C2170">
        <w:rPr>
          <w:rFonts w:eastAsia="宋体" w:cs="Times New Roman" w:hint="eastAsia"/>
          <w:szCs w:val="21"/>
        </w:rPr>
        <w:t>天的，则表明该金融工具的信用风险已经显著增加。</w:t>
      </w:r>
    </w:p>
    <w:p w:rsidR="00616FB7" w:rsidRPr="003C2170" w:rsidRDefault="00616FB7" w:rsidP="003C2170">
      <w:pPr>
        <w:ind w:left="720" w:firstLine="9"/>
        <w:jc w:val="both"/>
        <w:rPr>
          <w:rFonts w:eastAsia="宋体" w:cs="Times New Roman"/>
          <w:szCs w:val="21"/>
        </w:rPr>
      </w:pPr>
    </w:p>
    <w:p w:rsidR="00616FB7" w:rsidRPr="003C2170" w:rsidRDefault="00616FB7" w:rsidP="003C2170">
      <w:pPr>
        <w:ind w:left="720" w:firstLine="9"/>
        <w:jc w:val="both"/>
        <w:rPr>
          <w:rFonts w:eastAsia="宋体" w:cs="Times New Roman"/>
          <w:szCs w:val="21"/>
        </w:rPr>
      </w:pPr>
      <w:r w:rsidRPr="003C2170">
        <w:rPr>
          <w:rFonts w:eastAsia="宋体" w:cs="Times New Roman" w:hint="eastAsia"/>
          <w:szCs w:val="21"/>
        </w:rPr>
        <w:t>于资产负债表日，若本集团判断金融工具只具有较低的信用风险，则本集团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rsidR="00DE7E87" w:rsidRPr="003C2170" w:rsidRDefault="00DE7E87" w:rsidP="003C2170">
      <w:pPr>
        <w:ind w:left="720" w:firstLine="9"/>
        <w:jc w:val="both"/>
        <w:rPr>
          <w:rFonts w:eastAsia="宋体" w:cs="Times New Roman"/>
          <w:szCs w:val="21"/>
        </w:rPr>
      </w:pPr>
    </w:p>
    <w:p w:rsidR="00DE7E87" w:rsidRPr="003C2170" w:rsidRDefault="00FB6FD3" w:rsidP="003C2170">
      <w:pPr>
        <w:autoSpaceDE w:val="0"/>
        <w:autoSpaceDN w:val="0"/>
        <w:ind w:left="1440" w:hanging="711"/>
        <w:jc w:val="both"/>
        <w:textAlignment w:val="baseline"/>
        <w:rPr>
          <w:rFonts w:eastAsia="宋体" w:cs="Times New Roman"/>
          <w:szCs w:val="21"/>
          <w:u w:val="single"/>
        </w:rPr>
      </w:pPr>
      <w:r w:rsidRPr="003C2170">
        <w:rPr>
          <w:rFonts w:eastAsia="宋体" w:cs="Times New Roman"/>
          <w:szCs w:val="21"/>
          <w:u w:val="single"/>
        </w:rPr>
        <w:t>10</w:t>
      </w:r>
      <w:r w:rsidR="00DE7E87" w:rsidRPr="003C2170">
        <w:rPr>
          <w:rFonts w:eastAsia="宋体" w:cs="Times New Roman"/>
          <w:szCs w:val="21"/>
          <w:u w:val="single"/>
        </w:rPr>
        <w:t>.2.2</w:t>
      </w:r>
      <w:r w:rsidR="00DE7E87" w:rsidRPr="003C2170">
        <w:rPr>
          <w:rFonts w:eastAsia="宋体" w:cs="Times New Roman"/>
          <w:szCs w:val="21"/>
          <w:u w:val="single"/>
        </w:rPr>
        <w:tab/>
      </w:r>
      <w:r w:rsidR="00DE7E87" w:rsidRPr="003C2170">
        <w:rPr>
          <w:rFonts w:eastAsia="宋体" w:cs="Times New Roman" w:hint="eastAsia"/>
          <w:szCs w:val="21"/>
          <w:u w:val="single"/>
        </w:rPr>
        <w:t>已发生信用减值的金融资产</w:t>
      </w:r>
    </w:p>
    <w:p w:rsidR="00DE7E87" w:rsidRPr="003C2170" w:rsidRDefault="00DE7E87" w:rsidP="003C2170">
      <w:pPr>
        <w:autoSpaceDE w:val="0"/>
        <w:autoSpaceDN w:val="0"/>
        <w:ind w:left="720" w:firstLine="9"/>
        <w:jc w:val="both"/>
        <w:textAlignment w:val="baseline"/>
        <w:rPr>
          <w:rFonts w:eastAsia="宋体" w:cs="Times New Roman"/>
          <w:szCs w:val="21"/>
          <w:u w:val="single"/>
        </w:rPr>
      </w:pPr>
    </w:p>
    <w:p w:rsidR="00DE7E87" w:rsidRPr="003C2170" w:rsidRDefault="00DE7E87" w:rsidP="003C2170">
      <w:pPr>
        <w:ind w:left="720" w:firstLine="9"/>
        <w:jc w:val="both"/>
        <w:rPr>
          <w:rFonts w:eastAsia="宋体" w:cs="Times New Roman"/>
          <w:szCs w:val="21"/>
        </w:rPr>
      </w:pPr>
      <w:r w:rsidRPr="003C2170">
        <w:rPr>
          <w:rFonts w:eastAsia="宋体" w:cs="Times New Roman" w:hint="eastAsia"/>
          <w:szCs w:val="21"/>
        </w:rPr>
        <w:t>当本集团预期对金融资产未来现金流量具有不利影响的一项或多项事件发生时，该金融资产成为已发生信用减值的金融资产。金融资产已发生信用减值的证据包括下列可观察信息</w:t>
      </w:r>
      <w:r w:rsidR="005F14EE" w:rsidRPr="003C2170">
        <w:rPr>
          <w:rFonts w:eastAsia="宋体" w:cs="Times New Roman" w:hint="eastAsia"/>
          <w:szCs w:val="21"/>
        </w:rPr>
        <w:t>：</w:t>
      </w:r>
    </w:p>
    <w:p w:rsidR="00DE7E87" w:rsidRPr="003C2170" w:rsidRDefault="00DE7E87" w:rsidP="003C2170">
      <w:pPr>
        <w:ind w:left="720" w:firstLine="9"/>
        <w:jc w:val="both"/>
        <w:rPr>
          <w:rFonts w:eastAsia="宋体" w:cs="Times New Roman"/>
          <w:szCs w:val="21"/>
        </w:rPr>
      </w:pPr>
    </w:p>
    <w:p w:rsidR="00DE7E87" w:rsidRPr="003C2170" w:rsidRDefault="005F14EE" w:rsidP="003C2170">
      <w:pPr>
        <w:ind w:left="1440" w:hanging="720"/>
        <w:jc w:val="both"/>
        <w:rPr>
          <w:rFonts w:eastAsia="宋体" w:cs="Times New Roman"/>
          <w:szCs w:val="21"/>
        </w:rPr>
      </w:pPr>
      <w:r w:rsidRPr="003C2170">
        <w:rPr>
          <w:rFonts w:eastAsia="宋体" w:cs="Times New Roman"/>
          <w:szCs w:val="21"/>
        </w:rPr>
        <w:t>(</w:t>
      </w:r>
      <w:r w:rsidR="00DE7E87" w:rsidRPr="003C2170">
        <w:rPr>
          <w:rFonts w:eastAsia="宋体" w:cs="Times New Roman"/>
          <w:szCs w:val="21"/>
        </w:rPr>
        <w:t>1</w:t>
      </w:r>
      <w:r w:rsidRPr="003C2170">
        <w:rPr>
          <w:rFonts w:eastAsia="宋体" w:cs="Times New Roman"/>
          <w:szCs w:val="21"/>
        </w:rPr>
        <w:t>)</w:t>
      </w:r>
      <w:r w:rsidR="00DE7E87" w:rsidRPr="003C2170">
        <w:rPr>
          <w:rFonts w:eastAsia="宋体" w:cs="Times New Roman"/>
          <w:szCs w:val="21"/>
        </w:rPr>
        <w:tab/>
      </w:r>
      <w:r w:rsidR="00DE7E87" w:rsidRPr="003C2170">
        <w:rPr>
          <w:rFonts w:eastAsia="宋体" w:cs="Times New Roman" w:hint="eastAsia"/>
          <w:szCs w:val="21"/>
        </w:rPr>
        <w:t>发行方或债务人发生重大财务困难</w:t>
      </w:r>
      <w:r w:rsidRPr="003C2170">
        <w:rPr>
          <w:rFonts w:eastAsia="宋体" w:cs="Times New Roman" w:hint="eastAsia"/>
          <w:szCs w:val="21"/>
        </w:rPr>
        <w:t>；</w:t>
      </w:r>
    </w:p>
    <w:p w:rsidR="00DE7E87" w:rsidRPr="003C2170" w:rsidRDefault="005F14EE" w:rsidP="003C2170">
      <w:pPr>
        <w:ind w:left="1440" w:hanging="720"/>
        <w:jc w:val="both"/>
        <w:rPr>
          <w:rFonts w:eastAsia="宋体" w:cs="Times New Roman"/>
          <w:szCs w:val="21"/>
        </w:rPr>
      </w:pPr>
      <w:r w:rsidRPr="003C2170">
        <w:rPr>
          <w:rFonts w:eastAsia="宋体" w:cs="Times New Roman"/>
          <w:szCs w:val="21"/>
        </w:rPr>
        <w:t>(</w:t>
      </w:r>
      <w:r w:rsidR="00DE7E87" w:rsidRPr="003C2170">
        <w:rPr>
          <w:rFonts w:eastAsia="宋体" w:cs="Times New Roman"/>
          <w:szCs w:val="21"/>
        </w:rPr>
        <w:t>2</w:t>
      </w:r>
      <w:r w:rsidRPr="003C2170">
        <w:rPr>
          <w:rFonts w:eastAsia="宋体" w:cs="Times New Roman"/>
          <w:szCs w:val="21"/>
        </w:rPr>
        <w:t>)</w:t>
      </w:r>
      <w:r w:rsidR="00DE7E87" w:rsidRPr="003C2170">
        <w:rPr>
          <w:rFonts w:eastAsia="宋体" w:cs="Times New Roman"/>
          <w:szCs w:val="21"/>
        </w:rPr>
        <w:tab/>
      </w:r>
      <w:r w:rsidR="00DE7E87" w:rsidRPr="003C2170">
        <w:rPr>
          <w:rFonts w:eastAsia="宋体" w:cs="Times New Roman" w:hint="eastAsia"/>
          <w:szCs w:val="21"/>
        </w:rPr>
        <w:t>债务人违反合同，如偿付利息或本金违约或逾期等</w:t>
      </w:r>
      <w:r w:rsidRPr="003C2170">
        <w:rPr>
          <w:rFonts w:eastAsia="宋体" w:cs="Times New Roman" w:hint="eastAsia"/>
          <w:szCs w:val="21"/>
        </w:rPr>
        <w:t>；</w:t>
      </w:r>
    </w:p>
    <w:p w:rsidR="00DE7E87" w:rsidRPr="003C2170" w:rsidRDefault="005F14EE" w:rsidP="003C2170">
      <w:pPr>
        <w:ind w:left="1440" w:hanging="720"/>
        <w:jc w:val="both"/>
        <w:rPr>
          <w:rFonts w:eastAsia="宋体" w:cs="Times New Roman"/>
          <w:szCs w:val="21"/>
        </w:rPr>
      </w:pPr>
      <w:r w:rsidRPr="003C2170">
        <w:rPr>
          <w:rFonts w:eastAsia="宋体" w:cs="Times New Roman"/>
          <w:szCs w:val="21"/>
        </w:rPr>
        <w:t>(</w:t>
      </w:r>
      <w:r w:rsidR="00DE7E87" w:rsidRPr="003C2170">
        <w:rPr>
          <w:rFonts w:eastAsia="宋体" w:cs="Times New Roman"/>
          <w:szCs w:val="21"/>
        </w:rPr>
        <w:t>3</w:t>
      </w:r>
      <w:r w:rsidRPr="003C2170">
        <w:rPr>
          <w:rFonts w:eastAsia="宋体" w:cs="Times New Roman"/>
          <w:szCs w:val="21"/>
        </w:rPr>
        <w:t>)</w:t>
      </w:r>
      <w:r w:rsidR="00DE7E87" w:rsidRPr="003C2170">
        <w:rPr>
          <w:rFonts w:eastAsia="宋体" w:cs="Times New Roman"/>
          <w:szCs w:val="21"/>
        </w:rPr>
        <w:tab/>
      </w:r>
      <w:r w:rsidR="00DE7E87" w:rsidRPr="003C2170">
        <w:rPr>
          <w:rFonts w:eastAsia="宋体" w:cs="Times New Roman" w:hint="eastAsia"/>
          <w:szCs w:val="21"/>
        </w:rPr>
        <w:t>债权人出于与债务人财务困难有关的经济或合同考虑，给予债务人在任何其他情况下都不会做出的让步</w:t>
      </w:r>
      <w:r w:rsidRPr="003C2170">
        <w:rPr>
          <w:rFonts w:eastAsia="宋体" w:cs="Times New Roman" w:hint="eastAsia"/>
          <w:szCs w:val="21"/>
        </w:rPr>
        <w:t>；</w:t>
      </w:r>
    </w:p>
    <w:p w:rsidR="00493063" w:rsidRPr="003C2170" w:rsidRDefault="005F14EE" w:rsidP="003C2170">
      <w:pPr>
        <w:ind w:left="1440" w:hanging="720"/>
        <w:jc w:val="both"/>
        <w:rPr>
          <w:rFonts w:eastAsia="宋体" w:cs="Times New Roman"/>
          <w:szCs w:val="21"/>
        </w:rPr>
      </w:pPr>
      <w:r w:rsidRPr="003C2170">
        <w:rPr>
          <w:rFonts w:eastAsia="宋体" w:cs="Times New Roman"/>
          <w:szCs w:val="21"/>
        </w:rPr>
        <w:t>(</w:t>
      </w:r>
      <w:r w:rsidR="00DE7E87" w:rsidRPr="003C2170">
        <w:rPr>
          <w:rFonts w:eastAsia="宋体" w:cs="Times New Roman"/>
          <w:szCs w:val="21"/>
        </w:rPr>
        <w:t>4</w:t>
      </w:r>
      <w:r w:rsidRPr="003C2170">
        <w:rPr>
          <w:rFonts w:eastAsia="宋体" w:cs="Times New Roman"/>
          <w:szCs w:val="21"/>
        </w:rPr>
        <w:t>)</w:t>
      </w:r>
      <w:r w:rsidR="00DE7E87" w:rsidRPr="003C2170">
        <w:rPr>
          <w:rFonts w:eastAsia="宋体" w:cs="Times New Roman"/>
          <w:szCs w:val="21"/>
        </w:rPr>
        <w:tab/>
      </w:r>
      <w:r w:rsidR="009C70BA" w:rsidRPr="003C2170">
        <w:rPr>
          <w:rFonts w:eastAsia="宋体" w:cs="Times New Roman" w:hint="eastAsia"/>
          <w:szCs w:val="21"/>
        </w:rPr>
        <w:t>债务人很可能破产或进行其他财务重组。</w:t>
      </w:r>
    </w:p>
    <w:p w:rsidR="005D7660" w:rsidRPr="003C2170" w:rsidRDefault="005D7660" w:rsidP="003C2170">
      <w:pPr>
        <w:ind w:left="1440" w:hanging="720"/>
        <w:jc w:val="both"/>
        <w:rPr>
          <w:rFonts w:eastAsia="宋体" w:cs="Times New Roman"/>
          <w:szCs w:val="21"/>
        </w:rPr>
      </w:pPr>
    </w:p>
    <w:p w:rsidR="005D7660" w:rsidRPr="003C2170" w:rsidRDefault="0046445E" w:rsidP="0027505B">
      <w:pPr>
        <w:ind w:left="720" w:firstLine="9"/>
        <w:jc w:val="both"/>
        <w:rPr>
          <w:rFonts w:eastAsia="宋体" w:cs="Times New Roman"/>
          <w:b/>
          <w:szCs w:val="21"/>
        </w:rPr>
      </w:pPr>
      <w:r w:rsidRPr="003C2170">
        <w:rPr>
          <w:rFonts w:eastAsia="宋体" w:cs="Times New Roman" w:hint="eastAsia"/>
          <w:szCs w:val="21"/>
        </w:rPr>
        <w:t>基于本集团内部信用风险管理，当内部建议的或外部获取的信息中表明金融工具债务人不能全额偿付包括本集团在内的债权人</w:t>
      </w:r>
      <w:r w:rsidR="005F14EE" w:rsidRPr="003C2170">
        <w:rPr>
          <w:rFonts w:eastAsia="宋体" w:cs="Times New Roman"/>
          <w:szCs w:val="21"/>
        </w:rPr>
        <w:t>(</w:t>
      </w:r>
      <w:r w:rsidRPr="003C2170">
        <w:rPr>
          <w:rFonts w:eastAsia="宋体" w:cs="Times New Roman" w:hint="eastAsia"/>
          <w:szCs w:val="21"/>
        </w:rPr>
        <w:t>不考虑本集团取得的任何担保</w:t>
      </w:r>
      <w:r w:rsidR="005F14EE" w:rsidRPr="003C2170">
        <w:rPr>
          <w:rFonts w:eastAsia="宋体" w:cs="Times New Roman"/>
          <w:szCs w:val="21"/>
        </w:rPr>
        <w:t>)</w:t>
      </w:r>
      <w:r w:rsidRPr="003C2170">
        <w:rPr>
          <w:rFonts w:eastAsia="宋体" w:cs="Times New Roman" w:hint="eastAsia"/>
          <w:szCs w:val="21"/>
        </w:rPr>
        <w:t>，则本集团认为发生违约事件。</w:t>
      </w:r>
      <w:r w:rsidR="005D7660" w:rsidRPr="003C2170">
        <w:rPr>
          <w:rFonts w:eastAsia="宋体" w:cs="Times New Roman"/>
          <w:b/>
          <w:szCs w:val="21"/>
        </w:rPr>
        <w:br w:type="page"/>
      </w:r>
    </w:p>
    <w:p w:rsidR="005D7660" w:rsidRPr="003C2170" w:rsidRDefault="005F14EE" w:rsidP="003C2170">
      <w:pPr>
        <w:jc w:val="both"/>
        <w:rPr>
          <w:rFonts w:eastAsia="宋体" w:cs="Times New Roman"/>
          <w:szCs w:val="21"/>
        </w:rPr>
      </w:pPr>
      <w:r w:rsidRPr="003C2170">
        <w:rPr>
          <w:rFonts w:eastAsia="宋体" w:cs="Times New Roman"/>
          <w:b/>
          <w:szCs w:val="21"/>
        </w:rPr>
        <w:t>(</w:t>
      </w:r>
      <w:r w:rsidR="005D7660" w:rsidRPr="003C2170">
        <w:rPr>
          <w:rFonts w:eastAsia="宋体" w:cs="Times New Roman" w:hint="eastAsia"/>
          <w:b/>
          <w:szCs w:val="21"/>
        </w:rPr>
        <w:t>三</w:t>
      </w:r>
      <w:r w:rsidRPr="003C2170">
        <w:rPr>
          <w:rFonts w:eastAsia="宋体" w:cs="Times New Roman"/>
          <w:b/>
          <w:szCs w:val="21"/>
        </w:rPr>
        <w:t>)</w:t>
      </w:r>
      <w:r w:rsidR="005D7660" w:rsidRPr="003C2170">
        <w:rPr>
          <w:rFonts w:eastAsia="宋体" w:cs="Times New Roman"/>
          <w:b/>
          <w:szCs w:val="21"/>
        </w:rPr>
        <w:tab/>
      </w:r>
      <w:r w:rsidR="005D7660" w:rsidRPr="003C2170">
        <w:rPr>
          <w:rFonts w:eastAsia="宋体" w:cs="Times New Roman" w:hint="eastAsia"/>
          <w:b/>
          <w:szCs w:val="21"/>
        </w:rPr>
        <w:t>重要会计政策和会计估计</w:t>
      </w:r>
      <w:r w:rsidR="005D7660" w:rsidRPr="003C2170">
        <w:rPr>
          <w:rFonts w:eastAsia="宋体" w:cs="Times New Roman"/>
          <w:szCs w:val="21"/>
        </w:rPr>
        <w:t xml:space="preserve"> - </w:t>
      </w:r>
      <w:r w:rsidR="005D7660" w:rsidRPr="003C2170">
        <w:rPr>
          <w:rFonts w:eastAsia="宋体" w:cs="Times New Roman" w:hint="eastAsia"/>
          <w:szCs w:val="21"/>
        </w:rPr>
        <w:t>续</w:t>
      </w:r>
    </w:p>
    <w:p w:rsidR="005D7660" w:rsidRPr="003C2170" w:rsidRDefault="005D7660" w:rsidP="003C2170">
      <w:pPr>
        <w:ind w:left="720"/>
        <w:jc w:val="both"/>
        <w:rPr>
          <w:rFonts w:eastAsia="宋体" w:cs="Times New Roman"/>
          <w:snapToGrid w:val="0"/>
          <w:szCs w:val="21"/>
        </w:rPr>
      </w:pPr>
    </w:p>
    <w:p w:rsidR="005D7660" w:rsidRPr="003C2170" w:rsidRDefault="00FB6FD3" w:rsidP="003C2170">
      <w:pPr>
        <w:ind w:left="720"/>
        <w:jc w:val="both"/>
        <w:rPr>
          <w:rFonts w:eastAsia="宋体" w:cs="Times New Roman"/>
          <w:b/>
          <w:szCs w:val="21"/>
        </w:rPr>
      </w:pPr>
      <w:r w:rsidRPr="003C2170">
        <w:rPr>
          <w:rFonts w:eastAsia="宋体" w:cs="Times New Roman"/>
          <w:b/>
          <w:szCs w:val="21"/>
        </w:rPr>
        <w:t>10</w:t>
      </w:r>
      <w:r w:rsidR="005D7660" w:rsidRPr="003C2170">
        <w:rPr>
          <w:rFonts w:eastAsia="宋体" w:cs="Times New Roman"/>
          <w:b/>
          <w:szCs w:val="21"/>
        </w:rPr>
        <w:t>.</w:t>
      </w:r>
      <w:r w:rsidR="005D7660" w:rsidRPr="003C2170">
        <w:rPr>
          <w:rFonts w:eastAsia="宋体" w:cs="Times New Roman"/>
          <w:b/>
          <w:szCs w:val="21"/>
        </w:rPr>
        <w:tab/>
      </w:r>
      <w:r w:rsidR="005D7660" w:rsidRPr="003C2170">
        <w:rPr>
          <w:rFonts w:eastAsia="宋体" w:cs="Times New Roman" w:hint="eastAsia"/>
          <w:b/>
          <w:szCs w:val="21"/>
        </w:rPr>
        <w:t>金融工具</w:t>
      </w:r>
      <w:r w:rsidR="005D7660" w:rsidRPr="003C2170">
        <w:rPr>
          <w:rFonts w:eastAsia="宋体" w:cs="Times New Roman"/>
          <w:szCs w:val="21"/>
        </w:rPr>
        <w:t xml:space="preserve"> - </w:t>
      </w:r>
      <w:r w:rsidR="005D7660" w:rsidRPr="003C2170">
        <w:rPr>
          <w:rFonts w:eastAsia="宋体" w:cs="Times New Roman" w:hint="eastAsia"/>
          <w:szCs w:val="21"/>
        </w:rPr>
        <w:t>续</w:t>
      </w:r>
    </w:p>
    <w:p w:rsidR="005D7660" w:rsidRPr="003C2170" w:rsidRDefault="005D7660" w:rsidP="003C2170">
      <w:pPr>
        <w:ind w:left="720"/>
        <w:jc w:val="both"/>
        <w:rPr>
          <w:rFonts w:eastAsia="宋体" w:cs="Times New Roman"/>
          <w:b/>
          <w:szCs w:val="21"/>
        </w:rPr>
      </w:pPr>
    </w:p>
    <w:p w:rsidR="005D7660" w:rsidRPr="003C2170" w:rsidRDefault="00FB6FD3" w:rsidP="003C2170">
      <w:pPr>
        <w:autoSpaceDE w:val="0"/>
        <w:autoSpaceDN w:val="0"/>
        <w:ind w:left="1440" w:hanging="711"/>
        <w:jc w:val="both"/>
        <w:textAlignment w:val="baseline"/>
        <w:rPr>
          <w:rFonts w:eastAsia="宋体" w:cs="Times New Roman"/>
          <w:szCs w:val="21"/>
          <w:u w:val="single"/>
        </w:rPr>
      </w:pPr>
      <w:r w:rsidRPr="003C2170">
        <w:rPr>
          <w:rFonts w:eastAsia="宋体" w:cs="Times New Roman"/>
          <w:szCs w:val="21"/>
          <w:u w:val="single"/>
        </w:rPr>
        <w:t>10</w:t>
      </w:r>
      <w:r w:rsidR="005D7660" w:rsidRPr="003C2170">
        <w:rPr>
          <w:rFonts w:eastAsia="宋体" w:cs="Times New Roman"/>
          <w:szCs w:val="21"/>
          <w:u w:val="single"/>
        </w:rPr>
        <w:t>.2</w:t>
      </w:r>
      <w:r w:rsidR="005D7660" w:rsidRPr="003C2170">
        <w:rPr>
          <w:rFonts w:eastAsia="宋体" w:cs="Times New Roman"/>
          <w:szCs w:val="21"/>
          <w:u w:val="single"/>
        </w:rPr>
        <w:tab/>
      </w:r>
      <w:r w:rsidR="005D7660" w:rsidRPr="003C2170">
        <w:rPr>
          <w:rFonts w:eastAsia="宋体" w:cs="Times New Roman" w:hint="eastAsia"/>
          <w:szCs w:val="21"/>
          <w:u w:val="single"/>
        </w:rPr>
        <w:t>金融工具减值</w:t>
      </w:r>
      <w:r w:rsidR="005D7660" w:rsidRPr="003C2170">
        <w:rPr>
          <w:rFonts w:eastAsia="宋体" w:cs="Times New Roman"/>
          <w:szCs w:val="21"/>
        </w:rPr>
        <w:t xml:space="preserve"> - </w:t>
      </w:r>
      <w:r w:rsidR="005D7660" w:rsidRPr="003C2170">
        <w:rPr>
          <w:rFonts w:eastAsia="宋体" w:cs="Times New Roman" w:hint="eastAsia"/>
          <w:szCs w:val="21"/>
        </w:rPr>
        <w:t>续</w:t>
      </w:r>
    </w:p>
    <w:p w:rsidR="00616FB7" w:rsidRPr="003C2170" w:rsidRDefault="00616FB7" w:rsidP="003C2170">
      <w:pPr>
        <w:ind w:left="720" w:firstLine="9"/>
        <w:jc w:val="both"/>
        <w:rPr>
          <w:rFonts w:eastAsia="宋体" w:cs="Times New Roman"/>
          <w:szCs w:val="21"/>
        </w:rPr>
      </w:pPr>
    </w:p>
    <w:p w:rsidR="006A0732" w:rsidRPr="003C2170" w:rsidRDefault="00FB6FD3" w:rsidP="003C2170">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6A0732" w:rsidRPr="003C2170">
        <w:rPr>
          <w:rFonts w:eastAsia="宋体" w:cs="Times New Roman"/>
          <w:szCs w:val="21"/>
          <w:u w:val="single"/>
        </w:rPr>
        <w:t>.2.3</w:t>
      </w:r>
      <w:r w:rsidR="006A0732" w:rsidRPr="003C2170">
        <w:rPr>
          <w:rFonts w:eastAsia="宋体" w:cs="Times New Roman"/>
          <w:szCs w:val="21"/>
          <w:u w:val="single"/>
        </w:rPr>
        <w:tab/>
      </w:r>
      <w:r w:rsidR="006A0732" w:rsidRPr="003C2170">
        <w:rPr>
          <w:rFonts w:eastAsia="宋体" w:cs="Times New Roman" w:hint="eastAsia"/>
          <w:szCs w:val="21"/>
          <w:u w:val="single"/>
        </w:rPr>
        <w:t>预期信用损失的确定</w:t>
      </w:r>
    </w:p>
    <w:p w:rsidR="006A0732" w:rsidRPr="003C2170" w:rsidRDefault="006A0732" w:rsidP="003C2170">
      <w:pPr>
        <w:ind w:left="720"/>
        <w:jc w:val="both"/>
        <w:rPr>
          <w:rFonts w:eastAsia="宋体" w:cs="Times New Roman"/>
          <w:szCs w:val="21"/>
        </w:rPr>
      </w:pPr>
    </w:p>
    <w:p w:rsidR="006A0732" w:rsidRPr="003C2170" w:rsidRDefault="006A0732" w:rsidP="003C2170">
      <w:pPr>
        <w:ind w:left="720"/>
        <w:jc w:val="both"/>
        <w:rPr>
          <w:rFonts w:eastAsia="宋体" w:cs="Times New Roman"/>
          <w:szCs w:val="21"/>
        </w:rPr>
      </w:pPr>
      <w:r w:rsidRPr="003C2170">
        <w:rPr>
          <w:rFonts w:eastAsia="宋体" w:cs="Times New Roman" w:hint="eastAsia"/>
          <w:szCs w:val="21"/>
        </w:rPr>
        <w:t>本集团按照下列方法确定相关金融工具的预期信用损失</w:t>
      </w:r>
      <w:r w:rsidR="005F14EE" w:rsidRPr="003C2170">
        <w:rPr>
          <w:rFonts w:eastAsia="宋体" w:cs="Times New Roman" w:hint="eastAsia"/>
          <w:szCs w:val="21"/>
        </w:rPr>
        <w:t>：</w:t>
      </w:r>
    </w:p>
    <w:p w:rsidR="006A0732" w:rsidRPr="003C2170" w:rsidRDefault="006A0732" w:rsidP="003C2170">
      <w:pPr>
        <w:ind w:left="720"/>
        <w:jc w:val="both"/>
        <w:rPr>
          <w:rFonts w:eastAsia="宋体" w:cs="Times New Roman"/>
          <w:szCs w:val="21"/>
        </w:rPr>
      </w:pPr>
    </w:p>
    <w:p w:rsidR="006A0732" w:rsidRPr="003C2170" w:rsidRDefault="006A0732" w:rsidP="003C2170">
      <w:pPr>
        <w:pStyle w:val="aff1"/>
        <w:numPr>
          <w:ilvl w:val="0"/>
          <w:numId w:val="36"/>
        </w:numPr>
        <w:ind w:left="1260" w:firstLineChars="0" w:hanging="540"/>
        <w:jc w:val="both"/>
        <w:rPr>
          <w:szCs w:val="21"/>
        </w:rPr>
      </w:pPr>
      <w:r w:rsidRPr="003C2170">
        <w:rPr>
          <w:rFonts w:hint="eastAsia"/>
          <w:szCs w:val="21"/>
        </w:rPr>
        <w:t>对于金融资产，信用损失应为本集团应收取的合同现金流量与预期收取的现金流量之间差额的现值。</w:t>
      </w:r>
    </w:p>
    <w:p w:rsidR="006A0732" w:rsidRPr="003C2170" w:rsidRDefault="006A0732" w:rsidP="003C2170">
      <w:pPr>
        <w:pStyle w:val="aff1"/>
        <w:numPr>
          <w:ilvl w:val="0"/>
          <w:numId w:val="36"/>
        </w:numPr>
        <w:ind w:left="1260" w:firstLineChars="0" w:hanging="540"/>
        <w:jc w:val="both"/>
        <w:rPr>
          <w:szCs w:val="21"/>
        </w:rPr>
      </w:pPr>
      <w:r w:rsidRPr="003C2170">
        <w:rPr>
          <w:rFonts w:hint="eastAsia"/>
          <w:szCs w:val="21"/>
        </w:rPr>
        <w:t>对于资产负债表日已发生信用减值但并非</w:t>
      </w:r>
      <w:proofErr w:type="gramStart"/>
      <w:r w:rsidRPr="003C2170">
        <w:rPr>
          <w:rFonts w:hint="eastAsia"/>
          <w:szCs w:val="21"/>
        </w:rPr>
        <w:t>购买或源生</w:t>
      </w:r>
      <w:proofErr w:type="gramEnd"/>
      <w:r w:rsidRPr="003C2170">
        <w:rPr>
          <w:rFonts w:hint="eastAsia"/>
          <w:szCs w:val="21"/>
        </w:rPr>
        <w:t>已发生信用减值的金融资产，信用损失为该金融资产账面余额与按</w:t>
      </w:r>
      <w:proofErr w:type="gramStart"/>
      <w:r w:rsidRPr="003C2170">
        <w:rPr>
          <w:rFonts w:hint="eastAsia"/>
          <w:szCs w:val="21"/>
        </w:rPr>
        <w:t>原实际</w:t>
      </w:r>
      <w:proofErr w:type="gramEnd"/>
      <w:r w:rsidRPr="003C2170">
        <w:rPr>
          <w:rFonts w:hint="eastAsia"/>
          <w:szCs w:val="21"/>
        </w:rPr>
        <w:t>利率折现的估计未来现金流量的现值之间的差额。</w:t>
      </w:r>
    </w:p>
    <w:p w:rsidR="006A0732" w:rsidRPr="003C2170" w:rsidRDefault="006A0732" w:rsidP="003C2170">
      <w:pPr>
        <w:ind w:left="720"/>
        <w:jc w:val="both"/>
        <w:rPr>
          <w:rFonts w:eastAsia="宋体" w:cs="Times New Roman"/>
          <w:szCs w:val="21"/>
        </w:rPr>
      </w:pPr>
    </w:p>
    <w:p w:rsidR="006A0732" w:rsidRPr="003C2170" w:rsidRDefault="006A0732" w:rsidP="003C2170">
      <w:pPr>
        <w:ind w:left="720"/>
        <w:jc w:val="both"/>
        <w:rPr>
          <w:rFonts w:eastAsia="宋体" w:cs="Times New Roman"/>
          <w:szCs w:val="21"/>
        </w:rPr>
      </w:pPr>
      <w:r w:rsidRPr="003C2170">
        <w:rPr>
          <w:rFonts w:eastAsia="宋体" w:cs="Times New Roman" w:hint="eastAsia"/>
          <w:szCs w:val="21"/>
        </w:rPr>
        <w:t>本集团计量金融工具预期信用损失的方法反映的因素包括</w:t>
      </w:r>
      <w:r w:rsidR="005F14EE" w:rsidRPr="003C2170">
        <w:rPr>
          <w:rFonts w:eastAsia="宋体" w:cs="Times New Roman" w:hint="eastAsia"/>
          <w:szCs w:val="21"/>
        </w:rPr>
        <w:t>：</w:t>
      </w:r>
      <w:r w:rsidRPr="003C2170">
        <w:rPr>
          <w:rFonts w:eastAsia="宋体" w:cs="Times New Roman" w:hint="eastAsia"/>
          <w:szCs w:val="21"/>
        </w:rPr>
        <w:t>通过评价一系列可能的结果而确定的无偏概率加权平均金额</w:t>
      </w:r>
      <w:r w:rsidR="005F14EE" w:rsidRPr="003C2170">
        <w:rPr>
          <w:rFonts w:eastAsia="宋体" w:cs="Times New Roman" w:hint="eastAsia"/>
          <w:szCs w:val="21"/>
        </w:rPr>
        <w:t>；</w:t>
      </w:r>
      <w:r w:rsidRPr="003C2170">
        <w:rPr>
          <w:rFonts w:eastAsia="宋体" w:cs="Times New Roman" w:hint="eastAsia"/>
          <w:szCs w:val="21"/>
        </w:rPr>
        <w:t>货币时间价值</w:t>
      </w:r>
      <w:r w:rsidR="005F14EE" w:rsidRPr="003C2170">
        <w:rPr>
          <w:rFonts w:eastAsia="宋体" w:cs="Times New Roman" w:hint="eastAsia"/>
          <w:szCs w:val="21"/>
        </w:rPr>
        <w:t>；</w:t>
      </w:r>
      <w:r w:rsidRPr="003C2170">
        <w:rPr>
          <w:rFonts w:eastAsia="宋体" w:cs="Times New Roman" w:hint="eastAsia"/>
          <w:szCs w:val="21"/>
        </w:rPr>
        <w:t>在资产负债表日无须付出不必要的额外成本或努力即可获得的有关过去事项、当前状况以及未来经济状况预测的合理且有依据的信息。</w:t>
      </w:r>
    </w:p>
    <w:p w:rsidR="00AA4806" w:rsidRPr="003C2170" w:rsidRDefault="00AA4806" w:rsidP="003C2170">
      <w:pPr>
        <w:ind w:left="720"/>
        <w:jc w:val="both"/>
        <w:rPr>
          <w:rFonts w:eastAsia="宋体" w:cs="Times New Roman"/>
          <w:szCs w:val="21"/>
        </w:rPr>
      </w:pPr>
    </w:p>
    <w:p w:rsidR="00AA4806" w:rsidRPr="003C2170" w:rsidRDefault="00633E95" w:rsidP="003C2170">
      <w:pPr>
        <w:autoSpaceDE w:val="0"/>
        <w:autoSpaceDN w:val="0"/>
        <w:ind w:left="720" w:firstLine="9"/>
        <w:jc w:val="both"/>
        <w:textAlignment w:val="baseline"/>
        <w:rPr>
          <w:rFonts w:eastAsia="宋体" w:cs="Times New Roman"/>
          <w:szCs w:val="21"/>
          <w:u w:val="single"/>
        </w:rPr>
      </w:pPr>
      <w:r w:rsidRPr="003C2170">
        <w:rPr>
          <w:rFonts w:eastAsia="宋体" w:cs="Times New Roman"/>
          <w:szCs w:val="21"/>
          <w:u w:val="single"/>
        </w:rPr>
        <w:t>10</w:t>
      </w:r>
      <w:r w:rsidR="00AA4806" w:rsidRPr="003C2170">
        <w:rPr>
          <w:rFonts w:eastAsia="宋体" w:cs="Times New Roman"/>
          <w:szCs w:val="21"/>
          <w:u w:val="single"/>
        </w:rPr>
        <w:t>.2.4</w:t>
      </w:r>
      <w:r w:rsidR="00AA4806" w:rsidRPr="003C2170">
        <w:rPr>
          <w:rFonts w:eastAsia="宋体" w:cs="Times New Roman"/>
          <w:szCs w:val="21"/>
          <w:u w:val="single"/>
        </w:rPr>
        <w:tab/>
      </w:r>
      <w:proofErr w:type="gramStart"/>
      <w:r w:rsidR="00AA4806" w:rsidRPr="003C2170">
        <w:rPr>
          <w:rFonts w:eastAsia="宋体" w:cs="Times New Roman" w:hint="eastAsia"/>
          <w:szCs w:val="21"/>
          <w:u w:val="single"/>
        </w:rPr>
        <w:t>减记金融资产</w:t>
      </w:r>
      <w:proofErr w:type="gramEnd"/>
    </w:p>
    <w:p w:rsidR="00AA4806" w:rsidRPr="003C2170" w:rsidRDefault="00AA4806" w:rsidP="003C2170">
      <w:pPr>
        <w:ind w:left="720" w:firstLine="9"/>
        <w:jc w:val="both"/>
        <w:rPr>
          <w:rFonts w:eastAsia="宋体" w:cs="Times New Roman"/>
          <w:szCs w:val="21"/>
        </w:rPr>
      </w:pPr>
    </w:p>
    <w:p w:rsidR="00AA4806" w:rsidRPr="003C2170" w:rsidRDefault="00AA4806" w:rsidP="003C2170">
      <w:pPr>
        <w:ind w:left="720" w:firstLine="9"/>
        <w:jc w:val="both"/>
        <w:rPr>
          <w:rFonts w:eastAsia="宋体" w:cs="Times New Roman"/>
          <w:szCs w:val="21"/>
        </w:rPr>
      </w:pPr>
      <w:r w:rsidRPr="003C2170">
        <w:rPr>
          <w:rFonts w:eastAsia="宋体" w:cs="Times New Roman" w:hint="eastAsia"/>
          <w:szCs w:val="21"/>
        </w:rPr>
        <w:t>当本集团不再合理预期金融资产合同现金流量能够全部或部分收回的，直接</w:t>
      </w:r>
      <w:proofErr w:type="gramStart"/>
      <w:r w:rsidRPr="003C2170">
        <w:rPr>
          <w:rFonts w:eastAsia="宋体" w:cs="Times New Roman" w:hint="eastAsia"/>
          <w:szCs w:val="21"/>
        </w:rPr>
        <w:t>减记该</w:t>
      </w:r>
      <w:proofErr w:type="gramEnd"/>
      <w:r w:rsidRPr="003C2170">
        <w:rPr>
          <w:rFonts w:eastAsia="宋体" w:cs="Times New Roman" w:hint="eastAsia"/>
          <w:szCs w:val="21"/>
        </w:rPr>
        <w:t>金融资产的账面余额。这种</w:t>
      </w:r>
      <w:proofErr w:type="gramStart"/>
      <w:r w:rsidRPr="003C2170">
        <w:rPr>
          <w:rFonts w:eastAsia="宋体" w:cs="Times New Roman" w:hint="eastAsia"/>
          <w:szCs w:val="21"/>
        </w:rPr>
        <w:t>减记构成</w:t>
      </w:r>
      <w:proofErr w:type="gramEnd"/>
      <w:r w:rsidRPr="003C2170">
        <w:rPr>
          <w:rFonts w:eastAsia="宋体" w:cs="Times New Roman" w:hint="eastAsia"/>
          <w:szCs w:val="21"/>
        </w:rPr>
        <w:t>相关金融资产的终止确认。</w:t>
      </w:r>
    </w:p>
    <w:p w:rsidR="00616FB7" w:rsidRPr="003C2170" w:rsidRDefault="00616FB7" w:rsidP="003C2170">
      <w:pPr>
        <w:ind w:left="720" w:firstLine="9"/>
        <w:jc w:val="both"/>
        <w:rPr>
          <w:rFonts w:eastAsia="宋体" w:cs="Times New Roman"/>
          <w:szCs w:val="21"/>
        </w:rPr>
      </w:pPr>
    </w:p>
    <w:p w:rsidR="006A0732" w:rsidRPr="003C2170" w:rsidRDefault="00633E95" w:rsidP="003C2170">
      <w:pPr>
        <w:autoSpaceDE w:val="0"/>
        <w:autoSpaceDN w:val="0"/>
        <w:ind w:left="720" w:firstLine="9"/>
        <w:jc w:val="both"/>
        <w:textAlignment w:val="baseline"/>
        <w:rPr>
          <w:rFonts w:eastAsia="宋体" w:cs="Times New Roman"/>
          <w:szCs w:val="21"/>
          <w:u w:val="single"/>
        </w:rPr>
      </w:pPr>
      <w:r w:rsidRPr="003C2170">
        <w:rPr>
          <w:rFonts w:eastAsia="宋体" w:cs="Times New Roman"/>
          <w:szCs w:val="21"/>
          <w:u w:val="single"/>
        </w:rPr>
        <w:t>10</w:t>
      </w:r>
      <w:r w:rsidR="006A0732" w:rsidRPr="003C2170">
        <w:rPr>
          <w:rFonts w:eastAsia="宋体" w:cs="Times New Roman"/>
          <w:szCs w:val="21"/>
          <w:u w:val="single"/>
        </w:rPr>
        <w:t>.3</w:t>
      </w:r>
      <w:r w:rsidR="006A0732" w:rsidRPr="003C2170">
        <w:rPr>
          <w:rFonts w:eastAsia="宋体" w:cs="Times New Roman"/>
          <w:szCs w:val="21"/>
          <w:u w:val="single"/>
        </w:rPr>
        <w:tab/>
      </w:r>
      <w:r w:rsidR="006A0732" w:rsidRPr="003C2170">
        <w:rPr>
          <w:rFonts w:eastAsia="宋体" w:cs="Times New Roman" w:hint="eastAsia"/>
          <w:szCs w:val="21"/>
          <w:u w:val="single"/>
        </w:rPr>
        <w:t>金融资产的转移</w:t>
      </w:r>
    </w:p>
    <w:p w:rsidR="006A0732" w:rsidRPr="003C2170" w:rsidRDefault="006A0732" w:rsidP="003C2170">
      <w:pPr>
        <w:ind w:left="720" w:firstLine="9"/>
        <w:jc w:val="both"/>
        <w:rPr>
          <w:rFonts w:eastAsia="宋体" w:cs="Times New Roman"/>
          <w:szCs w:val="21"/>
        </w:rPr>
      </w:pPr>
    </w:p>
    <w:p w:rsidR="006A0732" w:rsidRPr="003C2170" w:rsidRDefault="006A0732" w:rsidP="003C2170">
      <w:pPr>
        <w:ind w:left="720" w:firstLine="9"/>
        <w:jc w:val="both"/>
        <w:rPr>
          <w:rFonts w:eastAsia="宋体" w:cs="Times New Roman"/>
          <w:szCs w:val="21"/>
        </w:rPr>
      </w:pPr>
      <w:r w:rsidRPr="003C2170">
        <w:rPr>
          <w:rFonts w:eastAsia="宋体" w:cs="Times New Roman" w:hint="eastAsia"/>
          <w:szCs w:val="21"/>
        </w:rPr>
        <w:t>满足下列条件之一的金融资产，予以终止确认</w:t>
      </w:r>
      <w:r w:rsidR="005F14EE" w:rsidRPr="003C2170">
        <w:rPr>
          <w:rFonts w:eastAsia="宋体" w:cs="Times New Roman" w:hint="eastAsia"/>
          <w:szCs w:val="21"/>
        </w:rPr>
        <w:t>：</w:t>
      </w:r>
      <w:r w:rsidR="005F14EE" w:rsidRPr="003C2170">
        <w:rPr>
          <w:rFonts w:eastAsia="宋体" w:cs="Times New Roman"/>
          <w:szCs w:val="21"/>
        </w:rPr>
        <w:t>(</w:t>
      </w:r>
      <w:r w:rsidRPr="003C2170">
        <w:rPr>
          <w:rFonts w:eastAsia="宋体" w:cs="Times New Roman"/>
          <w:szCs w:val="21"/>
        </w:rPr>
        <w:t>1</w:t>
      </w:r>
      <w:r w:rsidR="005F14EE" w:rsidRPr="003C2170">
        <w:rPr>
          <w:rFonts w:eastAsia="宋体" w:cs="Times New Roman"/>
          <w:szCs w:val="21"/>
        </w:rPr>
        <w:t>)</w:t>
      </w:r>
      <w:r w:rsidRPr="003C2170">
        <w:rPr>
          <w:rFonts w:eastAsia="宋体" w:cs="Times New Roman" w:hint="eastAsia"/>
          <w:szCs w:val="21"/>
        </w:rPr>
        <w:t>收取该金融资产现金流量的合同权利终止</w:t>
      </w:r>
      <w:r w:rsidR="005F14EE" w:rsidRPr="003C2170">
        <w:rPr>
          <w:rFonts w:eastAsia="宋体" w:cs="Times New Roman" w:hint="eastAsia"/>
          <w:szCs w:val="21"/>
        </w:rPr>
        <w:t>；</w:t>
      </w:r>
      <w:r w:rsidR="005F14EE" w:rsidRPr="003C2170">
        <w:rPr>
          <w:rFonts w:eastAsia="宋体" w:cs="Times New Roman"/>
          <w:szCs w:val="21"/>
        </w:rPr>
        <w:t>(</w:t>
      </w:r>
      <w:r w:rsidRPr="003C2170">
        <w:rPr>
          <w:rFonts w:eastAsia="宋体" w:cs="Times New Roman"/>
          <w:szCs w:val="21"/>
        </w:rPr>
        <w:t>2</w:t>
      </w:r>
      <w:r w:rsidR="005F14EE" w:rsidRPr="003C2170">
        <w:rPr>
          <w:rFonts w:eastAsia="宋体" w:cs="Times New Roman"/>
          <w:szCs w:val="21"/>
        </w:rPr>
        <w:t>)</w:t>
      </w:r>
      <w:r w:rsidRPr="003C2170">
        <w:rPr>
          <w:rFonts w:eastAsia="宋体" w:cs="Times New Roman" w:hint="eastAsia"/>
          <w:szCs w:val="21"/>
        </w:rPr>
        <w:t>该金融资产已转移，且将金融资产所有权上几乎所有的风险和报酬转移给转入方</w:t>
      </w:r>
      <w:r w:rsidR="005F14EE" w:rsidRPr="003C2170">
        <w:rPr>
          <w:rFonts w:eastAsia="宋体" w:cs="Times New Roman" w:hint="eastAsia"/>
          <w:szCs w:val="21"/>
        </w:rPr>
        <w:t>；</w:t>
      </w:r>
      <w:r w:rsidR="005F14EE" w:rsidRPr="003C2170">
        <w:rPr>
          <w:rFonts w:eastAsia="宋体" w:cs="Times New Roman"/>
          <w:szCs w:val="21"/>
        </w:rPr>
        <w:t>(</w:t>
      </w:r>
      <w:r w:rsidRPr="003C2170">
        <w:rPr>
          <w:rFonts w:eastAsia="宋体" w:cs="Times New Roman"/>
          <w:szCs w:val="21"/>
        </w:rPr>
        <w:t>3</w:t>
      </w:r>
      <w:r w:rsidR="005F14EE" w:rsidRPr="003C2170">
        <w:rPr>
          <w:rFonts w:eastAsia="宋体" w:cs="Times New Roman"/>
          <w:szCs w:val="21"/>
        </w:rPr>
        <w:t>)</w:t>
      </w:r>
      <w:r w:rsidRPr="003C2170">
        <w:rPr>
          <w:rFonts w:eastAsia="宋体" w:cs="Times New Roman" w:hint="eastAsia"/>
          <w:szCs w:val="21"/>
        </w:rPr>
        <w:t>该金融资产已转移，虽然本集团既没有转移也没有保留金融资产所有权上几乎所有的风险和报酬，但是未保留对该金融资产的控制。</w:t>
      </w:r>
    </w:p>
    <w:p w:rsidR="006A0732" w:rsidRPr="003C2170" w:rsidRDefault="006A0732" w:rsidP="003C2170">
      <w:pPr>
        <w:ind w:left="720" w:firstLine="9"/>
        <w:jc w:val="both"/>
        <w:rPr>
          <w:rFonts w:eastAsia="宋体" w:cs="Times New Roman"/>
          <w:szCs w:val="21"/>
        </w:rPr>
      </w:pPr>
    </w:p>
    <w:p w:rsidR="006A0732" w:rsidRPr="003C2170" w:rsidRDefault="006A0732" w:rsidP="003C2170">
      <w:pPr>
        <w:ind w:left="720" w:firstLine="9"/>
        <w:jc w:val="both"/>
        <w:rPr>
          <w:rFonts w:eastAsia="宋体" w:cs="Times New Roman"/>
          <w:szCs w:val="21"/>
        </w:rPr>
      </w:pPr>
      <w:r w:rsidRPr="003C2170">
        <w:rPr>
          <w:rFonts w:eastAsia="宋体" w:cs="Times New Roman" w:hint="eastAsia"/>
          <w:szCs w:val="21"/>
        </w:rPr>
        <w:t>若本集团既没有转移也没有保留金融资产所有权上几乎所有风险和报酬，且保留了对该金融资产控制的，则按照其继续涉入被转移金融资产的程度继续确认该被转移金融资产，并相应确认相关负债。本集团按照下列方式对相关负债进行计量</w:t>
      </w:r>
      <w:r w:rsidR="005F14EE" w:rsidRPr="003C2170">
        <w:rPr>
          <w:rFonts w:eastAsia="宋体" w:cs="Times New Roman" w:hint="eastAsia"/>
          <w:szCs w:val="21"/>
        </w:rPr>
        <w:t>：</w:t>
      </w:r>
    </w:p>
    <w:p w:rsidR="006A0732" w:rsidRPr="003C2170" w:rsidRDefault="006A0732" w:rsidP="003C2170">
      <w:pPr>
        <w:ind w:left="720" w:firstLine="9"/>
        <w:jc w:val="both"/>
        <w:rPr>
          <w:rFonts w:eastAsia="宋体" w:cs="Times New Roman"/>
          <w:szCs w:val="21"/>
        </w:rPr>
      </w:pPr>
    </w:p>
    <w:p w:rsidR="00434EC3" w:rsidRPr="003C2170" w:rsidRDefault="00CD0431" w:rsidP="003C2170">
      <w:pPr>
        <w:pStyle w:val="aff1"/>
        <w:numPr>
          <w:ilvl w:val="0"/>
          <w:numId w:val="36"/>
        </w:numPr>
        <w:ind w:left="1260" w:firstLineChars="0" w:hanging="540"/>
        <w:jc w:val="both"/>
        <w:rPr>
          <w:szCs w:val="21"/>
        </w:rPr>
      </w:pPr>
      <w:r w:rsidRPr="003C2170">
        <w:rPr>
          <w:rFonts w:hint="eastAsia"/>
          <w:szCs w:val="21"/>
        </w:rPr>
        <w:t>被转移金融资产以摊</w:t>
      </w:r>
      <w:proofErr w:type="gramStart"/>
      <w:r w:rsidRPr="003C2170">
        <w:rPr>
          <w:rFonts w:hint="eastAsia"/>
          <w:szCs w:val="21"/>
        </w:rPr>
        <w:t>余成本</w:t>
      </w:r>
      <w:proofErr w:type="gramEnd"/>
      <w:r w:rsidRPr="003C2170">
        <w:rPr>
          <w:rFonts w:hint="eastAsia"/>
          <w:szCs w:val="21"/>
        </w:rPr>
        <w:t>计量的，相关负债的账面价值等于继续涉入被转移金融资产的账面价值减去本集团保留的权利</w:t>
      </w:r>
      <w:r w:rsidR="005F14EE" w:rsidRPr="003C2170">
        <w:rPr>
          <w:szCs w:val="21"/>
        </w:rPr>
        <w:t>(</w:t>
      </w:r>
      <w:r w:rsidRPr="003C2170">
        <w:rPr>
          <w:rFonts w:hint="eastAsia"/>
          <w:szCs w:val="21"/>
        </w:rPr>
        <w:t>如果本集团因金融资产转移保留了相关权利</w:t>
      </w:r>
      <w:r w:rsidR="005F14EE" w:rsidRPr="003C2170">
        <w:rPr>
          <w:szCs w:val="21"/>
        </w:rPr>
        <w:t>)</w:t>
      </w:r>
      <w:r w:rsidRPr="003C2170">
        <w:rPr>
          <w:rFonts w:hint="eastAsia"/>
          <w:szCs w:val="21"/>
        </w:rPr>
        <w:t>的摊</w:t>
      </w:r>
      <w:proofErr w:type="gramStart"/>
      <w:r w:rsidRPr="003C2170">
        <w:rPr>
          <w:rFonts w:hint="eastAsia"/>
          <w:szCs w:val="21"/>
        </w:rPr>
        <w:t>余成本</w:t>
      </w:r>
      <w:proofErr w:type="gramEnd"/>
      <w:r w:rsidRPr="003C2170">
        <w:rPr>
          <w:rFonts w:hint="eastAsia"/>
          <w:szCs w:val="21"/>
        </w:rPr>
        <w:t>并加上本集团承担的义务</w:t>
      </w:r>
      <w:r w:rsidR="005F14EE" w:rsidRPr="003C2170">
        <w:rPr>
          <w:szCs w:val="21"/>
        </w:rPr>
        <w:t>(</w:t>
      </w:r>
      <w:r w:rsidRPr="003C2170">
        <w:rPr>
          <w:rFonts w:hint="eastAsia"/>
          <w:szCs w:val="21"/>
        </w:rPr>
        <w:t>如果本集团因金融资产转移承担了相关义务</w:t>
      </w:r>
      <w:r w:rsidR="005F14EE" w:rsidRPr="003C2170">
        <w:rPr>
          <w:szCs w:val="21"/>
        </w:rPr>
        <w:t>)</w:t>
      </w:r>
      <w:r w:rsidRPr="003C2170">
        <w:rPr>
          <w:rFonts w:hint="eastAsia"/>
          <w:szCs w:val="21"/>
        </w:rPr>
        <w:t>的摊余成本，相关负债不指定为以公允价值计量且其变动计入当期损益的金融负债。</w:t>
      </w:r>
    </w:p>
    <w:p w:rsidR="009F46EF" w:rsidRPr="003C2170" w:rsidRDefault="00434EC3" w:rsidP="003C2170">
      <w:pPr>
        <w:pStyle w:val="aff1"/>
        <w:numPr>
          <w:ilvl w:val="0"/>
          <w:numId w:val="36"/>
        </w:numPr>
        <w:ind w:left="1260" w:firstLineChars="0" w:hanging="540"/>
        <w:jc w:val="both"/>
        <w:rPr>
          <w:szCs w:val="21"/>
        </w:rPr>
      </w:pPr>
      <w:r w:rsidRPr="003C2170">
        <w:rPr>
          <w:rFonts w:hint="eastAsia"/>
          <w:szCs w:val="21"/>
        </w:rPr>
        <w:t>被转移金融资产以公允价值计量的，相关负债的账面价值等于继续涉入被转移金融资产的账面价值减去本集团保留的权利</w:t>
      </w:r>
      <w:r w:rsidR="005F14EE" w:rsidRPr="003C2170">
        <w:rPr>
          <w:szCs w:val="21"/>
        </w:rPr>
        <w:t>(</w:t>
      </w:r>
      <w:r w:rsidRPr="003C2170">
        <w:rPr>
          <w:rFonts w:hint="eastAsia"/>
          <w:szCs w:val="21"/>
        </w:rPr>
        <w:t>如果本集团因金融资产转移保留了相关权利</w:t>
      </w:r>
      <w:r w:rsidR="005F14EE" w:rsidRPr="003C2170">
        <w:rPr>
          <w:szCs w:val="21"/>
        </w:rPr>
        <w:t>)</w:t>
      </w:r>
      <w:r w:rsidRPr="003C2170">
        <w:rPr>
          <w:rFonts w:hint="eastAsia"/>
          <w:szCs w:val="21"/>
        </w:rPr>
        <w:t>的公允价值并加上本集团承担的义务</w:t>
      </w:r>
      <w:r w:rsidR="005F14EE" w:rsidRPr="003C2170">
        <w:rPr>
          <w:szCs w:val="21"/>
        </w:rPr>
        <w:t>(</w:t>
      </w:r>
      <w:r w:rsidRPr="003C2170">
        <w:rPr>
          <w:rFonts w:hint="eastAsia"/>
          <w:szCs w:val="21"/>
        </w:rPr>
        <w:t>如果本集团因金融资产转移承担了相关义务</w:t>
      </w:r>
      <w:r w:rsidR="005F14EE" w:rsidRPr="003C2170">
        <w:rPr>
          <w:szCs w:val="21"/>
        </w:rPr>
        <w:t>)</w:t>
      </w:r>
      <w:r w:rsidRPr="003C2170">
        <w:rPr>
          <w:rFonts w:hint="eastAsia"/>
          <w:szCs w:val="21"/>
        </w:rPr>
        <w:t>的公允价值，该权利和义务的公允价值应为按独立基础计量时的公允价值。</w:t>
      </w:r>
    </w:p>
    <w:p w:rsidR="00310CB8" w:rsidRPr="0027505B" w:rsidRDefault="00310CB8" w:rsidP="0027505B">
      <w:pPr>
        <w:ind w:left="720"/>
        <w:jc w:val="both"/>
        <w:rPr>
          <w:rFonts w:eastAsia="宋体" w:cs="Times New Roman"/>
          <w:szCs w:val="21"/>
        </w:rPr>
      </w:pPr>
    </w:p>
    <w:p w:rsidR="00310CB8" w:rsidRPr="003C2170" w:rsidRDefault="00310CB8" w:rsidP="003C2170">
      <w:pPr>
        <w:ind w:left="720"/>
        <w:jc w:val="both"/>
        <w:rPr>
          <w:rFonts w:eastAsia="宋体" w:cs="Times New Roman"/>
          <w:szCs w:val="21"/>
        </w:rPr>
      </w:pPr>
      <w:r w:rsidRPr="003C2170">
        <w:rPr>
          <w:rFonts w:eastAsia="宋体" w:cs="Times New Roman" w:hint="eastAsia"/>
          <w:szCs w:val="21"/>
        </w:rPr>
        <w:t>金融资产整体转移满足终止确认条件的，将所转移金融资产在终止确认日的账面价值及因转移金融资产而收到的对价与原计入其他综合收益的公允价值变动累计额中对应终止确认部分的金额之和的差额计入当期损益。若本集团转移的金融资产是指定为以公允价值计量且其变动计入其他综合收益的</w:t>
      </w:r>
      <w:proofErr w:type="gramStart"/>
      <w:r w:rsidRPr="003C2170">
        <w:rPr>
          <w:rFonts w:eastAsia="宋体" w:cs="Times New Roman" w:hint="eastAsia"/>
          <w:szCs w:val="21"/>
        </w:rPr>
        <w:t>非交易</w:t>
      </w:r>
      <w:proofErr w:type="gramEnd"/>
      <w:r w:rsidRPr="003C2170">
        <w:rPr>
          <w:rFonts w:eastAsia="宋体" w:cs="Times New Roman" w:hint="eastAsia"/>
          <w:szCs w:val="21"/>
        </w:rPr>
        <w:t>性权益工具投资，之前计入其他综合收益的累计利得或损失从其他综合收益中转出，计入留存收益。</w:t>
      </w:r>
    </w:p>
    <w:p w:rsidR="00310CB8" w:rsidRPr="0027505B" w:rsidRDefault="00310CB8" w:rsidP="0027505B">
      <w:pPr>
        <w:ind w:left="720"/>
        <w:jc w:val="both"/>
        <w:rPr>
          <w:rFonts w:eastAsia="宋体" w:cs="Times New Roman"/>
          <w:szCs w:val="21"/>
        </w:rPr>
      </w:pPr>
    </w:p>
    <w:p w:rsidR="005D7660" w:rsidRPr="003C2170" w:rsidRDefault="009F46EF" w:rsidP="0027505B">
      <w:pPr>
        <w:jc w:val="both"/>
        <w:rPr>
          <w:rFonts w:eastAsia="宋体" w:cs="Times New Roman"/>
          <w:szCs w:val="21"/>
        </w:rPr>
      </w:pPr>
      <w:r w:rsidRPr="003C2170">
        <w:rPr>
          <w:szCs w:val="21"/>
        </w:rPr>
        <w:br w:type="page"/>
      </w:r>
    </w:p>
    <w:p w:rsidR="005D7660" w:rsidRPr="003C2170" w:rsidRDefault="005F14EE" w:rsidP="003C2170">
      <w:pPr>
        <w:jc w:val="both"/>
        <w:rPr>
          <w:rFonts w:eastAsia="宋体" w:cs="Times New Roman"/>
          <w:szCs w:val="21"/>
        </w:rPr>
      </w:pPr>
      <w:r w:rsidRPr="003C2170">
        <w:rPr>
          <w:rFonts w:eastAsia="宋体" w:cs="Times New Roman"/>
          <w:b/>
          <w:szCs w:val="21"/>
        </w:rPr>
        <w:t>(</w:t>
      </w:r>
      <w:r w:rsidR="005D7660" w:rsidRPr="003C2170">
        <w:rPr>
          <w:rFonts w:eastAsia="宋体" w:cs="Times New Roman" w:hint="eastAsia"/>
          <w:b/>
          <w:szCs w:val="21"/>
        </w:rPr>
        <w:t>三</w:t>
      </w:r>
      <w:r w:rsidRPr="003C2170">
        <w:rPr>
          <w:rFonts w:eastAsia="宋体" w:cs="Times New Roman"/>
          <w:b/>
          <w:szCs w:val="21"/>
        </w:rPr>
        <w:t>)</w:t>
      </w:r>
      <w:r w:rsidR="005D7660" w:rsidRPr="003C2170">
        <w:rPr>
          <w:rFonts w:eastAsia="宋体" w:cs="Times New Roman"/>
          <w:b/>
          <w:szCs w:val="21"/>
        </w:rPr>
        <w:tab/>
      </w:r>
      <w:r w:rsidR="005D7660" w:rsidRPr="003C2170">
        <w:rPr>
          <w:rFonts w:eastAsia="宋体" w:cs="Times New Roman" w:hint="eastAsia"/>
          <w:b/>
          <w:szCs w:val="21"/>
        </w:rPr>
        <w:t>重要会计政策和会计估计</w:t>
      </w:r>
      <w:r w:rsidR="005D7660" w:rsidRPr="003C2170">
        <w:rPr>
          <w:rFonts w:eastAsia="宋体" w:cs="Times New Roman"/>
          <w:szCs w:val="21"/>
        </w:rPr>
        <w:t xml:space="preserve"> - </w:t>
      </w:r>
      <w:r w:rsidR="005D7660" w:rsidRPr="003C2170">
        <w:rPr>
          <w:rFonts w:eastAsia="宋体" w:cs="Times New Roman" w:hint="eastAsia"/>
          <w:szCs w:val="21"/>
        </w:rPr>
        <w:t>续</w:t>
      </w:r>
    </w:p>
    <w:p w:rsidR="005D7660" w:rsidRPr="003C2170" w:rsidRDefault="005D7660" w:rsidP="003C2170">
      <w:pPr>
        <w:ind w:left="720"/>
        <w:jc w:val="both"/>
        <w:rPr>
          <w:rFonts w:eastAsia="宋体" w:cs="Times New Roman"/>
          <w:snapToGrid w:val="0"/>
          <w:szCs w:val="21"/>
        </w:rPr>
      </w:pPr>
    </w:p>
    <w:p w:rsidR="005D7660" w:rsidRPr="003C2170" w:rsidRDefault="00633E95" w:rsidP="003C2170">
      <w:pPr>
        <w:ind w:left="720"/>
        <w:jc w:val="both"/>
        <w:rPr>
          <w:rFonts w:eastAsia="宋体" w:cs="Times New Roman"/>
          <w:b/>
          <w:szCs w:val="21"/>
        </w:rPr>
      </w:pPr>
      <w:r w:rsidRPr="003C2170">
        <w:rPr>
          <w:rFonts w:eastAsia="宋体" w:cs="Times New Roman"/>
          <w:b/>
          <w:szCs w:val="21"/>
        </w:rPr>
        <w:t>10</w:t>
      </w:r>
      <w:r w:rsidR="005D7660" w:rsidRPr="003C2170">
        <w:rPr>
          <w:rFonts w:eastAsia="宋体" w:cs="Times New Roman"/>
          <w:b/>
          <w:szCs w:val="21"/>
        </w:rPr>
        <w:t>.</w:t>
      </w:r>
      <w:r w:rsidR="005D7660" w:rsidRPr="003C2170">
        <w:rPr>
          <w:rFonts w:eastAsia="宋体" w:cs="Times New Roman"/>
          <w:b/>
          <w:szCs w:val="21"/>
        </w:rPr>
        <w:tab/>
      </w:r>
      <w:r w:rsidR="005D7660" w:rsidRPr="003C2170">
        <w:rPr>
          <w:rFonts w:eastAsia="宋体" w:cs="Times New Roman" w:hint="eastAsia"/>
          <w:b/>
          <w:szCs w:val="21"/>
        </w:rPr>
        <w:t>金融工具</w:t>
      </w:r>
      <w:r w:rsidR="005D7660" w:rsidRPr="003C2170">
        <w:rPr>
          <w:rFonts w:eastAsia="宋体" w:cs="Times New Roman"/>
          <w:szCs w:val="21"/>
        </w:rPr>
        <w:t xml:space="preserve"> - </w:t>
      </w:r>
      <w:r w:rsidR="005D7660" w:rsidRPr="003C2170">
        <w:rPr>
          <w:rFonts w:eastAsia="宋体" w:cs="Times New Roman" w:hint="eastAsia"/>
          <w:szCs w:val="21"/>
        </w:rPr>
        <w:t>续</w:t>
      </w:r>
    </w:p>
    <w:p w:rsidR="005D7660" w:rsidRPr="003C2170" w:rsidRDefault="005D7660" w:rsidP="003C2170">
      <w:pPr>
        <w:ind w:left="720"/>
        <w:jc w:val="both"/>
        <w:rPr>
          <w:rFonts w:eastAsia="宋体" w:cs="Times New Roman"/>
          <w:szCs w:val="21"/>
        </w:rPr>
      </w:pPr>
    </w:p>
    <w:p w:rsidR="005D7660" w:rsidRPr="003C2170" w:rsidRDefault="00633E95" w:rsidP="003C2170">
      <w:pPr>
        <w:autoSpaceDE w:val="0"/>
        <w:autoSpaceDN w:val="0"/>
        <w:ind w:left="720" w:firstLine="9"/>
        <w:jc w:val="both"/>
        <w:textAlignment w:val="baseline"/>
        <w:rPr>
          <w:rFonts w:eastAsia="宋体" w:cs="Times New Roman"/>
          <w:szCs w:val="21"/>
          <w:u w:val="single"/>
        </w:rPr>
      </w:pPr>
      <w:r w:rsidRPr="003C2170">
        <w:rPr>
          <w:rFonts w:eastAsia="宋体" w:cs="Times New Roman"/>
          <w:szCs w:val="21"/>
          <w:u w:val="single"/>
        </w:rPr>
        <w:t>10</w:t>
      </w:r>
      <w:r w:rsidR="005D7660" w:rsidRPr="003C2170">
        <w:rPr>
          <w:rFonts w:eastAsia="宋体" w:cs="Times New Roman"/>
          <w:szCs w:val="21"/>
          <w:u w:val="single"/>
        </w:rPr>
        <w:t>.3</w:t>
      </w:r>
      <w:r w:rsidR="005D7660" w:rsidRPr="003C2170">
        <w:rPr>
          <w:rFonts w:eastAsia="宋体" w:cs="Times New Roman"/>
          <w:szCs w:val="21"/>
          <w:u w:val="single"/>
        </w:rPr>
        <w:tab/>
      </w:r>
      <w:r w:rsidR="005D7660" w:rsidRPr="003C2170">
        <w:rPr>
          <w:rFonts w:eastAsia="宋体" w:cs="Times New Roman" w:hint="eastAsia"/>
          <w:szCs w:val="21"/>
          <w:u w:val="single"/>
        </w:rPr>
        <w:t>金融资产的转移</w:t>
      </w:r>
      <w:r w:rsidR="005D7660" w:rsidRPr="003C2170">
        <w:rPr>
          <w:rFonts w:eastAsia="宋体" w:cs="Times New Roman"/>
          <w:szCs w:val="21"/>
        </w:rPr>
        <w:t xml:space="preserve"> - </w:t>
      </w:r>
      <w:r w:rsidR="005D7660" w:rsidRPr="003C2170">
        <w:rPr>
          <w:rFonts w:eastAsia="宋体" w:cs="Times New Roman" w:hint="eastAsia"/>
          <w:szCs w:val="21"/>
        </w:rPr>
        <w:t>续</w:t>
      </w:r>
    </w:p>
    <w:p w:rsidR="00A54A07" w:rsidRPr="003C2170" w:rsidRDefault="00A54A07" w:rsidP="003C2170">
      <w:pPr>
        <w:ind w:left="720"/>
        <w:jc w:val="both"/>
        <w:rPr>
          <w:rFonts w:eastAsia="宋体" w:cs="Times New Roman"/>
          <w:szCs w:val="21"/>
        </w:rPr>
      </w:pPr>
    </w:p>
    <w:p w:rsidR="006A0732" w:rsidRPr="003C2170" w:rsidRDefault="006A0732" w:rsidP="003C2170">
      <w:pPr>
        <w:autoSpaceDE w:val="0"/>
        <w:autoSpaceDN w:val="0"/>
        <w:ind w:left="720"/>
        <w:jc w:val="both"/>
        <w:rPr>
          <w:rFonts w:eastAsia="宋体" w:cs="Times New Roman"/>
          <w:szCs w:val="21"/>
        </w:rPr>
      </w:pPr>
      <w:r w:rsidRPr="003C2170">
        <w:rPr>
          <w:rFonts w:eastAsia="宋体" w:cs="Times New Roman" w:hint="eastAsia"/>
          <w:szCs w:val="21"/>
        </w:rPr>
        <w:t>金融资产部分转移满足终止确认条件的，将转移前金融资产整体的账面价值在终止确认部分和继续确认部分之间按照</w:t>
      </w:r>
      <w:proofErr w:type="gramStart"/>
      <w:r w:rsidRPr="003C2170">
        <w:rPr>
          <w:rFonts w:eastAsia="宋体" w:cs="Times New Roman" w:hint="eastAsia"/>
          <w:szCs w:val="21"/>
        </w:rPr>
        <w:t>转移日</w:t>
      </w:r>
      <w:proofErr w:type="gramEnd"/>
      <w:r w:rsidRPr="003C2170">
        <w:rPr>
          <w:rFonts w:eastAsia="宋体" w:cs="Times New Roman" w:hint="eastAsia"/>
          <w:szCs w:val="21"/>
        </w:rPr>
        <w:t>各自的相对公允价值进行分摊，并将终止确认部分收到的对价和原计入其他综合收益的公允价值变动累计额中对应终止确认部分的金额之和与终止确认部分在终止确认日的账面价值之差额计入当期损益。若本集团转移的金融资产是指定为以公允价值计量且其变动计入其他综合收益的</w:t>
      </w:r>
      <w:proofErr w:type="gramStart"/>
      <w:r w:rsidRPr="003C2170">
        <w:rPr>
          <w:rFonts w:eastAsia="宋体" w:cs="Times New Roman" w:hint="eastAsia"/>
          <w:szCs w:val="21"/>
        </w:rPr>
        <w:t>非交易</w:t>
      </w:r>
      <w:proofErr w:type="gramEnd"/>
      <w:r w:rsidRPr="003C2170">
        <w:rPr>
          <w:rFonts w:eastAsia="宋体" w:cs="Times New Roman" w:hint="eastAsia"/>
          <w:szCs w:val="21"/>
        </w:rPr>
        <w:t>性权益工具投资，之前计入其他综合收益的累计利得或损失从其他综合收益中转出，计入留存收益。</w:t>
      </w:r>
    </w:p>
    <w:p w:rsidR="006A0732" w:rsidRPr="003C2170" w:rsidRDefault="006A0732" w:rsidP="003C2170">
      <w:pPr>
        <w:ind w:left="720"/>
        <w:jc w:val="both"/>
        <w:rPr>
          <w:rFonts w:eastAsia="宋体" w:cs="Times New Roman"/>
          <w:szCs w:val="21"/>
        </w:rPr>
      </w:pPr>
    </w:p>
    <w:p w:rsidR="006A0732" w:rsidRPr="003C2170" w:rsidRDefault="006A0732" w:rsidP="003C2170">
      <w:pPr>
        <w:ind w:left="720"/>
        <w:jc w:val="both"/>
        <w:rPr>
          <w:rFonts w:eastAsia="宋体" w:cs="Times New Roman"/>
          <w:szCs w:val="21"/>
        </w:rPr>
      </w:pPr>
      <w:r w:rsidRPr="003C2170">
        <w:rPr>
          <w:rFonts w:eastAsia="宋体" w:cs="Times New Roman" w:hint="eastAsia"/>
          <w:szCs w:val="21"/>
        </w:rPr>
        <w:t>金融资产整体转移未满足终止确认条件的，本集团继续确认所转移的金融资产整体，因资产转移而收到的对价在收到时确认为负债。</w:t>
      </w:r>
    </w:p>
    <w:p w:rsidR="00CD0431" w:rsidRPr="003C2170" w:rsidRDefault="00CD0431" w:rsidP="003C2170">
      <w:pPr>
        <w:ind w:left="720"/>
        <w:jc w:val="both"/>
        <w:rPr>
          <w:rFonts w:eastAsia="宋体" w:cs="Times New Roman"/>
          <w:szCs w:val="21"/>
        </w:rPr>
      </w:pPr>
    </w:p>
    <w:p w:rsidR="00CD0431" w:rsidRPr="003C2170" w:rsidRDefault="00633E95" w:rsidP="003C2170">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CD0431" w:rsidRPr="003C2170">
        <w:rPr>
          <w:rFonts w:eastAsia="宋体" w:cs="Times New Roman"/>
          <w:szCs w:val="21"/>
          <w:u w:val="single"/>
        </w:rPr>
        <w:t>.4</w:t>
      </w:r>
      <w:r w:rsidR="00CD0431" w:rsidRPr="003C2170">
        <w:rPr>
          <w:rFonts w:eastAsia="宋体" w:cs="Times New Roman"/>
          <w:szCs w:val="21"/>
          <w:u w:val="single"/>
        </w:rPr>
        <w:tab/>
      </w:r>
      <w:r w:rsidR="00CD0431" w:rsidRPr="003C2170">
        <w:rPr>
          <w:rFonts w:eastAsia="宋体" w:cs="Times New Roman" w:hint="eastAsia"/>
          <w:szCs w:val="21"/>
          <w:u w:val="single"/>
        </w:rPr>
        <w:t>金融负债和权益工具的分类</w:t>
      </w:r>
      <w:r w:rsidR="004D5ED7" w:rsidRPr="003C2170">
        <w:rPr>
          <w:rFonts w:eastAsia="宋体" w:cs="Times New Roman" w:hint="eastAsia"/>
          <w:szCs w:val="21"/>
          <w:u w:val="single"/>
        </w:rPr>
        <w:t>、确认及计量</w:t>
      </w:r>
    </w:p>
    <w:p w:rsidR="00CD0431" w:rsidRPr="003C2170" w:rsidRDefault="00CD0431" w:rsidP="003C2170">
      <w:pPr>
        <w:ind w:left="720"/>
        <w:jc w:val="both"/>
        <w:rPr>
          <w:rFonts w:eastAsia="宋体" w:cs="Times New Roman"/>
          <w:szCs w:val="21"/>
        </w:rPr>
      </w:pPr>
    </w:p>
    <w:p w:rsidR="00CD0431" w:rsidRPr="003C2170" w:rsidRDefault="00CD0431" w:rsidP="003C2170">
      <w:pPr>
        <w:ind w:left="720"/>
        <w:jc w:val="both"/>
        <w:rPr>
          <w:rFonts w:eastAsia="宋体" w:cs="Times New Roman"/>
          <w:szCs w:val="21"/>
        </w:rPr>
      </w:pPr>
      <w:r w:rsidRPr="003C2170">
        <w:rPr>
          <w:rFonts w:eastAsia="宋体" w:cs="Times New Roman" w:hint="eastAsia"/>
          <w:szCs w:val="21"/>
        </w:rPr>
        <w:t>本集团根据所发行金融工具的合同条款及其所反映的经济实质而非仅以法律形式，结合金融负债和权益工具的定义，在初始确认时将该金融工具或其组成部分分类为金融负债或权益工具。</w:t>
      </w:r>
    </w:p>
    <w:p w:rsidR="00CD0431" w:rsidRPr="003C2170" w:rsidRDefault="00CD0431" w:rsidP="003C2170">
      <w:pPr>
        <w:ind w:left="720"/>
        <w:jc w:val="both"/>
        <w:rPr>
          <w:rFonts w:eastAsia="宋体" w:cs="Times New Roman"/>
          <w:szCs w:val="21"/>
        </w:rPr>
      </w:pPr>
    </w:p>
    <w:p w:rsidR="00CD0431" w:rsidRPr="003C2170" w:rsidRDefault="00633E95" w:rsidP="003C2170">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CD0431" w:rsidRPr="003C2170">
        <w:rPr>
          <w:rFonts w:eastAsia="宋体" w:cs="Times New Roman"/>
          <w:szCs w:val="21"/>
          <w:u w:val="single"/>
        </w:rPr>
        <w:t>.4.1</w:t>
      </w:r>
      <w:r w:rsidR="00CD0431" w:rsidRPr="003C2170">
        <w:rPr>
          <w:rFonts w:eastAsia="宋体" w:cs="Times New Roman"/>
          <w:szCs w:val="21"/>
          <w:u w:val="single"/>
        </w:rPr>
        <w:tab/>
      </w:r>
      <w:r w:rsidR="00CD0431" w:rsidRPr="003C2170">
        <w:rPr>
          <w:rFonts w:eastAsia="宋体" w:cs="Times New Roman" w:hint="eastAsia"/>
          <w:szCs w:val="21"/>
          <w:u w:val="single"/>
        </w:rPr>
        <w:t>金融负债的分类、确认及计量</w:t>
      </w:r>
    </w:p>
    <w:p w:rsidR="00CD0431" w:rsidRPr="003C2170" w:rsidRDefault="00CD0431" w:rsidP="003C2170">
      <w:pPr>
        <w:ind w:left="720"/>
        <w:jc w:val="both"/>
        <w:rPr>
          <w:rFonts w:eastAsia="宋体" w:cs="Times New Roman"/>
          <w:szCs w:val="21"/>
        </w:rPr>
      </w:pPr>
    </w:p>
    <w:p w:rsidR="00CD0431" w:rsidRPr="003C2170" w:rsidRDefault="0031105F" w:rsidP="003C2170">
      <w:pPr>
        <w:ind w:left="720"/>
        <w:jc w:val="both"/>
        <w:rPr>
          <w:rFonts w:eastAsia="宋体" w:cs="Times New Roman"/>
          <w:szCs w:val="21"/>
        </w:rPr>
      </w:pPr>
      <w:r w:rsidRPr="003C2170">
        <w:rPr>
          <w:rFonts w:eastAsia="宋体" w:cs="Times New Roman" w:hint="eastAsia"/>
          <w:szCs w:val="21"/>
        </w:rPr>
        <w:t>金融负债在初始确认时划分为以公允价值计量且其变动计入当期损益的金融负债和其他金融负债。本集团仅持有其他金融负债。</w:t>
      </w:r>
    </w:p>
    <w:p w:rsidR="00CD0431" w:rsidRPr="003C2170" w:rsidRDefault="00CD0431" w:rsidP="003C2170">
      <w:pPr>
        <w:ind w:left="720"/>
        <w:jc w:val="both"/>
        <w:rPr>
          <w:rFonts w:eastAsia="宋体" w:cs="Times New Roman"/>
          <w:szCs w:val="21"/>
        </w:rPr>
      </w:pPr>
    </w:p>
    <w:p w:rsidR="00CD0431" w:rsidRPr="003C2170" w:rsidRDefault="00633E95" w:rsidP="003C2170">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CD0431" w:rsidRPr="003C2170">
        <w:rPr>
          <w:rFonts w:eastAsia="宋体" w:cs="Times New Roman"/>
          <w:szCs w:val="21"/>
          <w:u w:val="single"/>
        </w:rPr>
        <w:t>.4.1.1</w:t>
      </w:r>
      <w:r w:rsidR="00CD0431" w:rsidRPr="003C2170">
        <w:rPr>
          <w:rFonts w:eastAsia="宋体" w:cs="Times New Roman"/>
          <w:szCs w:val="21"/>
          <w:u w:val="single"/>
        </w:rPr>
        <w:tab/>
      </w:r>
      <w:r w:rsidR="00CD0431" w:rsidRPr="003C2170">
        <w:rPr>
          <w:rFonts w:eastAsia="宋体" w:cs="Times New Roman" w:hint="eastAsia"/>
          <w:szCs w:val="21"/>
          <w:u w:val="single"/>
        </w:rPr>
        <w:t>其他金融负债</w:t>
      </w:r>
    </w:p>
    <w:p w:rsidR="00CD0431" w:rsidRPr="003C2170" w:rsidRDefault="00CD0431" w:rsidP="003C2170">
      <w:pPr>
        <w:ind w:left="720"/>
        <w:jc w:val="both"/>
        <w:rPr>
          <w:rFonts w:eastAsia="宋体" w:cs="Times New Roman"/>
          <w:szCs w:val="21"/>
        </w:rPr>
      </w:pPr>
    </w:p>
    <w:p w:rsidR="00CD0431" w:rsidRPr="003C2170" w:rsidRDefault="00CD0431" w:rsidP="003C2170">
      <w:pPr>
        <w:ind w:left="720"/>
        <w:jc w:val="both"/>
        <w:rPr>
          <w:rFonts w:eastAsia="宋体" w:cs="Times New Roman"/>
          <w:szCs w:val="21"/>
        </w:rPr>
      </w:pPr>
      <w:r w:rsidRPr="003C2170">
        <w:rPr>
          <w:rFonts w:eastAsia="宋体" w:cs="Times New Roman" w:hint="eastAsia"/>
          <w:szCs w:val="21"/>
        </w:rPr>
        <w:t>除金融资产转移不符合终止确认条件或继续涉入被转移金融资产所形成的金融负债外的其他金融负债分类为以摊</w:t>
      </w:r>
      <w:proofErr w:type="gramStart"/>
      <w:r w:rsidRPr="003C2170">
        <w:rPr>
          <w:rFonts w:eastAsia="宋体" w:cs="Times New Roman" w:hint="eastAsia"/>
          <w:szCs w:val="21"/>
        </w:rPr>
        <w:t>余成本</w:t>
      </w:r>
      <w:proofErr w:type="gramEnd"/>
      <w:r w:rsidRPr="003C2170">
        <w:rPr>
          <w:rFonts w:eastAsia="宋体" w:cs="Times New Roman" w:hint="eastAsia"/>
          <w:szCs w:val="21"/>
        </w:rPr>
        <w:t>计量的金融负债，</w:t>
      </w:r>
      <w:proofErr w:type="gramStart"/>
      <w:r w:rsidRPr="003C2170">
        <w:rPr>
          <w:rFonts w:eastAsia="宋体" w:cs="Times New Roman" w:hint="eastAsia"/>
          <w:szCs w:val="21"/>
        </w:rPr>
        <w:t>按摊余成本</w:t>
      </w:r>
      <w:proofErr w:type="gramEnd"/>
      <w:r w:rsidRPr="003C2170">
        <w:rPr>
          <w:rFonts w:eastAsia="宋体" w:cs="Times New Roman" w:hint="eastAsia"/>
          <w:szCs w:val="21"/>
        </w:rPr>
        <w:t>进行后续计量，终止确认或摊销产生的利得或损失计入当期损益。</w:t>
      </w:r>
    </w:p>
    <w:p w:rsidR="00CD0431" w:rsidRPr="003C2170" w:rsidRDefault="00CD0431" w:rsidP="003C2170">
      <w:pPr>
        <w:ind w:left="720"/>
        <w:jc w:val="both"/>
        <w:rPr>
          <w:rFonts w:eastAsia="宋体" w:cs="Times New Roman"/>
          <w:szCs w:val="21"/>
        </w:rPr>
      </w:pPr>
    </w:p>
    <w:p w:rsidR="00A54A07" w:rsidRPr="003C2170" w:rsidRDefault="00CD0431" w:rsidP="003C2170">
      <w:pPr>
        <w:widowControl w:val="0"/>
        <w:tabs>
          <w:tab w:val="right" w:pos="6960"/>
          <w:tab w:val="right" w:pos="8760"/>
        </w:tabs>
        <w:ind w:left="720"/>
        <w:jc w:val="both"/>
        <w:textAlignment w:val="baseline"/>
        <w:rPr>
          <w:rFonts w:eastAsia="宋体" w:cs="Times New Roman"/>
          <w:szCs w:val="21"/>
        </w:rPr>
      </w:pPr>
      <w:r w:rsidRPr="003C2170">
        <w:rPr>
          <w:rFonts w:eastAsia="宋体" w:cs="Times New Roman"/>
          <w:szCs w:val="21"/>
        </w:rPr>
        <w:tab/>
      </w:r>
      <w:r w:rsidRPr="003C2170">
        <w:rPr>
          <w:rFonts w:eastAsia="宋体" w:cs="Times New Roman" w:hint="eastAsia"/>
          <w:szCs w:val="21"/>
        </w:rPr>
        <w:t>本集团与交易对手方修改或重新议定合同，未导致</w:t>
      </w:r>
      <w:proofErr w:type="gramStart"/>
      <w:r w:rsidRPr="003C2170">
        <w:rPr>
          <w:rFonts w:eastAsia="宋体" w:cs="Times New Roman" w:hint="eastAsia"/>
          <w:szCs w:val="21"/>
        </w:rPr>
        <w:t>按摊余成本</w:t>
      </w:r>
      <w:proofErr w:type="gramEnd"/>
      <w:r w:rsidRPr="003C2170">
        <w:rPr>
          <w:rFonts w:eastAsia="宋体" w:cs="Times New Roman" w:hint="eastAsia"/>
          <w:szCs w:val="21"/>
        </w:rPr>
        <w:t>进行后续计量的金融负债终止确认，但导致合同现金流量发生变化的，本集团重新计算该金融负债的账面价值，并将相关利得或损失计入当期损益。重新计算的该金融负债的账面价值，本集团根据将重新议定或修改的合同现金流量按金融负债的</w:t>
      </w:r>
      <w:proofErr w:type="gramStart"/>
      <w:r w:rsidRPr="003C2170">
        <w:rPr>
          <w:rFonts w:eastAsia="宋体" w:cs="Times New Roman" w:hint="eastAsia"/>
          <w:szCs w:val="21"/>
        </w:rPr>
        <w:t>原实际</w:t>
      </w:r>
      <w:proofErr w:type="gramEnd"/>
      <w:r w:rsidRPr="003C2170">
        <w:rPr>
          <w:rFonts w:eastAsia="宋体" w:cs="Times New Roman" w:hint="eastAsia"/>
          <w:szCs w:val="21"/>
        </w:rPr>
        <w:t>利率折现的现值确定。对于修改或重新议定合同所产生的所有成本或费用，本集团调整修改后的金融负债的账面价值，并在修改后金融负债的剩余期限内进行摊销。</w:t>
      </w:r>
    </w:p>
    <w:p w:rsidR="00B14D1A" w:rsidRPr="003C2170" w:rsidRDefault="00B14D1A" w:rsidP="003C2170">
      <w:pPr>
        <w:widowControl w:val="0"/>
        <w:tabs>
          <w:tab w:val="right" w:pos="6960"/>
          <w:tab w:val="right" w:pos="8760"/>
        </w:tabs>
        <w:ind w:left="720"/>
        <w:jc w:val="both"/>
        <w:textAlignment w:val="baseline"/>
        <w:rPr>
          <w:rFonts w:eastAsia="宋体" w:cs="Times New Roman"/>
          <w:szCs w:val="21"/>
        </w:rPr>
      </w:pPr>
    </w:p>
    <w:p w:rsidR="00CD0431" w:rsidRPr="003C2170" w:rsidRDefault="00633E95" w:rsidP="003C2170">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CD0431" w:rsidRPr="003C2170">
        <w:rPr>
          <w:rFonts w:eastAsia="宋体" w:cs="Times New Roman"/>
          <w:szCs w:val="21"/>
          <w:u w:val="single"/>
        </w:rPr>
        <w:t>.4.2</w:t>
      </w:r>
      <w:r w:rsidR="00CD0431" w:rsidRPr="003C2170">
        <w:rPr>
          <w:rFonts w:eastAsia="宋体" w:cs="Times New Roman"/>
          <w:szCs w:val="21"/>
          <w:u w:val="single"/>
        </w:rPr>
        <w:tab/>
      </w:r>
      <w:r w:rsidR="00CD0431" w:rsidRPr="003C2170">
        <w:rPr>
          <w:rFonts w:eastAsia="宋体" w:cs="Times New Roman" w:hint="eastAsia"/>
          <w:szCs w:val="21"/>
          <w:u w:val="single"/>
        </w:rPr>
        <w:t>金融负债的终止确认</w:t>
      </w:r>
    </w:p>
    <w:p w:rsidR="00CD0431" w:rsidRPr="003C2170" w:rsidRDefault="00CD0431" w:rsidP="003C2170">
      <w:pPr>
        <w:ind w:left="720"/>
        <w:jc w:val="both"/>
        <w:rPr>
          <w:rFonts w:eastAsia="宋体" w:cs="Times New Roman"/>
          <w:szCs w:val="21"/>
        </w:rPr>
      </w:pPr>
    </w:p>
    <w:p w:rsidR="00CD0431" w:rsidRPr="003C2170" w:rsidRDefault="00CD0431" w:rsidP="003C2170">
      <w:pPr>
        <w:ind w:left="720"/>
        <w:jc w:val="both"/>
        <w:rPr>
          <w:rFonts w:eastAsia="宋体" w:cs="Times New Roman"/>
          <w:szCs w:val="21"/>
        </w:rPr>
      </w:pPr>
      <w:r w:rsidRPr="003C2170">
        <w:rPr>
          <w:rFonts w:eastAsia="宋体" w:cs="Times New Roman" w:hint="eastAsia"/>
          <w:szCs w:val="21"/>
        </w:rPr>
        <w:t>金融负债的现时义务全部或部分已经解除的，终止确认该金融负债或其一部分。本集团</w:t>
      </w:r>
      <w:r w:rsidR="005F14EE" w:rsidRPr="003C2170">
        <w:rPr>
          <w:rFonts w:eastAsia="宋体" w:cs="Times New Roman"/>
          <w:szCs w:val="21"/>
        </w:rPr>
        <w:t>(</w:t>
      </w:r>
      <w:r w:rsidRPr="003C2170">
        <w:rPr>
          <w:rFonts w:eastAsia="宋体" w:cs="Times New Roman" w:hint="eastAsia"/>
          <w:szCs w:val="21"/>
        </w:rPr>
        <w:t>借入方</w:t>
      </w:r>
      <w:r w:rsidR="005F14EE" w:rsidRPr="003C2170">
        <w:rPr>
          <w:rFonts w:eastAsia="宋体" w:cs="Times New Roman"/>
          <w:szCs w:val="21"/>
        </w:rPr>
        <w:t>)</w:t>
      </w:r>
      <w:r w:rsidRPr="003C2170">
        <w:rPr>
          <w:rFonts w:eastAsia="宋体" w:cs="Times New Roman" w:hint="eastAsia"/>
          <w:szCs w:val="21"/>
        </w:rPr>
        <w:t>与借出方之间签订协议，以承担新金融负债方式替换</w:t>
      </w:r>
      <w:proofErr w:type="gramStart"/>
      <w:r w:rsidRPr="003C2170">
        <w:rPr>
          <w:rFonts w:eastAsia="宋体" w:cs="Times New Roman" w:hint="eastAsia"/>
          <w:szCs w:val="21"/>
        </w:rPr>
        <w:t>原金融</w:t>
      </w:r>
      <w:proofErr w:type="gramEnd"/>
      <w:r w:rsidRPr="003C2170">
        <w:rPr>
          <w:rFonts w:eastAsia="宋体" w:cs="Times New Roman" w:hint="eastAsia"/>
          <w:szCs w:val="21"/>
        </w:rPr>
        <w:t>负债，且新金融负债与原金融负债的合同条款实质上不同的，本集团终止确认原金融负债，并同时确认新金融负债。</w:t>
      </w:r>
      <w:r w:rsidRPr="003C2170">
        <w:rPr>
          <w:rFonts w:eastAsia="宋体" w:cs="Times New Roman"/>
          <w:szCs w:val="21"/>
        </w:rPr>
        <w:t xml:space="preserve"> </w:t>
      </w:r>
    </w:p>
    <w:p w:rsidR="00CD0431" w:rsidRPr="003C2170" w:rsidRDefault="00CD0431" w:rsidP="003C2170">
      <w:pPr>
        <w:ind w:left="720"/>
        <w:jc w:val="both"/>
        <w:rPr>
          <w:rFonts w:eastAsia="宋体" w:cs="Times New Roman"/>
          <w:szCs w:val="21"/>
        </w:rPr>
      </w:pPr>
    </w:p>
    <w:p w:rsidR="00CD0431" w:rsidRPr="003C2170" w:rsidRDefault="00CD0431" w:rsidP="003C2170">
      <w:pPr>
        <w:ind w:left="720"/>
        <w:jc w:val="both"/>
        <w:rPr>
          <w:rFonts w:eastAsia="宋体" w:cs="Times New Roman"/>
          <w:szCs w:val="21"/>
        </w:rPr>
      </w:pPr>
      <w:r w:rsidRPr="003C2170">
        <w:rPr>
          <w:rFonts w:eastAsia="宋体" w:cs="Times New Roman" w:hint="eastAsia"/>
          <w:szCs w:val="21"/>
        </w:rPr>
        <w:t>金融负债全部或部分终止确认的，将终止确认部分的账面价值与支付的对价</w:t>
      </w:r>
      <w:r w:rsidR="005F14EE" w:rsidRPr="003C2170">
        <w:rPr>
          <w:rFonts w:eastAsia="宋体" w:cs="Times New Roman"/>
          <w:szCs w:val="21"/>
        </w:rPr>
        <w:t>(</w:t>
      </w:r>
      <w:r w:rsidRPr="003C2170">
        <w:rPr>
          <w:rFonts w:eastAsia="宋体" w:cs="Times New Roman" w:hint="eastAsia"/>
          <w:szCs w:val="21"/>
        </w:rPr>
        <w:t>包括转出的非现金资产或承担的新金融负债</w:t>
      </w:r>
      <w:r w:rsidR="005F14EE" w:rsidRPr="003C2170">
        <w:rPr>
          <w:rFonts w:eastAsia="宋体" w:cs="Times New Roman"/>
          <w:szCs w:val="21"/>
        </w:rPr>
        <w:t>)</w:t>
      </w:r>
      <w:r w:rsidRPr="003C2170">
        <w:rPr>
          <w:rFonts w:eastAsia="宋体" w:cs="Times New Roman" w:hint="eastAsia"/>
          <w:szCs w:val="21"/>
        </w:rPr>
        <w:t>之间的差额，计入当期损益。</w:t>
      </w:r>
    </w:p>
    <w:p w:rsidR="00470634" w:rsidRPr="003C2170" w:rsidRDefault="00470634" w:rsidP="0027505B">
      <w:pPr>
        <w:jc w:val="both"/>
        <w:rPr>
          <w:rFonts w:eastAsia="宋体" w:cs="Times New Roman"/>
          <w:szCs w:val="21"/>
        </w:rPr>
      </w:pPr>
      <w:r w:rsidRPr="003C2170">
        <w:rPr>
          <w:rFonts w:eastAsia="宋体" w:cs="Times New Roman"/>
          <w:szCs w:val="21"/>
        </w:rPr>
        <w:br w:type="page"/>
      </w:r>
    </w:p>
    <w:p w:rsidR="00470634" w:rsidRPr="003C2170" w:rsidRDefault="005F14EE">
      <w:pPr>
        <w:jc w:val="both"/>
        <w:rPr>
          <w:rFonts w:eastAsia="宋体" w:cs="Times New Roman"/>
          <w:szCs w:val="21"/>
        </w:rPr>
      </w:pPr>
      <w:r w:rsidRPr="003C2170">
        <w:rPr>
          <w:rFonts w:eastAsia="宋体" w:cs="Times New Roman"/>
          <w:b/>
          <w:szCs w:val="21"/>
        </w:rPr>
        <w:t>(</w:t>
      </w:r>
      <w:r w:rsidR="00470634" w:rsidRPr="003C2170">
        <w:rPr>
          <w:rFonts w:eastAsia="宋体" w:cs="Times New Roman" w:hint="eastAsia"/>
          <w:b/>
          <w:szCs w:val="21"/>
        </w:rPr>
        <w:t>三</w:t>
      </w:r>
      <w:r w:rsidRPr="003C2170">
        <w:rPr>
          <w:rFonts w:eastAsia="宋体" w:cs="Times New Roman"/>
          <w:b/>
          <w:szCs w:val="21"/>
        </w:rPr>
        <w:t>)</w:t>
      </w:r>
      <w:r w:rsidR="00470634" w:rsidRPr="003C2170">
        <w:rPr>
          <w:rFonts w:eastAsia="宋体" w:cs="Times New Roman"/>
          <w:b/>
          <w:szCs w:val="21"/>
        </w:rPr>
        <w:tab/>
      </w:r>
      <w:r w:rsidR="00470634" w:rsidRPr="003C2170">
        <w:rPr>
          <w:rFonts w:eastAsia="宋体" w:cs="Times New Roman" w:hint="eastAsia"/>
          <w:b/>
          <w:szCs w:val="21"/>
        </w:rPr>
        <w:t>重要会计政策和会计估计</w:t>
      </w:r>
      <w:r w:rsidR="00470634" w:rsidRPr="003C2170">
        <w:rPr>
          <w:rFonts w:eastAsia="宋体" w:cs="Times New Roman"/>
          <w:szCs w:val="21"/>
        </w:rPr>
        <w:t xml:space="preserve"> - </w:t>
      </w:r>
      <w:r w:rsidR="00470634" w:rsidRPr="003C2170">
        <w:rPr>
          <w:rFonts w:eastAsia="宋体" w:cs="Times New Roman" w:hint="eastAsia"/>
          <w:szCs w:val="21"/>
        </w:rPr>
        <w:t>续</w:t>
      </w:r>
    </w:p>
    <w:p w:rsidR="00470634" w:rsidRPr="003C2170" w:rsidRDefault="00470634">
      <w:pPr>
        <w:ind w:left="720"/>
        <w:jc w:val="both"/>
        <w:rPr>
          <w:rFonts w:eastAsia="宋体" w:cs="Times New Roman"/>
          <w:snapToGrid w:val="0"/>
          <w:szCs w:val="21"/>
        </w:rPr>
      </w:pPr>
    </w:p>
    <w:p w:rsidR="00470634" w:rsidRPr="003C2170" w:rsidRDefault="00633E95">
      <w:pPr>
        <w:ind w:left="720"/>
        <w:jc w:val="both"/>
        <w:rPr>
          <w:rFonts w:eastAsia="宋体" w:cs="Times New Roman"/>
          <w:b/>
          <w:szCs w:val="21"/>
        </w:rPr>
      </w:pPr>
      <w:r w:rsidRPr="003C2170">
        <w:rPr>
          <w:rFonts w:eastAsia="宋体" w:cs="Times New Roman"/>
          <w:b/>
          <w:szCs w:val="21"/>
        </w:rPr>
        <w:t>10</w:t>
      </w:r>
      <w:r w:rsidR="00470634" w:rsidRPr="003C2170">
        <w:rPr>
          <w:rFonts w:eastAsia="宋体" w:cs="Times New Roman"/>
          <w:b/>
          <w:szCs w:val="21"/>
        </w:rPr>
        <w:t>.</w:t>
      </w:r>
      <w:r w:rsidR="00470634" w:rsidRPr="003C2170">
        <w:rPr>
          <w:rFonts w:eastAsia="宋体" w:cs="Times New Roman"/>
          <w:b/>
          <w:szCs w:val="21"/>
        </w:rPr>
        <w:tab/>
      </w:r>
      <w:r w:rsidR="00470634" w:rsidRPr="003C2170">
        <w:rPr>
          <w:rFonts w:eastAsia="宋体" w:cs="Times New Roman" w:hint="eastAsia"/>
          <w:b/>
          <w:szCs w:val="21"/>
        </w:rPr>
        <w:t>金融工具</w:t>
      </w:r>
      <w:r w:rsidR="00470634" w:rsidRPr="003C2170">
        <w:rPr>
          <w:rFonts w:eastAsia="宋体" w:cs="Times New Roman"/>
          <w:szCs w:val="21"/>
        </w:rPr>
        <w:t xml:space="preserve"> - </w:t>
      </w:r>
      <w:r w:rsidR="00470634" w:rsidRPr="003C2170">
        <w:rPr>
          <w:rFonts w:eastAsia="宋体" w:cs="Times New Roman" w:hint="eastAsia"/>
          <w:szCs w:val="21"/>
        </w:rPr>
        <w:t>续</w:t>
      </w:r>
    </w:p>
    <w:p w:rsidR="00470634" w:rsidRPr="003C2170" w:rsidRDefault="00470634">
      <w:pPr>
        <w:ind w:left="720"/>
        <w:jc w:val="both"/>
        <w:rPr>
          <w:rFonts w:eastAsia="宋体" w:cs="Times New Roman"/>
          <w:szCs w:val="21"/>
        </w:rPr>
      </w:pPr>
    </w:p>
    <w:p w:rsidR="00470634" w:rsidRPr="003C2170" w:rsidRDefault="00633E95">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470634" w:rsidRPr="003C2170">
        <w:rPr>
          <w:rFonts w:eastAsia="宋体" w:cs="Times New Roman"/>
          <w:szCs w:val="21"/>
          <w:u w:val="single"/>
        </w:rPr>
        <w:t>.4</w:t>
      </w:r>
      <w:r w:rsidR="00470634" w:rsidRPr="003C2170">
        <w:rPr>
          <w:rFonts w:eastAsia="宋体" w:cs="Times New Roman"/>
          <w:szCs w:val="21"/>
          <w:u w:val="single"/>
        </w:rPr>
        <w:tab/>
      </w:r>
      <w:r w:rsidR="00470634" w:rsidRPr="003C2170">
        <w:rPr>
          <w:rFonts w:eastAsia="宋体" w:cs="Times New Roman" w:hint="eastAsia"/>
          <w:szCs w:val="21"/>
          <w:u w:val="single"/>
        </w:rPr>
        <w:t>金融负债和权益工具的分类、确认及计量</w:t>
      </w:r>
      <w:r w:rsidR="00470634" w:rsidRPr="003C2170">
        <w:rPr>
          <w:rFonts w:eastAsia="宋体" w:cs="Times New Roman"/>
          <w:szCs w:val="21"/>
        </w:rPr>
        <w:t xml:space="preserve"> - </w:t>
      </w:r>
      <w:r w:rsidR="00470634" w:rsidRPr="003C2170">
        <w:rPr>
          <w:rFonts w:eastAsia="宋体" w:cs="Times New Roman" w:hint="eastAsia"/>
          <w:szCs w:val="21"/>
        </w:rPr>
        <w:t>续</w:t>
      </w:r>
    </w:p>
    <w:p w:rsidR="00CD0431" w:rsidRPr="003C2170" w:rsidRDefault="00CD0431">
      <w:pPr>
        <w:ind w:left="720"/>
        <w:jc w:val="both"/>
        <w:rPr>
          <w:rFonts w:eastAsia="宋体" w:cs="Times New Roman"/>
          <w:szCs w:val="21"/>
        </w:rPr>
      </w:pPr>
    </w:p>
    <w:p w:rsidR="00CD0431" w:rsidRPr="003C2170" w:rsidRDefault="00633E95">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CD0431" w:rsidRPr="003C2170">
        <w:rPr>
          <w:rFonts w:eastAsia="宋体" w:cs="Times New Roman"/>
          <w:szCs w:val="21"/>
          <w:u w:val="single"/>
        </w:rPr>
        <w:t>.4.3</w:t>
      </w:r>
      <w:r w:rsidR="00CD0431" w:rsidRPr="003C2170">
        <w:rPr>
          <w:rFonts w:eastAsia="宋体" w:cs="Times New Roman"/>
          <w:szCs w:val="21"/>
          <w:u w:val="single"/>
        </w:rPr>
        <w:tab/>
      </w:r>
      <w:r w:rsidR="00CD0431" w:rsidRPr="003C2170">
        <w:rPr>
          <w:rFonts w:eastAsia="宋体" w:cs="Times New Roman" w:hint="eastAsia"/>
          <w:szCs w:val="21"/>
          <w:u w:val="single"/>
        </w:rPr>
        <w:t>权益工具</w:t>
      </w:r>
    </w:p>
    <w:p w:rsidR="00CD0431" w:rsidRPr="003C2170" w:rsidRDefault="00CD0431">
      <w:pPr>
        <w:ind w:left="720"/>
        <w:jc w:val="both"/>
        <w:rPr>
          <w:rFonts w:eastAsia="宋体" w:cs="Times New Roman"/>
          <w:szCs w:val="21"/>
        </w:rPr>
      </w:pPr>
    </w:p>
    <w:p w:rsidR="003E76C1" w:rsidRPr="003C2170" w:rsidRDefault="00CD0431">
      <w:pPr>
        <w:ind w:left="720"/>
        <w:jc w:val="both"/>
        <w:rPr>
          <w:rFonts w:eastAsia="宋体" w:cs="Times New Roman"/>
          <w:szCs w:val="21"/>
        </w:rPr>
      </w:pPr>
      <w:r w:rsidRPr="003C2170">
        <w:rPr>
          <w:rFonts w:eastAsia="宋体" w:cs="Times New Roman" w:hint="eastAsia"/>
          <w:szCs w:val="21"/>
        </w:rPr>
        <w:t>权益工具是指能证明拥有本集团在扣除所有负债后的资产中的剩余权益的合同。本集团发行</w:t>
      </w:r>
      <w:r w:rsidR="005F14EE" w:rsidRPr="003C2170">
        <w:rPr>
          <w:rFonts w:eastAsia="宋体" w:cs="Times New Roman"/>
          <w:szCs w:val="21"/>
        </w:rPr>
        <w:t>(</w:t>
      </w:r>
      <w:proofErr w:type="gramStart"/>
      <w:r w:rsidRPr="003C2170">
        <w:rPr>
          <w:rFonts w:eastAsia="宋体" w:cs="Times New Roman" w:hint="eastAsia"/>
          <w:szCs w:val="21"/>
        </w:rPr>
        <w:t>含再融资</w:t>
      </w:r>
      <w:proofErr w:type="gramEnd"/>
      <w:r w:rsidR="005F14EE" w:rsidRPr="003C2170">
        <w:rPr>
          <w:rFonts w:eastAsia="宋体" w:cs="Times New Roman"/>
          <w:szCs w:val="21"/>
        </w:rPr>
        <w:t>)</w:t>
      </w:r>
      <w:r w:rsidRPr="003C2170">
        <w:rPr>
          <w:rFonts w:eastAsia="宋体" w:cs="Times New Roman" w:hint="eastAsia"/>
          <w:szCs w:val="21"/>
        </w:rPr>
        <w:t>、回购、出售或注销权益工具作为权益的变动处理。本集团不确认权益工具的公允价值变动。与权益性交易相关的交易费用从权益中扣减。</w:t>
      </w:r>
    </w:p>
    <w:p w:rsidR="003E76C1" w:rsidRPr="003C2170" w:rsidRDefault="003E76C1">
      <w:pPr>
        <w:ind w:left="720"/>
        <w:jc w:val="both"/>
        <w:rPr>
          <w:rFonts w:eastAsia="宋体" w:cs="Times New Roman"/>
          <w:szCs w:val="21"/>
        </w:rPr>
      </w:pPr>
    </w:p>
    <w:p w:rsidR="00C3742E" w:rsidRPr="003C2170" w:rsidRDefault="00CD0431">
      <w:pPr>
        <w:autoSpaceDE w:val="0"/>
        <w:autoSpaceDN w:val="0"/>
        <w:ind w:left="720"/>
        <w:jc w:val="both"/>
        <w:textAlignment w:val="baseline"/>
        <w:rPr>
          <w:rFonts w:eastAsia="宋体" w:cs="Times New Roman"/>
          <w:szCs w:val="21"/>
        </w:rPr>
      </w:pPr>
      <w:r w:rsidRPr="003C2170">
        <w:rPr>
          <w:rFonts w:eastAsia="宋体" w:cs="Times New Roman" w:hint="eastAsia"/>
          <w:szCs w:val="21"/>
        </w:rPr>
        <w:t>本集团对权益工具持有方的分配作为利润分配处理，发放的股票股利不影响股东权益总额。</w:t>
      </w:r>
    </w:p>
    <w:p w:rsidR="00CD0431" w:rsidRPr="003C2170" w:rsidRDefault="00CD0431">
      <w:pPr>
        <w:autoSpaceDE w:val="0"/>
        <w:autoSpaceDN w:val="0"/>
        <w:ind w:left="720"/>
        <w:jc w:val="both"/>
        <w:textAlignment w:val="baseline"/>
        <w:rPr>
          <w:rFonts w:eastAsia="宋体" w:cs="Times New Roman"/>
          <w:szCs w:val="21"/>
        </w:rPr>
      </w:pPr>
    </w:p>
    <w:p w:rsidR="0061106D" w:rsidRPr="003C2170" w:rsidRDefault="00633E95">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61106D" w:rsidRPr="003C2170">
        <w:rPr>
          <w:rFonts w:eastAsia="宋体" w:cs="Times New Roman"/>
          <w:szCs w:val="21"/>
          <w:u w:val="single"/>
        </w:rPr>
        <w:t>.5</w:t>
      </w:r>
      <w:r w:rsidR="0061106D" w:rsidRPr="003C2170">
        <w:rPr>
          <w:rFonts w:eastAsia="宋体" w:cs="Times New Roman"/>
          <w:szCs w:val="21"/>
          <w:u w:val="single"/>
        </w:rPr>
        <w:tab/>
      </w:r>
      <w:r w:rsidR="0061106D" w:rsidRPr="003C2170">
        <w:rPr>
          <w:rFonts w:eastAsia="宋体" w:cs="Times New Roman" w:hint="eastAsia"/>
          <w:szCs w:val="21"/>
          <w:u w:val="single"/>
        </w:rPr>
        <w:t>衍生工具与嵌入衍生工具</w:t>
      </w:r>
    </w:p>
    <w:p w:rsidR="0061106D" w:rsidRPr="003C2170" w:rsidRDefault="0061106D">
      <w:pPr>
        <w:ind w:left="720"/>
        <w:jc w:val="both"/>
        <w:rPr>
          <w:rFonts w:eastAsia="宋体" w:cs="Times New Roman"/>
          <w:szCs w:val="21"/>
        </w:rPr>
      </w:pPr>
    </w:p>
    <w:p w:rsidR="0061106D" w:rsidRPr="003C2170" w:rsidRDefault="0061106D">
      <w:pPr>
        <w:ind w:left="720"/>
        <w:jc w:val="both"/>
        <w:rPr>
          <w:rFonts w:eastAsia="宋体" w:cs="Times New Roman"/>
          <w:szCs w:val="21"/>
        </w:rPr>
      </w:pPr>
      <w:r w:rsidRPr="003C2170">
        <w:rPr>
          <w:rFonts w:eastAsia="宋体" w:cs="Times New Roman" w:hint="eastAsia"/>
          <w:szCs w:val="21"/>
        </w:rPr>
        <w:t>衍生工具，包括远期外汇合约等。衍生工具于相关合同签署日以公允价值进行初始计量，并以公允价值进行后续计量。</w:t>
      </w:r>
    </w:p>
    <w:p w:rsidR="0061106D" w:rsidRPr="003C2170" w:rsidRDefault="0061106D">
      <w:pPr>
        <w:ind w:left="720"/>
        <w:jc w:val="both"/>
        <w:rPr>
          <w:rFonts w:eastAsia="宋体" w:cs="Times New Roman"/>
          <w:szCs w:val="21"/>
        </w:rPr>
      </w:pPr>
    </w:p>
    <w:p w:rsidR="0061106D" w:rsidRPr="003C2170" w:rsidRDefault="0061106D">
      <w:pPr>
        <w:ind w:left="720"/>
        <w:jc w:val="both"/>
        <w:rPr>
          <w:rFonts w:eastAsia="宋体" w:cs="Times New Roman"/>
          <w:szCs w:val="21"/>
        </w:rPr>
      </w:pPr>
      <w:r w:rsidRPr="003C2170">
        <w:rPr>
          <w:rFonts w:eastAsia="宋体" w:cs="Times New Roman" w:hint="eastAsia"/>
          <w:szCs w:val="21"/>
        </w:rPr>
        <w:t>对于嵌入衍生工具与主合同构成的混合合同，若主合同属于金融资产的，本集团不从该混合合同中分拆嵌入衍生工具，而将该混合合同作为一个整体适用关于金融资产分类的会计准则规定。</w:t>
      </w:r>
    </w:p>
    <w:p w:rsidR="0061106D" w:rsidRPr="003C2170" w:rsidRDefault="0061106D">
      <w:pPr>
        <w:ind w:left="720"/>
        <w:jc w:val="both"/>
        <w:rPr>
          <w:rFonts w:eastAsia="宋体" w:cs="Times New Roman"/>
          <w:szCs w:val="21"/>
        </w:rPr>
      </w:pPr>
    </w:p>
    <w:p w:rsidR="0061106D" w:rsidRPr="003C2170" w:rsidRDefault="0061106D">
      <w:pPr>
        <w:ind w:left="720"/>
        <w:jc w:val="both"/>
        <w:rPr>
          <w:rFonts w:eastAsia="宋体" w:cs="Times New Roman"/>
          <w:szCs w:val="21"/>
        </w:rPr>
      </w:pPr>
      <w:r w:rsidRPr="003C2170">
        <w:rPr>
          <w:rFonts w:eastAsia="宋体" w:cs="Times New Roman" w:hint="eastAsia"/>
          <w:szCs w:val="21"/>
        </w:rPr>
        <w:t>若混合合同包含的主合同不属于金融资产，且同时符合下列条件的，本集团将嵌入衍生工具从混合合同中分拆，作为单独存在的衍生工具处理。</w:t>
      </w:r>
    </w:p>
    <w:p w:rsidR="0061106D" w:rsidRPr="003C2170" w:rsidRDefault="0061106D">
      <w:pPr>
        <w:ind w:left="720"/>
        <w:jc w:val="both"/>
        <w:rPr>
          <w:rFonts w:eastAsia="宋体" w:cs="Times New Roman"/>
          <w:szCs w:val="21"/>
        </w:rPr>
      </w:pPr>
    </w:p>
    <w:p w:rsidR="0061106D" w:rsidRPr="003C2170" w:rsidRDefault="005F14EE">
      <w:pPr>
        <w:ind w:left="1440" w:hanging="720"/>
        <w:jc w:val="both"/>
        <w:rPr>
          <w:rFonts w:eastAsia="宋体" w:cs="Times New Roman"/>
          <w:szCs w:val="21"/>
        </w:rPr>
      </w:pPr>
      <w:r w:rsidRPr="003C2170">
        <w:rPr>
          <w:rFonts w:eastAsia="宋体" w:cs="Times New Roman"/>
          <w:szCs w:val="21"/>
        </w:rPr>
        <w:t>(</w:t>
      </w:r>
      <w:r w:rsidR="0061106D" w:rsidRPr="003C2170">
        <w:rPr>
          <w:rFonts w:eastAsia="宋体" w:cs="Times New Roman"/>
          <w:szCs w:val="21"/>
        </w:rPr>
        <w:t>1</w:t>
      </w:r>
      <w:r w:rsidRPr="003C2170">
        <w:rPr>
          <w:rFonts w:eastAsia="宋体" w:cs="Times New Roman"/>
          <w:szCs w:val="21"/>
        </w:rPr>
        <w:t>)</w:t>
      </w:r>
      <w:r w:rsidR="0061106D" w:rsidRPr="003C2170">
        <w:rPr>
          <w:rFonts w:eastAsia="宋体" w:cs="Times New Roman"/>
          <w:szCs w:val="21"/>
        </w:rPr>
        <w:tab/>
      </w:r>
      <w:r w:rsidR="0061106D" w:rsidRPr="003C2170">
        <w:rPr>
          <w:rFonts w:eastAsia="宋体" w:cs="Times New Roman" w:hint="eastAsia"/>
          <w:szCs w:val="21"/>
        </w:rPr>
        <w:t>嵌入衍生工具的经济特征和风险与主合同的经济特征及风险不紧密相关。</w:t>
      </w:r>
    </w:p>
    <w:p w:rsidR="0061106D" w:rsidRPr="003C2170" w:rsidRDefault="005F14EE">
      <w:pPr>
        <w:ind w:left="1440" w:hanging="720"/>
        <w:jc w:val="both"/>
        <w:rPr>
          <w:rFonts w:eastAsia="宋体" w:cs="Times New Roman"/>
          <w:szCs w:val="21"/>
        </w:rPr>
      </w:pPr>
      <w:r w:rsidRPr="003C2170">
        <w:rPr>
          <w:rFonts w:eastAsia="宋体" w:cs="Times New Roman"/>
          <w:szCs w:val="21"/>
        </w:rPr>
        <w:t>(</w:t>
      </w:r>
      <w:r w:rsidR="0061106D" w:rsidRPr="003C2170">
        <w:rPr>
          <w:rFonts w:eastAsia="宋体" w:cs="Times New Roman"/>
          <w:szCs w:val="21"/>
        </w:rPr>
        <w:t>2</w:t>
      </w:r>
      <w:r w:rsidRPr="003C2170">
        <w:rPr>
          <w:rFonts w:eastAsia="宋体" w:cs="Times New Roman"/>
          <w:szCs w:val="21"/>
        </w:rPr>
        <w:t>)</w:t>
      </w:r>
      <w:r w:rsidR="0061106D" w:rsidRPr="003C2170">
        <w:rPr>
          <w:rFonts w:eastAsia="宋体" w:cs="Times New Roman"/>
          <w:szCs w:val="21"/>
        </w:rPr>
        <w:tab/>
      </w:r>
      <w:r w:rsidR="0061106D" w:rsidRPr="003C2170">
        <w:rPr>
          <w:rFonts w:eastAsia="宋体" w:cs="Times New Roman" w:hint="eastAsia"/>
          <w:szCs w:val="21"/>
        </w:rPr>
        <w:t>与嵌入衍生工具具有相同条款的单独工具符合衍生工具的定义。</w:t>
      </w:r>
    </w:p>
    <w:p w:rsidR="0061106D" w:rsidRPr="003C2170" w:rsidRDefault="005F14EE">
      <w:pPr>
        <w:ind w:left="1440" w:hanging="720"/>
        <w:jc w:val="both"/>
        <w:rPr>
          <w:rFonts w:eastAsia="宋体" w:cs="Times New Roman"/>
          <w:szCs w:val="21"/>
        </w:rPr>
      </w:pPr>
      <w:r w:rsidRPr="003C2170">
        <w:rPr>
          <w:rFonts w:eastAsia="宋体" w:cs="Times New Roman"/>
          <w:szCs w:val="21"/>
        </w:rPr>
        <w:t>(</w:t>
      </w:r>
      <w:r w:rsidR="0061106D" w:rsidRPr="003C2170">
        <w:rPr>
          <w:rFonts w:eastAsia="宋体" w:cs="Times New Roman"/>
          <w:szCs w:val="21"/>
        </w:rPr>
        <w:t>3</w:t>
      </w:r>
      <w:r w:rsidRPr="003C2170">
        <w:rPr>
          <w:rFonts w:eastAsia="宋体" w:cs="Times New Roman"/>
          <w:szCs w:val="21"/>
        </w:rPr>
        <w:t>)</w:t>
      </w:r>
      <w:r w:rsidR="0061106D" w:rsidRPr="003C2170">
        <w:rPr>
          <w:rFonts w:eastAsia="宋体" w:cs="Times New Roman"/>
          <w:szCs w:val="21"/>
        </w:rPr>
        <w:tab/>
      </w:r>
      <w:r w:rsidR="0061106D" w:rsidRPr="003C2170">
        <w:rPr>
          <w:rFonts w:eastAsia="宋体" w:cs="Times New Roman" w:hint="eastAsia"/>
          <w:szCs w:val="21"/>
        </w:rPr>
        <w:t>该混合合同不是以公允价值计量且其变动计入当期损益进行会计处理。</w:t>
      </w:r>
    </w:p>
    <w:p w:rsidR="0061106D" w:rsidRPr="003C2170" w:rsidRDefault="0061106D">
      <w:pPr>
        <w:ind w:left="720"/>
        <w:jc w:val="both"/>
        <w:rPr>
          <w:rFonts w:eastAsia="宋体" w:cs="Times New Roman"/>
          <w:szCs w:val="21"/>
        </w:rPr>
      </w:pPr>
    </w:p>
    <w:p w:rsidR="0061106D" w:rsidRPr="003C2170" w:rsidRDefault="0061106D">
      <w:pPr>
        <w:ind w:left="720"/>
        <w:jc w:val="both"/>
        <w:rPr>
          <w:rFonts w:eastAsia="宋体" w:cs="Times New Roman"/>
          <w:szCs w:val="21"/>
        </w:rPr>
      </w:pPr>
      <w:r w:rsidRPr="003C2170">
        <w:rPr>
          <w:rFonts w:eastAsia="宋体" w:cs="Times New Roman" w:hint="eastAsia"/>
          <w:szCs w:val="21"/>
        </w:rPr>
        <w:t>嵌入衍生工具从混合合同中分拆的，本集团按照适用的会计准则规定对混合合同的主合同进行会计处理。本集团无法根据嵌入衍生工具的条款和条件对嵌入衍生工具的公允价值进行可靠计量的，该嵌入衍生工具的公允价值根据混合合同公允价值和主合同公允价值之间的差额确定。使用了上述方法后，该嵌入衍生工具在取得日或后续资产负债表日的公允价值仍然无法单独计量的，本集团将该混合合同整体指定为以公允价值计量且其变动计入当期损益的金融工具。</w:t>
      </w:r>
    </w:p>
    <w:p w:rsidR="0061106D" w:rsidRPr="003C2170" w:rsidRDefault="0061106D">
      <w:pPr>
        <w:autoSpaceDE w:val="0"/>
        <w:autoSpaceDN w:val="0"/>
        <w:ind w:left="720"/>
        <w:jc w:val="both"/>
        <w:textAlignment w:val="baseline"/>
        <w:rPr>
          <w:rFonts w:eastAsia="宋体" w:cs="Times New Roman"/>
          <w:szCs w:val="21"/>
          <w:u w:val="single"/>
        </w:rPr>
      </w:pPr>
    </w:p>
    <w:p w:rsidR="00CD0431" w:rsidRPr="003C2170" w:rsidRDefault="00633E95">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10</w:t>
      </w:r>
      <w:r w:rsidR="00CD0431" w:rsidRPr="003C2170">
        <w:rPr>
          <w:rFonts w:eastAsia="宋体" w:cs="Times New Roman"/>
          <w:szCs w:val="21"/>
          <w:u w:val="single"/>
        </w:rPr>
        <w:t>.</w:t>
      </w:r>
      <w:r w:rsidR="0061106D" w:rsidRPr="003C2170">
        <w:rPr>
          <w:rFonts w:eastAsia="宋体" w:cs="Times New Roman"/>
          <w:szCs w:val="21"/>
          <w:u w:val="single"/>
        </w:rPr>
        <w:t>6</w:t>
      </w:r>
      <w:r w:rsidR="00CD0431" w:rsidRPr="003C2170">
        <w:rPr>
          <w:rFonts w:eastAsia="宋体" w:cs="Times New Roman"/>
          <w:szCs w:val="21"/>
          <w:u w:val="single"/>
        </w:rPr>
        <w:tab/>
      </w:r>
      <w:r w:rsidR="00CD0431" w:rsidRPr="003C2170">
        <w:rPr>
          <w:rFonts w:eastAsia="宋体" w:cs="Times New Roman" w:hint="eastAsia"/>
          <w:szCs w:val="21"/>
          <w:u w:val="single"/>
        </w:rPr>
        <w:t>金融资产和金融负债的</w:t>
      </w:r>
      <w:proofErr w:type="gramStart"/>
      <w:r w:rsidR="00CD0431" w:rsidRPr="003C2170">
        <w:rPr>
          <w:rFonts w:eastAsia="宋体" w:cs="Times New Roman" w:hint="eastAsia"/>
          <w:szCs w:val="21"/>
          <w:u w:val="single"/>
        </w:rPr>
        <w:t>抵销</w:t>
      </w:r>
      <w:proofErr w:type="gramEnd"/>
    </w:p>
    <w:p w:rsidR="00CD0431" w:rsidRPr="003C2170" w:rsidRDefault="00CD0431">
      <w:pPr>
        <w:autoSpaceDE w:val="0"/>
        <w:autoSpaceDN w:val="0"/>
        <w:ind w:left="720"/>
        <w:jc w:val="both"/>
        <w:textAlignment w:val="baseline"/>
        <w:rPr>
          <w:rFonts w:eastAsia="宋体" w:cs="Times New Roman"/>
          <w:szCs w:val="21"/>
          <w:u w:val="single"/>
        </w:rPr>
      </w:pPr>
    </w:p>
    <w:p w:rsidR="00CD0431" w:rsidRPr="003C2170" w:rsidRDefault="00CD0431">
      <w:pPr>
        <w:ind w:left="720"/>
        <w:jc w:val="both"/>
        <w:rPr>
          <w:rFonts w:eastAsia="宋体" w:cs="Times New Roman"/>
          <w:szCs w:val="21"/>
        </w:rPr>
      </w:pPr>
      <w:r w:rsidRPr="003C2170">
        <w:rPr>
          <w:rFonts w:eastAsia="宋体" w:cs="Times New Roman" w:hint="eastAsia"/>
          <w:szCs w:val="21"/>
        </w:rPr>
        <w:t>当本集团具有</w:t>
      </w:r>
      <w:proofErr w:type="gramStart"/>
      <w:r w:rsidRPr="003C2170">
        <w:rPr>
          <w:rFonts w:eastAsia="宋体" w:cs="Times New Roman" w:hint="eastAsia"/>
          <w:szCs w:val="21"/>
        </w:rPr>
        <w:t>抵销</w:t>
      </w:r>
      <w:proofErr w:type="gramEnd"/>
      <w:r w:rsidRPr="003C2170">
        <w:rPr>
          <w:rFonts w:eastAsia="宋体" w:cs="Times New Roman" w:hint="eastAsia"/>
          <w:szCs w:val="21"/>
        </w:rPr>
        <w:t>已确认金融资产和金融负债的法定权利，且该种法定权利是当前可执行的，同时本集团计划以净额结算或同时变现该金融资产和清偿该金融负债时，金融资产和金融负债以相互</w:t>
      </w:r>
      <w:proofErr w:type="gramStart"/>
      <w:r w:rsidRPr="003C2170">
        <w:rPr>
          <w:rFonts w:eastAsia="宋体" w:cs="Times New Roman" w:hint="eastAsia"/>
          <w:szCs w:val="21"/>
        </w:rPr>
        <w:t>抵销</w:t>
      </w:r>
      <w:proofErr w:type="gramEnd"/>
      <w:r w:rsidRPr="003C2170">
        <w:rPr>
          <w:rFonts w:eastAsia="宋体" w:cs="Times New Roman" w:hint="eastAsia"/>
          <w:szCs w:val="21"/>
        </w:rPr>
        <w:t>后的金额在资产负债表内列示。除此以外，金融资产和金融负债在资产负债表内分别列示，不予相互</w:t>
      </w:r>
      <w:proofErr w:type="gramStart"/>
      <w:r w:rsidRPr="003C2170">
        <w:rPr>
          <w:rFonts w:eastAsia="宋体" w:cs="Times New Roman" w:hint="eastAsia"/>
          <w:szCs w:val="21"/>
        </w:rPr>
        <w:t>抵销</w:t>
      </w:r>
      <w:proofErr w:type="gramEnd"/>
      <w:r w:rsidRPr="003C2170">
        <w:rPr>
          <w:rFonts w:eastAsia="宋体" w:cs="Times New Roman" w:hint="eastAsia"/>
          <w:szCs w:val="21"/>
        </w:rPr>
        <w:t>。</w:t>
      </w:r>
    </w:p>
    <w:p w:rsidR="003E5DF8" w:rsidRPr="003C2170" w:rsidRDefault="003E5DF8">
      <w:pPr>
        <w:ind w:leftChars="342" w:left="718"/>
        <w:jc w:val="both"/>
        <w:rPr>
          <w:rFonts w:eastAsia="宋体" w:cs="Times New Roman"/>
          <w:szCs w:val="21"/>
        </w:rPr>
      </w:pPr>
    </w:p>
    <w:p w:rsidR="004F15F2" w:rsidRPr="003C2170" w:rsidRDefault="004F15F2" w:rsidP="0027505B">
      <w:pPr>
        <w:pStyle w:val="2"/>
        <w:numPr>
          <w:ilvl w:val="0"/>
          <w:numId w:val="39"/>
        </w:numPr>
        <w:adjustRightInd w:val="0"/>
        <w:snapToGrid w:val="0"/>
        <w:ind w:left="1440" w:hanging="709"/>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应收票据</w:t>
      </w:r>
    </w:p>
    <w:p w:rsidR="004F15F2" w:rsidRPr="003C2170" w:rsidRDefault="004F15F2">
      <w:pPr>
        <w:ind w:leftChars="342" w:left="718"/>
        <w:jc w:val="both"/>
        <w:rPr>
          <w:rFonts w:eastAsia="宋体" w:cs="Times New Roman"/>
          <w:szCs w:val="21"/>
        </w:rPr>
      </w:pPr>
    </w:p>
    <w:p w:rsidR="004F15F2" w:rsidRPr="003C2170" w:rsidRDefault="004F15F2">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11.1</w:t>
      </w:r>
      <w:r w:rsidRPr="003C2170">
        <w:rPr>
          <w:rFonts w:eastAsia="宋体" w:cs="Times New Roman"/>
          <w:szCs w:val="21"/>
          <w:u w:val="single"/>
        </w:rPr>
        <w:tab/>
      </w:r>
      <w:r w:rsidRPr="003C2170">
        <w:rPr>
          <w:rFonts w:eastAsia="宋体" w:cs="Times New Roman" w:hint="eastAsia"/>
          <w:szCs w:val="21"/>
          <w:u w:val="single"/>
        </w:rPr>
        <w:t>应收票据的预期信用损失的确定方法及会计处理方法</w:t>
      </w:r>
    </w:p>
    <w:p w:rsidR="00384F75" w:rsidRPr="003C2170" w:rsidRDefault="00384F75">
      <w:pPr>
        <w:ind w:leftChars="342" w:left="718"/>
        <w:jc w:val="both"/>
        <w:rPr>
          <w:rFonts w:eastAsia="宋体" w:cs="Times New Roman"/>
          <w:szCs w:val="21"/>
        </w:rPr>
      </w:pPr>
    </w:p>
    <w:p w:rsidR="00B1725B" w:rsidRPr="003C2170" w:rsidRDefault="0026250E" w:rsidP="0027505B">
      <w:pPr>
        <w:ind w:left="720"/>
        <w:jc w:val="both"/>
        <w:rPr>
          <w:szCs w:val="21"/>
        </w:rPr>
      </w:pPr>
      <w:r w:rsidRPr="003C2170">
        <w:rPr>
          <w:rFonts w:hint="eastAsia"/>
          <w:szCs w:val="21"/>
        </w:rPr>
        <w:t>本集团持有的应收票据全部为承兑信用评级较高的银行承兑汇票，</w:t>
      </w:r>
      <w:r w:rsidR="00524D8A" w:rsidRPr="003C2170">
        <w:rPr>
          <w:rFonts w:hint="eastAsia"/>
          <w:szCs w:val="21"/>
        </w:rPr>
        <w:t>本集团对应收票据基于其信用风险特征按组合计提预期信用损失准备。</w:t>
      </w:r>
    </w:p>
    <w:p w:rsidR="00B1725B" w:rsidRPr="003C2170" w:rsidRDefault="00B1725B" w:rsidP="0027505B">
      <w:pPr>
        <w:ind w:left="720"/>
        <w:jc w:val="both"/>
        <w:rPr>
          <w:szCs w:val="21"/>
        </w:rPr>
      </w:pPr>
    </w:p>
    <w:p w:rsidR="00DB363F" w:rsidRPr="003C2170" w:rsidRDefault="00524D8A" w:rsidP="0027505B">
      <w:pPr>
        <w:ind w:left="720"/>
        <w:jc w:val="both"/>
        <w:rPr>
          <w:szCs w:val="21"/>
        </w:rPr>
      </w:pPr>
      <w:r w:rsidRPr="003C2170">
        <w:rPr>
          <w:rFonts w:hint="eastAsia"/>
          <w:szCs w:val="21"/>
        </w:rPr>
        <w:t>应收票据预期信用损失准备的增加或转回金额，作为信用减值损失或利得计入当期损益。</w:t>
      </w:r>
    </w:p>
    <w:p w:rsidR="0056066A" w:rsidRPr="003C2170" w:rsidRDefault="0056066A" w:rsidP="0027505B">
      <w:pPr>
        <w:ind w:left="720"/>
        <w:jc w:val="both"/>
        <w:rPr>
          <w:szCs w:val="21"/>
        </w:rPr>
      </w:pPr>
    </w:p>
    <w:p w:rsidR="0056066A" w:rsidRPr="003C2170" w:rsidRDefault="0056066A" w:rsidP="0027505B">
      <w:pPr>
        <w:ind w:left="720"/>
        <w:jc w:val="both"/>
        <w:rPr>
          <w:szCs w:val="21"/>
        </w:rPr>
      </w:pPr>
    </w:p>
    <w:p w:rsidR="006711FC" w:rsidRPr="003C2170" w:rsidRDefault="009F46EF">
      <w:pPr>
        <w:ind w:leftChars="342" w:left="718"/>
        <w:jc w:val="both"/>
        <w:rPr>
          <w:rFonts w:eastAsia="宋体" w:cs="Times New Roman"/>
          <w:szCs w:val="21"/>
        </w:rPr>
      </w:pPr>
      <w:r w:rsidRPr="003C2170">
        <w:rPr>
          <w:rFonts w:eastAsia="宋体" w:cs="Times New Roman"/>
          <w:szCs w:val="21"/>
        </w:rPr>
        <w:br w:type="page"/>
      </w:r>
    </w:p>
    <w:p w:rsidR="009F46EF" w:rsidRPr="003C2170" w:rsidRDefault="005F14EE">
      <w:pPr>
        <w:jc w:val="both"/>
        <w:rPr>
          <w:rFonts w:eastAsia="宋体" w:cs="Times New Roman"/>
          <w:szCs w:val="21"/>
        </w:rPr>
      </w:pPr>
      <w:r w:rsidRPr="003C2170">
        <w:rPr>
          <w:rFonts w:eastAsia="宋体" w:cs="Times New Roman"/>
          <w:b/>
          <w:szCs w:val="21"/>
        </w:rPr>
        <w:t>(</w:t>
      </w:r>
      <w:r w:rsidR="009F46EF" w:rsidRPr="003C2170">
        <w:rPr>
          <w:rFonts w:eastAsia="宋体" w:cs="Times New Roman" w:hint="eastAsia"/>
          <w:b/>
          <w:szCs w:val="21"/>
        </w:rPr>
        <w:t>三</w:t>
      </w:r>
      <w:r w:rsidRPr="003C2170">
        <w:rPr>
          <w:rFonts w:eastAsia="宋体" w:cs="Times New Roman"/>
          <w:b/>
          <w:szCs w:val="21"/>
        </w:rPr>
        <w:t>)</w:t>
      </w:r>
      <w:r w:rsidR="009F46EF" w:rsidRPr="003C2170">
        <w:rPr>
          <w:rFonts w:eastAsia="宋体" w:cs="Times New Roman"/>
          <w:b/>
          <w:szCs w:val="21"/>
        </w:rPr>
        <w:tab/>
      </w:r>
      <w:r w:rsidR="009F46EF" w:rsidRPr="003C2170">
        <w:rPr>
          <w:rFonts w:eastAsia="宋体" w:cs="Times New Roman" w:hint="eastAsia"/>
          <w:b/>
          <w:szCs w:val="21"/>
        </w:rPr>
        <w:t>重要会计政策和会计估计</w:t>
      </w:r>
      <w:r w:rsidR="009F46EF" w:rsidRPr="003C2170">
        <w:rPr>
          <w:rFonts w:eastAsia="宋体" w:cs="Times New Roman"/>
          <w:szCs w:val="21"/>
        </w:rPr>
        <w:t xml:space="preserve"> - </w:t>
      </w:r>
      <w:r w:rsidR="009F46EF" w:rsidRPr="003C2170">
        <w:rPr>
          <w:rFonts w:eastAsia="宋体" w:cs="Times New Roman" w:hint="eastAsia"/>
          <w:szCs w:val="21"/>
        </w:rPr>
        <w:t>续</w:t>
      </w:r>
    </w:p>
    <w:p w:rsidR="004F15F2" w:rsidRPr="0027505B" w:rsidRDefault="004F15F2" w:rsidP="0027505B">
      <w:pPr>
        <w:ind w:leftChars="337" w:left="708"/>
        <w:jc w:val="both"/>
        <w:rPr>
          <w:rFonts w:ascii="宋体" w:eastAsia="宋体" w:hAnsi="宋体" w:cs="宋体"/>
          <w:szCs w:val="21"/>
        </w:rPr>
      </w:pPr>
    </w:p>
    <w:p w:rsidR="00BA3411" w:rsidRPr="003C2170" w:rsidRDefault="00BA3411" w:rsidP="0027505B">
      <w:pPr>
        <w:pStyle w:val="2"/>
        <w:numPr>
          <w:ilvl w:val="0"/>
          <w:numId w:val="39"/>
        </w:numPr>
        <w:adjustRightInd w:val="0"/>
        <w:snapToGrid w:val="0"/>
        <w:ind w:left="1440" w:hanging="709"/>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应收账款</w:t>
      </w:r>
    </w:p>
    <w:p w:rsidR="00BA3411" w:rsidRPr="0027505B" w:rsidRDefault="00BA3411" w:rsidP="0027505B">
      <w:pPr>
        <w:ind w:leftChars="337" w:left="708"/>
        <w:jc w:val="both"/>
        <w:rPr>
          <w:rFonts w:ascii="宋体" w:eastAsia="宋体" w:hAnsi="宋体" w:cs="宋体"/>
          <w:szCs w:val="21"/>
        </w:rPr>
      </w:pPr>
    </w:p>
    <w:p w:rsidR="009428E2" w:rsidRPr="003C2170" w:rsidRDefault="009428E2">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12.1</w:t>
      </w:r>
      <w:r w:rsidRPr="003C2170">
        <w:rPr>
          <w:rFonts w:eastAsia="宋体" w:cs="Times New Roman"/>
          <w:szCs w:val="21"/>
          <w:u w:val="single"/>
        </w:rPr>
        <w:tab/>
      </w:r>
      <w:r w:rsidRPr="003C2170">
        <w:rPr>
          <w:rFonts w:eastAsia="宋体" w:cs="Times New Roman" w:hint="eastAsia"/>
          <w:szCs w:val="21"/>
          <w:u w:val="single"/>
        </w:rPr>
        <w:t>应收账款的预期信用损失的确定方法及会计处理方法</w:t>
      </w:r>
    </w:p>
    <w:p w:rsidR="00BA3411" w:rsidRPr="0027505B" w:rsidRDefault="00BA3411" w:rsidP="0027505B">
      <w:pPr>
        <w:ind w:leftChars="337" w:left="708"/>
        <w:jc w:val="both"/>
        <w:rPr>
          <w:rFonts w:ascii="宋体" w:eastAsia="宋体" w:hAnsi="宋体" w:cs="宋体"/>
          <w:szCs w:val="21"/>
        </w:rPr>
      </w:pPr>
    </w:p>
    <w:p w:rsidR="00FD6B9B" w:rsidRPr="003C2170" w:rsidRDefault="00F32831">
      <w:pPr>
        <w:ind w:leftChars="337" w:left="708"/>
        <w:jc w:val="both"/>
        <w:rPr>
          <w:rFonts w:ascii="宋体" w:eastAsia="宋体" w:hAnsi="宋体" w:cs="宋体"/>
          <w:szCs w:val="21"/>
        </w:rPr>
      </w:pPr>
      <w:r w:rsidRPr="003C2170">
        <w:rPr>
          <w:rFonts w:ascii="宋体" w:eastAsia="宋体" w:hAnsi="宋体" w:cs="宋体" w:hint="eastAsia"/>
          <w:szCs w:val="21"/>
        </w:rPr>
        <w:t>除</w:t>
      </w:r>
      <w:r w:rsidR="009F46EF" w:rsidRPr="003C2170">
        <w:rPr>
          <w:rFonts w:ascii="宋体" w:eastAsia="宋体" w:hAnsi="宋体" w:cs="宋体" w:hint="eastAsia"/>
          <w:szCs w:val="21"/>
        </w:rPr>
        <w:t>单项金额重大且债务人发生重大财务困难的应收账款单独评估信用风险，</w:t>
      </w:r>
      <w:r w:rsidRPr="003C2170">
        <w:rPr>
          <w:rFonts w:ascii="宋体" w:eastAsia="宋体" w:hAnsi="宋体" w:cs="宋体" w:hint="eastAsia"/>
          <w:szCs w:val="21"/>
        </w:rPr>
        <w:t>本集团对</w:t>
      </w:r>
      <w:r w:rsidR="009F46EF" w:rsidRPr="003C2170">
        <w:rPr>
          <w:rFonts w:ascii="宋体" w:eastAsia="宋体" w:hAnsi="宋体" w:cs="宋体" w:hint="eastAsia"/>
          <w:szCs w:val="21"/>
        </w:rPr>
        <w:t>其</w:t>
      </w:r>
      <w:r w:rsidR="00F6593F" w:rsidRPr="003C2170">
        <w:rPr>
          <w:rFonts w:ascii="宋体" w:eastAsia="宋体" w:hAnsi="宋体" w:cs="宋体" w:hint="eastAsia"/>
          <w:szCs w:val="21"/>
        </w:rPr>
        <w:t>余</w:t>
      </w:r>
      <w:r w:rsidR="009F46EF" w:rsidRPr="003C2170">
        <w:rPr>
          <w:rFonts w:ascii="宋体" w:eastAsia="宋体" w:hAnsi="宋体" w:cs="宋体" w:hint="eastAsia"/>
          <w:szCs w:val="21"/>
        </w:rPr>
        <w:t>应收账款在组合基础上采用减值矩阵确定应收账款的信用损失。</w:t>
      </w:r>
      <w:r w:rsidR="009F46EF" w:rsidRPr="003C2170">
        <w:rPr>
          <w:rFonts w:ascii="宋体" w:eastAsia="宋体" w:hAnsi="宋体" w:cs="宋体"/>
          <w:szCs w:val="21"/>
        </w:rPr>
        <w:t>应收账款预期信用损失准备的增加或转回金额，作为信用减值损失或利得计入当期损益。</w:t>
      </w:r>
    </w:p>
    <w:p w:rsidR="009F46EF" w:rsidRPr="003C2170" w:rsidRDefault="009F46EF">
      <w:pPr>
        <w:ind w:leftChars="337" w:left="708"/>
        <w:jc w:val="both"/>
        <w:rPr>
          <w:rFonts w:eastAsia="宋体" w:cs="Times New Roman"/>
          <w:szCs w:val="21"/>
        </w:rPr>
      </w:pPr>
    </w:p>
    <w:p w:rsidR="00FD6B9B" w:rsidRPr="003C2170" w:rsidRDefault="00FD6B9B">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12.2</w:t>
      </w:r>
      <w:r w:rsidRPr="003C2170">
        <w:rPr>
          <w:rFonts w:eastAsia="宋体" w:cs="Times New Roman"/>
          <w:szCs w:val="21"/>
          <w:u w:val="single"/>
        </w:rPr>
        <w:tab/>
      </w:r>
      <w:r w:rsidRPr="003C2170">
        <w:rPr>
          <w:rFonts w:eastAsia="宋体" w:cs="Times New Roman" w:hint="eastAsia"/>
          <w:szCs w:val="21"/>
          <w:u w:val="single"/>
        </w:rPr>
        <w:t>按照信用风险特征组合计提坏账准备的</w:t>
      </w:r>
      <w:r w:rsidR="009A194E" w:rsidRPr="003C2170">
        <w:rPr>
          <w:rFonts w:eastAsia="宋体" w:cs="Times New Roman" w:hint="eastAsia"/>
          <w:szCs w:val="21"/>
          <w:u w:val="single"/>
        </w:rPr>
        <w:t>组合</w:t>
      </w:r>
      <w:r w:rsidRPr="003C2170">
        <w:rPr>
          <w:rFonts w:eastAsia="宋体" w:cs="Times New Roman" w:hint="eastAsia"/>
          <w:szCs w:val="21"/>
          <w:u w:val="single"/>
        </w:rPr>
        <w:t>类别及确定依据</w:t>
      </w:r>
    </w:p>
    <w:p w:rsidR="00FD6B9B" w:rsidRPr="003C2170" w:rsidRDefault="00FD6B9B">
      <w:pPr>
        <w:ind w:leftChars="337" w:left="708"/>
        <w:jc w:val="both"/>
        <w:rPr>
          <w:rFonts w:eastAsia="宋体" w:cs="Times New Roman"/>
          <w:szCs w:val="21"/>
        </w:rPr>
      </w:pPr>
    </w:p>
    <w:p w:rsidR="00FD6B9B" w:rsidRPr="003C2170" w:rsidRDefault="00B53BDB">
      <w:pPr>
        <w:ind w:leftChars="337" w:left="708"/>
        <w:jc w:val="both"/>
        <w:rPr>
          <w:rFonts w:eastAsia="宋体" w:cs="Times New Roman"/>
          <w:szCs w:val="21"/>
        </w:rPr>
      </w:pPr>
      <w:r w:rsidRPr="003C2170">
        <w:rPr>
          <w:rFonts w:eastAsia="宋体" w:cs="Times New Roman" w:hint="eastAsia"/>
          <w:szCs w:val="21"/>
        </w:rPr>
        <w:t>本集团以共同风险特征为依据</w:t>
      </w:r>
      <w:r w:rsidR="00B052C7" w:rsidRPr="003C2170">
        <w:rPr>
          <w:rFonts w:eastAsia="宋体" w:cs="Times New Roman" w:hint="eastAsia"/>
          <w:szCs w:val="21"/>
        </w:rPr>
        <w:t>将应收账款分为组合</w:t>
      </w:r>
      <w:r w:rsidR="00B052C7" w:rsidRPr="003C2170">
        <w:rPr>
          <w:rFonts w:eastAsia="宋体" w:cs="Times New Roman" w:hint="eastAsia"/>
          <w:szCs w:val="21"/>
        </w:rPr>
        <w:t>A</w:t>
      </w:r>
      <w:r w:rsidR="00B052C7" w:rsidRPr="003C2170">
        <w:rPr>
          <w:rFonts w:eastAsia="宋体" w:cs="Times New Roman" w:hint="eastAsia"/>
          <w:szCs w:val="21"/>
        </w:rPr>
        <w:t>、组合</w:t>
      </w:r>
      <w:r w:rsidR="00B052C7" w:rsidRPr="003C2170">
        <w:rPr>
          <w:rFonts w:eastAsia="宋体" w:cs="Times New Roman" w:hint="eastAsia"/>
          <w:szCs w:val="21"/>
        </w:rPr>
        <w:t>B</w:t>
      </w:r>
      <w:r w:rsidR="00B052C7" w:rsidRPr="003C2170">
        <w:rPr>
          <w:rFonts w:eastAsia="宋体" w:cs="Times New Roman" w:hint="eastAsia"/>
          <w:szCs w:val="21"/>
        </w:rPr>
        <w:t>和组合</w:t>
      </w:r>
      <w:r w:rsidR="00B052C7" w:rsidRPr="003C2170">
        <w:rPr>
          <w:rFonts w:eastAsia="宋体" w:cs="Times New Roman" w:hint="eastAsia"/>
          <w:szCs w:val="21"/>
        </w:rPr>
        <w:t>C</w:t>
      </w:r>
      <w:r w:rsidRPr="003C2170">
        <w:rPr>
          <w:rFonts w:eastAsia="宋体" w:cs="Times New Roman" w:hint="eastAsia"/>
          <w:szCs w:val="21"/>
        </w:rPr>
        <w:t>。</w:t>
      </w:r>
      <w:r w:rsidR="008613CD" w:rsidRPr="003C2170">
        <w:rPr>
          <w:rFonts w:eastAsia="宋体" w:cs="Times New Roman" w:hint="eastAsia"/>
          <w:szCs w:val="21"/>
        </w:rPr>
        <w:t>本集团采用的共同信用风险特征包括</w:t>
      </w:r>
      <w:r w:rsidR="009F46EF" w:rsidRPr="003C2170">
        <w:rPr>
          <w:rFonts w:eastAsia="宋体" w:cs="Times New Roman" w:hint="eastAsia"/>
          <w:szCs w:val="21"/>
        </w:rPr>
        <w:t>业务的区域和对象</w:t>
      </w:r>
      <w:r w:rsidR="008613CD" w:rsidRPr="003C2170">
        <w:rPr>
          <w:rFonts w:eastAsia="宋体" w:cs="Times New Roman" w:hint="eastAsia"/>
          <w:szCs w:val="21"/>
        </w:rPr>
        <w:t>等。</w:t>
      </w:r>
    </w:p>
    <w:p w:rsidR="00634FE3" w:rsidRPr="003C2170" w:rsidRDefault="00634FE3">
      <w:pPr>
        <w:ind w:leftChars="337" w:left="708"/>
        <w:jc w:val="both"/>
        <w:rPr>
          <w:rFonts w:eastAsia="宋体" w:cs="Times New Roman"/>
          <w:szCs w:val="21"/>
        </w:rPr>
      </w:pPr>
    </w:p>
    <w:p w:rsidR="00634FE3" w:rsidRPr="003C2170" w:rsidRDefault="00634FE3">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12.3</w:t>
      </w:r>
      <w:r w:rsidRPr="003C2170">
        <w:rPr>
          <w:rFonts w:eastAsia="宋体" w:cs="Times New Roman"/>
          <w:szCs w:val="21"/>
          <w:u w:val="single"/>
        </w:rPr>
        <w:tab/>
      </w:r>
      <w:r w:rsidRPr="003C2170">
        <w:rPr>
          <w:rFonts w:eastAsia="宋体" w:cs="Times New Roman" w:hint="eastAsia"/>
          <w:szCs w:val="21"/>
          <w:u w:val="single"/>
        </w:rPr>
        <w:t>基于账龄确认信用风险特征组合的账龄的计算方法</w:t>
      </w:r>
    </w:p>
    <w:p w:rsidR="00634FE3" w:rsidRPr="003C2170" w:rsidRDefault="00634FE3">
      <w:pPr>
        <w:ind w:leftChars="337" w:left="708"/>
        <w:jc w:val="both"/>
        <w:rPr>
          <w:rFonts w:eastAsia="宋体" w:cs="Times New Roman"/>
          <w:szCs w:val="21"/>
        </w:rPr>
      </w:pPr>
    </w:p>
    <w:p w:rsidR="00634FE3" w:rsidRPr="003C2170" w:rsidRDefault="00634FE3">
      <w:pPr>
        <w:ind w:leftChars="337" w:left="708"/>
        <w:jc w:val="both"/>
        <w:rPr>
          <w:rFonts w:eastAsia="宋体" w:cs="Times New Roman"/>
          <w:szCs w:val="21"/>
        </w:rPr>
      </w:pPr>
      <w:r w:rsidRPr="003C2170">
        <w:rPr>
          <w:rFonts w:eastAsia="宋体" w:cs="Times New Roman" w:hint="eastAsia"/>
          <w:szCs w:val="21"/>
        </w:rPr>
        <w:t>本集团</w:t>
      </w:r>
      <w:r w:rsidR="004F5F1C" w:rsidRPr="003C2170">
        <w:rPr>
          <w:rFonts w:eastAsia="宋体" w:cs="Times New Roman"/>
          <w:szCs w:val="21"/>
        </w:rPr>
        <w:t>对各应收账款组合，</w:t>
      </w:r>
      <w:r w:rsidRPr="003C2170">
        <w:rPr>
          <w:rFonts w:eastAsia="宋体" w:cs="Times New Roman" w:hint="eastAsia"/>
          <w:szCs w:val="21"/>
        </w:rPr>
        <w:t>以应收账款的</w:t>
      </w:r>
      <w:r w:rsidR="004F5F1C" w:rsidRPr="003C2170">
        <w:rPr>
          <w:rFonts w:eastAsia="宋体" w:cs="Times New Roman" w:hint="eastAsia"/>
          <w:szCs w:val="21"/>
        </w:rPr>
        <w:t>逾期</w:t>
      </w:r>
      <w:r w:rsidRPr="003C2170">
        <w:rPr>
          <w:rFonts w:eastAsia="宋体" w:cs="Times New Roman" w:hint="eastAsia"/>
          <w:szCs w:val="21"/>
        </w:rPr>
        <w:t>账</w:t>
      </w:r>
      <w:proofErr w:type="gramStart"/>
      <w:r w:rsidRPr="003C2170">
        <w:rPr>
          <w:rFonts w:eastAsia="宋体" w:cs="Times New Roman" w:hint="eastAsia"/>
          <w:szCs w:val="21"/>
        </w:rPr>
        <w:t>龄</w:t>
      </w:r>
      <w:r w:rsidR="004F5F1C" w:rsidRPr="003C2170">
        <w:rPr>
          <w:rFonts w:eastAsia="宋体" w:cs="Times New Roman" w:hint="eastAsia"/>
          <w:szCs w:val="21"/>
        </w:rPr>
        <w:t>情况</w:t>
      </w:r>
      <w:proofErr w:type="gramEnd"/>
      <w:r w:rsidR="004F5F1C" w:rsidRPr="003C2170">
        <w:rPr>
          <w:rFonts w:eastAsia="宋体" w:cs="Times New Roman" w:hint="eastAsia"/>
          <w:szCs w:val="21"/>
        </w:rPr>
        <w:t>为基础，</w:t>
      </w:r>
      <w:r w:rsidR="00A94B9E" w:rsidRPr="003C2170">
        <w:rPr>
          <w:rFonts w:eastAsia="宋体" w:cs="Times New Roman" w:hint="eastAsia"/>
          <w:szCs w:val="21"/>
        </w:rPr>
        <w:t>采用减值矩阵确定其信用损失。</w:t>
      </w:r>
      <w:r w:rsidR="004F5F1C" w:rsidRPr="003C2170">
        <w:rPr>
          <w:rFonts w:eastAsia="宋体" w:cs="Times New Roman" w:hint="eastAsia"/>
          <w:szCs w:val="21"/>
        </w:rPr>
        <w:t>逾期</w:t>
      </w:r>
      <w:r w:rsidR="00A94B9E" w:rsidRPr="003C2170">
        <w:rPr>
          <w:rFonts w:eastAsia="宋体" w:cs="Times New Roman" w:hint="eastAsia"/>
          <w:szCs w:val="21"/>
        </w:rPr>
        <w:t>账龄自</w:t>
      </w:r>
      <w:r w:rsidR="009F46EF" w:rsidRPr="003C2170">
        <w:rPr>
          <w:rFonts w:eastAsia="宋体" w:cs="Times New Roman" w:hint="eastAsia"/>
          <w:szCs w:val="21"/>
        </w:rPr>
        <w:t>信用期结束</w:t>
      </w:r>
      <w:r w:rsidR="00A94B9E" w:rsidRPr="003C2170">
        <w:rPr>
          <w:rFonts w:eastAsia="宋体" w:cs="Times New Roman" w:hint="eastAsia"/>
          <w:szCs w:val="21"/>
        </w:rPr>
        <w:t>日起算。修改应收账款的条款和条件</w:t>
      </w:r>
      <w:r w:rsidR="00101B4B" w:rsidRPr="003C2170">
        <w:rPr>
          <w:rFonts w:eastAsia="宋体" w:cs="Times New Roman" w:hint="eastAsia"/>
          <w:szCs w:val="21"/>
        </w:rPr>
        <w:t>但</w:t>
      </w:r>
      <w:proofErr w:type="gramStart"/>
      <w:r w:rsidR="00101B4B" w:rsidRPr="003C2170">
        <w:rPr>
          <w:rFonts w:eastAsia="宋体" w:cs="Times New Roman" w:hint="eastAsia"/>
          <w:szCs w:val="21"/>
        </w:rPr>
        <w:t>不</w:t>
      </w:r>
      <w:proofErr w:type="gramEnd"/>
      <w:r w:rsidR="00101B4B" w:rsidRPr="003C2170">
        <w:rPr>
          <w:rFonts w:eastAsia="宋体" w:cs="Times New Roman" w:hint="eastAsia"/>
          <w:szCs w:val="21"/>
        </w:rPr>
        <w:t>导致应收账款终止确认的，账</w:t>
      </w:r>
      <w:proofErr w:type="gramStart"/>
      <w:r w:rsidR="00101B4B" w:rsidRPr="003C2170">
        <w:rPr>
          <w:rFonts w:eastAsia="宋体" w:cs="Times New Roman" w:hint="eastAsia"/>
          <w:szCs w:val="21"/>
        </w:rPr>
        <w:t>龄连续</w:t>
      </w:r>
      <w:proofErr w:type="gramEnd"/>
      <w:r w:rsidR="00101B4B" w:rsidRPr="003C2170">
        <w:rPr>
          <w:rFonts w:eastAsia="宋体" w:cs="Times New Roman" w:hint="eastAsia"/>
          <w:szCs w:val="21"/>
        </w:rPr>
        <w:t>计算。</w:t>
      </w:r>
    </w:p>
    <w:p w:rsidR="00101B4B" w:rsidRPr="003C2170" w:rsidRDefault="00101B4B">
      <w:pPr>
        <w:ind w:leftChars="337" w:left="708"/>
        <w:jc w:val="both"/>
        <w:rPr>
          <w:rFonts w:eastAsia="宋体" w:cs="Times New Roman"/>
          <w:szCs w:val="21"/>
        </w:rPr>
      </w:pPr>
    </w:p>
    <w:p w:rsidR="00101B4B" w:rsidRPr="003C2170" w:rsidRDefault="00101B4B">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12.4</w:t>
      </w:r>
      <w:r w:rsidRPr="003C2170">
        <w:rPr>
          <w:rFonts w:eastAsia="宋体" w:cs="Times New Roman"/>
          <w:szCs w:val="21"/>
          <w:u w:val="single"/>
        </w:rPr>
        <w:tab/>
      </w:r>
      <w:r w:rsidRPr="003C2170">
        <w:rPr>
          <w:rFonts w:eastAsia="宋体" w:cs="Times New Roman" w:hint="eastAsia"/>
          <w:szCs w:val="21"/>
          <w:u w:val="single"/>
        </w:rPr>
        <w:t>按照单项计提坏账准备的单项计提判断标准</w:t>
      </w:r>
    </w:p>
    <w:p w:rsidR="00101B4B" w:rsidRPr="003C2170" w:rsidRDefault="00101B4B">
      <w:pPr>
        <w:ind w:leftChars="337" w:left="708"/>
        <w:jc w:val="both"/>
        <w:rPr>
          <w:rFonts w:eastAsia="宋体" w:cs="Times New Roman"/>
          <w:szCs w:val="21"/>
        </w:rPr>
      </w:pPr>
    </w:p>
    <w:p w:rsidR="004F5F1C" w:rsidRPr="003C2170" w:rsidRDefault="004F5F1C">
      <w:pPr>
        <w:widowControl w:val="0"/>
        <w:autoSpaceDE w:val="0"/>
        <w:autoSpaceDN w:val="0"/>
        <w:ind w:left="720"/>
        <w:jc w:val="both"/>
        <w:rPr>
          <w:rFonts w:eastAsia="宋体" w:cs="Times New Roman"/>
          <w:szCs w:val="21"/>
        </w:rPr>
      </w:pPr>
      <w:r w:rsidRPr="003C2170">
        <w:rPr>
          <w:rFonts w:eastAsia="宋体" w:cs="Times New Roman"/>
          <w:szCs w:val="21"/>
        </w:rPr>
        <w:t>本集团对单项金额重大且债务人发生严重财务困难的应收账款因其信用风险与其他客户不同而单项评估信用风险。</w:t>
      </w:r>
    </w:p>
    <w:p w:rsidR="00BA3411" w:rsidRPr="0027505B" w:rsidRDefault="00BA3411" w:rsidP="0027505B">
      <w:pPr>
        <w:ind w:leftChars="337" w:left="708"/>
        <w:jc w:val="both"/>
        <w:rPr>
          <w:rFonts w:ascii="宋体" w:eastAsia="宋体" w:hAnsi="宋体" w:cs="宋体"/>
          <w:szCs w:val="21"/>
        </w:rPr>
      </w:pPr>
    </w:p>
    <w:p w:rsidR="003E5DF8" w:rsidRPr="003C2170" w:rsidRDefault="003E5DF8" w:rsidP="0027505B">
      <w:pPr>
        <w:pStyle w:val="2"/>
        <w:numPr>
          <w:ilvl w:val="0"/>
          <w:numId w:val="39"/>
        </w:numPr>
        <w:adjustRightInd w:val="0"/>
        <w:snapToGrid w:val="0"/>
        <w:ind w:left="1440" w:hanging="709"/>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应收款项融资</w:t>
      </w:r>
    </w:p>
    <w:p w:rsidR="003E5DF8" w:rsidRPr="003C2170" w:rsidRDefault="003E5DF8">
      <w:pPr>
        <w:ind w:left="720"/>
        <w:jc w:val="both"/>
        <w:rPr>
          <w:rFonts w:eastAsia="宋体" w:cs="Times New Roman"/>
          <w:szCs w:val="21"/>
        </w:rPr>
      </w:pPr>
    </w:p>
    <w:p w:rsidR="00303495" w:rsidRPr="003C2170" w:rsidRDefault="00303495">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13.1</w:t>
      </w:r>
      <w:r w:rsidRPr="003C2170">
        <w:rPr>
          <w:rFonts w:eastAsia="宋体" w:cs="Times New Roman"/>
          <w:szCs w:val="21"/>
          <w:u w:val="single"/>
        </w:rPr>
        <w:tab/>
      </w:r>
      <w:r w:rsidRPr="003C2170">
        <w:rPr>
          <w:rFonts w:eastAsia="宋体" w:cs="Times New Roman" w:hint="eastAsia"/>
          <w:szCs w:val="21"/>
          <w:u w:val="single"/>
        </w:rPr>
        <w:t>应收款项融资的预期信用损失的确定方法及会计处理方法</w:t>
      </w:r>
    </w:p>
    <w:p w:rsidR="00303495" w:rsidRPr="0027505B" w:rsidRDefault="00303495" w:rsidP="0027505B">
      <w:pPr>
        <w:ind w:leftChars="337" w:left="708"/>
        <w:jc w:val="both"/>
        <w:rPr>
          <w:rFonts w:ascii="宋体" w:eastAsia="宋体" w:hAnsi="宋体" w:cs="宋体"/>
          <w:szCs w:val="21"/>
        </w:rPr>
      </w:pPr>
    </w:p>
    <w:p w:rsidR="009F46EF" w:rsidRPr="003C2170" w:rsidRDefault="009F46EF">
      <w:pPr>
        <w:ind w:left="720"/>
        <w:jc w:val="both"/>
        <w:rPr>
          <w:rFonts w:eastAsia="宋体" w:cs="Times New Roman"/>
          <w:szCs w:val="21"/>
        </w:rPr>
      </w:pPr>
      <w:r w:rsidRPr="003C2170">
        <w:rPr>
          <w:rFonts w:eastAsia="宋体" w:cs="Times New Roman" w:hint="eastAsia"/>
          <w:szCs w:val="21"/>
        </w:rPr>
        <w:t>本集团</w:t>
      </w:r>
      <w:r w:rsidR="00B052C7" w:rsidRPr="003C2170">
        <w:rPr>
          <w:rFonts w:eastAsia="宋体" w:cs="Times New Roman" w:hint="eastAsia"/>
          <w:szCs w:val="21"/>
        </w:rPr>
        <w:t>按照整个存续期预期信用损失计提坏账准备，</w:t>
      </w:r>
      <w:r w:rsidRPr="003C2170">
        <w:rPr>
          <w:rFonts w:eastAsia="宋体" w:cs="Times New Roman" w:hint="eastAsia"/>
          <w:szCs w:val="21"/>
        </w:rPr>
        <w:t>在其他综合收益中确认应收款项融资信用损失准备，并将信用减值损失或利得计入当期损益，且不减少应收款项融资在资产负债表中列示的账面价值。</w:t>
      </w:r>
      <w:r w:rsidRPr="003C2170">
        <w:rPr>
          <w:rFonts w:eastAsia="宋体" w:cs="Times New Roman" w:hint="eastAsia"/>
          <w:szCs w:val="21"/>
        </w:rPr>
        <w:t xml:space="preserve"> </w:t>
      </w:r>
    </w:p>
    <w:p w:rsidR="00303495" w:rsidRPr="003C2170" w:rsidRDefault="00303495">
      <w:pPr>
        <w:ind w:leftChars="337" w:left="708"/>
        <w:jc w:val="both"/>
        <w:rPr>
          <w:rFonts w:eastAsia="宋体" w:cs="Times New Roman"/>
          <w:szCs w:val="21"/>
        </w:rPr>
      </w:pPr>
    </w:p>
    <w:p w:rsidR="00303495" w:rsidRPr="003C2170" w:rsidRDefault="00303495">
      <w:pPr>
        <w:autoSpaceDE w:val="0"/>
        <w:autoSpaceDN w:val="0"/>
        <w:ind w:left="720"/>
        <w:jc w:val="both"/>
        <w:textAlignment w:val="baseline"/>
        <w:rPr>
          <w:rFonts w:eastAsia="宋体" w:cs="Times New Roman"/>
          <w:szCs w:val="21"/>
          <w:u w:val="single"/>
        </w:rPr>
      </w:pPr>
      <w:r w:rsidRPr="003C2170">
        <w:rPr>
          <w:rFonts w:eastAsia="宋体" w:cs="Times New Roman"/>
          <w:szCs w:val="21"/>
          <w:u w:val="single"/>
        </w:rPr>
        <w:t>1</w:t>
      </w:r>
      <w:r w:rsidR="007231E6" w:rsidRPr="003C2170">
        <w:rPr>
          <w:rFonts w:eastAsia="宋体" w:cs="Times New Roman"/>
          <w:szCs w:val="21"/>
          <w:u w:val="single"/>
        </w:rPr>
        <w:t>3</w:t>
      </w:r>
      <w:r w:rsidRPr="003C2170">
        <w:rPr>
          <w:rFonts w:eastAsia="宋体" w:cs="Times New Roman"/>
          <w:szCs w:val="21"/>
          <w:u w:val="single"/>
        </w:rPr>
        <w:t>.2</w:t>
      </w:r>
      <w:r w:rsidRPr="003C2170">
        <w:rPr>
          <w:rFonts w:eastAsia="宋体" w:cs="Times New Roman"/>
          <w:szCs w:val="21"/>
          <w:u w:val="single"/>
        </w:rPr>
        <w:tab/>
      </w:r>
      <w:r w:rsidRPr="003C2170">
        <w:rPr>
          <w:rFonts w:eastAsia="宋体" w:cs="Times New Roman" w:hint="eastAsia"/>
          <w:szCs w:val="21"/>
          <w:u w:val="single"/>
        </w:rPr>
        <w:t>按照信用风险特征组合计提坏账准备的组合类别及确定依据</w:t>
      </w:r>
    </w:p>
    <w:p w:rsidR="00303495" w:rsidRPr="003C2170" w:rsidRDefault="00303495">
      <w:pPr>
        <w:ind w:leftChars="337" w:left="708"/>
        <w:jc w:val="both"/>
        <w:rPr>
          <w:rFonts w:eastAsia="宋体" w:cs="Times New Roman"/>
          <w:szCs w:val="21"/>
        </w:rPr>
      </w:pPr>
    </w:p>
    <w:p w:rsidR="00303495" w:rsidRPr="003C2170" w:rsidRDefault="0092572F">
      <w:pPr>
        <w:ind w:leftChars="337" w:left="708"/>
        <w:jc w:val="both"/>
        <w:rPr>
          <w:rFonts w:eastAsia="宋体" w:cs="Times New Roman"/>
          <w:szCs w:val="21"/>
        </w:rPr>
      </w:pPr>
      <w:r w:rsidRPr="003C2170">
        <w:rPr>
          <w:rFonts w:eastAsia="宋体" w:cs="Times New Roman" w:hint="eastAsia"/>
          <w:szCs w:val="21"/>
        </w:rPr>
        <w:t>本集团持有的应收款项融资全部为承兑银行信用评级较高的银行承兑汇票，因这类银行违约而产生重大损失的可能性较低，本集团认为所持有的银行承兑汇票不</w:t>
      </w:r>
      <w:r w:rsidRPr="003C2170">
        <w:rPr>
          <w:rFonts w:asciiTheme="majorHAnsi" w:hAnsiTheme="majorHAnsi" w:cstheme="majorHAnsi" w:hint="eastAsia"/>
          <w:szCs w:val="21"/>
        </w:rPr>
        <w:t>存在重大信用风险</w:t>
      </w:r>
      <w:r w:rsidR="00303495" w:rsidRPr="003C2170">
        <w:rPr>
          <w:rFonts w:eastAsia="宋体" w:cs="Times New Roman" w:hint="eastAsia"/>
          <w:szCs w:val="21"/>
        </w:rPr>
        <w:t>。</w:t>
      </w:r>
    </w:p>
    <w:p w:rsidR="0061106D" w:rsidRPr="003C2170" w:rsidRDefault="0061106D">
      <w:pPr>
        <w:autoSpaceDE w:val="0"/>
        <w:autoSpaceDN w:val="0"/>
        <w:ind w:left="720"/>
        <w:jc w:val="both"/>
        <w:textAlignment w:val="baseline"/>
        <w:rPr>
          <w:rFonts w:eastAsia="宋体" w:cs="Times New Roman"/>
          <w:szCs w:val="21"/>
        </w:rPr>
      </w:pPr>
    </w:p>
    <w:p w:rsidR="002C4695" w:rsidRPr="003C2170" w:rsidRDefault="00A72D9A" w:rsidP="0027505B">
      <w:pPr>
        <w:pStyle w:val="2"/>
        <w:numPr>
          <w:ilvl w:val="0"/>
          <w:numId w:val="39"/>
        </w:numPr>
        <w:adjustRightInd w:val="0"/>
        <w:snapToGrid w:val="0"/>
        <w:ind w:left="1440" w:hanging="709"/>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其他应收款</w:t>
      </w:r>
    </w:p>
    <w:p w:rsidR="002C4695" w:rsidRPr="003C2170" w:rsidRDefault="002C4695">
      <w:pPr>
        <w:autoSpaceDE w:val="0"/>
        <w:autoSpaceDN w:val="0"/>
        <w:ind w:left="720"/>
        <w:jc w:val="both"/>
        <w:textAlignment w:val="baseline"/>
        <w:rPr>
          <w:rFonts w:eastAsia="宋体" w:cs="Times New Roman"/>
          <w:szCs w:val="21"/>
        </w:rPr>
      </w:pPr>
    </w:p>
    <w:p w:rsidR="002C4695" w:rsidRPr="003C2170" w:rsidRDefault="002C4695">
      <w:pPr>
        <w:autoSpaceDE w:val="0"/>
        <w:autoSpaceDN w:val="0"/>
        <w:ind w:left="720"/>
        <w:jc w:val="both"/>
        <w:textAlignment w:val="baseline"/>
        <w:rPr>
          <w:rFonts w:eastAsia="宋体" w:cs="Times New Roman"/>
          <w:kern w:val="2"/>
          <w:szCs w:val="21"/>
          <w:u w:val="single"/>
        </w:rPr>
      </w:pPr>
      <w:r w:rsidRPr="003C2170">
        <w:rPr>
          <w:rFonts w:eastAsia="宋体" w:cs="Times New Roman" w:hint="eastAsia"/>
          <w:kern w:val="2"/>
          <w:szCs w:val="21"/>
          <w:u w:val="single"/>
        </w:rPr>
        <w:t>1</w:t>
      </w:r>
      <w:r w:rsidRPr="003C2170">
        <w:rPr>
          <w:rFonts w:eastAsia="宋体" w:cs="Times New Roman"/>
          <w:kern w:val="2"/>
          <w:szCs w:val="21"/>
          <w:u w:val="single"/>
        </w:rPr>
        <w:t>4</w:t>
      </w:r>
      <w:r w:rsidRPr="003C2170">
        <w:rPr>
          <w:rFonts w:eastAsia="宋体" w:cs="Times New Roman" w:hint="eastAsia"/>
          <w:kern w:val="2"/>
          <w:szCs w:val="21"/>
          <w:u w:val="single"/>
        </w:rPr>
        <w:t>.1</w:t>
      </w:r>
      <w:r w:rsidRPr="003C2170">
        <w:rPr>
          <w:rFonts w:eastAsia="宋体" w:cs="Times New Roman"/>
          <w:kern w:val="2"/>
          <w:szCs w:val="21"/>
          <w:u w:val="single"/>
        </w:rPr>
        <w:tab/>
      </w:r>
      <w:r w:rsidRPr="003C2170">
        <w:rPr>
          <w:rFonts w:eastAsia="宋体" w:cs="Times New Roman" w:hint="eastAsia"/>
          <w:kern w:val="2"/>
          <w:szCs w:val="21"/>
          <w:u w:val="single"/>
        </w:rPr>
        <w:t>其他应收款的预期信用损失的确定方法及会计处理方法</w:t>
      </w:r>
    </w:p>
    <w:p w:rsidR="002C4695" w:rsidRPr="003C2170" w:rsidRDefault="002C4695">
      <w:pPr>
        <w:autoSpaceDE w:val="0"/>
        <w:autoSpaceDN w:val="0"/>
        <w:ind w:left="720"/>
        <w:jc w:val="both"/>
        <w:textAlignment w:val="baseline"/>
        <w:rPr>
          <w:rFonts w:eastAsia="宋体" w:cs="Times New Roman"/>
          <w:kern w:val="2"/>
          <w:szCs w:val="21"/>
          <w:u w:val="single"/>
        </w:rPr>
      </w:pPr>
    </w:p>
    <w:p w:rsidR="002C4695" w:rsidRPr="003C2170" w:rsidRDefault="002C4695">
      <w:pPr>
        <w:autoSpaceDE w:val="0"/>
        <w:autoSpaceDN w:val="0"/>
        <w:ind w:left="720"/>
        <w:jc w:val="both"/>
        <w:textAlignment w:val="baseline"/>
        <w:rPr>
          <w:rFonts w:eastAsia="宋体" w:cs="Times New Roman"/>
          <w:szCs w:val="21"/>
        </w:rPr>
      </w:pPr>
      <w:r w:rsidRPr="003C2170">
        <w:rPr>
          <w:rFonts w:eastAsia="宋体" w:cs="Times New Roman" w:hint="eastAsia"/>
          <w:szCs w:val="21"/>
        </w:rPr>
        <w:t>本集团对其他应收款在组合基础上确定其信用损失。其他应收款预期信用损失准备的增加或转回金额，作为信用减值损失或利得计入当期损益。</w:t>
      </w:r>
    </w:p>
    <w:p w:rsidR="002C4695" w:rsidRPr="003C2170" w:rsidRDefault="002C4695">
      <w:pPr>
        <w:autoSpaceDE w:val="0"/>
        <w:autoSpaceDN w:val="0"/>
        <w:ind w:left="720"/>
        <w:jc w:val="both"/>
        <w:textAlignment w:val="baseline"/>
        <w:rPr>
          <w:rFonts w:eastAsia="宋体" w:cs="Times New Roman"/>
          <w:szCs w:val="21"/>
        </w:rPr>
      </w:pPr>
    </w:p>
    <w:p w:rsidR="002C4695" w:rsidRPr="003C2170" w:rsidRDefault="002C4695">
      <w:pPr>
        <w:autoSpaceDE w:val="0"/>
        <w:autoSpaceDN w:val="0"/>
        <w:ind w:left="720"/>
        <w:jc w:val="both"/>
        <w:textAlignment w:val="baseline"/>
        <w:rPr>
          <w:rFonts w:eastAsia="宋体" w:cs="Times New Roman"/>
          <w:kern w:val="2"/>
          <w:szCs w:val="21"/>
          <w:u w:val="single"/>
        </w:rPr>
      </w:pPr>
      <w:r w:rsidRPr="003C2170">
        <w:rPr>
          <w:rFonts w:eastAsia="宋体" w:cs="Times New Roman" w:hint="eastAsia"/>
          <w:kern w:val="2"/>
          <w:szCs w:val="21"/>
          <w:u w:val="single"/>
        </w:rPr>
        <w:t>1</w:t>
      </w:r>
      <w:r w:rsidRPr="003C2170">
        <w:rPr>
          <w:rFonts w:eastAsia="宋体" w:cs="Times New Roman"/>
          <w:kern w:val="2"/>
          <w:szCs w:val="21"/>
          <w:u w:val="single"/>
        </w:rPr>
        <w:t>4</w:t>
      </w:r>
      <w:r w:rsidRPr="003C2170">
        <w:rPr>
          <w:rFonts w:eastAsia="宋体" w:cs="Times New Roman" w:hint="eastAsia"/>
          <w:kern w:val="2"/>
          <w:szCs w:val="21"/>
          <w:u w:val="single"/>
        </w:rPr>
        <w:t>.2</w:t>
      </w:r>
      <w:r w:rsidRPr="003C2170">
        <w:rPr>
          <w:rFonts w:eastAsia="宋体" w:cs="Times New Roman"/>
          <w:kern w:val="2"/>
          <w:szCs w:val="21"/>
          <w:u w:val="single"/>
        </w:rPr>
        <w:tab/>
      </w:r>
      <w:r w:rsidRPr="003C2170">
        <w:rPr>
          <w:rFonts w:eastAsia="宋体" w:cs="Times New Roman" w:hint="eastAsia"/>
          <w:kern w:val="2"/>
          <w:szCs w:val="21"/>
          <w:u w:val="single"/>
        </w:rPr>
        <w:t>按照信用风险特征组合计提坏账准备的组合类别及确定依据</w:t>
      </w:r>
    </w:p>
    <w:p w:rsidR="002C4695" w:rsidRPr="003C2170" w:rsidRDefault="002C4695">
      <w:pPr>
        <w:autoSpaceDE w:val="0"/>
        <w:autoSpaceDN w:val="0"/>
        <w:ind w:left="720"/>
        <w:jc w:val="both"/>
        <w:textAlignment w:val="baseline"/>
        <w:rPr>
          <w:rFonts w:eastAsia="宋体" w:cs="Times New Roman"/>
          <w:kern w:val="2"/>
          <w:szCs w:val="21"/>
          <w:u w:val="single"/>
        </w:rPr>
      </w:pPr>
    </w:p>
    <w:p w:rsidR="002C4695" w:rsidRPr="003C2170" w:rsidRDefault="002C4695">
      <w:pPr>
        <w:autoSpaceDE w:val="0"/>
        <w:autoSpaceDN w:val="0"/>
        <w:ind w:left="720"/>
        <w:jc w:val="both"/>
        <w:textAlignment w:val="baseline"/>
        <w:rPr>
          <w:rFonts w:eastAsia="宋体" w:cs="Times New Roman"/>
          <w:szCs w:val="21"/>
        </w:rPr>
      </w:pPr>
      <w:r w:rsidRPr="003C2170">
        <w:rPr>
          <w:rFonts w:eastAsia="宋体" w:cs="Times New Roman" w:hint="eastAsia"/>
          <w:szCs w:val="21"/>
        </w:rPr>
        <w:t>本集团</w:t>
      </w:r>
      <w:r w:rsidR="002932E7" w:rsidRPr="003C2170">
        <w:rPr>
          <w:rFonts w:eastAsia="宋体" w:cs="Times New Roman" w:hint="eastAsia"/>
          <w:szCs w:val="21"/>
        </w:rPr>
        <w:t>按款项性质</w:t>
      </w:r>
      <w:r w:rsidRPr="003C2170">
        <w:rPr>
          <w:rFonts w:eastAsia="宋体" w:cs="Times New Roman" w:hint="eastAsia"/>
          <w:szCs w:val="21"/>
        </w:rPr>
        <w:t>将其他应收</w:t>
      </w:r>
      <w:proofErr w:type="gramStart"/>
      <w:r w:rsidRPr="003C2170">
        <w:rPr>
          <w:rFonts w:eastAsia="宋体" w:cs="Times New Roman" w:hint="eastAsia"/>
          <w:szCs w:val="21"/>
        </w:rPr>
        <w:t>款分为</w:t>
      </w:r>
      <w:proofErr w:type="gramEnd"/>
      <w:r w:rsidRPr="003C2170">
        <w:rPr>
          <w:rFonts w:eastAsia="宋体" w:cs="Times New Roman" w:hint="eastAsia"/>
          <w:szCs w:val="21"/>
        </w:rPr>
        <w:t>不同组别。</w:t>
      </w:r>
    </w:p>
    <w:p w:rsidR="007F426F" w:rsidRPr="003C2170" w:rsidRDefault="007F426F" w:rsidP="0027505B">
      <w:pPr>
        <w:jc w:val="both"/>
        <w:rPr>
          <w:rFonts w:eastAsia="宋体" w:cs="Times New Roman"/>
          <w:szCs w:val="21"/>
        </w:rPr>
      </w:pPr>
      <w:r w:rsidRPr="003C2170">
        <w:rPr>
          <w:rFonts w:eastAsia="宋体" w:cs="Times New Roman"/>
          <w:szCs w:val="21"/>
        </w:rPr>
        <w:br w:type="page"/>
      </w:r>
    </w:p>
    <w:p w:rsidR="007F426F" w:rsidRPr="003C2170" w:rsidRDefault="005F14EE">
      <w:pPr>
        <w:jc w:val="both"/>
        <w:rPr>
          <w:rFonts w:eastAsia="宋体" w:cs="Times New Roman"/>
          <w:szCs w:val="21"/>
        </w:rPr>
      </w:pPr>
      <w:r w:rsidRPr="003C2170">
        <w:rPr>
          <w:rFonts w:eastAsia="宋体" w:cs="Times New Roman"/>
          <w:b/>
          <w:szCs w:val="21"/>
        </w:rPr>
        <w:t>(</w:t>
      </w:r>
      <w:r w:rsidR="007F426F" w:rsidRPr="003C2170">
        <w:rPr>
          <w:rFonts w:eastAsia="宋体" w:cs="Times New Roman" w:hint="eastAsia"/>
          <w:b/>
          <w:szCs w:val="21"/>
        </w:rPr>
        <w:t>三</w:t>
      </w:r>
      <w:r w:rsidRPr="003C2170">
        <w:rPr>
          <w:rFonts w:eastAsia="宋体" w:cs="Times New Roman"/>
          <w:b/>
          <w:szCs w:val="21"/>
        </w:rPr>
        <w:t>)</w:t>
      </w:r>
      <w:r w:rsidR="007F426F" w:rsidRPr="003C2170">
        <w:rPr>
          <w:rFonts w:eastAsia="宋体" w:cs="Times New Roman"/>
          <w:b/>
          <w:szCs w:val="21"/>
        </w:rPr>
        <w:tab/>
      </w:r>
      <w:r w:rsidR="007F426F" w:rsidRPr="003C2170">
        <w:rPr>
          <w:rFonts w:eastAsia="宋体" w:cs="Times New Roman" w:hint="eastAsia"/>
          <w:b/>
          <w:szCs w:val="21"/>
        </w:rPr>
        <w:t>重要会计政策和会计估计</w:t>
      </w:r>
      <w:r w:rsidR="007F426F" w:rsidRPr="003C2170">
        <w:rPr>
          <w:rFonts w:eastAsia="宋体" w:cs="Times New Roman"/>
          <w:szCs w:val="21"/>
        </w:rPr>
        <w:t xml:space="preserve"> - </w:t>
      </w:r>
      <w:r w:rsidR="007F426F" w:rsidRPr="003C2170">
        <w:rPr>
          <w:rFonts w:eastAsia="宋体" w:cs="Times New Roman" w:hint="eastAsia"/>
          <w:szCs w:val="21"/>
        </w:rPr>
        <w:t>续</w:t>
      </w:r>
    </w:p>
    <w:p w:rsidR="002C4695" w:rsidRPr="003C2170" w:rsidRDefault="002C4695" w:rsidP="003C2170">
      <w:pPr>
        <w:autoSpaceDE w:val="0"/>
        <w:autoSpaceDN w:val="0"/>
        <w:ind w:left="720"/>
        <w:jc w:val="both"/>
        <w:textAlignment w:val="baseline"/>
        <w:rPr>
          <w:rFonts w:eastAsia="宋体" w:cs="Times New Roman"/>
          <w:szCs w:val="21"/>
        </w:rPr>
      </w:pPr>
    </w:p>
    <w:p w:rsidR="00CD0431" w:rsidRPr="003C2170" w:rsidRDefault="00CD0431" w:rsidP="0027505B">
      <w:pPr>
        <w:pStyle w:val="2"/>
        <w:numPr>
          <w:ilvl w:val="0"/>
          <w:numId w:val="39"/>
        </w:numPr>
        <w:adjustRightInd w:val="0"/>
        <w:snapToGrid w:val="0"/>
        <w:ind w:left="1440" w:hanging="709"/>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存货</w:t>
      </w:r>
    </w:p>
    <w:p w:rsidR="00CD0431" w:rsidRPr="003C2170" w:rsidRDefault="00CD0431" w:rsidP="003C2170">
      <w:pPr>
        <w:autoSpaceDE w:val="0"/>
        <w:autoSpaceDN w:val="0"/>
        <w:ind w:left="720"/>
        <w:jc w:val="both"/>
        <w:textAlignment w:val="baseline"/>
        <w:rPr>
          <w:rFonts w:eastAsia="宋体" w:cs="Times New Roman"/>
          <w:szCs w:val="21"/>
        </w:rPr>
      </w:pPr>
    </w:p>
    <w:p w:rsidR="00DA5A7E" w:rsidRPr="003C2170" w:rsidRDefault="00DA5A7E" w:rsidP="003C2170">
      <w:pPr>
        <w:autoSpaceDE w:val="0"/>
        <w:autoSpaceDN w:val="0"/>
        <w:ind w:left="720"/>
        <w:jc w:val="both"/>
        <w:textAlignment w:val="baseline"/>
        <w:rPr>
          <w:rFonts w:eastAsia="宋体" w:cs="Times New Roman"/>
          <w:kern w:val="2"/>
          <w:szCs w:val="21"/>
          <w:u w:val="single"/>
        </w:rPr>
      </w:pPr>
      <w:r w:rsidRPr="003C2170">
        <w:rPr>
          <w:rFonts w:eastAsia="宋体" w:cs="Times New Roman"/>
          <w:kern w:val="2"/>
          <w:szCs w:val="21"/>
          <w:u w:val="single"/>
        </w:rPr>
        <w:t>1</w:t>
      </w:r>
      <w:r w:rsidR="00A72D9A" w:rsidRPr="003C2170">
        <w:rPr>
          <w:rFonts w:eastAsia="宋体" w:cs="Times New Roman"/>
          <w:kern w:val="2"/>
          <w:szCs w:val="21"/>
          <w:u w:val="single"/>
        </w:rPr>
        <w:t>5</w:t>
      </w:r>
      <w:r w:rsidRPr="003C2170">
        <w:rPr>
          <w:rFonts w:eastAsia="宋体" w:cs="Times New Roman"/>
          <w:kern w:val="2"/>
          <w:szCs w:val="21"/>
          <w:u w:val="single"/>
        </w:rPr>
        <w:t>.1</w:t>
      </w:r>
      <w:r w:rsidRPr="003C2170">
        <w:rPr>
          <w:rFonts w:eastAsia="宋体" w:cs="Times New Roman"/>
          <w:kern w:val="2"/>
          <w:szCs w:val="21"/>
          <w:u w:val="single"/>
        </w:rPr>
        <w:tab/>
      </w:r>
      <w:r w:rsidRPr="003C2170">
        <w:rPr>
          <w:rFonts w:eastAsia="宋体" w:cs="Times New Roman" w:hint="eastAsia"/>
          <w:szCs w:val="21"/>
          <w:u w:val="single"/>
        </w:rPr>
        <w:t>存货</w:t>
      </w:r>
      <w:r w:rsidRPr="003C2170">
        <w:rPr>
          <w:rFonts w:eastAsia="宋体" w:cs="Times New Roman" w:hint="eastAsia"/>
          <w:kern w:val="2"/>
          <w:szCs w:val="21"/>
          <w:u w:val="single"/>
        </w:rPr>
        <w:t>类别、发出计价方法、盘存制度、低值易耗品和包装物的摊销方法</w:t>
      </w:r>
    </w:p>
    <w:p w:rsidR="00DA5A7E" w:rsidRPr="003C2170" w:rsidRDefault="00DA5A7E" w:rsidP="003C2170">
      <w:pPr>
        <w:autoSpaceDE w:val="0"/>
        <w:autoSpaceDN w:val="0"/>
        <w:ind w:left="720"/>
        <w:jc w:val="both"/>
        <w:textAlignment w:val="baseline"/>
        <w:rPr>
          <w:rFonts w:eastAsia="宋体" w:cs="Times New Roman"/>
          <w:szCs w:val="21"/>
        </w:rPr>
      </w:pPr>
    </w:p>
    <w:p w:rsidR="00DA5A7E" w:rsidRPr="003C2170" w:rsidRDefault="00DA5A7E" w:rsidP="00402E18">
      <w:pPr>
        <w:autoSpaceDE w:val="0"/>
        <w:autoSpaceDN w:val="0"/>
        <w:ind w:left="720"/>
        <w:jc w:val="both"/>
        <w:textAlignment w:val="baseline"/>
        <w:rPr>
          <w:rFonts w:eastAsia="宋体" w:cs="Times New Roman"/>
          <w:kern w:val="2"/>
          <w:szCs w:val="21"/>
          <w:u w:val="single"/>
        </w:rPr>
      </w:pPr>
      <w:r w:rsidRPr="003C2170">
        <w:rPr>
          <w:rFonts w:eastAsia="宋体" w:cs="Times New Roman"/>
          <w:kern w:val="2"/>
          <w:szCs w:val="21"/>
          <w:u w:val="single"/>
        </w:rPr>
        <w:t>1</w:t>
      </w:r>
      <w:r w:rsidR="00A72D9A" w:rsidRPr="003C2170">
        <w:rPr>
          <w:rFonts w:eastAsia="宋体" w:cs="Times New Roman"/>
          <w:kern w:val="2"/>
          <w:szCs w:val="21"/>
          <w:u w:val="single"/>
        </w:rPr>
        <w:t>5</w:t>
      </w:r>
      <w:r w:rsidRPr="003C2170">
        <w:rPr>
          <w:rFonts w:eastAsia="宋体" w:cs="Times New Roman"/>
          <w:kern w:val="2"/>
          <w:szCs w:val="21"/>
          <w:u w:val="single"/>
        </w:rPr>
        <w:t>.1</w:t>
      </w:r>
      <w:r w:rsidRPr="003C2170">
        <w:rPr>
          <w:rFonts w:eastAsia="宋体" w:cs="Times New Roman" w:hint="eastAsia"/>
          <w:kern w:val="2"/>
          <w:szCs w:val="21"/>
          <w:u w:val="single"/>
        </w:rPr>
        <w:t>.1</w:t>
      </w:r>
      <w:r w:rsidRPr="003C2170">
        <w:rPr>
          <w:rFonts w:eastAsia="宋体" w:cs="Times New Roman"/>
          <w:kern w:val="2"/>
          <w:szCs w:val="21"/>
          <w:u w:val="single"/>
        </w:rPr>
        <w:tab/>
      </w:r>
      <w:r w:rsidRPr="003C2170">
        <w:rPr>
          <w:rFonts w:eastAsia="宋体" w:cs="Times New Roman" w:hint="eastAsia"/>
          <w:szCs w:val="21"/>
          <w:u w:val="single"/>
        </w:rPr>
        <w:t>存货</w:t>
      </w:r>
      <w:r w:rsidRPr="003C2170">
        <w:rPr>
          <w:rFonts w:eastAsia="宋体" w:cs="Times New Roman" w:hint="eastAsia"/>
          <w:kern w:val="2"/>
          <w:szCs w:val="21"/>
          <w:u w:val="single"/>
        </w:rPr>
        <w:t>类别</w:t>
      </w:r>
    </w:p>
    <w:p w:rsidR="000400E4" w:rsidRPr="003C2170" w:rsidRDefault="000400E4" w:rsidP="003C2170">
      <w:pPr>
        <w:autoSpaceDE w:val="0"/>
        <w:autoSpaceDN w:val="0"/>
        <w:ind w:left="720"/>
        <w:jc w:val="both"/>
        <w:textAlignment w:val="baseline"/>
        <w:rPr>
          <w:rFonts w:eastAsia="宋体" w:cs="Times New Roman"/>
          <w:szCs w:val="21"/>
        </w:rPr>
      </w:pPr>
    </w:p>
    <w:p w:rsidR="00072F53" w:rsidRPr="003C2170" w:rsidRDefault="00CD0431"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本集团的存货主要包括原材料、在</w:t>
      </w:r>
      <w:r w:rsidR="00B042F8" w:rsidRPr="003C2170">
        <w:rPr>
          <w:rFonts w:eastAsia="宋体" w:cs="Times New Roman" w:hint="eastAsia"/>
          <w:szCs w:val="21"/>
        </w:rPr>
        <w:t>产</w:t>
      </w:r>
      <w:r w:rsidRPr="003C2170">
        <w:rPr>
          <w:rFonts w:eastAsia="宋体" w:cs="Times New Roman" w:hint="eastAsia"/>
          <w:szCs w:val="21"/>
        </w:rPr>
        <w:t>品</w:t>
      </w:r>
      <w:r w:rsidR="00DA5A7E" w:rsidRPr="003C2170">
        <w:rPr>
          <w:rFonts w:eastAsia="宋体" w:cs="Times New Roman" w:hint="eastAsia"/>
          <w:szCs w:val="21"/>
        </w:rPr>
        <w:t>和</w:t>
      </w:r>
      <w:r w:rsidRPr="003C2170">
        <w:rPr>
          <w:rFonts w:eastAsia="宋体" w:cs="Times New Roman" w:hint="eastAsia"/>
          <w:szCs w:val="21"/>
        </w:rPr>
        <w:t>产成品等。存货按成本进行初始计量，存货成本包括采购成本、加工成本和其他使存货达到目前场所和状态所发生的支出。</w:t>
      </w:r>
    </w:p>
    <w:p w:rsidR="003E76C1" w:rsidRPr="003C2170" w:rsidRDefault="003E76C1" w:rsidP="003C2170">
      <w:pPr>
        <w:autoSpaceDE w:val="0"/>
        <w:autoSpaceDN w:val="0"/>
        <w:ind w:left="720"/>
        <w:jc w:val="both"/>
        <w:textAlignment w:val="baseline"/>
        <w:rPr>
          <w:rFonts w:eastAsia="宋体" w:cs="Times New Roman"/>
          <w:szCs w:val="21"/>
        </w:rPr>
      </w:pPr>
    </w:p>
    <w:p w:rsidR="000400E4" w:rsidRPr="003C2170" w:rsidRDefault="000400E4" w:rsidP="003C2170">
      <w:pPr>
        <w:tabs>
          <w:tab w:val="left" w:pos="504"/>
        </w:tabs>
        <w:ind w:left="720"/>
        <w:jc w:val="both"/>
        <w:rPr>
          <w:rFonts w:eastAsia="宋体" w:cs="Times New Roman"/>
          <w:kern w:val="2"/>
          <w:szCs w:val="21"/>
          <w:u w:val="single"/>
        </w:rPr>
      </w:pPr>
      <w:r w:rsidRPr="003C2170">
        <w:rPr>
          <w:rFonts w:eastAsia="宋体" w:cs="Times New Roman"/>
          <w:kern w:val="2"/>
          <w:szCs w:val="21"/>
          <w:u w:val="single"/>
        </w:rPr>
        <w:t>1</w:t>
      </w:r>
      <w:r w:rsidR="00A72D9A" w:rsidRPr="003C2170">
        <w:rPr>
          <w:rFonts w:eastAsia="宋体" w:cs="Times New Roman"/>
          <w:kern w:val="2"/>
          <w:szCs w:val="21"/>
          <w:u w:val="single"/>
        </w:rPr>
        <w:t>5</w:t>
      </w:r>
      <w:r w:rsidR="00DA5A7E" w:rsidRPr="003C2170">
        <w:rPr>
          <w:rFonts w:eastAsia="宋体" w:cs="Times New Roman"/>
          <w:kern w:val="2"/>
          <w:szCs w:val="21"/>
          <w:u w:val="single"/>
        </w:rPr>
        <w:t>.1</w:t>
      </w:r>
      <w:r w:rsidRPr="003C2170">
        <w:rPr>
          <w:rFonts w:eastAsia="宋体" w:cs="Times New Roman"/>
          <w:kern w:val="2"/>
          <w:szCs w:val="21"/>
          <w:u w:val="single"/>
        </w:rPr>
        <w:t>.2</w:t>
      </w:r>
      <w:r w:rsidRPr="003C2170">
        <w:rPr>
          <w:rFonts w:eastAsia="宋体" w:cs="Times New Roman"/>
          <w:kern w:val="2"/>
          <w:szCs w:val="21"/>
          <w:u w:val="single"/>
        </w:rPr>
        <w:tab/>
      </w:r>
      <w:r w:rsidRPr="003C2170">
        <w:rPr>
          <w:rFonts w:eastAsia="宋体" w:cs="Times New Roman" w:hint="eastAsia"/>
          <w:kern w:val="2"/>
          <w:szCs w:val="21"/>
          <w:u w:val="single"/>
        </w:rPr>
        <w:t>发出存货的计价方法</w:t>
      </w:r>
    </w:p>
    <w:p w:rsidR="000400E4" w:rsidRPr="003C2170" w:rsidRDefault="000400E4" w:rsidP="003C2170">
      <w:pPr>
        <w:autoSpaceDE w:val="0"/>
        <w:autoSpaceDN w:val="0"/>
        <w:ind w:left="720"/>
        <w:jc w:val="both"/>
        <w:textAlignment w:val="baseline"/>
        <w:rPr>
          <w:rFonts w:eastAsia="宋体" w:cs="Times New Roman"/>
          <w:szCs w:val="21"/>
        </w:rPr>
      </w:pPr>
    </w:p>
    <w:p w:rsidR="00CD0431" w:rsidRPr="003C2170" w:rsidRDefault="00CD0431"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存货发出时，采用移动加权平均法确定发出存货的实际成本。</w:t>
      </w:r>
    </w:p>
    <w:p w:rsidR="00DA5A7E" w:rsidRPr="003C2170" w:rsidRDefault="00DA5A7E" w:rsidP="003C2170">
      <w:pPr>
        <w:autoSpaceDE w:val="0"/>
        <w:autoSpaceDN w:val="0"/>
        <w:ind w:left="720"/>
        <w:jc w:val="both"/>
        <w:textAlignment w:val="baseline"/>
        <w:rPr>
          <w:rFonts w:eastAsia="宋体" w:cs="Times New Roman"/>
          <w:szCs w:val="21"/>
        </w:rPr>
      </w:pPr>
    </w:p>
    <w:p w:rsidR="00DA5A7E" w:rsidRPr="003C2170" w:rsidRDefault="00DA5A7E" w:rsidP="003C2170">
      <w:pPr>
        <w:tabs>
          <w:tab w:val="left" w:pos="504"/>
        </w:tabs>
        <w:ind w:left="720"/>
        <w:jc w:val="both"/>
        <w:rPr>
          <w:rFonts w:eastAsia="宋体" w:cs="Times New Roman"/>
          <w:kern w:val="2"/>
          <w:szCs w:val="21"/>
          <w:u w:val="single"/>
        </w:rPr>
      </w:pPr>
      <w:r w:rsidRPr="003C2170">
        <w:rPr>
          <w:rFonts w:eastAsia="宋体" w:cs="Times New Roman"/>
          <w:kern w:val="2"/>
          <w:szCs w:val="21"/>
          <w:u w:val="single"/>
        </w:rPr>
        <w:t>1</w:t>
      </w:r>
      <w:r w:rsidR="00A72D9A" w:rsidRPr="003C2170">
        <w:rPr>
          <w:rFonts w:eastAsia="宋体" w:cs="Times New Roman"/>
          <w:kern w:val="2"/>
          <w:szCs w:val="21"/>
          <w:u w:val="single"/>
        </w:rPr>
        <w:t>5</w:t>
      </w:r>
      <w:r w:rsidRPr="003C2170">
        <w:rPr>
          <w:rFonts w:eastAsia="宋体" w:cs="Times New Roman"/>
          <w:kern w:val="2"/>
          <w:szCs w:val="21"/>
          <w:u w:val="single"/>
        </w:rPr>
        <w:t>.1.3</w:t>
      </w:r>
      <w:r w:rsidRPr="003C2170">
        <w:rPr>
          <w:rFonts w:eastAsia="宋体" w:cs="Times New Roman"/>
          <w:kern w:val="2"/>
          <w:szCs w:val="21"/>
          <w:u w:val="single"/>
        </w:rPr>
        <w:tab/>
      </w:r>
      <w:r w:rsidRPr="003C2170">
        <w:rPr>
          <w:rFonts w:eastAsia="宋体" w:cs="Times New Roman" w:hint="eastAsia"/>
          <w:szCs w:val="21"/>
          <w:u w:val="single"/>
        </w:rPr>
        <w:t>存货</w:t>
      </w:r>
      <w:r w:rsidRPr="003C2170">
        <w:rPr>
          <w:rFonts w:eastAsia="宋体" w:cs="Times New Roman" w:hint="eastAsia"/>
          <w:kern w:val="2"/>
          <w:szCs w:val="21"/>
          <w:u w:val="single"/>
        </w:rPr>
        <w:t>的盘存制度</w:t>
      </w:r>
    </w:p>
    <w:p w:rsidR="00DA5A7E" w:rsidRPr="003C2170" w:rsidRDefault="00DA5A7E" w:rsidP="003C2170">
      <w:pPr>
        <w:autoSpaceDE w:val="0"/>
        <w:autoSpaceDN w:val="0"/>
        <w:ind w:left="720"/>
        <w:jc w:val="both"/>
        <w:textAlignment w:val="baseline"/>
        <w:rPr>
          <w:rFonts w:eastAsia="宋体" w:cs="Times New Roman"/>
          <w:szCs w:val="21"/>
        </w:rPr>
      </w:pPr>
    </w:p>
    <w:p w:rsidR="00DA5A7E" w:rsidRPr="003C2170" w:rsidRDefault="00DA5A7E"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存货盘存制度为永续盘存制。</w:t>
      </w:r>
    </w:p>
    <w:p w:rsidR="00DA5A7E" w:rsidRPr="003C2170" w:rsidRDefault="00DA5A7E" w:rsidP="003C2170">
      <w:pPr>
        <w:autoSpaceDE w:val="0"/>
        <w:autoSpaceDN w:val="0"/>
        <w:ind w:left="720"/>
        <w:jc w:val="both"/>
        <w:textAlignment w:val="baseline"/>
        <w:rPr>
          <w:rFonts w:eastAsia="宋体" w:cs="Times New Roman"/>
          <w:szCs w:val="21"/>
        </w:rPr>
      </w:pPr>
    </w:p>
    <w:p w:rsidR="00DA5A7E" w:rsidRPr="003C2170" w:rsidRDefault="00DA5A7E" w:rsidP="003C2170">
      <w:pPr>
        <w:tabs>
          <w:tab w:val="left" w:pos="504"/>
        </w:tabs>
        <w:ind w:left="720"/>
        <w:jc w:val="both"/>
        <w:rPr>
          <w:rFonts w:eastAsia="宋体" w:cs="Times New Roman"/>
          <w:kern w:val="2"/>
          <w:szCs w:val="21"/>
          <w:u w:val="single"/>
        </w:rPr>
      </w:pPr>
      <w:r w:rsidRPr="003C2170">
        <w:rPr>
          <w:rFonts w:eastAsia="宋体" w:cs="Times New Roman"/>
          <w:kern w:val="2"/>
          <w:szCs w:val="21"/>
          <w:u w:val="single"/>
        </w:rPr>
        <w:t>1</w:t>
      </w:r>
      <w:r w:rsidR="00A72D9A" w:rsidRPr="003C2170">
        <w:rPr>
          <w:rFonts w:eastAsia="宋体" w:cs="Times New Roman"/>
          <w:kern w:val="2"/>
          <w:szCs w:val="21"/>
          <w:u w:val="single"/>
        </w:rPr>
        <w:t>5</w:t>
      </w:r>
      <w:r w:rsidRPr="003C2170">
        <w:rPr>
          <w:rFonts w:eastAsia="宋体" w:cs="Times New Roman"/>
          <w:kern w:val="2"/>
          <w:szCs w:val="21"/>
          <w:u w:val="single"/>
        </w:rPr>
        <w:t>.1.4</w:t>
      </w:r>
      <w:r w:rsidRPr="003C2170">
        <w:rPr>
          <w:rFonts w:eastAsia="宋体" w:cs="Times New Roman"/>
          <w:kern w:val="2"/>
          <w:szCs w:val="21"/>
          <w:u w:val="single"/>
        </w:rPr>
        <w:tab/>
      </w:r>
      <w:r w:rsidRPr="003C2170">
        <w:rPr>
          <w:rFonts w:eastAsia="宋体" w:cs="Times New Roman" w:hint="eastAsia"/>
          <w:szCs w:val="21"/>
          <w:u w:val="single"/>
        </w:rPr>
        <w:t>低值易耗品和包装物的摊销方法</w:t>
      </w:r>
    </w:p>
    <w:p w:rsidR="00DA5A7E" w:rsidRPr="003C2170" w:rsidRDefault="00DA5A7E" w:rsidP="003C2170">
      <w:pPr>
        <w:ind w:left="720"/>
        <w:jc w:val="both"/>
        <w:rPr>
          <w:rFonts w:eastAsia="宋体" w:cs="Times New Roman"/>
          <w:kern w:val="2"/>
          <w:szCs w:val="21"/>
        </w:rPr>
      </w:pPr>
    </w:p>
    <w:p w:rsidR="00DA5A7E" w:rsidRPr="003C2170" w:rsidRDefault="00DA5A7E" w:rsidP="003C2170">
      <w:pPr>
        <w:autoSpaceDE w:val="0"/>
        <w:autoSpaceDN w:val="0"/>
        <w:ind w:left="720"/>
        <w:jc w:val="both"/>
        <w:textAlignment w:val="baseline"/>
        <w:rPr>
          <w:rFonts w:eastAsia="宋体" w:cs="Times New Roman"/>
          <w:kern w:val="2"/>
          <w:szCs w:val="21"/>
        </w:rPr>
      </w:pPr>
      <w:r w:rsidRPr="003C2170">
        <w:rPr>
          <w:rFonts w:eastAsia="宋体" w:cs="Times New Roman" w:hint="eastAsia"/>
          <w:kern w:val="2"/>
          <w:szCs w:val="21"/>
        </w:rPr>
        <w:t>包装物和低值易耗品采用一次转销法进行摊销。</w:t>
      </w:r>
    </w:p>
    <w:p w:rsidR="001C390D" w:rsidRPr="003C2170" w:rsidRDefault="001C390D" w:rsidP="0027505B">
      <w:pPr>
        <w:autoSpaceDE w:val="0"/>
        <w:autoSpaceDN w:val="0"/>
        <w:ind w:left="720"/>
        <w:jc w:val="both"/>
        <w:textAlignment w:val="baseline"/>
        <w:rPr>
          <w:rFonts w:eastAsia="宋体" w:cs="Times New Roman"/>
          <w:szCs w:val="21"/>
        </w:rPr>
      </w:pPr>
    </w:p>
    <w:p w:rsidR="001C390D" w:rsidRPr="003C2170" w:rsidRDefault="000655C6" w:rsidP="003C2170">
      <w:pPr>
        <w:autoSpaceDE w:val="0"/>
        <w:autoSpaceDN w:val="0"/>
        <w:ind w:left="720"/>
        <w:jc w:val="both"/>
        <w:textAlignment w:val="baseline"/>
        <w:rPr>
          <w:rFonts w:eastAsia="宋体" w:cs="Times New Roman"/>
          <w:szCs w:val="21"/>
        </w:rPr>
      </w:pPr>
      <w:r w:rsidRPr="003C2170">
        <w:rPr>
          <w:rFonts w:eastAsia="宋体" w:cs="Times New Roman"/>
          <w:kern w:val="2"/>
          <w:szCs w:val="21"/>
          <w:u w:val="single"/>
        </w:rPr>
        <w:t>1</w:t>
      </w:r>
      <w:r w:rsidR="00A72D9A" w:rsidRPr="003C2170">
        <w:rPr>
          <w:rFonts w:eastAsia="宋体" w:cs="Times New Roman"/>
          <w:kern w:val="2"/>
          <w:szCs w:val="21"/>
          <w:u w:val="single"/>
        </w:rPr>
        <w:t>5</w:t>
      </w:r>
      <w:r w:rsidR="001C390D" w:rsidRPr="003C2170">
        <w:rPr>
          <w:rFonts w:eastAsia="宋体" w:cs="Times New Roman"/>
          <w:kern w:val="2"/>
          <w:szCs w:val="21"/>
          <w:u w:val="single"/>
        </w:rPr>
        <w:t>.</w:t>
      </w:r>
      <w:r w:rsidR="00DA5A7E" w:rsidRPr="003C2170">
        <w:rPr>
          <w:rFonts w:eastAsia="宋体" w:cs="Times New Roman"/>
          <w:kern w:val="2"/>
          <w:szCs w:val="21"/>
          <w:u w:val="single"/>
        </w:rPr>
        <w:t>2</w:t>
      </w:r>
      <w:r w:rsidR="001C390D" w:rsidRPr="003C2170">
        <w:rPr>
          <w:rFonts w:eastAsia="宋体" w:cs="Times New Roman"/>
          <w:kern w:val="2"/>
          <w:szCs w:val="21"/>
          <w:u w:val="single"/>
        </w:rPr>
        <w:tab/>
      </w:r>
      <w:r w:rsidR="001C390D" w:rsidRPr="003C2170">
        <w:rPr>
          <w:rFonts w:eastAsia="宋体" w:cs="Times New Roman" w:hint="eastAsia"/>
          <w:kern w:val="2"/>
          <w:szCs w:val="21"/>
          <w:u w:val="single"/>
        </w:rPr>
        <w:t>存货</w:t>
      </w:r>
      <w:r w:rsidR="00DA5A7E" w:rsidRPr="003C2170">
        <w:rPr>
          <w:rFonts w:eastAsia="宋体" w:cs="Times New Roman" w:hint="eastAsia"/>
          <w:kern w:val="2"/>
          <w:szCs w:val="21"/>
          <w:u w:val="single"/>
        </w:rPr>
        <w:t>跌价准备的确认标准和计提方法</w:t>
      </w:r>
    </w:p>
    <w:p w:rsidR="001C390D" w:rsidRPr="003C2170" w:rsidRDefault="001C390D" w:rsidP="003C2170">
      <w:pPr>
        <w:autoSpaceDE w:val="0"/>
        <w:autoSpaceDN w:val="0"/>
        <w:ind w:left="720"/>
        <w:jc w:val="both"/>
        <w:textAlignment w:val="baseline"/>
        <w:rPr>
          <w:rFonts w:eastAsia="宋体" w:cs="Times New Roman"/>
          <w:szCs w:val="21"/>
        </w:rPr>
      </w:pPr>
    </w:p>
    <w:p w:rsidR="001C390D" w:rsidRPr="003C2170" w:rsidRDefault="001C390D"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资产负债表日，存货按照成本与可变现净值孰低计量。当其可变现净值低于成本时，提取存货跌价准备。</w:t>
      </w:r>
    </w:p>
    <w:p w:rsidR="001C390D" w:rsidRPr="003C2170" w:rsidRDefault="001C390D" w:rsidP="003C2170">
      <w:pPr>
        <w:autoSpaceDE w:val="0"/>
        <w:autoSpaceDN w:val="0"/>
        <w:ind w:left="720"/>
        <w:jc w:val="both"/>
        <w:textAlignment w:val="baseline"/>
        <w:rPr>
          <w:rFonts w:eastAsia="宋体" w:cs="Times New Roman"/>
          <w:szCs w:val="21"/>
        </w:rPr>
      </w:pPr>
    </w:p>
    <w:p w:rsidR="001C390D" w:rsidRPr="003C2170" w:rsidRDefault="001C390D"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D86A18" w:rsidRPr="003C2170" w:rsidRDefault="00D86A18" w:rsidP="003C2170">
      <w:pPr>
        <w:autoSpaceDE w:val="0"/>
        <w:autoSpaceDN w:val="0"/>
        <w:ind w:left="720"/>
        <w:jc w:val="both"/>
        <w:textAlignment w:val="baseline"/>
        <w:rPr>
          <w:rFonts w:eastAsia="宋体" w:cs="Times New Roman"/>
          <w:szCs w:val="21"/>
        </w:rPr>
      </w:pPr>
    </w:p>
    <w:p w:rsidR="00A12914" w:rsidRPr="003C2170" w:rsidRDefault="00D86A18"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计提存货跌价准备后，如果</w:t>
      </w:r>
      <w:proofErr w:type="gramStart"/>
      <w:r w:rsidRPr="003C2170">
        <w:rPr>
          <w:rFonts w:eastAsia="宋体" w:cs="Times New Roman" w:hint="eastAsia"/>
          <w:szCs w:val="21"/>
        </w:rPr>
        <w:t>以前减记</w:t>
      </w:r>
      <w:proofErr w:type="gramEnd"/>
      <w:r w:rsidRPr="003C2170">
        <w:rPr>
          <w:rFonts w:eastAsia="宋体" w:cs="Times New Roman" w:hint="eastAsia"/>
          <w:szCs w:val="21"/>
        </w:rPr>
        <w:t>存货价值的影响因素已经消失，导致存货的可变现净值高于其账面价值的，在原已计提的存货跌价准备金额内予以转回，转回的金额计入当期损益。</w:t>
      </w:r>
    </w:p>
    <w:p w:rsidR="001C390D" w:rsidRPr="003C2170" w:rsidRDefault="001C390D" w:rsidP="003C2170">
      <w:pPr>
        <w:autoSpaceDE w:val="0"/>
        <w:autoSpaceDN w:val="0"/>
        <w:ind w:left="720"/>
        <w:jc w:val="both"/>
        <w:textAlignment w:val="baseline"/>
        <w:rPr>
          <w:rFonts w:eastAsia="宋体" w:cs="Times New Roman"/>
          <w:szCs w:val="21"/>
        </w:rPr>
      </w:pPr>
    </w:p>
    <w:p w:rsidR="00D86A18" w:rsidRPr="003C2170" w:rsidRDefault="00D86A18" w:rsidP="003C2170">
      <w:pPr>
        <w:autoSpaceDE w:val="0"/>
        <w:autoSpaceDN w:val="0"/>
        <w:ind w:left="720"/>
        <w:jc w:val="both"/>
        <w:textAlignment w:val="baseline"/>
        <w:rPr>
          <w:rFonts w:eastAsia="宋体" w:cs="Times New Roman"/>
          <w:szCs w:val="21"/>
        </w:rPr>
      </w:pPr>
      <w:r w:rsidRPr="003C2170">
        <w:rPr>
          <w:rFonts w:eastAsia="宋体" w:cs="Times New Roman"/>
          <w:kern w:val="2"/>
          <w:szCs w:val="21"/>
          <w:u w:val="single"/>
        </w:rPr>
        <w:t>1</w:t>
      </w:r>
      <w:r w:rsidR="00A72D9A" w:rsidRPr="003C2170">
        <w:rPr>
          <w:rFonts w:eastAsia="宋体" w:cs="Times New Roman"/>
          <w:kern w:val="2"/>
          <w:szCs w:val="21"/>
          <w:u w:val="single"/>
        </w:rPr>
        <w:t>5</w:t>
      </w:r>
      <w:r w:rsidRPr="003C2170">
        <w:rPr>
          <w:rFonts w:eastAsia="宋体" w:cs="Times New Roman"/>
          <w:kern w:val="2"/>
          <w:szCs w:val="21"/>
          <w:u w:val="single"/>
        </w:rPr>
        <w:t>.3</w:t>
      </w:r>
      <w:r w:rsidRPr="003C2170">
        <w:rPr>
          <w:rFonts w:eastAsia="宋体" w:cs="Times New Roman"/>
          <w:kern w:val="2"/>
          <w:szCs w:val="21"/>
          <w:u w:val="single"/>
        </w:rPr>
        <w:tab/>
      </w:r>
      <w:proofErr w:type="gramStart"/>
      <w:r w:rsidRPr="003C2170">
        <w:rPr>
          <w:rFonts w:eastAsia="宋体" w:cs="Times New Roman" w:hint="eastAsia"/>
          <w:kern w:val="2"/>
          <w:szCs w:val="21"/>
          <w:u w:val="single"/>
        </w:rPr>
        <w:t>按照组</w:t>
      </w:r>
      <w:proofErr w:type="gramEnd"/>
      <w:r w:rsidRPr="003C2170">
        <w:rPr>
          <w:rFonts w:eastAsia="宋体" w:cs="Times New Roman" w:hint="eastAsia"/>
          <w:kern w:val="2"/>
          <w:szCs w:val="21"/>
          <w:u w:val="single"/>
        </w:rPr>
        <w:t>合计提存货跌价准备的组合类别及确定依据、不同类别存货可变现净值的确定依据</w:t>
      </w:r>
    </w:p>
    <w:p w:rsidR="00D86A18" w:rsidRPr="003C2170" w:rsidRDefault="00D86A18" w:rsidP="003C2170">
      <w:pPr>
        <w:autoSpaceDE w:val="0"/>
        <w:autoSpaceDN w:val="0"/>
        <w:ind w:left="720"/>
        <w:jc w:val="both"/>
        <w:textAlignment w:val="baseline"/>
        <w:rPr>
          <w:rFonts w:eastAsia="宋体" w:cs="Times New Roman"/>
          <w:szCs w:val="21"/>
        </w:rPr>
      </w:pPr>
    </w:p>
    <w:p w:rsidR="00584DF3" w:rsidRPr="003C2170" w:rsidRDefault="00D86A18"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本集团</w:t>
      </w:r>
      <w:r w:rsidR="001C390D" w:rsidRPr="003C2170">
        <w:rPr>
          <w:rFonts w:eastAsia="宋体" w:cs="Times New Roman" w:hint="eastAsia"/>
          <w:szCs w:val="21"/>
        </w:rPr>
        <w:t>对于数量繁多、单价较低的存货，按存货类别计提存货跌价准备</w:t>
      </w:r>
      <w:r w:rsidR="005F14EE" w:rsidRPr="003C2170">
        <w:rPr>
          <w:rFonts w:eastAsia="宋体" w:cs="Times New Roman" w:hint="eastAsia"/>
          <w:szCs w:val="21"/>
        </w:rPr>
        <w:t>；</w:t>
      </w:r>
      <w:r w:rsidR="001C390D" w:rsidRPr="003C2170">
        <w:rPr>
          <w:rFonts w:eastAsia="宋体" w:cs="Times New Roman" w:hint="eastAsia"/>
          <w:szCs w:val="21"/>
        </w:rPr>
        <w:t>对与在同一地区生产和销售的产品系列相关、具有相同或类似最终用途或目的，且难以与其他项目分开计量的存货，合并计提存货跌价准备</w:t>
      </w:r>
      <w:r w:rsidR="00165F99" w:rsidRPr="003C2170">
        <w:rPr>
          <w:rFonts w:eastAsia="宋体" w:cs="Times New Roman" w:hint="eastAsia"/>
          <w:szCs w:val="21"/>
        </w:rPr>
        <w:t>。本集团根据存货性质和状态分组计提存货跌价准备。</w:t>
      </w:r>
    </w:p>
    <w:p w:rsidR="00BD14D4" w:rsidRPr="003C2170" w:rsidRDefault="00BD14D4" w:rsidP="003C2170">
      <w:pPr>
        <w:autoSpaceDE w:val="0"/>
        <w:autoSpaceDN w:val="0"/>
        <w:ind w:left="720"/>
        <w:jc w:val="both"/>
        <w:textAlignment w:val="baseline"/>
        <w:rPr>
          <w:rFonts w:eastAsia="宋体" w:cs="Times New Roman"/>
          <w:szCs w:val="21"/>
        </w:rPr>
      </w:pPr>
    </w:p>
    <w:p w:rsidR="00BD14D4" w:rsidRPr="003C2170" w:rsidRDefault="00BD14D4" w:rsidP="0027505B">
      <w:pPr>
        <w:pStyle w:val="2"/>
        <w:numPr>
          <w:ilvl w:val="0"/>
          <w:numId w:val="39"/>
        </w:numPr>
        <w:adjustRightInd w:val="0"/>
        <w:snapToGrid w:val="0"/>
        <w:ind w:left="1440" w:hanging="709"/>
        <w:contextualSpacing w:val="0"/>
        <w:jc w:val="both"/>
        <w:rPr>
          <w:rFonts w:ascii="Times New Roman" w:eastAsia="宋体" w:hAnsi="Times New Roman" w:cs="Times New Roman"/>
          <w:snapToGrid w:val="0"/>
          <w:szCs w:val="21"/>
        </w:rPr>
      </w:pPr>
      <w:r w:rsidRPr="003C2170">
        <w:rPr>
          <w:rFonts w:ascii="Times New Roman" w:eastAsia="宋体" w:hAnsi="Times New Roman" w:cs="Times New Roman" w:hint="eastAsia"/>
          <w:snapToGrid w:val="0"/>
          <w:szCs w:val="21"/>
        </w:rPr>
        <w:t>长期股权投资</w:t>
      </w:r>
    </w:p>
    <w:p w:rsidR="00BD14D4" w:rsidRPr="003C2170" w:rsidRDefault="00BD14D4" w:rsidP="003C2170">
      <w:pPr>
        <w:autoSpaceDE w:val="0"/>
        <w:autoSpaceDN w:val="0"/>
        <w:ind w:left="720"/>
        <w:jc w:val="both"/>
        <w:textAlignment w:val="baseline"/>
        <w:rPr>
          <w:rFonts w:eastAsia="宋体" w:cs="Times New Roman"/>
          <w:szCs w:val="21"/>
        </w:rPr>
      </w:pPr>
    </w:p>
    <w:p w:rsidR="00BD14D4" w:rsidRPr="003C2170" w:rsidRDefault="00BD14D4" w:rsidP="003C2170">
      <w:pPr>
        <w:tabs>
          <w:tab w:val="left" w:pos="720"/>
        </w:tabs>
        <w:ind w:left="720"/>
        <w:jc w:val="both"/>
        <w:rPr>
          <w:rFonts w:eastAsia="宋体" w:cs="Times New Roman"/>
          <w:snapToGrid w:val="0"/>
          <w:szCs w:val="21"/>
          <w:u w:val="single"/>
        </w:rPr>
      </w:pPr>
      <w:r w:rsidRPr="003C2170">
        <w:rPr>
          <w:rFonts w:eastAsia="宋体" w:cs="Times New Roman"/>
          <w:snapToGrid w:val="0"/>
          <w:szCs w:val="21"/>
          <w:u w:val="single"/>
        </w:rPr>
        <w:t>16.1</w:t>
      </w:r>
      <w:r w:rsidRPr="003C2170">
        <w:rPr>
          <w:rFonts w:eastAsia="宋体" w:cs="Times New Roman"/>
          <w:snapToGrid w:val="0"/>
          <w:szCs w:val="21"/>
          <w:u w:val="single"/>
        </w:rPr>
        <w:tab/>
      </w:r>
      <w:r w:rsidRPr="003C2170">
        <w:rPr>
          <w:rFonts w:eastAsia="宋体" w:cs="Times New Roman" w:hint="eastAsia"/>
          <w:snapToGrid w:val="0"/>
          <w:szCs w:val="21"/>
          <w:u w:val="single"/>
        </w:rPr>
        <w:t>共同控制、重要影响的判断标准</w:t>
      </w:r>
    </w:p>
    <w:p w:rsidR="00BD14D4" w:rsidRPr="003C2170" w:rsidRDefault="00BD14D4" w:rsidP="003C2170">
      <w:pPr>
        <w:widowControl w:val="0"/>
        <w:ind w:left="720"/>
        <w:jc w:val="both"/>
        <w:rPr>
          <w:rFonts w:eastAsia="宋体" w:cs="Times New Roman"/>
          <w:snapToGrid w:val="0"/>
          <w:kern w:val="2"/>
          <w:szCs w:val="21"/>
        </w:rPr>
      </w:pPr>
    </w:p>
    <w:p w:rsidR="00BD14D4" w:rsidRPr="003C2170" w:rsidRDefault="00BD14D4" w:rsidP="003C2170">
      <w:pPr>
        <w:ind w:left="720"/>
        <w:jc w:val="both"/>
        <w:rPr>
          <w:rFonts w:eastAsia="宋体" w:cs="Times New Roman"/>
          <w:kern w:val="2"/>
          <w:szCs w:val="21"/>
        </w:rPr>
      </w:pPr>
      <w:r w:rsidRPr="003C2170">
        <w:rPr>
          <w:rFonts w:eastAsia="宋体" w:cs="Times New Roman" w:hint="eastAsia"/>
          <w:kern w:val="2"/>
          <w:szCs w:val="21"/>
        </w:rPr>
        <w:t>控制是指投资方拥有对被投资方的权力，通过参与被投资方的相关活动而享有可变回报，并且有能力运用对被投资方的权力影响其回报金额。在确定能否对被投资单位实施控制或施加重大影响时，已考虑投资方和其他方持有的被投资单位当期可转换公司债</w:t>
      </w:r>
      <w:proofErr w:type="gramStart"/>
      <w:r w:rsidRPr="003C2170">
        <w:rPr>
          <w:rFonts w:eastAsia="宋体" w:cs="Times New Roman" w:hint="eastAsia"/>
          <w:kern w:val="2"/>
          <w:szCs w:val="21"/>
        </w:rPr>
        <w:t>券</w:t>
      </w:r>
      <w:proofErr w:type="gramEnd"/>
      <w:r w:rsidRPr="003C2170">
        <w:rPr>
          <w:rFonts w:eastAsia="宋体" w:cs="Times New Roman" w:hint="eastAsia"/>
          <w:kern w:val="2"/>
          <w:szCs w:val="21"/>
        </w:rPr>
        <w:t>、当期可执行认股权证等潜在表决权因素。</w:t>
      </w:r>
    </w:p>
    <w:p w:rsidR="00BD14D4" w:rsidRPr="003C2170" w:rsidRDefault="00BD14D4" w:rsidP="0027505B">
      <w:pPr>
        <w:jc w:val="both"/>
        <w:rPr>
          <w:rFonts w:eastAsia="宋体" w:cs="Times New Roman"/>
          <w:kern w:val="2"/>
          <w:szCs w:val="21"/>
          <w:u w:val="single"/>
        </w:rPr>
      </w:pPr>
      <w:r w:rsidRPr="003C2170">
        <w:rPr>
          <w:rFonts w:eastAsia="宋体" w:cs="Times New Roman"/>
          <w:kern w:val="2"/>
          <w:szCs w:val="21"/>
          <w:u w:val="single"/>
        </w:rPr>
        <w:br w:type="page"/>
      </w:r>
    </w:p>
    <w:p w:rsidR="00BD14D4" w:rsidRPr="003C2170" w:rsidRDefault="005F14EE" w:rsidP="003C2170">
      <w:pPr>
        <w:jc w:val="both"/>
        <w:rPr>
          <w:rFonts w:eastAsia="宋体" w:cs="Times New Roman"/>
          <w:szCs w:val="21"/>
        </w:rPr>
      </w:pPr>
      <w:r w:rsidRPr="003C2170">
        <w:rPr>
          <w:rFonts w:eastAsia="宋体" w:cs="Times New Roman"/>
          <w:b/>
          <w:szCs w:val="21"/>
        </w:rPr>
        <w:t>(</w:t>
      </w:r>
      <w:r w:rsidR="00BD14D4" w:rsidRPr="003C2170">
        <w:rPr>
          <w:rFonts w:eastAsia="宋体" w:cs="Times New Roman" w:hint="eastAsia"/>
          <w:b/>
          <w:szCs w:val="21"/>
        </w:rPr>
        <w:t>三</w:t>
      </w:r>
      <w:r w:rsidRPr="003C2170">
        <w:rPr>
          <w:rFonts w:eastAsia="宋体" w:cs="Times New Roman"/>
          <w:b/>
          <w:szCs w:val="21"/>
        </w:rPr>
        <w:t>)</w:t>
      </w:r>
      <w:r w:rsidR="00BD14D4" w:rsidRPr="003C2170">
        <w:rPr>
          <w:rFonts w:eastAsia="宋体" w:cs="Times New Roman"/>
          <w:b/>
          <w:szCs w:val="21"/>
        </w:rPr>
        <w:tab/>
      </w:r>
      <w:r w:rsidR="00BD14D4" w:rsidRPr="003C2170">
        <w:rPr>
          <w:rFonts w:eastAsia="宋体" w:cs="Times New Roman" w:hint="eastAsia"/>
          <w:b/>
          <w:szCs w:val="21"/>
        </w:rPr>
        <w:t>重要会计政策和会计估计</w:t>
      </w:r>
      <w:r w:rsidR="00BD14D4" w:rsidRPr="003C2170">
        <w:rPr>
          <w:rFonts w:eastAsia="宋体" w:cs="Times New Roman"/>
          <w:szCs w:val="21"/>
        </w:rPr>
        <w:t xml:space="preserve"> - </w:t>
      </w:r>
      <w:r w:rsidR="00BD14D4" w:rsidRPr="003C2170">
        <w:rPr>
          <w:rFonts w:eastAsia="宋体" w:cs="Times New Roman" w:hint="eastAsia"/>
          <w:szCs w:val="21"/>
        </w:rPr>
        <w:t>续</w:t>
      </w:r>
    </w:p>
    <w:p w:rsidR="00BD14D4" w:rsidRPr="003C2170" w:rsidRDefault="00BD14D4" w:rsidP="003C2170">
      <w:pPr>
        <w:ind w:left="720"/>
        <w:jc w:val="both"/>
        <w:rPr>
          <w:rFonts w:eastAsia="宋体" w:cs="Times New Roman"/>
          <w:snapToGrid w:val="0"/>
          <w:szCs w:val="21"/>
        </w:rPr>
      </w:pPr>
    </w:p>
    <w:p w:rsidR="00BD14D4" w:rsidRPr="003C2170" w:rsidRDefault="00BD14D4" w:rsidP="003C2170">
      <w:pPr>
        <w:ind w:left="720"/>
        <w:jc w:val="both"/>
        <w:rPr>
          <w:rFonts w:eastAsia="宋体" w:cs="Times New Roman"/>
          <w:b/>
          <w:szCs w:val="21"/>
        </w:rPr>
      </w:pPr>
      <w:r w:rsidRPr="003C2170">
        <w:rPr>
          <w:rFonts w:eastAsia="宋体" w:cs="Times New Roman"/>
          <w:b/>
          <w:szCs w:val="21"/>
        </w:rPr>
        <w:t>16.</w:t>
      </w:r>
      <w:r w:rsidRPr="003C2170">
        <w:rPr>
          <w:rFonts w:eastAsia="宋体" w:cs="Times New Roman"/>
          <w:b/>
          <w:szCs w:val="21"/>
        </w:rPr>
        <w:tab/>
      </w:r>
      <w:r w:rsidRPr="003C2170">
        <w:rPr>
          <w:rFonts w:eastAsia="宋体" w:cs="Times New Roman" w:hint="eastAsia"/>
          <w:b/>
          <w:szCs w:val="21"/>
        </w:rPr>
        <w:t>长期股权投资</w:t>
      </w:r>
      <w:r w:rsidRPr="003C2170">
        <w:rPr>
          <w:rFonts w:eastAsia="宋体" w:cs="Times New Roman"/>
          <w:szCs w:val="21"/>
        </w:rPr>
        <w:t xml:space="preserve"> - </w:t>
      </w:r>
      <w:r w:rsidRPr="003C2170">
        <w:rPr>
          <w:rFonts w:eastAsia="宋体" w:cs="Times New Roman" w:hint="eastAsia"/>
          <w:szCs w:val="21"/>
        </w:rPr>
        <w:t>续</w:t>
      </w:r>
    </w:p>
    <w:p w:rsidR="00BD14D4" w:rsidRPr="003C2170" w:rsidRDefault="00BD14D4" w:rsidP="003C2170">
      <w:pPr>
        <w:tabs>
          <w:tab w:val="left" w:pos="720"/>
        </w:tabs>
        <w:ind w:left="720"/>
        <w:jc w:val="both"/>
        <w:rPr>
          <w:rFonts w:eastAsia="宋体" w:cs="Times New Roman"/>
          <w:kern w:val="2"/>
          <w:szCs w:val="21"/>
          <w:u w:val="single"/>
        </w:rPr>
      </w:pPr>
    </w:p>
    <w:p w:rsidR="00BD14D4" w:rsidRPr="003C2170" w:rsidRDefault="00BD14D4" w:rsidP="003C2170">
      <w:pPr>
        <w:tabs>
          <w:tab w:val="left" w:pos="720"/>
        </w:tabs>
        <w:ind w:left="720"/>
        <w:jc w:val="both"/>
        <w:rPr>
          <w:rFonts w:eastAsia="宋体" w:cs="Times New Roman"/>
          <w:kern w:val="2"/>
          <w:szCs w:val="21"/>
          <w:u w:val="single"/>
        </w:rPr>
      </w:pPr>
      <w:r w:rsidRPr="003C2170">
        <w:rPr>
          <w:rFonts w:eastAsia="宋体" w:cs="Times New Roman"/>
          <w:kern w:val="2"/>
          <w:szCs w:val="21"/>
          <w:u w:val="single"/>
        </w:rPr>
        <w:t>16.2</w:t>
      </w:r>
      <w:r w:rsidRPr="003C2170">
        <w:rPr>
          <w:rFonts w:eastAsia="宋体" w:cs="Times New Roman"/>
          <w:kern w:val="2"/>
          <w:szCs w:val="21"/>
          <w:u w:val="single"/>
        </w:rPr>
        <w:tab/>
      </w:r>
      <w:r w:rsidRPr="003C2170">
        <w:rPr>
          <w:rFonts w:eastAsia="宋体" w:cs="Times New Roman" w:hint="eastAsia"/>
          <w:kern w:val="2"/>
          <w:szCs w:val="21"/>
          <w:u w:val="single"/>
        </w:rPr>
        <w:t>初始投资成本的确定</w:t>
      </w:r>
    </w:p>
    <w:p w:rsidR="00BD14D4" w:rsidRPr="003C2170" w:rsidRDefault="00BD14D4" w:rsidP="003C2170">
      <w:pPr>
        <w:widowControl w:val="0"/>
        <w:ind w:left="720"/>
        <w:jc w:val="both"/>
        <w:rPr>
          <w:rFonts w:eastAsia="宋体" w:cs="Times New Roman"/>
          <w:kern w:val="2"/>
          <w:szCs w:val="21"/>
        </w:rPr>
      </w:pPr>
    </w:p>
    <w:p w:rsidR="00BD14D4" w:rsidRPr="003C2170" w:rsidRDefault="00BD14D4" w:rsidP="003C2170">
      <w:pPr>
        <w:ind w:left="720"/>
        <w:jc w:val="both"/>
        <w:rPr>
          <w:rFonts w:eastAsia="宋体" w:cs="Times New Roman"/>
          <w:kern w:val="2"/>
          <w:szCs w:val="21"/>
        </w:rPr>
      </w:pPr>
      <w:r w:rsidRPr="003C2170">
        <w:rPr>
          <w:rFonts w:eastAsia="宋体" w:cs="Times New Roman" w:hint="eastAsia"/>
          <w:kern w:val="2"/>
          <w:szCs w:val="21"/>
        </w:rPr>
        <w:t>对于同</w:t>
      </w:r>
      <w:proofErr w:type="gramStart"/>
      <w:r w:rsidRPr="003C2170">
        <w:rPr>
          <w:rFonts w:eastAsia="宋体" w:cs="Times New Roman" w:hint="eastAsia"/>
          <w:kern w:val="2"/>
          <w:szCs w:val="21"/>
        </w:rPr>
        <w:t>一控制</w:t>
      </w:r>
      <w:proofErr w:type="gramEnd"/>
      <w:r w:rsidRPr="003C2170">
        <w:rPr>
          <w:rFonts w:eastAsia="宋体" w:cs="Times New Roman" w:hint="eastAsia"/>
          <w:kern w:val="2"/>
          <w:szCs w:val="21"/>
        </w:rPr>
        <w:t>下的企业合并取得的长期股权投资，在</w:t>
      </w:r>
      <w:proofErr w:type="gramStart"/>
      <w:r w:rsidRPr="003C2170">
        <w:rPr>
          <w:rFonts w:eastAsia="宋体" w:cs="Times New Roman" w:hint="eastAsia"/>
          <w:kern w:val="2"/>
          <w:szCs w:val="21"/>
        </w:rPr>
        <w:t>合并日按照</w:t>
      </w:r>
      <w:proofErr w:type="gramEnd"/>
      <w:r w:rsidRPr="003C2170">
        <w:rPr>
          <w:rFonts w:eastAsia="宋体" w:cs="Times New Roman" w:hint="eastAsia"/>
          <w:kern w:val="2"/>
          <w:szCs w:val="21"/>
        </w:rPr>
        <w:t>被合并方所有者权益在最终控制方合并财务报表中的账面价值的份额作为长期股权投资的初始投资成本。长期股权投资初始投资成本与支付的现金、转让的非现金资产以及所承担债务账面价值之间的差额，调整资本公积</w:t>
      </w:r>
      <w:r w:rsidR="005F14EE" w:rsidRPr="003C2170">
        <w:rPr>
          <w:rFonts w:eastAsia="宋体" w:cs="Times New Roman" w:hint="eastAsia"/>
          <w:kern w:val="2"/>
          <w:szCs w:val="21"/>
        </w:rPr>
        <w:t>；</w:t>
      </w:r>
      <w:r w:rsidRPr="003C2170">
        <w:rPr>
          <w:rFonts w:eastAsia="宋体" w:cs="Times New Roman" w:hint="eastAsia"/>
          <w:kern w:val="2"/>
          <w:szCs w:val="21"/>
        </w:rPr>
        <w:t>资本公</w:t>
      </w:r>
      <w:proofErr w:type="gramStart"/>
      <w:r w:rsidRPr="003C2170">
        <w:rPr>
          <w:rFonts w:eastAsia="宋体" w:cs="Times New Roman" w:hint="eastAsia"/>
          <w:kern w:val="2"/>
          <w:szCs w:val="21"/>
        </w:rPr>
        <w:t>积不足</w:t>
      </w:r>
      <w:proofErr w:type="gramEnd"/>
      <w:r w:rsidRPr="003C2170">
        <w:rPr>
          <w:rFonts w:eastAsia="宋体" w:cs="Times New Roman" w:hint="eastAsia"/>
          <w:kern w:val="2"/>
          <w:szCs w:val="21"/>
        </w:rPr>
        <w:t>冲减的，调整留存收益。</w:t>
      </w:r>
    </w:p>
    <w:p w:rsidR="00BD14D4" w:rsidRPr="003C2170" w:rsidRDefault="00BD14D4" w:rsidP="003C2170">
      <w:pPr>
        <w:ind w:left="720"/>
        <w:jc w:val="both"/>
        <w:rPr>
          <w:rFonts w:eastAsia="宋体" w:cs="Times New Roman"/>
          <w:kern w:val="2"/>
          <w:szCs w:val="21"/>
        </w:rPr>
      </w:pPr>
    </w:p>
    <w:p w:rsidR="00BD14D4" w:rsidRPr="003C2170" w:rsidRDefault="00BD14D4" w:rsidP="003C2170">
      <w:pPr>
        <w:ind w:left="720"/>
        <w:jc w:val="both"/>
        <w:rPr>
          <w:rFonts w:eastAsia="宋体" w:cs="Times New Roman"/>
          <w:kern w:val="2"/>
          <w:szCs w:val="21"/>
        </w:rPr>
      </w:pPr>
      <w:r w:rsidRPr="003C2170">
        <w:rPr>
          <w:rFonts w:eastAsia="宋体" w:cs="Times New Roman" w:hint="eastAsia"/>
          <w:kern w:val="2"/>
          <w:szCs w:val="21"/>
        </w:rPr>
        <w:t>合并方或购买方为企业合并发生的审计、法律服务、评估咨询等中介费用以及其他相关管理费用，于发生时计入当期损益。</w:t>
      </w:r>
    </w:p>
    <w:p w:rsidR="00BD14D4" w:rsidRPr="003C2170" w:rsidRDefault="00BD14D4" w:rsidP="003C2170">
      <w:pPr>
        <w:ind w:left="720"/>
        <w:jc w:val="both"/>
        <w:rPr>
          <w:rFonts w:eastAsia="宋体" w:cs="Times New Roman"/>
          <w:kern w:val="2"/>
          <w:szCs w:val="21"/>
        </w:rPr>
      </w:pPr>
    </w:p>
    <w:p w:rsidR="00BD14D4" w:rsidRPr="003C2170" w:rsidRDefault="00BD14D4" w:rsidP="003C2170">
      <w:pPr>
        <w:ind w:left="720"/>
        <w:jc w:val="both"/>
        <w:rPr>
          <w:rFonts w:eastAsia="宋体" w:cs="Times New Roman"/>
          <w:kern w:val="2"/>
          <w:szCs w:val="21"/>
        </w:rPr>
      </w:pPr>
      <w:r w:rsidRPr="003C2170">
        <w:rPr>
          <w:rFonts w:eastAsia="宋体" w:cs="Times New Roman" w:hint="eastAsia"/>
          <w:kern w:val="2"/>
          <w:szCs w:val="21"/>
        </w:rPr>
        <w:t>除企业合并形成的长期股权投资外其他方式取得的长期股权投资，按成本进行初始计量。</w:t>
      </w:r>
    </w:p>
    <w:p w:rsidR="00BD14D4" w:rsidRPr="003C2170" w:rsidRDefault="00BD14D4" w:rsidP="003C2170">
      <w:pPr>
        <w:ind w:left="720"/>
        <w:jc w:val="both"/>
        <w:rPr>
          <w:rFonts w:eastAsia="宋体" w:cs="Times New Roman"/>
          <w:kern w:val="2"/>
          <w:szCs w:val="21"/>
        </w:rPr>
      </w:pPr>
    </w:p>
    <w:p w:rsidR="00BD14D4" w:rsidRPr="003C2170" w:rsidRDefault="00BD14D4" w:rsidP="003C2170">
      <w:pPr>
        <w:ind w:left="720"/>
        <w:jc w:val="both"/>
        <w:rPr>
          <w:rFonts w:eastAsia="宋体" w:cs="Times New Roman"/>
          <w:i/>
          <w:snapToGrid w:val="0"/>
          <w:szCs w:val="21"/>
          <w:u w:val="single"/>
        </w:rPr>
      </w:pPr>
      <w:r w:rsidRPr="003C2170">
        <w:rPr>
          <w:rFonts w:eastAsia="宋体" w:cs="Times New Roman"/>
          <w:snapToGrid w:val="0"/>
          <w:szCs w:val="21"/>
          <w:u w:val="single"/>
        </w:rPr>
        <w:t>16.3</w:t>
      </w:r>
      <w:r w:rsidRPr="003C2170">
        <w:rPr>
          <w:rFonts w:eastAsia="宋体" w:cs="Times New Roman"/>
          <w:snapToGrid w:val="0"/>
          <w:szCs w:val="21"/>
          <w:u w:val="single"/>
        </w:rPr>
        <w:tab/>
      </w:r>
      <w:r w:rsidRPr="003C2170">
        <w:rPr>
          <w:rFonts w:eastAsia="宋体" w:cs="Times New Roman" w:hint="eastAsia"/>
          <w:snapToGrid w:val="0"/>
          <w:szCs w:val="21"/>
          <w:u w:val="single"/>
        </w:rPr>
        <w:t>后续计量及损益确认方法</w:t>
      </w:r>
    </w:p>
    <w:p w:rsidR="00BD14D4" w:rsidRPr="003C2170" w:rsidRDefault="00BD14D4" w:rsidP="003C2170">
      <w:pPr>
        <w:widowControl w:val="0"/>
        <w:ind w:left="720"/>
        <w:jc w:val="both"/>
        <w:rPr>
          <w:rFonts w:eastAsia="宋体" w:cs="Times New Roman"/>
          <w:snapToGrid w:val="0"/>
          <w:kern w:val="2"/>
          <w:szCs w:val="21"/>
        </w:rPr>
      </w:pPr>
    </w:p>
    <w:p w:rsidR="00BD14D4" w:rsidRPr="003C2170" w:rsidRDefault="00BD14D4" w:rsidP="003C2170">
      <w:pPr>
        <w:ind w:left="720"/>
        <w:jc w:val="both"/>
        <w:rPr>
          <w:rFonts w:eastAsia="宋体" w:cs="Times New Roman"/>
          <w:kern w:val="2"/>
          <w:szCs w:val="21"/>
          <w:u w:val="single"/>
        </w:rPr>
      </w:pPr>
      <w:r w:rsidRPr="003C2170">
        <w:rPr>
          <w:rFonts w:eastAsia="宋体" w:cs="Times New Roman"/>
          <w:kern w:val="2"/>
          <w:szCs w:val="21"/>
          <w:u w:val="single"/>
        </w:rPr>
        <w:t>16.3.1</w:t>
      </w:r>
      <w:r w:rsidRPr="003C2170">
        <w:rPr>
          <w:rFonts w:eastAsia="宋体" w:cs="Times New Roman"/>
          <w:kern w:val="2"/>
          <w:szCs w:val="21"/>
          <w:u w:val="single"/>
        </w:rPr>
        <w:tab/>
      </w:r>
      <w:r w:rsidRPr="003C2170">
        <w:rPr>
          <w:rFonts w:eastAsia="宋体" w:cs="Times New Roman" w:hint="eastAsia"/>
          <w:kern w:val="2"/>
          <w:szCs w:val="21"/>
          <w:u w:val="single"/>
        </w:rPr>
        <w:t>成本法核算的长期股权投资</w:t>
      </w:r>
    </w:p>
    <w:p w:rsidR="00BD14D4" w:rsidRPr="003C2170" w:rsidRDefault="00BD14D4" w:rsidP="003C2170">
      <w:pPr>
        <w:widowControl w:val="0"/>
        <w:ind w:left="720"/>
        <w:jc w:val="both"/>
        <w:rPr>
          <w:rFonts w:eastAsia="宋体" w:cs="Times New Roman"/>
          <w:kern w:val="2"/>
          <w:szCs w:val="21"/>
        </w:rPr>
      </w:pPr>
    </w:p>
    <w:p w:rsidR="00BD14D4" w:rsidRPr="003C2170" w:rsidRDefault="00BD14D4" w:rsidP="003C2170">
      <w:pPr>
        <w:ind w:left="720"/>
        <w:jc w:val="both"/>
        <w:rPr>
          <w:rFonts w:eastAsia="宋体" w:cs="Times New Roman"/>
          <w:kern w:val="2"/>
          <w:szCs w:val="21"/>
        </w:rPr>
      </w:pPr>
      <w:r w:rsidRPr="003C2170">
        <w:rPr>
          <w:rFonts w:eastAsia="宋体" w:cs="Times New Roman" w:hint="eastAsia"/>
          <w:kern w:val="2"/>
          <w:szCs w:val="21"/>
        </w:rPr>
        <w:t>公司财务报表采用成本法核算对子公司的长期股权投资。子公司是指本集团能够对其实施控制的被投资主体。</w:t>
      </w:r>
    </w:p>
    <w:p w:rsidR="00BD14D4" w:rsidRPr="003C2170" w:rsidRDefault="00BD14D4" w:rsidP="0027505B">
      <w:pPr>
        <w:ind w:leftChars="337" w:left="708"/>
        <w:jc w:val="both"/>
        <w:rPr>
          <w:rFonts w:eastAsia="宋体" w:cs="Times New Roman"/>
          <w:kern w:val="2"/>
          <w:szCs w:val="21"/>
        </w:rPr>
      </w:pPr>
    </w:p>
    <w:p w:rsidR="00BD14D4" w:rsidRPr="003C2170" w:rsidRDefault="00BD14D4" w:rsidP="003C2170">
      <w:pPr>
        <w:ind w:left="720"/>
        <w:jc w:val="both"/>
        <w:rPr>
          <w:rFonts w:eastAsia="宋体" w:cs="Times New Roman"/>
          <w:kern w:val="2"/>
          <w:szCs w:val="21"/>
        </w:rPr>
      </w:pPr>
      <w:r w:rsidRPr="003C2170">
        <w:rPr>
          <w:rFonts w:eastAsia="宋体" w:cs="Times New Roman" w:hint="eastAsia"/>
          <w:kern w:val="2"/>
          <w:szCs w:val="21"/>
        </w:rPr>
        <w:t>采用成本法核算的长期股权投资按初始投资成本计价。追加或收回投资调整长期股权投资的成本。当期投资收益按照享有被投资单位宣告发放的现金股利或利润确认。</w:t>
      </w:r>
    </w:p>
    <w:p w:rsidR="00BD14D4" w:rsidRPr="003C2170" w:rsidRDefault="00BD14D4" w:rsidP="003C2170">
      <w:pPr>
        <w:ind w:left="720"/>
        <w:jc w:val="both"/>
        <w:rPr>
          <w:rFonts w:eastAsia="宋体" w:cs="Times New Roman"/>
          <w:kern w:val="2"/>
          <w:szCs w:val="21"/>
        </w:rPr>
      </w:pPr>
    </w:p>
    <w:p w:rsidR="00BD14D4" w:rsidRPr="003C2170" w:rsidRDefault="00BD14D4" w:rsidP="003C2170">
      <w:pPr>
        <w:tabs>
          <w:tab w:val="left" w:pos="504"/>
        </w:tabs>
        <w:ind w:left="720"/>
        <w:jc w:val="both"/>
        <w:rPr>
          <w:rFonts w:eastAsia="宋体" w:cs="Times New Roman"/>
          <w:kern w:val="2"/>
          <w:szCs w:val="21"/>
          <w:u w:val="single"/>
        </w:rPr>
      </w:pPr>
      <w:r w:rsidRPr="003C2170">
        <w:rPr>
          <w:rFonts w:eastAsia="宋体" w:cs="Times New Roman"/>
          <w:kern w:val="2"/>
          <w:szCs w:val="21"/>
          <w:u w:val="single"/>
        </w:rPr>
        <w:t>16.4</w:t>
      </w:r>
      <w:r w:rsidRPr="003C2170">
        <w:rPr>
          <w:rFonts w:eastAsia="宋体" w:cs="Times New Roman"/>
          <w:kern w:val="2"/>
          <w:szCs w:val="21"/>
          <w:u w:val="single"/>
        </w:rPr>
        <w:tab/>
      </w:r>
      <w:r w:rsidRPr="003C2170">
        <w:rPr>
          <w:rFonts w:eastAsia="宋体" w:cs="Times New Roman" w:hint="eastAsia"/>
          <w:szCs w:val="21"/>
          <w:u w:val="single"/>
        </w:rPr>
        <w:t>长期</w:t>
      </w:r>
      <w:r w:rsidRPr="003C2170">
        <w:rPr>
          <w:rFonts w:eastAsia="宋体" w:cs="Times New Roman" w:hint="eastAsia"/>
          <w:kern w:val="2"/>
          <w:szCs w:val="21"/>
          <w:u w:val="single"/>
        </w:rPr>
        <w:t>股权投资处置</w:t>
      </w:r>
    </w:p>
    <w:p w:rsidR="00BD14D4" w:rsidRPr="003C2170" w:rsidRDefault="00BD14D4" w:rsidP="003C2170">
      <w:pPr>
        <w:ind w:left="720"/>
        <w:jc w:val="both"/>
        <w:rPr>
          <w:rFonts w:eastAsia="宋体" w:cs="Times New Roman"/>
          <w:szCs w:val="21"/>
          <w:u w:val="single"/>
        </w:rPr>
      </w:pPr>
    </w:p>
    <w:p w:rsidR="00BD14D4" w:rsidRPr="003C2170" w:rsidRDefault="00BD14D4" w:rsidP="003C2170">
      <w:pPr>
        <w:ind w:left="720"/>
        <w:jc w:val="both"/>
        <w:rPr>
          <w:rFonts w:eastAsia="宋体" w:cs="Times New Roman"/>
          <w:szCs w:val="21"/>
        </w:rPr>
      </w:pPr>
      <w:r w:rsidRPr="003C2170">
        <w:rPr>
          <w:rFonts w:eastAsia="宋体" w:cs="Times New Roman" w:hint="eastAsia"/>
          <w:kern w:val="2"/>
          <w:szCs w:val="21"/>
        </w:rPr>
        <w:t>处置长期股权投资时，其账面价值与实际取得价款的差额，计入当期损益。</w:t>
      </w:r>
    </w:p>
    <w:p w:rsidR="00BD14D4" w:rsidRPr="003C2170" w:rsidRDefault="00BD14D4" w:rsidP="003C2170">
      <w:pPr>
        <w:autoSpaceDE w:val="0"/>
        <w:autoSpaceDN w:val="0"/>
        <w:ind w:left="720"/>
        <w:jc w:val="both"/>
        <w:textAlignment w:val="baseline"/>
        <w:rPr>
          <w:rFonts w:eastAsia="宋体" w:cs="Times New Roman"/>
          <w:szCs w:val="21"/>
        </w:rPr>
      </w:pPr>
    </w:p>
    <w:p w:rsidR="00CD0431" w:rsidRPr="003C2170" w:rsidRDefault="00CD0431" w:rsidP="0027505B">
      <w:pPr>
        <w:pStyle w:val="2"/>
        <w:numPr>
          <w:ilvl w:val="0"/>
          <w:numId w:val="39"/>
        </w:numPr>
        <w:adjustRightInd w:val="0"/>
        <w:snapToGrid w:val="0"/>
        <w:ind w:left="1440" w:hanging="709"/>
        <w:contextualSpacing w:val="0"/>
        <w:jc w:val="both"/>
        <w:rPr>
          <w:rFonts w:ascii="Times New Roman" w:eastAsia="宋体" w:hAnsi="Times New Roman" w:cs="Times New Roman"/>
          <w:snapToGrid w:val="0"/>
          <w:szCs w:val="21"/>
        </w:rPr>
      </w:pPr>
      <w:r w:rsidRPr="003C2170">
        <w:rPr>
          <w:rFonts w:ascii="Times New Roman" w:eastAsia="宋体" w:hAnsi="Times New Roman" w:cs="Times New Roman" w:hint="eastAsia"/>
          <w:snapToGrid w:val="0"/>
          <w:szCs w:val="21"/>
        </w:rPr>
        <w:t>固定资产</w:t>
      </w:r>
    </w:p>
    <w:p w:rsidR="00CD0431" w:rsidRPr="003C2170" w:rsidRDefault="00CD0431" w:rsidP="003C2170">
      <w:pPr>
        <w:autoSpaceDE w:val="0"/>
        <w:autoSpaceDN w:val="0"/>
        <w:ind w:left="720"/>
        <w:jc w:val="both"/>
        <w:textAlignment w:val="baseline"/>
        <w:rPr>
          <w:rFonts w:eastAsia="宋体" w:cs="Times New Roman"/>
          <w:szCs w:val="21"/>
        </w:rPr>
      </w:pPr>
    </w:p>
    <w:p w:rsidR="00476F08" w:rsidRPr="003C2170" w:rsidRDefault="00476F08" w:rsidP="003C2170">
      <w:pPr>
        <w:tabs>
          <w:tab w:val="left" w:pos="504"/>
        </w:tabs>
        <w:ind w:left="720"/>
        <w:jc w:val="both"/>
        <w:rPr>
          <w:rFonts w:eastAsia="宋体" w:cs="Times New Roman"/>
          <w:kern w:val="2"/>
          <w:szCs w:val="21"/>
          <w:u w:val="single"/>
        </w:rPr>
      </w:pPr>
      <w:r w:rsidRPr="003C2170">
        <w:rPr>
          <w:rFonts w:eastAsia="宋体" w:cs="Times New Roman"/>
          <w:kern w:val="2"/>
          <w:szCs w:val="21"/>
          <w:u w:val="single"/>
        </w:rPr>
        <w:t>1</w:t>
      </w:r>
      <w:r w:rsidR="00BD14D4" w:rsidRPr="003C2170">
        <w:rPr>
          <w:rFonts w:eastAsia="宋体" w:cs="Times New Roman"/>
          <w:kern w:val="2"/>
          <w:szCs w:val="21"/>
          <w:u w:val="single"/>
        </w:rPr>
        <w:t>7</w:t>
      </w:r>
      <w:r w:rsidRPr="003C2170">
        <w:rPr>
          <w:rFonts w:eastAsia="宋体" w:cs="Times New Roman"/>
          <w:kern w:val="2"/>
          <w:szCs w:val="21"/>
          <w:u w:val="single"/>
        </w:rPr>
        <w:t>.1</w:t>
      </w:r>
      <w:r w:rsidRPr="003C2170">
        <w:rPr>
          <w:rFonts w:eastAsia="宋体" w:cs="Times New Roman"/>
          <w:kern w:val="2"/>
          <w:szCs w:val="21"/>
          <w:u w:val="single"/>
        </w:rPr>
        <w:tab/>
      </w:r>
      <w:r w:rsidRPr="003C2170">
        <w:rPr>
          <w:rFonts w:eastAsia="宋体" w:cs="Times New Roman" w:hint="eastAsia"/>
          <w:szCs w:val="21"/>
          <w:u w:val="single"/>
        </w:rPr>
        <w:t>确认</w:t>
      </w:r>
      <w:r w:rsidRPr="003C2170">
        <w:rPr>
          <w:rFonts w:eastAsia="宋体" w:cs="Times New Roman" w:hint="eastAsia"/>
          <w:kern w:val="2"/>
          <w:szCs w:val="21"/>
          <w:u w:val="single"/>
        </w:rPr>
        <w:t>条件</w:t>
      </w:r>
    </w:p>
    <w:p w:rsidR="00476F08" w:rsidRPr="003C2170" w:rsidRDefault="00476F08" w:rsidP="003C2170">
      <w:pPr>
        <w:autoSpaceDE w:val="0"/>
        <w:autoSpaceDN w:val="0"/>
        <w:ind w:left="720"/>
        <w:jc w:val="both"/>
        <w:textAlignment w:val="baseline"/>
        <w:rPr>
          <w:rFonts w:eastAsia="宋体" w:cs="Times New Roman"/>
          <w:szCs w:val="21"/>
        </w:rPr>
      </w:pPr>
    </w:p>
    <w:p w:rsidR="00CD0431" w:rsidRPr="003C2170" w:rsidRDefault="00CD0431"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固定资产是指为生产商品、提供劳务、出租或经营管理而持有的，使用寿命超过一个会计年度的有形资产。固定资产仅在与其有关的经济利益很可能流入本集团，且其成本能够可靠地计量时才予以确认。固定资产按成本进行初始计量。</w:t>
      </w:r>
    </w:p>
    <w:p w:rsidR="00CD0431" w:rsidRPr="003C2170" w:rsidRDefault="00CD0431" w:rsidP="003C2170">
      <w:pPr>
        <w:autoSpaceDE w:val="0"/>
        <w:autoSpaceDN w:val="0"/>
        <w:ind w:left="720"/>
        <w:jc w:val="both"/>
        <w:textAlignment w:val="baseline"/>
        <w:rPr>
          <w:rFonts w:eastAsia="宋体" w:cs="Times New Roman"/>
          <w:szCs w:val="21"/>
        </w:rPr>
      </w:pPr>
    </w:p>
    <w:p w:rsidR="00BB7D4C" w:rsidRPr="003C2170" w:rsidRDefault="00CD0431"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0273D3" w:rsidRPr="003C2170" w:rsidRDefault="000273D3" w:rsidP="003C2170">
      <w:pPr>
        <w:autoSpaceDE w:val="0"/>
        <w:autoSpaceDN w:val="0"/>
        <w:ind w:left="720"/>
        <w:jc w:val="both"/>
        <w:textAlignment w:val="baseline"/>
        <w:rPr>
          <w:rFonts w:eastAsia="宋体" w:cs="Times New Roman"/>
          <w:szCs w:val="21"/>
        </w:rPr>
      </w:pPr>
    </w:p>
    <w:p w:rsidR="000273D3" w:rsidRPr="003C2170" w:rsidRDefault="000273D3" w:rsidP="003C2170">
      <w:pPr>
        <w:autoSpaceDE w:val="0"/>
        <w:autoSpaceDN w:val="0"/>
        <w:ind w:left="720"/>
        <w:jc w:val="both"/>
        <w:textAlignment w:val="baseline"/>
        <w:rPr>
          <w:rFonts w:eastAsia="宋体" w:cs="Times New Roman"/>
          <w:kern w:val="2"/>
          <w:szCs w:val="21"/>
          <w:u w:val="single"/>
        </w:rPr>
      </w:pPr>
      <w:r w:rsidRPr="003C2170">
        <w:rPr>
          <w:rFonts w:eastAsia="宋体" w:cs="Times New Roman"/>
          <w:kern w:val="2"/>
          <w:szCs w:val="21"/>
          <w:u w:val="single"/>
        </w:rPr>
        <w:t>1</w:t>
      </w:r>
      <w:r w:rsidR="00BD14D4" w:rsidRPr="003C2170">
        <w:rPr>
          <w:rFonts w:eastAsia="宋体" w:cs="Times New Roman"/>
          <w:kern w:val="2"/>
          <w:szCs w:val="21"/>
          <w:u w:val="single"/>
        </w:rPr>
        <w:t>7</w:t>
      </w:r>
      <w:r w:rsidRPr="003C2170">
        <w:rPr>
          <w:rFonts w:eastAsia="宋体" w:cs="Times New Roman"/>
          <w:kern w:val="2"/>
          <w:szCs w:val="21"/>
          <w:u w:val="single"/>
        </w:rPr>
        <w:t>.2</w:t>
      </w:r>
      <w:r w:rsidRPr="003C2170">
        <w:rPr>
          <w:rFonts w:eastAsia="宋体" w:cs="Times New Roman"/>
          <w:kern w:val="2"/>
          <w:szCs w:val="21"/>
          <w:u w:val="single"/>
        </w:rPr>
        <w:tab/>
      </w:r>
      <w:r w:rsidRPr="003C2170">
        <w:rPr>
          <w:rFonts w:eastAsia="宋体" w:cs="Times New Roman" w:hint="eastAsia"/>
          <w:kern w:val="2"/>
          <w:szCs w:val="21"/>
          <w:u w:val="single"/>
        </w:rPr>
        <w:t>折旧方法</w:t>
      </w:r>
    </w:p>
    <w:p w:rsidR="000273D3" w:rsidRPr="003C2170" w:rsidRDefault="000273D3" w:rsidP="003C2170">
      <w:pPr>
        <w:autoSpaceDE w:val="0"/>
        <w:autoSpaceDN w:val="0"/>
        <w:ind w:left="720"/>
        <w:jc w:val="both"/>
        <w:textAlignment w:val="baseline"/>
        <w:rPr>
          <w:rFonts w:eastAsia="宋体" w:cs="Times New Roman"/>
          <w:szCs w:val="21"/>
        </w:rPr>
      </w:pPr>
    </w:p>
    <w:p w:rsidR="000273D3" w:rsidRPr="003C2170" w:rsidRDefault="000273D3" w:rsidP="003C2170">
      <w:pPr>
        <w:autoSpaceDE w:val="0"/>
        <w:autoSpaceDN w:val="0"/>
        <w:ind w:left="720"/>
        <w:jc w:val="both"/>
        <w:textAlignment w:val="baseline"/>
        <w:rPr>
          <w:rFonts w:eastAsia="宋体" w:cs="Times New Roman"/>
          <w:szCs w:val="21"/>
        </w:rPr>
      </w:pPr>
      <w:r w:rsidRPr="003C2170">
        <w:rPr>
          <w:rFonts w:eastAsia="宋体" w:cs="Times New Roman" w:hint="eastAsia"/>
          <w:szCs w:val="21"/>
        </w:rPr>
        <w:t>固定资产从达到预定可使用状态的次月起，采用年限平均法在使用寿命内计提折旧。各类固定资产的使用寿命、</w:t>
      </w:r>
      <w:r w:rsidR="00134DAD" w:rsidRPr="003C2170">
        <w:rPr>
          <w:rFonts w:eastAsia="宋体" w:cs="Times New Roman" w:hint="eastAsia"/>
          <w:szCs w:val="21"/>
        </w:rPr>
        <w:t>残值率</w:t>
      </w:r>
      <w:r w:rsidRPr="003C2170">
        <w:rPr>
          <w:rFonts w:eastAsia="宋体" w:cs="Times New Roman" w:hint="eastAsia"/>
          <w:szCs w:val="21"/>
        </w:rPr>
        <w:t>和年折旧率如下</w:t>
      </w:r>
      <w:r w:rsidR="005F14EE" w:rsidRPr="003C2170">
        <w:rPr>
          <w:rFonts w:eastAsia="宋体" w:cs="Times New Roman" w:hint="eastAsia"/>
          <w:szCs w:val="21"/>
        </w:rPr>
        <w:t>：</w:t>
      </w:r>
    </w:p>
    <w:p w:rsidR="000273D3" w:rsidRPr="00A71D2E" w:rsidRDefault="000273D3" w:rsidP="000273D3">
      <w:pPr>
        <w:autoSpaceDE w:val="0"/>
        <w:autoSpaceDN w:val="0"/>
        <w:ind w:left="720"/>
        <w:textAlignment w:val="baseline"/>
        <w:rPr>
          <w:rFonts w:eastAsia="宋体" w:cs="Times New Roman"/>
          <w:szCs w:val="21"/>
        </w:rPr>
      </w:pPr>
    </w:p>
    <w:tbl>
      <w:tblPr>
        <w:tblW w:w="9349"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4"/>
        <w:gridCol w:w="1984"/>
        <w:gridCol w:w="1701"/>
        <w:gridCol w:w="1843"/>
        <w:gridCol w:w="1847"/>
      </w:tblGrid>
      <w:tr w:rsidR="00A8471B" w:rsidRPr="00A71D2E" w:rsidTr="0027505B">
        <w:trPr>
          <w:trHeight w:val="20"/>
        </w:trPr>
        <w:tc>
          <w:tcPr>
            <w:tcW w:w="1974" w:type="dxa"/>
            <w:shd w:val="clear" w:color="auto" w:fill="D9D9D9" w:themeFill="background1" w:themeFillShade="D9"/>
            <w:noWrap/>
            <w:vAlign w:val="center"/>
            <w:hideMark/>
          </w:tcPr>
          <w:p w:rsidR="00A8471B" w:rsidRPr="00A71D2E" w:rsidRDefault="00A8471B" w:rsidP="00E322AB">
            <w:pPr>
              <w:jc w:val="center"/>
              <w:rPr>
                <w:rFonts w:eastAsia="宋体" w:cs="Times New Roman"/>
                <w:szCs w:val="21"/>
              </w:rPr>
            </w:pPr>
            <w:r w:rsidRPr="00A71D2E">
              <w:rPr>
                <w:rFonts w:eastAsia="宋体" w:cs="Times New Roman" w:hint="eastAsia"/>
                <w:szCs w:val="21"/>
              </w:rPr>
              <w:t>类别</w:t>
            </w:r>
          </w:p>
        </w:tc>
        <w:tc>
          <w:tcPr>
            <w:tcW w:w="1984" w:type="dxa"/>
            <w:shd w:val="clear" w:color="auto" w:fill="D9D9D9" w:themeFill="background1" w:themeFillShade="D9"/>
            <w:vAlign w:val="center"/>
          </w:tcPr>
          <w:p w:rsidR="00A8471B" w:rsidRPr="00A71D2E" w:rsidRDefault="00A8471B" w:rsidP="00E322AB">
            <w:pPr>
              <w:jc w:val="center"/>
              <w:rPr>
                <w:rFonts w:eastAsia="宋体" w:cs="Times New Roman"/>
                <w:szCs w:val="21"/>
              </w:rPr>
            </w:pPr>
            <w:r>
              <w:rPr>
                <w:rFonts w:eastAsia="宋体" w:cs="Times New Roman" w:hint="eastAsia"/>
                <w:szCs w:val="21"/>
              </w:rPr>
              <w:t>折旧方法</w:t>
            </w:r>
          </w:p>
        </w:tc>
        <w:tc>
          <w:tcPr>
            <w:tcW w:w="1701" w:type="dxa"/>
            <w:shd w:val="clear" w:color="auto" w:fill="D9D9D9" w:themeFill="background1" w:themeFillShade="D9"/>
            <w:noWrap/>
            <w:vAlign w:val="center"/>
            <w:hideMark/>
          </w:tcPr>
          <w:p w:rsidR="00A8471B" w:rsidRPr="00A71D2E" w:rsidRDefault="00A8471B" w:rsidP="00E322AB">
            <w:pPr>
              <w:jc w:val="center"/>
              <w:rPr>
                <w:rFonts w:eastAsia="宋体" w:cs="Times New Roman"/>
                <w:szCs w:val="21"/>
              </w:rPr>
            </w:pPr>
            <w:r>
              <w:rPr>
                <w:rFonts w:eastAsia="宋体" w:cs="Times New Roman" w:hint="eastAsia"/>
                <w:szCs w:val="21"/>
              </w:rPr>
              <w:t>折旧年限</w:t>
            </w:r>
          </w:p>
        </w:tc>
        <w:tc>
          <w:tcPr>
            <w:tcW w:w="1843" w:type="dxa"/>
            <w:shd w:val="clear" w:color="auto" w:fill="D9D9D9" w:themeFill="background1" w:themeFillShade="D9"/>
            <w:noWrap/>
            <w:vAlign w:val="center"/>
            <w:hideMark/>
          </w:tcPr>
          <w:p w:rsidR="00A8471B" w:rsidRPr="00A71D2E" w:rsidRDefault="00A8471B" w:rsidP="00E322AB">
            <w:pPr>
              <w:jc w:val="center"/>
              <w:rPr>
                <w:rFonts w:eastAsia="宋体" w:cs="Times New Roman"/>
                <w:szCs w:val="21"/>
              </w:rPr>
            </w:pPr>
            <w:r w:rsidRPr="00A71D2E">
              <w:rPr>
                <w:rFonts w:eastAsia="宋体" w:cs="Times New Roman" w:hint="eastAsia"/>
                <w:szCs w:val="21"/>
              </w:rPr>
              <w:t>残值</w:t>
            </w:r>
            <w:r>
              <w:rPr>
                <w:rFonts w:eastAsia="宋体" w:cs="Times New Roman" w:hint="eastAsia"/>
                <w:szCs w:val="21"/>
              </w:rPr>
              <w:t>率</w:t>
            </w:r>
            <w:r w:rsidR="005F14EE">
              <w:rPr>
                <w:rFonts w:eastAsia="宋体" w:cs="Times New Roman" w:hint="eastAsia"/>
                <w:szCs w:val="21"/>
              </w:rPr>
              <w:t>(</w:t>
            </w:r>
            <w:r>
              <w:rPr>
                <w:rFonts w:eastAsia="宋体" w:cs="Times New Roman"/>
                <w:szCs w:val="21"/>
              </w:rPr>
              <w:t>%</w:t>
            </w:r>
            <w:r w:rsidR="005F14EE">
              <w:rPr>
                <w:rFonts w:eastAsia="宋体" w:cs="Times New Roman"/>
                <w:szCs w:val="21"/>
              </w:rPr>
              <w:t>)</w:t>
            </w:r>
          </w:p>
        </w:tc>
        <w:tc>
          <w:tcPr>
            <w:tcW w:w="1847" w:type="dxa"/>
            <w:shd w:val="clear" w:color="auto" w:fill="D9D9D9" w:themeFill="background1" w:themeFillShade="D9"/>
            <w:noWrap/>
            <w:vAlign w:val="center"/>
            <w:hideMark/>
          </w:tcPr>
          <w:p w:rsidR="00A8471B" w:rsidRPr="00A71D2E" w:rsidRDefault="00A8471B" w:rsidP="00E322AB">
            <w:pPr>
              <w:jc w:val="center"/>
              <w:rPr>
                <w:rFonts w:eastAsia="宋体" w:cs="Times New Roman"/>
                <w:szCs w:val="21"/>
              </w:rPr>
            </w:pPr>
            <w:r w:rsidRPr="00A71D2E">
              <w:rPr>
                <w:rFonts w:eastAsia="宋体" w:cs="Times New Roman" w:hint="eastAsia"/>
                <w:szCs w:val="21"/>
              </w:rPr>
              <w:t>年折旧率</w:t>
            </w:r>
            <w:r w:rsidR="005F14EE">
              <w:rPr>
                <w:rFonts w:eastAsia="宋体" w:cs="Times New Roman" w:hint="eastAsia"/>
                <w:szCs w:val="21"/>
              </w:rPr>
              <w:t>(</w:t>
            </w:r>
            <w:r>
              <w:rPr>
                <w:rFonts w:eastAsia="宋体" w:cs="Times New Roman"/>
                <w:szCs w:val="21"/>
              </w:rPr>
              <w:t>%</w:t>
            </w:r>
            <w:r w:rsidR="005F14EE">
              <w:rPr>
                <w:rFonts w:eastAsia="宋体" w:cs="Times New Roman"/>
                <w:szCs w:val="21"/>
              </w:rPr>
              <w:t>)</w:t>
            </w:r>
          </w:p>
        </w:tc>
      </w:tr>
      <w:tr w:rsidR="00A8471B" w:rsidRPr="00A71D2E" w:rsidTr="0027505B">
        <w:trPr>
          <w:trHeight w:val="20"/>
        </w:trPr>
        <w:tc>
          <w:tcPr>
            <w:tcW w:w="1974" w:type="dxa"/>
            <w:noWrap/>
            <w:vAlign w:val="center"/>
            <w:hideMark/>
          </w:tcPr>
          <w:p w:rsidR="00A8471B" w:rsidRPr="00A71D2E" w:rsidRDefault="00A8471B" w:rsidP="00E322AB">
            <w:pPr>
              <w:rPr>
                <w:rFonts w:eastAsia="宋体" w:cs="Times New Roman"/>
                <w:szCs w:val="21"/>
              </w:rPr>
            </w:pPr>
            <w:r w:rsidRPr="00A71D2E">
              <w:rPr>
                <w:rFonts w:eastAsia="宋体" w:cs="Times New Roman" w:hint="eastAsia"/>
                <w:szCs w:val="21"/>
              </w:rPr>
              <w:t>通用设备</w:t>
            </w:r>
          </w:p>
        </w:tc>
        <w:tc>
          <w:tcPr>
            <w:tcW w:w="1984" w:type="dxa"/>
            <w:vAlign w:val="center"/>
          </w:tcPr>
          <w:p w:rsidR="00A8471B" w:rsidRPr="00A71D2E" w:rsidRDefault="00A8471B" w:rsidP="00FE2C30">
            <w:pPr>
              <w:jc w:val="center"/>
              <w:rPr>
                <w:rFonts w:eastAsia="宋体" w:cs="Times New Roman"/>
                <w:szCs w:val="21"/>
              </w:rPr>
            </w:pPr>
            <w:r>
              <w:rPr>
                <w:rFonts w:eastAsia="宋体" w:cs="Times New Roman" w:hint="eastAsia"/>
                <w:szCs w:val="21"/>
              </w:rPr>
              <w:t>年限平均法</w:t>
            </w:r>
          </w:p>
        </w:tc>
        <w:tc>
          <w:tcPr>
            <w:tcW w:w="1701" w:type="dxa"/>
            <w:noWrap/>
            <w:vAlign w:val="center"/>
            <w:hideMark/>
          </w:tcPr>
          <w:p w:rsidR="00A8471B" w:rsidRPr="00A71D2E" w:rsidRDefault="00A8471B" w:rsidP="00E322AB">
            <w:pPr>
              <w:jc w:val="right"/>
              <w:rPr>
                <w:rFonts w:eastAsia="宋体" w:cs="Times New Roman"/>
                <w:szCs w:val="21"/>
              </w:rPr>
            </w:pPr>
            <w:r w:rsidRPr="00A71D2E">
              <w:rPr>
                <w:rFonts w:eastAsia="宋体" w:cs="Times New Roman"/>
                <w:szCs w:val="21"/>
              </w:rPr>
              <w:t>3-5</w:t>
            </w:r>
            <w:r w:rsidRPr="00A71D2E">
              <w:rPr>
                <w:rFonts w:eastAsia="宋体" w:cs="Times New Roman" w:hint="eastAsia"/>
                <w:szCs w:val="21"/>
              </w:rPr>
              <w:t>年</w:t>
            </w:r>
          </w:p>
        </w:tc>
        <w:tc>
          <w:tcPr>
            <w:tcW w:w="1843" w:type="dxa"/>
            <w:noWrap/>
            <w:vAlign w:val="center"/>
            <w:hideMark/>
          </w:tcPr>
          <w:p w:rsidR="00A8471B" w:rsidRPr="00A71D2E" w:rsidRDefault="00A8471B" w:rsidP="00E322AB">
            <w:pPr>
              <w:jc w:val="right"/>
              <w:rPr>
                <w:rFonts w:eastAsia="宋体" w:cs="Times New Roman"/>
                <w:szCs w:val="21"/>
              </w:rPr>
            </w:pPr>
            <w:r w:rsidRPr="00A71D2E">
              <w:rPr>
                <w:rFonts w:eastAsia="宋体" w:cs="Times New Roman"/>
                <w:szCs w:val="21"/>
              </w:rPr>
              <w:t>10</w:t>
            </w:r>
          </w:p>
        </w:tc>
        <w:tc>
          <w:tcPr>
            <w:tcW w:w="1847" w:type="dxa"/>
            <w:noWrap/>
            <w:vAlign w:val="center"/>
          </w:tcPr>
          <w:p w:rsidR="00A8471B" w:rsidRPr="00A71D2E" w:rsidRDefault="00A8471B" w:rsidP="00E322AB">
            <w:pPr>
              <w:jc w:val="right"/>
              <w:rPr>
                <w:rFonts w:eastAsia="宋体" w:cs="Times New Roman"/>
                <w:szCs w:val="21"/>
              </w:rPr>
            </w:pPr>
            <w:r w:rsidRPr="00A71D2E">
              <w:rPr>
                <w:rFonts w:eastAsia="宋体" w:cs="Times New Roman"/>
                <w:szCs w:val="21"/>
              </w:rPr>
              <w:t>18.00-30.00</w:t>
            </w:r>
          </w:p>
        </w:tc>
      </w:tr>
      <w:tr w:rsidR="00A8471B" w:rsidRPr="00A71D2E" w:rsidTr="0027505B">
        <w:trPr>
          <w:trHeight w:val="20"/>
        </w:trPr>
        <w:tc>
          <w:tcPr>
            <w:tcW w:w="1974" w:type="dxa"/>
            <w:noWrap/>
            <w:vAlign w:val="center"/>
          </w:tcPr>
          <w:p w:rsidR="00A8471B" w:rsidRPr="00A71D2E" w:rsidRDefault="00A8471B" w:rsidP="00E322AB">
            <w:pPr>
              <w:rPr>
                <w:rFonts w:eastAsia="宋体" w:cs="Times New Roman"/>
                <w:szCs w:val="21"/>
              </w:rPr>
            </w:pPr>
            <w:r w:rsidRPr="00A71D2E">
              <w:rPr>
                <w:rFonts w:eastAsia="宋体" w:cs="Times New Roman" w:hint="eastAsia"/>
                <w:szCs w:val="21"/>
              </w:rPr>
              <w:t>专用设备</w:t>
            </w:r>
          </w:p>
        </w:tc>
        <w:tc>
          <w:tcPr>
            <w:tcW w:w="1984" w:type="dxa"/>
            <w:vAlign w:val="center"/>
          </w:tcPr>
          <w:p w:rsidR="00A8471B" w:rsidRPr="00A71D2E" w:rsidRDefault="00A8471B" w:rsidP="00FE2C30">
            <w:pPr>
              <w:jc w:val="center"/>
              <w:rPr>
                <w:rFonts w:eastAsia="宋体" w:cs="Times New Roman"/>
                <w:szCs w:val="21"/>
              </w:rPr>
            </w:pPr>
            <w:r>
              <w:rPr>
                <w:rFonts w:eastAsia="宋体" w:cs="Times New Roman" w:hint="eastAsia"/>
                <w:szCs w:val="21"/>
              </w:rPr>
              <w:t>年限平均法</w:t>
            </w:r>
          </w:p>
        </w:tc>
        <w:tc>
          <w:tcPr>
            <w:tcW w:w="1701" w:type="dxa"/>
            <w:noWrap/>
            <w:vAlign w:val="center"/>
          </w:tcPr>
          <w:p w:rsidR="00A8471B" w:rsidRPr="00A71D2E" w:rsidRDefault="00A8471B" w:rsidP="00E322AB">
            <w:pPr>
              <w:jc w:val="right"/>
              <w:rPr>
                <w:rFonts w:eastAsia="宋体" w:cs="Times New Roman"/>
                <w:szCs w:val="21"/>
              </w:rPr>
            </w:pPr>
            <w:r w:rsidRPr="00A71D2E">
              <w:rPr>
                <w:rFonts w:eastAsia="宋体" w:cs="Times New Roman"/>
                <w:szCs w:val="21"/>
              </w:rPr>
              <w:t>3-5</w:t>
            </w:r>
            <w:r w:rsidRPr="00A71D2E">
              <w:rPr>
                <w:rFonts w:eastAsia="宋体" w:cs="Times New Roman" w:hint="eastAsia"/>
                <w:szCs w:val="21"/>
              </w:rPr>
              <w:t>年</w:t>
            </w:r>
          </w:p>
        </w:tc>
        <w:tc>
          <w:tcPr>
            <w:tcW w:w="1843" w:type="dxa"/>
            <w:noWrap/>
            <w:vAlign w:val="center"/>
          </w:tcPr>
          <w:p w:rsidR="00A8471B" w:rsidRPr="00A71D2E" w:rsidRDefault="00A8471B" w:rsidP="00E322AB">
            <w:pPr>
              <w:jc w:val="right"/>
              <w:rPr>
                <w:rFonts w:eastAsia="宋体" w:cs="Times New Roman"/>
                <w:szCs w:val="21"/>
              </w:rPr>
            </w:pPr>
            <w:r w:rsidRPr="00A71D2E">
              <w:rPr>
                <w:rFonts w:eastAsia="宋体" w:cs="Times New Roman"/>
                <w:szCs w:val="21"/>
              </w:rPr>
              <w:t>10</w:t>
            </w:r>
          </w:p>
        </w:tc>
        <w:tc>
          <w:tcPr>
            <w:tcW w:w="1847" w:type="dxa"/>
            <w:noWrap/>
            <w:vAlign w:val="center"/>
          </w:tcPr>
          <w:p w:rsidR="00A8471B" w:rsidRPr="00A71D2E" w:rsidRDefault="00A8471B" w:rsidP="00E322AB">
            <w:pPr>
              <w:jc w:val="right"/>
              <w:rPr>
                <w:rFonts w:eastAsia="宋体" w:cs="Times New Roman"/>
                <w:szCs w:val="21"/>
              </w:rPr>
            </w:pPr>
            <w:r w:rsidRPr="00A71D2E">
              <w:rPr>
                <w:rFonts w:eastAsia="宋体" w:cs="Times New Roman"/>
                <w:szCs w:val="21"/>
              </w:rPr>
              <w:t>18.00-30.00</w:t>
            </w:r>
          </w:p>
        </w:tc>
      </w:tr>
      <w:tr w:rsidR="00A8471B" w:rsidRPr="00A71D2E" w:rsidTr="0027505B">
        <w:trPr>
          <w:trHeight w:val="20"/>
        </w:trPr>
        <w:tc>
          <w:tcPr>
            <w:tcW w:w="1974" w:type="dxa"/>
            <w:noWrap/>
            <w:vAlign w:val="center"/>
          </w:tcPr>
          <w:p w:rsidR="00A8471B" w:rsidRPr="00A71D2E" w:rsidRDefault="00A8471B" w:rsidP="00E322AB">
            <w:pPr>
              <w:rPr>
                <w:rFonts w:eastAsia="宋体" w:cs="Times New Roman"/>
                <w:szCs w:val="21"/>
              </w:rPr>
            </w:pPr>
            <w:r w:rsidRPr="00A71D2E">
              <w:rPr>
                <w:rFonts w:eastAsia="宋体" w:cs="Times New Roman" w:hint="eastAsia"/>
                <w:szCs w:val="21"/>
              </w:rPr>
              <w:t>运输工具</w:t>
            </w:r>
          </w:p>
        </w:tc>
        <w:tc>
          <w:tcPr>
            <w:tcW w:w="1984" w:type="dxa"/>
            <w:vAlign w:val="center"/>
          </w:tcPr>
          <w:p w:rsidR="00A8471B" w:rsidRPr="00A71D2E" w:rsidRDefault="00A8471B" w:rsidP="00FE2C30">
            <w:pPr>
              <w:jc w:val="center"/>
              <w:rPr>
                <w:rFonts w:eastAsia="宋体" w:cs="Times New Roman"/>
                <w:szCs w:val="21"/>
              </w:rPr>
            </w:pPr>
            <w:r>
              <w:rPr>
                <w:rFonts w:eastAsia="宋体" w:cs="Times New Roman" w:hint="eastAsia"/>
                <w:szCs w:val="21"/>
              </w:rPr>
              <w:t>年限平均法</w:t>
            </w:r>
          </w:p>
        </w:tc>
        <w:tc>
          <w:tcPr>
            <w:tcW w:w="1701" w:type="dxa"/>
            <w:noWrap/>
            <w:vAlign w:val="center"/>
          </w:tcPr>
          <w:p w:rsidR="00A8471B" w:rsidRPr="00A71D2E" w:rsidRDefault="00A8471B" w:rsidP="00E322AB">
            <w:pPr>
              <w:jc w:val="right"/>
              <w:rPr>
                <w:rFonts w:eastAsia="宋体" w:cs="Times New Roman"/>
                <w:szCs w:val="21"/>
              </w:rPr>
            </w:pPr>
            <w:r w:rsidRPr="00A71D2E">
              <w:rPr>
                <w:rFonts w:eastAsia="宋体" w:cs="Times New Roman"/>
                <w:szCs w:val="21"/>
              </w:rPr>
              <w:t>5</w:t>
            </w:r>
            <w:r w:rsidRPr="00A71D2E">
              <w:rPr>
                <w:rFonts w:eastAsia="宋体" w:cs="Times New Roman" w:hint="eastAsia"/>
                <w:szCs w:val="21"/>
              </w:rPr>
              <w:t>年</w:t>
            </w:r>
          </w:p>
        </w:tc>
        <w:tc>
          <w:tcPr>
            <w:tcW w:w="1843" w:type="dxa"/>
            <w:noWrap/>
            <w:vAlign w:val="center"/>
          </w:tcPr>
          <w:p w:rsidR="00A8471B" w:rsidRPr="00A71D2E" w:rsidRDefault="00A8471B" w:rsidP="00E322AB">
            <w:pPr>
              <w:jc w:val="right"/>
              <w:rPr>
                <w:rFonts w:eastAsia="宋体" w:cs="Times New Roman"/>
                <w:szCs w:val="21"/>
              </w:rPr>
            </w:pPr>
            <w:r w:rsidRPr="00A71D2E">
              <w:rPr>
                <w:rFonts w:eastAsia="宋体" w:cs="Times New Roman"/>
                <w:szCs w:val="21"/>
              </w:rPr>
              <w:t>10</w:t>
            </w:r>
          </w:p>
        </w:tc>
        <w:tc>
          <w:tcPr>
            <w:tcW w:w="1847" w:type="dxa"/>
            <w:noWrap/>
            <w:vAlign w:val="center"/>
          </w:tcPr>
          <w:p w:rsidR="00A8471B" w:rsidRPr="00A71D2E" w:rsidRDefault="00A8471B" w:rsidP="00E322AB">
            <w:pPr>
              <w:jc w:val="right"/>
              <w:rPr>
                <w:rFonts w:eastAsia="宋体" w:cs="Times New Roman"/>
                <w:szCs w:val="21"/>
              </w:rPr>
            </w:pPr>
            <w:r w:rsidRPr="00A71D2E">
              <w:rPr>
                <w:rFonts w:eastAsia="宋体" w:cs="Times New Roman"/>
                <w:szCs w:val="21"/>
              </w:rPr>
              <w:t>18.00</w:t>
            </w:r>
          </w:p>
        </w:tc>
      </w:tr>
    </w:tbl>
    <w:p w:rsidR="00402E18" w:rsidRPr="003C2170" w:rsidRDefault="00402E18" w:rsidP="0027505B">
      <w:pPr>
        <w:adjustRightInd/>
        <w:snapToGrid/>
        <w:rPr>
          <w:rFonts w:eastAsia="宋体" w:cs="Times New Roman"/>
          <w:szCs w:val="21"/>
        </w:rPr>
      </w:pPr>
      <w:r>
        <w:rPr>
          <w:rFonts w:eastAsia="宋体" w:cs="Times New Roman"/>
          <w:szCs w:val="21"/>
        </w:rPr>
        <w:br w:type="page"/>
      </w:r>
      <w:r w:rsidRPr="003C2170">
        <w:rPr>
          <w:rFonts w:eastAsia="宋体" w:cs="Times New Roman"/>
          <w:b/>
          <w:szCs w:val="21"/>
        </w:rPr>
        <w:t>(</w:t>
      </w:r>
      <w:r w:rsidRPr="003C2170">
        <w:rPr>
          <w:rFonts w:eastAsia="宋体" w:cs="Times New Roman" w:hint="eastAsia"/>
          <w:b/>
          <w:szCs w:val="21"/>
        </w:rPr>
        <w:t>三</w:t>
      </w:r>
      <w:r w:rsidRPr="003C2170">
        <w:rPr>
          <w:rFonts w:eastAsia="宋体" w:cs="Times New Roman"/>
          <w:b/>
          <w:szCs w:val="21"/>
        </w:rPr>
        <w:t>)</w:t>
      </w:r>
      <w:r w:rsidRPr="003C2170">
        <w:rPr>
          <w:rFonts w:eastAsia="宋体" w:cs="Times New Roman"/>
          <w:b/>
          <w:szCs w:val="21"/>
        </w:rPr>
        <w:tab/>
      </w:r>
      <w:r w:rsidRPr="003C2170">
        <w:rPr>
          <w:rFonts w:eastAsia="宋体" w:cs="Times New Roman" w:hint="eastAsia"/>
          <w:b/>
          <w:szCs w:val="21"/>
        </w:rPr>
        <w:t>重要会计政策和会计估计</w:t>
      </w:r>
      <w:r w:rsidRPr="003C2170">
        <w:rPr>
          <w:rFonts w:eastAsia="宋体" w:cs="Times New Roman"/>
          <w:szCs w:val="21"/>
        </w:rPr>
        <w:t xml:space="preserve"> - </w:t>
      </w:r>
      <w:r w:rsidRPr="003C2170">
        <w:rPr>
          <w:rFonts w:eastAsia="宋体" w:cs="Times New Roman" w:hint="eastAsia"/>
          <w:szCs w:val="21"/>
        </w:rPr>
        <w:t>续</w:t>
      </w:r>
    </w:p>
    <w:p w:rsidR="00402E18" w:rsidRPr="003C2170" w:rsidRDefault="00402E18" w:rsidP="00402E18">
      <w:pPr>
        <w:ind w:left="720"/>
        <w:jc w:val="both"/>
        <w:rPr>
          <w:rFonts w:eastAsia="宋体" w:cs="Times New Roman"/>
          <w:snapToGrid w:val="0"/>
          <w:szCs w:val="21"/>
        </w:rPr>
      </w:pPr>
    </w:p>
    <w:p w:rsidR="00402E18" w:rsidRPr="003C2170" w:rsidRDefault="00402E18" w:rsidP="00402E18">
      <w:pPr>
        <w:ind w:left="720"/>
        <w:jc w:val="both"/>
        <w:rPr>
          <w:rFonts w:eastAsia="宋体" w:cs="Times New Roman"/>
          <w:b/>
          <w:szCs w:val="21"/>
        </w:rPr>
      </w:pPr>
      <w:r w:rsidRPr="003C2170">
        <w:rPr>
          <w:rFonts w:eastAsia="宋体" w:cs="Times New Roman"/>
          <w:b/>
          <w:szCs w:val="21"/>
        </w:rPr>
        <w:t>17.</w:t>
      </w:r>
      <w:r w:rsidRPr="003C2170">
        <w:rPr>
          <w:rFonts w:eastAsia="宋体" w:cs="Times New Roman"/>
          <w:b/>
          <w:szCs w:val="21"/>
        </w:rPr>
        <w:tab/>
      </w:r>
      <w:r w:rsidRPr="003C2170">
        <w:rPr>
          <w:rFonts w:eastAsia="宋体" w:cs="Times New Roman" w:hint="eastAsia"/>
          <w:b/>
          <w:szCs w:val="21"/>
        </w:rPr>
        <w:t>固定资产</w:t>
      </w:r>
      <w:r w:rsidRPr="003C2170">
        <w:rPr>
          <w:rFonts w:eastAsia="宋体" w:cs="Times New Roman"/>
          <w:szCs w:val="21"/>
        </w:rPr>
        <w:t xml:space="preserve"> - </w:t>
      </w:r>
      <w:r w:rsidRPr="003C2170">
        <w:rPr>
          <w:rFonts w:eastAsia="宋体" w:cs="Times New Roman" w:hint="eastAsia"/>
          <w:szCs w:val="21"/>
        </w:rPr>
        <w:t>续</w:t>
      </w:r>
    </w:p>
    <w:p w:rsidR="000273D3" w:rsidRDefault="000273D3" w:rsidP="000273D3">
      <w:pPr>
        <w:autoSpaceDE w:val="0"/>
        <w:autoSpaceDN w:val="0"/>
        <w:ind w:left="720"/>
        <w:jc w:val="both"/>
        <w:textAlignment w:val="baseline"/>
        <w:rPr>
          <w:rFonts w:eastAsia="宋体" w:cs="Times New Roman"/>
          <w:szCs w:val="21"/>
        </w:rPr>
      </w:pPr>
    </w:p>
    <w:p w:rsidR="00402E18" w:rsidRPr="003C2170" w:rsidRDefault="00402E18" w:rsidP="00402E18">
      <w:pPr>
        <w:autoSpaceDE w:val="0"/>
        <w:autoSpaceDN w:val="0"/>
        <w:ind w:left="720"/>
        <w:jc w:val="both"/>
        <w:textAlignment w:val="baseline"/>
        <w:rPr>
          <w:rFonts w:eastAsia="宋体" w:cs="Times New Roman"/>
          <w:kern w:val="2"/>
          <w:szCs w:val="21"/>
          <w:u w:val="single"/>
        </w:rPr>
      </w:pPr>
      <w:r w:rsidRPr="003C2170">
        <w:rPr>
          <w:rFonts w:eastAsia="宋体" w:cs="Times New Roman"/>
          <w:kern w:val="2"/>
          <w:szCs w:val="21"/>
          <w:u w:val="single"/>
        </w:rPr>
        <w:t>17.2</w:t>
      </w:r>
      <w:r w:rsidRPr="003C2170">
        <w:rPr>
          <w:rFonts w:eastAsia="宋体" w:cs="Times New Roman"/>
          <w:kern w:val="2"/>
          <w:szCs w:val="21"/>
          <w:u w:val="single"/>
        </w:rPr>
        <w:tab/>
      </w:r>
      <w:r w:rsidRPr="003C2170">
        <w:rPr>
          <w:rFonts w:eastAsia="宋体" w:cs="Times New Roman" w:hint="eastAsia"/>
          <w:kern w:val="2"/>
          <w:szCs w:val="21"/>
          <w:u w:val="single"/>
        </w:rPr>
        <w:t>折旧方法</w:t>
      </w:r>
      <w:r w:rsidRPr="0027505B">
        <w:rPr>
          <w:rFonts w:eastAsia="宋体" w:cs="Times New Roman"/>
          <w:kern w:val="2"/>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402E18" w:rsidRPr="00A71D2E" w:rsidRDefault="00402E18" w:rsidP="000273D3">
      <w:pPr>
        <w:autoSpaceDE w:val="0"/>
        <w:autoSpaceDN w:val="0"/>
        <w:ind w:left="720"/>
        <w:jc w:val="both"/>
        <w:textAlignment w:val="baseline"/>
        <w:rPr>
          <w:rFonts w:eastAsia="宋体" w:cs="Times New Roman"/>
          <w:szCs w:val="21"/>
        </w:rPr>
      </w:pPr>
    </w:p>
    <w:p w:rsidR="000273D3" w:rsidRPr="00A71D2E" w:rsidRDefault="000273D3" w:rsidP="003C2170">
      <w:pPr>
        <w:autoSpaceDE w:val="0"/>
        <w:autoSpaceDN w:val="0"/>
        <w:ind w:left="720"/>
        <w:jc w:val="both"/>
        <w:textAlignment w:val="baseline"/>
        <w:rPr>
          <w:rFonts w:eastAsia="宋体" w:cs="Times New Roman"/>
          <w:szCs w:val="21"/>
        </w:rPr>
      </w:pPr>
      <w:r w:rsidRPr="00A71D2E">
        <w:rPr>
          <w:rFonts w:eastAsia="宋体" w:cs="Times New Roman" w:hint="eastAsia"/>
          <w:szCs w:val="21"/>
        </w:rPr>
        <w:t>预计净残值是指假定固定资产预计使用寿命已满并处于使用寿命终了时的预期状态，本集团目前从该项资产处置中获得的扣除预计处置费用后的金额。</w:t>
      </w:r>
    </w:p>
    <w:p w:rsidR="00E14FD5" w:rsidRPr="00A71D2E" w:rsidRDefault="00E14FD5" w:rsidP="003C2170">
      <w:pPr>
        <w:ind w:left="720"/>
        <w:jc w:val="both"/>
        <w:rPr>
          <w:rFonts w:eastAsia="宋体" w:cs="Times New Roman"/>
          <w:kern w:val="2"/>
          <w:szCs w:val="21"/>
        </w:rPr>
      </w:pPr>
    </w:p>
    <w:p w:rsidR="00476F08" w:rsidRPr="00A71D2E" w:rsidRDefault="00476F08" w:rsidP="0027505B">
      <w:pPr>
        <w:ind w:left="720"/>
        <w:jc w:val="both"/>
        <w:rPr>
          <w:rFonts w:eastAsia="宋体" w:cs="Times New Roman"/>
          <w:kern w:val="2"/>
          <w:szCs w:val="21"/>
          <w:u w:val="single"/>
        </w:rPr>
      </w:pPr>
      <w:r w:rsidRPr="00A71D2E">
        <w:rPr>
          <w:rFonts w:eastAsia="宋体" w:cs="Times New Roman"/>
          <w:kern w:val="2"/>
          <w:szCs w:val="21"/>
          <w:u w:val="single"/>
        </w:rPr>
        <w:t>1</w:t>
      </w:r>
      <w:r w:rsidR="00BD14D4">
        <w:rPr>
          <w:rFonts w:eastAsia="宋体" w:cs="Times New Roman"/>
          <w:kern w:val="2"/>
          <w:szCs w:val="21"/>
          <w:u w:val="single"/>
        </w:rPr>
        <w:t>7</w:t>
      </w:r>
      <w:r w:rsidRPr="00A71D2E">
        <w:rPr>
          <w:rFonts w:eastAsia="宋体" w:cs="Times New Roman"/>
          <w:kern w:val="2"/>
          <w:szCs w:val="21"/>
          <w:u w:val="single"/>
        </w:rPr>
        <w:t>.3</w:t>
      </w:r>
      <w:r w:rsidRPr="00A71D2E">
        <w:rPr>
          <w:rFonts w:eastAsia="宋体" w:cs="Times New Roman"/>
          <w:kern w:val="2"/>
          <w:szCs w:val="21"/>
          <w:u w:val="single"/>
        </w:rPr>
        <w:tab/>
      </w:r>
      <w:r w:rsidRPr="00A71D2E">
        <w:rPr>
          <w:rFonts w:eastAsia="宋体" w:cs="Times New Roman" w:hint="eastAsia"/>
          <w:kern w:val="2"/>
          <w:szCs w:val="21"/>
          <w:u w:val="single"/>
        </w:rPr>
        <w:t>其他说明</w:t>
      </w:r>
    </w:p>
    <w:p w:rsidR="00476F08" w:rsidRPr="00A71D2E" w:rsidRDefault="00476F08" w:rsidP="003C2170">
      <w:pPr>
        <w:autoSpaceDE w:val="0"/>
        <w:autoSpaceDN w:val="0"/>
        <w:ind w:left="720"/>
        <w:jc w:val="both"/>
        <w:textAlignment w:val="baseline"/>
        <w:rPr>
          <w:rFonts w:eastAsia="宋体" w:cs="Times New Roman"/>
          <w:szCs w:val="21"/>
        </w:rPr>
      </w:pPr>
    </w:p>
    <w:p w:rsidR="00CD0431" w:rsidRPr="00A71D2E" w:rsidRDefault="00CD0431" w:rsidP="003C2170">
      <w:pPr>
        <w:autoSpaceDE w:val="0"/>
        <w:autoSpaceDN w:val="0"/>
        <w:ind w:left="720"/>
        <w:jc w:val="both"/>
        <w:textAlignment w:val="baseline"/>
        <w:rPr>
          <w:rFonts w:eastAsia="宋体" w:cs="Times New Roman"/>
          <w:szCs w:val="21"/>
        </w:rPr>
      </w:pPr>
      <w:r w:rsidRPr="00A71D2E">
        <w:rPr>
          <w:rFonts w:eastAsia="宋体" w:cs="Times New Roman"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CD0431" w:rsidRPr="00A71D2E" w:rsidRDefault="00CD0431" w:rsidP="003C2170">
      <w:pPr>
        <w:autoSpaceDE w:val="0"/>
        <w:autoSpaceDN w:val="0"/>
        <w:ind w:left="720"/>
        <w:jc w:val="both"/>
        <w:textAlignment w:val="baseline"/>
        <w:rPr>
          <w:rFonts w:eastAsia="宋体" w:cs="Times New Roman"/>
          <w:szCs w:val="21"/>
        </w:rPr>
      </w:pPr>
    </w:p>
    <w:p w:rsidR="00865B81" w:rsidRDefault="00CD0431" w:rsidP="003C2170">
      <w:pPr>
        <w:autoSpaceDE w:val="0"/>
        <w:autoSpaceDN w:val="0"/>
        <w:ind w:left="720"/>
        <w:jc w:val="both"/>
        <w:textAlignment w:val="baseline"/>
        <w:rPr>
          <w:rFonts w:eastAsia="宋体" w:cs="Times New Roman"/>
          <w:szCs w:val="21"/>
        </w:rPr>
      </w:pPr>
      <w:r w:rsidRPr="00A71D2E">
        <w:rPr>
          <w:rFonts w:eastAsia="宋体" w:cs="Times New Roman" w:hint="eastAsia"/>
          <w:szCs w:val="21"/>
        </w:rPr>
        <w:t>本集团至少于年度终了对固定资产的使用寿命、预计净残值和折旧方法进行复核，如发生改变则作为会计估计变更处理。</w:t>
      </w:r>
    </w:p>
    <w:p w:rsidR="00BD4A79" w:rsidRPr="00584DF3" w:rsidRDefault="00BD4A79" w:rsidP="003C2170">
      <w:pPr>
        <w:autoSpaceDE w:val="0"/>
        <w:autoSpaceDN w:val="0"/>
        <w:ind w:left="720"/>
        <w:jc w:val="both"/>
        <w:textAlignment w:val="baseline"/>
        <w:rPr>
          <w:rFonts w:eastAsia="宋体" w:cs="Times New Roman"/>
          <w:szCs w:val="21"/>
        </w:rPr>
      </w:pPr>
    </w:p>
    <w:p w:rsidR="00CD0431" w:rsidRPr="00A71D2E" w:rsidRDefault="00D7350F" w:rsidP="0027505B">
      <w:pPr>
        <w:pStyle w:val="2"/>
        <w:numPr>
          <w:ilvl w:val="0"/>
          <w:numId w:val="39"/>
        </w:numPr>
        <w:adjustRightInd w:val="0"/>
        <w:snapToGrid w:val="0"/>
        <w:ind w:left="1440" w:hanging="709"/>
        <w:contextualSpacing w:val="0"/>
        <w:jc w:val="both"/>
        <w:rPr>
          <w:rFonts w:ascii="Times New Roman" w:eastAsia="宋体" w:hAnsi="Times New Roman" w:cs="Times New Roman"/>
          <w:snapToGrid w:val="0"/>
          <w:szCs w:val="21"/>
        </w:rPr>
      </w:pPr>
      <w:r w:rsidRPr="00A71D2E">
        <w:rPr>
          <w:rFonts w:ascii="Times New Roman" w:eastAsia="宋体" w:hAnsi="Times New Roman" w:cs="Times New Roman" w:hint="eastAsia"/>
          <w:snapToGrid w:val="0"/>
          <w:szCs w:val="21"/>
        </w:rPr>
        <w:t>在建工程</w:t>
      </w:r>
    </w:p>
    <w:p w:rsidR="00D7350F" w:rsidRPr="00A71D2E" w:rsidRDefault="00D7350F" w:rsidP="003C2170">
      <w:pPr>
        <w:autoSpaceDE w:val="0"/>
        <w:autoSpaceDN w:val="0"/>
        <w:ind w:left="720"/>
        <w:jc w:val="both"/>
        <w:textAlignment w:val="baseline"/>
        <w:rPr>
          <w:rFonts w:eastAsia="宋体" w:cs="Times New Roman"/>
          <w:szCs w:val="21"/>
        </w:rPr>
      </w:pPr>
    </w:p>
    <w:p w:rsidR="00CA4003" w:rsidRDefault="00D7350F" w:rsidP="003C2170">
      <w:pPr>
        <w:tabs>
          <w:tab w:val="left" w:pos="720"/>
        </w:tabs>
        <w:autoSpaceDE w:val="0"/>
        <w:autoSpaceDN w:val="0"/>
        <w:ind w:left="720"/>
        <w:jc w:val="both"/>
        <w:textAlignment w:val="baseline"/>
        <w:rPr>
          <w:rFonts w:eastAsia="宋体" w:cs="Times New Roman"/>
          <w:szCs w:val="21"/>
        </w:rPr>
      </w:pPr>
      <w:r w:rsidRPr="00A71D2E">
        <w:rPr>
          <w:rFonts w:eastAsia="宋体" w:cs="Times New Roman" w:hint="eastAsia"/>
          <w:szCs w:val="21"/>
        </w:rPr>
        <w:t>在建工程按实际成本计量﹐实际成本包括在建期间发生的各项工程支出</w:t>
      </w:r>
      <w:r w:rsidR="00676AE5" w:rsidRPr="00A71D2E">
        <w:rPr>
          <w:rFonts w:eastAsia="宋体" w:cs="Times New Roman" w:hint="eastAsia"/>
          <w:szCs w:val="21"/>
        </w:rPr>
        <w:t>、工程达到预定可使用状态前的资本化的借款费用</w:t>
      </w:r>
      <w:r w:rsidRPr="00A71D2E">
        <w:rPr>
          <w:rFonts w:eastAsia="宋体" w:cs="Times New Roman" w:hint="eastAsia"/>
          <w:szCs w:val="21"/>
        </w:rPr>
        <w:t>以及其他相关费用等。在建工程不计提折旧。</w:t>
      </w:r>
    </w:p>
    <w:p w:rsidR="00CA4003" w:rsidRDefault="00CA4003" w:rsidP="003C2170">
      <w:pPr>
        <w:tabs>
          <w:tab w:val="left" w:pos="720"/>
        </w:tabs>
        <w:autoSpaceDE w:val="0"/>
        <w:autoSpaceDN w:val="0"/>
        <w:ind w:left="720"/>
        <w:jc w:val="both"/>
        <w:textAlignment w:val="baseline"/>
        <w:rPr>
          <w:rFonts w:eastAsia="宋体" w:cs="Times New Roman"/>
          <w:szCs w:val="21"/>
        </w:rPr>
      </w:pPr>
    </w:p>
    <w:p w:rsidR="00476F08" w:rsidRDefault="00D7350F" w:rsidP="0027505B">
      <w:pPr>
        <w:autoSpaceDE w:val="0"/>
        <w:autoSpaceDN w:val="0"/>
        <w:ind w:left="720"/>
        <w:jc w:val="both"/>
        <w:textAlignment w:val="baseline"/>
        <w:rPr>
          <w:rFonts w:eastAsia="宋体" w:cs="Times New Roman"/>
          <w:szCs w:val="21"/>
        </w:rPr>
      </w:pPr>
      <w:r w:rsidRPr="00A71D2E">
        <w:rPr>
          <w:rFonts w:eastAsia="宋体" w:cs="Times New Roman" w:hint="eastAsia"/>
          <w:szCs w:val="21"/>
        </w:rPr>
        <w:t>在建工程在达到预定可使用状态后结转为固定资产。</w:t>
      </w:r>
      <w:r w:rsidR="00CA4003">
        <w:rPr>
          <w:rFonts w:eastAsia="宋体" w:cs="Times New Roman" w:hint="eastAsia"/>
          <w:szCs w:val="21"/>
        </w:rPr>
        <w:t>各类在建工程结转为固定资产的标准和时点如下</w:t>
      </w:r>
      <w:r w:rsidR="005F14EE">
        <w:rPr>
          <w:rFonts w:eastAsia="宋体" w:cs="Times New Roman" w:hint="eastAsia"/>
          <w:szCs w:val="21"/>
        </w:rPr>
        <w:t>：</w:t>
      </w:r>
    </w:p>
    <w:p w:rsidR="00BB7D4C" w:rsidRDefault="00BB7D4C" w:rsidP="003C2170">
      <w:pPr>
        <w:tabs>
          <w:tab w:val="left" w:pos="720"/>
        </w:tabs>
        <w:autoSpaceDE w:val="0"/>
        <w:autoSpaceDN w:val="0"/>
        <w:ind w:left="720"/>
        <w:jc w:val="both"/>
        <w:textAlignment w:val="baseline"/>
        <w:rPr>
          <w:rFonts w:eastAsia="宋体" w:cs="Times New Roman"/>
          <w:szCs w:val="21"/>
        </w:rPr>
      </w:pP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1E0" w:firstRow="1" w:lastRow="1" w:firstColumn="1" w:lastColumn="1" w:noHBand="0" w:noVBand="0"/>
      </w:tblPr>
      <w:tblGrid>
        <w:gridCol w:w="2966"/>
        <w:gridCol w:w="6484"/>
      </w:tblGrid>
      <w:tr w:rsidR="005B54D5" w:rsidRPr="00A71D2E" w:rsidTr="0027505B">
        <w:trPr>
          <w:trHeight w:val="20"/>
        </w:trPr>
        <w:tc>
          <w:tcPr>
            <w:tcW w:w="2966" w:type="dxa"/>
            <w:shd w:val="clear" w:color="auto" w:fill="D9D9D9"/>
            <w:vAlign w:val="center"/>
          </w:tcPr>
          <w:p w:rsidR="005B54D5" w:rsidRPr="00BB7D4C" w:rsidRDefault="005B54D5" w:rsidP="00E456AF">
            <w:pPr>
              <w:spacing w:line="230" w:lineRule="auto"/>
              <w:jc w:val="center"/>
              <w:rPr>
                <w:rFonts w:eastAsia="宋体" w:cs="Times New Roman"/>
                <w:szCs w:val="21"/>
              </w:rPr>
            </w:pPr>
            <w:r w:rsidRPr="00BB7D4C">
              <w:rPr>
                <w:rFonts w:eastAsia="宋体" w:cs="Times New Roman" w:hint="eastAsia"/>
                <w:szCs w:val="21"/>
              </w:rPr>
              <w:t>类别</w:t>
            </w:r>
          </w:p>
        </w:tc>
        <w:tc>
          <w:tcPr>
            <w:tcW w:w="6484" w:type="dxa"/>
            <w:shd w:val="clear" w:color="auto" w:fill="D9D9D9"/>
            <w:vAlign w:val="center"/>
          </w:tcPr>
          <w:p w:rsidR="005B54D5" w:rsidRPr="00BB7D4C" w:rsidRDefault="005B54D5" w:rsidP="00E456AF">
            <w:pPr>
              <w:spacing w:line="230" w:lineRule="auto"/>
              <w:jc w:val="center"/>
              <w:rPr>
                <w:rFonts w:eastAsia="宋体" w:cs="Times New Roman"/>
                <w:szCs w:val="21"/>
              </w:rPr>
            </w:pPr>
            <w:r w:rsidRPr="00BB7D4C">
              <w:rPr>
                <w:rFonts w:eastAsia="宋体" w:cs="Times New Roman" w:hint="eastAsia"/>
                <w:szCs w:val="21"/>
              </w:rPr>
              <w:t>结转为固定资产的标准</w:t>
            </w:r>
          </w:p>
        </w:tc>
      </w:tr>
      <w:tr w:rsidR="005B54D5" w:rsidRPr="00A71D2E" w:rsidTr="0027505B">
        <w:trPr>
          <w:trHeight w:val="20"/>
        </w:trPr>
        <w:tc>
          <w:tcPr>
            <w:tcW w:w="2966" w:type="dxa"/>
            <w:shd w:val="clear" w:color="auto" w:fill="auto"/>
            <w:vAlign w:val="center"/>
          </w:tcPr>
          <w:p w:rsidR="005B54D5" w:rsidRPr="00BB7D4C" w:rsidRDefault="005B54D5" w:rsidP="00BB7D4C">
            <w:pPr>
              <w:spacing w:line="230" w:lineRule="auto"/>
              <w:rPr>
                <w:rFonts w:eastAsia="宋体" w:cs="Times New Roman"/>
                <w:szCs w:val="21"/>
              </w:rPr>
            </w:pPr>
            <w:r w:rsidRPr="00BB7D4C">
              <w:rPr>
                <w:rFonts w:eastAsia="宋体" w:cs="Times New Roman" w:hint="eastAsia"/>
                <w:szCs w:val="21"/>
              </w:rPr>
              <w:t>房屋及建筑物</w:t>
            </w:r>
          </w:p>
        </w:tc>
        <w:tc>
          <w:tcPr>
            <w:tcW w:w="6484" w:type="dxa"/>
            <w:shd w:val="clear" w:color="auto" w:fill="auto"/>
            <w:vAlign w:val="center"/>
          </w:tcPr>
          <w:p w:rsidR="005B54D5" w:rsidRPr="00BB7D4C" w:rsidRDefault="005B54D5" w:rsidP="00FE2C30">
            <w:pPr>
              <w:spacing w:line="230" w:lineRule="auto"/>
              <w:jc w:val="both"/>
              <w:rPr>
                <w:rFonts w:eastAsia="宋体" w:cs="Times New Roman"/>
                <w:szCs w:val="21"/>
              </w:rPr>
            </w:pPr>
            <w:r>
              <w:rPr>
                <w:rFonts w:eastAsia="宋体" w:cs="Times New Roman" w:hint="eastAsia"/>
                <w:szCs w:val="21"/>
              </w:rPr>
              <w:t>主体建设工程及配套工程已实质上完工，达到实际可使用状态</w:t>
            </w:r>
          </w:p>
        </w:tc>
      </w:tr>
      <w:tr w:rsidR="005B54D5" w:rsidRPr="00A71D2E" w:rsidTr="0027505B">
        <w:trPr>
          <w:trHeight w:val="20"/>
        </w:trPr>
        <w:tc>
          <w:tcPr>
            <w:tcW w:w="2966" w:type="dxa"/>
            <w:shd w:val="clear" w:color="auto" w:fill="auto"/>
            <w:vAlign w:val="center"/>
          </w:tcPr>
          <w:p w:rsidR="005B54D5" w:rsidRPr="00BB7D4C" w:rsidRDefault="005B54D5" w:rsidP="00BB7D4C">
            <w:pPr>
              <w:spacing w:line="230" w:lineRule="auto"/>
              <w:rPr>
                <w:rFonts w:eastAsia="宋体" w:cs="Times New Roman"/>
                <w:szCs w:val="21"/>
              </w:rPr>
            </w:pPr>
            <w:r w:rsidRPr="00BB7D4C">
              <w:rPr>
                <w:rFonts w:eastAsia="宋体" w:cs="Times New Roman" w:hint="eastAsia"/>
                <w:szCs w:val="21"/>
              </w:rPr>
              <w:t>需安装调试的设备</w:t>
            </w:r>
          </w:p>
        </w:tc>
        <w:tc>
          <w:tcPr>
            <w:tcW w:w="6484" w:type="dxa"/>
            <w:shd w:val="clear" w:color="auto" w:fill="auto"/>
            <w:vAlign w:val="center"/>
          </w:tcPr>
          <w:p w:rsidR="005B54D5" w:rsidRPr="00BB7D4C" w:rsidRDefault="005B54D5" w:rsidP="00FE2C30">
            <w:pPr>
              <w:spacing w:line="230" w:lineRule="auto"/>
              <w:ind w:left="-18"/>
              <w:jc w:val="both"/>
              <w:rPr>
                <w:rFonts w:eastAsia="宋体" w:cs="Times New Roman"/>
                <w:szCs w:val="21"/>
              </w:rPr>
            </w:pPr>
            <w:r>
              <w:rPr>
                <w:rFonts w:eastAsia="宋体" w:cs="Times New Roman" w:hint="eastAsia"/>
                <w:szCs w:val="21"/>
              </w:rPr>
              <w:t>相关设备及其他配套设施已安装完毕，设备经过调试可在一段时间内保持正常稳定运行</w:t>
            </w:r>
          </w:p>
        </w:tc>
      </w:tr>
    </w:tbl>
    <w:p w:rsidR="0082569C" w:rsidRDefault="0082569C">
      <w:pPr>
        <w:autoSpaceDE w:val="0"/>
        <w:autoSpaceDN w:val="0"/>
        <w:ind w:left="720"/>
        <w:jc w:val="both"/>
        <w:textAlignment w:val="baseline"/>
        <w:rPr>
          <w:rFonts w:eastAsia="宋体" w:cs="Times New Roman"/>
          <w:szCs w:val="21"/>
        </w:rPr>
      </w:pPr>
    </w:p>
    <w:p w:rsidR="00B406A1" w:rsidRPr="00A71D2E" w:rsidRDefault="00B406A1" w:rsidP="0027505B">
      <w:pPr>
        <w:pStyle w:val="2"/>
        <w:numPr>
          <w:ilvl w:val="0"/>
          <w:numId w:val="39"/>
        </w:numPr>
        <w:adjustRightInd w:val="0"/>
        <w:snapToGrid w:val="0"/>
        <w:ind w:left="1440" w:hanging="709"/>
        <w:contextualSpacing w:val="0"/>
        <w:jc w:val="both"/>
        <w:rPr>
          <w:rFonts w:ascii="Times New Roman" w:eastAsia="宋体" w:hAnsi="Times New Roman" w:cs="Times New Roman"/>
          <w:szCs w:val="21"/>
        </w:rPr>
      </w:pPr>
      <w:r w:rsidRPr="00A71D2E">
        <w:rPr>
          <w:rFonts w:ascii="Times New Roman" w:eastAsia="宋体" w:hAnsi="Times New Roman" w:cs="Times New Roman" w:hint="eastAsia"/>
          <w:szCs w:val="21"/>
        </w:rPr>
        <w:t>借款费用</w:t>
      </w:r>
    </w:p>
    <w:p w:rsidR="00B406A1" w:rsidRPr="00A71D2E" w:rsidRDefault="00B406A1">
      <w:pPr>
        <w:autoSpaceDE w:val="0"/>
        <w:autoSpaceDN w:val="0"/>
        <w:ind w:left="720"/>
        <w:jc w:val="both"/>
        <w:textAlignment w:val="baseline"/>
        <w:rPr>
          <w:rFonts w:eastAsia="宋体" w:cs="Times New Roman"/>
          <w:szCs w:val="21"/>
        </w:rPr>
      </w:pPr>
    </w:p>
    <w:p w:rsidR="00B406A1" w:rsidRPr="00A71D2E" w:rsidRDefault="00B406A1">
      <w:pPr>
        <w:autoSpaceDE w:val="0"/>
        <w:autoSpaceDN w:val="0"/>
        <w:ind w:left="720"/>
        <w:jc w:val="both"/>
        <w:textAlignment w:val="baseline"/>
        <w:rPr>
          <w:rFonts w:eastAsia="宋体" w:cs="Times New Roman"/>
          <w:szCs w:val="21"/>
        </w:rPr>
      </w:pPr>
      <w:r w:rsidRPr="00A71D2E">
        <w:rPr>
          <w:rFonts w:eastAsia="宋体" w:cs="Times New Roman" w:hint="eastAsia"/>
          <w:szCs w:val="21"/>
        </w:rPr>
        <w:t>可直接归属于符合资本化条件的资产的购建或者生产的借款费用，在资产支出已经发生、借款费用已经发生、为使资产达到预定可使用或可销售状态所必要的购建或生产活动已经开始时，开始资本化</w:t>
      </w:r>
      <w:r w:rsidR="005F14EE">
        <w:rPr>
          <w:rFonts w:eastAsia="宋体" w:cs="Times New Roman" w:hint="eastAsia"/>
          <w:szCs w:val="21"/>
        </w:rPr>
        <w:t>；</w:t>
      </w:r>
      <w:r w:rsidRPr="00A71D2E">
        <w:rPr>
          <w:rFonts w:eastAsia="宋体" w:cs="Times New Roman" w:hint="eastAsia"/>
          <w:szCs w:val="21"/>
        </w:rPr>
        <w:t>构建或者生产的符合资本化条件的资产达到预定可使用状态或者可销售状态时，停止资本化。其余借款费用在发生当期确认为费用。</w:t>
      </w:r>
    </w:p>
    <w:p w:rsidR="00BC5DE2" w:rsidRPr="00A71D2E" w:rsidRDefault="00BC5DE2">
      <w:pPr>
        <w:autoSpaceDE w:val="0"/>
        <w:autoSpaceDN w:val="0"/>
        <w:ind w:left="720"/>
        <w:jc w:val="both"/>
        <w:textAlignment w:val="baseline"/>
        <w:rPr>
          <w:rFonts w:eastAsia="宋体" w:cs="Times New Roman"/>
          <w:szCs w:val="21"/>
        </w:rPr>
      </w:pPr>
    </w:p>
    <w:p w:rsidR="00BB7D4C" w:rsidRDefault="00BC5DE2">
      <w:pPr>
        <w:autoSpaceDE w:val="0"/>
        <w:autoSpaceDN w:val="0"/>
        <w:ind w:left="720"/>
        <w:jc w:val="both"/>
        <w:textAlignment w:val="baseline"/>
        <w:rPr>
          <w:rFonts w:eastAsia="宋体" w:cs="Times New Roman"/>
          <w:szCs w:val="21"/>
        </w:rPr>
      </w:pPr>
      <w:r w:rsidRPr="00A71D2E">
        <w:rPr>
          <w:rFonts w:eastAsia="宋体" w:cs="Times New Roman" w:hint="eastAsia"/>
          <w:szCs w:val="21"/>
        </w:rPr>
        <w:t>专门借款当期实际发生的利息费用，减去尚未动用的借款资金存入银行取得的利息收入或进行暂时性投资取得的投资收益后的金额予以资本化</w:t>
      </w:r>
      <w:r w:rsidR="005F14EE">
        <w:rPr>
          <w:rFonts w:eastAsia="宋体" w:cs="Times New Roman" w:hint="eastAsia"/>
          <w:szCs w:val="21"/>
        </w:rPr>
        <w:t>；</w:t>
      </w:r>
      <w:r w:rsidRPr="00A71D2E">
        <w:rPr>
          <w:rFonts w:eastAsia="宋体" w:cs="Times New Roman" w:hint="eastAsia"/>
          <w:szCs w:val="21"/>
        </w:rPr>
        <w:t>一般借款根据累计资产支出超过专门借款部分的资产支出加权平均数乘以所占用一般借款的资本化率，确定资本化金额。资本化率根据一般借款的加权平均利率计算确定。</w:t>
      </w:r>
    </w:p>
    <w:p w:rsidR="00D7350F" w:rsidRPr="00BD14D4" w:rsidRDefault="00D7350F">
      <w:pPr>
        <w:ind w:left="720"/>
        <w:jc w:val="both"/>
        <w:rPr>
          <w:rFonts w:eastAsia="宋体" w:cs="Times New Roman"/>
          <w:kern w:val="2"/>
          <w:szCs w:val="21"/>
        </w:rPr>
      </w:pPr>
    </w:p>
    <w:p w:rsidR="00D7350F" w:rsidRPr="00A71D2E" w:rsidRDefault="00A572B2" w:rsidP="0027505B">
      <w:pPr>
        <w:pStyle w:val="2"/>
        <w:numPr>
          <w:ilvl w:val="0"/>
          <w:numId w:val="39"/>
        </w:numPr>
        <w:adjustRightInd w:val="0"/>
        <w:snapToGrid w:val="0"/>
        <w:ind w:left="1440" w:hanging="709"/>
        <w:contextualSpacing w:val="0"/>
        <w:jc w:val="both"/>
        <w:rPr>
          <w:rFonts w:ascii="Times New Roman" w:eastAsia="宋体" w:hAnsi="Times New Roman" w:cs="Times New Roman"/>
          <w:snapToGrid w:val="0"/>
          <w:szCs w:val="21"/>
        </w:rPr>
      </w:pPr>
      <w:r w:rsidRPr="00A71D2E">
        <w:rPr>
          <w:rFonts w:ascii="Times New Roman" w:eastAsia="宋体" w:hAnsi="Times New Roman" w:cs="Times New Roman" w:hint="eastAsia"/>
          <w:snapToGrid w:val="0"/>
          <w:szCs w:val="21"/>
        </w:rPr>
        <w:t>无形资产</w:t>
      </w:r>
    </w:p>
    <w:p w:rsidR="00D7350F" w:rsidRPr="00A71D2E" w:rsidRDefault="00D7350F">
      <w:pPr>
        <w:ind w:left="720"/>
        <w:jc w:val="both"/>
        <w:rPr>
          <w:rFonts w:eastAsia="宋体" w:cs="Times New Roman"/>
          <w:kern w:val="2"/>
          <w:szCs w:val="21"/>
        </w:rPr>
      </w:pPr>
    </w:p>
    <w:p w:rsidR="00476F08" w:rsidRPr="00A71D2E" w:rsidRDefault="00BD14D4" w:rsidP="00402E18">
      <w:pPr>
        <w:ind w:left="720"/>
        <w:jc w:val="both"/>
        <w:rPr>
          <w:rFonts w:eastAsia="宋体" w:cs="Times New Roman"/>
          <w:kern w:val="2"/>
          <w:szCs w:val="21"/>
        </w:rPr>
      </w:pPr>
      <w:r>
        <w:rPr>
          <w:rFonts w:eastAsia="宋体" w:cs="Times New Roman"/>
          <w:szCs w:val="21"/>
          <w:u w:val="single"/>
        </w:rPr>
        <w:t>20</w:t>
      </w:r>
      <w:r w:rsidR="003E5DF8" w:rsidRPr="00A71D2E">
        <w:rPr>
          <w:rFonts w:eastAsia="宋体" w:cs="Times New Roman"/>
          <w:szCs w:val="21"/>
          <w:u w:val="single"/>
        </w:rPr>
        <w:t>.</w:t>
      </w:r>
      <w:r w:rsidR="00476F08" w:rsidRPr="00A71D2E">
        <w:rPr>
          <w:rFonts w:eastAsia="宋体" w:cs="Times New Roman"/>
          <w:szCs w:val="21"/>
          <w:u w:val="single"/>
        </w:rPr>
        <w:t>1</w:t>
      </w:r>
      <w:r w:rsidR="00476F08" w:rsidRPr="00A71D2E">
        <w:rPr>
          <w:rFonts w:eastAsia="宋体" w:cs="Times New Roman"/>
          <w:szCs w:val="21"/>
          <w:u w:val="single"/>
        </w:rPr>
        <w:tab/>
      </w:r>
      <w:r w:rsidR="002C4695">
        <w:rPr>
          <w:rFonts w:eastAsia="宋体" w:cs="Times New Roman" w:hint="eastAsia"/>
          <w:szCs w:val="21"/>
          <w:u w:val="single"/>
        </w:rPr>
        <w:t>使用寿命及其确定依据、估计情况、摊销方法或复核程序</w:t>
      </w:r>
    </w:p>
    <w:p w:rsidR="00476F08" w:rsidRPr="00A71D2E" w:rsidRDefault="00476F08" w:rsidP="00402E18">
      <w:pPr>
        <w:ind w:left="720"/>
        <w:jc w:val="both"/>
        <w:rPr>
          <w:rFonts w:eastAsia="宋体" w:cs="Times New Roman"/>
          <w:kern w:val="2"/>
          <w:szCs w:val="21"/>
        </w:rPr>
      </w:pPr>
    </w:p>
    <w:p w:rsidR="003E76C1" w:rsidRPr="00A71D2E" w:rsidRDefault="00A572B2" w:rsidP="00402E18">
      <w:pPr>
        <w:ind w:left="720"/>
        <w:jc w:val="both"/>
        <w:rPr>
          <w:rFonts w:eastAsia="宋体" w:cs="Times New Roman"/>
          <w:szCs w:val="21"/>
        </w:rPr>
      </w:pPr>
      <w:r w:rsidRPr="00A71D2E">
        <w:rPr>
          <w:rFonts w:eastAsia="宋体" w:cs="Times New Roman" w:hint="eastAsia"/>
          <w:szCs w:val="21"/>
        </w:rPr>
        <w:t>无形资产包括土地使用权、应用软件使用权等。</w:t>
      </w:r>
    </w:p>
    <w:p w:rsidR="00402E18" w:rsidRDefault="00402E18">
      <w:pPr>
        <w:adjustRightInd/>
        <w:snapToGrid/>
        <w:rPr>
          <w:rFonts w:eastAsia="宋体" w:cs="Times New Roman"/>
          <w:szCs w:val="21"/>
        </w:rPr>
      </w:pPr>
      <w:r>
        <w:rPr>
          <w:rFonts w:eastAsia="宋体" w:cs="Times New Roman"/>
          <w:szCs w:val="21"/>
        </w:rPr>
        <w:br w:type="page"/>
      </w:r>
    </w:p>
    <w:p w:rsidR="00402E18" w:rsidRPr="00A71D2E" w:rsidRDefault="00402E18" w:rsidP="00402E18">
      <w:pPr>
        <w:jc w:val="both"/>
        <w:rPr>
          <w:rFonts w:eastAsia="宋体" w:cs="Times New Roman"/>
          <w:szCs w:val="21"/>
        </w:rPr>
      </w:pPr>
      <w:r>
        <w:rPr>
          <w:rFonts w:eastAsia="宋体" w:cs="Times New Roman"/>
          <w:b/>
          <w:szCs w:val="21"/>
        </w:rPr>
        <w:t>(</w:t>
      </w:r>
      <w:r w:rsidRPr="00A71D2E">
        <w:rPr>
          <w:rFonts w:eastAsia="宋体" w:cs="Times New Roman" w:hint="eastAsia"/>
          <w:b/>
          <w:szCs w:val="21"/>
        </w:rPr>
        <w:t>三</w:t>
      </w:r>
      <w:r>
        <w:rPr>
          <w:rFonts w:eastAsia="宋体" w:cs="Times New Roman"/>
          <w:b/>
          <w:szCs w:val="21"/>
        </w:rPr>
        <w:t>)</w:t>
      </w:r>
      <w:r w:rsidRPr="00A71D2E">
        <w:rPr>
          <w:rFonts w:eastAsia="宋体" w:cs="Times New Roman"/>
          <w:b/>
          <w:szCs w:val="21"/>
        </w:rPr>
        <w:tab/>
      </w:r>
      <w:r w:rsidRPr="00A71D2E">
        <w:rPr>
          <w:rFonts w:eastAsia="宋体" w:cs="Times New Roman" w:hint="eastAsia"/>
          <w:b/>
          <w:szCs w:val="21"/>
        </w:rPr>
        <w:t>重要会计政策和会计估计</w:t>
      </w:r>
      <w:r w:rsidRPr="00A71D2E">
        <w:rPr>
          <w:rFonts w:eastAsia="宋体" w:cs="Times New Roman"/>
          <w:szCs w:val="21"/>
        </w:rPr>
        <w:t xml:space="preserve"> - </w:t>
      </w:r>
      <w:r w:rsidRPr="00A71D2E">
        <w:rPr>
          <w:rFonts w:eastAsia="宋体" w:cs="Times New Roman" w:hint="eastAsia"/>
          <w:szCs w:val="21"/>
        </w:rPr>
        <w:t>续</w:t>
      </w:r>
    </w:p>
    <w:p w:rsidR="003E76C1" w:rsidRDefault="003E76C1" w:rsidP="00402E18">
      <w:pPr>
        <w:adjustRightInd/>
        <w:snapToGrid/>
        <w:ind w:left="720"/>
        <w:rPr>
          <w:rFonts w:eastAsia="宋体" w:cs="Times New Roman"/>
          <w:szCs w:val="21"/>
        </w:rPr>
      </w:pPr>
    </w:p>
    <w:p w:rsidR="00402E18" w:rsidRDefault="00402E18" w:rsidP="00402E18">
      <w:pPr>
        <w:adjustRightInd/>
        <w:snapToGrid/>
        <w:ind w:left="720"/>
        <w:rPr>
          <w:rFonts w:eastAsia="宋体" w:cs="Times New Roman"/>
          <w:szCs w:val="21"/>
        </w:rPr>
      </w:pPr>
      <w:r w:rsidRPr="0027505B">
        <w:rPr>
          <w:rFonts w:eastAsia="宋体" w:cs="Times New Roman"/>
          <w:b/>
          <w:bCs/>
          <w:szCs w:val="21"/>
        </w:rPr>
        <w:t>20.</w:t>
      </w:r>
      <w:r w:rsidRPr="0027505B">
        <w:rPr>
          <w:rFonts w:eastAsia="宋体" w:cs="Times New Roman"/>
          <w:b/>
          <w:bCs/>
          <w:szCs w:val="21"/>
        </w:rPr>
        <w:tab/>
      </w:r>
      <w:r w:rsidRPr="0027505B">
        <w:rPr>
          <w:rFonts w:eastAsia="宋体" w:cs="Times New Roman" w:hint="eastAsia"/>
          <w:b/>
          <w:bCs/>
          <w:szCs w:val="21"/>
        </w:rPr>
        <w:t>无形资产</w:t>
      </w:r>
      <w:r>
        <w:rPr>
          <w:rFonts w:eastAsia="宋体" w:cs="Times New Roman" w:hint="eastAsia"/>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402E18" w:rsidRDefault="00402E18" w:rsidP="00402E18">
      <w:pPr>
        <w:adjustRightInd/>
        <w:snapToGrid/>
        <w:ind w:left="720"/>
        <w:rPr>
          <w:rFonts w:eastAsia="宋体" w:cs="Times New Roman"/>
          <w:szCs w:val="21"/>
        </w:rPr>
      </w:pPr>
    </w:p>
    <w:p w:rsidR="00402E18" w:rsidRPr="00A71D2E" w:rsidRDefault="00402E18" w:rsidP="00402E18">
      <w:pPr>
        <w:ind w:left="720"/>
        <w:jc w:val="both"/>
        <w:rPr>
          <w:rFonts w:eastAsia="宋体" w:cs="Times New Roman"/>
          <w:kern w:val="2"/>
          <w:szCs w:val="21"/>
        </w:rPr>
      </w:pPr>
      <w:r>
        <w:rPr>
          <w:rFonts w:eastAsia="宋体" w:cs="Times New Roman"/>
          <w:szCs w:val="21"/>
          <w:u w:val="single"/>
        </w:rPr>
        <w:t>20</w:t>
      </w:r>
      <w:r w:rsidRPr="00A71D2E">
        <w:rPr>
          <w:rFonts w:eastAsia="宋体" w:cs="Times New Roman"/>
          <w:szCs w:val="21"/>
          <w:u w:val="single"/>
        </w:rPr>
        <w:t>.1</w:t>
      </w:r>
      <w:r w:rsidRPr="00A71D2E">
        <w:rPr>
          <w:rFonts w:eastAsia="宋体" w:cs="Times New Roman"/>
          <w:szCs w:val="21"/>
          <w:u w:val="single"/>
        </w:rPr>
        <w:tab/>
      </w:r>
      <w:r>
        <w:rPr>
          <w:rFonts w:eastAsia="宋体" w:cs="Times New Roman" w:hint="eastAsia"/>
          <w:szCs w:val="21"/>
          <w:u w:val="single"/>
        </w:rPr>
        <w:t>使用寿命及其确定依据、估计情况、摊销方法或复核程序</w:t>
      </w:r>
      <w:r w:rsidRPr="0027505B">
        <w:rPr>
          <w:rFonts w:eastAsia="宋体" w:cs="Times New Roman"/>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402E18" w:rsidRPr="00A71D2E" w:rsidRDefault="00402E18" w:rsidP="0027505B">
      <w:pPr>
        <w:adjustRightInd/>
        <w:snapToGrid/>
        <w:ind w:left="720"/>
        <w:rPr>
          <w:rFonts w:eastAsia="宋体" w:cs="Times New Roman"/>
          <w:szCs w:val="21"/>
        </w:rPr>
      </w:pPr>
    </w:p>
    <w:p w:rsidR="00675A82" w:rsidRPr="00A71D2E" w:rsidRDefault="00A572B2" w:rsidP="00402E18">
      <w:pPr>
        <w:ind w:left="720"/>
        <w:jc w:val="both"/>
        <w:rPr>
          <w:rFonts w:eastAsia="宋体" w:cs="Times New Roman"/>
          <w:szCs w:val="21"/>
        </w:rPr>
      </w:pPr>
      <w:r w:rsidRPr="00A71D2E">
        <w:rPr>
          <w:rFonts w:eastAsia="宋体" w:cs="Times New Roman" w:hint="eastAsia"/>
          <w:szCs w:val="21"/>
        </w:rPr>
        <w:t>无形资产按成本进行初始计量。使用寿命有限的无形资产自可供使用时起，对其原值在其预计使用寿命内采用直线法分期平均摊销。</w:t>
      </w:r>
      <w:r w:rsidR="00134DAD">
        <w:rPr>
          <w:rFonts w:eastAsia="宋体" w:cs="Times New Roman" w:hint="eastAsia"/>
          <w:szCs w:val="21"/>
        </w:rPr>
        <w:t>各类无形资产的摊销方法、使用寿命和残值率如下</w:t>
      </w:r>
      <w:r w:rsidR="005F14EE">
        <w:rPr>
          <w:rFonts w:eastAsia="宋体" w:cs="Times New Roman" w:hint="eastAsia"/>
          <w:szCs w:val="21"/>
        </w:rPr>
        <w:t>：</w:t>
      </w:r>
    </w:p>
    <w:p w:rsidR="00476F08" w:rsidRPr="00A71D2E" w:rsidRDefault="00476F08">
      <w:pPr>
        <w:ind w:left="720"/>
        <w:jc w:val="both"/>
        <w:rPr>
          <w:rFonts w:eastAsia="宋体" w:cs="Times New Roman"/>
          <w:szCs w:val="21"/>
        </w:rPr>
      </w:pP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4"/>
        <w:gridCol w:w="1736"/>
        <w:gridCol w:w="1559"/>
        <w:gridCol w:w="2126"/>
        <w:gridCol w:w="1665"/>
      </w:tblGrid>
      <w:tr w:rsidR="00792082" w:rsidRPr="00A71D2E" w:rsidTr="0027505B">
        <w:trPr>
          <w:trHeight w:val="20"/>
        </w:trPr>
        <w:tc>
          <w:tcPr>
            <w:tcW w:w="2364" w:type="dxa"/>
            <w:shd w:val="clear" w:color="auto" w:fill="D9D9D9" w:themeFill="background1" w:themeFillShade="D9"/>
            <w:vAlign w:val="center"/>
          </w:tcPr>
          <w:p w:rsidR="00792082" w:rsidRPr="00A71D2E" w:rsidRDefault="00792082">
            <w:pPr>
              <w:jc w:val="center"/>
              <w:rPr>
                <w:rFonts w:eastAsia="宋体" w:cs="Times New Roman"/>
                <w:szCs w:val="21"/>
              </w:rPr>
            </w:pPr>
            <w:r w:rsidRPr="00A71D2E">
              <w:rPr>
                <w:rFonts w:eastAsia="宋体" w:cs="Times New Roman" w:hint="eastAsia"/>
                <w:szCs w:val="21"/>
              </w:rPr>
              <w:t>类别</w:t>
            </w:r>
          </w:p>
        </w:tc>
        <w:tc>
          <w:tcPr>
            <w:tcW w:w="1736" w:type="dxa"/>
            <w:shd w:val="clear" w:color="auto" w:fill="D9D9D9" w:themeFill="background1" w:themeFillShade="D9"/>
            <w:vAlign w:val="center"/>
          </w:tcPr>
          <w:p w:rsidR="00792082" w:rsidRPr="00A71D2E" w:rsidRDefault="00792082">
            <w:pPr>
              <w:jc w:val="center"/>
              <w:rPr>
                <w:rFonts w:eastAsia="宋体" w:cs="Times New Roman"/>
                <w:szCs w:val="21"/>
              </w:rPr>
            </w:pPr>
            <w:r w:rsidRPr="00A71D2E">
              <w:rPr>
                <w:rFonts w:eastAsia="宋体" w:cs="Times New Roman" w:hint="eastAsia"/>
                <w:szCs w:val="21"/>
              </w:rPr>
              <w:t>摊销方法</w:t>
            </w:r>
          </w:p>
        </w:tc>
        <w:tc>
          <w:tcPr>
            <w:tcW w:w="1559" w:type="dxa"/>
            <w:shd w:val="clear" w:color="auto" w:fill="D9D9D9" w:themeFill="background1" w:themeFillShade="D9"/>
            <w:vAlign w:val="center"/>
          </w:tcPr>
          <w:p w:rsidR="00792082" w:rsidRPr="00A71D2E" w:rsidRDefault="00792082">
            <w:pPr>
              <w:jc w:val="center"/>
              <w:rPr>
                <w:rFonts w:eastAsia="宋体" w:cs="Times New Roman"/>
                <w:szCs w:val="21"/>
              </w:rPr>
            </w:pPr>
            <w:r>
              <w:rPr>
                <w:rFonts w:eastAsia="宋体" w:cs="Times New Roman" w:hint="eastAsia"/>
                <w:szCs w:val="21"/>
              </w:rPr>
              <w:t>使用寿命</w:t>
            </w:r>
          </w:p>
        </w:tc>
        <w:tc>
          <w:tcPr>
            <w:tcW w:w="2126" w:type="dxa"/>
            <w:shd w:val="clear" w:color="auto" w:fill="D9D9D9" w:themeFill="background1" w:themeFillShade="D9"/>
            <w:vAlign w:val="center"/>
          </w:tcPr>
          <w:p w:rsidR="00792082" w:rsidRPr="00A71D2E" w:rsidRDefault="00792082">
            <w:pPr>
              <w:jc w:val="center"/>
              <w:rPr>
                <w:rFonts w:eastAsia="宋体" w:cs="Times New Roman"/>
                <w:szCs w:val="21"/>
              </w:rPr>
            </w:pPr>
            <w:r>
              <w:rPr>
                <w:rFonts w:eastAsia="宋体" w:cs="Times New Roman" w:hint="eastAsia"/>
                <w:szCs w:val="21"/>
              </w:rPr>
              <w:t>确定依据</w:t>
            </w:r>
          </w:p>
        </w:tc>
        <w:tc>
          <w:tcPr>
            <w:tcW w:w="1665" w:type="dxa"/>
            <w:shd w:val="clear" w:color="auto" w:fill="D9D9D9" w:themeFill="background1" w:themeFillShade="D9"/>
            <w:vAlign w:val="center"/>
          </w:tcPr>
          <w:p w:rsidR="00792082" w:rsidRPr="00A71D2E" w:rsidRDefault="00792082">
            <w:pPr>
              <w:jc w:val="center"/>
              <w:rPr>
                <w:rFonts w:eastAsia="宋体" w:cs="Times New Roman"/>
                <w:szCs w:val="21"/>
              </w:rPr>
            </w:pPr>
            <w:r w:rsidRPr="00A71D2E">
              <w:rPr>
                <w:rFonts w:eastAsia="宋体" w:cs="Times New Roman" w:hint="eastAsia"/>
                <w:szCs w:val="21"/>
              </w:rPr>
              <w:t>残值率</w:t>
            </w:r>
            <w:r w:rsidR="005F14EE">
              <w:rPr>
                <w:rFonts w:eastAsia="宋体" w:cs="Times New Roman"/>
                <w:szCs w:val="21"/>
              </w:rPr>
              <w:t>(</w:t>
            </w:r>
            <w:r w:rsidRPr="00A71D2E">
              <w:rPr>
                <w:rFonts w:eastAsia="宋体" w:cs="Times New Roman"/>
                <w:szCs w:val="21"/>
              </w:rPr>
              <w:t>%</w:t>
            </w:r>
            <w:r w:rsidR="005F14EE">
              <w:rPr>
                <w:rFonts w:eastAsia="宋体" w:cs="Times New Roman"/>
                <w:szCs w:val="21"/>
              </w:rPr>
              <w:t>)</w:t>
            </w:r>
          </w:p>
        </w:tc>
      </w:tr>
      <w:tr w:rsidR="00792082" w:rsidRPr="00A71D2E" w:rsidTr="0027505B">
        <w:trPr>
          <w:trHeight w:val="20"/>
        </w:trPr>
        <w:tc>
          <w:tcPr>
            <w:tcW w:w="2364" w:type="dxa"/>
            <w:shd w:val="clear" w:color="auto" w:fill="auto"/>
            <w:vAlign w:val="center"/>
          </w:tcPr>
          <w:p w:rsidR="00792082" w:rsidRPr="00A71D2E" w:rsidRDefault="00792082">
            <w:pPr>
              <w:rPr>
                <w:rFonts w:eastAsia="宋体" w:cs="Times New Roman"/>
                <w:szCs w:val="21"/>
              </w:rPr>
            </w:pPr>
            <w:r w:rsidRPr="00A71D2E">
              <w:rPr>
                <w:rFonts w:eastAsia="宋体" w:cs="Times New Roman" w:hint="eastAsia"/>
                <w:szCs w:val="21"/>
              </w:rPr>
              <w:t>土地使用权</w:t>
            </w:r>
          </w:p>
        </w:tc>
        <w:tc>
          <w:tcPr>
            <w:tcW w:w="1736" w:type="dxa"/>
            <w:vAlign w:val="center"/>
          </w:tcPr>
          <w:p w:rsidR="00792082" w:rsidRPr="00A71D2E" w:rsidRDefault="00792082">
            <w:pPr>
              <w:jc w:val="center"/>
              <w:rPr>
                <w:rFonts w:eastAsia="宋体" w:cs="Times New Roman"/>
                <w:szCs w:val="21"/>
              </w:rPr>
            </w:pPr>
            <w:r w:rsidRPr="00A71D2E">
              <w:rPr>
                <w:rFonts w:eastAsia="宋体" w:cs="Times New Roman" w:hint="eastAsia"/>
                <w:szCs w:val="21"/>
              </w:rPr>
              <w:t>直线法</w:t>
            </w:r>
          </w:p>
        </w:tc>
        <w:tc>
          <w:tcPr>
            <w:tcW w:w="1559" w:type="dxa"/>
            <w:vAlign w:val="center"/>
          </w:tcPr>
          <w:p w:rsidR="00792082" w:rsidRPr="00A71D2E" w:rsidRDefault="00792082" w:rsidP="00FE2C30">
            <w:pPr>
              <w:jc w:val="right"/>
              <w:rPr>
                <w:rFonts w:eastAsia="宋体" w:cs="Times New Roman"/>
                <w:szCs w:val="21"/>
              </w:rPr>
            </w:pPr>
            <w:r>
              <w:rPr>
                <w:rFonts w:eastAsia="宋体" w:cs="Times New Roman" w:hint="eastAsia"/>
                <w:szCs w:val="21"/>
              </w:rPr>
              <w:t>5</w:t>
            </w:r>
            <w:r>
              <w:rPr>
                <w:rFonts w:eastAsia="宋体" w:cs="Times New Roman"/>
                <w:szCs w:val="21"/>
              </w:rPr>
              <w:t>0</w:t>
            </w:r>
            <w:r>
              <w:rPr>
                <w:rFonts w:eastAsia="宋体" w:cs="Times New Roman" w:hint="eastAsia"/>
                <w:szCs w:val="21"/>
              </w:rPr>
              <w:t>年</w:t>
            </w:r>
          </w:p>
        </w:tc>
        <w:tc>
          <w:tcPr>
            <w:tcW w:w="2126" w:type="dxa"/>
            <w:shd w:val="clear" w:color="auto" w:fill="auto"/>
            <w:vAlign w:val="center"/>
          </w:tcPr>
          <w:p w:rsidR="00792082" w:rsidRPr="00A71D2E" w:rsidRDefault="00792082">
            <w:pPr>
              <w:jc w:val="center"/>
              <w:rPr>
                <w:rFonts w:eastAsia="宋体" w:cs="Times New Roman"/>
                <w:szCs w:val="21"/>
              </w:rPr>
            </w:pPr>
            <w:r>
              <w:rPr>
                <w:rFonts w:eastAsia="宋体" w:cs="Times New Roman" w:hint="eastAsia"/>
                <w:szCs w:val="21"/>
              </w:rPr>
              <w:t>产权使用期限</w:t>
            </w:r>
          </w:p>
        </w:tc>
        <w:tc>
          <w:tcPr>
            <w:tcW w:w="1665" w:type="dxa"/>
            <w:shd w:val="clear" w:color="auto" w:fill="auto"/>
            <w:vAlign w:val="center"/>
          </w:tcPr>
          <w:p w:rsidR="00792082" w:rsidRPr="00A71D2E" w:rsidRDefault="00792082">
            <w:pPr>
              <w:jc w:val="center"/>
              <w:rPr>
                <w:rFonts w:eastAsia="宋体" w:cs="Times New Roman"/>
                <w:szCs w:val="21"/>
              </w:rPr>
            </w:pPr>
            <w:r w:rsidRPr="00A71D2E">
              <w:rPr>
                <w:rFonts w:eastAsia="宋体" w:cs="Times New Roman"/>
                <w:szCs w:val="21"/>
              </w:rPr>
              <w:t>-</w:t>
            </w:r>
          </w:p>
        </w:tc>
      </w:tr>
      <w:tr w:rsidR="00792082" w:rsidRPr="00A71D2E" w:rsidTr="0027505B">
        <w:trPr>
          <w:trHeight w:val="20"/>
        </w:trPr>
        <w:tc>
          <w:tcPr>
            <w:tcW w:w="2364" w:type="dxa"/>
            <w:shd w:val="clear" w:color="auto" w:fill="auto"/>
            <w:vAlign w:val="center"/>
          </w:tcPr>
          <w:p w:rsidR="00792082" w:rsidRPr="00A71D2E" w:rsidRDefault="00792082">
            <w:pPr>
              <w:rPr>
                <w:rFonts w:eastAsia="宋体" w:cs="Times New Roman"/>
                <w:szCs w:val="21"/>
              </w:rPr>
            </w:pPr>
            <w:r w:rsidRPr="00A71D2E">
              <w:rPr>
                <w:rFonts w:eastAsia="宋体" w:cs="Times New Roman" w:hint="eastAsia"/>
                <w:szCs w:val="21"/>
              </w:rPr>
              <w:t>应用软件使用权</w:t>
            </w:r>
          </w:p>
        </w:tc>
        <w:tc>
          <w:tcPr>
            <w:tcW w:w="1736" w:type="dxa"/>
            <w:vAlign w:val="center"/>
          </w:tcPr>
          <w:p w:rsidR="00792082" w:rsidRPr="00A71D2E" w:rsidRDefault="00792082">
            <w:pPr>
              <w:jc w:val="center"/>
              <w:rPr>
                <w:rFonts w:eastAsia="宋体" w:cs="Times New Roman"/>
                <w:szCs w:val="21"/>
              </w:rPr>
            </w:pPr>
            <w:r w:rsidRPr="00A71D2E">
              <w:rPr>
                <w:rFonts w:eastAsia="宋体" w:cs="Times New Roman" w:hint="eastAsia"/>
                <w:szCs w:val="21"/>
              </w:rPr>
              <w:t>直线法</w:t>
            </w:r>
          </w:p>
        </w:tc>
        <w:tc>
          <w:tcPr>
            <w:tcW w:w="1559" w:type="dxa"/>
            <w:vAlign w:val="center"/>
          </w:tcPr>
          <w:p w:rsidR="00792082" w:rsidRPr="00A71D2E" w:rsidRDefault="00792082" w:rsidP="00FE2C30">
            <w:pPr>
              <w:jc w:val="right"/>
              <w:rPr>
                <w:rFonts w:eastAsia="宋体" w:cs="Times New Roman"/>
                <w:szCs w:val="21"/>
              </w:rPr>
            </w:pPr>
            <w:r>
              <w:rPr>
                <w:rFonts w:eastAsia="宋体" w:cs="Times New Roman" w:hint="eastAsia"/>
                <w:szCs w:val="21"/>
              </w:rPr>
              <w:t>5</w:t>
            </w:r>
            <w:r>
              <w:rPr>
                <w:rFonts w:eastAsia="宋体" w:cs="Times New Roman" w:hint="eastAsia"/>
                <w:szCs w:val="21"/>
              </w:rPr>
              <w:t>年</w:t>
            </w:r>
          </w:p>
        </w:tc>
        <w:tc>
          <w:tcPr>
            <w:tcW w:w="2126" w:type="dxa"/>
            <w:shd w:val="clear" w:color="auto" w:fill="auto"/>
            <w:vAlign w:val="center"/>
          </w:tcPr>
          <w:p w:rsidR="00792082" w:rsidRPr="00A71D2E" w:rsidRDefault="00792082">
            <w:pPr>
              <w:jc w:val="center"/>
              <w:rPr>
                <w:rFonts w:eastAsia="宋体" w:cs="Times New Roman"/>
                <w:szCs w:val="21"/>
              </w:rPr>
            </w:pPr>
            <w:r>
              <w:rPr>
                <w:rFonts w:eastAsia="宋体" w:cs="Times New Roman" w:hint="eastAsia"/>
                <w:szCs w:val="21"/>
              </w:rPr>
              <w:t>预计经济利益年限</w:t>
            </w:r>
          </w:p>
        </w:tc>
        <w:tc>
          <w:tcPr>
            <w:tcW w:w="1665" w:type="dxa"/>
            <w:shd w:val="clear" w:color="auto" w:fill="auto"/>
            <w:vAlign w:val="center"/>
          </w:tcPr>
          <w:p w:rsidR="00792082" w:rsidRPr="00A71D2E" w:rsidRDefault="00792082">
            <w:pPr>
              <w:jc w:val="center"/>
              <w:rPr>
                <w:rFonts w:eastAsia="宋体" w:cs="Times New Roman"/>
                <w:szCs w:val="21"/>
              </w:rPr>
            </w:pPr>
            <w:r w:rsidRPr="00A71D2E">
              <w:rPr>
                <w:rFonts w:eastAsia="宋体" w:cs="Times New Roman"/>
                <w:szCs w:val="21"/>
              </w:rPr>
              <w:t>-</w:t>
            </w:r>
          </w:p>
        </w:tc>
      </w:tr>
    </w:tbl>
    <w:p w:rsidR="00A572B2" w:rsidRPr="00A71D2E" w:rsidRDefault="00A572B2">
      <w:pPr>
        <w:ind w:left="720"/>
        <w:jc w:val="both"/>
        <w:rPr>
          <w:rFonts w:eastAsia="宋体" w:cs="Times New Roman"/>
          <w:szCs w:val="21"/>
        </w:rPr>
      </w:pPr>
    </w:p>
    <w:p w:rsidR="00F66B7B" w:rsidRPr="003C2170" w:rsidRDefault="00711147" w:rsidP="0027505B">
      <w:pPr>
        <w:ind w:left="720" w:right="8"/>
        <w:jc w:val="both"/>
        <w:rPr>
          <w:rFonts w:eastAsia="宋体" w:cs="Times New Roman"/>
          <w:szCs w:val="21"/>
        </w:rPr>
      </w:pPr>
      <w:r w:rsidRPr="003C2170">
        <w:rPr>
          <w:rFonts w:eastAsia="宋体" w:cs="Times New Roman" w:hint="eastAsia"/>
          <w:szCs w:val="21"/>
        </w:rPr>
        <w:t>年</w:t>
      </w:r>
      <w:r w:rsidR="00F66B7B" w:rsidRPr="003C2170">
        <w:rPr>
          <w:rFonts w:eastAsia="宋体" w:cs="Times New Roman" w:hint="eastAsia"/>
          <w:szCs w:val="21"/>
        </w:rPr>
        <w:t>末，对使用寿命有限的无形资产的使用寿命和摊销方法进行复核，必要时进行调整。</w:t>
      </w:r>
      <w:r w:rsidR="00F66B7B" w:rsidRPr="003C2170">
        <w:rPr>
          <w:rFonts w:eastAsia="宋体" w:cs="Times New Roman"/>
          <w:szCs w:val="21"/>
        </w:rPr>
        <w:t xml:space="preserve"> </w:t>
      </w:r>
    </w:p>
    <w:p w:rsidR="00A572B2" w:rsidRPr="003C2170" w:rsidRDefault="00A572B2" w:rsidP="0027505B">
      <w:pPr>
        <w:ind w:left="720" w:right="8"/>
        <w:jc w:val="both"/>
        <w:rPr>
          <w:rFonts w:eastAsia="宋体" w:cs="Times New Roman"/>
          <w:szCs w:val="21"/>
        </w:rPr>
      </w:pPr>
    </w:p>
    <w:p w:rsidR="00A572B2" w:rsidRPr="003C2170" w:rsidRDefault="00BD14D4" w:rsidP="0027505B">
      <w:pPr>
        <w:ind w:left="720" w:right="8"/>
        <w:jc w:val="both"/>
        <w:rPr>
          <w:rFonts w:eastAsia="宋体" w:cs="Times New Roman"/>
          <w:szCs w:val="21"/>
          <w:u w:val="single"/>
        </w:rPr>
      </w:pPr>
      <w:r w:rsidRPr="003C2170">
        <w:rPr>
          <w:rFonts w:eastAsia="宋体" w:cs="Times New Roman"/>
          <w:szCs w:val="21"/>
          <w:u w:val="single"/>
        </w:rPr>
        <w:t>20</w:t>
      </w:r>
      <w:r w:rsidR="00476F08" w:rsidRPr="003C2170">
        <w:rPr>
          <w:rFonts w:eastAsia="宋体" w:cs="Times New Roman"/>
          <w:szCs w:val="21"/>
          <w:u w:val="single"/>
        </w:rPr>
        <w:t>.2</w:t>
      </w:r>
      <w:r w:rsidR="00A572B2" w:rsidRPr="003C2170">
        <w:rPr>
          <w:rFonts w:eastAsia="宋体" w:cs="Times New Roman"/>
          <w:szCs w:val="21"/>
          <w:u w:val="single"/>
        </w:rPr>
        <w:tab/>
      </w:r>
      <w:r w:rsidR="002C4695" w:rsidRPr="003C2170">
        <w:rPr>
          <w:rFonts w:eastAsia="宋体" w:cs="Times New Roman" w:hint="eastAsia"/>
          <w:szCs w:val="21"/>
          <w:u w:val="single"/>
        </w:rPr>
        <w:t>研发支出的归集范围及相关会计处理方法</w:t>
      </w:r>
    </w:p>
    <w:p w:rsidR="00A572B2" w:rsidRPr="003C2170" w:rsidRDefault="00A572B2" w:rsidP="0027505B">
      <w:pPr>
        <w:ind w:left="720" w:right="8"/>
        <w:jc w:val="both"/>
        <w:rPr>
          <w:rFonts w:eastAsia="宋体" w:cs="Times New Roman"/>
          <w:i/>
          <w:szCs w:val="21"/>
        </w:rPr>
      </w:pPr>
    </w:p>
    <w:p w:rsidR="00A572B2" w:rsidRPr="003C2170" w:rsidRDefault="00A572B2" w:rsidP="0027505B">
      <w:pPr>
        <w:ind w:left="720" w:right="8"/>
        <w:jc w:val="both"/>
        <w:rPr>
          <w:rFonts w:eastAsia="宋体" w:cs="Times New Roman"/>
          <w:szCs w:val="21"/>
        </w:rPr>
      </w:pPr>
      <w:r w:rsidRPr="003C2170">
        <w:rPr>
          <w:rFonts w:eastAsia="宋体" w:cs="Times New Roman" w:hint="eastAsia"/>
          <w:szCs w:val="21"/>
        </w:rPr>
        <w:t>研究阶段的支出，于发生时计入当期损益。</w:t>
      </w:r>
    </w:p>
    <w:p w:rsidR="00A572B2" w:rsidRPr="003C2170" w:rsidRDefault="00A572B2" w:rsidP="0027505B">
      <w:pPr>
        <w:ind w:left="720" w:right="8"/>
        <w:jc w:val="both"/>
        <w:rPr>
          <w:rFonts w:eastAsia="宋体" w:cs="Times New Roman"/>
          <w:szCs w:val="21"/>
        </w:rPr>
      </w:pPr>
    </w:p>
    <w:p w:rsidR="00A572B2" w:rsidRPr="003C2170" w:rsidRDefault="00A572B2" w:rsidP="0027505B">
      <w:pPr>
        <w:ind w:left="720" w:right="8"/>
        <w:jc w:val="both"/>
        <w:rPr>
          <w:rFonts w:eastAsia="宋体" w:cs="Times New Roman"/>
          <w:szCs w:val="21"/>
        </w:rPr>
      </w:pPr>
      <w:r w:rsidRPr="003C2170">
        <w:rPr>
          <w:rFonts w:eastAsia="宋体" w:cs="Times New Roman" w:hint="eastAsia"/>
          <w:szCs w:val="21"/>
        </w:rPr>
        <w:t>开发阶段的支出同时满足下列条件的，确认为无形资产，不能满足下述条件的开发阶段的支出计入当期损益</w:t>
      </w:r>
      <w:r w:rsidR="005F14EE" w:rsidRPr="003C2170">
        <w:rPr>
          <w:rFonts w:eastAsia="宋体" w:cs="Times New Roman" w:hint="eastAsia"/>
          <w:szCs w:val="21"/>
        </w:rPr>
        <w:t>：</w:t>
      </w:r>
    </w:p>
    <w:p w:rsidR="001C390D" w:rsidRPr="003C2170" w:rsidRDefault="001C390D" w:rsidP="0027505B">
      <w:pPr>
        <w:ind w:left="720" w:right="8"/>
        <w:jc w:val="both"/>
        <w:rPr>
          <w:rFonts w:eastAsia="宋体" w:cs="Times New Roman"/>
          <w:szCs w:val="21"/>
        </w:rPr>
      </w:pPr>
    </w:p>
    <w:p w:rsidR="001C390D" w:rsidRPr="003C2170" w:rsidRDefault="005F14EE" w:rsidP="0027505B">
      <w:pPr>
        <w:ind w:left="1440" w:right="8" w:hanging="720"/>
        <w:jc w:val="both"/>
        <w:rPr>
          <w:rFonts w:eastAsia="宋体" w:cs="Times New Roman"/>
          <w:kern w:val="2"/>
          <w:szCs w:val="21"/>
        </w:rPr>
      </w:pPr>
      <w:r w:rsidRPr="003C2170">
        <w:rPr>
          <w:rFonts w:eastAsia="宋体" w:cs="Times New Roman"/>
          <w:kern w:val="2"/>
          <w:szCs w:val="21"/>
        </w:rPr>
        <w:t>(</w:t>
      </w:r>
      <w:r w:rsidR="001C390D" w:rsidRPr="003C2170">
        <w:rPr>
          <w:rFonts w:eastAsia="宋体" w:cs="Times New Roman"/>
          <w:kern w:val="2"/>
          <w:szCs w:val="21"/>
        </w:rPr>
        <w:t>1</w:t>
      </w:r>
      <w:r w:rsidRPr="003C2170">
        <w:rPr>
          <w:rFonts w:eastAsia="宋体" w:cs="Times New Roman"/>
          <w:kern w:val="2"/>
          <w:szCs w:val="21"/>
        </w:rPr>
        <w:t>)</w:t>
      </w:r>
      <w:r w:rsidR="001C390D" w:rsidRPr="003C2170">
        <w:rPr>
          <w:rFonts w:eastAsia="宋体" w:cs="Times New Roman"/>
          <w:kern w:val="2"/>
          <w:szCs w:val="21"/>
        </w:rPr>
        <w:tab/>
      </w:r>
      <w:r w:rsidR="001C390D" w:rsidRPr="003C2170">
        <w:rPr>
          <w:rFonts w:eastAsia="宋体" w:cs="Times New Roman" w:hint="eastAsia"/>
          <w:kern w:val="2"/>
          <w:szCs w:val="21"/>
        </w:rPr>
        <w:t>完成该无形资产以使其能够使用或出售在技术上具有可行性</w:t>
      </w:r>
      <w:r w:rsidRPr="003C2170">
        <w:rPr>
          <w:rFonts w:eastAsia="宋体" w:cs="Times New Roman" w:hint="eastAsia"/>
          <w:kern w:val="2"/>
          <w:szCs w:val="21"/>
        </w:rPr>
        <w:t>；</w:t>
      </w:r>
    </w:p>
    <w:p w:rsidR="001C390D" w:rsidRPr="003C2170" w:rsidRDefault="005F14EE" w:rsidP="0027505B">
      <w:pPr>
        <w:ind w:left="1440" w:right="8" w:hanging="720"/>
        <w:jc w:val="both"/>
        <w:rPr>
          <w:rFonts w:eastAsia="宋体" w:cs="Times New Roman"/>
          <w:kern w:val="2"/>
          <w:szCs w:val="21"/>
        </w:rPr>
      </w:pPr>
      <w:r w:rsidRPr="003C2170">
        <w:rPr>
          <w:rFonts w:eastAsia="宋体" w:cs="Times New Roman"/>
          <w:kern w:val="2"/>
          <w:szCs w:val="21"/>
        </w:rPr>
        <w:t>(</w:t>
      </w:r>
      <w:r w:rsidR="001C390D" w:rsidRPr="003C2170">
        <w:rPr>
          <w:rFonts w:eastAsia="宋体" w:cs="Times New Roman"/>
          <w:kern w:val="2"/>
          <w:szCs w:val="21"/>
        </w:rPr>
        <w:t>2</w:t>
      </w:r>
      <w:r w:rsidRPr="003C2170">
        <w:rPr>
          <w:rFonts w:eastAsia="宋体" w:cs="Times New Roman"/>
          <w:kern w:val="2"/>
          <w:szCs w:val="21"/>
        </w:rPr>
        <w:t>)</w:t>
      </w:r>
      <w:r w:rsidR="001C390D" w:rsidRPr="003C2170">
        <w:rPr>
          <w:rFonts w:eastAsia="宋体" w:cs="Times New Roman"/>
          <w:kern w:val="2"/>
          <w:szCs w:val="21"/>
        </w:rPr>
        <w:tab/>
      </w:r>
      <w:r w:rsidR="001C390D" w:rsidRPr="003C2170">
        <w:rPr>
          <w:rFonts w:eastAsia="宋体" w:cs="Times New Roman" w:hint="eastAsia"/>
          <w:kern w:val="2"/>
          <w:szCs w:val="21"/>
        </w:rPr>
        <w:t>具有完成该无形资产并使用或出售的意图</w:t>
      </w:r>
      <w:r w:rsidRPr="003C2170">
        <w:rPr>
          <w:rFonts w:eastAsia="宋体" w:cs="Times New Roman" w:hint="eastAsia"/>
          <w:kern w:val="2"/>
          <w:szCs w:val="21"/>
        </w:rPr>
        <w:t>；</w:t>
      </w:r>
    </w:p>
    <w:p w:rsidR="00A572B2" w:rsidRPr="003C2170" w:rsidRDefault="005F14EE" w:rsidP="0027505B">
      <w:pPr>
        <w:ind w:left="1440" w:right="8" w:hanging="720"/>
        <w:jc w:val="both"/>
        <w:rPr>
          <w:rFonts w:eastAsia="宋体" w:cs="Times New Roman"/>
          <w:kern w:val="2"/>
          <w:szCs w:val="21"/>
        </w:rPr>
      </w:pPr>
      <w:r w:rsidRPr="003C2170">
        <w:rPr>
          <w:rFonts w:eastAsia="宋体" w:cs="Times New Roman"/>
          <w:kern w:val="2"/>
          <w:szCs w:val="21"/>
        </w:rPr>
        <w:t>(</w:t>
      </w:r>
      <w:r w:rsidR="00A572B2" w:rsidRPr="003C2170">
        <w:rPr>
          <w:rFonts w:eastAsia="宋体" w:cs="Times New Roman"/>
          <w:kern w:val="2"/>
          <w:szCs w:val="21"/>
        </w:rPr>
        <w:t>3</w:t>
      </w:r>
      <w:r w:rsidRPr="003C2170">
        <w:rPr>
          <w:rFonts w:eastAsia="宋体" w:cs="Times New Roman"/>
          <w:kern w:val="2"/>
          <w:szCs w:val="21"/>
        </w:rPr>
        <w:t>)</w:t>
      </w:r>
      <w:r w:rsidR="00A572B2" w:rsidRPr="003C2170">
        <w:rPr>
          <w:rFonts w:eastAsia="宋体" w:cs="Times New Roman"/>
          <w:kern w:val="2"/>
          <w:szCs w:val="21"/>
        </w:rPr>
        <w:tab/>
      </w:r>
      <w:r w:rsidR="00A572B2" w:rsidRPr="003C2170">
        <w:rPr>
          <w:rFonts w:eastAsia="宋体" w:cs="Times New Roman" w:hint="eastAsia"/>
          <w:kern w:val="2"/>
          <w:szCs w:val="21"/>
        </w:rPr>
        <w:t>无形资产产生经济利益的方式，包括能够证明运用该无形资产生产的产品存在市场或无形资产自身存在市场，无形资产将在内部使用的，能够证明其有用性</w:t>
      </w:r>
      <w:r w:rsidRPr="003C2170">
        <w:rPr>
          <w:rFonts w:eastAsia="宋体" w:cs="Times New Roman" w:hint="eastAsia"/>
          <w:kern w:val="2"/>
          <w:szCs w:val="21"/>
        </w:rPr>
        <w:t>；</w:t>
      </w:r>
    </w:p>
    <w:p w:rsidR="00A572B2" w:rsidRPr="003C2170" w:rsidRDefault="005F14EE" w:rsidP="0027505B">
      <w:pPr>
        <w:ind w:left="1440" w:right="8" w:hanging="720"/>
        <w:jc w:val="both"/>
        <w:rPr>
          <w:rFonts w:eastAsia="宋体" w:cs="Times New Roman"/>
          <w:kern w:val="2"/>
          <w:szCs w:val="21"/>
        </w:rPr>
      </w:pPr>
      <w:r w:rsidRPr="003C2170">
        <w:rPr>
          <w:rFonts w:eastAsia="宋体" w:cs="Times New Roman"/>
          <w:kern w:val="2"/>
          <w:szCs w:val="21"/>
        </w:rPr>
        <w:t>(</w:t>
      </w:r>
      <w:r w:rsidR="00A572B2" w:rsidRPr="003C2170">
        <w:rPr>
          <w:rFonts w:eastAsia="宋体" w:cs="Times New Roman"/>
          <w:kern w:val="2"/>
          <w:szCs w:val="21"/>
        </w:rPr>
        <w:t>4</w:t>
      </w:r>
      <w:r w:rsidRPr="003C2170">
        <w:rPr>
          <w:rFonts w:eastAsia="宋体" w:cs="Times New Roman"/>
          <w:kern w:val="2"/>
          <w:szCs w:val="21"/>
        </w:rPr>
        <w:t>)</w:t>
      </w:r>
      <w:r w:rsidR="00A572B2" w:rsidRPr="003C2170">
        <w:rPr>
          <w:rFonts w:eastAsia="宋体" w:cs="Times New Roman"/>
          <w:kern w:val="2"/>
          <w:szCs w:val="21"/>
        </w:rPr>
        <w:tab/>
      </w:r>
      <w:r w:rsidR="00A572B2" w:rsidRPr="003C2170">
        <w:rPr>
          <w:rFonts w:eastAsia="宋体" w:cs="Times New Roman" w:hint="eastAsia"/>
          <w:kern w:val="2"/>
          <w:szCs w:val="21"/>
        </w:rPr>
        <w:t>有足够的技术、财务资源和其他资源支持，以完成该无形资产的开发，并有能力使用或出售该无形资产</w:t>
      </w:r>
      <w:r w:rsidRPr="003C2170">
        <w:rPr>
          <w:rFonts w:eastAsia="宋体" w:cs="Times New Roman" w:hint="eastAsia"/>
          <w:kern w:val="2"/>
          <w:szCs w:val="21"/>
        </w:rPr>
        <w:t>；</w:t>
      </w:r>
    </w:p>
    <w:p w:rsidR="00D7350F" w:rsidRPr="003C2170" w:rsidRDefault="005F14EE" w:rsidP="0027505B">
      <w:pPr>
        <w:ind w:left="1440" w:right="8" w:hanging="720"/>
        <w:jc w:val="both"/>
        <w:rPr>
          <w:rFonts w:eastAsia="宋体" w:cs="Times New Roman"/>
          <w:kern w:val="2"/>
          <w:szCs w:val="21"/>
        </w:rPr>
      </w:pPr>
      <w:r w:rsidRPr="003C2170">
        <w:rPr>
          <w:rFonts w:eastAsia="宋体" w:cs="Times New Roman"/>
          <w:kern w:val="2"/>
          <w:szCs w:val="21"/>
        </w:rPr>
        <w:t>(</w:t>
      </w:r>
      <w:r w:rsidR="00A572B2" w:rsidRPr="003C2170">
        <w:rPr>
          <w:rFonts w:eastAsia="宋体" w:cs="Times New Roman"/>
          <w:kern w:val="2"/>
          <w:szCs w:val="21"/>
        </w:rPr>
        <w:t>5</w:t>
      </w:r>
      <w:r w:rsidRPr="003C2170">
        <w:rPr>
          <w:rFonts w:eastAsia="宋体" w:cs="Times New Roman"/>
          <w:kern w:val="2"/>
          <w:szCs w:val="21"/>
        </w:rPr>
        <w:t>)</w:t>
      </w:r>
      <w:r w:rsidR="00A572B2" w:rsidRPr="003C2170">
        <w:rPr>
          <w:rFonts w:eastAsia="宋体" w:cs="Times New Roman"/>
          <w:kern w:val="2"/>
          <w:szCs w:val="21"/>
        </w:rPr>
        <w:tab/>
      </w:r>
      <w:r w:rsidR="00A572B2" w:rsidRPr="003C2170">
        <w:rPr>
          <w:rFonts w:eastAsia="宋体" w:cs="Times New Roman" w:hint="eastAsia"/>
          <w:kern w:val="2"/>
          <w:szCs w:val="21"/>
        </w:rPr>
        <w:t>归属于该无形资产开发阶段的支出能够可靠地计量。</w:t>
      </w:r>
    </w:p>
    <w:p w:rsidR="00D7350F" w:rsidRPr="003C2170" w:rsidRDefault="00D7350F" w:rsidP="0027505B">
      <w:pPr>
        <w:ind w:left="720" w:right="8"/>
        <w:jc w:val="both"/>
        <w:rPr>
          <w:rFonts w:eastAsia="宋体" w:cs="Times New Roman"/>
          <w:kern w:val="2"/>
          <w:szCs w:val="21"/>
        </w:rPr>
      </w:pPr>
    </w:p>
    <w:p w:rsidR="00D7350F" w:rsidRPr="003C2170" w:rsidRDefault="00A572B2" w:rsidP="0027505B">
      <w:pPr>
        <w:ind w:left="720" w:right="8"/>
        <w:jc w:val="both"/>
        <w:rPr>
          <w:rFonts w:eastAsia="宋体" w:cs="Times New Roman"/>
          <w:kern w:val="2"/>
          <w:szCs w:val="21"/>
        </w:rPr>
      </w:pPr>
      <w:r w:rsidRPr="003C2170">
        <w:rPr>
          <w:rFonts w:eastAsia="宋体" w:cs="Times New Roman" w:hint="eastAsia"/>
          <w:kern w:val="2"/>
          <w:szCs w:val="21"/>
        </w:rPr>
        <w:t>无法区分研究阶段支出和开发阶段支出的，将发生的研发支出全部计入当期损益。内部开发活动形成的无形资产的成本仅包括满足资本化条件的时点至无形资产达到预定用途前发生的支出总额，对于同一项无形资产在开发过程中达到资本化条件之前已经费用化计入损益的支出不再进行调整。</w:t>
      </w:r>
    </w:p>
    <w:p w:rsidR="00F078C9" w:rsidRPr="003C2170" w:rsidRDefault="00F078C9" w:rsidP="0027505B">
      <w:pPr>
        <w:ind w:left="720" w:right="8"/>
        <w:jc w:val="both"/>
        <w:rPr>
          <w:rFonts w:eastAsia="宋体" w:cs="Times New Roman"/>
          <w:kern w:val="2"/>
          <w:szCs w:val="21"/>
        </w:rPr>
      </w:pPr>
    </w:p>
    <w:p w:rsidR="00B70CB6" w:rsidRPr="003C2170" w:rsidRDefault="00F078C9" w:rsidP="0027505B">
      <w:pPr>
        <w:ind w:left="720" w:right="8"/>
        <w:jc w:val="both"/>
        <w:rPr>
          <w:rFonts w:eastAsia="宋体" w:cs="Times New Roman"/>
          <w:kern w:val="2"/>
          <w:szCs w:val="21"/>
        </w:rPr>
      </w:pPr>
      <w:r w:rsidRPr="003C2170">
        <w:rPr>
          <w:rFonts w:eastAsia="宋体" w:cs="Times New Roman" w:hint="eastAsia"/>
          <w:kern w:val="2"/>
          <w:szCs w:val="21"/>
        </w:rPr>
        <w:t>本集团研发支出的归集范围包括直接从事研发活动人员的职工薪酬、研发活动直接消耗的材料及服务费、研发活动设备的折旧费和无形资产摊销费、研发场地租赁费、研发活动的中间试验费</w:t>
      </w:r>
      <w:r w:rsidR="00584DF3" w:rsidRPr="003C2170">
        <w:rPr>
          <w:rFonts w:eastAsia="宋体" w:cs="Times New Roman" w:hint="eastAsia"/>
          <w:kern w:val="2"/>
          <w:szCs w:val="21"/>
        </w:rPr>
        <w:t>及</w:t>
      </w:r>
      <w:r w:rsidRPr="003C2170">
        <w:rPr>
          <w:rFonts w:eastAsia="宋体" w:cs="Times New Roman" w:hint="eastAsia"/>
          <w:kern w:val="2"/>
          <w:szCs w:val="21"/>
        </w:rPr>
        <w:t>新产品设计费及研究与试验开发所需的</w:t>
      </w:r>
      <w:r w:rsidR="00584DF3" w:rsidRPr="003C2170">
        <w:rPr>
          <w:rFonts w:eastAsia="宋体" w:cs="Times New Roman" w:hint="eastAsia"/>
          <w:kern w:val="2"/>
          <w:szCs w:val="21"/>
        </w:rPr>
        <w:t>办公费及</w:t>
      </w:r>
      <w:r w:rsidRPr="003C2170">
        <w:rPr>
          <w:rFonts w:eastAsia="宋体" w:cs="Times New Roman" w:hint="eastAsia"/>
          <w:kern w:val="2"/>
          <w:szCs w:val="21"/>
        </w:rPr>
        <w:t>差旅费等。本集团以通过可行性研究，并经过评审完成研发项目立项作为研发项目划分研究阶段和开发阶段的具体标准。</w:t>
      </w:r>
    </w:p>
    <w:p w:rsidR="00CB7866" w:rsidRPr="003C2170" w:rsidRDefault="00CB7866" w:rsidP="0027505B">
      <w:pPr>
        <w:ind w:left="720" w:right="8"/>
        <w:jc w:val="both"/>
        <w:rPr>
          <w:rFonts w:eastAsia="宋体" w:cs="Times New Roman"/>
          <w:kern w:val="2"/>
          <w:szCs w:val="21"/>
        </w:rPr>
      </w:pPr>
    </w:p>
    <w:p w:rsidR="00A572B2" w:rsidRPr="003C2170" w:rsidRDefault="00476F08" w:rsidP="0027505B">
      <w:pPr>
        <w:pStyle w:val="2"/>
        <w:numPr>
          <w:ilvl w:val="0"/>
          <w:numId w:val="39"/>
        </w:numPr>
        <w:adjustRightInd w:val="0"/>
        <w:snapToGrid w:val="0"/>
        <w:ind w:left="1440" w:right="8" w:hanging="709"/>
        <w:contextualSpacing w:val="0"/>
        <w:jc w:val="both"/>
        <w:rPr>
          <w:rFonts w:ascii="Times New Roman" w:eastAsia="宋体" w:hAnsi="Times New Roman" w:cs="Times New Roman"/>
          <w:snapToGrid w:val="0"/>
          <w:szCs w:val="21"/>
        </w:rPr>
      </w:pPr>
      <w:r w:rsidRPr="003C2170">
        <w:rPr>
          <w:rFonts w:ascii="Times New Roman" w:eastAsia="宋体" w:hAnsi="Times New Roman" w:cs="Times New Roman" w:hint="eastAsia"/>
          <w:snapToGrid w:val="0"/>
          <w:szCs w:val="21"/>
        </w:rPr>
        <w:t>长期资产减值</w:t>
      </w:r>
    </w:p>
    <w:p w:rsidR="00A572B2" w:rsidRPr="003C2170" w:rsidRDefault="00A572B2" w:rsidP="0027505B">
      <w:pPr>
        <w:ind w:left="720" w:right="8"/>
        <w:jc w:val="both"/>
        <w:rPr>
          <w:rFonts w:eastAsia="宋体" w:cs="Times New Roman"/>
          <w:kern w:val="2"/>
          <w:szCs w:val="21"/>
        </w:rPr>
      </w:pPr>
    </w:p>
    <w:p w:rsidR="00A54A07" w:rsidRPr="003C2170" w:rsidRDefault="00D0707C" w:rsidP="0027505B">
      <w:pPr>
        <w:ind w:left="720" w:right="8"/>
        <w:jc w:val="both"/>
        <w:rPr>
          <w:rFonts w:eastAsia="宋体" w:cs="Times New Roman"/>
          <w:kern w:val="2"/>
          <w:szCs w:val="21"/>
        </w:rPr>
      </w:pPr>
      <w:r w:rsidRPr="003C2170">
        <w:rPr>
          <w:rFonts w:eastAsia="宋体" w:cs="Times New Roman" w:hint="eastAsia"/>
          <w:kern w:val="2"/>
          <w:szCs w:val="21"/>
        </w:rPr>
        <w:t>本集团在每一个资产负债表</w:t>
      </w:r>
      <w:proofErr w:type="gramStart"/>
      <w:r w:rsidRPr="003C2170">
        <w:rPr>
          <w:rFonts w:eastAsia="宋体" w:cs="Times New Roman" w:hint="eastAsia"/>
          <w:kern w:val="2"/>
          <w:szCs w:val="21"/>
        </w:rPr>
        <w:t>日检查</w:t>
      </w:r>
      <w:proofErr w:type="gramEnd"/>
      <w:r w:rsidRPr="003C2170">
        <w:rPr>
          <w:rFonts w:eastAsia="宋体" w:cs="Times New Roman" w:hint="eastAsia"/>
          <w:kern w:val="2"/>
          <w:szCs w:val="21"/>
        </w:rPr>
        <w:t>固定资产、在建工程、使用寿命确定的无形资产</w:t>
      </w:r>
      <w:r w:rsidR="00A86BC9" w:rsidRPr="003C2170">
        <w:rPr>
          <w:rFonts w:eastAsia="宋体" w:cs="Times New Roman" w:hint="eastAsia"/>
          <w:kern w:val="2"/>
          <w:szCs w:val="21"/>
        </w:rPr>
        <w:t>、使用权资产</w:t>
      </w:r>
      <w:r w:rsidRPr="003C2170">
        <w:rPr>
          <w:rFonts w:eastAsia="宋体" w:cs="Times New Roman" w:hint="eastAsia"/>
          <w:kern w:val="2"/>
          <w:szCs w:val="21"/>
        </w:rPr>
        <w:t>是否存在可能发生减值的迹象。如果该等资产存在减值迹象，则估计其可收回金额。尚未达到可使用状态的无形资产，无论是否存在减值迹象，每年均进行减值测试。</w:t>
      </w:r>
    </w:p>
    <w:p w:rsidR="00A54A07" w:rsidRPr="003C2170" w:rsidRDefault="00A54A07" w:rsidP="0027505B">
      <w:pPr>
        <w:ind w:left="720" w:right="8"/>
        <w:jc w:val="both"/>
        <w:rPr>
          <w:rFonts w:eastAsia="宋体" w:cs="Times New Roman"/>
          <w:b/>
          <w:szCs w:val="21"/>
        </w:rPr>
      </w:pPr>
    </w:p>
    <w:p w:rsidR="00D0707C" w:rsidRPr="003C2170" w:rsidRDefault="00D0707C" w:rsidP="0027505B">
      <w:pPr>
        <w:ind w:left="720" w:right="8"/>
        <w:jc w:val="both"/>
        <w:rPr>
          <w:rFonts w:eastAsia="宋体" w:cs="Times New Roman"/>
          <w:kern w:val="2"/>
          <w:szCs w:val="21"/>
        </w:rPr>
      </w:pPr>
      <w:r w:rsidRPr="003C2170">
        <w:rPr>
          <w:rFonts w:eastAsia="宋体" w:cs="Times New Roman" w:hint="eastAsia"/>
          <w:kern w:val="2"/>
          <w:szCs w:val="21"/>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rsidR="00BD14D4" w:rsidRPr="003C2170" w:rsidRDefault="00BD14D4" w:rsidP="0027505B">
      <w:pPr>
        <w:ind w:right="8"/>
        <w:jc w:val="both"/>
        <w:rPr>
          <w:rFonts w:eastAsia="宋体" w:cs="Times New Roman"/>
          <w:kern w:val="2"/>
          <w:szCs w:val="21"/>
        </w:rPr>
      </w:pPr>
      <w:r w:rsidRPr="003C2170">
        <w:rPr>
          <w:rFonts w:eastAsia="宋体" w:cs="Times New Roman"/>
          <w:kern w:val="2"/>
          <w:szCs w:val="21"/>
        </w:rPr>
        <w:br w:type="page"/>
      </w:r>
    </w:p>
    <w:p w:rsidR="00BD14D4" w:rsidRPr="003C2170" w:rsidRDefault="005F14EE" w:rsidP="0027505B">
      <w:pPr>
        <w:ind w:right="8"/>
        <w:jc w:val="both"/>
        <w:rPr>
          <w:rFonts w:eastAsia="宋体" w:cs="Times New Roman"/>
          <w:szCs w:val="21"/>
        </w:rPr>
      </w:pPr>
      <w:r w:rsidRPr="003C2170">
        <w:rPr>
          <w:rFonts w:eastAsia="宋体" w:cs="Times New Roman"/>
          <w:b/>
          <w:szCs w:val="21"/>
        </w:rPr>
        <w:t>(</w:t>
      </w:r>
      <w:r w:rsidR="00BD14D4" w:rsidRPr="003C2170">
        <w:rPr>
          <w:rFonts w:eastAsia="宋体" w:cs="Times New Roman" w:hint="eastAsia"/>
          <w:b/>
          <w:szCs w:val="21"/>
        </w:rPr>
        <w:t>三</w:t>
      </w:r>
      <w:r w:rsidRPr="003C2170">
        <w:rPr>
          <w:rFonts w:eastAsia="宋体" w:cs="Times New Roman"/>
          <w:b/>
          <w:szCs w:val="21"/>
        </w:rPr>
        <w:t>)</w:t>
      </w:r>
      <w:r w:rsidR="00BD14D4" w:rsidRPr="003C2170">
        <w:rPr>
          <w:rFonts w:eastAsia="宋体" w:cs="Times New Roman"/>
          <w:b/>
          <w:szCs w:val="21"/>
        </w:rPr>
        <w:tab/>
      </w:r>
      <w:r w:rsidR="00BD14D4" w:rsidRPr="003C2170">
        <w:rPr>
          <w:rFonts w:eastAsia="宋体" w:cs="Times New Roman" w:hint="eastAsia"/>
          <w:b/>
          <w:szCs w:val="21"/>
        </w:rPr>
        <w:t>重要会计政策和会计估计</w:t>
      </w:r>
      <w:r w:rsidR="00BD14D4" w:rsidRPr="003C2170">
        <w:rPr>
          <w:rFonts w:eastAsia="宋体" w:cs="Times New Roman"/>
          <w:szCs w:val="21"/>
        </w:rPr>
        <w:t xml:space="preserve"> - </w:t>
      </w:r>
      <w:r w:rsidR="00BD14D4" w:rsidRPr="003C2170">
        <w:rPr>
          <w:rFonts w:eastAsia="宋体" w:cs="Times New Roman" w:hint="eastAsia"/>
          <w:szCs w:val="21"/>
        </w:rPr>
        <w:t>续</w:t>
      </w:r>
    </w:p>
    <w:p w:rsidR="00BD14D4" w:rsidRPr="003C2170" w:rsidRDefault="00BD14D4" w:rsidP="0027505B">
      <w:pPr>
        <w:ind w:left="720" w:right="8"/>
        <w:jc w:val="both"/>
        <w:rPr>
          <w:rFonts w:eastAsia="宋体" w:cs="Times New Roman"/>
          <w:snapToGrid w:val="0"/>
          <w:szCs w:val="21"/>
        </w:rPr>
      </w:pPr>
    </w:p>
    <w:p w:rsidR="00BD14D4" w:rsidRPr="003C2170" w:rsidRDefault="00BD14D4" w:rsidP="0027505B">
      <w:pPr>
        <w:ind w:left="720" w:right="8"/>
        <w:jc w:val="both"/>
        <w:rPr>
          <w:rFonts w:eastAsia="宋体" w:cs="Times New Roman"/>
          <w:b/>
          <w:szCs w:val="21"/>
        </w:rPr>
      </w:pPr>
      <w:r w:rsidRPr="003C2170">
        <w:rPr>
          <w:rFonts w:eastAsia="宋体" w:cs="Times New Roman"/>
          <w:b/>
          <w:szCs w:val="21"/>
        </w:rPr>
        <w:t>21.</w:t>
      </w:r>
      <w:r w:rsidRPr="003C2170">
        <w:rPr>
          <w:rFonts w:eastAsia="宋体" w:cs="Times New Roman"/>
          <w:b/>
          <w:szCs w:val="21"/>
        </w:rPr>
        <w:tab/>
      </w:r>
      <w:r w:rsidRPr="003C2170">
        <w:rPr>
          <w:rFonts w:eastAsia="宋体" w:cs="Times New Roman" w:hint="eastAsia"/>
          <w:b/>
          <w:szCs w:val="21"/>
        </w:rPr>
        <w:t>长期资产减值</w:t>
      </w:r>
      <w:r w:rsidRPr="003C2170">
        <w:rPr>
          <w:rFonts w:eastAsia="宋体" w:cs="Times New Roman"/>
          <w:szCs w:val="21"/>
        </w:rPr>
        <w:t xml:space="preserve"> - </w:t>
      </w:r>
      <w:r w:rsidRPr="003C2170">
        <w:rPr>
          <w:rFonts w:eastAsia="宋体" w:cs="Times New Roman" w:hint="eastAsia"/>
          <w:szCs w:val="21"/>
        </w:rPr>
        <w:t>续</w:t>
      </w:r>
    </w:p>
    <w:p w:rsidR="00D0707C" w:rsidRPr="003C2170" w:rsidRDefault="00D0707C" w:rsidP="0027505B">
      <w:pPr>
        <w:ind w:left="720" w:right="8"/>
        <w:jc w:val="both"/>
        <w:rPr>
          <w:rFonts w:eastAsia="宋体" w:cs="Times New Roman"/>
          <w:kern w:val="2"/>
          <w:szCs w:val="21"/>
        </w:rPr>
      </w:pPr>
    </w:p>
    <w:p w:rsidR="00D0707C" w:rsidRPr="003C2170" w:rsidRDefault="00D0707C" w:rsidP="0027505B">
      <w:pPr>
        <w:ind w:left="720" w:right="8"/>
        <w:jc w:val="both"/>
        <w:rPr>
          <w:rFonts w:eastAsia="宋体" w:cs="Times New Roman"/>
          <w:kern w:val="2"/>
          <w:szCs w:val="21"/>
        </w:rPr>
      </w:pPr>
      <w:r w:rsidRPr="003C2170">
        <w:rPr>
          <w:rFonts w:eastAsia="宋体" w:cs="Times New Roman" w:hint="eastAsia"/>
          <w:kern w:val="2"/>
          <w:szCs w:val="21"/>
        </w:rPr>
        <w:t>如果资产的可收回金额低于其账面价值，按其差额计提资产减值准备，并计入当期损益。</w:t>
      </w:r>
    </w:p>
    <w:p w:rsidR="00DA086E" w:rsidRPr="003C2170" w:rsidRDefault="00DA086E" w:rsidP="0027505B">
      <w:pPr>
        <w:ind w:left="720" w:right="8"/>
        <w:jc w:val="both"/>
        <w:rPr>
          <w:rFonts w:eastAsia="宋体" w:cs="Times New Roman"/>
          <w:kern w:val="2"/>
          <w:szCs w:val="21"/>
        </w:rPr>
      </w:pPr>
    </w:p>
    <w:p w:rsidR="00BB7D4C" w:rsidRPr="003C2170" w:rsidRDefault="001C390D" w:rsidP="0027505B">
      <w:pPr>
        <w:ind w:left="720" w:right="8"/>
        <w:jc w:val="both"/>
        <w:rPr>
          <w:rFonts w:eastAsia="宋体" w:cs="Times New Roman"/>
          <w:kern w:val="2"/>
          <w:szCs w:val="21"/>
        </w:rPr>
      </w:pPr>
      <w:r w:rsidRPr="003C2170">
        <w:rPr>
          <w:rFonts w:eastAsia="宋体" w:cs="Times New Roman" w:hint="eastAsia"/>
          <w:kern w:val="2"/>
          <w:szCs w:val="21"/>
        </w:rPr>
        <w:t>上述资产减值损失一经确认，在以后会计期间不予转回。</w:t>
      </w:r>
    </w:p>
    <w:p w:rsidR="00913A76" w:rsidRPr="003C2170" w:rsidRDefault="00913A76" w:rsidP="0027505B">
      <w:pPr>
        <w:ind w:left="720" w:right="8"/>
        <w:jc w:val="both"/>
        <w:rPr>
          <w:rFonts w:eastAsia="宋体" w:cs="Times New Roman"/>
          <w:kern w:val="2"/>
          <w:szCs w:val="21"/>
        </w:rPr>
      </w:pPr>
    </w:p>
    <w:p w:rsidR="00B2709D" w:rsidRPr="003C2170" w:rsidRDefault="00B2709D"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kern w:val="2"/>
          <w:szCs w:val="21"/>
        </w:rPr>
      </w:pPr>
      <w:r w:rsidRPr="003C2170">
        <w:rPr>
          <w:rFonts w:ascii="Times New Roman" w:eastAsia="宋体" w:hAnsi="Times New Roman" w:cs="Times New Roman" w:hint="eastAsia"/>
          <w:kern w:val="2"/>
          <w:szCs w:val="21"/>
        </w:rPr>
        <w:t>长期待摊费用</w:t>
      </w:r>
    </w:p>
    <w:p w:rsidR="00B2709D" w:rsidRPr="003C2170" w:rsidRDefault="00B2709D" w:rsidP="0027505B">
      <w:pPr>
        <w:ind w:left="720" w:right="8"/>
        <w:jc w:val="both"/>
        <w:rPr>
          <w:rFonts w:eastAsia="宋体" w:cs="Times New Roman"/>
          <w:kern w:val="2"/>
          <w:szCs w:val="21"/>
        </w:rPr>
      </w:pPr>
    </w:p>
    <w:p w:rsidR="00B2709D" w:rsidRPr="003C2170" w:rsidRDefault="00B2709D" w:rsidP="0027505B">
      <w:pPr>
        <w:ind w:left="720" w:right="8"/>
        <w:jc w:val="both"/>
        <w:rPr>
          <w:rFonts w:eastAsia="宋体" w:cs="Times New Roman"/>
          <w:kern w:val="2"/>
          <w:szCs w:val="21"/>
        </w:rPr>
      </w:pPr>
      <w:r w:rsidRPr="003C2170">
        <w:rPr>
          <w:rFonts w:eastAsia="宋体" w:cs="Times New Roman" w:hint="eastAsia"/>
          <w:kern w:val="2"/>
          <w:szCs w:val="21"/>
        </w:rPr>
        <w:t>长期待摊费用为已经发生但应由本期和以后各期负担的分摊期限在一年以上的各项费用。长期待摊费用在预计受益期间</w:t>
      </w:r>
      <w:r w:rsidRPr="003C2170">
        <w:rPr>
          <w:rFonts w:eastAsia="宋体" w:cs="Times New Roman"/>
          <w:kern w:val="2"/>
          <w:szCs w:val="21"/>
        </w:rPr>
        <w:t>3-5</w:t>
      </w:r>
      <w:r w:rsidRPr="003C2170">
        <w:rPr>
          <w:rFonts w:eastAsia="宋体" w:cs="Times New Roman" w:hint="eastAsia"/>
          <w:kern w:val="2"/>
          <w:szCs w:val="21"/>
        </w:rPr>
        <w:t>年中分期平均摊销。</w:t>
      </w:r>
    </w:p>
    <w:p w:rsidR="00B2709D" w:rsidRPr="003C2170" w:rsidRDefault="00B2709D" w:rsidP="0027505B">
      <w:pPr>
        <w:ind w:left="720" w:right="8"/>
        <w:jc w:val="both"/>
        <w:rPr>
          <w:rFonts w:eastAsia="宋体" w:cs="Times New Roman"/>
          <w:kern w:val="2"/>
          <w:szCs w:val="21"/>
        </w:rPr>
      </w:pPr>
    </w:p>
    <w:p w:rsidR="006E6DA2" w:rsidRPr="003C2170" w:rsidRDefault="006E6DA2"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合同负债</w:t>
      </w:r>
    </w:p>
    <w:p w:rsidR="006E6DA2" w:rsidRPr="003C2170" w:rsidRDefault="006E6DA2" w:rsidP="0027505B">
      <w:pPr>
        <w:ind w:left="720" w:right="8"/>
        <w:jc w:val="both"/>
        <w:rPr>
          <w:rFonts w:eastAsia="宋体" w:cs="Times New Roman"/>
          <w:szCs w:val="21"/>
        </w:rPr>
      </w:pPr>
    </w:p>
    <w:p w:rsidR="006E6DA2" w:rsidRPr="003C2170" w:rsidRDefault="006E6DA2" w:rsidP="0027505B">
      <w:pPr>
        <w:ind w:left="720" w:right="8"/>
        <w:jc w:val="both"/>
        <w:rPr>
          <w:rFonts w:eastAsia="宋体" w:cs="Times New Roman"/>
          <w:szCs w:val="21"/>
        </w:rPr>
      </w:pPr>
      <w:r w:rsidRPr="003C2170">
        <w:rPr>
          <w:rFonts w:eastAsia="宋体" w:cs="Times New Roman" w:hint="eastAsia"/>
          <w:szCs w:val="21"/>
        </w:rPr>
        <w:t>合同负债是指本集团已收或应收客户对价而应向客户转让商品或服务的义务。同一合同下的合同资产和合同负债以净额列示。</w:t>
      </w:r>
    </w:p>
    <w:p w:rsidR="00ED3E81" w:rsidRPr="003C2170" w:rsidRDefault="00ED3E81" w:rsidP="0027505B">
      <w:pPr>
        <w:ind w:left="720" w:right="8"/>
        <w:jc w:val="both"/>
        <w:rPr>
          <w:rFonts w:eastAsia="宋体" w:cs="Times New Roman"/>
          <w:kern w:val="2"/>
          <w:szCs w:val="21"/>
        </w:rPr>
      </w:pPr>
    </w:p>
    <w:p w:rsidR="00ED3E81" w:rsidRPr="003C2170" w:rsidRDefault="00ED3E81"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napToGrid w:val="0"/>
          <w:szCs w:val="21"/>
        </w:rPr>
      </w:pPr>
      <w:r w:rsidRPr="003C2170">
        <w:rPr>
          <w:rFonts w:ascii="Times New Roman" w:eastAsia="宋体" w:hAnsi="Times New Roman" w:cs="Times New Roman" w:hint="eastAsia"/>
          <w:snapToGrid w:val="0"/>
          <w:szCs w:val="21"/>
        </w:rPr>
        <w:t>职工薪</w:t>
      </w:r>
      <w:proofErr w:type="gramStart"/>
      <w:r w:rsidRPr="003C2170">
        <w:rPr>
          <w:rFonts w:ascii="Times New Roman" w:eastAsia="宋体" w:hAnsi="Times New Roman" w:cs="Times New Roman" w:hint="eastAsia"/>
          <w:snapToGrid w:val="0"/>
          <w:szCs w:val="21"/>
        </w:rPr>
        <w:t>酬</w:t>
      </w:r>
      <w:proofErr w:type="gramEnd"/>
    </w:p>
    <w:p w:rsidR="00ED3E81" w:rsidRPr="003C2170" w:rsidRDefault="00ED3E81" w:rsidP="0027505B">
      <w:pPr>
        <w:ind w:left="720" w:right="8"/>
        <w:jc w:val="both"/>
        <w:rPr>
          <w:rFonts w:eastAsia="宋体" w:cs="Times New Roman"/>
          <w:kern w:val="2"/>
          <w:szCs w:val="21"/>
        </w:rPr>
      </w:pPr>
    </w:p>
    <w:p w:rsidR="00175C30" w:rsidRPr="003C2170" w:rsidRDefault="003E5DF8" w:rsidP="0027505B">
      <w:pPr>
        <w:ind w:left="720" w:right="8"/>
        <w:jc w:val="both"/>
        <w:rPr>
          <w:rFonts w:eastAsia="宋体" w:cs="Times New Roman"/>
          <w:szCs w:val="21"/>
          <w:u w:val="single"/>
        </w:rPr>
      </w:pPr>
      <w:r w:rsidRPr="003C2170">
        <w:rPr>
          <w:rFonts w:eastAsia="宋体" w:cs="Times New Roman"/>
          <w:szCs w:val="21"/>
          <w:u w:val="single"/>
        </w:rPr>
        <w:t>2</w:t>
      </w:r>
      <w:r w:rsidR="00BD14D4" w:rsidRPr="003C2170">
        <w:rPr>
          <w:rFonts w:eastAsia="宋体" w:cs="Times New Roman"/>
          <w:szCs w:val="21"/>
          <w:u w:val="single"/>
        </w:rPr>
        <w:t>4</w:t>
      </w:r>
      <w:r w:rsidR="00175C30" w:rsidRPr="003C2170">
        <w:rPr>
          <w:rFonts w:eastAsia="宋体" w:cs="Times New Roman"/>
          <w:szCs w:val="21"/>
          <w:u w:val="single"/>
        </w:rPr>
        <w:t>.1</w:t>
      </w:r>
      <w:r w:rsidR="00175C30" w:rsidRPr="003C2170">
        <w:rPr>
          <w:rFonts w:eastAsia="宋体" w:cs="Times New Roman"/>
          <w:szCs w:val="21"/>
          <w:u w:val="single"/>
        </w:rPr>
        <w:tab/>
      </w:r>
      <w:r w:rsidR="00175C30" w:rsidRPr="003C2170">
        <w:rPr>
          <w:rFonts w:eastAsia="宋体" w:cs="Times New Roman" w:hint="eastAsia"/>
          <w:szCs w:val="21"/>
          <w:u w:val="single"/>
        </w:rPr>
        <w:t>短期薪酬的会计处理方法</w:t>
      </w:r>
    </w:p>
    <w:p w:rsidR="00175C30" w:rsidRPr="003C2170" w:rsidRDefault="00175C30" w:rsidP="0027505B">
      <w:pPr>
        <w:ind w:left="720" w:right="8"/>
        <w:jc w:val="both"/>
        <w:rPr>
          <w:rFonts w:eastAsia="宋体" w:cs="Times New Roman"/>
          <w:kern w:val="2"/>
          <w:szCs w:val="21"/>
        </w:rPr>
      </w:pPr>
    </w:p>
    <w:p w:rsidR="00ED3E81" w:rsidRPr="003C2170" w:rsidRDefault="00ED3E81" w:rsidP="0027505B">
      <w:pPr>
        <w:ind w:left="720" w:right="8"/>
        <w:jc w:val="both"/>
        <w:rPr>
          <w:rFonts w:eastAsia="宋体" w:cs="Times New Roman"/>
          <w:kern w:val="2"/>
          <w:szCs w:val="21"/>
        </w:rPr>
      </w:pPr>
      <w:r w:rsidRPr="003C2170">
        <w:rPr>
          <w:rFonts w:eastAsia="宋体" w:cs="Times New Roman" w:hint="eastAsia"/>
          <w:kern w:val="2"/>
          <w:szCs w:val="21"/>
        </w:rPr>
        <w:t>本集团在职工为其提供服务的会计期间，将实际发生的短期薪酬确认为负债，并计入当期损益或相关资产成本。本集团发生的职工福利费，在实际发生时根据实际发生额计入当期损益或相关资产成本。职工福利费为非货币性福利的，按照公允价值计量。</w:t>
      </w:r>
    </w:p>
    <w:p w:rsidR="00ED3E81" w:rsidRPr="003C2170" w:rsidRDefault="00ED3E81" w:rsidP="0027505B">
      <w:pPr>
        <w:ind w:left="720" w:right="8"/>
        <w:jc w:val="both"/>
        <w:rPr>
          <w:rFonts w:eastAsia="宋体" w:cs="Times New Roman"/>
          <w:kern w:val="2"/>
          <w:szCs w:val="21"/>
        </w:rPr>
      </w:pPr>
    </w:p>
    <w:p w:rsidR="00ED3E81" w:rsidRPr="003C2170" w:rsidRDefault="00ED3E81" w:rsidP="0027505B">
      <w:pPr>
        <w:ind w:left="720" w:right="8"/>
        <w:jc w:val="both"/>
        <w:rPr>
          <w:rFonts w:eastAsia="宋体" w:cs="Times New Roman"/>
          <w:kern w:val="2"/>
          <w:szCs w:val="21"/>
        </w:rPr>
      </w:pPr>
      <w:r w:rsidRPr="003C2170">
        <w:rPr>
          <w:rFonts w:eastAsia="宋体" w:cs="Times New Roman" w:hint="eastAsia"/>
          <w:kern w:val="2"/>
          <w:szCs w:val="21"/>
        </w:rPr>
        <w:t>本集团为职工缴纳的医疗保险费、工伤保险费、生育保险费等社会保险费和住房公积金，以及本集团按规定提取的工会经费和职工教育经费，在职工为本集团提供服务的会计期间，根据规定的计提基础和计提比例计算确定相应的职工薪酬金额，确认相应负债，并计入当期损益或相关资产成本。</w:t>
      </w:r>
    </w:p>
    <w:p w:rsidR="006E2170" w:rsidRPr="003C2170" w:rsidRDefault="006E2170" w:rsidP="0027505B">
      <w:pPr>
        <w:ind w:left="720" w:right="8"/>
        <w:jc w:val="both"/>
        <w:rPr>
          <w:rFonts w:eastAsia="宋体" w:cs="Times New Roman"/>
          <w:kern w:val="2"/>
          <w:szCs w:val="21"/>
        </w:rPr>
      </w:pPr>
    </w:p>
    <w:p w:rsidR="00175C30" w:rsidRPr="003C2170" w:rsidRDefault="003E5DF8" w:rsidP="0027505B">
      <w:pPr>
        <w:ind w:left="720" w:right="8"/>
        <w:jc w:val="both"/>
        <w:rPr>
          <w:rFonts w:eastAsia="宋体" w:cs="Times New Roman"/>
          <w:szCs w:val="21"/>
          <w:u w:val="single"/>
        </w:rPr>
      </w:pPr>
      <w:r w:rsidRPr="003C2170">
        <w:rPr>
          <w:rFonts w:eastAsia="宋体" w:cs="Times New Roman"/>
          <w:szCs w:val="21"/>
          <w:u w:val="single"/>
        </w:rPr>
        <w:t>2</w:t>
      </w:r>
      <w:r w:rsidR="00BD14D4" w:rsidRPr="003C2170">
        <w:rPr>
          <w:rFonts w:eastAsia="宋体" w:cs="Times New Roman"/>
          <w:szCs w:val="21"/>
          <w:u w:val="single"/>
        </w:rPr>
        <w:t>4</w:t>
      </w:r>
      <w:r w:rsidR="00175C30" w:rsidRPr="003C2170">
        <w:rPr>
          <w:rFonts w:eastAsia="宋体" w:cs="Times New Roman"/>
          <w:szCs w:val="21"/>
          <w:u w:val="single"/>
        </w:rPr>
        <w:t>.2</w:t>
      </w:r>
      <w:r w:rsidR="00175C30" w:rsidRPr="003C2170">
        <w:rPr>
          <w:rFonts w:eastAsia="宋体" w:cs="Times New Roman"/>
          <w:szCs w:val="21"/>
          <w:u w:val="single"/>
        </w:rPr>
        <w:tab/>
      </w:r>
      <w:r w:rsidR="00175C30" w:rsidRPr="003C2170">
        <w:rPr>
          <w:rFonts w:eastAsia="宋体" w:cs="Times New Roman" w:hint="eastAsia"/>
          <w:szCs w:val="21"/>
          <w:u w:val="single"/>
        </w:rPr>
        <w:t>离职后福利的会计处理方法</w:t>
      </w:r>
    </w:p>
    <w:p w:rsidR="00175C30" w:rsidRPr="003C2170" w:rsidRDefault="00175C30" w:rsidP="0027505B">
      <w:pPr>
        <w:ind w:left="720" w:right="8"/>
        <w:jc w:val="both"/>
        <w:rPr>
          <w:rFonts w:eastAsia="宋体" w:cs="Times New Roman"/>
          <w:szCs w:val="21"/>
        </w:rPr>
      </w:pPr>
    </w:p>
    <w:p w:rsidR="00175C30" w:rsidRPr="003C2170" w:rsidRDefault="00175C30" w:rsidP="0027505B">
      <w:pPr>
        <w:ind w:left="720" w:right="8"/>
        <w:jc w:val="both"/>
        <w:rPr>
          <w:rFonts w:eastAsia="宋体" w:cs="Times New Roman"/>
          <w:szCs w:val="21"/>
        </w:rPr>
      </w:pPr>
      <w:r w:rsidRPr="003C2170">
        <w:rPr>
          <w:rFonts w:eastAsia="宋体" w:cs="Times New Roman" w:hint="eastAsia"/>
          <w:szCs w:val="21"/>
        </w:rPr>
        <w:t>离职后福利全部为设定提存计划。</w:t>
      </w:r>
    </w:p>
    <w:p w:rsidR="00175C30" w:rsidRPr="003C2170" w:rsidRDefault="00175C30" w:rsidP="0027505B">
      <w:pPr>
        <w:ind w:left="720" w:right="8"/>
        <w:jc w:val="both"/>
        <w:rPr>
          <w:rFonts w:eastAsia="宋体" w:cs="Times New Roman"/>
          <w:kern w:val="2"/>
          <w:szCs w:val="21"/>
        </w:rPr>
      </w:pPr>
    </w:p>
    <w:p w:rsidR="00A54A07" w:rsidRPr="003C2170" w:rsidRDefault="00ED3E81" w:rsidP="0027505B">
      <w:pPr>
        <w:ind w:left="720" w:right="8"/>
        <w:jc w:val="both"/>
        <w:rPr>
          <w:rFonts w:eastAsia="宋体" w:cs="Times New Roman"/>
          <w:kern w:val="2"/>
          <w:szCs w:val="21"/>
        </w:rPr>
      </w:pPr>
      <w:r w:rsidRPr="003C2170">
        <w:rPr>
          <w:rFonts w:eastAsia="宋体" w:cs="Times New Roman" w:hint="eastAsia"/>
          <w:kern w:val="2"/>
          <w:szCs w:val="21"/>
        </w:rPr>
        <w:t>本集团在职工为其提供服务的会计期间，将根据设定提存计划计算的应缴存金额确认为负债，并计入当期损益或相关资产成本。</w:t>
      </w:r>
    </w:p>
    <w:p w:rsidR="005C0C97" w:rsidRPr="003C2170" w:rsidRDefault="005C0C97" w:rsidP="0027505B">
      <w:pPr>
        <w:ind w:left="720" w:right="8"/>
        <w:jc w:val="both"/>
        <w:rPr>
          <w:rFonts w:eastAsia="宋体" w:cs="Times New Roman"/>
          <w:kern w:val="2"/>
          <w:szCs w:val="21"/>
        </w:rPr>
      </w:pPr>
    </w:p>
    <w:p w:rsidR="00B14D1A" w:rsidRPr="003C2170" w:rsidRDefault="00221C28" w:rsidP="0027505B">
      <w:pPr>
        <w:ind w:left="720" w:right="8"/>
        <w:jc w:val="both"/>
        <w:rPr>
          <w:rFonts w:eastAsia="宋体" w:cs="Times New Roman"/>
          <w:szCs w:val="21"/>
          <w:u w:val="single"/>
        </w:rPr>
      </w:pPr>
      <w:r w:rsidRPr="003C2170">
        <w:rPr>
          <w:rFonts w:eastAsia="宋体" w:cs="Times New Roman"/>
          <w:szCs w:val="21"/>
          <w:u w:val="single"/>
        </w:rPr>
        <w:t>2</w:t>
      </w:r>
      <w:r w:rsidR="00BD14D4" w:rsidRPr="003C2170">
        <w:rPr>
          <w:rFonts w:eastAsia="宋体" w:cs="Times New Roman"/>
          <w:szCs w:val="21"/>
          <w:u w:val="single"/>
        </w:rPr>
        <w:t>4</w:t>
      </w:r>
      <w:r w:rsidR="00B14D1A" w:rsidRPr="003C2170">
        <w:rPr>
          <w:rFonts w:eastAsia="宋体" w:cs="Times New Roman"/>
          <w:szCs w:val="21"/>
          <w:u w:val="single"/>
        </w:rPr>
        <w:t>.3</w:t>
      </w:r>
      <w:r w:rsidR="00B14D1A" w:rsidRPr="003C2170">
        <w:rPr>
          <w:rFonts w:eastAsia="宋体" w:cs="Times New Roman"/>
          <w:szCs w:val="21"/>
          <w:u w:val="single"/>
        </w:rPr>
        <w:tab/>
      </w:r>
      <w:r w:rsidR="00B14D1A" w:rsidRPr="003C2170">
        <w:rPr>
          <w:rFonts w:eastAsia="宋体" w:cs="Times New Roman" w:hint="eastAsia"/>
          <w:szCs w:val="21"/>
          <w:u w:val="single"/>
        </w:rPr>
        <w:t>辞退福利的会计处理方法</w:t>
      </w:r>
    </w:p>
    <w:p w:rsidR="00B14D1A" w:rsidRPr="003C2170" w:rsidRDefault="00B14D1A" w:rsidP="0027505B">
      <w:pPr>
        <w:ind w:left="720" w:right="8"/>
        <w:jc w:val="both"/>
        <w:rPr>
          <w:rFonts w:eastAsia="宋体" w:cs="Times New Roman"/>
          <w:kern w:val="2"/>
          <w:szCs w:val="21"/>
        </w:rPr>
      </w:pPr>
    </w:p>
    <w:p w:rsidR="00B14D1A" w:rsidRPr="003C2170" w:rsidRDefault="00B14D1A" w:rsidP="0027505B">
      <w:pPr>
        <w:ind w:left="720" w:right="8"/>
        <w:jc w:val="both"/>
        <w:rPr>
          <w:rFonts w:eastAsia="宋体" w:cs="Times New Roman"/>
          <w:kern w:val="2"/>
          <w:szCs w:val="21"/>
        </w:rPr>
      </w:pPr>
      <w:r w:rsidRPr="003C2170">
        <w:rPr>
          <w:rFonts w:eastAsia="宋体" w:cs="Times New Roman" w:hint="eastAsia"/>
          <w:kern w:val="2"/>
          <w:szCs w:val="21"/>
        </w:rPr>
        <w:t>本集团向职工提供辞退福利的，在下列两者</w:t>
      </w:r>
      <w:proofErr w:type="gramStart"/>
      <w:r w:rsidRPr="003C2170">
        <w:rPr>
          <w:rFonts w:eastAsia="宋体" w:cs="Times New Roman" w:hint="eastAsia"/>
          <w:kern w:val="2"/>
          <w:szCs w:val="21"/>
        </w:rPr>
        <w:t>孰</w:t>
      </w:r>
      <w:proofErr w:type="gramEnd"/>
      <w:r w:rsidRPr="003C2170">
        <w:rPr>
          <w:rFonts w:eastAsia="宋体" w:cs="Times New Roman" w:hint="eastAsia"/>
          <w:kern w:val="2"/>
          <w:szCs w:val="21"/>
        </w:rPr>
        <w:t>早日确认辞退福利产生的职工薪</w:t>
      </w:r>
      <w:proofErr w:type="gramStart"/>
      <w:r w:rsidRPr="003C2170">
        <w:rPr>
          <w:rFonts w:eastAsia="宋体" w:cs="Times New Roman" w:hint="eastAsia"/>
          <w:kern w:val="2"/>
          <w:szCs w:val="21"/>
        </w:rPr>
        <w:t>酬</w:t>
      </w:r>
      <w:proofErr w:type="gramEnd"/>
      <w:r w:rsidRPr="003C2170">
        <w:rPr>
          <w:rFonts w:eastAsia="宋体" w:cs="Times New Roman" w:hint="eastAsia"/>
          <w:kern w:val="2"/>
          <w:szCs w:val="21"/>
        </w:rPr>
        <w:t>负债，并计入当期损益</w:t>
      </w:r>
      <w:r w:rsidR="005F14EE" w:rsidRPr="003C2170">
        <w:rPr>
          <w:rFonts w:eastAsia="宋体" w:cs="Times New Roman" w:hint="eastAsia"/>
          <w:kern w:val="2"/>
          <w:szCs w:val="21"/>
        </w:rPr>
        <w:t>：</w:t>
      </w:r>
      <w:r w:rsidRPr="003C2170">
        <w:rPr>
          <w:rFonts w:eastAsia="宋体" w:cs="Times New Roman" w:hint="eastAsia"/>
          <w:kern w:val="2"/>
          <w:szCs w:val="21"/>
        </w:rPr>
        <w:t>本集团不能单方面撤回因解除劳动关系计划或裁减建议所提供的辞退福利时</w:t>
      </w:r>
      <w:r w:rsidR="005F14EE" w:rsidRPr="003C2170">
        <w:rPr>
          <w:rFonts w:eastAsia="宋体" w:cs="Times New Roman" w:hint="eastAsia"/>
          <w:kern w:val="2"/>
          <w:szCs w:val="21"/>
        </w:rPr>
        <w:t>；</w:t>
      </w:r>
      <w:r w:rsidRPr="003C2170">
        <w:rPr>
          <w:rFonts w:eastAsia="宋体" w:cs="Times New Roman" w:hint="eastAsia"/>
          <w:kern w:val="2"/>
          <w:szCs w:val="21"/>
        </w:rPr>
        <w:t>本集团确认与涉及支付辞退福利的重组相关的成本或费用时。</w:t>
      </w:r>
    </w:p>
    <w:p w:rsidR="006E6DA2" w:rsidRPr="003C2170" w:rsidRDefault="006E6DA2" w:rsidP="0027505B">
      <w:pPr>
        <w:ind w:left="720" w:right="8"/>
        <w:jc w:val="both"/>
        <w:rPr>
          <w:rFonts w:eastAsia="宋体" w:cs="Times New Roman"/>
          <w:kern w:val="2"/>
          <w:szCs w:val="21"/>
        </w:rPr>
      </w:pPr>
    </w:p>
    <w:p w:rsidR="006E6DA2" w:rsidRPr="003C2170" w:rsidRDefault="006E6DA2"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napToGrid w:val="0"/>
          <w:szCs w:val="21"/>
        </w:rPr>
      </w:pPr>
      <w:r w:rsidRPr="003C2170">
        <w:rPr>
          <w:rFonts w:ascii="Times New Roman" w:eastAsia="宋体" w:hAnsi="Times New Roman" w:cs="Times New Roman" w:hint="eastAsia"/>
          <w:snapToGrid w:val="0"/>
          <w:szCs w:val="21"/>
        </w:rPr>
        <w:t>预计负债</w:t>
      </w:r>
    </w:p>
    <w:p w:rsidR="006E6DA2" w:rsidRPr="003C2170" w:rsidRDefault="006E6DA2" w:rsidP="0027505B">
      <w:pPr>
        <w:ind w:left="720" w:right="8"/>
        <w:jc w:val="both"/>
        <w:rPr>
          <w:rFonts w:eastAsia="宋体" w:cs="Times New Roman"/>
          <w:kern w:val="2"/>
          <w:szCs w:val="21"/>
        </w:rPr>
      </w:pPr>
    </w:p>
    <w:p w:rsidR="006E6DA2" w:rsidRPr="003C2170" w:rsidRDefault="006E6DA2" w:rsidP="0027505B">
      <w:pPr>
        <w:ind w:left="720" w:right="8"/>
        <w:jc w:val="both"/>
        <w:rPr>
          <w:rFonts w:eastAsia="宋体" w:cs="Times New Roman"/>
          <w:kern w:val="2"/>
          <w:szCs w:val="21"/>
        </w:rPr>
      </w:pPr>
      <w:r w:rsidRPr="003C2170">
        <w:rPr>
          <w:rFonts w:eastAsia="宋体" w:cs="Times New Roman" w:hint="eastAsia"/>
          <w:kern w:val="2"/>
          <w:szCs w:val="21"/>
        </w:rPr>
        <w:t>当与产品质量保证等或有事项相关的义务是本集团承担的现时义务，且履行该义务很可能导致经济利益流出，以及该义务的金额能够可靠地计量，则确认为预计负债。</w:t>
      </w:r>
    </w:p>
    <w:p w:rsidR="005D7660" w:rsidRPr="003C2170" w:rsidRDefault="005D7660" w:rsidP="0027505B">
      <w:pPr>
        <w:ind w:left="720" w:right="8"/>
        <w:jc w:val="both"/>
        <w:rPr>
          <w:rFonts w:eastAsia="宋体" w:cs="Times New Roman"/>
          <w:kern w:val="2"/>
          <w:szCs w:val="21"/>
        </w:rPr>
      </w:pPr>
    </w:p>
    <w:p w:rsidR="00DA086E" w:rsidRPr="003C2170" w:rsidRDefault="006E6DA2" w:rsidP="0027505B">
      <w:pPr>
        <w:ind w:left="720" w:right="8"/>
        <w:jc w:val="both"/>
        <w:rPr>
          <w:rFonts w:eastAsia="宋体" w:cs="Times New Roman"/>
          <w:kern w:val="2"/>
          <w:szCs w:val="21"/>
        </w:rPr>
      </w:pPr>
      <w:r w:rsidRPr="003C2170">
        <w:rPr>
          <w:rFonts w:eastAsia="宋体" w:cs="Times New Roman" w:hint="eastAsia"/>
          <w:kern w:val="2"/>
          <w:szCs w:val="21"/>
        </w:rPr>
        <w:t>在资产负债表日，考虑与或有事项有关的风险、不确定性和货币时间价值等因素，按照履行相关现时义务所需支出的最佳估计数对预计负债进行计量。如果货币时间价值影响重大，则以预计未来现金流出折现后的金额确定最佳估计数。</w:t>
      </w:r>
    </w:p>
    <w:p w:rsidR="00BD14D4" w:rsidRPr="003C2170" w:rsidRDefault="00BD14D4" w:rsidP="0027505B">
      <w:pPr>
        <w:ind w:right="8"/>
        <w:jc w:val="both"/>
        <w:rPr>
          <w:rFonts w:eastAsia="宋体" w:cs="Times New Roman"/>
          <w:kern w:val="2"/>
          <w:szCs w:val="21"/>
        </w:rPr>
      </w:pPr>
      <w:r w:rsidRPr="003C2170">
        <w:rPr>
          <w:rFonts w:eastAsia="宋体" w:cs="Times New Roman"/>
          <w:kern w:val="2"/>
          <w:szCs w:val="21"/>
        </w:rPr>
        <w:br w:type="page"/>
      </w:r>
    </w:p>
    <w:p w:rsidR="00BD14D4" w:rsidRPr="003C2170" w:rsidRDefault="005F14EE" w:rsidP="0027505B">
      <w:pPr>
        <w:ind w:right="8"/>
        <w:jc w:val="both"/>
        <w:rPr>
          <w:rFonts w:eastAsia="宋体" w:cs="Times New Roman"/>
          <w:szCs w:val="21"/>
        </w:rPr>
      </w:pPr>
      <w:r w:rsidRPr="003C2170">
        <w:rPr>
          <w:rFonts w:eastAsia="宋体" w:cs="Times New Roman"/>
          <w:b/>
          <w:szCs w:val="21"/>
        </w:rPr>
        <w:t>(</w:t>
      </w:r>
      <w:r w:rsidR="00BD14D4" w:rsidRPr="003C2170">
        <w:rPr>
          <w:rFonts w:eastAsia="宋体" w:cs="Times New Roman" w:hint="eastAsia"/>
          <w:b/>
          <w:szCs w:val="21"/>
        </w:rPr>
        <w:t>三</w:t>
      </w:r>
      <w:r w:rsidRPr="003C2170">
        <w:rPr>
          <w:rFonts w:eastAsia="宋体" w:cs="Times New Roman"/>
          <w:b/>
          <w:szCs w:val="21"/>
        </w:rPr>
        <w:t>)</w:t>
      </w:r>
      <w:r w:rsidR="00BD14D4" w:rsidRPr="003C2170">
        <w:rPr>
          <w:rFonts w:eastAsia="宋体" w:cs="Times New Roman"/>
          <w:b/>
          <w:szCs w:val="21"/>
        </w:rPr>
        <w:tab/>
      </w:r>
      <w:r w:rsidR="00BD14D4" w:rsidRPr="003C2170">
        <w:rPr>
          <w:rFonts w:eastAsia="宋体" w:cs="Times New Roman" w:hint="eastAsia"/>
          <w:b/>
          <w:szCs w:val="21"/>
        </w:rPr>
        <w:t>重要会计政策和会计估计</w:t>
      </w:r>
      <w:r w:rsidR="00BD14D4" w:rsidRPr="003C2170">
        <w:rPr>
          <w:rFonts w:eastAsia="宋体" w:cs="Times New Roman"/>
          <w:szCs w:val="21"/>
        </w:rPr>
        <w:t xml:space="preserve"> - </w:t>
      </w:r>
      <w:r w:rsidR="00BD14D4" w:rsidRPr="003C2170">
        <w:rPr>
          <w:rFonts w:eastAsia="宋体" w:cs="Times New Roman" w:hint="eastAsia"/>
          <w:szCs w:val="21"/>
        </w:rPr>
        <w:t>续</w:t>
      </w:r>
    </w:p>
    <w:p w:rsidR="00BD14D4" w:rsidRPr="003C2170" w:rsidRDefault="00BD14D4" w:rsidP="0027505B">
      <w:pPr>
        <w:ind w:left="720" w:right="8"/>
        <w:jc w:val="both"/>
        <w:rPr>
          <w:rFonts w:eastAsia="宋体" w:cs="Times New Roman"/>
          <w:snapToGrid w:val="0"/>
          <w:szCs w:val="21"/>
        </w:rPr>
      </w:pPr>
    </w:p>
    <w:p w:rsidR="00BD14D4" w:rsidRPr="003C2170" w:rsidRDefault="00BD14D4" w:rsidP="0027505B">
      <w:pPr>
        <w:ind w:left="720" w:right="8"/>
        <w:jc w:val="both"/>
        <w:rPr>
          <w:rFonts w:eastAsia="宋体" w:cs="Times New Roman"/>
          <w:b/>
          <w:szCs w:val="21"/>
        </w:rPr>
      </w:pPr>
      <w:r w:rsidRPr="003C2170">
        <w:rPr>
          <w:rFonts w:eastAsia="宋体" w:cs="Times New Roman"/>
          <w:b/>
          <w:szCs w:val="21"/>
        </w:rPr>
        <w:t>25.</w:t>
      </w:r>
      <w:r w:rsidRPr="003C2170">
        <w:rPr>
          <w:rFonts w:eastAsia="宋体" w:cs="Times New Roman"/>
          <w:b/>
          <w:szCs w:val="21"/>
        </w:rPr>
        <w:tab/>
      </w:r>
      <w:r w:rsidRPr="003C2170">
        <w:rPr>
          <w:rFonts w:eastAsia="宋体" w:cs="Times New Roman" w:hint="eastAsia"/>
          <w:b/>
          <w:szCs w:val="21"/>
        </w:rPr>
        <w:t>预计负债</w:t>
      </w:r>
      <w:r w:rsidRPr="003C2170">
        <w:rPr>
          <w:rFonts w:eastAsia="宋体" w:cs="Times New Roman"/>
          <w:szCs w:val="21"/>
        </w:rPr>
        <w:t xml:space="preserve"> - </w:t>
      </w:r>
      <w:r w:rsidRPr="003C2170">
        <w:rPr>
          <w:rFonts w:eastAsia="宋体" w:cs="Times New Roman" w:hint="eastAsia"/>
          <w:szCs w:val="21"/>
        </w:rPr>
        <w:t>续</w:t>
      </w:r>
    </w:p>
    <w:p w:rsidR="00A72D9A" w:rsidRPr="003C2170" w:rsidRDefault="00A72D9A" w:rsidP="0027505B">
      <w:pPr>
        <w:ind w:left="720" w:right="8"/>
        <w:jc w:val="both"/>
        <w:rPr>
          <w:rFonts w:eastAsia="宋体" w:cs="Times New Roman"/>
          <w:kern w:val="2"/>
          <w:szCs w:val="21"/>
        </w:rPr>
      </w:pPr>
    </w:p>
    <w:p w:rsidR="009B2F70" w:rsidRPr="003C2170" w:rsidRDefault="009B2F70" w:rsidP="0027505B">
      <w:pPr>
        <w:ind w:left="720" w:right="8"/>
        <w:jc w:val="both"/>
        <w:rPr>
          <w:rFonts w:eastAsia="宋体" w:cs="Times New Roman"/>
          <w:kern w:val="2"/>
          <w:szCs w:val="21"/>
        </w:rPr>
      </w:pPr>
      <w:r w:rsidRPr="003C2170">
        <w:rPr>
          <w:rFonts w:eastAsia="宋体" w:cs="Times New Roman" w:hint="eastAsia"/>
          <w:kern w:val="2"/>
          <w:szCs w:val="21"/>
        </w:rPr>
        <w:t>对于附有销售退回条款的销售，本集团在客户取得</w:t>
      </w:r>
      <w:r w:rsidR="006712E3" w:rsidRPr="003C2170">
        <w:rPr>
          <w:rFonts w:eastAsia="宋体" w:cs="Times New Roman" w:hint="eastAsia"/>
          <w:kern w:val="2"/>
          <w:szCs w:val="21"/>
        </w:rPr>
        <w:t>智能家居产品</w:t>
      </w:r>
      <w:r w:rsidRPr="003C2170">
        <w:rPr>
          <w:rFonts w:eastAsia="宋体" w:cs="Times New Roman" w:hint="eastAsia"/>
          <w:kern w:val="2"/>
          <w:szCs w:val="21"/>
        </w:rPr>
        <w:t>控制权时，按照</w:t>
      </w:r>
      <w:r w:rsidR="006712E3" w:rsidRPr="003C2170">
        <w:rPr>
          <w:rFonts w:eastAsia="宋体" w:cs="Times New Roman" w:hint="eastAsia"/>
          <w:kern w:val="2"/>
          <w:szCs w:val="21"/>
        </w:rPr>
        <w:t>历史退货数据估计</w:t>
      </w:r>
      <w:r w:rsidR="00352E36" w:rsidRPr="003C2170">
        <w:rPr>
          <w:rFonts w:eastAsia="宋体" w:cs="Times New Roman" w:hint="eastAsia"/>
          <w:kern w:val="2"/>
          <w:szCs w:val="21"/>
        </w:rPr>
        <w:t>预期因</w:t>
      </w:r>
      <w:r w:rsidRPr="003C2170">
        <w:rPr>
          <w:rFonts w:eastAsia="宋体" w:cs="Times New Roman" w:hint="eastAsia"/>
          <w:kern w:val="2"/>
          <w:szCs w:val="21"/>
        </w:rPr>
        <w:t>销售退回将退还的金额</w:t>
      </w:r>
      <w:r w:rsidR="00352E36" w:rsidRPr="003C2170">
        <w:rPr>
          <w:rFonts w:eastAsia="宋体" w:cs="Times New Roman" w:hint="eastAsia"/>
          <w:kern w:val="2"/>
          <w:szCs w:val="21"/>
        </w:rPr>
        <w:t>，并</w:t>
      </w:r>
      <w:r w:rsidRPr="003C2170">
        <w:rPr>
          <w:rFonts w:eastAsia="宋体" w:cs="Times New Roman" w:hint="eastAsia"/>
          <w:kern w:val="2"/>
          <w:szCs w:val="21"/>
        </w:rPr>
        <w:t>确认</w:t>
      </w:r>
      <w:r w:rsidR="00352E36" w:rsidRPr="003C2170">
        <w:rPr>
          <w:rFonts w:eastAsia="宋体" w:cs="Times New Roman" w:hint="eastAsia"/>
          <w:kern w:val="2"/>
          <w:szCs w:val="21"/>
        </w:rPr>
        <w:t>为</w:t>
      </w:r>
      <w:r w:rsidRPr="003C2170">
        <w:rPr>
          <w:rFonts w:eastAsia="宋体" w:cs="Times New Roman" w:hint="eastAsia"/>
          <w:kern w:val="2"/>
          <w:szCs w:val="21"/>
        </w:rPr>
        <w:t>负债。</w:t>
      </w:r>
    </w:p>
    <w:p w:rsidR="009B2F70" w:rsidRPr="003C2170" w:rsidRDefault="009B2F70" w:rsidP="0027505B">
      <w:pPr>
        <w:ind w:left="720" w:right="8"/>
        <w:jc w:val="both"/>
        <w:rPr>
          <w:rFonts w:eastAsia="宋体" w:cs="Times New Roman"/>
          <w:kern w:val="2"/>
          <w:szCs w:val="21"/>
        </w:rPr>
      </w:pPr>
    </w:p>
    <w:p w:rsidR="00C06789" w:rsidRPr="003C2170" w:rsidRDefault="00DF1DAF" w:rsidP="0027505B">
      <w:pPr>
        <w:ind w:left="720" w:right="8"/>
        <w:jc w:val="both"/>
        <w:rPr>
          <w:rFonts w:eastAsia="宋体" w:cs="Times New Roman"/>
          <w:kern w:val="2"/>
          <w:szCs w:val="21"/>
        </w:rPr>
      </w:pPr>
      <w:r w:rsidRPr="003C2170">
        <w:rPr>
          <w:rFonts w:eastAsia="宋体" w:cs="Times New Roman" w:hint="eastAsia"/>
          <w:kern w:val="2"/>
          <w:szCs w:val="21"/>
        </w:rPr>
        <w:t>根据合同的约定，本集团向购买智能家居等产品的客户提供质保服务，对质保期内出现的质量问题提供免费保修。</w:t>
      </w:r>
      <w:proofErr w:type="gramStart"/>
      <w:r w:rsidR="006D77A8" w:rsidRPr="003C2170">
        <w:rPr>
          <w:rFonts w:eastAsia="宋体" w:cs="Times New Roman" w:hint="eastAsia"/>
          <w:kern w:val="2"/>
          <w:szCs w:val="21"/>
        </w:rPr>
        <w:t>针对</w:t>
      </w:r>
      <w:r w:rsidRPr="003C2170">
        <w:rPr>
          <w:rFonts w:eastAsia="宋体" w:cs="Times New Roman" w:hint="eastAsia"/>
          <w:kern w:val="2"/>
          <w:szCs w:val="21"/>
        </w:rPr>
        <w:t>该质保</w:t>
      </w:r>
      <w:proofErr w:type="gramEnd"/>
      <w:r w:rsidRPr="003C2170">
        <w:rPr>
          <w:rFonts w:eastAsia="宋体" w:cs="Times New Roman" w:hint="eastAsia"/>
          <w:kern w:val="2"/>
          <w:szCs w:val="21"/>
        </w:rPr>
        <w:t>责任，本集团根据历史维修数据</w:t>
      </w:r>
      <w:r w:rsidR="006D77A8" w:rsidRPr="003C2170">
        <w:rPr>
          <w:rFonts w:eastAsia="宋体" w:cs="Times New Roman" w:hint="eastAsia"/>
          <w:kern w:val="2"/>
          <w:szCs w:val="21"/>
        </w:rPr>
        <w:t>、</w:t>
      </w:r>
      <w:r w:rsidRPr="003C2170">
        <w:rPr>
          <w:rFonts w:eastAsia="宋体" w:cs="Times New Roman" w:hint="eastAsia"/>
          <w:kern w:val="2"/>
          <w:szCs w:val="21"/>
        </w:rPr>
        <w:t>预计的维修费用</w:t>
      </w:r>
      <w:r w:rsidR="00345539" w:rsidRPr="003C2170">
        <w:rPr>
          <w:rFonts w:eastAsia="宋体" w:cs="Times New Roman" w:hint="eastAsia"/>
          <w:kern w:val="2"/>
          <w:szCs w:val="21"/>
        </w:rPr>
        <w:t>以</w:t>
      </w:r>
      <w:r w:rsidR="006D77A8" w:rsidRPr="003C2170">
        <w:rPr>
          <w:rFonts w:eastAsia="宋体" w:cs="Times New Roman" w:hint="eastAsia"/>
          <w:kern w:val="2"/>
          <w:szCs w:val="21"/>
        </w:rPr>
        <w:t>及质保期限</w:t>
      </w:r>
      <w:r w:rsidR="00345539" w:rsidRPr="003C2170">
        <w:rPr>
          <w:rFonts w:eastAsia="宋体" w:cs="Times New Roman" w:hint="eastAsia"/>
          <w:kern w:val="2"/>
          <w:szCs w:val="21"/>
        </w:rPr>
        <w:t>估计</w:t>
      </w:r>
      <w:r w:rsidRPr="003C2170">
        <w:rPr>
          <w:rFonts w:eastAsia="宋体" w:cs="Times New Roman" w:hint="eastAsia"/>
          <w:kern w:val="2"/>
          <w:szCs w:val="21"/>
        </w:rPr>
        <w:t>产品质量保证金</w:t>
      </w:r>
      <w:r w:rsidR="00C06789" w:rsidRPr="003C2170">
        <w:rPr>
          <w:rFonts w:eastAsia="宋体" w:cs="Times New Roman" w:hint="eastAsia"/>
          <w:kern w:val="2"/>
          <w:szCs w:val="21"/>
        </w:rPr>
        <w:t>。</w:t>
      </w:r>
    </w:p>
    <w:p w:rsidR="00C06789" w:rsidRPr="003C2170" w:rsidRDefault="00C06789" w:rsidP="0027505B">
      <w:pPr>
        <w:ind w:left="720" w:right="8"/>
        <w:jc w:val="both"/>
        <w:rPr>
          <w:rFonts w:eastAsia="宋体" w:cs="Times New Roman"/>
          <w:kern w:val="2"/>
          <w:szCs w:val="21"/>
        </w:rPr>
      </w:pPr>
    </w:p>
    <w:p w:rsidR="00702219" w:rsidRPr="003C2170" w:rsidRDefault="00702219"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股份支付</w:t>
      </w:r>
    </w:p>
    <w:p w:rsidR="00702219" w:rsidRPr="003C2170" w:rsidRDefault="00702219" w:rsidP="0027505B">
      <w:pPr>
        <w:ind w:left="720" w:right="8"/>
        <w:jc w:val="both"/>
        <w:rPr>
          <w:rFonts w:eastAsia="宋体" w:cs="Times New Roman"/>
          <w:szCs w:val="21"/>
        </w:rPr>
      </w:pPr>
    </w:p>
    <w:p w:rsidR="00702219" w:rsidRPr="003C2170" w:rsidRDefault="00702219" w:rsidP="0027505B">
      <w:pPr>
        <w:ind w:left="720" w:right="8"/>
        <w:jc w:val="both"/>
        <w:rPr>
          <w:rFonts w:eastAsia="宋体" w:cs="Times New Roman"/>
          <w:szCs w:val="21"/>
        </w:rPr>
      </w:pPr>
      <w:r w:rsidRPr="003C2170">
        <w:rPr>
          <w:rFonts w:eastAsia="宋体" w:cs="Times New Roman" w:hint="eastAsia"/>
          <w:szCs w:val="21"/>
        </w:rPr>
        <w:t>本集团的股份支付是为了获取职工提供服务而授予权益工具或者承担以权益工具为基础确定的负债的交易。本集团的股份支付为以权益结算的股份支付。</w:t>
      </w:r>
    </w:p>
    <w:p w:rsidR="00702219" w:rsidRPr="003C2170" w:rsidRDefault="00702219" w:rsidP="0027505B">
      <w:pPr>
        <w:ind w:left="720" w:right="8"/>
        <w:jc w:val="both"/>
        <w:rPr>
          <w:rFonts w:eastAsia="宋体" w:cs="Times New Roman"/>
          <w:szCs w:val="21"/>
        </w:rPr>
      </w:pPr>
    </w:p>
    <w:p w:rsidR="00702219" w:rsidRPr="003C2170" w:rsidRDefault="00702219" w:rsidP="0027505B">
      <w:pPr>
        <w:ind w:left="720" w:right="8"/>
        <w:jc w:val="both"/>
        <w:rPr>
          <w:rFonts w:eastAsia="宋体" w:cs="Times New Roman"/>
          <w:szCs w:val="21"/>
          <w:u w:val="single"/>
        </w:rPr>
      </w:pPr>
      <w:r w:rsidRPr="003C2170">
        <w:rPr>
          <w:rFonts w:eastAsia="宋体" w:cs="Times New Roman"/>
          <w:szCs w:val="21"/>
          <w:u w:val="single"/>
        </w:rPr>
        <w:t>2</w:t>
      </w:r>
      <w:r w:rsidR="00BD14D4" w:rsidRPr="003C2170">
        <w:rPr>
          <w:rFonts w:eastAsia="宋体" w:cs="Times New Roman"/>
          <w:szCs w:val="21"/>
          <w:u w:val="single"/>
        </w:rPr>
        <w:t>6</w:t>
      </w:r>
      <w:r w:rsidRPr="003C2170">
        <w:rPr>
          <w:rFonts w:eastAsia="宋体" w:cs="Times New Roman"/>
          <w:szCs w:val="21"/>
          <w:u w:val="single"/>
        </w:rPr>
        <w:t>.1</w:t>
      </w:r>
      <w:r w:rsidRPr="003C2170">
        <w:rPr>
          <w:rFonts w:eastAsia="宋体" w:cs="Times New Roman"/>
          <w:szCs w:val="21"/>
          <w:u w:val="single"/>
        </w:rPr>
        <w:tab/>
      </w:r>
      <w:r w:rsidRPr="003C2170">
        <w:rPr>
          <w:rFonts w:eastAsia="宋体" w:cs="Times New Roman" w:hint="eastAsia"/>
          <w:szCs w:val="21"/>
          <w:u w:val="single"/>
        </w:rPr>
        <w:t>以权益结算的股份支付</w:t>
      </w:r>
    </w:p>
    <w:p w:rsidR="00E93297" w:rsidRPr="003C2170" w:rsidRDefault="00E93297" w:rsidP="0027505B">
      <w:pPr>
        <w:ind w:left="720" w:right="8"/>
        <w:jc w:val="both"/>
        <w:rPr>
          <w:rFonts w:eastAsia="宋体" w:cs="Times New Roman"/>
          <w:szCs w:val="21"/>
        </w:rPr>
      </w:pPr>
    </w:p>
    <w:p w:rsidR="00702219" w:rsidRPr="003C2170" w:rsidRDefault="00702219" w:rsidP="0027505B">
      <w:pPr>
        <w:ind w:left="720" w:right="8"/>
        <w:jc w:val="both"/>
        <w:rPr>
          <w:rFonts w:eastAsia="宋体" w:cs="Times New Roman"/>
          <w:szCs w:val="21"/>
        </w:rPr>
      </w:pPr>
      <w:r w:rsidRPr="003C2170">
        <w:rPr>
          <w:rFonts w:eastAsia="宋体" w:cs="Times New Roman" w:hint="eastAsia"/>
          <w:szCs w:val="21"/>
        </w:rPr>
        <w:t>对于用以换取职工提供的服务的权益结算的股份支付，本集团以授予职工权益工具在授予日的公允价值计量。该公允价值的金额在等待期内以对可行</w:t>
      </w:r>
      <w:r w:rsidR="00A74F9E" w:rsidRPr="003C2170">
        <w:rPr>
          <w:rFonts w:eastAsia="宋体" w:cs="Times New Roman" w:hint="eastAsia"/>
          <w:szCs w:val="21"/>
        </w:rPr>
        <w:t>权权益工具数量的最佳估计为基础，按直线法计算计入相关成本或费用</w:t>
      </w:r>
      <w:r w:rsidR="007A044C" w:rsidRPr="003C2170">
        <w:rPr>
          <w:rFonts w:eastAsia="宋体" w:cs="Times New Roman" w:hint="eastAsia"/>
          <w:szCs w:val="21"/>
        </w:rPr>
        <w:t>，相应增加资本公积。</w:t>
      </w:r>
      <w:r w:rsidR="00A74F9E" w:rsidRPr="003C2170">
        <w:rPr>
          <w:rFonts w:eastAsia="宋体" w:cs="Times New Roman"/>
          <w:szCs w:val="21"/>
        </w:rPr>
        <w:t xml:space="preserve"> </w:t>
      </w:r>
    </w:p>
    <w:p w:rsidR="000956DE" w:rsidRPr="003C2170" w:rsidRDefault="000956DE" w:rsidP="0027505B">
      <w:pPr>
        <w:ind w:left="720" w:right="8"/>
        <w:jc w:val="both"/>
        <w:rPr>
          <w:rFonts w:eastAsia="宋体" w:cs="Times New Roman"/>
          <w:szCs w:val="21"/>
        </w:rPr>
      </w:pPr>
    </w:p>
    <w:p w:rsidR="000956DE" w:rsidRPr="003C2170" w:rsidRDefault="000956DE" w:rsidP="0027505B">
      <w:pPr>
        <w:ind w:left="720" w:right="8"/>
        <w:jc w:val="both"/>
        <w:rPr>
          <w:rFonts w:eastAsia="宋体" w:cs="Times New Roman"/>
          <w:szCs w:val="21"/>
        </w:rPr>
      </w:pPr>
      <w:r w:rsidRPr="003C2170">
        <w:rPr>
          <w:rFonts w:eastAsia="宋体" w:cs="Times New Roman" w:hint="eastAsia"/>
          <w:szCs w:val="21"/>
        </w:rPr>
        <w:t>在等待期内每个资产负债表日，本集团根据最新取得的可行</w:t>
      </w:r>
      <w:proofErr w:type="gramStart"/>
      <w:r w:rsidRPr="003C2170">
        <w:rPr>
          <w:rFonts w:eastAsia="宋体" w:cs="Times New Roman" w:hint="eastAsia"/>
          <w:szCs w:val="21"/>
        </w:rPr>
        <w:t>权职工</w:t>
      </w:r>
      <w:proofErr w:type="gramEnd"/>
      <w:r w:rsidRPr="003C2170">
        <w:rPr>
          <w:rFonts w:eastAsia="宋体" w:cs="Times New Roman" w:hint="eastAsia"/>
          <w:szCs w:val="21"/>
        </w:rPr>
        <w:t>人数变动等后续信息做出最佳估计，修正预计可行权的权益工具数量。上述估计的影响计入当期相关成本或费用，并相应调整资本公积。</w:t>
      </w:r>
    </w:p>
    <w:p w:rsidR="00702219" w:rsidRPr="003C2170" w:rsidRDefault="00702219" w:rsidP="0027505B">
      <w:pPr>
        <w:ind w:left="720" w:right="8"/>
        <w:jc w:val="both"/>
        <w:rPr>
          <w:rFonts w:eastAsia="宋体" w:cs="Times New Roman"/>
          <w:szCs w:val="21"/>
        </w:rPr>
      </w:pPr>
    </w:p>
    <w:p w:rsidR="00EC5ADE" w:rsidRPr="003C2170" w:rsidRDefault="00702219" w:rsidP="0027505B">
      <w:pPr>
        <w:ind w:left="720" w:right="8"/>
        <w:jc w:val="both"/>
        <w:rPr>
          <w:rFonts w:eastAsia="宋体" w:cs="Times New Roman"/>
          <w:szCs w:val="21"/>
        </w:rPr>
      </w:pPr>
      <w:r w:rsidRPr="003C2170">
        <w:rPr>
          <w:rFonts w:eastAsia="宋体" w:cs="Times New Roman" w:hint="eastAsia"/>
          <w:szCs w:val="21"/>
        </w:rPr>
        <w:t>本集团的母公司授予本集团员工的股份支付交易，本集团没有结算义务，将该股份支付交易作为权益结算的股份支付处理。</w:t>
      </w:r>
    </w:p>
    <w:p w:rsidR="00266579" w:rsidRPr="003C2170" w:rsidRDefault="00266579" w:rsidP="0027505B">
      <w:pPr>
        <w:ind w:left="720" w:right="8"/>
        <w:jc w:val="both"/>
        <w:rPr>
          <w:rFonts w:eastAsia="宋体" w:cs="Times New Roman"/>
          <w:szCs w:val="21"/>
        </w:rPr>
      </w:pPr>
    </w:p>
    <w:p w:rsidR="00702219" w:rsidRPr="003C2170" w:rsidRDefault="00702219" w:rsidP="0027505B">
      <w:pPr>
        <w:ind w:left="720" w:right="8"/>
        <w:jc w:val="both"/>
        <w:rPr>
          <w:rFonts w:eastAsia="宋体" w:cs="Times New Roman"/>
          <w:szCs w:val="21"/>
          <w:u w:val="single"/>
        </w:rPr>
      </w:pPr>
      <w:r w:rsidRPr="003C2170">
        <w:rPr>
          <w:rFonts w:eastAsia="宋体" w:cs="Times New Roman"/>
          <w:szCs w:val="21"/>
          <w:u w:val="single"/>
        </w:rPr>
        <w:t>2</w:t>
      </w:r>
      <w:r w:rsidR="00BD14D4" w:rsidRPr="003C2170">
        <w:rPr>
          <w:rFonts w:eastAsia="宋体" w:cs="Times New Roman"/>
          <w:szCs w:val="21"/>
          <w:u w:val="single"/>
        </w:rPr>
        <w:t>6</w:t>
      </w:r>
      <w:r w:rsidRPr="003C2170">
        <w:rPr>
          <w:rFonts w:eastAsia="宋体" w:cs="Times New Roman"/>
          <w:szCs w:val="21"/>
          <w:u w:val="single"/>
        </w:rPr>
        <w:t>.2</w:t>
      </w:r>
      <w:r w:rsidRPr="003C2170">
        <w:rPr>
          <w:rFonts w:eastAsia="宋体" w:cs="Times New Roman"/>
          <w:szCs w:val="21"/>
          <w:u w:val="single"/>
        </w:rPr>
        <w:tab/>
      </w:r>
      <w:r w:rsidRPr="003C2170">
        <w:rPr>
          <w:rFonts w:eastAsia="宋体" w:cs="Times New Roman" w:hint="eastAsia"/>
          <w:szCs w:val="21"/>
          <w:u w:val="single"/>
        </w:rPr>
        <w:t>实施、修改、终止股份支付计划的相关会计处理</w:t>
      </w:r>
    </w:p>
    <w:p w:rsidR="00702219" w:rsidRPr="003C2170" w:rsidRDefault="00702219" w:rsidP="0027505B">
      <w:pPr>
        <w:ind w:left="720" w:right="8"/>
        <w:jc w:val="both"/>
        <w:rPr>
          <w:rFonts w:eastAsia="宋体" w:cs="Times New Roman"/>
          <w:szCs w:val="21"/>
        </w:rPr>
      </w:pPr>
    </w:p>
    <w:p w:rsidR="00702219" w:rsidRPr="003C2170" w:rsidRDefault="00702219" w:rsidP="0027505B">
      <w:pPr>
        <w:ind w:left="720" w:right="8"/>
        <w:jc w:val="both"/>
        <w:rPr>
          <w:rFonts w:eastAsia="宋体" w:cs="Times New Roman"/>
          <w:szCs w:val="21"/>
        </w:rPr>
      </w:pPr>
      <w:r w:rsidRPr="003C2170">
        <w:rPr>
          <w:rFonts w:eastAsia="宋体" w:cs="Times New Roman" w:hint="eastAsia"/>
          <w:szCs w:val="21"/>
        </w:rPr>
        <w:t>股份支付计划</w:t>
      </w:r>
      <w:r w:rsidR="00517BFE" w:rsidRPr="003C2170">
        <w:rPr>
          <w:rFonts w:eastAsia="宋体" w:cs="Times New Roman" w:hint="eastAsia"/>
          <w:szCs w:val="21"/>
        </w:rPr>
        <w:t>被</w:t>
      </w:r>
      <w:r w:rsidRPr="003C2170">
        <w:rPr>
          <w:rFonts w:eastAsia="宋体" w:cs="Times New Roman" w:hint="eastAsia"/>
          <w:szCs w:val="21"/>
        </w:rPr>
        <w:t>修改时，若修改增加了所授予权益工具的公允价值，按照权益工具公允价值的增加相应确认取得服务的增加</w:t>
      </w:r>
      <w:r w:rsidR="005F14EE" w:rsidRPr="003C2170">
        <w:rPr>
          <w:rFonts w:eastAsia="宋体" w:cs="Times New Roman" w:hint="eastAsia"/>
          <w:szCs w:val="21"/>
        </w:rPr>
        <w:t>；</w:t>
      </w:r>
      <w:r w:rsidRPr="003C2170">
        <w:rPr>
          <w:rFonts w:eastAsia="宋体" w:cs="Times New Roman" w:hint="eastAsia"/>
          <w:szCs w:val="21"/>
        </w:rPr>
        <w:t>若修改增加了所授予权益工具的数量，则将增加的权益工具的公允价值相应地确认为取得服务的增加。权益工具公允价值的增加是指修改前后的权益工具在修改日的公允价值之间的差额。若修改减少了股份支付公允价值总额或采用了其他不利于职工的方式修改股份支付计划的条款和条件，则仍继续对取得的服务进行会计处理，视同该变更从未发生，</w:t>
      </w:r>
      <w:proofErr w:type="gramStart"/>
      <w:r w:rsidRPr="003C2170">
        <w:rPr>
          <w:rFonts w:eastAsia="宋体" w:cs="Times New Roman" w:hint="eastAsia"/>
          <w:szCs w:val="21"/>
        </w:rPr>
        <w:t>除非</w:t>
      </w:r>
      <w:r w:rsidR="00517BFE" w:rsidRPr="003C2170">
        <w:rPr>
          <w:rFonts w:eastAsia="宋体" w:cs="Times New Roman" w:hint="eastAsia"/>
          <w:szCs w:val="21"/>
        </w:rPr>
        <w:t>已</w:t>
      </w:r>
      <w:proofErr w:type="gramEnd"/>
      <w:r w:rsidR="00517BFE" w:rsidRPr="003C2170">
        <w:rPr>
          <w:rFonts w:eastAsia="宋体" w:cs="Times New Roman" w:hint="eastAsia"/>
          <w:szCs w:val="21"/>
        </w:rPr>
        <w:t>授予的权益工具被</w:t>
      </w:r>
      <w:r w:rsidRPr="003C2170">
        <w:rPr>
          <w:rFonts w:eastAsia="宋体" w:cs="Times New Roman" w:hint="eastAsia"/>
          <w:szCs w:val="21"/>
        </w:rPr>
        <w:t>部分或全部</w:t>
      </w:r>
      <w:r w:rsidR="00517BFE" w:rsidRPr="003C2170">
        <w:rPr>
          <w:rFonts w:eastAsia="宋体" w:cs="Times New Roman" w:hint="eastAsia"/>
          <w:szCs w:val="21"/>
        </w:rPr>
        <w:t>取消</w:t>
      </w:r>
      <w:r w:rsidRPr="003C2170">
        <w:rPr>
          <w:rFonts w:eastAsia="宋体" w:cs="Times New Roman" w:hint="eastAsia"/>
          <w:szCs w:val="21"/>
        </w:rPr>
        <w:t>。</w:t>
      </w:r>
    </w:p>
    <w:p w:rsidR="00702219" w:rsidRPr="003C2170" w:rsidRDefault="00702219" w:rsidP="0027505B">
      <w:pPr>
        <w:ind w:left="720" w:right="8"/>
        <w:jc w:val="both"/>
        <w:rPr>
          <w:rFonts w:eastAsia="宋体" w:cs="Times New Roman"/>
          <w:szCs w:val="21"/>
        </w:rPr>
      </w:pPr>
    </w:p>
    <w:p w:rsidR="00A54A07" w:rsidRPr="003C2170" w:rsidRDefault="00702219" w:rsidP="0027505B">
      <w:pPr>
        <w:ind w:left="720" w:right="8"/>
        <w:jc w:val="both"/>
        <w:rPr>
          <w:rFonts w:eastAsia="宋体" w:cs="Times New Roman"/>
          <w:kern w:val="2"/>
          <w:szCs w:val="21"/>
        </w:rPr>
      </w:pPr>
      <w:r w:rsidRPr="003C2170">
        <w:rPr>
          <w:rFonts w:eastAsia="宋体" w:cs="Times New Roman" w:hint="eastAsia"/>
          <w:szCs w:val="21"/>
        </w:rPr>
        <w:t>在等待期内，如果取消了授予的权益工具，本集团对取消所授予的权益性工具作为加速行权处理，将剩余等待期内应确认的金额立即计入当期损益，同时确认资本公积。职工能够选择满足非可行</w:t>
      </w:r>
      <w:proofErr w:type="gramStart"/>
      <w:r w:rsidRPr="003C2170">
        <w:rPr>
          <w:rFonts w:eastAsia="宋体" w:cs="Times New Roman" w:hint="eastAsia"/>
          <w:szCs w:val="21"/>
        </w:rPr>
        <w:t>权条件</w:t>
      </w:r>
      <w:proofErr w:type="gramEnd"/>
      <w:r w:rsidRPr="003C2170">
        <w:rPr>
          <w:rFonts w:eastAsia="宋体" w:cs="Times New Roman" w:hint="eastAsia"/>
          <w:szCs w:val="21"/>
        </w:rPr>
        <w:t>但在等待期内未满足的，本集团将其作为授予权益工具的取消处理。</w:t>
      </w:r>
    </w:p>
    <w:p w:rsidR="00702219" w:rsidRPr="003C2170" w:rsidRDefault="00702219" w:rsidP="0027505B">
      <w:pPr>
        <w:ind w:right="8"/>
        <w:jc w:val="both"/>
        <w:rPr>
          <w:rFonts w:eastAsia="宋体" w:cs="Times New Roman"/>
          <w:kern w:val="2"/>
          <w:szCs w:val="21"/>
        </w:rPr>
      </w:pPr>
    </w:p>
    <w:p w:rsidR="00ED3E81" w:rsidRPr="003C2170" w:rsidRDefault="00ED3E81"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napToGrid w:val="0"/>
          <w:szCs w:val="21"/>
        </w:rPr>
      </w:pPr>
      <w:r w:rsidRPr="003C2170">
        <w:rPr>
          <w:rFonts w:ascii="Times New Roman" w:eastAsia="宋体" w:hAnsi="Times New Roman" w:cs="Times New Roman" w:hint="eastAsia"/>
          <w:snapToGrid w:val="0"/>
          <w:szCs w:val="21"/>
        </w:rPr>
        <w:t>收入</w:t>
      </w:r>
    </w:p>
    <w:p w:rsidR="00ED3E81" w:rsidRPr="003C2170" w:rsidRDefault="00ED3E81" w:rsidP="0027505B">
      <w:pPr>
        <w:ind w:left="720" w:right="8"/>
        <w:jc w:val="both"/>
        <w:rPr>
          <w:rFonts w:eastAsia="宋体" w:cs="Times New Roman"/>
          <w:kern w:val="2"/>
          <w:szCs w:val="21"/>
        </w:rPr>
      </w:pPr>
    </w:p>
    <w:p w:rsidR="0027686C" w:rsidRPr="003C2170" w:rsidRDefault="0027686C" w:rsidP="0027505B">
      <w:pPr>
        <w:ind w:left="720" w:right="8"/>
        <w:jc w:val="both"/>
        <w:rPr>
          <w:rFonts w:eastAsia="宋体" w:cs="Times New Roman"/>
          <w:kern w:val="2"/>
          <w:szCs w:val="21"/>
          <w:u w:val="single"/>
        </w:rPr>
      </w:pPr>
      <w:r w:rsidRPr="003C2170">
        <w:rPr>
          <w:rFonts w:eastAsia="宋体" w:cs="Times New Roman"/>
          <w:kern w:val="2"/>
          <w:szCs w:val="21"/>
          <w:u w:val="single"/>
        </w:rPr>
        <w:t>2</w:t>
      </w:r>
      <w:r w:rsidR="00BD14D4" w:rsidRPr="003C2170">
        <w:rPr>
          <w:rFonts w:eastAsia="宋体" w:cs="Times New Roman"/>
          <w:kern w:val="2"/>
          <w:szCs w:val="21"/>
          <w:u w:val="single"/>
        </w:rPr>
        <w:t>7</w:t>
      </w:r>
      <w:r w:rsidRPr="003C2170">
        <w:rPr>
          <w:rFonts w:eastAsia="宋体" w:cs="Times New Roman"/>
          <w:kern w:val="2"/>
          <w:szCs w:val="21"/>
          <w:u w:val="single"/>
        </w:rPr>
        <w:t>.1</w:t>
      </w:r>
      <w:r w:rsidRPr="003C2170">
        <w:rPr>
          <w:rFonts w:eastAsia="宋体" w:cs="Times New Roman"/>
          <w:kern w:val="2"/>
          <w:szCs w:val="21"/>
          <w:u w:val="single"/>
        </w:rPr>
        <w:tab/>
      </w:r>
      <w:r w:rsidRPr="003C2170">
        <w:rPr>
          <w:rFonts w:eastAsia="宋体" w:cs="Times New Roman" w:hint="eastAsia"/>
          <w:kern w:val="2"/>
          <w:szCs w:val="21"/>
          <w:u w:val="single"/>
        </w:rPr>
        <w:t>按照业务类型披露收入确认和计量所采用的会计政策</w:t>
      </w:r>
    </w:p>
    <w:p w:rsidR="0027686C" w:rsidRPr="003C2170" w:rsidRDefault="0027686C" w:rsidP="0027505B">
      <w:pPr>
        <w:ind w:left="720" w:right="8"/>
        <w:jc w:val="both"/>
        <w:rPr>
          <w:rFonts w:eastAsia="宋体" w:cs="Times New Roman"/>
          <w:kern w:val="2"/>
          <w:szCs w:val="21"/>
        </w:rPr>
      </w:pPr>
    </w:p>
    <w:p w:rsidR="00ED3E81" w:rsidRPr="003C2170" w:rsidRDefault="00877C66" w:rsidP="0027505B">
      <w:pPr>
        <w:ind w:left="720" w:right="8"/>
        <w:jc w:val="both"/>
        <w:rPr>
          <w:rFonts w:eastAsia="宋体" w:cs="Times New Roman"/>
          <w:kern w:val="2"/>
          <w:szCs w:val="21"/>
        </w:rPr>
      </w:pPr>
      <w:r w:rsidRPr="003C2170">
        <w:rPr>
          <w:rFonts w:eastAsia="宋体" w:cs="Times New Roman" w:hint="eastAsia"/>
          <w:kern w:val="2"/>
          <w:szCs w:val="21"/>
        </w:rPr>
        <w:t>本集团的收入主要来源于智能</w:t>
      </w:r>
      <w:r w:rsidR="00425C8E" w:rsidRPr="003C2170">
        <w:rPr>
          <w:rFonts w:eastAsia="宋体" w:cs="Times New Roman" w:hint="eastAsia"/>
          <w:kern w:val="2"/>
          <w:szCs w:val="21"/>
        </w:rPr>
        <w:t>家居</w:t>
      </w:r>
      <w:r w:rsidRPr="003C2170">
        <w:rPr>
          <w:rFonts w:eastAsia="宋体" w:cs="Times New Roman" w:hint="eastAsia"/>
          <w:kern w:val="2"/>
          <w:szCs w:val="21"/>
        </w:rPr>
        <w:t>产品</w:t>
      </w:r>
      <w:r w:rsidR="00C06DBE" w:rsidRPr="003C2170">
        <w:rPr>
          <w:rFonts w:eastAsia="宋体" w:cs="Times New Roman" w:hint="eastAsia"/>
          <w:kern w:val="2"/>
          <w:szCs w:val="21"/>
        </w:rPr>
        <w:t>销售</w:t>
      </w:r>
      <w:r w:rsidR="00481C75" w:rsidRPr="003C2170">
        <w:rPr>
          <w:rFonts w:eastAsia="宋体" w:cs="Times New Roman" w:hint="eastAsia"/>
          <w:kern w:val="2"/>
          <w:szCs w:val="21"/>
        </w:rPr>
        <w:t>和</w:t>
      </w:r>
      <w:proofErr w:type="gramStart"/>
      <w:r w:rsidR="00C06DBE" w:rsidRPr="003C2170">
        <w:rPr>
          <w:rFonts w:eastAsia="宋体" w:cs="Times New Roman" w:hint="eastAsia"/>
          <w:kern w:val="2"/>
          <w:szCs w:val="21"/>
        </w:rPr>
        <w:t>物联网</w:t>
      </w:r>
      <w:proofErr w:type="gramEnd"/>
      <w:r w:rsidR="00C06DBE" w:rsidRPr="003C2170">
        <w:rPr>
          <w:rFonts w:eastAsia="宋体" w:cs="Times New Roman" w:hint="eastAsia"/>
          <w:kern w:val="2"/>
          <w:szCs w:val="21"/>
        </w:rPr>
        <w:t>云平台服务</w:t>
      </w:r>
      <w:r w:rsidRPr="003C2170">
        <w:rPr>
          <w:rFonts w:eastAsia="宋体" w:cs="Times New Roman" w:hint="eastAsia"/>
          <w:kern w:val="2"/>
          <w:szCs w:val="21"/>
        </w:rPr>
        <w:t>。</w:t>
      </w:r>
    </w:p>
    <w:p w:rsidR="00877C66" w:rsidRPr="003C2170" w:rsidRDefault="00877C66" w:rsidP="0027505B">
      <w:pPr>
        <w:ind w:left="720" w:right="8"/>
        <w:jc w:val="both"/>
        <w:rPr>
          <w:rFonts w:eastAsia="宋体" w:cs="Times New Roman"/>
          <w:kern w:val="2"/>
          <w:szCs w:val="21"/>
        </w:rPr>
      </w:pPr>
    </w:p>
    <w:p w:rsidR="00877C66" w:rsidRPr="003C2170" w:rsidRDefault="00877C66" w:rsidP="0027505B">
      <w:pPr>
        <w:ind w:left="720" w:right="8"/>
        <w:jc w:val="both"/>
        <w:rPr>
          <w:rFonts w:eastAsia="宋体" w:cs="Times New Roman"/>
          <w:kern w:val="2"/>
          <w:szCs w:val="21"/>
        </w:rPr>
      </w:pPr>
      <w:r w:rsidRPr="003C2170">
        <w:rPr>
          <w:rFonts w:eastAsia="宋体" w:cs="Times New Roman" w:hint="eastAsia"/>
          <w:kern w:val="2"/>
          <w:szCs w:val="21"/>
        </w:rPr>
        <w:t>本集团在履行了合同中的履约义务，即在客户取得相关商品或服务控制权时，按照分摊至该项履约义务的交易价格确认收入。履约义务，是指合同中本集团向客户转让可明确区分商品或服务的承诺。</w:t>
      </w:r>
    </w:p>
    <w:p w:rsidR="00135AC0" w:rsidRDefault="00135AC0">
      <w:pPr>
        <w:adjustRightInd/>
        <w:snapToGrid/>
        <w:rPr>
          <w:rFonts w:eastAsia="宋体" w:cs="Times New Roman"/>
          <w:kern w:val="2"/>
          <w:szCs w:val="21"/>
        </w:rPr>
      </w:pPr>
      <w:r>
        <w:rPr>
          <w:rFonts w:eastAsia="宋体" w:cs="Times New Roman"/>
          <w:kern w:val="2"/>
          <w:szCs w:val="21"/>
        </w:rPr>
        <w:br w:type="page"/>
      </w:r>
    </w:p>
    <w:p w:rsidR="00135AC0" w:rsidRPr="003C2170" w:rsidRDefault="00135AC0" w:rsidP="00135AC0">
      <w:pPr>
        <w:ind w:right="8"/>
        <w:jc w:val="both"/>
        <w:rPr>
          <w:rFonts w:eastAsia="宋体" w:cs="Times New Roman"/>
          <w:szCs w:val="21"/>
        </w:rPr>
      </w:pPr>
      <w:r w:rsidRPr="003C2170">
        <w:rPr>
          <w:rFonts w:eastAsia="宋体" w:cs="Times New Roman"/>
          <w:b/>
          <w:szCs w:val="21"/>
        </w:rPr>
        <w:t>(</w:t>
      </w:r>
      <w:r w:rsidRPr="003C2170">
        <w:rPr>
          <w:rFonts w:eastAsia="宋体" w:cs="Times New Roman" w:hint="eastAsia"/>
          <w:b/>
          <w:szCs w:val="21"/>
        </w:rPr>
        <w:t>三</w:t>
      </w:r>
      <w:r w:rsidRPr="003C2170">
        <w:rPr>
          <w:rFonts w:eastAsia="宋体" w:cs="Times New Roman"/>
          <w:b/>
          <w:szCs w:val="21"/>
        </w:rPr>
        <w:t>)</w:t>
      </w:r>
      <w:r w:rsidRPr="003C2170">
        <w:rPr>
          <w:rFonts w:eastAsia="宋体" w:cs="Times New Roman"/>
          <w:b/>
          <w:szCs w:val="21"/>
        </w:rPr>
        <w:tab/>
      </w:r>
      <w:r w:rsidRPr="003C2170">
        <w:rPr>
          <w:rFonts w:eastAsia="宋体" w:cs="Times New Roman" w:hint="eastAsia"/>
          <w:b/>
          <w:szCs w:val="21"/>
        </w:rPr>
        <w:t>重要会计政策和会计估计</w:t>
      </w:r>
      <w:r w:rsidRPr="003C2170">
        <w:rPr>
          <w:rFonts w:eastAsia="宋体" w:cs="Times New Roman"/>
          <w:szCs w:val="21"/>
        </w:rPr>
        <w:t xml:space="preserve"> - </w:t>
      </w:r>
      <w:r w:rsidRPr="003C2170">
        <w:rPr>
          <w:rFonts w:eastAsia="宋体" w:cs="Times New Roman" w:hint="eastAsia"/>
          <w:szCs w:val="21"/>
        </w:rPr>
        <w:t>续</w:t>
      </w:r>
    </w:p>
    <w:p w:rsidR="00135AC0" w:rsidRPr="003C2170" w:rsidRDefault="00135AC0" w:rsidP="00135AC0">
      <w:pPr>
        <w:ind w:left="720" w:right="8"/>
        <w:jc w:val="both"/>
        <w:rPr>
          <w:rFonts w:eastAsia="宋体" w:cs="Times New Roman"/>
          <w:kern w:val="2"/>
          <w:szCs w:val="21"/>
        </w:rPr>
      </w:pPr>
    </w:p>
    <w:p w:rsidR="00135AC0" w:rsidRPr="003C2170" w:rsidRDefault="00135AC0" w:rsidP="00135AC0">
      <w:pPr>
        <w:ind w:leftChars="342" w:left="718" w:right="8" w:firstLine="1"/>
        <w:jc w:val="both"/>
        <w:rPr>
          <w:rFonts w:eastAsia="宋体" w:cs="Times New Roman"/>
          <w:szCs w:val="21"/>
        </w:rPr>
      </w:pPr>
      <w:r w:rsidRPr="003C2170">
        <w:rPr>
          <w:rFonts w:eastAsia="宋体" w:cs="Times New Roman"/>
          <w:b/>
          <w:szCs w:val="21"/>
        </w:rPr>
        <w:t>27.</w:t>
      </w:r>
      <w:r w:rsidRPr="003C2170">
        <w:rPr>
          <w:rFonts w:eastAsia="宋体" w:cs="Times New Roman"/>
          <w:b/>
          <w:szCs w:val="21"/>
        </w:rPr>
        <w:tab/>
      </w:r>
      <w:r w:rsidRPr="003C2170">
        <w:rPr>
          <w:rFonts w:eastAsia="宋体" w:cs="Times New Roman" w:hint="eastAsia"/>
          <w:b/>
          <w:bCs/>
          <w:snapToGrid w:val="0"/>
          <w:szCs w:val="21"/>
        </w:rPr>
        <w:t>收入</w:t>
      </w:r>
      <w:r w:rsidRPr="003C2170">
        <w:rPr>
          <w:rFonts w:eastAsia="宋体" w:cs="Times New Roman"/>
          <w:snapToGrid w:val="0"/>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135AC0" w:rsidRPr="003C2170" w:rsidRDefault="00135AC0" w:rsidP="00135AC0">
      <w:pPr>
        <w:ind w:left="720" w:right="8"/>
        <w:jc w:val="both"/>
        <w:rPr>
          <w:rFonts w:eastAsia="宋体" w:cs="Times New Roman"/>
          <w:kern w:val="2"/>
          <w:szCs w:val="21"/>
        </w:rPr>
      </w:pPr>
    </w:p>
    <w:p w:rsidR="00135AC0" w:rsidRPr="003C2170" w:rsidRDefault="00135AC0" w:rsidP="00135AC0">
      <w:pPr>
        <w:ind w:left="720" w:right="8"/>
        <w:jc w:val="both"/>
        <w:rPr>
          <w:rFonts w:eastAsia="宋体" w:cs="Times New Roman"/>
          <w:kern w:val="2"/>
          <w:szCs w:val="21"/>
          <w:u w:val="single"/>
        </w:rPr>
      </w:pPr>
      <w:r w:rsidRPr="003C2170">
        <w:rPr>
          <w:rFonts w:eastAsia="宋体" w:cs="Times New Roman" w:hint="eastAsia"/>
          <w:kern w:val="2"/>
          <w:szCs w:val="21"/>
          <w:u w:val="single"/>
        </w:rPr>
        <w:t>2</w:t>
      </w:r>
      <w:r w:rsidRPr="003C2170">
        <w:rPr>
          <w:rFonts w:eastAsia="宋体" w:cs="Times New Roman"/>
          <w:kern w:val="2"/>
          <w:szCs w:val="21"/>
          <w:u w:val="single"/>
        </w:rPr>
        <w:t>7</w:t>
      </w:r>
      <w:r w:rsidRPr="003C2170">
        <w:rPr>
          <w:rFonts w:eastAsia="宋体" w:cs="Times New Roman" w:hint="eastAsia"/>
          <w:kern w:val="2"/>
          <w:szCs w:val="21"/>
          <w:u w:val="single"/>
        </w:rPr>
        <w:t>.1</w:t>
      </w:r>
      <w:r w:rsidRPr="003C2170">
        <w:rPr>
          <w:rFonts w:eastAsia="宋体" w:cs="Times New Roman" w:hint="eastAsia"/>
          <w:kern w:val="2"/>
          <w:szCs w:val="21"/>
          <w:u w:val="single"/>
        </w:rPr>
        <w:tab/>
      </w:r>
      <w:r w:rsidRPr="003C2170">
        <w:rPr>
          <w:rFonts w:eastAsia="宋体" w:cs="Times New Roman" w:hint="eastAsia"/>
          <w:kern w:val="2"/>
          <w:szCs w:val="21"/>
          <w:u w:val="single"/>
        </w:rPr>
        <w:t>按照业务类型披露收入确认和计量所采用的会计政策</w:t>
      </w:r>
      <w:r w:rsidRPr="003C2170">
        <w:rPr>
          <w:rFonts w:eastAsia="宋体" w:cs="Times New Roman"/>
          <w:kern w:val="2"/>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877C66" w:rsidRPr="003C2170" w:rsidRDefault="00877C66" w:rsidP="0027505B">
      <w:pPr>
        <w:ind w:left="720" w:right="8"/>
        <w:jc w:val="both"/>
        <w:rPr>
          <w:rFonts w:eastAsia="宋体" w:cs="Times New Roman"/>
          <w:kern w:val="2"/>
          <w:szCs w:val="21"/>
        </w:rPr>
      </w:pPr>
    </w:p>
    <w:p w:rsidR="00DA086E" w:rsidRPr="003C2170" w:rsidRDefault="00877C66" w:rsidP="0027505B">
      <w:pPr>
        <w:ind w:left="720" w:right="8"/>
        <w:jc w:val="both"/>
        <w:rPr>
          <w:rFonts w:eastAsia="宋体" w:cs="Times New Roman"/>
          <w:kern w:val="2"/>
          <w:szCs w:val="21"/>
        </w:rPr>
      </w:pPr>
      <w:r w:rsidRPr="003C2170">
        <w:rPr>
          <w:rFonts w:eastAsia="宋体" w:cs="Times New Roman" w:hint="eastAsia"/>
          <w:szCs w:val="21"/>
        </w:rPr>
        <w:t>本集团在合同开始日即对合同进行评估，识别该合同所包含的各单项履约义务，并确定各单项履约义务是在某一时段内履行，还是某一时点履行。</w:t>
      </w:r>
      <w:r w:rsidRPr="003C2170">
        <w:rPr>
          <w:rFonts w:eastAsia="宋体" w:cs="Times New Roman" w:hint="eastAsia"/>
          <w:kern w:val="2"/>
          <w:szCs w:val="21"/>
        </w:rPr>
        <w:t>满足下列条件之一的，属于在某一时间段内履行的履约义务，本集团按照履约进度，在一段时间内确认收入</w:t>
      </w:r>
      <w:r w:rsidR="005F14EE" w:rsidRPr="003C2170">
        <w:rPr>
          <w:rFonts w:eastAsia="宋体" w:cs="Times New Roman" w:hint="eastAsia"/>
          <w:kern w:val="2"/>
          <w:szCs w:val="21"/>
        </w:rPr>
        <w:t>：</w:t>
      </w:r>
      <w:r w:rsidR="005F14EE" w:rsidRPr="003C2170">
        <w:rPr>
          <w:rFonts w:eastAsia="宋体" w:cs="Times New Roman"/>
          <w:kern w:val="2"/>
          <w:szCs w:val="21"/>
        </w:rPr>
        <w:t>(</w:t>
      </w:r>
      <w:r w:rsidRPr="003C2170">
        <w:rPr>
          <w:rFonts w:eastAsia="宋体" w:cs="Times New Roman"/>
          <w:kern w:val="2"/>
          <w:szCs w:val="21"/>
        </w:rPr>
        <w:t>1</w:t>
      </w:r>
      <w:r w:rsidR="005F14EE" w:rsidRPr="003C2170">
        <w:rPr>
          <w:rFonts w:eastAsia="宋体" w:cs="Times New Roman"/>
          <w:kern w:val="2"/>
          <w:szCs w:val="21"/>
        </w:rPr>
        <w:t>)</w:t>
      </w:r>
      <w:r w:rsidRPr="003C2170">
        <w:rPr>
          <w:rFonts w:eastAsia="宋体" w:cs="Times New Roman" w:hint="eastAsia"/>
          <w:kern w:val="2"/>
          <w:szCs w:val="21"/>
        </w:rPr>
        <w:t>客户在本集团履约的同时即取得并消耗所带来的经济利益</w:t>
      </w:r>
      <w:r w:rsidR="005F14EE" w:rsidRPr="003C2170">
        <w:rPr>
          <w:rFonts w:eastAsia="宋体" w:cs="Times New Roman" w:hint="eastAsia"/>
          <w:kern w:val="2"/>
          <w:szCs w:val="21"/>
        </w:rPr>
        <w:t>；</w:t>
      </w:r>
      <w:r w:rsidR="005F14EE" w:rsidRPr="003C2170">
        <w:rPr>
          <w:rFonts w:eastAsia="宋体" w:cs="Times New Roman"/>
          <w:kern w:val="2"/>
          <w:szCs w:val="21"/>
        </w:rPr>
        <w:t>(</w:t>
      </w:r>
      <w:r w:rsidRPr="003C2170">
        <w:rPr>
          <w:rFonts w:eastAsia="宋体" w:cs="Times New Roman"/>
          <w:kern w:val="2"/>
          <w:szCs w:val="21"/>
        </w:rPr>
        <w:t>2</w:t>
      </w:r>
      <w:r w:rsidR="005F14EE" w:rsidRPr="003C2170">
        <w:rPr>
          <w:rFonts w:eastAsia="宋体" w:cs="Times New Roman"/>
          <w:kern w:val="2"/>
          <w:szCs w:val="21"/>
        </w:rPr>
        <w:t>)</w:t>
      </w:r>
      <w:r w:rsidRPr="003C2170">
        <w:rPr>
          <w:rFonts w:eastAsia="宋体" w:cs="Times New Roman" w:hint="eastAsia"/>
          <w:kern w:val="2"/>
          <w:szCs w:val="21"/>
        </w:rPr>
        <w:t>客户能够控制本集团履约过程中在建的商品</w:t>
      </w:r>
      <w:r w:rsidR="005F14EE" w:rsidRPr="003C2170">
        <w:rPr>
          <w:rFonts w:eastAsia="宋体" w:cs="Times New Roman" w:hint="eastAsia"/>
          <w:kern w:val="2"/>
          <w:szCs w:val="21"/>
        </w:rPr>
        <w:t>；</w:t>
      </w:r>
      <w:r w:rsidR="005F14EE" w:rsidRPr="003C2170">
        <w:rPr>
          <w:rFonts w:eastAsia="宋体" w:cs="Times New Roman"/>
          <w:kern w:val="2"/>
          <w:szCs w:val="21"/>
        </w:rPr>
        <w:t>(</w:t>
      </w:r>
      <w:r w:rsidRPr="003C2170">
        <w:rPr>
          <w:rFonts w:eastAsia="宋体" w:cs="Times New Roman"/>
          <w:kern w:val="2"/>
          <w:szCs w:val="21"/>
        </w:rPr>
        <w:t>3</w:t>
      </w:r>
      <w:r w:rsidR="005F14EE" w:rsidRPr="003C2170">
        <w:rPr>
          <w:rFonts w:eastAsia="宋体" w:cs="Times New Roman"/>
          <w:kern w:val="2"/>
          <w:szCs w:val="21"/>
        </w:rPr>
        <w:t>)</w:t>
      </w:r>
      <w:r w:rsidRPr="003C2170">
        <w:rPr>
          <w:rFonts w:eastAsia="宋体" w:cs="Times New Roman" w:hint="eastAsia"/>
          <w:kern w:val="2"/>
          <w:szCs w:val="21"/>
        </w:rPr>
        <w:t>本集团履约过程中所产出的商品具有不可替代用途，且本集团在整个合同期间内有权就累计至今已完成的履约部分收取款项。否则，本集团在客户取得相关商品或服务控制权的时点确认收入。</w:t>
      </w:r>
    </w:p>
    <w:p w:rsidR="00A048D5" w:rsidRPr="003C2170" w:rsidRDefault="00A048D5" w:rsidP="0027505B">
      <w:pPr>
        <w:ind w:left="720" w:right="8"/>
        <w:jc w:val="both"/>
        <w:rPr>
          <w:rFonts w:eastAsia="宋体" w:cs="Times New Roman"/>
          <w:kern w:val="2"/>
          <w:szCs w:val="21"/>
        </w:rPr>
      </w:pPr>
    </w:p>
    <w:p w:rsidR="001C390D" w:rsidRPr="003C2170" w:rsidRDefault="00877C66" w:rsidP="0027505B">
      <w:pPr>
        <w:ind w:left="720" w:right="8"/>
        <w:jc w:val="both"/>
        <w:rPr>
          <w:rFonts w:eastAsia="宋体" w:cs="Times New Roman"/>
          <w:szCs w:val="21"/>
        </w:rPr>
      </w:pPr>
      <w:r w:rsidRPr="003C2170">
        <w:rPr>
          <w:rFonts w:eastAsia="宋体" w:cs="Times New Roman" w:hint="eastAsia"/>
          <w:szCs w:val="21"/>
        </w:rPr>
        <w:t>本集团销售</w:t>
      </w:r>
      <w:r w:rsidR="00A14CCD" w:rsidRPr="003C2170">
        <w:rPr>
          <w:rFonts w:eastAsia="宋体" w:cs="Times New Roman" w:hint="eastAsia"/>
          <w:szCs w:val="21"/>
        </w:rPr>
        <w:t>智能家居产品</w:t>
      </w:r>
      <w:r w:rsidRPr="003C2170">
        <w:rPr>
          <w:rFonts w:eastAsia="宋体" w:cs="Times New Roman" w:hint="eastAsia"/>
          <w:szCs w:val="21"/>
        </w:rPr>
        <w:t>属于在某一时</w:t>
      </w:r>
      <w:proofErr w:type="gramStart"/>
      <w:r w:rsidRPr="003C2170">
        <w:rPr>
          <w:rFonts w:eastAsia="宋体" w:cs="Times New Roman" w:hint="eastAsia"/>
          <w:szCs w:val="21"/>
        </w:rPr>
        <w:t>点履行</w:t>
      </w:r>
      <w:proofErr w:type="gramEnd"/>
      <w:r w:rsidRPr="003C2170">
        <w:rPr>
          <w:rFonts w:eastAsia="宋体" w:cs="Times New Roman" w:hint="eastAsia"/>
          <w:szCs w:val="21"/>
        </w:rPr>
        <w:t>的履约义务，在客户取得相关商品控制权的时点确认收入。</w:t>
      </w:r>
      <w:r w:rsidR="009B17D1" w:rsidRPr="003C2170">
        <w:rPr>
          <w:rFonts w:eastAsia="宋体" w:cs="Times New Roman" w:hint="eastAsia"/>
          <w:szCs w:val="21"/>
        </w:rPr>
        <w:t>物联网云平台</w:t>
      </w:r>
      <w:r w:rsidR="00A14CCD" w:rsidRPr="003C2170">
        <w:rPr>
          <w:rFonts w:eastAsia="宋体" w:cs="Times New Roman" w:hint="eastAsia"/>
          <w:szCs w:val="21"/>
        </w:rPr>
        <w:t>服务</w:t>
      </w:r>
      <w:r w:rsidR="009B17D1" w:rsidRPr="003C2170">
        <w:rPr>
          <w:rFonts w:eastAsia="宋体" w:cs="Times New Roman" w:hint="eastAsia"/>
          <w:szCs w:val="21"/>
        </w:rPr>
        <w:t>中设备接入服务</w:t>
      </w:r>
      <w:r w:rsidR="002700C7" w:rsidRPr="003C2170">
        <w:rPr>
          <w:rFonts w:eastAsia="宋体" w:cs="Times New Roman" w:hint="eastAsia"/>
          <w:szCs w:val="21"/>
        </w:rPr>
        <w:t>中数</w:t>
      </w:r>
      <w:proofErr w:type="gramStart"/>
      <w:r w:rsidR="002700C7" w:rsidRPr="003C2170">
        <w:rPr>
          <w:rFonts w:eastAsia="宋体" w:cs="Times New Roman" w:hint="eastAsia"/>
          <w:szCs w:val="21"/>
        </w:rPr>
        <w:t>倍</w:t>
      </w:r>
      <w:proofErr w:type="gramEnd"/>
      <w:r w:rsidR="002700C7" w:rsidRPr="003C2170">
        <w:rPr>
          <w:rFonts w:eastAsia="宋体" w:cs="Times New Roman" w:hint="eastAsia"/>
          <w:szCs w:val="21"/>
        </w:rPr>
        <w:t>接入服务</w:t>
      </w:r>
      <w:r w:rsidR="009B17D1" w:rsidRPr="003C2170">
        <w:rPr>
          <w:rFonts w:eastAsia="宋体" w:cs="Times New Roman" w:hint="eastAsia"/>
          <w:szCs w:val="21"/>
        </w:rPr>
        <w:t>属于在某一时</w:t>
      </w:r>
      <w:proofErr w:type="gramStart"/>
      <w:r w:rsidR="009B17D1" w:rsidRPr="003C2170">
        <w:rPr>
          <w:rFonts w:eastAsia="宋体" w:cs="Times New Roman" w:hint="eastAsia"/>
          <w:szCs w:val="21"/>
        </w:rPr>
        <w:t>点履行</w:t>
      </w:r>
      <w:proofErr w:type="gramEnd"/>
      <w:r w:rsidR="009B17D1" w:rsidRPr="003C2170">
        <w:rPr>
          <w:rFonts w:eastAsia="宋体" w:cs="Times New Roman" w:hint="eastAsia"/>
          <w:szCs w:val="21"/>
        </w:rPr>
        <w:t>的履约义务，在客户取得相关服务控制权的时点确认收入</w:t>
      </w:r>
      <w:r w:rsidR="005F14EE" w:rsidRPr="003C2170">
        <w:rPr>
          <w:rFonts w:eastAsia="宋体" w:cs="Times New Roman" w:hint="eastAsia"/>
          <w:szCs w:val="21"/>
        </w:rPr>
        <w:t>；</w:t>
      </w:r>
      <w:r w:rsidR="009B17D1" w:rsidRPr="003C2170">
        <w:rPr>
          <w:rFonts w:eastAsia="宋体" w:cs="Times New Roman" w:hint="eastAsia"/>
          <w:szCs w:val="21"/>
        </w:rPr>
        <w:t>运</w:t>
      </w:r>
      <w:proofErr w:type="gramStart"/>
      <w:r w:rsidR="009B17D1" w:rsidRPr="003C2170">
        <w:rPr>
          <w:rFonts w:eastAsia="宋体" w:cs="Times New Roman" w:hint="eastAsia"/>
          <w:szCs w:val="21"/>
        </w:rPr>
        <w:t>维支持</w:t>
      </w:r>
      <w:proofErr w:type="gramEnd"/>
      <w:r w:rsidR="009B17D1" w:rsidRPr="003C2170">
        <w:rPr>
          <w:rFonts w:eastAsia="宋体" w:cs="Times New Roman" w:hint="eastAsia"/>
          <w:szCs w:val="21"/>
        </w:rPr>
        <w:t>服务、云</w:t>
      </w:r>
      <w:r w:rsidR="00D46E27" w:rsidRPr="003C2170">
        <w:rPr>
          <w:rFonts w:eastAsia="宋体" w:cs="Times New Roman" w:hint="eastAsia"/>
          <w:szCs w:val="21"/>
        </w:rPr>
        <w:t>增值</w:t>
      </w:r>
      <w:r w:rsidR="009B17D1" w:rsidRPr="003C2170">
        <w:rPr>
          <w:rFonts w:eastAsia="宋体" w:cs="Times New Roman" w:hint="eastAsia"/>
          <w:szCs w:val="21"/>
        </w:rPr>
        <w:t>服务、开放平台服务</w:t>
      </w:r>
      <w:r w:rsidR="00172D8C" w:rsidRPr="003C2170">
        <w:rPr>
          <w:rFonts w:eastAsia="宋体" w:cs="Times New Roman" w:hint="eastAsia"/>
          <w:szCs w:val="21"/>
        </w:rPr>
        <w:t>及广告推广服务</w:t>
      </w:r>
      <w:r w:rsidR="009B17D1" w:rsidRPr="003C2170">
        <w:rPr>
          <w:rFonts w:eastAsia="宋体" w:cs="Times New Roman" w:hint="eastAsia"/>
          <w:szCs w:val="21"/>
        </w:rPr>
        <w:t>属于在一段时间内履行的履约义务，本集团采用产出法确定履约进度，即根据已转移给客户的服务对于客户的价值确定履约进度，在提供服务的期限内按照履约进度确认收入</w:t>
      </w:r>
      <w:r w:rsidR="0078709F" w:rsidRPr="003C2170">
        <w:rPr>
          <w:rFonts w:eastAsia="宋体" w:cs="Times New Roman" w:hint="eastAsia"/>
          <w:szCs w:val="21"/>
        </w:rPr>
        <w:t>。</w:t>
      </w:r>
      <w:r w:rsidR="00A14CCD" w:rsidRPr="003C2170">
        <w:rPr>
          <w:rFonts w:eastAsia="宋体" w:cs="Times New Roman" w:hint="eastAsia"/>
          <w:szCs w:val="21"/>
        </w:rPr>
        <w:t>具体如下</w:t>
      </w:r>
      <w:r w:rsidR="005F14EE" w:rsidRPr="003C2170">
        <w:rPr>
          <w:rFonts w:eastAsia="宋体" w:cs="Times New Roman" w:hint="eastAsia"/>
          <w:szCs w:val="21"/>
        </w:rPr>
        <w:t>：</w:t>
      </w:r>
    </w:p>
    <w:p w:rsidR="0025003F" w:rsidRPr="003C2170" w:rsidRDefault="0025003F" w:rsidP="0027505B">
      <w:pPr>
        <w:ind w:left="720" w:right="8"/>
        <w:jc w:val="both"/>
        <w:rPr>
          <w:rFonts w:eastAsia="宋体" w:cs="Times New Roman"/>
          <w:szCs w:val="21"/>
        </w:rPr>
      </w:pPr>
    </w:p>
    <w:p w:rsidR="00054F33" w:rsidRPr="003C2170" w:rsidRDefault="00877C66" w:rsidP="0027505B">
      <w:pPr>
        <w:pStyle w:val="aff1"/>
        <w:numPr>
          <w:ilvl w:val="0"/>
          <w:numId w:val="33"/>
        </w:numPr>
        <w:ind w:left="1440" w:right="8" w:firstLineChars="0" w:hanging="720"/>
        <w:jc w:val="both"/>
        <w:rPr>
          <w:szCs w:val="21"/>
        </w:rPr>
      </w:pPr>
      <w:r w:rsidRPr="003C2170">
        <w:rPr>
          <w:rFonts w:hint="eastAsia"/>
          <w:szCs w:val="21"/>
        </w:rPr>
        <w:t>对于向经销商</w:t>
      </w:r>
      <w:r w:rsidR="00EC1087" w:rsidRPr="003C2170">
        <w:rPr>
          <w:rFonts w:hint="eastAsia"/>
          <w:szCs w:val="21"/>
        </w:rPr>
        <w:t>、</w:t>
      </w:r>
      <w:r w:rsidR="00C40B99" w:rsidRPr="003C2170">
        <w:rPr>
          <w:rFonts w:hint="eastAsia"/>
          <w:szCs w:val="21"/>
        </w:rPr>
        <w:t>专业</w:t>
      </w:r>
      <w:r w:rsidRPr="003C2170">
        <w:rPr>
          <w:rFonts w:hint="eastAsia"/>
          <w:szCs w:val="21"/>
        </w:rPr>
        <w:t>客户销售的商品，</w:t>
      </w:r>
      <w:r w:rsidR="00EC1087" w:rsidRPr="003C2170">
        <w:rPr>
          <w:rFonts w:hint="eastAsia"/>
          <w:szCs w:val="21"/>
        </w:rPr>
        <w:t>本集团在商品的控制权转移时，即商品运送至对方的指定地点</w:t>
      </w:r>
      <w:r w:rsidR="0062024B" w:rsidRPr="003C2170">
        <w:rPr>
          <w:rFonts w:hint="eastAsia"/>
          <w:szCs w:val="21"/>
        </w:rPr>
        <w:t>并经对方</w:t>
      </w:r>
      <w:r w:rsidR="005D0650" w:rsidRPr="003C2170">
        <w:rPr>
          <w:rFonts w:hint="eastAsia"/>
          <w:szCs w:val="21"/>
        </w:rPr>
        <w:t>签收</w:t>
      </w:r>
      <w:r w:rsidR="0062024B" w:rsidRPr="003C2170">
        <w:rPr>
          <w:rFonts w:hint="eastAsia"/>
          <w:szCs w:val="21"/>
        </w:rPr>
        <w:t>时</w:t>
      </w:r>
      <w:r w:rsidR="007D7806" w:rsidRPr="003C2170">
        <w:rPr>
          <w:rFonts w:hint="eastAsia"/>
          <w:szCs w:val="21"/>
        </w:rPr>
        <w:t>或交给对方指定的承运人</w:t>
      </w:r>
      <w:r w:rsidR="00EC1087" w:rsidRPr="003C2170">
        <w:rPr>
          <w:rFonts w:hint="eastAsia"/>
          <w:szCs w:val="21"/>
        </w:rPr>
        <w:t>时确认收入</w:t>
      </w:r>
      <w:r w:rsidRPr="003C2170">
        <w:rPr>
          <w:rFonts w:hint="eastAsia"/>
          <w:szCs w:val="21"/>
        </w:rPr>
        <w:t>。</w:t>
      </w:r>
    </w:p>
    <w:p w:rsidR="0025003F" w:rsidRPr="003C2170" w:rsidRDefault="0025003F" w:rsidP="0027505B">
      <w:pPr>
        <w:pStyle w:val="aff1"/>
        <w:numPr>
          <w:ilvl w:val="0"/>
          <w:numId w:val="33"/>
        </w:numPr>
        <w:ind w:left="1440" w:right="8" w:firstLineChars="0" w:hanging="720"/>
        <w:jc w:val="both"/>
        <w:rPr>
          <w:szCs w:val="21"/>
        </w:rPr>
      </w:pPr>
      <w:r w:rsidRPr="003C2170">
        <w:rPr>
          <w:rFonts w:hint="eastAsia"/>
          <w:szCs w:val="21"/>
        </w:rPr>
        <w:t>对于通过线上</w:t>
      </w:r>
      <w:r w:rsidRPr="003C2170">
        <w:rPr>
          <w:szCs w:val="21"/>
        </w:rPr>
        <w:t>B2C</w:t>
      </w:r>
      <w:r w:rsidRPr="003C2170">
        <w:rPr>
          <w:rFonts w:hint="eastAsia"/>
          <w:szCs w:val="21"/>
        </w:rPr>
        <w:t>渠道向客户销售的商品</w:t>
      </w:r>
      <w:r w:rsidR="00120B94" w:rsidRPr="003C2170">
        <w:rPr>
          <w:rFonts w:hint="eastAsia"/>
          <w:szCs w:val="21"/>
        </w:rPr>
        <w:t>，本集团的客户为商品的最终消费者。本集团通过线上电子商务平台对外销售，本集团收到客户订单后发货，在商品运送至对方的指定地点</w:t>
      </w:r>
      <w:r w:rsidR="0062024B" w:rsidRPr="003C2170">
        <w:rPr>
          <w:rFonts w:hint="eastAsia"/>
          <w:szCs w:val="21"/>
        </w:rPr>
        <w:t>并经对方</w:t>
      </w:r>
      <w:r w:rsidR="005D0650" w:rsidRPr="003C2170">
        <w:rPr>
          <w:rFonts w:hint="eastAsia"/>
          <w:szCs w:val="21"/>
        </w:rPr>
        <w:t>签收</w:t>
      </w:r>
      <w:r w:rsidR="0062024B" w:rsidRPr="003C2170">
        <w:rPr>
          <w:rFonts w:hint="eastAsia"/>
          <w:szCs w:val="21"/>
        </w:rPr>
        <w:t>时</w:t>
      </w:r>
      <w:r w:rsidR="007D7806" w:rsidRPr="003C2170">
        <w:rPr>
          <w:rFonts w:hint="eastAsia"/>
          <w:szCs w:val="21"/>
        </w:rPr>
        <w:t>或交给对方指定的承运人</w:t>
      </w:r>
      <w:r w:rsidR="00120B94" w:rsidRPr="003C2170">
        <w:rPr>
          <w:rFonts w:hint="eastAsia"/>
          <w:szCs w:val="21"/>
        </w:rPr>
        <w:t>时确认销售收入。</w:t>
      </w:r>
    </w:p>
    <w:p w:rsidR="00461238" w:rsidRPr="003C2170" w:rsidRDefault="00461238" w:rsidP="0027505B">
      <w:pPr>
        <w:pStyle w:val="aff1"/>
        <w:numPr>
          <w:ilvl w:val="0"/>
          <w:numId w:val="33"/>
        </w:numPr>
        <w:ind w:left="1440" w:right="8" w:firstLineChars="0" w:hanging="720"/>
        <w:jc w:val="both"/>
        <w:rPr>
          <w:szCs w:val="21"/>
        </w:rPr>
      </w:pPr>
      <w:r w:rsidRPr="003C2170">
        <w:rPr>
          <w:rFonts w:hint="eastAsia"/>
          <w:szCs w:val="21"/>
        </w:rPr>
        <w:t>对于通过电商自营平台渠道销售的商品，本集团与电商自营平</w:t>
      </w:r>
      <w:r w:rsidR="000646EB" w:rsidRPr="003C2170">
        <w:rPr>
          <w:rFonts w:hint="eastAsia"/>
          <w:szCs w:val="21"/>
        </w:rPr>
        <w:t>台直接签署商品销售合同，将商品销售给平台，再由电商平台进行销售</w:t>
      </w:r>
      <w:r w:rsidRPr="003C2170">
        <w:rPr>
          <w:rFonts w:hint="eastAsia"/>
          <w:szCs w:val="21"/>
        </w:rPr>
        <w:t>。本集团在商品的控制权转移时，即商品送达至电商平台的指定地点并经对方签收结算时确认收入。</w:t>
      </w:r>
    </w:p>
    <w:p w:rsidR="00BB7A2C" w:rsidRPr="003C2170" w:rsidRDefault="00B50E5A" w:rsidP="0027505B">
      <w:pPr>
        <w:pStyle w:val="aff1"/>
        <w:numPr>
          <w:ilvl w:val="0"/>
          <w:numId w:val="33"/>
        </w:numPr>
        <w:ind w:left="1440" w:right="8" w:firstLineChars="0" w:hanging="720"/>
        <w:jc w:val="both"/>
        <w:rPr>
          <w:szCs w:val="21"/>
        </w:rPr>
      </w:pPr>
      <w:r w:rsidRPr="003C2170">
        <w:rPr>
          <w:rFonts w:hint="eastAsia"/>
          <w:szCs w:val="21"/>
        </w:rPr>
        <w:t>物联网云平台服务收入，</w:t>
      </w:r>
      <w:r w:rsidR="00394A2D" w:rsidRPr="003C2170">
        <w:rPr>
          <w:rFonts w:hint="eastAsia"/>
          <w:szCs w:val="21"/>
        </w:rPr>
        <w:t>包括</w:t>
      </w:r>
      <w:r w:rsidR="00074DE9" w:rsidRPr="003C2170">
        <w:rPr>
          <w:rFonts w:hint="eastAsia"/>
          <w:szCs w:val="21"/>
        </w:rPr>
        <w:t>设备</w:t>
      </w:r>
      <w:r w:rsidR="00EC50FE" w:rsidRPr="003C2170">
        <w:rPr>
          <w:rFonts w:hint="eastAsia"/>
          <w:szCs w:val="21"/>
        </w:rPr>
        <w:t>接入及运</w:t>
      </w:r>
      <w:proofErr w:type="gramStart"/>
      <w:r w:rsidR="00EC50FE" w:rsidRPr="003C2170">
        <w:rPr>
          <w:rFonts w:hint="eastAsia"/>
          <w:szCs w:val="21"/>
        </w:rPr>
        <w:t>维</w:t>
      </w:r>
      <w:r w:rsidR="006F7F91" w:rsidRPr="003C2170">
        <w:rPr>
          <w:rFonts w:hint="eastAsia"/>
          <w:szCs w:val="21"/>
        </w:rPr>
        <w:t>支持</w:t>
      </w:r>
      <w:proofErr w:type="gramEnd"/>
      <w:r w:rsidR="00EC50FE" w:rsidRPr="003C2170">
        <w:rPr>
          <w:rFonts w:hint="eastAsia"/>
          <w:szCs w:val="21"/>
        </w:rPr>
        <w:t>服务、</w:t>
      </w:r>
      <w:r w:rsidR="00BB7A2C" w:rsidRPr="003C2170">
        <w:rPr>
          <w:rFonts w:hint="eastAsia"/>
          <w:szCs w:val="21"/>
        </w:rPr>
        <w:t>云</w:t>
      </w:r>
      <w:r w:rsidR="009B6B53" w:rsidRPr="003C2170">
        <w:rPr>
          <w:rFonts w:hint="eastAsia"/>
          <w:szCs w:val="21"/>
        </w:rPr>
        <w:t>增值及开放平台</w:t>
      </w:r>
      <w:r w:rsidR="00BB7A2C" w:rsidRPr="003C2170">
        <w:rPr>
          <w:rFonts w:hint="eastAsia"/>
          <w:szCs w:val="21"/>
        </w:rPr>
        <w:t>服务、广告推广服务</w:t>
      </w:r>
      <w:r w:rsidR="00394A2D" w:rsidRPr="003C2170">
        <w:rPr>
          <w:rFonts w:hint="eastAsia"/>
          <w:szCs w:val="21"/>
        </w:rPr>
        <w:t>等</w:t>
      </w:r>
      <w:r w:rsidR="005F14EE" w:rsidRPr="003C2170">
        <w:rPr>
          <w:rFonts w:hint="eastAsia"/>
          <w:szCs w:val="21"/>
        </w:rPr>
        <w:t>：</w:t>
      </w:r>
    </w:p>
    <w:p w:rsidR="001C390D" w:rsidRPr="003C2170" w:rsidRDefault="001C390D" w:rsidP="0027505B">
      <w:pPr>
        <w:ind w:left="720" w:right="8"/>
        <w:jc w:val="both"/>
        <w:rPr>
          <w:rFonts w:eastAsia="宋体" w:cs="Times New Roman"/>
          <w:kern w:val="2"/>
          <w:szCs w:val="21"/>
        </w:rPr>
      </w:pPr>
    </w:p>
    <w:p w:rsidR="00BB7A2C" w:rsidRPr="003C2170" w:rsidRDefault="006F7F91" w:rsidP="0027505B">
      <w:pPr>
        <w:pStyle w:val="aff1"/>
        <w:numPr>
          <w:ilvl w:val="0"/>
          <w:numId w:val="34"/>
        </w:numPr>
        <w:ind w:left="2160" w:right="8" w:firstLineChars="0" w:hanging="720"/>
        <w:jc w:val="both"/>
        <w:rPr>
          <w:szCs w:val="21"/>
        </w:rPr>
      </w:pPr>
      <w:r w:rsidRPr="003C2170">
        <w:rPr>
          <w:rFonts w:hint="eastAsia"/>
          <w:szCs w:val="21"/>
        </w:rPr>
        <w:t>设备</w:t>
      </w:r>
      <w:r w:rsidR="00BB7A2C" w:rsidRPr="003C2170">
        <w:rPr>
          <w:rFonts w:hint="eastAsia"/>
          <w:szCs w:val="21"/>
        </w:rPr>
        <w:t>接入</w:t>
      </w:r>
      <w:r w:rsidR="007D7806" w:rsidRPr="003C2170">
        <w:rPr>
          <w:rFonts w:hint="eastAsia"/>
          <w:szCs w:val="21"/>
        </w:rPr>
        <w:t>及运</w:t>
      </w:r>
      <w:proofErr w:type="gramStart"/>
      <w:r w:rsidR="007D7806" w:rsidRPr="003C2170">
        <w:rPr>
          <w:rFonts w:hint="eastAsia"/>
          <w:szCs w:val="21"/>
        </w:rPr>
        <w:t>维支持</w:t>
      </w:r>
      <w:proofErr w:type="gramEnd"/>
      <w:r w:rsidR="00BB7A2C" w:rsidRPr="003C2170">
        <w:rPr>
          <w:rFonts w:hint="eastAsia"/>
          <w:szCs w:val="21"/>
        </w:rPr>
        <w:t>服务</w:t>
      </w:r>
      <w:r w:rsidR="005F14EE" w:rsidRPr="003C2170">
        <w:rPr>
          <w:rFonts w:hint="eastAsia"/>
          <w:szCs w:val="21"/>
        </w:rPr>
        <w:t>：</w:t>
      </w:r>
      <w:r w:rsidR="00BB7A2C" w:rsidRPr="003C2170">
        <w:rPr>
          <w:rFonts w:hint="eastAsia"/>
          <w:szCs w:val="21"/>
        </w:rPr>
        <w:t>本集团在完成相关设备接入时确认</w:t>
      </w:r>
      <w:r w:rsidR="007D7806" w:rsidRPr="003C2170">
        <w:rPr>
          <w:rFonts w:hint="eastAsia"/>
          <w:szCs w:val="21"/>
        </w:rPr>
        <w:t>接入服务收入，并在提供服务的期限内按照</w:t>
      </w:r>
      <w:r w:rsidR="008821C0" w:rsidRPr="003C2170">
        <w:rPr>
          <w:rFonts w:hint="eastAsia"/>
          <w:szCs w:val="21"/>
        </w:rPr>
        <w:t>履约进度</w:t>
      </w:r>
      <w:r w:rsidR="007D7806" w:rsidRPr="003C2170">
        <w:rPr>
          <w:rFonts w:hint="eastAsia"/>
          <w:szCs w:val="21"/>
        </w:rPr>
        <w:t>确认运维收入</w:t>
      </w:r>
      <w:r w:rsidR="005F14EE" w:rsidRPr="003C2170">
        <w:rPr>
          <w:rFonts w:hint="eastAsia"/>
          <w:szCs w:val="21"/>
        </w:rPr>
        <w:t>；</w:t>
      </w:r>
    </w:p>
    <w:p w:rsidR="00054F33" w:rsidRPr="003C2170" w:rsidRDefault="007D7806" w:rsidP="0027505B">
      <w:pPr>
        <w:pStyle w:val="aff1"/>
        <w:numPr>
          <w:ilvl w:val="0"/>
          <w:numId w:val="34"/>
        </w:numPr>
        <w:ind w:left="2160" w:right="8" w:firstLineChars="0" w:hanging="720"/>
        <w:jc w:val="both"/>
        <w:rPr>
          <w:szCs w:val="21"/>
        </w:rPr>
      </w:pPr>
      <w:r w:rsidRPr="003C2170">
        <w:rPr>
          <w:rFonts w:hint="eastAsia"/>
          <w:szCs w:val="21"/>
        </w:rPr>
        <w:t>增值</w:t>
      </w:r>
      <w:r w:rsidR="00BB7A2C" w:rsidRPr="003C2170">
        <w:rPr>
          <w:rFonts w:hint="eastAsia"/>
          <w:szCs w:val="21"/>
        </w:rPr>
        <w:t>服务</w:t>
      </w:r>
      <w:r w:rsidRPr="003C2170">
        <w:rPr>
          <w:rFonts w:hint="eastAsia"/>
          <w:szCs w:val="21"/>
        </w:rPr>
        <w:t>及</w:t>
      </w:r>
      <w:r w:rsidR="00BB7A2C" w:rsidRPr="003C2170">
        <w:rPr>
          <w:rFonts w:hint="eastAsia"/>
          <w:szCs w:val="21"/>
        </w:rPr>
        <w:t>开放平台服务</w:t>
      </w:r>
      <w:r w:rsidR="005F14EE" w:rsidRPr="003C2170">
        <w:rPr>
          <w:rFonts w:hint="eastAsia"/>
          <w:szCs w:val="21"/>
        </w:rPr>
        <w:t>：</w:t>
      </w:r>
      <w:r w:rsidR="005112CC" w:rsidRPr="003C2170">
        <w:rPr>
          <w:rFonts w:hint="eastAsia"/>
          <w:szCs w:val="21"/>
        </w:rPr>
        <w:t>本集团根据合同约定，</w:t>
      </w:r>
      <w:r w:rsidR="00CD6425" w:rsidRPr="003C2170">
        <w:rPr>
          <w:rFonts w:hint="eastAsia"/>
          <w:szCs w:val="21"/>
        </w:rPr>
        <w:t>在</w:t>
      </w:r>
      <w:r w:rsidR="005112CC" w:rsidRPr="003C2170">
        <w:rPr>
          <w:rFonts w:hint="eastAsia"/>
          <w:szCs w:val="21"/>
        </w:rPr>
        <w:t>提供服务的期限内按照直线法确认收入或</w:t>
      </w:r>
      <w:r w:rsidR="00DB24A8" w:rsidRPr="003C2170">
        <w:rPr>
          <w:rFonts w:hint="eastAsia"/>
          <w:szCs w:val="21"/>
        </w:rPr>
        <w:t>按照订单约定的套餐及服务的使用情况</w:t>
      </w:r>
      <w:r w:rsidR="004B3F5C" w:rsidRPr="003C2170">
        <w:rPr>
          <w:rFonts w:hint="eastAsia"/>
          <w:szCs w:val="21"/>
        </w:rPr>
        <w:t>确认收入</w:t>
      </w:r>
      <w:r w:rsidR="005F14EE" w:rsidRPr="003C2170">
        <w:rPr>
          <w:rFonts w:hint="eastAsia"/>
          <w:szCs w:val="21"/>
        </w:rPr>
        <w:t>；</w:t>
      </w:r>
    </w:p>
    <w:p w:rsidR="00A54A07" w:rsidRPr="003C2170" w:rsidRDefault="0067024C" w:rsidP="0027505B">
      <w:pPr>
        <w:pStyle w:val="aff1"/>
        <w:numPr>
          <w:ilvl w:val="0"/>
          <w:numId w:val="34"/>
        </w:numPr>
        <w:ind w:left="2160" w:right="8" w:firstLineChars="0" w:hanging="720"/>
        <w:jc w:val="both"/>
        <w:rPr>
          <w:kern w:val="2"/>
          <w:szCs w:val="21"/>
        </w:rPr>
      </w:pPr>
      <w:r w:rsidRPr="003C2170">
        <w:rPr>
          <w:rFonts w:hint="eastAsia"/>
          <w:szCs w:val="21"/>
        </w:rPr>
        <w:t>广告推广服务</w:t>
      </w:r>
      <w:r w:rsidR="005F14EE" w:rsidRPr="003C2170">
        <w:rPr>
          <w:rFonts w:hint="eastAsia"/>
          <w:szCs w:val="21"/>
        </w:rPr>
        <w:t>：</w:t>
      </w:r>
      <w:r w:rsidRPr="003C2170">
        <w:rPr>
          <w:rFonts w:hint="eastAsia"/>
          <w:szCs w:val="21"/>
        </w:rPr>
        <w:t>本集团根据合同约定，在提供服务的期限内按照约定的收益分配确认收入</w:t>
      </w:r>
      <w:r w:rsidR="007D7806" w:rsidRPr="003C2170">
        <w:rPr>
          <w:rFonts w:hint="eastAsia"/>
          <w:szCs w:val="21"/>
        </w:rPr>
        <w:t>。</w:t>
      </w:r>
    </w:p>
    <w:p w:rsidR="00A54A07" w:rsidRPr="003C2170" w:rsidRDefault="00A54A07" w:rsidP="0027505B">
      <w:pPr>
        <w:ind w:left="720" w:right="8"/>
        <w:jc w:val="both"/>
        <w:rPr>
          <w:rFonts w:eastAsia="宋体" w:cs="Times New Roman"/>
          <w:kern w:val="2"/>
          <w:szCs w:val="21"/>
        </w:rPr>
      </w:pPr>
    </w:p>
    <w:p w:rsidR="00EC1087" w:rsidRPr="003C2170" w:rsidRDefault="00EC1087" w:rsidP="0027505B">
      <w:pPr>
        <w:ind w:left="720" w:right="8"/>
        <w:jc w:val="both"/>
        <w:rPr>
          <w:rFonts w:eastAsia="宋体" w:cs="Times New Roman"/>
          <w:kern w:val="2"/>
          <w:szCs w:val="21"/>
        </w:rPr>
      </w:pPr>
      <w:r w:rsidRPr="003C2170">
        <w:rPr>
          <w:rFonts w:eastAsia="宋体" w:cs="Times New Roman" w:hint="eastAsia"/>
          <w:kern w:val="2"/>
          <w:szCs w:val="21"/>
        </w:rPr>
        <w:t>合同中包含两项或多项履约义务的，本集团在合同开始日，按照各单项履约义务所承诺商品或服务的单独售价的相对比例，将交易价格分摊至各单项履约义务。但在有确凿证据表明合同折扣或可变对价仅与合同中一项或多项</w:t>
      </w:r>
      <w:r w:rsidR="005F14EE" w:rsidRPr="003C2170">
        <w:rPr>
          <w:rFonts w:eastAsia="宋体" w:cs="Times New Roman"/>
          <w:kern w:val="2"/>
          <w:szCs w:val="21"/>
        </w:rPr>
        <w:t>(</w:t>
      </w:r>
      <w:r w:rsidRPr="003C2170">
        <w:rPr>
          <w:rFonts w:eastAsia="宋体" w:cs="Times New Roman" w:hint="eastAsia"/>
          <w:kern w:val="2"/>
          <w:szCs w:val="21"/>
        </w:rPr>
        <w:t>而非全部</w:t>
      </w:r>
      <w:r w:rsidR="005F14EE" w:rsidRPr="003C2170">
        <w:rPr>
          <w:rFonts w:eastAsia="宋体" w:cs="Times New Roman"/>
          <w:kern w:val="2"/>
          <w:szCs w:val="21"/>
        </w:rPr>
        <w:t>)</w:t>
      </w:r>
      <w:r w:rsidRPr="003C2170">
        <w:rPr>
          <w:rFonts w:eastAsia="宋体" w:cs="Times New Roman" w:hint="eastAsia"/>
          <w:kern w:val="2"/>
          <w:szCs w:val="21"/>
        </w:rPr>
        <w:t>履约义务相关的，本集团将该合同折扣或可变对价分摊至相关一项或多项履约义务。单独售价，是指本集团向客户单独销售商品或服务的价格。单独售价无法直接观察的，本集团综合考虑能够合理取得的全部相关信息，并最大限度地采用可观察的输入值估计单独售价。</w:t>
      </w:r>
    </w:p>
    <w:p w:rsidR="00135AC0" w:rsidRPr="003C2170" w:rsidRDefault="00135AC0" w:rsidP="00135AC0">
      <w:pPr>
        <w:ind w:left="720" w:right="8"/>
        <w:jc w:val="both"/>
        <w:rPr>
          <w:rFonts w:eastAsia="宋体" w:cs="Times New Roman"/>
          <w:kern w:val="2"/>
          <w:szCs w:val="21"/>
        </w:rPr>
      </w:pPr>
    </w:p>
    <w:p w:rsidR="00135AC0" w:rsidRPr="003C2170" w:rsidRDefault="00135AC0" w:rsidP="00135AC0">
      <w:pPr>
        <w:ind w:left="720" w:right="8"/>
        <w:jc w:val="both"/>
        <w:rPr>
          <w:rFonts w:eastAsia="宋体" w:cs="Times New Roman"/>
          <w:kern w:val="2"/>
          <w:szCs w:val="21"/>
          <w:vertAlign w:val="subscript"/>
        </w:rPr>
      </w:pPr>
      <w:r w:rsidRPr="003C2170">
        <w:rPr>
          <w:rFonts w:eastAsia="宋体" w:cs="Times New Roman" w:hint="eastAsia"/>
          <w:kern w:val="2"/>
          <w:szCs w:val="21"/>
        </w:rPr>
        <w:t>合同中存在可变对价的，本集团按照期望值或最可能发生金额确定可变对价的最佳估计数。包含可变对价的交易价格，不超过在相关不确定性消除时累计已确认</w:t>
      </w:r>
      <w:proofErr w:type="gramStart"/>
      <w:r w:rsidRPr="003C2170">
        <w:rPr>
          <w:rFonts w:eastAsia="宋体" w:cs="Times New Roman" w:hint="eastAsia"/>
          <w:kern w:val="2"/>
          <w:szCs w:val="21"/>
        </w:rPr>
        <w:t>收入极</w:t>
      </w:r>
      <w:proofErr w:type="gramEnd"/>
      <w:r w:rsidRPr="003C2170">
        <w:rPr>
          <w:rFonts w:eastAsia="宋体" w:cs="Times New Roman" w:hint="eastAsia"/>
          <w:kern w:val="2"/>
          <w:szCs w:val="21"/>
        </w:rPr>
        <w:t>可能不会发生重大转回的金额。每一资产负债表日，本集团重新估计应计入交易价格的可变对价金额。</w:t>
      </w:r>
    </w:p>
    <w:p w:rsidR="00BD14D4" w:rsidRPr="003C2170" w:rsidRDefault="00BD14D4" w:rsidP="0027505B">
      <w:pPr>
        <w:ind w:right="8"/>
        <w:jc w:val="both"/>
        <w:rPr>
          <w:rFonts w:eastAsia="宋体" w:cs="Times New Roman"/>
          <w:kern w:val="2"/>
          <w:szCs w:val="21"/>
        </w:rPr>
      </w:pPr>
      <w:r w:rsidRPr="003C2170">
        <w:rPr>
          <w:rFonts w:eastAsia="宋体" w:cs="Times New Roman"/>
          <w:kern w:val="2"/>
          <w:szCs w:val="21"/>
        </w:rPr>
        <w:br w:type="page"/>
      </w:r>
    </w:p>
    <w:p w:rsidR="00BD14D4" w:rsidRPr="003C2170" w:rsidRDefault="005F14EE" w:rsidP="0027505B">
      <w:pPr>
        <w:tabs>
          <w:tab w:val="left" w:pos="720"/>
        </w:tabs>
        <w:ind w:right="8"/>
        <w:jc w:val="both"/>
        <w:rPr>
          <w:rFonts w:eastAsia="宋体" w:cs="Times New Roman"/>
          <w:szCs w:val="21"/>
        </w:rPr>
      </w:pPr>
      <w:r w:rsidRPr="003C2170">
        <w:rPr>
          <w:rFonts w:eastAsia="宋体" w:cs="Times New Roman"/>
          <w:b/>
          <w:szCs w:val="21"/>
        </w:rPr>
        <w:t>(</w:t>
      </w:r>
      <w:r w:rsidR="00BD14D4" w:rsidRPr="003C2170">
        <w:rPr>
          <w:rFonts w:eastAsia="宋体" w:cs="Times New Roman" w:hint="eastAsia"/>
          <w:b/>
          <w:szCs w:val="21"/>
        </w:rPr>
        <w:t>三</w:t>
      </w:r>
      <w:r w:rsidRPr="003C2170">
        <w:rPr>
          <w:rFonts w:eastAsia="宋体" w:cs="Times New Roman"/>
          <w:b/>
          <w:szCs w:val="21"/>
        </w:rPr>
        <w:t>)</w:t>
      </w:r>
      <w:r w:rsidR="00BD14D4" w:rsidRPr="003C2170">
        <w:rPr>
          <w:rFonts w:eastAsia="宋体" w:cs="Times New Roman"/>
          <w:b/>
          <w:szCs w:val="21"/>
        </w:rPr>
        <w:tab/>
      </w:r>
      <w:r w:rsidR="00BD14D4" w:rsidRPr="003C2170">
        <w:rPr>
          <w:rFonts w:eastAsia="宋体" w:cs="Times New Roman" w:hint="eastAsia"/>
          <w:b/>
          <w:szCs w:val="21"/>
        </w:rPr>
        <w:t>重要会计政策和会计估计</w:t>
      </w:r>
      <w:r w:rsidR="00BD14D4" w:rsidRPr="003C2170">
        <w:rPr>
          <w:rFonts w:eastAsia="宋体" w:cs="Times New Roman"/>
          <w:szCs w:val="21"/>
        </w:rPr>
        <w:t xml:space="preserve"> - </w:t>
      </w:r>
      <w:r w:rsidR="00BD14D4" w:rsidRPr="003C2170">
        <w:rPr>
          <w:rFonts w:eastAsia="宋体" w:cs="Times New Roman" w:hint="eastAsia"/>
          <w:szCs w:val="21"/>
        </w:rPr>
        <w:t>续</w:t>
      </w:r>
    </w:p>
    <w:p w:rsidR="00BD14D4" w:rsidRPr="003C2170" w:rsidRDefault="00BD14D4" w:rsidP="0027505B">
      <w:pPr>
        <w:ind w:left="720" w:right="8"/>
        <w:jc w:val="both"/>
        <w:rPr>
          <w:rFonts w:eastAsia="宋体" w:cs="Times New Roman"/>
          <w:kern w:val="2"/>
          <w:szCs w:val="21"/>
        </w:rPr>
      </w:pPr>
    </w:p>
    <w:p w:rsidR="00BD14D4" w:rsidRPr="003C2170" w:rsidRDefault="00BD14D4" w:rsidP="0027505B">
      <w:pPr>
        <w:ind w:leftChars="342" w:left="718" w:right="8" w:firstLine="1"/>
        <w:jc w:val="both"/>
        <w:rPr>
          <w:rFonts w:eastAsia="宋体" w:cs="Times New Roman"/>
          <w:szCs w:val="21"/>
        </w:rPr>
      </w:pPr>
      <w:r w:rsidRPr="003C2170">
        <w:rPr>
          <w:rFonts w:eastAsia="宋体" w:cs="Times New Roman"/>
          <w:b/>
          <w:szCs w:val="21"/>
        </w:rPr>
        <w:t>27.</w:t>
      </w:r>
      <w:r w:rsidRPr="003C2170">
        <w:rPr>
          <w:rFonts w:eastAsia="宋体" w:cs="Times New Roman"/>
          <w:b/>
          <w:szCs w:val="21"/>
        </w:rPr>
        <w:tab/>
      </w:r>
      <w:r w:rsidRPr="003C2170">
        <w:rPr>
          <w:rFonts w:eastAsia="宋体" w:cs="Times New Roman" w:hint="eastAsia"/>
          <w:b/>
          <w:bCs/>
          <w:snapToGrid w:val="0"/>
          <w:szCs w:val="21"/>
        </w:rPr>
        <w:t>收入</w:t>
      </w:r>
      <w:r w:rsidRPr="003C2170">
        <w:rPr>
          <w:rFonts w:eastAsia="宋体" w:cs="Times New Roman"/>
          <w:snapToGrid w:val="0"/>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BD14D4" w:rsidRPr="003C2170" w:rsidRDefault="00BD14D4" w:rsidP="0027505B">
      <w:pPr>
        <w:ind w:left="720" w:right="8"/>
        <w:jc w:val="both"/>
        <w:rPr>
          <w:rFonts w:eastAsia="宋体" w:cs="Times New Roman"/>
          <w:kern w:val="2"/>
          <w:szCs w:val="21"/>
        </w:rPr>
      </w:pPr>
    </w:p>
    <w:p w:rsidR="00BD14D4" w:rsidRPr="003C2170" w:rsidRDefault="00BD14D4" w:rsidP="0027505B">
      <w:pPr>
        <w:ind w:left="720" w:right="8"/>
        <w:jc w:val="both"/>
        <w:rPr>
          <w:rFonts w:eastAsia="宋体" w:cs="Times New Roman"/>
          <w:kern w:val="2"/>
          <w:szCs w:val="21"/>
          <w:u w:val="single"/>
        </w:rPr>
      </w:pPr>
      <w:r w:rsidRPr="003C2170">
        <w:rPr>
          <w:rFonts w:eastAsia="宋体" w:cs="Times New Roman" w:hint="eastAsia"/>
          <w:kern w:val="2"/>
          <w:szCs w:val="21"/>
          <w:u w:val="single"/>
        </w:rPr>
        <w:t>2</w:t>
      </w:r>
      <w:r w:rsidRPr="003C2170">
        <w:rPr>
          <w:rFonts w:eastAsia="宋体" w:cs="Times New Roman"/>
          <w:kern w:val="2"/>
          <w:szCs w:val="21"/>
          <w:u w:val="single"/>
        </w:rPr>
        <w:t>7</w:t>
      </w:r>
      <w:r w:rsidRPr="003C2170">
        <w:rPr>
          <w:rFonts w:eastAsia="宋体" w:cs="Times New Roman" w:hint="eastAsia"/>
          <w:kern w:val="2"/>
          <w:szCs w:val="21"/>
          <w:u w:val="single"/>
        </w:rPr>
        <w:t>.1</w:t>
      </w:r>
      <w:r w:rsidRPr="003C2170">
        <w:rPr>
          <w:rFonts w:eastAsia="宋体" w:cs="Times New Roman" w:hint="eastAsia"/>
          <w:kern w:val="2"/>
          <w:szCs w:val="21"/>
          <w:u w:val="single"/>
        </w:rPr>
        <w:tab/>
      </w:r>
      <w:r w:rsidRPr="003C2170">
        <w:rPr>
          <w:rFonts w:eastAsia="宋体" w:cs="Times New Roman" w:hint="eastAsia"/>
          <w:kern w:val="2"/>
          <w:szCs w:val="21"/>
          <w:u w:val="single"/>
        </w:rPr>
        <w:t>按照业务类型披露收入确认和计量所采用的会计政策</w:t>
      </w:r>
      <w:r w:rsidRPr="003C2170">
        <w:rPr>
          <w:rFonts w:eastAsia="宋体" w:cs="Times New Roman"/>
          <w:kern w:val="2"/>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3E1F89" w:rsidRPr="003C2170" w:rsidRDefault="003E1F89" w:rsidP="0027505B">
      <w:pPr>
        <w:ind w:left="720" w:right="8"/>
        <w:jc w:val="both"/>
        <w:rPr>
          <w:rFonts w:eastAsia="宋体" w:cs="Times New Roman"/>
          <w:kern w:val="2"/>
          <w:szCs w:val="21"/>
        </w:rPr>
      </w:pPr>
    </w:p>
    <w:p w:rsidR="001C390D" w:rsidRPr="003C2170" w:rsidRDefault="00EC1087" w:rsidP="0027505B">
      <w:pPr>
        <w:ind w:left="720" w:right="8"/>
        <w:jc w:val="both"/>
        <w:rPr>
          <w:rFonts w:eastAsia="宋体" w:cs="Times New Roman"/>
          <w:kern w:val="2"/>
          <w:szCs w:val="21"/>
        </w:rPr>
      </w:pPr>
      <w:r w:rsidRPr="003C2170">
        <w:rPr>
          <w:rFonts w:eastAsia="宋体" w:cs="Times New Roman" w:hint="eastAsia"/>
          <w:kern w:val="2"/>
          <w:szCs w:val="21"/>
        </w:rPr>
        <w:t>对于附有销售退回条款的销售，本集团在客户取得相关商品控制权时，按照因向客户转让商品而预期有权收取的对</w:t>
      </w:r>
      <w:proofErr w:type="gramStart"/>
      <w:r w:rsidRPr="003C2170">
        <w:rPr>
          <w:rFonts w:eastAsia="宋体" w:cs="Times New Roman" w:hint="eastAsia"/>
          <w:kern w:val="2"/>
          <w:szCs w:val="21"/>
        </w:rPr>
        <w:t>价金额</w:t>
      </w:r>
      <w:proofErr w:type="gramEnd"/>
      <w:r w:rsidR="005F14EE" w:rsidRPr="003C2170">
        <w:rPr>
          <w:rFonts w:eastAsia="宋体" w:cs="Times New Roman"/>
          <w:kern w:val="2"/>
          <w:szCs w:val="21"/>
        </w:rPr>
        <w:t>(</w:t>
      </w:r>
      <w:r w:rsidRPr="003C2170">
        <w:rPr>
          <w:rFonts w:eastAsia="宋体" w:cs="Times New Roman" w:hint="eastAsia"/>
          <w:kern w:val="2"/>
          <w:szCs w:val="21"/>
        </w:rPr>
        <w:t>即，不包含预期因销售退回将退还的金额</w:t>
      </w:r>
      <w:r w:rsidR="005F14EE" w:rsidRPr="003C2170">
        <w:rPr>
          <w:rFonts w:eastAsia="宋体" w:cs="Times New Roman"/>
          <w:kern w:val="2"/>
          <w:szCs w:val="21"/>
        </w:rPr>
        <w:t>)</w:t>
      </w:r>
      <w:r w:rsidRPr="003C2170">
        <w:rPr>
          <w:rFonts w:eastAsia="宋体" w:cs="Times New Roman" w:hint="eastAsia"/>
          <w:kern w:val="2"/>
          <w:szCs w:val="21"/>
        </w:rPr>
        <w:t>确认收入，按照预期因销售退回将退还的金额确认负债</w:t>
      </w:r>
      <w:r w:rsidR="005F14EE" w:rsidRPr="003C2170">
        <w:rPr>
          <w:rFonts w:eastAsia="宋体" w:cs="Times New Roman" w:hint="eastAsia"/>
          <w:kern w:val="2"/>
          <w:szCs w:val="21"/>
        </w:rPr>
        <w:t>；</w:t>
      </w:r>
      <w:r w:rsidRPr="003C2170">
        <w:rPr>
          <w:rFonts w:eastAsia="宋体" w:cs="Times New Roman" w:hint="eastAsia"/>
          <w:kern w:val="2"/>
          <w:szCs w:val="21"/>
        </w:rPr>
        <w:t>同时，按照预期将退回商品转让时的账面价值，扣除收回该商品预计发生的成本</w:t>
      </w:r>
      <w:r w:rsidR="005F14EE" w:rsidRPr="003C2170">
        <w:rPr>
          <w:rFonts w:eastAsia="宋体" w:cs="Times New Roman"/>
          <w:kern w:val="2"/>
          <w:szCs w:val="21"/>
        </w:rPr>
        <w:t>(</w:t>
      </w:r>
      <w:r w:rsidRPr="003C2170">
        <w:rPr>
          <w:rFonts w:eastAsia="宋体" w:cs="Times New Roman" w:hint="eastAsia"/>
          <w:kern w:val="2"/>
          <w:szCs w:val="21"/>
        </w:rPr>
        <w:t>包括退回商品的价值减损</w:t>
      </w:r>
      <w:r w:rsidR="005F14EE" w:rsidRPr="003C2170">
        <w:rPr>
          <w:rFonts w:eastAsia="宋体" w:cs="Times New Roman"/>
          <w:kern w:val="2"/>
          <w:szCs w:val="21"/>
        </w:rPr>
        <w:t>)</w:t>
      </w:r>
      <w:r w:rsidRPr="003C2170">
        <w:rPr>
          <w:rFonts w:eastAsia="宋体" w:cs="Times New Roman" w:hint="eastAsia"/>
          <w:kern w:val="2"/>
          <w:szCs w:val="21"/>
        </w:rPr>
        <w:t>后的余额，确认为一项资产，按照所转让商品转让时的账面价值，扣除上述资产成本的净额结转成本。</w:t>
      </w:r>
    </w:p>
    <w:p w:rsidR="000956DE" w:rsidRPr="003C2170" w:rsidRDefault="000956DE" w:rsidP="0027505B">
      <w:pPr>
        <w:ind w:left="720" w:right="8"/>
        <w:jc w:val="both"/>
        <w:rPr>
          <w:rFonts w:eastAsia="宋体" w:cs="Times New Roman"/>
          <w:kern w:val="2"/>
          <w:szCs w:val="21"/>
        </w:rPr>
      </w:pPr>
    </w:p>
    <w:p w:rsidR="00F92769" w:rsidRPr="003C2170" w:rsidRDefault="000956DE" w:rsidP="0027505B">
      <w:pPr>
        <w:ind w:left="720" w:right="8"/>
        <w:jc w:val="both"/>
        <w:rPr>
          <w:rFonts w:eastAsia="宋体" w:cs="Times New Roman"/>
          <w:kern w:val="2"/>
          <w:szCs w:val="21"/>
        </w:rPr>
      </w:pPr>
      <w:r w:rsidRPr="003C2170">
        <w:rPr>
          <w:rFonts w:eastAsia="宋体" w:cs="Times New Roman" w:hint="eastAsia"/>
          <w:kern w:val="2"/>
          <w:szCs w:val="21"/>
        </w:rPr>
        <w:t>对于附有质量保证条款的销售，如果该质量保证在向客户保证所销售商品或服务符合既定标准之外提供了一项单独的服务，该质量保证构成单项履约义务。否则，本集团按照《企业会计准则第</w:t>
      </w:r>
      <w:r w:rsidRPr="003C2170">
        <w:rPr>
          <w:rFonts w:eastAsia="宋体" w:cs="Times New Roman"/>
          <w:kern w:val="2"/>
          <w:szCs w:val="21"/>
        </w:rPr>
        <w:t>13</w:t>
      </w:r>
      <w:r w:rsidRPr="003C2170">
        <w:rPr>
          <w:rFonts w:eastAsia="宋体" w:cs="Times New Roman" w:hint="eastAsia"/>
          <w:kern w:val="2"/>
          <w:szCs w:val="21"/>
        </w:rPr>
        <w:t>号</w:t>
      </w:r>
      <w:r w:rsidRPr="003C2170">
        <w:rPr>
          <w:rFonts w:eastAsia="宋体" w:cs="Times New Roman"/>
          <w:kern w:val="2"/>
          <w:szCs w:val="21"/>
        </w:rPr>
        <w:t>——</w:t>
      </w:r>
      <w:r w:rsidRPr="003C2170">
        <w:rPr>
          <w:rFonts w:eastAsia="宋体" w:cs="Times New Roman" w:hint="eastAsia"/>
          <w:kern w:val="2"/>
          <w:szCs w:val="21"/>
        </w:rPr>
        <w:t>或有事项》规定对质量保证责任进行会计处理。</w:t>
      </w:r>
    </w:p>
    <w:p w:rsidR="00054F33" w:rsidRPr="003C2170" w:rsidRDefault="00054F33" w:rsidP="0027505B">
      <w:pPr>
        <w:ind w:left="720" w:right="8"/>
        <w:jc w:val="both"/>
        <w:rPr>
          <w:rFonts w:eastAsia="宋体" w:cs="Times New Roman"/>
          <w:kern w:val="2"/>
          <w:szCs w:val="21"/>
        </w:rPr>
      </w:pPr>
    </w:p>
    <w:p w:rsidR="00EF0CBC" w:rsidRPr="003C2170" w:rsidRDefault="00EF0CBC" w:rsidP="0027505B">
      <w:pPr>
        <w:ind w:left="720" w:right="8"/>
        <w:jc w:val="both"/>
        <w:rPr>
          <w:rFonts w:eastAsia="宋体" w:cs="Times New Roman"/>
          <w:kern w:val="2"/>
          <w:szCs w:val="21"/>
        </w:rPr>
      </w:pPr>
      <w:r w:rsidRPr="003C2170">
        <w:rPr>
          <w:rFonts w:eastAsia="宋体" w:cs="Times New Roman" w:hint="eastAsia"/>
          <w:kern w:val="2"/>
          <w:szCs w:val="21"/>
        </w:rPr>
        <w:t>客户额外购买选择权包括销售激励措施，对于向客户提供了重大权利的额外购买选择权，本集团将其作为单项履约义务，在客户未来行使购买选择</w:t>
      </w:r>
      <w:proofErr w:type="gramStart"/>
      <w:r w:rsidRPr="003C2170">
        <w:rPr>
          <w:rFonts w:eastAsia="宋体" w:cs="Times New Roman" w:hint="eastAsia"/>
          <w:kern w:val="2"/>
          <w:szCs w:val="21"/>
        </w:rPr>
        <w:t>权取得</w:t>
      </w:r>
      <w:proofErr w:type="gramEnd"/>
      <w:r w:rsidRPr="003C2170">
        <w:rPr>
          <w:rFonts w:eastAsia="宋体" w:cs="Times New Roman" w:hint="eastAsia"/>
          <w:kern w:val="2"/>
          <w:szCs w:val="21"/>
        </w:rPr>
        <w:t>相关商品或服务控制权时，或者该选择权失效时，确认相应的收入。客户额外购买选择权的单独售价无法直接观察的，本集团综合考虑客户行使和不行使该选择权所能获得的折扣的差异、客户行使该选择权的可能性等全部相关信息予以估计。</w:t>
      </w:r>
    </w:p>
    <w:p w:rsidR="00EF0CBC" w:rsidRPr="003C2170" w:rsidRDefault="00EF0CBC" w:rsidP="0027505B">
      <w:pPr>
        <w:ind w:left="720" w:right="8"/>
        <w:jc w:val="both"/>
        <w:rPr>
          <w:rFonts w:eastAsia="宋体" w:cs="Times New Roman"/>
          <w:kern w:val="2"/>
          <w:szCs w:val="21"/>
        </w:rPr>
      </w:pPr>
    </w:p>
    <w:p w:rsidR="00EC1087" w:rsidRPr="003C2170" w:rsidRDefault="00EC1087" w:rsidP="0027505B">
      <w:pPr>
        <w:ind w:left="720" w:right="8"/>
        <w:jc w:val="both"/>
        <w:rPr>
          <w:rFonts w:eastAsia="宋体" w:cs="Times New Roman"/>
          <w:kern w:val="2"/>
          <w:szCs w:val="21"/>
        </w:rPr>
      </w:pPr>
      <w:r w:rsidRPr="003C2170">
        <w:rPr>
          <w:rFonts w:eastAsia="宋体" w:cs="Times New Roman" w:hint="eastAsia"/>
          <w:kern w:val="2"/>
          <w:szCs w:val="21"/>
        </w:rPr>
        <w:t>本集团根据在向客户转让商品或服务前是否拥有对该商品或服务的控制权，来判断从事交易时本集团的身份是主要责任人还是代理人。本集团在向客户转让商品或服务前能够控制该商品或服务的，本集团为主要责任人，按照已收或应收对价总额确认收入</w:t>
      </w:r>
      <w:r w:rsidR="005F14EE" w:rsidRPr="003C2170">
        <w:rPr>
          <w:rFonts w:eastAsia="宋体" w:cs="Times New Roman" w:hint="eastAsia"/>
          <w:kern w:val="2"/>
          <w:szCs w:val="21"/>
        </w:rPr>
        <w:t>；</w:t>
      </w:r>
      <w:r w:rsidRPr="003C2170">
        <w:rPr>
          <w:rFonts w:eastAsia="宋体" w:cs="Times New Roman" w:hint="eastAsia"/>
          <w:kern w:val="2"/>
          <w:szCs w:val="21"/>
        </w:rPr>
        <w:t>否则，本集团为代理人，按照预期有权收取的佣金或手续费的金额确认收入，该金额按照已收或应收对价总额扣除应支付给其他相关方的价款后的净额</w:t>
      </w:r>
      <w:r w:rsidR="004919FD" w:rsidRPr="003C2170">
        <w:rPr>
          <w:rFonts w:eastAsia="宋体" w:cs="Times New Roman" w:hint="eastAsia"/>
          <w:kern w:val="2"/>
          <w:szCs w:val="21"/>
        </w:rPr>
        <w:t>确定</w:t>
      </w:r>
      <w:r w:rsidRPr="003C2170">
        <w:rPr>
          <w:rFonts w:eastAsia="宋体" w:cs="Times New Roman" w:hint="eastAsia"/>
          <w:kern w:val="2"/>
          <w:szCs w:val="21"/>
        </w:rPr>
        <w:t>。</w:t>
      </w:r>
    </w:p>
    <w:p w:rsidR="00EC1087" w:rsidRPr="003C2170" w:rsidRDefault="00EC1087" w:rsidP="0027505B">
      <w:pPr>
        <w:ind w:left="720" w:right="8"/>
        <w:jc w:val="both"/>
        <w:rPr>
          <w:rFonts w:eastAsia="宋体" w:cs="Times New Roman"/>
          <w:kern w:val="2"/>
          <w:szCs w:val="21"/>
        </w:rPr>
      </w:pPr>
    </w:p>
    <w:p w:rsidR="00EC1087" w:rsidRPr="003C2170" w:rsidRDefault="00EC1087" w:rsidP="0027505B">
      <w:pPr>
        <w:ind w:left="720" w:right="8"/>
        <w:jc w:val="both"/>
        <w:rPr>
          <w:rFonts w:eastAsia="宋体" w:cs="Times New Roman"/>
          <w:szCs w:val="21"/>
        </w:rPr>
      </w:pPr>
      <w:r w:rsidRPr="003C2170">
        <w:rPr>
          <w:rFonts w:eastAsia="宋体" w:cs="Times New Roman" w:hint="eastAsia"/>
          <w:kern w:val="2"/>
          <w:szCs w:val="21"/>
        </w:rPr>
        <w:t>本集团向客户预收销售商品或服务款项的，首先将该款项确认为负债，</w:t>
      </w:r>
      <w:proofErr w:type="gramStart"/>
      <w:r w:rsidRPr="003C2170">
        <w:rPr>
          <w:rFonts w:eastAsia="宋体" w:cs="Times New Roman" w:hint="eastAsia"/>
          <w:kern w:val="2"/>
          <w:szCs w:val="21"/>
        </w:rPr>
        <w:t>待履行</w:t>
      </w:r>
      <w:proofErr w:type="gramEnd"/>
      <w:r w:rsidRPr="003C2170">
        <w:rPr>
          <w:rFonts w:eastAsia="宋体" w:cs="Times New Roman" w:hint="eastAsia"/>
          <w:kern w:val="2"/>
          <w:szCs w:val="21"/>
        </w:rPr>
        <w:t>了相关履约义务时再转为收入。当本集团预收款项无需退回，且客户可能会放弃其全部或部分合同权利时，本集团预期将有权获得与客户所放弃的合同权利相关的金额的，按照客户行使合同权利的模式按比例将上述金额确认为收入</w:t>
      </w:r>
      <w:r w:rsidR="005F14EE" w:rsidRPr="003C2170">
        <w:rPr>
          <w:rFonts w:eastAsia="宋体" w:cs="Times New Roman" w:hint="eastAsia"/>
          <w:kern w:val="2"/>
          <w:szCs w:val="21"/>
        </w:rPr>
        <w:t>；</w:t>
      </w:r>
      <w:r w:rsidRPr="003C2170">
        <w:rPr>
          <w:rFonts w:eastAsia="宋体" w:cs="Times New Roman" w:hint="eastAsia"/>
          <w:kern w:val="2"/>
          <w:szCs w:val="21"/>
        </w:rPr>
        <w:t>否则，本集团只有在客户要求履行剩余履约义务的可能性极低时，才将上述负债的相关余额转为收入。</w:t>
      </w:r>
    </w:p>
    <w:p w:rsidR="00ED3E81" w:rsidRPr="003C2170" w:rsidRDefault="00ED3E81" w:rsidP="0027505B">
      <w:pPr>
        <w:ind w:left="720" w:right="8"/>
        <w:jc w:val="both"/>
        <w:rPr>
          <w:rFonts w:eastAsia="宋体" w:cs="Times New Roman"/>
          <w:kern w:val="2"/>
          <w:szCs w:val="21"/>
        </w:rPr>
      </w:pPr>
    </w:p>
    <w:p w:rsidR="00A54A07" w:rsidRPr="003C2170" w:rsidRDefault="00ED3E81" w:rsidP="0027505B">
      <w:pPr>
        <w:ind w:left="720" w:right="8"/>
        <w:jc w:val="both"/>
        <w:rPr>
          <w:rFonts w:eastAsia="宋体" w:cs="Times New Roman"/>
          <w:kern w:val="2"/>
          <w:szCs w:val="21"/>
        </w:rPr>
      </w:pPr>
      <w:r w:rsidRPr="003C2170">
        <w:rPr>
          <w:rFonts w:eastAsia="宋体" w:cs="Times New Roman" w:hint="eastAsia"/>
          <w:kern w:val="2"/>
          <w:szCs w:val="21"/>
        </w:rPr>
        <w:t>本集团拥有的无条件</w:t>
      </w:r>
      <w:r w:rsidR="005F14EE" w:rsidRPr="003C2170">
        <w:rPr>
          <w:rFonts w:eastAsia="宋体" w:cs="Times New Roman"/>
          <w:kern w:val="2"/>
          <w:szCs w:val="21"/>
        </w:rPr>
        <w:t>(</w:t>
      </w:r>
      <w:r w:rsidRPr="003C2170">
        <w:rPr>
          <w:rFonts w:eastAsia="宋体" w:cs="Times New Roman" w:hint="eastAsia"/>
          <w:kern w:val="2"/>
          <w:szCs w:val="21"/>
        </w:rPr>
        <w:t>即，仅取决于时间流逝</w:t>
      </w:r>
      <w:r w:rsidR="005F14EE" w:rsidRPr="003C2170">
        <w:rPr>
          <w:rFonts w:eastAsia="宋体" w:cs="Times New Roman"/>
          <w:kern w:val="2"/>
          <w:szCs w:val="21"/>
        </w:rPr>
        <w:t>)</w:t>
      </w:r>
      <w:r w:rsidRPr="003C2170">
        <w:rPr>
          <w:rFonts w:eastAsia="宋体" w:cs="Times New Roman" w:hint="eastAsia"/>
          <w:kern w:val="2"/>
          <w:szCs w:val="21"/>
        </w:rPr>
        <w:t>向客户收取对价的权利作为应收款项单独列示。</w:t>
      </w:r>
    </w:p>
    <w:p w:rsidR="00A54A07" w:rsidRPr="003C2170" w:rsidRDefault="00A54A07" w:rsidP="0027505B">
      <w:pPr>
        <w:ind w:left="720" w:right="8"/>
        <w:jc w:val="both"/>
        <w:rPr>
          <w:rFonts w:eastAsia="宋体" w:cs="Times New Roman"/>
          <w:kern w:val="2"/>
          <w:szCs w:val="21"/>
        </w:rPr>
      </w:pPr>
    </w:p>
    <w:p w:rsidR="00EC1087" w:rsidRPr="003C2170" w:rsidRDefault="00EC1087"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合同成本</w:t>
      </w:r>
    </w:p>
    <w:p w:rsidR="00EC1087" w:rsidRPr="003C2170" w:rsidRDefault="00EC1087" w:rsidP="0027505B">
      <w:pPr>
        <w:autoSpaceDE w:val="0"/>
        <w:autoSpaceDN w:val="0"/>
        <w:ind w:left="720" w:right="8"/>
        <w:jc w:val="both"/>
        <w:rPr>
          <w:rFonts w:eastAsia="宋体" w:cs="Times New Roman"/>
          <w:szCs w:val="21"/>
        </w:rPr>
      </w:pPr>
    </w:p>
    <w:p w:rsidR="00E13351" w:rsidRPr="003C2170" w:rsidRDefault="00536527" w:rsidP="0027505B">
      <w:pPr>
        <w:ind w:left="720" w:right="8"/>
        <w:jc w:val="both"/>
        <w:rPr>
          <w:rFonts w:eastAsia="宋体" w:cs="Times New Roman"/>
          <w:szCs w:val="21"/>
          <w:u w:val="single"/>
        </w:rPr>
      </w:pPr>
      <w:r w:rsidRPr="003C2170">
        <w:rPr>
          <w:rFonts w:eastAsia="宋体" w:cs="Times New Roman"/>
          <w:szCs w:val="21"/>
          <w:u w:val="single"/>
        </w:rPr>
        <w:t>2</w:t>
      </w:r>
      <w:r w:rsidR="00BD14D4" w:rsidRPr="003C2170">
        <w:rPr>
          <w:rFonts w:eastAsia="宋体" w:cs="Times New Roman"/>
          <w:szCs w:val="21"/>
          <w:u w:val="single"/>
        </w:rPr>
        <w:t>8</w:t>
      </w:r>
      <w:r w:rsidR="00E13351" w:rsidRPr="003C2170">
        <w:rPr>
          <w:rFonts w:eastAsia="宋体" w:cs="Times New Roman"/>
          <w:szCs w:val="21"/>
          <w:u w:val="single"/>
        </w:rPr>
        <w:t>.1</w:t>
      </w:r>
      <w:r w:rsidR="00E13351" w:rsidRPr="003C2170">
        <w:rPr>
          <w:rFonts w:eastAsia="宋体" w:cs="Times New Roman"/>
          <w:szCs w:val="21"/>
          <w:u w:val="single"/>
        </w:rPr>
        <w:tab/>
      </w:r>
      <w:r w:rsidR="00E13351" w:rsidRPr="003C2170">
        <w:rPr>
          <w:rFonts w:eastAsia="宋体" w:cs="Times New Roman" w:hint="eastAsia"/>
          <w:szCs w:val="21"/>
          <w:u w:val="single"/>
        </w:rPr>
        <w:t>取得合同的成本</w:t>
      </w:r>
      <w:r w:rsidR="00E13351" w:rsidRPr="003C2170">
        <w:rPr>
          <w:rFonts w:eastAsia="宋体" w:cs="Times New Roman"/>
          <w:szCs w:val="21"/>
          <w:u w:val="single"/>
        </w:rPr>
        <w:cr/>
      </w:r>
    </w:p>
    <w:p w:rsidR="00E13351" w:rsidRPr="003C2170" w:rsidRDefault="00864CA1" w:rsidP="0027505B">
      <w:pPr>
        <w:ind w:left="720" w:right="8"/>
        <w:jc w:val="both"/>
        <w:rPr>
          <w:rFonts w:eastAsia="宋体" w:cs="Times New Roman"/>
          <w:szCs w:val="21"/>
          <w:u w:val="single"/>
        </w:rPr>
      </w:pPr>
      <w:r w:rsidRPr="003C2170">
        <w:rPr>
          <w:rFonts w:eastAsia="宋体" w:cs="Times New Roman" w:hint="eastAsia"/>
          <w:szCs w:val="21"/>
        </w:rPr>
        <w:t>本集团为取得合同发生的增量成本</w:t>
      </w:r>
      <w:r w:rsidR="005F14EE" w:rsidRPr="003C2170">
        <w:rPr>
          <w:rFonts w:eastAsia="宋体" w:cs="Times New Roman"/>
          <w:szCs w:val="21"/>
        </w:rPr>
        <w:t>(</w:t>
      </w:r>
      <w:r w:rsidRPr="003C2170">
        <w:rPr>
          <w:rFonts w:eastAsia="宋体" w:cs="Times New Roman" w:hint="eastAsia"/>
          <w:szCs w:val="21"/>
        </w:rPr>
        <w:t>即不取得合同就不会发生的成本</w:t>
      </w:r>
      <w:r w:rsidR="005F14EE" w:rsidRPr="003C2170">
        <w:rPr>
          <w:rFonts w:eastAsia="宋体" w:cs="Times New Roman"/>
          <w:szCs w:val="21"/>
        </w:rPr>
        <w:t>)</w:t>
      </w:r>
      <w:r w:rsidRPr="003C2170">
        <w:rPr>
          <w:rFonts w:eastAsia="宋体" w:cs="Times New Roman" w:hint="eastAsia"/>
          <w:szCs w:val="21"/>
        </w:rPr>
        <w:t>预期能够收回的，确认为一项资产，并采用与该</w:t>
      </w:r>
      <w:r w:rsidR="00E775C6" w:rsidRPr="003C2170">
        <w:rPr>
          <w:rFonts w:eastAsia="宋体" w:cs="Times New Roman" w:hint="eastAsia"/>
          <w:szCs w:val="21"/>
        </w:rPr>
        <w:t>资产相关的商品或服务收入确认相同的基础进行摊销，计入当期损益。</w:t>
      </w:r>
      <w:r w:rsidRPr="003C2170">
        <w:rPr>
          <w:rFonts w:eastAsia="宋体" w:cs="Times New Roman" w:hint="eastAsia"/>
          <w:szCs w:val="21"/>
        </w:rPr>
        <w:t>本集团为取得合同发生的其他支出，在发生时计入当期损益，明确由客户承担的除外。</w:t>
      </w:r>
      <w:r w:rsidRPr="003C2170">
        <w:rPr>
          <w:rFonts w:eastAsia="宋体" w:cs="Times New Roman"/>
          <w:szCs w:val="21"/>
        </w:rPr>
        <w:cr/>
      </w:r>
    </w:p>
    <w:p w:rsidR="00EC1087" w:rsidRPr="003C2170" w:rsidRDefault="00536527" w:rsidP="0027505B">
      <w:pPr>
        <w:ind w:left="720" w:right="8"/>
        <w:jc w:val="both"/>
        <w:rPr>
          <w:rFonts w:eastAsia="宋体" w:cs="Times New Roman"/>
          <w:szCs w:val="21"/>
          <w:u w:val="single"/>
        </w:rPr>
      </w:pPr>
      <w:r w:rsidRPr="003C2170">
        <w:rPr>
          <w:rFonts w:eastAsia="宋体" w:cs="Times New Roman"/>
          <w:szCs w:val="21"/>
          <w:u w:val="single"/>
        </w:rPr>
        <w:t>2</w:t>
      </w:r>
      <w:r w:rsidR="00BD14D4" w:rsidRPr="003C2170">
        <w:rPr>
          <w:rFonts w:eastAsia="宋体" w:cs="Times New Roman"/>
          <w:szCs w:val="21"/>
          <w:u w:val="single"/>
        </w:rPr>
        <w:t>8</w:t>
      </w:r>
      <w:r w:rsidR="00E13351" w:rsidRPr="003C2170">
        <w:rPr>
          <w:rFonts w:eastAsia="宋体" w:cs="Times New Roman"/>
          <w:szCs w:val="21"/>
          <w:u w:val="single"/>
        </w:rPr>
        <w:t>.2</w:t>
      </w:r>
      <w:r w:rsidR="00B14D1A" w:rsidRPr="003C2170">
        <w:rPr>
          <w:rFonts w:eastAsia="宋体" w:cs="Times New Roman"/>
          <w:szCs w:val="21"/>
          <w:u w:val="single"/>
        </w:rPr>
        <w:tab/>
      </w:r>
      <w:r w:rsidR="00EC1087" w:rsidRPr="003C2170">
        <w:rPr>
          <w:rFonts w:eastAsia="宋体" w:cs="Times New Roman" w:hint="eastAsia"/>
          <w:szCs w:val="21"/>
          <w:u w:val="single"/>
        </w:rPr>
        <w:t>履行合同的成本</w:t>
      </w:r>
    </w:p>
    <w:p w:rsidR="00EC1087" w:rsidRPr="003C2170" w:rsidRDefault="00EC1087" w:rsidP="0027505B">
      <w:pPr>
        <w:ind w:left="720" w:right="8"/>
        <w:jc w:val="both"/>
        <w:rPr>
          <w:rFonts w:eastAsia="宋体" w:cs="Times New Roman"/>
          <w:szCs w:val="21"/>
        </w:rPr>
      </w:pPr>
    </w:p>
    <w:p w:rsidR="00A54A07" w:rsidRPr="003C2170" w:rsidRDefault="00EC1087" w:rsidP="0027505B">
      <w:pPr>
        <w:ind w:left="720" w:right="8"/>
        <w:jc w:val="both"/>
        <w:rPr>
          <w:rFonts w:eastAsia="宋体" w:cs="Times New Roman"/>
          <w:szCs w:val="21"/>
        </w:rPr>
      </w:pPr>
      <w:r w:rsidRPr="003C2170">
        <w:rPr>
          <w:rFonts w:eastAsia="宋体" w:cs="Times New Roman" w:hint="eastAsia"/>
          <w:szCs w:val="21"/>
        </w:rPr>
        <w:t>本集团为履行合同发生的成本，不属于除收入准则外的其他企业会计准则规范范围且同时满足下列条件的，确认为一项资产</w:t>
      </w:r>
      <w:r w:rsidR="005F14EE" w:rsidRPr="003C2170">
        <w:rPr>
          <w:rFonts w:eastAsia="宋体" w:cs="Times New Roman" w:hint="eastAsia"/>
          <w:szCs w:val="21"/>
        </w:rPr>
        <w:t>：</w:t>
      </w:r>
      <w:r w:rsidR="005F14EE" w:rsidRPr="003C2170">
        <w:rPr>
          <w:rFonts w:eastAsia="宋体" w:cs="Times New Roman"/>
          <w:szCs w:val="21"/>
        </w:rPr>
        <w:t>(</w:t>
      </w:r>
      <w:r w:rsidRPr="003C2170">
        <w:rPr>
          <w:rFonts w:eastAsia="宋体" w:cs="Times New Roman"/>
          <w:szCs w:val="21"/>
        </w:rPr>
        <w:t>1</w:t>
      </w:r>
      <w:r w:rsidR="005F14EE" w:rsidRPr="003C2170">
        <w:rPr>
          <w:rFonts w:eastAsia="宋体" w:cs="Times New Roman"/>
          <w:szCs w:val="21"/>
        </w:rPr>
        <w:t>)</w:t>
      </w:r>
      <w:proofErr w:type="gramStart"/>
      <w:r w:rsidRPr="003C2170">
        <w:rPr>
          <w:rFonts w:eastAsia="宋体" w:cs="Times New Roman" w:hint="eastAsia"/>
          <w:szCs w:val="21"/>
        </w:rPr>
        <w:t>该成本</w:t>
      </w:r>
      <w:proofErr w:type="gramEnd"/>
      <w:r w:rsidRPr="003C2170">
        <w:rPr>
          <w:rFonts w:eastAsia="宋体" w:cs="Times New Roman" w:hint="eastAsia"/>
          <w:szCs w:val="21"/>
        </w:rPr>
        <w:t>与一份当前或预期取得的合同直接相关</w:t>
      </w:r>
      <w:r w:rsidR="005F14EE" w:rsidRPr="003C2170">
        <w:rPr>
          <w:rFonts w:eastAsia="宋体" w:cs="Times New Roman" w:hint="eastAsia"/>
          <w:szCs w:val="21"/>
        </w:rPr>
        <w:t>；</w:t>
      </w:r>
      <w:r w:rsidR="005F14EE" w:rsidRPr="003C2170">
        <w:rPr>
          <w:rFonts w:eastAsia="宋体" w:cs="Times New Roman"/>
          <w:szCs w:val="21"/>
        </w:rPr>
        <w:t>(</w:t>
      </w:r>
      <w:r w:rsidRPr="003C2170">
        <w:rPr>
          <w:rFonts w:eastAsia="宋体" w:cs="Times New Roman"/>
          <w:szCs w:val="21"/>
        </w:rPr>
        <w:t>2</w:t>
      </w:r>
      <w:r w:rsidR="005F14EE" w:rsidRPr="003C2170">
        <w:rPr>
          <w:rFonts w:eastAsia="宋体" w:cs="Times New Roman"/>
          <w:szCs w:val="21"/>
        </w:rPr>
        <w:t>)</w:t>
      </w:r>
      <w:proofErr w:type="gramStart"/>
      <w:r w:rsidRPr="003C2170">
        <w:rPr>
          <w:rFonts w:eastAsia="宋体" w:cs="Times New Roman" w:hint="eastAsia"/>
          <w:szCs w:val="21"/>
        </w:rPr>
        <w:t>该成本</w:t>
      </w:r>
      <w:proofErr w:type="gramEnd"/>
      <w:r w:rsidRPr="003C2170">
        <w:rPr>
          <w:rFonts w:eastAsia="宋体" w:cs="Times New Roman" w:hint="eastAsia"/>
          <w:szCs w:val="21"/>
        </w:rPr>
        <w:t>增加了本集团未来用于履行履约义务的资源</w:t>
      </w:r>
      <w:r w:rsidR="005F14EE" w:rsidRPr="003C2170">
        <w:rPr>
          <w:rFonts w:eastAsia="宋体" w:cs="Times New Roman" w:hint="eastAsia"/>
          <w:szCs w:val="21"/>
        </w:rPr>
        <w:t>；</w:t>
      </w:r>
      <w:r w:rsidR="005F14EE" w:rsidRPr="003C2170">
        <w:rPr>
          <w:rFonts w:eastAsia="宋体" w:cs="Times New Roman"/>
          <w:szCs w:val="21"/>
        </w:rPr>
        <w:t>(</w:t>
      </w:r>
      <w:r w:rsidRPr="003C2170">
        <w:rPr>
          <w:rFonts w:eastAsia="宋体" w:cs="Times New Roman"/>
          <w:szCs w:val="21"/>
        </w:rPr>
        <w:t>3</w:t>
      </w:r>
      <w:r w:rsidR="005F14EE" w:rsidRPr="003C2170">
        <w:rPr>
          <w:rFonts w:eastAsia="宋体" w:cs="Times New Roman"/>
          <w:szCs w:val="21"/>
        </w:rPr>
        <w:t>)</w:t>
      </w:r>
      <w:proofErr w:type="gramStart"/>
      <w:r w:rsidRPr="003C2170">
        <w:rPr>
          <w:rFonts w:eastAsia="宋体" w:cs="Times New Roman" w:hint="eastAsia"/>
          <w:szCs w:val="21"/>
        </w:rPr>
        <w:t>该成本</w:t>
      </w:r>
      <w:proofErr w:type="gramEnd"/>
      <w:r w:rsidRPr="003C2170">
        <w:rPr>
          <w:rFonts w:eastAsia="宋体" w:cs="Times New Roman" w:hint="eastAsia"/>
          <w:szCs w:val="21"/>
        </w:rPr>
        <w:t>预期能够收回。上述资产采用与该资产相关的商品或服务收入确认相同的基础进行摊销，计入当期损益。</w:t>
      </w:r>
    </w:p>
    <w:p w:rsidR="00BD14D4" w:rsidRPr="003C2170" w:rsidRDefault="00BD14D4" w:rsidP="0027505B">
      <w:pPr>
        <w:ind w:right="8"/>
        <w:jc w:val="both"/>
        <w:rPr>
          <w:rFonts w:eastAsia="宋体" w:cs="Times New Roman"/>
          <w:kern w:val="2"/>
          <w:szCs w:val="21"/>
        </w:rPr>
      </w:pPr>
      <w:r w:rsidRPr="003C2170">
        <w:rPr>
          <w:rFonts w:eastAsia="宋体" w:cs="Times New Roman"/>
          <w:kern w:val="2"/>
          <w:szCs w:val="21"/>
        </w:rPr>
        <w:br w:type="page"/>
      </w:r>
    </w:p>
    <w:p w:rsidR="00BD14D4" w:rsidRPr="003C2170" w:rsidRDefault="005F14EE" w:rsidP="0027505B">
      <w:pPr>
        <w:ind w:right="8"/>
        <w:jc w:val="both"/>
        <w:rPr>
          <w:rFonts w:eastAsia="宋体" w:cs="Times New Roman"/>
          <w:szCs w:val="21"/>
        </w:rPr>
      </w:pPr>
      <w:r w:rsidRPr="003C2170">
        <w:rPr>
          <w:rFonts w:eastAsia="宋体" w:cs="Times New Roman"/>
          <w:b/>
          <w:szCs w:val="21"/>
        </w:rPr>
        <w:t>(</w:t>
      </w:r>
      <w:r w:rsidR="00BD14D4" w:rsidRPr="003C2170">
        <w:rPr>
          <w:rFonts w:eastAsia="宋体" w:cs="Times New Roman" w:hint="eastAsia"/>
          <w:b/>
          <w:szCs w:val="21"/>
        </w:rPr>
        <w:t>三</w:t>
      </w:r>
      <w:r w:rsidRPr="003C2170">
        <w:rPr>
          <w:rFonts w:eastAsia="宋体" w:cs="Times New Roman"/>
          <w:b/>
          <w:szCs w:val="21"/>
        </w:rPr>
        <w:t>)</w:t>
      </w:r>
      <w:r w:rsidR="00BD14D4" w:rsidRPr="003C2170">
        <w:rPr>
          <w:rFonts w:eastAsia="宋体" w:cs="Times New Roman"/>
          <w:b/>
          <w:szCs w:val="21"/>
        </w:rPr>
        <w:tab/>
      </w:r>
      <w:r w:rsidR="00BD14D4" w:rsidRPr="003C2170">
        <w:rPr>
          <w:rFonts w:eastAsia="宋体" w:cs="Times New Roman" w:hint="eastAsia"/>
          <w:b/>
          <w:szCs w:val="21"/>
        </w:rPr>
        <w:t>重要会计政策和会计估计</w:t>
      </w:r>
      <w:r w:rsidR="00BD14D4" w:rsidRPr="003C2170">
        <w:rPr>
          <w:rFonts w:eastAsia="宋体" w:cs="Times New Roman"/>
          <w:szCs w:val="21"/>
        </w:rPr>
        <w:t xml:space="preserve"> - </w:t>
      </w:r>
      <w:r w:rsidR="00BD14D4" w:rsidRPr="003C2170">
        <w:rPr>
          <w:rFonts w:eastAsia="宋体" w:cs="Times New Roman" w:hint="eastAsia"/>
          <w:szCs w:val="21"/>
        </w:rPr>
        <w:t>续</w:t>
      </w:r>
    </w:p>
    <w:p w:rsidR="00BD14D4" w:rsidRPr="003C2170" w:rsidRDefault="00BD14D4" w:rsidP="0027505B">
      <w:pPr>
        <w:ind w:leftChars="342" w:left="718" w:right="8"/>
        <w:jc w:val="both"/>
        <w:rPr>
          <w:rFonts w:eastAsia="宋体" w:cs="Times New Roman"/>
          <w:kern w:val="2"/>
          <w:szCs w:val="21"/>
        </w:rPr>
      </w:pPr>
    </w:p>
    <w:p w:rsidR="00BD14D4" w:rsidRPr="003C2170" w:rsidRDefault="00BD14D4" w:rsidP="0027505B">
      <w:pPr>
        <w:ind w:leftChars="342" w:left="718" w:right="8" w:firstLine="1"/>
        <w:jc w:val="both"/>
        <w:rPr>
          <w:rFonts w:eastAsia="宋体" w:cs="Times New Roman"/>
          <w:szCs w:val="21"/>
        </w:rPr>
      </w:pPr>
      <w:r w:rsidRPr="003C2170">
        <w:rPr>
          <w:rFonts w:eastAsia="宋体" w:cs="Times New Roman"/>
          <w:b/>
          <w:szCs w:val="21"/>
        </w:rPr>
        <w:t>28.</w:t>
      </w:r>
      <w:r w:rsidRPr="003C2170">
        <w:rPr>
          <w:rFonts w:eastAsia="宋体" w:cs="Times New Roman"/>
          <w:b/>
          <w:szCs w:val="21"/>
        </w:rPr>
        <w:tab/>
      </w:r>
      <w:r w:rsidRPr="003C2170">
        <w:rPr>
          <w:rFonts w:eastAsia="宋体" w:cs="Times New Roman" w:hint="eastAsia"/>
          <w:b/>
          <w:bCs/>
          <w:snapToGrid w:val="0"/>
          <w:szCs w:val="21"/>
        </w:rPr>
        <w:t>合同成本</w:t>
      </w:r>
      <w:r w:rsidRPr="003C2170">
        <w:rPr>
          <w:rFonts w:eastAsia="宋体" w:cs="Times New Roman"/>
          <w:snapToGrid w:val="0"/>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5D7660" w:rsidRPr="003C2170" w:rsidRDefault="005D7660" w:rsidP="0027505B">
      <w:pPr>
        <w:ind w:leftChars="342" w:left="718" w:right="8"/>
        <w:jc w:val="both"/>
        <w:rPr>
          <w:rFonts w:eastAsia="宋体" w:cs="Times New Roman"/>
          <w:kern w:val="2"/>
          <w:szCs w:val="21"/>
        </w:rPr>
      </w:pPr>
    </w:p>
    <w:p w:rsidR="00C1368A" w:rsidRPr="003C2170" w:rsidRDefault="00205170" w:rsidP="0027505B">
      <w:pPr>
        <w:ind w:left="720" w:right="8"/>
        <w:jc w:val="both"/>
        <w:rPr>
          <w:rFonts w:eastAsia="宋体" w:cs="Times New Roman"/>
          <w:kern w:val="2"/>
          <w:szCs w:val="21"/>
        </w:rPr>
      </w:pPr>
      <w:r w:rsidRPr="003C2170">
        <w:rPr>
          <w:rFonts w:eastAsia="宋体" w:cs="Times New Roman"/>
          <w:szCs w:val="21"/>
          <w:u w:val="single"/>
        </w:rPr>
        <w:t>2</w:t>
      </w:r>
      <w:r w:rsidR="00BD14D4" w:rsidRPr="003C2170">
        <w:rPr>
          <w:rFonts w:eastAsia="宋体" w:cs="Times New Roman"/>
          <w:szCs w:val="21"/>
          <w:u w:val="single"/>
        </w:rPr>
        <w:t>8</w:t>
      </w:r>
      <w:r w:rsidR="00C1368A" w:rsidRPr="003C2170">
        <w:rPr>
          <w:rFonts w:eastAsia="宋体" w:cs="Times New Roman"/>
          <w:szCs w:val="21"/>
          <w:u w:val="single"/>
        </w:rPr>
        <w:t>.3</w:t>
      </w:r>
      <w:r w:rsidR="00C1368A" w:rsidRPr="003C2170">
        <w:rPr>
          <w:rFonts w:eastAsia="宋体" w:cs="Times New Roman"/>
          <w:szCs w:val="21"/>
          <w:u w:val="single"/>
        </w:rPr>
        <w:tab/>
      </w:r>
      <w:r w:rsidR="00C1368A" w:rsidRPr="003C2170">
        <w:rPr>
          <w:rFonts w:eastAsia="宋体" w:cs="Times New Roman" w:hint="eastAsia"/>
          <w:szCs w:val="21"/>
          <w:u w:val="single"/>
        </w:rPr>
        <w:t>与合同成本有关的资产的减值损失</w:t>
      </w:r>
    </w:p>
    <w:p w:rsidR="00C1368A" w:rsidRPr="003C2170" w:rsidRDefault="00C1368A" w:rsidP="0027505B">
      <w:pPr>
        <w:ind w:left="720" w:right="8"/>
        <w:jc w:val="both"/>
        <w:rPr>
          <w:rFonts w:eastAsia="宋体" w:cs="Times New Roman"/>
          <w:kern w:val="2"/>
          <w:szCs w:val="21"/>
        </w:rPr>
      </w:pPr>
    </w:p>
    <w:p w:rsidR="00820195" w:rsidRPr="003C2170" w:rsidRDefault="00820195" w:rsidP="0027505B">
      <w:pPr>
        <w:ind w:left="720" w:right="8"/>
        <w:jc w:val="both"/>
        <w:rPr>
          <w:rFonts w:eastAsia="宋体" w:cs="Times New Roman"/>
          <w:kern w:val="2"/>
          <w:szCs w:val="21"/>
        </w:rPr>
      </w:pPr>
      <w:r w:rsidRPr="003C2170">
        <w:rPr>
          <w:rFonts w:eastAsia="宋体" w:cs="Times New Roman" w:hint="eastAsia"/>
          <w:kern w:val="2"/>
          <w:szCs w:val="21"/>
        </w:rPr>
        <w:t>在确定与合同成本有关的资产的减值损失时，首先对按照其他相关企业会计准则确认的、与合同有关的其他资产确定减值损失</w:t>
      </w:r>
      <w:r w:rsidR="005F14EE" w:rsidRPr="003C2170">
        <w:rPr>
          <w:rFonts w:eastAsia="宋体" w:cs="Times New Roman" w:hint="eastAsia"/>
          <w:kern w:val="2"/>
          <w:szCs w:val="21"/>
        </w:rPr>
        <w:t>；</w:t>
      </w:r>
      <w:r w:rsidRPr="003C2170">
        <w:rPr>
          <w:rFonts w:eastAsia="宋体" w:cs="Times New Roman" w:hint="eastAsia"/>
          <w:kern w:val="2"/>
          <w:szCs w:val="21"/>
        </w:rPr>
        <w:t>然后，对于与合同成本有关的资产，其账面价值高于下列两项的差额的，超出部分计提减值准备，并确认为资产减值损失</w:t>
      </w:r>
      <w:r w:rsidR="005F14EE" w:rsidRPr="003C2170">
        <w:rPr>
          <w:rFonts w:eastAsia="宋体" w:cs="Times New Roman" w:hint="eastAsia"/>
          <w:kern w:val="2"/>
          <w:szCs w:val="21"/>
        </w:rPr>
        <w:t>：</w:t>
      </w:r>
      <w:r w:rsidR="005F14EE" w:rsidRPr="003C2170">
        <w:rPr>
          <w:rFonts w:eastAsia="宋体" w:cs="Times New Roman"/>
          <w:kern w:val="2"/>
          <w:szCs w:val="21"/>
        </w:rPr>
        <w:t>(</w:t>
      </w:r>
      <w:r w:rsidRPr="003C2170">
        <w:rPr>
          <w:rFonts w:eastAsia="宋体" w:cs="Times New Roman"/>
          <w:kern w:val="2"/>
          <w:szCs w:val="21"/>
        </w:rPr>
        <w:t>1</w:t>
      </w:r>
      <w:r w:rsidR="005F14EE" w:rsidRPr="003C2170">
        <w:rPr>
          <w:rFonts w:eastAsia="宋体" w:cs="Times New Roman"/>
          <w:kern w:val="2"/>
          <w:szCs w:val="21"/>
        </w:rPr>
        <w:t>)</w:t>
      </w:r>
      <w:r w:rsidRPr="003C2170">
        <w:rPr>
          <w:rFonts w:eastAsia="宋体" w:cs="Times New Roman" w:hint="eastAsia"/>
          <w:kern w:val="2"/>
          <w:szCs w:val="21"/>
        </w:rPr>
        <w:t>本集团因转让与该资产相关的商品或服务预期能够取得的剩余对价</w:t>
      </w:r>
      <w:r w:rsidR="005F14EE" w:rsidRPr="003C2170">
        <w:rPr>
          <w:rFonts w:eastAsia="宋体" w:cs="Times New Roman" w:hint="eastAsia"/>
          <w:kern w:val="2"/>
          <w:szCs w:val="21"/>
        </w:rPr>
        <w:t>；</w:t>
      </w:r>
      <w:r w:rsidR="005F14EE" w:rsidRPr="003C2170">
        <w:rPr>
          <w:rFonts w:eastAsia="宋体" w:cs="Times New Roman"/>
          <w:kern w:val="2"/>
          <w:szCs w:val="21"/>
        </w:rPr>
        <w:t>(</w:t>
      </w:r>
      <w:r w:rsidRPr="003C2170">
        <w:rPr>
          <w:rFonts w:eastAsia="宋体" w:cs="Times New Roman"/>
          <w:kern w:val="2"/>
          <w:szCs w:val="21"/>
        </w:rPr>
        <w:t>2</w:t>
      </w:r>
      <w:r w:rsidR="005F14EE" w:rsidRPr="003C2170">
        <w:rPr>
          <w:rFonts w:eastAsia="宋体" w:cs="Times New Roman"/>
          <w:kern w:val="2"/>
          <w:szCs w:val="21"/>
        </w:rPr>
        <w:t>)</w:t>
      </w:r>
      <w:r w:rsidRPr="003C2170">
        <w:rPr>
          <w:rFonts w:eastAsia="宋体" w:cs="Times New Roman" w:hint="eastAsia"/>
          <w:kern w:val="2"/>
          <w:szCs w:val="21"/>
        </w:rPr>
        <w:t>为转让</w:t>
      </w:r>
      <w:proofErr w:type="gramStart"/>
      <w:r w:rsidRPr="003C2170">
        <w:rPr>
          <w:rFonts w:eastAsia="宋体" w:cs="Times New Roman" w:hint="eastAsia"/>
          <w:kern w:val="2"/>
          <w:szCs w:val="21"/>
        </w:rPr>
        <w:t>该相关</w:t>
      </w:r>
      <w:proofErr w:type="gramEnd"/>
      <w:r w:rsidRPr="003C2170">
        <w:rPr>
          <w:rFonts w:eastAsia="宋体" w:cs="Times New Roman" w:hint="eastAsia"/>
          <w:kern w:val="2"/>
          <w:szCs w:val="21"/>
        </w:rPr>
        <w:t>商品或服务估计将要发生的成本。</w:t>
      </w:r>
    </w:p>
    <w:p w:rsidR="00820195" w:rsidRPr="003C2170" w:rsidRDefault="00820195" w:rsidP="0027505B">
      <w:pPr>
        <w:ind w:left="720" w:right="8"/>
        <w:jc w:val="both"/>
        <w:rPr>
          <w:rFonts w:eastAsia="宋体" w:cs="Times New Roman"/>
          <w:kern w:val="2"/>
          <w:szCs w:val="21"/>
        </w:rPr>
      </w:pPr>
    </w:p>
    <w:p w:rsidR="00DA086E" w:rsidRPr="003C2170" w:rsidRDefault="00D133A9" w:rsidP="0027505B">
      <w:pPr>
        <w:ind w:left="720" w:right="8"/>
        <w:jc w:val="both"/>
        <w:rPr>
          <w:rFonts w:eastAsia="宋体" w:cs="Times New Roman"/>
          <w:szCs w:val="21"/>
        </w:rPr>
      </w:pPr>
      <w:r w:rsidRPr="003C2170">
        <w:rPr>
          <w:rFonts w:eastAsia="宋体" w:cs="Times New Roman" w:hint="eastAsia"/>
          <w:kern w:val="2"/>
          <w:szCs w:val="21"/>
        </w:rPr>
        <w:t>与合同成本相关的资产计提减值准备后，如果以前期间减值的因素发生变化，使得上述两项差额高于该资产账面价值的，转回原已计提的资产减值准备，并计入当期损益，但转回后的资产账面价值不超过假定不计提减值准备情况下该资产在</w:t>
      </w:r>
      <w:proofErr w:type="gramStart"/>
      <w:r w:rsidRPr="003C2170">
        <w:rPr>
          <w:rFonts w:eastAsia="宋体" w:cs="Times New Roman" w:hint="eastAsia"/>
          <w:kern w:val="2"/>
          <w:szCs w:val="21"/>
        </w:rPr>
        <w:t>转回日</w:t>
      </w:r>
      <w:proofErr w:type="gramEnd"/>
      <w:r w:rsidRPr="003C2170">
        <w:rPr>
          <w:rFonts w:eastAsia="宋体" w:cs="Times New Roman" w:hint="eastAsia"/>
          <w:kern w:val="2"/>
          <w:szCs w:val="21"/>
        </w:rPr>
        <w:t>的账面价值。</w:t>
      </w:r>
    </w:p>
    <w:p w:rsidR="006513D7" w:rsidRPr="003C2170" w:rsidRDefault="006513D7" w:rsidP="0027505B">
      <w:pPr>
        <w:ind w:left="720" w:right="8"/>
        <w:jc w:val="both"/>
        <w:rPr>
          <w:rFonts w:eastAsia="宋体" w:cs="Times New Roman"/>
          <w:szCs w:val="21"/>
        </w:rPr>
      </w:pPr>
    </w:p>
    <w:p w:rsidR="0071385F" w:rsidRPr="003C2170" w:rsidRDefault="0071385F"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b w:val="0"/>
          <w:szCs w:val="21"/>
        </w:rPr>
      </w:pPr>
      <w:r w:rsidRPr="003C2170">
        <w:rPr>
          <w:rFonts w:ascii="Times New Roman" w:eastAsia="宋体" w:hAnsi="Times New Roman" w:cs="Times New Roman" w:hint="eastAsia"/>
          <w:szCs w:val="21"/>
        </w:rPr>
        <w:t>政府补助</w:t>
      </w:r>
    </w:p>
    <w:p w:rsidR="0071385F" w:rsidRPr="003C2170" w:rsidRDefault="0071385F" w:rsidP="0027505B">
      <w:pPr>
        <w:ind w:left="720" w:right="8"/>
        <w:jc w:val="both"/>
        <w:rPr>
          <w:rFonts w:eastAsia="宋体" w:cs="Times New Roman"/>
          <w:szCs w:val="21"/>
        </w:rPr>
      </w:pPr>
    </w:p>
    <w:p w:rsidR="006513D7" w:rsidRPr="003C2170" w:rsidRDefault="006513D7" w:rsidP="0027505B">
      <w:pPr>
        <w:ind w:left="720" w:right="8"/>
        <w:jc w:val="both"/>
        <w:rPr>
          <w:rFonts w:eastAsia="宋体" w:cs="Times New Roman"/>
          <w:szCs w:val="21"/>
        </w:rPr>
      </w:pPr>
      <w:r w:rsidRPr="003C2170">
        <w:rPr>
          <w:rFonts w:eastAsia="宋体" w:cs="Times New Roman" w:hint="eastAsia"/>
          <w:szCs w:val="21"/>
        </w:rPr>
        <w:t>政府补助是指本集团从政府无偿取得货币性资产和非货币性资产，政府补助在能够满足政府补助所附条件且能够收到时予以确认。</w:t>
      </w:r>
    </w:p>
    <w:p w:rsidR="006513D7" w:rsidRPr="003C2170" w:rsidRDefault="006513D7" w:rsidP="0027505B">
      <w:pPr>
        <w:ind w:left="720" w:right="8"/>
        <w:jc w:val="both"/>
        <w:rPr>
          <w:rFonts w:eastAsia="宋体" w:cs="Times New Roman"/>
          <w:szCs w:val="21"/>
        </w:rPr>
      </w:pPr>
    </w:p>
    <w:p w:rsidR="006513D7" w:rsidRPr="003C2170" w:rsidRDefault="006513D7" w:rsidP="0027505B">
      <w:pPr>
        <w:ind w:left="720" w:right="8"/>
        <w:jc w:val="both"/>
        <w:rPr>
          <w:rFonts w:eastAsia="宋体" w:cs="Times New Roman"/>
          <w:szCs w:val="21"/>
        </w:rPr>
      </w:pPr>
      <w:r w:rsidRPr="003C2170">
        <w:rPr>
          <w:rFonts w:eastAsia="宋体" w:cs="Times New Roman" w:hint="eastAsia"/>
          <w:szCs w:val="21"/>
        </w:rPr>
        <w:t>政府补助为货币性资产的，按照收到或应收的金额计量。</w:t>
      </w:r>
    </w:p>
    <w:p w:rsidR="00EC1087" w:rsidRPr="003C2170" w:rsidRDefault="00EC1087" w:rsidP="0027505B">
      <w:pPr>
        <w:ind w:left="720" w:right="8"/>
        <w:jc w:val="both"/>
        <w:rPr>
          <w:rFonts w:eastAsia="宋体" w:cs="Times New Roman"/>
          <w:szCs w:val="21"/>
        </w:rPr>
      </w:pPr>
    </w:p>
    <w:p w:rsidR="00EC1087" w:rsidRPr="003C2170" w:rsidRDefault="00B3563C" w:rsidP="0027505B">
      <w:pPr>
        <w:ind w:left="720" w:right="8"/>
        <w:jc w:val="both"/>
        <w:rPr>
          <w:rFonts w:eastAsia="宋体" w:cs="Times New Roman"/>
          <w:szCs w:val="21"/>
          <w:u w:val="single"/>
        </w:rPr>
      </w:pPr>
      <w:r w:rsidRPr="003C2170">
        <w:rPr>
          <w:rFonts w:eastAsia="宋体" w:cs="Times New Roman"/>
          <w:szCs w:val="21"/>
          <w:u w:val="single"/>
        </w:rPr>
        <w:t>2</w:t>
      </w:r>
      <w:r w:rsidR="00BD14D4" w:rsidRPr="003C2170">
        <w:rPr>
          <w:rFonts w:eastAsia="宋体" w:cs="Times New Roman"/>
          <w:szCs w:val="21"/>
          <w:u w:val="single"/>
        </w:rPr>
        <w:t>9</w:t>
      </w:r>
      <w:r w:rsidR="00EC1087" w:rsidRPr="003C2170">
        <w:rPr>
          <w:rFonts w:eastAsia="宋体" w:cs="Times New Roman"/>
          <w:szCs w:val="21"/>
          <w:u w:val="single"/>
        </w:rPr>
        <w:t>.1</w:t>
      </w:r>
      <w:r w:rsidR="00B14D1A" w:rsidRPr="003C2170">
        <w:rPr>
          <w:rFonts w:eastAsia="宋体" w:cs="Times New Roman"/>
          <w:szCs w:val="21"/>
          <w:u w:val="single"/>
        </w:rPr>
        <w:tab/>
      </w:r>
      <w:r w:rsidR="00EC1087" w:rsidRPr="003C2170">
        <w:rPr>
          <w:rFonts w:eastAsia="宋体" w:cs="Times New Roman" w:hint="eastAsia"/>
          <w:szCs w:val="21"/>
          <w:u w:val="single"/>
        </w:rPr>
        <w:t>与资产相关的政府补助判断依据及会计处理方法</w:t>
      </w:r>
    </w:p>
    <w:p w:rsidR="00EC1087" w:rsidRPr="003C2170" w:rsidRDefault="00EC1087" w:rsidP="0027505B">
      <w:pPr>
        <w:ind w:left="720" w:right="8"/>
        <w:jc w:val="both"/>
        <w:rPr>
          <w:rFonts w:eastAsia="宋体" w:cs="Times New Roman"/>
          <w:szCs w:val="21"/>
          <w:u w:val="single"/>
        </w:rPr>
      </w:pPr>
    </w:p>
    <w:p w:rsidR="00EC1087" w:rsidRPr="003C2170" w:rsidRDefault="00EC1087" w:rsidP="0027505B">
      <w:pPr>
        <w:ind w:left="720" w:right="8"/>
        <w:jc w:val="both"/>
        <w:rPr>
          <w:rFonts w:eastAsia="宋体" w:cs="Times New Roman"/>
          <w:szCs w:val="21"/>
        </w:rPr>
      </w:pPr>
      <w:r w:rsidRPr="003C2170">
        <w:rPr>
          <w:rFonts w:eastAsia="宋体" w:cs="Times New Roman" w:hint="eastAsia"/>
          <w:szCs w:val="21"/>
        </w:rPr>
        <w:t>与资产相关的政府补助，</w:t>
      </w:r>
      <w:proofErr w:type="gramStart"/>
      <w:r w:rsidRPr="003C2170">
        <w:rPr>
          <w:rFonts w:eastAsia="宋体" w:cs="Times New Roman" w:hint="eastAsia"/>
          <w:szCs w:val="21"/>
        </w:rPr>
        <w:t>确认为递延</w:t>
      </w:r>
      <w:proofErr w:type="gramEnd"/>
      <w:r w:rsidRPr="003C2170">
        <w:rPr>
          <w:rFonts w:eastAsia="宋体" w:cs="Times New Roman" w:hint="eastAsia"/>
          <w:szCs w:val="21"/>
        </w:rPr>
        <w:t>收益，在相关资产的使用寿命内平均分配计入当期损益。</w:t>
      </w:r>
    </w:p>
    <w:p w:rsidR="00C76F10" w:rsidRPr="003C2170" w:rsidRDefault="00C76F10" w:rsidP="0027505B">
      <w:pPr>
        <w:ind w:left="720" w:right="8"/>
        <w:jc w:val="both"/>
        <w:rPr>
          <w:rFonts w:eastAsia="宋体" w:cs="Times New Roman"/>
          <w:szCs w:val="21"/>
          <w:u w:val="single"/>
        </w:rPr>
      </w:pPr>
    </w:p>
    <w:p w:rsidR="00C76F10" w:rsidRPr="003C2170" w:rsidRDefault="00B3563C" w:rsidP="0027505B">
      <w:pPr>
        <w:ind w:left="720" w:right="8"/>
        <w:jc w:val="both"/>
        <w:rPr>
          <w:rFonts w:eastAsia="宋体" w:cs="Times New Roman"/>
          <w:szCs w:val="21"/>
          <w:u w:val="single"/>
        </w:rPr>
      </w:pPr>
      <w:r w:rsidRPr="003C2170">
        <w:rPr>
          <w:rFonts w:eastAsia="宋体" w:cs="Times New Roman"/>
          <w:szCs w:val="21"/>
          <w:u w:val="single"/>
        </w:rPr>
        <w:t>2</w:t>
      </w:r>
      <w:r w:rsidR="00BD14D4" w:rsidRPr="003C2170">
        <w:rPr>
          <w:rFonts w:eastAsia="宋体" w:cs="Times New Roman"/>
          <w:szCs w:val="21"/>
          <w:u w:val="single"/>
        </w:rPr>
        <w:t>9</w:t>
      </w:r>
      <w:r w:rsidR="00C76F10" w:rsidRPr="003C2170">
        <w:rPr>
          <w:rFonts w:eastAsia="宋体" w:cs="Times New Roman"/>
          <w:szCs w:val="21"/>
          <w:u w:val="single"/>
        </w:rPr>
        <w:t>.2</w:t>
      </w:r>
      <w:r w:rsidR="00C76F10" w:rsidRPr="003C2170">
        <w:rPr>
          <w:rFonts w:eastAsia="宋体" w:cs="Times New Roman"/>
          <w:szCs w:val="21"/>
          <w:u w:val="single"/>
        </w:rPr>
        <w:tab/>
      </w:r>
      <w:r w:rsidR="00C76F10" w:rsidRPr="003C2170">
        <w:rPr>
          <w:rFonts w:eastAsia="宋体" w:cs="Times New Roman" w:hint="eastAsia"/>
          <w:szCs w:val="21"/>
          <w:u w:val="single"/>
        </w:rPr>
        <w:t>与收益相关的政府补助判断依据及会计处理方法</w:t>
      </w:r>
    </w:p>
    <w:p w:rsidR="00C76F10" w:rsidRPr="003C2170" w:rsidRDefault="00C76F10" w:rsidP="0027505B">
      <w:pPr>
        <w:ind w:left="720" w:right="8"/>
        <w:jc w:val="both"/>
        <w:rPr>
          <w:rFonts w:eastAsia="宋体" w:cs="Times New Roman"/>
          <w:szCs w:val="21"/>
        </w:rPr>
      </w:pPr>
    </w:p>
    <w:p w:rsidR="00C76F10" w:rsidRPr="003C2170" w:rsidRDefault="00C76F10" w:rsidP="0027505B">
      <w:pPr>
        <w:ind w:left="720" w:right="8"/>
        <w:jc w:val="both"/>
        <w:rPr>
          <w:rFonts w:eastAsia="宋体" w:cs="Times New Roman"/>
          <w:szCs w:val="21"/>
        </w:rPr>
      </w:pPr>
      <w:r w:rsidRPr="003C2170">
        <w:rPr>
          <w:rFonts w:eastAsia="宋体" w:cs="Times New Roman" w:hint="eastAsia"/>
          <w:szCs w:val="21"/>
        </w:rPr>
        <w:t>本集团的政府补助中的专项补助款及增值税</w:t>
      </w:r>
      <w:r w:rsidR="005B3C3C" w:rsidRPr="003C2170">
        <w:rPr>
          <w:rFonts w:eastAsia="宋体" w:cs="Times New Roman" w:hint="eastAsia"/>
          <w:szCs w:val="21"/>
        </w:rPr>
        <w:t>即征即退</w:t>
      </w:r>
      <w:r w:rsidRPr="003C2170">
        <w:rPr>
          <w:rFonts w:eastAsia="宋体" w:cs="Times New Roman" w:hint="eastAsia"/>
          <w:szCs w:val="21"/>
        </w:rPr>
        <w:t>等，由于用于补偿集团相关的成本费用，该等政府补助为与收益相关的政府补助。</w:t>
      </w:r>
    </w:p>
    <w:p w:rsidR="006513D7" w:rsidRPr="003C2170" w:rsidRDefault="006513D7" w:rsidP="0027505B">
      <w:pPr>
        <w:ind w:left="720" w:right="8"/>
        <w:jc w:val="both"/>
        <w:rPr>
          <w:rFonts w:eastAsia="宋体" w:cs="Times New Roman"/>
          <w:szCs w:val="21"/>
        </w:rPr>
      </w:pPr>
    </w:p>
    <w:p w:rsidR="00AE586D" w:rsidRPr="003C2170" w:rsidRDefault="006513D7" w:rsidP="0027505B">
      <w:pPr>
        <w:ind w:left="720" w:right="8"/>
        <w:jc w:val="both"/>
        <w:rPr>
          <w:rFonts w:eastAsia="宋体" w:cs="Times New Roman"/>
          <w:szCs w:val="21"/>
        </w:rPr>
      </w:pPr>
      <w:r w:rsidRPr="003C2170">
        <w:rPr>
          <w:rFonts w:eastAsia="宋体" w:cs="Times New Roman" w:hint="eastAsia"/>
          <w:szCs w:val="21"/>
        </w:rPr>
        <w:t>与收益相关的政府补助，用于补偿以后期间的相关成本费用或损失的，</w:t>
      </w:r>
      <w:proofErr w:type="gramStart"/>
      <w:r w:rsidRPr="003C2170">
        <w:rPr>
          <w:rFonts w:eastAsia="宋体" w:cs="Times New Roman" w:hint="eastAsia"/>
          <w:szCs w:val="21"/>
        </w:rPr>
        <w:t>确认为递延</w:t>
      </w:r>
      <w:proofErr w:type="gramEnd"/>
      <w:r w:rsidRPr="003C2170">
        <w:rPr>
          <w:rFonts w:eastAsia="宋体" w:cs="Times New Roman" w:hint="eastAsia"/>
          <w:szCs w:val="21"/>
        </w:rPr>
        <w:t>收益，并在确认相关成本费用或损失的期间，计入当期损益</w:t>
      </w:r>
      <w:r w:rsidR="005F14EE" w:rsidRPr="003C2170">
        <w:rPr>
          <w:rFonts w:eastAsia="宋体" w:cs="Times New Roman" w:hint="eastAsia"/>
          <w:szCs w:val="21"/>
        </w:rPr>
        <w:t>；</w:t>
      </w:r>
      <w:r w:rsidRPr="003C2170">
        <w:rPr>
          <w:rFonts w:eastAsia="宋体" w:cs="Times New Roman" w:hint="eastAsia"/>
          <w:szCs w:val="21"/>
        </w:rPr>
        <w:t>用于补偿已经发生的相关成本费用或损失的，直接计入当期损益。</w:t>
      </w:r>
    </w:p>
    <w:p w:rsidR="000956DE" w:rsidRPr="003C2170" w:rsidRDefault="000956DE" w:rsidP="0027505B">
      <w:pPr>
        <w:ind w:left="720" w:right="8"/>
        <w:jc w:val="both"/>
        <w:rPr>
          <w:rFonts w:eastAsia="宋体" w:cs="Times New Roman"/>
          <w:szCs w:val="21"/>
        </w:rPr>
      </w:pPr>
    </w:p>
    <w:p w:rsidR="0071385F" w:rsidRPr="003C2170" w:rsidRDefault="006513D7" w:rsidP="0027505B">
      <w:pPr>
        <w:ind w:left="720" w:right="8"/>
        <w:jc w:val="both"/>
        <w:rPr>
          <w:rFonts w:eastAsia="宋体" w:cs="Times New Roman"/>
          <w:szCs w:val="21"/>
        </w:rPr>
      </w:pPr>
      <w:r w:rsidRPr="003C2170">
        <w:rPr>
          <w:rFonts w:eastAsia="宋体" w:cs="Times New Roman" w:hint="eastAsia"/>
          <w:szCs w:val="21"/>
        </w:rPr>
        <w:t>与本集团日常活动相关的政府补助，按照经济业务实质，计入其他收益。与本集团日常活动无关的政府补助，计入营业外收支。</w:t>
      </w:r>
    </w:p>
    <w:p w:rsidR="0071385F" w:rsidRPr="003C2170" w:rsidRDefault="0071385F" w:rsidP="0027505B">
      <w:pPr>
        <w:ind w:left="720" w:right="8"/>
        <w:jc w:val="both"/>
        <w:rPr>
          <w:rFonts w:eastAsia="宋体" w:cs="Times New Roman"/>
          <w:szCs w:val="21"/>
        </w:rPr>
      </w:pPr>
    </w:p>
    <w:p w:rsidR="0036327F" w:rsidRPr="003C2170" w:rsidRDefault="0036327F" w:rsidP="0027505B">
      <w:pPr>
        <w:ind w:left="720" w:right="8"/>
        <w:jc w:val="both"/>
        <w:rPr>
          <w:rFonts w:eastAsia="宋体" w:cs="Times New Roman"/>
          <w:szCs w:val="21"/>
        </w:rPr>
      </w:pPr>
      <w:r w:rsidRPr="003C2170">
        <w:rPr>
          <w:rFonts w:eastAsia="宋体" w:cs="Times New Roman" w:hint="eastAsia"/>
          <w:szCs w:val="21"/>
        </w:rPr>
        <w:t>本集团取得的政策性优惠贷款贴息为财政将贴息资金直接拨付给本集团的，对应的贴息冲减相关借款费用。</w:t>
      </w:r>
    </w:p>
    <w:p w:rsidR="0036327F" w:rsidRPr="003C2170" w:rsidRDefault="0036327F" w:rsidP="0027505B">
      <w:pPr>
        <w:ind w:left="720" w:right="8"/>
        <w:jc w:val="both"/>
        <w:rPr>
          <w:rFonts w:eastAsia="宋体" w:cs="Times New Roman"/>
          <w:szCs w:val="21"/>
        </w:rPr>
      </w:pPr>
    </w:p>
    <w:p w:rsidR="00B24DE6" w:rsidRPr="003C2170" w:rsidRDefault="00B24DE6"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租赁</w:t>
      </w:r>
    </w:p>
    <w:p w:rsidR="00B24DE6" w:rsidRPr="003C2170" w:rsidRDefault="00B24DE6" w:rsidP="0027505B">
      <w:pPr>
        <w:ind w:left="720" w:right="8"/>
        <w:jc w:val="both"/>
        <w:rPr>
          <w:rFonts w:eastAsia="宋体" w:cs="Times New Roman"/>
          <w:szCs w:val="21"/>
        </w:rPr>
      </w:pPr>
    </w:p>
    <w:p w:rsidR="00B24DE6" w:rsidRPr="003C2170" w:rsidRDefault="00B24DE6" w:rsidP="0027505B">
      <w:pPr>
        <w:ind w:left="720" w:right="8"/>
        <w:jc w:val="both"/>
        <w:rPr>
          <w:rFonts w:eastAsia="宋体" w:cs="Times New Roman"/>
          <w:szCs w:val="21"/>
        </w:rPr>
      </w:pPr>
      <w:r w:rsidRPr="003C2170">
        <w:rPr>
          <w:rFonts w:eastAsia="宋体" w:cs="Times New Roman" w:hint="eastAsia"/>
          <w:szCs w:val="21"/>
        </w:rPr>
        <w:t>租赁，是指在一定期间内，出租人将资产的使用权让与承租人以获取对价的合同。</w:t>
      </w:r>
    </w:p>
    <w:p w:rsidR="00B24DE6" w:rsidRPr="003C2170" w:rsidRDefault="00B24DE6" w:rsidP="0027505B">
      <w:pPr>
        <w:ind w:left="720" w:right="8"/>
        <w:jc w:val="both"/>
        <w:rPr>
          <w:rFonts w:eastAsia="宋体" w:cs="Times New Roman"/>
          <w:szCs w:val="21"/>
        </w:rPr>
      </w:pPr>
    </w:p>
    <w:p w:rsidR="00B24DE6" w:rsidRPr="003C2170" w:rsidRDefault="00B24DE6" w:rsidP="0027505B">
      <w:pPr>
        <w:ind w:left="720" w:right="8"/>
        <w:jc w:val="both"/>
        <w:rPr>
          <w:rFonts w:eastAsia="宋体" w:cs="Times New Roman"/>
          <w:szCs w:val="21"/>
        </w:rPr>
      </w:pPr>
      <w:r w:rsidRPr="003C2170">
        <w:rPr>
          <w:rFonts w:eastAsia="宋体" w:cs="Times New Roman" w:hint="eastAsia"/>
          <w:szCs w:val="21"/>
        </w:rPr>
        <w:t>在合同开始日，本集团评估该合同是否为租赁或者包含租赁。除非合同条款和条件发生变化，本集团不重新评估合同是否为租赁或者包含租赁。</w:t>
      </w:r>
    </w:p>
    <w:p w:rsidR="00BD14D4" w:rsidRPr="003C2170" w:rsidRDefault="00BD14D4" w:rsidP="0027505B">
      <w:pPr>
        <w:ind w:right="8"/>
        <w:jc w:val="both"/>
        <w:rPr>
          <w:rFonts w:eastAsia="宋体" w:cs="Times New Roman"/>
          <w:szCs w:val="21"/>
        </w:rPr>
      </w:pPr>
      <w:r w:rsidRPr="003C2170">
        <w:rPr>
          <w:rFonts w:eastAsia="宋体" w:cs="Times New Roman"/>
          <w:szCs w:val="21"/>
        </w:rPr>
        <w:br w:type="page"/>
      </w:r>
    </w:p>
    <w:p w:rsidR="00BD14D4" w:rsidRPr="003C2170" w:rsidRDefault="005F14EE" w:rsidP="0027505B">
      <w:pPr>
        <w:ind w:right="8"/>
        <w:jc w:val="both"/>
        <w:rPr>
          <w:rFonts w:eastAsia="宋体" w:cs="Times New Roman"/>
          <w:szCs w:val="21"/>
        </w:rPr>
      </w:pPr>
      <w:r w:rsidRPr="003C2170">
        <w:rPr>
          <w:rFonts w:eastAsia="宋体" w:cs="Times New Roman"/>
          <w:b/>
          <w:szCs w:val="21"/>
        </w:rPr>
        <w:t>(</w:t>
      </w:r>
      <w:r w:rsidR="00BD14D4" w:rsidRPr="003C2170">
        <w:rPr>
          <w:rFonts w:eastAsia="宋体" w:cs="Times New Roman" w:hint="eastAsia"/>
          <w:b/>
          <w:szCs w:val="21"/>
        </w:rPr>
        <w:t>三</w:t>
      </w:r>
      <w:r w:rsidRPr="003C2170">
        <w:rPr>
          <w:rFonts w:eastAsia="宋体" w:cs="Times New Roman"/>
          <w:b/>
          <w:szCs w:val="21"/>
        </w:rPr>
        <w:t>)</w:t>
      </w:r>
      <w:r w:rsidR="00BD14D4" w:rsidRPr="003C2170">
        <w:rPr>
          <w:rFonts w:eastAsia="宋体" w:cs="Times New Roman"/>
          <w:b/>
          <w:szCs w:val="21"/>
        </w:rPr>
        <w:tab/>
      </w:r>
      <w:r w:rsidR="00BD14D4" w:rsidRPr="003C2170">
        <w:rPr>
          <w:rFonts w:eastAsia="宋体" w:cs="Times New Roman" w:hint="eastAsia"/>
          <w:b/>
          <w:szCs w:val="21"/>
        </w:rPr>
        <w:t>重要会计政策和会计估计</w:t>
      </w:r>
      <w:r w:rsidR="00BD14D4" w:rsidRPr="003C2170">
        <w:rPr>
          <w:rFonts w:eastAsia="宋体" w:cs="Times New Roman"/>
          <w:szCs w:val="21"/>
        </w:rPr>
        <w:t xml:space="preserve"> - </w:t>
      </w:r>
      <w:r w:rsidR="00BD14D4" w:rsidRPr="003C2170">
        <w:rPr>
          <w:rFonts w:eastAsia="宋体" w:cs="Times New Roman" w:hint="eastAsia"/>
          <w:szCs w:val="21"/>
        </w:rPr>
        <w:t>续</w:t>
      </w:r>
    </w:p>
    <w:p w:rsidR="00BD14D4" w:rsidRPr="003C2170" w:rsidRDefault="00BD14D4" w:rsidP="0027505B">
      <w:pPr>
        <w:ind w:left="720" w:right="8"/>
        <w:jc w:val="both"/>
        <w:rPr>
          <w:rFonts w:eastAsia="宋体" w:cs="Times New Roman"/>
          <w:kern w:val="2"/>
          <w:szCs w:val="21"/>
        </w:rPr>
      </w:pPr>
    </w:p>
    <w:p w:rsidR="00BD14D4" w:rsidRPr="003C2170" w:rsidRDefault="00BD14D4" w:rsidP="0027505B">
      <w:pPr>
        <w:ind w:leftChars="342" w:left="718" w:right="8" w:firstLine="1"/>
        <w:jc w:val="both"/>
        <w:rPr>
          <w:rFonts w:eastAsia="宋体" w:cs="Times New Roman"/>
          <w:szCs w:val="21"/>
        </w:rPr>
      </w:pPr>
      <w:r w:rsidRPr="003C2170">
        <w:rPr>
          <w:rFonts w:eastAsia="宋体" w:cs="Times New Roman"/>
          <w:b/>
          <w:szCs w:val="21"/>
        </w:rPr>
        <w:t>30.</w:t>
      </w:r>
      <w:r w:rsidRPr="003C2170">
        <w:rPr>
          <w:rFonts w:eastAsia="宋体" w:cs="Times New Roman"/>
          <w:b/>
          <w:szCs w:val="21"/>
        </w:rPr>
        <w:tab/>
      </w:r>
      <w:r w:rsidRPr="003C2170">
        <w:rPr>
          <w:rFonts w:eastAsia="宋体" w:cs="Times New Roman" w:hint="eastAsia"/>
          <w:b/>
          <w:bCs/>
          <w:snapToGrid w:val="0"/>
          <w:szCs w:val="21"/>
        </w:rPr>
        <w:t>租赁</w:t>
      </w:r>
      <w:r w:rsidRPr="003C2170">
        <w:rPr>
          <w:rFonts w:eastAsia="宋体" w:cs="Times New Roman"/>
          <w:snapToGrid w:val="0"/>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B24DE6" w:rsidRPr="003C2170" w:rsidRDefault="00B24DE6" w:rsidP="0027505B">
      <w:pPr>
        <w:ind w:left="720" w:right="8"/>
        <w:jc w:val="both"/>
        <w:rPr>
          <w:rFonts w:eastAsia="宋体" w:cs="Times New Roman"/>
          <w:szCs w:val="21"/>
        </w:rPr>
      </w:pPr>
    </w:p>
    <w:p w:rsidR="00B24DE6" w:rsidRPr="003C2170" w:rsidRDefault="00D83859" w:rsidP="0027505B">
      <w:pPr>
        <w:ind w:left="720" w:right="8"/>
        <w:jc w:val="both"/>
        <w:rPr>
          <w:rFonts w:eastAsia="宋体" w:cs="Times New Roman"/>
          <w:szCs w:val="21"/>
          <w:u w:val="single"/>
        </w:rPr>
      </w:pPr>
      <w:r w:rsidRPr="003C2170">
        <w:rPr>
          <w:rFonts w:eastAsia="宋体" w:cs="Times New Roman"/>
          <w:szCs w:val="21"/>
          <w:u w:val="single"/>
        </w:rPr>
        <w:t>30</w:t>
      </w:r>
      <w:r w:rsidR="00B24DE6" w:rsidRPr="003C2170">
        <w:rPr>
          <w:rFonts w:eastAsia="宋体" w:cs="Times New Roman"/>
          <w:szCs w:val="21"/>
          <w:u w:val="single"/>
        </w:rPr>
        <w:t>.1</w:t>
      </w:r>
      <w:r w:rsidR="00B24DE6" w:rsidRPr="003C2170">
        <w:rPr>
          <w:rFonts w:eastAsia="宋体" w:cs="Times New Roman"/>
          <w:szCs w:val="21"/>
          <w:u w:val="single"/>
        </w:rPr>
        <w:tab/>
      </w:r>
      <w:r w:rsidR="00B24DE6" w:rsidRPr="003C2170">
        <w:rPr>
          <w:rFonts w:eastAsia="宋体" w:cs="Times New Roman" w:hint="eastAsia"/>
          <w:szCs w:val="21"/>
          <w:u w:val="single"/>
        </w:rPr>
        <w:t>本集团作为承租人</w:t>
      </w:r>
    </w:p>
    <w:p w:rsidR="00B24DE6" w:rsidRPr="003C2170" w:rsidRDefault="00B24DE6" w:rsidP="0027505B">
      <w:pPr>
        <w:ind w:left="720" w:right="8"/>
        <w:jc w:val="both"/>
        <w:rPr>
          <w:rFonts w:eastAsia="宋体" w:cs="Times New Roman"/>
          <w:szCs w:val="21"/>
        </w:rPr>
      </w:pPr>
    </w:p>
    <w:p w:rsidR="00B24DE6" w:rsidRPr="003C2170" w:rsidRDefault="00D83859" w:rsidP="0027505B">
      <w:pPr>
        <w:ind w:left="720" w:right="8"/>
        <w:jc w:val="both"/>
        <w:rPr>
          <w:rFonts w:eastAsia="宋体" w:cs="Times New Roman"/>
          <w:szCs w:val="21"/>
          <w:u w:val="single"/>
        </w:rPr>
      </w:pPr>
      <w:r w:rsidRPr="003C2170">
        <w:rPr>
          <w:rFonts w:eastAsia="宋体" w:cs="Times New Roman"/>
          <w:szCs w:val="21"/>
          <w:u w:val="single"/>
        </w:rPr>
        <w:t>30</w:t>
      </w:r>
      <w:r w:rsidR="00B24DE6" w:rsidRPr="003C2170">
        <w:rPr>
          <w:rFonts w:eastAsia="宋体" w:cs="Times New Roman"/>
          <w:szCs w:val="21"/>
          <w:u w:val="single"/>
        </w:rPr>
        <w:t>.1.1</w:t>
      </w:r>
      <w:r w:rsidR="00B24DE6" w:rsidRPr="003C2170">
        <w:rPr>
          <w:rFonts w:eastAsia="宋体" w:cs="Times New Roman"/>
          <w:szCs w:val="21"/>
          <w:u w:val="single"/>
        </w:rPr>
        <w:tab/>
      </w:r>
      <w:r w:rsidR="00B24DE6" w:rsidRPr="003C2170">
        <w:rPr>
          <w:rFonts w:eastAsia="宋体" w:cs="Times New Roman" w:hint="eastAsia"/>
          <w:szCs w:val="21"/>
          <w:u w:val="single"/>
        </w:rPr>
        <w:t>租赁的分拆</w:t>
      </w:r>
    </w:p>
    <w:p w:rsidR="00B24DE6" w:rsidRPr="003C2170" w:rsidRDefault="00B24DE6" w:rsidP="0027505B">
      <w:pPr>
        <w:ind w:left="720" w:right="8"/>
        <w:jc w:val="both"/>
        <w:rPr>
          <w:rFonts w:eastAsia="宋体" w:cs="Times New Roman"/>
          <w:szCs w:val="21"/>
        </w:rPr>
      </w:pPr>
    </w:p>
    <w:p w:rsidR="003E1F89" w:rsidRPr="003C2170" w:rsidRDefault="00B24DE6" w:rsidP="0027505B">
      <w:pPr>
        <w:ind w:left="720" w:right="8"/>
        <w:jc w:val="both"/>
        <w:rPr>
          <w:rFonts w:eastAsia="宋体" w:cs="Times New Roman"/>
          <w:szCs w:val="21"/>
        </w:rPr>
      </w:pPr>
      <w:r w:rsidRPr="003C2170">
        <w:rPr>
          <w:rFonts w:eastAsia="宋体" w:cs="Times New Roman" w:hint="eastAsia"/>
          <w:szCs w:val="21"/>
        </w:rPr>
        <w:t>合同中同时包含一项或多项租赁和非租赁部分的，本集团将各项单独租赁和非租赁部分进行分拆，按照各租赁部分单独价格及非租赁部分的单独价格之和的相对比例分摊合同对价。</w:t>
      </w:r>
    </w:p>
    <w:p w:rsidR="00B24DE6" w:rsidRPr="003C2170" w:rsidRDefault="00B24DE6" w:rsidP="0027505B">
      <w:pPr>
        <w:ind w:left="720" w:right="8"/>
        <w:jc w:val="both"/>
        <w:rPr>
          <w:rFonts w:eastAsia="宋体" w:cs="Times New Roman"/>
          <w:szCs w:val="21"/>
        </w:rPr>
      </w:pPr>
    </w:p>
    <w:p w:rsidR="00B24DE6" w:rsidRPr="003C2170" w:rsidRDefault="00D83859" w:rsidP="0027505B">
      <w:pPr>
        <w:ind w:left="720" w:right="8"/>
        <w:jc w:val="both"/>
        <w:rPr>
          <w:rFonts w:eastAsia="宋体" w:cs="Times New Roman"/>
          <w:szCs w:val="21"/>
          <w:u w:val="single"/>
        </w:rPr>
      </w:pPr>
      <w:r w:rsidRPr="003C2170">
        <w:rPr>
          <w:rFonts w:eastAsia="宋体" w:cs="Times New Roman"/>
          <w:szCs w:val="21"/>
          <w:u w:val="single"/>
        </w:rPr>
        <w:t>30</w:t>
      </w:r>
      <w:r w:rsidR="00B24DE6" w:rsidRPr="003C2170">
        <w:rPr>
          <w:rFonts w:eastAsia="宋体" w:cs="Times New Roman"/>
          <w:szCs w:val="21"/>
          <w:u w:val="single"/>
        </w:rPr>
        <w:t>.1.2</w:t>
      </w:r>
      <w:r w:rsidR="00B24DE6" w:rsidRPr="003C2170">
        <w:rPr>
          <w:rFonts w:eastAsia="宋体" w:cs="Times New Roman"/>
          <w:szCs w:val="21"/>
          <w:u w:val="single"/>
        </w:rPr>
        <w:tab/>
      </w:r>
      <w:r w:rsidR="00B24DE6" w:rsidRPr="003C2170">
        <w:rPr>
          <w:rFonts w:eastAsia="宋体" w:cs="Times New Roman" w:hint="eastAsia"/>
          <w:szCs w:val="21"/>
          <w:u w:val="single"/>
        </w:rPr>
        <w:t>使用权资产</w:t>
      </w:r>
    </w:p>
    <w:p w:rsidR="00B24DE6" w:rsidRPr="003C2170" w:rsidRDefault="00B24DE6" w:rsidP="0027505B">
      <w:pPr>
        <w:ind w:left="720" w:right="8"/>
        <w:jc w:val="both"/>
        <w:rPr>
          <w:rFonts w:eastAsia="宋体" w:cs="Times New Roman"/>
          <w:szCs w:val="21"/>
        </w:rPr>
      </w:pPr>
    </w:p>
    <w:p w:rsidR="00B24DE6" w:rsidRPr="003C2170" w:rsidRDefault="00B24DE6" w:rsidP="0027505B">
      <w:pPr>
        <w:ind w:left="720" w:right="8"/>
        <w:jc w:val="both"/>
        <w:rPr>
          <w:rFonts w:eastAsia="宋体" w:cs="Times New Roman"/>
          <w:szCs w:val="21"/>
        </w:rPr>
      </w:pPr>
      <w:r w:rsidRPr="003C2170">
        <w:rPr>
          <w:rFonts w:eastAsia="宋体" w:cs="Times New Roman" w:hint="eastAsia"/>
          <w:szCs w:val="21"/>
        </w:rPr>
        <w:t>除短期租赁外，本集团在租赁期开始日对租赁确认使用权资产。租赁期开始日，是指出租人提供租赁资产使其可供本集团使用的起始日期。使用权资产按照成本进行初始计量，</w:t>
      </w:r>
      <w:proofErr w:type="gramStart"/>
      <w:r w:rsidRPr="003C2170">
        <w:rPr>
          <w:rFonts w:eastAsia="宋体" w:cs="Times New Roman" w:hint="eastAsia"/>
          <w:szCs w:val="21"/>
        </w:rPr>
        <w:t>该成本</w:t>
      </w:r>
      <w:proofErr w:type="gramEnd"/>
      <w:r w:rsidRPr="003C2170">
        <w:rPr>
          <w:rFonts w:eastAsia="宋体" w:cs="Times New Roman" w:hint="eastAsia"/>
          <w:szCs w:val="21"/>
        </w:rPr>
        <w:t>包括</w:t>
      </w:r>
      <w:r w:rsidR="005F14EE" w:rsidRPr="003C2170">
        <w:rPr>
          <w:rFonts w:eastAsia="宋体" w:cs="Times New Roman" w:hint="eastAsia"/>
          <w:szCs w:val="21"/>
        </w:rPr>
        <w:t>：</w:t>
      </w:r>
    </w:p>
    <w:p w:rsidR="00B24DE6" w:rsidRPr="003C2170" w:rsidRDefault="00B24DE6" w:rsidP="0027505B">
      <w:pPr>
        <w:ind w:left="720" w:right="8"/>
        <w:jc w:val="both"/>
        <w:rPr>
          <w:rFonts w:eastAsia="宋体" w:cs="Times New Roman"/>
          <w:szCs w:val="21"/>
        </w:rPr>
      </w:pPr>
    </w:p>
    <w:p w:rsidR="00B24DE6" w:rsidRPr="003C2170" w:rsidRDefault="00B24DE6" w:rsidP="0027505B">
      <w:pPr>
        <w:pStyle w:val="aff1"/>
        <w:numPr>
          <w:ilvl w:val="0"/>
          <w:numId w:val="37"/>
        </w:numPr>
        <w:ind w:left="1260" w:right="8" w:firstLineChars="0" w:hanging="540"/>
        <w:jc w:val="both"/>
        <w:rPr>
          <w:szCs w:val="21"/>
        </w:rPr>
      </w:pPr>
      <w:r w:rsidRPr="003C2170">
        <w:rPr>
          <w:rFonts w:hint="eastAsia"/>
          <w:szCs w:val="21"/>
        </w:rPr>
        <w:t>租赁负债的初始计量金额</w:t>
      </w:r>
      <w:r w:rsidR="005F14EE" w:rsidRPr="003C2170">
        <w:rPr>
          <w:rFonts w:hint="eastAsia"/>
          <w:szCs w:val="21"/>
        </w:rPr>
        <w:t>；</w:t>
      </w:r>
    </w:p>
    <w:p w:rsidR="00B24DE6" w:rsidRPr="003C2170" w:rsidRDefault="00B24DE6" w:rsidP="0027505B">
      <w:pPr>
        <w:pStyle w:val="aff1"/>
        <w:numPr>
          <w:ilvl w:val="0"/>
          <w:numId w:val="37"/>
        </w:numPr>
        <w:ind w:left="1260" w:right="8" w:firstLineChars="0" w:hanging="540"/>
        <w:jc w:val="both"/>
        <w:rPr>
          <w:szCs w:val="21"/>
        </w:rPr>
      </w:pPr>
      <w:r w:rsidRPr="003C2170">
        <w:rPr>
          <w:rFonts w:hint="eastAsia"/>
          <w:szCs w:val="21"/>
        </w:rPr>
        <w:t>在租赁期开始日或之前支付的租赁付款额，存在租赁激励的，扣除已享受的租赁激励相关金额</w:t>
      </w:r>
      <w:r w:rsidR="005F14EE" w:rsidRPr="003C2170">
        <w:rPr>
          <w:rFonts w:hint="eastAsia"/>
          <w:szCs w:val="21"/>
        </w:rPr>
        <w:t>；</w:t>
      </w:r>
    </w:p>
    <w:p w:rsidR="00B24DE6" w:rsidRPr="003C2170" w:rsidRDefault="00B24DE6" w:rsidP="0027505B">
      <w:pPr>
        <w:pStyle w:val="aff1"/>
        <w:numPr>
          <w:ilvl w:val="0"/>
          <w:numId w:val="37"/>
        </w:numPr>
        <w:ind w:left="1260" w:right="8" w:firstLineChars="0" w:hanging="540"/>
        <w:jc w:val="both"/>
        <w:rPr>
          <w:szCs w:val="21"/>
        </w:rPr>
      </w:pPr>
      <w:r w:rsidRPr="003C2170">
        <w:rPr>
          <w:rFonts w:hint="eastAsia"/>
          <w:szCs w:val="21"/>
        </w:rPr>
        <w:t>本集团发生的初始直接费用。</w:t>
      </w:r>
    </w:p>
    <w:p w:rsidR="00E84F13" w:rsidRPr="003C2170" w:rsidRDefault="00E84F13" w:rsidP="0027505B">
      <w:pPr>
        <w:ind w:left="720" w:right="8"/>
        <w:jc w:val="both"/>
        <w:rPr>
          <w:rFonts w:eastAsia="宋体" w:cs="Times New Roman"/>
          <w:szCs w:val="21"/>
        </w:rPr>
      </w:pPr>
    </w:p>
    <w:p w:rsidR="00B24DE6" w:rsidRPr="003C2170" w:rsidRDefault="00B24DE6" w:rsidP="0027505B">
      <w:pPr>
        <w:ind w:left="720" w:right="8"/>
        <w:jc w:val="both"/>
        <w:rPr>
          <w:rFonts w:eastAsia="宋体" w:cs="Times New Roman"/>
          <w:szCs w:val="21"/>
        </w:rPr>
      </w:pPr>
      <w:r w:rsidRPr="003C2170">
        <w:rPr>
          <w:rFonts w:eastAsia="宋体" w:cs="Times New Roman" w:hint="eastAsia"/>
          <w:szCs w:val="21"/>
        </w:rPr>
        <w:t>本集团参照《企业会计准则第</w:t>
      </w:r>
      <w:r w:rsidRPr="003C2170">
        <w:rPr>
          <w:rFonts w:eastAsia="宋体" w:cs="Times New Roman"/>
          <w:szCs w:val="21"/>
        </w:rPr>
        <w:t>4</w:t>
      </w:r>
      <w:r w:rsidRPr="003C2170">
        <w:rPr>
          <w:rFonts w:eastAsia="宋体" w:cs="Times New Roman" w:hint="eastAsia"/>
          <w:szCs w:val="21"/>
        </w:rPr>
        <w:t>号——固定资产》有关折旧规定，对使用权资产计提折旧。本集团能够合理确定租赁期届满时取得租赁资产所有权的，使用权资产在租赁资产剩余使用寿命内计提折旧。无法合理确定租赁期届满时能够取得租赁资产所有权的，在租赁期与租赁资产剩余使用寿命两者孰短的期间内计提折旧。</w:t>
      </w:r>
    </w:p>
    <w:p w:rsidR="00B24DE6" w:rsidRPr="003C2170" w:rsidRDefault="00B24DE6" w:rsidP="0027505B">
      <w:pPr>
        <w:ind w:left="720" w:right="8"/>
        <w:jc w:val="both"/>
        <w:rPr>
          <w:rFonts w:eastAsia="宋体" w:cs="Times New Roman"/>
          <w:szCs w:val="21"/>
        </w:rPr>
      </w:pPr>
    </w:p>
    <w:p w:rsidR="00B24DE6" w:rsidRPr="003C2170" w:rsidRDefault="00B24DE6" w:rsidP="0027505B">
      <w:pPr>
        <w:ind w:left="720" w:right="8"/>
        <w:jc w:val="both"/>
        <w:rPr>
          <w:rFonts w:eastAsia="宋体" w:cs="Times New Roman"/>
          <w:szCs w:val="21"/>
        </w:rPr>
      </w:pPr>
      <w:r w:rsidRPr="003C2170">
        <w:rPr>
          <w:rFonts w:eastAsia="宋体" w:cs="Times New Roman" w:hint="eastAsia"/>
          <w:szCs w:val="21"/>
        </w:rPr>
        <w:t>本集团按照《企业会计准则第</w:t>
      </w:r>
      <w:r w:rsidRPr="003C2170">
        <w:rPr>
          <w:rFonts w:eastAsia="宋体" w:cs="Times New Roman"/>
          <w:szCs w:val="21"/>
        </w:rPr>
        <w:t>8</w:t>
      </w:r>
      <w:r w:rsidRPr="003C2170">
        <w:rPr>
          <w:rFonts w:eastAsia="宋体" w:cs="Times New Roman" w:hint="eastAsia"/>
          <w:szCs w:val="21"/>
        </w:rPr>
        <w:t>号——资产减值》的规定来确定使用权资产是否已发生减值，并对已识别的减值损失进行会计处理。</w:t>
      </w:r>
    </w:p>
    <w:p w:rsidR="00B24DE6" w:rsidRPr="003C2170" w:rsidRDefault="00B24DE6" w:rsidP="0027505B">
      <w:pPr>
        <w:ind w:left="720" w:right="8"/>
        <w:jc w:val="both"/>
        <w:rPr>
          <w:rFonts w:eastAsia="宋体" w:cs="Times New Roman"/>
          <w:iCs/>
          <w:szCs w:val="21"/>
          <w:lang w:val="x-none"/>
        </w:rPr>
      </w:pPr>
    </w:p>
    <w:p w:rsidR="00B24DE6" w:rsidRPr="003C2170" w:rsidRDefault="00D83859" w:rsidP="0027505B">
      <w:pPr>
        <w:ind w:left="720" w:right="8"/>
        <w:jc w:val="both"/>
        <w:rPr>
          <w:rFonts w:eastAsia="宋体" w:cs="Times New Roman"/>
          <w:iCs/>
          <w:szCs w:val="21"/>
        </w:rPr>
      </w:pPr>
      <w:r w:rsidRPr="003C2170">
        <w:rPr>
          <w:rFonts w:eastAsia="宋体" w:cs="Times New Roman"/>
          <w:iCs/>
          <w:szCs w:val="21"/>
          <w:u w:val="single"/>
          <w:lang w:val="x-none"/>
        </w:rPr>
        <w:t>30</w:t>
      </w:r>
      <w:r w:rsidR="00B24DE6" w:rsidRPr="003C2170">
        <w:rPr>
          <w:rFonts w:eastAsia="宋体" w:cs="Times New Roman"/>
          <w:iCs/>
          <w:szCs w:val="21"/>
          <w:u w:val="single"/>
          <w:lang w:val="x-none"/>
        </w:rPr>
        <w:t>.1.</w:t>
      </w:r>
      <w:r w:rsidR="00B24DE6" w:rsidRPr="003C2170">
        <w:rPr>
          <w:rFonts w:eastAsia="宋体" w:cs="Times New Roman"/>
          <w:iCs/>
          <w:szCs w:val="21"/>
          <w:u w:val="single"/>
        </w:rPr>
        <w:t>3</w:t>
      </w:r>
      <w:r w:rsidR="00B24DE6" w:rsidRPr="003C2170">
        <w:rPr>
          <w:rFonts w:eastAsia="宋体" w:cs="Times New Roman"/>
          <w:iCs/>
          <w:szCs w:val="21"/>
          <w:u w:val="single"/>
          <w:lang w:val="x-none"/>
        </w:rPr>
        <w:tab/>
      </w:r>
      <w:r w:rsidR="00B24DE6" w:rsidRPr="003C2170">
        <w:rPr>
          <w:rFonts w:eastAsia="宋体" w:cs="Times New Roman" w:hint="eastAsia"/>
          <w:iCs/>
          <w:szCs w:val="21"/>
          <w:u w:val="single"/>
          <w:lang w:val="x-none"/>
        </w:rPr>
        <w:t>租赁负债</w:t>
      </w:r>
    </w:p>
    <w:p w:rsidR="00B24DE6" w:rsidRPr="003C2170" w:rsidRDefault="00B24DE6" w:rsidP="0027505B">
      <w:pPr>
        <w:ind w:left="720" w:right="8"/>
        <w:jc w:val="both"/>
        <w:rPr>
          <w:rFonts w:eastAsia="宋体" w:cs="Times New Roman"/>
          <w:iCs/>
          <w:szCs w:val="21"/>
          <w:lang w:val="x-none"/>
        </w:rPr>
      </w:pPr>
    </w:p>
    <w:p w:rsidR="00B24DE6" w:rsidRPr="003C2170" w:rsidRDefault="00B24DE6" w:rsidP="0027505B">
      <w:pPr>
        <w:ind w:left="720" w:right="8"/>
        <w:jc w:val="both"/>
        <w:rPr>
          <w:rFonts w:eastAsia="宋体" w:cs="Times New Roman"/>
          <w:iCs/>
          <w:szCs w:val="21"/>
          <w:lang w:val="x-none"/>
        </w:rPr>
      </w:pPr>
      <w:r w:rsidRPr="003C2170">
        <w:rPr>
          <w:rFonts w:eastAsia="宋体" w:cs="Times New Roman" w:hint="eastAsia"/>
          <w:iCs/>
          <w:szCs w:val="21"/>
          <w:lang w:val="x-none"/>
        </w:rPr>
        <w:t>除短期租赁外，本集团在租赁期开始</w:t>
      </w:r>
      <w:proofErr w:type="gramStart"/>
      <w:r w:rsidRPr="003C2170">
        <w:rPr>
          <w:rFonts w:eastAsia="宋体" w:cs="Times New Roman" w:hint="eastAsia"/>
          <w:iCs/>
          <w:szCs w:val="21"/>
          <w:lang w:val="x-none"/>
        </w:rPr>
        <w:t>日按照</w:t>
      </w:r>
      <w:proofErr w:type="gramEnd"/>
      <w:r w:rsidRPr="003C2170">
        <w:rPr>
          <w:rFonts w:eastAsia="宋体" w:cs="Times New Roman" w:hint="eastAsia"/>
          <w:iCs/>
          <w:szCs w:val="21"/>
          <w:lang w:val="x-none"/>
        </w:rPr>
        <w:t>该日尚未支付的租赁付款额的现值对租赁负债进行初始计量。在计算租赁付款额的现值时，本集团采用租赁内含利率作为折现率，无法确定租赁内含利率的，采用增量借款利率作为折现率。</w:t>
      </w:r>
    </w:p>
    <w:p w:rsidR="00B24DE6" w:rsidRPr="003C2170" w:rsidRDefault="00B24DE6" w:rsidP="0027505B">
      <w:pPr>
        <w:ind w:left="720" w:right="8"/>
        <w:jc w:val="both"/>
        <w:rPr>
          <w:rFonts w:eastAsia="宋体" w:cs="Times New Roman"/>
          <w:iCs/>
          <w:szCs w:val="21"/>
          <w:lang w:val="x-none"/>
        </w:rPr>
      </w:pPr>
    </w:p>
    <w:p w:rsidR="00B24DE6" w:rsidRPr="003C2170" w:rsidRDefault="00B24DE6" w:rsidP="0027505B">
      <w:pPr>
        <w:ind w:left="720" w:right="8"/>
        <w:jc w:val="both"/>
        <w:rPr>
          <w:rFonts w:eastAsia="宋体" w:cs="Times New Roman"/>
          <w:iCs/>
          <w:szCs w:val="21"/>
          <w:lang w:val="x-none"/>
        </w:rPr>
      </w:pPr>
      <w:r w:rsidRPr="003C2170">
        <w:rPr>
          <w:rFonts w:eastAsia="宋体" w:cs="Times New Roman" w:hint="eastAsia"/>
          <w:iCs/>
          <w:szCs w:val="21"/>
          <w:lang w:val="x-none"/>
        </w:rPr>
        <w:t>租赁付款额是指本集团向出租人支付的与在租赁期内使用租赁资产的权利相关的款项，包括固定付款额及实质固定付款额，存在租赁激励的，扣除租赁激励相关金额。</w:t>
      </w:r>
    </w:p>
    <w:p w:rsidR="00B24DE6" w:rsidRPr="003C2170" w:rsidRDefault="00B24DE6" w:rsidP="0027505B">
      <w:pPr>
        <w:ind w:left="720" w:right="8"/>
        <w:jc w:val="both"/>
        <w:rPr>
          <w:rFonts w:eastAsia="宋体" w:cs="Times New Roman"/>
          <w:iCs/>
          <w:szCs w:val="21"/>
          <w:lang w:val="x-none"/>
        </w:rPr>
      </w:pPr>
    </w:p>
    <w:p w:rsidR="00B24DE6" w:rsidRPr="003C2170" w:rsidRDefault="00B24DE6" w:rsidP="0027505B">
      <w:pPr>
        <w:ind w:left="720" w:right="8"/>
        <w:jc w:val="both"/>
        <w:rPr>
          <w:rFonts w:eastAsia="宋体" w:cs="Times New Roman"/>
          <w:iCs/>
          <w:szCs w:val="21"/>
          <w:lang w:val="x-none"/>
        </w:rPr>
      </w:pPr>
      <w:r w:rsidRPr="003C2170">
        <w:rPr>
          <w:rFonts w:eastAsia="宋体" w:cs="Times New Roman" w:hint="eastAsia"/>
          <w:iCs/>
          <w:szCs w:val="21"/>
          <w:lang w:val="x-none"/>
        </w:rPr>
        <w:t>租赁期开始日后，本集团按照固定的周期性利率计算租赁负债在租赁期内各期间的利息费用，并计入当期损益或相关资产成本。</w:t>
      </w:r>
    </w:p>
    <w:p w:rsidR="00B24DE6" w:rsidRPr="003C2170" w:rsidRDefault="00B24DE6" w:rsidP="0027505B">
      <w:pPr>
        <w:ind w:left="720" w:right="8"/>
        <w:jc w:val="both"/>
        <w:rPr>
          <w:rFonts w:eastAsia="宋体" w:cs="Times New Roman"/>
          <w:iCs/>
          <w:szCs w:val="21"/>
          <w:lang w:val="x-none"/>
        </w:rPr>
      </w:pPr>
    </w:p>
    <w:p w:rsidR="00B24DE6" w:rsidRPr="003C2170" w:rsidRDefault="00B24DE6" w:rsidP="0027505B">
      <w:pPr>
        <w:ind w:left="720" w:right="8"/>
        <w:jc w:val="both"/>
        <w:rPr>
          <w:rFonts w:eastAsia="宋体" w:cs="Times New Roman"/>
          <w:iCs/>
          <w:szCs w:val="21"/>
          <w:lang w:val="x-none"/>
        </w:rPr>
      </w:pPr>
      <w:r w:rsidRPr="003C2170">
        <w:rPr>
          <w:rFonts w:eastAsia="宋体" w:cs="Times New Roman" w:hint="eastAsia"/>
          <w:iCs/>
          <w:szCs w:val="21"/>
          <w:lang w:val="x-none"/>
        </w:rPr>
        <w:t>在租赁期开始日后，如因租赁</w:t>
      </w:r>
      <w:proofErr w:type="gramStart"/>
      <w:r w:rsidRPr="003C2170">
        <w:rPr>
          <w:rFonts w:eastAsia="宋体" w:cs="Times New Roman" w:hint="eastAsia"/>
          <w:iCs/>
          <w:szCs w:val="21"/>
          <w:lang w:val="x-none"/>
        </w:rPr>
        <w:t>期变化</w:t>
      </w:r>
      <w:proofErr w:type="gramEnd"/>
      <w:r w:rsidRPr="003C2170">
        <w:rPr>
          <w:rFonts w:eastAsia="宋体" w:cs="Times New Roman" w:hint="eastAsia"/>
          <w:iCs/>
          <w:szCs w:val="21"/>
          <w:lang w:val="x-none"/>
        </w:rPr>
        <w:t>或购买选择权的评估结果发生变化的，本集团按变动后租赁付款额和修订后的折现率计算的现值重新计量租赁负债，并调整相应的使用权资产，若使用权资产的账面价值已调减至零，但租赁负债仍需进一步调减的，本集团将差额计入当期损益。</w:t>
      </w:r>
    </w:p>
    <w:p w:rsidR="00B24DE6" w:rsidRPr="003C2170" w:rsidRDefault="00B24DE6" w:rsidP="0027505B">
      <w:pPr>
        <w:ind w:left="720" w:right="8"/>
        <w:jc w:val="both"/>
        <w:rPr>
          <w:rFonts w:eastAsia="宋体" w:cs="Times New Roman"/>
          <w:iCs/>
          <w:szCs w:val="21"/>
          <w:lang w:val="x-none"/>
        </w:rPr>
      </w:pPr>
    </w:p>
    <w:p w:rsidR="00B24DE6" w:rsidRPr="003C2170" w:rsidRDefault="00D83859" w:rsidP="0027505B">
      <w:pPr>
        <w:ind w:left="720" w:right="8"/>
        <w:jc w:val="both"/>
        <w:rPr>
          <w:rFonts w:eastAsia="宋体" w:cs="Times New Roman"/>
          <w:iCs/>
          <w:szCs w:val="21"/>
          <w:lang w:val="x-none"/>
        </w:rPr>
      </w:pPr>
      <w:r w:rsidRPr="003C2170">
        <w:rPr>
          <w:rFonts w:eastAsia="宋体" w:cs="Times New Roman"/>
          <w:iCs/>
          <w:szCs w:val="21"/>
          <w:u w:val="single"/>
          <w:lang w:val="x-none"/>
        </w:rPr>
        <w:t>30</w:t>
      </w:r>
      <w:r w:rsidR="00B24DE6" w:rsidRPr="003C2170">
        <w:rPr>
          <w:rFonts w:eastAsia="宋体" w:cs="Times New Roman"/>
          <w:iCs/>
          <w:szCs w:val="21"/>
          <w:u w:val="single"/>
          <w:lang w:val="x-none"/>
        </w:rPr>
        <w:t>.1.</w:t>
      </w:r>
      <w:r w:rsidR="00B24DE6" w:rsidRPr="003C2170">
        <w:rPr>
          <w:rFonts w:eastAsia="宋体" w:cs="Times New Roman"/>
          <w:iCs/>
          <w:szCs w:val="21"/>
          <w:u w:val="single"/>
        </w:rPr>
        <w:t>4</w:t>
      </w:r>
      <w:r w:rsidR="00B24DE6" w:rsidRPr="003C2170">
        <w:rPr>
          <w:rFonts w:eastAsia="宋体" w:cs="Times New Roman"/>
          <w:iCs/>
          <w:szCs w:val="21"/>
          <w:u w:val="single"/>
          <w:lang w:val="x-none"/>
        </w:rPr>
        <w:tab/>
      </w:r>
      <w:r w:rsidR="00B24DE6" w:rsidRPr="003C2170">
        <w:rPr>
          <w:rFonts w:eastAsia="宋体" w:cs="Times New Roman" w:hint="eastAsia"/>
          <w:iCs/>
          <w:szCs w:val="21"/>
          <w:u w:val="single"/>
          <w:lang w:val="x-none"/>
        </w:rPr>
        <w:t>作为承租方对短期租赁和低价值资产租赁进行简化处理的判断依据和会计处理方法</w:t>
      </w:r>
    </w:p>
    <w:p w:rsidR="00B24DE6" w:rsidRPr="003C2170" w:rsidRDefault="00B24DE6" w:rsidP="0027505B">
      <w:pPr>
        <w:ind w:left="720" w:right="8"/>
        <w:jc w:val="both"/>
        <w:rPr>
          <w:rFonts w:eastAsia="宋体" w:cs="Times New Roman"/>
          <w:iCs/>
          <w:szCs w:val="21"/>
          <w:lang w:val="x-none"/>
        </w:rPr>
      </w:pPr>
    </w:p>
    <w:p w:rsidR="003E1F89" w:rsidRPr="003C2170" w:rsidRDefault="00B24DE6" w:rsidP="0027505B">
      <w:pPr>
        <w:ind w:left="720" w:right="8"/>
        <w:jc w:val="both"/>
        <w:rPr>
          <w:rFonts w:eastAsia="宋体" w:cs="Times New Roman"/>
          <w:iCs/>
          <w:szCs w:val="21"/>
          <w:lang w:val="x-none"/>
        </w:rPr>
      </w:pPr>
      <w:r w:rsidRPr="003C2170">
        <w:rPr>
          <w:rFonts w:eastAsia="宋体" w:cs="Times New Roman" w:hint="eastAsia"/>
          <w:iCs/>
          <w:szCs w:val="21"/>
          <w:lang w:val="x-none"/>
        </w:rPr>
        <w:t>本集团对部分房屋和设备的短期租赁，选择不确认使用权资产和租赁负债。短期租赁，是指在租赁期开始日，租赁期不超过</w:t>
      </w:r>
      <w:r w:rsidRPr="003C2170">
        <w:rPr>
          <w:rFonts w:eastAsia="宋体" w:cs="Times New Roman"/>
          <w:iCs/>
          <w:szCs w:val="21"/>
          <w:lang w:val="x-none"/>
        </w:rPr>
        <w:t>12</w:t>
      </w:r>
      <w:r w:rsidRPr="003C2170">
        <w:rPr>
          <w:rFonts w:eastAsia="宋体" w:cs="Times New Roman" w:hint="eastAsia"/>
          <w:iCs/>
          <w:szCs w:val="21"/>
          <w:lang w:val="x-none"/>
        </w:rPr>
        <w:t>个月且不包含购买选择权的租赁。本集团将短期租赁的租赁付款额，在租赁期内各个期间按照直线法计入当期损益或相关资产成本。</w:t>
      </w:r>
    </w:p>
    <w:p w:rsidR="00D83859" w:rsidRPr="003C2170" w:rsidRDefault="00D83859" w:rsidP="0027505B">
      <w:pPr>
        <w:ind w:right="8"/>
        <w:jc w:val="both"/>
        <w:rPr>
          <w:rFonts w:eastAsia="宋体" w:cs="Times New Roman"/>
          <w:iCs/>
          <w:szCs w:val="21"/>
          <w:lang w:val="x-none"/>
        </w:rPr>
      </w:pPr>
      <w:r w:rsidRPr="003C2170">
        <w:rPr>
          <w:rFonts w:eastAsia="宋体" w:cs="Times New Roman"/>
          <w:iCs/>
          <w:szCs w:val="21"/>
          <w:lang w:val="x-none"/>
        </w:rPr>
        <w:br w:type="page"/>
      </w:r>
    </w:p>
    <w:p w:rsidR="00D83859" w:rsidRPr="003C2170" w:rsidRDefault="005F14EE" w:rsidP="0027505B">
      <w:pPr>
        <w:ind w:right="8"/>
        <w:jc w:val="both"/>
        <w:rPr>
          <w:rFonts w:eastAsia="宋体" w:cs="Times New Roman"/>
          <w:szCs w:val="21"/>
        </w:rPr>
      </w:pPr>
      <w:r w:rsidRPr="003C2170">
        <w:rPr>
          <w:rFonts w:eastAsia="宋体" w:cs="Times New Roman"/>
          <w:b/>
          <w:szCs w:val="21"/>
        </w:rPr>
        <w:t>(</w:t>
      </w:r>
      <w:r w:rsidR="00D83859" w:rsidRPr="003C2170">
        <w:rPr>
          <w:rFonts w:eastAsia="宋体" w:cs="Times New Roman" w:hint="eastAsia"/>
          <w:b/>
          <w:szCs w:val="21"/>
        </w:rPr>
        <w:t>三</w:t>
      </w:r>
      <w:r w:rsidRPr="003C2170">
        <w:rPr>
          <w:rFonts w:eastAsia="宋体" w:cs="Times New Roman"/>
          <w:b/>
          <w:szCs w:val="21"/>
        </w:rPr>
        <w:t>)</w:t>
      </w:r>
      <w:r w:rsidR="00D83859" w:rsidRPr="003C2170">
        <w:rPr>
          <w:rFonts w:eastAsia="宋体" w:cs="Times New Roman"/>
          <w:b/>
          <w:szCs w:val="21"/>
        </w:rPr>
        <w:tab/>
      </w:r>
      <w:r w:rsidR="00D83859" w:rsidRPr="003C2170">
        <w:rPr>
          <w:rFonts w:eastAsia="宋体" w:cs="Times New Roman" w:hint="eastAsia"/>
          <w:b/>
          <w:szCs w:val="21"/>
        </w:rPr>
        <w:t>重要会计政策和会计估计</w:t>
      </w:r>
      <w:r w:rsidR="00D83859" w:rsidRPr="003C2170">
        <w:rPr>
          <w:rFonts w:eastAsia="宋体" w:cs="Times New Roman"/>
          <w:szCs w:val="21"/>
        </w:rPr>
        <w:t xml:space="preserve"> - </w:t>
      </w:r>
      <w:r w:rsidR="00D83859" w:rsidRPr="003C2170">
        <w:rPr>
          <w:rFonts w:eastAsia="宋体" w:cs="Times New Roman" w:hint="eastAsia"/>
          <w:szCs w:val="21"/>
        </w:rPr>
        <w:t>续</w:t>
      </w:r>
    </w:p>
    <w:p w:rsidR="00D83859" w:rsidRPr="0027505B" w:rsidRDefault="00D83859" w:rsidP="0027505B">
      <w:pPr>
        <w:ind w:left="720" w:right="8"/>
        <w:jc w:val="both"/>
        <w:rPr>
          <w:rFonts w:eastAsia="宋体" w:cs="Times New Roman"/>
          <w:iCs/>
          <w:szCs w:val="21"/>
          <w:lang w:val="x-none"/>
        </w:rPr>
      </w:pPr>
    </w:p>
    <w:p w:rsidR="00D83859" w:rsidRPr="003C2170" w:rsidRDefault="00D83859" w:rsidP="0027505B">
      <w:pPr>
        <w:ind w:leftChars="342" w:left="718" w:right="8" w:firstLine="1"/>
        <w:jc w:val="both"/>
        <w:rPr>
          <w:rFonts w:eastAsia="宋体" w:cs="Times New Roman"/>
          <w:szCs w:val="21"/>
        </w:rPr>
      </w:pPr>
      <w:r w:rsidRPr="003C2170">
        <w:rPr>
          <w:rFonts w:eastAsia="宋体" w:cs="Times New Roman"/>
          <w:b/>
          <w:szCs w:val="21"/>
        </w:rPr>
        <w:t>30.</w:t>
      </w:r>
      <w:r w:rsidRPr="003C2170">
        <w:rPr>
          <w:rFonts w:eastAsia="宋体" w:cs="Times New Roman"/>
          <w:b/>
          <w:szCs w:val="21"/>
        </w:rPr>
        <w:tab/>
      </w:r>
      <w:r w:rsidRPr="003C2170">
        <w:rPr>
          <w:rFonts w:eastAsia="宋体" w:cs="Times New Roman" w:hint="eastAsia"/>
          <w:b/>
          <w:bCs/>
          <w:snapToGrid w:val="0"/>
          <w:szCs w:val="21"/>
        </w:rPr>
        <w:t>租赁</w:t>
      </w:r>
      <w:r w:rsidRPr="003C2170">
        <w:rPr>
          <w:rFonts w:eastAsia="宋体" w:cs="Times New Roman"/>
          <w:snapToGrid w:val="0"/>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B24DE6" w:rsidRPr="003C2170" w:rsidRDefault="00B24DE6" w:rsidP="0027505B">
      <w:pPr>
        <w:ind w:left="720" w:right="8"/>
        <w:jc w:val="both"/>
        <w:rPr>
          <w:rFonts w:eastAsia="宋体" w:cs="Times New Roman"/>
          <w:iCs/>
          <w:szCs w:val="21"/>
          <w:lang w:val="x-none"/>
        </w:rPr>
      </w:pPr>
    </w:p>
    <w:p w:rsidR="00D83859" w:rsidRPr="003C2170" w:rsidRDefault="00D83859" w:rsidP="0027505B">
      <w:pPr>
        <w:ind w:left="720" w:right="8"/>
        <w:jc w:val="both"/>
        <w:rPr>
          <w:rFonts w:eastAsia="宋体" w:cs="Times New Roman"/>
          <w:szCs w:val="21"/>
          <w:u w:val="single"/>
        </w:rPr>
      </w:pPr>
      <w:r w:rsidRPr="003C2170">
        <w:rPr>
          <w:rFonts w:eastAsia="宋体" w:cs="Times New Roman"/>
          <w:szCs w:val="21"/>
          <w:u w:val="single"/>
        </w:rPr>
        <w:t>30.1</w:t>
      </w:r>
      <w:r w:rsidRPr="003C2170">
        <w:rPr>
          <w:rFonts w:eastAsia="宋体" w:cs="Times New Roman"/>
          <w:szCs w:val="21"/>
          <w:u w:val="single"/>
        </w:rPr>
        <w:tab/>
      </w:r>
      <w:r w:rsidRPr="003C2170">
        <w:rPr>
          <w:rFonts w:eastAsia="宋体" w:cs="Times New Roman" w:hint="eastAsia"/>
          <w:szCs w:val="21"/>
          <w:u w:val="single"/>
        </w:rPr>
        <w:t>本集团作为承租人</w:t>
      </w:r>
      <w:r w:rsidRPr="003C2170">
        <w:rPr>
          <w:rFonts w:eastAsia="宋体" w:cs="Times New Roman"/>
          <w:szCs w:val="21"/>
        </w:rPr>
        <w:t xml:space="preserve"> </w:t>
      </w:r>
      <w:r w:rsidR="00402E18">
        <w:rPr>
          <w:rFonts w:eastAsia="宋体" w:cs="Times New Roman"/>
          <w:szCs w:val="21"/>
        </w:rPr>
        <w:t>-</w:t>
      </w:r>
      <w:r w:rsidR="00402E18" w:rsidRPr="003C2170">
        <w:rPr>
          <w:rFonts w:eastAsia="宋体" w:cs="Times New Roman"/>
          <w:szCs w:val="21"/>
        </w:rPr>
        <w:t xml:space="preserve"> </w:t>
      </w:r>
      <w:r w:rsidRPr="003C2170">
        <w:rPr>
          <w:rFonts w:eastAsia="宋体" w:cs="Times New Roman" w:hint="eastAsia"/>
          <w:szCs w:val="21"/>
        </w:rPr>
        <w:t>续</w:t>
      </w:r>
    </w:p>
    <w:p w:rsidR="00D83859" w:rsidRPr="003C2170" w:rsidRDefault="00D83859" w:rsidP="0027505B">
      <w:pPr>
        <w:ind w:left="720" w:right="8"/>
        <w:jc w:val="both"/>
        <w:rPr>
          <w:rFonts w:eastAsia="宋体" w:cs="Times New Roman"/>
          <w:iCs/>
          <w:szCs w:val="21"/>
          <w:lang w:val="x-none"/>
        </w:rPr>
      </w:pPr>
    </w:p>
    <w:p w:rsidR="00B24DE6" w:rsidRPr="003C2170" w:rsidRDefault="00D83859" w:rsidP="0027505B">
      <w:pPr>
        <w:ind w:left="1440" w:right="8" w:hanging="720"/>
        <w:jc w:val="both"/>
        <w:rPr>
          <w:rFonts w:eastAsia="宋体" w:cs="Times New Roman"/>
          <w:iCs/>
          <w:szCs w:val="21"/>
          <w:lang w:val="x-none"/>
        </w:rPr>
      </w:pPr>
      <w:r w:rsidRPr="003C2170">
        <w:rPr>
          <w:rFonts w:eastAsia="宋体" w:cs="Times New Roman"/>
          <w:iCs/>
          <w:szCs w:val="21"/>
          <w:u w:val="single"/>
          <w:lang w:val="x-none"/>
        </w:rPr>
        <w:t>30</w:t>
      </w:r>
      <w:r w:rsidR="00B24DE6" w:rsidRPr="003C2170">
        <w:rPr>
          <w:rFonts w:eastAsia="宋体" w:cs="Times New Roman"/>
          <w:iCs/>
          <w:szCs w:val="21"/>
          <w:u w:val="single"/>
          <w:lang w:val="x-none"/>
        </w:rPr>
        <w:t>.1.</w:t>
      </w:r>
      <w:r w:rsidR="00B24DE6" w:rsidRPr="003C2170">
        <w:rPr>
          <w:rFonts w:eastAsia="宋体" w:cs="Times New Roman"/>
          <w:iCs/>
          <w:szCs w:val="21"/>
          <w:u w:val="single"/>
        </w:rPr>
        <w:t>5</w:t>
      </w:r>
      <w:r w:rsidR="00B24DE6" w:rsidRPr="003C2170">
        <w:rPr>
          <w:rFonts w:eastAsia="宋体" w:cs="Times New Roman"/>
          <w:iCs/>
          <w:szCs w:val="21"/>
          <w:u w:val="single"/>
          <w:lang w:val="x-none"/>
        </w:rPr>
        <w:tab/>
      </w:r>
      <w:r w:rsidR="00B24DE6" w:rsidRPr="003C2170">
        <w:rPr>
          <w:rFonts w:eastAsia="宋体" w:cs="Times New Roman" w:hint="eastAsia"/>
          <w:iCs/>
          <w:szCs w:val="21"/>
          <w:u w:val="single"/>
          <w:lang w:val="x-none"/>
        </w:rPr>
        <w:t>租赁变更</w:t>
      </w:r>
    </w:p>
    <w:p w:rsidR="00B24DE6" w:rsidRPr="003C2170" w:rsidRDefault="00B24DE6" w:rsidP="0027505B">
      <w:pPr>
        <w:ind w:left="720" w:right="8"/>
        <w:jc w:val="both"/>
        <w:rPr>
          <w:rFonts w:eastAsia="宋体" w:cs="Times New Roman"/>
          <w:iCs/>
          <w:szCs w:val="21"/>
          <w:lang w:val="x-none"/>
        </w:rPr>
      </w:pPr>
    </w:p>
    <w:p w:rsidR="00B24DE6" w:rsidRPr="003C2170" w:rsidRDefault="00B24DE6" w:rsidP="0027505B">
      <w:pPr>
        <w:ind w:left="720" w:right="8"/>
        <w:jc w:val="both"/>
        <w:rPr>
          <w:rFonts w:eastAsia="宋体" w:cs="Times New Roman"/>
          <w:iCs/>
          <w:szCs w:val="21"/>
          <w:lang w:val="x-none"/>
        </w:rPr>
      </w:pPr>
      <w:r w:rsidRPr="003C2170">
        <w:rPr>
          <w:rFonts w:eastAsia="宋体" w:cs="Times New Roman" w:hint="eastAsia"/>
          <w:iCs/>
          <w:szCs w:val="21"/>
          <w:lang w:val="x-none"/>
        </w:rPr>
        <w:t>租赁发生变更且同时符合下列条件的，本集团将该租赁变更作为一项单独租赁进行会计处理</w:t>
      </w:r>
      <w:r w:rsidR="005F14EE" w:rsidRPr="003C2170">
        <w:rPr>
          <w:rFonts w:eastAsia="宋体" w:cs="Times New Roman" w:hint="eastAsia"/>
          <w:iCs/>
          <w:szCs w:val="21"/>
          <w:lang w:val="x-none"/>
        </w:rPr>
        <w:t>：</w:t>
      </w:r>
    </w:p>
    <w:p w:rsidR="00B24DE6" w:rsidRPr="003C2170" w:rsidRDefault="00B24DE6" w:rsidP="0027505B">
      <w:pPr>
        <w:ind w:left="720" w:right="8"/>
        <w:jc w:val="both"/>
        <w:rPr>
          <w:rFonts w:eastAsia="宋体" w:cs="Times New Roman"/>
          <w:iCs/>
          <w:szCs w:val="21"/>
          <w:lang w:val="x-none"/>
        </w:rPr>
      </w:pPr>
    </w:p>
    <w:p w:rsidR="00B24DE6" w:rsidRPr="003C2170" w:rsidRDefault="00B24DE6" w:rsidP="0027505B">
      <w:pPr>
        <w:ind w:left="1260" w:right="8" w:hanging="540"/>
        <w:jc w:val="both"/>
        <w:rPr>
          <w:rFonts w:eastAsia="宋体" w:cs="Times New Roman"/>
          <w:iCs/>
          <w:szCs w:val="21"/>
          <w:lang w:val="x-none"/>
        </w:rPr>
      </w:pPr>
      <w:r w:rsidRPr="003C2170">
        <w:rPr>
          <w:rFonts w:eastAsia="宋体" w:cs="Times New Roman"/>
          <w:iCs/>
          <w:szCs w:val="21"/>
          <w:lang w:val="x-none"/>
        </w:rPr>
        <w:t xml:space="preserve">- </w:t>
      </w:r>
      <w:r w:rsidRPr="003C2170">
        <w:rPr>
          <w:rFonts w:eastAsia="宋体" w:cs="Times New Roman"/>
          <w:iCs/>
          <w:szCs w:val="21"/>
          <w:lang w:val="x-none"/>
        </w:rPr>
        <w:tab/>
      </w:r>
      <w:r w:rsidRPr="003C2170">
        <w:rPr>
          <w:rFonts w:eastAsia="宋体" w:cs="Times New Roman" w:hint="eastAsia"/>
          <w:iCs/>
          <w:szCs w:val="21"/>
          <w:lang w:val="x-none"/>
        </w:rPr>
        <w:t>该租赁变更通过增加一项或多项租赁资产的使用权而扩大了租赁范围</w:t>
      </w:r>
      <w:r w:rsidR="005F14EE" w:rsidRPr="003C2170">
        <w:rPr>
          <w:rFonts w:eastAsia="宋体" w:cs="Times New Roman" w:hint="eastAsia"/>
          <w:iCs/>
          <w:szCs w:val="21"/>
          <w:lang w:val="x-none"/>
        </w:rPr>
        <w:t>；</w:t>
      </w:r>
    </w:p>
    <w:p w:rsidR="00B24DE6" w:rsidRPr="003C2170" w:rsidRDefault="00B24DE6" w:rsidP="0027505B">
      <w:pPr>
        <w:ind w:left="1260" w:right="8" w:hanging="540"/>
        <w:jc w:val="both"/>
        <w:rPr>
          <w:rFonts w:eastAsia="宋体" w:cs="Times New Roman"/>
          <w:iCs/>
          <w:szCs w:val="21"/>
          <w:lang w:val="x-none"/>
        </w:rPr>
      </w:pPr>
      <w:r w:rsidRPr="003C2170">
        <w:rPr>
          <w:rFonts w:eastAsia="宋体" w:cs="Times New Roman"/>
          <w:iCs/>
          <w:szCs w:val="21"/>
          <w:lang w:val="x-none"/>
        </w:rPr>
        <w:t xml:space="preserve">- </w:t>
      </w:r>
      <w:r w:rsidRPr="003C2170">
        <w:rPr>
          <w:rFonts w:eastAsia="宋体" w:cs="Times New Roman"/>
          <w:iCs/>
          <w:szCs w:val="21"/>
          <w:lang w:val="x-none"/>
        </w:rPr>
        <w:tab/>
      </w:r>
      <w:r w:rsidRPr="003C2170">
        <w:rPr>
          <w:rFonts w:eastAsia="宋体" w:cs="Times New Roman" w:hint="eastAsia"/>
          <w:iCs/>
          <w:szCs w:val="21"/>
          <w:lang w:val="x-none"/>
        </w:rPr>
        <w:t>增加的对价与租赁范围扩大部分的单独价格按该合同情况调整后的金额相当。</w:t>
      </w:r>
    </w:p>
    <w:p w:rsidR="00B24DE6" w:rsidRPr="003C2170" w:rsidRDefault="00B24DE6" w:rsidP="0027505B">
      <w:pPr>
        <w:ind w:left="1260" w:right="8" w:hanging="540"/>
        <w:jc w:val="both"/>
        <w:rPr>
          <w:rFonts w:eastAsia="宋体" w:cs="Times New Roman"/>
          <w:iCs/>
          <w:szCs w:val="21"/>
        </w:rPr>
      </w:pPr>
    </w:p>
    <w:p w:rsidR="00B24DE6" w:rsidRPr="003C2170" w:rsidRDefault="00B24DE6" w:rsidP="0027505B">
      <w:pPr>
        <w:ind w:left="720" w:right="8"/>
        <w:jc w:val="both"/>
        <w:rPr>
          <w:rFonts w:eastAsia="宋体" w:cs="Times New Roman"/>
          <w:iCs/>
          <w:szCs w:val="21"/>
          <w:lang w:val="x-none"/>
        </w:rPr>
      </w:pPr>
      <w:r w:rsidRPr="003C2170">
        <w:rPr>
          <w:rFonts w:eastAsia="宋体" w:cs="Times New Roman" w:hint="eastAsia"/>
          <w:iCs/>
          <w:szCs w:val="21"/>
          <w:lang w:val="x-none"/>
        </w:rPr>
        <w:t>租赁变更未作为一项单独租赁进行会计处理的，在租赁变更生效日，本集团重新分摊变更后合同的对价，重新确定租赁期，并按照变更后租赁付款额和修订后的折现率计算的现值重新计量租赁负债。</w:t>
      </w:r>
    </w:p>
    <w:p w:rsidR="00B24DE6" w:rsidRPr="003C2170" w:rsidRDefault="00B24DE6" w:rsidP="0027505B">
      <w:pPr>
        <w:ind w:left="720" w:right="8"/>
        <w:jc w:val="both"/>
        <w:rPr>
          <w:rFonts w:eastAsia="宋体" w:cs="Times New Roman"/>
          <w:iCs/>
          <w:szCs w:val="21"/>
          <w:lang w:val="x-none"/>
        </w:rPr>
      </w:pPr>
    </w:p>
    <w:p w:rsidR="00B24DE6" w:rsidRPr="003C2170" w:rsidRDefault="00B24DE6" w:rsidP="0027505B">
      <w:pPr>
        <w:ind w:left="720" w:right="8"/>
        <w:jc w:val="both"/>
        <w:rPr>
          <w:rFonts w:eastAsia="宋体" w:cs="Times New Roman"/>
          <w:iCs/>
          <w:szCs w:val="21"/>
          <w:u w:val="single"/>
          <w:lang w:val="x-none"/>
        </w:rPr>
      </w:pPr>
      <w:r w:rsidRPr="003C2170">
        <w:rPr>
          <w:rFonts w:eastAsia="宋体" w:cs="Times New Roman" w:hint="eastAsia"/>
          <w:iCs/>
          <w:szCs w:val="21"/>
          <w:lang w:val="x-none"/>
        </w:rPr>
        <w:t>租赁变更导致租赁范围缩小或租赁期缩短的，本集团相应调减使用权资产的账面价值，并将部分终止或完全终止租赁的相关利得或损失计入当期损益。其他租赁变更导致租赁负债重新计量的，本集团相应调整使用权资产的账面价值。</w:t>
      </w:r>
    </w:p>
    <w:p w:rsidR="003E1F89" w:rsidRPr="003C2170" w:rsidRDefault="003E1F89" w:rsidP="0027505B">
      <w:pPr>
        <w:ind w:left="720" w:right="8"/>
        <w:jc w:val="both"/>
        <w:rPr>
          <w:rFonts w:eastAsia="宋体" w:cs="Times New Roman"/>
          <w:szCs w:val="21"/>
        </w:rPr>
      </w:pPr>
    </w:p>
    <w:p w:rsidR="006513D7" w:rsidRPr="003C2170" w:rsidRDefault="00786D14"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递延</w:t>
      </w:r>
      <w:r w:rsidR="006513D7" w:rsidRPr="003C2170">
        <w:rPr>
          <w:rFonts w:ascii="Times New Roman" w:eastAsia="宋体" w:hAnsi="Times New Roman" w:cs="Times New Roman" w:hint="eastAsia"/>
          <w:szCs w:val="21"/>
        </w:rPr>
        <w:t>所得税</w:t>
      </w:r>
      <w:r w:rsidRPr="003C2170">
        <w:rPr>
          <w:rFonts w:ascii="Times New Roman" w:eastAsia="宋体" w:hAnsi="Times New Roman" w:cs="Times New Roman" w:hint="eastAsia"/>
          <w:szCs w:val="21"/>
        </w:rPr>
        <w:t>资产</w:t>
      </w:r>
      <w:r w:rsidRPr="003C2170">
        <w:rPr>
          <w:rFonts w:ascii="Times New Roman" w:eastAsia="宋体" w:hAnsi="Times New Roman" w:cs="Times New Roman"/>
          <w:szCs w:val="21"/>
        </w:rPr>
        <w:t>/</w:t>
      </w:r>
      <w:r w:rsidRPr="003C2170">
        <w:rPr>
          <w:rFonts w:ascii="Times New Roman" w:eastAsia="宋体" w:hAnsi="Times New Roman" w:cs="Times New Roman" w:hint="eastAsia"/>
          <w:szCs w:val="21"/>
        </w:rPr>
        <w:t>递延所得税负债</w:t>
      </w:r>
    </w:p>
    <w:p w:rsidR="006513D7" w:rsidRPr="003C2170" w:rsidRDefault="006513D7" w:rsidP="0027505B">
      <w:pPr>
        <w:ind w:left="720" w:right="8"/>
        <w:jc w:val="both"/>
        <w:rPr>
          <w:rFonts w:eastAsia="宋体" w:cs="Times New Roman"/>
          <w:szCs w:val="21"/>
        </w:rPr>
      </w:pPr>
    </w:p>
    <w:p w:rsidR="006513D7" w:rsidRPr="003C2170" w:rsidRDefault="006513D7" w:rsidP="0027505B">
      <w:pPr>
        <w:ind w:left="720" w:right="8"/>
        <w:jc w:val="both"/>
        <w:rPr>
          <w:rFonts w:eastAsia="宋体" w:cs="Times New Roman"/>
          <w:szCs w:val="21"/>
        </w:rPr>
      </w:pPr>
      <w:r w:rsidRPr="003C2170">
        <w:rPr>
          <w:rFonts w:eastAsia="宋体" w:cs="Times New Roman" w:hint="eastAsia"/>
          <w:szCs w:val="21"/>
        </w:rPr>
        <w:t>所得税费用包括当期所得税和递延所得税。</w:t>
      </w:r>
    </w:p>
    <w:p w:rsidR="006513D7" w:rsidRPr="003C2170" w:rsidRDefault="006513D7" w:rsidP="0027505B">
      <w:pPr>
        <w:ind w:left="720" w:right="8"/>
        <w:jc w:val="both"/>
        <w:rPr>
          <w:rFonts w:eastAsia="宋体" w:cs="Times New Roman"/>
          <w:szCs w:val="21"/>
        </w:rPr>
      </w:pPr>
    </w:p>
    <w:p w:rsidR="006513D7" w:rsidRPr="003C2170" w:rsidRDefault="00B24DE6" w:rsidP="0027505B">
      <w:pPr>
        <w:ind w:left="720" w:right="8"/>
        <w:jc w:val="both"/>
        <w:rPr>
          <w:rFonts w:eastAsia="宋体" w:cs="Times New Roman"/>
          <w:szCs w:val="21"/>
          <w:u w:val="single"/>
        </w:rPr>
      </w:pPr>
      <w:r w:rsidRPr="003C2170">
        <w:rPr>
          <w:rFonts w:eastAsia="宋体" w:cs="Times New Roman"/>
          <w:szCs w:val="21"/>
          <w:u w:val="single"/>
        </w:rPr>
        <w:t>3</w:t>
      </w:r>
      <w:r w:rsidR="00D83859" w:rsidRPr="003C2170">
        <w:rPr>
          <w:rFonts w:eastAsia="宋体" w:cs="Times New Roman"/>
          <w:szCs w:val="21"/>
          <w:u w:val="single"/>
        </w:rPr>
        <w:t>1</w:t>
      </w:r>
      <w:r w:rsidR="006513D7" w:rsidRPr="003C2170">
        <w:rPr>
          <w:rFonts w:eastAsia="宋体" w:cs="Times New Roman"/>
          <w:szCs w:val="21"/>
          <w:u w:val="single"/>
        </w:rPr>
        <w:t>.1</w:t>
      </w:r>
      <w:r w:rsidR="006513D7" w:rsidRPr="003C2170">
        <w:rPr>
          <w:rFonts w:eastAsia="宋体" w:cs="Times New Roman"/>
          <w:szCs w:val="21"/>
          <w:u w:val="single"/>
        </w:rPr>
        <w:tab/>
      </w:r>
      <w:r w:rsidR="006513D7" w:rsidRPr="003C2170">
        <w:rPr>
          <w:rFonts w:eastAsia="宋体" w:cs="Times New Roman" w:hint="eastAsia"/>
          <w:szCs w:val="21"/>
          <w:u w:val="single"/>
        </w:rPr>
        <w:t>当期所得税</w:t>
      </w:r>
    </w:p>
    <w:p w:rsidR="006513D7" w:rsidRPr="003C2170" w:rsidRDefault="006513D7" w:rsidP="0027505B">
      <w:pPr>
        <w:ind w:left="720" w:right="8"/>
        <w:jc w:val="both"/>
        <w:rPr>
          <w:rFonts w:eastAsia="宋体" w:cs="Times New Roman"/>
          <w:szCs w:val="21"/>
        </w:rPr>
      </w:pPr>
    </w:p>
    <w:p w:rsidR="005D7660" w:rsidRPr="003C2170" w:rsidRDefault="006513D7" w:rsidP="0027505B">
      <w:pPr>
        <w:ind w:left="720" w:right="8"/>
        <w:jc w:val="both"/>
        <w:rPr>
          <w:rFonts w:eastAsia="宋体" w:cs="Times New Roman"/>
          <w:szCs w:val="21"/>
        </w:rPr>
      </w:pPr>
      <w:r w:rsidRPr="003C2170">
        <w:rPr>
          <w:rFonts w:eastAsia="宋体" w:cs="Times New Roman" w:hint="eastAsia"/>
          <w:szCs w:val="21"/>
        </w:rPr>
        <w:t>资产负债表日，对于当期和以前期间形成的当期所得税负债</w:t>
      </w:r>
      <w:r w:rsidR="005F14EE" w:rsidRPr="003C2170">
        <w:rPr>
          <w:rFonts w:eastAsia="宋体" w:cs="Times New Roman"/>
          <w:szCs w:val="21"/>
        </w:rPr>
        <w:t>(</w:t>
      </w:r>
      <w:r w:rsidRPr="003C2170">
        <w:rPr>
          <w:rFonts w:eastAsia="宋体" w:cs="Times New Roman" w:hint="eastAsia"/>
          <w:szCs w:val="21"/>
        </w:rPr>
        <w:t>或资产</w:t>
      </w:r>
      <w:r w:rsidR="005F14EE" w:rsidRPr="003C2170">
        <w:rPr>
          <w:rFonts w:eastAsia="宋体" w:cs="Times New Roman"/>
          <w:szCs w:val="21"/>
        </w:rPr>
        <w:t>)</w:t>
      </w:r>
      <w:r w:rsidRPr="003C2170">
        <w:rPr>
          <w:rFonts w:eastAsia="宋体" w:cs="Times New Roman" w:hint="eastAsia"/>
          <w:szCs w:val="21"/>
        </w:rPr>
        <w:t>，以按照税法规定计算的预期应交纳</w:t>
      </w:r>
      <w:r w:rsidR="005F14EE" w:rsidRPr="003C2170">
        <w:rPr>
          <w:rFonts w:eastAsia="宋体" w:cs="Times New Roman"/>
          <w:szCs w:val="21"/>
        </w:rPr>
        <w:t>(</w:t>
      </w:r>
      <w:r w:rsidRPr="003C2170">
        <w:rPr>
          <w:rFonts w:eastAsia="宋体" w:cs="Times New Roman" w:hint="eastAsia"/>
          <w:szCs w:val="21"/>
        </w:rPr>
        <w:t>或返还</w:t>
      </w:r>
      <w:r w:rsidR="005F14EE" w:rsidRPr="003C2170">
        <w:rPr>
          <w:rFonts w:eastAsia="宋体" w:cs="Times New Roman"/>
          <w:szCs w:val="21"/>
        </w:rPr>
        <w:t>)</w:t>
      </w:r>
      <w:r w:rsidRPr="003C2170">
        <w:rPr>
          <w:rFonts w:eastAsia="宋体" w:cs="Times New Roman" w:hint="eastAsia"/>
          <w:szCs w:val="21"/>
        </w:rPr>
        <w:t>的所得税金额计量。</w:t>
      </w:r>
    </w:p>
    <w:p w:rsidR="006513D7" w:rsidRPr="003C2170" w:rsidRDefault="006513D7" w:rsidP="0027505B">
      <w:pPr>
        <w:ind w:left="720" w:right="8"/>
        <w:jc w:val="both"/>
        <w:rPr>
          <w:rFonts w:eastAsia="宋体" w:cs="Times New Roman"/>
          <w:szCs w:val="21"/>
        </w:rPr>
      </w:pPr>
    </w:p>
    <w:p w:rsidR="006513D7" w:rsidRPr="003C2170" w:rsidRDefault="00B24DE6" w:rsidP="0027505B">
      <w:pPr>
        <w:ind w:left="720" w:right="8"/>
        <w:jc w:val="both"/>
        <w:rPr>
          <w:rFonts w:eastAsia="宋体" w:cs="Times New Roman"/>
          <w:szCs w:val="21"/>
          <w:u w:val="single"/>
        </w:rPr>
      </w:pPr>
      <w:r w:rsidRPr="003C2170">
        <w:rPr>
          <w:rFonts w:eastAsia="宋体" w:cs="Times New Roman"/>
          <w:szCs w:val="21"/>
          <w:u w:val="single"/>
        </w:rPr>
        <w:t>3</w:t>
      </w:r>
      <w:r w:rsidR="00D83859" w:rsidRPr="003C2170">
        <w:rPr>
          <w:rFonts w:eastAsia="宋体" w:cs="Times New Roman"/>
          <w:szCs w:val="21"/>
          <w:u w:val="single"/>
        </w:rPr>
        <w:t>1</w:t>
      </w:r>
      <w:r w:rsidR="006513D7" w:rsidRPr="003C2170">
        <w:rPr>
          <w:rFonts w:eastAsia="宋体" w:cs="Times New Roman"/>
          <w:szCs w:val="21"/>
          <w:u w:val="single"/>
        </w:rPr>
        <w:t>.2</w:t>
      </w:r>
      <w:r w:rsidR="006513D7" w:rsidRPr="003C2170">
        <w:rPr>
          <w:rFonts w:eastAsia="宋体" w:cs="Times New Roman"/>
          <w:szCs w:val="21"/>
          <w:u w:val="single"/>
        </w:rPr>
        <w:tab/>
      </w:r>
      <w:r w:rsidR="006513D7" w:rsidRPr="003C2170">
        <w:rPr>
          <w:rFonts w:eastAsia="宋体" w:cs="Times New Roman" w:hint="eastAsia"/>
          <w:szCs w:val="21"/>
          <w:u w:val="single"/>
        </w:rPr>
        <w:t>递延所得税资产及递延所得税负债</w:t>
      </w:r>
    </w:p>
    <w:p w:rsidR="006513D7" w:rsidRPr="003C2170" w:rsidRDefault="006513D7" w:rsidP="0027505B">
      <w:pPr>
        <w:ind w:left="720" w:right="8"/>
        <w:jc w:val="both"/>
        <w:rPr>
          <w:rFonts w:eastAsia="宋体" w:cs="Times New Roman"/>
          <w:szCs w:val="21"/>
        </w:rPr>
      </w:pPr>
    </w:p>
    <w:p w:rsidR="001001D7" w:rsidRPr="003C2170" w:rsidRDefault="006513D7" w:rsidP="0027505B">
      <w:pPr>
        <w:ind w:left="720" w:right="8"/>
        <w:jc w:val="both"/>
        <w:rPr>
          <w:rFonts w:eastAsia="宋体" w:cs="Times New Roman"/>
          <w:szCs w:val="21"/>
        </w:rPr>
      </w:pPr>
      <w:r w:rsidRPr="003C2170">
        <w:rPr>
          <w:rFonts w:eastAsia="宋体" w:cs="Times New Roman" w:hint="eastAsia"/>
          <w:szCs w:val="21"/>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1001D7" w:rsidRPr="003C2170" w:rsidRDefault="001001D7" w:rsidP="0027505B">
      <w:pPr>
        <w:ind w:left="720" w:right="8"/>
        <w:jc w:val="both"/>
        <w:rPr>
          <w:rFonts w:eastAsia="宋体" w:cs="Times New Roman"/>
          <w:szCs w:val="21"/>
        </w:rPr>
      </w:pPr>
    </w:p>
    <w:p w:rsidR="006513D7" w:rsidRPr="003C2170" w:rsidRDefault="00DF1DAF" w:rsidP="0027505B">
      <w:pPr>
        <w:ind w:left="720" w:right="8"/>
        <w:jc w:val="both"/>
        <w:rPr>
          <w:rFonts w:eastAsia="宋体" w:cs="Times New Roman"/>
          <w:szCs w:val="21"/>
        </w:rPr>
      </w:pPr>
      <w:r w:rsidRPr="003C2170">
        <w:rPr>
          <w:rFonts w:eastAsia="宋体" w:cs="Times New Roman" w:hint="eastAsia"/>
          <w:szCs w:val="21"/>
        </w:rPr>
        <w:t>一般情况下所有暂时性差异均确认相关的递延所得税。但对于可抵扣暂时性差异，本集团以很可能取得用来抵扣可抵扣暂时性差异的应纳税所得额为限，确认相关的递延所得税资产。此外，与商誉的初始确认相关的，</w:t>
      </w:r>
      <w:proofErr w:type="gramStart"/>
      <w:r w:rsidRPr="003C2170">
        <w:rPr>
          <w:rFonts w:eastAsia="宋体" w:cs="Times New Roman" w:hint="eastAsia"/>
          <w:szCs w:val="21"/>
        </w:rPr>
        <w:t>以及与既不是</w:t>
      </w:r>
      <w:proofErr w:type="gramEnd"/>
      <w:r w:rsidRPr="003C2170">
        <w:rPr>
          <w:rFonts w:eastAsia="宋体" w:cs="Times New Roman" w:hint="eastAsia"/>
          <w:szCs w:val="21"/>
        </w:rPr>
        <w:t>企业合并、发生时也不影响会计利润和应纳税所得额</w:t>
      </w:r>
      <w:r w:rsidR="005F14EE" w:rsidRPr="003C2170">
        <w:rPr>
          <w:rFonts w:eastAsia="宋体" w:cs="Times New Roman" w:hint="eastAsia"/>
          <w:szCs w:val="21"/>
        </w:rPr>
        <w:t>(</w:t>
      </w:r>
      <w:r w:rsidRPr="003C2170">
        <w:rPr>
          <w:rFonts w:eastAsia="宋体" w:cs="Times New Roman" w:hint="eastAsia"/>
          <w:szCs w:val="21"/>
        </w:rPr>
        <w:t>或可抵扣亏损</w:t>
      </w:r>
      <w:r w:rsidR="005F14EE" w:rsidRPr="003C2170">
        <w:rPr>
          <w:rFonts w:eastAsia="宋体" w:cs="Times New Roman" w:hint="eastAsia"/>
          <w:szCs w:val="21"/>
        </w:rPr>
        <w:t>)</w:t>
      </w:r>
      <w:r w:rsidRPr="003C2170">
        <w:rPr>
          <w:rFonts w:eastAsia="宋体" w:cs="Times New Roman" w:hint="eastAsia"/>
          <w:szCs w:val="21"/>
        </w:rPr>
        <w:t>且</w:t>
      </w:r>
      <w:proofErr w:type="gramStart"/>
      <w:r w:rsidRPr="003C2170">
        <w:rPr>
          <w:rFonts w:eastAsia="宋体" w:cs="Times New Roman" w:hint="eastAsia"/>
          <w:szCs w:val="21"/>
        </w:rPr>
        <w:t>不</w:t>
      </w:r>
      <w:proofErr w:type="gramEnd"/>
      <w:r w:rsidRPr="003C2170">
        <w:rPr>
          <w:rFonts w:eastAsia="宋体" w:cs="Times New Roman" w:hint="eastAsia"/>
          <w:szCs w:val="21"/>
        </w:rPr>
        <w:t>导致等额应纳税暂时性差异和可抵扣暂时性差异的交易中产生的资产或负债的初始确认有关的暂时性差异，不予确认有关的递延所得税资产或负债。</w:t>
      </w:r>
    </w:p>
    <w:p w:rsidR="00DF1DAF" w:rsidRPr="003C2170" w:rsidRDefault="00DF1DAF" w:rsidP="0027505B">
      <w:pPr>
        <w:ind w:left="720" w:right="8"/>
        <w:jc w:val="both"/>
        <w:rPr>
          <w:rFonts w:eastAsia="宋体" w:cs="Times New Roman"/>
          <w:szCs w:val="21"/>
        </w:rPr>
      </w:pPr>
    </w:p>
    <w:p w:rsidR="00DA086E" w:rsidRPr="003C2170" w:rsidRDefault="006513D7" w:rsidP="0027505B">
      <w:pPr>
        <w:ind w:left="720" w:right="8"/>
        <w:jc w:val="both"/>
        <w:rPr>
          <w:rFonts w:eastAsia="宋体" w:cs="Times New Roman"/>
          <w:szCs w:val="21"/>
        </w:rPr>
      </w:pPr>
      <w:r w:rsidRPr="003C2170">
        <w:rPr>
          <w:rFonts w:eastAsia="宋体" w:cs="Times New Roman" w:hint="eastAsia"/>
          <w:szCs w:val="21"/>
        </w:rPr>
        <w:t>对于能够结转以后年度的可抵扣亏损及税款抵减，以很可能获得用来抵扣可抵扣亏损和税款抵减的未来应纳税所得额为限，确认相应的递延所得税资产。</w:t>
      </w:r>
    </w:p>
    <w:p w:rsidR="00DA086E" w:rsidRPr="003C2170" w:rsidRDefault="00DA086E" w:rsidP="0027505B">
      <w:pPr>
        <w:ind w:left="720" w:right="8"/>
        <w:jc w:val="both"/>
        <w:rPr>
          <w:rFonts w:eastAsia="宋体" w:cs="Times New Roman"/>
          <w:szCs w:val="21"/>
        </w:rPr>
      </w:pPr>
    </w:p>
    <w:p w:rsidR="006513D7" w:rsidRPr="003C2170" w:rsidRDefault="006513D7" w:rsidP="0027505B">
      <w:pPr>
        <w:ind w:left="720" w:right="8"/>
        <w:jc w:val="both"/>
        <w:rPr>
          <w:rFonts w:eastAsia="宋体" w:cs="Times New Roman"/>
          <w:szCs w:val="21"/>
        </w:rPr>
      </w:pPr>
      <w:r w:rsidRPr="003C2170">
        <w:rPr>
          <w:rFonts w:eastAsia="宋体" w:cs="Times New Roman" w:hint="eastAsia"/>
          <w:szCs w:val="21"/>
        </w:rPr>
        <w:t>本集团确认与子公司投资相关的应纳税暂时性差异产生的递延所得税负债，除非本集团能够控制暂时性差异转回的时间，而且该暂时性差异在可预见的未来很可能不会转回。对于与子公司投资相关的可抵扣暂时性差异，只有当暂时性差异在可预见的未来很可能转回，且未来很可能获得用来抵扣可抵扣暂时性差异的应纳税所得额时，本集团才确认递延所得税资产。</w:t>
      </w:r>
    </w:p>
    <w:p w:rsidR="006513D7" w:rsidRPr="003C2170" w:rsidRDefault="006513D7" w:rsidP="0027505B">
      <w:pPr>
        <w:ind w:left="720" w:right="8"/>
        <w:jc w:val="both"/>
        <w:rPr>
          <w:rFonts w:eastAsia="宋体" w:cs="Times New Roman"/>
          <w:szCs w:val="21"/>
        </w:rPr>
      </w:pPr>
    </w:p>
    <w:p w:rsidR="0039083F" w:rsidRPr="003C2170" w:rsidRDefault="006513D7" w:rsidP="0027505B">
      <w:pPr>
        <w:ind w:left="720" w:right="8"/>
        <w:jc w:val="both"/>
        <w:rPr>
          <w:rFonts w:eastAsia="宋体" w:cs="Times New Roman"/>
          <w:szCs w:val="21"/>
        </w:rPr>
      </w:pPr>
      <w:r w:rsidRPr="003C2170">
        <w:rPr>
          <w:rFonts w:eastAsia="宋体" w:cs="Times New Roman" w:hint="eastAsia"/>
          <w:szCs w:val="21"/>
        </w:rPr>
        <w:t>资产负债表日，对于递延所得税资产和递延所得税负债，根据税法规定，按照预期收回相关资产或清偿相关负债期间的适用税率计量。</w:t>
      </w:r>
    </w:p>
    <w:p w:rsidR="00D83859" w:rsidRPr="003C2170" w:rsidRDefault="00D83859" w:rsidP="0027505B">
      <w:pPr>
        <w:ind w:right="8"/>
        <w:jc w:val="both"/>
        <w:rPr>
          <w:rFonts w:eastAsia="宋体" w:cs="Times New Roman"/>
          <w:szCs w:val="21"/>
        </w:rPr>
      </w:pPr>
      <w:r w:rsidRPr="003C2170">
        <w:rPr>
          <w:rFonts w:eastAsia="宋体" w:cs="Times New Roman"/>
          <w:szCs w:val="21"/>
        </w:rPr>
        <w:br w:type="page"/>
      </w:r>
    </w:p>
    <w:p w:rsidR="00D83859" w:rsidRPr="003C2170" w:rsidRDefault="005F14EE" w:rsidP="0027505B">
      <w:pPr>
        <w:ind w:right="8"/>
        <w:jc w:val="both"/>
        <w:rPr>
          <w:rFonts w:eastAsia="宋体" w:cs="Times New Roman"/>
          <w:szCs w:val="21"/>
        </w:rPr>
      </w:pPr>
      <w:r w:rsidRPr="003C2170">
        <w:rPr>
          <w:rFonts w:eastAsia="宋体" w:cs="Times New Roman"/>
          <w:b/>
          <w:szCs w:val="21"/>
        </w:rPr>
        <w:t>(</w:t>
      </w:r>
      <w:r w:rsidR="00D83859" w:rsidRPr="003C2170">
        <w:rPr>
          <w:rFonts w:eastAsia="宋体" w:cs="Times New Roman" w:hint="eastAsia"/>
          <w:b/>
          <w:szCs w:val="21"/>
        </w:rPr>
        <w:t>三</w:t>
      </w:r>
      <w:r w:rsidRPr="003C2170">
        <w:rPr>
          <w:rFonts w:eastAsia="宋体" w:cs="Times New Roman"/>
          <w:b/>
          <w:szCs w:val="21"/>
        </w:rPr>
        <w:t>)</w:t>
      </w:r>
      <w:r w:rsidR="00D83859" w:rsidRPr="003C2170">
        <w:rPr>
          <w:rFonts w:eastAsia="宋体" w:cs="Times New Roman"/>
          <w:b/>
          <w:szCs w:val="21"/>
        </w:rPr>
        <w:tab/>
      </w:r>
      <w:r w:rsidR="00D83859" w:rsidRPr="003C2170">
        <w:rPr>
          <w:rFonts w:eastAsia="宋体" w:cs="Times New Roman" w:hint="eastAsia"/>
          <w:b/>
          <w:szCs w:val="21"/>
        </w:rPr>
        <w:t>重要会计政策和会计估计</w:t>
      </w:r>
      <w:r w:rsidR="00D83859" w:rsidRPr="003C2170">
        <w:rPr>
          <w:rFonts w:eastAsia="宋体" w:cs="Times New Roman"/>
          <w:szCs w:val="21"/>
        </w:rPr>
        <w:t xml:space="preserve"> - </w:t>
      </w:r>
      <w:r w:rsidR="00D83859" w:rsidRPr="003C2170">
        <w:rPr>
          <w:rFonts w:eastAsia="宋体" w:cs="Times New Roman" w:hint="eastAsia"/>
          <w:szCs w:val="21"/>
        </w:rPr>
        <w:t>续</w:t>
      </w:r>
    </w:p>
    <w:p w:rsidR="00D83859" w:rsidRPr="003C2170" w:rsidRDefault="00D83859" w:rsidP="0027505B">
      <w:pPr>
        <w:ind w:leftChars="342" w:left="718" w:right="8"/>
        <w:jc w:val="both"/>
        <w:rPr>
          <w:rFonts w:eastAsia="宋体" w:cs="Times New Roman"/>
          <w:kern w:val="2"/>
          <w:szCs w:val="21"/>
        </w:rPr>
      </w:pPr>
    </w:p>
    <w:p w:rsidR="00D83859" w:rsidRPr="003C2170" w:rsidRDefault="00D83859" w:rsidP="0027505B">
      <w:pPr>
        <w:ind w:leftChars="342" w:left="718" w:right="8"/>
        <w:jc w:val="both"/>
        <w:rPr>
          <w:rFonts w:eastAsia="宋体" w:cs="Times New Roman"/>
          <w:szCs w:val="21"/>
        </w:rPr>
      </w:pPr>
      <w:r w:rsidRPr="003C2170">
        <w:rPr>
          <w:rFonts w:eastAsia="宋体" w:cs="Times New Roman"/>
          <w:b/>
          <w:szCs w:val="21"/>
        </w:rPr>
        <w:t>31.</w:t>
      </w:r>
      <w:r w:rsidRPr="003C2170">
        <w:rPr>
          <w:rFonts w:eastAsia="宋体" w:cs="Times New Roman"/>
          <w:b/>
          <w:szCs w:val="21"/>
        </w:rPr>
        <w:tab/>
      </w:r>
      <w:r w:rsidRPr="003C2170">
        <w:rPr>
          <w:rFonts w:eastAsia="宋体" w:cs="Times New Roman" w:hint="eastAsia"/>
          <w:b/>
          <w:bCs/>
          <w:snapToGrid w:val="0"/>
          <w:szCs w:val="21"/>
        </w:rPr>
        <w:t>递延所得税资产</w:t>
      </w:r>
      <w:r w:rsidRPr="003C2170">
        <w:rPr>
          <w:rFonts w:eastAsia="宋体" w:cs="Times New Roman" w:hint="eastAsia"/>
          <w:b/>
          <w:bCs/>
          <w:snapToGrid w:val="0"/>
          <w:szCs w:val="21"/>
        </w:rPr>
        <w:t>/</w:t>
      </w:r>
      <w:r w:rsidRPr="003C2170">
        <w:rPr>
          <w:rFonts w:eastAsia="宋体" w:cs="Times New Roman" w:hint="eastAsia"/>
          <w:b/>
          <w:bCs/>
          <w:snapToGrid w:val="0"/>
          <w:szCs w:val="21"/>
        </w:rPr>
        <w:t>递延所得税负债</w:t>
      </w:r>
      <w:r w:rsidRPr="003C2170">
        <w:rPr>
          <w:rFonts w:eastAsia="宋体" w:cs="Times New Roman"/>
          <w:snapToGrid w:val="0"/>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D83859" w:rsidRPr="003C2170" w:rsidRDefault="00D83859" w:rsidP="0027505B">
      <w:pPr>
        <w:ind w:leftChars="342" w:left="718" w:right="8"/>
        <w:jc w:val="both"/>
        <w:rPr>
          <w:rFonts w:eastAsia="宋体" w:cs="Times New Roman"/>
          <w:szCs w:val="21"/>
          <w:u w:val="single"/>
        </w:rPr>
      </w:pPr>
    </w:p>
    <w:p w:rsidR="00D83859" w:rsidRPr="003C2170" w:rsidRDefault="00D83859" w:rsidP="0027505B">
      <w:pPr>
        <w:ind w:leftChars="342" w:left="718" w:right="8"/>
        <w:jc w:val="both"/>
        <w:rPr>
          <w:rFonts w:eastAsia="宋体" w:cs="Times New Roman"/>
          <w:szCs w:val="21"/>
          <w:u w:val="single"/>
        </w:rPr>
      </w:pPr>
      <w:r w:rsidRPr="003C2170">
        <w:rPr>
          <w:rFonts w:eastAsia="宋体" w:cs="Times New Roman"/>
          <w:szCs w:val="21"/>
          <w:u w:val="single"/>
        </w:rPr>
        <w:t>31.2</w:t>
      </w:r>
      <w:r w:rsidRPr="003C2170">
        <w:rPr>
          <w:rFonts w:eastAsia="宋体" w:cs="Times New Roman"/>
          <w:szCs w:val="21"/>
          <w:u w:val="single"/>
        </w:rPr>
        <w:tab/>
      </w:r>
      <w:r w:rsidRPr="003C2170">
        <w:rPr>
          <w:rFonts w:eastAsia="宋体" w:cs="Times New Roman" w:hint="eastAsia"/>
          <w:szCs w:val="21"/>
          <w:u w:val="single"/>
        </w:rPr>
        <w:t>递延所得税资产及递延所得税负债</w:t>
      </w:r>
      <w:r w:rsidRPr="003C2170">
        <w:rPr>
          <w:rFonts w:eastAsia="宋体" w:cs="Times New Roman" w:hint="eastAsia"/>
          <w:szCs w:val="21"/>
        </w:rPr>
        <w:t xml:space="preserve"> </w:t>
      </w:r>
      <w:r w:rsidR="00B6541F">
        <w:rPr>
          <w:rFonts w:eastAsia="宋体" w:cs="Times New Roman"/>
          <w:szCs w:val="21"/>
        </w:rPr>
        <w:t>-</w:t>
      </w:r>
      <w:r w:rsidR="00B6541F" w:rsidRPr="003C2170">
        <w:rPr>
          <w:rFonts w:eastAsia="宋体" w:cs="Times New Roman"/>
          <w:szCs w:val="21"/>
        </w:rPr>
        <w:t xml:space="preserve"> </w:t>
      </w:r>
      <w:r w:rsidRPr="003C2170">
        <w:rPr>
          <w:rFonts w:eastAsia="宋体" w:cs="Times New Roman" w:hint="eastAsia"/>
          <w:szCs w:val="21"/>
        </w:rPr>
        <w:t>续</w:t>
      </w:r>
    </w:p>
    <w:p w:rsidR="006513D7" w:rsidRPr="003C2170" w:rsidRDefault="006513D7" w:rsidP="0027505B">
      <w:pPr>
        <w:ind w:leftChars="342" w:left="718" w:right="8"/>
        <w:jc w:val="both"/>
        <w:rPr>
          <w:rFonts w:eastAsia="宋体" w:cs="Times New Roman"/>
          <w:szCs w:val="21"/>
        </w:rPr>
      </w:pPr>
    </w:p>
    <w:p w:rsidR="00B14D1A" w:rsidRPr="003C2170" w:rsidRDefault="006513D7" w:rsidP="0027505B">
      <w:pPr>
        <w:ind w:leftChars="342" w:left="718" w:right="8"/>
        <w:jc w:val="both"/>
        <w:rPr>
          <w:rFonts w:eastAsia="宋体" w:cs="Times New Roman"/>
          <w:szCs w:val="21"/>
        </w:rPr>
      </w:pPr>
      <w:r w:rsidRPr="003C2170">
        <w:rPr>
          <w:rFonts w:eastAsia="宋体" w:cs="Times New Roman" w:hint="eastAsia"/>
          <w:szCs w:val="21"/>
        </w:rPr>
        <w:t>除与直接计入其他综合收益或所有者权益的交易和事项相关的当期所得税和递延所得税计入其他综合收益或所有者权益外，其余当期所得税和递延所得税费用或收益计入当期损益。</w:t>
      </w:r>
    </w:p>
    <w:p w:rsidR="006513D7" w:rsidRPr="003C2170" w:rsidRDefault="006513D7" w:rsidP="0027505B">
      <w:pPr>
        <w:ind w:left="720" w:right="8"/>
        <w:jc w:val="both"/>
        <w:rPr>
          <w:rFonts w:eastAsia="宋体" w:cs="Times New Roman"/>
          <w:szCs w:val="21"/>
        </w:rPr>
      </w:pPr>
    </w:p>
    <w:p w:rsidR="006513D7" w:rsidRPr="003C2170" w:rsidRDefault="006513D7" w:rsidP="0027505B">
      <w:pPr>
        <w:ind w:left="720" w:right="8"/>
        <w:jc w:val="both"/>
        <w:rPr>
          <w:rFonts w:eastAsia="宋体" w:cs="Times New Roman"/>
          <w:szCs w:val="21"/>
        </w:rPr>
      </w:pPr>
      <w:r w:rsidRPr="003C2170">
        <w:rPr>
          <w:rFonts w:eastAsia="宋体" w:cs="Times New Roman" w:hint="eastAsia"/>
          <w:szCs w:val="21"/>
        </w:rPr>
        <w:t>资产负债表日，对递延所得税资产的账面价值进行复核，如果未来很可能无法获得足够的应纳税所得额用以抵扣递延所得税资产的利益，则</w:t>
      </w:r>
      <w:proofErr w:type="gramStart"/>
      <w:r w:rsidRPr="003C2170">
        <w:rPr>
          <w:rFonts w:eastAsia="宋体" w:cs="Times New Roman" w:hint="eastAsia"/>
          <w:szCs w:val="21"/>
        </w:rPr>
        <w:t>减记递</w:t>
      </w:r>
      <w:proofErr w:type="gramEnd"/>
      <w:r w:rsidRPr="003C2170">
        <w:rPr>
          <w:rFonts w:eastAsia="宋体" w:cs="Times New Roman" w:hint="eastAsia"/>
          <w:szCs w:val="21"/>
        </w:rPr>
        <w:t>延所得税资产的账面价值。在很可能获得足够的应纳税所得额时，</w:t>
      </w:r>
      <w:proofErr w:type="gramStart"/>
      <w:r w:rsidRPr="003C2170">
        <w:rPr>
          <w:rFonts w:eastAsia="宋体" w:cs="Times New Roman" w:hint="eastAsia"/>
          <w:szCs w:val="21"/>
        </w:rPr>
        <w:t>减记的</w:t>
      </w:r>
      <w:proofErr w:type="gramEnd"/>
      <w:r w:rsidRPr="003C2170">
        <w:rPr>
          <w:rFonts w:eastAsia="宋体" w:cs="Times New Roman" w:hint="eastAsia"/>
          <w:szCs w:val="21"/>
        </w:rPr>
        <w:t>金额予以转回。</w:t>
      </w:r>
    </w:p>
    <w:p w:rsidR="000956DE" w:rsidRPr="003C2170" w:rsidRDefault="000956DE" w:rsidP="0027505B">
      <w:pPr>
        <w:ind w:left="720" w:right="8"/>
        <w:jc w:val="both"/>
        <w:rPr>
          <w:rFonts w:eastAsia="宋体" w:cs="Times New Roman"/>
          <w:szCs w:val="21"/>
          <w:u w:val="single"/>
        </w:rPr>
      </w:pPr>
    </w:p>
    <w:p w:rsidR="006513D7" w:rsidRPr="003C2170" w:rsidRDefault="00B24DE6" w:rsidP="0027505B">
      <w:pPr>
        <w:ind w:left="720" w:right="8"/>
        <w:jc w:val="both"/>
        <w:rPr>
          <w:rFonts w:eastAsia="宋体" w:cs="Times New Roman"/>
          <w:szCs w:val="21"/>
          <w:u w:val="single"/>
        </w:rPr>
      </w:pPr>
      <w:r w:rsidRPr="003C2170">
        <w:rPr>
          <w:rFonts w:eastAsia="宋体" w:cs="Times New Roman"/>
          <w:szCs w:val="21"/>
          <w:u w:val="single"/>
        </w:rPr>
        <w:t>3</w:t>
      </w:r>
      <w:r w:rsidR="00D83859" w:rsidRPr="003C2170">
        <w:rPr>
          <w:rFonts w:eastAsia="宋体" w:cs="Times New Roman"/>
          <w:szCs w:val="21"/>
          <w:u w:val="single"/>
        </w:rPr>
        <w:t>1</w:t>
      </w:r>
      <w:r w:rsidR="006513D7" w:rsidRPr="003C2170">
        <w:rPr>
          <w:rFonts w:eastAsia="宋体" w:cs="Times New Roman"/>
          <w:szCs w:val="21"/>
          <w:u w:val="single"/>
        </w:rPr>
        <w:t>.3</w:t>
      </w:r>
      <w:r w:rsidR="006513D7" w:rsidRPr="003C2170">
        <w:rPr>
          <w:rFonts w:eastAsia="宋体" w:cs="Times New Roman"/>
          <w:szCs w:val="21"/>
          <w:u w:val="single"/>
        </w:rPr>
        <w:tab/>
      </w:r>
      <w:r w:rsidR="006513D7" w:rsidRPr="003C2170">
        <w:rPr>
          <w:rFonts w:eastAsia="宋体" w:cs="Times New Roman" w:hint="eastAsia"/>
          <w:szCs w:val="21"/>
          <w:u w:val="single"/>
        </w:rPr>
        <w:t>所得税的</w:t>
      </w:r>
      <w:proofErr w:type="gramStart"/>
      <w:r w:rsidR="006513D7" w:rsidRPr="003C2170">
        <w:rPr>
          <w:rFonts w:eastAsia="宋体" w:cs="Times New Roman" w:hint="eastAsia"/>
          <w:szCs w:val="21"/>
          <w:u w:val="single"/>
        </w:rPr>
        <w:t>抵销</w:t>
      </w:r>
      <w:proofErr w:type="gramEnd"/>
    </w:p>
    <w:p w:rsidR="006513D7" w:rsidRPr="003C2170" w:rsidRDefault="006513D7" w:rsidP="0027505B">
      <w:pPr>
        <w:ind w:left="720" w:right="8"/>
        <w:jc w:val="both"/>
        <w:rPr>
          <w:rFonts w:eastAsia="宋体" w:cs="Times New Roman"/>
          <w:szCs w:val="21"/>
        </w:rPr>
      </w:pPr>
    </w:p>
    <w:p w:rsidR="006513D7" w:rsidRPr="003C2170" w:rsidRDefault="006513D7" w:rsidP="0027505B">
      <w:pPr>
        <w:ind w:left="720" w:right="8"/>
        <w:jc w:val="both"/>
        <w:rPr>
          <w:rFonts w:eastAsia="宋体" w:cs="Times New Roman"/>
          <w:szCs w:val="21"/>
        </w:rPr>
      </w:pPr>
      <w:r w:rsidRPr="003C2170">
        <w:rPr>
          <w:rFonts w:eastAsia="宋体" w:cs="Times New Roman" w:hint="eastAsia"/>
          <w:szCs w:val="21"/>
        </w:rPr>
        <w:t>当拥有以净额结算的法定权利，且意图以净额结算或取得资产、清偿负债同时进行时，本集团当期所得税资产及当期所得税负债以</w:t>
      </w:r>
      <w:proofErr w:type="gramStart"/>
      <w:r w:rsidRPr="003C2170">
        <w:rPr>
          <w:rFonts w:eastAsia="宋体" w:cs="Times New Roman" w:hint="eastAsia"/>
          <w:szCs w:val="21"/>
        </w:rPr>
        <w:t>抵销</w:t>
      </w:r>
      <w:proofErr w:type="gramEnd"/>
      <w:r w:rsidRPr="003C2170">
        <w:rPr>
          <w:rFonts w:eastAsia="宋体" w:cs="Times New Roman" w:hint="eastAsia"/>
          <w:szCs w:val="21"/>
        </w:rPr>
        <w:t>后的净额列报。</w:t>
      </w:r>
    </w:p>
    <w:p w:rsidR="006513D7" w:rsidRPr="003C2170" w:rsidRDefault="006513D7" w:rsidP="0027505B">
      <w:pPr>
        <w:ind w:left="720" w:right="8"/>
        <w:jc w:val="both"/>
        <w:rPr>
          <w:rFonts w:eastAsia="宋体" w:cs="Times New Roman"/>
          <w:szCs w:val="21"/>
        </w:rPr>
      </w:pPr>
    </w:p>
    <w:p w:rsidR="006513D7" w:rsidRPr="003C2170" w:rsidRDefault="006513D7" w:rsidP="0027505B">
      <w:pPr>
        <w:ind w:left="720" w:right="8"/>
        <w:jc w:val="both"/>
        <w:rPr>
          <w:rFonts w:eastAsia="宋体" w:cs="Times New Roman"/>
          <w:szCs w:val="21"/>
        </w:rPr>
      </w:pPr>
      <w:r w:rsidRPr="003C2170">
        <w:rPr>
          <w:rFonts w:eastAsia="宋体" w:cs="Times New Roman" w:hint="eastAsia"/>
          <w:szCs w:val="21"/>
        </w:rPr>
        <w:t>当拥有以净额结算当期所得税资产及当期所得税负债的法定权利，</w:t>
      </w:r>
      <w:proofErr w:type="gramStart"/>
      <w:r w:rsidRPr="003C2170">
        <w:rPr>
          <w:rFonts w:eastAsia="宋体" w:cs="Times New Roman" w:hint="eastAsia"/>
          <w:szCs w:val="21"/>
        </w:rPr>
        <w:t>且递延</w:t>
      </w:r>
      <w:proofErr w:type="gramEnd"/>
      <w:r w:rsidRPr="003C2170">
        <w:rPr>
          <w:rFonts w:eastAsia="宋体" w:cs="Times New Roman" w:hint="eastAsia"/>
          <w:szCs w:val="21"/>
        </w:rPr>
        <w:t>所得税资产及递延所得税负债是与同</w:t>
      </w:r>
      <w:proofErr w:type="gramStart"/>
      <w:r w:rsidRPr="003C2170">
        <w:rPr>
          <w:rFonts w:eastAsia="宋体" w:cs="Times New Roman" w:hint="eastAsia"/>
          <w:szCs w:val="21"/>
        </w:rPr>
        <w:t>一税收</w:t>
      </w:r>
      <w:proofErr w:type="gramEnd"/>
      <w:r w:rsidRPr="003C2170">
        <w:rPr>
          <w:rFonts w:eastAsia="宋体" w:cs="Times New Roman" w:hint="eastAsia"/>
          <w:szCs w:val="21"/>
        </w:rPr>
        <w:t>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集团递延所得税资产及递延所得税负债以</w:t>
      </w:r>
      <w:proofErr w:type="gramStart"/>
      <w:r w:rsidRPr="003C2170">
        <w:rPr>
          <w:rFonts w:eastAsia="宋体" w:cs="Times New Roman" w:hint="eastAsia"/>
          <w:szCs w:val="21"/>
        </w:rPr>
        <w:t>抵销</w:t>
      </w:r>
      <w:proofErr w:type="gramEnd"/>
      <w:r w:rsidRPr="003C2170">
        <w:rPr>
          <w:rFonts w:eastAsia="宋体" w:cs="Times New Roman" w:hint="eastAsia"/>
          <w:szCs w:val="21"/>
        </w:rPr>
        <w:t>后的净额列报。</w:t>
      </w:r>
    </w:p>
    <w:p w:rsidR="004A3A52" w:rsidRPr="003C2170" w:rsidRDefault="004A3A52" w:rsidP="0027505B">
      <w:pPr>
        <w:ind w:left="720" w:right="8"/>
        <w:jc w:val="both"/>
        <w:rPr>
          <w:rFonts w:eastAsia="宋体" w:cs="Times New Roman"/>
          <w:snapToGrid w:val="0"/>
          <w:szCs w:val="21"/>
        </w:rPr>
      </w:pPr>
    </w:p>
    <w:p w:rsidR="006513D7" w:rsidRPr="003C2170" w:rsidRDefault="00EC13BC"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运用会计政策过程中所作的重要判断和会计估计所采用的关键假设和不确定因素</w:t>
      </w:r>
    </w:p>
    <w:p w:rsidR="00EC13BC" w:rsidRPr="003C2170" w:rsidRDefault="00EC13BC" w:rsidP="0027505B">
      <w:pPr>
        <w:ind w:left="720" w:right="8"/>
        <w:jc w:val="both"/>
        <w:rPr>
          <w:rFonts w:eastAsia="宋体" w:cs="Times New Roman"/>
          <w:szCs w:val="21"/>
        </w:rPr>
      </w:pPr>
    </w:p>
    <w:p w:rsidR="00EC13BC" w:rsidRPr="003C2170" w:rsidRDefault="00EC13BC" w:rsidP="0027505B">
      <w:pPr>
        <w:ind w:left="720" w:right="8"/>
        <w:jc w:val="both"/>
        <w:rPr>
          <w:rFonts w:eastAsia="宋体" w:cs="Times New Roman"/>
          <w:szCs w:val="21"/>
        </w:rPr>
      </w:pPr>
      <w:r w:rsidRPr="003C2170">
        <w:rPr>
          <w:rFonts w:eastAsia="宋体" w:cs="Times New Roman" w:hint="eastAsia"/>
          <w:szCs w:val="21"/>
        </w:rPr>
        <w:t>本集团在运用附注</w:t>
      </w:r>
      <w:r w:rsidR="005F14EE" w:rsidRPr="003C2170">
        <w:rPr>
          <w:rFonts w:eastAsia="宋体" w:cs="Times New Roman"/>
          <w:szCs w:val="21"/>
        </w:rPr>
        <w:t>(</w:t>
      </w:r>
      <w:r w:rsidR="00781C28" w:rsidRPr="003C2170">
        <w:rPr>
          <w:rFonts w:eastAsia="宋体" w:cs="Times New Roman" w:hint="eastAsia"/>
          <w:szCs w:val="21"/>
        </w:rPr>
        <w:t>三</w:t>
      </w:r>
      <w:r w:rsidR="005F14EE" w:rsidRPr="003C2170">
        <w:rPr>
          <w:rFonts w:eastAsia="宋体" w:cs="Times New Roman"/>
          <w:szCs w:val="21"/>
        </w:rPr>
        <w:t>)</w:t>
      </w:r>
      <w:r w:rsidRPr="003C2170">
        <w:rPr>
          <w:rFonts w:eastAsia="宋体" w:cs="Times New Roman" w:hint="eastAsia"/>
          <w:szCs w:val="21"/>
        </w:rPr>
        <w:t>所描述的会计政策过程中，由于经营活动内在的不确定性，本集团需要对无法准确计量的报表项目的账面价值进行判断、估计和假设。这些判断、估计和假设是基于本集团管理</w:t>
      </w:r>
      <w:proofErr w:type="gramStart"/>
      <w:r w:rsidRPr="003C2170">
        <w:rPr>
          <w:rFonts w:eastAsia="宋体" w:cs="Times New Roman" w:hint="eastAsia"/>
          <w:szCs w:val="21"/>
        </w:rPr>
        <w:t>层过去</w:t>
      </w:r>
      <w:proofErr w:type="gramEnd"/>
      <w:r w:rsidRPr="003C2170">
        <w:rPr>
          <w:rFonts w:eastAsia="宋体" w:cs="Times New Roman" w:hint="eastAsia"/>
          <w:szCs w:val="21"/>
        </w:rPr>
        <w:t>的历史经验，并在考虑其他相关因素的基础上</w:t>
      </w:r>
      <w:proofErr w:type="gramStart"/>
      <w:r w:rsidRPr="003C2170">
        <w:rPr>
          <w:rFonts w:eastAsia="宋体" w:cs="Times New Roman" w:hint="eastAsia"/>
          <w:szCs w:val="21"/>
        </w:rPr>
        <w:t>作出</w:t>
      </w:r>
      <w:proofErr w:type="gramEnd"/>
      <w:r w:rsidRPr="003C2170">
        <w:rPr>
          <w:rFonts w:eastAsia="宋体" w:cs="Times New Roman" w:hint="eastAsia"/>
          <w:szCs w:val="21"/>
        </w:rPr>
        <w:t>的。实际的结果可能与本集团的估计存在差异。</w:t>
      </w:r>
    </w:p>
    <w:p w:rsidR="00EC13BC" w:rsidRPr="003C2170" w:rsidRDefault="00EC13BC" w:rsidP="0027505B">
      <w:pPr>
        <w:ind w:left="720" w:right="8"/>
        <w:jc w:val="both"/>
        <w:rPr>
          <w:rFonts w:eastAsia="宋体" w:cs="Times New Roman"/>
          <w:szCs w:val="21"/>
        </w:rPr>
      </w:pPr>
    </w:p>
    <w:p w:rsidR="00EC13BC" w:rsidRPr="003C2170" w:rsidRDefault="00EC13BC" w:rsidP="0027505B">
      <w:pPr>
        <w:ind w:left="720" w:right="8"/>
        <w:jc w:val="both"/>
        <w:rPr>
          <w:rFonts w:eastAsia="宋体" w:cs="Times New Roman"/>
          <w:szCs w:val="21"/>
        </w:rPr>
      </w:pPr>
      <w:r w:rsidRPr="003C2170">
        <w:rPr>
          <w:rFonts w:eastAsia="宋体" w:cs="Times New Roman" w:hint="eastAsia"/>
          <w:szCs w:val="21"/>
        </w:rPr>
        <w:t>本集团对前述判断、估计和假设在持续经营的基础上进行定期复核，会计估计的</w:t>
      </w:r>
      <w:proofErr w:type="gramStart"/>
      <w:r w:rsidRPr="003C2170">
        <w:rPr>
          <w:rFonts w:eastAsia="宋体" w:cs="Times New Roman" w:hint="eastAsia"/>
          <w:szCs w:val="21"/>
        </w:rPr>
        <w:t>变更仅</w:t>
      </w:r>
      <w:proofErr w:type="gramEnd"/>
      <w:r w:rsidRPr="003C2170">
        <w:rPr>
          <w:rFonts w:eastAsia="宋体" w:cs="Times New Roman" w:hint="eastAsia"/>
          <w:szCs w:val="21"/>
        </w:rPr>
        <w:t>影响变更当期的，其影响数在变更当期予以确认</w:t>
      </w:r>
      <w:r w:rsidR="005F14EE" w:rsidRPr="003C2170">
        <w:rPr>
          <w:rFonts w:eastAsia="宋体" w:cs="Times New Roman" w:hint="eastAsia"/>
          <w:szCs w:val="21"/>
        </w:rPr>
        <w:t>；</w:t>
      </w:r>
      <w:r w:rsidRPr="003C2170">
        <w:rPr>
          <w:rFonts w:eastAsia="宋体" w:cs="Times New Roman" w:hint="eastAsia"/>
          <w:szCs w:val="21"/>
        </w:rPr>
        <w:t>既影响变更当期又影响未来期间的，其影响数在变更当期和未来期间予以确认。</w:t>
      </w:r>
    </w:p>
    <w:p w:rsidR="008B0308" w:rsidRPr="003C2170" w:rsidRDefault="008B0308" w:rsidP="0027505B">
      <w:pPr>
        <w:ind w:left="720" w:right="8"/>
        <w:jc w:val="both"/>
        <w:rPr>
          <w:rFonts w:eastAsia="宋体" w:cs="Times New Roman"/>
          <w:szCs w:val="21"/>
        </w:rPr>
      </w:pPr>
    </w:p>
    <w:p w:rsidR="00EC13BC" w:rsidRPr="003C2170" w:rsidRDefault="00EC13BC" w:rsidP="0027505B">
      <w:pPr>
        <w:ind w:left="720" w:right="8"/>
        <w:jc w:val="both"/>
        <w:rPr>
          <w:rFonts w:eastAsia="宋体" w:cs="Times New Roman"/>
          <w:szCs w:val="21"/>
        </w:rPr>
      </w:pPr>
      <w:r w:rsidRPr="003C2170">
        <w:rPr>
          <w:rFonts w:eastAsia="宋体" w:cs="Times New Roman"/>
          <w:szCs w:val="21"/>
        </w:rPr>
        <w:t xml:space="preserve">- </w:t>
      </w:r>
      <w:r w:rsidRPr="003C2170">
        <w:rPr>
          <w:rFonts w:eastAsia="宋体" w:cs="Times New Roman" w:hint="eastAsia"/>
          <w:szCs w:val="21"/>
        </w:rPr>
        <w:t>会计估计所采用的关键假设和不确定因素</w:t>
      </w:r>
    </w:p>
    <w:p w:rsidR="00EC13BC" w:rsidRPr="003C2170" w:rsidRDefault="00EC13BC" w:rsidP="0027505B">
      <w:pPr>
        <w:ind w:left="720" w:right="8"/>
        <w:jc w:val="both"/>
        <w:rPr>
          <w:rFonts w:eastAsia="宋体" w:cs="Times New Roman"/>
          <w:szCs w:val="21"/>
        </w:rPr>
      </w:pPr>
    </w:p>
    <w:p w:rsidR="00EC13BC" w:rsidRPr="003C2170" w:rsidRDefault="00EC13BC" w:rsidP="0027505B">
      <w:pPr>
        <w:ind w:left="720" w:right="8"/>
        <w:jc w:val="both"/>
        <w:rPr>
          <w:rFonts w:eastAsia="宋体" w:cs="Times New Roman"/>
          <w:szCs w:val="21"/>
        </w:rPr>
      </w:pPr>
      <w:r w:rsidRPr="003C2170">
        <w:rPr>
          <w:rFonts w:eastAsia="宋体" w:cs="Times New Roman" w:hint="eastAsia"/>
          <w:szCs w:val="21"/>
        </w:rPr>
        <w:t>资产负债表日，会计估计中很可能导致未来期间资产、负债账面价值</w:t>
      </w:r>
      <w:proofErr w:type="gramStart"/>
      <w:r w:rsidRPr="003C2170">
        <w:rPr>
          <w:rFonts w:eastAsia="宋体" w:cs="Times New Roman" w:hint="eastAsia"/>
          <w:szCs w:val="21"/>
        </w:rPr>
        <w:t>作出</w:t>
      </w:r>
      <w:proofErr w:type="gramEnd"/>
      <w:r w:rsidRPr="003C2170">
        <w:rPr>
          <w:rFonts w:eastAsia="宋体" w:cs="Times New Roman" w:hint="eastAsia"/>
          <w:szCs w:val="21"/>
        </w:rPr>
        <w:t>重大调整的关键假设和不确定性主要有</w:t>
      </w:r>
      <w:r w:rsidR="005F14EE" w:rsidRPr="003C2170">
        <w:rPr>
          <w:rFonts w:eastAsia="宋体" w:cs="Times New Roman" w:hint="eastAsia"/>
          <w:szCs w:val="21"/>
        </w:rPr>
        <w:t>：</w:t>
      </w:r>
    </w:p>
    <w:p w:rsidR="00EC13BC" w:rsidRPr="003C2170" w:rsidRDefault="00EC13BC" w:rsidP="0027505B">
      <w:pPr>
        <w:ind w:left="720" w:right="8"/>
        <w:jc w:val="both"/>
        <w:rPr>
          <w:rFonts w:eastAsia="宋体" w:cs="Times New Roman"/>
          <w:szCs w:val="21"/>
        </w:rPr>
      </w:pPr>
    </w:p>
    <w:p w:rsidR="00EC13BC" w:rsidRPr="003C2170" w:rsidRDefault="00EC13BC" w:rsidP="0027505B">
      <w:pPr>
        <w:ind w:left="720" w:right="8"/>
        <w:jc w:val="both"/>
        <w:rPr>
          <w:rFonts w:eastAsia="宋体" w:cs="Times New Roman"/>
          <w:szCs w:val="21"/>
          <w:u w:val="single"/>
        </w:rPr>
      </w:pPr>
      <w:r w:rsidRPr="003C2170">
        <w:rPr>
          <w:rFonts w:eastAsia="宋体" w:cs="Times New Roman" w:hint="eastAsia"/>
          <w:szCs w:val="21"/>
          <w:u w:val="single"/>
        </w:rPr>
        <w:t>应收账款的减值</w:t>
      </w:r>
    </w:p>
    <w:p w:rsidR="00EC13BC" w:rsidRPr="003C2170" w:rsidRDefault="00EC13BC" w:rsidP="0027505B">
      <w:pPr>
        <w:ind w:left="720" w:right="8"/>
        <w:jc w:val="both"/>
        <w:rPr>
          <w:rFonts w:eastAsia="宋体" w:cs="Times New Roman"/>
          <w:szCs w:val="21"/>
        </w:rPr>
      </w:pPr>
    </w:p>
    <w:p w:rsidR="0039083F" w:rsidRPr="003C2170" w:rsidRDefault="00EC13BC" w:rsidP="0027505B">
      <w:pPr>
        <w:ind w:left="720" w:right="8"/>
        <w:jc w:val="both"/>
        <w:rPr>
          <w:rFonts w:eastAsia="宋体" w:cs="Times New Roman"/>
          <w:szCs w:val="21"/>
        </w:rPr>
      </w:pPr>
      <w:r w:rsidRPr="003C2170">
        <w:rPr>
          <w:rFonts w:eastAsia="宋体" w:cs="Times New Roman" w:hint="eastAsia"/>
          <w:szCs w:val="21"/>
        </w:rPr>
        <w:t>除在单项资产的基础上确定其信用损失的应收账款，本集团在组合基础上采用减值矩阵确定相关应收账款的预期信用损失。本集团</w:t>
      </w:r>
      <w:r w:rsidR="0027280F" w:rsidRPr="003C2170">
        <w:rPr>
          <w:rFonts w:eastAsia="宋体" w:cs="Times New Roman" w:hint="eastAsia"/>
          <w:szCs w:val="21"/>
        </w:rPr>
        <w:t>按照业务的区域和对象的风险特征，</w:t>
      </w:r>
      <w:r w:rsidRPr="003C2170">
        <w:rPr>
          <w:rFonts w:eastAsia="宋体" w:cs="Times New Roman" w:hint="eastAsia"/>
          <w:szCs w:val="21"/>
        </w:rPr>
        <w:t>将相关应收账款分为不同组合，基于历史损失率并考虑合理且有依据的行业前瞻性信息对不同组合的各类应收账款确定相应的损失准备的比例。该预期信用损失准备的金额将随本集团对组合和损失准备的判断</w:t>
      </w:r>
      <w:r w:rsidR="00315FFB" w:rsidRPr="003C2170">
        <w:rPr>
          <w:rFonts w:eastAsia="宋体" w:cs="Times New Roman" w:hint="eastAsia"/>
          <w:szCs w:val="21"/>
        </w:rPr>
        <w:t>估计</w:t>
      </w:r>
      <w:r w:rsidRPr="003C2170">
        <w:rPr>
          <w:rFonts w:eastAsia="宋体" w:cs="Times New Roman" w:hint="eastAsia"/>
          <w:szCs w:val="21"/>
        </w:rPr>
        <w:t>而发生变化。本集团的应收账款的预期信用损失准备的具体情况详见附注</w:t>
      </w:r>
      <w:r w:rsidR="005F14EE" w:rsidRPr="003C2170">
        <w:rPr>
          <w:rFonts w:eastAsia="宋体" w:cs="Times New Roman"/>
          <w:szCs w:val="21"/>
        </w:rPr>
        <w:t>(</w:t>
      </w:r>
      <w:r w:rsidR="00CB7D4F" w:rsidRPr="003C2170">
        <w:rPr>
          <w:rFonts w:eastAsia="宋体" w:cs="Times New Roman" w:hint="eastAsia"/>
          <w:szCs w:val="21"/>
        </w:rPr>
        <w:t>五</w:t>
      </w:r>
      <w:r w:rsidR="005F14EE" w:rsidRPr="003C2170">
        <w:rPr>
          <w:rFonts w:eastAsia="宋体" w:cs="Times New Roman"/>
          <w:szCs w:val="21"/>
        </w:rPr>
        <w:t>)</w:t>
      </w:r>
      <w:r w:rsidRPr="003C2170">
        <w:rPr>
          <w:rFonts w:eastAsia="宋体" w:cs="Times New Roman" w:hint="eastAsia"/>
          <w:szCs w:val="21"/>
        </w:rPr>
        <w:t>、</w:t>
      </w:r>
      <w:r w:rsidR="001648F6" w:rsidRPr="003C2170">
        <w:rPr>
          <w:rFonts w:eastAsia="宋体" w:cs="Times New Roman"/>
          <w:szCs w:val="21"/>
        </w:rPr>
        <w:t>3</w:t>
      </w:r>
      <w:r w:rsidRPr="003C2170">
        <w:rPr>
          <w:rFonts w:eastAsia="宋体" w:cs="Times New Roman" w:hint="eastAsia"/>
          <w:szCs w:val="21"/>
        </w:rPr>
        <w:t>。</w:t>
      </w:r>
    </w:p>
    <w:p w:rsidR="00D83859" w:rsidRPr="003C2170" w:rsidRDefault="00D83859" w:rsidP="0027505B">
      <w:pPr>
        <w:ind w:right="8"/>
        <w:jc w:val="both"/>
        <w:rPr>
          <w:rFonts w:eastAsia="宋体" w:cs="Times New Roman"/>
          <w:szCs w:val="21"/>
          <w:u w:val="single"/>
        </w:rPr>
      </w:pPr>
      <w:r w:rsidRPr="003C2170">
        <w:rPr>
          <w:rFonts w:eastAsia="宋体" w:cs="Times New Roman"/>
          <w:szCs w:val="21"/>
          <w:u w:val="single"/>
        </w:rPr>
        <w:br w:type="page"/>
      </w:r>
    </w:p>
    <w:p w:rsidR="00D83859" w:rsidRPr="003C2170" w:rsidRDefault="005F14EE" w:rsidP="0027505B">
      <w:pPr>
        <w:ind w:right="8"/>
        <w:jc w:val="both"/>
        <w:rPr>
          <w:rFonts w:eastAsia="宋体" w:cs="Times New Roman"/>
          <w:szCs w:val="21"/>
        </w:rPr>
      </w:pPr>
      <w:r w:rsidRPr="003C2170">
        <w:rPr>
          <w:rFonts w:eastAsia="宋体" w:cs="Times New Roman"/>
          <w:b/>
          <w:szCs w:val="21"/>
        </w:rPr>
        <w:t>(</w:t>
      </w:r>
      <w:r w:rsidR="00D83859" w:rsidRPr="003C2170">
        <w:rPr>
          <w:rFonts w:eastAsia="宋体" w:cs="Times New Roman" w:hint="eastAsia"/>
          <w:b/>
          <w:szCs w:val="21"/>
        </w:rPr>
        <w:t>三</w:t>
      </w:r>
      <w:r w:rsidRPr="003C2170">
        <w:rPr>
          <w:rFonts w:eastAsia="宋体" w:cs="Times New Roman"/>
          <w:b/>
          <w:szCs w:val="21"/>
        </w:rPr>
        <w:t>)</w:t>
      </w:r>
      <w:r w:rsidR="00D83859" w:rsidRPr="003C2170">
        <w:rPr>
          <w:rFonts w:eastAsia="宋体" w:cs="Times New Roman"/>
          <w:b/>
          <w:szCs w:val="21"/>
        </w:rPr>
        <w:tab/>
      </w:r>
      <w:r w:rsidR="00D83859" w:rsidRPr="003C2170">
        <w:rPr>
          <w:rFonts w:eastAsia="宋体" w:cs="Times New Roman" w:hint="eastAsia"/>
          <w:b/>
          <w:szCs w:val="21"/>
        </w:rPr>
        <w:t>重要会计政策和会计估计</w:t>
      </w:r>
      <w:r w:rsidR="00D83859" w:rsidRPr="003C2170">
        <w:rPr>
          <w:rFonts w:eastAsia="宋体" w:cs="Times New Roman"/>
          <w:szCs w:val="21"/>
        </w:rPr>
        <w:t xml:space="preserve"> - </w:t>
      </w:r>
      <w:r w:rsidR="00D83859" w:rsidRPr="003C2170">
        <w:rPr>
          <w:rFonts w:eastAsia="宋体" w:cs="Times New Roman" w:hint="eastAsia"/>
          <w:szCs w:val="21"/>
        </w:rPr>
        <w:t>续</w:t>
      </w:r>
    </w:p>
    <w:p w:rsidR="00D83859" w:rsidRPr="003C2170" w:rsidRDefault="00D83859" w:rsidP="0027505B">
      <w:pPr>
        <w:ind w:left="720" w:right="8"/>
        <w:jc w:val="both"/>
        <w:rPr>
          <w:rFonts w:eastAsia="宋体" w:cs="Times New Roman"/>
          <w:kern w:val="2"/>
          <w:szCs w:val="21"/>
        </w:rPr>
      </w:pPr>
    </w:p>
    <w:p w:rsidR="00D83859" w:rsidRPr="003C2170" w:rsidRDefault="00D83859" w:rsidP="0027505B">
      <w:pPr>
        <w:ind w:leftChars="342" w:left="718" w:right="8" w:firstLine="1"/>
        <w:jc w:val="both"/>
        <w:rPr>
          <w:rFonts w:eastAsia="宋体" w:cs="Times New Roman"/>
          <w:szCs w:val="21"/>
        </w:rPr>
      </w:pPr>
      <w:r w:rsidRPr="003C2170">
        <w:rPr>
          <w:rFonts w:eastAsia="宋体" w:cs="Times New Roman"/>
          <w:b/>
          <w:szCs w:val="21"/>
        </w:rPr>
        <w:t>32.</w:t>
      </w:r>
      <w:r w:rsidRPr="003C2170">
        <w:rPr>
          <w:rFonts w:eastAsia="宋体" w:cs="Times New Roman"/>
          <w:b/>
          <w:szCs w:val="21"/>
        </w:rPr>
        <w:tab/>
      </w:r>
      <w:r w:rsidRPr="003C2170">
        <w:rPr>
          <w:rFonts w:eastAsia="宋体" w:cs="Times New Roman" w:hint="eastAsia"/>
          <w:b/>
          <w:bCs/>
          <w:snapToGrid w:val="0"/>
          <w:szCs w:val="21"/>
        </w:rPr>
        <w:t>运用会计政策过程中所作的重要判断和会计估计所采用的关键假设和不确定因素</w:t>
      </w:r>
      <w:r w:rsidRPr="0027505B">
        <w:rPr>
          <w:rFonts w:eastAsia="宋体" w:cs="Times New Roman"/>
          <w:snapToGrid w:val="0"/>
          <w:szCs w:val="21"/>
        </w:rPr>
        <w:t xml:space="preserve"> </w:t>
      </w:r>
      <w:r w:rsidRPr="003C2170">
        <w:rPr>
          <w:rFonts w:eastAsia="宋体" w:cs="Times New Roman"/>
          <w:szCs w:val="21"/>
        </w:rPr>
        <w:t xml:space="preserve">- </w:t>
      </w:r>
      <w:r w:rsidRPr="003C2170">
        <w:rPr>
          <w:rFonts w:eastAsia="宋体" w:cs="Times New Roman" w:hint="eastAsia"/>
          <w:szCs w:val="21"/>
        </w:rPr>
        <w:t>续</w:t>
      </w:r>
    </w:p>
    <w:p w:rsidR="00067C00" w:rsidRPr="003C2170" w:rsidRDefault="00067C00" w:rsidP="0027505B">
      <w:pPr>
        <w:ind w:left="720" w:right="8"/>
        <w:jc w:val="both"/>
        <w:rPr>
          <w:rFonts w:eastAsia="宋体" w:cs="Times New Roman"/>
          <w:szCs w:val="21"/>
          <w:u w:val="single"/>
        </w:rPr>
      </w:pPr>
    </w:p>
    <w:p w:rsidR="00D83859" w:rsidRPr="003C2170" w:rsidRDefault="00D83859" w:rsidP="0027505B">
      <w:pPr>
        <w:ind w:left="720" w:right="8"/>
        <w:jc w:val="both"/>
        <w:rPr>
          <w:rFonts w:eastAsia="宋体" w:cs="Times New Roman"/>
          <w:szCs w:val="21"/>
        </w:rPr>
      </w:pPr>
      <w:r w:rsidRPr="003C2170">
        <w:rPr>
          <w:rFonts w:eastAsia="宋体" w:cs="Times New Roman"/>
          <w:szCs w:val="21"/>
        </w:rPr>
        <w:t xml:space="preserve">- </w:t>
      </w:r>
      <w:r w:rsidRPr="003C2170">
        <w:rPr>
          <w:rFonts w:eastAsia="宋体" w:cs="Times New Roman" w:hint="eastAsia"/>
          <w:szCs w:val="21"/>
        </w:rPr>
        <w:t>会计估计所采用的关键假设和不确定因素</w:t>
      </w:r>
      <w:r w:rsidRPr="003C2170">
        <w:rPr>
          <w:rFonts w:eastAsia="宋体" w:cs="Times New Roman"/>
          <w:szCs w:val="21"/>
        </w:rPr>
        <w:t xml:space="preserve"> - </w:t>
      </w:r>
      <w:r w:rsidRPr="003C2170">
        <w:rPr>
          <w:rFonts w:eastAsia="宋体" w:cs="Times New Roman" w:hint="eastAsia"/>
          <w:szCs w:val="21"/>
        </w:rPr>
        <w:t>续</w:t>
      </w:r>
    </w:p>
    <w:p w:rsidR="00D83859" w:rsidRPr="003C2170" w:rsidRDefault="00D83859" w:rsidP="0027505B">
      <w:pPr>
        <w:ind w:left="720" w:right="8"/>
        <w:jc w:val="both"/>
        <w:rPr>
          <w:rFonts w:eastAsia="宋体" w:cs="Times New Roman"/>
          <w:szCs w:val="21"/>
          <w:u w:val="single"/>
        </w:rPr>
      </w:pPr>
    </w:p>
    <w:p w:rsidR="00EC13BC" w:rsidRPr="003C2170" w:rsidRDefault="00EC13BC" w:rsidP="0027505B">
      <w:pPr>
        <w:ind w:left="720" w:right="8"/>
        <w:jc w:val="both"/>
        <w:rPr>
          <w:rFonts w:eastAsia="宋体" w:cs="Times New Roman"/>
          <w:szCs w:val="21"/>
          <w:u w:val="single"/>
        </w:rPr>
      </w:pPr>
      <w:r w:rsidRPr="003C2170">
        <w:rPr>
          <w:rFonts w:eastAsia="宋体" w:cs="Times New Roman" w:hint="eastAsia"/>
          <w:szCs w:val="21"/>
          <w:u w:val="single"/>
        </w:rPr>
        <w:t>存货跌价准备</w:t>
      </w:r>
    </w:p>
    <w:p w:rsidR="00EC13BC" w:rsidRPr="003C2170" w:rsidRDefault="00EC13BC" w:rsidP="0027505B">
      <w:pPr>
        <w:ind w:left="720" w:right="8"/>
        <w:jc w:val="both"/>
        <w:rPr>
          <w:rFonts w:eastAsia="宋体" w:cs="Times New Roman"/>
          <w:szCs w:val="21"/>
        </w:rPr>
      </w:pPr>
    </w:p>
    <w:p w:rsidR="005D7660" w:rsidRPr="003C2170" w:rsidRDefault="000301A9" w:rsidP="0027505B">
      <w:pPr>
        <w:ind w:left="720" w:right="8"/>
        <w:jc w:val="both"/>
        <w:rPr>
          <w:rFonts w:eastAsia="宋体" w:cs="Times New Roman"/>
          <w:szCs w:val="21"/>
        </w:rPr>
      </w:pPr>
      <w:r w:rsidRPr="003C2170">
        <w:rPr>
          <w:rFonts w:eastAsia="宋体" w:cs="Times New Roman" w:hint="eastAsia"/>
          <w:szCs w:val="21"/>
        </w:rPr>
        <w:t>如附注</w:t>
      </w:r>
      <w:r w:rsidR="005F14EE" w:rsidRPr="003C2170">
        <w:rPr>
          <w:rFonts w:eastAsia="宋体" w:cs="Times New Roman"/>
          <w:szCs w:val="21"/>
        </w:rPr>
        <w:t>(</w:t>
      </w:r>
      <w:r w:rsidRPr="003C2170">
        <w:rPr>
          <w:rFonts w:eastAsia="宋体" w:cs="Times New Roman" w:hint="eastAsia"/>
          <w:szCs w:val="21"/>
        </w:rPr>
        <w:t>三</w:t>
      </w:r>
      <w:r w:rsidR="005F14EE" w:rsidRPr="003C2170">
        <w:rPr>
          <w:rFonts w:eastAsia="宋体" w:cs="Times New Roman"/>
          <w:szCs w:val="21"/>
        </w:rPr>
        <w:t>)</w:t>
      </w:r>
      <w:r w:rsidRPr="003C2170">
        <w:rPr>
          <w:rFonts w:eastAsia="宋体" w:cs="Times New Roman" w:hint="eastAsia"/>
          <w:szCs w:val="21"/>
        </w:rPr>
        <w:t>、</w:t>
      </w:r>
      <w:r w:rsidRPr="003C2170">
        <w:rPr>
          <w:rFonts w:eastAsia="宋体" w:cs="Times New Roman"/>
          <w:szCs w:val="21"/>
        </w:rPr>
        <w:t>1</w:t>
      </w:r>
      <w:r w:rsidR="0039083F" w:rsidRPr="003C2170">
        <w:rPr>
          <w:rFonts w:eastAsia="宋体" w:cs="Times New Roman"/>
          <w:szCs w:val="21"/>
        </w:rPr>
        <w:t>5</w:t>
      </w:r>
      <w:r w:rsidR="00C246A8" w:rsidRPr="003C2170">
        <w:rPr>
          <w:rFonts w:eastAsia="宋体" w:cs="Times New Roman"/>
          <w:szCs w:val="21"/>
        </w:rPr>
        <w:t>“</w:t>
      </w:r>
      <w:r w:rsidRPr="003C2170">
        <w:rPr>
          <w:rFonts w:eastAsia="宋体" w:cs="Times New Roman" w:hint="eastAsia"/>
          <w:szCs w:val="21"/>
        </w:rPr>
        <w:t>存货</w:t>
      </w:r>
      <w:r w:rsidR="00C246A8" w:rsidRPr="003C2170">
        <w:rPr>
          <w:rFonts w:eastAsia="宋体" w:cs="Times New Roman"/>
          <w:szCs w:val="21"/>
        </w:rPr>
        <w:t>”</w:t>
      </w:r>
      <w:r w:rsidRPr="003C2170">
        <w:rPr>
          <w:rFonts w:eastAsia="宋体" w:cs="Times New Roman" w:hint="eastAsia"/>
          <w:szCs w:val="21"/>
        </w:rPr>
        <w:t>中所述，</w:t>
      </w:r>
      <w:r w:rsidR="00EC13BC" w:rsidRPr="003C2170">
        <w:rPr>
          <w:rFonts w:eastAsia="宋体" w:cs="Times New Roman" w:hint="eastAsia"/>
          <w:szCs w:val="21"/>
        </w:rPr>
        <w:t>存货按照成本与可变现净值孰低计量。对于原材料，以最近的实际采购价格作为确定可变现净值的依据</w:t>
      </w:r>
      <w:r w:rsidR="005F14EE" w:rsidRPr="003C2170">
        <w:rPr>
          <w:rFonts w:eastAsia="宋体" w:cs="Times New Roman" w:hint="eastAsia"/>
          <w:szCs w:val="21"/>
        </w:rPr>
        <w:t>；</w:t>
      </w:r>
      <w:r w:rsidR="00EC13BC" w:rsidRPr="003C2170">
        <w:rPr>
          <w:rFonts w:eastAsia="宋体" w:cs="Times New Roman" w:hint="eastAsia"/>
          <w:szCs w:val="21"/>
        </w:rPr>
        <w:t>对于在产品，以产成品的估计售价减去至完工时估计将要发生的成本、估计的销售费用以及相关税费后的金额作为确定可变现净值的依据</w:t>
      </w:r>
      <w:r w:rsidR="005F14EE" w:rsidRPr="003C2170">
        <w:rPr>
          <w:rFonts w:eastAsia="宋体" w:cs="Times New Roman" w:hint="eastAsia"/>
          <w:szCs w:val="21"/>
        </w:rPr>
        <w:t>；</w:t>
      </w:r>
      <w:r w:rsidR="00EC13BC" w:rsidRPr="003C2170">
        <w:rPr>
          <w:rFonts w:eastAsia="宋体" w:cs="Times New Roman" w:hint="eastAsia"/>
          <w:szCs w:val="21"/>
        </w:rPr>
        <w:t>对于产成品，</w:t>
      </w:r>
      <w:proofErr w:type="gramStart"/>
      <w:r w:rsidR="00EC13BC" w:rsidRPr="003C2170">
        <w:rPr>
          <w:rFonts w:eastAsia="宋体" w:cs="Times New Roman" w:hint="eastAsia"/>
          <w:szCs w:val="21"/>
        </w:rPr>
        <w:t>以估计</w:t>
      </w:r>
      <w:proofErr w:type="gramEnd"/>
      <w:r w:rsidR="00EC13BC" w:rsidRPr="003C2170">
        <w:rPr>
          <w:rFonts w:eastAsia="宋体" w:cs="Times New Roman" w:hint="eastAsia"/>
          <w:szCs w:val="21"/>
        </w:rPr>
        <w:t>售价减去估计的销售费用以及相关税费后的金额作为确定可变现净值的依据。此外，本集团管理层会定期根据存货</w:t>
      </w:r>
      <w:proofErr w:type="gramStart"/>
      <w:r w:rsidR="00EC13BC" w:rsidRPr="003C2170">
        <w:rPr>
          <w:rFonts w:eastAsia="宋体" w:cs="Times New Roman" w:hint="eastAsia"/>
          <w:szCs w:val="21"/>
        </w:rPr>
        <w:t>库龄复核长库龄</w:t>
      </w:r>
      <w:proofErr w:type="gramEnd"/>
      <w:r w:rsidR="00EC13BC" w:rsidRPr="003C2170">
        <w:rPr>
          <w:rFonts w:eastAsia="宋体" w:cs="Times New Roman" w:hint="eastAsia"/>
          <w:szCs w:val="21"/>
        </w:rPr>
        <w:t>存货的减值情况</w:t>
      </w:r>
      <w:r w:rsidR="006969DA" w:rsidRPr="003C2170">
        <w:rPr>
          <w:rFonts w:eastAsia="宋体" w:cs="Times New Roman" w:hint="eastAsia"/>
          <w:szCs w:val="21"/>
        </w:rPr>
        <w:t>，</w:t>
      </w:r>
      <w:r w:rsidR="007A044C" w:rsidRPr="003C2170">
        <w:rPr>
          <w:rFonts w:eastAsia="宋体" w:cs="Times New Roman" w:hint="eastAsia"/>
          <w:szCs w:val="21"/>
        </w:rPr>
        <w:t>通过</w:t>
      </w:r>
      <w:r w:rsidR="00FE0041" w:rsidRPr="003C2170">
        <w:rPr>
          <w:rFonts w:eastAsia="宋体" w:cs="Times New Roman" w:hint="eastAsia"/>
          <w:szCs w:val="21"/>
        </w:rPr>
        <w:t>将</w:t>
      </w:r>
      <w:proofErr w:type="gramStart"/>
      <w:r w:rsidR="00EC13BC" w:rsidRPr="003C2170">
        <w:rPr>
          <w:rFonts w:eastAsia="宋体" w:cs="Times New Roman" w:hint="eastAsia"/>
          <w:szCs w:val="21"/>
        </w:rPr>
        <w:t>长库龄</w:t>
      </w:r>
      <w:proofErr w:type="gramEnd"/>
      <w:r w:rsidR="00EC13BC" w:rsidRPr="003C2170">
        <w:rPr>
          <w:rFonts w:eastAsia="宋体" w:cs="Times New Roman" w:hint="eastAsia"/>
          <w:szCs w:val="21"/>
        </w:rPr>
        <w:t>存货的账面价值与其相应的可变现净值进行比较，来确定是否需要在财务报表中</w:t>
      </w:r>
      <w:r w:rsidR="007A044C" w:rsidRPr="003C2170">
        <w:rPr>
          <w:rFonts w:eastAsia="宋体" w:cs="Times New Roman" w:hint="eastAsia"/>
          <w:szCs w:val="21"/>
        </w:rPr>
        <w:t>对</w:t>
      </w:r>
      <w:proofErr w:type="gramStart"/>
      <w:r w:rsidR="00370412" w:rsidRPr="003C2170">
        <w:rPr>
          <w:rFonts w:eastAsia="宋体" w:cs="Times New Roman" w:hint="eastAsia"/>
          <w:szCs w:val="21"/>
        </w:rPr>
        <w:t>长库龄</w:t>
      </w:r>
      <w:proofErr w:type="gramEnd"/>
      <w:r w:rsidR="00370412" w:rsidRPr="003C2170">
        <w:rPr>
          <w:rFonts w:eastAsia="宋体" w:cs="Times New Roman" w:hint="eastAsia"/>
          <w:szCs w:val="21"/>
        </w:rPr>
        <w:t>存货</w:t>
      </w:r>
      <w:r w:rsidR="00EC13BC" w:rsidRPr="003C2170">
        <w:rPr>
          <w:rFonts w:eastAsia="宋体" w:cs="Times New Roman" w:hint="eastAsia"/>
          <w:szCs w:val="21"/>
        </w:rPr>
        <w:t>提取准备。本集团存货跌价准备</w:t>
      </w:r>
      <w:r w:rsidR="006F6D19" w:rsidRPr="003C2170">
        <w:rPr>
          <w:rFonts w:eastAsia="宋体" w:cs="Times New Roman" w:hint="eastAsia"/>
          <w:szCs w:val="21"/>
        </w:rPr>
        <w:t>的具体情况详见附注</w:t>
      </w:r>
      <w:r w:rsidR="005F14EE" w:rsidRPr="003C2170">
        <w:rPr>
          <w:rFonts w:eastAsia="宋体" w:cs="Times New Roman"/>
          <w:szCs w:val="21"/>
        </w:rPr>
        <w:t>(</w:t>
      </w:r>
      <w:r w:rsidR="006F6D19" w:rsidRPr="003C2170">
        <w:rPr>
          <w:rFonts w:eastAsia="宋体" w:cs="Times New Roman" w:hint="eastAsia"/>
          <w:szCs w:val="21"/>
        </w:rPr>
        <w:t>五</w:t>
      </w:r>
      <w:r w:rsidR="005F14EE" w:rsidRPr="003C2170">
        <w:rPr>
          <w:rFonts w:eastAsia="宋体" w:cs="Times New Roman"/>
          <w:szCs w:val="21"/>
        </w:rPr>
        <w:t>)</w:t>
      </w:r>
      <w:r w:rsidR="006F6D19" w:rsidRPr="003C2170">
        <w:rPr>
          <w:rFonts w:eastAsia="宋体" w:cs="Times New Roman" w:hint="eastAsia"/>
          <w:szCs w:val="21"/>
        </w:rPr>
        <w:t>、</w:t>
      </w:r>
      <w:r w:rsidR="006F6D19" w:rsidRPr="003C2170">
        <w:rPr>
          <w:rFonts w:eastAsia="宋体" w:cs="Times New Roman"/>
          <w:szCs w:val="21"/>
        </w:rPr>
        <w:t>7</w:t>
      </w:r>
      <w:r w:rsidR="00EC13BC" w:rsidRPr="003C2170">
        <w:rPr>
          <w:rFonts w:eastAsia="宋体" w:cs="Times New Roman" w:hint="eastAsia"/>
          <w:szCs w:val="21"/>
        </w:rPr>
        <w:t>。</w:t>
      </w:r>
    </w:p>
    <w:p w:rsidR="00D23177" w:rsidRPr="003C2170" w:rsidRDefault="00D23177" w:rsidP="0027505B">
      <w:pPr>
        <w:ind w:left="720" w:right="8"/>
        <w:jc w:val="both"/>
        <w:rPr>
          <w:rFonts w:eastAsia="宋体" w:cs="Times New Roman"/>
          <w:szCs w:val="21"/>
        </w:rPr>
      </w:pPr>
    </w:p>
    <w:p w:rsidR="00EC13BC" w:rsidRPr="003C2170" w:rsidRDefault="00EC13BC" w:rsidP="0027505B">
      <w:pPr>
        <w:ind w:left="720" w:right="8"/>
        <w:jc w:val="both"/>
        <w:rPr>
          <w:rFonts w:eastAsia="宋体" w:cs="Times New Roman"/>
          <w:szCs w:val="21"/>
          <w:u w:val="single"/>
        </w:rPr>
      </w:pPr>
      <w:r w:rsidRPr="003C2170">
        <w:rPr>
          <w:rFonts w:eastAsia="宋体" w:cs="Times New Roman" w:hint="eastAsia"/>
          <w:szCs w:val="21"/>
          <w:u w:val="single"/>
        </w:rPr>
        <w:t>递延所得税资产</w:t>
      </w:r>
    </w:p>
    <w:p w:rsidR="00EC13BC" w:rsidRPr="003C2170" w:rsidRDefault="00EC13BC" w:rsidP="0027505B">
      <w:pPr>
        <w:ind w:left="720" w:right="8"/>
        <w:jc w:val="both"/>
        <w:rPr>
          <w:rFonts w:eastAsia="宋体" w:cs="Times New Roman"/>
          <w:szCs w:val="21"/>
        </w:rPr>
      </w:pPr>
    </w:p>
    <w:p w:rsidR="005D05B5" w:rsidRPr="003C2170" w:rsidRDefault="00EC13BC" w:rsidP="0027505B">
      <w:pPr>
        <w:ind w:left="720" w:right="8"/>
        <w:jc w:val="both"/>
        <w:rPr>
          <w:rFonts w:eastAsia="宋体" w:cs="Times New Roman"/>
          <w:szCs w:val="21"/>
        </w:rPr>
      </w:pPr>
      <w:r w:rsidRPr="003C2170">
        <w:rPr>
          <w:rFonts w:eastAsia="宋体" w:cs="Times New Roman" w:hint="eastAsia"/>
          <w:szCs w:val="21"/>
        </w:rPr>
        <w:t>递延所得税资产按照预期收回该资产或清偿该债务期间的适用所得税税率计量。预期适用所得税税率是根据有关现行的税务法规及本集团的实际情况而确定。若预计所得税税率与原估计有差异，本集团管理层将对其进行调整。</w:t>
      </w:r>
    </w:p>
    <w:p w:rsidR="00AA3696" w:rsidRPr="003C2170" w:rsidRDefault="00AA3696" w:rsidP="0027505B">
      <w:pPr>
        <w:ind w:left="720" w:right="8"/>
        <w:jc w:val="both"/>
        <w:rPr>
          <w:rFonts w:eastAsia="宋体" w:cs="Times New Roman"/>
          <w:szCs w:val="21"/>
        </w:rPr>
      </w:pPr>
    </w:p>
    <w:p w:rsidR="00EC13BC" w:rsidRPr="003C2170" w:rsidRDefault="00EC13BC" w:rsidP="0027505B">
      <w:pPr>
        <w:ind w:left="720" w:right="8"/>
        <w:jc w:val="both"/>
        <w:rPr>
          <w:rFonts w:eastAsia="宋体" w:cs="Times New Roman"/>
          <w:szCs w:val="21"/>
        </w:rPr>
      </w:pPr>
      <w:r w:rsidRPr="003C2170">
        <w:rPr>
          <w:rFonts w:eastAsia="宋体" w:cs="Times New Roman" w:hint="eastAsia"/>
          <w:szCs w:val="21"/>
        </w:rPr>
        <w:t>递延所得税资产的确定，以很可能取得用</w:t>
      </w:r>
      <w:r w:rsidR="00D62E36" w:rsidRPr="003C2170">
        <w:rPr>
          <w:rFonts w:eastAsia="宋体" w:cs="Times New Roman" w:hint="eastAsia"/>
          <w:szCs w:val="21"/>
        </w:rPr>
        <w:t>以</w:t>
      </w:r>
      <w:r w:rsidRPr="003C2170">
        <w:rPr>
          <w:rFonts w:eastAsia="宋体" w:cs="Times New Roman" w:hint="eastAsia"/>
          <w:szCs w:val="21"/>
        </w:rPr>
        <w:t>抵扣</w:t>
      </w:r>
      <w:r w:rsidR="007A044C" w:rsidRPr="003C2170">
        <w:rPr>
          <w:rFonts w:eastAsia="宋体" w:cs="Times New Roman" w:hint="eastAsia"/>
          <w:szCs w:val="21"/>
        </w:rPr>
        <w:t>的未来应纳税所得额及应纳税</w:t>
      </w:r>
      <w:r w:rsidRPr="003C2170">
        <w:rPr>
          <w:rFonts w:eastAsia="宋体" w:cs="Times New Roman" w:hint="eastAsia"/>
          <w:szCs w:val="21"/>
        </w:rPr>
        <w:t>暂时性差异为限。如果预计未来期间无法取得足够的应纳税所得额</w:t>
      </w:r>
      <w:r w:rsidR="00D62E36" w:rsidRPr="003C2170">
        <w:rPr>
          <w:rFonts w:eastAsia="宋体" w:cs="Times New Roman" w:hint="eastAsia"/>
          <w:szCs w:val="21"/>
        </w:rPr>
        <w:t>和应纳税暂时性差异</w:t>
      </w:r>
      <w:r w:rsidRPr="003C2170">
        <w:rPr>
          <w:rFonts w:eastAsia="宋体" w:cs="Times New Roman" w:hint="eastAsia"/>
          <w:szCs w:val="21"/>
        </w:rPr>
        <w:t>，本集团管理层将</w:t>
      </w:r>
      <w:proofErr w:type="gramStart"/>
      <w:r w:rsidRPr="003C2170">
        <w:rPr>
          <w:rFonts w:eastAsia="宋体" w:cs="Times New Roman" w:hint="eastAsia"/>
          <w:szCs w:val="21"/>
        </w:rPr>
        <w:t>减记递</w:t>
      </w:r>
      <w:proofErr w:type="gramEnd"/>
      <w:r w:rsidRPr="003C2170">
        <w:rPr>
          <w:rFonts w:eastAsia="宋体" w:cs="Times New Roman" w:hint="eastAsia"/>
          <w:szCs w:val="21"/>
        </w:rPr>
        <w:t>延所得税资产的账面价值。</w:t>
      </w:r>
      <w:r w:rsidR="00F96800" w:rsidRPr="003C2170">
        <w:rPr>
          <w:rFonts w:eastAsia="宋体" w:cs="Times New Roman" w:hint="eastAsia"/>
          <w:szCs w:val="21"/>
        </w:rPr>
        <w:t>反之，若未来产生的应纳税所得额及应纳税暂时性差异多于预期，则将视情况将未确认递延所得税资产的可抵扣亏损以及可抵扣暂时性差异</w:t>
      </w:r>
      <w:r w:rsidRPr="003C2170">
        <w:rPr>
          <w:rFonts w:eastAsia="宋体" w:cs="Times New Roman" w:hint="eastAsia"/>
          <w:szCs w:val="21"/>
        </w:rPr>
        <w:t>确认在该情况发生期间的利润表中。</w:t>
      </w:r>
      <w:r w:rsidR="00F96800" w:rsidRPr="003C2170">
        <w:rPr>
          <w:rFonts w:eastAsia="宋体" w:cs="Times New Roman" w:hint="eastAsia"/>
          <w:szCs w:val="21"/>
        </w:rPr>
        <w:t>本集团递延所得税资产的具体情况详见附注</w:t>
      </w:r>
      <w:r w:rsidR="005F14EE" w:rsidRPr="003C2170">
        <w:rPr>
          <w:rFonts w:eastAsia="宋体" w:cs="Times New Roman"/>
          <w:szCs w:val="21"/>
        </w:rPr>
        <w:t>(</w:t>
      </w:r>
      <w:r w:rsidR="00F96800" w:rsidRPr="003C2170">
        <w:rPr>
          <w:rFonts w:eastAsia="宋体" w:cs="Times New Roman" w:hint="eastAsia"/>
          <w:szCs w:val="21"/>
        </w:rPr>
        <w:t>五</w:t>
      </w:r>
      <w:r w:rsidR="005F14EE" w:rsidRPr="003C2170">
        <w:rPr>
          <w:rFonts w:eastAsia="宋体" w:cs="Times New Roman"/>
          <w:szCs w:val="21"/>
        </w:rPr>
        <w:t>)</w:t>
      </w:r>
      <w:r w:rsidR="00F96800" w:rsidRPr="003C2170">
        <w:rPr>
          <w:rFonts w:eastAsia="宋体" w:cs="Times New Roman" w:hint="eastAsia"/>
          <w:szCs w:val="21"/>
        </w:rPr>
        <w:t>、</w:t>
      </w:r>
      <w:r w:rsidR="00E04CD0" w:rsidRPr="003C2170">
        <w:rPr>
          <w:rFonts w:eastAsia="宋体" w:cs="Times New Roman"/>
          <w:szCs w:val="21"/>
        </w:rPr>
        <w:t>16</w:t>
      </w:r>
      <w:r w:rsidR="00F96800" w:rsidRPr="003C2170">
        <w:rPr>
          <w:rFonts w:eastAsia="宋体" w:cs="Times New Roman" w:hint="eastAsia"/>
          <w:szCs w:val="21"/>
        </w:rPr>
        <w:t>。</w:t>
      </w:r>
    </w:p>
    <w:p w:rsidR="00EC13BC" w:rsidRPr="003C2170" w:rsidRDefault="00EC13BC" w:rsidP="0027505B">
      <w:pPr>
        <w:ind w:left="720" w:right="8"/>
        <w:jc w:val="both"/>
        <w:rPr>
          <w:rFonts w:eastAsia="宋体" w:cs="Times New Roman"/>
          <w:szCs w:val="21"/>
        </w:rPr>
      </w:pPr>
    </w:p>
    <w:p w:rsidR="00EC13BC" w:rsidRPr="003C2170" w:rsidRDefault="00EC13BC" w:rsidP="0027505B">
      <w:pPr>
        <w:ind w:left="720" w:right="8"/>
        <w:jc w:val="both"/>
        <w:rPr>
          <w:rFonts w:eastAsia="宋体" w:cs="Times New Roman"/>
          <w:szCs w:val="21"/>
          <w:u w:val="single"/>
        </w:rPr>
      </w:pPr>
      <w:r w:rsidRPr="003C2170">
        <w:rPr>
          <w:rFonts w:eastAsia="宋体" w:cs="Times New Roman" w:hint="eastAsia"/>
          <w:szCs w:val="21"/>
          <w:u w:val="single"/>
        </w:rPr>
        <w:t>产品质量保证预计负债</w:t>
      </w:r>
    </w:p>
    <w:p w:rsidR="00EC13BC" w:rsidRPr="003C2170" w:rsidRDefault="00EC13BC" w:rsidP="0027505B">
      <w:pPr>
        <w:ind w:left="720" w:right="8"/>
        <w:jc w:val="both"/>
        <w:rPr>
          <w:rFonts w:eastAsia="宋体" w:cs="Times New Roman"/>
          <w:szCs w:val="21"/>
        </w:rPr>
      </w:pPr>
    </w:p>
    <w:p w:rsidR="00D83859" w:rsidRPr="003C2170" w:rsidRDefault="00EC13BC" w:rsidP="0027505B">
      <w:pPr>
        <w:ind w:left="720" w:right="8"/>
        <w:jc w:val="both"/>
        <w:rPr>
          <w:rFonts w:eastAsia="宋体" w:cs="Times New Roman"/>
          <w:szCs w:val="21"/>
        </w:rPr>
      </w:pPr>
      <w:r w:rsidRPr="003C2170">
        <w:rPr>
          <w:rFonts w:eastAsia="宋体" w:cs="Times New Roman" w:hint="eastAsia"/>
          <w:szCs w:val="21"/>
        </w:rPr>
        <w:t>产品质量保证预计负债是本集团根据预计的相关产品的维修和更换成本</w:t>
      </w:r>
      <w:proofErr w:type="gramStart"/>
      <w:r w:rsidRPr="003C2170">
        <w:rPr>
          <w:rFonts w:eastAsia="宋体" w:cs="Times New Roman" w:hint="eastAsia"/>
          <w:szCs w:val="21"/>
        </w:rPr>
        <w:t>作出</w:t>
      </w:r>
      <w:proofErr w:type="gramEnd"/>
      <w:r w:rsidRPr="003C2170">
        <w:rPr>
          <w:rFonts w:eastAsia="宋体" w:cs="Times New Roman" w:hint="eastAsia"/>
          <w:szCs w:val="21"/>
        </w:rPr>
        <w:t>的估计。</w:t>
      </w:r>
      <w:proofErr w:type="gramStart"/>
      <w:r w:rsidRPr="003C2170">
        <w:rPr>
          <w:rFonts w:eastAsia="宋体" w:cs="Times New Roman" w:hint="eastAsia"/>
          <w:szCs w:val="21"/>
        </w:rPr>
        <w:t>该估计</w:t>
      </w:r>
      <w:proofErr w:type="gramEnd"/>
      <w:r w:rsidR="006969DA" w:rsidRPr="003C2170">
        <w:rPr>
          <w:rFonts w:eastAsia="宋体" w:cs="Times New Roman" w:hint="eastAsia"/>
          <w:szCs w:val="21"/>
        </w:rPr>
        <w:t>基于</w:t>
      </w:r>
      <w:r w:rsidRPr="003C2170">
        <w:rPr>
          <w:rFonts w:eastAsia="宋体" w:cs="Times New Roman" w:hint="eastAsia"/>
          <w:szCs w:val="21"/>
        </w:rPr>
        <w:t>产品索赔率趋势</w:t>
      </w:r>
      <w:r w:rsidR="006969DA" w:rsidRPr="003C2170">
        <w:rPr>
          <w:rFonts w:eastAsia="宋体" w:cs="Times New Roman" w:hint="eastAsia"/>
          <w:szCs w:val="21"/>
        </w:rPr>
        <w:t>、</w:t>
      </w:r>
      <w:r w:rsidRPr="003C2170">
        <w:rPr>
          <w:rFonts w:eastAsia="宋体" w:cs="Times New Roman" w:hint="eastAsia"/>
          <w:szCs w:val="21"/>
        </w:rPr>
        <w:t>历史</w:t>
      </w:r>
      <w:proofErr w:type="gramStart"/>
      <w:r w:rsidRPr="003C2170">
        <w:rPr>
          <w:rFonts w:eastAsia="宋体" w:cs="Times New Roman" w:hint="eastAsia"/>
          <w:szCs w:val="21"/>
        </w:rPr>
        <w:t>残次率</w:t>
      </w:r>
      <w:proofErr w:type="gramEnd"/>
      <w:r w:rsidRPr="003C2170">
        <w:rPr>
          <w:rFonts w:eastAsia="宋体" w:cs="Times New Roman" w:hint="eastAsia"/>
          <w:szCs w:val="21"/>
        </w:rPr>
        <w:t>和行业惯例等</w:t>
      </w:r>
      <w:r w:rsidR="006969DA" w:rsidRPr="003C2170">
        <w:rPr>
          <w:rFonts w:eastAsia="宋体" w:cs="Times New Roman" w:hint="eastAsia"/>
          <w:szCs w:val="21"/>
        </w:rPr>
        <w:t>相关信息</w:t>
      </w:r>
      <w:r w:rsidRPr="003C2170">
        <w:rPr>
          <w:rFonts w:eastAsia="宋体" w:cs="Times New Roman" w:hint="eastAsia"/>
          <w:szCs w:val="21"/>
        </w:rPr>
        <w:t>。管理层认为目前的产品质量保证预计负债的估计是合理的，但本集团将继续检视产品返修情况，一旦有迹象表明需要调整相关会计估计的假设，本集团将在有关迹象发生的期间进行调整。</w:t>
      </w:r>
      <w:r w:rsidR="00E04CD0" w:rsidRPr="003C2170">
        <w:rPr>
          <w:rFonts w:eastAsia="宋体" w:cs="Times New Roman" w:hint="eastAsia"/>
          <w:szCs w:val="21"/>
        </w:rPr>
        <w:t>本集团</w:t>
      </w:r>
      <w:r w:rsidR="006D4BF7" w:rsidRPr="003C2170">
        <w:rPr>
          <w:rFonts w:eastAsia="宋体" w:cs="Times New Roman" w:hint="eastAsia"/>
          <w:szCs w:val="21"/>
        </w:rPr>
        <w:t>关于产品质量保证</w:t>
      </w:r>
      <w:r w:rsidR="00E04CD0" w:rsidRPr="003C2170">
        <w:rPr>
          <w:rFonts w:eastAsia="宋体" w:cs="Times New Roman" w:hint="eastAsia"/>
          <w:szCs w:val="21"/>
        </w:rPr>
        <w:t>预计负债的具体情况详见附注</w:t>
      </w:r>
      <w:r w:rsidR="005F14EE" w:rsidRPr="003C2170">
        <w:rPr>
          <w:rFonts w:eastAsia="宋体" w:cs="Times New Roman"/>
          <w:szCs w:val="21"/>
        </w:rPr>
        <w:t>(</w:t>
      </w:r>
      <w:r w:rsidR="00E04CD0" w:rsidRPr="003C2170">
        <w:rPr>
          <w:rFonts w:eastAsia="宋体" w:cs="Times New Roman" w:hint="eastAsia"/>
          <w:szCs w:val="21"/>
        </w:rPr>
        <w:t>五</w:t>
      </w:r>
      <w:r w:rsidR="005F14EE" w:rsidRPr="003C2170">
        <w:rPr>
          <w:rFonts w:eastAsia="宋体" w:cs="Times New Roman"/>
          <w:szCs w:val="21"/>
        </w:rPr>
        <w:t>)</w:t>
      </w:r>
      <w:r w:rsidR="00E04CD0" w:rsidRPr="003C2170">
        <w:rPr>
          <w:rFonts w:eastAsia="宋体" w:cs="Times New Roman" w:hint="eastAsia"/>
          <w:szCs w:val="21"/>
        </w:rPr>
        <w:t>、</w:t>
      </w:r>
      <w:r w:rsidR="0036095E" w:rsidRPr="003C2170">
        <w:rPr>
          <w:rFonts w:eastAsia="宋体" w:cs="Times New Roman"/>
          <w:szCs w:val="21"/>
        </w:rPr>
        <w:t>30</w:t>
      </w:r>
      <w:r w:rsidR="00E04CD0" w:rsidRPr="003C2170">
        <w:rPr>
          <w:rFonts w:eastAsia="宋体" w:cs="Times New Roman" w:hint="eastAsia"/>
          <w:szCs w:val="21"/>
        </w:rPr>
        <w:t>。</w:t>
      </w:r>
    </w:p>
    <w:p w:rsidR="00D83859" w:rsidRPr="003C2170" w:rsidRDefault="00D83859" w:rsidP="0027505B">
      <w:pPr>
        <w:ind w:left="720" w:right="8"/>
        <w:jc w:val="both"/>
        <w:rPr>
          <w:rFonts w:eastAsia="宋体" w:cs="Times New Roman"/>
          <w:szCs w:val="21"/>
        </w:rPr>
      </w:pPr>
    </w:p>
    <w:p w:rsidR="00AE147E" w:rsidRPr="003C2170" w:rsidRDefault="00AE147E" w:rsidP="0027505B">
      <w:pPr>
        <w:ind w:left="720" w:right="8"/>
        <w:jc w:val="both"/>
        <w:rPr>
          <w:rFonts w:eastAsia="宋体" w:cs="Times New Roman"/>
          <w:szCs w:val="21"/>
          <w:u w:val="single"/>
        </w:rPr>
      </w:pPr>
      <w:r w:rsidRPr="003C2170">
        <w:rPr>
          <w:rFonts w:eastAsia="宋体" w:cs="Times New Roman" w:hint="eastAsia"/>
          <w:szCs w:val="21"/>
          <w:u w:val="single"/>
        </w:rPr>
        <w:t>固定资产的使用寿命及预计净残值</w:t>
      </w:r>
    </w:p>
    <w:p w:rsidR="00AE147E" w:rsidRPr="003C2170" w:rsidRDefault="00AE147E" w:rsidP="0027505B">
      <w:pPr>
        <w:ind w:left="720" w:right="8"/>
        <w:jc w:val="both"/>
        <w:rPr>
          <w:rFonts w:eastAsia="宋体" w:cs="Times New Roman"/>
          <w:szCs w:val="21"/>
        </w:rPr>
      </w:pPr>
    </w:p>
    <w:p w:rsidR="0039083F" w:rsidRPr="003C2170" w:rsidRDefault="00AE147E" w:rsidP="0027505B">
      <w:pPr>
        <w:ind w:left="720" w:right="8"/>
        <w:jc w:val="both"/>
        <w:rPr>
          <w:rFonts w:eastAsia="宋体" w:cs="Times New Roman"/>
          <w:szCs w:val="21"/>
        </w:rPr>
      </w:pPr>
      <w:r w:rsidRPr="003C2170">
        <w:rPr>
          <w:rFonts w:eastAsia="宋体" w:cs="Times New Roman" w:hint="eastAsia"/>
          <w:szCs w:val="21"/>
        </w:rPr>
        <w:t>如附注</w:t>
      </w:r>
      <w:r w:rsidR="005F14EE" w:rsidRPr="003C2170">
        <w:rPr>
          <w:rFonts w:eastAsia="宋体" w:cs="Times New Roman"/>
          <w:szCs w:val="21"/>
        </w:rPr>
        <w:t>(</w:t>
      </w:r>
      <w:r w:rsidRPr="003C2170">
        <w:rPr>
          <w:rFonts w:eastAsia="宋体" w:cs="Times New Roman" w:hint="eastAsia"/>
          <w:szCs w:val="21"/>
        </w:rPr>
        <w:t>三</w:t>
      </w:r>
      <w:r w:rsidR="005F14EE" w:rsidRPr="003C2170">
        <w:rPr>
          <w:rFonts w:eastAsia="宋体" w:cs="Times New Roman"/>
          <w:szCs w:val="21"/>
        </w:rPr>
        <w:t>)</w:t>
      </w:r>
      <w:r w:rsidRPr="003C2170">
        <w:rPr>
          <w:rFonts w:eastAsia="宋体" w:cs="Times New Roman" w:hint="eastAsia"/>
          <w:szCs w:val="21"/>
        </w:rPr>
        <w:t>、</w:t>
      </w:r>
      <w:r w:rsidRPr="003C2170">
        <w:rPr>
          <w:rFonts w:eastAsia="宋体" w:cs="Times New Roman"/>
          <w:szCs w:val="21"/>
        </w:rPr>
        <w:t>1</w:t>
      </w:r>
      <w:r w:rsidR="00BB6B39" w:rsidRPr="003C2170">
        <w:rPr>
          <w:rFonts w:eastAsia="宋体" w:cs="Times New Roman"/>
          <w:szCs w:val="21"/>
        </w:rPr>
        <w:t>7</w:t>
      </w:r>
      <w:r w:rsidR="00C246A8" w:rsidRPr="003C2170">
        <w:rPr>
          <w:rFonts w:eastAsia="宋体" w:cs="Times New Roman"/>
          <w:szCs w:val="21"/>
        </w:rPr>
        <w:t>“</w:t>
      </w:r>
      <w:r w:rsidRPr="003C2170">
        <w:rPr>
          <w:rFonts w:eastAsia="宋体" w:cs="Times New Roman" w:hint="eastAsia"/>
          <w:szCs w:val="21"/>
        </w:rPr>
        <w:t>固定资产</w:t>
      </w:r>
      <w:r w:rsidR="00C246A8" w:rsidRPr="003C2170">
        <w:rPr>
          <w:rFonts w:eastAsia="宋体" w:cs="Times New Roman"/>
          <w:szCs w:val="21"/>
        </w:rPr>
        <w:t>”</w:t>
      </w:r>
      <w:r w:rsidRPr="003C2170">
        <w:rPr>
          <w:rFonts w:eastAsia="宋体" w:cs="Times New Roman" w:hint="eastAsia"/>
          <w:szCs w:val="21"/>
        </w:rPr>
        <w:t>所述，本集团至少于每年年度终了对固定资产的使用寿命和预计净残值进行复核。本集团对固定资产可使用寿命的估计是根据对类似性质及功能的固定资产实际可使用年限的历史经验为基础，对预计净残值的估计是根据预期处置该项资产时可以获得的扣除预计处置费用后的收益为基础。当固定资产预计使用寿命和预计净残值与先前估计不同时，本集团将作会计估计变更。</w:t>
      </w:r>
      <w:r w:rsidR="00481C75" w:rsidRPr="003C2170">
        <w:rPr>
          <w:rFonts w:eastAsia="宋体" w:cs="Times New Roman" w:hint="eastAsia"/>
          <w:szCs w:val="21"/>
        </w:rPr>
        <w:t>本年度</w:t>
      </w:r>
      <w:r w:rsidRPr="003C2170">
        <w:rPr>
          <w:rFonts w:eastAsia="宋体" w:cs="Times New Roman" w:hint="eastAsia"/>
          <w:szCs w:val="21"/>
        </w:rPr>
        <w:t>，本集团管理层未发现使本集团固定资产使用寿命缩短或延长及需要改变预计净残值的情况。</w:t>
      </w:r>
      <w:r w:rsidR="00E04CD0" w:rsidRPr="003C2170">
        <w:rPr>
          <w:rFonts w:eastAsia="宋体" w:cs="Times New Roman" w:hint="eastAsia"/>
          <w:szCs w:val="21"/>
        </w:rPr>
        <w:t>本集团固定资产的具体情况详见附注</w:t>
      </w:r>
      <w:r w:rsidR="005F14EE" w:rsidRPr="003C2170">
        <w:rPr>
          <w:rFonts w:eastAsia="宋体" w:cs="Times New Roman"/>
          <w:szCs w:val="21"/>
        </w:rPr>
        <w:t>(</w:t>
      </w:r>
      <w:r w:rsidR="00E04CD0" w:rsidRPr="003C2170">
        <w:rPr>
          <w:rFonts w:eastAsia="宋体" w:cs="Times New Roman" w:hint="eastAsia"/>
          <w:szCs w:val="21"/>
        </w:rPr>
        <w:t>五</w:t>
      </w:r>
      <w:r w:rsidR="005F14EE" w:rsidRPr="003C2170">
        <w:rPr>
          <w:rFonts w:eastAsia="宋体" w:cs="Times New Roman"/>
          <w:szCs w:val="21"/>
        </w:rPr>
        <w:t>)</w:t>
      </w:r>
      <w:r w:rsidR="00E04CD0" w:rsidRPr="003C2170">
        <w:rPr>
          <w:rFonts w:eastAsia="宋体" w:cs="Times New Roman" w:hint="eastAsia"/>
          <w:szCs w:val="21"/>
        </w:rPr>
        <w:t>、</w:t>
      </w:r>
      <w:r w:rsidR="00E04CD0" w:rsidRPr="003C2170">
        <w:rPr>
          <w:rFonts w:eastAsia="宋体" w:cs="Times New Roman"/>
          <w:szCs w:val="21"/>
        </w:rPr>
        <w:t>11</w:t>
      </w:r>
      <w:r w:rsidR="00E04CD0" w:rsidRPr="003C2170">
        <w:rPr>
          <w:rFonts w:eastAsia="宋体" w:cs="Times New Roman" w:hint="eastAsia"/>
          <w:szCs w:val="21"/>
        </w:rPr>
        <w:t>。</w:t>
      </w:r>
    </w:p>
    <w:p w:rsidR="00D83859" w:rsidRPr="003C2170" w:rsidRDefault="00D83859" w:rsidP="0027505B">
      <w:pPr>
        <w:ind w:right="8"/>
        <w:jc w:val="both"/>
        <w:rPr>
          <w:rFonts w:eastAsia="宋体" w:cs="Times New Roman"/>
          <w:szCs w:val="21"/>
        </w:rPr>
      </w:pPr>
      <w:r w:rsidRPr="003C2170">
        <w:rPr>
          <w:rFonts w:eastAsia="宋体" w:cs="Times New Roman"/>
          <w:szCs w:val="21"/>
        </w:rPr>
        <w:br w:type="page"/>
      </w:r>
    </w:p>
    <w:p w:rsidR="00D83859" w:rsidRPr="003C2170" w:rsidRDefault="005F14EE" w:rsidP="0027505B">
      <w:pPr>
        <w:ind w:right="8"/>
        <w:jc w:val="both"/>
        <w:rPr>
          <w:rFonts w:eastAsia="宋体" w:cs="Times New Roman"/>
          <w:szCs w:val="21"/>
        </w:rPr>
      </w:pPr>
      <w:r w:rsidRPr="003C2170">
        <w:rPr>
          <w:rFonts w:eastAsia="宋体" w:cs="Times New Roman"/>
          <w:b/>
          <w:szCs w:val="21"/>
        </w:rPr>
        <w:t>(</w:t>
      </w:r>
      <w:r w:rsidR="00D83859" w:rsidRPr="003C2170">
        <w:rPr>
          <w:rFonts w:eastAsia="宋体" w:cs="Times New Roman" w:hint="eastAsia"/>
          <w:b/>
          <w:szCs w:val="21"/>
        </w:rPr>
        <w:t>三</w:t>
      </w:r>
      <w:r w:rsidRPr="003C2170">
        <w:rPr>
          <w:rFonts w:eastAsia="宋体" w:cs="Times New Roman"/>
          <w:b/>
          <w:szCs w:val="21"/>
        </w:rPr>
        <w:t>)</w:t>
      </w:r>
      <w:r w:rsidR="00D83859" w:rsidRPr="003C2170">
        <w:rPr>
          <w:rFonts w:eastAsia="宋体" w:cs="Times New Roman"/>
          <w:b/>
          <w:szCs w:val="21"/>
        </w:rPr>
        <w:tab/>
      </w:r>
      <w:r w:rsidR="00D83859" w:rsidRPr="003C2170">
        <w:rPr>
          <w:rFonts w:eastAsia="宋体" w:cs="Times New Roman" w:hint="eastAsia"/>
          <w:b/>
          <w:szCs w:val="21"/>
        </w:rPr>
        <w:t>重要会计政策和会计估计</w:t>
      </w:r>
      <w:r w:rsidR="00D83859" w:rsidRPr="003C2170">
        <w:rPr>
          <w:rFonts w:eastAsia="宋体" w:cs="Times New Roman"/>
          <w:szCs w:val="21"/>
        </w:rPr>
        <w:t xml:space="preserve"> - </w:t>
      </w:r>
      <w:r w:rsidR="00D83859" w:rsidRPr="003C2170">
        <w:rPr>
          <w:rFonts w:eastAsia="宋体" w:cs="Times New Roman" w:hint="eastAsia"/>
          <w:szCs w:val="21"/>
        </w:rPr>
        <w:t>续</w:t>
      </w:r>
    </w:p>
    <w:p w:rsidR="006513D7" w:rsidRPr="003C2170" w:rsidRDefault="006513D7" w:rsidP="0027505B">
      <w:pPr>
        <w:ind w:left="720" w:right="8"/>
        <w:jc w:val="both"/>
        <w:rPr>
          <w:rFonts w:eastAsia="宋体" w:cs="Times New Roman"/>
          <w:szCs w:val="21"/>
        </w:rPr>
      </w:pPr>
    </w:p>
    <w:p w:rsidR="001D5118" w:rsidRPr="003C2170" w:rsidRDefault="001D5118" w:rsidP="0027505B">
      <w:pPr>
        <w:pStyle w:val="2"/>
        <w:numPr>
          <w:ilvl w:val="0"/>
          <w:numId w:val="39"/>
        </w:numPr>
        <w:adjustRightInd w:val="0"/>
        <w:snapToGrid w:val="0"/>
        <w:ind w:left="1440" w:right="8" w:hanging="720"/>
        <w:contextualSpacing w:val="0"/>
        <w:jc w:val="both"/>
        <w:rPr>
          <w:rFonts w:ascii="Times New Roman" w:eastAsia="宋体" w:hAnsi="Times New Roman" w:cs="Times New Roman"/>
          <w:szCs w:val="21"/>
        </w:rPr>
      </w:pPr>
      <w:r w:rsidRPr="003C2170">
        <w:rPr>
          <w:rFonts w:ascii="Times New Roman" w:eastAsia="宋体" w:hAnsi="Times New Roman" w:cs="Times New Roman" w:hint="eastAsia"/>
          <w:szCs w:val="21"/>
        </w:rPr>
        <w:t>重要会计政策和会计估计的变更</w:t>
      </w:r>
    </w:p>
    <w:p w:rsidR="001D5118" w:rsidRPr="003C2170" w:rsidRDefault="001D5118" w:rsidP="0027505B">
      <w:pPr>
        <w:ind w:left="720" w:right="8"/>
        <w:jc w:val="both"/>
        <w:rPr>
          <w:rFonts w:eastAsia="宋体" w:cs="Times New Roman"/>
          <w:szCs w:val="21"/>
          <w:lang w:val="en-GB"/>
        </w:rPr>
      </w:pPr>
    </w:p>
    <w:p w:rsidR="001D5118" w:rsidRPr="003C2170" w:rsidRDefault="001D5118" w:rsidP="0027505B">
      <w:pPr>
        <w:ind w:left="720" w:right="8"/>
        <w:jc w:val="both"/>
        <w:rPr>
          <w:rFonts w:eastAsia="宋体" w:cs="Times New Roman"/>
          <w:szCs w:val="21"/>
          <w:u w:val="single"/>
        </w:rPr>
      </w:pPr>
      <w:r w:rsidRPr="003C2170">
        <w:rPr>
          <w:rFonts w:eastAsia="宋体" w:cs="Times New Roman"/>
          <w:szCs w:val="21"/>
          <w:u w:val="single"/>
        </w:rPr>
        <w:t>3</w:t>
      </w:r>
      <w:r w:rsidR="00D83859" w:rsidRPr="003C2170">
        <w:rPr>
          <w:rFonts w:eastAsia="宋体" w:cs="Times New Roman"/>
          <w:szCs w:val="21"/>
          <w:u w:val="single"/>
        </w:rPr>
        <w:t>3</w:t>
      </w:r>
      <w:r w:rsidRPr="003C2170">
        <w:rPr>
          <w:rFonts w:eastAsia="宋体" w:cs="Times New Roman"/>
          <w:szCs w:val="21"/>
          <w:u w:val="single"/>
        </w:rPr>
        <w:t>.1</w:t>
      </w:r>
      <w:r w:rsidRPr="003C2170">
        <w:rPr>
          <w:rFonts w:eastAsia="宋体" w:cs="Times New Roman"/>
          <w:szCs w:val="21"/>
          <w:u w:val="single"/>
        </w:rPr>
        <w:tab/>
      </w:r>
      <w:r w:rsidRPr="003C2170">
        <w:rPr>
          <w:rFonts w:eastAsia="宋体" w:cs="Times New Roman" w:hint="eastAsia"/>
          <w:szCs w:val="21"/>
          <w:u w:val="single"/>
        </w:rPr>
        <w:t>重要会计政策变更</w:t>
      </w:r>
    </w:p>
    <w:p w:rsidR="001D5118" w:rsidRPr="003C2170" w:rsidRDefault="001D5118" w:rsidP="0027505B">
      <w:pPr>
        <w:ind w:left="720" w:right="8"/>
        <w:jc w:val="both"/>
        <w:rPr>
          <w:rFonts w:eastAsia="宋体" w:cs="Times New Roman"/>
          <w:szCs w:val="21"/>
          <w:lang w:val="en-GB"/>
        </w:rPr>
      </w:pPr>
    </w:p>
    <w:p w:rsidR="001D5118" w:rsidRPr="003C2170" w:rsidRDefault="001D5118" w:rsidP="0027505B">
      <w:pPr>
        <w:ind w:left="720" w:right="8"/>
        <w:jc w:val="both"/>
        <w:rPr>
          <w:rFonts w:eastAsia="宋体" w:cs="Times New Roman"/>
          <w:szCs w:val="21"/>
          <w:lang w:val="en-GB"/>
        </w:rPr>
      </w:pPr>
      <w:r w:rsidRPr="003C2170">
        <w:rPr>
          <w:rFonts w:eastAsia="宋体" w:cs="Times New Roman" w:hint="eastAsia"/>
          <w:szCs w:val="21"/>
          <w:lang w:val="en-GB"/>
        </w:rPr>
        <w:t>财政部于</w:t>
      </w:r>
      <w:r w:rsidRPr="003C2170">
        <w:rPr>
          <w:rFonts w:eastAsia="宋体" w:cs="Times New Roman" w:hint="eastAsia"/>
          <w:szCs w:val="21"/>
          <w:lang w:val="en-GB"/>
        </w:rPr>
        <w:t xml:space="preserve">2022 </w:t>
      </w:r>
      <w:r w:rsidRPr="003C2170">
        <w:rPr>
          <w:rFonts w:eastAsia="宋体" w:cs="Times New Roman" w:hint="eastAsia"/>
          <w:szCs w:val="21"/>
          <w:lang w:val="en-GB"/>
        </w:rPr>
        <w:t>年</w:t>
      </w:r>
      <w:r w:rsidRPr="003C2170">
        <w:rPr>
          <w:rFonts w:eastAsia="宋体" w:cs="Times New Roman" w:hint="eastAsia"/>
          <w:szCs w:val="21"/>
          <w:lang w:val="en-GB"/>
        </w:rPr>
        <w:t xml:space="preserve">11 </w:t>
      </w:r>
      <w:r w:rsidRPr="003C2170">
        <w:rPr>
          <w:rFonts w:eastAsia="宋体" w:cs="Times New Roman" w:hint="eastAsia"/>
          <w:szCs w:val="21"/>
          <w:lang w:val="en-GB"/>
        </w:rPr>
        <w:t>月</w:t>
      </w:r>
      <w:r w:rsidRPr="003C2170">
        <w:rPr>
          <w:rFonts w:eastAsia="宋体" w:cs="Times New Roman" w:hint="eastAsia"/>
          <w:szCs w:val="21"/>
          <w:lang w:val="en-GB"/>
        </w:rPr>
        <w:t>30</w:t>
      </w:r>
      <w:r w:rsidRPr="003C2170">
        <w:rPr>
          <w:rFonts w:eastAsia="宋体" w:cs="Times New Roman" w:hint="eastAsia"/>
          <w:szCs w:val="21"/>
          <w:lang w:val="en-GB"/>
        </w:rPr>
        <w:t>日发布了《企业会计准则解释第</w:t>
      </w:r>
      <w:r w:rsidRPr="003C2170">
        <w:rPr>
          <w:rFonts w:eastAsia="宋体" w:cs="Times New Roman" w:hint="eastAsia"/>
          <w:szCs w:val="21"/>
          <w:lang w:val="en-GB"/>
        </w:rPr>
        <w:t xml:space="preserve">16 </w:t>
      </w:r>
      <w:r w:rsidRPr="003C2170">
        <w:rPr>
          <w:rFonts w:eastAsia="宋体" w:cs="Times New Roman" w:hint="eastAsia"/>
          <w:szCs w:val="21"/>
          <w:lang w:val="en-GB"/>
        </w:rPr>
        <w:t>号》</w:t>
      </w:r>
      <w:r w:rsidR="005F14EE" w:rsidRPr="003C2170">
        <w:rPr>
          <w:rFonts w:eastAsia="宋体" w:cs="Times New Roman" w:hint="eastAsia"/>
          <w:szCs w:val="21"/>
          <w:lang w:val="en-GB"/>
        </w:rPr>
        <w:t>(</w:t>
      </w:r>
      <w:r w:rsidRPr="003C2170">
        <w:rPr>
          <w:rFonts w:eastAsia="宋体" w:cs="Times New Roman" w:hint="eastAsia"/>
          <w:szCs w:val="21"/>
          <w:lang w:val="en-GB"/>
        </w:rPr>
        <w:t>以下简称</w:t>
      </w:r>
      <w:r w:rsidR="00DF3377" w:rsidRPr="003C2170">
        <w:rPr>
          <w:rFonts w:eastAsia="宋体" w:cs="Times New Roman"/>
          <w:szCs w:val="21"/>
        </w:rPr>
        <w:t>“</w:t>
      </w:r>
      <w:r w:rsidRPr="003C2170">
        <w:rPr>
          <w:rFonts w:eastAsia="宋体" w:cs="Times New Roman" w:hint="eastAsia"/>
          <w:szCs w:val="21"/>
          <w:lang w:val="en-GB"/>
        </w:rPr>
        <w:t>解释</w:t>
      </w:r>
      <w:r w:rsidRPr="003C2170">
        <w:rPr>
          <w:rFonts w:eastAsia="宋体" w:cs="Times New Roman" w:hint="eastAsia"/>
          <w:szCs w:val="21"/>
          <w:lang w:val="en-GB"/>
        </w:rPr>
        <w:t xml:space="preserve">16 </w:t>
      </w:r>
      <w:r w:rsidRPr="003C2170">
        <w:rPr>
          <w:rFonts w:eastAsia="宋体" w:cs="Times New Roman" w:hint="eastAsia"/>
          <w:szCs w:val="21"/>
          <w:lang w:val="en-GB"/>
        </w:rPr>
        <w:t>号</w:t>
      </w:r>
      <w:r w:rsidR="00DF3377" w:rsidRPr="003C2170">
        <w:rPr>
          <w:rFonts w:eastAsia="宋体" w:cs="Times New Roman"/>
          <w:szCs w:val="21"/>
        </w:rPr>
        <w:t>”</w:t>
      </w:r>
      <w:r w:rsidR="005F14EE" w:rsidRPr="003C2170">
        <w:rPr>
          <w:rFonts w:eastAsia="宋体" w:cs="Times New Roman" w:hint="eastAsia"/>
          <w:szCs w:val="21"/>
          <w:lang w:val="en-GB"/>
        </w:rPr>
        <w:t>)</w:t>
      </w:r>
      <w:r w:rsidRPr="003C2170">
        <w:rPr>
          <w:rFonts w:eastAsia="宋体" w:cs="Times New Roman" w:hint="eastAsia"/>
          <w:szCs w:val="21"/>
          <w:lang w:val="en-GB"/>
        </w:rPr>
        <w:t>，明确了关于单项交易产生的资产和负债相关的递延所得税不适用初始确认豁免的会计处理。解释</w:t>
      </w:r>
      <w:r w:rsidRPr="003C2170">
        <w:rPr>
          <w:rFonts w:eastAsia="宋体" w:cs="Times New Roman" w:hint="eastAsia"/>
          <w:szCs w:val="21"/>
          <w:lang w:val="en-GB"/>
        </w:rPr>
        <w:t xml:space="preserve">16 </w:t>
      </w:r>
      <w:r w:rsidRPr="003C2170">
        <w:rPr>
          <w:rFonts w:eastAsia="宋体" w:cs="Times New Roman" w:hint="eastAsia"/>
          <w:szCs w:val="21"/>
          <w:lang w:val="en-GB"/>
        </w:rPr>
        <w:t>号对</w:t>
      </w:r>
      <w:proofErr w:type="gramStart"/>
      <w:r w:rsidRPr="003C2170">
        <w:rPr>
          <w:rFonts w:eastAsia="宋体" w:cs="Times New Roman" w:hint="eastAsia"/>
          <w:szCs w:val="21"/>
          <w:lang w:val="en-GB"/>
        </w:rPr>
        <w:t>《企业会计准则第</w:t>
      </w:r>
      <w:r w:rsidRPr="003C2170">
        <w:rPr>
          <w:rFonts w:eastAsia="宋体" w:cs="Times New Roman" w:hint="eastAsia"/>
          <w:szCs w:val="21"/>
          <w:lang w:val="en-GB"/>
        </w:rPr>
        <w:t xml:space="preserve">18 </w:t>
      </w:r>
      <w:r w:rsidRPr="003C2170">
        <w:rPr>
          <w:rFonts w:eastAsia="宋体" w:cs="Times New Roman" w:hint="eastAsia"/>
          <w:szCs w:val="21"/>
          <w:lang w:val="en-GB"/>
        </w:rPr>
        <w:t>号——所得税》中递延</w:t>
      </w:r>
      <w:proofErr w:type="gramEnd"/>
      <w:r w:rsidRPr="003C2170">
        <w:rPr>
          <w:rFonts w:eastAsia="宋体" w:cs="Times New Roman" w:hint="eastAsia"/>
          <w:szCs w:val="21"/>
          <w:lang w:val="en-GB"/>
        </w:rPr>
        <w:t>所得税初始确认豁免的范围进行了修订，明确对于不是企业合并、交易发生时既不影响会计利润也不影响应纳税所得额</w:t>
      </w:r>
      <w:r w:rsidR="005F14EE" w:rsidRPr="003C2170">
        <w:rPr>
          <w:rFonts w:eastAsia="宋体" w:cs="Times New Roman" w:hint="eastAsia"/>
          <w:szCs w:val="21"/>
          <w:lang w:val="en-GB"/>
        </w:rPr>
        <w:t>(</w:t>
      </w:r>
      <w:r w:rsidRPr="003C2170">
        <w:rPr>
          <w:rFonts w:eastAsia="宋体" w:cs="Times New Roman" w:hint="eastAsia"/>
          <w:szCs w:val="21"/>
          <w:lang w:val="en-GB"/>
        </w:rPr>
        <w:t>或可抵扣亏损</w:t>
      </w:r>
      <w:r w:rsidR="005F14EE" w:rsidRPr="003C2170">
        <w:rPr>
          <w:rFonts w:eastAsia="宋体" w:cs="Times New Roman" w:hint="eastAsia"/>
          <w:szCs w:val="21"/>
          <w:lang w:val="en-GB"/>
        </w:rPr>
        <w:t>)</w:t>
      </w:r>
      <w:r w:rsidRPr="003C2170">
        <w:rPr>
          <w:rFonts w:eastAsia="宋体" w:cs="Times New Roman" w:hint="eastAsia"/>
          <w:szCs w:val="21"/>
          <w:lang w:val="en-GB"/>
        </w:rPr>
        <w:t>、且初始确认的资产和负债导致产生等额应纳税暂时性差异和可抵扣暂时性差异的单项交易，不适用《企业会计准则第</w:t>
      </w:r>
      <w:r w:rsidRPr="003C2170">
        <w:rPr>
          <w:rFonts w:eastAsia="宋体" w:cs="Times New Roman" w:hint="eastAsia"/>
          <w:szCs w:val="21"/>
          <w:lang w:val="en-GB"/>
        </w:rPr>
        <w:t xml:space="preserve">18 </w:t>
      </w:r>
      <w:r w:rsidRPr="003C2170">
        <w:rPr>
          <w:rFonts w:eastAsia="宋体" w:cs="Times New Roman" w:hint="eastAsia"/>
          <w:szCs w:val="21"/>
          <w:lang w:val="en-GB"/>
        </w:rPr>
        <w:t>号——所得税》关于豁免初始确认递延所得税负债和递延所得税资产的规定。该规定自</w:t>
      </w:r>
      <w:r w:rsidRPr="003C2170">
        <w:rPr>
          <w:rFonts w:eastAsia="宋体" w:cs="Times New Roman" w:hint="eastAsia"/>
          <w:szCs w:val="21"/>
          <w:lang w:val="en-GB"/>
        </w:rPr>
        <w:t xml:space="preserve">2023 </w:t>
      </w:r>
      <w:r w:rsidRPr="003C2170">
        <w:rPr>
          <w:rFonts w:eastAsia="宋体" w:cs="Times New Roman" w:hint="eastAsia"/>
          <w:szCs w:val="21"/>
          <w:lang w:val="en-GB"/>
        </w:rPr>
        <w:t>年</w:t>
      </w:r>
      <w:r w:rsidRPr="003C2170">
        <w:rPr>
          <w:rFonts w:eastAsia="宋体" w:cs="Times New Roman" w:hint="eastAsia"/>
          <w:szCs w:val="21"/>
          <w:lang w:val="en-GB"/>
        </w:rPr>
        <w:t>1</w:t>
      </w:r>
      <w:r w:rsidRPr="003C2170">
        <w:rPr>
          <w:rFonts w:eastAsia="宋体" w:cs="Times New Roman" w:hint="eastAsia"/>
          <w:szCs w:val="21"/>
          <w:lang w:val="en-GB"/>
        </w:rPr>
        <w:t>月</w:t>
      </w:r>
      <w:r w:rsidRPr="003C2170">
        <w:rPr>
          <w:rFonts w:eastAsia="宋体" w:cs="Times New Roman" w:hint="eastAsia"/>
          <w:szCs w:val="21"/>
          <w:lang w:val="en-GB"/>
        </w:rPr>
        <w:t>1</w:t>
      </w:r>
      <w:r w:rsidRPr="003C2170">
        <w:rPr>
          <w:rFonts w:eastAsia="宋体" w:cs="Times New Roman" w:hint="eastAsia"/>
          <w:szCs w:val="21"/>
          <w:lang w:val="en-GB"/>
        </w:rPr>
        <w:t>日起施行，可以提前执行。本集团自</w:t>
      </w:r>
      <w:r w:rsidRPr="003C2170">
        <w:rPr>
          <w:rFonts w:eastAsia="宋体" w:cs="Times New Roman" w:hint="eastAsia"/>
          <w:szCs w:val="21"/>
          <w:lang w:val="en-GB"/>
        </w:rPr>
        <w:t>2023</w:t>
      </w:r>
      <w:r w:rsidRPr="003C2170">
        <w:rPr>
          <w:rFonts w:eastAsia="宋体" w:cs="Times New Roman" w:hint="eastAsia"/>
          <w:szCs w:val="21"/>
          <w:lang w:val="en-GB"/>
        </w:rPr>
        <w:t>年</w:t>
      </w:r>
      <w:r w:rsidRPr="003C2170">
        <w:rPr>
          <w:rFonts w:eastAsia="宋体" w:cs="Times New Roman" w:hint="eastAsia"/>
          <w:szCs w:val="21"/>
          <w:lang w:val="en-GB"/>
        </w:rPr>
        <w:t>1</w:t>
      </w:r>
      <w:r w:rsidRPr="003C2170">
        <w:rPr>
          <w:rFonts w:eastAsia="宋体" w:cs="Times New Roman" w:hint="eastAsia"/>
          <w:szCs w:val="21"/>
          <w:lang w:val="en-GB"/>
        </w:rPr>
        <w:t>月</w:t>
      </w:r>
      <w:r w:rsidRPr="003C2170">
        <w:rPr>
          <w:rFonts w:eastAsia="宋体" w:cs="Times New Roman" w:hint="eastAsia"/>
          <w:szCs w:val="21"/>
          <w:lang w:val="en-GB"/>
        </w:rPr>
        <w:t>1</w:t>
      </w:r>
      <w:r w:rsidRPr="003C2170">
        <w:rPr>
          <w:rFonts w:eastAsia="宋体" w:cs="Times New Roman" w:hint="eastAsia"/>
          <w:szCs w:val="21"/>
          <w:lang w:val="en-GB"/>
        </w:rPr>
        <w:t>日起施行该规定，采用追溯调整法进行会计处理，并重述了比较年度财务报表。具体影响列示如下</w:t>
      </w:r>
      <w:r w:rsidR="005F14EE" w:rsidRPr="003C2170">
        <w:rPr>
          <w:rFonts w:eastAsia="宋体" w:cs="Times New Roman" w:hint="eastAsia"/>
          <w:szCs w:val="21"/>
          <w:lang w:val="en-GB"/>
        </w:rPr>
        <w:t>：</w:t>
      </w:r>
    </w:p>
    <w:p w:rsidR="001D5118" w:rsidRDefault="001D5118" w:rsidP="001D5118">
      <w:pPr>
        <w:ind w:left="720"/>
        <w:jc w:val="both"/>
        <w:rPr>
          <w:rFonts w:eastAsia="宋体" w:cs="Times New Roman"/>
          <w:szCs w:val="21"/>
          <w:lang w:val="en-GB"/>
        </w:rPr>
      </w:pPr>
    </w:p>
    <w:p w:rsidR="001D5118" w:rsidRPr="00113E80" w:rsidRDefault="001D5118" w:rsidP="0027505B">
      <w:pPr>
        <w:pStyle w:val="aff1"/>
        <w:numPr>
          <w:ilvl w:val="0"/>
          <w:numId w:val="4"/>
        </w:numPr>
        <w:ind w:left="1440" w:right="8" w:firstLineChars="0" w:hanging="720"/>
        <w:rPr>
          <w:szCs w:val="21"/>
        </w:rPr>
      </w:pPr>
      <w:r w:rsidRPr="00113E80">
        <w:rPr>
          <w:rFonts w:hint="eastAsia"/>
          <w:szCs w:val="21"/>
        </w:rPr>
        <w:t>对本集团</w:t>
      </w:r>
      <w:r w:rsidRPr="00113E80">
        <w:rPr>
          <w:szCs w:val="21"/>
        </w:rPr>
        <w:t>2022</w:t>
      </w:r>
      <w:r w:rsidRPr="00113E80">
        <w:rPr>
          <w:rFonts w:hint="eastAsia"/>
          <w:szCs w:val="21"/>
        </w:rPr>
        <w:t>年</w:t>
      </w:r>
      <w:r w:rsidRPr="00113E80">
        <w:rPr>
          <w:szCs w:val="21"/>
        </w:rPr>
        <w:t>1</w:t>
      </w:r>
      <w:r w:rsidRPr="00113E80">
        <w:rPr>
          <w:rFonts w:hint="eastAsia"/>
          <w:szCs w:val="21"/>
        </w:rPr>
        <w:t>月</w:t>
      </w:r>
      <w:r w:rsidRPr="00113E80">
        <w:rPr>
          <w:szCs w:val="21"/>
        </w:rPr>
        <w:t>1</w:t>
      </w:r>
      <w:r w:rsidRPr="00113E80">
        <w:rPr>
          <w:rFonts w:hint="eastAsia"/>
          <w:szCs w:val="21"/>
        </w:rPr>
        <w:t>日合并资产负债表相关项目的影响列示如下</w:t>
      </w:r>
      <w:r w:rsidR="005F14EE">
        <w:rPr>
          <w:rFonts w:hint="eastAsia"/>
          <w:szCs w:val="21"/>
        </w:rPr>
        <w:t>：</w:t>
      </w:r>
    </w:p>
    <w:p w:rsidR="001D5118" w:rsidRPr="00113E80" w:rsidRDefault="001D5118" w:rsidP="001D5118">
      <w:pPr>
        <w:pStyle w:val="aff1"/>
        <w:adjustRightInd/>
        <w:snapToGrid/>
        <w:ind w:left="1091" w:right="30" w:firstLineChars="0" w:firstLine="0"/>
        <w:jc w:val="right"/>
        <w:rPr>
          <w:szCs w:val="21"/>
        </w:rPr>
      </w:pPr>
      <w:r w:rsidRPr="00113E80">
        <w:rPr>
          <w:rFonts w:hint="eastAsia"/>
          <w:szCs w:val="21"/>
        </w:rPr>
        <w:t>单位</w:t>
      </w:r>
      <w:r w:rsidR="005F14EE">
        <w:rPr>
          <w:rFonts w:hint="eastAsia"/>
          <w:szCs w:val="21"/>
        </w:rPr>
        <w:t>：</w:t>
      </w:r>
      <w:r w:rsidRPr="00113E80">
        <w:rPr>
          <w:rFonts w:hint="eastAsia"/>
          <w:szCs w:val="21"/>
        </w:rPr>
        <w:t>人民币元</w:t>
      </w:r>
    </w:p>
    <w:tbl>
      <w:tblPr>
        <w:tblStyle w:val="aff5"/>
        <w:tblW w:w="0" w:type="auto"/>
        <w:tblInd w:w="720" w:type="dxa"/>
        <w:tblLayout w:type="fixed"/>
        <w:tblLook w:val="04A0" w:firstRow="1" w:lastRow="0" w:firstColumn="1" w:lastColumn="0" w:noHBand="0" w:noVBand="1"/>
      </w:tblPr>
      <w:tblGrid>
        <w:gridCol w:w="2110"/>
        <w:gridCol w:w="2445"/>
        <w:gridCol w:w="2445"/>
        <w:gridCol w:w="2445"/>
      </w:tblGrid>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项目</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重述前</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调整</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重述后</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递延所得税资产</w:t>
            </w:r>
          </w:p>
        </w:tc>
        <w:tc>
          <w:tcPr>
            <w:tcW w:w="2445" w:type="dxa"/>
            <w:vAlign w:val="center"/>
          </w:tcPr>
          <w:p w:rsidR="001D5118" w:rsidRPr="007E510D" w:rsidRDefault="001D5118" w:rsidP="00E456AF">
            <w:pPr>
              <w:adjustRightInd/>
              <w:snapToGrid/>
              <w:jc w:val="right"/>
              <w:rPr>
                <w:szCs w:val="21"/>
                <w:lang w:val="en-GB"/>
              </w:rPr>
            </w:pPr>
            <w:r w:rsidRPr="007E510D">
              <w:rPr>
                <w:szCs w:val="21"/>
              </w:rPr>
              <w:t>64,180,483.52</w:t>
            </w:r>
          </w:p>
        </w:tc>
        <w:tc>
          <w:tcPr>
            <w:tcW w:w="2445" w:type="dxa"/>
            <w:vAlign w:val="center"/>
          </w:tcPr>
          <w:p w:rsidR="001D5118" w:rsidRPr="007E510D" w:rsidRDefault="001D5118" w:rsidP="00E456AF">
            <w:pPr>
              <w:adjustRightInd/>
              <w:snapToGrid/>
              <w:jc w:val="right"/>
              <w:rPr>
                <w:szCs w:val="21"/>
                <w:lang w:val="en-GB"/>
              </w:rPr>
            </w:pPr>
            <w:r w:rsidRPr="007E510D">
              <w:rPr>
                <w:bCs/>
                <w:szCs w:val="21"/>
              </w:rPr>
              <w:t>1,409,661.65</w:t>
            </w:r>
          </w:p>
        </w:tc>
        <w:tc>
          <w:tcPr>
            <w:tcW w:w="2445" w:type="dxa"/>
            <w:vAlign w:val="center"/>
          </w:tcPr>
          <w:p w:rsidR="001D5118" w:rsidRPr="007E510D" w:rsidRDefault="001D5118" w:rsidP="00E456AF">
            <w:pPr>
              <w:adjustRightInd/>
              <w:snapToGrid/>
              <w:jc w:val="right"/>
              <w:rPr>
                <w:szCs w:val="21"/>
                <w:lang w:val="en-GB"/>
              </w:rPr>
            </w:pPr>
            <w:r w:rsidRPr="007E510D">
              <w:rPr>
                <w:szCs w:val="21"/>
                <w:lang w:val="en-GB"/>
              </w:rPr>
              <w:t>65,590,145.17</w:t>
            </w:r>
          </w:p>
        </w:tc>
      </w:tr>
      <w:tr w:rsidR="001D5118" w:rsidTr="0027505B">
        <w:trPr>
          <w:trHeight w:val="20"/>
        </w:trPr>
        <w:tc>
          <w:tcPr>
            <w:tcW w:w="2110" w:type="dxa"/>
            <w:shd w:val="clear" w:color="auto" w:fill="D9D9D9" w:themeFill="background1" w:themeFillShade="D9"/>
            <w:vAlign w:val="center"/>
          </w:tcPr>
          <w:p w:rsidR="001D5118" w:rsidRDefault="000A735A" w:rsidP="00E456AF">
            <w:pPr>
              <w:adjustRightInd/>
              <w:snapToGrid/>
              <w:rPr>
                <w:szCs w:val="21"/>
                <w:lang w:val="en-GB"/>
              </w:rPr>
            </w:pPr>
            <w:r>
              <w:rPr>
                <w:rFonts w:hint="eastAsia"/>
                <w:szCs w:val="21"/>
                <w:lang w:val="en-GB"/>
              </w:rPr>
              <w:t>未分配利润</w:t>
            </w:r>
          </w:p>
        </w:tc>
        <w:tc>
          <w:tcPr>
            <w:tcW w:w="2445" w:type="dxa"/>
            <w:vAlign w:val="center"/>
          </w:tcPr>
          <w:p w:rsidR="001D5118" w:rsidRPr="007E510D" w:rsidRDefault="001D5118" w:rsidP="00E456AF">
            <w:pPr>
              <w:adjustRightInd/>
              <w:snapToGrid/>
              <w:jc w:val="right"/>
              <w:rPr>
                <w:szCs w:val="21"/>
                <w:lang w:val="en-GB"/>
              </w:rPr>
            </w:pPr>
            <w:r w:rsidRPr="007E510D">
              <w:rPr>
                <w:szCs w:val="21"/>
              </w:rPr>
              <w:t>609,566,123.55</w:t>
            </w:r>
          </w:p>
        </w:tc>
        <w:tc>
          <w:tcPr>
            <w:tcW w:w="2445" w:type="dxa"/>
            <w:vAlign w:val="center"/>
          </w:tcPr>
          <w:p w:rsidR="001D5118" w:rsidRPr="007E510D" w:rsidRDefault="006C368A" w:rsidP="00E456AF">
            <w:pPr>
              <w:adjustRightInd/>
              <w:snapToGrid/>
              <w:jc w:val="right"/>
              <w:rPr>
                <w:szCs w:val="21"/>
                <w:lang w:val="en-GB"/>
              </w:rPr>
            </w:pPr>
            <w:r w:rsidRPr="006C368A">
              <w:rPr>
                <w:bCs/>
                <w:szCs w:val="21"/>
              </w:rPr>
              <w:t>1,282,418.73</w:t>
            </w:r>
          </w:p>
        </w:tc>
        <w:tc>
          <w:tcPr>
            <w:tcW w:w="2445" w:type="dxa"/>
            <w:vAlign w:val="center"/>
          </w:tcPr>
          <w:p w:rsidR="001D5118" w:rsidRPr="007E510D" w:rsidRDefault="006C368A" w:rsidP="00E456AF">
            <w:pPr>
              <w:adjustRightInd/>
              <w:snapToGrid/>
              <w:jc w:val="right"/>
              <w:rPr>
                <w:szCs w:val="21"/>
                <w:lang w:val="en-GB"/>
              </w:rPr>
            </w:pPr>
            <w:r w:rsidRPr="006C368A">
              <w:rPr>
                <w:bCs/>
                <w:szCs w:val="21"/>
              </w:rPr>
              <w:t>610,848,542.28</w:t>
            </w:r>
          </w:p>
        </w:tc>
      </w:tr>
      <w:tr w:rsidR="000A735A" w:rsidTr="0027505B">
        <w:trPr>
          <w:trHeight w:val="20"/>
        </w:trPr>
        <w:tc>
          <w:tcPr>
            <w:tcW w:w="2110" w:type="dxa"/>
            <w:shd w:val="clear" w:color="auto" w:fill="D9D9D9" w:themeFill="background1" w:themeFillShade="D9"/>
            <w:vAlign w:val="center"/>
          </w:tcPr>
          <w:p w:rsidR="000A735A" w:rsidRDefault="000A735A" w:rsidP="00E456AF">
            <w:pPr>
              <w:adjustRightInd/>
              <w:snapToGrid/>
              <w:rPr>
                <w:szCs w:val="21"/>
                <w:lang w:val="en-GB"/>
              </w:rPr>
            </w:pPr>
            <w:r>
              <w:rPr>
                <w:rFonts w:hint="eastAsia"/>
                <w:szCs w:val="21"/>
                <w:lang w:val="en-GB"/>
              </w:rPr>
              <w:t>盈余公积</w:t>
            </w:r>
          </w:p>
        </w:tc>
        <w:tc>
          <w:tcPr>
            <w:tcW w:w="2445" w:type="dxa"/>
            <w:vAlign w:val="center"/>
          </w:tcPr>
          <w:p w:rsidR="000A735A" w:rsidRPr="007E510D" w:rsidRDefault="006C368A" w:rsidP="00E456AF">
            <w:pPr>
              <w:adjustRightInd/>
              <w:snapToGrid/>
              <w:jc w:val="right"/>
              <w:rPr>
                <w:szCs w:val="21"/>
              </w:rPr>
            </w:pPr>
            <w:r w:rsidRPr="006C368A">
              <w:rPr>
                <w:szCs w:val="21"/>
              </w:rPr>
              <w:t>20,385,501.31</w:t>
            </w:r>
          </w:p>
        </w:tc>
        <w:tc>
          <w:tcPr>
            <w:tcW w:w="2445" w:type="dxa"/>
            <w:vAlign w:val="center"/>
          </w:tcPr>
          <w:p w:rsidR="000A735A" w:rsidRPr="007E510D" w:rsidRDefault="006C368A" w:rsidP="00E456AF">
            <w:pPr>
              <w:adjustRightInd/>
              <w:snapToGrid/>
              <w:jc w:val="right"/>
              <w:rPr>
                <w:bCs/>
                <w:szCs w:val="21"/>
              </w:rPr>
            </w:pPr>
            <w:r w:rsidRPr="006C368A">
              <w:rPr>
                <w:bCs/>
                <w:szCs w:val="21"/>
              </w:rPr>
              <w:t>127,242.92</w:t>
            </w:r>
          </w:p>
        </w:tc>
        <w:tc>
          <w:tcPr>
            <w:tcW w:w="2445" w:type="dxa"/>
            <w:vAlign w:val="center"/>
          </w:tcPr>
          <w:p w:rsidR="000A735A" w:rsidRPr="007E510D" w:rsidRDefault="006C368A" w:rsidP="00E456AF">
            <w:pPr>
              <w:adjustRightInd/>
              <w:snapToGrid/>
              <w:jc w:val="right"/>
              <w:rPr>
                <w:bCs/>
                <w:szCs w:val="21"/>
              </w:rPr>
            </w:pPr>
            <w:r w:rsidRPr="006C368A">
              <w:rPr>
                <w:bCs/>
                <w:szCs w:val="21"/>
              </w:rPr>
              <w:t>20,512,744.23</w:t>
            </w:r>
          </w:p>
        </w:tc>
      </w:tr>
    </w:tbl>
    <w:p w:rsidR="001D5118" w:rsidRDefault="001D5118" w:rsidP="001D5118">
      <w:pPr>
        <w:adjustRightInd/>
        <w:snapToGrid/>
        <w:ind w:left="720"/>
        <w:jc w:val="both"/>
        <w:rPr>
          <w:rFonts w:eastAsia="宋体" w:cs="Times New Roman"/>
          <w:szCs w:val="21"/>
          <w:lang w:val="en-GB"/>
        </w:rPr>
      </w:pPr>
    </w:p>
    <w:p w:rsidR="001D5118" w:rsidRPr="007E510D" w:rsidRDefault="001D5118" w:rsidP="001D5118">
      <w:pPr>
        <w:pStyle w:val="aff1"/>
        <w:numPr>
          <w:ilvl w:val="0"/>
          <w:numId w:val="4"/>
        </w:numPr>
        <w:ind w:left="1440" w:firstLineChars="0" w:hanging="709"/>
        <w:rPr>
          <w:szCs w:val="21"/>
        </w:rPr>
      </w:pPr>
      <w:r w:rsidRPr="007E510D">
        <w:rPr>
          <w:rFonts w:hint="eastAsia"/>
          <w:szCs w:val="21"/>
        </w:rPr>
        <w:t>对本集团</w:t>
      </w:r>
      <w:r w:rsidRPr="007E510D">
        <w:rPr>
          <w:szCs w:val="21"/>
        </w:rPr>
        <w:t>2022</w:t>
      </w:r>
      <w:r w:rsidRPr="007E510D">
        <w:rPr>
          <w:rFonts w:hint="eastAsia"/>
          <w:szCs w:val="21"/>
        </w:rPr>
        <w:t>年</w:t>
      </w:r>
      <w:r w:rsidRPr="007E510D">
        <w:rPr>
          <w:szCs w:val="21"/>
        </w:rPr>
        <w:t>12</w:t>
      </w:r>
      <w:r w:rsidRPr="007E510D">
        <w:rPr>
          <w:rFonts w:hint="eastAsia"/>
          <w:szCs w:val="21"/>
        </w:rPr>
        <w:t>月</w:t>
      </w:r>
      <w:r w:rsidRPr="007E510D">
        <w:rPr>
          <w:szCs w:val="21"/>
        </w:rPr>
        <w:t>31</w:t>
      </w:r>
      <w:r w:rsidRPr="007E510D">
        <w:rPr>
          <w:rFonts w:hint="eastAsia"/>
          <w:szCs w:val="21"/>
        </w:rPr>
        <w:t>日合并资产负债表相关项目的影响列示如下</w:t>
      </w:r>
      <w:r w:rsidR="005F14EE">
        <w:rPr>
          <w:rFonts w:hint="eastAsia"/>
          <w:szCs w:val="21"/>
        </w:rPr>
        <w:t>：</w:t>
      </w:r>
    </w:p>
    <w:p w:rsidR="001D5118" w:rsidRDefault="001D5118" w:rsidP="001D5118">
      <w:pPr>
        <w:pStyle w:val="aff1"/>
        <w:adjustRightInd/>
        <w:snapToGrid/>
        <w:ind w:left="1091" w:right="30" w:firstLineChars="0" w:firstLine="0"/>
        <w:jc w:val="right"/>
        <w:rPr>
          <w:szCs w:val="21"/>
        </w:rPr>
      </w:pPr>
      <w:r w:rsidRPr="00113E80">
        <w:rPr>
          <w:rFonts w:hint="eastAsia"/>
          <w:szCs w:val="21"/>
        </w:rPr>
        <w:t>单位</w:t>
      </w:r>
      <w:r w:rsidR="005F14EE">
        <w:rPr>
          <w:rFonts w:hint="eastAsia"/>
          <w:szCs w:val="21"/>
        </w:rPr>
        <w:t>：</w:t>
      </w:r>
      <w:r w:rsidRPr="00113E80">
        <w:rPr>
          <w:rFonts w:hint="eastAsia"/>
          <w:szCs w:val="21"/>
        </w:rPr>
        <w:t>人民币元</w:t>
      </w:r>
    </w:p>
    <w:tbl>
      <w:tblPr>
        <w:tblStyle w:val="aff5"/>
        <w:tblW w:w="0" w:type="auto"/>
        <w:tblInd w:w="720" w:type="dxa"/>
        <w:tblLayout w:type="fixed"/>
        <w:tblLook w:val="04A0" w:firstRow="1" w:lastRow="0" w:firstColumn="1" w:lastColumn="0" w:noHBand="0" w:noVBand="1"/>
      </w:tblPr>
      <w:tblGrid>
        <w:gridCol w:w="2110"/>
        <w:gridCol w:w="2445"/>
        <w:gridCol w:w="2445"/>
        <w:gridCol w:w="2445"/>
      </w:tblGrid>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项目</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重述前</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调整</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重述后</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递延所得税资产</w:t>
            </w:r>
          </w:p>
        </w:tc>
        <w:tc>
          <w:tcPr>
            <w:tcW w:w="2445" w:type="dxa"/>
            <w:vAlign w:val="center"/>
          </w:tcPr>
          <w:p w:rsidR="001D5118" w:rsidRPr="000F50D5" w:rsidRDefault="001D5118" w:rsidP="00E456AF">
            <w:pPr>
              <w:adjustRightInd/>
              <w:snapToGrid/>
              <w:jc w:val="right"/>
              <w:rPr>
                <w:szCs w:val="21"/>
                <w:lang w:val="en-GB"/>
              </w:rPr>
            </w:pPr>
            <w:r w:rsidRPr="000F50D5">
              <w:rPr>
                <w:szCs w:val="21"/>
              </w:rPr>
              <w:t>96,999,482.48</w:t>
            </w:r>
          </w:p>
        </w:tc>
        <w:tc>
          <w:tcPr>
            <w:tcW w:w="2445" w:type="dxa"/>
            <w:vAlign w:val="center"/>
          </w:tcPr>
          <w:p w:rsidR="001D5118" w:rsidRPr="000F50D5" w:rsidRDefault="001D5118" w:rsidP="00E456AF">
            <w:pPr>
              <w:adjustRightInd/>
              <w:snapToGrid/>
              <w:jc w:val="right"/>
              <w:rPr>
                <w:szCs w:val="21"/>
                <w:lang w:val="en-GB"/>
              </w:rPr>
            </w:pPr>
            <w:r w:rsidRPr="000F50D5">
              <w:rPr>
                <w:bCs/>
                <w:szCs w:val="21"/>
              </w:rPr>
              <w:t>1,826,298.51</w:t>
            </w:r>
          </w:p>
        </w:tc>
        <w:tc>
          <w:tcPr>
            <w:tcW w:w="2445" w:type="dxa"/>
            <w:vAlign w:val="center"/>
          </w:tcPr>
          <w:p w:rsidR="001D5118" w:rsidRPr="000F50D5" w:rsidRDefault="001D5118" w:rsidP="00E456AF">
            <w:pPr>
              <w:adjustRightInd/>
              <w:snapToGrid/>
              <w:jc w:val="right"/>
              <w:rPr>
                <w:szCs w:val="21"/>
                <w:lang w:val="en-GB"/>
              </w:rPr>
            </w:pPr>
            <w:r w:rsidRPr="000F50D5">
              <w:rPr>
                <w:szCs w:val="21"/>
                <w:lang w:val="en-GB"/>
              </w:rPr>
              <w:t>98,825,780.99</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未分配利润</w:t>
            </w:r>
          </w:p>
        </w:tc>
        <w:tc>
          <w:tcPr>
            <w:tcW w:w="2445" w:type="dxa"/>
            <w:vAlign w:val="center"/>
          </w:tcPr>
          <w:p w:rsidR="001D5118" w:rsidRPr="000F50D5" w:rsidRDefault="001D5118" w:rsidP="00E456AF">
            <w:pPr>
              <w:adjustRightInd/>
              <w:snapToGrid/>
              <w:jc w:val="right"/>
              <w:rPr>
                <w:szCs w:val="21"/>
                <w:lang w:val="en-GB"/>
              </w:rPr>
            </w:pPr>
            <w:r w:rsidRPr="000F50D5">
              <w:rPr>
                <w:szCs w:val="21"/>
              </w:rPr>
              <w:t>922,120,835.79</w:t>
            </w:r>
          </w:p>
        </w:tc>
        <w:tc>
          <w:tcPr>
            <w:tcW w:w="2445" w:type="dxa"/>
            <w:vAlign w:val="center"/>
          </w:tcPr>
          <w:p w:rsidR="001D5118" w:rsidRPr="000F50D5" w:rsidRDefault="001D5118" w:rsidP="00E456AF">
            <w:pPr>
              <w:adjustRightInd/>
              <w:snapToGrid/>
              <w:jc w:val="right"/>
              <w:rPr>
                <w:szCs w:val="21"/>
                <w:lang w:val="en-GB"/>
              </w:rPr>
            </w:pPr>
            <w:r w:rsidRPr="000F50D5">
              <w:rPr>
                <w:bCs/>
                <w:szCs w:val="21"/>
              </w:rPr>
              <w:t>1,608,587.31</w:t>
            </w:r>
          </w:p>
        </w:tc>
        <w:tc>
          <w:tcPr>
            <w:tcW w:w="2445" w:type="dxa"/>
            <w:vAlign w:val="center"/>
          </w:tcPr>
          <w:p w:rsidR="001D5118" w:rsidRPr="000F50D5" w:rsidRDefault="001D5118" w:rsidP="00E456AF">
            <w:pPr>
              <w:adjustRightInd/>
              <w:snapToGrid/>
              <w:jc w:val="right"/>
              <w:rPr>
                <w:szCs w:val="21"/>
                <w:lang w:val="en-GB"/>
              </w:rPr>
            </w:pPr>
            <w:r w:rsidRPr="000F50D5">
              <w:rPr>
                <w:bCs/>
                <w:szCs w:val="21"/>
              </w:rPr>
              <w:t>923,729,423.10</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盈余公积</w:t>
            </w:r>
          </w:p>
        </w:tc>
        <w:tc>
          <w:tcPr>
            <w:tcW w:w="2445" w:type="dxa"/>
            <w:vAlign w:val="center"/>
          </w:tcPr>
          <w:p w:rsidR="001D5118" w:rsidRPr="000F50D5" w:rsidRDefault="001D5118" w:rsidP="00E456AF">
            <w:pPr>
              <w:adjustRightInd/>
              <w:snapToGrid/>
              <w:jc w:val="right"/>
              <w:rPr>
                <w:szCs w:val="21"/>
              </w:rPr>
            </w:pPr>
            <w:r w:rsidRPr="000F50D5">
              <w:rPr>
                <w:szCs w:val="21"/>
              </w:rPr>
              <w:t>40,903,366.63</w:t>
            </w:r>
          </w:p>
        </w:tc>
        <w:tc>
          <w:tcPr>
            <w:tcW w:w="2445" w:type="dxa"/>
            <w:vAlign w:val="center"/>
          </w:tcPr>
          <w:p w:rsidR="001D5118" w:rsidRPr="000F50D5" w:rsidRDefault="001D5118" w:rsidP="00E456AF">
            <w:pPr>
              <w:adjustRightInd/>
              <w:snapToGrid/>
              <w:jc w:val="right"/>
              <w:rPr>
                <w:bCs/>
                <w:szCs w:val="21"/>
              </w:rPr>
            </w:pPr>
            <w:r w:rsidRPr="000F50D5">
              <w:rPr>
                <w:bCs/>
                <w:szCs w:val="21"/>
              </w:rPr>
              <w:t>217,711.20</w:t>
            </w:r>
          </w:p>
        </w:tc>
        <w:tc>
          <w:tcPr>
            <w:tcW w:w="2445" w:type="dxa"/>
            <w:vAlign w:val="center"/>
          </w:tcPr>
          <w:p w:rsidR="001D5118" w:rsidRPr="000F50D5" w:rsidRDefault="001D5118" w:rsidP="00E456AF">
            <w:pPr>
              <w:adjustRightInd/>
              <w:snapToGrid/>
              <w:jc w:val="right"/>
              <w:rPr>
                <w:bCs/>
                <w:szCs w:val="21"/>
              </w:rPr>
            </w:pPr>
            <w:r w:rsidRPr="000F50D5">
              <w:rPr>
                <w:bCs/>
                <w:szCs w:val="21"/>
              </w:rPr>
              <w:t>41,121,077.83</w:t>
            </w:r>
          </w:p>
        </w:tc>
      </w:tr>
    </w:tbl>
    <w:p w:rsidR="001D5118" w:rsidRDefault="001D5118" w:rsidP="001D5118">
      <w:pPr>
        <w:ind w:left="720"/>
        <w:jc w:val="both"/>
        <w:rPr>
          <w:rFonts w:eastAsia="宋体" w:cs="Times New Roman"/>
          <w:szCs w:val="21"/>
        </w:rPr>
      </w:pPr>
    </w:p>
    <w:p w:rsidR="001D5118" w:rsidRPr="000F50D5" w:rsidRDefault="001D5118" w:rsidP="001D5118">
      <w:pPr>
        <w:pStyle w:val="aff1"/>
        <w:numPr>
          <w:ilvl w:val="0"/>
          <w:numId w:val="4"/>
        </w:numPr>
        <w:ind w:left="1440" w:firstLineChars="0" w:hanging="709"/>
        <w:rPr>
          <w:szCs w:val="21"/>
        </w:rPr>
      </w:pPr>
      <w:r w:rsidRPr="000F50D5">
        <w:rPr>
          <w:rFonts w:hint="eastAsia"/>
          <w:szCs w:val="21"/>
        </w:rPr>
        <w:t>对本集团</w:t>
      </w:r>
      <w:r w:rsidRPr="000F50D5">
        <w:rPr>
          <w:szCs w:val="21"/>
        </w:rPr>
        <w:t>2022</w:t>
      </w:r>
      <w:r w:rsidRPr="000F50D5">
        <w:rPr>
          <w:rFonts w:hint="eastAsia"/>
          <w:szCs w:val="21"/>
        </w:rPr>
        <w:t>年度合并利润</w:t>
      </w:r>
      <w:proofErr w:type="gramStart"/>
      <w:r w:rsidRPr="000F50D5">
        <w:rPr>
          <w:rFonts w:hint="eastAsia"/>
          <w:szCs w:val="21"/>
        </w:rPr>
        <w:t>表相关</w:t>
      </w:r>
      <w:proofErr w:type="gramEnd"/>
      <w:r w:rsidRPr="000F50D5">
        <w:rPr>
          <w:rFonts w:hint="eastAsia"/>
          <w:szCs w:val="21"/>
        </w:rPr>
        <w:t>项目的影响列示如下</w:t>
      </w:r>
      <w:r w:rsidR="005F14EE">
        <w:rPr>
          <w:rFonts w:hint="eastAsia"/>
          <w:szCs w:val="21"/>
        </w:rPr>
        <w:t>：</w:t>
      </w:r>
    </w:p>
    <w:p w:rsidR="001D5118" w:rsidRDefault="001D5118" w:rsidP="001D5118">
      <w:pPr>
        <w:pStyle w:val="aff1"/>
        <w:adjustRightInd/>
        <w:snapToGrid/>
        <w:ind w:left="1091" w:right="30" w:firstLineChars="0" w:firstLine="0"/>
        <w:jc w:val="right"/>
        <w:rPr>
          <w:szCs w:val="21"/>
        </w:rPr>
      </w:pPr>
      <w:r w:rsidRPr="00113E80">
        <w:rPr>
          <w:rFonts w:hint="eastAsia"/>
          <w:szCs w:val="21"/>
        </w:rPr>
        <w:t>单位</w:t>
      </w:r>
      <w:r w:rsidR="005F14EE">
        <w:rPr>
          <w:rFonts w:hint="eastAsia"/>
          <w:szCs w:val="21"/>
        </w:rPr>
        <w:t>：</w:t>
      </w:r>
      <w:r w:rsidRPr="00113E80">
        <w:rPr>
          <w:rFonts w:hint="eastAsia"/>
          <w:szCs w:val="21"/>
        </w:rPr>
        <w:t>人民币元</w:t>
      </w:r>
    </w:p>
    <w:tbl>
      <w:tblPr>
        <w:tblStyle w:val="aff5"/>
        <w:tblW w:w="0" w:type="auto"/>
        <w:tblInd w:w="720" w:type="dxa"/>
        <w:tblLayout w:type="fixed"/>
        <w:tblLook w:val="04A0" w:firstRow="1" w:lastRow="0" w:firstColumn="1" w:lastColumn="0" w:noHBand="0" w:noVBand="1"/>
      </w:tblPr>
      <w:tblGrid>
        <w:gridCol w:w="2110"/>
        <w:gridCol w:w="2445"/>
        <w:gridCol w:w="2445"/>
        <w:gridCol w:w="2445"/>
      </w:tblGrid>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项目</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重述前</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调整</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重述后</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所得税费用</w:t>
            </w:r>
          </w:p>
        </w:tc>
        <w:tc>
          <w:tcPr>
            <w:tcW w:w="2445" w:type="dxa"/>
            <w:vAlign w:val="center"/>
          </w:tcPr>
          <w:p w:rsidR="001D5118" w:rsidRPr="007613D9" w:rsidRDefault="005F14EE" w:rsidP="00E456AF">
            <w:pPr>
              <w:adjustRightInd/>
              <w:snapToGrid/>
              <w:jc w:val="right"/>
              <w:rPr>
                <w:szCs w:val="21"/>
                <w:lang w:val="en-GB"/>
              </w:rPr>
            </w:pPr>
            <w:r>
              <w:rPr>
                <w:szCs w:val="21"/>
              </w:rPr>
              <w:t>(</w:t>
            </w:r>
            <w:r w:rsidR="001D5118" w:rsidRPr="00514E81">
              <w:rPr>
                <w:szCs w:val="21"/>
              </w:rPr>
              <w:t>1,623,582.41</w:t>
            </w:r>
            <w:r>
              <w:rPr>
                <w:szCs w:val="21"/>
              </w:rPr>
              <w:t>)</w:t>
            </w:r>
          </w:p>
        </w:tc>
        <w:tc>
          <w:tcPr>
            <w:tcW w:w="2445" w:type="dxa"/>
            <w:vAlign w:val="center"/>
          </w:tcPr>
          <w:p w:rsidR="001D5118" w:rsidRPr="000F50D5" w:rsidRDefault="005F14EE" w:rsidP="00E456AF">
            <w:pPr>
              <w:adjustRightInd/>
              <w:snapToGrid/>
              <w:jc w:val="right"/>
              <w:rPr>
                <w:szCs w:val="21"/>
                <w:lang w:val="en-GB"/>
              </w:rPr>
            </w:pPr>
            <w:r>
              <w:rPr>
                <w:bCs/>
                <w:szCs w:val="21"/>
              </w:rPr>
              <w:t>(</w:t>
            </w:r>
            <w:r w:rsidR="001D5118" w:rsidRPr="004D3E07">
              <w:rPr>
                <w:bCs/>
                <w:szCs w:val="21"/>
              </w:rPr>
              <w:t>416,636.86</w:t>
            </w:r>
            <w:r>
              <w:rPr>
                <w:bCs/>
                <w:szCs w:val="21"/>
              </w:rPr>
              <w:t>)</w:t>
            </w:r>
          </w:p>
        </w:tc>
        <w:tc>
          <w:tcPr>
            <w:tcW w:w="2445" w:type="dxa"/>
            <w:vAlign w:val="center"/>
          </w:tcPr>
          <w:p w:rsidR="001D5118" w:rsidRPr="000F50D5" w:rsidRDefault="005F14EE" w:rsidP="00E456AF">
            <w:pPr>
              <w:adjustRightInd/>
              <w:snapToGrid/>
              <w:jc w:val="right"/>
              <w:rPr>
                <w:szCs w:val="21"/>
                <w:lang w:val="en-GB"/>
              </w:rPr>
            </w:pPr>
            <w:r>
              <w:rPr>
                <w:szCs w:val="21"/>
                <w:lang w:val="en-GB"/>
              </w:rPr>
              <w:t>(</w:t>
            </w:r>
            <w:r w:rsidR="001D5118" w:rsidRPr="004D3E07">
              <w:rPr>
                <w:szCs w:val="21"/>
                <w:lang w:val="en-GB"/>
              </w:rPr>
              <w:t>2,040,219.27</w:t>
            </w:r>
            <w:r>
              <w:rPr>
                <w:szCs w:val="21"/>
                <w:lang w:val="en-GB"/>
              </w:rPr>
              <w:t>)</w:t>
            </w:r>
          </w:p>
        </w:tc>
      </w:tr>
    </w:tbl>
    <w:p w:rsidR="00DD5431" w:rsidRDefault="00DD5431" w:rsidP="001D5118">
      <w:pPr>
        <w:ind w:leftChars="337" w:left="708"/>
        <w:jc w:val="both"/>
        <w:rPr>
          <w:rFonts w:eastAsia="宋体" w:cs="Times New Roman"/>
          <w:szCs w:val="21"/>
        </w:rPr>
      </w:pPr>
    </w:p>
    <w:p w:rsidR="001D5118" w:rsidRPr="00113E80" w:rsidRDefault="001D5118" w:rsidP="001D5118">
      <w:pPr>
        <w:pStyle w:val="aff1"/>
        <w:numPr>
          <w:ilvl w:val="0"/>
          <w:numId w:val="4"/>
        </w:numPr>
        <w:ind w:left="1418" w:firstLineChars="0" w:hanging="709"/>
        <w:rPr>
          <w:szCs w:val="21"/>
        </w:rPr>
      </w:pPr>
      <w:r w:rsidRPr="00113E80">
        <w:rPr>
          <w:rFonts w:hint="eastAsia"/>
          <w:szCs w:val="21"/>
        </w:rPr>
        <w:t>对</w:t>
      </w:r>
      <w:r>
        <w:rPr>
          <w:rFonts w:hint="eastAsia"/>
          <w:szCs w:val="21"/>
        </w:rPr>
        <w:t>母公司</w:t>
      </w:r>
      <w:r w:rsidRPr="00113E80">
        <w:rPr>
          <w:szCs w:val="21"/>
        </w:rPr>
        <w:t>2022</w:t>
      </w:r>
      <w:r w:rsidRPr="00113E80">
        <w:rPr>
          <w:rFonts w:hint="eastAsia"/>
          <w:szCs w:val="21"/>
        </w:rPr>
        <w:t>年</w:t>
      </w:r>
      <w:r w:rsidRPr="00113E80">
        <w:rPr>
          <w:szCs w:val="21"/>
        </w:rPr>
        <w:t>1</w:t>
      </w:r>
      <w:r w:rsidRPr="00113E80">
        <w:rPr>
          <w:rFonts w:hint="eastAsia"/>
          <w:szCs w:val="21"/>
        </w:rPr>
        <w:t>月</w:t>
      </w:r>
      <w:r w:rsidRPr="00113E80">
        <w:rPr>
          <w:szCs w:val="21"/>
        </w:rPr>
        <w:t>1</w:t>
      </w:r>
      <w:r w:rsidRPr="00113E80">
        <w:rPr>
          <w:rFonts w:hint="eastAsia"/>
          <w:szCs w:val="21"/>
        </w:rPr>
        <w:t>日资产负债表相关项目的影响列示如下</w:t>
      </w:r>
      <w:r w:rsidR="005F14EE">
        <w:rPr>
          <w:rFonts w:hint="eastAsia"/>
          <w:szCs w:val="21"/>
        </w:rPr>
        <w:t>：</w:t>
      </w:r>
    </w:p>
    <w:p w:rsidR="001D5118" w:rsidRPr="00113E80" w:rsidRDefault="001D5118" w:rsidP="001D5118">
      <w:pPr>
        <w:pStyle w:val="aff1"/>
        <w:adjustRightInd/>
        <w:snapToGrid/>
        <w:ind w:left="1091" w:right="30" w:firstLineChars="0" w:firstLine="0"/>
        <w:jc w:val="right"/>
        <w:rPr>
          <w:szCs w:val="21"/>
        </w:rPr>
      </w:pPr>
      <w:r w:rsidRPr="00113E80">
        <w:rPr>
          <w:rFonts w:hint="eastAsia"/>
          <w:szCs w:val="21"/>
        </w:rPr>
        <w:t>单位</w:t>
      </w:r>
      <w:r w:rsidR="005F14EE">
        <w:rPr>
          <w:rFonts w:hint="eastAsia"/>
          <w:szCs w:val="21"/>
        </w:rPr>
        <w:t>：</w:t>
      </w:r>
      <w:r w:rsidRPr="00113E80">
        <w:rPr>
          <w:rFonts w:hint="eastAsia"/>
          <w:szCs w:val="21"/>
        </w:rPr>
        <w:t>人民币元</w:t>
      </w:r>
    </w:p>
    <w:tbl>
      <w:tblPr>
        <w:tblStyle w:val="aff5"/>
        <w:tblW w:w="0" w:type="auto"/>
        <w:tblInd w:w="720" w:type="dxa"/>
        <w:tblLayout w:type="fixed"/>
        <w:tblLook w:val="04A0" w:firstRow="1" w:lastRow="0" w:firstColumn="1" w:lastColumn="0" w:noHBand="0" w:noVBand="1"/>
      </w:tblPr>
      <w:tblGrid>
        <w:gridCol w:w="2110"/>
        <w:gridCol w:w="2445"/>
        <w:gridCol w:w="2445"/>
        <w:gridCol w:w="2445"/>
      </w:tblGrid>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项目</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重述前</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调整</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重述后</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递延所得税资产</w:t>
            </w:r>
          </w:p>
        </w:tc>
        <w:tc>
          <w:tcPr>
            <w:tcW w:w="2445" w:type="dxa"/>
            <w:vAlign w:val="center"/>
          </w:tcPr>
          <w:p w:rsidR="001D5118" w:rsidRPr="00514E81" w:rsidRDefault="001D5118" w:rsidP="00E456AF">
            <w:pPr>
              <w:adjustRightInd/>
              <w:snapToGrid/>
              <w:jc w:val="right"/>
              <w:rPr>
                <w:szCs w:val="21"/>
                <w:highlight w:val="yellow"/>
                <w:lang w:val="en-GB"/>
              </w:rPr>
            </w:pPr>
            <w:r w:rsidRPr="00514E81">
              <w:rPr>
                <w:szCs w:val="21"/>
              </w:rPr>
              <w:t>32,609,769.68</w:t>
            </w:r>
          </w:p>
        </w:tc>
        <w:tc>
          <w:tcPr>
            <w:tcW w:w="2445" w:type="dxa"/>
            <w:vAlign w:val="center"/>
          </w:tcPr>
          <w:p w:rsidR="001D5118" w:rsidRPr="00514E81" w:rsidRDefault="001D5118" w:rsidP="00E456AF">
            <w:pPr>
              <w:adjustRightInd/>
              <w:snapToGrid/>
              <w:jc w:val="right"/>
              <w:rPr>
                <w:szCs w:val="21"/>
                <w:highlight w:val="yellow"/>
                <w:lang w:val="en-GB"/>
              </w:rPr>
            </w:pPr>
            <w:r w:rsidRPr="006F2D31">
              <w:rPr>
                <w:bCs/>
                <w:szCs w:val="21"/>
              </w:rPr>
              <w:t>1,272,429.15</w:t>
            </w:r>
          </w:p>
        </w:tc>
        <w:tc>
          <w:tcPr>
            <w:tcW w:w="2445" w:type="dxa"/>
            <w:vAlign w:val="center"/>
          </w:tcPr>
          <w:p w:rsidR="001D5118" w:rsidRPr="00514E81" w:rsidRDefault="001D5118" w:rsidP="00E456AF">
            <w:pPr>
              <w:adjustRightInd/>
              <w:snapToGrid/>
              <w:jc w:val="right"/>
              <w:rPr>
                <w:szCs w:val="21"/>
                <w:highlight w:val="yellow"/>
                <w:lang w:val="en-GB"/>
              </w:rPr>
            </w:pPr>
            <w:r w:rsidRPr="006F2D31">
              <w:rPr>
                <w:szCs w:val="21"/>
                <w:lang w:val="en-GB"/>
              </w:rPr>
              <w:t>33,882,198.83</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未分配利润</w:t>
            </w:r>
          </w:p>
        </w:tc>
        <w:tc>
          <w:tcPr>
            <w:tcW w:w="2445" w:type="dxa"/>
            <w:vAlign w:val="center"/>
          </w:tcPr>
          <w:p w:rsidR="001D5118" w:rsidRPr="00514E81" w:rsidRDefault="001D5118" w:rsidP="00E456AF">
            <w:pPr>
              <w:adjustRightInd/>
              <w:snapToGrid/>
              <w:jc w:val="right"/>
              <w:rPr>
                <w:szCs w:val="21"/>
                <w:highlight w:val="yellow"/>
                <w:lang w:val="en-GB"/>
              </w:rPr>
            </w:pPr>
            <w:r w:rsidRPr="00514E81">
              <w:rPr>
                <w:szCs w:val="21"/>
              </w:rPr>
              <w:t>10,764,423.78</w:t>
            </w:r>
          </w:p>
        </w:tc>
        <w:tc>
          <w:tcPr>
            <w:tcW w:w="2445" w:type="dxa"/>
            <w:vAlign w:val="center"/>
          </w:tcPr>
          <w:p w:rsidR="001D5118" w:rsidRPr="00514E81" w:rsidRDefault="006C368A" w:rsidP="00E456AF">
            <w:pPr>
              <w:adjustRightInd/>
              <w:snapToGrid/>
              <w:jc w:val="right"/>
              <w:rPr>
                <w:szCs w:val="21"/>
                <w:highlight w:val="yellow"/>
                <w:lang w:val="en-GB"/>
              </w:rPr>
            </w:pPr>
            <w:r w:rsidRPr="006C368A">
              <w:rPr>
                <w:bCs/>
                <w:szCs w:val="21"/>
              </w:rPr>
              <w:t>1,145,186.23</w:t>
            </w:r>
          </w:p>
        </w:tc>
        <w:tc>
          <w:tcPr>
            <w:tcW w:w="2445" w:type="dxa"/>
            <w:vAlign w:val="center"/>
          </w:tcPr>
          <w:p w:rsidR="001D5118" w:rsidRPr="00514E81" w:rsidRDefault="006C368A" w:rsidP="00E456AF">
            <w:pPr>
              <w:adjustRightInd/>
              <w:snapToGrid/>
              <w:jc w:val="right"/>
              <w:rPr>
                <w:szCs w:val="21"/>
                <w:highlight w:val="yellow"/>
                <w:lang w:val="en-GB"/>
              </w:rPr>
            </w:pPr>
            <w:r w:rsidRPr="006C368A">
              <w:rPr>
                <w:bCs/>
                <w:szCs w:val="21"/>
              </w:rPr>
              <w:t>11,909,610.01</w:t>
            </w:r>
          </w:p>
        </w:tc>
      </w:tr>
      <w:tr w:rsidR="000A735A" w:rsidTr="0027505B">
        <w:trPr>
          <w:trHeight w:val="20"/>
        </w:trPr>
        <w:tc>
          <w:tcPr>
            <w:tcW w:w="2110" w:type="dxa"/>
            <w:shd w:val="clear" w:color="auto" w:fill="D9D9D9" w:themeFill="background1" w:themeFillShade="D9"/>
            <w:vAlign w:val="center"/>
          </w:tcPr>
          <w:p w:rsidR="000A735A" w:rsidRDefault="000A735A" w:rsidP="00E456AF">
            <w:pPr>
              <w:adjustRightInd/>
              <w:snapToGrid/>
              <w:rPr>
                <w:szCs w:val="21"/>
                <w:lang w:val="en-GB"/>
              </w:rPr>
            </w:pPr>
            <w:r>
              <w:rPr>
                <w:rFonts w:hint="eastAsia"/>
                <w:szCs w:val="21"/>
                <w:lang w:val="en-GB"/>
              </w:rPr>
              <w:t>盈余公积</w:t>
            </w:r>
          </w:p>
        </w:tc>
        <w:tc>
          <w:tcPr>
            <w:tcW w:w="2445" w:type="dxa"/>
            <w:vAlign w:val="center"/>
          </w:tcPr>
          <w:p w:rsidR="000A735A" w:rsidRPr="00514E81" w:rsidRDefault="006C368A" w:rsidP="00E456AF">
            <w:pPr>
              <w:adjustRightInd/>
              <w:snapToGrid/>
              <w:jc w:val="right"/>
              <w:rPr>
                <w:szCs w:val="21"/>
              </w:rPr>
            </w:pPr>
            <w:r w:rsidRPr="006C368A">
              <w:rPr>
                <w:szCs w:val="21"/>
              </w:rPr>
              <w:t>20,385,501.31</w:t>
            </w:r>
          </w:p>
        </w:tc>
        <w:tc>
          <w:tcPr>
            <w:tcW w:w="2445" w:type="dxa"/>
            <w:vAlign w:val="center"/>
          </w:tcPr>
          <w:p w:rsidR="000A735A" w:rsidRPr="006F2D31" w:rsidRDefault="006C368A" w:rsidP="00E456AF">
            <w:pPr>
              <w:adjustRightInd/>
              <w:snapToGrid/>
              <w:jc w:val="right"/>
              <w:rPr>
                <w:bCs/>
                <w:szCs w:val="21"/>
              </w:rPr>
            </w:pPr>
            <w:r w:rsidRPr="006C368A">
              <w:rPr>
                <w:bCs/>
                <w:szCs w:val="21"/>
              </w:rPr>
              <w:t>127,242.92</w:t>
            </w:r>
          </w:p>
        </w:tc>
        <w:tc>
          <w:tcPr>
            <w:tcW w:w="2445" w:type="dxa"/>
            <w:vAlign w:val="center"/>
          </w:tcPr>
          <w:p w:rsidR="000A735A" w:rsidRPr="00514E81" w:rsidRDefault="006C368A" w:rsidP="00E456AF">
            <w:pPr>
              <w:adjustRightInd/>
              <w:snapToGrid/>
              <w:jc w:val="right"/>
              <w:rPr>
                <w:bCs/>
                <w:szCs w:val="21"/>
              </w:rPr>
            </w:pPr>
            <w:r w:rsidRPr="006C368A">
              <w:rPr>
                <w:bCs/>
                <w:szCs w:val="21"/>
              </w:rPr>
              <w:t>20,512,744.23</w:t>
            </w:r>
          </w:p>
        </w:tc>
      </w:tr>
    </w:tbl>
    <w:p w:rsidR="001D5118" w:rsidRDefault="001D5118" w:rsidP="001D5118">
      <w:pPr>
        <w:adjustRightInd/>
        <w:snapToGrid/>
        <w:ind w:left="720"/>
        <w:jc w:val="both"/>
        <w:rPr>
          <w:rFonts w:eastAsia="宋体" w:cs="Times New Roman"/>
          <w:szCs w:val="21"/>
          <w:lang w:val="en-GB"/>
        </w:rPr>
      </w:pPr>
    </w:p>
    <w:p w:rsidR="001D5118" w:rsidRPr="007E510D" w:rsidRDefault="001D5118" w:rsidP="001D5118">
      <w:pPr>
        <w:pStyle w:val="aff1"/>
        <w:numPr>
          <w:ilvl w:val="0"/>
          <w:numId w:val="4"/>
        </w:numPr>
        <w:ind w:left="1418" w:firstLineChars="0" w:hanging="709"/>
        <w:rPr>
          <w:szCs w:val="21"/>
        </w:rPr>
      </w:pPr>
      <w:r w:rsidRPr="007E510D">
        <w:rPr>
          <w:rFonts w:hint="eastAsia"/>
          <w:szCs w:val="21"/>
        </w:rPr>
        <w:t>对</w:t>
      </w:r>
      <w:r>
        <w:rPr>
          <w:rFonts w:hint="eastAsia"/>
          <w:szCs w:val="21"/>
        </w:rPr>
        <w:t>母公司</w:t>
      </w:r>
      <w:r w:rsidRPr="007E510D">
        <w:rPr>
          <w:szCs w:val="21"/>
        </w:rPr>
        <w:t>2022</w:t>
      </w:r>
      <w:r w:rsidRPr="007E510D">
        <w:rPr>
          <w:rFonts w:hint="eastAsia"/>
          <w:szCs w:val="21"/>
        </w:rPr>
        <w:t>年</w:t>
      </w:r>
      <w:r w:rsidRPr="007E510D">
        <w:rPr>
          <w:szCs w:val="21"/>
        </w:rPr>
        <w:t>12</w:t>
      </w:r>
      <w:r w:rsidRPr="007E510D">
        <w:rPr>
          <w:rFonts w:hint="eastAsia"/>
          <w:szCs w:val="21"/>
        </w:rPr>
        <w:t>月</w:t>
      </w:r>
      <w:r w:rsidRPr="007E510D">
        <w:rPr>
          <w:szCs w:val="21"/>
        </w:rPr>
        <w:t>31</w:t>
      </w:r>
      <w:r w:rsidRPr="007E510D">
        <w:rPr>
          <w:rFonts w:hint="eastAsia"/>
          <w:szCs w:val="21"/>
        </w:rPr>
        <w:t>日资产负债表相关项目的影响列示如下</w:t>
      </w:r>
      <w:r w:rsidR="005F14EE">
        <w:rPr>
          <w:rFonts w:hint="eastAsia"/>
          <w:szCs w:val="21"/>
        </w:rPr>
        <w:t>：</w:t>
      </w:r>
    </w:p>
    <w:p w:rsidR="001D5118" w:rsidRDefault="001D5118" w:rsidP="001D5118">
      <w:pPr>
        <w:pStyle w:val="aff1"/>
        <w:adjustRightInd/>
        <w:snapToGrid/>
        <w:ind w:left="1091" w:right="30" w:firstLineChars="0" w:firstLine="0"/>
        <w:jc w:val="right"/>
        <w:rPr>
          <w:szCs w:val="21"/>
        </w:rPr>
      </w:pPr>
      <w:r w:rsidRPr="00113E80">
        <w:rPr>
          <w:rFonts w:hint="eastAsia"/>
          <w:szCs w:val="21"/>
        </w:rPr>
        <w:t>单位</w:t>
      </w:r>
      <w:r w:rsidR="005F14EE">
        <w:rPr>
          <w:rFonts w:hint="eastAsia"/>
          <w:szCs w:val="21"/>
        </w:rPr>
        <w:t>：</w:t>
      </w:r>
      <w:r w:rsidRPr="00113E80">
        <w:rPr>
          <w:rFonts w:hint="eastAsia"/>
          <w:szCs w:val="21"/>
        </w:rPr>
        <w:t>人民币元</w:t>
      </w:r>
    </w:p>
    <w:tbl>
      <w:tblPr>
        <w:tblStyle w:val="aff5"/>
        <w:tblW w:w="0" w:type="auto"/>
        <w:tblInd w:w="720" w:type="dxa"/>
        <w:tblLayout w:type="fixed"/>
        <w:tblLook w:val="04A0" w:firstRow="1" w:lastRow="0" w:firstColumn="1" w:lastColumn="0" w:noHBand="0" w:noVBand="1"/>
      </w:tblPr>
      <w:tblGrid>
        <w:gridCol w:w="2110"/>
        <w:gridCol w:w="2445"/>
        <w:gridCol w:w="2445"/>
        <w:gridCol w:w="2445"/>
      </w:tblGrid>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项目</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重述前</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调整</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重述后</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递延所得税资产</w:t>
            </w:r>
          </w:p>
        </w:tc>
        <w:tc>
          <w:tcPr>
            <w:tcW w:w="2445" w:type="dxa"/>
            <w:vAlign w:val="center"/>
          </w:tcPr>
          <w:p w:rsidR="001D5118" w:rsidRPr="00514E81" w:rsidRDefault="001D5118" w:rsidP="00E456AF">
            <w:pPr>
              <w:adjustRightInd/>
              <w:snapToGrid/>
              <w:jc w:val="right"/>
              <w:rPr>
                <w:szCs w:val="21"/>
                <w:highlight w:val="yellow"/>
                <w:lang w:val="en-GB"/>
              </w:rPr>
            </w:pPr>
            <w:r w:rsidRPr="00514E81">
              <w:rPr>
                <w:szCs w:val="21"/>
              </w:rPr>
              <w:t>35,682,533.61</w:t>
            </w:r>
          </w:p>
        </w:tc>
        <w:tc>
          <w:tcPr>
            <w:tcW w:w="2445" w:type="dxa"/>
            <w:vAlign w:val="center"/>
          </w:tcPr>
          <w:p w:rsidR="001D5118" w:rsidRPr="00514E81" w:rsidRDefault="001D5118" w:rsidP="00E456AF">
            <w:pPr>
              <w:adjustRightInd/>
              <w:snapToGrid/>
              <w:jc w:val="right"/>
              <w:rPr>
                <w:szCs w:val="21"/>
                <w:highlight w:val="yellow"/>
                <w:lang w:val="en-GB"/>
              </w:rPr>
            </w:pPr>
            <w:r w:rsidRPr="006F2D31">
              <w:rPr>
                <w:bCs/>
                <w:szCs w:val="21"/>
              </w:rPr>
              <w:t>904,682.84</w:t>
            </w:r>
          </w:p>
        </w:tc>
        <w:tc>
          <w:tcPr>
            <w:tcW w:w="2445" w:type="dxa"/>
            <w:vAlign w:val="center"/>
          </w:tcPr>
          <w:p w:rsidR="001D5118" w:rsidRPr="00514E81" w:rsidRDefault="001D5118" w:rsidP="00E456AF">
            <w:pPr>
              <w:adjustRightInd/>
              <w:snapToGrid/>
              <w:jc w:val="right"/>
              <w:rPr>
                <w:szCs w:val="21"/>
                <w:highlight w:val="yellow"/>
                <w:lang w:val="en-GB"/>
              </w:rPr>
            </w:pPr>
            <w:r w:rsidRPr="00514E81">
              <w:rPr>
                <w:szCs w:val="21"/>
              </w:rPr>
              <w:t>36,587,216.45</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未分配利润</w:t>
            </w:r>
          </w:p>
        </w:tc>
        <w:tc>
          <w:tcPr>
            <w:tcW w:w="2445" w:type="dxa"/>
            <w:vAlign w:val="center"/>
          </w:tcPr>
          <w:p w:rsidR="001D5118" w:rsidRPr="00514E81" w:rsidRDefault="001D5118" w:rsidP="00E456AF">
            <w:pPr>
              <w:adjustRightInd/>
              <w:snapToGrid/>
              <w:jc w:val="right"/>
              <w:rPr>
                <w:szCs w:val="21"/>
                <w:highlight w:val="yellow"/>
                <w:lang w:val="en-GB"/>
              </w:rPr>
            </w:pPr>
            <w:r w:rsidRPr="00514E81">
              <w:rPr>
                <w:szCs w:val="21"/>
              </w:rPr>
              <w:t>195,425,211.67</w:t>
            </w:r>
          </w:p>
        </w:tc>
        <w:tc>
          <w:tcPr>
            <w:tcW w:w="2445" w:type="dxa"/>
            <w:vAlign w:val="center"/>
          </w:tcPr>
          <w:p w:rsidR="001D5118" w:rsidRPr="00514E81" w:rsidRDefault="001D5118" w:rsidP="00E456AF">
            <w:pPr>
              <w:adjustRightInd/>
              <w:snapToGrid/>
              <w:jc w:val="right"/>
              <w:rPr>
                <w:szCs w:val="21"/>
                <w:highlight w:val="yellow"/>
                <w:lang w:val="en-GB"/>
              </w:rPr>
            </w:pPr>
            <w:r w:rsidRPr="006F2D31">
              <w:rPr>
                <w:bCs/>
                <w:szCs w:val="21"/>
              </w:rPr>
              <w:t>686,971.64</w:t>
            </w:r>
          </w:p>
        </w:tc>
        <w:tc>
          <w:tcPr>
            <w:tcW w:w="2445" w:type="dxa"/>
            <w:vAlign w:val="center"/>
          </w:tcPr>
          <w:p w:rsidR="001D5118" w:rsidRPr="00514E81" w:rsidRDefault="001D5118" w:rsidP="00E456AF">
            <w:pPr>
              <w:adjustRightInd/>
              <w:snapToGrid/>
              <w:jc w:val="right"/>
              <w:rPr>
                <w:szCs w:val="21"/>
                <w:highlight w:val="yellow"/>
                <w:lang w:val="en-GB"/>
              </w:rPr>
            </w:pPr>
            <w:r w:rsidRPr="00514E81">
              <w:rPr>
                <w:szCs w:val="21"/>
              </w:rPr>
              <w:t>196,112,183.31</w:t>
            </w:r>
          </w:p>
        </w:tc>
      </w:tr>
      <w:tr w:rsidR="001D5118" w:rsidTr="0027505B">
        <w:trPr>
          <w:trHeight w:val="20"/>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盈余公积</w:t>
            </w:r>
          </w:p>
        </w:tc>
        <w:tc>
          <w:tcPr>
            <w:tcW w:w="2445" w:type="dxa"/>
            <w:vAlign w:val="center"/>
          </w:tcPr>
          <w:p w:rsidR="001D5118" w:rsidRPr="007613D9" w:rsidRDefault="001D5118" w:rsidP="00E456AF">
            <w:pPr>
              <w:adjustRightInd/>
              <w:snapToGrid/>
              <w:jc w:val="right"/>
              <w:rPr>
                <w:szCs w:val="21"/>
              </w:rPr>
            </w:pPr>
            <w:r w:rsidRPr="007613D9">
              <w:rPr>
                <w:szCs w:val="21"/>
              </w:rPr>
              <w:t>40,903,366.63</w:t>
            </w:r>
          </w:p>
        </w:tc>
        <w:tc>
          <w:tcPr>
            <w:tcW w:w="2445" w:type="dxa"/>
            <w:vAlign w:val="center"/>
          </w:tcPr>
          <w:p w:rsidR="001D5118" w:rsidRPr="007613D9" w:rsidRDefault="001D5118" w:rsidP="00E456AF">
            <w:pPr>
              <w:adjustRightInd/>
              <w:snapToGrid/>
              <w:jc w:val="right"/>
              <w:rPr>
                <w:bCs/>
                <w:szCs w:val="21"/>
              </w:rPr>
            </w:pPr>
            <w:r w:rsidRPr="007613D9">
              <w:rPr>
                <w:bCs/>
                <w:szCs w:val="21"/>
              </w:rPr>
              <w:t>217,711.20</w:t>
            </w:r>
          </w:p>
        </w:tc>
        <w:tc>
          <w:tcPr>
            <w:tcW w:w="2445" w:type="dxa"/>
            <w:vAlign w:val="center"/>
          </w:tcPr>
          <w:p w:rsidR="001D5118" w:rsidRPr="007613D9" w:rsidRDefault="001D5118" w:rsidP="00E456AF">
            <w:pPr>
              <w:adjustRightInd/>
              <w:snapToGrid/>
              <w:jc w:val="right"/>
              <w:rPr>
                <w:bCs/>
                <w:szCs w:val="21"/>
              </w:rPr>
            </w:pPr>
            <w:r w:rsidRPr="007613D9">
              <w:rPr>
                <w:bCs/>
                <w:szCs w:val="21"/>
              </w:rPr>
              <w:t>41,121,077.83</w:t>
            </w:r>
          </w:p>
        </w:tc>
      </w:tr>
    </w:tbl>
    <w:p w:rsidR="00D83859" w:rsidRDefault="00D83859" w:rsidP="001D5118">
      <w:pPr>
        <w:ind w:left="720"/>
        <w:jc w:val="both"/>
        <w:rPr>
          <w:rFonts w:eastAsia="宋体" w:cs="Times New Roman"/>
          <w:szCs w:val="21"/>
        </w:rPr>
      </w:pPr>
    </w:p>
    <w:p w:rsidR="00D83859" w:rsidRDefault="00D83859">
      <w:pPr>
        <w:adjustRightInd/>
        <w:snapToGrid/>
        <w:rPr>
          <w:rFonts w:eastAsia="宋体" w:cs="Times New Roman"/>
          <w:szCs w:val="21"/>
        </w:rPr>
      </w:pPr>
      <w:r>
        <w:rPr>
          <w:rFonts w:eastAsia="宋体" w:cs="Times New Roman"/>
          <w:szCs w:val="21"/>
        </w:rPr>
        <w:br w:type="page"/>
      </w:r>
    </w:p>
    <w:p w:rsidR="00D83859" w:rsidRPr="00A71D2E" w:rsidRDefault="005F14EE" w:rsidP="00D83859">
      <w:pPr>
        <w:jc w:val="both"/>
        <w:rPr>
          <w:rFonts w:eastAsia="宋体" w:cs="Times New Roman"/>
          <w:szCs w:val="21"/>
        </w:rPr>
      </w:pPr>
      <w:r>
        <w:rPr>
          <w:rFonts w:eastAsia="宋体" w:cs="Times New Roman"/>
          <w:b/>
          <w:szCs w:val="21"/>
        </w:rPr>
        <w:t>(</w:t>
      </w:r>
      <w:r w:rsidR="00D83859" w:rsidRPr="00A71D2E">
        <w:rPr>
          <w:rFonts w:eastAsia="宋体" w:cs="Times New Roman" w:hint="eastAsia"/>
          <w:b/>
          <w:szCs w:val="21"/>
        </w:rPr>
        <w:t>三</w:t>
      </w:r>
      <w:r>
        <w:rPr>
          <w:rFonts w:eastAsia="宋体" w:cs="Times New Roman"/>
          <w:b/>
          <w:szCs w:val="21"/>
        </w:rPr>
        <w:t>)</w:t>
      </w:r>
      <w:r w:rsidR="00D83859" w:rsidRPr="00A71D2E">
        <w:rPr>
          <w:rFonts w:eastAsia="宋体" w:cs="Times New Roman"/>
          <w:b/>
          <w:szCs w:val="21"/>
        </w:rPr>
        <w:tab/>
      </w:r>
      <w:r w:rsidR="00D83859" w:rsidRPr="00A71D2E">
        <w:rPr>
          <w:rFonts w:eastAsia="宋体" w:cs="Times New Roman" w:hint="eastAsia"/>
          <w:b/>
          <w:szCs w:val="21"/>
        </w:rPr>
        <w:t>重要会计政策和会计估计</w:t>
      </w:r>
      <w:r w:rsidR="00D83859" w:rsidRPr="00A71D2E">
        <w:rPr>
          <w:rFonts w:eastAsia="宋体" w:cs="Times New Roman"/>
          <w:szCs w:val="21"/>
        </w:rPr>
        <w:t xml:space="preserve"> - </w:t>
      </w:r>
      <w:r w:rsidR="00D83859" w:rsidRPr="00A71D2E">
        <w:rPr>
          <w:rFonts w:eastAsia="宋体" w:cs="Times New Roman" w:hint="eastAsia"/>
          <w:szCs w:val="21"/>
        </w:rPr>
        <w:t>续</w:t>
      </w:r>
    </w:p>
    <w:p w:rsidR="00D83859" w:rsidRPr="00A71D2E" w:rsidRDefault="00D83859" w:rsidP="00D83859">
      <w:pPr>
        <w:ind w:left="720"/>
        <w:jc w:val="both"/>
        <w:rPr>
          <w:rFonts w:eastAsia="宋体" w:cs="Times New Roman"/>
          <w:snapToGrid w:val="0"/>
          <w:szCs w:val="21"/>
        </w:rPr>
      </w:pPr>
    </w:p>
    <w:p w:rsidR="00D83859" w:rsidRDefault="00D83859" w:rsidP="00D83859">
      <w:pPr>
        <w:ind w:left="720"/>
        <w:jc w:val="both"/>
        <w:rPr>
          <w:rFonts w:eastAsia="宋体" w:cs="Times New Roman"/>
          <w:szCs w:val="21"/>
        </w:rPr>
      </w:pPr>
      <w:r>
        <w:rPr>
          <w:rFonts w:eastAsia="宋体" w:cs="Times New Roman"/>
          <w:b/>
          <w:szCs w:val="21"/>
        </w:rPr>
        <w:t>33</w:t>
      </w:r>
      <w:r w:rsidRPr="00A71D2E">
        <w:rPr>
          <w:rFonts w:eastAsia="宋体" w:cs="Times New Roman"/>
          <w:b/>
          <w:szCs w:val="21"/>
        </w:rPr>
        <w:t>.</w:t>
      </w:r>
      <w:r w:rsidRPr="00A71D2E">
        <w:rPr>
          <w:rFonts w:eastAsia="宋体" w:cs="Times New Roman"/>
          <w:b/>
          <w:szCs w:val="21"/>
        </w:rPr>
        <w:tab/>
      </w:r>
      <w:r w:rsidRPr="0039083F">
        <w:rPr>
          <w:rFonts w:eastAsia="宋体" w:cs="Times New Roman" w:hint="eastAsia"/>
          <w:b/>
          <w:szCs w:val="21"/>
        </w:rPr>
        <w:t>重要会计</w:t>
      </w:r>
      <w:r>
        <w:rPr>
          <w:rFonts w:eastAsia="宋体" w:cs="Times New Roman" w:hint="eastAsia"/>
          <w:b/>
          <w:szCs w:val="21"/>
        </w:rPr>
        <w:t>政策和会计</w:t>
      </w:r>
      <w:r w:rsidRPr="0039083F">
        <w:rPr>
          <w:rFonts w:eastAsia="宋体" w:cs="Times New Roman" w:hint="eastAsia"/>
          <w:b/>
          <w:szCs w:val="21"/>
        </w:rPr>
        <w:t>估计的</w:t>
      </w:r>
      <w:r>
        <w:rPr>
          <w:rFonts w:eastAsia="宋体" w:cs="Times New Roman" w:hint="eastAsia"/>
          <w:b/>
          <w:szCs w:val="21"/>
        </w:rPr>
        <w:t>变更</w:t>
      </w:r>
      <w:r w:rsidRPr="0027505B">
        <w:rPr>
          <w:rFonts w:eastAsia="宋体" w:cs="Times New Roman"/>
          <w:bCs/>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D83859" w:rsidRPr="0027505B" w:rsidRDefault="00D83859" w:rsidP="00D83859">
      <w:pPr>
        <w:ind w:left="720"/>
        <w:jc w:val="both"/>
        <w:rPr>
          <w:rFonts w:eastAsia="宋体" w:cs="Times New Roman"/>
          <w:bCs/>
          <w:szCs w:val="21"/>
        </w:rPr>
      </w:pPr>
    </w:p>
    <w:p w:rsidR="00D83859" w:rsidRPr="00FC782F" w:rsidRDefault="00D83859" w:rsidP="00D83859">
      <w:pPr>
        <w:autoSpaceDE w:val="0"/>
        <w:autoSpaceDN w:val="0"/>
        <w:ind w:left="720"/>
        <w:jc w:val="both"/>
        <w:textAlignment w:val="baseline"/>
        <w:rPr>
          <w:rFonts w:eastAsia="宋体" w:cs="Times New Roman"/>
          <w:szCs w:val="21"/>
          <w:u w:val="single"/>
        </w:rPr>
      </w:pPr>
      <w:r>
        <w:rPr>
          <w:rFonts w:eastAsia="宋体" w:cs="Times New Roman"/>
          <w:szCs w:val="21"/>
          <w:u w:val="single"/>
        </w:rPr>
        <w:t>33.1</w:t>
      </w:r>
      <w:r w:rsidRPr="00A71D2E">
        <w:rPr>
          <w:rFonts w:eastAsia="宋体" w:cs="Times New Roman"/>
          <w:szCs w:val="21"/>
          <w:u w:val="single"/>
        </w:rPr>
        <w:tab/>
      </w:r>
      <w:r>
        <w:rPr>
          <w:rFonts w:eastAsia="宋体" w:cs="Times New Roman" w:hint="eastAsia"/>
          <w:szCs w:val="21"/>
          <w:u w:val="single"/>
        </w:rPr>
        <w:t>重要会计政策变更</w:t>
      </w:r>
      <w:r w:rsidRPr="00FC782F">
        <w:rPr>
          <w:rFonts w:eastAsia="宋体" w:cs="Times New Roman"/>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1D5118" w:rsidRPr="006C368A" w:rsidRDefault="001D5118" w:rsidP="001D5118">
      <w:pPr>
        <w:ind w:left="720"/>
        <w:jc w:val="both"/>
        <w:rPr>
          <w:rFonts w:eastAsia="宋体" w:cs="Times New Roman"/>
          <w:szCs w:val="21"/>
        </w:rPr>
      </w:pPr>
    </w:p>
    <w:p w:rsidR="001D5118" w:rsidRPr="000F50D5" w:rsidRDefault="001D5118" w:rsidP="0027505B">
      <w:pPr>
        <w:pStyle w:val="aff1"/>
        <w:numPr>
          <w:ilvl w:val="0"/>
          <w:numId w:val="4"/>
        </w:numPr>
        <w:ind w:left="1440" w:firstLineChars="0" w:hanging="709"/>
        <w:rPr>
          <w:szCs w:val="21"/>
        </w:rPr>
      </w:pPr>
      <w:r w:rsidRPr="000F50D5">
        <w:rPr>
          <w:rFonts w:hint="eastAsia"/>
          <w:szCs w:val="21"/>
        </w:rPr>
        <w:t>对</w:t>
      </w:r>
      <w:r>
        <w:rPr>
          <w:rFonts w:hint="eastAsia"/>
          <w:szCs w:val="21"/>
        </w:rPr>
        <w:t>母公司</w:t>
      </w:r>
      <w:r w:rsidRPr="000F50D5">
        <w:rPr>
          <w:szCs w:val="21"/>
        </w:rPr>
        <w:t>2022</w:t>
      </w:r>
      <w:r w:rsidRPr="000F50D5">
        <w:rPr>
          <w:rFonts w:hint="eastAsia"/>
          <w:szCs w:val="21"/>
        </w:rPr>
        <w:t>年度利润</w:t>
      </w:r>
      <w:proofErr w:type="gramStart"/>
      <w:r w:rsidRPr="000F50D5">
        <w:rPr>
          <w:rFonts w:hint="eastAsia"/>
          <w:szCs w:val="21"/>
        </w:rPr>
        <w:t>表相关</w:t>
      </w:r>
      <w:proofErr w:type="gramEnd"/>
      <w:r w:rsidRPr="000F50D5">
        <w:rPr>
          <w:rFonts w:hint="eastAsia"/>
          <w:szCs w:val="21"/>
        </w:rPr>
        <w:t>项目的影响列示如下</w:t>
      </w:r>
      <w:r w:rsidR="005F14EE">
        <w:rPr>
          <w:rFonts w:hint="eastAsia"/>
          <w:szCs w:val="21"/>
        </w:rPr>
        <w:t>：</w:t>
      </w:r>
    </w:p>
    <w:p w:rsidR="001D5118" w:rsidRDefault="001D5118" w:rsidP="001D5118">
      <w:pPr>
        <w:pStyle w:val="aff1"/>
        <w:adjustRightInd/>
        <w:snapToGrid/>
        <w:ind w:left="1091" w:right="30" w:firstLineChars="0" w:firstLine="0"/>
        <w:jc w:val="right"/>
        <w:rPr>
          <w:szCs w:val="21"/>
        </w:rPr>
      </w:pPr>
      <w:r w:rsidRPr="00113E80">
        <w:rPr>
          <w:rFonts w:hint="eastAsia"/>
          <w:szCs w:val="21"/>
        </w:rPr>
        <w:t>单位</w:t>
      </w:r>
      <w:r w:rsidR="005F14EE">
        <w:rPr>
          <w:rFonts w:hint="eastAsia"/>
          <w:szCs w:val="21"/>
        </w:rPr>
        <w:t>：</w:t>
      </w:r>
      <w:r w:rsidRPr="00113E80">
        <w:rPr>
          <w:rFonts w:hint="eastAsia"/>
          <w:szCs w:val="21"/>
        </w:rPr>
        <w:t>人民币元</w:t>
      </w:r>
    </w:p>
    <w:tbl>
      <w:tblPr>
        <w:tblStyle w:val="aff5"/>
        <w:tblW w:w="0" w:type="auto"/>
        <w:tblInd w:w="720" w:type="dxa"/>
        <w:tblLayout w:type="fixed"/>
        <w:tblLook w:val="04A0" w:firstRow="1" w:lastRow="0" w:firstColumn="1" w:lastColumn="0" w:noHBand="0" w:noVBand="1"/>
      </w:tblPr>
      <w:tblGrid>
        <w:gridCol w:w="2110"/>
        <w:gridCol w:w="2445"/>
        <w:gridCol w:w="2445"/>
        <w:gridCol w:w="2445"/>
      </w:tblGrid>
      <w:tr w:rsidR="001D5118" w:rsidTr="0027505B">
        <w:trPr>
          <w:trHeight w:val="144"/>
        </w:trPr>
        <w:tc>
          <w:tcPr>
            <w:tcW w:w="2110"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项目</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重述前</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调整</w:t>
            </w:r>
          </w:p>
        </w:tc>
        <w:tc>
          <w:tcPr>
            <w:tcW w:w="2445" w:type="dxa"/>
            <w:shd w:val="clear" w:color="auto" w:fill="D9D9D9" w:themeFill="background1" w:themeFillShade="D9"/>
            <w:vAlign w:val="center"/>
          </w:tcPr>
          <w:p w:rsidR="001D5118" w:rsidRDefault="001D5118" w:rsidP="00E456AF">
            <w:pPr>
              <w:adjustRightInd/>
              <w:snapToGrid/>
              <w:jc w:val="center"/>
              <w:rPr>
                <w:szCs w:val="21"/>
                <w:lang w:val="en-GB"/>
              </w:rPr>
            </w:pPr>
            <w:r>
              <w:rPr>
                <w:rFonts w:hint="eastAsia"/>
                <w:szCs w:val="21"/>
                <w:lang w:val="en-GB"/>
              </w:rPr>
              <w:t>重述后</w:t>
            </w:r>
          </w:p>
        </w:tc>
      </w:tr>
      <w:tr w:rsidR="001D5118" w:rsidTr="0027505B">
        <w:trPr>
          <w:trHeight w:val="144"/>
        </w:trPr>
        <w:tc>
          <w:tcPr>
            <w:tcW w:w="2110" w:type="dxa"/>
            <w:shd w:val="clear" w:color="auto" w:fill="D9D9D9" w:themeFill="background1" w:themeFillShade="D9"/>
            <w:vAlign w:val="center"/>
          </w:tcPr>
          <w:p w:rsidR="001D5118" w:rsidRDefault="001D5118" w:rsidP="00E456AF">
            <w:pPr>
              <w:adjustRightInd/>
              <w:snapToGrid/>
              <w:rPr>
                <w:szCs w:val="21"/>
                <w:lang w:val="en-GB"/>
              </w:rPr>
            </w:pPr>
            <w:r>
              <w:rPr>
                <w:rFonts w:hint="eastAsia"/>
                <w:szCs w:val="21"/>
                <w:lang w:val="en-GB"/>
              </w:rPr>
              <w:t>所得税费用</w:t>
            </w:r>
          </w:p>
        </w:tc>
        <w:tc>
          <w:tcPr>
            <w:tcW w:w="2445" w:type="dxa"/>
            <w:vAlign w:val="center"/>
          </w:tcPr>
          <w:p w:rsidR="001D5118" w:rsidRPr="00514E81" w:rsidRDefault="001D5118" w:rsidP="00E456AF">
            <w:pPr>
              <w:adjustRightInd/>
              <w:snapToGrid/>
              <w:jc w:val="right"/>
              <w:rPr>
                <w:szCs w:val="21"/>
                <w:highlight w:val="yellow"/>
                <w:lang w:val="en-GB"/>
              </w:rPr>
            </w:pPr>
            <w:r w:rsidRPr="00514E81">
              <w:rPr>
                <w:szCs w:val="21"/>
              </w:rPr>
              <w:t>28,124,115.26</w:t>
            </w:r>
          </w:p>
        </w:tc>
        <w:tc>
          <w:tcPr>
            <w:tcW w:w="2445" w:type="dxa"/>
            <w:vAlign w:val="center"/>
          </w:tcPr>
          <w:p w:rsidR="001D5118" w:rsidRPr="00514E81" w:rsidRDefault="001D5118" w:rsidP="00E456AF">
            <w:pPr>
              <w:adjustRightInd/>
              <w:snapToGrid/>
              <w:jc w:val="right"/>
              <w:rPr>
                <w:szCs w:val="21"/>
                <w:highlight w:val="yellow"/>
                <w:lang w:val="en-GB"/>
              </w:rPr>
            </w:pPr>
            <w:r w:rsidRPr="004714D3">
              <w:rPr>
                <w:bCs/>
                <w:szCs w:val="21"/>
              </w:rPr>
              <w:t>367,746.31</w:t>
            </w:r>
          </w:p>
        </w:tc>
        <w:tc>
          <w:tcPr>
            <w:tcW w:w="2445" w:type="dxa"/>
            <w:vAlign w:val="center"/>
          </w:tcPr>
          <w:p w:rsidR="001D5118" w:rsidRPr="00514E81" w:rsidRDefault="001D5118" w:rsidP="00E456AF">
            <w:pPr>
              <w:adjustRightInd/>
              <w:snapToGrid/>
              <w:jc w:val="right"/>
              <w:rPr>
                <w:szCs w:val="21"/>
                <w:highlight w:val="yellow"/>
                <w:lang w:val="en-GB"/>
              </w:rPr>
            </w:pPr>
            <w:r w:rsidRPr="00514E81">
              <w:rPr>
                <w:szCs w:val="21"/>
              </w:rPr>
              <w:t>28,491,861.57</w:t>
            </w:r>
          </w:p>
        </w:tc>
      </w:tr>
    </w:tbl>
    <w:p w:rsidR="000076CA" w:rsidRPr="0027505B" w:rsidRDefault="000076CA" w:rsidP="00F66363">
      <w:pPr>
        <w:ind w:left="720"/>
        <w:jc w:val="both"/>
        <w:rPr>
          <w:rFonts w:eastAsia="宋体" w:cs="Times New Roman"/>
          <w:szCs w:val="21"/>
        </w:rPr>
      </w:pPr>
    </w:p>
    <w:p w:rsidR="006C368A" w:rsidRPr="0027505B" w:rsidRDefault="006C368A" w:rsidP="00F66363">
      <w:pPr>
        <w:ind w:left="720"/>
        <w:jc w:val="both"/>
        <w:rPr>
          <w:rFonts w:eastAsia="宋体" w:cs="Times New Roman"/>
          <w:szCs w:val="21"/>
        </w:rPr>
      </w:pPr>
    </w:p>
    <w:p w:rsidR="006C368A" w:rsidRPr="00A71D2E" w:rsidRDefault="006C368A" w:rsidP="006C368A">
      <w:pPr>
        <w:pStyle w:val="1"/>
        <w:keepNext w:val="0"/>
        <w:keepLines w:val="0"/>
        <w:adjustRightInd w:val="0"/>
        <w:snapToGrid w:val="0"/>
        <w:ind w:left="720" w:hanging="720"/>
        <w:contextualSpacing w:val="0"/>
        <w:jc w:val="both"/>
        <w:rPr>
          <w:rFonts w:ascii="Times New Roman" w:hAnsi="Times New Roman" w:cs="Times New Roman"/>
          <w:szCs w:val="21"/>
        </w:rPr>
      </w:pPr>
      <w:r w:rsidRPr="00A71D2E">
        <w:rPr>
          <w:rFonts w:ascii="Times New Roman" w:hAnsi="Times New Roman" w:cs="Times New Roman" w:hint="eastAsia"/>
          <w:szCs w:val="21"/>
        </w:rPr>
        <w:t>税项</w:t>
      </w:r>
    </w:p>
    <w:p w:rsidR="006C368A" w:rsidRPr="0027505B" w:rsidRDefault="006C368A" w:rsidP="00F66363">
      <w:pPr>
        <w:ind w:left="720"/>
        <w:jc w:val="both"/>
        <w:rPr>
          <w:rFonts w:eastAsia="宋体" w:cs="Times New Roman"/>
          <w:szCs w:val="21"/>
        </w:rPr>
      </w:pPr>
    </w:p>
    <w:p w:rsidR="009A20C0" w:rsidRPr="00A71D2E" w:rsidRDefault="009A20C0" w:rsidP="00F66363">
      <w:pPr>
        <w:ind w:firstLine="720"/>
        <w:rPr>
          <w:rFonts w:eastAsia="宋体" w:cs="Times New Roman"/>
          <w:b/>
          <w:szCs w:val="21"/>
        </w:rPr>
      </w:pPr>
      <w:r w:rsidRPr="00A71D2E">
        <w:rPr>
          <w:rFonts w:eastAsia="宋体" w:cs="Times New Roman" w:hint="eastAsia"/>
          <w:b/>
          <w:szCs w:val="21"/>
        </w:rPr>
        <w:t>主要税种及税率</w:t>
      </w:r>
    </w:p>
    <w:p w:rsidR="009A20C0" w:rsidRPr="0027505B" w:rsidRDefault="009A20C0" w:rsidP="00F66363">
      <w:pPr>
        <w:ind w:left="720"/>
        <w:jc w:val="both"/>
        <w:rPr>
          <w:rFonts w:eastAsia="宋体" w:cs="Times New Roman"/>
          <w:szCs w:val="21"/>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10"/>
        <w:gridCol w:w="4887"/>
        <w:gridCol w:w="2448"/>
      </w:tblGrid>
      <w:tr w:rsidR="009A20C0" w:rsidRPr="00A71D2E" w:rsidTr="0027505B">
        <w:trPr>
          <w:trHeight w:val="20"/>
        </w:trPr>
        <w:tc>
          <w:tcPr>
            <w:tcW w:w="2110" w:type="dxa"/>
            <w:shd w:val="clear" w:color="auto" w:fill="D9D9D9" w:themeFill="background1" w:themeFillShade="D9"/>
            <w:vAlign w:val="center"/>
            <w:hideMark/>
          </w:tcPr>
          <w:p w:rsidR="009A20C0" w:rsidRPr="00A71D2E" w:rsidRDefault="009A20C0" w:rsidP="00F66363">
            <w:pPr>
              <w:jc w:val="center"/>
              <w:rPr>
                <w:rFonts w:eastAsia="宋体" w:cs="Times New Roman"/>
                <w:sz w:val="18"/>
                <w:szCs w:val="18"/>
              </w:rPr>
            </w:pPr>
            <w:r w:rsidRPr="00A71D2E">
              <w:rPr>
                <w:rFonts w:eastAsia="宋体" w:cs="Times New Roman" w:hint="eastAsia"/>
                <w:sz w:val="18"/>
                <w:szCs w:val="18"/>
              </w:rPr>
              <w:t>税种</w:t>
            </w:r>
          </w:p>
        </w:tc>
        <w:tc>
          <w:tcPr>
            <w:tcW w:w="4887" w:type="dxa"/>
            <w:shd w:val="clear" w:color="auto" w:fill="D9D9D9" w:themeFill="background1" w:themeFillShade="D9"/>
            <w:vAlign w:val="center"/>
            <w:hideMark/>
          </w:tcPr>
          <w:p w:rsidR="009A20C0" w:rsidRPr="00A71D2E" w:rsidRDefault="009A20C0" w:rsidP="00F66363">
            <w:pPr>
              <w:jc w:val="center"/>
              <w:rPr>
                <w:rFonts w:eastAsia="宋体" w:cs="Times New Roman"/>
                <w:sz w:val="18"/>
                <w:szCs w:val="18"/>
              </w:rPr>
            </w:pPr>
            <w:r w:rsidRPr="00A71D2E">
              <w:rPr>
                <w:rFonts w:eastAsia="宋体" w:cs="Times New Roman" w:hint="eastAsia"/>
                <w:sz w:val="18"/>
                <w:szCs w:val="18"/>
              </w:rPr>
              <w:t>计税依据</w:t>
            </w:r>
          </w:p>
        </w:tc>
        <w:tc>
          <w:tcPr>
            <w:tcW w:w="2448" w:type="dxa"/>
            <w:shd w:val="clear" w:color="auto" w:fill="D9D9D9" w:themeFill="background1" w:themeFillShade="D9"/>
            <w:vAlign w:val="center"/>
            <w:hideMark/>
          </w:tcPr>
          <w:p w:rsidR="009A20C0" w:rsidRPr="00A71D2E" w:rsidRDefault="009A20C0" w:rsidP="00F66363">
            <w:pPr>
              <w:jc w:val="center"/>
              <w:rPr>
                <w:rFonts w:eastAsia="宋体" w:cs="Times New Roman"/>
                <w:sz w:val="18"/>
                <w:szCs w:val="18"/>
              </w:rPr>
            </w:pPr>
            <w:r w:rsidRPr="00A71D2E">
              <w:rPr>
                <w:rFonts w:eastAsia="宋体" w:cs="Times New Roman" w:hint="eastAsia"/>
                <w:sz w:val="18"/>
                <w:szCs w:val="18"/>
              </w:rPr>
              <w:t>税率</w:t>
            </w:r>
          </w:p>
        </w:tc>
      </w:tr>
      <w:tr w:rsidR="009A20C0" w:rsidRPr="00A71D2E" w:rsidTr="0027505B">
        <w:trPr>
          <w:trHeight w:val="20"/>
        </w:trPr>
        <w:tc>
          <w:tcPr>
            <w:tcW w:w="2110" w:type="dxa"/>
            <w:shd w:val="clear" w:color="auto" w:fill="D9D9D9" w:themeFill="background1" w:themeFillShade="D9"/>
            <w:vAlign w:val="center"/>
            <w:hideMark/>
          </w:tcPr>
          <w:p w:rsidR="009A20C0" w:rsidRPr="00A71D2E" w:rsidRDefault="009A20C0" w:rsidP="00F66363">
            <w:pPr>
              <w:rPr>
                <w:rFonts w:eastAsia="宋体" w:cs="Times New Roman"/>
                <w:sz w:val="18"/>
                <w:szCs w:val="18"/>
              </w:rPr>
            </w:pPr>
            <w:r w:rsidRPr="00A71D2E">
              <w:rPr>
                <w:rFonts w:eastAsia="宋体" w:cs="Times New Roman" w:hint="eastAsia"/>
                <w:sz w:val="18"/>
                <w:szCs w:val="18"/>
              </w:rPr>
              <w:t>增值税</w:t>
            </w:r>
          </w:p>
        </w:tc>
        <w:tc>
          <w:tcPr>
            <w:tcW w:w="4887" w:type="dxa"/>
            <w:vAlign w:val="center"/>
            <w:hideMark/>
          </w:tcPr>
          <w:p w:rsidR="009A20C0" w:rsidRPr="00A71D2E" w:rsidRDefault="009A20C0" w:rsidP="00F66363">
            <w:pPr>
              <w:jc w:val="both"/>
              <w:rPr>
                <w:rFonts w:eastAsia="宋体" w:cs="Times New Roman"/>
                <w:sz w:val="18"/>
                <w:szCs w:val="18"/>
              </w:rPr>
            </w:pPr>
            <w:r w:rsidRPr="00A71D2E">
              <w:rPr>
                <w:rFonts w:eastAsia="宋体" w:cs="Times New Roman" w:hint="eastAsia"/>
                <w:sz w:val="18"/>
                <w:szCs w:val="18"/>
              </w:rPr>
              <w:t>应税产品销售收入或应税劳务收入，本公司及境内子公司为增值税一般纳税人，应纳增值税为销项税额减可抵扣进项税后的余额。</w:t>
            </w:r>
          </w:p>
        </w:tc>
        <w:tc>
          <w:tcPr>
            <w:tcW w:w="2448" w:type="dxa"/>
            <w:vAlign w:val="center"/>
            <w:hideMark/>
          </w:tcPr>
          <w:p w:rsidR="009A20C0" w:rsidRPr="00A71D2E" w:rsidRDefault="00394A95" w:rsidP="00F66363">
            <w:pPr>
              <w:jc w:val="center"/>
              <w:rPr>
                <w:rFonts w:eastAsia="宋体" w:cs="Times New Roman"/>
                <w:sz w:val="18"/>
                <w:szCs w:val="18"/>
              </w:rPr>
            </w:pPr>
            <w:r w:rsidRPr="00A71D2E">
              <w:rPr>
                <w:rFonts w:eastAsia="宋体" w:cs="Times New Roman" w:hint="eastAsia"/>
                <w:sz w:val="18"/>
                <w:szCs w:val="18"/>
              </w:rPr>
              <w:t>注</w:t>
            </w:r>
            <w:r w:rsidRPr="00A71D2E">
              <w:rPr>
                <w:rFonts w:eastAsia="宋体" w:cs="Times New Roman"/>
                <w:sz w:val="18"/>
                <w:szCs w:val="18"/>
              </w:rPr>
              <w:t>1</w:t>
            </w:r>
          </w:p>
        </w:tc>
      </w:tr>
      <w:tr w:rsidR="009A20C0" w:rsidRPr="00A71D2E" w:rsidTr="0027505B">
        <w:trPr>
          <w:trHeight w:val="20"/>
        </w:trPr>
        <w:tc>
          <w:tcPr>
            <w:tcW w:w="2110" w:type="dxa"/>
            <w:shd w:val="clear" w:color="auto" w:fill="D9D9D9" w:themeFill="background1" w:themeFillShade="D9"/>
            <w:vAlign w:val="center"/>
          </w:tcPr>
          <w:p w:rsidR="009A20C0" w:rsidRPr="00A71D2E" w:rsidRDefault="009A20C0" w:rsidP="00F66363">
            <w:pPr>
              <w:rPr>
                <w:rFonts w:eastAsia="宋体" w:cs="Times New Roman"/>
                <w:sz w:val="18"/>
                <w:szCs w:val="18"/>
              </w:rPr>
            </w:pPr>
            <w:r w:rsidRPr="00A71D2E">
              <w:rPr>
                <w:rFonts w:eastAsia="宋体" w:cs="Times New Roman" w:hint="eastAsia"/>
                <w:sz w:val="18"/>
                <w:szCs w:val="18"/>
              </w:rPr>
              <w:t>企业所得税</w:t>
            </w:r>
          </w:p>
        </w:tc>
        <w:tc>
          <w:tcPr>
            <w:tcW w:w="4887" w:type="dxa"/>
            <w:vAlign w:val="center"/>
          </w:tcPr>
          <w:p w:rsidR="009A20C0" w:rsidRPr="00A71D2E" w:rsidRDefault="009A20C0" w:rsidP="00F66363">
            <w:pPr>
              <w:jc w:val="both"/>
              <w:rPr>
                <w:rFonts w:eastAsia="宋体" w:cs="Times New Roman"/>
                <w:sz w:val="18"/>
                <w:szCs w:val="18"/>
              </w:rPr>
            </w:pPr>
            <w:r w:rsidRPr="00A71D2E">
              <w:rPr>
                <w:rFonts w:eastAsia="宋体" w:cs="Times New Roman" w:hint="eastAsia"/>
                <w:sz w:val="18"/>
                <w:szCs w:val="18"/>
              </w:rPr>
              <w:t>应纳税所得额</w:t>
            </w:r>
          </w:p>
        </w:tc>
        <w:tc>
          <w:tcPr>
            <w:tcW w:w="2448" w:type="dxa"/>
            <w:vAlign w:val="center"/>
          </w:tcPr>
          <w:p w:rsidR="009A20C0" w:rsidRPr="00A71D2E" w:rsidRDefault="009A20C0" w:rsidP="00F66363">
            <w:pPr>
              <w:jc w:val="center"/>
              <w:rPr>
                <w:rFonts w:eastAsia="宋体" w:cs="Times New Roman"/>
                <w:sz w:val="18"/>
                <w:szCs w:val="18"/>
              </w:rPr>
            </w:pPr>
            <w:r w:rsidRPr="00A71D2E">
              <w:rPr>
                <w:rFonts w:eastAsia="宋体" w:cs="Times New Roman" w:hint="eastAsia"/>
                <w:sz w:val="18"/>
                <w:szCs w:val="18"/>
              </w:rPr>
              <w:t>注</w:t>
            </w:r>
            <w:r w:rsidR="002667FD" w:rsidRPr="00A71D2E">
              <w:rPr>
                <w:rFonts w:eastAsia="宋体" w:cs="Times New Roman"/>
                <w:sz w:val="18"/>
                <w:szCs w:val="18"/>
              </w:rPr>
              <w:t>2</w:t>
            </w:r>
          </w:p>
        </w:tc>
      </w:tr>
      <w:tr w:rsidR="009A20C0" w:rsidRPr="00A71D2E" w:rsidTr="0027505B">
        <w:trPr>
          <w:trHeight w:val="20"/>
        </w:trPr>
        <w:tc>
          <w:tcPr>
            <w:tcW w:w="2110" w:type="dxa"/>
            <w:shd w:val="clear" w:color="auto" w:fill="D9D9D9" w:themeFill="background1" w:themeFillShade="D9"/>
            <w:vAlign w:val="center"/>
          </w:tcPr>
          <w:p w:rsidR="009A20C0" w:rsidRPr="00A71D2E" w:rsidRDefault="009A20C0" w:rsidP="00F66363">
            <w:pPr>
              <w:rPr>
                <w:rFonts w:eastAsia="宋体" w:cs="Times New Roman"/>
                <w:sz w:val="18"/>
                <w:szCs w:val="18"/>
              </w:rPr>
            </w:pPr>
            <w:r w:rsidRPr="00A71D2E">
              <w:rPr>
                <w:rFonts w:eastAsia="宋体" w:cs="Times New Roman" w:hint="eastAsia"/>
                <w:sz w:val="18"/>
                <w:szCs w:val="18"/>
              </w:rPr>
              <w:t>城市维护建设税</w:t>
            </w:r>
          </w:p>
        </w:tc>
        <w:tc>
          <w:tcPr>
            <w:tcW w:w="4887" w:type="dxa"/>
            <w:vAlign w:val="center"/>
          </w:tcPr>
          <w:p w:rsidR="009A20C0" w:rsidRPr="00A71D2E" w:rsidRDefault="009A20C0" w:rsidP="00F66363">
            <w:pPr>
              <w:rPr>
                <w:rFonts w:eastAsia="宋体" w:cs="Times New Roman"/>
                <w:sz w:val="18"/>
                <w:szCs w:val="18"/>
              </w:rPr>
            </w:pPr>
            <w:r w:rsidRPr="00A71D2E">
              <w:rPr>
                <w:rFonts w:eastAsia="宋体" w:cs="Times New Roman" w:hint="eastAsia"/>
                <w:sz w:val="18"/>
                <w:szCs w:val="18"/>
              </w:rPr>
              <w:t>实际缴纳的流转税税额</w:t>
            </w:r>
          </w:p>
        </w:tc>
        <w:tc>
          <w:tcPr>
            <w:tcW w:w="2448" w:type="dxa"/>
            <w:vAlign w:val="center"/>
          </w:tcPr>
          <w:p w:rsidR="009A20C0" w:rsidRPr="00A71D2E" w:rsidRDefault="009A20C0" w:rsidP="00F66363">
            <w:pPr>
              <w:jc w:val="center"/>
              <w:rPr>
                <w:rFonts w:eastAsia="宋体" w:cs="Times New Roman"/>
                <w:sz w:val="18"/>
                <w:szCs w:val="18"/>
              </w:rPr>
            </w:pPr>
            <w:r w:rsidRPr="00A71D2E">
              <w:rPr>
                <w:rFonts w:eastAsia="宋体" w:cs="Times New Roman"/>
                <w:sz w:val="18"/>
                <w:szCs w:val="18"/>
              </w:rPr>
              <w:t>7%</w:t>
            </w:r>
            <w:r w:rsidR="001F0DFA" w:rsidRPr="00A71D2E">
              <w:rPr>
                <w:rFonts w:eastAsia="宋体" w:cs="Times New Roman" w:hint="eastAsia"/>
                <w:sz w:val="18"/>
                <w:szCs w:val="18"/>
              </w:rPr>
              <w:t>或</w:t>
            </w:r>
            <w:r w:rsidR="001F0DFA" w:rsidRPr="00A71D2E">
              <w:rPr>
                <w:rFonts w:eastAsia="宋体" w:cs="Times New Roman"/>
                <w:sz w:val="18"/>
                <w:szCs w:val="18"/>
              </w:rPr>
              <w:t>5%</w:t>
            </w:r>
          </w:p>
        </w:tc>
      </w:tr>
      <w:tr w:rsidR="009A20C0" w:rsidRPr="00A71D2E" w:rsidTr="0027505B">
        <w:trPr>
          <w:trHeight w:val="20"/>
        </w:trPr>
        <w:tc>
          <w:tcPr>
            <w:tcW w:w="2110" w:type="dxa"/>
            <w:shd w:val="clear" w:color="auto" w:fill="D9D9D9" w:themeFill="background1" w:themeFillShade="D9"/>
            <w:vAlign w:val="center"/>
          </w:tcPr>
          <w:p w:rsidR="009A20C0" w:rsidRPr="00A71D2E" w:rsidRDefault="009A20C0" w:rsidP="00F66363">
            <w:pPr>
              <w:rPr>
                <w:rFonts w:eastAsia="宋体" w:cs="Times New Roman"/>
                <w:sz w:val="18"/>
                <w:szCs w:val="18"/>
              </w:rPr>
            </w:pPr>
            <w:r w:rsidRPr="00A71D2E">
              <w:rPr>
                <w:rFonts w:eastAsia="宋体" w:cs="Times New Roman" w:hint="eastAsia"/>
                <w:sz w:val="18"/>
                <w:szCs w:val="18"/>
              </w:rPr>
              <w:t>教育费附加</w:t>
            </w:r>
          </w:p>
        </w:tc>
        <w:tc>
          <w:tcPr>
            <w:tcW w:w="4887" w:type="dxa"/>
            <w:vAlign w:val="center"/>
          </w:tcPr>
          <w:p w:rsidR="009A20C0" w:rsidRPr="00A71D2E" w:rsidRDefault="009A20C0" w:rsidP="00F66363">
            <w:pPr>
              <w:rPr>
                <w:rFonts w:eastAsia="宋体" w:cs="Times New Roman"/>
                <w:sz w:val="18"/>
                <w:szCs w:val="18"/>
              </w:rPr>
            </w:pPr>
            <w:r w:rsidRPr="00A71D2E">
              <w:rPr>
                <w:rFonts w:eastAsia="宋体" w:cs="Times New Roman" w:hint="eastAsia"/>
                <w:sz w:val="18"/>
                <w:szCs w:val="18"/>
              </w:rPr>
              <w:t>实际缴纳的流转税税额</w:t>
            </w:r>
          </w:p>
        </w:tc>
        <w:tc>
          <w:tcPr>
            <w:tcW w:w="2448" w:type="dxa"/>
            <w:vAlign w:val="center"/>
          </w:tcPr>
          <w:p w:rsidR="009A20C0" w:rsidRPr="00A71D2E" w:rsidRDefault="009A20C0" w:rsidP="00F66363">
            <w:pPr>
              <w:jc w:val="center"/>
              <w:rPr>
                <w:rFonts w:eastAsia="宋体" w:cs="Times New Roman"/>
                <w:sz w:val="18"/>
                <w:szCs w:val="18"/>
              </w:rPr>
            </w:pPr>
            <w:r w:rsidRPr="00A71D2E">
              <w:rPr>
                <w:rFonts w:eastAsia="宋体" w:cs="Times New Roman"/>
                <w:sz w:val="18"/>
                <w:szCs w:val="18"/>
              </w:rPr>
              <w:t>3%</w:t>
            </w:r>
          </w:p>
        </w:tc>
      </w:tr>
      <w:tr w:rsidR="009A20C0" w:rsidRPr="00A71D2E" w:rsidTr="0027505B">
        <w:trPr>
          <w:trHeight w:val="20"/>
        </w:trPr>
        <w:tc>
          <w:tcPr>
            <w:tcW w:w="2110" w:type="dxa"/>
            <w:shd w:val="clear" w:color="auto" w:fill="D9D9D9" w:themeFill="background1" w:themeFillShade="D9"/>
            <w:vAlign w:val="center"/>
          </w:tcPr>
          <w:p w:rsidR="009A20C0" w:rsidRPr="00A71D2E" w:rsidRDefault="009A20C0" w:rsidP="00F66363">
            <w:pPr>
              <w:rPr>
                <w:rFonts w:eastAsia="宋体" w:cs="Times New Roman"/>
                <w:sz w:val="18"/>
                <w:szCs w:val="18"/>
              </w:rPr>
            </w:pPr>
            <w:r w:rsidRPr="00A71D2E">
              <w:rPr>
                <w:rFonts w:eastAsia="宋体" w:cs="Times New Roman" w:hint="eastAsia"/>
                <w:sz w:val="18"/>
                <w:szCs w:val="18"/>
              </w:rPr>
              <w:t>地方教育费附加</w:t>
            </w:r>
          </w:p>
        </w:tc>
        <w:tc>
          <w:tcPr>
            <w:tcW w:w="4887" w:type="dxa"/>
            <w:vAlign w:val="center"/>
          </w:tcPr>
          <w:p w:rsidR="009A20C0" w:rsidRPr="00A71D2E" w:rsidRDefault="009A20C0" w:rsidP="00F66363">
            <w:pPr>
              <w:rPr>
                <w:rFonts w:eastAsia="宋体" w:cs="Times New Roman"/>
                <w:sz w:val="18"/>
                <w:szCs w:val="18"/>
              </w:rPr>
            </w:pPr>
            <w:r w:rsidRPr="00A71D2E">
              <w:rPr>
                <w:rFonts w:eastAsia="宋体" w:cs="Times New Roman" w:hint="eastAsia"/>
                <w:sz w:val="18"/>
                <w:szCs w:val="18"/>
              </w:rPr>
              <w:t>实际缴纳的流转税税额</w:t>
            </w:r>
          </w:p>
        </w:tc>
        <w:tc>
          <w:tcPr>
            <w:tcW w:w="2448" w:type="dxa"/>
            <w:vAlign w:val="center"/>
          </w:tcPr>
          <w:p w:rsidR="009A20C0" w:rsidRPr="00A71D2E" w:rsidRDefault="009A20C0" w:rsidP="00F66363">
            <w:pPr>
              <w:jc w:val="center"/>
              <w:rPr>
                <w:rFonts w:eastAsia="宋体" w:cs="Times New Roman"/>
                <w:sz w:val="18"/>
                <w:szCs w:val="18"/>
              </w:rPr>
            </w:pPr>
            <w:r w:rsidRPr="00A71D2E">
              <w:rPr>
                <w:rFonts w:eastAsia="宋体" w:cs="Times New Roman"/>
                <w:sz w:val="18"/>
                <w:szCs w:val="18"/>
              </w:rPr>
              <w:t>2%</w:t>
            </w:r>
          </w:p>
        </w:tc>
      </w:tr>
      <w:tr w:rsidR="009A20C0" w:rsidRPr="00A71D2E" w:rsidTr="0027505B">
        <w:trPr>
          <w:trHeight w:val="20"/>
        </w:trPr>
        <w:tc>
          <w:tcPr>
            <w:tcW w:w="2110" w:type="dxa"/>
            <w:shd w:val="clear" w:color="auto" w:fill="D9D9D9" w:themeFill="background1" w:themeFillShade="D9"/>
            <w:vAlign w:val="center"/>
          </w:tcPr>
          <w:p w:rsidR="009A20C0" w:rsidRPr="00A71D2E" w:rsidRDefault="009A20C0" w:rsidP="00F66363">
            <w:pPr>
              <w:rPr>
                <w:rFonts w:eastAsia="宋体" w:cs="Times New Roman"/>
                <w:sz w:val="18"/>
                <w:szCs w:val="18"/>
              </w:rPr>
            </w:pPr>
            <w:r w:rsidRPr="00A71D2E">
              <w:rPr>
                <w:rFonts w:eastAsia="宋体" w:cs="Times New Roman" w:hint="eastAsia"/>
                <w:sz w:val="18"/>
                <w:szCs w:val="18"/>
              </w:rPr>
              <w:t>土地使用税</w:t>
            </w:r>
          </w:p>
        </w:tc>
        <w:tc>
          <w:tcPr>
            <w:tcW w:w="4887" w:type="dxa"/>
            <w:vAlign w:val="center"/>
          </w:tcPr>
          <w:p w:rsidR="009A20C0" w:rsidRPr="00A71D2E" w:rsidRDefault="009A20C0" w:rsidP="00F66363">
            <w:pPr>
              <w:rPr>
                <w:rFonts w:eastAsia="宋体" w:cs="Times New Roman"/>
                <w:sz w:val="18"/>
                <w:szCs w:val="18"/>
              </w:rPr>
            </w:pPr>
            <w:r w:rsidRPr="00A71D2E">
              <w:rPr>
                <w:rFonts w:eastAsia="宋体" w:cs="Times New Roman" w:hint="eastAsia"/>
                <w:sz w:val="18"/>
                <w:szCs w:val="18"/>
              </w:rPr>
              <w:t>土地面积</w:t>
            </w:r>
            <w:r w:rsidR="000D5E45" w:rsidRPr="00A71D2E">
              <w:rPr>
                <w:rFonts w:eastAsia="宋体" w:cs="Times New Roman"/>
                <w:sz w:val="18"/>
                <w:szCs w:val="18"/>
              </w:rPr>
              <w:t>10</w:t>
            </w:r>
            <w:r w:rsidRPr="00A71D2E">
              <w:rPr>
                <w:rFonts w:eastAsia="宋体" w:cs="Times New Roman" w:hint="eastAsia"/>
                <w:sz w:val="18"/>
                <w:szCs w:val="18"/>
              </w:rPr>
              <w:t>元</w:t>
            </w:r>
            <w:r w:rsidRPr="00A71D2E">
              <w:rPr>
                <w:rFonts w:eastAsia="宋体" w:cs="Times New Roman"/>
                <w:sz w:val="18"/>
                <w:szCs w:val="18"/>
              </w:rPr>
              <w:t>/</w:t>
            </w:r>
            <w:r w:rsidRPr="00A71D2E">
              <w:rPr>
                <w:rFonts w:eastAsia="宋体" w:cs="Times New Roman" w:hint="eastAsia"/>
                <w:sz w:val="18"/>
                <w:szCs w:val="18"/>
              </w:rPr>
              <w:t>平方米</w:t>
            </w:r>
          </w:p>
        </w:tc>
        <w:tc>
          <w:tcPr>
            <w:tcW w:w="2448" w:type="dxa"/>
            <w:vAlign w:val="center"/>
          </w:tcPr>
          <w:p w:rsidR="009A20C0" w:rsidRPr="00A71D2E" w:rsidRDefault="000D5E45" w:rsidP="00F66363">
            <w:pPr>
              <w:jc w:val="center"/>
              <w:rPr>
                <w:rFonts w:eastAsia="宋体" w:cs="Times New Roman"/>
                <w:sz w:val="18"/>
                <w:szCs w:val="18"/>
              </w:rPr>
            </w:pPr>
            <w:r w:rsidRPr="00A71D2E">
              <w:rPr>
                <w:rFonts w:eastAsia="宋体" w:cs="Times New Roman"/>
                <w:sz w:val="18"/>
                <w:szCs w:val="18"/>
              </w:rPr>
              <w:t>10</w:t>
            </w:r>
            <w:r w:rsidR="009A20C0" w:rsidRPr="00A71D2E">
              <w:rPr>
                <w:rFonts w:eastAsia="宋体" w:cs="Times New Roman" w:hint="eastAsia"/>
                <w:sz w:val="18"/>
                <w:szCs w:val="18"/>
              </w:rPr>
              <w:t>元</w:t>
            </w:r>
            <w:r w:rsidR="009A20C0" w:rsidRPr="00A71D2E">
              <w:rPr>
                <w:rFonts w:eastAsia="宋体" w:cs="Times New Roman"/>
                <w:sz w:val="18"/>
                <w:szCs w:val="18"/>
              </w:rPr>
              <w:t>/</w:t>
            </w:r>
            <w:r w:rsidR="009A20C0" w:rsidRPr="00A71D2E">
              <w:rPr>
                <w:rFonts w:eastAsia="宋体" w:cs="Times New Roman" w:hint="eastAsia"/>
                <w:sz w:val="18"/>
                <w:szCs w:val="18"/>
              </w:rPr>
              <w:t>平方米</w:t>
            </w:r>
          </w:p>
        </w:tc>
      </w:tr>
    </w:tbl>
    <w:p w:rsidR="004D3E07" w:rsidRPr="00DD203F" w:rsidRDefault="004D3E07" w:rsidP="00F66363">
      <w:pPr>
        <w:ind w:left="720"/>
        <w:jc w:val="both"/>
        <w:rPr>
          <w:rFonts w:eastAsia="宋体" w:cs="Times New Roman"/>
          <w:szCs w:val="21"/>
        </w:rPr>
      </w:pPr>
    </w:p>
    <w:p w:rsidR="0059465E" w:rsidRPr="00B6541F" w:rsidRDefault="00BD3E27" w:rsidP="00F66363">
      <w:pPr>
        <w:ind w:left="1440" w:hanging="720"/>
        <w:jc w:val="both"/>
        <w:rPr>
          <w:rFonts w:eastAsia="宋体" w:cs="Times New Roman"/>
          <w:spacing w:val="4"/>
          <w:szCs w:val="21"/>
        </w:rPr>
      </w:pPr>
      <w:r w:rsidRPr="00B6541F">
        <w:rPr>
          <w:rFonts w:eastAsia="宋体" w:cs="Times New Roman" w:hint="eastAsia"/>
          <w:spacing w:val="4"/>
          <w:szCs w:val="21"/>
        </w:rPr>
        <w:t>注</w:t>
      </w:r>
      <w:r w:rsidRPr="00B6541F">
        <w:rPr>
          <w:rFonts w:eastAsia="宋体" w:cs="Times New Roman"/>
          <w:spacing w:val="4"/>
          <w:szCs w:val="21"/>
        </w:rPr>
        <w:t>1</w:t>
      </w:r>
      <w:r w:rsidR="005F14EE" w:rsidRPr="00B6541F">
        <w:rPr>
          <w:rFonts w:eastAsia="宋体" w:cs="Times New Roman" w:hint="eastAsia"/>
          <w:spacing w:val="4"/>
          <w:szCs w:val="21"/>
        </w:rPr>
        <w:t>：</w:t>
      </w:r>
      <w:r w:rsidR="00A36EEA" w:rsidRPr="00B6541F">
        <w:rPr>
          <w:rFonts w:eastAsia="宋体" w:cs="Times New Roman"/>
          <w:spacing w:val="4"/>
          <w:szCs w:val="21"/>
        </w:rPr>
        <w:tab/>
      </w:r>
      <w:r w:rsidR="00F01C40" w:rsidRPr="00B6541F">
        <w:rPr>
          <w:rFonts w:eastAsia="宋体" w:cs="Times New Roman" w:hint="eastAsia"/>
          <w:spacing w:val="4"/>
          <w:szCs w:val="21"/>
        </w:rPr>
        <w:t>应纳增值税为销项税额减可抵扣进项税额后的余额，</w:t>
      </w:r>
      <w:r w:rsidR="00FC18A8" w:rsidRPr="00B6541F">
        <w:rPr>
          <w:rFonts w:eastAsia="宋体" w:cs="Times New Roman" w:hint="eastAsia"/>
          <w:spacing w:val="4"/>
          <w:szCs w:val="21"/>
        </w:rPr>
        <w:t>本集团营业收入中</w:t>
      </w:r>
      <w:r w:rsidR="00002E05" w:rsidRPr="00B6541F">
        <w:rPr>
          <w:rFonts w:eastAsia="宋体" w:cs="Times New Roman" w:hint="eastAsia"/>
          <w:spacing w:val="4"/>
          <w:szCs w:val="21"/>
        </w:rPr>
        <w:t>智能家居产品收入</w:t>
      </w:r>
      <w:r w:rsidR="005A7796" w:rsidRPr="00B6541F">
        <w:rPr>
          <w:rFonts w:eastAsia="宋体" w:cs="Times New Roman" w:hint="eastAsia"/>
          <w:spacing w:val="4"/>
          <w:szCs w:val="21"/>
        </w:rPr>
        <w:t>的</w:t>
      </w:r>
      <w:r w:rsidR="00F01C40" w:rsidRPr="00B6541F">
        <w:rPr>
          <w:rFonts w:eastAsia="宋体" w:cs="Times New Roman" w:hint="eastAsia"/>
          <w:spacing w:val="4"/>
          <w:szCs w:val="21"/>
        </w:rPr>
        <w:t>销项税额根据相关税收规定计算的销售额的</w:t>
      </w:r>
      <w:r w:rsidR="00F01C40" w:rsidRPr="00B6541F">
        <w:rPr>
          <w:rFonts w:eastAsia="宋体" w:cs="Times New Roman"/>
          <w:spacing w:val="4"/>
          <w:szCs w:val="21"/>
        </w:rPr>
        <w:t>13%</w:t>
      </w:r>
      <w:r w:rsidR="00286770" w:rsidRPr="00B6541F">
        <w:rPr>
          <w:rFonts w:eastAsia="宋体" w:cs="Times New Roman" w:hint="eastAsia"/>
          <w:spacing w:val="4"/>
          <w:szCs w:val="21"/>
        </w:rPr>
        <w:t>计算，</w:t>
      </w:r>
      <w:r w:rsidR="005A7796" w:rsidRPr="00B6541F">
        <w:rPr>
          <w:rFonts w:eastAsia="宋体" w:cs="Times New Roman" w:hint="eastAsia"/>
          <w:spacing w:val="4"/>
          <w:szCs w:val="21"/>
        </w:rPr>
        <w:t>物联网云平台收入的</w:t>
      </w:r>
      <w:r w:rsidR="00F01C40" w:rsidRPr="00B6541F">
        <w:rPr>
          <w:rFonts w:eastAsia="宋体" w:cs="Times New Roman" w:hint="eastAsia"/>
          <w:spacing w:val="4"/>
          <w:szCs w:val="21"/>
        </w:rPr>
        <w:t>销项税额根据相关税收规定计算的销售额的</w:t>
      </w:r>
      <w:r w:rsidR="00F01C40" w:rsidRPr="00B6541F">
        <w:rPr>
          <w:rFonts w:eastAsia="宋体" w:cs="Times New Roman"/>
          <w:spacing w:val="4"/>
          <w:szCs w:val="21"/>
        </w:rPr>
        <w:t>6%</w:t>
      </w:r>
      <w:r w:rsidR="00F01C40" w:rsidRPr="00B6541F">
        <w:rPr>
          <w:rFonts w:eastAsia="宋体" w:cs="Times New Roman" w:hint="eastAsia"/>
          <w:spacing w:val="4"/>
          <w:szCs w:val="21"/>
        </w:rPr>
        <w:t>计算。</w:t>
      </w:r>
    </w:p>
    <w:p w:rsidR="0059465E" w:rsidRPr="0027505B" w:rsidRDefault="0059465E" w:rsidP="00F66363">
      <w:pPr>
        <w:ind w:left="1440" w:hanging="720"/>
        <w:jc w:val="both"/>
        <w:rPr>
          <w:rFonts w:eastAsia="宋体" w:cs="Times New Roman"/>
          <w:spacing w:val="4"/>
          <w:szCs w:val="21"/>
        </w:rPr>
      </w:pPr>
    </w:p>
    <w:p w:rsidR="009B4A43" w:rsidRPr="00B6541F" w:rsidRDefault="009B4A43" w:rsidP="00384958">
      <w:pPr>
        <w:ind w:left="1440"/>
        <w:jc w:val="both"/>
        <w:rPr>
          <w:rFonts w:eastAsia="宋体" w:cs="Times New Roman"/>
          <w:szCs w:val="21"/>
        </w:rPr>
      </w:pPr>
      <w:r w:rsidRPr="00B6541F">
        <w:rPr>
          <w:rFonts w:eastAsia="宋体" w:cs="Times New Roman" w:hint="eastAsia"/>
          <w:szCs w:val="21"/>
        </w:rPr>
        <w:t>根据财政部、</w:t>
      </w:r>
      <w:r w:rsidR="00004D5F" w:rsidRPr="00B6541F">
        <w:rPr>
          <w:rFonts w:eastAsia="宋体" w:cs="Times New Roman" w:hint="eastAsia"/>
          <w:szCs w:val="21"/>
        </w:rPr>
        <w:t>国家</w:t>
      </w:r>
      <w:r w:rsidRPr="00B6541F">
        <w:rPr>
          <w:rFonts w:eastAsia="宋体" w:cs="Times New Roman" w:hint="eastAsia"/>
          <w:szCs w:val="21"/>
        </w:rPr>
        <w:t>税务总局《关于软件产品增值税政策的通知》</w:t>
      </w:r>
      <w:r w:rsidR="005F14EE" w:rsidRPr="00B6541F">
        <w:rPr>
          <w:rFonts w:eastAsia="宋体" w:cs="Times New Roman"/>
          <w:szCs w:val="21"/>
        </w:rPr>
        <w:t>(</w:t>
      </w:r>
      <w:r w:rsidRPr="00B6541F">
        <w:rPr>
          <w:rFonts w:eastAsia="宋体" w:cs="Times New Roman" w:hint="eastAsia"/>
          <w:szCs w:val="21"/>
        </w:rPr>
        <w:t>财税</w:t>
      </w:r>
      <w:r w:rsidRPr="00B6541F">
        <w:rPr>
          <w:rFonts w:eastAsia="宋体" w:cs="Times New Roman"/>
          <w:szCs w:val="21"/>
        </w:rPr>
        <w:t>[2011]100</w:t>
      </w:r>
      <w:r w:rsidRPr="00B6541F">
        <w:rPr>
          <w:rFonts w:eastAsia="宋体" w:cs="Times New Roman" w:hint="eastAsia"/>
          <w:szCs w:val="21"/>
        </w:rPr>
        <w:t>号</w:t>
      </w:r>
      <w:r w:rsidR="005F14EE" w:rsidRPr="00B6541F">
        <w:rPr>
          <w:rFonts w:eastAsia="宋体" w:cs="Times New Roman"/>
          <w:szCs w:val="21"/>
        </w:rPr>
        <w:t>)</w:t>
      </w:r>
      <w:r w:rsidRPr="00B6541F">
        <w:rPr>
          <w:rFonts w:eastAsia="宋体" w:cs="Times New Roman" w:hint="eastAsia"/>
          <w:szCs w:val="21"/>
        </w:rPr>
        <w:t>规定，本公司之子公司杭州萤石软件有限公司</w:t>
      </w:r>
      <w:r w:rsidR="005F14EE" w:rsidRPr="00B6541F">
        <w:rPr>
          <w:rFonts w:eastAsia="宋体" w:cs="Times New Roman"/>
          <w:szCs w:val="21"/>
        </w:rPr>
        <w:t>(</w:t>
      </w:r>
      <w:r w:rsidRPr="00B6541F">
        <w:rPr>
          <w:rFonts w:eastAsia="宋体" w:cs="Times New Roman"/>
          <w:szCs w:val="21"/>
        </w:rPr>
        <w:t>“</w:t>
      </w:r>
      <w:r w:rsidRPr="00B6541F">
        <w:rPr>
          <w:rFonts w:eastAsia="宋体" w:cs="Times New Roman" w:hint="eastAsia"/>
          <w:szCs w:val="21"/>
        </w:rPr>
        <w:t>萤石软件</w:t>
      </w:r>
      <w:r w:rsidRPr="00B6541F">
        <w:rPr>
          <w:rFonts w:eastAsia="宋体" w:cs="Times New Roman"/>
          <w:szCs w:val="21"/>
        </w:rPr>
        <w:t>”</w:t>
      </w:r>
      <w:r w:rsidR="005F14EE" w:rsidRPr="00B6541F">
        <w:rPr>
          <w:rFonts w:eastAsia="宋体" w:cs="Times New Roman"/>
          <w:szCs w:val="21"/>
        </w:rPr>
        <w:t>)</w:t>
      </w:r>
      <w:r w:rsidRPr="00B6541F">
        <w:rPr>
          <w:rFonts w:eastAsia="宋体" w:cs="Times New Roman" w:hint="eastAsia"/>
          <w:szCs w:val="21"/>
        </w:rPr>
        <w:t>自行开发研制的软件产品销售</w:t>
      </w:r>
      <w:r w:rsidR="007D4886" w:rsidRPr="00B6541F">
        <w:rPr>
          <w:rFonts w:eastAsia="宋体" w:cs="Times New Roman" w:hint="eastAsia"/>
          <w:szCs w:val="21"/>
        </w:rPr>
        <w:t>，</w:t>
      </w:r>
      <w:r w:rsidRPr="00B6541F">
        <w:rPr>
          <w:rFonts w:eastAsia="宋体" w:cs="Times New Roman" w:hint="eastAsia"/>
          <w:szCs w:val="21"/>
        </w:rPr>
        <w:t>其增值税实际税负超过</w:t>
      </w:r>
      <w:r w:rsidRPr="00B6541F">
        <w:rPr>
          <w:rFonts w:eastAsia="宋体" w:cs="Times New Roman"/>
          <w:szCs w:val="21"/>
        </w:rPr>
        <w:t>3%</w:t>
      </w:r>
      <w:r w:rsidRPr="00B6541F">
        <w:rPr>
          <w:rFonts w:eastAsia="宋体" w:cs="Times New Roman" w:hint="eastAsia"/>
          <w:szCs w:val="21"/>
        </w:rPr>
        <w:t>的部分经主管国家税务局审核后予以退税。</w:t>
      </w:r>
    </w:p>
    <w:p w:rsidR="006129ED" w:rsidRPr="00B6541F" w:rsidRDefault="006129ED" w:rsidP="00F66363">
      <w:pPr>
        <w:ind w:left="1440"/>
        <w:jc w:val="both"/>
        <w:rPr>
          <w:rFonts w:eastAsia="宋体" w:cs="Times New Roman"/>
          <w:szCs w:val="21"/>
        </w:rPr>
      </w:pPr>
    </w:p>
    <w:p w:rsidR="00F77CE2" w:rsidRPr="00B6541F" w:rsidRDefault="00F77CE2" w:rsidP="00F66363">
      <w:pPr>
        <w:ind w:left="1440" w:hanging="720"/>
        <w:jc w:val="both"/>
        <w:rPr>
          <w:rFonts w:eastAsia="宋体" w:cs="Times New Roman"/>
          <w:szCs w:val="21"/>
        </w:rPr>
      </w:pPr>
      <w:r w:rsidRPr="00B6541F">
        <w:rPr>
          <w:rFonts w:eastAsia="宋体" w:cs="Times New Roman" w:hint="eastAsia"/>
          <w:szCs w:val="21"/>
        </w:rPr>
        <w:t>注</w:t>
      </w:r>
      <w:r w:rsidRPr="00B6541F">
        <w:rPr>
          <w:rFonts w:eastAsia="宋体" w:cs="Times New Roman"/>
          <w:szCs w:val="21"/>
        </w:rPr>
        <w:t>2</w:t>
      </w:r>
      <w:r w:rsidR="005F14EE" w:rsidRPr="00B6541F">
        <w:rPr>
          <w:rFonts w:eastAsia="宋体" w:cs="Times New Roman" w:hint="eastAsia"/>
          <w:szCs w:val="21"/>
        </w:rPr>
        <w:t>：</w:t>
      </w:r>
      <w:r w:rsidR="00A36EEA" w:rsidRPr="00B6541F">
        <w:rPr>
          <w:rFonts w:eastAsia="宋体" w:cs="Times New Roman"/>
          <w:szCs w:val="21"/>
        </w:rPr>
        <w:tab/>
      </w:r>
      <w:r w:rsidRPr="00B6541F">
        <w:rPr>
          <w:rFonts w:eastAsia="宋体" w:cs="Times New Roman" w:hint="eastAsia"/>
          <w:szCs w:val="21"/>
        </w:rPr>
        <w:t>本集团主要注册地适用企业所得税税率如下</w:t>
      </w:r>
      <w:r w:rsidR="005F14EE" w:rsidRPr="00B6541F">
        <w:rPr>
          <w:rFonts w:eastAsia="宋体" w:cs="Times New Roman" w:hint="eastAsia"/>
          <w:szCs w:val="21"/>
        </w:rPr>
        <w:t>：</w:t>
      </w:r>
    </w:p>
    <w:p w:rsidR="00F77CE2" w:rsidRPr="0027505B" w:rsidRDefault="00F77CE2" w:rsidP="00F66363">
      <w:pPr>
        <w:ind w:left="720"/>
        <w:rPr>
          <w:rFonts w:eastAsia="宋体" w:cs="Times New Roman"/>
          <w:szCs w:val="21"/>
        </w:rPr>
      </w:pP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3"/>
        <w:gridCol w:w="2443"/>
        <w:gridCol w:w="2444"/>
      </w:tblGrid>
      <w:tr w:rsidR="00394A95" w:rsidRPr="00543355" w:rsidTr="0027505B">
        <w:trPr>
          <w:trHeight w:val="20"/>
        </w:trPr>
        <w:tc>
          <w:tcPr>
            <w:tcW w:w="4563" w:type="dxa"/>
            <w:shd w:val="clear" w:color="auto" w:fill="D9D9D9" w:themeFill="background1" w:themeFillShade="D9"/>
            <w:vAlign w:val="center"/>
            <w:hideMark/>
          </w:tcPr>
          <w:p w:rsidR="00394A95" w:rsidRPr="0027505B" w:rsidRDefault="00394A95" w:rsidP="00F66363">
            <w:pPr>
              <w:jc w:val="center"/>
              <w:rPr>
                <w:rFonts w:eastAsia="宋体" w:cs="Times New Roman"/>
                <w:sz w:val="20"/>
              </w:rPr>
            </w:pPr>
            <w:r w:rsidRPr="0027505B">
              <w:rPr>
                <w:rFonts w:eastAsia="宋体" w:cs="Times New Roman" w:hint="eastAsia"/>
                <w:sz w:val="20"/>
              </w:rPr>
              <w:t>纳税主体名称</w:t>
            </w:r>
          </w:p>
        </w:tc>
        <w:tc>
          <w:tcPr>
            <w:tcW w:w="2443" w:type="dxa"/>
            <w:shd w:val="clear" w:color="auto" w:fill="D9D9D9" w:themeFill="background1" w:themeFillShade="D9"/>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主要注册地</w:t>
            </w:r>
          </w:p>
        </w:tc>
        <w:tc>
          <w:tcPr>
            <w:tcW w:w="2444" w:type="dxa"/>
            <w:shd w:val="clear" w:color="auto" w:fill="D9D9D9" w:themeFill="background1" w:themeFillShade="D9"/>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税率</w:t>
            </w:r>
          </w:p>
        </w:tc>
      </w:tr>
      <w:tr w:rsidR="00394A95" w:rsidRPr="00543355" w:rsidTr="0027505B">
        <w:trPr>
          <w:trHeight w:val="20"/>
        </w:trPr>
        <w:tc>
          <w:tcPr>
            <w:tcW w:w="4563" w:type="dxa"/>
            <w:shd w:val="clear" w:color="auto" w:fill="D9D9D9" w:themeFill="background1" w:themeFillShade="D9"/>
            <w:vAlign w:val="center"/>
            <w:hideMark/>
          </w:tcPr>
          <w:p w:rsidR="00394A95" w:rsidRPr="0027505B" w:rsidRDefault="00394A95" w:rsidP="00F66363">
            <w:pPr>
              <w:rPr>
                <w:rFonts w:eastAsia="宋体" w:cs="Times New Roman"/>
                <w:sz w:val="20"/>
              </w:rPr>
            </w:pPr>
            <w:r w:rsidRPr="0027505B">
              <w:rPr>
                <w:rFonts w:eastAsia="宋体" w:cs="Times New Roman" w:hint="eastAsia"/>
                <w:sz w:val="20"/>
              </w:rPr>
              <w:t>本公司</w:t>
            </w:r>
          </w:p>
        </w:tc>
        <w:tc>
          <w:tcPr>
            <w:tcW w:w="2443" w:type="dxa"/>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浙江杭州</w:t>
            </w:r>
          </w:p>
        </w:tc>
        <w:tc>
          <w:tcPr>
            <w:tcW w:w="2444" w:type="dxa"/>
            <w:vAlign w:val="center"/>
          </w:tcPr>
          <w:p w:rsidR="00394A95" w:rsidRPr="0027505B" w:rsidRDefault="00394A95" w:rsidP="00F66363">
            <w:pPr>
              <w:jc w:val="center"/>
              <w:rPr>
                <w:rFonts w:eastAsia="宋体" w:cs="Times New Roman"/>
                <w:sz w:val="20"/>
              </w:rPr>
            </w:pPr>
            <w:r w:rsidRPr="0027505B">
              <w:rPr>
                <w:rFonts w:eastAsia="宋体" w:cs="Times New Roman"/>
                <w:sz w:val="20"/>
              </w:rPr>
              <w:t>25%</w:t>
            </w:r>
          </w:p>
        </w:tc>
      </w:tr>
      <w:tr w:rsidR="00394A95" w:rsidRPr="00543355" w:rsidTr="0027505B">
        <w:trPr>
          <w:trHeight w:val="20"/>
        </w:trPr>
        <w:tc>
          <w:tcPr>
            <w:tcW w:w="4563" w:type="dxa"/>
            <w:shd w:val="clear" w:color="auto" w:fill="D9D9D9" w:themeFill="background1" w:themeFillShade="D9"/>
            <w:vAlign w:val="center"/>
            <w:hideMark/>
          </w:tcPr>
          <w:p w:rsidR="00394A95" w:rsidRPr="0027505B" w:rsidRDefault="00394A95" w:rsidP="00F66363">
            <w:pPr>
              <w:rPr>
                <w:rFonts w:eastAsia="宋体" w:cs="Times New Roman"/>
                <w:sz w:val="20"/>
              </w:rPr>
            </w:pPr>
            <w:proofErr w:type="spellStart"/>
            <w:r w:rsidRPr="0027505B">
              <w:rPr>
                <w:rFonts w:eastAsia="宋体" w:cs="Times New Roman"/>
                <w:sz w:val="20"/>
              </w:rPr>
              <w:t>Ezviz</w:t>
            </w:r>
            <w:proofErr w:type="spellEnd"/>
            <w:r w:rsidRPr="0027505B">
              <w:rPr>
                <w:rFonts w:eastAsia="宋体" w:cs="Times New Roman"/>
                <w:sz w:val="20"/>
              </w:rPr>
              <w:t xml:space="preserve"> Inc. </w:t>
            </w:r>
            <w:r w:rsidR="005F14EE" w:rsidRPr="0027505B">
              <w:rPr>
                <w:rFonts w:eastAsia="宋体" w:cs="Times New Roman"/>
                <w:sz w:val="20"/>
              </w:rPr>
              <w:t>(</w:t>
            </w:r>
            <w:r w:rsidRPr="0027505B">
              <w:rPr>
                <w:rFonts w:eastAsia="宋体" w:cs="Times New Roman"/>
                <w:sz w:val="20"/>
              </w:rPr>
              <w:t>“</w:t>
            </w:r>
            <w:r w:rsidRPr="0027505B">
              <w:rPr>
                <w:rFonts w:eastAsia="宋体" w:cs="Times New Roman" w:hint="eastAsia"/>
                <w:sz w:val="20"/>
              </w:rPr>
              <w:t>美国萤石</w:t>
            </w:r>
            <w:r w:rsidRPr="0027505B">
              <w:rPr>
                <w:rFonts w:eastAsia="宋体" w:cs="Times New Roman"/>
                <w:sz w:val="20"/>
              </w:rPr>
              <w:t>”</w:t>
            </w:r>
            <w:r w:rsidR="005F14EE" w:rsidRPr="0027505B">
              <w:rPr>
                <w:rFonts w:eastAsia="宋体" w:cs="Times New Roman"/>
                <w:sz w:val="20"/>
              </w:rPr>
              <w:t>)</w:t>
            </w:r>
          </w:p>
        </w:tc>
        <w:tc>
          <w:tcPr>
            <w:tcW w:w="2443" w:type="dxa"/>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美国</w:t>
            </w:r>
          </w:p>
        </w:tc>
        <w:tc>
          <w:tcPr>
            <w:tcW w:w="2444" w:type="dxa"/>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联邦税</w:t>
            </w:r>
            <w:r w:rsidR="005F14EE" w:rsidRPr="0027505B">
              <w:rPr>
                <w:rFonts w:eastAsia="宋体" w:cs="Times New Roman" w:hint="eastAsia"/>
                <w:sz w:val="20"/>
              </w:rPr>
              <w:t>：</w:t>
            </w:r>
            <w:r w:rsidRPr="0027505B">
              <w:rPr>
                <w:rFonts w:eastAsia="宋体" w:cs="Times New Roman"/>
                <w:sz w:val="20"/>
              </w:rPr>
              <w:t>21%</w:t>
            </w:r>
            <w:r w:rsidRPr="0027505B">
              <w:rPr>
                <w:rFonts w:eastAsia="宋体" w:cs="Times New Roman" w:hint="eastAsia"/>
                <w:sz w:val="20"/>
              </w:rPr>
              <w:t>及</w:t>
            </w:r>
          </w:p>
          <w:p w:rsidR="00394A95" w:rsidRPr="0027505B" w:rsidRDefault="00394A95" w:rsidP="00F66363">
            <w:pPr>
              <w:jc w:val="center"/>
              <w:rPr>
                <w:rFonts w:eastAsia="宋体" w:cs="Times New Roman"/>
                <w:sz w:val="20"/>
              </w:rPr>
            </w:pPr>
            <w:r w:rsidRPr="0027505B">
              <w:rPr>
                <w:rFonts w:eastAsia="宋体" w:cs="Times New Roman" w:hint="eastAsia"/>
                <w:sz w:val="20"/>
              </w:rPr>
              <w:t>加利福尼亚州税</w:t>
            </w:r>
            <w:r w:rsidR="005F14EE" w:rsidRPr="0027505B">
              <w:rPr>
                <w:rFonts w:eastAsia="宋体" w:cs="Times New Roman" w:hint="eastAsia"/>
                <w:sz w:val="20"/>
              </w:rPr>
              <w:t>：</w:t>
            </w:r>
            <w:r w:rsidRPr="0027505B">
              <w:rPr>
                <w:rFonts w:eastAsia="宋体" w:cs="Times New Roman"/>
                <w:sz w:val="20"/>
              </w:rPr>
              <w:t>8.84%</w:t>
            </w:r>
          </w:p>
        </w:tc>
      </w:tr>
      <w:tr w:rsidR="00394A95" w:rsidRPr="00543355" w:rsidTr="0027505B">
        <w:trPr>
          <w:trHeight w:val="20"/>
        </w:trPr>
        <w:tc>
          <w:tcPr>
            <w:tcW w:w="4563" w:type="dxa"/>
            <w:shd w:val="clear" w:color="auto" w:fill="D9D9D9" w:themeFill="background1" w:themeFillShade="D9"/>
            <w:vAlign w:val="center"/>
            <w:hideMark/>
          </w:tcPr>
          <w:p w:rsidR="00394A95" w:rsidRPr="0027505B" w:rsidRDefault="00394A95" w:rsidP="00F66363">
            <w:pPr>
              <w:rPr>
                <w:rFonts w:eastAsia="宋体" w:cs="Times New Roman"/>
                <w:sz w:val="20"/>
              </w:rPr>
            </w:pPr>
            <w:proofErr w:type="spellStart"/>
            <w:r w:rsidRPr="0027505B">
              <w:rPr>
                <w:rFonts w:eastAsia="宋体" w:cs="Times New Roman"/>
                <w:sz w:val="20"/>
              </w:rPr>
              <w:t>Ezviz</w:t>
            </w:r>
            <w:proofErr w:type="spellEnd"/>
            <w:r w:rsidRPr="0027505B">
              <w:rPr>
                <w:rFonts w:eastAsia="宋体" w:cs="Times New Roman"/>
                <w:sz w:val="20"/>
              </w:rPr>
              <w:t xml:space="preserve"> International Limited</w:t>
            </w:r>
            <w:r w:rsidR="0095353C" w:rsidRPr="0027505B">
              <w:rPr>
                <w:rFonts w:eastAsia="宋体" w:cs="Times New Roman"/>
                <w:sz w:val="20"/>
              </w:rPr>
              <w:t xml:space="preserve"> </w:t>
            </w:r>
            <w:r w:rsidR="005F14EE" w:rsidRPr="0027505B">
              <w:rPr>
                <w:rFonts w:eastAsia="宋体" w:cs="Times New Roman"/>
                <w:sz w:val="20"/>
              </w:rPr>
              <w:t>(</w:t>
            </w:r>
            <w:r w:rsidRPr="0027505B">
              <w:rPr>
                <w:rFonts w:eastAsia="宋体" w:cs="Times New Roman"/>
                <w:sz w:val="20"/>
              </w:rPr>
              <w:t>“</w:t>
            </w:r>
            <w:r w:rsidRPr="0027505B">
              <w:rPr>
                <w:rFonts w:eastAsia="宋体" w:cs="Times New Roman" w:hint="eastAsia"/>
                <w:sz w:val="20"/>
              </w:rPr>
              <w:t>香港萤石</w:t>
            </w:r>
            <w:r w:rsidRPr="0027505B">
              <w:rPr>
                <w:rFonts w:eastAsia="宋体" w:cs="Times New Roman"/>
                <w:sz w:val="20"/>
              </w:rPr>
              <w:t>”</w:t>
            </w:r>
            <w:r w:rsidR="005F14EE" w:rsidRPr="0027505B">
              <w:rPr>
                <w:rFonts w:eastAsia="宋体" w:cs="Times New Roman"/>
                <w:sz w:val="20"/>
              </w:rPr>
              <w:t>)</w:t>
            </w:r>
          </w:p>
        </w:tc>
        <w:tc>
          <w:tcPr>
            <w:tcW w:w="2443" w:type="dxa"/>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中国香港</w:t>
            </w:r>
          </w:p>
        </w:tc>
        <w:tc>
          <w:tcPr>
            <w:tcW w:w="2444" w:type="dxa"/>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离岸豁免</w:t>
            </w:r>
          </w:p>
        </w:tc>
      </w:tr>
      <w:tr w:rsidR="00394A95" w:rsidRPr="00543355" w:rsidTr="0027505B">
        <w:trPr>
          <w:trHeight w:val="20"/>
        </w:trPr>
        <w:tc>
          <w:tcPr>
            <w:tcW w:w="4563" w:type="dxa"/>
            <w:shd w:val="clear" w:color="auto" w:fill="D9D9D9" w:themeFill="background1" w:themeFillShade="D9"/>
            <w:vAlign w:val="center"/>
            <w:hideMark/>
          </w:tcPr>
          <w:p w:rsidR="00394A95" w:rsidRPr="0027505B" w:rsidRDefault="00394A95" w:rsidP="00F66363">
            <w:pPr>
              <w:rPr>
                <w:rFonts w:eastAsia="宋体" w:cs="Times New Roman"/>
                <w:sz w:val="20"/>
              </w:rPr>
            </w:pPr>
            <w:proofErr w:type="spellStart"/>
            <w:r w:rsidRPr="0027505B">
              <w:rPr>
                <w:rFonts w:eastAsia="宋体" w:cs="Times New Roman"/>
                <w:sz w:val="20"/>
              </w:rPr>
              <w:t>Ezviz</w:t>
            </w:r>
            <w:proofErr w:type="spellEnd"/>
            <w:r w:rsidRPr="0027505B">
              <w:rPr>
                <w:rFonts w:eastAsia="宋体" w:cs="Times New Roman"/>
                <w:sz w:val="20"/>
              </w:rPr>
              <w:t xml:space="preserve"> Europe B.V.</w:t>
            </w:r>
            <w:r w:rsidR="0095353C" w:rsidRPr="0027505B">
              <w:rPr>
                <w:rFonts w:eastAsia="宋体" w:cs="Times New Roman"/>
                <w:sz w:val="20"/>
              </w:rPr>
              <w:t xml:space="preserve"> </w:t>
            </w:r>
            <w:r w:rsidR="005F14EE" w:rsidRPr="0027505B">
              <w:rPr>
                <w:rFonts w:eastAsia="宋体" w:cs="Times New Roman"/>
                <w:sz w:val="20"/>
              </w:rPr>
              <w:t>(</w:t>
            </w:r>
            <w:r w:rsidRPr="0027505B">
              <w:rPr>
                <w:rFonts w:eastAsia="宋体" w:cs="Times New Roman"/>
                <w:sz w:val="20"/>
              </w:rPr>
              <w:t>“</w:t>
            </w:r>
            <w:r w:rsidRPr="0027505B">
              <w:rPr>
                <w:rFonts w:eastAsia="宋体" w:cs="Times New Roman" w:hint="eastAsia"/>
                <w:sz w:val="20"/>
              </w:rPr>
              <w:t>欧洲萤石</w:t>
            </w:r>
            <w:proofErr w:type="gramStart"/>
            <w:r w:rsidRPr="0027505B">
              <w:rPr>
                <w:rFonts w:eastAsia="宋体" w:cs="Times New Roman"/>
                <w:sz w:val="20"/>
              </w:rPr>
              <w:t>”</w:t>
            </w:r>
            <w:r w:rsidR="005F14EE" w:rsidRPr="0027505B">
              <w:rPr>
                <w:rFonts w:eastAsia="宋体" w:cs="Times New Roman"/>
                <w:sz w:val="20"/>
              </w:rPr>
              <w:t>)(</w:t>
            </w:r>
            <w:proofErr w:type="gramEnd"/>
            <w:r w:rsidRPr="0027505B">
              <w:rPr>
                <w:rFonts w:eastAsia="宋体" w:cs="Times New Roman" w:hint="eastAsia"/>
                <w:sz w:val="20"/>
              </w:rPr>
              <w:t>注</w:t>
            </w:r>
            <w:r w:rsidRPr="0027505B">
              <w:rPr>
                <w:rFonts w:eastAsia="宋体" w:cs="Times New Roman"/>
                <w:sz w:val="20"/>
              </w:rPr>
              <w:t>2.1</w:t>
            </w:r>
            <w:r w:rsidR="005F14EE" w:rsidRPr="0027505B">
              <w:rPr>
                <w:rFonts w:eastAsia="宋体" w:cs="Times New Roman"/>
                <w:sz w:val="20"/>
              </w:rPr>
              <w:t>)</w:t>
            </w:r>
          </w:p>
        </w:tc>
        <w:tc>
          <w:tcPr>
            <w:tcW w:w="2443" w:type="dxa"/>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欧洲</w:t>
            </w:r>
          </w:p>
        </w:tc>
        <w:tc>
          <w:tcPr>
            <w:tcW w:w="2444" w:type="dxa"/>
            <w:vAlign w:val="center"/>
          </w:tcPr>
          <w:p w:rsidR="00394A95" w:rsidRPr="0027505B" w:rsidRDefault="00394A95" w:rsidP="00F66363">
            <w:pPr>
              <w:jc w:val="center"/>
              <w:rPr>
                <w:rFonts w:eastAsia="宋体" w:cs="Times New Roman"/>
                <w:sz w:val="20"/>
              </w:rPr>
            </w:pPr>
            <w:r w:rsidRPr="0027505B">
              <w:rPr>
                <w:rFonts w:eastAsia="宋体" w:cs="Times New Roman"/>
                <w:sz w:val="20"/>
              </w:rPr>
              <w:t>1</w:t>
            </w:r>
            <w:r w:rsidR="003D16AB" w:rsidRPr="0027505B">
              <w:rPr>
                <w:rFonts w:eastAsia="宋体" w:cs="Times New Roman"/>
                <w:sz w:val="20"/>
              </w:rPr>
              <w:t>9</w:t>
            </w:r>
            <w:r w:rsidRPr="0027505B">
              <w:rPr>
                <w:rFonts w:eastAsia="宋体" w:cs="Times New Roman"/>
                <w:sz w:val="20"/>
              </w:rPr>
              <w:t>%</w:t>
            </w:r>
            <w:r w:rsidRPr="0027505B">
              <w:rPr>
                <w:rFonts w:eastAsia="宋体" w:cs="Times New Roman" w:hint="eastAsia"/>
                <w:sz w:val="20"/>
              </w:rPr>
              <w:t>或</w:t>
            </w:r>
            <w:r w:rsidRPr="0027505B">
              <w:rPr>
                <w:rFonts w:eastAsia="宋体" w:cs="Times New Roman"/>
                <w:sz w:val="20"/>
              </w:rPr>
              <w:t>25.8%</w:t>
            </w:r>
          </w:p>
        </w:tc>
      </w:tr>
      <w:tr w:rsidR="00394A95" w:rsidRPr="00543355" w:rsidTr="0027505B">
        <w:trPr>
          <w:trHeight w:val="20"/>
        </w:trPr>
        <w:tc>
          <w:tcPr>
            <w:tcW w:w="4563" w:type="dxa"/>
            <w:shd w:val="clear" w:color="auto" w:fill="D9D9D9" w:themeFill="background1" w:themeFillShade="D9"/>
            <w:vAlign w:val="center"/>
            <w:hideMark/>
          </w:tcPr>
          <w:p w:rsidR="00394A95" w:rsidRPr="0027505B" w:rsidRDefault="00394A95" w:rsidP="00F66363">
            <w:pPr>
              <w:rPr>
                <w:rFonts w:eastAsia="宋体" w:cs="Times New Roman"/>
                <w:snapToGrid w:val="0"/>
                <w:kern w:val="2"/>
                <w:sz w:val="20"/>
              </w:rPr>
            </w:pPr>
            <w:r w:rsidRPr="0027505B">
              <w:rPr>
                <w:rFonts w:eastAsia="宋体" w:cs="Times New Roman" w:hint="eastAsia"/>
                <w:sz w:val="20"/>
              </w:rPr>
              <w:t>萤石软件</w:t>
            </w:r>
            <w:r w:rsidR="0095353C" w:rsidRPr="0027505B">
              <w:rPr>
                <w:rFonts w:eastAsia="宋体" w:cs="Times New Roman"/>
                <w:sz w:val="20"/>
              </w:rPr>
              <w:t xml:space="preserve"> </w:t>
            </w:r>
            <w:r w:rsidR="005F14EE" w:rsidRPr="0027505B">
              <w:rPr>
                <w:rFonts w:eastAsia="宋体" w:cs="Times New Roman"/>
                <w:sz w:val="20"/>
              </w:rPr>
              <w:t>(</w:t>
            </w:r>
            <w:r w:rsidRPr="0027505B">
              <w:rPr>
                <w:rFonts w:eastAsia="宋体" w:cs="Times New Roman" w:hint="eastAsia"/>
                <w:sz w:val="20"/>
              </w:rPr>
              <w:t>注</w:t>
            </w:r>
            <w:r w:rsidRPr="0027505B">
              <w:rPr>
                <w:rFonts w:eastAsia="宋体" w:cs="Times New Roman"/>
                <w:sz w:val="20"/>
              </w:rPr>
              <w:t>2.2</w:t>
            </w:r>
            <w:r w:rsidR="005F14EE" w:rsidRPr="0027505B">
              <w:rPr>
                <w:rFonts w:eastAsia="宋体" w:cs="Times New Roman"/>
                <w:sz w:val="20"/>
              </w:rPr>
              <w:t>)</w:t>
            </w:r>
          </w:p>
        </w:tc>
        <w:tc>
          <w:tcPr>
            <w:tcW w:w="2443" w:type="dxa"/>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浙江杭州</w:t>
            </w:r>
          </w:p>
        </w:tc>
        <w:tc>
          <w:tcPr>
            <w:tcW w:w="2444" w:type="dxa"/>
            <w:vAlign w:val="center"/>
          </w:tcPr>
          <w:p w:rsidR="00394A95" w:rsidRPr="0027505B" w:rsidRDefault="00394A95" w:rsidP="00F66363">
            <w:pPr>
              <w:jc w:val="center"/>
              <w:rPr>
                <w:rFonts w:eastAsia="宋体" w:cs="Times New Roman"/>
                <w:sz w:val="20"/>
              </w:rPr>
            </w:pPr>
            <w:r w:rsidRPr="0027505B">
              <w:rPr>
                <w:rFonts w:eastAsia="宋体" w:cs="Times New Roman"/>
                <w:sz w:val="20"/>
              </w:rPr>
              <w:t>12.5%</w:t>
            </w:r>
          </w:p>
        </w:tc>
      </w:tr>
      <w:tr w:rsidR="00394A95" w:rsidRPr="00543355" w:rsidTr="0027505B">
        <w:trPr>
          <w:trHeight w:val="20"/>
        </w:trPr>
        <w:tc>
          <w:tcPr>
            <w:tcW w:w="4563" w:type="dxa"/>
            <w:shd w:val="clear" w:color="auto" w:fill="D9D9D9" w:themeFill="background1" w:themeFillShade="D9"/>
            <w:vAlign w:val="center"/>
          </w:tcPr>
          <w:p w:rsidR="00394A95" w:rsidRPr="0027505B" w:rsidRDefault="00394A95" w:rsidP="00F66363">
            <w:pPr>
              <w:rPr>
                <w:rFonts w:eastAsia="宋体" w:cs="Times New Roman"/>
                <w:sz w:val="20"/>
              </w:rPr>
            </w:pPr>
            <w:r w:rsidRPr="0027505B">
              <w:rPr>
                <w:rFonts w:eastAsia="宋体" w:cs="Times New Roman" w:hint="eastAsia"/>
                <w:sz w:val="20"/>
              </w:rPr>
              <w:t>重庆萤石电子有限公司</w:t>
            </w:r>
            <w:r w:rsidR="0095353C" w:rsidRPr="0027505B">
              <w:rPr>
                <w:rFonts w:eastAsia="宋体" w:cs="Times New Roman"/>
                <w:sz w:val="20"/>
              </w:rPr>
              <w:t xml:space="preserve"> </w:t>
            </w:r>
            <w:r w:rsidR="005F14EE" w:rsidRPr="0027505B">
              <w:rPr>
                <w:rFonts w:eastAsia="宋体" w:cs="Times New Roman"/>
                <w:sz w:val="20"/>
              </w:rPr>
              <w:t>(</w:t>
            </w:r>
            <w:r w:rsidRPr="0027505B">
              <w:rPr>
                <w:rFonts w:eastAsia="宋体" w:cs="Times New Roman"/>
                <w:sz w:val="20"/>
              </w:rPr>
              <w:t>“</w:t>
            </w:r>
            <w:r w:rsidRPr="0027505B">
              <w:rPr>
                <w:rFonts w:eastAsia="宋体" w:cs="Times New Roman" w:hint="eastAsia"/>
                <w:sz w:val="20"/>
              </w:rPr>
              <w:t>重庆萤石</w:t>
            </w:r>
            <w:r w:rsidRPr="0027505B">
              <w:rPr>
                <w:rFonts w:eastAsia="宋体" w:cs="Times New Roman"/>
                <w:sz w:val="20"/>
              </w:rPr>
              <w:t>”</w:t>
            </w:r>
            <w:r w:rsidR="005F14EE" w:rsidRPr="0027505B">
              <w:rPr>
                <w:rFonts w:eastAsia="宋体" w:cs="Times New Roman"/>
                <w:sz w:val="20"/>
              </w:rPr>
              <w:t>)(</w:t>
            </w:r>
            <w:r w:rsidRPr="0027505B">
              <w:rPr>
                <w:rFonts w:eastAsia="宋体" w:cs="Times New Roman" w:hint="eastAsia"/>
                <w:sz w:val="20"/>
              </w:rPr>
              <w:t>注</w:t>
            </w:r>
            <w:r w:rsidRPr="0027505B">
              <w:rPr>
                <w:rFonts w:eastAsia="宋体" w:cs="Times New Roman"/>
                <w:sz w:val="20"/>
              </w:rPr>
              <w:t>2.3</w:t>
            </w:r>
            <w:r w:rsidR="005F14EE" w:rsidRPr="0027505B">
              <w:rPr>
                <w:rFonts w:eastAsia="宋体" w:cs="Times New Roman"/>
                <w:sz w:val="20"/>
              </w:rPr>
              <w:t>)</w:t>
            </w:r>
          </w:p>
        </w:tc>
        <w:tc>
          <w:tcPr>
            <w:tcW w:w="2443" w:type="dxa"/>
            <w:vAlign w:val="center"/>
          </w:tcPr>
          <w:p w:rsidR="00394A95" w:rsidRPr="0027505B" w:rsidRDefault="00394A95" w:rsidP="00F66363">
            <w:pPr>
              <w:jc w:val="center"/>
              <w:rPr>
                <w:rFonts w:eastAsia="宋体" w:cs="Times New Roman"/>
                <w:sz w:val="20"/>
              </w:rPr>
            </w:pPr>
            <w:r w:rsidRPr="0027505B">
              <w:rPr>
                <w:rFonts w:eastAsia="宋体" w:cs="Times New Roman" w:hint="eastAsia"/>
                <w:sz w:val="20"/>
              </w:rPr>
              <w:t>重庆市</w:t>
            </w:r>
          </w:p>
        </w:tc>
        <w:tc>
          <w:tcPr>
            <w:tcW w:w="2444" w:type="dxa"/>
            <w:vAlign w:val="center"/>
          </w:tcPr>
          <w:p w:rsidR="00394A95" w:rsidRPr="0027505B" w:rsidRDefault="00394A95" w:rsidP="00F66363">
            <w:pPr>
              <w:jc w:val="center"/>
              <w:rPr>
                <w:rFonts w:eastAsia="宋体" w:cs="Times New Roman"/>
                <w:sz w:val="20"/>
              </w:rPr>
            </w:pPr>
            <w:r w:rsidRPr="0027505B">
              <w:rPr>
                <w:rFonts w:eastAsia="宋体" w:cs="Times New Roman"/>
                <w:sz w:val="20"/>
              </w:rPr>
              <w:t>15%</w:t>
            </w:r>
          </w:p>
        </w:tc>
      </w:tr>
    </w:tbl>
    <w:p w:rsidR="000C0A91" w:rsidRPr="0027505B" w:rsidRDefault="000C0A91">
      <w:pPr>
        <w:ind w:left="720"/>
        <w:jc w:val="both"/>
        <w:rPr>
          <w:rFonts w:eastAsia="宋体" w:cs="Times New Roman"/>
          <w:szCs w:val="21"/>
        </w:rPr>
      </w:pPr>
    </w:p>
    <w:p w:rsidR="00C97723" w:rsidRPr="0069399D" w:rsidRDefault="00EE1F95">
      <w:pPr>
        <w:ind w:left="1530" w:hanging="810"/>
        <w:jc w:val="both"/>
        <w:rPr>
          <w:rFonts w:eastAsia="宋体" w:cs="Times New Roman"/>
          <w:szCs w:val="21"/>
        </w:rPr>
      </w:pPr>
      <w:r w:rsidRPr="0069399D">
        <w:rPr>
          <w:rFonts w:eastAsia="宋体" w:cs="Times New Roman" w:hint="eastAsia"/>
          <w:szCs w:val="21"/>
          <w:lang w:val="en-GB"/>
        </w:rPr>
        <w:t>注</w:t>
      </w:r>
      <w:r w:rsidRPr="0069399D">
        <w:rPr>
          <w:rFonts w:eastAsia="宋体" w:cs="Times New Roman"/>
          <w:szCs w:val="21"/>
          <w:lang w:val="en-GB"/>
        </w:rPr>
        <w:t>2.</w:t>
      </w:r>
      <w:r w:rsidR="00394A95" w:rsidRPr="0069399D">
        <w:rPr>
          <w:rFonts w:eastAsia="宋体" w:cs="Times New Roman"/>
          <w:szCs w:val="21"/>
          <w:lang w:val="en-GB"/>
        </w:rPr>
        <w:t>1</w:t>
      </w:r>
      <w:r w:rsidR="005F14EE" w:rsidRPr="0069399D">
        <w:rPr>
          <w:rFonts w:eastAsia="宋体" w:cs="Times New Roman" w:hint="eastAsia"/>
          <w:szCs w:val="21"/>
          <w:lang w:val="en-GB"/>
        </w:rPr>
        <w:t>：</w:t>
      </w:r>
      <w:r w:rsidR="00B62A39" w:rsidRPr="0069399D">
        <w:rPr>
          <w:rFonts w:eastAsia="宋体" w:cs="Times New Roman"/>
          <w:szCs w:val="21"/>
          <w:lang w:val="en-GB"/>
        </w:rPr>
        <w:tab/>
      </w:r>
      <w:r w:rsidR="00394A95" w:rsidRPr="0069399D">
        <w:rPr>
          <w:rFonts w:eastAsia="宋体" w:cs="Times New Roman" w:hint="eastAsia"/>
          <w:szCs w:val="21"/>
          <w:lang w:val="en-GB"/>
        </w:rPr>
        <w:t>本</w:t>
      </w:r>
      <w:r w:rsidR="003B5773" w:rsidRPr="0069399D">
        <w:rPr>
          <w:rFonts w:eastAsia="宋体" w:cs="Times New Roman" w:hint="eastAsia"/>
          <w:szCs w:val="21"/>
          <w:lang w:val="en-GB"/>
        </w:rPr>
        <w:t>年度</w:t>
      </w:r>
      <w:r w:rsidR="009471C3" w:rsidRPr="0069399D">
        <w:rPr>
          <w:rFonts w:eastAsia="宋体" w:cs="Times New Roman" w:hint="eastAsia"/>
          <w:szCs w:val="21"/>
          <w:lang w:val="en-GB"/>
        </w:rPr>
        <w:t>，欧洲萤石所得税针对应纳税所得额不超过</w:t>
      </w:r>
      <w:r w:rsidR="003D16AB" w:rsidRPr="0069399D">
        <w:rPr>
          <w:rFonts w:eastAsia="宋体" w:cs="Times New Roman"/>
          <w:szCs w:val="21"/>
          <w:lang w:val="en-GB"/>
        </w:rPr>
        <w:t>20</w:t>
      </w:r>
      <w:r w:rsidR="009471C3" w:rsidRPr="0069399D">
        <w:rPr>
          <w:rFonts w:eastAsia="宋体" w:cs="Times New Roman" w:hint="eastAsia"/>
          <w:szCs w:val="21"/>
          <w:lang w:val="en-GB"/>
        </w:rPr>
        <w:t>万欧元的部分，适用税率为</w:t>
      </w:r>
      <w:r w:rsidR="009471C3" w:rsidRPr="0069399D">
        <w:rPr>
          <w:rFonts w:eastAsia="宋体" w:cs="Times New Roman"/>
          <w:szCs w:val="21"/>
          <w:lang w:val="en-GB"/>
        </w:rPr>
        <w:t>1</w:t>
      </w:r>
      <w:r w:rsidR="003D16AB" w:rsidRPr="0069399D">
        <w:rPr>
          <w:rFonts w:eastAsia="宋体" w:cs="Times New Roman"/>
          <w:szCs w:val="21"/>
          <w:lang w:val="en-GB"/>
        </w:rPr>
        <w:t>9</w:t>
      </w:r>
      <w:r w:rsidR="009471C3" w:rsidRPr="0069399D">
        <w:rPr>
          <w:rFonts w:eastAsia="宋体" w:cs="Times New Roman"/>
          <w:szCs w:val="21"/>
          <w:lang w:val="en-GB"/>
        </w:rPr>
        <w:t>%</w:t>
      </w:r>
      <w:r w:rsidR="005F14EE" w:rsidRPr="0069399D">
        <w:rPr>
          <w:rFonts w:eastAsia="宋体" w:cs="Times New Roman" w:hint="eastAsia"/>
          <w:szCs w:val="21"/>
          <w:lang w:val="en-GB"/>
        </w:rPr>
        <w:t>；</w:t>
      </w:r>
      <w:r w:rsidR="009471C3" w:rsidRPr="0069399D">
        <w:rPr>
          <w:rFonts w:eastAsia="宋体" w:cs="Times New Roman" w:hint="eastAsia"/>
          <w:szCs w:val="21"/>
          <w:lang w:val="en-GB"/>
        </w:rPr>
        <w:t>应纳税所得额超过</w:t>
      </w:r>
      <w:r w:rsidR="003D16AB" w:rsidRPr="0069399D">
        <w:rPr>
          <w:rFonts w:eastAsia="宋体" w:cs="Times New Roman"/>
          <w:szCs w:val="21"/>
          <w:lang w:val="en-GB"/>
        </w:rPr>
        <w:t>20</w:t>
      </w:r>
      <w:r w:rsidR="009471C3" w:rsidRPr="0069399D">
        <w:rPr>
          <w:rFonts w:eastAsia="宋体" w:cs="Times New Roman" w:hint="eastAsia"/>
          <w:szCs w:val="21"/>
          <w:lang w:val="en-GB"/>
        </w:rPr>
        <w:t>万欧元的部分，适用税率为</w:t>
      </w:r>
      <w:r w:rsidR="009471C3" w:rsidRPr="0069399D">
        <w:rPr>
          <w:rFonts w:eastAsia="宋体" w:cs="Times New Roman"/>
          <w:szCs w:val="21"/>
          <w:lang w:val="en-GB"/>
        </w:rPr>
        <w:t>25.8%</w:t>
      </w:r>
      <w:r w:rsidR="005F14EE" w:rsidRPr="0069399D">
        <w:rPr>
          <w:rFonts w:eastAsia="宋体" w:cs="Times New Roman"/>
          <w:szCs w:val="21"/>
          <w:lang w:val="en-GB"/>
        </w:rPr>
        <w:t>(</w:t>
      </w:r>
      <w:r w:rsidR="00002E05" w:rsidRPr="0069399D">
        <w:rPr>
          <w:rFonts w:eastAsia="宋体" w:cs="Times New Roman" w:hint="eastAsia"/>
          <w:szCs w:val="21"/>
          <w:lang w:val="en-GB"/>
        </w:rPr>
        <w:t>上年度</w:t>
      </w:r>
      <w:r w:rsidR="005F14EE" w:rsidRPr="0069399D">
        <w:rPr>
          <w:rFonts w:eastAsia="宋体" w:cs="Times New Roman" w:hint="eastAsia"/>
          <w:szCs w:val="21"/>
          <w:lang w:val="en-GB"/>
        </w:rPr>
        <w:t>：</w:t>
      </w:r>
      <w:r w:rsidR="006D48E8" w:rsidRPr="0069399D">
        <w:rPr>
          <w:rFonts w:eastAsia="宋体" w:cs="Times New Roman" w:hint="eastAsia"/>
          <w:szCs w:val="21"/>
          <w:lang w:val="en-GB"/>
        </w:rPr>
        <w:t>应纳税所得额不超过</w:t>
      </w:r>
      <w:r w:rsidR="003D16AB" w:rsidRPr="0069399D">
        <w:rPr>
          <w:rFonts w:eastAsia="宋体" w:cs="Times New Roman"/>
          <w:szCs w:val="21"/>
          <w:lang w:val="en-GB"/>
        </w:rPr>
        <w:t>39</w:t>
      </w:r>
      <w:r w:rsidR="006D48E8" w:rsidRPr="0069399D">
        <w:rPr>
          <w:rFonts w:eastAsia="宋体" w:cs="Times New Roman"/>
          <w:szCs w:val="21"/>
          <w:lang w:val="en-GB"/>
        </w:rPr>
        <w:t>.5</w:t>
      </w:r>
      <w:r w:rsidR="006D48E8" w:rsidRPr="0069399D">
        <w:rPr>
          <w:rFonts w:eastAsia="宋体" w:cs="Times New Roman" w:hint="eastAsia"/>
          <w:szCs w:val="21"/>
          <w:lang w:val="en-GB"/>
        </w:rPr>
        <w:t>万欧元的部分，适用税率为</w:t>
      </w:r>
      <w:r w:rsidR="006D48E8" w:rsidRPr="0069399D">
        <w:rPr>
          <w:rFonts w:eastAsia="宋体" w:cs="Times New Roman"/>
          <w:szCs w:val="21"/>
          <w:lang w:val="en-GB"/>
        </w:rPr>
        <w:t>15%</w:t>
      </w:r>
      <w:r w:rsidR="005F14EE" w:rsidRPr="0069399D">
        <w:rPr>
          <w:rFonts w:eastAsia="宋体" w:cs="Times New Roman" w:hint="eastAsia"/>
          <w:szCs w:val="21"/>
          <w:lang w:val="en-GB"/>
        </w:rPr>
        <w:t>；</w:t>
      </w:r>
      <w:r w:rsidR="006D48E8" w:rsidRPr="0069399D">
        <w:rPr>
          <w:rFonts w:eastAsia="宋体" w:cs="Times New Roman" w:hint="eastAsia"/>
          <w:szCs w:val="21"/>
          <w:lang w:val="en-GB"/>
        </w:rPr>
        <w:t>应纳税所得额超过</w:t>
      </w:r>
      <w:r w:rsidR="003D16AB" w:rsidRPr="0069399D">
        <w:rPr>
          <w:rFonts w:eastAsia="宋体" w:cs="Times New Roman"/>
          <w:szCs w:val="21"/>
          <w:lang w:val="en-GB"/>
        </w:rPr>
        <w:t>39</w:t>
      </w:r>
      <w:r w:rsidR="006D48E8" w:rsidRPr="0069399D">
        <w:rPr>
          <w:rFonts w:eastAsia="宋体" w:cs="Times New Roman"/>
          <w:szCs w:val="21"/>
          <w:lang w:val="en-GB"/>
        </w:rPr>
        <w:t>.5</w:t>
      </w:r>
      <w:r w:rsidR="006D48E8" w:rsidRPr="0069399D">
        <w:rPr>
          <w:rFonts w:eastAsia="宋体" w:cs="Times New Roman" w:hint="eastAsia"/>
          <w:szCs w:val="21"/>
          <w:lang w:val="en-GB"/>
        </w:rPr>
        <w:t>万欧元的部分，适用税率为</w:t>
      </w:r>
      <w:r w:rsidR="006D48E8" w:rsidRPr="0069399D">
        <w:rPr>
          <w:rFonts w:eastAsia="宋体" w:cs="Times New Roman"/>
          <w:szCs w:val="21"/>
          <w:lang w:val="en-GB"/>
        </w:rPr>
        <w:t>25</w:t>
      </w:r>
      <w:r w:rsidR="003D16AB" w:rsidRPr="0069399D">
        <w:rPr>
          <w:rFonts w:eastAsia="宋体" w:cs="Times New Roman"/>
          <w:szCs w:val="21"/>
          <w:lang w:val="en-GB"/>
        </w:rPr>
        <w:t>.8</w:t>
      </w:r>
      <w:r w:rsidR="006D48E8" w:rsidRPr="0069399D">
        <w:rPr>
          <w:rFonts w:eastAsia="宋体" w:cs="Times New Roman"/>
          <w:szCs w:val="21"/>
          <w:lang w:val="en-GB"/>
        </w:rPr>
        <w:t>%</w:t>
      </w:r>
      <w:r w:rsidR="005F14EE" w:rsidRPr="0069399D">
        <w:rPr>
          <w:rFonts w:eastAsia="宋体" w:cs="Times New Roman"/>
          <w:szCs w:val="21"/>
          <w:lang w:val="en-GB"/>
        </w:rPr>
        <w:t>)</w:t>
      </w:r>
      <w:r w:rsidR="006D48E8" w:rsidRPr="0069399D">
        <w:rPr>
          <w:rFonts w:eastAsia="宋体" w:cs="Times New Roman" w:hint="eastAsia"/>
          <w:szCs w:val="21"/>
          <w:lang w:val="en-GB"/>
        </w:rPr>
        <w:t>。</w:t>
      </w:r>
    </w:p>
    <w:p w:rsidR="00D83859" w:rsidRDefault="00D83859">
      <w:pPr>
        <w:adjustRightInd/>
        <w:snapToGrid/>
        <w:rPr>
          <w:rFonts w:eastAsia="宋体" w:cs="Times New Roman"/>
          <w:sz w:val="20"/>
          <w:szCs w:val="21"/>
        </w:rPr>
      </w:pPr>
      <w:r>
        <w:rPr>
          <w:rFonts w:eastAsia="宋体" w:cs="Times New Roman"/>
          <w:sz w:val="20"/>
          <w:szCs w:val="21"/>
        </w:rPr>
        <w:br w:type="page"/>
      </w:r>
    </w:p>
    <w:p w:rsidR="00D83859" w:rsidRPr="00A71D2E" w:rsidRDefault="005F14EE" w:rsidP="00D83859">
      <w:pPr>
        <w:jc w:val="both"/>
        <w:rPr>
          <w:rFonts w:eastAsia="宋体" w:cs="Times New Roman"/>
          <w:szCs w:val="21"/>
        </w:rPr>
      </w:pPr>
      <w:r>
        <w:rPr>
          <w:rFonts w:eastAsia="宋体" w:cs="Times New Roman"/>
          <w:b/>
          <w:szCs w:val="21"/>
        </w:rPr>
        <w:t>(</w:t>
      </w:r>
      <w:r w:rsidR="00D83859">
        <w:rPr>
          <w:rFonts w:eastAsia="宋体" w:cs="Times New Roman" w:hint="eastAsia"/>
          <w:b/>
          <w:szCs w:val="21"/>
        </w:rPr>
        <w:t>四</w:t>
      </w:r>
      <w:r>
        <w:rPr>
          <w:rFonts w:eastAsia="宋体" w:cs="Times New Roman"/>
          <w:b/>
          <w:szCs w:val="21"/>
        </w:rPr>
        <w:t>)</w:t>
      </w:r>
      <w:r w:rsidR="00D83859" w:rsidRPr="00A71D2E">
        <w:rPr>
          <w:rFonts w:eastAsia="宋体" w:cs="Times New Roman"/>
          <w:b/>
          <w:szCs w:val="21"/>
        </w:rPr>
        <w:tab/>
      </w:r>
      <w:r w:rsidR="00D83859">
        <w:rPr>
          <w:rFonts w:eastAsia="宋体" w:cs="Times New Roman" w:hint="eastAsia"/>
          <w:b/>
          <w:szCs w:val="21"/>
        </w:rPr>
        <w:t>税项</w:t>
      </w:r>
      <w:r w:rsidR="00D83859" w:rsidRPr="00A71D2E">
        <w:rPr>
          <w:rFonts w:eastAsia="宋体" w:cs="Times New Roman"/>
          <w:szCs w:val="21"/>
        </w:rPr>
        <w:t xml:space="preserve"> - </w:t>
      </w:r>
      <w:r w:rsidR="00D83859" w:rsidRPr="00A71D2E">
        <w:rPr>
          <w:rFonts w:eastAsia="宋体" w:cs="Times New Roman" w:hint="eastAsia"/>
          <w:szCs w:val="21"/>
        </w:rPr>
        <w:t>续</w:t>
      </w:r>
    </w:p>
    <w:p w:rsidR="00D83859" w:rsidRDefault="00D83859" w:rsidP="00D83859">
      <w:pPr>
        <w:ind w:left="720"/>
        <w:jc w:val="both"/>
        <w:rPr>
          <w:rFonts w:eastAsia="宋体" w:cs="Times New Roman"/>
        </w:rPr>
      </w:pPr>
    </w:p>
    <w:p w:rsidR="00D83859" w:rsidRPr="0039083F" w:rsidRDefault="00D83859" w:rsidP="00D83859">
      <w:pPr>
        <w:ind w:left="720"/>
        <w:jc w:val="both"/>
        <w:rPr>
          <w:rFonts w:eastAsia="宋体" w:cs="Times New Roman"/>
          <w:b/>
          <w:szCs w:val="21"/>
        </w:rPr>
      </w:pPr>
      <w:r>
        <w:rPr>
          <w:rFonts w:eastAsia="宋体" w:cs="Times New Roman" w:hint="eastAsia"/>
          <w:b/>
          <w:szCs w:val="21"/>
        </w:rPr>
        <w:t>主要税种及税率</w:t>
      </w:r>
      <w:r w:rsidRPr="0027505B">
        <w:rPr>
          <w:rFonts w:eastAsia="宋体" w:cs="Times New Roman"/>
          <w:bCs/>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3D16AB" w:rsidRPr="0027505B" w:rsidRDefault="003D16AB" w:rsidP="0027505B">
      <w:pPr>
        <w:adjustRightInd/>
        <w:snapToGrid/>
        <w:ind w:left="720"/>
        <w:rPr>
          <w:rFonts w:eastAsia="宋体" w:cs="Times New Roman"/>
          <w:szCs w:val="22"/>
        </w:rPr>
      </w:pPr>
    </w:p>
    <w:p w:rsidR="00546BAC" w:rsidRPr="00431869" w:rsidRDefault="00546BAC">
      <w:pPr>
        <w:ind w:left="1530" w:hanging="810"/>
        <w:jc w:val="both"/>
        <w:rPr>
          <w:rFonts w:eastAsia="宋体" w:cs="Times New Roman"/>
          <w:szCs w:val="21"/>
          <w:lang w:val="en-GB"/>
        </w:rPr>
      </w:pPr>
      <w:r w:rsidRPr="00431869">
        <w:rPr>
          <w:rFonts w:eastAsia="宋体" w:cs="Times New Roman" w:hint="eastAsia"/>
          <w:szCs w:val="21"/>
          <w:lang w:val="en-GB"/>
        </w:rPr>
        <w:t>注</w:t>
      </w:r>
      <w:r w:rsidR="009765CC" w:rsidRPr="00431869">
        <w:rPr>
          <w:rFonts w:eastAsia="宋体" w:cs="Times New Roman"/>
          <w:szCs w:val="21"/>
          <w:lang w:val="en-GB"/>
        </w:rPr>
        <w:t>2.</w:t>
      </w:r>
      <w:r w:rsidR="00394A95" w:rsidRPr="00431869">
        <w:rPr>
          <w:rFonts w:eastAsia="宋体" w:cs="Times New Roman"/>
          <w:szCs w:val="21"/>
          <w:lang w:val="en-GB"/>
        </w:rPr>
        <w:t>2</w:t>
      </w:r>
      <w:r w:rsidR="005F14EE">
        <w:rPr>
          <w:rFonts w:eastAsia="宋体" w:cs="Times New Roman" w:hint="eastAsia"/>
          <w:szCs w:val="21"/>
          <w:lang w:val="en-GB"/>
        </w:rPr>
        <w:t>：</w:t>
      </w:r>
      <w:r w:rsidR="00067C00" w:rsidRPr="00431869">
        <w:rPr>
          <w:rFonts w:eastAsia="宋体" w:cs="Times New Roman"/>
          <w:szCs w:val="21"/>
          <w:lang w:val="en-GB"/>
        </w:rPr>
        <w:tab/>
      </w:r>
      <w:r w:rsidR="001F0DFA" w:rsidRPr="00431869">
        <w:rPr>
          <w:rFonts w:eastAsia="宋体" w:cs="Times New Roman" w:hint="eastAsia"/>
          <w:szCs w:val="21"/>
          <w:lang w:val="en-GB"/>
        </w:rPr>
        <w:t>按照《关于促进集成电路产业和软件产业高质量发展企业所得税政策的公告》</w:t>
      </w:r>
      <w:r w:rsidR="005F14EE">
        <w:rPr>
          <w:rFonts w:eastAsia="宋体" w:cs="Times New Roman"/>
          <w:szCs w:val="21"/>
          <w:lang w:val="en-GB"/>
        </w:rPr>
        <w:t>(</w:t>
      </w:r>
      <w:r w:rsidR="001F0DFA" w:rsidRPr="00431869">
        <w:rPr>
          <w:rFonts w:eastAsia="宋体" w:cs="Times New Roman" w:hint="eastAsia"/>
          <w:szCs w:val="21"/>
          <w:lang w:val="en-GB"/>
        </w:rPr>
        <w:t>财政部</w:t>
      </w:r>
      <w:r w:rsidR="001F0DFA" w:rsidRPr="00431869">
        <w:rPr>
          <w:rFonts w:eastAsia="宋体" w:cs="Times New Roman"/>
          <w:szCs w:val="21"/>
          <w:lang w:val="en-GB"/>
        </w:rPr>
        <w:t xml:space="preserve"> </w:t>
      </w:r>
      <w:r w:rsidR="001F0DFA" w:rsidRPr="00431869">
        <w:rPr>
          <w:rFonts w:eastAsia="宋体" w:cs="Times New Roman" w:hint="eastAsia"/>
          <w:szCs w:val="21"/>
          <w:lang w:val="en-GB"/>
        </w:rPr>
        <w:t>税务总局</w:t>
      </w:r>
      <w:r w:rsidR="001F0DFA" w:rsidRPr="00431869">
        <w:rPr>
          <w:rFonts w:eastAsia="宋体" w:cs="Times New Roman"/>
          <w:szCs w:val="21"/>
          <w:lang w:val="en-GB"/>
        </w:rPr>
        <w:t xml:space="preserve"> </w:t>
      </w:r>
      <w:r w:rsidR="001F0DFA" w:rsidRPr="00431869">
        <w:rPr>
          <w:rFonts w:eastAsia="宋体" w:cs="Times New Roman" w:hint="eastAsia"/>
          <w:szCs w:val="21"/>
          <w:lang w:val="en-GB"/>
        </w:rPr>
        <w:t>发展改革委</w:t>
      </w:r>
      <w:r w:rsidR="001F0DFA" w:rsidRPr="00431869">
        <w:rPr>
          <w:rFonts w:eastAsia="宋体" w:cs="Times New Roman"/>
          <w:szCs w:val="21"/>
          <w:lang w:val="en-GB"/>
        </w:rPr>
        <w:t xml:space="preserve"> </w:t>
      </w:r>
      <w:r w:rsidR="001F0DFA" w:rsidRPr="00431869">
        <w:rPr>
          <w:rFonts w:eastAsia="宋体" w:cs="Times New Roman" w:hint="eastAsia"/>
          <w:szCs w:val="21"/>
          <w:lang w:val="en-GB"/>
        </w:rPr>
        <w:t>工业和信息化部公告</w:t>
      </w:r>
      <w:r w:rsidR="001F0DFA" w:rsidRPr="00431869">
        <w:rPr>
          <w:rFonts w:eastAsia="宋体" w:cs="Times New Roman"/>
          <w:szCs w:val="21"/>
          <w:lang w:val="en-GB"/>
        </w:rPr>
        <w:t>2020</w:t>
      </w:r>
      <w:r w:rsidR="001F0DFA" w:rsidRPr="00431869">
        <w:rPr>
          <w:rFonts w:eastAsia="宋体" w:cs="Times New Roman" w:hint="eastAsia"/>
          <w:szCs w:val="21"/>
          <w:lang w:val="en-GB"/>
        </w:rPr>
        <w:t>年第</w:t>
      </w:r>
      <w:r w:rsidR="001F0DFA" w:rsidRPr="00431869">
        <w:rPr>
          <w:rFonts w:eastAsia="宋体" w:cs="Times New Roman"/>
          <w:szCs w:val="21"/>
          <w:lang w:val="en-GB"/>
        </w:rPr>
        <w:t>45</w:t>
      </w:r>
      <w:r w:rsidR="001F0DFA" w:rsidRPr="00431869">
        <w:rPr>
          <w:rFonts w:eastAsia="宋体" w:cs="Times New Roman" w:hint="eastAsia"/>
          <w:szCs w:val="21"/>
          <w:lang w:val="en-GB"/>
        </w:rPr>
        <w:t>号</w:t>
      </w:r>
      <w:r w:rsidR="005F14EE">
        <w:rPr>
          <w:rFonts w:eastAsia="宋体" w:cs="Times New Roman"/>
          <w:szCs w:val="21"/>
          <w:lang w:val="en-GB"/>
        </w:rPr>
        <w:t>)</w:t>
      </w:r>
      <w:r w:rsidR="001F0DFA" w:rsidRPr="00431869">
        <w:rPr>
          <w:rFonts w:eastAsia="宋体" w:cs="Times New Roman" w:hint="eastAsia"/>
          <w:szCs w:val="21"/>
          <w:lang w:val="en-GB"/>
        </w:rPr>
        <w:t>和</w:t>
      </w:r>
      <w:r w:rsidR="001F0DFA" w:rsidRPr="00431869">
        <w:rPr>
          <w:rFonts w:eastAsia="宋体" w:cs="Times New Roman" w:hint="eastAsia"/>
          <w:spacing w:val="4"/>
          <w:szCs w:val="21"/>
        </w:rPr>
        <w:t>《中华人民共和国工业和信息化部</w:t>
      </w:r>
      <w:r w:rsidR="001F0DFA" w:rsidRPr="00431869">
        <w:rPr>
          <w:rFonts w:eastAsia="宋体" w:cs="Times New Roman"/>
          <w:spacing w:val="4"/>
          <w:szCs w:val="21"/>
        </w:rPr>
        <w:t xml:space="preserve"> </w:t>
      </w:r>
      <w:r w:rsidR="001F0DFA" w:rsidRPr="00431869">
        <w:rPr>
          <w:rFonts w:eastAsia="宋体" w:cs="Times New Roman" w:hint="eastAsia"/>
          <w:spacing w:val="4"/>
          <w:szCs w:val="21"/>
        </w:rPr>
        <w:t>国家发展改革委</w:t>
      </w:r>
      <w:r w:rsidR="001F0DFA" w:rsidRPr="00431869">
        <w:rPr>
          <w:rFonts w:eastAsia="宋体" w:cs="Times New Roman"/>
          <w:spacing w:val="4"/>
          <w:szCs w:val="21"/>
        </w:rPr>
        <w:t xml:space="preserve"> </w:t>
      </w:r>
      <w:r w:rsidR="001F0DFA" w:rsidRPr="00431869">
        <w:rPr>
          <w:rFonts w:eastAsia="宋体" w:cs="Times New Roman" w:hint="eastAsia"/>
          <w:spacing w:val="4"/>
          <w:szCs w:val="21"/>
        </w:rPr>
        <w:t>财政部</w:t>
      </w:r>
      <w:r w:rsidR="001F0DFA" w:rsidRPr="00431869">
        <w:rPr>
          <w:rFonts w:eastAsia="宋体" w:cs="Times New Roman"/>
          <w:spacing w:val="4"/>
          <w:szCs w:val="21"/>
        </w:rPr>
        <w:t xml:space="preserve"> </w:t>
      </w:r>
      <w:r w:rsidR="001F0DFA" w:rsidRPr="00431869">
        <w:rPr>
          <w:rFonts w:eastAsia="宋体" w:cs="Times New Roman" w:hint="eastAsia"/>
          <w:spacing w:val="4"/>
          <w:szCs w:val="21"/>
        </w:rPr>
        <w:t>国家税务总局公告</w:t>
      </w:r>
      <w:r w:rsidR="001F0DFA" w:rsidRPr="00431869">
        <w:rPr>
          <w:rFonts w:eastAsia="宋体" w:cs="Times New Roman"/>
          <w:spacing w:val="4"/>
          <w:szCs w:val="21"/>
        </w:rPr>
        <w:t>2021</w:t>
      </w:r>
      <w:r w:rsidR="001F0DFA" w:rsidRPr="00431869">
        <w:rPr>
          <w:rFonts w:eastAsia="宋体" w:cs="Times New Roman" w:hint="eastAsia"/>
          <w:spacing w:val="4"/>
          <w:szCs w:val="21"/>
        </w:rPr>
        <w:t>年第</w:t>
      </w:r>
      <w:r w:rsidR="001F0DFA" w:rsidRPr="00431869">
        <w:rPr>
          <w:rFonts w:eastAsia="宋体" w:cs="Times New Roman"/>
          <w:spacing w:val="4"/>
          <w:szCs w:val="21"/>
        </w:rPr>
        <w:t>10</w:t>
      </w:r>
      <w:r w:rsidR="001F0DFA" w:rsidRPr="00431869">
        <w:rPr>
          <w:rFonts w:eastAsia="宋体" w:cs="Times New Roman" w:hint="eastAsia"/>
          <w:spacing w:val="4"/>
          <w:szCs w:val="21"/>
        </w:rPr>
        <w:t>号》</w:t>
      </w:r>
      <w:r w:rsidR="001F0DFA" w:rsidRPr="00431869">
        <w:rPr>
          <w:rFonts w:eastAsia="宋体" w:cs="Times New Roman" w:hint="eastAsia"/>
          <w:szCs w:val="21"/>
          <w:lang w:val="en-GB"/>
        </w:rPr>
        <w:t>，国家鼓励的集成电路设计、装备、材料、封装、测试企业和软件企业，自获利年度起，第一年至第二年免征企业所得税，第三年至第五年按照</w:t>
      </w:r>
      <w:r w:rsidR="001F0DFA" w:rsidRPr="00431869">
        <w:rPr>
          <w:rFonts w:eastAsia="宋体" w:cs="Times New Roman"/>
          <w:szCs w:val="21"/>
          <w:lang w:val="en-GB"/>
        </w:rPr>
        <w:t>25%</w:t>
      </w:r>
      <w:r w:rsidR="001F0DFA" w:rsidRPr="00431869">
        <w:rPr>
          <w:rFonts w:eastAsia="宋体" w:cs="Times New Roman" w:hint="eastAsia"/>
          <w:szCs w:val="21"/>
          <w:lang w:val="en-GB"/>
        </w:rPr>
        <w:t>的法定税率减半征收企业所得税。</w:t>
      </w:r>
      <w:r w:rsidR="00B66845" w:rsidRPr="00742155">
        <w:rPr>
          <w:rFonts w:eastAsia="宋体" w:cs="Times New Roman" w:hint="eastAsia"/>
          <w:szCs w:val="21"/>
          <w:lang w:val="en-GB"/>
        </w:rPr>
        <w:t>萤石软件为符合</w:t>
      </w:r>
      <w:r w:rsidR="004C78CF" w:rsidRPr="00742155">
        <w:rPr>
          <w:rFonts w:eastAsia="宋体" w:cs="Times New Roman" w:hint="eastAsia"/>
          <w:szCs w:val="21"/>
          <w:lang w:val="en-GB"/>
        </w:rPr>
        <w:t>条件</w:t>
      </w:r>
      <w:r w:rsidR="00B66845" w:rsidRPr="00742155">
        <w:rPr>
          <w:rFonts w:eastAsia="宋体" w:cs="Times New Roman" w:hint="eastAsia"/>
          <w:szCs w:val="21"/>
          <w:lang w:val="en-GB"/>
        </w:rPr>
        <w:t>的软件企业，自</w:t>
      </w:r>
      <w:r w:rsidR="00CA0358" w:rsidRPr="00742155">
        <w:rPr>
          <w:rFonts w:eastAsia="宋体" w:cs="Times New Roman" w:hint="eastAsia"/>
          <w:szCs w:val="21"/>
          <w:lang w:val="en-GB"/>
        </w:rPr>
        <w:t>2</w:t>
      </w:r>
      <w:r w:rsidR="00CA0358" w:rsidRPr="00742155">
        <w:rPr>
          <w:rFonts w:eastAsia="宋体" w:cs="Times New Roman"/>
          <w:szCs w:val="21"/>
          <w:lang w:val="en-GB"/>
        </w:rPr>
        <w:t>020</w:t>
      </w:r>
      <w:r w:rsidR="00CA0358" w:rsidRPr="00742155">
        <w:rPr>
          <w:rFonts w:eastAsia="宋体" w:cs="Times New Roman" w:hint="eastAsia"/>
          <w:szCs w:val="21"/>
          <w:lang w:val="en-GB"/>
        </w:rPr>
        <w:t>年</w:t>
      </w:r>
      <w:r w:rsidR="00B66845" w:rsidRPr="00742155">
        <w:rPr>
          <w:rFonts w:eastAsia="宋体" w:cs="Times New Roman" w:hint="eastAsia"/>
          <w:szCs w:val="21"/>
          <w:lang w:val="en-GB"/>
        </w:rPr>
        <w:t>度起，第一年至第二年免征企业所得税，第三年至第五年按照</w:t>
      </w:r>
      <w:r w:rsidR="00B66845" w:rsidRPr="00742155">
        <w:rPr>
          <w:rFonts w:eastAsia="宋体" w:cs="Times New Roman" w:hint="eastAsia"/>
          <w:szCs w:val="21"/>
          <w:lang w:val="en-GB"/>
        </w:rPr>
        <w:t>25%</w:t>
      </w:r>
      <w:r w:rsidR="00B66845" w:rsidRPr="00742155">
        <w:rPr>
          <w:rFonts w:eastAsia="宋体" w:cs="Times New Roman" w:hint="eastAsia"/>
          <w:szCs w:val="21"/>
          <w:lang w:val="en-GB"/>
        </w:rPr>
        <w:t>的法定税率减半征收企业所得税，</w:t>
      </w:r>
      <w:r w:rsidR="00B66845" w:rsidRPr="00742155">
        <w:rPr>
          <w:rFonts w:eastAsia="宋体" w:cs="Times New Roman" w:hint="eastAsia"/>
          <w:szCs w:val="21"/>
          <w:lang w:val="en-GB"/>
        </w:rPr>
        <w:t>2023</w:t>
      </w:r>
      <w:r w:rsidR="00B66845" w:rsidRPr="00742155">
        <w:rPr>
          <w:rFonts w:eastAsia="宋体" w:cs="Times New Roman" w:hint="eastAsia"/>
          <w:szCs w:val="21"/>
          <w:lang w:val="en-GB"/>
        </w:rPr>
        <w:t>年度为获利第四年，按照</w:t>
      </w:r>
      <w:r w:rsidR="00B66845" w:rsidRPr="00742155">
        <w:rPr>
          <w:rFonts w:eastAsia="宋体" w:cs="Times New Roman" w:hint="eastAsia"/>
          <w:szCs w:val="21"/>
          <w:lang w:val="en-GB"/>
        </w:rPr>
        <w:t>25%</w:t>
      </w:r>
      <w:r w:rsidR="00B66845" w:rsidRPr="00742155">
        <w:rPr>
          <w:rFonts w:eastAsia="宋体" w:cs="Times New Roman" w:hint="eastAsia"/>
          <w:szCs w:val="21"/>
          <w:lang w:val="en-GB"/>
        </w:rPr>
        <w:t>的法定税率减半征收企业所得税</w:t>
      </w:r>
      <w:r w:rsidR="005F14EE" w:rsidRPr="00742155">
        <w:rPr>
          <w:rFonts w:eastAsia="宋体" w:cs="Times New Roman" w:hint="eastAsia"/>
          <w:szCs w:val="21"/>
          <w:lang w:val="en-GB"/>
        </w:rPr>
        <w:t>(</w:t>
      </w:r>
      <w:r w:rsidR="00B66845" w:rsidRPr="00742155">
        <w:rPr>
          <w:rFonts w:eastAsia="宋体" w:cs="Times New Roman" w:hint="eastAsia"/>
          <w:szCs w:val="21"/>
          <w:lang w:val="en-GB"/>
        </w:rPr>
        <w:t>2022</w:t>
      </w:r>
      <w:r w:rsidR="00B66845" w:rsidRPr="00742155">
        <w:rPr>
          <w:rFonts w:eastAsia="宋体" w:cs="Times New Roman" w:hint="eastAsia"/>
          <w:szCs w:val="21"/>
          <w:lang w:val="en-GB"/>
        </w:rPr>
        <w:t>年</w:t>
      </w:r>
      <w:r w:rsidR="005F14EE" w:rsidRPr="00742155">
        <w:rPr>
          <w:rFonts w:eastAsia="宋体" w:cs="Times New Roman" w:hint="eastAsia"/>
          <w:szCs w:val="21"/>
          <w:lang w:val="en-GB"/>
        </w:rPr>
        <w:t>：</w:t>
      </w:r>
      <w:r w:rsidR="00B66845" w:rsidRPr="00742155">
        <w:rPr>
          <w:rFonts w:eastAsia="宋体" w:cs="Times New Roman" w:hint="eastAsia"/>
          <w:szCs w:val="21"/>
          <w:lang w:val="en-GB"/>
        </w:rPr>
        <w:t>25%</w:t>
      </w:r>
      <w:r w:rsidR="00B66845" w:rsidRPr="00742155">
        <w:rPr>
          <w:rFonts w:eastAsia="宋体" w:cs="Times New Roman" w:hint="eastAsia"/>
          <w:szCs w:val="21"/>
          <w:lang w:val="en-GB"/>
        </w:rPr>
        <w:t>减半征收</w:t>
      </w:r>
      <w:r w:rsidR="005F14EE" w:rsidRPr="00742155">
        <w:rPr>
          <w:rFonts w:eastAsia="宋体" w:cs="Times New Roman" w:hint="eastAsia"/>
          <w:szCs w:val="21"/>
          <w:lang w:val="en-GB"/>
        </w:rPr>
        <w:t>)</w:t>
      </w:r>
      <w:r w:rsidR="00B66845" w:rsidRPr="00742155">
        <w:rPr>
          <w:rFonts w:eastAsia="宋体" w:cs="Times New Roman" w:hint="eastAsia"/>
          <w:szCs w:val="21"/>
          <w:lang w:val="en-GB"/>
        </w:rPr>
        <w:t>。</w:t>
      </w:r>
    </w:p>
    <w:p w:rsidR="00B05185" w:rsidRPr="00431869" w:rsidRDefault="00B05185">
      <w:pPr>
        <w:ind w:left="1440" w:hanging="720"/>
        <w:jc w:val="both"/>
        <w:rPr>
          <w:rFonts w:eastAsia="宋体" w:cs="Times New Roman"/>
          <w:szCs w:val="21"/>
          <w:lang w:val="en-GB"/>
        </w:rPr>
      </w:pPr>
    </w:p>
    <w:p w:rsidR="005A43A0" w:rsidRDefault="00F203CB" w:rsidP="0027505B">
      <w:pPr>
        <w:ind w:left="1530"/>
        <w:jc w:val="both"/>
        <w:rPr>
          <w:rFonts w:eastAsia="宋体" w:cs="Times New Roman"/>
          <w:szCs w:val="21"/>
          <w:lang w:val="en-GB"/>
        </w:rPr>
      </w:pPr>
      <w:r w:rsidRPr="00431869">
        <w:rPr>
          <w:rFonts w:eastAsia="宋体" w:cs="Times New Roman" w:hint="eastAsia"/>
          <w:szCs w:val="21"/>
          <w:lang w:val="en-GB"/>
        </w:rPr>
        <w:t>根据全国高新技术企业认定管理工作领导小组办公室</w:t>
      </w:r>
      <w:r w:rsidRPr="00431869">
        <w:rPr>
          <w:rFonts w:eastAsia="宋体" w:cs="Times New Roman"/>
          <w:szCs w:val="21"/>
          <w:lang w:val="en-GB"/>
        </w:rPr>
        <w:t>2020</w:t>
      </w:r>
      <w:r w:rsidRPr="00431869">
        <w:rPr>
          <w:rFonts w:eastAsia="宋体" w:cs="Times New Roman" w:hint="eastAsia"/>
          <w:szCs w:val="21"/>
          <w:lang w:val="en-GB"/>
        </w:rPr>
        <w:t>年</w:t>
      </w:r>
      <w:r w:rsidRPr="00431869">
        <w:rPr>
          <w:rFonts w:eastAsia="宋体" w:cs="Times New Roman"/>
          <w:szCs w:val="21"/>
          <w:lang w:val="en-GB"/>
        </w:rPr>
        <w:t>12</w:t>
      </w:r>
      <w:r w:rsidRPr="00431869">
        <w:rPr>
          <w:rFonts w:eastAsia="宋体" w:cs="Times New Roman" w:hint="eastAsia"/>
          <w:szCs w:val="21"/>
          <w:lang w:val="en-GB"/>
        </w:rPr>
        <w:t>月</w:t>
      </w:r>
      <w:r w:rsidRPr="00431869">
        <w:rPr>
          <w:rFonts w:eastAsia="宋体" w:cs="Times New Roman"/>
          <w:szCs w:val="21"/>
          <w:lang w:val="en-GB"/>
        </w:rPr>
        <w:t>29</w:t>
      </w:r>
      <w:r w:rsidRPr="00431869">
        <w:rPr>
          <w:rFonts w:eastAsia="宋体" w:cs="Times New Roman" w:hint="eastAsia"/>
          <w:szCs w:val="21"/>
          <w:lang w:val="en-GB"/>
        </w:rPr>
        <w:t>日发布的《关于浙江省</w:t>
      </w:r>
      <w:r w:rsidRPr="00431869">
        <w:rPr>
          <w:rFonts w:eastAsia="宋体" w:cs="Times New Roman"/>
          <w:szCs w:val="21"/>
          <w:lang w:val="en-GB"/>
        </w:rPr>
        <w:t>2020</w:t>
      </w:r>
      <w:r w:rsidRPr="00431869">
        <w:rPr>
          <w:rFonts w:eastAsia="宋体" w:cs="Times New Roman" w:hint="eastAsia"/>
          <w:szCs w:val="21"/>
          <w:lang w:val="en-GB"/>
        </w:rPr>
        <w:t>年高新技术企业备案的复函》</w:t>
      </w:r>
      <w:r w:rsidR="005F14EE">
        <w:rPr>
          <w:rFonts w:eastAsia="宋体" w:cs="Times New Roman"/>
          <w:szCs w:val="21"/>
          <w:lang w:val="en-GB"/>
        </w:rPr>
        <w:t>(</w:t>
      </w:r>
      <w:proofErr w:type="gramStart"/>
      <w:r w:rsidRPr="00431869">
        <w:rPr>
          <w:rFonts w:eastAsia="宋体" w:cs="Times New Roman" w:hint="eastAsia"/>
          <w:szCs w:val="21"/>
          <w:lang w:val="en-GB"/>
        </w:rPr>
        <w:t>国科火字</w:t>
      </w:r>
      <w:proofErr w:type="gramEnd"/>
      <w:r w:rsidRPr="00431869">
        <w:rPr>
          <w:rFonts w:eastAsia="宋体" w:cs="Times New Roman" w:hint="eastAsia"/>
          <w:szCs w:val="21"/>
          <w:lang w:val="en-GB"/>
        </w:rPr>
        <w:t>〔</w:t>
      </w:r>
      <w:r w:rsidRPr="00431869">
        <w:rPr>
          <w:rFonts w:eastAsia="宋体" w:cs="Times New Roman"/>
          <w:szCs w:val="21"/>
          <w:lang w:val="en-GB"/>
        </w:rPr>
        <w:t>2020</w:t>
      </w:r>
      <w:r w:rsidRPr="00431869">
        <w:rPr>
          <w:rFonts w:eastAsia="宋体" w:cs="Times New Roman" w:hint="eastAsia"/>
          <w:szCs w:val="21"/>
          <w:lang w:val="en-GB"/>
        </w:rPr>
        <w:t>〕</w:t>
      </w:r>
      <w:r w:rsidRPr="00431869">
        <w:rPr>
          <w:rFonts w:eastAsia="宋体" w:cs="Times New Roman"/>
          <w:szCs w:val="21"/>
          <w:lang w:val="en-GB"/>
        </w:rPr>
        <w:t>251</w:t>
      </w:r>
      <w:r w:rsidRPr="00431869">
        <w:rPr>
          <w:rFonts w:eastAsia="宋体" w:cs="Times New Roman" w:hint="eastAsia"/>
          <w:szCs w:val="21"/>
          <w:lang w:val="en-GB"/>
        </w:rPr>
        <w:t>号</w:t>
      </w:r>
      <w:r w:rsidR="005F14EE">
        <w:rPr>
          <w:rFonts w:eastAsia="宋体" w:cs="Times New Roman"/>
          <w:szCs w:val="21"/>
          <w:lang w:val="en-GB"/>
        </w:rPr>
        <w:t>)</w:t>
      </w:r>
      <w:r w:rsidRPr="00431869">
        <w:rPr>
          <w:rFonts w:eastAsia="宋体" w:cs="Times New Roman" w:hint="eastAsia"/>
          <w:szCs w:val="21"/>
          <w:lang w:val="en-GB"/>
        </w:rPr>
        <w:t>，萤石软件被认定为高新技术企业，认定有效期</w:t>
      </w:r>
      <w:r w:rsidRPr="00431869">
        <w:rPr>
          <w:rFonts w:eastAsia="宋体" w:cs="Times New Roman"/>
          <w:szCs w:val="21"/>
          <w:lang w:val="en-GB"/>
        </w:rPr>
        <w:t>3</w:t>
      </w:r>
      <w:r w:rsidRPr="00431869">
        <w:rPr>
          <w:rFonts w:eastAsia="宋体" w:cs="Times New Roman" w:hint="eastAsia"/>
          <w:szCs w:val="21"/>
          <w:lang w:val="en-GB"/>
        </w:rPr>
        <w:t>年，自</w:t>
      </w:r>
      <w:r w:rsidRPr="00431869">
        <w:rPr>
          <w:rFonts w:eastAsia="宋体" w:cs="Times New Roman"/>
          <w:szCs w:val="21"/>
          <w:lang w:val="en-GB"/>
        </w:rPr>
        <w:t>2020</w:t>
      </w:r>
      <w:r w:rsidRPr="00431869">
        <w:rPr>
          <w:rFonts w:eastAsia="宋体" w:cs="Times New Roman" w:hint="eastAsia"/>
          <w:szCs w:val="21"/>
          <w:lang w:val="en-GB"/>
        </w:rPr>
        <w:t>年至</w:t>
      </w:r>
      <w:r w:rsidRPr="00431869">
        <w:rPr>
          <w:rFonts w:eastAsia="宋体" w:cs="Times New Roman"/>
          <w:szCs w:val="21"/>
          <w:lang w:val="en-GB"/>
        </w:rPr>
        <w:t>202</w:t>
      </w:r>
      <w:r w:rsidR="000B3D2A">
        <w:rPr>
          <w:rFonts w:eastAsia="宋体" w:cs="Times New Roman"/>
          <w:szCs w:val="21"/>
          <w:lang w:val="en-GB"/>
        </w:rPr>
        <w:t>2</w:t>
      </w:r>
      <w:r w:rsidRPr="00431869">
        <w:rPr>
          <w:rFonts w:eastAsia="宋体" w:cs="Times New Roman" w:hint="eastAsia"/>
          <w:szCs w:val="21"/>
          <w:lang w:val="en-GB"/>
        </w:rPr>
        <w:t>年。</w:t>
      </w:r>
      <w:r w:rsidR="00F56663" w:rsidRPr="00DF4323">
        <w:rPr>
          <w:rFonts w:eastAsia="宋体" w:cs="Times New Roman" w:hint="eastAsia"/>
          <w:szCs w:val="21"/>
          <w:lang w:val="en-GB"/>
        </w:rPr>
        <w:t>根据全国高新技术企业认定管理工作领导小组办公室</w:t>
      </w:r>
      <w:r w:rsidR="00A037B2" w:rsidRPr="00DF4323">
        <w:rPr>
          <w:rFonts w:eastAsia="宋体" w:cs="Times New Roman"/>
          <w:szCs w:val="21"/>
          <w:lang w:val="en-GB"/>
        </w:rPr>
        <w:t>202</w:t>
      </w:r>
      <w:r w:rsidR="0052049B">
        <w:rPr>
          <w:rFonts w:eastAsia="宋体" w:cs="Times New Roman"/>
          <w:szCs w:val="21"/>
          <w:lang w:val="en-GB"/>
        </w:rPr>
        <w:t>3</w:t>
      </w:r>
      <w:r w:rsidR="00F56663" w:rsidRPr="00DF4323">
        <w:rPr>
          <w:rFonts w:eastAsia="宋体" w:cs="Times New Roman" w:hint="eastAsia"/>
          <w:szCs w:val="21"/>
          <w:lang w:val="en-GB"/>
        </w:rPr>
        <w:t>年</w:t>
      </w:r>
      <w:r w:rsidR="00A037B2" w:rsidRPr="00DF4323">
        <w:rPr>
          <w:rFonts w:eastAsia="宋体" w:cs="Times New Roman"/>
          <w:szCs w:val="21"/>
          <w:lang w:val="en-GB"/>
        </w:rPr>
        <w:t>12</w:t>
      </w:r>
      <w:r w:rsidR="00F56663" w:rsidRPr="00DF4323">
        <w:rPr>
          <w:rFonts w:eastAsia="宋体" w:cs="Times New Roman" w:hint="eastAsia"/>
          <w:szCs w:val="21"/>
          <w:lang w:val="en-GB"/>
        </w:rPr>
        <w:t>月</w:t>
      </w:r>
      <w:r w:rsidR="0052049B">
        <w:rPr>
          <w:rFonts w:eastAsia="宋体" w:cs="Times New Roman"/>
          <w:szCs w:val="21"/>
          <w:lang w:val="en-GB"/>
        </w:rPr>
        <w:t>08</w:t>
      </w:r>
      <w:r w:rsidR="00F56663" w:rsidRPr="00DF4323">
        <w:rPr>
          <w:rFonts w:eastAsia="宋体" w:cs="Times New Roman" w:hint="eastAsia"/>
          <w:szCs w:val="21"/>
          <w:lang w:val="en-GB"/>
        </w:rPr>
        <w:t>日发布的《</w:t>
      </w:r>
      <w:r w:rsidR="0052049B">
        <w:rPr>
          <w:rFonts w:eastAsia="宋体" w:cs="Times New Roman" w:hint="eastAsia"/>
          <w:szCs w:val="21"/>
          <w:lang w:val="en-GB"/>
        </w:rPr>
        <w:t>对</w:t>
      </w:r>
      <w:r w:rsidR="00F56663" w:rsidRPr="00DF4323">
        <w:rPr>
          <w:rFonts w:eastAsia="宋体" w:cs="Times New Roman" w:hint="eastAsia"/>
          <w:szCs w:val="21"/>
          <w:lang w:val="en-GB"/>
        </w:rPr>
        <w:t>浙江省</w:t>
      </w:r>
      <w:r w:rsidR="0052049B">
        <w:rPr>
          <w:rFonts w:eastAsia="宋体" w:cs="Times New Roman" w:hint="eastAsia"/>
          <w:szCs w:val="21"/>
          <w:lang w:val="en-GB"/>
        </w:rPr>
        <w:t>认定机构</w:t>
      </w:r>
      <w:r w:rsidR="0052049B">
        <w:rPr>
          <w:rFonts w:eastAsia="宋体" w:cs="Times New Roman" w:hint="eastAsia"/>
          <w:szCs w:val="21"/>
          <w:lang w:val="en-GB"/>
        </w:rPr>
        <w:t>2</w:t>
      </w:r>
      <w:r w:rsidR="0052049B">
        <w:rPr>
          <w:rFonts w:eastAsia="宋体" w:cs="Times New Roman"/>
          <w:szCs w:val="21"/>
          <w:lang w:val="en-GB"/>
        </w:rPr>
        <w:t>023</w:t>
      </w:r>
      <w:r w:rsidR="0052049B">
        <w:rPr>
          <w:rFonts w:eastAsia="宋体" w:cs="Times New Roman" w:hint="eastAsia"/>
          <w:szCs w:val="21"/>
          <w:lang w:val="en-GB"/>
        </w:rPr>
        <w:t>年认定报备的</w:t>
      </w:r>
      <w:r w:rsidR="00F56663" w:rsidRPr="00DF4323">
        <w:rPr>
          <w:rFonts w:eastAsia="宋体" w:cs="Times New Roman" w:hint="eastAsia"/>
          <w:szCs w:val="21"/>
          <w:lang w:val="en-GB"/>
        </w:rPr>
        <w:t>高新技术企业</w:t>
      </w:r>
      <w:r w:rsidR="0052049B">
        <w:rPr>
          <w:rFonts w:eastAsia="宋体" w:cs="Times New Roman" w:hint="eastAsia"/>
          <w:szCs w:val="21"/>
          <w:lang w:val="en-GB"/>
        </w:rPr>
        <w:t>拟进行</w:t>
      </w:r>
      <w:r w:rsidR="00F56663" w:rsidRPr="00DF4323">
        <w:rPr>
          <w:rFonts w:eastAsia="宋体" w:cs="Times New Roman" w:hint="eastAsia"/>
          <w:szCs w:val="21"/>
          <w:lang w:val="en-GB"/>
        </w:rPr>
        <w:t>备案的</w:t>
      </w:r>
      <w:r w:rsidR="0052049B">
        <w:rPr>
          <w:rFonts w:eastAsia="宋体" w:cs="Times New Roman" w:hint="eastAsia"/>
          <w:szCs w:val="21"/>
          <w:lang w:val="en-GB"/>
        </w:rPr>
        <w:t>公示</w:t>
      </w:r>
      <w:r w:rsidR="00F56663" w:rsidRPr="00DF4323">
        <w:rPr>
          <w:rFonts w:eastAsia="宋体" w:cs="Times New Roman" w:hint="eastAsia"/>
          <w:szCs w:val="21"/>
          <w:lang w:val="en-GB"/>
        </w:rPr>
        <w:t>》，</w:t>
      </w:r>
      <w:r w:rsidR="00A037B2" w:rsidRPr="00DF4323">
        <w:rPr>
          <w:rFonts w:eastAsia="宋体" w:cs="Times New Roman" w:hint="eastAsia"/>
          <w:szCs w:val="21"/>
          <w:lang w:val="en-GB"/>
        </w:rPr>
        <w:t>萤石软件</w:t>
      </w:r>
      <w:r w:rsidR="00F56663" w:rsidRPr="00DF4323">
        <w:rPr>
          <w:rFonts w:eastAsia="宋体" w:cs="Times New Roman" w:hint="eastAsia"/>
          <w:szCs w:val="21"/>
          <w:lang w:val="en-GB"/>
        </w:rPr>
        <w:t>被认定为高新技术企业，认定有效期</w:t>
      </w:r>
      <w:r w:rsidR="00480013" w:rsidRPr="00DF4323">
        <w:rPr>
          <w:rFonts w:eastAsia="宋体" w:cs="Times New Roman"/>
          <w:szCs w:val="21"/>
          <w:lang w:val="en-GB"/>
        </w:rPr>
        <w:t>3</w:t>
      </w:r>
      <w:r w:rsidR="00F56663" w:rsidRPr="00DF4323">
        <w:rPr>
          <w:rFonts w:eastAsia="宋体" w:cs="Times New Roman" w:hint="eastAsia"/>
          <w:szCs w:val="21"/>
          <w:lang w:val="en-GB"/>
        </w:rPr>
        <w:t>年，自</w:t>
      </w:r>
      <w:r w:rsidR="00480013" w:rsidRPr="00DF4323">
        <w:rPr>
          <w:rFonts w:eastAsia="宋体" w:cs="Times New Roman"/>
          <w:szCs w:val="21"/>
          <w:lang w:val="en-GB"/>
        </w:rPr>
        <w:t>202</w:t>
      </w:r>
      <w:r w:rsidR="0052049B">
        <w:rPr>
          <w:rFonts w:eastAsia="宋体" w:cs="Times New Roman"/>
          <w:szCs w:val="21"/>
          <w:lang w:val="en-GB"/>
        </w:rPr>
        <w:t>3</w:t>
      </w:r>
      <w:r w:rsidR="00F56663" w:rsidRPr="00DF4323">
        <w:rPr>
          <w:rFonts w:eastAsia="宋体" w:cs="Times New Roman" w:hint="eastAsia"/>
          <w:szCs w:val="21"/>
          <w:lang w:val="en-GB"/>
        </w:rPr>
        <w:t>年至</w:t>
      </w:r>
      <w:r w:rsidR="000858B9" w:rsidRPr="00DF4323">
        <w:rPr>
          <w:rFonts w:eastAsia="宋体" w:cs="Times New Roman"/>
          <w:szCs w:val="21"/>
          <w:lang w:val="en-GB"/>
        </w:rPr>
        <w:t>202</w:t>
      </w:r>
      <w:r w:rsidR="000B3D2A">
        <w:rPr>
          <w:rFonts w:eastAsia="宋体" w:cs="Times New Roman"/>
          <w:szCs w:val="21"/>
          <w:lang w:val="en-GB"/>
        </w:rPr>
        <w:t>5</w:t>
      </w:r>
      <w:r w:rsidR="00F56663" w:rsidRPr="00DF4323">
        <w:rPr>
          <w:rFonts w:eastAsia="宋体" w:cs="Times New Roman" w:hint="eastAsia"/>
          <w:szCs w:val="21"/>
          <w:lang w:val="en-GB"/>
        </w:rPr>
        <w:t>年。</w:t>
      </w:r>
    </w:p>
    <w:p w:rsidR="005A43A0" w:rsidRPr="00721D38" w:rsidRDefault="005A43A0">
      <w:pPr>
        <w:ind w:left="1440" w:hanging="720"/>
        <w:jc w:val="both"/>
        <w:rPr>
          <w:rFonts w:eastAsia="宋体" w:cs="Times New Roman"/>
          <w:szCs w:val="21"/>
        </w:rPr>
      </w:pPr>
    </w:p>
    <w:p w:rsidR="004D3E07" w:rsidRDefault="00666369">
      <w:pPr>
        <w:ind w:left="1530" w:hanging="810"/>
        <w:jc w:val="both"/>
        <w:rPr>
          <w:rFonts w:eastAsia="宋体" w:cs="Times New Roman"/>
          <w:szCs w:val="21"/>
          <w:lang w:val="en-GB"/>
        </w:rPr>
      </w:pPr>
      <w:r w:rsidRPr="00431869">
        <w:rPr>
          <w:rFonts w:eastAsia="宋体" w:cs="Times New Roman" w:hint="eastAsia"/>
          <w:szCs w:val="21"/>
          <w:lang w:val="en-GB"/>
        </w:rPr>
        <w:t>注</w:t>
      </w:r>
      <w:r w:rsidRPr="00431869">
        <w:rPr>
          <w:rFonts w:eastAsia="宋体" w:cs="Times New Roman"/>
          <w:szCs w:val="21"/>
          <w:lang w:val="en-GB"/>
        </w:rPr>
        <w:t>2.</w:t>
      </w:r>
      <w:r w:rsidR="00394A95" w:rsidRPr="00431869">
        <w:rPr>
          <w:rFonts w:eastAsia="宋体" w:cs="Times New Roman"/>
          <w:szCs w:val="21"/>
          <w:lang w:val="en-GB"/>
        </w:rPr>
        <w:t>3</w:t>
      </w:r>
      <w:r w:rsidR="005F14EE">
        <w:rPr>
          <w:rFonts w:eastAsia="宋体" w:cs="Times New Roman" w:hint="eastAsia"/>
          <w:szCs w:val="21"/>
          <w:lang w:val="en-GB"/>
        </w:rPr>
        <w:t>：</w:t>
      </w:r>
      <w:r w:rsidRPr="00431869">
        <w:rPr>
          <w:rFonts w:eastAsia="宋体" w:cs="Times New Roman"/>
          <w:szCs w:val="21"/>
          <w:lang w:val="en-GB"/>
        </w:rPr>
        <w:tab/>
      </w:r>
      <w:r w:rsidR="00424938" w:rsidRPr="00431869">
        <w:rPr>
          <w:rFonts w:eastAsia="宋体" w:cs="Times New Roman" w:hint="eastAsia"/>
          <w:szCs w:val="21"/>
          <w:lang w:val="en-GB"/>
        </w:rPr>
        <w:t>根据</w:t>
      </w:r>
      <w:r w:rsidR="00D95D37" w:rsidRPr="00431869">
        <w:rPr>
          <w:rFonts w:eastAsia="宋体" w:cs="Times New Roman" w:hint="eastAsia"/>
          <w:szCs w:val="21"/>
          <w:lang w:val="en-GB"/>
        </w:rPr>
        <w:t>《关于深入实施西部大开发战略有关税收政策问题的通知》</w:t>
      </w:r>
      <w:r w:rsidR="005F14EE">
        <w:rPr>
          <w:rFonts w:eastAsia="宋体" w:cs="Times New Roman"/>
          <w:szCs w:val="21"/>
          <w:lang w:val="en-GB"/>
        </w:rPr>
        <w:t>(</w:t>
      </w:r>
      <w:r w:rsidR="00424938" w:rsidRPr="00431869">
        <w:rPr>
          <w:rFonts w:eastAsia="宋体" w:cs="Times New Roman" w:hint="eastAsia"/>
          <w:szCs w:val="21"/>
          <w:lang w:val="en-GB"/>
        </w:rPr>
        <w:t>财政部、国家税务总局、海关总署财税〔</w:t>
      </w:r>
      <w:r w:rsidR="00424938" w:rsidRPr="00431869">
        <w:rPr>
          <w:rFonts w:eastAsia="宋体" w:cs="Times New Roman"/>
          <w:szCs w:val="21"/>
          <w:lang w:val="en-GB"/>
        </w:rPr>
        <w:t>2011</w:t>
      </w:r>
      <w:r w:rsidR="00424938" w:rsidRPr="00431869">
        <w:rPr>
          <w:rFonts w:eastAsia="宋体" w:cs="Times New Roman" w:hint="eastAsia"/>
          <w:szCs w:val="21"/>
          <w:lang w:val="en-GB"/>
        </w:rPr>
        <w:t>〕</w:t>
      </w:r>
      <w:r w:rsidR="00D95D37" w:rsidRPr="00431869">
        <w:rPr>
          <w:rFonts w:eastAsia="宋体" w:cs="Times New Roman"/>
          <w:szCs w:val="21"/>
          <w:lang w:val="en-GB"/>
        </w:rPr>
        <w:t>58</w:t>
      </w:r>
      <w:r w:rsidR="00914B54" w:rsidRPr="00431869">
        <w:rPr>
          <w:rFonts w:eastAsia="宋体" w:cs="Times New Roman" w:hint="eastAsia"/>
          <w:szCs w:val="21"/>
          <w:lang w:val="en-GB"/>
        </w:rPr>
        <w:t>号</w:t>
      </w:r>
      <w:r w:rsidR="005F14EE">
        <w:rPr>
          <w:rFonts w:eastAsia="宋体" w:cs="Times New Roman"/>
          <w:szCs w:val="21"/>
          <w:lang w:val="en-GB"/>
        </w:rPr>
        <w:t>)</w:t>
      </w:r>
      <w:r w:rsidR="00914B54" w:rsidRPr="00431869">
        <w:rPr>
          <w:rFonts w:eastAsia="宋体" w:cs="Times New Roman" w:hint="eastAsia"/>
          <w:szCs w:val="21"/>
          <w:lang w:val="en-GB"/>
        </w:rPr>
        <w:t>以及</w:t>
      </w:r>
      <w:r w:rsidR="00424938" w:rsidRPr="00431869">
        <w:rPr>
          <w:rFonts w:eastAsia="宋体" w:cs="Times New Roman" w:hint="eastAsia"/>
          <w:szCs w:val="21"/>
          <w:lang w:val="en-GB"/>
        </w:rPr>
        <w:t>《关于延续西部大开发企业所得税政策的公告》</w:t>
      </w:r>
      <w:r w:rsidR="005F14EE">
        <w:rPr>
          <w:rFonts w:eastAsia="宋体" w:cs="Times New Roman"/>
          <w:szCs w:val="21"/>
          <w:lang w:val="en-GB"/>
        </w:rPr>
        <w:t>(</w:t>
      </w:r>
      <w:r w:rsidR="00424938" w:rsidRPr="00431869">
        <w:rPr>
          <w:rFonts w:eastAsia="宋体" w:cs="Times New Roman" w:hint="eastAsia"/>
          <w:szCs w:val="21"/>
          <w:lang w:val="en-GB"/>
        </w:rPr>
        <w:t>财政部、税务总局、国家发展改革委公告〔</w:t>
      </w:r>
      <w:r w:rsidR="00424938" w:rsidRPr="00431869">
        <w:rPr>
          <w:rFonts w:eastAsia="宋体" w:cs="Times New Roman"/>
          <w:szCs w:val="21"/>
          <w:lang w:val="en-GB"/>
        </w:rPr>
        <w:t>2020</w:t>
      </w:r>
      <w:r w:rsidR="00424938" w:rsidRPr="00431869">
        <w:rPr>
          <w:rFonts w:eastAsia="宋体" w:cs="Times New Roman" w:hint="eastAsia"/>
          <w:szCs w:val="21"/>
          <w:lang w:val="en-GB"/>
        </w:rPr>
        <w:t>〕</w:t>
      </w:r>
      <w:r w:rsidR="005A16CA" w:rsidRPr="00431869">
        <w:rPr>
          <w:rFonts w:eastAsia="宋体" w:cs="Times New Roman"/>
          <w:szCs w:val="21"/>
          <w:lang w:val="en-GB"/>
        </w:rPr>
        <w:t>23</w:t>
      </w:r>
      <w:r w:rsidR="00424938" w:rsidRPr="00431869">
        <w:rPr>
          <w:rFonts w:eastAsia="宋体" w:cs="Times New Roman" w:hint="eastAsia"/>
          <w:szCs w:val="21"/>
          <w:lang w:val="en-GB"/>
        </w:rPr>
        <w:t>号</w:t>
      </w:r>
      <w:r w:rsidR="005F14EE">
        <w:rPr>
          <w:rFonts w:eastAsia="宋体" w:cs="Times New Roman"/>
          <w:szCs w:val="21"/>
          <w:lang w:val="en-GB"/>
        </w:rPr>
        <w:t>)</w:t>
      </w:r>
      <w:r w:rsidR="00424938" w:rsidRPr="00431869">
        <w:rPr>
          <w:rFonts w:eastAsia="宋体" w:cs="Times New Roman" w:hint="eastAsia"/>
          <w:szCs w:val="21"/>
          <w:lang w:val="en-GB"/>
        </w:rPr>
        <w:t>，</w:t>
      </w:r>
      <w:r w:rsidR="00214105" w:rsidRPr="00431869">
        <w:rPr>
          <w:rFonts w:eastAsia="宋体" w:cs="Times New Roman" w:hint="eastAsia"/>
          <w:szCs w:val="21"/>
          <w:lang w:val="en-GB"/>
        </w:rPr>
        <w:t>重庆萤石本年度享受西部大开发税收优惠政策，因此</w:t>
      </w:r>
      <w:r w:rsidR="00096CBF">
        <w:rPr>
          <w:rFonts w:eastAsia="宋体" w:cs="Times New Roman" w:hint="eastAsia"/>
          <w:szCs w:val="21"/>
          <w:lang w:val="en-GB"/>
        </w:rPr>
        <w:t>本年</w:t>
      </w:r>
      <w:r w:rsidR="0087334B">
        <w:rPr>
          <w:rFonts w:eastAsia="宋体" w:cs="Times New Roman" w:hint="eastAsia"/>
          <w:szCs w:val="21"/>
          <w:lang w:val="en-GB"/>
        </w:rPr>
        <w:t>度</w:t>
      </w:r>
      <w:r w:rsidR="00214105" w:rsidRPr="00431869">
        <w:rPr>
          <w:rFonts w:eastAsia="宋体" w:cs="Times New Roman" w:hint="eastAsia"/>
          <w:szCs w:val="21"/>
          <w:lang w:val="en-GB"/>
        </w:rPr>
        <w:t>企业所得税减按</w:t>
      </w:r>
      <w:r w:rsidR="004D3E07">
        <w:rPr>
          <w:rFonts w:eastAsia="宋体" w:cs="Times New Roman"/>
          <w:szCs w:val="21"/>
          <w:lang w:val="en-GB"/>
        </w:rPr>
        <w:t>15</w:t>
      </w:r>
      <w:r w:rsidR="00214105" w:rsidRPr="00431869">
        <w:rPr>
          <w:rFonts w:eastAsia="宋体" w:cs="Times New Roman"/>
          <w:szCs w:val="21"/>
          <w:lang w:val="en-GB"/>
        </w:rPr>
        <w:t>%</w:t>
      </w:r>
      <w:r w:rsidR="00214105" w:rsidRPr="00431869">
        <w:rPr>
          <w:rFonts w:eastAsia="宋体" w:cs="Times New Roman" w:hint="eastAsia"/>
          <w:szCs w:val="21"/>
          <w:lang w:val="en-GB"/>
        </w:rPr>
        <w:t>的税率计缴</w:t>
      </w:r>
      <w:r w:rsidR="005F14EE">
        <w:rPr>
          <w:rFonts w:eastAsia="宋体" w:cs="Times New Roman" w:hint="eastAsia"/>
          <w:szCs w:val="21"/>
          <w:lang w:val="en-GB"/>
        </w:rPr>
        <w:t>(</w:t>
      </w:r>
      <w:r w:rsidR="00CD0B15" w:rsidRPr="00431869">
        <w:rPr>
          <w:rFonts w:eastAsia="宋体" w:cs="Times New Roman" w:hint="eastAsia"/>
          <w:szCs w:val="21"/>
          <w:lang w:val="en-GB"/>
        </w:rPr>
        <w:t>上年度</w:t>
      </w:r>
      <w:r w:rsidR="005F14EE">
        <w:rPr>
          <w:rFonts w:eastAsia="宋体" w:cs="Times New Roman" w:hint="eastAsia"/>
          <w:szCs w:val="21"/>
          <w:lang w:val="en-GB"/>
        </w:rPr>
        <w:t>：</w:t>
      </w:r>
      <w:r w:rsidR="00952036" w:rsidRPr="00431869">
        <w:rPr>
          <w:rFonts w:eastAsia="宋体" w:cs="Times New Roman"/>
          <w:szCs w:val="21"/>
          <w:lang w:val="en-GB"/>
        </w:rPr>
        <w:t>15</w:t>
      </w:r>
      <w:r w:rsidR="00CD0B15" w:rsidRPr="00431869">
        <w:rPr>
          <w:rFonts w:eastAsia="宋体" w:cs="Times New Roman"/>
          <w:szCs w:val="21"/>
          <w:lang w:val="en-GB"/>
        </w:rPr>
        <w:t>%</w:t>
      </w:r>
      <w:r w:rsidR="005F14EE">
        <w:rPr>
          <w:rFonts w:eastAsia="宋体" w:cs="Times New Roman"/>
          <w:szCs w:val="21"/>
          <w:lang w:val="en-GB"/>
        </w:rPr>
        <w:t>)</w:t>
      </w:r>
      <w:r w:rsidR="00214105" w:rsidRPr="00431869">
        <w:rPr>
          <w:rFonts w:eastAsia="宋体" w:cs="Times New Roman" w:hint="eastAsia"/>
          <w:szCs w:val="21"/>
          <w:lang w:val="en-GB"/>
        </w:rPr>
        <w:t>。</w:t>
      </w:r>
    </w:p>
    <w:p w:rsidR="00BC049E" w:rsidRDefault="00BC049E" w:rsidP="006B4A23">
      <w:pPr>
        <w:jc w:val="both"/>
        <w:rPr>
          <w:rFonts w:eastAsia="宋体" w:cs="Times New Roman"/>
          <w:szCs w:val="21"/>
          <w:lang w:val="en-GB"/>
        </w:rPr>
      </w:pPr>
    </w:p>
    <w:p w:rsidR="00172516" w:rsidRDefault="00172516">
      <w:pPr>
        <w:adjustRightInd/>
        <w:snapToGrid/>
        <w:rPr>
          <w:rFonts w:eastAsia="宋体" w:cs="Times New Roman"/>
          <w:szCs w:val="21"/>
          <w:lang w:val="en-GB"/>
        </w:rPr>
      </w:pPr>
    </w:p>
    <w:p w:rsidR="0030253A" w:rsidRPr="00F66363" w:rsidRDefault="0030253A" w:rsidP="00F66363">
      <w:pPr>
        <w:pStyle w:val="1"/>
        <w:keepNext w:val="0"/>
        <w:keepLines w:val="0"/>
        <w:adjustRightInd w:val="0"/>
        <w:snapToGrid w:val="0"/>
        <w:ind w:left="720" w:hanging="720"/>
        <w:contextualSpacing w:val="0"/>
        <w:jc w:val="both"/>
        <w:rPr>
          <w:rFonts w:cs="Times New Roman"/>
          <w:szCs w:val="21"/>
        </w:rPr>
      </w:pPr>
      <w:r w:rsidRPr="0030253A">
        <w:rPr>
          <w:rFonts w:ascii="Times New Roman" w:hAnsi="Times New Roman" w:cs="Times New Roman" w:hint="eastAsia"/>
          <w:szCs w:val="21"/>
        </w:rPr>
        <w:t>合并财务报表项目注释</w:t>
      </w:r>
    </w:p>
    <w:p w:rsidR="00F036D5" w:rsidRPr="00A71D2E" w:rsidRDefault="00F036D5">
      <w:pPr>
        <w:ind w:left="720"/>
        <w:rPr>
          <w:rFonts w:eastAsia="宋体" w:cs="Times New Roman"/>
          <w:szCs w:val="21"/>
        </w:rPr>
      </w:pPr>
      <w:bookmarkStart w:id="1" w:name="_Toc241636418"/>
      <w:bookmarkStart w:id="2" w:name="_Toc247094053"/>
      <w:bookmarkStart w:id="3" w:name="_Toc247371837"/>
      <w:bookmarkEnd w:id="1"/>
      <w:bookmarkEnd w:id="2"/>
      <w:bookmarkEnd w:id="3"/>
    </w:p>
    <w:p w:rsidR="00B755FC" w:rsidRPr="00A71D2E" w:rsidRDefault="00B755FC">
      <w:pPr>
        <w:pStyle w:val="2"/>
        <w:numPr>
          <w:ilvl w:val="2"/>
          <w:numId w:val="1"/>
        </w:numPr>
        <w:adjustRightInd w:val="0"/>
        <w:snapToGrid w:val="0"/>
        <w:ind w:left="1440" w:hanging="720"/>
        <w:contextualSpacing w:val="0"/>
        <w:rPr>
          <w:rFonts w:ascii="Times New Roman" w:eastAsia="宋体" w:hAnsi="Times New Roman" w:cs="Times New Roman"/>
          <w:szCs w:val="21"/>
        </w:rPr>
      </w:pPr>
      <w:r w:rsidRPr="00A71D2E">
        <w:rPr>
          <w:rFonts w:ascii="Times New Roman" w:eastAsia="宋体" w:hAnsi="Times New Roman" w:cs="Times New Roman" w:hint="eastAsia"/>
          <w:szCs w:val="21"/>
        </w:rPr>
        <w:t>货币资金</w:t>
      </w:r>
    </w:p>
    <w:p w:rsidR="00B755FC" w:rsidRPr="00A71D2E" w:rsidRDefault="00B755FC">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40"/>
        <w:gridCol w:w="1335"/>
        <w:gridCol w:w="897"/>
        <w:gridCol w:w="1278"/>
        <w:gridCol w:w="1170"/>
        <w:gridCol w:w="1053"/>
        <w:gridCol w:w="1377"/>
      </w:tblGrid>
      <w:tr w:rsidR="00B05185" w:rsidRPr="00511F0D" w:rsidTr="0027505B">
        <w:trPr>
          <w:trHeight w:val="20"/>
        </w:trPr>
        <w:tc>
          <w:tcPr>
            <w:tcW w:w="2340" w:type="dxa"/>
            <w:vMerge w:val="restart"/>
            <w:shd w:val="clear" w:color="auto" w:fill="D9D9D9" w:themeFill="background1" w:themeFillShade="D9"/>
            <w:tcMar>
              <w:top w:w="0" w:type="dxa"/>
              <w:left w:w="108" w:type="dxa"/>
              <w:bottom w:w="0" w:type="dxa"/>
              <w:right w:w="108" w:type="dxa"/>
            </w:tcMar>
            <w:vAlign w:val="center"/>
            <w:hideMark/>
          </w:tcPr>
          <w:p w:rsidR="00C92DAB" w:rsidRPr="00511F0D" w:rsidRDefault="00C92DAB">
            <w:pPr>
              <w:jc w:val="center"/>
              <w:rPr>
                <w:rFonts w:eastAsia="宋体" w:cs="Times New Roman"/>
                <w:sz w:val="16"/>
                <w:szCs w:val="16"/>
              </w:rPr>
            </w:pPr>
            <w:r w:rsidRPr="00511F0D">
              <w:rPr>
                <w:rFonts w:eastAsia="宋体" w:cs="Times New Roman" w:hint="eastAsia"/>
                <w:sz w:val="16"/>
                <w:szCs w:val="16"/>
              </w:rPr>
              <w:t>项目</w:t>
            </w:r>
          </w:p>
        </w:tc>
        <w:tc>
          <w:tcPr>
            <w:tcW w:w="3510" w:type="dxa"/>
            <w:gridSpan w:val="3"/>
            <w:shd w:val="clear" w:color="auto" w:fill="D9D9D9" w:themeFill="background1" w:themeFillShade="D9"/>
            <w:vAlign w:val="center"/>
          </w:tcPr>
          <w:p w:rsidR="00C92DAB" w:rsidRPr="00511F0D" w:rsidRDefault="00333403">
            <w:pPr>
              <w:jc w:val="center"/>
              <w:rPr>
                <w:rFonts w:eastAsia="宋体" w:cs="Times New Roman"/>
                <w:sz w:val="16"/>
                <w:szCs w:val="16"/>
              </w:rPr>
            </w:pPr>
            <w:r w:rsidRPr="00511F0D">
              <w:rPr>
                <w:rFonts w:eastAsia="宋体" w:cs="Times New Roman" w:hint="eastAsia"/>
                <w:sz w:val="16"/>
                <w:szCs w:val="16"/>
              </w:rPr>
              <w:t>年末余额</w:t>
            </w:r>
          </w:p>
        </w:tc>
        <w:tc>
          <w:tcPr>
            <w:tcW w:w="3600" w:type="dxa"/>
            <w:gridSpan w:val="3"/>
            <w:shd w:val="clear" w:color="auto" w:fill="D9D9D9" w:themeFill="background1" w:themeFillShade="D9"/>
            <w:tcMar>
              <w:top w:w="0" w:type="dxa"/>
              <w:left w:w="108" w:type="dxa"/>
              <w:bottom w:w="0" w:type="dxa"/>
              <w:right w:w="108" w:type="dxa"/>
            </w:tcMar>
            <w:vAlign w:val="center"/>
            <w:hideMark/>
          </w:tcPr>
          <w:p w:rsidR="00C92DAB" w:rsidRPr="00511F0D" w:rsidRDefault="00333403">
            <w:pPr>
              <w:jc w:val="center"/>
              <w:rPr>
                <w:rFonts w:eastAsia="宋体" w:cs="Times New Roman"/>
                <w:sz w:val="16"/>
                <w:szCs w:val="16"/>
              </w:rPr>
            </w:pPr>
            <w:r w:rsidRPr="00511F0D">
              <w:rPr>
                <w:rFonts w:eastAsia="宋体" w:cs="Times New Roman" w:hint="eastAsia"/>
                <w:sz w:val="16"/>
                <w:szCs w:val="16"/>
              </w:rPr>
              <w:t>年初余额</w:t>
            </w:r>
          </w:p>
        </w:tc>
      </w:tr>
      <w:tr w:rsidR="00694CFB" w:rsidRPr="00511F0D" w:rsidTr="0027505B">
        <w:trPr>
          <w:trHeight w:val="20"/>
        </w:trPr>
        <w:tc>
          <w:tcPr>
            <w:tcW w:w="2340" w:type="dxa"/>
            <w:vMerge/>
            <w:shd w:val="clear" w:color="auto" w:fill="D9D9D9" w:themeFill="background1" w:themeFillShade="D9"/>
            <w:tcMar>
              <w:top w:w="0" w:type="dxa"/>
              <w:left w:w="108" w:type="dxa"/>
              <w:bottom w:w="0" w:type="dxa"/>
              <w:right w:w="108" w:type="dxa"/>
            </w:tcMar>
            <w:vAlign w:val="center"/>
            <w:hideMark/>
          </w:tcPr>
          <w:p w:rsidR="00C92DAB" w:rsidRPr="00511F0D" w:rsidRDefault="00C92DAB">
            <w:pPr>
              <w:jc w:val="center"/>
              <w:rPr>
                <w:rFonts w:eastAsia="宋体" w:cs="Times New Roman"/>
                <w:sz w:val="16"/>
                <w:szCs w:val="16"/>
              </w:rPr>
            </w:pPr>
          </w:p>
        </w:tc>
        <w:tc>
          <w:tcPr>
            <w:tcW w:w="1335" w:type="dxa"/>
            <w:shd w:val="clear" w:color="auto" w:fill="D9D9D9" w:themeFill="background1" w:themeFillShade="D9"/>
            <w:vAlign w:val="center"/>
          </w:tcPr>
          <w:p w:rsidR="00C92DAB" w:rsidRPr="00511F0D" w:rsidRDefault="00C92DAB">
            <w:pPr>
              <w:jc w:val="center"/>
              <w:rPr>
                <w:rFonts w:eastAsia="宋体" w:cs="Times New Roman"/>
                <w:sz w:val="16"/>
                <w:szCs w:val="16"/>
              </w:rPr>
            </w:pPr>
            <w:r w:rsidRPr="00511F0D">
              <w:rPr>
                <w:rFonts w:eastAsia="宋体" w:cs="Times New Roman" w:hint="eastAsia"/>
                <w:sz w:val="16"/>
                <w:szCs w:val="16"/>
              </w:rPr>
              <w:t>外币金额</w:t>
            </w:r>
          </w:p>
        </w:tc>
        <w:tc>
          <w:tcPr>
            <w:tcW w:w="897" w:type="dxa"/>
            <w:shd w:val="clear" w:color="auto" w:fill="D9D9D9" w:themeFill="background1" w:themeFillShade="D9"/>
            <w:vAlign w:val="center"/>
          </w:tcPr>
          <w:p w:rsidR="00C92DAB" w:rsidRPr="00511F0D" w:rsidRDefault="00C92DAB">
            <w:pPr>
              <w:jc w:val="center"/>
              <w:rPr>
                <w:rFonts w:eastAsia="宋体" w:cs="Times New Roman"/>
                <w:sz w:val="16"/>
                <w:szCs w:val="16"/>
              </w:rPr>
            </w:pPr>
            <w:r w:rsidRPr="00511F0D">
              <w:rPr>
                <w:rFonts w:eastAsia="宋体" w:cs="Times New Roman" w:hint="eastAsia"/>
                <w:sz w:val="16"/>
                <w:szCs w:val="16"/>
              </w:rPr>
              <w:t>折算率</w:t>
            </w:r>
          </w:p>
        </w:tc>
        <w:tc>
          <w:tcPr>
            <w:tcW w:w="1278" w:type="dxa"/>
            <w:shd w:val="clear" w:color="auto" w:fill="D9D9D9" w:themeFill="background1" w:themeFillShade="D9"/>
            <w:vAlign w:val="center"/>
          </w:tcPr>
          <w:p w:rsidR="00C92DAB" w:rsidRPr="00511F0D" w:rsidRDefault="00C92DAB">
            <w:pPr>
              <w:jc w:val="center"/>
              <w:rPr>
                <w:rFonts w:eastAsia="宋体" w:cs="Times New Roman"/>
                <w:sz w:val="16"/>
                <w:szCs w:val="16"/>
              </w:rPr>
            </w:pPr>
            <w:r w:rsidRPr="00511F0D">
              <w:rPr>
                <w:rFonts w:eastAsia="宋体" w:cs="Times New Roman" w:hint="eastAsia"/>
                <w:sz w:val="16"/>
                <w:szCs w:val="16"/>
              </w:rPr>
              <w:t>人民币金额</w:t>
            </w:r>
          </w:p>
        </w:tc>
        <w:tc>
          <w:tcPr>
            <w:tcW w:w="1170" w:type="dxa"/>
            <w:shd w:val="clear" w:color="auto" w:fill="D9D9D9" w:themeFill="background1" w:themeFillShade="D9"/>
            <w:tcMar>
              <w:top w:w="0" w:type="dxa"/>
              <w:left w:w="108" w:type="dxa"/>
              <w:bottom w:w="0" w:type="dxa"/>
              <w:right w:w="108" w:type="dxa"/>
            </w:tcMar>
            <w:vAlign w:val="center"/>
            <w:hideMark/>
          </w:tcPr>
          <w:p w:rsidR="00C92DAB" w:rsidRPr="00511F0D" w:rsidRDefault="00C92DAB">
            <w:pPr>
              <w:jc w:val="center"/>
              <w:rPr>
                <w:rFonts w:eastAsia="宋体" w:cs="Times New Roman"/>
                <w:sz w:val="16"/>
                <w:szCs w:val="16"/>
              </w:rPr>
            </w:pPr>
            <w:r w:rsidRPr="00511F0D">
              <w:rPr>
                <w:rFonts w:eastAsia="宋体" w:cs="Times New Roman" w:hint="eastAsia"/>
                <w:sz w:val="16"/>
                <w:szCs w:val="16"/>
              </w:rPr>
              <w:t>外币金额</w:t>
            </w:r>
          </w:p>
        </w:tc>
        <w:tc>
          <w:tcPr>
            <w:tcW w:w="1053" w:type="dxa"/>
            <w:shd w:val="clear" w:color="auto" w:fill="D9D9D9" w:themeFill="background1" w:themeFillShade="D9"/>
            <w:tcMar>
              <w:top w:w="0" w:type="dxa"/>
              <w:left w:w="108" w:type="dxa"/>
              <w:bottom w:w="0" w:type="dxa"/>
              <w:right w:w="108" w:type="dxa"/>
            </w:tcMar>
            <w:vAlign w:val="center"/>
            <w:hideMark/>
          </w:tcPr>
          <w:p w:rsidR="00C92DAB" w:rsidRPr="00511F0D" w:rsidRDefault="00C92DAB">
            <w:pPr>
              <w:jc w:val="center"/>
              <w:rPr>
                <w:rFonts w:eastAsia="宋体" w:cs="Times New Roman"/>
                <w:sz w:val="16"/>
                <w:szCs w:val="16"/>
              </w:rPr>
            </w:pPr>
            <w:r w:rsidRPr="00511F0D">
              <w:rPr>
                <w:rFonts w:eastAsia="宋体" w:cs="Times New Roman" w:hint="eastAsia"/>
                <w:sz w:val="16"/>
                <w:szCs w:val="16"/>
              </w:rPr>
              <w:t>折算率</w:t>
            </w:r>
          </w:p>
        </w:tc>
        <w:tc>
          <w:tcPr>
            <w:tcW w:w="1377" w:type="dxa"/>
            <w:shd w:val="clear" w:color="auto" w:fill="D9D9D9" w:themeFill="background1" w:themeFillShade="D9"/>
            <w:tcMar>
              <w:top w:w="0" w:type="dxa"/>
              <w:left w:w="108" w:type="dxa"/>
              <w:bottom w:w="0" w:type="dxa"/>
              <w:right w:w="108" w:type="dxa"/>
            </w:tcMar>
            <w:vAlign w:val="center"/>
            <w:hideMark/>
          </w:tcPr>
          <w:p w:rsidR="00C92DAB" w:rsidRPr="00511F0D" w:rsidRDefault="00C92DAB">
            <w:pPr>
              <w:jc w:val="center"/>
              <w:rPr>
                <w:rFonts w:eastAsia="宋体" w:cs="Times New Roman"/>
                <w:sz w:val="16"/>
                <w:szCs w:val="16"/>
              </w:rPr>
            </w:pPr>
            <w:r w:rsidRPr="00511F0D">
              <w:rPr>
                <w:rFonts w:eastAsia="宋体" w:cs="Times New Roman" w:hint="eastAsia"/>
                <w:sz w:val="16"/>
                <w:szCs w:val="16"/>
              </w:rPr>
              <w:t>人民币金额</w:t>
            </w:r>
          </w:p>
        </w:tc>
      </w:tr>
      <w:tr w:rsidR="00B05185" w:rsidRPr="00511F0D" w:rsidTr="0027505B">
        <w:trPr>
          <w:trHeight w:val="20"/>
        </w:trPr>
        <w:tc>
          <w:tcPr>
            <w:tcW w:w="2340" w:type="dxa"/>
            <w:shd w:val="clear" w:color="auto" w:fill="auto"/>
            <w:tcMar>
              <w:top w:w="0" w:type="dxa"/>
              <w:left w:w="108" w:type="dxa"/>
              <w:bottom w:w="0" w:type="dxa"/>
              <w:right w:w="108" w:type="dxa"/>
            </w:tcMar>
            <w:vAlign w:val="center"/>
            <w:hideMark/>
          </w:tcPr>
          <w:p w:rsidR="00C92DAB" w:rsidRPr="00511F0D" w:rsidRDefault="00C92DAB">
            <w:pPr>
              <w:rPr>
                <w:rFonts w:eastAsia="宋体" w:cs="Times New Roman"/>
                <w:sz w:val="16"/>
                <w:szCs w:val="16"/>
              </w:rPr>
            </w:pPr>
            <w:r w:rsidRPr="00511F0D">
              <w:rPr>
                <w:rFonts w:eastAsia="宋体" w:cs="Times New Roman" w:hint="eastAsia"/>
                <w:sz w:val="16"/>
                <w:szCs w:val="16"/>
              </w:rPr>
              <w:t>银行存款</w:t>
            </w:r>
            <w:r w:rsidR="005F14EE" w:rsidRPr="00511F0D">
              <w:rPr>
                <w:rFonts w:eastAsia="宋体" w:cs="Times New Roman" w:hint="eastAsia"/>
                <w:sz w:val="16"/>
                <w:szCs w:val="16"/>
              </w:rPr>
              <w:t>：</w:t>
            </w:r>
          </w:p>
        </w:tc>
        <w:tc>
          <w:tcPr>
            <w:tcW w:w="1335" w:type="dxa"/>
            <w:vAlign w:val="center"/>
          </w:tcPr>
          <w:p w:rsidR="00C92DAB" w:rsidRPr="00511F0D" w:rsidRDefault="00C92DAB">
            <w:pPr>
              <w:tabs>
                <w:tab w:val="left" w:pos="181"/>
              </w:tabs>
              <w:ind w:left="1440" w:right="78" w:hanging="1440"/>
              <w:jc w:val="right"/>
              <w:rPr>
                <w:rFonts w:eastAsia="宋体" w:cs="Times New Roman"/>
                <w:sz w:val="16"/>
                <w:szCs w:val="16"/>
              </w:rPr>
            </w:pPr>
          </w:p>
        </w:tc>
        <w:tc>
          <w:tcPr>
            <w:tcW w:w="897" w:type="dxa"/>
            <w:vAlign w:val="center"/>
          </w:tcPr>
          <w:p w:rsidR="00C92DAB" w:rsidRPr="00511F0D" w:rsidRDefault="00C92DAB">
            <w:pPr>
              <w:tabs>
                <w:tab w:val="left" w:pos="181"/>
              </w:tabs>
              <w:ind w:left="1440" w:right="78" w:hanging="1440"/>
              <w:jc w:val="right"/>
              <w:rPr>
                <w:rFonts w:eastAsia="宋体" w:cs="Times New Roman"/>
                <w:sz w:val="16"/>
                <w:szCs w:val="16"/>
              </w:rPr>
            </w:pPr>
          </w:p>
        </w:tc>
        <w:tc>
          <w:tcPr>
            <w:tcW w:w="1278" w:type="dxa"/>
            <w:vAlign w:val="center"/>
          </w:tcPr>
          <w:p w:rsidR="00C92DAB" w:rsidRPr="00511F0D" w:rsidRDefault="00C92DAB">
            <w:pPr>
              <w:tabs>
                <w:tab w:val="left" w:pos="181"/>
              </w:tabs>
              <w:ind w:left="1440" w:right="78" w:hanging="1440"/>
              <w:jc w:val="right"/>
              <w:rPr>
                <w:rFonts w:eastAsia="宋体" w:cs="Times New Roman"/>
                <w:sz w:val="16"/>
                <w:szCs w:val="16"/>
              </w:rPr>
            </w:pPr>
          </w:p>
        </w:tc>
        <w:tc>
          <w:tcPr>
            <w:tcW w:w="1170" w:type="dxa"/>
            <w:tcMar>
              <w:top w:w="0" w:type="dxa"/>
              <w:left w:w="108" w:type="dxa"/>
              <w:bottom w:w="0" w:type="dxa"/>
              <w:right w:w="108" w:type="dxa"/>
            </w:tcMar>
            <w:vAlign w:val="center"/>
          </w:tcPr>
          <w:p w:rsidR="00C92DAB" w:rsidRPr="00511F0D" w:rsidRDefault="00C92DAB">
            <w:pPr>
              <w:tabs>
                <w:tab w:val="left" w:pos="181"/>
              </w:tabs>
              <w:ind w:left="1440" w:hanging="1440"/>
              <w:jc w:val="right"/>
              <w:rPr>
                <w:rFonts w:eastAsia="宋体" w:cs="Times New Roman"/>
                <w:sz w:val="16"/>
                <w:szCs w:val="16"/>
              </w:rPr>
            </w:pPr>
          </w:p>
        </w:tc>
        <w:tc>
          <w:tcPr>
            <w:tcW w:w="1053" w:type="dxa"/>
            <w:tcMar>
              <w:top w:w="0" w:type="dxa"/>
              <w:left w:w="108" w:type="dxa"/>
              <w:bottom w:w="0" w:type="dxa"/>
              <w:right w:w="108" w:type="dxa"/>
            </w:tcMar>
            <w:vAlign w:val="center"/>
          </w:tcPr>
          <w:p w:rsidR="00C92DAB" w:rsidRPr="00511F0D" w:rsidRDefault="00C92DAB">
            <w:pPr>
              <w:tabs>
                <w:tab w:val="left" w:pos="181"/>
              </w:tabs>
              <w:ind w:left="1440" w:hanging="1440"/>
              <w:jc w:val="right"/>
              <w:rPr>
                <w:rFonts w:eastAsia="宋体" w:cs="Times New Roman"/>
                <w:sz w:val="16"/>
                <w:szCs w:val="16"/>
              </w:rPr>
            </w:pPr>
          </w:p>
        </w:tc>
        <w:tc>
          <w:tcPr>
            <w:tcW w:w="1377" w:type="dxa"/>
            <w:tcMar>
              <w:top w:w="0" w:type="dxa"/>
              <w:left w:w="108" w:type="dxa"/>
              <w:bottom w:w="0" w:type="dxa"/>
              <w:right w:w="108" w:type="dxa"/>
            </w:tcMar>
            <w:vAlign w:val="center"/>
          </w:tcPr>
          <w:p w:rsidR="00C92DAB" w:rsidRPr="00511F0D" w:rsidRDefault="00C92DAB">
            <w:pPr>
              <w:tabs>
                <w:tab w:val="left" w:pos="181"/>
              </w:tabs>
              <w:ind w:left="1440" w:hanging="1440"/>
              <w:jc w:val="right"/>
              <w:rPr>
                <w:rFonts w:eastAsia="宋体" w:cs="Times New Roman"/>
                <w:sz w:val="16"/>
                <w:szCs w:val="16"/>
              </w:rPr>
            </w:pPr>
          </w:p>
        </w:tc>
      </w:tr>
      <w:tr w:rsidR="00240099" w:rsidRPr="00511F0D" w:rsidTr="0027505B">
        <w:trPr>
          <w:trHeight w:val="20"/>
        </w:trPr>
        <w:tc>
          <w:tcPr>
            <w:tcW w:w="2340" w:type="dxa"/>
            <w:shd w:val="clear" w:color="auto" w:fill="auto"/>
            <w:tcMar>
              <w:top w:w="0" w:type="dxa"/>
              <w:left w:w="108" w:type="dxa"/>
              <w:bottom w:w="0" w:type="dxa"/>
              <w:right w:w="108" w:type="dxa"/>
            </w:tcMar>
            <w:vAlign w:val="center"/>
            <w:hideMark/>
          </w:tcPr>
          <w:p w:rsidR="00240099" w:rsidRPr="00511F0D" w:rsidRDefault="00240099" w:rsidP="00240099">
            <w:pPr>
              <w:rPr>
                <w:rFonts w:eastAsia="宋体" w:cs="Times New Roman"/>
                <w:sz w:val="16"/>
                <w:szCs w:val="16"/>
              </w:rPr>
            </w:pPr>
            <w:r w:rsidRPr="00511F0D">
              <w:rPr>
                <w:rFonts w:eastAsia="宋体" w:cs="Times New Roman" w:hint="eastAsia"/>
                <w:sz w:val="16"/>
                <w:szCs w:val="16"/>
              </w:rPr>
              <w:t>人民币</w:t>
            </w:r>
          </w:p>
        </w:tc>
        <w:tc>
          <w:tcPr>
            <w:tcW w:w="1335" w:type="dxa"/>
            <w:shd w:val="clear" w:color="auto" w:fill="auto"/>
            <w:vAlign w:val="center"/>
          </w:tcPr>
          <w:p w:rsidR="00240099" w:rsidRPr="00511F0D" w:rsidRDefault="00240099" w:rsidP="00F14182">
            <w:pPr>
              <w:tabs>
                <w:tab w:val="left" w:pos="181"/>
              </w:tabs>
              <w:ind w:left="1440" w:hanging="1440"/>
              <w:jc w:val="right"/>
              <w:rPr>
                <w:rFonts w:eastAsia="宋体" w:cs="Times New Roman"/>
                <w:sz w:val="16"/>
                <w:szCs w:val="16"/>
              </w:rPr>
            </w:pPr>
          </w:p>
        </w:tc>
        <w:tc>
          <w:tcPr>
            <w:tcW w:w="897" w:type="dxa"/>
            <w:shd w:val="clear" w:color="auto" w:fill="auto"/>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1278" w:type="dxa"/>
            <w:shd w:val="clear" w:color="auto" w:fill="auto"/>
            <w:vAlign w:val="center"/>
          </w:tcPr>
          <w:p w:rsidR="00240099" w:rsidRPr="00511F0D" w:rsidRDefault="00B6757C"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4,534,626,770.72</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4,722,242,261.97</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美元</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7,855,479.28</w:t>
            </w:r>
          </w:p>
        </w:tc>
        <w:tc>
          <w:tcPr>
            <w:tcW w:w="897"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7.0827</w:t>
            </w:r>
          </w:p>
        </w:tc>
        <w:tc>
          <w:tcPr>
            <w:tcW w:w="1278"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55,637,837.19</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7,615,136.03</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6.9646</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53,036,376.39</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欧元</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2,900,151.19</w:t>
            </w:r>
          </w:p>
        </w:tc>
        <w:tc>
          <w:tcPr>
            <w:tcW w:w="897"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7.8591</w:t>
            </w:r>
          </w:p>
        </w:tc>
        <w:tc>
          <w:tcPr>
            <w:tcW w:w="1278"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22,792,642.58</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1,802,749.58</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7.4229</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13,381,629.87</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英镑</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417,366.35</w:t>
            </w:r>
          </w:p>
        </w:tc>
        <w:tc>
          <w:tcPr>
            <w:tcW w:w="897"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9.0414</w:t>
            </w:r>
          </w:p>
        </w:tc>
        <w:tc>
          <w:tcPr>
            <w:tcW w:w="1278" w:type="dxa"/>
            <w:shd w:val="clear" w:color="auto" w:fill="auto"/>
            <w:vAlign w:val="center"/>
          </w:tcPr>
          <w:p w:rsidR="00240099" w:rsidRPr="00511F0D" w:rsidRDefault="00F14182"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3,773,581.47</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212,468.72</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8.3941</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1,783,483.68</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港币</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1,503,556.57</w:t>
            </w:r>
          </w:p>
        </w:tc>
        <w:tc>
          <w:tcPr>
            <w:tcW w:w="897"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0.9062</w:t>
            </w:r>
          </w:p>
        </w:tc>
        <w:tc>
          <w:tcPr>
            <w:tcW w:w="1278" w:type="dxa"/>
            <w:shd w:val="clear" w:color="auto" w:fill="auto"/>
            <w:vAlign w:val="center"/>
          </w:tcPr>
          <w:p w:rsidR="00240099" w:rsidRPr="00511F0D" w:rsidRDefault="00F14182"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1,362,553.04</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976,410.83</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0.8933</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872,198.50</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新加坡元</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25,429.45</w:t>
            </w:r>
          </w:p>
        </w:tc>
        <w:tc>
          <w:tcPr>
            <w:tcW w:w="897"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5.3772</w:t>
            </w:r>
          </w:p>
        </w:tc>
        <w:tc>
          <w:tcPr>
            <w:tcW w:w="1278" w:type="dxa"/>
            <w:shd w:val="clear" w:color="auto" w:fill="auto"/>
            <w:vAlign w:val="center"/>
          </w:tcPr>
          <w:p w:rsidR="00240099" w:rsidRPr="00511F0D" w:rsidRDefault="00F14182"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136,739.24</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657.79</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5.1831</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3,409.39</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日元</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4,582,183.00</w:t>
            </w:r>
          </w:p>
        </w:tc>
        <w:tc>
          <w:tcPr>
            <w:tcW w:w="897"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0.0502</w:t>
            </w:r>
          </w:p>
        </w:tc>
        <w:tc>
          <w:tcPr>
            <w:tcW w:w="1278" w:type="dxa"/>
            <w:shd w:val="clear" w:color="auto" w:fill="auto"/>
            <w:vAlign w:val="center"/>
          </w:tcPr>
          <w:p w:rsidR="00240099" w:rsidRPr="00511F0D" w:rsidRDefault="00F14182"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230,085.15</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5,078.00</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0.0524</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265.87</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澳大利亚元</w:t>
            </w:r>
          </w:p>
        </w:tc>
        <w:tc>
          <w:tcPr>
            <w:tcW w:w="1335" w:type="dxa"/>
            <w:shd w:val="clear" w:color="auto" w:fill="auto"/>
            <w:vAlign w:val="center"/>
          </w:tcPr>
          <w:p w:rsidR="00240099" w:rsidRPr="00511F0D" w:rsidDel="001A5E87"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90,709.73</w:t>
            </w:r>
          </w:p>
        </w:tc>
        <w:tc>
          <w:tcPr>
            <w:tcW w:w="897" w:type="dxa"/>
            <w:shd w:val="clear" w:color="auto" w:fill="auto"/>
            <w:vAlign w:val="center"/>
          </w:tcPr>
          <w:p w:rsidR="00240099" w:rsidRPr="00511F0D" w:rsidDel="001A5E87"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4.8484</w:t>
            </w:r>
          </w:p>
        </w:tc>
        <w:tc>
          <w:tcPr>
            <w:tcW w:w="1278" w:type="dxa"/>
            <w:shd w:val="clear" w:color="auto" w:fill="auto"/>
            <w:vAlign w:val="center"/>
          </w:tcPr>
          <w:p w:rsidR="00240099" w:rsidRPr="00511F0D" w:rsidDel="001A5E87" w:rsidRDefault="00F14182"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439,797.05</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6.94</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4.7138</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32.71</w:t>
            </w:r>
          </w:p>
        </w:tc>
      </w:tr>
      <w:tr w:rsidR="00BF3354" w:rsidRPr="00511F0D" w:rsidTr="0027505B">
        <w:trPr>
          <w:trHeight w:val="20"/>
        </w:trPr>
        <w:tc>
          <w:tcPr>
            <w:tcW w:w="2340" w:type="dxa"/>
            <w:shd w:val="clear" w:color="auto" w:fill="auto"/>
            <w:tcMar>
              <w:top w:w="0" w:type="dxa"/>
              <w:left w:w="108" w:type="dxa"/>
              <w:bottom w:w="0" w:type="dxa"/>
              <w:right w:w="108" w:type="dxa"/>
            </w:tcMar>
            <w:vAlign w:val="center"/>
          </w:tcPr>
          <w:p w:rsidR="00BF3354" w:rsidRPr="00511F0D" w:rsidRDefault="00BF3354" w:rsidP="00240099">
            <w:pPr>
              <w:rPr>
                <w:rFonts w:eastAsia="宋体" w:cs="Times New Roman"/>
                <w:sz w:val="16"/>
                <w:szCs w:val="16"/>
              </w:rPr>
            </w:pPr>
            <w:r w:rsidRPr="00511F0D">
              <w:rPr>
                <w:rFonts w:eastAsia="宋体" w:cs="Times New Roman" w:hint="eastAsia"/>
                <w:sz w:val="16"/>
                <w:szCs w:val="16"/>
              </w:rPr>
              <w:t>越南盾</w:t>
            </w:r>
          </w:p>
        </w:tc>
        <w:tc>
          <w:tcPr>
            <w:tcW w:w="1335" w:type="dxa"/>
            <w:vAlign w:val="center"/>
          </w:tcPr>
          <w:p w:rsidR="00BF3354" w:rsidRPr="00511F0D" w:rsidRDefault="00BF3354"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1,249,190,786.00</w:t>
            </w:r>
          </w:p>
        </w:tc>
        <w:tc>
          <w:tcPr>
            <w:tcW w:w="897" w:type="dxa"/>
            <w:vAlign w:val="center"/>
          </w:tcPr>
          <w:p w:rsidR="00BF3354" w:rsidRPr="00511F0D" w:rsidRDefault="00BF3354"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0.0003</w:t>
            </w:r>
          </w:p>
        </w:tc>
        <w:tc>
          <w:tcPr>
            <w:tcW w:w="1278" w:type="dxa"/>
            <w:vAlign w:val="center"/>
          </w:tcPr>
          <w:p w:rsidR="00BF3354" w:rsidRPr="00511F0D" w:rsidRDefault="00BF3354"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365,438.27</w:t>
            </w:r>
          </w:p>
        </w:tc>
        <w:tc>
          <w:tcPr>
            <w:tcW w:w="1170" w:type="dxa"/>
            <w:tcMar>
              <w:top w:w="0" w:type="dxa"/>
              <w:left w:w="108" w:type="dxa"/>
              <w:bottom w:w="0" w:type="dxa"/>
              <w:right w:w="108" w:type="dxa"/>
            </w:tcMar>
            <w:vAlign w:val="center"/>
          </w:tcPr>
          <w:p w:rsidR="00BF3354" w:rsidRPr="00511F0D" w:rsidRDefault="00BF3354" w:rsidP="00240099">
            <w:pPr>
              <w:tabs>
                <w:tab w:val="left" w:pos="181"/>
              </w:tabs>
              <w:ind w:left="1440" w:hanging="1440"/>
              <w:jc w:val="right"/>
              <w:rPr>
                <w:rFonts w:eastAsia="宋体" w:cs="Times New Roman"/>
                <w:sz w:val="16"/>
                <w:szCs w:val="16"/>
              </w:rPr>
            </w:pPr>
            <w:r w:rsidRPr="00511F0D">
              <w:rPr>
                <w:rFonts w:eastAsia="宋体" w:cs="Times New Roman"/>
                <w:sz w:val="16"/>
                <w:szCs w:val="16"/>
              </w:rPr>
              <w:t>-</w:t>
            </w:r>
          </w:p>
        </w:tc>
        <w:tc>
          <w:tcPr>
            <w:tcW w:w="1053" w:type="dxa"/>
            <w:tcMar>
              <w:top w:w="0" w:type="dxa"/>
              <w:left w:w="108" w:type="dxa"/>
              <w:bottom w:w="0" w:type="dxa"/>
              <w:right w:w="108" w:type="dxa"/>
            </w:tcMar>
            <w:vAlign w:val="center"/>
          </w:tcPr>
          <w:p w:rsidR="00BF3354" w:rsidRPr="00511F0D" w:rsidRDefault="00BF3354" w:rsidP="00240099">
            <w:pPr>
              <w:tabs>
                <w:tab w:val="left" w:pos="181"/>
              </w:tabs>
              <w:ind w:left="1440" w:hanging="1440"/>
              <w:jc w:val="right"/>
              <w:rPr>
                <w:rFonts w:eastAsia="宋体" w:cs="Times New Roman"/>
                <w:sz w:val="16"/>
                <w:szCs w:val="16"/>
              </w:rPr>
            </w:pPr>
            <w:r w:rsidRPr="00511F0D">
              <w:rPr>
                <w:rFonts w:eastAsia="宋体" w:cs="Times New Roman"/>
                <w:sz w:val="16"/>
                <w:szCs w:val="16"/>
              </w:rPr>
              <w:t>-</w:t>
            </w:r>
          </w:p>
        </w:tc>
        <w:tc>
          <w:tcPr>
            <w:tcW w:w="1377" w:type="dxa"/>
            <w:tcMar>
              <w:top w:w="0" w:type="dxa"/>
              <w:left w:w="108" w:type="dxa"/>
              <w:bottom w:w="0" w:type="dxa"/>
              <w:right w:w="108" w:type="dxa"/>
            </w:tcMar>
            <w:vAlign w:val="center"/>
          </w:tcPr>
          <w:p w:rsidR="00BF3354" w:rsidRPr="00511F0D" w:rsidRDefault="00BF3354" w:rsidP="00240099">
            <w:pPr>
              <w:tabs>
                <w:tab w:val="left" w:pos="181"/>
              </w:tabs>
              <w:ind w:left="1440" w:hanging="1440"/>
              <w:jc w:val="right"/>
              <w:rPr>
                <w:rFonts w:eastAsia="宋体" w:cs="Times New Roman"/>
                <w:sz w:val="16"/>
                <w:szCs w:val="16"/>
              </w:rPr>
            </w:pPr>
            <w:r w:rsidRPr="00511F0D">
              <w:rPr>
                <w:rFonts w:eastAsia="宋体" w:cs="Times New Roman"/>
                <w:sz w:val="16"/>
                <w:szCs w:val="16"/>
              </w:rPr>
              <w:t>-</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hideMark/>
          </w:tcPr>
          <w:p w:rsidR="00240099" w:rsidRPr="00511F0D" w:rsidRDefault="00240099" w:rsidP="00240099">
            <w:pPr>
              <w:rPr>
                <w:rFonts w:eastAsia="宋体" w:cs="Times New Roman"/>
                <w:sz w:val="16"/>
                <w:szCs w:val="16"/>
              </w:rPr>
            </w:pPr>
          </w:p>
        </w:tc>
        <w:tc>
          <w:tcPr>
            <w:tcW w:w="1335" w:type="dxa"/>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897" w:type="dxa"/>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1278" w:type="dxa"/>
            <w:vAlign w:val="center"/>
          </w:tcPr>
          <w:p w:rsidR="00240099" w:rsidRPr="00511F0D" w:rsidRDefault="00240099" w:rsidP="00240099">
            <w:pPr>
              <w:tabs>
                <w:tab w:val="left" w:pos="181"/>
              </w:tabs>
              <w:ind w:left="1440" w:right="75" w:hanging="1440"/>
              <w:jc w:val="right"/>
              <w:rPr>
                <w:rFonts w:eastAsia="宋体" w:cs="Times New Roman"/>
                <w:sz w:val="16"/>
                <w:szCs w:val="16"/>
              </w:rPr>
            </w:pP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其他货币资金</w:t>
            </w:r>
            <w:r w:rsidR="005F14EE" w:rsidRPr="00511F0D">
              <w:rPr>
                <w:rFonts w:eastAsia="宋体" w:cs="Times New Roman" w:hint="eastAsia"/>
                <w:sz w:val="16"/>
                <w:szCs w:val="16"/>
              </w:rPr>
              <w:t>：</w:t>
            </w:r>
          </w:p>
        </w:tc>
        <w:tc>
          <w:tcPr>
            <w:tcW w:w="1335" w:type="dxa"/>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897" w:type="dxa"/>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1278" w:type="dxa"/>
            <w:vAlign w:val="center"/>
          </w:tcPr>
          <w:p w:rsidR="00240099" w:rsidRPr="00511F0D" w:rsidRDefault="00240099" w:rsidP="00240099">
            <w:pPr>
              <w:tabs>
                <w:tab w:val="left" w:pos="181"/>
              </w:tabs>
              <w:ind w:left="1440" w:right="75" w:hanging="1440"/>
              <w:jc w:val="right"/>
              <w:rPr>
                <w:rFonts w:eastAsia="宋体" w:cs="Times New Roman"/>
                <w:sz w:val="16"/>
                <w:szCs w:val="16"/>
              </w:rPr>
            </w:pP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r>
      <w:tr w:rsidR="00240099" w:rsidRPr="00511F0D" w:rsidTr="0027505B">
        <w:trPr>
          <w:trHeight w:val="20"/>
        </w:trPr>
        <w:tc>
          <w:tcPr>
            <w:tcW w:w="2340" w:type="dxa"/>
            <w:shd w:val="clear" w:color="auto" w:fill="auto"/>
            <w:tcMar>
              <w:top w:w="0" w:type="dxa"/>
              <w:left w:w="108" w:type="dxa"/>
              <w:bottom w:w="0" w:type="dxa"/>
              <w:right w:w="108" w:type="dxa"/>
            </w:tcMar>
            <w:vAlign w:val="center"/>
            <w:hideMark/>
          </w:tcPr>
          <w:p w:rsidR="00240099" w:rsidRPr="00511F0D" w:rsidRDefault="00240099" w:rsidP="00240099">
            <w:pPr>
              <w:rPr>
                <w:rFonts w:eastAsia="宋体" w:cs="Times New Roman"/>
                <w:sz w:val="16"/>
                <w:szCs w:val="16"/>
              </w:rPr>
            </w:pPr>
            <w:r w:rsidRPr="00511F0D">
              <w:rPr>
                <w:rFonts w:eastAsia="宋体" w:cs="Times New Roman" w:hint="eastAsia"/>
                <w:sz w:val="16"/>
                <w:szCs w:val="16"/>
              </w:rPr>
              <w:t>人民币</w:t>
            </w:r>
          </w:p>
        </w:tc>
        <w:tc>
          <w:tcPr>
            <w:tcW w:w="1335" w:type="dxa"/>
            <w:shd w:val="clear" w:color="auto" w:fill="auto"/>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897" w:type="dxa"/>
            <w:shd w:val="clear" w:color="auto" w:fill="auto"/>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1278" w:type="dxa"/>
            <w:shd w:val="clear" w:color="auto" w:fill="auto"/>
            <w:vAlign w:val="center"/>
          </w:tcPr>
          <w:p w:rsidR="00240099" w:rsidRPr="00511F0D" w:rsidRDefault="00B6757C"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30,046,603.20</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9,264,467.35</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欧元</w:t>
            </w:r>
          </w:p>
        </w:tc>
        <w:tc>
          <w:tcPr>
            <w:tcW w:w="1335" w:type="dxa"/>
            <w:shd w:val="clear" w:color="auto" w:fill="auto"/>
            <w:vAlign w:val="center"/>
          </w:tcPr>
          <w:p w:rsidR="00240099" w:rsidRPr="00511F0D" w:rsidRDefault="003645BE"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465,932.27</w:t>
            </w:r>
          </w:p>
        </w:tc>
        <w:tc>
          <w:tcPr>
            <w:tcW w:w="897" w:type="dxa"/>
            <w:shd w:val="clear" w:color="auto" w:fill="auto"/>
            <w:vAlign w:val="center"/>
          </w:tcPr>
          <w:p w:rsidR="00240099" w:rsidRPr="00511F0D" w:rsidRDefault="003645BE"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7.8591</w:t>
            </w:r>
          </w:p>
        </w:tc>
        <w:tc>
          <w:tcPr>
            <w:tcW w:w="1278" w:type="dxa"/>
            <w:shd w:val="clear" w:color="auto" w:fill="auto"/>
            <w:vAlign w:val="center"/>
          </w:tcPr>
          <w:p w:rsidR="00240099" w:rsidRPr="00511F0D" w:rsidRDefault="003645BE"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3,661,808.30</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422,469.99</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7.4229</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3,135,952.49</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美元</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209,611.02</w:t>
            </w:r>
          </w:p>
        </w:tc>
        <w:tc>
          <w:tcPr>
            <w:tcW w:w="897" w:type="dxa"/>
            <w:shd w:val="clear" w:color="auto" w:fill="auto"/>
            <w:vAlign w:val="center"/>
          </w:tcPr>
          <w:p w:rsidR="00240099" w:rsidRPr="00511F0D" w:rsidRDefault="00CF714B"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7.0827</w:t>
            </w:r>
          </w:p>
        </w:tc>
        <w:tc>
          <w:tcPr>
            <w:tcW w:w="1278" w:type="dxa"/>
            <w:shd w:val="clear" w:color="auto" w:fill="auto"/>
            <w:vAlign w:val="center"/>
          </w:tcPr>
          <w:p w:rsidR="00240099" w:rsidRPr="00511F0D" w:rsidRDefault="00F14182"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1,484,611.97</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221,645.98</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6.9646</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1,543,675.59</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英镑</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57,654.61</w:t>
            </w:r>
          </w:p>
        </w:tc>
        <w:tc>
          <w:tcPr>
            <w:tcW w:w="897" w:type="dxa"/>
            <w:shd w:val="clear" w:color="auto" w:fill="auto"/>
            <w:vAlign w:val="center"/>
          </w:tcPr>
          <w:p w:rsidR="00240099" w:rsidRPr="00511F0D" w:rsidRDefault="003645BE"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9.0414</w:t>
            </w:r>
          </w:p>
        </w:tc>
        <w:tc>
          <w:tcPr>
            <w:tcW w:w="1278" w:type="dxa"/>
            <w:shd w:val="clear" w:color="auto" w:fill="auto"/>
            <w:vAlign w:val="center"/>
          </w:tcPr>
          <w:p w:rsidR="00240099" w:rsidRPr="00511F0D" w:rsidRDefault="003645BE"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521,278.39</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61,593.64</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8.3941</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517,023.17</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港币</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675,000.20</w:t>
            </w:r>
          </w:p>
        </w:tc>
        <w:tc>
          <w:tcPr>
            <w:tcW w:w="897" w:type="dxa"/>
            <w:shd w:val="clear" w:color="auto" w:fill="auto"/>
            <w:vAlign w:val="center"/>
          </w:tcPr>
          <w:p w:rsidR="00240099" w:rsidRPr="00511F0D" w:rsidRDefault="00CF714B"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0.9062</w:t>
            </w:r>
          </w:p>
        </w:tc>
        <w:tc>
          <w:tcPr>
            <w:tcW w:w="1278" w:type="dxa"/>
            <w:shd w:val="clear" w:color="auto" w:fill="auto"/>
            <w:vAlign w:val="center"/>
          </w:tcPr>
          <w:p w:rsidR="00240099" w:rsidRPr="00511F0D" w:rsidRDefault="00F14182"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611,698.68</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414,519.10</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0.8933</w:t>
            </w:r>
          </w:p>
        </w:tc>
        <w:tc>
          <w:tcPr>
            <w:tcW w:w="1377" w:type="dxa"/>
            <w:tcMar>
              <w:top w:w="0" w:type="dxa"/>
              <w:left w:w="108" w:type="dxa"/>
              <w:bottom w:w="0" w:type="dxa"/>
              <w:right w:w="108" w:type="dxa"/>
            </w:tcMar>
            <w:vAlign w:val="center"/>
          </w:tcPr>
          <w:p w:rsidR="00240099" w:rsidRPr="00511F0D" w:rsidRDefault="00240099" w:rsidP="00240099">
            <w:pPr>
              <w:ind w:left="1440" w:hanging="1440"/>
              <w:jc w:val="right"/>
              <w:rPr>
                <w:rFonts w:eastAsia="宋体" w:cs="Times New Roman"/>
                <w:sz w:val="16"/>
                <w:szCs w:val="16"/>
              </w:rPr>
            </w:pPr>
            <w:r w:rsidRPr="00511F0D">
              <w:rPr>
                <w:rFonts w:eastAsia="宋体" w:cs="Times New Roman"/>
                <w:sz w:val="16"/>
                <w:szCs w:val="16"/>
              </w:rPr>
              <w:t>370,289.91</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澳大利亚元</w:t>
            </w:r>
          </w:p>
        </w:tc>
        <w:tc>
          <w:tcPr>
            <w:tcW w:w="1335" w:type="dxa"/>
            <w:shd w:val="clear" w:color="auto" w:fill="auto"/>
            <w:vAlign w:val="center"/>
          </w:tcPr>
          <w:p w:rsidR="00240099" w:rsidRPr="00511F0D" w:rsidRDefault="00F14182"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21,368.01</w:t>
            </w:r>
          </w:p>
        </w:tc>
        <w:tc>
          <w:tcPr>
            <w:tcW w:w="897" w:type="dxa"/>
            <w:shd w:val="clear" w:color="auto" w:fill="auto"/>
            <w:vAlign w:val="center"/>
          </w:tcPr>
          <w:p w:rsidR="00240099" w:rsidRPr="00511F0D" w:rsidRDefault="00CF714B" w:rsidP="00240099">
            <w:pPr>
              <w:tabs>
                <w:tab w:val="left" w:pos="181"/>
              </w:tabs>
              <w:ind w:left="1440" w:right="78" w:hanging="1440"/>
              <w:jc w:val="right"/>
              <w:rPr>
                <w:rFonts w:eastAsia="宋体" w:cs="Times New Roman"/>
                <w:sz w:val="16"/>
                <w:szCs w:val="16"/>
              </w:rPr>
            </w:pPr>
            <w:r w:rsidRPr="00511F0D">
              <w:rPr>
                <w:rFonts w:eastAsia="宋体" w:cs="Times New Roman"/>
                <w:sz w:val="16"/>
                <w:szCs w:val="16"/>
              </w:rPr>
              <w:t>4.8484</w:t>
            </w:r>
          </w:p>
        </w:tc>
        <w:tc>
          <w:tcPr>
            <w:tcW w:w="1278" w:type="dxa"/>
            <w:shd w:val="clear" w:color="auto" w:fill="auto"/>
            <w:vAlign w:val="center"/>
          </w:tcPr>
          <w:p w:rsidR="00240099" w:rsidRPr="00511F0D" w:rsidRDefault="00F14182"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103,600.66</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25,175.97</w:t>
            </w: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4.7138</w:t>
            </w: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118,674.49</w:t>
            </w:r>
          </w:p>
        </w:tc>
      </w:tr>
      <w:tr w:rsidR="00240099" w:rsidRPr="00511F0D" w:rsidTr="0027505B">
        <w:trPr>
          <w:trHeight w:val="20"/>
        </w:trPr>
        <w:tc>
          <w:tcPr>
            <w:tcW w:w="2340" w:type="dxa"/>
            <w:shd w:val="clear" w:color="auto" w:fill="auto"/>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其他币种</w:t>
            </w:r>
          </w:p>
        </w:tc>
        <w:tc>
          <w:tcPr>
            <w:tcW w:w="1335" w:type="dxa"/>
            <w:shd w:val="clear" w:color="auto" w:fill="auto"/>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897" w:type="dxa"/>
            <w:shd w:val="clear" w:color="auto" w:fill="auto"/>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1278" w:type="dxa"/>
            <w:shd w:val="clear" w:color="auto" w:fill="auto"/>
            <w:vAlign w:val="center"/>
          </w:tcPr>
          <w:p w:rsidR="00240099" w:rsidRPr="00511F0D" w:rsidRDefault="003645BE"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3,601.29</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96,940.08</w:t>
            </w:r>
          </w:p>
        </w:tc>
      </w:tr>
      <w:tr w:rsidR="00240099" w:rsidRPr="00511F0D" w:rsidTr="0027505B">
        <w:trPr>
          <w:trHeight w:val="20"/>
        </w:trPr>
        <w:tc>
          <w:tcPr>
            <w:tcW w:w="2340" w:type="dxa"/>
            <w:shd w:val="clear" w:color="auto" w:fill="D9D9D9" w:themeFill="background1" w:themeFillShade="D9"/>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合计</w:t>
            </w:r>
          </w:p>
        </w:tc>
        <w:tc>
          <w:tcPr>
            <w:tcW w:w="1335" w:type="dxa"/>
            <w:shd w:val="clear" w:color="auto" w:fill="auto"/>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897" w:type="dxa"/>
            <w:shd w:val="clear" w:color="auto" w:fill="auto"/>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1278" w:type="dxa"/>
            <w:shd w:val="clear" w:color="auto" w:fill="auto"/>
            <w:vAlign w:val="center"/>
          </w:tcPr>
          <w:p w:rsidR="00240099" w:rsidRPr="00511F0D" w:rsidRDefault="002E7890"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4,655,798,647.20</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377" w:type="dxa"/>
            <w:tcMar>
              <w:top w:w="0" w:type="dxa"/>
              <w:left w:w="108" w:type="dxa"/>
              <w:bottom w:w="0" w:type="dxa"/>
              <w:right w:w="108" w:type="dxa"/>
            </w:tcMar>
            <w:vAlign w:val="center"/>
          </w:tcPr>
          <w:p w:rsidR="00240099" w:rsidRPr="00511F0D" w:rsidRDefault="00240099" w:rsidP="00240099">
            <w:pPr>
              <w:jc w:val="right"/>
              <w:rPr>
                <w:rFonts w:eastAsia="宋体" w:cs="Times New Roman"/>
                <w:sz w:val="16"/>
                <w:szCs w:val="16"/>
              </w:rPr>
            </w:pPr>
            <w:r w:rsidRPr="00511F0D">
              <w:rPr>
                <w:rFonts w:eastAsia="宋体" w:cs="Times New Roman"/>
                <w:sz w:val="16"/>
                <w:szCs w:val="16"/>
              </w:rPr>
              <w:t>4,806,366,681.46</w:t>
            </w:r>
          </w:p>
        </w:tc>
      </w:tr>
      <w:tr w:rsidR="00240099" w:rsidRPr="00511F0D" w:rsidTr="0027505B">
        <w:trPr>
          <w:trHeight w:val="20"/>
        </w:trPr>
        <w:tc>
          <w:tcPr>
            <w:tcW w:w="2340" w:type="dxa"/>
            <w:shd w:val="clear" w:color="auto" w:fill="FFFFFF" w:themeFill="background1"/>
            <w:tcMar>
              <w:top w:w="0" w:type="dxa"/>
              <w:left w:w="108" w:type="dxa"/>
              <w:bottom w:w="0" w:type="dxa"/>
              <w:right w:w="108" w:type="dxa"/>
            </w:tcMar>
            <w:vAlign w:val="center"/>
          </w:tcPr>
          <w:p w:rsidR="00240099" w:rsidRPr="00511F0D" w:rsidRDefault="00240099" w:rsidP="00240099">
            <w:pPr>
              <w:rPr>
                <w:rFonts w:eastAsia="宋体" w:cs="Times New Roman"/>
                <w:sz w:val="16"/>
                <w:szCs w:val="16"/>
              </w:rPr>
            </w:pPr>
            <w:r w:rsidRPr="00511F0D">
              <w:rPr>
                <w:rFonts w:eastAsia="宋体" w:cs="Times New Roman" w:hint="eastAsia"/>
                <w:sz w:val="16"/>
                <w:szCs w:val="16"/>
              </w:rPr>
              <w:t>其中</w:t>
            </w:r>
            <w:r w:rsidR="005F14EE" w:rsidRPr="00511F0D">
              <w:rPr>
                <w:rFonts w:eastAsia="宋体" w:cs="Times New Roman" w:hint="eastAsia"/>
                <w:sz w:val="16"/>
                <w:szCs w:val="16"/>
              </w:rPr>
              <w:t>：</w:t>
            </w:r>
            <w:r w:rsidRPr="00511F0D">
              <w:rPr>
                <w:rFonts w:eastAsia="宋体" w:cs="Times New Roman" w:hint="eastAsia"/>
                <w:sz w:val="16"/>
                <w:szCs w:val="16"/>
              </w:rPr>
              <w:t>存放在境外的款项总额</w:t>
            </w:r>
          </w:p>
        </w:tc>
        <w:tc>
          <w:tcPr>
            <w:tcW w:w="1335" w:type="dxa"/>
            <w:shd w:val="clear" w:color="auto" w:fill="auto"/>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897" w:type="dxa"/>
            <w:shd w:val="clear" w:color="auto" w:fill="auto"/>
            <w:vAlign w:val="center"/>
          </w:tcPr>
          <w:p w:rsidR="00240099" w:rsidRPr="00511F0D" w:rsidRDefault="00240099" w:rsidP="00240099">
            <w:pPr>
              <w:tabs>
                <w:tab w:val="left" w:pos="181"/>
              </w:tabs>
              <w:ind w:left="1440" w:right="78" w:hanging="1440"/>
              <w:jc w:val="right"/>
              <w:rPr>
                <w:rFonts w:eastAsia="宋体" w:cs="Times New Roman"/>
                <w:sz w:val="16"/>
                <w:szCs w:val="16"/>
              </w:rPr>
            </w:pPr>
          </w:p>
        </w:tc>
        <w:tc>
          <w:tcPr>
            <w:tcW w:w="1278" w:type="dxa"/>
            <w:shd w:val="clear" w:color="auto" w:fill="auto"/>
            <w:vAlign w:val="center"/>
          </w:tcPr>
          <w:p w:rsidR="00240099" w:rsidRPr="00511F0D" w:rsidRDefault="002E7890" w:rsidP="00240099">
            <w:pPr>
              <w:tabs>
                <w:tab w:val="left" w:pos="181"/>
              </w:tabs>
              <w:ind w:left="1440" w:right="75" w:hanging="1440"/>
              <w:jc w:val="right"/>
              <w:rPr>
                <w:rFonts w:eastAsia="宋体" w:cs="Times New Roman"/>
                <w:sz w:val="16"/>
                <w:szCs w:val="16"/>
              </w:rPr>
            </w:pPr>
            <w:r w:rsidRPr="00511F0D">
              <w:rPr>
                <w:rFonts w:eastAsia="宋体" w:cs="Times New Roman"/>
                <w:sz w:val="16"/>
                <w:szCs w:val="16"/>
              </w:rPr>
              <w:t>17,036,9</w:t>
            </w:r>
            <w:r w:rsidR="003A6D5C" w:rsidRPr="00511F0D">
              <w:rPr>
                <w:rFonts w:eastAsia="宋体" w:cs="Times New Roman"/>
                <w:sz w:val="16"/>
                <w:szCs w:val="16"/>
              </w:rPr>
              <w:t>84</w:t>
            </w:r>
            <w:r w:rsidRPr="00511F0D">
              <w:rPr>
                <w:rFonts w:eastAsia="宋体" w:cs="Times New Roman"/>
                <w:sz w:val="16"/>
                <w:szCs w:val="16"/>
              </w:rPr>
              <w:t>.</w:t>
            </w:r>
            <w:r w:rsidR="003A6D5C" w:rsidRPr="00511F0D">
              <w:rPr>
                <w:rFonts w:eastAsia="宋体" w:cs="Times New Roman"/>
                <w:sz w:val="16"/>
                <w:szCs w:val="16"/>
              </w:rPr>
              <w:t>89</w:t>
            </w:r>
          </w:p>
        </w:tc>
        <w:tc>
          <w:tcPr>
            <w:tcW w:w="1170"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053"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p>
        </w:tc>
        <w:tc>
          <w:tcPr>
            <w:tcW w:w="1377" w:type="dxa"/>
            <w:tcMar>
              <w:top w:w="0" w:type="dxa"/>
              <w:left w:w="108" w:type="dxa"/>
              <w:bottom w:w="0" w:type="dxa"/>
              <w:right w:w="108" w:type="dxa"/>
            </w:tcMar>
            <w:vAlign w:val="center"/>
          </w:tcPr>
          <w:p w:rsidR="00240099" w:rsidRPr="00511F0D" w:rsidRDefault="00240099" w:rsidP="00240099">
            <w:pPr>
              <w:tabs>
                <w:tab w:val="left" w:pos="181"/>
              </w:tabs>
              <w:ind w:left="1440" w:hanging="1440"/>
              <w:jc w:val="right"/>
              <w:rPr>
                <w:rFonts w:eastAsia="宋体" w:cs="Times New Roman"/>
                <w:sz w:val="16"/>
                <w:szCs w:val="16"/>
              </w:rPr>
            </w:pPr>
            <w:r w:rsidRPr="00511F0D">
              <w:rPr>
                <w:rFonts w:eastAsia="宋体" w:cs="Times New Roman"/>
                <w:sz w:val="16"/>
                <w:szCs w:val="16"/>
              </w:rPr>
              <w:t>5,845,527.66</w:t>
            </w:r>
          </w:p>
        </w:tc>
      </w:tr>
    </w:tbl>
    <w:p w:rsidR="00D83859" w:rsidRDefault="00D83859" w:rsidP="00F66363">
      <w:pPr>
        <w:ind w:left="720"/>
        <w:rPr>
          <w:rFonts w:eastAsia="宋体" w:cs="Times New Roman"/>
          <w:szCs w:val="21"/>
        </w:rPr>
      </w:pPr>
    </w:p>
    <w:p w:rsidR="00D83859" w:rsidRDefault="00D83859">
      <w:pPr>
        <w:adjustRightInd/>
        <w:snapToGrid/>
        <w:rPr>
          <w:rFonts w:eastAsia="宋体" w:cs="Times New Roman"/>
          <w:szCs w:val="21"/>
        </w:rPr>
      </w:pPr>
      <w:r>
        <w:rPr>
          <w:rFonts w:eastAsia="宋体" w:cs="Times New Roman"/>
          <w:szCs w:val="21"/>
        </w:rPr>
        <w:br w:type="page"/>
      </w:r>
    </w:p>
    <w:p w:rsidR="00D83859" w:rsidRPr="00A71D2E" w:rsidRDefault="005F14EE" w:rsidP="00D83859">
      <w:pPr>
        <w:rPr>
          <w:rFonts w:eastAsia="宋体" w:cs="Times New Roman"/>
          <w:szCs w:val="21"/>
        </w:rPr>
      </w:pPr>
      <w:r>
        <w:rPr>
          <w:rFonts w:eastAsia="宋体" w:cs="Times New Roman"/>
          <w:b/>
          <w:szCs w:val="21"/>
        </w:rPr>
        <w:t>(</w:t>
      </w:r>
      <w:r w:rsidR="00D83859" w:rsidRPr="00A71D2E">
        <w:rPr>
          <w:rFonts w:eastAsia="宋体" w:cs="Times New Roman" w:hint="eastAsia"/>
          <w:b/>
          <w:szCs w:val="21"/>
        </w:rPr>
        <w:t>五</w:t>
      </w:r>
      <w:r>
        <w:rPr>
          <w:rFonts w:eastAsia="宋体" w:cs="Times New Roman"/>
          <w:b/>
          <w:szCs w:val="21"/>
        </w:rPr>
        <w:t>)</w:t>
      </w:r>
      <w:r w:rsidR="00D83859" w:rsidRPr="00A71D2E">
        <w:rPr>
          <w:rFonts w:eastAsia="宋体" w:cs="Times New Roman"/>
          <w:b/>
          <w:szCs w:val="21"/>
        </w:rPr>
        <w:tab/>
      </w:r>
      <w:r w:rsidR="00D83859" w:rsidRPr="00A71D2E">
        <w:rPr>
          <w:rFonts w:eastAsia="宋体" w:cs="Times New Roman" w:hint="eastAsia"/>
          <w:b/>
          <w:szCs w:val="21"/>
        </w:rPr>
        <w:t>合并财务报表项目注释</w:t>
      </w:r>
      <w:r w:rsidR="00D83859" w:rsidRPr="00A71D2E">
        <w:rPr>
          <w:rFonts w:eastAsia="宋体" w:cs="Times New Roman"/>
          <w:szCs w:val="21"/>
        </w:rPr>
        <w:t xml:space="preserve"> - </w:t>
      </w:r>
      <w:r w:rsidR="00D83859" w:rsidRPr="00A71D2E">
        <w:rPr>
          <w:rFonts w:eastAsia="宋体" w:cs="Times New Roman" w:hint="eastAsia"/>
          <w:szCs w:val="21"/>
        </w:rPr>
        <w:t>续</w:t>
      </w:r>
    </w:p>
    <w:p w:rsidR="00D83859" w:rsidRDefault="00D83859" w:rsidP="00D83859">
      <w:pPr>
        <w:ind w:left="720"/>
        <w:rPr>
          <w:rFonts w:eastAsia="宋体" w:cs="Times New Roman"/>
          <w:szCs w:val="21"/>
        </w:rPr>
      </w:pPr>
    </w:p>
    <w:p w:rsidR="00D83859" w:rsidRPr="00A71D2E" w:rsidRDefault="00D83859" w:rsidP="00D83859">
      <w:pPr>
        <w:ind w:left="720"/>
        <w:jc w:val="both"/>
        <w:rPr>
          <w:rFonts w:eastAsia="宋体" w:cs="Times New Roman"/>
          <w:szCs w:val="21"/>
        </w:rPr>
      </w:pPr>
      <w:bookmarkStart w:id="4" w:name="_Hlk162622135"/>
      <w:r>
        <w:rPr>
          <w:rFonts w:eastAsia="宋体" w:cs="Times New Roman"/>
          <w:b/>
          <w:szCs w:val="21"/>
        </w:rPr>
        <w:t>1</w:t>
      </w:r>
      <w:r w:rsidRPr="00A71D2E">
        <w:rPr>
          <w:rFonts w:eastAsia="宋体" w:cs="Times New Roman" w:hint="eastAsia"/>
          <w:b/>
          <w:szCs w:val="21"/>
        </w:rPr>
        <w:t>、</w:t>
      </w:r>
      <w:r w:rsidRPr="00A71D2E">
        <w:rPr>
          <w:rFonts w:eastAsia="宋体" w:cs="Times New Roman"/>
          <w:b/>
          <w:szCs w:val="21"/>
        </w:rPr>
        <w:tab/>
      </w:r>
      <w:r>
        <w:rPr>
          <w:rFonts w:eastAsia="宋体" w:cs="Times New Roman" w:hint="eastAsia"/>
          <w:b/>
          <w:szCs w:val="21"/>
        </w:rPr>
        <w:t>货币资金</w:t>
      </w:r>
      <w:r w:rsidRPr="00A71D2E">
        <w:rPr>
          <w:rFonts w:eastAsia="宋体" w:cs="Times New Roman"/>
          <w:bCs/>
          <w:szCs w:val="21"/>
        </w:rPr>
        <w:t xml:space="preserve"> </w:t>
      </w:r>
      <w:r w:rsidRPr="00A71D2E">
        <w:rPr>
          <w:rFonts w:eastAsia="宋体" w:cs="Times New Roman"/>
          <w:szCs w:val="21"/>
        </w:rPr>
        <w:t xml:space="preserve">- </w:t>
      </w:r>
      <w:r w:rsidRPr="00A71D2E">
        <w:rPr>
          <w:rFonts w:eastAsia="宋体" w:cs="Times New Roman" w:hint="eastAsia"/>
          <w:szCs w:val="21"/>
        </w:rPr>
        <w:t>续</w:t>
      </w:r>
    </w:p>
    <w:bookmarkEnd w:id="4"/>
    <w:p w:rsidR="00B05185" w:rsidRPr="00D83859" w:rsidRDefault="00B05185" w:rsidP="00F66363">
      <w:pPr>
        <w:ind w:left="720"/>
        <w:rPr>
          <w:rFonts w:eastAsia="宋体" w:cs="Times New Roman"/>
          <w:szCs w:val="21"/>
        </w:rPr>
      </w:pPr>
    </w:p>
    <w:p w:rsidR="00271D91" w:rsidRPr="00A71D2E" w:rsidRDefault="00271D91" w:rsidP="00F66363">
      <w:pPr>
        <w:ind w:left="728"/>
        <w:jc w:val="both"/>
        <w:rPr>
          <w:rFonts w:eastAsia="宋体" w:cs="Times New Roman"/>
          <w:szCs w:val="21"/>
        </w:rPr>
      </w:pPr>
      <w:r w:rsidRPr="00A71D2E">
        <w:rPr>
          <w:rFonts w:eastAsia="宋体" w:cs="Times New Roman" w:hint="eastAsia"/>
          <w:szCs w:val="21"/>
        </w:rPr>
        <w:t>其他货币资金明细如下</w:t>
      </w:r>
      <w:r w:rsidR="005F14EE">
        <w:rPr>
          <w:rFonts w:eastAsia="宋体" w:cs="Times New Roman" w:hint="eastAsia"/>
          <w:szCs w:val="21"/>
        </w:rPr>
        <w:t>：</w:t>
      </w:r>
    </w:p>
    <w:p w:rsidR="00271D91" w:rsidRPr="00A71D2E" w:rsidRDefault="00271D91" w:rsidP="00F66363">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46"/>
        <w:gridCol w:w="1185"/>
        <w:gridCol w:w="1185"/>
        <w:gridCol w:w="1185"/>
        <w:gridCol w:w="1185"/>
        <w:gridCol w:w="1185"/>
        <w:gridCol w:w="1185"/>
      </w:tblGrid>
      <w:tr w:rsidR="008E1BE3" w:rsidRPr="00511F0D" w:rsidTr="00F66363">
        <w:trPr>
          <w:trHeight w:val="20"/>
        </w:trPr>
        <w:tc>
          <w:tcPr>
            <w:tcW w:w="2346" w:type="dxa"/>
            <w:vMerge w:val="restart"/>
            <w:shd w:val="clear" w:color="auto" w:fill="D9D9D9" w:themeFill="background1" w:themeFillShade="D9"/>
            <w:tcMar>
              <w:top w:w="0" w:type="dxa"/>
              <w:left w:w="108" w:type="dxa"/>
              <w:bottom w:w="0" w:type="dxa"/>
              <w:right w:w="108" w:type="dxa"/>
            </w:tcMar>
            <w:vAlign w:val="center"/>
            <w:hideMark/>
          </w:tcPr>
          <w:p w:rsidR="008E1BE3" w:rsidRPr="00511F0D" w:rsidRDefault="008E1BE3" w:rsidP="00F66363">
            <w:pPr>
              <w:jc w:val="center"/>
              <w:rPr>
                <w:rFonts w:eastAsia="宋体" w:cs="Times New Roman"/>
                <w:sz w:val="16"/>
                <w:szCs w:val="16"/>
              </w:rPr>
            </w:pPr>
            <w:r w:rsidRPr="00511F0D">
              <w:rPr>
                <w:rFonts w:eastAsia="宋体" w:cs="Times New Roman" w:hint="eastAsia"/>
                <w:sz w:val="16"/>
                <w:szCs w:val="16"/>
              </w:rPr>
              <w:t>项目</w:t>
            </w:r>
          </w:p>
        </w:tc>
        <w:tc>
          <w:tcPr>
            <w:tcW w:w="3555" w:type="dxa"/>
            <w:gridSpan w:val="3"/>
            <w:shd w:val="clear" w:color="auto" w:fill="D9D9D9" w:themeFill="background1" w:themeFillShade="D9"/>
            <w:vAlign w:val="center"/>
          </w:tcPr>
          <w:p w:rsidR="008E1BE3" w:rsidRPr="00511F0D" w:rsidRDefault="008E1BE3" w:rsidP="00F66363">
            <w:pPr>
              <w:jc w:val="center"/>
              <w:rPr>
                <w:rFonts w:eastAsia="宋体" w:cs="Times New Roman"/>
                <w:sz w:val="16"/>
                <w:szCs w:val="16"/>
              </w:rPr>
            </w:pPr>
            <w:r w:rsidRPr="00511F0D">
              <w:rPr>
                <w:rFonts w:eastAsia="宋体" w:cs="Times New Roman" w:hint="eastAsia"/>
                <w:sz w:val="16"/>
                <w:szCs w:val="16"/>
              </w:rPr>
              <w:t>年末余额</w:t>
            </w:r>
          </w:p>
        </w:tc>
        <w:tc>
          <w:tcPr>
            <w:tcW w:w="3555" w:type="dxa"/>
            <w:gridSpan w:val="3"/>
            <w:shd w:val="clear" w:color="auto" w:fill="D9D9D9" w:themeFill="background1" w:themeFillShade="D9"/>
            <w:vAlign w:val="center"/>
          </w:tcPr>
          <w:p w:rsidR="008E1BE3" w:rsidRPr="00511F0D" w:rsidRDefault="008E1BE3" w:rsidP="00F66363">
            <w:pPr>
              <w:jc w:val="center"/>
              <w:rPr>
                <w:rFonts w:eastAsia="宋体" w:cs="Times New Roman"/>
                <w:sz w:val="16"/>
                <w:szCs w:val="16"/>
              </w:rPr>
            </w:pPr>
            <w:r w:rsidRPr="00511F0D">
              <w:rPr>
                <w:rFonts w:eastAsia="宋体" w:cs="Times New Roman" w:hint="eastAsia"/>
                <w:sz w:val="16"/>
                <w:szCs w:val="16"/>
              </w:rPr>
              <w:t>年初余额</w:t>
            </w:r>
          </w:p>
        </w:tc>
      </w:tr>
      <w:tr w:rsidR="00C92DAB" w:rsidRPr="00511F0D" w:rsidTr="00F66363">
        <w:trPr>
          <w:trHeight w:val="20"/>
        </w:trPr>
        <w:tc>
          <w:tcPr>
            <w:tcW w:w="2346" w:type="dxa"/>
            <w:vMerge/>
            <w:shd w:val="clear" w:color="auto" w:fill="D9D9D9" w:themeFill="background1" w:themeFillShade="D9"/>
            <w:tcMar>
              <w:top w:w="0" w:type="dxa"/>
              <w:left w:w="108" w:type="dxa"/>
              <w:bottom w:w="0" w:type="dxa"/>
              <w:right w:w="108" w:type="dxa"/>
            </w:tcMar>
            <w:vAlign w:val="center"/>
            <w:hideMark/>
          </w:tcPr>
          <w:p w:rsidR="00C92DAB" w:rsidRPr="00511F0D" w:rsidRDefault="00C92DAB" w:rsidP="00F66363">
            <w:pPr>
              <w:jc w:val="center"/>
              <w:rPr>
                <w:rFonts w:eastAsia="宋体" w:cs="Times New Roman"/>
                <w:sz w:val="16"/>
                <w:szCs w:val="16"/>
              </w:rPr>
            </w:pPr>
          </w:p>
        </w:tc>
        <w:tc>
          <w:tcPr>
            <w:tcW w:w="1185" w:type="dxa"/>
            <w:shd w:val="clear" w:color="auto" w:fill="D9D9D9" w:themeFill="background1" w:themeFillShade="D9"/>
            <w:vAlign w:val="center"/>
          </w:tcPr>
          <w:p w:rsidR="00C92DAB" w:rsidRPr="00511F0D" w:rsidRDefault="00C92DAB" w:rsidP="00F66363">
            <w:pPr>
              <w:jc w:val="center"/>
              <w:rPr>
                <w:rFonts w:eastAsia="宋体" w:cs="Times New Roman"/>
                <w:sz w:val="16"/>
                <w:szCs w:val="16"/>
              </w:rPr>
            </w:pPr>
            <w:r w:rsidRPr="00511F0D">
              <w:rPr>
                <w:rFonts w:eastAsia="宋体" w:cs="Times New Roman" w:hint="eastAsia"/>
                <w:sz w:val="16"/>
                <w:szCs w:val="16"/>
              </w:rPr>
              <w:t>外币金额</w:t>
            </w:r>
          </w:p>
        </w:tc>
        <w:tc>
          <w:tcPr>
            <w:tcW w:w="1185" w:type="dxa"/>
            <w:shd w:val="clear" w:color="auto" w:fill="D9D9D9" w:themeFill="background1" w:themeFillShade="D9"/>
            <w:vAlign w:val="center"/>
          </w:tcPr>
          <w:p w:rsidR="00C92DAB" w:rsidRPr="00511F0D" w:rsidRDefault="00C92DAB" w:rsidP="00F66363">
            <w:pPr>
              <w:jc w:val="center"/>
              <w:rPr>
                <w:rFonts w:eastAsia="宋体" w:cs="Times New Roman"/>
                <w:sz w:val="16"/>
                <w:szCs w:val="16"/>
              </w:rPr>
            </w:pPr>
            <w:r w:rsidRPr="00511F0D">
              <w:rPr>
                <w:rFonts w:eastAsia="宋体" w:cs="Times New Roman" w:hint="eastAsia"/>
                <w:sz w:val="16"/>
                <w:szCs w:val="16"/>
              </w:rPr>
              <w:t>折算率</w:t>
            </w:r>
          </w:p>
        </w:tc>
        <w:tc>
          <w:tcPr>
            <w:tcW w:w="1185" w:type="dxa"/>
            <w:shd w:val="clear" w:color="auto" w:fill="D9D9D9" w:themeFill="background1" w:themeFillShade="D9"/>
            <w:vAlign w:val="center"/>
          </w:tcPr>
          <w:p w:rsidR="00C92DAB" w:rsidRPr="00511F0D" w:rsidRDefault="00C92DAB" w:rsidP="00F66363">
            <w:pPr>
              <w:jc w:val="center"/>
              <w:rPr>
                <w:rFonts w:eastAsia="宋体" w:cs="Times New Roman"/>
                <w:sz w:val="16"/>
                <w:szCs w:val="16"/>
              </w:rPr>
            </w:pPr>
            <w:r w:rsidRPr="00511F0D">
              <w:rPr>
                <w:rFonts w:eastAsia="宋体" w:cs="Times New Roman" w:hint="eastAsia"/>
                <w:sz w:val="16"/>
                <w:szCs w:val="16"/>
              </w:rPr>
              <w:t>人民币金额</w:t>
            </w:r>
          </w:p>
        </w:tc>
        <w:tc>
          <w:tcPr>
            <w:tcW w:w="1185" w:type="dxa"/>
            <w:shd w:val="clear" w:color="auto" w:fill="D9D9D9" w:themeFill="background1" w:themeFillShade="D9"/>
            <w:vAlign w:val="center"/>
          </w:tcPr>
          <w:p w:rsidR="00C92DAB" w:rsidRPr="00511F0D" w:rsidRDefault="00C92DAB" w:rsidP="00F66363">
            <w:pPr>
              <w:jc w:val="center"/>
              <w:rPr>
                <w:rFonts w:eastAsia="宋体" w:cs="Times New Roman"/>
                <w:sz w:val="16"/>
                <w:szCs w:val="16"/>
              </w:rPr>
            </w:pPr>
            <w:r w:rsidRPr="00511F0D">
              <w:rPr>
                <w:rFonts w:eastAsia="宋体" w:cs="Times New Roman" w:hint="eastAsia"/>
                <w:sz w:val="16"/>
                <w:szCs w:val="16"/>
              </w:rPr>
              <w:t>外币金额</w:t>
            </w:r>
          </w:p>
        </w:tc>
        <w:tc>
          <w:tcPr>
            <w:tcW w:w="1185" w:type="dxa"/>
            <w:shd w:val="clear" w:color="auto" w:fill="D9D9D9" w:themeFill="background1" w:themeFillShade="D9"/>
            <w:vAlign w:val="center"/>
          </w:tcPr>
          <w:p w:rsidR="00C92DAB" w:rsidRPr="00511F0D" w:rsidRDefault="00C92DAB" w:rsidP="00F66363">
            <w:pPr>
              <w:jc w:val="center"/>
              <w:rPr>
                <w:rFonts w:eastAsia="宋体" w:cs="Times New Roman"/>
                <w:sz w:val="16"/>
                <w:szCs w:val="16"/>
              </w:rPr>
            </w:pPr>
            <w:r w:rsidRPr="00511F0D">
              <w:rPr>
                <w:rFonts w:eastAsia="宋体" w:cs="Times New Roman" w:hint="eastAsia"/>
                <w:sz w:val="16"/>
                <w:szCs w:val="16"/>
              </w:rPr>
              <w:t>折算率</w:t>
            </w:r>
          </w:p>
        </w:tc>
        <w:tc>
          <w:tcPr>
            <w:tcW w:w="1185" w:type="dxa"/>
            <w:shd w:val="clear" w:color="auto" w:fill="D9D9D9" w:themeFill="background1" w:themeFillShade="D9"/>
            <w:vAlign w:val="center"/>
          </w:tcPr>
          <w:p w:rsidR="00C92DAB" w:rsidRPr="00511F0D" w:rsidRDefault="00C92DAB" w:rsidP="00F66363">
            <w:pPr>
              <w:jc w:val="center"/>
              <w:rPr>
                <w:rFonts w:eastAsia="宋体" w:cs="Times New Roman"/>
                <w:sz w:val="16"/>
                <w:szCs w:val="16"/>
              </w:rPr>
            </w:pPr>
            <w:r w:rsidRPr="00511F0D">
              <w:rPr>
                <w:rFonts w:eastAsia="宋体" w:cs="Times New Roman" w:hint="eastAsia"/>
                <w:sz w:val="16"/>
                <w:szCs w:val="16"/>
              </w:rPr>
              <w:t>人民币金额</w:t>
            </w: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hideMark/>
          </w:tcPr>
          <w:p w:rsidR="007819CB" w:rsidRPr="00511F0D" w:rsidRDefault="007819CB" w:rsidP="007819CB">
            <w:pPr>
              <w:rPr>
                <w:rFonts w:eastAsia="宋体" w:cs="Times New Roman"/>
                <w:sz w:val="16"/>
                <w:szCs w:val="16"/>
              </w:rPr>
            </w:pPr>
            <w:r w:rsidRPr="00511F0D">
              <w:rPr>
                <w:rFonts w:eastAsia="宋体" w:cs="Times New Roman" w:hint="eastAsia"/>
                <w:sz w:val="16"/>
                <w:szCs w:val="16"/>
              </w:rPr>
              <w:t>受限资金</w:t>
            </w:r>
            <w:r w:rsidR="005F14EE" w:rsidRPr="00511F0D">
              <w:rPr>
                <w:rFonts w:eastAsia="宋体" w:cs="Times New Roman" w:hint="eastAsia"/>
                <w:sz w:val="16"/>
                <w:szCs w:val="16"/>
              </w:rPr>
              <w:t>：</w:t>
            </w:r>
            <w:r w:rsidR="005F14EE" w:rsidRPr="00511F0D">
              <w:rPr>
                <w:rFonts w:eastAsia="宋体" w:cs="Times New Roman"/>
                <w:sz w:val="16"/>
                <w:szCs w:val="16"/>
              </w:rPr>
              <w:t>(</w:t>
            </w:r>
            <w:r w:rsidRPr="00511F0D">
              <w:rPr>
                <w:rFonts w:eastAsia="宋体" w:cs="Times New Roman" w:hint="eastAsia"/>
                <w:sz w:val="16"/>
                <w:szCs w:val="16"/>
              </w:rPr>
              <w:t>注</w:t>
            </w:r>
            <w:r w:rsidRPr="00511F0D">
              <w:rPr>
                <w:rFonts w:eastAsia="宋体" w:cs="Times New Roman"/>
                <w:sz w:val="16"/>
                <w:szCs w:val="16"/>
              </w:rPr>
              <w:t>1</w:t>
            </w:r>
            <w:r w:rsidR="005F14EE" w:rsidRPr="00511F0D">
              <w:rPr>
                <w:rFonts w:eastAsia="宋体" w:cs="Times New Roman"/>
                <w:sz w:val="16"/>
                <w:szCs w:val="16"/>
              </w:rPr>
              <w:t>)</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人民币</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B6757C"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19,687,501.25</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1,600,000.00</w:t>
            </w:r>
          </w:p>
        </w:tc>
      </w:tr>
      <w:tr w:rsidR="007819CB" w:rsidRPr="00511F0D" w:rsidTr="00F66363">
        <w:trPr>
          <w:trHeight w:val="20"/>
        </w:trPr>
        <w:tc>
          <w:tcPr>
            <w:tcW w:w="2346" w:type="dxa"/>
            <w:shd w:val="clear" w:color="auto" w:fill="D9D9D9" w:themeFill="background1" w:themeFillShade="D9"/>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小计</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B6757C"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19,687,501.25</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1,600,000.00</w:t>
            </w: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非受限资金</w:t>
            </w:r>
            <w:r w:rsidR="005F14EE" w:rsidRPr="00511F0D">
              <w:rPr>
                <w:rFonts w:eastAsia="宋体" w:cs="Times New Roman" w:hint="eastAsia"/>
                <w:sz w:val="16"/>
                <w:szCs w:val="16"/>
              </w:rPr>
              <w:t>：</w:t>
            </w:r>
            <w:r w:rsidR="005F14EE" w:rsidRPr="00511F0D">
              <w:rPr>
                <w:rFonts w:eastAsia="宋体" w:cs="Times New Roman"/>
                <w:sz w:val="16"/>
                <w:szCs w:val="16"/>
              </w:rPr>
              <w:t>(</w:t>
            </w:r>
            <w:r w:rsidRPr="00511F0D">
              <w:rPr>
                <w:rFonts w:eastAsia="宋体" w:cs="Times New Roman" w:hint="eastAsia"/>
                <w:sz w:val="16"/>
                <w:szCs w:val="16"/>
              </w:rPr>
              <w:t>注</w:t>
            </w:r>
            <w:r w:rsidRPr="00511F0D">
              <w:rPr>
                <w:rFonts w:eastAsia="宋体" w:cs="Times New Roman"/>
                <w:sz w:val="16"/>
                <w:szCs w:val="16"/>
              </w:rPr>
              <w:t>2</w:t>
            </w:r>
            <w:r w:rsidR="005F14EE" w:rsidRPr="00511F0D">
              <w:rPr>
                <w:rFonts w:eastAsia="宋体" w:cs="Times New Roman"/>
                <w:sz w:val="16"/>
                <w:szCs w:val="16"/>
              </w:rPr>
              <w:t>)</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人民币</w:t>
            </w: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BF3354" w:rsidP="00BF3354">
            <w:pPr>
              <w:tabs>
                <w:tab w:val="left" w:pos="181"/>
              </w:tabs>
              <w:ind w:left="2160" w:right="78" w:hanging="2160"/>
              <w:jc w:val="right"/>
              <w:rPr>
                <w:rFonts w:eastAsia="宋体" w:cs="Times New Roman"/>
                <w:sz w:val="16"/>
                <w:szCs w:val="16"/>
              </w:rPr>
            </w:pPr>
            <w:r w:rsidRPr="00511F0D">
              <w:rPr>
                <w:rFonts w:eastAsia="宋体" w:cs="Times New Roman"/>
                <w:sz w:val="16"/>
                <w:szCs w:val="16"/>
              </w:rPr>
              <w:t>10,</w:t>
            </w:r>
            <w:r w:rsidR="00642BE3" w:rsidRPr="00511F0D">
              <w:rPr>
                <w:rFonts w:eastAsia="宋体" w:cs="Times New Roman"/>
                <w:sz w:val="16"/>
                <w:szCs w:val="16"/>
              </w:rPr>
              <w:t>359,101.95</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7,664,467.35</w:t>
            </w: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欧元</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465,932.27</w:t>
            </w:r>
          </w:p>
        </w:tc>
        <w:tc>
          <w:tcPr>
            <w:tcW w:w="1185" w:type="dxa"/>
            <w:shd w:val="clear" w:color="auto" w:fill="auto"/>
            <w:vAlign w:val="center"/>
          </w:tcPr>
          <w:p w:rsidR="007819CB" w:rsidRPr="00511F0D" w:rsidRDefault="003645BE"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7.8591</w:t>
            </w:r>
          </w:p>
        </w:tc>
        <w:tc>
          <w:tcPr>
            <w:tcW w:w="1185" w:type="dxa"/>
            <w:shd w:val="clear" w:color="auto" w:fill="auto"/>
            <w:vAlign w:val="center"/>
          </w:tcPr>
          <w:p w:rsidR="007819CB" w:rsidRPr="00511F0D" w:rsidRDefault="003645BE"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3,661,808.30</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422,469.99</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7.4229</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3,135,952.49</w:t>
            </w: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英镑</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57,654.61</w:t>
            </w:r>
          </w:p>
        </w:tc>
        <w:tc>
          <w:tcPr>
            <w:tcW w:w="1185" w:type="dxa"/>
            <w:shd w:val="clear" w:color="auto" w:fill="auto"/>
            <w:vAlign w:val="center"/>
          </w:tcPr>
          <w:p w:rsidR="007819CB" w:rsidRPr="00511F0D" w:rsidRDefault="003645BE"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9.0414</w:t>
            </w:r>
          </w:p>
        </w:tc>
        <w:tc>
          <w:tcPr>
            <w:tcW w:w="1185" w:type="dxa"/>
            <w:shd w:val="clear" w:color="auto" w:fill="auto"/>
            <w:vAlign w:val="center"/>
          </w:tcPr>
          <w:p w:rsidR="007819CB" w:rsidRPr="00511F0D" w:rsidRDefault="003645BE"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521,278.39</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61,593.64</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8.3941</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517,023.17</w:t>
            </w: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美元</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209,611.02</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7.0827</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1,484,611.97</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221,645.98</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6.9646</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1,543,675.59</w:t>
            </w: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港币</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675,000.20</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0.9062</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611,698.68</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414,519.10</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0.8933</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370,289.91</w:t>
            </w: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澳元</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21,368.01</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4.8484</w:t>
            </w:r>
          </w:p>
        </w:tc>
        <w:tc>
          <w:tcPr>
            <w:tcW w:w="1185" w:type="dxa"/>
            <w:shd w:val="clear" w:color="auto" w:fill="auto"/>
            <w:vAlign w:val="center"/>
          </w:tcPr>
          <w:p w:rsidR="007819CB" w:rsidRPr="00511F0D" w:rsidRDefault="00BF3354"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103,600.66</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25,175.97</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4.7138</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118,674.49</w:t>
            </w:r>
          </w:p>
        </w:tc>
      </w:tr>
      <w:tr w:rsidR="007819CB" w:rsidRPr="00511F0D" w:rsidTr="00F66363">
        <w:trPr>
          <w:trHeight w:val="20"/>
        </w:trPr>
        <w:tc>
          <w:tcPr>
            <w:tcW w:w="2346" w:type="dxa"/>
            <w:shd w:val="clear" w:color="auto" w:fill="FFFFFF" w:themeFill="background1"/>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其他币种</w:t>
            </w: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3645BE"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3,601.29</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96,940.08</w:t>
            </w:r>
          </w:p>
        </w:tc>
      </w:tr>
      <w:tr w:rsidR="007819CB" w:rsidRPr="00511F0D" w:rsidTr="00F66363">
        <w:trPr>
          <w:trHeight w:val="20"/>
        </w:trPr>
        <w:tc>
          <w:tcPr>
            <w:tcW w:w="2346" w:type="dxa"/>
            <w:shd w:val="clear" w:color="auto" w:fill="D9D9D9" w:themeFill="background1" w:themeFillShade="D9"/>
            <w:tcMar>
              <w:top w:w="0" w:type="dxa"/>
              <w:left w:w="108" w:type="dxa"/>
              <w:bottom w:w="0" w:type="dxa"/>
              <w:right w:w="108" w:type="dxa"/>
            </w:tcMar>
            <w:vAlign w:val="center"/>
          </w:tcPr>
          <w:p w:rsidR="007819CB" w:rsidRPr="00511F0D" w:rsidRDefault="007819CB" w:rsidP="007819CB">
            <w:pPr>
              <w:ind w:right="108"/>
              <w:rPr>
                <w:rFonts w:eastAsia="宋体" w:cs="Times New Roman"/>
                <w:sz w:val="16"/>
                <w:szCs w:val="16"/>
              </w:rPr>
            </w:pPr>
            <w:r w:rsidRPr="00511F0D">
              <w:rPr>
                <w:rFonts w:eastAsia="宋体" w:cs="Times New Roman" w:hint="eastAsia"/>
                <w:sz w:val="16"/>
                <w:szCs w:val="16"/>
              </w:rPr>
              <w:t>小计</w:t>
            </w: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BF3354" w:rsidP="00BF3354">
            <w:pPr>
              <w:tabs>
                <w:tab w:val="left" w:pos="181"/>
              </w:tabs>
              <w:ind w:left="2880" w:right="78" w:hanging="2880"/>
              <w:jc w:val="right"/>
              <w:rPr>
                <w:rFonts w:eastAsia="宋体" w:cs="Times New Roman"/>
                <w:sz w:val="16"/>
                <w:szCs w:val="16"/>
              </w:rPr>
            </w:pPr>
            <w:r w:rsidRPr="00511F0D">
              <w:rPr>
                <w:rFonts w:eastAsia="宋体" w:cs="Times New Roman"/>
                <w:sz w:val="16"/>
                <w:szCs w:val="16"/>
              </w:rPr>
              <w:t>1</w:t>
            </w:r>
            <w:r w:rsidR="00642BE3" w:rsidRPr="00511F0D">
              <w:rPr>
                <w:rFonts w:eastAsia="宋体" w:cs="Times New Roman"/>
                <w:sz w:val="16"/>
                <w:szCs w:val="16"/>
              </w:rPr>
              <w:t>6,745,701.2</w:t>
            </w:r>
            <w:r w:rsidR="0000383B" w:rsidRPr="00511F0D">
              <w:rPr>
                <w:rFonts w:eastAsia="宋体" w:cs="Times New Roman"/>
                <w:sz w:val="16"/>
                <w:szCs w:val="16"/>
              </w:rPr>
              <w:t>4</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13,447,023.08</w:t>
            </w:r>
          </w:p>
        </w:tc>
      </w:tr>
      <w:tr w:rsidR="007819CB" w:rsidRPr="00511F0D" w:rsidTr="00F66363">
        <w:trPr>
          <w:trHeight w:val="20"/>
        </w:trPr>
        <w:tc>
          <w:tcPr>
            <w:tcW w:w="2346" w:type="dxa"/>
            <w:shd w:val="clear" w:color="auto" w:fill="D9D9D9" w:themeFill="background1" w:themeFillShade="D9"/>
            <w:tcMar>
              <w:top w:w="0" w:type="dxa"/>
              <w:left w:w="108" w:type="dxa"/>
              <w:bottom w:w="0" w:type="dxa"/>
              <w:right w:w="108" w:type="dxa"/>
            </w:tcMar>
            <w:vAlign w:val="center"/>
          </w:tcPr>
          <w:p w:rsidR="007819CB" w:rsidRPr="00511F0D" w:rsidRDefault="007819CB" w:rsidP="007819CB">
            <w:pPr>
              <w:rPr>
                <w:rFonts w:eastAsia="宋体" w:cs="Times New Roman"/>
                <w:sz w:val="16"/>
                <w:szCs w:val="16"/>
              </w:rPr>
            </w:pPr>
            <w:r w:rsidRPr="00511F0D">
              <w:rPr>
                <w:rFonts w:eastAsia="宋体" w:cs="Times New Roman" w:hint="eastAsia"/>
                <w:sz w:val="16"/>
                <w:szCs w:val="16"/>
              </w:rPr>
              <w:t>合计</w:t>
            </w: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shd w:val="clear" w:color="auto" w:fill="auto"/>
            <w:vAlign w:val="center"/>
          </w:tcPr>
          <w:p w:rsidR="007819CB" w:rsidRPr="00511F0D" w:rsidRDefault="00B6757C"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36,433,202.</w:t>
            </w:r>
            <w:r w:rsidR="0000383B" w:rsidRPr="00511F0D">
              <w:rPr>
                <w:rFonts w:eastAsia="宋体" w:cs="Times New Roman"/>
                <w:sz w:val="16"/>
                <w:szCs w:val="16"/>
              </w:rPr>
              <w:t>49</w:t>
            </w: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p>
        </w:tc>
        <w:tc>
          <w:tcPr>
            <w:tcW w:w="1185" w:type="dxa"/>
            <w:vAlign w:val="center"/>
          </w:tcPr>
          <w:p w:rsidR="007819CB" w:rsidRPr="00511F0D" w:rsidRDefault="007819CB" w:rsidP="007819CB">
            <w:pPr>
              <w:tabs>
                <w:tab w:val="left" w:pos="181"/>
              </w:tabs>
              <w:ind w:left="1440" w:right="78" w:hanging="1440"/>
              <w:jc w:val="right"/>
              <w:rPr>
                <w:rFonts w:eastAsia="宋体" w:cs="Times New Roman"/>
                <w:sz w:val="16"/>
                <w:szCs w:val="16"/>
              </w:rPr>
            </w:pPr>
            <w:r w:rsidRPr="00511F0D">
              <w:rPr>
                <w:rFonts w:eastAsia="宋体" w:cs="Times New Roman"/>
                <w:sz w:val="16"/>
                <w:szCs w:val="16"/>
              </w:rPr>
              <w:t>15,047,023.08</w:t>
            </w:r>
          </w:p>
        </w:tc>
      </w:tr>
    </w:tbl>
    <w:p w:rsidR="006B4A23" w:rsidRDefault="006B4A23" w:rsidP="00F66363">
      <w:pPr>
        <w:ind w:left="720"/>
        <w:rPr>
          <w:rFonts w:eastAsia="宋体" w:cs="Times New Roman"/>
          <w:szCs w:val="21"/>
        </w:rPr>
      </w:pPr>
    </w:p>
    <w:p w:rsidR="00E724E4" w:rsidRPr="00251EBC" w:rsidRDefault="006B1C22" w:rsidP="00251EBC">
      <w:pPr>
        <w:ind w:left="1440" w:hanging="720"/>
        <w:jc w:val="both"/>
        <w:rPr>
          <w:rFonts w:eastAsia="宋体" w:cs="Times New Roman"/>
          <w:szCs w:val="21"/>
        </w:rPr>
      </w:pPr>
      <w:r w:rsidRPr="00A71D2E">
        <w:rPr>
          <w:rFonts w:eastAsia="宋体" w:cs="Times New Roman" w:hint="eastAsia"/>
          <w:szCs w:val="21"/>
        </w:rPr>
        <w:t>注</w:t>
      </w:r>
      <w:r w:rsidR="00C95C4E">
        <w:rPr>
          <w:rFonts w:eastAsia="宋体" w:cs="Times New Roman" w:hint="eastAsia"/>
          <w:szCs w:val="21"/>
        </w:rPr>
        <w:t>1</w:t>
      </w:r>
      <w:r w:rsidR="005F14EE">
        <w:rPr>
          <w:rFonts w:eastAsia="宋体" w:cs="Times New Roman" w:hint="eastAsia"/>
          <w:szCs w:val="21"/>
        </w:rPr>
        <w:t>：</w:t>
      </w:r>
      <w:r w:rsidRPr="00A71D2E">
        <w:rPr>
          <w:rFonts w:eastAsia="宋体" w:cs="Times New Roman"/>
          <w:szCs w:val="21"/>
        </w:rPr>
        <w:tab/>
      </w:r>
      <w:r w:rsidR="002D4713" w:rsidRPr="00A71D2E">
        <w:rPr>
          <w:rFonts w:eastAsia="宋体" w:cs="Times New Roman" w:hint="eastAsia"/>
          <w:szCs w:val="21"/>
        </w:rPr>
        <w:t>本年末</w:t>
      </w:r>
      <w:r w:rsidR="00AA341F" w:rsidRPr="00A71D2E">
        <w:rPr>
          <w:rFonts w:eastAsia="宋体" w:cs="Times New Roman" w:hint="eastAsia"/>
          <w:szCs w:val="21"/>
        </w:rPr>
        <w:t>，</w:t>
      </w:r>
      <w:r w:rsidR="002D4713" w:rsidRPr="00A71D2E">
        <w:rPr>
          <w:rFonts w:eastAsia="宋体" w:cs="Times New Roman" w:hint="eastAsia"/>
          <w:szCs w:val="21"/>
        </w:rPr>
        <w:t>本集团</w:t>
      </w:r>
      <w:r w:rsidR="00002E05">
        <w:rPr>
          <w:rFonts w:eastAsia="宋体" w:cs="Times New Roman" w:hint="eastAsia"/>
          <w:szCs w:val="21"/>
        </w:rPr>
        <w:t>其他</w:t>
      </w:r>
      <w:r w:rsidR="00AA341F" w:rsidRPr="00A71D2E">
        <w:rPr>
          <w:rFonts w:eastAsia="宋体" w:cs="Times New Roman" w:hint="eastAsia"/>
          <w:szCs w:val="21"/>
        </w:rPr>
        <w:t>受</w:t>
      </w:r>
      <w:r w:rsidR="001E003E" w:rsidRPr="00A71D2E">
        <w:rPr>
          <w:rFonts w:eastAsia="宋体" w:cs="Times New Roman" w:hint="eastAsia"/>
          <w:szCs w:val="21"/>
        </w:rPr>
        <w:t>限</w:t>
      </w:r>
      <w:r w:rsidR="007542F2" w:rsidRPr="00A71D2E">
        <w:rPr>
          <w:rFonts w:eastAsia="宋体" w:cs="Times New Roman" w:hint="eastAsia"/>
          <w:szCs w:val="21"/>
        </w:rPr>
        <w:t>资金人民币</w:t>
      </w:r>
      <w:r w:rsidR="001F51BD" w:rsidRPr="00A71D2E">
        <w:rPr>
          <w:rFonts w:eastAsia="宋体" w:cs="Times New Roman"/>
          <w:szCs w:val="21"/>
        </w:rPr>
        <w:t>1,600,000.00</w:t>
      </w:r>
      <w:r w:rsidR="00024CE2" w:rsidRPr="00A71D2E">
        <w:rPr>
          <w:rFonts w:eastAsia="宋体" w:cs="Times New Roman" w:hint="eastAsia"/>
          <w:szCs w:val="21"/>
        </w:rPr>
        <w:t>元</w:t>
      </w:r>
      <w:r w:rsidR="007542F2" w:rsidRPr="00A71D2E">
        <w:rPr>
          <w:rFonts w:eastAsia="宋体" w:cs="Times New Roman" w:hint="eastAsia"/>
          <w:szCs w:val="21"/>
        </w:rPr>
        <w:t>用于海关关税保函</w:t>
      </w:r>
      <w:r w:rsidR="005F14EE">
        <w:rPr>
          <w:rFonts w:eastAsia="宋体" w:cs="Times New Roman" w:hint="eastAsia"/>
          <w:szCs w:val="21"/>
        </w:rPr>
        <w:t>(</w:t>
      </w:r>
      <w:r w:rsidR="002D4713" w:rsidRPr="00A71D2E">
        <w:rPr>
          <w:rFonts w:eastAsia="宋体" w:cs="Times New Roman" w:hint="eastAsia"/>
          <w:szCs w:val="21"/>
        </w:rPr>
        <w:t>上年年末数</w:t>
      </w:r>
      <w:r w:rsidR="005F14EE">
        <w:rPr>
          <w:rFonts w:eastAsia="宋体" w:cs="Times New Roman" w:hint="eastAsia"/>
          <w:szCs w:val="21"/>
        </w:rPr>
        <w:t>：</w:t>
      </w:r>
      <w:r w:rsidR="00C82CB6" w:rsidRPr="00A71D2E">
        <w:rPr>
          <w:rFonts w:eastAsia="宋体" w:cs="Times New Roman" w:hint="eastAsia"/>
          <w:szCs w:val="21"/>
        </w:rPr>
        <w:t>人民币</w:t>
      </w:r>
      <w:r w:rsidR="002A7C23" w:rsidRPr="00A71D2E">
        <w:rPr>
          <w:rFonts w:eastAsia="宋体" w:cs="Times New Roman"/>
          <w:szCs w:val="21"/>
        </w:rPr>
        <w:t>1,600,000.00</w:t>
      </w:r>
      <w:r w:rsidR="00C82CB6" w:rsidRPr="00A71D2E">
        <w:rPr>
          <w:rFonts w:eastAsia="宋体" w:cs="Times New Roman" w:hint="eastAsia"/>
          <w:szCs w:val="21"/>
        </w:rPr>
        <w:t>元</w:t>
      </w:r>
      <w:r w:rsidR="005F14EE">
        <w:rPr>
          <w:rFonts w:eastAsia="宋体" w:cs="Times New Roman"/>
          <w:szCs w:val="21"/>
        </w:rPr>
        <w:t>)</w:t>
      </w:r>
      <w:r w:rsidR="001F51BD">
        <w:rPr>
          <w:rFonts w:eastAsia="宋体" w:cs="Times New Roman" w:hint="eastAsia"/>
          <w:szCs w:val="21"/>
        </w:rPr>
        <w:t>，其他受限资金人民币</w:t>
      </w:r>
      <w:r w:rsidR="001F51BD" w:rsidRPr="00627C16">
        <w:rPr>
          <w:rFonts w:eastAsia="宋体" w:cs="Times New Roman"/>
          <w:szCs w:val="21"/>
        </w:rPr>
        <w:t>17,729,379.28</w:t>
      </w:r>
      <w:r w:rsidR="001F51BD">
        <w:rPr>
          <w:rFonts w:eastAsia="宋体" w:cs="Times New Roman" w:hint="eastAsia"/>
          <w:szCs w:val="21"/>
        </w:rPr>
        <w:t>元用于</w:t>
      </w:r>
      <w:r w:rsidR="00D63DF4">
        <w:rPr>
          <w:rFonts w:eastAsia="宋体" w:cs="Times New Roman" w:hint="eastAsia"/>
          <w:szCs w:val="21"/>
        </w:rPr>
        <w:t>履约</w:t>
      </w:r>
      <w:r w:rsidR="001F51BD">
        <w:rPr>
          <w:rFonts w:eastAsia="宋体" w:cs="Times New Roman" w:hint="eastAsia"/>
          <w:szCs w:val="21"/>
        </w:rPr>
        <w:t>保函</w:t>
      </w:r>
      <w:r w:rsidR="005F14EE">
        <w:rPr>
          <w:rFonts w:eastAsia="宋体" w:cs="Times New Roman" w:hint="eastAsia"/>
          <w:szCs w:val="21"/>
        </w:rPr>
        <w:t>(</w:t>
      </w:r>
      <w:r w:rsidR="006D73D1">
        <w:rPr>
          <w:rFonts w:eastAsia="宋体" w:cs="Times New Roman" w:hint="eastAsia"/>
          <w:szCs w:val="21"/>
        </w:rPr>
        <w:t>上年年末数</w:t>
      </w:r>
      <w:r w:rsidR="005F14EE">
        <w:rPr>
          <w:rFonts w:eastAsia="宋体" w:cs="Times New Roman" w:hint="eastAsia"/>
          <w:szCs w:val="21"/>
        </w:rPr>
        <w:t>：</w:t>
      </w:r>
      <w:r w:rsidR="006D73D1">
        <w:rPr>
          <w:rFonts w:eastAsia="宋体" w:cs="Times New Roman" w:hint="eastAsia"/>
          <w:szCs w:val="21"/>
        </w:rPr>
        <w:t>人民币</w:t>
      </w:r>
      <w:r w:rsidR="00B019C6">
        <w:rPr>
          <w:rFonts w:eastAsia="宋体" w:cs="Times New Roman" w:hint="eastAsia"/>
          <w:szCs w:val="21"/>
        </w:rPr>
        <w:t xml:space="preserve"> </w:t>
      </w:r>
      <w:r w:rsidR="00ED0C86">
        <w:rPr>
          <w:rFonts w:eastAsia="宋体" w:cs="Times New Roman" w:hint="eastAsia"/>
          <w:szCs w:val="21"/>
        </w:rPr>
        <w:t>零</w:t>
      </w:r>
      <w:r w:rsidR="00B019C6">
        <w:rPr>
          <w:rFonts w:eastAsia="宋体" w:cs="Times New Roman" w:hint="eastAsia"/>
          <w:szCs w:val="21"/>
        </w:rPr>
        <w:t xml:space="preserve"> </w:t>
      </w:r>
      <w:r w:rsidR="006D73D1">
        <w:rPr>
          <w:rFonts w:eastAsia="宋体" w:cs="Times New Roman" w:hint="eastAsia"/>
          <w:szCs w:val="21"/>
        </w:rPr>
        <w:t>元</w:t>
      </w:r>
      <w:r w:rsidR="005F14EE">
        <w:rPr>
          <w:rFonts w:eastAsia="宋体" w:cs="Times New Roman" w:hint="eastAsia"/>
          <w:szCs w:val="21"/>
        </w:rPr>
        <w:t>)</w:t>
      </w:r>
      <w:r w:rsidR="00B6757C">
        <w:rPr>
          <w:rFonts w:eastAsia="宋体" w:cs="Times New Roman" w:hint="eastAsia"/>
          <w:szCs w:val="21"/>
        </w:rPr>
        <w:t>，</w:t>
      </w:r>
      <w:r w:rsidR="002B7C58">
        <w:rPr>
          <w:rFonts w:eastAsia="宋体" w:cs="Times New Roman" w:hint="eastAsia"/>
          <w:szCs w:val="21"/>
        </w:rPr>
        <w:t>其他受限资金人民币</w:t>
      </w:r>
      <w:r w:rsidR="00B6757C">
        <w:rPr>
          <w:rFonts w:eastAsia="宋体" w:cs="Times New Roman" w:hint="eastAsia"/>
          <w:szCs w:val="21"/>
        </w:rPr>
        <w:t>3</w:t>
      </w:r>
      <w:r w:rsidR="00B6757C">
        <w:rPr>
          <w:rFonts w:eastAsia="宋体" w:cs="Times New Roman"/>
          <w:szCs w:val="21"/>
        </w:rPr>
        <w:t>58,121</w:t>
      </w:r>
      <w:r w:rsidR="00831B4A">
        <w:rPr>
          <w:rFonts w:eastAsia="宋体" w:cs="Times New Roman"/>
          <w:szCs w:val="21"/>
        </w:rPr>
        <w:t>.</w:t>
      </w:r>
      <w:r w:rsidR="00B6757C">
        <w:rPr>
          <w:rFonts w:eastAsia="宋体" w:cs="Times New Roman"/>
          <w:szCs w:val="21"/>
        </w:rPr>
        <w:t>97</w:t>
      </w:r>
      <w:r w:rsidR="00B6757C">
        <w:rPr>
          <w:rFonts w:eastAsia="宋体" w:cs="Times New Roman" w:hint="eastAsia"/>
          <w:szCs w:val="21"/>
        </w:rPr>
        <w:t>元用于银行承兑汇票保证金</w:t>
      </w:r>
      <w:r w:rsidR="005F14EE">
        <w:rPr>
          <w:rFonts w:eastAsia="宋体" w:cs="Times New Roman" w:hint="eastAsia"/>
          <w:szCs w:val="21"/>
        </w:rPr>
        <w:t>(</w:t>
      </w:r>
      <w:r w:rsidR="00B6757C">
        <w:rPr>
          <w:rFonts w:eastAsia="宋体" w:cs="Times New Roman" w:hint="eastAsia"/>
          <w:szCs w:val="21"/>
        </w:rPr>
        <w:t>上年年末数</w:t>
      </w:r>
      <w:r w:rsidR="005F14EE">
        <w:rPr>
          <w:rFonts w:eastAsia="宋体" w:cs="Times New Roman" w:hint="eastAsia"/>
          <w:szCs w:val="21"/>
        </w:rPr>
        <w:t>：</w:t>
      </w:r>
      <w:r w:rsidR="00B6757C">
        <w:rPr>
          <w:rFonts w:eastAsia="宋体" w:cs="Times New Roman" w:hint="eastAsia"/>
          <w:szCs w:val="21"/>
        </w:rPr>
        <w:t>人民币</w:t>
      </w:r>
      <w:r w:rsidR="00B6757C">
        <w:rPr>
          <w:rFonts w:eastAsia="宋体" w:cs="Times New Roman" w:hint="eastAsia"/>
          <w:szCs w:val="21"/>
        </w:rPr>
        <w:t xml:space="preserve"> </w:t>
      </w:r>
      <w:r w:rsidR="00B6757C">
        <w:rPr>
          <w:rFonts w:eastAsia="宋体" w:cs="Times New Roman" w:hint="eastAsia"/>
          <w:szCs w:val="21"/>
        </w:rPr>
        <w:t>零</w:t>
      </w:r>
      <w:r w:rsidR="00B6757C">
        <w:rPr>
          <w:rFonts w:eastAsia="宋体" w:cs="Times New Roman" w:hint="eastAsia"/>
          <w:szCs w:val="21"/>
        </w:rPr>
        <w:t xml:space="preserve"> </w:t>
      </w:r>
      <w:r w:rsidR="00B6757C">
        <w:rPr>
          <w:rFonts w:eastAsia="宋体" w:cs="Times New Roman" w:hint="eastAsia"/>
          <w:szCs w:val="21"/>
        </w:rPr>
        <w:t>元</w:t>
      </w:r>
      <w:r w:rsidR="005F14EE">
        <w:rPr>
          <w:rFonts w:eastAsia="宋体" w:cs="Times New Roman" w:hint="eastAsia"/>
          <w:szCs w:val="21"/>
        </w:rPr>
        <w:t>)</w:t>
      </w:r>
      <w:r w:rsidR="007542F2" w:rsidRPr="00A71D2E">
        <w:rPr>
          <w:rFonts w:eastAsia="宋体" w:cs="Times New Roman" w:hint="eastAsia"/>
          <w:szCs w:val="21"/>
        </w:rPr>
        <w:t>。</w:t>
      </w:r>
    </w:p>
    <w:p w:rsidR="00C95C4E" w:rsidRDefault="00C95C4E" w:rsidP="00F66363">
      <w:pPr>
        <w:ind w:left="1440" w:hanging="720"/>
        <w:jc w:val="both"/>
        <w:rPr>
          <w:rFonts w:eastAsia="宋体" w:cs="Times New Roman"/>
          <w:szCs w:val="21"/>
        </w:rPr>
      </w:pPr>
    </w:p>
    <w:p w:rsidR="00C95C4E" w:rsidRPr="0027505B" w:rsidRDefault="00C95C4E" w:rsidP="00F66363">
      <w:pPr>
        <w:ind w:left="1440" w:hanging="720"/>
        <w:jc w:val="both"/>
        <w:rPr>
          <w:rFonts w:eastAsia="宋体" w:cs="Times New Roman"/>
          <w:spacing w:val="-4"/>
          <w:szCs w:val="21"/>
        </w:rPr>
      </w:pPr>
      <w:r w:rsidRPr="0027505B">
        <w:rPr>
          <w:rFonts w:eastAsia="宋体" w:cs="Times New Roman" w:hint="eastAsia"/>
          <w:spacing w:val="-4"/>
          <w:szCs w:val="21"/>
        </w:rPr>
        <w:t>注</w:t>
      </w:r>
      <w:r w:rsidRPr="0027505B">
        <w:rPr>
          <w:rFonts w:eastAsia="宋体" w:cs="Times New Roman"/>
          <w:spacing w:val="-4"/>
          <w:szCs w:val="21"/>
        </w:rPr>
        <w:t>2</w:t>
      </w:r>
      <w:r w:rsidR="005F14EE" w:rsidRPr="0027505B">
        <w:rPr>
          <w:rFonts w:eastAsia="宋体" w:cs="Times New Roman" w:hint="eastAsia"/>
          <w:spacing w:val="-4"/>
          <w:szCs w:val="21"/>
        </w:rPr>
        <w:t>：</w:t>
      </w:r>
      <w:r w:rsidR="00002E05" w:rsidRPr="0027505B">
        <w:rPr>
          <w:rFonts w:eastAsia="宋体" w:cs="Times New Roman"/>
          <w:spacing w:val="-4"/>
          <w:szCs w:val="21"/>
        </w:rPr>
        <w:tab/>
      </w:r>
      <w:r w:rsidR="00002E05" w:rsidRPr="0027505B">
        <w:rPr>
          <w:rFonts w:eastAsia="宋体" w:cs="Times New Roman" w:hint="eastAsia"/>
          <w:spacing w:val="-4"/>
          <w:szCs w:val="21"/>
        </w:rPr>
        <w:t>本年末，本集团</w:t>
      </w:r>
      <w:r w:rsidR="00094A9D" w:rsidRPr="0027505B">
        <w:rPr>
          <w:rFonts w:eastAsia="宋体" w:cs="Times New Roman" w:hint="eastAsia"/>
          <w:spacing w:val="-4"/>
          <w:szCs w:val="21"/>
        </w:rPr>
        <w:t>其他非受限资金系存</w:t>
      </w:r>
      <w:r w:rsidR="00002E05" w:rsidRPr="0027505B">
        <w:rPr>
          <w:rFonts w:eastAsia="宋体" w:cs="Times New Roman" w:hint="eastAsia"/>
          <w:spacing w:val="-4"/>
          <w:szCs w:val="21"/>
        </w:rPr>
        <w:t>放于</w:t>
      </w:r>
      <w:r w:rsidR="007474D5" w:rsidRPr="0027505B">
        <w:rPr>
          <w:rFonts w:eastAsia="宋体" w:cs="Times New Roman" w:hint="eastAsia"/>
          <w:spacing w:val="-4"/>
          <w:szCs w:val="21"/>
        </w:rPr>
        <w:t>支付宝、</w:t>
      </w:r>
      <w:proofErr w:type="gramStart"/>
      <w:r w:rsidR="007474D5" w:rsidRPr="0027505B">
        <w:rPr>
          <w:rFonts w:eastAsia="宋体" w:cs="Times New Roman" w:hint="eastAsia"/>
          <w:spacing w:val="-4"/>
          <w:szCs w:val="21"/>
        </w:rPr>
        <w:t>财付通</w:t>
      </w:r>
      <w:proofErr w:type="gramEnd"/>
      <w:r w:rsidR="00D118E2" w:rsidRPr="0027505B">
        <w:rPr>
          <w:rFonts w:eastAsia="宋体" w:cs="Times New Roman" w:hint="eastAsia"/>
          <w:spacing w:val="-4"/>
          <w:szCs w:val="21"/>
        </w:rPr>
        <w:t>、贝宝</w:t>
      </w:r>
      <w:r w:rsidR="005F14EE" w:rsidRPr="0027505B">
        <w:rPr>
          <w:rFonts w:eastAsia="宋体" w:cs="Times New Roman"/>
          <w:spacing w:val="-4"/>
          <w:szCs w:val="21"/>
        </w:rPr>
        <w:t>(</w:t>
      </w:r>
      <w:proofErr w:type="spellStart"/>
      <w:r w:rsidR="00567B46" w:rsidRPr="0027505B">
        <w:rPr>
          <w:rFonts w:eastAsia="宋体" w:cs="Times New Roman"/>
          <w:spacing w:val="-4"/>
          <w:szCs w:val="21"/>
        </w:rPr>
        <w:t>Paypal</w:t>
      </w:r>
      <w:proofErr w:type="spellEnd"/>
      <w:r w:rsidR="005F14EE" w:rsidRPr="0027505B">
        <w:rPr>
          <w:rFonts w:eastAsia="宋体" w:cs="Times New Roman"/>
          <w:spacing w:val="-4"/>
          <w:szCs w:val="21"/>
        </w:rPr>
        <w:t>)</w:t>
      </w:r>
      <w:r w:rsidR="00D118E2" w:rsidRPr="0027505B">
        <w:rPr>
          <w:rFonts w:eastAsia="宋体" w:cs="Times New Roman" w:hint="eastAsia"/>
          <w:spacing w:val="-4"/>
          <w:szCs w:val="21"/>
        </w:rPr>
        <w:t>等</w:t>
      </w:r>
      <w:r w:rsidR="00C22C2F" w:rsidRPr="0027505B">
        <w:rPr>
          <w:rFonts w:eastAsia="宋体" w:cs="Times New Roman" w:hint="eastAsia"/>
          <w:spacing w:val="-4"/>
          <w:szCs w:val="21"/>
        </w:rPr>
        <w:t>网上支付平台的</w:t>
      </w:r>
      <w:r w:rsidR="00D86B7E" w:rsidRPr="0027505B">
        <w:rPr>
          <w:rFonts w:eastAsia="宋体" w:cs="Times New Roman" w:hint="eastAsia"/>
          <w:spacing w:val="-4"/>
          <w:szCs w:val="21"/>
        </w:rPr>
        <w:t>款项。</w:t>
      </w:r>
    </w:p>
    <w:p w:rsidR="006B1C22" w:rsidRPr="007E2F61" w:rsidRDefault="006B1C22" w:rsidP="00F66363">
      <w:pPr>
        <w:ind w:left="720" w:right="9"/>
        <w:rPr>
          <w:rFonts w:eastAsia="宋体" w:cs="Times New Roman"/>
          <w:szCs w:val="21"/>
        </w:rPr>
      </w:pPr>
    </w:p>
    <w:p w:rsidR="007D47F9" w:rsidRPr="00F66363" w:rsidRDefault="007D47F9" w:rsidP="00F66363">
      <w:pPr>
        <w:pStyle w:val="2"/>
        <w:numPr>
          <w:ilvl w:val="2"/>
          <w:numId w:val="1"/>
        </w:numPr>
        <w:adjustRightInd w:val="0"/>
        <w:snapToGrid w:val="0"/>
        <w:ind w:left="1440" w:hanging="720"/>
        <w:contextualSpacing w:val="0"/>
        <w:rPr>
          <w:rFonts w:ascii="Times New Roman" w:eastAsia="宋体" w:hAnsi="Times New Roman" w:cs="Times New Roman"/>
          <w:szCs w:val="21"/>
        </w:rPr>
      </w:pPr>
      <w:r w:rsidRPr="00F66363">
        <w:rPr>
          <w:rFonts w:ascii="Times New Roman" w:eastAsia="宋体" w:hAnsi="Times New Roman" w:cs="Times New Roman" w:hint="eastAsia"/>
          <w:szCs w:val="21"/>
        </w:rPr>
        <w:t>应收票据</w:t>
      </w:r>
    </w:p>
    <w:p w:rsidR="00086CEF" w:rsidRPr="00F66363" w:rsidRDefault="00086CEF" w:rsidP="00F66363">
      <w:pPr>
        <w:ind w:left="720"/>
        <w:rPr>
          <w:rFonts w:eastAsia="宋体" w:cs="Times New Roman"/>
          <w:szCs w:val="21"/>
        </w:rPr>
      </w:pPr>
    </w:p>
    <w:p w:rsidR="00086CEF" w:rsidRPr="00A71D2E" w:rsidRDefault="005F14EE" w:rsidP="00F66363">
      <w:pPr>
        <w:ind w:left="720"/>
        <w:rPr>
          <w:rFonts w:eastAsia="宋体" w:cs="Times New Roman"/>
          <w:szCs w:val="18"/>
        </w:rPr>
      </w:pPr>
      <w:r>
        <w:rPr>
          <w:rFonts w:eastAsia="宋体" w:cs="Times New Roman"/>
          <w:szCs w:val="18"/>
        </w:rPr>
        <w:t>(</w:t>
      </w:r>
      <w:r w:rsidR="00086CEF" w:rsidRPr="00A71D2E">
        <w:rPr>
          <w:rFonts w:eastAsia="宋体" w:cs="Times New Roman"/>
          <w:szCs w:val="18"/>
        </w:rPr>
        <w:t>1</w:t>
      </w:r>
      <w:r>
        <w:rPr>
          <w:rFonts w:eastAsia="宋体" w:cs="Times New Roman"/>
          <w:szCs w:val="18"/>
        </w:rPr>
        <w:t>)</w:t>
      </w:r>
      <w:r w:rsidR="00086CEF" w:rsidRPr="00A71D2E">
        <w:rPr>
          <w:rFonts w:eastAsia="宋体" w:cs="Times New Roman"/>
          <w:szCs w:val="18"/>
        </w:rPr>
        <w:tab/>
      </w:r>
      <w:r w:rsidR="00086CEF" w:rsidRPr="00A71D2E">
        <w:rPr>
          <w:rFonts w:eastAsia="宋体" w:cs="Times New Roman" w:hint="eastAsia"/>
          <w:szCs w:val="18"/>
        </w:rPr>
        <w:t>应收票据分类</w:t>
      </w:r>
    </w:p>
    <w:p w:rsidR="007D47F9" w:rsidRPr="00A71D2E" w:rsidRDefault="007D47F9" w:rsidP="00F66363">
      <w:pPr>
        <w:ind w:left="720"/>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2385"/>
        <w:gridCol w:w="2385"/>
      </w:tblGrid>
      <w:tr w:rsidR="00320FCC" w:rsidRPr="00A71D2E" w:rsidTr="0027505B">
        <w:trPr>
          <w:trHeight w:val="20"/>
        </w:trPr>
        <w:tc>
          <w:tcPr>
            <w:tcW w:w="4680" w:type="dxa"/>
            <w:shd w:val="clear" w:color="auto" w:fill="D9D9D9" w:themeFill="background1" w:themeFillShade="D9"/>
            <w:noWrap/>
            <w:vAlign w:val="center"/>
            <w:hideMark/>
          </w:tcPr>
          <w:p w:rsidR="00320FCC" w:rsidRPr="00A71D2E" w:rsidRDefault="00320FCC" w:rsidP="00F66363">
            <w:pPr>
              <w:jc w:val="center"/>
              <w:rPr>
                <w:rFonts w:eastAsia="宋体" w:cs="Times New Roman"/>
                <w:color w:val="000000"/>
                <w:sz w:val="18"/>
                <w:szCs w:val="18"/>
              </w:rPr>
            </w:pPr>
            <w:r w:rsidRPr="00A71D2E">
              <w:rPr>
                <w:rFonts w:eastAsia="宋体" w:cs="Times New Roman" w:hint="eastAsia"/>
                <w:color w:val="000000"/>
                <w:sz w:val="18"/>
                <w:szCs w:val="18"/>
              </w:rPr>
              <w:t>项目</w:t>
            </w:r>
          </w:p>
        </w:tc>
        <w:tc>
          <w:tcPr>
            <w:tcW w:w="2385" w:type="dxa"/>
            <w:shd w:val="clear" w:color="auto" w:fill="D9D9D9" w:themeFill="background1" w:themeFillShade="D9"/>
            <w:vAlign w:val="center"/>
          </w:tcPr>
          <w:p w:rsidR="00320FCC" w:rsidRPr="00A71D2E" w:rsidRDefault="006C0E11" w:rsidP="00F66363">
            <w:pPr>
              <w:jc w:val="center"/>
              <w:rPr>
                <w:rFonts w:eastAsia="宋体" w:cs="Times New Roman"/>
                <w:color w:val="000000"/>
                <w:sz w:val="18"/>
                <w:szCs w:val="18"/>
              </w:rPr>
            </w:pPr>
            <w:r w:rsidRPr="00A71D2E">
              <w:rPr>
                <w:rFonts w:eastAsia="宋体" w:cs="Times New Roman" w:hint="eastAsia"/>
                <w:color w:val="000000"/>
                <w:sz w:val="18"/>
                <w:szCs w:val="18"/>
              </w:rPr>
              <w:t>年末余额</w:t>
            </w:r>
          </w:p>
        </w:tc>
        <w:tc>
          <w:tcPr>
            <w:tcW w:w="2385" w:type="dxa"/>
            <w:shd w:val="clear" w:color="auto" w:fill="D9D9D9" w:themeFill="background1" w:themeFillShade="D9"/>
            <w:vAlign w:val="center"/>
          </w:tcPr>
          <w:p w:rsidR="00320FCC" w:rsidRPr="00A71D2E" w:rsidRDefault="006C0E11" w:rsidP="00F66363">
            <w:pPr>
              <w:jc w:val="center"/>
              <w:rPr>
                <w:rFonts w:eastAsia="宋体" w:cs="Times New Roman"/>
                <w:color w:val="000000"/>
                <w:sz w:val="18"/>
                <w:szCs w:val="18"/>
              </w:rPr>
            </w:pPr>
            <w:r w:rsidRPr="00A71D2E">
              <w:rPr>
                <w:rFonts w:eastAsia="宋体" w:cs="Times New Roman" w:hint="eastAsia"/>
                <w:color w:val="000000"/>
                <w:sz w:val="18"/>
                <w:szCs w:val="18"/>
              </w:rPr>
              <w:t>年初余额</w:t>
            </w:r>
          </w:p>
        </w:tc>
      </w:tr>
      <w:tr w:rsidR="00C364E0" w:rsidRPr="00A71D2E" w:rsidTr="0027505B">
        <w:trPr>
          <w:trHeight w:val="20"/>
        </w:trPr>
        <w:tc>
          <w:tcPr>
            <w:tcW w:w="4680" w:type="dxa"/>
            <w:shd w:val="clear" w:color="auto" w:fill="auto"/>
            <w:noWrap/>
            <w:vAlign w:val="center"/>
            <w:hideMark/>
          </w:tcPr>
          <w:p w:rsidR="00C364E0" w:rsidRPr="00A71D2E" w:rsidRDefault="00C364E0" w:rsidP="00C364E0">
            <w:pPr>
              <w:rPr>
                <w:rFonts w:eastAsia="宋体" w:cs="Times New Roman"/>
                <w:sz w:val="18"/>
                <w:szCs w:val="18"/>
              </w:rPr>
            </w:pPr>
            <w:r w:rsidRPr="00A71D2E">
              <w:rPr>
                <w:rFonts w:eastAsia="宋体" w:cs="Times New Roman" w:hint="eastAsia"/>
                <w:sz w:val="18"/>
                <w:szCs w:val="18"/>
              </w:rPr>
              <w:t>银行承兑汇票</w:t>
            </w:r>
          </w:p>
        </w:tc>
        <w:tc>
          <w:tcPr>
            <w:tcW w:w="2385" w:type="dxa"/>
            <w:vAlign w:val="center"/>
          </w:tcPr>
          <w:p w:rsidR="00C364E0" w:rsidRPr="00A71D2E" w:rsidRDefault="00627C16" w:rsidP="00C364E0">
            <w:pPr>
              <w:jc w:val="right"/>
              <w:rPr>
                <w:rFonts w:eastAsia="宋体" w:cs="Times New Roman"/>
                <w:sz w:val="18"/>
                <w:szCs w:val="18"/>
              </w:rPr>
            </w:pPr>
            <w:r w:rsidRPr="00627C16">
              <w:rPr>
                <w:rFonts w:eastAsia="宋体" w:cs="Times New Roman"/>
                <w:sz w:val="18"/>
                <w:szCs w:val="18"/>
              </w:rPr>
              <w:t>5,919,220.40</w:t>
            </w:r>
          </w:p>
        </w:tc>
        <w:tc>
          <w:tcPr>
            <w:tcW w:w="2385" w:type="dxa"/>
            <w:vAlign w:val="center"/>
          </w:tcPr>
          <w:p w:rsidR="00C364E0" w:rsidRPr="00A71D2E" w:rsidRDefault="00C364E0" w:rsidP="00C364E0">
            <w:pPr>
              <w:jc w:val="right"/>
              <w:rPr>
                <w:rFonts w:eastAsia="宋体" w:cs="Times New Roman"/>
                <w:sz w:val="18"/>
                <w:szCs w:val="18"/>
              </w:rPr>
            </w:pPr>
            <w:r w:rsidRPr="00554965">
              <w:rPr>
                <w:rFonts w:eastAsia="宋体" w:cs="Times New Roman"/>
                <w:sz w:val="18"/>
                <w:szCs w:val="18"/>
              </w:rPr>
              <w:t>209,587.60</w:t>
            </w:r>
          </w:p>
        </w:tc>
      </w:tr>
      <w:tr w:rsidR="00C364E0" w:rsidRPr="00A71D2E" w:rsidTr="0027505B">
        <w:trPr>
          <w:trHeight w:val="20"/>
        </w:trPr>
        <w:tc>
          <w:tcPr>
            <w:tcW w:w="4680" w:type="dxa"/>
            <w:shd w:val="clear" w:color="auto" w:fill="D9D9D9" w:themeFill="background1" w:themeFillShade="D9"/>
            <w:noWrap/>
            <w:vAlign w:val="center"/>
          </w:tcPr>
          <w:p w:rsidR="00C364E0" w:rsidRPr="00A71D2E" w:rsidRDefault="00C364E0" w:rsidP="00C364E0">
            <w:pPr>
              <w:rPr>
                <w:rFonts w:eastAsia="宋体" w:cs="Times New Roman"/>
                <w:sz w:val="18"/>
                <w:szCs w:val="18"/>
              </w:rPr>
            </w:pPr>
            <w:r w:rsidRPr="00A71D2E">
              <w:rPr>
                <w:rFonts w:eastAsia="宋体" w:cs="Times New Roman" w:hint="eastAsia"/>
                <w:sz w:val="18"/>
                <w:szCs w:val="18"/>
              </w:rPr>
              <w:t>合计</w:t>
            </w:r>
          </w:p>
        </w:tc>
        <w:tc>
          <w:tcPr>
            <w:tcW w:w="2385" w:type="dxa"/>
            <w:vAlign w:val="center"/>
          </w:tcPr>
          <w:p w:rsidR="00C364E0" w:rsidRPr="00A71D2E" w:rsidRDefault="00627C16" w:rsidP="00C364E0">
            <w:pPr>
              <w:jc w:val="right"/>
              <w:rPr>
                <w:rFonts w:eastAsia="宋体" w:cs="Times New Roman"/>
                <w:sz w:val="18"/>
                <w:szCs w:val="18"/>
              </w:rPr>
            </w:pPr>
            <w:r w:rsidRPr="00627C16">
              <w:rPr>
                <w:rFonts w:eastAsia="宋体" w:cs="Times New Roman"/>
                <w:sz w:val="18"/>
                <w:szCs w:val="18"/>
              </w:rPr>
              <w:t>5,919,220.40</w:t>
            </w:r>
          </w:p>
        </w:tc>
        <w:tc>
          <w:tcPr>
            <w:tcW w:w="2385" w:type="dxa"/>
            <w:vAlign w:val="center"/>
          </w:tcPr>
          <w:p w:rsidR="00C364E0" w:rsidRPr="00A71D2E" w:rsidRDefault="00C364E0" w:rsidP="00C364E0">
            <w:pPr>
              <w:jc w:val="right"/>
              <w:rPr>
                <w:rFonts w:eastAsia="宋体" w:cs="Times New Roman"/>
                <w:sz w:val="18"/>
                <w:szCs w:val="18"/>
              </w:rPr>
            </w:pPr>
            <w:r w:rsidRPr="00554965">
              <w:rPr>
                <w:rFonts w:eastAsia="宋体" w:cs="Times New Roman"/>
                <w:sz w:val="18"/>
                <w:szCs w:val="18"/>
              </w:rPr>
              <w:t>209,587.60</w:t>
            </w:r>
          </w:p>
        </w:tc>
      </w:tr>
    </w:tbl>
    <w:p w:rsidR="007D47F9" w:rsidRPr="00A71D2E" w:rsidRDefault="007D47F9" w:rsidP="00F66363">
      <w:pPr>
        <w:ind w:left="720"/>
        <w:rPr>
          <w:rFonts w:eastAsia="宋体" w:cs="Times New Roman"/>
          <w:szCs w:val="21"/>
        </w:rPr>
      </w:pPr>
    </w:p>
    <w:p w:rsidR="00507620" w:rsidRPr="00F171E0" w:rsidRDefault="005F14EE" w:rsidP="00F66363">
      <w:pPr>
        <w:ind w:left="720"/>
        <w:jc w:val="both"/>
        <w:rPr>
          <w:rFonts w:eastAsia="宋体" w:cs="Times New Roman"/>
          <w:szCs w:val="21"/>
        </w:rPr>
      </w:pPr>
      <w:r>
        <w:rPr>
          <w:rFonts w:eastAsia="宋体" w:cs="Times New Roman"/>
          <w:szCs w:val="21"/>
        </w:rPr>
        <w:t>(</w:t>
      </w:r>
      <w:r w:rsidR="00D63755" w:rsidRPr="00F171E0">
        <w:rPr>
          <w:rFonts w:eastAsia="宋体" w:cs="Times New Roman"/>
          <w:szCs w:val="21"/>
        </w:rPr>
        <w:t>2</w:t>
      </w:r>
      <w:r>
        <w:rPr>
          <w:rFonts w:eastAsia="宋体" w:cs="Times New Roman"/>
          <w:szCs w:val="21"/>
        </w:rPr>
        <w:t>)</w:t>
      </w:r>
      <w:r w:rsidR="00D63755" w:rsidRPr="00F171E0">
        <w:rPr>
          <w:rFonts w:eastAsia="宋体" w:cs="Times New Roman"/>
          <w:szCs w:val="21"/>
        </w:rPr>
        <w:tab/>
      </w:r>
      <w:r w:rsidR="00507620" w:rsidRPr="00F171E0">
        <w:rPr>
          <w:rFonts w:eastAsia="宋体" w:cs="Times New Roman" w:hint="eastAsia"/>
          <w:szCs w:val="21"/>
        </w:rPr>
        <w:t>本年末，本集团无已质押的应收票据。</w:t>
      </w:r>
      <w:r w:rsidR="00507620" w:rsidRPr="00F171E0">
        <w:rPr>
          <w:rFonts w:eastAsia="宋体" w:cs="Times New Roman"/>
          <w:szCs w:val="21"/>
        </w:rPr>
        <w:cr/>
      </w:r>
    </w:p>
    <w:p w:rsidR="00EF6710" w:rsidRPr="00F171E0" w:rsidRDefault="005F14EE" w:rsidP="00F66363">
      <w:pPr>
        <w:ind w:left="1440" w:hanging="720"/>
        <w:jc w:val="both"/>
        <w:rPr>
          <w:rFonts w:eastAsia="宋体" w:cs="Times New Roman"/>
          <w:szCs w:val="21"/>
        </w:rPr>
      </w:pPr>
      <w:r>
        <w:rPr>
          <w:rFonts w:eastAsia="宋体" w:cs="Times New Roman"/>
          <w:szCs w:val="21"/>
        </w:rPr>
        <w:t>(</w:t>
      </w:r>
      <w:r w:rsidR="00870E29" w:rsidRPr="00F171E0">
        <w:rPr>
          <w:rFonts w:eastAsia="宋体" w:cs="Times New Roman"/>
          <w:szCs w:val="21"/>
        </w:rPr>
        <w:t>3</w:t>
      </w:r>
      <w:r>
        <w:rPr>
          <w:rFonts w:eastAsia="宋体" w:cs="Times New Roman"/>
          <w:szCs w:val="21"/>
        </w:rPr>
        <w:t>)</w:t>
      </w:r>
      <w:r w:rsidR="00870E29" w:rsidRPr="00F171E0">
        <w:rPr>
          <w:rFonts w:eastAsia="宋体" w:cs="Times New Roman"/>
          <w:szCs w:val="21"/>
        </w:rPr>
        <w:tab/>
      </w:r>
      <w:r w:rsidR="000429E6" w:rsidRPr="00F171E0">
        <w:rPr>
          <w:rFonts w:eastAsia="宋体" w:cs="Times New Roman" w:hint="eastAsia"/>
          <w:szCs w:val="21"/>
        </w:rPr>
        <w:t>本年末，</w:t>
      </w:r>
      <w:r w:rsidR="00A23B03" w:rsidRPr="00F171E0">
        <w:rPr>
          <w:rFonts w:eastAsia="宋体" w:cs="Times New Roman" w:hint="eastAsia"/>
          <w:szCs w:val="21"/>
        </w:rPr>
        <w:t>本集团</w:t>
      </w:r>
      <w:r w:rsidR="00D36644" w:rsidRPr="00F171E0">
        <w:rPr>
          <w:rFonts w:eastAsia="宋体" w:cs="Times New Roman" w:hint="eastAsia"/>
          <w:szCs w:val="21"/>
        </w:rPr>
        <w:t>无</w:t>
      </w:r>
      <w:r w:rsidR="00843F40" w:rsidRPr="00F171E0">
        <w:rPr>
          <w:rFonts w:eastAsia="宋体" w:cs="Times New Roman" w:hint="eastAsia"/>
          <w:szCs w:val="21"/>
        </w:rPr>
        <w:t>已背书</w:t>
      </w:r>
      <w:r w:rsidR="005B3C3C" w:rsidRPr="00F171E0">
        <w:rPr>
          <w:rFonts w:eastAsia="宋体" w:cs="Times New Roman" w:hint="eastAsia"/>
          <w:szCs w:val="21"/>
        </w:rPr>
        <w:t>或贴现</w:t>
      </w:r>
      <w:r w:rsidR="00843F40" w:rsidRPr="00F171E0">
        <w:rPr>
          <w:rFonts w:eastAsia="宋体" w:cs="Times New Roman" w:hint="eastAsia"/>
          <w:szCs w:val="21"/>
        </w:rPr>
        <w:t>且在资产负债表日尚未到期的应收票据</w:t>
      </w:r>
      <w:r w:rsidR="002D4713" w:rsidRPr="00F171E0">
        <w:rPr>
          <w:rFonts w:eastAsia="宋体" w:cs="Times New Roman" w:hint="eastAsia"/>
          <w:szCs w:val="21"/>
        </w:rPr>
        <w:t>。</w:t>
      </w:r>
    </w:p>
    <w:p w:rsidR="003849BE" w:rsidRPr="00A71D2E" w:rsidRDefault="003849BE" w:rsidP="0027505B">
      <w:pPr>
        <w:ind w:left="720"/>
        <w:jc w:val="both"/>
        <w:rPr>
          <w:rFonts w:eastAsia="宋体" w:cs="Times New Roman"/>
          <w:szCs w:val="21"/>
        </w:rPr>
      </w:pPr>
    </w:p>
    <w:p w:rsidR="007D47F9" w:rsidRPr="00A71D2E" w:rsidRDefault="005F14EE" w:rsidP="00F66363">
      <w:pPr>
        <w:ind w:left="1436" w:hanging="716"/>
        <w:jc w:val="both"/>
        <w:rPr>
          <w:rFonts w:eastAsia="宋体" w:cs="Times New Roman"/>
          <w:szCs w:val="21"/>
        </w:rPr>
      </w:pPr>
      <w:r>
        <w:rPr>
          <w:rFonts w:eastAsia="宋体" w:cs="Times New Roman"/>
          <w:szCs w:val="21"/>
        </w:rPr>
        <w:t>(</w:t>
      </w:r>
      <w:r w:rsidR="00F171E0">
        <w:rPr>
          <w:rFonts w:eastAsia="宋体" w:cs="Times New Roman"/>
          <w:szCs w:val="21"/>
        </w:rPr>
        <w:t>4</w:t>
      </w:r>
      <w:r>
        <w:rPr>
          <w:rFonts w:eastAsia="宋体" w:cs="Times New Roman"/>
          <w:szCs w:val="21"/>
        </w:rPr>
        <w:t>)</w:t>
      </w:r>
      <w:r w:rsidR="003849BE" w:rsidRPr="00A71D2E">
        <w:rPr>
          <w:rFonts w:eastAsia="宋体" w:cs="Times New Roman"/>
          <w:szCs w:val="21"/>
        </w:rPr>
        <w:tab/>
      </w:r>
      <w:r w:rsidR="007D47F9" w:rsidRPr="00A71D2E">
        <w:rPr>
          <w:rFonts w:eastAsia="宋体" w:cs="Times New Roman" w:hint="eastAsia"/>
          <w:szCs w:val="21"/>
        </w:rPr>
        <w:t>本集团认为</w:t>
      </w:r>
      <w:r w:rsidR="007578CA" w:rsidRPr="00A71D2E">
        <w:rPr>
          <w:rFonts w:eastAsia="宋体" w:cs="Times New Roman" w:hint="eastAsia"/>
          <w:szCs w:val="21"/>
        </w:rPr>
        <w:t>，</w:t>
      </w:r>
      <w:r w:rsidR="007578CA" w:rsidRPr="00F66363">
        <w:rPr>
          <w:rFonts w:eastAsia="宋体" w:cs="Times New Roman" w:hint="eastAsia"/>
        </w:rPr>
        <w:t>除因出票人未履约而将其转入应收账款的票据外，</w:t>
      </w:r>
      <w:r w:rsidR="004B750E" w:rsidRPr="00F66363">
        <w:rPr>
          <w:rFonts w:eastAsia="宋体" w:cs="Times New Roman" w:hint="eastAsia"/>
        </w:rPr>
        <w:t>其所持有的</w:t>
      </w:r>
      <w:r w:rsidR="004B750E" w:rsidRPr="00A71D2E">
        <w:rPr>
          <w:rFonts w:eastAsia="宋体" w:cs="Times New Roman" w:hint="eastAsia"/>
          <w:szCs w:val="21"/>
        </w:rPr>
        <w:t>银行承兑汇票的承兑银行</w:t>
      </w:r>
      <w:r w:rsidR="007D47F9" w:rsidRPr="00A71D2E">
        <w:rPr>
          <w:rFonts w:eastAsia="宋体" w:cs="Times New Roman" w:hint="eastAsia"/>
          <w:szCs w:val="21"/>
        </w:rPr>
        <w:t>信用评级较高，不存在重大的信用风险，因此未计提</w:t>
      </w:r>
      <w:r w:rsidR="00320B90">
        <w:rPr>
          <w:rFonts w:eastAsia="宋体" w:cs="Times New Roman" w:hint="eastAsia"/>
          <w:szCs w:val="21"/>
        </w:rPr>
        <w:t>坏账</w:t>
      </w:r>
      <w:r w:rsidR="007D47F9" w:rsidRPr="00A71D2E">
        <w:rPr>
          <w:rFonts w:eastAsia="宋体" w:cs="Times New Roman" w:hint="eastAsia"/>
          <w:szCs w:val="21"/>
        </w:rPr>
        <w:t>准备。</w:t>
      </w:r>
    </w:p>
    <w:p w:rsidR="00D83859" w:rsidRDefault="00D83859">
      <w:pPr>
        <w:adjustRightInd/>
        <w:snapToGrid/>
        <w:rPr>
          <w:rFonts w:eastAsia="宋体" w:cs="Times New Roman"/>
          <w:szCs w:val="21"/>
        </w:rPr>
      </w:pPr>
      <w:r>
        <w:rPr>
          <w:rFonts w:eastAsia="宋体" w:cs="Times New Roman"/>
          <w:szCs w:val="21"/>
        </w:rPr>
        <w:br w:type="page"/>
      </w:r>
    </w:p>
    <w:p w:rsidR="00E40247" w:rsidRPr="00A71D2E" w:rsidRDefault="005F14EE" w:rsidP="00E40247">
      <w:pPr>
        <w:rPr>
          <w:rFonts w:eastAsia="宋体" w:cs="Times New Roman"/>
          <w:szCs w:val="21"/>
        </w:rPr>
      </w:pPr>
      <w:r>
        <w:rPr>
          <w:rFonts w:eastAsia="宋体" w:cs="Times New Roman"/>
          <w:b/>
          <w:szCs w:val="21"/>
        </w:rPr>
        <w:t>(</w:t>
      </w:r>
      <w:r w:rsidR="00E40247" w:rsidRPr="00A71D2E">
        <w:rPr>
          <w:rFonts w:eastAsia="宋体" w:cs="Times New Roman" w:hint="eastAsia"/>
          <w:b/>
          <w:szCs w:val="21"/>
        </w:rPr>
        <w:t>五</w:t>
      </w:r>
      <w:r>
        <w:rPr>
          <w:rFonts w:eastAsia="宋体" w:cs="Times New Roman"/>
          <w:b/>
          <w:szCs w:val="21"/>
        </w:rPr>
        <w:t>)</w:t>
      </w:r>
      <w:r w:rsidR="00E40247" w:rsidRPr="00A71D2E">
        <w:rPr>
          <w:rFonts w:eastAsia="宋体" w:cs="Times New Roman"/>
          <w:b/>
          <w:szCs w:val="21"/>
        </w:rPr>
        <w:tab/>
      </w:r>
      <w:r w:rsidR="00E40247" w:rsidRPr="00A71D2E">
        <w:rPr>
          <w:rFonts w:eastAsia="宋体" w:cs="Times New Roman" w:hint="eastAsia"/>
          <w:b/>
          <w:szCs w:val="21"/>
        </w:rPr>
        <w:t>合并财务报表项目注释</w:t>
      </w:r>
      <w:r w:rsidR="00E40247" w:rsidRPr="00A71D2E">
        <w:rPr>
          <w:rFonts w:eastAsia="宋体" w:cs="Times New Roman"/>
          <w:szCs w:val="21"/>
        </w:rPr>
        <w:t xml:space="preserve"> - </w:t>
      </w:r>
      <w:r w:rsidR="00E40247" w:rsidRPr="00A71D2E">
        <w:rPr>
          <w:rFonts w:eastAsia="宋体" w:cs="Times New Roman" w:hint="eastAsia"/>
          <w:szCs w:val="21"/>
        </w:rPr>
        <w:t>续</w:t>
      </w:r>
    </w:p>
    <w:p w:rsidR="007D47F9" w:rsidRPr="00E40247" w:rsidRDefault="007D47F9" w:rsidP="00F66363">
      <w:pPr>
        <w:ind w:left="720"/>
        <w:jc w:val="both"/>
        <w:rPr>
          <w:rFonts w:eastAsia="宋体" w:cs="Times New Roman"/>
          <w:szCs w:val="21"/>
        </w:rPr>
      </w:pPr>
    </w:p>
    <w:p w:rsidR="007D47F9" w:rsidRPr="00A71D2E" w:rsidRDefault="007D47F9" w:rsidP="00F66363">
      <w:pPr>
        <w:pStyle w:val="2"/>
        <w:numPr>
          <w:ilvl w:val="2"/>
          <w:numId w:val="1"/>
        </w:numPr>
        <w:adjustRightInd w:val="0"/>
        <w:snapToGrid w:val="0"/>
        <w:ind w:left="1440" w:hanging="720"/>
        <w:contextualSpacing w:val="0"/>
        <w:jc w:val="both"/>
        <w:rPr>
          <w:rFonts w:ascii="Times New Roman" w:eastAsia="宋体" w:hAnsi="Times New Roman" w:cs="Times New Roman"/>
          <w:b w:val="0"/>
        </w:rPr>
      </w:pPr>
      <w:r w:rsidRPr="00A71D2E">
        <w:rPr>
          <w:rFonts w:ascii="Times New Roman" w:eastAsia="宋体" w:hAnsi="Times New Roman" w:cs="Times New Roman" w:hint="eastAsia"/>
        </w:rPr>
        <w:t>应收账款</w:t>
      </w:r>
    </w:p>
    <w:p w:rsidR="007D47F9" w:rsidRPr="00A71D2E" w:rsidRDefault="007D47F9" w:rsidP="00F66363">
      <w:pPr>
        <w:ind w:left="720"/>
        <w:rPr>
          <w:rFonts w:eastAsia="宋体" w:cs="Times New Roman"/>
          <w:szCs w:val="21"/>
        </w:rPr>
      </w:pPr>
    </w:p>
    <w:p w:rsidR="007D47F9" w:rsidRPr="00A71D2E" w:rsidRDefault="007D47F9" w:rsidP="00F66363">
      <w:pPr>
        <w:pStyle w:val="aff1"/>
        <w:numPr>
          <w:ilvl w:val="0"/>
          <w:numId w:val="7"/>
        </w:numPr>
        <w:ind w:left="1440" w:firstLineChars="0" w:hanging="720"/>
        <w:rPr>
          <w:szCs w:val="21"/>
        </w:rPr>
      </w:pPr>
      <w:proofErr w:type="gramStart"/>
      <w:r w:rsidRPr="00A71D2E">
        <w:rPr>
          <w:rFonts w:hint="eastAsia"/>
          <w:szCs w:val="21"/>
        </w:rPr>
        <w:t>按账龄</w:t>
      </w:r>
      <w:proofErr w:type="gramEnd"/>
      <w:r w:rsidRPr="00A71D2E">
        <w:rPr>
          <w:rFonts w:hint="eastAsia"/>
          <w:szCs w:val="21"/>
        </w:rPr>
        <w:t>披露</w:t>
      </w:r>
    </w:p>
    <w:p w:rsidR="007D47F9" w:rsidRPr="00A71D2E" w:rsidRDefault="007D47F9" w:rsidP="00F66363">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33"/>
        <w:gridCol w:w="1858"/>
        <w:gridCol w:w="1859"/>
      </w:tblGrid>
      <w:tr w:rsidR="00303A0B" w:rsidRPr="00A71D2E" w:rsidTr="0027505B">
        <w:trPr>
          <w:trHeight w:val="20"/>
        </w:trPr>
        <w:tc>
          <w:tcPr>
            <w:tcW w:w="5733" w:type="dxa"/>
            <w:shd w:val="clear" w:color="auto" w:fill="D9D9D9" w:themeFill="background1" w:themeFillShade="D9"/>
            <w:vAlign w:val="center"/>
          </w:tcPr>
          <w:p w:rsidR="00303A0B" w:rsidRPr="00A71D2E" w:rsidRDefault="00303A0B" w:rsidP="00F66363">
            <w:pPr>
              <w:jc w:val="center"/>
              <w:rPr>
                <w:rFonts w:eastAsia="宋体" w:cs="Times New Roman"/>
                <w:sz w:val="18"/>
                <w:szCs w:val="18"/>
              </w:rPr>
            </w:pPr>
            <w:r w:rsidRPr="00A71D2E">
              <w:rPr>
                <w:rFonts w:eastAsia="宋体" w:cs="Times New Roman" w:hint="eastAsia"/>
                <w:sz w:val="18"/>
                <w:szCs w:val="18"/>
              </w:rPr>
              <w:t>账龄</w:t>
            </w:r>
          </w:p>
        </w:tc>
        <w:tc>
          <w:tcPr>
            <w:tcW w:w="1858" w:type="dxa"/>
            <w:shd w:val="clear" w:color="auto" w:fill="D9D9D9" w:themeFill="background1" w:themeFillShade="D9"/>
            <w:vAlign w:val="center"/>
          </w:tcPr>
          <w:p w:rsidR="00303A0B" w:rsidRPr="00A71D2E" w:rsidRDefault="00303A0B" w:rsidP="00F66363">
            <w:pPr>
              <w:jc w:val="center"/>
              <w:rPr>
                <w:rFonts w:eastAsia="宋体" w:cs="Times New Roman"/>
                <w:sz w:val="18"/>
                <w:szCs w:val="18"/>
              </w:rPr>
            </w:pPr>
            <w:r w:rsidRPr="00A71D2E">
              <w:rPr>
                <w:rFonts w:eastAsia="宋体" w:cs="Times New Roman" w:hint="eastAsia"/>
                <w:color w:val="000000"/>
                <w:sz w:val="18"/>
                <w:szCs w:val="18"/>
              </w:rPr>
              <w:t>年末余额</w:t>
            </w:r>
          </w:p>
        </w:tc>
        <w:tc>
          <w:tcPr>
            <w:tcW w:w="1859" w:type="dxa"/>
            <w:shd w:val="clear" w:color="auto" w:fill="D9D9D9" w:themeFill="background1" w:themeFillShade="D9"/>
            <w:vAlign w:val="center"/>
          </w:tcPr>
          <w:p w:rsidR="00303A0B" w:rsidRPr="00A71D2E" w:rsidRDefault="00303A0B" w:rsidP="00F66363">
            <w:pPr>
              <w:jc w:val="center"/>
              <w:rPr>
                <w:rFonts w:eastAsia="宋体" w:cs="Times New Roman"/>
                <w:sz w:val="18"/>
                <w:szCs w:val="18"/>
              </w:rPr>
            </w:pPr>
            <w:r w:rsidRPr="00A71D2E">
              <w:rPr>
                <w:rFonts w:eastAsia="宋体" w:cs="Times New Roman" w:hint="eastAsia"/>
                <w:color w:val="000000"/>
                <w:sz w:val="18"/>
                <w:szCs w:val="18"/>
              </w:rPr>
              <w:t>年初余额</w:t>
            </w:r>
          </w:p>
        </w:tc>
      </w:tr>
      <w:tr w:rsidR="00DA32EA" w:rsidRPr="00A71D2E" w:rsidTr="0027505B">
        <w:trPr>
          <w:trHeight w:val="20"/>
        </w:trPr>
        <w:tc>
          <w:tcPr>
            <w:tcW w:w="5733" w:type="dxa"/>
            <w:shd w:val="clear" w:color="auto" w:fill="FFFFFF" w:themeFill="background1"/>
            <w:vAlign w:val="center"/>
          </w:tcPr>
          <w:p w:rsidR="00DA32EA" w:rsidRPr="00A71D2E" w:rsidRDefault="00DA32EA" w:rsidP="00DA32EA">
            <w:pPr>
              <w:rPr>
                <w:rFonts w:eastAsia="宋体" w:cs="Times New Roman"/>
                <w:sz w:val="18"/>
                <w:szCs w:val="18"/>
              </w:rPr>
            </w:pPr>
            <w:r w:rsidRPr="00A71D2E">
              <w:rPr>
                <w:rFonts w:eastAsia="宋体" w:cs="Times New Roman" w:hint="eastAsia"/>
                <w:sz w:val="18"/>
                <w:szCs w:val="18"/>
              </w:rPr>
              <w:t>信用期内</w:t>
            </w:r>
          </w:p>
        </w:tc>
        <w:tc>
          <w:tcPr>
            <w:tcW w:w="1858"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817,051,499.40</w:t>
            </w:r>
          </w:p>
        </w:tc>
        <w:tc>
          <w:tcPr>
            <w:tcW w:w="1859"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697,342,770.92</w:t>
            </w:r>
          </w:p>
        </w:tc>
      </w:tr>
      <w:tr w:rsidR="00DA32EA" w:rsidRPr="00A71D2E" w:rsidTr="0027505B">
        <w:trPr>
          <w:trHeight w:val="20"/>
        </w:trPr>
        <w:tc>
          <w:tcPr>
            <w:tcW w:w="5733" w:type="dxa"/>
            <w:shd w:val="clear" w:color="auto" w:fill="FFFFFF" w:themeFill="background1"/>
            <w:vAlign w:val="center"/>
          </w:tcPr>
          <w:p w:rsidR="00DA32EA" w:rsidRPr="00A71D2E" w:rsidRDefault="00AB789E" w:rsidP="00DA32EA">
            <w:pPr>
              <w:rPr>
                <w:rFonts w:eastAsia="宋体" w:cs="Times New Roman"/>
                <w:sz w:val="18"/>
                <w:szCs w:val="18"/>
              </w:rPr>
            </w:pPr>
            <w:r>
              <w:rPr>
                <w:rFonts w:eastAsia="宋体" w:cs="Times New Roman" w:hint="eastAsia"/>
                <w:sz w:val="18"/>
                <w:szCs w:val="18"/>
              </w:rPr>
              <w:t>超信用期</w:t>
            </w:r>
            <w:r w:rsidR="003723F6" w:rsidRPr="003723F6">
              <w:rPr>
                <w:rFonts w:eastAsia="宋体" w:cs="Times New Roman" w:hint="eastAsia"/>
                <w:sz w:val="18"/>
                <w:szCs w:val="18"/>
              </w:rPr>
              <w:t>1</w:t>
            </w:r>
            <w:r w:rsidR="003723F6" w:rsidRPr="003723F6">
              <w:rPr>
                <w:rFonts w:eastAsia="宋体" w:cs="Times New Roman" w:hint="eastAsia"/>
                <w:sz w:val="18"/>
                <w:szCs w:val="18"/>
              </w:rPr>
              <w:t>年以内</w:t>
            </w:r>
          </w:p>
        </w:tc>
        <w:tc>
          <w:tcPr>
            <w:tcW w:w="1858"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48,795,504.53</w:t>
            </w:r>
          </w:p>
        </w:tc>
        <w:tc>
          <w:tcPr>
            <w:tcW w:w="1859"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23,098,856.49</w:t>
            </w:r>
          </w:p>
        </w:tc>
      </w:tr>
      <w:tr w:rsidR="00DA32EA" w:rsidRPr="00A71D2E" w:rsidTr="0027505B">
        <w:trPr>
          <w:trHeight w:val="20"/>
        </w:trPr>
        <w:tc>
          <w:tcPr>
            <w:tcW w:w="5733" w:type="dxa"/>
            <w:shd w:val="clear" w:color="auto" w:fill="FFFFFF" w:themeFill="background1"/>
            <w:vAlign w:val="center"/>
          </w:tcPr>
          <w:p w:rsidR="00DA32EA" w:rsidRPr="00A71D2E" w:rsidRDefault="00AB789E" w:rsidP="00DA32EA">
            <w:pPr>
              <w:rPr>
                <w:rFonts w:eastAsia="宋体" w:cs="Times New Roman"/>
                <w:sz w:val="18"/>
                <w:szCs w:val="18"/>
              </w:rPr>
            </w:pPr>
            <w:r>
              <w:rPr>
                <w:rFonts w:eastAsia="宋体" w:cs="Times New Roman" w:hint="eastAsia"/>
                <w:sz w:val="18"/>
                <w:szCs w:val="18"/>
              </w:rPr>
              <w:t>超信用期</w:t>
            </w:r>
            <w:r w:rsidR="003723F6" w:rsidRPr="003723F6">
              <w:rPr>
                <w:rFonts w:eastAsia="宋体" w:cs="Times New Roman" w:hint="eastAsia"/>
                <w:sz w:val="18"/>
                <w:szCs w:val="18"/>
              </w:rPr>
              <w:t>1</w:t>
            </w:r>
            <w:r w:rsidR="003723F6" w:rsidRPr="003723F6">
              <w:rPr>
                <w:rFonts w:eastAsia="宋体" w:cs="Times New Roman" w:hint="eastAsia"/>
                <w:sz w:val="18"/>
                <w:szCs w:val="18"/>
              </w:rPr>
              <w:t>年至</w:t>
            </w:r>
            <w:r w:rsidR="003723F6" w:rsidRPr="003723F6">
              <w:rPr>
                <w:rFonts w:eastAsia="宋体" w:cs="Times New Roman" w:hint="eastAsia"/>
                <w:sz w:val="18"/>
                <w:szCs w:val="18"/>
              </w:rPr>
              <w:t>2</w:t>
            </w:r>
            <w:r w:rsidR="003723F6" w:rsidRPr="003723F6">
              <w:rPr>
                <w:rFonts w:eastAsia="宋体" w:cs="Times New Roman" w:hint="eastAsia"/>
                <w:sz w:val="18"/>
                <w:szCs w:val="18"/>
              </w:rPr>
              <w:t>年</w:t>
            </w:r>
          </w:p>
        </w:tc>
        <w:tc>
          <w:tcPr>
            <w:tcW w:w="1858"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3,343,835.41</w:t>
            </w:r>
          </w:p>
        </w:tc>
        <w:tc>
          <w:tcPr>
            <w:tcW w:w="1859"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2,622,950.60</w:t>
            </w:r>
          </w:p>
        </w:tc>
      </w:tr>
      <w:tr w:rsidR="00DA32EA" w:rsidRPr="00A71D2E" w:rsidTr="0027505B">
        <w:trPr>
          <w:trHeight w:val="20"/>
        </w:trPr>
        <w:tc>
          <w:tcPr>
            <w:tcW w:w="5733" w:type="dxa"/>
            <w:shd w:val="clear" w:color="auto" w:fill="FFFFFF" w:themeFill="background1"/>
            <w:vAlign w:val="center"/>
          </w:tcPr>
          <w:p w:rsidR="00DA32EA" w:rsidRPr="00A71D2E" w:rsidRDefault="00AB789E" w:rsidP="00DA32EA">
            <w:pPr>
              <w:rPr>
                <w:rFonts w:eastAsia="宋体" w:cs="Times New Roman"/>
                <w:sz w:val="18"/>
                <w:szCs w:val="18"/>
              </w:rPr>
            </w:pPr>
            <w:r>
              <w:rPr>
                <w:rFonts w:eastAsia="宋体" w:cs="Times New Roman" w:hint="eastAsia"/>
                <w:sz w:val="18"/>
                <w:szCs w:val="18"/>
              </w:rPr>
              <w:t>超信用期</w:t>
            </w:r>
            <w:r w:rsidR="003723F6" w:rsidRPr="003723F6">
              <w:rPr>
                <w:rFonts w:eastAsia="宋体" w:cs="Times New Roman" w:hint="eastAsia"/>
                <w:sz w:val="18"/>
                <w:szCs w:val="18"/>
              </w:rPr>
              <w:t>2</w:t>
            </w:r>
            <w:r w:rsidR="003723F6" w:rsidRPr="003723F6">
              <w:rPr>
                <w:rFonts w:eastAsia="宋体" w:cs="Times New Roman" w:hint="eastAsia"/>
                <w:sz w:val="18"/>
                <w:szCs w:val="18"/>
              </w:rPr>
              <w:t>年至</w:t>
            </w:r>
            <w:r w:rsidR="003723F6" w:rsidRPr="003723F6">
              <w:rPr>
                <w:rFonts w:eastAsia="宋体" w:cs="Times New Roman" w:hint="eastAsia"/>
                <w:sz w:val="18"/>
                <w:szCs w:val="18"/>
              </w:rPr>
              <w:t>3</w:t>
            </w:r>
            <w:r w:rsidR="003723F6" w:rsidRPr="003723F6">
              <w:rPr>
                <w:rFonts w:eastAsia="宋体" w:cs="Times New Roman" w:hint="eastAsia"/>
                <w:sz w:val="18"/>
                <w:szCs w:val="18"/>
              </w:rPr>
              <w:t>年</w:t>
            </w:r>
          </w:p>
        </w:tc>
        <w:tc>
          <w:tcPr>
            <w:tcW w:w="1858"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1,523,503.52</w:t>
            </w:r>
          </w:p>
        </w:tc>
        <w:tc>
          <w:tcPr>
            <w:tcW w:w="1859"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507,051.59</w:t>
            </w:r>
          </w:p>
        </w:tc>
      </w:tr>
      <w:tr w:rsidR="00DA32EA" w:rsidRPr="00A71D2E" w:rsidTr="0027505B">
        <w:trPr>
          <w:trHeight w:val="20"/>
        </w:trPr>
        <w:tc>
          <w:tcPr>
            <w:tcW w:w="5733" w:type="dxa"/>
            <w:shd w:val="clear" w:color="auto" w:fill="FFFFFF" w:themeFill="background1"/>
            <w:vAlign w:val="center"/>
          </w:tcPr>
          <w:p w:rsidR="00DA32EA" w:rsidRPr="00A71D2E" w:rsidRDefault="00AB789E" w:rsidP="00DA32EA">
            <w:pPr>
              <w:rPr>
                <w:rFonts w:eastAsia="宋体" w:cs="Times New Roman"/>
                <w:sz w:val="18"/>
                <w:szCs w:val="18"/>
              </w:rPr>
            </w:pPr>
            <w:r>
              <w:rPr>
                <w:rFonts w:eastAsia="宋体" w:cs="Times New Roman" w:hint="eastAsia"/>
                <w:sz w:val="18"/>
                <w:szCs w:val="18"/>
              </w:rPr>
              <w:t>超信用期</w:t>
            </w:r>
            <w:r w:rsidR="003723F6" w:rsidRPr="003723F6">
              <w:rPr>
                <w:rFonts w:eastAsia="宋体" w:cs="Times New Roman" w:hint="eastAsia"/>
                <w:sz w:val="18"/>
                <w:szCs w:val="18"/>
              </w:rPr>
              <w:t>3</w:t>
            </w:r>
            <w:r w:rsidR="003723F6" w:rsidRPr="003723F6">
              <w:rPr>
                <w:rFonts w:eastAsia="宋体" w:cs="Times New Roman" w:hint="eastAsia"/>
                <w:sz w:val="18"/>
                <w:szCs w:val="18"/>
              </w:rPr>
              <w:t>年以上</w:t>
            </w:r>
          </w:p>
        </w:tc>
        <w:tc>
          <w:tcPr>
            <w:tcW w:w="1858"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24,639,642.84</w:t>
            </w:r>
          </w:p>
        </w:tc>
        <w:tc>
          <w:tcPr>
            <w:tcW w:w="1859"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24,686,711.66</w:t>
            </w:r>
          </w:p>
        </w:tc>
      </w:tr>
      <w:tr w:rsidR="00DA32EA" w:rsidRPr="00A71D2E" w:rsidTr="0027505B">
        <w:trPr>
          <w:trHeight w:val="20"/>
        </w:trPr>
        <w:tc>
          <w:tcPr>
            <w:tcW w:w="5733" w:type="dxa"/>
            <w:shd w:val="clear" w:color="auto" w:fill="FFFFFF" w:themeFill="background1"/>
            <w:vAlign w:val="center"/>
          </w:tcPr>
          <w:p w:rsidR="00DA32EA" w:rsidRPr="00A71D2E" w:rsidRDefault="00DA32EA" w:rsidP="00DA32EA">
            <w:pPr>
              <w:rPr>
                <w:rFonts w:eastAsia="宋体" w:cs="Times New Roman"/>
                <w:sz w:val="18"/>
                <w:szCs w:val="18"/>
              </w:rPr>
            </w:pPr>
            <w:r w:rsidRPr="00A71D2E">
              <w:rPr>
                <w:rFonts w:eastAsia="宋体" w:cs="Times New Roman" w:hint="eastAsia"/>
                <w:sz w:val="18"/>
                <w:szCs w:val="18"/>
              </w:rPr>
              <w:t>应收账款</w:t>
            </w:r>
          </w:p>
        </w:tc>
        <w:tc>
          <w:tcPr>
            <w:tcW w:w="1858"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895,353,985.70</w:t>
            </w:r>
          </w:p>
        </w:tc>
        <w:tc>
          <w:tcPr>
            <w:tcW w:w="1859"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748,258,341.26</w:t>
            </w:r>
          </w:p>
        </w:tc>
      </w:tr>
      <w:tr w:rsidR="00DA32EA" w:rsidRPr="00A71D2E" w:rsidTr="0027505B">
        <w:trPr>
          <w:trHeight w:val="20"/>
        </w:trPr>
        <w:tc>
          <w:tcPr>
            <w:tcW w:w="5733" w:type="dxa"/>
            <w:shd w:val="clear" w:color="auto" w:fill="FFFFFF" w:themeFill="background1"/>
            <w:vAlign w:val="center"/>
          </w:tcPr>
          <w:p w:rsidR="00DA32EA" w:rsidRPr="00A71D2E" w:rsidRDefault="00DA32EA" w:rsidP="00DA32EA">
            <w:pPr>
              <w:rPr>
                <w:rFonts w:eastAsia="宋体" w:cs="Times New Roman"/>
                <w:sz w:val="18"/>
                <w:szCs w:val="18"/>
              </w:rPr>
            </w:pPr>
            <w:r w:rsidRPr="00A71D2E">
              <w:rPr>
                <w:rFonts w:eastAsia="宋体" w:cs="Times New Roman" w:hint="eastAsia"/>
                <w:sz w:val="18"/>
                <w:szCs w:val="18"/>
              </w:rPr>
              <w:t>减</w:t>
            </w:r>
            <w:r w:rsidR="005F14EE">
              <w:rPr>
                <w:rFonts w:eastAsia="宋体" w:cs="Times New Roman" w:hint="eastAsia"/>
                <w:sz w:val="18"/>
                <w:szCs w:val="18"/>
              </w:rPr>
              <w:t>：</w:t>
            </w:r>
            <w:r w:rsidR="00DD00C0">
              <w:rPr>
                <w:rFonts w:eastAsia="宋体" w:cs="Times New Roman" w:hint="eastAsia"/>
                <w:sz w:val="18"/>
                <w:szCs w:val="18"/>
              </w:rPr>
              <w:t>坏账</w:t>
            </w:r>
            <w:r w:rsidRPr="00A71D2E">
              <w:rPr>
                <w:rFonts w:eastAsia="宋体" w:cs="Times New Roman" w:hint="eastAsia"/>
                <w:sz w:val="18"/>
                <w:szCs w:val="18"/>
              </w:rPr>
              <w:t>准备</w:t>
            </w:r>
          </w:p>
        </w:tc>
        <w:tc>
          <w:tcPr>
            <w:tcW w:w="1858"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35,002,127.66</w:t>
            </w:r>
          </w:p>
        </w:tc>
        <w:tc>
          <w:tcPr>
            <w:tcW w:w="1859" w:type="dxa"/>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31,961,828.76</w:t>
            </w:r>
          </w:p>
        </w:tc>
      </w:tr>
      <w:tr w:rsidR="00DA32EA" w:rsidRPr="00A71D2E" w:rsidTr="0027505B">
        <w:trPr>
          <w:trHeight w:val="20"/>
        </w:trPr>
        <w:tc>
          <w:tcPr>
            <w:tcW w:w="5733" w:type="dxa"/>
            <w:shd w:val="clear" w:color="auto" w:fill="D9D9D9" w:themeFill="background1" w:themeFillShade="D9"/>
            <w:vAlign w:val="center"/>
          </w:tcPr>
          <w:p w:rsidR="00DA32EA" w:rsidRPr="00A71D2E" w:rsidRDefault="00DA32EA" w:rsidP="00DA32EA">
            <w:pPr>
              <w:rPr>
                <w:rFonts w:eastAsia="宋体" w:cs="Times New Roman"/>
                <w:sz w:val="18"/>
                <w:szCs w:val="18"/>
              </w:rPr>
            </w:pPr>
            <w:r w:rsidRPr="00A71D2E">
              <w:rPr>
                <w:rFonts w:eastAsia="宋体" w:cs="Times New Roman" w:hint="eastAsia"/>
                <w:sz w:val="18"/>
                <w:szCs w:val="18"/>
              </w:rPr>
              <w:t>账面价值</w:t>
            </w:r>
          </w:p>
        </w:tc>
        <w:tc>
          <w:tcPr>
            <w:tcW w:w="1858" w:type="dxa"/>
            <w:shd w:val="clear" w:color="auto" w:fill="FFFFFF" w:themeFill="background1"/>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860,351,858.04</w:t>
            </w:r>
          </w:p>
        </w:tc>
        <w:tc>
          <w:tcPr>
            <w:tcW w:w="1859" w:type="dxa"/>
            <w:shd w:val="clear" w:color="auto" w:fill="FFFFFF" w:themeFill="background1"/>
            <w:vAlign w:val="center"/>
          </w:tcPr>
          <w:p w:rsidR="00DA32EA" w:rsidRPr="00A71D2E" w:rsidRDefault="003723F6" w:rsidP="00DA32EA">
            <w:pPr>
              <w:ind w:left="-18"/>
              <w:jc w:val="right"/>
              <w:rPr>
                <w:rFonts w:eastAsia="宋体" w:cs="Times New Roman"/>
                <w:sz w:val="18"/>
                <w:szCs w:val="18"/>
              </w:rPr>
            </w:pPr>
            <w:r w:rsidRPr="003723F6">
              <w:rPr>
                <w:rFonts w:eastAsia="宋体" w:cs="Times New Roman"/>
                <w:sz w:val="18"/>
                <w:szCs w:val="18"/>
              </w:rPr>
              <w:t>716,296,512.50</w:t>
            </w:r>
          </w:p>
        </w:tc>
      </w:tr>
    </w:tbl>
    <w:p w:rsidR="00694CFB" w:rsidRPr="00A71D2E" w:rsidRDefault="00694CFB">
      <w:pPr>
        <w:ind w:left="720"/>
        <w:rPr>
          <w:rFonts w:eastAsia="宋体" w:cs="Times New Roman"/>
          <w:szCs w:val="21"/>
        </w:rPr>
      </w:pPr>
    </w:p>
    <w:p w:rsidR="007D47F9" w:rsidRPr="00C76406" w:rsidRDefault="00B2210A">
      <w:pPr>
        <w:pStyle w:val="aff1"/>
        <w:numPr>
          <w:ilvl w:val="0"/>
          <w:numId w:val="7"/>
        </w:numPr>
        <w:ind w:left="1440" w:firstLineChars="0" w:hanging="720"/>
        <w:rPr>
          <w:szCs w:val="21"/>
        </w:rPr>
      </w:pPr>
      <w:r w:rsidRPr="00C76406">
        <w:rPr>
          <w:rFonts w:hint="eastAsia"/>
          <w:szCs w:val="21"/>
        </w:rPr>
        <w:t>按坏账</w:t>
      </w:r>
      <w:r w:rsidR="00A54BA8" w:rsidRPr="00C76406">
        <w:rPr>
          <w:rFonts w:hint="eastAsia"/>
          <w:szCs w:val="21"/>
        </w:rPr>
        <w:t>准备计提</w:t>
      </w:r>
      <w:r w:rsidR="007D47F9" w:rsidRPr="00C76406">
        <w:rPr>
          <w:rFonts w:hint="eastAsia"/>
          <w:szCs w:val="21"/>
        </w:rPr>
        <w:t>方法分类披露</w:t>
      </w:r>
    </w:p>
    <w:p w:rsidR="00815AEF" w:rsidRPr="00815AEF" w:rsidRDefault="00815AEF" w:rsidP="00815AEF">
      <w:pPr>
        <w:pStyle w:val="aff1"/>
        <w:ind w:left="1350" w:firstLineChars="0" w:firstLine="0"/>
        <w:jc w:val="right"/>
        <w:rPr>
          <w:szCs w:val="21"/>
        </w:rPr>
      </w:pPr>
      <w:r w:rsidRPr="00815AEF">
        <w:rPr>
          <w:rFonts w:hint="eastAsia"/>
          <w:szCs w:val="21"/>
        </w:rPr>
        <w:t>单位</w:t>
      </w:r>
      <w:r w:rsidR="005F14EE">
        <w:rPr>
          <w:rFonts w:hint="eastAsia"/>
          <w:szCs w:val="21"/>
        </w:rPr>
        <w:t>：</w:t>
      </w:r>
      <w:r w:rsidRPr="00815AEF">
        <w:rPr>
          <w:rFonts w:hint="eastAsia"/>
          <w:szCs w:val="21"/>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6"/>
        <w:gridCol w:w="1531"/>
        <w:gridCol w:w="1081"/>
        <w:gridCol w:w="1531"/>
        <w:gridCol w:w="1232"/>
        <w:gridCol w:w="1739"/>
      </w:tblGrid>
      <w:tr w:rsidR="00815AEF" w:rsidRPr="00511F0D" w:rsidTr="0027505B">
        <w:trPr>
          <w:trHeight w:val="20"/>
        </w:trPr>
        <w:tc>
          <w:tcPr>
            <w:tcW w:w="2336" w:type="dxa"/>
            <w:vMerge w:val="restart"/>
            <w:shd w:val="clear" w:color="auto" w:fill="D9D9D9" w:themeFill="background1" w:themeFillShade="D9"/>
            <w:vAlign w:val="center"/>
          </w:tcPr>
          <w:p w:rsidR="00815AEF" w:rsidRPr="00511F0D" w:rsidRDefault="00815AEF" w:rsidP="00E456AF">
            <w:pPr>
              <w:ind w:left="-260" w:firstLine="260"/>
              <w:jc w:val="center"/>
              <w:rPr>
                <w:rFonts w:eastAsia="宋体" w:cs="Times New Roman"/>
                <w:sz w:val="18"/>
                <w:szCs w:val="18"/>
              </w:rPr>
            </w:pPr>
            <w:r w:rsidRPr="00511F0D">
              <w:rPr>
                <w:rFonts w:eastAsia="宋体" w:cs="Times New Roman" w:hint="eastAsia"/>
                <w:sz w:val="18"/>
                <w:szCs w:val="18"/>
              </w:rPr>
              <w:t>种类</w:t>
            </w:r>
          </w:p>
        </w:tc>
        <w:tc>
          <w:tcPr>
            <w:tcW w:w="7114" w:type="dxa"/>
            <w:gridSpan w:val="5"/>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年末余额</w:t>
            </w:r>
          </w:p>
        </w:tc>
      </w:tr>
      <w:tr w:rsidR="00815AEF" w:rsidRPr="00511F0D" w:rsidTr="0027505B">
        <w:trPr>
          <w:trHeight w:val="20"/>
        </w:trPr>
        <w:tc>
          <w:tcPr>
            <w:tcW w:w="2336" w:type="dxa"/>
            <w:vMerge/>
            <w:shd w:val="clear" w:color="auto" w:fill="D9D9D9" w:themeFill="background1" w:themeFillShade="D9"/>
            <w:vAlign w:val="center"/>
          </w:tcPr>
          <w:p w:rsidR="00815AEF" w:rsidRPr="00511F0D" w:rsidRDefault="00815AEF" w:rsidP="00E456AF">
            <w:pPr>
              <w:jc w:val="center"/>
              <w:rPr>
                <w:rFonts w:eastAsia="宋体" w:cs="Times New Roman"/>
                <w:sz w:val="18"/>
                <w:szCs w:val="18"/>
              </w:rPr>
            </w:pPr>
          </w:p>
        </w:tc>
        <w:tc>
          <w:tcPr>
            <w:tcW w:w="2612" w:type="dxa"/>
            <w:gridSpan w:val="2"/>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账面余额</w:t>
            </w:r>
          </w:p>
        </w:tc>
        <w:tc>
          <w:tcPr>
            <w:tcW w:w="2763" w:type="dxa"/>
            <w:gridSpan w:val="2"/>
            <w:shd w:val="clear" w:color="auto" w:fill="D9D9D9" w:themeFill="background1" w:themeFillShade="D9"/>
            <w:vAlign w:val="center"/>
          </w:tcPr>
          <w:p w:rsidR="00815AEF" w:rsidRPr="00511F0D" w:rsidRDefault="00DD00C0" w:rsidP="00E456AF">
            <w:pPr>
              <w:jc w:val="center"/>
              <w:rPr>
                <w:rFonts w:eastAsia="宋体" w:cs="Times New Roman"/>
                <w:sz w:val="18"/>
                <w:szCs w:val="18"/>
              </w:rPr>
            </w:pPr>
            <w:r w:rsidRPr="00511F0D">
              <w:rPr>
                <w:rFonts w:eastAsia="宋体" w:cs="Times New Roman" w:hint="eastAsia"/>
                <w:sz w:val="18"/>
                <w:szCs w:val="18"/>
              </w:rPr>
              <w:t>坏账</w:t>
            </w:r>
            <w:r w:rsidR="00815AEF" w:rsidRPr="00511F0D">
              <w:rPr>
                <w:rFonts w:eastAsia="宋体" w:cs="Times New Roman" w:hint="eastAsia"/>
                <w:sz w:val="18"/>
                <w:szCs w:val="18"/>
              </w:rPr>
              <w:t>准备</w:t>
            </w:r>
          </w:p>
        </w:tc>
        <w:tc>
          <w:tcPr>
            <w:tcW w:w="1739"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账面价值</w:t>
            </w:r>
          </w:p>
        </w:tc>
      </w:tr>
      <w:tr w:rsidR="00815AEF" w:rsidRPr="00511F0D" w:rsidTr="0027505B">
        <w:trPr>
          <w:trHeight w:val="20"/>
        </w:trPr>
        <w:tc>
          <w:tcPr>
            <w:tcW w:w="2336" w:type="dxa"/>
            <w:vMerge/>
            <w:shd w:val="clear" w:color="auto" w:fill="D9D9D9" w:themeFill="background1" w:themeFillShade="D9"/>
            <w:vAlign w:val="center"/>
          </w:tcPr>
          <w:p w:rsidR="00815AEF" w:rsidRPr="00511F0D" w:rsidRDefault="00815AEF" w:rsidP="00E456AF">
            <w:pPr>
              <w:jc w:val="center"/>
              <w:rPr>
                <w:rFonts w:eastAsia="宋体" w:cs="Times New Roman"/>
                <w:sz w:val="18"/>
                <w:szCs w:val="18"/>
              </w:rPr>
            </w:pPr>
          </w:p>
        </w:tc>
        <w:tc>
          <w:tcPr>
            <w:tcW w:w="1531"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金额</w:t>
            </w:r>
          </w:p>
        </w:tc>
        <w:tc>
          <w:tcPr>
            <w:tcW w:w="1081"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比例</w:t>
            </w:r>
            <w:r w:rsidR="005F14EE" w:rsidRPr="00511F0D">
              <w:rPr>
                <w:rFonts w:eastAsia="宋体" w:cs="Times New Roman"/>
                <w:sz w:val="18"/>
                <w:szCs w:val="18"/>
              </w:rPr>
              <w:t>(</w:t>
            </w:r>
            <w:r w:rsidRPr="00511F0D">
              <w:rPr>
                <w:rFonts w:eastAsia="宋体" w:cs="Times New Roman"/>
                <w:sz w:val="18"/>
                <w:szCs w:val="18"/>
              </w:rPr>
              <w:t>%</w:t>
            </w:r>
            <w:r w:rsidR="005F14EE" w:rsidRPr="00511F0D">
              <w:rPr>
                <w:rFonts w:eastAsia="宋体" w:cs="Times New Roman"/>
                <w:sz w:val="18"/>
                <w:szCs w:val="18"/>
              </w:rPr>
              <w:t>)</w:t>
            </w:r>
          </w:p>
        </w:tc>
        <w:tc>
          <w:tcPr>
            <w:tcW w:w="1531"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金额</w:t>
            </w:r>
          </w:p>
        </w:tc>
        <w:tc>
          <w:tcPr>
            <w:tcW w:w="1232"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计提比例</w:t>
            </w:r>
            <w:r w:rsidR="005F14EE" w:rsidRPr="00511F0D">
              <w:rPr>
                <w:rFonts w:eastAsia="宋体" w:cs="Times New Roman"/>
                <w:sz w:val="18"/>
                <w:szCs w:val="18"/>
              </w:rPr>
              <w:t>(</w:t>
            </w:r>
            <w:r w:rsidRPr="00511F0D">
              <w:rPr>
                <w:rFonts w:eastAsia="宋体" w:cs="Times New Roman"/>
                <w:sz w:val="18"/>
                <w:szCs w:val="18"/>
              </w:rPr>
              <w:t>%</w:t>
            </w:r>
            <w:r w:rsidR="005F14EE" w:rsidRPr="00511F0D">
              <w:rPr>
                <w:rFonts w:eastAsia="宋体" w:cs="Times New Roman"/>
                <w:sz w:val="18"/>
                <w:szCs w:val="18"/>
              </w:rPr>
              <w:t>)</w:t>
            </w:r>
          </w:p>
        </w:tc>
        <w:tc>
          <w:tcPr>
            <w:tcW w:w="1739"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金额</w:t>
            </w:r>
          </w:p>
        </w:tc>
      </w:tr>
      <w:tr w:rsidR="00511F0D" w:rsidRPr="00511F0D" w:rsidTr="0027505B">
        <w:trPr>
          <w:trHeight w:val="20"/>
        </w:trPr>
        <w:tc>
          <w:tcPr>
            <w:tcW w:w="2336" w:type="dxa"/>
            <w:shd w:val="clear" w:color="auto" w:fill="FFFFFF" w:themeFill="background1"/>
            <w:vAlign w:val="center"/>
          </w:tcPr>
          <w:p w:rsidR="00511F0D" w:rsidRPr="00511F0D" w:rsidRDefault="00511F0D" w:rsidP="00511F0D">
            <w:pPr>
              <w:rPr>
                <w:rFonts w:eastAsia="宋体" w:cs="Times New Roman"/>
                <w:sz w:val="18"/>
                <w:szCs w:val="18"/>
              </w:rPr>
            </w:pPr>
            <w:r w:rsidRPr="00511F0D">
              <w:rPr>
                <w:rFonts w:eastAsia="宋体" w:cs="Times New Roman" w:hint="eastAsia"/>
                <w:sz w:val="18"/>
                <w:szCs w:val="18"/>
              </w:rPr>
              <w:t>按单项计提坏账准备</w:t>
            </w:r>
          </w:p>
        </w:tc>
        <w:tc>
          <w:tcPr>
            <w:tcW w:w="1531" w:type="dxa"/>
            <w:shd w:val="clear" w:color="auto" w:fill="FFFFFF" w:themeFill="background1"/>
            <w:vAlign w:val="center"/>
          </w:tcPr>
          <w:p w:rsidR="00511F0D" w:rsidRPr="00511F0D" w:rsidRDefault="00511F0D" w:rsidP="00511F0D">
            <w:pPr>
              <w:jc w:val="right"/>
              <w:rPr>
                <w:rFonts w:eastAsia="宋体" w:cs="Times New Roman"/>
                <w:sz w:val="18"/>
                <w:szCs w:val="18"/>
              </w:rPr>
            </w:pPr>
            <w:r w:rsidRPr="00511F0D">
              <w:rPr>
                <w:rFonts w:eastAsia="宋体" w:cs="Times New Roman"/>
                <w:sz w:val="18"/>
                <w:szCs w:val="18"/>
              </w:rPr>
              <w:t>24,282,167.95</w:t>
            </w:r>
          </w:p>
        </w:tc>
        <w:tc>
          <w:tcPr>
            <w:tcW w:w="1081" w:type="dxa"/>
            <w:shd w:val="clear" w:color="auto" w:fill="FFFFFF" w:themeFill="background1"/>
            <w:vAlign w:val="center"/>
          </w:tcPr>
          <w:p w:rsidR="00511F0D" w:rsidRPr="00511F0D" w:rsidRDefault="00511F0D" w:rsidP="00511F0D">
            <w:pPr>
              <w:jc w:val="right"/>
              <w:rPr>
                <w:rFonts w:eastAsia="宋体" w:cs="Times New Roman"/>
                <w:sz w:val="18"/>
                <w:szCs w:val="18"/>
              </w:rPr>
            </w:pPr>
            <w:r w:rsidRPr="00511F0D">
              <w:rPr>
                <w:rFonts w:eastAsia="宋体" w:cs="Times New Roman"/>
                <w:sz w:val="18"/>
                <w:szCs w:val="18"/>
              </w:rPr>
              <w:t>2.71</w:t>
            </w:r>
          </w:p>
        </w:tc>
        <w:tc>
          <w:tcPr>
            <w:tcW w:w="1531" w:type="dxa"/>
            <w:shd w:val="clear" w:color="auto" w:fill="FFFFFF" w:themeFill="background1"/>
            <w:vAlign w:val="center"/>
          </w:tcPr>
          <w:p w:rsidR="00511F0D" w:rsidRPr="00511F0D" w:rsidRDefault="00511F0D" w:rsidP="00511F0D">
            <w:pPr>
              <w:jc w:val="right"/>
              <w:rPr>
                <w:rFonts w:eastAsia="宋体" w:cs="Times New Roman"/>
                <w:sz w:val="18"/>
                <w:szCs w:val="18"/>
              </w:rPr>
            </w:pPr>
            <w:r w:rsidRPr="00511F0D">
              <w:rPr>
                <w:rFonts w:eastAsia="宋体" w:cs="Times New Roman"/>
                <w:sz w:val="18"/>
                <w:szCs w:val="18"/>
              </w:rPr>
              <w:t>24,282,167.95</w:t>
            </w:r>
          </w:p>
        </w:tc>
        <w:tc>
          <w:tcPr>
            <w:tcW w:w="1232" w:type="dxa"/>
            <w:shd w:val="clear" w:color="auto" w:fill="FFFFFF" w:themeFill="background1"/>
            <w:vAlign w:val="center"/>
          </w:tcPr>
          <w:p w:rsidR="00511F0D" w:rsidRPr="00511F0D" w:rsidRDefault="00511F0D" w:rsidP="00511F0D">
            <w:pPr>
              <w:jc w:val="right"/>
              <w:rPr>
                <w:rFonts w:eastAsia="宋体" w:cs="Times New Roman"/>
                <w:sz w:val="18"/>
                <w:szCs w:val="18"/>
              </w:rPr>
            </w:pPr>
            <w:r w:rsidRPr="00511F0D">
              <w:rPr>
                <w:rFonts w:eastAsia="宋体" w:cs="Times New Roman"/>
                <w:sz w:val="18"/>
                <w:szCs w:val="18"/>
              </w:rPr>
              <w:t xml:space="preserve"> 100.00 </w:t>
            </w:r>
          </w:p>
        </w:tc>
        <w:tc>
          <w:tcPr>
            <w:tcW w:w="1739" w:type="dxa"/>
            <w:shd w:val="clear" w:color="auto" w:fill="FFFFFF" w:themeFill="background1"/>
            <w:vAlign w:val="center"/>
          </w:tcPr>
          <w:p w:rsidR="00511F0D" w:rsidRPr="00511F0D" w:rsidRDefault="00511F0D" w:rsidP="00511F0D">
            <w:pPr>
              <w:jc w:val="right"/>
              <w:rPr>
                <w:rFonts w:eastAsia="宋体" w:cs="Times New Roman"/>
                <w:sz w:val="18"/>
                <w:szCs w:val="18"/>
              </w:rPr>
            </w:pPr>
            <w:r w:rsidRPr="0085207B">
              <w:rPr>
                <w:rFonts w:eastAsia="宋体" w:cs="Times New Roman"/>
                <w:sz w:val="18"/>
                <w:szCs w:val="18"/>
              </w:rPr>
              <w:t>-    </w:t>
            </w:r>
          </w:p>
        </w:tc>
      </w:tr>
      <w:tr w:rsidR="003723F6" w:rsidRPr="00511F0D" w:rsidTr="0027505B">
        <w:trPr>
          <w:trHeight w:val="20"/>
        </w:trPr>
        <w:tc>
          <w:tcPr>
            <w:tcW w:w="2336" w:type="dxa"/>
            <w:shd w:val="clear" w:color="auto" w:fill="FFFFFF" w:themeFill="background1"/>
            <w:vAlign w:val="center"/>
          </w:tcPr>
          <w:p w:rsidR="003723F6" w:rsidRPr="00511F0D" w:rsidRDefault="003723F6" w:rsidP="003723F6">
            <w:pPr>
              <w:rPr>
                <w:rFonts w:eastAsia="宋体" w:cs="Times New Roman"/>
                <w:sz w:val="18"/>
                <w:szCs w:val="18"/>
              </w:rPr>
            </w:pPr>
            <w:r w:rsidRPr="00511F0D">
              <w:rPr>
                <w:rFonts w:eastAsia="宋体" w:cs="Times New Roman" w:hint="eastAsia"/>
                <w:sz w:val="18"/>
                <w:szCs w:val="18"/>
              </w:rPr>
              <w:t>按组合计提</w:t>
            </w:r>
            <w:r w:rsidR="00DE4324" w:rsidRPr="00511F0D">
              <w:rPr>
                <w:rFonts w:eastAsia="宋体" w:cs="Times New Roman" w:hint="eastAsia"/>
                <w:sz w:val="18"/>
                <w:szCs w:val="18"/>
              </w:rPr>
              <w:t>坏账</w:t>
            </w:r>
            <w:r w:rsidRPr="00511F0D">
              <w:rPr>
                <w:rFonts w:eastAsia="宋体" w:cs="Times New Roman" w:hint="eastAsia"/>
                <w:sz w:val="18"/>
                <w:szCs w:val="18"/>
              </w:rPr>
              <w:t>准备</w:t>
            </w:r>
          </w:p>
        </w:tc>
        <w:tc>
          <w:tcPr>
            <w:tcW w:w="1531"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871,071,817.75</w:t>
            </w:r>
          </w:p>
        </w:tc>
        <w:tc>
          <w:tcPr>
            <w:tcW w:w="1081"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97.29</w:t>
            </w:r>
          </w:p>
        </w:tc>
        <w:tc>
          <w:tcPr>
            <w:tcW w:w="1531"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10,719,959.71</w:t>
            </w:r>
          </w:p>
        </w:tc>
        <w:tc>
          <w:tcPr>
            <w:tcW w:w="1232"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 xml:space="preserve"> 1.23 </w:t>
            </w:r>
          </w:p>
        </w:tc>
        <w:tc>
          <w:tcPr>
            <w:tcW w:w="1739"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 xml:space="preserve"> 860,351,858.04 </w:t>
            </w:r>
          </w:p>
        </w:tc>
      </w:tr>
      <w:tr w:rsidR="003723F6" w:rsidRPr="00511F0D" w:rsidTr="0027505B">
        <w:trPr>
          <w:trHeight w:val="20"/>
        </w:trPr>
        <w:tc>
          <w:tcPr>
            <w:tcW w:w="2336" w:type="dxa"/>
            <w:shd w:val="clear" w:color="auto" w:fill="FFFFFF" w:themeFill="background1"/>
            <w:vAlign w:val="center"/>
          </w:tcPr>
          <w:p w:rsidR="003723F6" w:rsidRPr="00511F0D" w:rsidRDefault="003723F6" w:rsidP="003723F6">
            <w:pPr>
              <w:rPr>
                <w:rFonts w:eastAsia="宋体" w:cs="Times New Roman"/>
                <w:sz w:val="18"/>
                <w:szCs w:val="18"/>
              </w:rPr>
            </w:pPr>
            <w:r w:rsidRPr="00511F0D">
              <w:rPr>
                <w:rFonts w:eastAsia="宋体" w:cs="Times New Roman" w:hint="eastAsia"/>
                <w:sz w:val="18"/>
                <w:szCs w:val="18"/>
              </w:rPr>
              <w:t>其中</w:t>
            </w:r>
            <w:r w:rsidR="005F14EE" w:rsidRPr="00511F0D">
              <w:rPr>
                <w:rFonts w:eastAsia="宋体" w:cs="Times New Roman" w:hint="eastAsia"/>
                <w:sz w:val="18"/>
                <w:szCs w:val="18"/>
              </w:rPr>
              <w:t>：</w:t>
            </w:r>
            <w:r w:rsidRPr="00511F0D">
              <w:rPr>
                <w:rFonts w:eastAsia="宋体" w:cs="Times New Roman"/>
                <w:sz w:val="18"/>
                <w:szCs w:val="18"/>
              </w:rPr>
              <w:t>-</w:t>
            </w:r>
            <w:r w:rsidRPr="00511F0D">
              <w:rPr>
                <w:rFonts w:eastAsia="宋体" w:cs="Times New Roman" w:hint="eastAsia"/>
                <w:sz w:val="18"/>
                <w:szCs w:val="18"/>
              </w:rPr>
              <w:t>组合</w:t>
            </w:r>
            <w:r w:rsidRPr="00511F0D">
              <w:rPr>
                <w:rFonts w:eastAsia="宋体" w:cs="Times New Roman"/>
                <w:sz w:val="18"/>
                <w:szCs w:val="18"/>
              </w:rPr>
              <w:t>A</w:t>
            </w:r>
          </w:p>
        </w:tc>
        <w:tc>
          <w:tcPr>
            <w:tcW w:w="1531"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233,951,070.86</w:t>
            </w:r>
          </w:p>
        </w:tc>
        <w:tc>
          <w:tcPr>
            <w:tcW w:w="1081" w:type="dxa"/>
            <w:shd w:val="clear" w:color="auto" w:fill="FFFFFF" w:themeFill="background1"/>
            <w:vAlign w:val="center"/>
          </w:tcPr>
          <w:p w:rsidR="003723F6" w:rsidRPr="00511F0D" w:rsidRDefault="00DA7298" w:rsidP="003723F6">
            <w:pPr>
              <w:jc w:val="right"/>
              <w:rPr>
                <w:rFonts w:eastAsia="宋体" w:cs="Times New Roman"/>
                <w:sz w:val="18"/>
                <w:szCs w:val="18"/>
              </w:rPr>
            </w:pPr>
            <w:r w:rsidRPr="00511F0D">
              <w:rPr>
                <w:rFonts w:eastAsia="宋体" w:cs="Times New Roman"/>
                <w:sz w:val="18"/>
                <w:szCs w:val="18"/>
              </w:rPr>
              <w:t>26.13</w:t>
            </w:r>
          </w:p>
        </w:tc>
        <w:tc>
          <w:tcPr>
            <w:tcW w:w="1531"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2,146,698.92</w:t>
            </w:r>
          </w:p>
        </w:tc>
        <w:tc>
          <w:tcPr>
            <w:tcW w:w="1232"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 xml:space="preserve"> 0.92 </w:t>
            </w:r>
          </w:p>
        </w:tc>
        <w:tc>
          <w:tcPr>
            <w:tcW w:w="1739"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 xml:space="preserve"> 231,804,371.94 </w:t>
            </w:r>
          </w:p>
        </w:tc>
      </w:tr>
      <w:tr w:rsidR="003723F6" w:rsidRPr="00511F0D" w:rsidTr="0027505B">
        <w:trPr>
          <w:trHeight w:val="20"/>
        </w:trPr>
        <w:tc>
          <w:tcPr>
            <w:tcW w:w="2336" w:type="dxa"/>
            <w:shd w:val="clear" w:color="auto" w:fill="FFFFFF" w:themeFill="background1"/>
            <w:vAlign w:val="center"/>
          </w:tcPr>
          <w:p w:rsidR="003723F6" w:rsidRPr="00511F0D" w:rsidRDefault="003723F6" w:rsidP="003723F6">
            <w:pPr>
              <w:ind w:left="543"/>
              <w:rPr>
                <w:rFonts w:eastAsia="宋体" w:cs="Times New Roman"/>
                <w:sz w:val="18"/>
                <w:szCs w:val="18"/>
              </w:rPr>
            </w:pPr>
            <w:r w:rsidRPr="00511F0D">
              <w:rPr>
                <w:rFonts w:eastAsia="宋体" w:cs="Times New Roman"/>
                <w:sz w:val="18"/>
                <w:szCs w:val="18"/>
              </w:rPr>
              <w:t>-</w:t>
            </w:r>
            <w:r w:rsidRPr="00511F0D">
              <w:rPr>
                <w:rFonts w:eastAsia="宋体" w:cs="Times New Roman" w:hint="eastAsia"/>
                <w:sz w:val="18"/>
                <w:szCs w:val="18"/>
              </w:rPr>
              <w:t>组合</w:t>
            </w:r>
            <w:r w:rsidRPr="00511F0D">
              <w:rPr>
                <w:rFonts w:eastAsia="宋体" w:cs="Times New Roman"/>
                <w:sz w:val="18"/>
                <w:szCs w:val="18"/>
              </w:rPr>
              <w:t>B</w:t>
            </w:r>
          </w:p>
        </w:tc>
        <w:tc>
          <w:tcPr>
            <w:tcW w:w="1531" w:type="dxa"/>
            <w:shd w:val="clear" w:color="auto" w:fill="FFFFFF" w:themeFill="background1"/>
            <w:vAlign w:val="center"/>
          </w:tcPr>
          <w:p w:rsidR="003723F6" w:rsidRPr="00511F0D" w:rsidDel="0004262F" w:rsidRDefault="003723F6" w:rsidP="003723F6">
            <w:pPr>
              <w:jc w:val="right"/>
              <w:rPr>
                <w:rFonts w:eastAsia="宋体" w:cs="Times New Roman"/>
                <w:sz w:val="18"/>
                <w:szCs w:val="18"/>
              </w:rPr>
            </w:pPr>
            <w:r w:rsidRPr="00511F0D">
              <w:rPr>
                <w:rFonts w:eastAsia="宋体" w:cs="Times New Roman"/>
                <w:sz w:val="18"/>
                <w:szCs w:val="18"/>
              </w:rPr>
              <w:t>203,543,536.79</w:t>
            </w:r>
          </w:p>
        </w:tc>
        <w:tc>
          <w:tcPr>
            <w:tcW w:w="1081" w:type="dxa"/>
            <w:shd w:val="clear" w:color="auto" w:fill="FFFFFF" w:themeFill="background1"/>
            <w:vAlign w:val="center"/>
          </w:tcPr>
          <w:p w:rsidR="003723F6" w:rsidRPr="00511F0D" w:rsidDel="0004262F" w:rsidRDefault="003723F6" w:rsidP="003723F6">
            <w:pPr>
              <w:jc w:val="right"/>
              <w:rPr>
                <w:rFonts w:eastAsia="宋体" w:cs="Times New Roman"/>
                <w:sz w:val="18"/>
                <w:szCs w:val="18"/>
              </w:rPr>
            </w:pPr>
            <w:r w:rsidRPr="00511F0D">
              <w:rPr>
                <w:rFonts w:eastAsia="宋体" w:cs="Times New Roman"/>
                <w:sz w:val="18"/>
                <w:szCs w:val="18"/>
              </w:rPr>
              <w:t>22.73</w:t>
            </w:r>
          </w:p>
        </w:tc>
        <w:tc>
          <w:tcPr>
            <w:tcW w:w="1531" w:type="dxa"/>
            <w:shd w:val="clear" w:color="auto" w:fill="FFFFFF" w:themeFill="background1"/>
            <w:vAlign w:val="center"/>
          </w:tcPr>
          <w:p w:rsidR="003723F6" w:rsidRPr="00511F0D" w:rsidDel="0004262F" w:rsidRDefault="003723F6" w:rsidP="003723F6">
            <w:pPr>
              <w:jc w:val="right"/>
              <w:rPr>
                <w:rFonts w:eastAsia="宋体" w:cs="Times New Roman"/>
                <w:sz w:val="18"/>
                <w:szCs w:val="18"/>
              </w:rPr>
            </w:pPr>
            <w:r w:rsidRPr="00511F0D">
              <w:rPr>
                <w:rFonts w:eastAsia="宋体" w:cs="Times New Roman"/>
                <w:sz w:val="18"/>
                <w:szCs w:val="18"/>
              </w:rPr>
              <w:t>1,637,719.74</w:t>
            </w:r>
          </w:p>
        </w:tc>
        <w:tc>
          <w:tcPr>
            <w:tcW w:w="1232" w:type="dxa"/>
            <w:shd w:val="clear" w:color="auto" w:fill="FFFFFF" w:themeFill="background1"/>
            <w:vAlign w:val="center"/>
          </w:tcPr>
          <w:p w:rsidR="003723F6" w:rsidRPr="00511F0D" w:rsidDel="0004262F" w:rsidRDefault="003723F6" w:rsidP="003723F6">
            <w:pPr>
              <w:jc w:val="right"/>
              <w:rPr>
                <w:rFonts w:eastAsia="宋体" w:cs="Times New Roman"/>
                <w:sz w:val="18"/>
                <w:szCs w:val="18"/>
              </w:rPr>
            </w:pPr>
            <w:r w:rsidRPr="00511F0D">
              <w:rPr>
                <w:rFonts w:eastAsia="宋体" w:cs="Times New Roman"/>
                <w:sz w:val="18"/>
                <w:szCs w:val="18"/>
              </w:rPr>
              <w:t xml:space="preserve"> 0.80 </w:t>
            </w:r>
          </w:p>
        </w:tc>
        <w:tc>
          <w:tcPr>
            <w:tcW w:w="1739" w:type="dxa"/>
            <w:shd w:val="clear" w:color="auto" w:fill="FFFFFF" w:themeFill="background1"/>
            <w:vAlign w:val="center"/>
          </w:tcPr>
          <w:p w:rsidR="003723F6" w:rsidRPr="00511F0D" w:rsidDel="0004262F" w:rsidRDefault="003723F6" w:rsidP="003723F6">
            <w:pPr>
              <w:jc w:val="right"/>
              <w:rPr>
                <w:rFonts w:eastAsia="宋体" w:cs="Times New Roman"/>
                <w:sz w:val="18"/>
                <w:szCs w:val="18"/>
              </w:rPr>
            </w:pPr>
            <w:r w:rsidRPr="00511F0D">
              <w:rPr>
                <w:rFonts w:eastAsia="宋体" w:cs="Times New Roman"/>
                <w:sz w:val="18"/>
                <w:szCs w:val="18"/>
              </w:rPr>
              <w:t xml:space="preserve"> 201,905,817.05 </w:t>
            </w:r>
          </w:p>
        </w:tc>
      </w:tr>
      <w:tr w:rsidR="003723F6" w:rsidRPr="00511F0D" w:rsidTr="0027505B">
        <w:trPr>
          <w:trHeight w:val="20"/>
        </w:trPr>
        <w:tc>
          <w:tcPr>
            <w:tcW w:w="2336" w:type="dxa"/>
            <w:shd w:val="clear" w:color="auto" w:fill="FFFFFF" w:themeFill="background1"/>
            <w:vAlign w:val="center"/>
          </w:tcPr>
          <w:p w:rsidR="003723F6" w:rsidRPr="00511F0D" w:rsidRDefault="003723F6" w:rsidP="003723F6">
            <w:pPr>
              <w:ind w:left="543"/>
              <w:rPr>
                <w:rFonts w:eastAsia="宋体" w:cs="Times New Roman"/>
                <w:sz w:val="18"/>
                <w:szCs w:val="18"/>
              </w:rPr>
            </w:pPr>
            <w:r w:rsidRPr="00511F0D">
              <w:rPr>
                <w:rFonts w:eastAsia="宋体" w:cs="Times New Roman"/>
                <w:sz w:val="18"/>
                <w:szCs w:val="18"/>
              </w:rPr>
              <w:t>-</w:t>
            </w:r>
            <w:r w:rsidRPr="00511F0D">
              <w:rPr>
                <w:rFonts w:eastAsia="宋体" w:cs="Times New Roman" w:hint="eastAsia"/>
                <w:sz w:val="18"/>
                <w:szCs w:val="18"/>
              </w:rPr>
              <w:t>组合</w:t>
            </w:r>
            <w:r w:rsidRPr="00511F0D">
              <w:rPr>
                <w:rFonts w:eastAsia="宋体" w:cs="Times New Roman"/>
                <w:sz w:val="18"/>
                <w:szCs w:val="18"/>
              </w:rPr>
              <w:t>C</w:t>
            </w:r>
          </w:p>
        </w:tc>
        <w:tc>
          <w:tcPr>
            <w:tcW w:w="1531" w:type="dxa"/>
            <w:shd w:val="clear" w:color="auto" w:fill="FFFFFF" w:themeFill="background1"/>
            <w:vAlign w:val="center"/>
          </w:tcPr>
          <w:p w:rsidR="003723F6" w:rsidRPr="00511F0D" w:rsidRDefault="00DA7298" w:rsidP="003723F6">
            <w:pPr>
              <w:jc w:val="right"/>
              <w:rPr>
                <w:rFonts w:eastAsia="宋体" w:cs="Times New Roman"/>
                <w:sz w:val="18"/>
                <w:szCs w:val="18"/>
              </w:rPr>
            </w:pPr>
            <w:r w:rsidRPr="00511F0D">
              <w:rPr>
                <w:rFonts w:eastAsia="宋体" w:cs="Times New Roman"/>
                <w:sz w:val="18"/>
                <w:szCs w:val="18"/>
              </w:rPr>
              <w:t>433,577,210.10</w:t>
            </w:r>
          </w:p>
        </w:tc>
        <w:tc>
          <w:tcPr>
            <w:tcW w:w="1081"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48.43</w:t>
            </w:r>
          </w:p>
        </w:tc>
        <w:tc>
          <w:tcPr>
            <w:tcW w:w="1531" w:type="dxa"/>
            <w:shd w:val="clear" w:color="auto" w:fill="FFFFFF" w:themeFill="background1"/>
            <w:vAlign w:val="center"/>
          </w:tcPr>
          <w:p w:rsidR="003723F6" w:rsidRPr="00511F0D" w:rsidRDefault="00DA7298" w:rsidP="003723F6">
            <w:pPr>
              <w:jc w:val="right"/>
              <w:rPr>
                <w:rFonts w:eastAsia="宋体" w:cs="Times New Roman"/>
                <w:sz w:val="18"/>
                <w:szCs w:val="18"/>
              </w:rPr>
            </w:pPr>
            <w:r w:rsidRPr="00511F0D">
              <w:rPr>
                <w:rFonts w:eastAsia="宋体" w:cs="Times New Roman"/>
                <w:sz w:val="18"/>
                <w:szCs w:val="18"/>
              </w:rPr>
              <w:t>6,935,541.05</w:t>
            </w:r>
          </w:p>
        </w:tc>
        <w:tc>
          <w:tcPr>
            <w:tcW w:w="1232"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 xml:space="preserve"> 1.60 </w:t>
            </w:r>
          </w:p>
        </w:tc>
        <w:tc>
          <w:tcPr>
            <w:tcW w:w="1739"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 xml:space="preserve"> 426,641,669.05 </w:t>
            </w:r>
          </w:p>
        </w:tc>
      </w:tr>
      <w:tr w:rsidR="003723F6" w:rsidRPr="00511F0D" w:rsidTr="0027505B">
        <w:trPr>
          <w:trHeight w:val="20"/>
        </w:trPr>
        <w:tc>
          <w:tcPr>
            <w:tcW w:w="2336" w:type="dxa"/>
            <w:shd w:val="clear" w:color="auto" w:fill="D9D9D9" w:themeFill="background1" w:themeFillShade="D9"/>
            <w:vAlign w:val="center"/>
          </w:tcPr>
          <w:p w:rsidR="003723F6" w:rsidRPr="00511F0D" w:rsidRDefault="003723F6" w:rsidP="003723F6">
            <w:pPr>
              <w:rPr>
                <w:rFonts w:eastAsia="宋体" w:cs="Times New Roman"/>
                <w:sz w:val="18"/>
                <w:szCs w:val="18"/>
              </w:rPr>
            </w:pPr>
            <w:r w:rsidRPr="00511F0D">
              <w:rPr>
                <w:rFonts w:eastAsia="宋体" w:cs="Times New Roman" w:hint="eastAsia"/>
                <w:sz w:val="18"/>
                <w:szCs w:val="18"/>
              </w:rPr>
              <w:t>合计</w:t>
            </w:r>
          </w:p>
        </w:tc>
        <w:tc>
          <w:tcPr>
            <w:tcW w:w="1531"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895,353,985.70</w:t>
            </w:r>
          </w:p>
        </w:tc>
        <w:tc>
          <w:tcPr>
            <w:tcW w:w="1081"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100.00</w:t>
            </w:r>
          </w:p>
        </w:tc>
        <w:tc>
          <w:tcPr>
            <w:tcW w:w="1531"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 xml:space="preserve"> 35,002,127.66 </w:t>
            </w:r>
          </w:p>
        </w:tc>
        <w:tc>
          <w:tcPr>
            <w:tcW w:w="1232"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 xml:space="preserve"> 3.91 </w:t>
            </w:r>
          </w:p>
        </w:tc>
        <w:tc>
          <w:tcPr>
            <w:tcW w:w="1739" w:type="dxa"/>
            <w:shd w:val="clear" w:color="auto" w:fill="FFFFFF" w:themeFill="background1"/>
            <w:vAlign w:val="center"/>
          </w:tcPr>
          <w:p w:rsidR="003723F6" w:rsidRPr="00511F0D" w:rsidRDefault="003723F6" w:rsidP="003723F6">
            <w:pPr>
              <w:jc w:val="right"/>
              <w:rPr>
                <w:rFonts w:eastAsia="宋体" w:cs="Times New Roman"/>
                <w:sz w:val="18"/>
                <w:szCs w:val="18"/>
              </w:rPr>
            </w:pPr>
            <w:r w:rsidRPr="00511F0D">
              <w:rPr>
                <w:rFonts w:eastAsia="宋体" w:cs="Times New Roman"/>
                <w:sz w:val="18"/>
                <w:szCs w:val="18"/>
              </w:rPr>
              <w:t xml:space="preserve"> 860,351,858.04 </w:t>
            </w:r>
          </w:p>
        </w:tc>
      </w:tr>
    </w:tbl>
    <w:p w:rsidR="00C95FEE" w:rsidRDefault="00C95FEE" w:rsidP="00B60542">
      <w:pPr>
        <w:ind w:leftChars="337" w:left="708"/>
        <w:jc w:val="both"/>
        <w:rPr>
          <w:rFonts w:eastAsia="宋体" w:cs="Times New Roman"/>
          <w:szCs w:val="21"/>
        </w:rPr>
      </w:pPr>
    </w:p>
    <w:p w:rsidR="00815AEF" w:rsidRPr="00A71D2E" w:rsidRDefault="00815AEF" w:rsidP="00815AEF">
      <w:pPr>
        <w:ind w:left="72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6"/>
        <w:gridCol w:w="1531"/>
        <w:gridCol w:w="1081"/>
        <w:gridCol w:w="1531"/>
        <w:gridCol w:w="1232"/>
        <w:gridCol w:w="1739"/>
      </w:tblGrid>
      <w:tr w:rsidR="00815AEF" w:rsidRPr="00511F0D" w:rsidTr="0027505B">
        <w:trPr>
          <w:trHeight w:val="20"/>
        </w:trPr>
        <w:tc>
          <w:tcPr>
            <w:tcW w:w="2336" w:type="dxa"/>
            <w:vMerge w:val="restart"/>
            <w:shd w:val="clear" w:color="auto" w:fill="D9D9D9" w:themeFill="background1" w:themeFillShade="D9"/>
            <w:vAlign w:val="center"/>
          </w:tcPr>
          <w:p w:rsidR="00815AEF" w:rsidRPr="00511F0D" w:rsidRDefault="00815AEF" w:rsidP="00E456AF">
            <w:pPr>
              <w:ind w:left="-260" w:firstLine="260"/>
              <w:jc w:val="center"/>
              <w:rPr>
                <w:rFonts w:eastAsia="宋体" w:cs="Times New Roman"/>
                <w:sz w:val="18"/>
                <w:szCs w:val="18"/>
              </w:rPr>
            </w:pPr>
            <w:r w:rsidRPr="00511F0D">
              <w:rPr>
                <w:rFonts w:eastAsia="宋体" w:cs="Times New Roman" w:hint="eastAsia"/>
                <w:sz w:val="18"/>
                <w:szCs w:val="18"/>
              </w:rPr>
              <w:t>种类</w:t>
            </w:r>
          </w:p>
        </w:tc>
        <w:tc>
          <w:tcPr>
            <w:tcW w:w="7114" w:type="dxa"/>
            <w:gridSpan w:val="5"/>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年初余额</w:t>
            </w:r>
          </w:p>
        </w:tc>
      </w:tr>
      <w:tr w:rsidR="00815AEF" w:rsidRPr="00511F0D" w:rsidTr="0027505B">
        <w:trPr>
          <w:trHeight w:val="20"/>
        </w:trPr>
        <w:tc>
          <w:tcPr>
            <w:tcW w:w="2336" w:type="dxa"/>
            <w:vMerge/>
            <w:shd w:val="clear" w:color="auto" w:fill="D9D9D9" w:themeFill="background1" w:themeFillShade="D9"/>
            <w:vAlign w:val="center"/>
          </w:tcPr>
          <w:p w:rsidR="00815AEF" w:rsidRPr="00511F0D" w:rsidRDefault="00815AEF" w:rsidP="00E456AF">
            <w:pPr>
              <w:jc w:val="center"/>
              <w:rPr>
                <w:rFonts w:eastAsia="宋体" w:cs="Times New Roman"/>
                <w:sz w:val="18"/>
                <w:szCs w:val="18"/>
              </w:rPr>
            </w:pPr>
          </w:p>
        </w:tc>
        <w:tc>
          <w:tcPr>
            <w:tcW w:w="2612" w:type="dxa"/>
            <w:gridSpan w:val="2"/>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账面余额</w:t>
            </w:r>
          </w:p>
        </w:tc>
        <w:tc>
          <w:tcPr>
            <w:tcW w:w="2763" w:type="dxa"/>
            <w:gridSpan w:val="2"/>
            <w:shd w:val="clear" w:color="auto" w:fill="D9D9D9" w:themeFill="background1" w:themeFillShade="D9"/>
            <w:vAlign w:val="center"/>
          </w:tcPr>
          <w:p w:rsidR="00815AEF" w:rsidRPr="00511F0D" w:rsidRDefault="00DD00C0" w:rsidP="00E456AF">
            <w:pPr>
              <w:jc w:val="center"/>
              <w:rPr>
                <w:rFonts w:eastAsia="宋体" w:cs="Times New Roman"/>
                <w:sz w:val="18"/>
                <w:szCs w:val="18"/>
              </w:rPr>
            </w:pPr>
            <w:r w:rsidRPr="00511F0D">
              <w:rPr>
                <w:rFonts w:eastAsia="宋体" w:cs="Times New Roman" w:hint="eastAsia"/>
                <w:sz w:val="18"/>
                <w:szCs w:val="18"/>
              </w:rPr>
              <w:t>坏账</w:t>
            </w:r>
            <w:r w:rsidR="00815AEF" w:rsidRPr="00511F0D">
              <w:rPr>
                <w:rFonts w:eastAsia="宋体" w:cs="Times New Roman" w:hint="eastAsia"/>
                <w:sz w:val="18"/>
                <w:szCs w:val="18"/>
              </w:rPr>
              <w:t>准备</w:t>
            </w:r>
          </w:p>
        </w:tc>
        <w:tc>
          <w:tcPr>
            <w:tcW w:w="1739"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账面价值</w:t>
            </w:r>
          </w:p>
        </w:tc>
      </w:tr>
      <w:tr w:rsidR="00815AEF" w:rsidRPr="00511F0D" w:rsidTr="0027505B">
        <w:trPr>
          <w:trHeight w:val="20"/>
        </w:trPr>
        <w:tc>
          <w:tcPr>
            <w:tcW w:w="2336" w:type="dxa"/>
            <w:vMerge/>
            <w:shd w:val="clear" w:color="auto" w:fill="D9D9D9" w:themeFill="background1" w:themeFillShade="D9"/>
            <w:vAlign w:val="center"/>
          </w:tcPr>
          <w:p w:rsidR="00815AEF" w:rsidRPr="00511F0D" w:rsidRDefault="00815AEF" w:rsidP="00E456AF">
            <w:pPr>
              <w:jc w:val="center"/>
              <w:rPr>
                <w:rFonts w:eastAsia="宋体" w:cs="Times New Roman"/>
                <w:sz w:val="18"/>
                <w:szCs w:val="18"/>
              </w:rPr>
            </w:pPr>
          </w:p>
        </w:tc>
        <w:tc>
          <w:tcPr>
            <w:tcW w:w="1531"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金额</w:t>
            </w:r>
          </w:p>
        </w:tc>
        <w:tc>
          <w:tcPr>
            <w:tcW w:w="1081"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比例</w:t>
            </w:r>
            <w:r w:rsidR="005F14EE" w:rsidRPr="00511F0D">
              <w:rPr>
                <w:rFonts w:eastAsia="宋体" w:cs="Times New Roman"/>
                <w:sz w:val="18"/>
                <w:szCs w:val="18"/>
              </w:rPr>
              <w:t>(</w:t>
            </w:r>
            <w:r w:rsidRPr="00511F0D">
              <w:rPr>
                <w:rFonts w:eastAsia="宋体" w:cs="Times New Roman"/>
                <w:sz w:val="18"/>
                <w:szCs w:val="18"/>
              </w:rPr>
              <w:t>%</w:t>
            </w:r>
            <w:r w:rsidR="005F14EE" w:rsidRPr="00511F0D">
              <w:rPr>
                <w:rFonts w:eastAsia="宋体" w:cs="Times New Roman"/>
                <w:sz w:val="18"/>
                <w:szCs w:val="18"/>
              </w:rPr>
              <w:t>)</w:t>
            </w:r>
          </w:p>
        </w:tc>
        <w:tc>
          <w:tcPr>
            <w:tcW w:w="1531"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金额</w:t>
            </w:r>
          </w:p>
        </w:tc>
        <w:tc>
          <w:tcPr>
            <w:tcW w:w="1232"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计提比例</w:t>
            </w:r>
            <w:r w:rsidR="005F14EE" w:rsidRPr="00511F0D">
              <w:rPr>
                <w:rFonts w:eastAsia="宋体" w:cs="Times New Roman"/>
                <w:sz w:val="18"/>
                <w:szCs w:val="18"/>
              </w:rPr>
              <w:t>(</w:t>
            </w:r>
            <w:r w:rsidRPr="00511F0D">
              <w:rPr>
                <w:rFonts w:eastAsia="宋体" w:cs="Times New Roman"/>
                <w:sz w:val="18"/>
                <w:szCs w:val="18"/>
              </w:rPr>
              <w:t>%</w:t>
            </w:r>
            <w:r w:rsidR="005F14EE" w:rsidRPr="00511F0D">
              <w:rPr>
                <w:rFonts w:eastAsia="宋体" w:cs="Times New Roman"/>
                <w:sz w:val="18"/>
                <w:szCs w:val="18"/>
              </w:rPr>
              <w:t>)</w:t>
            </w:r>
          </w:p>
        </w:tc>
        <w:tc>
          <w:tcPr>
            <w:tcW w:w="1739" w:type="dxa"/>
            <w:shd w:val="clear" w:color="auto" w:fill="D9D9D9" w:themeFill="background1" w:themeFillShade="D9"/>
            <w:vAlign w:val="center"/>
          </w:tcPr>
          <w:p w:rsidR="00815AEF" w:rsidRPr="00511F0D" w:rsidRDefault="00815AEF" w:rsidP="00E456AF">
            <w:pPr>
              <w:jc w:val="center"/>
              <w:rPr>
                <w:rFonts w:eastAsia="宋体" w:cs="Times New Roman"/>
                <w:sz w:val="18"/>
                <w:szCs w:val="18"/>
              </w:rPr>
            </w:pPr>
            <w:r w:rsidRPr="00511F0D">
              <w:rPr>
                <w:rFonts w:eastAsia="宋体" w:cs="Times New Roman" w:hint="eastAsia"/>
                <w:sz w:val="18"/>
                <w:szCs w:val="18"/>
              </w:rPr>
              <w:t>金额</w:t>
            </w:r>
          </w:p>
        </w:tc>
      </w:tr>
      <w:tr w:rsidR="00815AEF" w:rsidRPr="00511F0D" w:rsidTr="0027505B">
        <w:trPr>
          <w:trHeight w:val="20"/>
        </w:trPr>
        <w:tc>
          <w:tcPr>
            <w:tcW w:w="2336" w:type="dxa"/>
            <w:shd w:val="clear" w:color="auto" w:fill="FFFFFF" w:themeFill="background1"/>
            <w:vAlign w:val="center"/>
          </w:tcPr>
          <w:p w:rsidR="00815AEF" w:rsidRPr="00511F0D" w:rsidRDefault="00815AEF" w:rsidP="00E456AF">
            <w:pPr>
              <w:rPr>
                <w:rFonts w:eastAsia="宋体" w:cs="Times New Roman"/>
                <w:sz w:val="18"/>
                <w:szCs w:val="18"/>
              </w:rPr>
            </w:pPr>
            <w:r w:rsidRPr="00511F0D">
              <w:rPr>
                <w:rFonts w:eastAsia="宋体" w:cs="Times New Roman" w:hint="eastAsia"/>
                <w:sz w:val="18"/>
                <w:szCs w:val="18"/>
              </w:rPr>
              <w:t>按单项计提</w:t>
            </w:r>
            <w:r w:rsidR="00DE4324" w:rsidRPr="00511F0D">
              <w:rPr>
                <w:rFonts w:eastAsia="宋体" w:cs="Times New Roman" w:hint="eastAsia"/>
                <w:sz w:val="18"/>
                <w:szCs w:val="18"/>
              </w:rPr>
              <w:t>坏账</w:t>
            </w:r>
            <w:r w:rsidRPr="00511F0D">
              <w:rPr>
                <w:rFonts w:eastAsia="宋体" w:cs="Times New Roman" w:hint="eastAsia"/>
                <w:sz w:val="18"/>
                <w:szCs w:val="18"/>
              </w:rPr>
              <w:t>准备</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24,679,631.95</w:t>
            </w:r>
          </w:p>
        </w:tc>
        <w:tc>
          <w:tcPr>
            <w:tcW w:w="108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3.30</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24,679,631.95</w:t>
            </w:r>
          </w:p>
        </w:tc>
        <w:tc>
          <w:tcPr>
            <w:tcW w:w="1232"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100.00</w:t>
            </w:r>
          </w:p>
        </w:tc>
        <w:tc>
          <w:tcPr>
            <w:tcW w:w="1739"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    </w:t>
            </w:r>
          </w:p>
        </w:tc>
      </w:tr>
      <w:tr w:rsidR="00815AEF" w:rsidRPr="00511F0D" w:rsidTr="0027505B">
        <w:trPr>
          <w:trHeight w:val="20"/>
        </w:trPr>
        <w:tc>
          <w:tcPr>
            <w:tcW w:w="2336" w:type="dxa"/>
            <w:shd w:val="clear" w:color="auto" w:fill="FFFFFF" w:themeFill="background1"/>
            <w:vAlign w:val="center"/>
          </w:tcPr>
          <w:p w:rsidR="00815AEF" w:rsidRPr="00511F0D" w:rsidRDefault="00815AEF" w:rsidP="00E456AF">
            <w:pPr>
              <w:rPr>
                <w:rFonts w:eastAsia="宋体" w:cs="Times New Roman"/>
                <w:sz w:val="18"/>
                <w:szCs w:val="18"/>
              </w:rPr>
            </w:pPr>
            <w:r w:rsidRPr="00511F0D">
              <w:rPr>
                <w:rFonts w:eastAsia="宋体" w:cs="Times New Roman" w:hint="eastAsia"/>
                <w:sz w:val="18"/>
                <w:szCs w:val="18"/>
              </w:rPr>
              <w:t>按组合计提</w:t>
            </w:r>
            <w:r w:rsidR="00DE4324" w:rsidRPr="00511F0D">
              <w:rPr>
                <w:rFonts w:eastAsia="宋体" w:cs="Times New Roman" w:hint="eastAsia"/>
                <w:sz w:val="18"/>
                <w:szCs w:val="18"/>
              </w:rPr>
              <w:t>坏账</w:t>
            </w:r>
            <w:r w:rsidRPr="00511F0D">
              <w:rPr>
                <w:rFonts w:eastAsia="宋体" w:cs="Times New Roman" w:hint="eastAsia"/>
                <w:sz w:val="18"/>
                <w:szCs w:val="18"/>
              </w:rPr>
              <w:t>准备</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723,578,709.31</w:t>
            </w:r>
          </w:p>
        </w:tc>
        <w:tc>
          <w:tcPr>
            <w:tcW w:w="108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96.70</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7,282,196.81</w:t>
            </w:r>
          </w:p>
        </w:tc>
        <w:tc>
          <w:tcPr>
            <w:tcW w:w="1232"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1.01</w:t>
            </w:r>
          </w:p>
        </w:tc>
        <w:tc>
          <w:tcPr>
            <w:tcW w:w="1739"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716,296,512.50</w:t>
            </w:r>
          </w:p>
        </w:tc>
      </w:tr>
      <w:tr w:rsidR="00815AEF" w:rsidRPr="00511F0D" w:rsidTr="0027505B">
        <w:trPr>
          <w:trHeight w:val="20"/>
        </w:trPr>
        <w:tc>
          <w:tcPr>
            <w:tcW w:w="2336" w:type="dxa"/>
            <w:shd w:val="clear" w:color="auto" w:fill="FFFFFF" w:themeFill="background1"/>
            <w:vAlign w:val="center"/>
          </w:tcPr>
          <w:p w:rsidR="00815AEF" w:rsidRPr="00511F0D" w:rsidRDefault="00815AEF" w:rsidP="00E456AF">
            <w:pPr>
              <w:rPr>
                <w:rFonts w:eastAsia="宋体" w:cs="Times New Roman"/>
                <w:sz w:val="18"/>
                <w:szCs w:val="18"/>
              </w:rPr>
            </w:pPr>
            <w:r w:rsidRPr="00511F0D">
              <w:rPr>
                <w:rFonts w:eastAsia="宋体" w:cs="Times New Roman" w:hint="eastAsia"/>
                <w:sz w:val="18"/>
                <w:szCs w:val="18"/>
              </w:rPr>
              <w:t>其中</w:t>
            </w:r>
            <w:r w:rsidR="005F14EE" w:rsidRPr="00511F0D">
              <w:rPr>
                <w:rFonts w:eastAsia="宋体" w:cs="Times New Roman" w:hint="eastAsia"/>
                <w:sz w:val="18"/>
                <w:szCs w:val="18"/>
              </w:rPr>
              <w:t>：</w:t>
            </w:r>
            <w:r w:rsidRPr="00511F0D">
              <w:rPr>
                <w:rFonts w:eastAsia="宋体" w:cs="Times New Roman"/>
                <w:sz w:val="18"/>
                <w:szCs w:val="18"/>
              </w:rPr>
              <w:t>-</w:t>
            </w:r>
            <w:r w:rsidRPr="00511F0D">
              <w:rPr>
                <w:rFonts w:eastAsia="宋体" w:cs="Times New Roman" w:hint="eastAsia"/>
                <w:sz w:val="18"/>
                <w:szCs w:val="18"/>
              </w:rPr>
              <w:t>组合</w:t>
            </w:r>
            <w:r w:rsidRPr="00511F0D">
              <w:rPr>
                <w:rFonts w:eastAsia="宋体" w:cs="Times New Roman"/>
                <w:sz w:val="18"/>
                <w:szCs w:val="18"/>
              </w:rPr>
              <w:t>A</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245,057,673.82</w:t>
            </w:r>
          </w:p>
        </w:tc>
        <w:tc>
          <w:tcPr>
            <w:tcW w:w="108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32.75</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1,121,411.76</w:t>
            </w:r>
          </w:p>
        </w:tc>
        <w:tc>
          <w:tcPr>
            <w:tcW w:w="1232"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0.46</w:t>
            </w:r>
          </w:p>
        </w:tc>
        <w:tc>
          <w:tcPr>
            <w:tcW w:w="1739"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243,936,262.06</w:t>
            </w:r>
          </w:p>
        </w:tc>
      </w:tr>
      <w:tr w:rsidR="00815AEF" w:rsidRPr="00511F0D" w:rsidTr="0027505B">
        <w:trPr>
          <w:trHeight w:val="20"/>
        </w:trPr>
        <w:tc>
          <w:tcPr>
            <w:tcW w:w="2336" w:type="dxa"/>
            <w:shd w:val="clear" w:color="auto" w:fill="FFFFFF" w:themeFill="background1"/>
            <w:vAlign w:val="center"/>
          </w:tcPr>
          <w:p w:rsidR="00815AEF" w:rsidRPr="00511F0D" w:rsidRDefault="00815AEF" w:rsidP="00E456AF">
            <w:pPr>
              <w:ind w:left="543"/>
              <w:rPr>
                <w:rFonts w:eastAsia="宋体" w:cs="Times New Roman"/>
                <w:sz w:val="18"/>
                <w:szCs w:val="18"/>
              </w:rPr>
            </w:pPr>
            <w:r w:rsidRPr="00511F0D">
              <w:rPr>
                <w:rFonts w:eastAsia="宋体" w:cs="Times New Roman"/>
                <w:sz w:val="18"/>
                <w:szCs w:val="18"/>
              </w:rPr>
              <w:t>-</w:t>
            </w:r>
            <w:r w:rsidRPr="00511F0D">
              <w:rPr>
                <w:rFonts w:eastAsia="宋体" w:cs="Times New Roman" w:hint="eastAsia"/>
                <w:sz w:val="18"/>
                <w:szCs w:val="18"/>
              </w:rPr>
              <w:t>组合</w:t>
            </w:r>
            <w:r w:rsidRPr="00511F0D">
              <w:rPr>
                <w:rFonts w:eastAsia="宋体" w:cs="Times New Roman"/>
                <w:sz w:val="18"/>
                <w:szCs w:val="18"/>
              </w:rPr>
              <w:t>B</w:t>
            </w:r>
          </w:p>
        </w:tc>
        <w:tc>
          <w:tcPr>
            <w:tcW w:w="1531" w:type="dxa"/>
            <w:shd w:val="clear" w:color="auto" w:fill="FFFFFF" w:themeFill="background1"/>
            <w:vAlign w:val="center"/>
          </w:tcPr>
          <w:p w:rsidR="00815AEF" w:rsidRPr="00511F0D" w:rsidDel="0004262F" w:rsidRDefault="00815AEF" w:rsidP="00E456AF">
            <w:pPr>
              <w:jc w:val="right"/>
              <w:rPr>
                <w:rFonts w:eastAsia="宋体" w:cs="Times New Roman"/>
                <w:sz w:val="18"/>
                <w:szCs w:val="18"/>
              </w:rPr>
            </w:pPr>
            <w:r w:rsidRPr="00511F0D">
              <w:rPr>
                <w:rFonts w:eastAsia="宋体" w:cs="Times New Roman"/>
                <w:sz w:val="18"/>
                <w:szCs w:val="18"/>
              </w:rPr>
              <w:t>188,055,658.86</w:t>
            </w:r>
          </w:p>
        </w:tc>
        <w:tc>
          <w:tcPr>
            <w:tcW w:w="1081" w:type="dxa"/>
            <w:shd w:val="clear" w:color="auto" w:fill="FFFFFF" w:themeFill="background1"/>
            <w:vAlign w:val="center"/>
          </w:tcPr>
          <w:p w:rsidR="00815AEF" w:rsidRPr="00511F0D" w:rsidDel="0004262F" w:rsidRDefault="00815AEF" w:rsidP="00E456AF">
            <w:pPr>
              <w:jc w:val="right"/>
              <w:rPr>
                <w:rFonts w:eastAsia="宋体" w:cs="Times New Roman"/>
                <w:sz w:val="18"/>
                <w:szCs w:val="18"/>
              </w:rPr>
            </w:pPr>
            <w:r w:rsidRPr="00511F0D">
              <w:rPr>
                <w:rFonts w:eastAsia="宋体" w:cs="Times New Roman"/>
                <w:sz w:val="18"/>
                <w:szCs w:val="18"/>
              </w:rPr>
              <w:t>25.13</w:t>
            </w:r>
          </w:p>
        </w:tc>
        <w:tc>
          <w:tcPr>
            <w:tcW w:w="1531" w:type="dxa"/>
            <w:shd w:val="clear" w:color="auto" w:fill="FFFFFF" w:themeFill="background1"/>
            <w:vAlign w:val="center"/>
          </w:tcPr>
          <w:p w:rsidR="00815AEF" w:rsidRPr="00511F0D" w:rsidDel="0004262F" w:rsidRDefault="00815AEF" w:rsidP="00E456AF">
            <w:pPr>
              <w:jc w:val="right"/>
              <w:rPr>
                <w:rFonts w:eastAsia="宋体" w:cs="Times New Roman"/>
                <w:sz w:val="18"/>
                <w:szCs w:val="18"/>
              </w:rPr>
            </w:pPr>
            <w:r w:rsidRPr="00511F0D">
              <w:rPr>
                <w:rFonts w:eastAsia="宋体" w:cs="Times New Roman"/>
                <w:sz w:val="18"/>
                <w:szCs w:val="18"/>
              </w:rPr>
              <w:t>1,376,020.86</w:t>
            </w:r>
          </w:p>
        </w:tc>
        <w:tc>
          <w:tcPr>
            <w:tcW w:w="1232" w:type="dxa"/>
            <w:shd w:val="clear" w:color="auto" w:fill="FFFFFF" w:themeFill="background1"/>
            <w:vAlign w:val="center"/>
          </w:tcPr>
          <w:p w:rsidR="00815AEF" w:rsidRPr="00511F0D" w:rsidDel="0004262F" w:rsidRDefault="00815AEF" w:rsidP="00E456AF">
            <w:pPr>
              <w:jc w:val="right"/>
              <w:rPr>
                <w:rFonts w:eastAsia="宋体" w:cs="Times New Roman"/>
                <w:sz w:val="18"/>
                <w:szCs w:val="18"/>
              </w:rPr>
            </w:pPr>
            <w:r w:rsidRPr="00511F0D">
              <w:rPr>
                <w:rFonts w:eastAsia="宋体" w:cs="Times New Roman"/>
                <w:sz w:val="18"/>
                <w:szCs w:val="18"/>
              </w:rPr>
              <w:t>0.73</w:t>
            </w:r>
          </w:p>
        </w:tc>
        <w:tc>
          <w:tcPr>
            <w:tcW w:w="1739" w:type="dxa"/>
            <w:shd w:val="clear" w:color="auto" w:fill="FFFFFF" w:themeFill="background1"/>
            <w:vAlign w:val="center"/>
          </w:tcPr>
          <w:p w:rsidR="00815AEF" w:rsidRPr="00511F0D" w:rsidDel="0004262F" w:rsidRDefault="00815AEF" w:rsidP="00E456AF">
            <w:pPr>
              <w:jc w:val="right"/>
              <w:rPr>
                <w:rFonts w:eastAsia="宋体" w:cs="Times New Roman"/>
                <w:sz w:val="18"/>
                <w:szCs w:val="18"/>
              </w:rPr>
            </w:pPr>
            <w:r w:rsidRPr="00511F0D">
              <w:rPr>
                <w:rFonts w:eastAsia="宋体" w:cs="Times New Roman"/>
                <w:sz w:val="18"/>
                <w:szCs w:val="18"/>
              </w:rPr>
              <w:t>186,679,638.00</w:t>
            </w:r>
          </w:p>
        </w:tc>
      </w:tr>
      <w:tr w:rsidR="00815AEF" w:rsidRPr="00511F0D" w:rsidTr="0027505B">
        <w:trPr>
          <w:trHeight w:val="20"/>
        </w:trPr>
        <w:tc>
          <w:tcPr>
            <w:tcW w:w="2336" w:type="dxa"/>
            <w:shd w:val="clear" w:color="auto" w:fill="FFFFFF" w:themeFill="background1"/>
            <w:vAlign w:val="center"/>
          </w:tcPr>
          <w:p w:rsidR="00815AEF" w:rsidRPr="00511F0D" w:rsidRDefault="00815AEF" w:rsidP="00E456AF">
            <w:pPr>
              <w:ind w:left="543"/>
              <w:rPr>
                <w:rFonts w:eastAsia="宋体" w:cs="Times New Roman"/>
                <w:sz w:val="18"/>
                <w:szCs w:val="18"/>
              </w:rPr>
            </w:pPr>
            <w:r w:rsidRPr="00511F0D">
              <w:rPr>
                <w:rFonts w:eastAsia="宋体" w:cs="Times New Roman"/>
                <w:sz w:val="18"/>
                <w:szCs w:val="18"/>
              </w:rPr>
              <w:t>-</w:t>
            </w:r>
            <w:r w:rsidRPr="00511F0D">
              <w:rPr>
                <w:rFonts w:eastAsia="宋体" w:cs="Times New Roman" w:hint="eastAsia"/>
                <w:sz w:val="18"/>
                <w:szCs w:val="18"/>
              </w:rPr>
              <w:t>组合</w:t>
            </w:r>
            <w:r w:rsidRPr="00511F0D">
              <w:rPr>
                <w:rFonts w:eastAsia="宋体" w:cs="Times New Roman"/>
                <w:sz w:val="18"/>
                <w:szCs w:val="18"/>
              </w:rPr>
              <w:t>C</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290,465,376.63</w:t>
            </w:r>
          </w:p>
        </w:tc>
        <w:tc>
          <w:tcPr>
            <w:tcW w:w="108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38.82</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4,784,764.19</w:t>
            </w:r>
          </w:p>
        </w:tc>
        <w:tc>
          <w:tcPr>
            <w:tcW w:w="1232"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1.65</w:t>
            </w:r>
          </w:p>
        </w:tc>
        <w:tc>
          <w:tcPr>
            <w:tcW w:w="1739"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285,680,612.44</w:t>
            </w:r>
          </w:p>
        </w:tc>
      </w:tr>
      <w:tr w:rsidR="00815AEF" w:rsidRPr="00511F0D" w:rsidTr="0027505B">
        <w:trPr>
          <w:trHeight w:val="20"/>
        </w:trPr>
        <w:tc>
          <w:tcPr>
            <w:tcW w:w="2336" w:type="dxa"/>
            <w:shd w:val="clear" w:color="auto" w:fill="D9D9D9" w:themeFill="background1" w:themeFillShade="D9"/>
            <w:vAlign w:val="center"/>
          </w:tcPr>
          <w:p w:rsidR="00815AEF" w:rsidRPr="00511F0D" w:rsidRDefault="00815AEF" w:rsidP="00E456AF">
            <w:pPr>
              <w:rPr>
                <w:rFonts w:eastAsia="宋体" w:cs="Times New Roman"/>
                <w:sz w:val="18"/>
                <w:szCs w:val="18"/>
              </w:rPr>
            </w:pPr>
            <w:r w:rsidRPr="00511F0D">
              <w:rPr>
                <w:rFonts w:eastAsia="宋体" w:cs="Times New Roman" w:hint="eastAsia"/>
                <w:sz w:val="18"/>
                <w:szCs w:val="18"/>
              </w:rPr>
              <w:t>合计</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748,258,341.26</w:t>
            </w:r>
          </w:p>
        </w:tc>
        <w:tc>
          <w:tcPr>
            <w:tcW w:w="108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100.00</w:t>
            </w:r>
          </w:p>
        </w:tc>
        <w:tc>
          <w:tcPr>
            <w:tcW w:w="1531"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31,961,828.76</w:t>
            </w:r>
          </w:p>
        </w:tc>
        <w:tc>
          <w:tcPr>
            <w:tcW w:w="1232"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4.27</w:t>
            </w:r>
          </w:p>
        </w:tc>
        <w:tc>
          <w:tcPr>
            <w:tcW w:w="1739" w:type="dxa"/>
            <w:shd w:val="clear" w:color="auto" w:fill="FFFFFF" w:themeFill="background1"/>
            <w:vAlign w:val="center"/>
          </w:tcPr>
          <w:p w:rsidR="00815AEF" w:rsidRPr="00511F0D" w:rsidRDefault="00815AEF" w:rsidP="00E456AF">
            <w:pPr>
              <w:jc w:val="right"/>
              <w:rPr>
                <w:rFonts w:eastAsia="宋体" w:cs="Times New Roman"/>
                <w:sz w:val="18"/>
                <w:szCs w:val="18"/>
              </w:rPr>
            </w:pPr>
            <w:r w:rsidRPr="00511F0D">
              <w:rPr>
                <w:rFonts w:eastAsia="宋体" w:cs="Times New Roman"/>
                <w:sz w:val="18"/>
                <w:szCs w:val="18"/>
              </w:rPr>
              <w:t>716,296,512.50</w:t>
            </w:r>
          </w:p>
        </w:tc>
      </w:tr>
    </w:tbl>
    <w:p w:rsidR="00F72A40" w:rsidRPr="00F72A40" w:rsidRDefault="00F72A40">
      <w:pPr>
        <w:ind w:left="720"/>
        <w:jc w:val="both"/>
        <w:rPr>
          <w:rFonts w:eastAsia="宋体" w:cs="Times New Roman"/>
          <w:szCs w:val="21"/>
        </w:rPr>
      </w:pPr>
    </w:p>
    <w:p w:rsidR="00E50DFD" w:rsidRDefault="007D47F9" w:rsidP="007E2F61">
      <w:pPr>
        <w:ind w:left="720"/>
        <w:jc w:val="both"/>
        <w:rPr>
          <w:rFonts w:eastAsia="宋体" w:cs="Times New Roman"/>
          <w:szCs w:val="21"/>
        </w:rPr>
      </w:pPr>
      <w:r w:rsidRPr="00A71D2E">
        <w:rPr>
          <w:rFonts w:eastAsia="宋体" w:cs="Times New Roman" w:hint="eastAsia"/>
          <w:szCs w:val="21"/>
        </w:rPr>
        <w:t>按单项计提</w:t>
      </w:r>
      <w:r w:rsidR="00DD00C0">
        <w:rPr>
          <w:rFonts w:eastAsia="宋体" w:cs="Times New Roman" w:hint="eastAsia"/>
          <w:szCs w:val="21"/>
        </w:rPr>
        <w:t>坏账</w:t>
      </w:r>
      <w:r w:rsidRPr="00A71D2E">
        <w:rPr>
          <w:rFonts w:eastAsia="宋体" w:cs="Times New Roman" w:hint="eastAsia"/>
          <w:szCs w:val="21"/>
        </w:rPr>
        <w:t>准备</w:t>
      </w:r>
    </w:p>
    <w:p w:rsidR="00E50DFD" w:rsidRPr="00815AEF" w:rsidRDefault="00E50DFD" w:rsidP="00E50DFD">
      <w:pPr>
        <w:pStyle w:val="aff1"/>
        <w:ind w:left="1350" w:firstLineChars="0" w:firstLine="0"/>
        <w:jc w:val="right"/>
        <w:rPr>
          <w:szCs w:val="21"/>
        </w:rPr>
      </w:pPr>
      <w:r w:rsidRPr="00815AEF">
        <w:rPr>
          <w:rFonts w:hint="eastAsia"/>
          <w:szCs w:val="21"/>
        </w:rPr>
        <w:t>单位</w:t>
      </w:r>
      <w:r w:rsidR="005F14EE">
        <w:rPr>
          <w:rFonts w:hint="eastAsia"/>
          <w:szCs w:val="21"/>
        </w:rPr>
        <w:t>：</w:t>
      </w:r>
      <w:r w:rsidRPr="00815AEF">
        <w:rPr>
          <w:rFonts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1860"/>
        <w:gridCol w:w="1860"/>
        <w:gridCol w:w="1860"/>
      </w:tblGrid>
      <w:tr w:rsidR="00771092" w:rsidRPr="00A71D2E" w:rsidTr="0027505B">
        <w:trPr>
          <w:trHeight w:val="20"/>
        </w:trPr>
        <w:tc>
          <w:tcPr>
            <w:tcW w:w="3870" w:type="dxa"/>
            <w:vMerge w:val="restart"/>
            <w:shd w:val="clear" w:color="auto" w:fill="D9D9D9" w:themeFill="background1" w:themeFillShade="D9"/>
            <w:vAlign w:val="center"/>
          </w:tcPr>
          <w:p w:rsidR="00771092" w:rsidRPr="00A71D2E" w:rsidRDefault="00771092" w:rsidP="00E456AF">
            <w:pPr>
              <w:ind w:left="-260" w:firstLine="260"/>
              <w:jc w:val="center"/>
              <w:rPr>
                <w:rFonts w:eastAsia="宋体" w:cs="Times New Roman"/>
                <w:sz w:val="18"/>
                <w:szCs w:val="18"/>
              </w:rPr>
            </w:pPr>
            <w:r>
              <w:rPr>
                <w:rFonts w:eastAsia="宋体" w:cs="Times New Roman" w:hint="eastAsia"/>
                <w:sz w:val="18"/>
                <w:szCs w:val="18"/>
              </w:rPr>
              <w:t>名称</w:t>
            </w:r>
          </w:p>
        </w:tc>
        <w:tc>
          <w:tcPr>
            <w:tcW w:w="5580" w:type="dxa"/>
            <w:gridSpan w:val="3"/>
            <w:shd w:val="clear" w:color="auto" w:fill="D9D9D9" w:themeFill="background1" w:themeFillShade="D9"/>
            <w:vAlign w:val="center"/>
          </w:tcPr>
          <w:p w:rsidR="00771092" w:rsidRPr="00A71D2E" w:rsidRDefault="00771092" w:rsidP="00E456AF">
            <w:pPr>
              <w:jc w:val="center"/>
              <w:rPr>
                <w:rFonts w:eastAsia="宋体" w:cs="Times New Roman"/>
                <w:sz w:val="18"/>
                <w:szCs w:val="18"/>
              </w:rPr>
            </w:pPr>
            <w:r w:rsidRPr="00A71D2E">
              <w:rPr>
                <w:rFonts w:eastAsia="宋体" w:cs="Times New Roman" w:hint="eastAsia"/>
                <w:sz w:val="18"/>
                <w:szCs w:val="18"/>
              </w:rPr>
              <w:t>年末余额</w:t>
            </w:r>
          </w:p>
        </w:tc>
      </w:tr>
      <w:tr w:rsidR="00771092" w:rsidRPr="00A71D2E" w:rsidTr="0027505B">
        <w:trPr>
          <w:trHeight w:val="20"/>
        </w:trPr>
        <w:tc>
          <w:tcPr>
            <w:tcW w:w="3870" w:type="dxa"/>
            <w:vMerge/>
            <w:shd w:val="clear" w:color="auto" w:fill="D9D9D9" w:themeFill="background1" w:themeFillShade="D9"/>
            <w:vAlign w:val="center"/>
          </w:tcPr>
          <w:p w:rsidR="00771092" w:rsidRPr="00A71D2E" w:rsidRDefault="00771092" w:rsidP="00E456AF">
            <w:pPr>
              <w:jc w:val="center"/>
              <w:rPr>
                <w:rFonts w:eastAsia="宋体" w:cs="Times New Roman"/>
                <w:sz w:val="18"/>
                <w:szCs w:val="18"/>
              </w:rPr>
            </w:pPr>
          </w:p>
        </w:tc>
        <w:tc>
          <w:tcPr>
            <w:tcW w:w="1860" w:type="dxa"/>
            <w:shd w:val="clear" w:color="auto" w:fill="D9D9D9" w:themeFill="background1" w:themeFillShade="D9"/>
            <w:vAlign w:val="center"/>
          </w:tcPr>
          <w:p w:rsidR="00771092" w:rsidRPr="00A71D2E" w:rsidRDefault="00771092" w:rsidP="00E456AF">
            <w:pPr>
              <w:jc w:val="center"/>
              <w:rPr>
                <w:rFonts w:eastAsia="宋体" w:cs="Times New Roman"/>
                <w:sz w:val="18"/>
                <w:szCs w:val="18"/>
              </w:rPr>
            </w:pPr>
            <w:r>
              <w:rPr>
                <w:rFonts w:eastAsia="宋体" w:cs="Times New Roman" w:hint="eastAsia"/>
                <w:sz w:val="18"/>
                <w:szCs w:val="18"/>
              </w:rPr>
              <w:t>账面余额</w:t>
            </w:r>
          </w:p>
        </w:tc>
        <w:tc>
          <w:tcPr>
            <w:tcW w:w="1860" w:type="dxa"/>
            <w:shd w:val="clear" w:color="auto" w:fill="D9D9D9" w:themeFill="background1" w:themeFillShade="D9"/>
            <w:vAlign w:val="center"/>
          </w:tcPr>
          <w:p w:rsidR="00771092" w:rsidRPr="00A71D2E" w:rsidRDefault="00DE4324" w:rsidP="00E456AF">
            <w:pPr>
              <w:jc w:val="center"/>
              <w:rPr>
                <w:rFonts w:eastAsia="宋体" w:cs="Times New Roman"/>
                <w:sz w:val="18"/>
                <w:szCs w:val="18"/>
              </w:rPr>
            </w:pPr>
            <w:r>
              <w:rPr>
                <w:rFonts w:eastAsia="宋体" w:cs="Times New Roman" w:hint="eastAsia"/>
                <w:sz w:val="18"/>
                <w:szCs w:val="18"/>
              </w:rPr>
              <w:t>坏账</w:t>
            </w:r>
            <w:r w:rsidR="00771092">
              <w:rPr>
                <w:rFonts w:eastAsia="宋体" w:cs="Times New Roman" w:hint="eastAsia"/>
                <w:sz w:val="18"/>
                <w:szCs w:val="18"/>
              </w:rPr>
              <w:t>准备</w:t>
            </w:r>
          </w:p>
        </w:tc>
        <w:tc>
          <w:tcPr>
            <w:tcW w:w="1860" w:type="dxa"/>
            <w:shd w:val="clear" w:color="auto" w:fill="D9D9D9" w:themeFill="background1" w:themeFillShade="D9"/>
            <w:vAlign w:val="center"/>
          </w:tcPr>
          <w:p w:rsidR="00771092" w:rsidRPr="00A71D2E" w:rsidRDefault="00771092" w:rsidP="00E456AF">
            <w:pPr>
              <w:jc w:val="center"/>
              <w:rPr>
                <w:rFonts w:eastAsia="宋体" w:cs="Times New Roman"/>
                <w:sz w:val="18"/>
                <w:szCs w:val="18"/>
              </w:rPr>
            </w:pPr>
            <w:r>
              <w:rPr>
                <w:rFonts w:eastAsia="宋体" w:cs="Times New Roman" w:hint="eastAsia"/>
                <w:sz w:val="18"/>
                <w:szCs w:val="18"/>
              </w:rPr>
              <w:t>计提比例</w:t>
            </w:r>
            <w:r w:rsidR="005F14EE">
              <w:rPr>
                <w:rFonts w:eastAsia="宋体" w:cs="Times New Roman" w:hint="eastAsia"/>
                <w:sz w:val="18"/>
                <w:szCs w:val="18"/>
              </w:rPr>
              <w:t>(</w:t>
            </w:r>
            <w:r>
              <w:rPr>
                <w:rFonts w:eastAsia="宋体" w:cs="Times New Roman"/>
                <w:sz w:val="18"/>
                <w:szCs w:val="18"/>
              </w:rPr>
              <w:t>%</w:t>
            </w:r>
            <w:r w:rsidR="005F14EE">
              <w:rPr>
                <w:rFonts w:eastAsia="宋体" w:cs="Times New Roman"/>
                <w:sz w:val="18"/>
                <w:szCs w:val="18"/>
              </w:rPr>
              <w:t>)</w:t>
            </w:r>
          </w:p>
        </w:tc>
      </w:tr>
      <w:tr w:rsidR="00771092" w:rsidRPr="00A71D2E" w:rsidTr="0027505B">
        <w:trPr>
          <w:trHeight w:val="20"/>
        </w:trPr>
        <w:tc>
          <w:tcPr>
            <w:tcW w:w="3870" w:type="dxa"/>
            <w:shd w:val="clear" w:color="auto" w:fill="FFFFFF" w:themeFill="background1"/>
            <w:vAlign w:val="center"/>
          </w:tcPr>
          <w:p w:rsidR="00771092" w:rsidRPr="00A71D2E" w:rsidRDefault="00771092" w:rsidP="00E456AF">
            <w:pPr>
              <w:rPr>
                <w:rFonts w:eastAsia="宋体" w:cs="Times New Roman"/>
                <w:sz w:val="18"/>
                <w:szCs w:val="18"/>
              </w:rPr>
            </w:pPr>
            <w:r w:rsidRPr="00771092">
              <w:rPr>
                <w:rFonts w:eastAsia="宋体" w:cs="Times New Roman" w:hint="eastAsia"/>
                <w:sz w:val="18"/>
                <w:szCs w:val="18"/>
              </w:rPr>
              <w:t>宝塔集团</w:t>
            </w:r>
            <w:r>
              <w:rPr>
                <w:rFonts w:eastAsia="宋体" w:cs="Times New Roman" w:hint="eastAsia"/>
                <w:sz w:val="18"/>
                <w:szCs w:val="18"/>
              </w:rPr>
              <w:t>及其</w:t>
            </w:r>
            <w:r w:rsidRPr="00771092">
              <w:rPr>
                <w:rFonts w:eastAsia="宋体" w:cs="Times New Roman" w:hint="eastAsia"/>
                <w:sz w:val="18"/>
                <w:szCs w:val="18"/>
              </w:rPr>
              <w:t>下属公司</w:t>
            </w:r>
          </w:p>
        </w:tc>
        <w:tc>
          <w:tcPr>
            <w:tcW w:w="1860" w:type="dxa"/>
            <w:shd w:val="clear" w:color="auto" w:fill="FFFFFF" w:themeFill="background1"/>
            <w:vAlign w:val="center"/>
          </w:tcPr>
          <w:p w:rsidR="00771092" w:rsidRPr="00A71D2E" w:rsidRDefault="00771092" w:rsidP="00E456AF">
            <w:pPr>
              <w:jc w:val="right"/>
              <w:rPr>
                <w:rFonts w:eastAsia="宋体" w:cs="Times New Roman"/>
                <w:sz w:val="18"/>
                <w:szCs w:val="18"/>
              </w:rPr>
            </w:pPr>
            <w:r w:rsidRPr="00771092">
              <w:rPr>
                <w:rFonts w:eastAsia="宋体" w:cs="Times New Roman"/>
                <w:sz w:val="18"/>
                <w:szCs w:val="18"/>
              </w:rPr>
              <w:t>24,282,167.95</w:t>
            </w:r>
          </w:p>
        </w:tc>
        <w:tc>
          <w:tcPr>
            <w:tcW w:w="1860" w:type="dxa"/>
            <w:shd w:val="clear" w:color="auto" w:fill="FFFFFF" w:themeFill="background1"/>
            <w:vAlign w:val="center"/>
          </w:tcPr>
          <w:p w:rsidR="00771092" w:rsidRPr="00A71D2E" w:rsidRDefault="00771092" w:rsidP="00E456AF">
            <w:pPr>
              <w:jc w:val="right"/>
              <w:rPr>
                <w:rFonts w:eastAsia="宋体" w:cs="Times New Roman"/>
                <w:sz w:val="18"/>
                <w:szCs w:val="18"/>
              </w:rPr>
            </w:pPr>
            <w:r w:rsidRPr="00771092">
              <w:rPr>
                <w:rFonts w:eastAsia="宋体" w:cs="Times New Roman"/>
                <w:sz w:val="18"/>
                <w:szCs w:val="18"/>
              </w:rPr>
              <w:t>24,282,167.95</w:t>
            </w:r>
          </w:p>
        </w:tc>
        <w:tc>
          <w:tcPr>
            <w:tcW w:w="1860" w:type="dxa"/>
            <w:shd w:val="clear" w:color="auto" w:fill="FFFFFF" w:themeFill="background1"/>
            <w:vAlign w:val="center"/>
          </w:tcPr>
          <w:p w:rsidR="00771092" w:rsidRPr="00A71D2E" w:rsidRDefault="00771092" w:rsidP="00E456AF">
            <w:pPr>
              <w:jc w:val="right"/>
              <w:rPr>
                <w:rFonts w:eastAsia="宋体" w:cs="Times New Roman"/>
                <w:sz w:val="18"/>
                <w:szCs w:val="18"/>
              </w:rPr>
            </w:pPr>
            <w:r w:rsidRPr="00771092">
              <w:rPr>
                <w:rFonts w:eastAsia="宋体" w:cs="Times New Roman"/>
                <w:sz w:val="18"/>
                <w:szCs w:val="18"/>
              </w:rPr>
              <w:t>100.00</w:t>
            </w:r>
          </w:p>
        </w:tc>
      </w:tr>
      <w:tr w:rsidR="00771092" w:rsidRPr="00A71D2E" w:rsidTr="0027505B">
        <w:trPr>
          <w:trHeight w:val="20"/>
        </w:trPr>
        <w:tc>
          <w:tcPr>
            <w:tcW w:w="3870" w:type="dxa"/>
            <w:shd w:val="clear" w:color="auto" w:fill="D9D9D9" w:themeFill="background1" w:themeFillShade="D9"/>
            <w:vAlign w:val="center"/>
          </w:tcPr>
          <w:p w:rsidR="00771092" w:rsidRPr="00A71D2E" w:rsidRDefault="00771092" w:rsidP="00E456AF">
            <w:pPr>
              <w:rPr>
                <w:rFonts w:eastAsia="宋体" w:cs="Times New Roman"/>
                <w:sz w:val="18"/>
                <w:szCs w:val="18"/>
              </w:rPr>
            </w:pPr>
            <w:r w:rsidRPr="00A71D2E">
              <w:rPr>
                <w:rFonts w:eastAsia="宋体" w:cs="Times New Roman" w:hint="eastAsia"/>
                <w:sz w:val="18"/>
                <w:szCs w:val="18"/>
              </w:rPr>
              <w:t>合计</w:t>
            </w:r>
          </w:p>
        </w:tc>
        <w:tc>
          <w:tcPr>
            <w:tcW w:w="1860" w:type="dxa"/>
            <w:shd w:val="clear" w:color="auto" w:fill="FFFFFF" w:themeFill="background1"/>
            <w:vAlign w:val="center"/>
          </w:tcPr>
          <w:p w:rsidR="00771092" w:rsidRPr="00A71D2E" w:rsidRDefault="00771092" w:rsidP="00E456AF">
            <w:pPr>
              <w:jc w:val="right"/>
              <w:rPr>
                <w:rFonts w:eastAsia="宋体" w:cs="Times New Roman"/>
                <w:sz w:val="18"/>
                <w:szCs w:val="18"/>
              </w:rPr>
            </w:pPr>
            <w:r w:rsidRPr="00771092">
              <w:rPr>
                <w:rFonts w:eastAsia="宋体" w:cs="Times New Roman"/>
                <w:sz w:val="18"/>
                <w:szCs w:val="18"/>
              </w:rPr>
              <w:t>24,282,167.95</w:t>
            </w:r>
          </w:p>
        </w:tc>
        <w:tc>
          <w:tcPr>
            <w:tcW w:w="1860" w:type="dxa"/>
            <w:shd w:val="clear" w:color="auto" w:fill="FFFFFF" w:themeFill="background1"/>
            <w:vAlign w:val="center"/>
          </w:tcPr>
          <w:p w:rsidR="00771092" w:rsidRPr="00A71D2E" w:rsidRDefault="00771092" w:rsidP="00E456AF">
            <w:pPr>
              <w:jc w:val="right"/>
              <w:rPr>
                <w:rFonts w:eastAsia="宋体" w:cs="Times New Roman"/>
                <w:sz w:val="18"/>
                <w:szCs w:val="18"/>
              </w:rPr>
            </w:pPr>
            <w:r w:rsidRPr="00771092">
              <w:rPr>
                <w:rFonts w:eastAsia="宋体" w:cs="Times New Roman"/>
                <w:sz w:val="18"/>
                <w:szCs w:val="18"/>
              </w:rPr>
              <w:t>24,282,167.95</w:t>
            </w:r>
          </w:p>
        </w:tc>
        <w:tc>
          <w:tcPr>
            <w:tcW w:w="1860" w:type="dxa"/>
            <w:shd w:val="clear" w:color="auto" w:fill="FFFFFF" w:themeFill="background1"/>
            <w:vAlign w:val="center"/>
          </w:tcPr>
          <w:p w:rsidR="00771092" w:rsidRPr="00A71D2E" w:rsidRDefault="00771092" w:rsidP="00771092">
            <w:pPr>
              <w:jc w:val="right"/>
              <w:rPr>
                <w:rFonts w:eastAsia="宋体" w:cs="Times New Roman"/>
                <w:sz w:val="18"/>
                <w:szCs w:val="18"/>
              </w:rPr>
            </w:pPr>
            <w:r w:rsidRPr="00771092">
              <w:rPr>
                <w:rFonts w:eastAsia="宋体" w:cs="Times New Roman"/>
                <w:sz w:val="18"/>
                <w:szCs w:val="18"/>
              </w:rPr>
              <w:t>100.00</w:t>
            </w:r>
          </w:p>
        </w:tc>
      </w:tr>
    </w:tbl>
    <w:p w:rsidR="00E40247" w:rsidRDefault="00E40247" w:rsidP="007E2F61">
      <w:pPr>
        <w:ind w:leftChars="337" w:left="708"/>
        <w:jc w:val="both"/>
        <w:rPr>
          <w:rFonts w:eastAsia="宋体" w:cs="Times New Roman"/>
          <w:szCs w:val="21"/>
        </w:rPr>
      </w:pPr>
    </w:p>
    <w:p w:rsidR="00E40247" w:rsidRDefault="00E40247">
      <w:pPr>
        <w:adjustRightInd/>
        <w:snapToGrid/>
        <w:rPr>
          <w:rFonts w:eastAsia="宋体" w:cs="Times New Roman"/>
          <w:szCs w:val="21"/>
        </w:rPr>
      </w:pPr>
      <w:r>
        <w:rPr>
          <w:rFonts w:eastAsia="宋体" w:cs="Times New Roman"/>
          <w:szCs w:val="21"/>
        </w:rPr>
        <w:br w:type="page"/>
      </w:r>
    </w:p>
    <w:p w:rsidR="00E40247" w:rsidRPr="00A71D2E" w:rsidRDefault="005F14EE" w:rsidP="00E40247">
      <w:pPr>
        <w:rPr>
          <w:rFonts w:eastAsia="宋体" w:cs="Times New Roman"/>
          <w:szCs w:val="21"/>
        </w:rPr>
      </w:pPr>
      <w:r>
        <w:rPr>
          <w:rFonts w:eastAsia="宋体" w:cs="Times New Roman"/>
          <w:b/>
          <w:szCs w:val="21"/>
        </w:rPr>
        <w:t>(</w:t>
      </w:r>
      <w:r w:rsidR="00E40247" w:rsidRPr="00A71D2E">
        <w:rPr>
          <w:rFonts w:eastAsia="宋体" w:cs="Times New Roman" w:hint="eastAsia"/>
          <w:b/>
          <w:szCs w:val="21"/>
        </w:rPr>
        <w:t>五</w:t>
      </w:r>
      <w:r>
        <w:rPr>
          <w:rFonts w:eastAsia="宋体" w:cs="Times New Roman"/>
          <w:b/>
          <w:szCs w:val="21"/>
        </w:rPr>
        <w:t>)</w:t>
      </w:r>
      <w:r w:rsidR="00E40247" w:rsidRPr="00A71D2E">
        <w:rPr>
          <w:rFonts w:eastAsia="宋体" w:cs="Times New Roman"/>
          <w:b/>
          <w:szCs w:val="21"/>
        </w:rPr>
        <w:tab/>
      </w:r>
      <w:r w:rsidR="00E40247" w:rsidRPr="00A71D2E">
        <w:rPr>
          <w:rFonts w:eastAsia="宋体" w:cs="Times New Roman" w:hint="eastAsia"/>
          <w:b/>
          <w:szCs w:val="21"/>
        </w:rPr>
        <w:t>合并财务报表项目注释</w:t>
      </w:r>
      <w:r w:rsidR="00E40247" w:rsidRPr="00A71D2E">
        <w:rPr>
          <w:rFonts w:eastAsia="宋体" w:cs="Times New Roman"/>
          <w:szCs w:val="21"/>
        </w:rPr>
        <w:t xml:space="preserve"> - </w:t>
      </w:r>
      <w:r w:rsidR="00E40247" w:rsidRPr="00A71D2E">
        <w:rPr>
          <w:rFonts w:eastAsia="宋体" w:cs="Times New Roman" w:hint="eastAsia"/>
          <w:szCs w:val="21"/>
        </w:rPr>
        <w:t>续</w:t>
      </w:r>
    </w:p>
    <w:p w:rsidR="00E40247" w:rsidRPr="007E2F61" w:rsidRDefault="00E40247" w:rsidP="00E40247">
      <w:pPr>
        <w:ind w:left="720"/>
        <w:jc w:val="both"/>
        <w:rPr>
          <w:rFonts w:eastAsia="宋体" w:cs="Times New Roman"/>
          <w:szCs w:val="21"/>
        </w:rPr>
      </w:pPr>
    </w:p>
    <w:p w:rsidR="00E40247" w:rsidRPr="00A71D2E" w:rsidRDefault="00E40247" w:rsidP="00E40247">
      <w:pPr>
        <w:ind w:left="720"/>
        <w:jc w:val="both"/>
        <w:rPr>
          <w:rFonts w:eastAsia="宋体" w:cs="Times New Roman"/>
          <w:szCs w:val="21"/>
        </w:rPr>
      </w:pPr>
      <w:r>
        <w:rPr>
          <w:rFonts w:eastAsia="宋体" w:cs="Times New Roman"/>
          <w:b/>
          <w:szCs w:val="21"/>
        </w:rPr>
        <w:t>3</w:t>
      </w:r>
      <w:r w:rsidRPr="00A71D2E">
        <w:rPr>
          <w:rFonts w:eastAsia="宋体" w:cs="Times New Roman" w:hint="eastAsia"/>
          <w:b/>
          <w:szCs w:val="21"/>
        </w:rPr>
        <w:t>、</w:t>
      </w:r>
      <w:r w:rsidRPr="00A71D2E">
        <w:rPr>
          <w:rFonts w:eastAsia="宋体" w:cs="Times New Roman"/>
          <w:b/>
          <w:szCs w:val="21"/>
        </w:rPr>
        <w:tab/>
      </w:r>
      <w:r w:rsidRPr="00A71D2E">
        <w:rPr>
          <w:rFonts w:eastAsia="宋体" w:cs="Times New Roman" w:hint="eastAsia"/>
          <w:b/>
          <w:szCs w:val="21"/>
        </w:rPr>
        <w:t>应收</w:t>
      </w:r>
      <w:r>
        <w:rPr>
          <w:rFonts w:eastAsia="宋体" w:cs="Times New Roman" w:hint="eastAsia"/>
          <w:b/>
          <w:szCs w:val="21"/>
        </w:rPr>
        <w:t>账</w:t>
      </w:r>
      <w:r w:rsidRPr="00A71D2E">
        <w:rPr>
          <w:rFonts w:eastAsia="宋体" w:cs="Times New Roman" w:hint="eastAsia"/>
          <w:b/>
          <w:szCs w:val="21"/>
        </w:rPr>
        <w:t>款</w:t>
      </w:r>
      <w:r w:rsidRPr="00A71D2E">
        <w:rPr>
          <w:rFonts w:eastAsia="宋体" w:cs="Times New Roman"/>
          <w:bCs/>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E40247" w:rsidRDefault="00E40247" w:rsidP="00E40247">
      <w:pPr>
        <w:ind w:left="720"/>
        <w:jc w:val="both"/>
        <w:rPr>
          <w:rFonts w:eastAsia="宋体" w:cs="Times New Roman"/>
          <w:szCs w:val="21"/>
        </w:rPr>
      </w:pPr>
    </w:p>
    <w:p w:rsidR="00E40247" w:rsidRDefault="005F14EE" w:rsidP="00E40247">
      <w:pPr>
        <w:ind w:left="720"/>
        <w:jc w:val="both"/>
        <w:rPr>
          <w:rFonts w:eastAsia="宋体" w:cs="Times New Roman"/>
          <w:szCs w:val="21"/>
        </w:rPr>
      </w:pPr>
      <w:r w:rsidRPr="00C76406">
        <w:rPr>
          <w:rFonts w:eastAsia="宋体" w:cs="Times New Roman"/>
          <w:szCs w:val="21"/>
        </w:rPr>
        <w:t>(</w:t>
      </w:r>
      <w:r w:rsidR="00E40247" w:rsidRPr="00C76406">
        <w:rPr>
          <w:rFonts w:eastAsia="宋体" w:cs="Times New Roman"/>
          <w:szCs w:val="21"/>
        </w:rPr>
        <w:t>2</w:t>
      </w:r>
      <w:r w:rsidRPr="00C76406">
        <w:rPr>
          <w:rFonts w:eastAsia="宋体" w:cs="Times New Roman"/>
          <w:szCs w:val="21"/>
        </w:rPr>
        <w:t>)</w:t>
      </w:r>
      <w:r w:rsidR="00E40247" w:rsidRPr="00C76406">
        <w:rPr>
          <w:rFonts w:eastAsia="宋体" w:cs="Times New Roman"/>
          <w:szCs w:val="21"/>
        </w:rPr>
        <w:tab/>
      </w:r>
      <w:r w:rsidR="0027505B" w:rsidRPr="00C76406">
        <w:rPr>
          <w:rFonts w:eastAsia="宋体" w:cs="Times New Roman" w:hint="eastAsia"/>
          <w:szCs w:val="21"/>
        </w:rPr>
        <w:t>按坏账准备</w:t>
      </w:r>
      <w:r w:rsidR="00E40247" w:rsidRPr="00C76406">
        <w:rPr>
          <w:rFonts w:eastAsia="宋体" w:cs="Times New Roman" w:hint="eastAsia"/>
          <w:szCs w:val="21"/>
        </w:rPr>
        <w:t>计提方法分类披露</w:t>
      </w:r>
      <w:r w:rsidR="00E40247" w:rsidRPr="00C76406">
        <w:rPr>
          <w:rFonts w:eastAsia="宋体" w:cs="Times New Roman"/>
          <w:szCs w:val="21"/>
        </w:rPr>
        <w:t xml:space="preserve"> - </w:t>
      </w:r>
      <w:r w:rsidR="00E40247" w:rsidRPr="00C76406">
        <w:rPr>
          <w:rFonts w:eastAsia="宋体" w:cs="Times New Roman" w:hint="eastAsia"/>
          <w:szCs w:val="21"/>
        </w:rPr>
        <w:t>续</w:t>
      </w:r>
    </w:p>
    <w:p w:rsidR="00E36439" w:rsidRDefault="00E36439" w:rsidP="00E40247">
      <w:pPr>
        <w:ind w:left="720"/>
        <w:jc w:val="both"/>
        <w:rPr>
          <w:rFonts w:eastAsia="宋体" w:cs="Times New Roman"/>
          <w:szCs w:val="21"/>
        </w:rPr>
      </w:pPr>
    </w:p>
    <w:p w:rsidR="00E36439" w:rsidRDefault="00E36439" w:rsidP="00E36439">
      <w:pPr>
        <w:ind w:left="720"/>
        <w:jc w:val="both"/>
        <w:rPr>
          <w:rFonts w:eastAsia="宋体" w:cs="Times New Roman"/>
          <w:szCs w:val="21"/>
        </w:rPr>
      </w:pPr>
      <w:r w:rsidRPr="00A71D2E">
        <w:rPr>
          <w:rFonts w:eastAsia="宋体" w:cs="Times New Roman" w:hint="eastAsia"/>
          <w:szCs w:val="21"/>
        </w:rPr>
        <w:t>按单项计提</w:t>
      </w:r>
      <w:r>
        <w:rPr>
          <w:rFonts w:eastAsia="宋体" w:cs="Times New Roman" w:hint="eastAsia"/>
          <w:szCs w:val="21"/>
        </w:rPr>
        <w:t>坏账</w:t>
      </w:r>
      <w:r w:rsidRPr="00A71D2E">
        <w:rPr>
          <w:rFonts w:eastAsia="宋体" w:cs="Times New Roman" w:hint="eastAsia"/>
          <w:szCs w:val="21"/>
        </w:rPr>
        <w:t>准备</w:t>
      </w:r>
      <w:r>
        <w:rPr>
          <w:rFonts w:eastAsia="宋体" w:cs="Times New Roman" w:hint="eastAsia"/>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1A4A9A" w:rsidRPr="00815AEF" w:rsidRDefault="001A4A9A" w:rsidP="001A4A9A">
      <w:pPr>
        <w:pStyle w:val="aff1"/>
        <w:ind w:left="1350" w:firstLineChars="0" w:firstLine="0"/>
        <w:jc w:val="right"/>
        <w:rPr>
          <w:szCs w:val="21"/>
        </w:rPr>
      </w:pPr>
      <w:r w:rsidRPr="00815AEF">
        <w:rPr>
          <w:rFonts w:hint="eastAsia"/>
          <w:szCs w:val="21"/>
        </w:rPr>
        <w:t>单位</w:t>
      </w:r>
      <w:r w:rsidR="005F14EE">
        <w:rPr>
          <w:rFonts w:hint="eastAsia"/>
          <w:szCs w:val="21"/>
        </w:rPr>
        <w:t>：</w:t>
      </w:r>
      <w:r w:rsidRPr="00815AEF">
        <w:rPr>
          <w:rFonts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5"/>
        <w:gridCol w:w="1875"/>
        <w:gridCol w:w="1875"/>
        <w:gridCol w:w="1875"/>
      </w:tblGrid>
      <w:tr w:rsidR="001A4A9A" w:rsidRPr="00A71D2E" w:rsidTr="0027505B">
        <w:trPr>
          <w:trHeight w:val="20"/>
        </w:trPr>
        <w:tc>
          <w:tcPr>
            <w:tcW w:w="3825" w:type="dxa"/>
            <w:vMerge w:val="restart"/>
            <w:shd w:val="clear" w:color="auto" w:fill="D9D9D9" w:themeFill="background1" w:themeFillShade="D9"/>
            <w:vAlign w:val="center"/>
          </w:tcPr>
          <w:p w:rsidR="001A4A9A" w:rsidRPr="00A71D2E" w:rsidRDefault="001A4A9A" w:rsidP="00E456AF">
            <w:pPr>
              <w:ind w:left="-260" w:firstLine="260"/>
              <w:jc w:val="center"/>
              <w:rPr>
                <w:rFonts w:eastAsia="宋体" w:cs="Times New Roman"/>
                <w:sz w:val="18"/>
                <w:szCs w:val="18"/>
              </w:rPr>
            </w:pPr>
            <w:r>
              <w:rPr>
                <w:rFonts w:eastAsia="宋体" w:cs="Times New Roman" w:hint="eastAsia"/>
                <w:sz w:val="18"/>
                <w:szCs w:val="18"/>
              </w:rPr>
              <w:t>名称</w:t>
            </w:r>
          </w:p>
        </w:tc>
        <w:tc>
          <w:tcPr>
            <w:tcW w:w="5625" w:type="dxa"/>
            <w:gridSpan w:val="3"/>
            <w:shd w:val="clear" w:color="auto" w:fill="D9D9D9" w:themeFill="background1" w:themeFillShade="D9"/>
            <w:vAlign w:val="center"/>
          </w:tcPr>
          <w:p w:rsidR="001A4A9A" w:rsidRPr="00A71D2E" w:rsidRDefault="001A4A9A" w:rsidP="00E456AF">
            <w:pPr>
              <w:jc w:val="center"/>
              <w:rPr>
                <w:rFonts w:eastAsia="宋体" w:cs="Times New Roman"/>
                <w:sz w:val="18"/>
                <w:szCs w:val="18"/>
              </w:rPr>
            </w:pPr>
            <w:r w:rsidRPr="00A71D2E">
              <w:rPr>
                <w:rFonts w:eastAsia="宋体" w:cs="Times New Roman" w:hint="eastAsia"/>
                <w:sz w:val="18"/>
                <w:szCs w:val="18"/>
              </w:rPr>
              <w:t>年</w:t>
            </w:r>
            <w:r>
              <w:rPr>
                <w:rFonts w:eastAsia="宋体" w:cs="Times New Roman" w:hint="eastAsia"/>
                <w:sz w:val="18"/>
                <w:szCs w:val="18"/>
              </w:rPr>
              <w:t>初</w:t>
            </w:r>
            <w:r w:rsidRPr="00A71D2E">
              <w:rPr>
                <w:rFonts w:eastAsia="宋体" w:cs="Times New Roman" w:hint="eastAsia"/>
                <w:sz w:val="18"/>
                <w:szCs w:val="18"/>
              </w:rPr>
              <w:t>余额</w:t>
            </w:r>
          </w:p>
        </w:tc>
      </w:tr>
      <w:tr w:rsidR="001A4A9A" w:rsidRPr="00A71D2E" w:rsidTr="0027505B">
        <w:trPr>
          <w:trHeight w:val="20"/>
        </w:trPr>
        <w:tc>
          <w:tcPr>
            <w:tcW w:w="3825" w:type="dxa"/>
            <w:vMerge/>
            <w:shd w:val="clear" w:color="auto" w:fill="D9D9D9" w:themeFill="background1" w:themeFillShade="D9"/>
            <w:vAlign w:val="center"/>
          </w:tcPr>
          <w:p w:rsidR="001A4A9A" w:rsidRPr="00A71D2E" w:rsidRDefault="001A4A9A" w:rsidP="00E456AF">
            <w:pPr>
              <w:jc w:val="center"/>
              <w:rPr>
                <w:rFonts w:eastAsia="宋体" w:cs="Times New Roman"/>
                <w:sz w:val="18"/>
                <w:szCs w:val="18"/>
              </w:rPr>
            </w:pPr>
          </w:p>
        </w:tc>
        <w:tc>
          <w:tcPr>
            <w:tcW w:w="1875" w:type="dxa"/>
            <w:shd w:val="clear" w:color="auto" w:fill="D9D9D9" w:themeFill="background1" w:themeFillShade="D9"/>
            <w:vAlign w:val="center"/>
          </w:tcPr>
          <w:p w:rsidR="001A4A9A" w:rsidRPr="00A71D2E" w:rsidRDefault="001A4A9A" w:rsidP="00E456AF">
            <w:pPr>
              <w:jc w:val="center"/>
              <w:rPr>
                <w:rFonts w:eastAsia="宋体" w:cs="Times New Roman"/>
                <w:sz w:val="18"/>
                <w:szCs w:val="18"/>
              </w:rPr>
            </w:pPr>
            <w:r>
              <w:rPr>
                <w:rFonts w:eastAsia="宋体" w:cs="Times New Roman" w:hint="eastAsia"/>
                <w:sz w:val="18"/>
                <w:szCs w:val="18"/>
              </w:rPr>
              <w:t>账面余额</w:t>
            </w:r>
          </w:p>
        </w:tc>
        <w:tc>
          <w:tcPr>
            <w:tcW w:w="1875" w:type="dxa"/>
            <w:shd w:val="clear" w:color="auto" w:fill="D9D9D9" w:themeFill="background1" w:themeFillShade="D9"/>
            <w:vAlign w:val="center"/>
          </w:tcPr>
          <w:p w:rsidR="001A4A9A" w:rsidRPr="00A71D2E" w:rsidRDefault="00DE4324" w:rsidP="00E456AF">
            <w:pPr>
              <w:jc w:val="center"/>
              <w:rPr>
                <w:rFonts w:eastAsia="宋体" w:cs="Times New Roman"/>
                <w:sz w:val="18"/>
                <w:szCs w:val="18"/>
              </w:rPr>
            </w:pPr>
            <w:r>
              <w:rPr>
                <w:rFonts w:eastAsia="宋体" w:cs="Times New Roman" w:hint="eastAsia"/>
                <w:sz w:val="18"/>
                <w:szCs w:val="18"/>
              </w:rPr>
              <w:t>坏账</w:t>
            </w:r>
            <w:r w:rsidR="001A4A9A">
              <w:rPr>
                <w:rFonts w:eastAsia="宋体" w:cs="Times New Roman" w:hint="eastAsia"/>
                <w:sz w:val="18"/>
                <w:szCs w:val="18"/>
              </w:rPr>
              <w:t>准备</w:t>
            </w:r>
          </w:p>
        </w:tc>
        <w:tc>
          <w:tcPr>
            <w:tcW w:w="1875" w:type="dxa"/>
            <w:shd w:val="clear" w:color="auto" w:fill="D9D9D9" w:themeFill="background1" w:themeFillShade="D9"/>
            <w:vAlign w:val="center"/>
          </w:tcPr>
          <w:p w:rsidR="001A4A9A" w:rsidRPr="00A71D2E" w:rsidRDefault="001A4A9A" w:rsidP="00E456AF">
            <w:pPr>
              <w:jc w:val="center"/>
              <w:rPr>
                <w:rFonts w:eastAsia="宋体" w:cs="Times New Roman"/>
                <w:sz w:val="18"/>
                <w:szCs w:val="18"/>
              </w:rPr>
            </w:pPr>
            <w:r>
              <w:rPr>
                <w:rFonts w:eastAsia="宋体" w:cs="Times New Roman" w:hint="eastAsia"/>
                <w:sz w:val="18"/>
                <w:szCs w:val="18"/>
              </w:rPr>
              <w:t>计提比例</w:t>
            </w:r>
            <w:r w:rsidR="005F14EE">
              <w:rPr>
                <w:rFonts w:eastAsia="宋体" w:cs="Times New Roman" w:hint="eastAsia"/>
                <w:sz w:val="18"/>
                <w:szCs w:val="18"/>
              </w:rPr>
              <w:t>(</w:t>
            </w:r>
            <w:r>
              <w:rPr>
                <w:rFonts w:eastAsia="宋体" w:cs="Times New Roman"/>
                <w:sz w:val="18"/>
                <w:szCs w:val="18"/>
              </w:rPr>
              <w:t>%</w:t>
            </w:r>
            <w:r w:rsidR="005F14EE">
              <w:rPr>
                <w:rFonts w:eastAsia="宋体" w:cs="Times New Roman"/>
                <w:sz w:val="18"/>
                <w:szCs w:val="18"/>
              </w:rPr>
              <w:t>)</w:t>
            </w:r>
          </w:p>
        </w:tc>
      </w:tr>
      <w:tr w:rsidR="001A4A9A" w:rsidRPr="00A71D2E" w:rsidTr="0027505B">
        <w:trPr>
          <w:trHeight w:val="20"/>
        </w:trPr>
        <w:tc>
          <w:tcPr>
            <w:tcW w:w="3825" w:type="dxa"/>
            <w:shd w:val="clear" w:color="auto" w:fill="FFFFFF" w:themeFill="background1"/>
            <w:vAlign w:val="center"/>
          </w:tcPr>
          <w:p w:rsidR="001A4A9A" w:rsidRPr="00A71D2E" w:rsidRDefault="001A4A9A" w:rsidP="00E456AF">
            <w:pPr>
              <w:rPr>
                <w:rFonts w:eastAsia="宋体" w:cs="Times New Roman"/>
                <w:sz w:val="18"/>
                <w:szCs w:val="18"/>
              </w:rPr>
            </w:pPr>
            <w:r w:rsidRPr="00771092">
              <w:rPr>
                <w:rFonts w:eastAsia="宋体" w:cs="Times New Roman" w:hint="eastAsia"/>
                <w:sz w:val="18"/>
                <w:szCs w:val="18"/>
              </w:rPr>
              <w:t>宝塔集团</w:t>
            </w:r>
            <w:r>
              <w:rPr>
                <w:rFonts w:eastAsia="宋体" w:cs="Times New Roman" w:hint="eastAsia"/>
                <w:sz w:val="18"/>
                <w:szCs w:val="18"/>
              </w:rPr>
              <w:t>及其</w:t>
            </w:r>
            <w:r w:rsidRPr="00771092">
              <w:rPr>
                <w:rFonts w:eastAsia="宋体" w:cs="Times New Roman" w:hint="eastAsia"/>
                <w:sz w:val="18"/>
                <w:szCs w:val="18"/>
              </w:rPr>
              <w:t>下属公司</w:t>
            </w:r>
          </w:p>
        </w:tc>
        <w:tc>
          <w:tcPr>
            <w:tcW w:w="1875" w:type="dxa"/>
            <w:shd w:val="clear" w:color="auto" w:fill="FFFFFF" w:themeFill="background1"/>
            <w:vAlign w:val="center"/>
          </w:tcPr>
          <w:p w:rsidR="001A4A9A" w:rsidRPr="00A71D2E" w:rsidRDefault="00B2693B" w:rsidP="00E456AF">
            <w:pPr>
              <w:jc w:val="right"/>
              <w:rPr>
                <w:rFonts w:eastAsia="宋体" w:cs="Times New Roman"/>
                <w:sz w:val="18"/>
                <w:szCs w:val="18"/>
              </w:rPr>
            </w:pPr>
            <w:r w:rsidRPr="00B2693B">
              <w:rPr>
                <w:rFonts w:eastAsia="宋体" w:cs="Times New Roman"/>
                <w:sz w:val="18"/>
                <w:szCs w:val="18"/>
              </w:rPr>
              <w:t>24,679,631.95</w:t>
            </w:r>
          </w:p>
        </w:tc>
        <w:tc>
          <w:tcPr>
            <w:tcW w:w="1875" w:type="dxa"/>
            <w:shd w:val="clear" w:color="auto" w:fill="FFFFFF" w:themeFill="background1"/>
            <w:vAlign w:val="center"/>
          </w:tcPr>
          <w:p w:rsidR="001A4A9A" w:rsidRPr="00A71D2E" w:rsidRDefault="00B2693B" w:rsidP="00E456AF">
            <w:pPr>
              <w:jc w:val="right"/>
              <w:rPr>
                <w:rFonts w:eastAsia="宋体" w:cs="Times New Roman"/>
                <w:sz w:val="18"/>
                <w:szCs w:val="18"/>
              </w:rPr>
            </w:pPr>
            <w:r w:rsidRPr="00B2693B">
              <w:rPr>
                <w:rFonts w:eastAsia="宋体" w:cs="Times New Roman"/>
                <w:sz w:val="18"/>
                <w:szCs w:val="18"/>
              </w:rPr>
              <w:t>24,679,631.95</w:t>
            </w:r>
          </w:p>
        </w:tc>
        <w:tc>
          <w:tcPr>
            <w:tcW w:w="1875" w:type="dxa"/>
            <w:shd w:val="clear" w:color="auto" w:fill="FFFFFF" w:themeFill="background1"/>
            <w:vAlign w:val="center"/>
          </w:tcPr>
          <w:p w:rsidR="001A4A9A" w:rsidRPr="00A71D2E" w:rsidRDefault="001A4A9A" w:rsidP="00E456AF">
            <w:pPr>
              <w:jc w:val="right"/>
              <w:rPr>
                <w:rFonts w:eastAsia="宋体" w:cs="Times New Roman"/>
                <w:sz w:val="18"/>
                <w:szCs w:val="18"/>
              </w:rPr>
            </w:pPr>
            <w:r w:rsidRPr="00771092">
              <w:rPr>
                <w:rFonts w:eastAsia="宋体" w:cs="Times New Roman"/>
                <w:sz w:val="18"/>
                <w:szCs w:val="18"/>
              </w:rPr>
              <w:t>100.00</w:t>
            </w:r>
          </w:p>
        </w:tc>
      </w:tr>
      <w:tr w:rsidR="001A4A9A" w:rsidRPr="00A71D2E" w:rsidTr="0027505B">
        <w:trPr>
          <w:trHeight w:val="20"/>
        </w:trPr>
        <w:tc>
          <w:tcPr>
            <w:tcW w:w="3825" w:type="dxa"/>
            <w:shd w:val="clear" w:color="auto" w:fill="D9D9D9" w:themeFill="background1" w:themeFillShade="D9"/>
            <w:vAlign w:val="center"/>
          </w:tcPr>
          <w:p w:rsidR="001A4A9A" w:rsidRPr="00A71D2E" w:rsidRDefault="001A4A9A" w:rsidP="00E456AF">
            <w:pPr>
              <w:rPr>
                <w:rFonts w:eastAsia="宋体" w:cs="Times New Roman"/>
                <w:sz w:val="18"/>
                <w:szCs w:val="18"/>
              </w:rPr>
            </w:pPr>
            <w:r w:rsidRPr="00A71D2E">
              <w:rPr>
                <w:rFonts w:eastAsia="宋体" w:cs="Times New Roman" w:hint="eastAsia"/>
                <w:sz w:val="18"/>
                <w:szCs w:val="18"/>
              </w:rPr>
              <w:t>合计</w:t>
            </w:r>
          </w:p>
        </w:tc>
        <w:tc>
          <w:tcPr>
            <w:tcW w:w="1875" w:type="dxa"/>
            <w:shd w:val="clear" w:color="auto" w:fill="FFFFFF" w:themeFill="background1"/>
            <w:vAlign w:val="center"/>
          </w:tcPr>
          <w:p w:rsidR="001A4A9A" w:rsidRPr="00A71D2E" w:rsidRDefault="00B2693B" w:rsidP="00E456AF">
            <w:pPr>
              <w:jc w:val="right"/>
              <w:rPr>
                <w:rFonts w:eastAsia="宋体" w:cs="Times New Roman"/>
                <w:sz w:val="18"/>
                <w:szCs w:val="18"/>
              </w:rPr>
            </w:pPr>
            <w:r w:rsidRPr="00B2693B">
              <w:rPr>
                <w:rFonts w:eastAsia="宋体" w:cs="Times New Roman"/>
                <w:sz w:val="18"/>
                <w:szCs w:val="18"/>
              </w:rPr>
              <w:t>24,679,631.95</w:t>
            </w:r>
          </w:p>
        </w:tc>
        <w:tc>
          <w:tcPr>
            <w:tcW w:w="1875" w:type="dxa"/>
            <w:shd w:val="clear" w:color="auto" w:fill="FFFFFF" w:themeFill="background1"/>
            <w:vAlign w:val="center"/>
          </w:tcPr>
          <w:p w:rsidR="001A4A9A" w:rsidRPr="00A71D2E" w:rsidRDefault="00B2693B" w:rsidP="00E456AF">
            <w:pPr>
              <w:jc w:val="right"/>
              <w:rPr>
                <w:rFonts w:eastAsia="宋体" w:cs="Times New Roman"/>
                <w:sz w:val="18"/>
                <w:szCs w:val="18"/>
              </w:rPr>
            </w:pPr>
            <w:r w:rsidRPr="00B2693B">
              <w:rPr>
                <w:rFonts w:eastAsia="宋体" w:cs="Times New Roman"/>
                <w:sz w:val="18"/>
                <w:szCs w:val="18"/>
              </w:rPr>
              <w:t>24,679,631.95</w:t>
            </w:r>
          </w:p>
        </w:tc>
        <w:tc>
          <w:tcPr>
            <w:tcW w:w="1875" w:type="dxa"/>
            <w:shd w:val="clear" w:color="auto" w:fill="FFFFFF" w:themeFill="background1"/>
            <w:vAlign w:val="center"/>
          </w:tcPr>
          <w:p w:rsidR="001A4A9A" w:rsidRPr="00A71D2E" w:rsidRDefault="001A4A9A" w:rsidP="00E456AF">
            <w:pPr>
              <w:jc w:val="right"/>
              <w:rPr>
                <w:rFonts w:eastAsia="宋体" w:cs="Times New Roman"/>
                <w:sz w:val="18"/>
                <w:szCs w:val="18"/>
              </w:rPr>
            </w:pPr>
            <w:r w:rsidRPr="00771092">
              <w:rPr>
                <w:rFonts w:eastAsia="宋体" w:cs="Times New Roman"/>
                <w:sz w:val="18"/>
                <w:szCs w:val="18"/>
              </w:rPr>
              <w:t>100.00</w:t>
            </w:r>
          </w:p>
        </w:tc>
      </w:tr>
    </w:tbl>
    <w:p w:rsidR="001A4A9A" w:rsidRDefault="001A4A9A" w:rsidP="007E2F61">
      <w:pPr>
        <w:ind w:leftChars="337" w:left="708"/>
        <w:jc w:val="both"/>
        <w:rPr>
          <w:rFonts w:eastAsia="宋体" w:cs="Times New Roman"/>
          <w:szCs w:val="21"/>
        </w:rPr>
      </w:pPr>
    </w:p>
    <w:p w:rsidR="007D47F9" w:rsidRPr="00A71D2E" w:rsidRDefault="007D47F9">
      <w:pPr>
        <w:ind w:left="720"/>
        <w:jc w:val="both"/>
        <w:rPr>
          <w:rFonts w:eastAsia="宋体" w:cs="Times New Roman"/>
          <w:szCs w:val="21"/>
        </w:rPr>
      </w:pPr>
      <w:r w:rsidRPr="00A71D2E">
        <w:rPr>
          <w:rFonts w:eastAsia="宋体" w:cs="Times New Roman" w:hint="eastAsia"/>
          <w:szCs w:val="21"/>
        </w:rPr>
        <w:t>本集团对于单项金额重大且债务人发生</w:t>
      </w:r>
      <w:r w:rsidR="00463C69">
        <w:rPr>
          <w:rFonts w:eastAsia="宋体" w:cs="Times New Roman" w:hint="eastAsia"/>
          <w:szCs w:val="21"/>
        </w:rPr>
        <w:t>重大</w:t>
      </w:r>
      <w:r w:rsidRPr="00A71D2E">
        <w:rPr>
          <w:rFonts w:eastAsia="宋体" w:cs="Times New Roman" w:hint="eastAsia"/>
          <w:szCs w:val="21"/>
        </w:rPr>
        <w:t>财务困难的应收账款，在单项资产的基础上确定其信用损失。</w:t>
      </w:r>
    </w:p>
    <w:p w:rsidR="007D47F9" w:rsidRDefault="007D47F9">
      <w:pPr>
        <w:ind w:left="720"/>
        <w:jc w:val="both"/>
        <w:rPr>
          <w:rFonts w:eastAsia="宋体" w:cs="Times New Roman"/>
          <w:szCs w:val="21"/>
        </w:rPr>
      </w:pPr>
    </w:p>
    <w:p w:rsidR="00E50DFD" w:rsidRPr="00A71D2E" w:rsidRDefault="00E50DFD" w:rsidP="00E50DFD">
      <w:pPr>
        <w:ind w:left="720"/>
        <w:jc w:val="both"/>
        <w:rPr>
          <w:rFonts w:eastAsia="宋体" w:cs="Times New Roman"/>
          <w:szCs w:val="21"/>
        </w:rPr>
      </w:pPr>
      <w:r w:rsidRPr="00A71D2E">
        <w:rPr>
          <w:rFonts w:eastAsia="宋体" w:cs="Times New Roman"/>
          <w:szCs w:val="21"/>
        </w:rPr>
        <w:t>2018</w:t>
      </w:r>
      <w:r w:rsidRPr="00A71D2E">
        <w:rPr>
          <w:rFonts w:eastAsia="宋体" w:cs="Times New Roman" w:hint="eastAsia"/>
          <w:szCs w:val="21"/>
        </w:rPr>
        <w:t>年，出票人为宝塔集团下属公司、承兑人为宝塔集团或其下属公司的部分银行承兑汇票由于未得到履约而由应收票据转入了应收账款，金额共计人民币</w:t>
      </w:r>
      <w:r w:rsidRPr="00A71D2E">
        <w:rPr>
          <w:rFonts w:eastAsia="宋体" w:cs="Times New Roman"/>
          <w:szCs w:val="21"/>
        </w:rPr>
        <w:t>39,850,000.00</w:t>
      </w:r>
      <w:r w:rsidRPr="00A71D2E">
        <w:rPr>
          <w:rFonts w:eastAsia="宋体" w:cs="Times New Roman" w:hint="eastAsia"/>
          <w:szCs w:val="21"/>
        </w:rPr>
        <w:t>元。本集团积极通过诉讼、向前手追偿、退票、与前手共同协商分担损失等方式追回欠款。</w:t>
      </w:r>
      <w:r w:rsidRPr="0035215F">
        <w:rPr>
          <w:rFonts w:eastAsia="宋体" w:cs="Times New Roman" w:hint="eastAsia"/>
          <w:szCs w:val="21"/>
        </w:rPr>
        <w:t>截至</w:t>
      </w:r>
      <w:r w:rsidRPr="0035215F">
        <w:rPr>
          <w:rFonts w:eastAsia="宋体" w:cs="Times New Roman"/>
          <w:szCs w:val="21"/>
        </w:rPr>
        <w:t>202</w:t>
      </w:r>
      <w:r w:rsidR="0035215F" w:rsidRPr="0035215F">
        <w:rPr>
          <w:rFonts w:eastAsia="宋体" w:cs="Times New Roman"/>
          <w:szCs w:val="21"/>
        </w:rPr>
        <w:t>3</w:t>
      </w:r>
      <w:r w:rsidRPr="0035215F">
        <w:rPr>
          <w:rFonts w:eastAsia="宋体" w:cs="Times New Roman" w:hint="eastAsia"/>
          <w:szCs w:val="21"/>
        </w:rPr>
        <w:t>年</w:t>
      </w:r>
      <w:r w:rsidRPr="0035215F">
        <w:rPr>
          <w:rFonts w:eastAsia="宋体" w:cs="Times New Roman"/>
          <w:szCs w:val="21"/>
        </w:rPr>
        <w:t>12</w:t>
      </w:r>
      <w:r w:rsidRPr="0035215F">
        <w:rPr>
          <w:rFonts w:eastAsia="宋体" w:cs="Times New Roman" w:hint="eastAsia"/>
          <w:szCs w:val="21"/>
        </w:rPr>
        <w:t>月</w:t>
      </w:r>
      <w:r w:rsidRPr="0035215F">
        <w:rPr>
          <w:rFonts w:eastAsia="宋体" w:cs="Times New Roman"/>
          <w:szCs w:val="21"/>
        </w:rPr>
        <w:t>31</w:t>
      </w:r>
      <w:r w:rsidRPr="0035215F">
        <w:rPr>
          <w:rFonts w:eastAsia="宋体" w:cs="Times New Roman" w:hint="eastAsia"/>
          <w:szCs w:val="21"/>
        </w:rPr>
        <w:t>日止，相关款项的账面余额为人民币</w:t>
      </w:r>
      <w:r w:rsidR="0035215F" w:rsidRPr="0035215F">
        <w:rPr>
          <w:rFonts w:eastAsia="宋体" w:cs="Times New Roman"/>
          <w:szCs w:val="21"/>
        </w:rPr>
        <w:t>24,282,167.95</w:t>
      </w:r>
      <w:r w:rsidRPr="0035215F">
        <w:rPr>
          <w:rFonts w:eastAsia="宋体" w:cs="Times New Roman" w:hint="eastAsia"/>
          <w:szCs w:val="21"/>
        </w:rPr>
        <w:t>元，本集团已全额计提</w:t>
      </w:r>
      <w:r w:rsidR="00DD00C0">
        <w:rPr>
          <w:rFonts w:eastAsia="宋体" w:cs="Times New Roman" w:hint="eastAsia"/>
          <w:szCs w:val="21"/>
        </w:rPr>
        <w:t>坏账</w:t>
      </w:r>
      <w:r w:rsidRPr="0035215F">
        <w:rPr>
          <w:rFonts w:eastAsia="宋体" w:cs="Times New Roman" w:hint="eastAsia"/>
          <w:szCs w:val="21"/>
        </w:rPr>
        <w:t>准备。</w:t>
      </w:r>
    </w:p>
    <w:p w:rsidR="007D47F9" w:rsidRPr="003D16AB" w:rsidRDefault="007D47F9" w:rsidP="0027505B">
      <w:pPr>
        <w:ind w:left="720"/>
        <w:jc w:val="both"/>
        <w:rPr>
          <w:rFonts w:eastAsia="宋体" w:cs="Times New Roman"/>
          <w:szCs w:val="21"/>
        </w:rPr>
      </w:pPr>
    </w:p>
    <w:p w:rsidR="0078239A" w:rsidRDefault="0078239A" w:rsidP="00E336E5">
      <w:pPr>
        <w:ind w:left="720"/>
        <w:jc w:val="both"/>
        <w:rPr>
          <w:rFonts w:eastAsia="宋体" w:cs="Times New Roman"/>
          <w:szCs w:val="21"/>
        </w:rPr>
      </w:pPr>
      <w:r w:rsidRPr="00A71D2E">
        <w:rPr>
          <w:rFonts w:eastAsia="宋体" w:cs="Times New Roman" w:hint="eastAsia"/>
          <w:szCs w:val="21"/>
        </w:rPr>
        <w:t>按</w:t>
      </w:r>
      <w:r>
        <w:rPr>
          <w:rFonts w:eastAsia="宋体" w:cs="Times New Roman" w:hint="eastAsia"/>
          <w:szCs w:val="21"/>
        </w:rPr>
        <w:t>组合</w:t>
      </w:r>
      <w:r w:rsidRPr="00A71D2E">
        <w:rPr>
          <w:rFonts w:eastAsia="宋体" w:cs="Times New Roman" w:hint="eastAsia"/>
          <w:szCs w:val="21"/>
        </w:rPr>
        <w:t>计提</w:t>
      </w:r>
      <w:r w:rsidR="00DD00C0">
        <w:rPr>
          <w:rFonts w:eastAsia="宋体" w:cs="Times New Roman" w:hint="eastAsia"/>
          <w:szCs w:val="21"/>
        </w:rPr>
        <w:t>坏账</w:t>
      </w:r>
      <w:r w:rsidRPr="00A71D2E">
        <w:rPr>
          <w:rFonts w:eastAsia="宋体" w:cs="Times New Roman" w:hint="eastAsia"/>
          <w:szCs w:val="21"/>
        </w:rPr>
        <w:t>准备</w:t>
      </w:r>
    </w:p>
    <w:p w:rsidR="00F45E43" w:rsidRPr="00815AEF" w:rsidRDefault="00F45E43" w:rsidP="00F45E43">
      <w:pPr>
        <w:pStyle w:val="aff1"/>
        <w:ind w:left="1350" w:firstLineChars="0" w:firstLine="0"/>
        <w:jc w:val="right"/>
        <w:rPr>
          <w:szCs w:val="21"/>
        </w:rPr>
      </w:pPr>
      <w:r w:rsidRPr="00815AEF">
        <w:rPr>
          <w:rFonts w:hint="eastAsia"/>
          <w:szCs w:val="21"/>
        </w:rPr>
        <w:t>单位</w:t>
      </w:r>
      <w:r w:rsidR="005F14EE">
        <w:rPr>
          <w:rFonts w:hint="eastAsia"/>
          <w:szCs w:val="21"/>
        </w:rPr>
        <w:t>：</w:t>
      </w:r>
      <w:r w:rsidRPr="00815AEF">
        <w:rPr>
          <w:rFonts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4"/>
        <w:gridCol w:w="1869"/>
        <w:gridCol w:w="1869"/>
        <w:gridCol w:w="1869"/>
        <w:gridCol w:w="1869"/>
      </w:tblGrid>
      <w:tr w:rsidR="001A5B12" w:rsidRPr="00A71D2E" w:rsidTr="0027505B">
        <w:trPr>
          <w:trHeight w:val="20"/>
        </w:trPr>
        <w:tc>
          <w:tcPr>
            <w:tcW w:w="1974" w:type="dxa"/>
            <w:vMerge w:val="restart"/>
            <w:shd w:val="clear" w:color="auto" w:fill="D9D9D9" w:themeFill="background1" w:themeFillShade="D9"/>
            <w:vAlign w:val="center"/>
          </w:tcPr>
          <w:p w:rsidR="001A5B12" w:rsidRPr="00A71D2E" w:rsidRDefault="001A5B12" w:rsidP="0027505B">
            <w:pPr>
              <w:jc w:val="center"/>
              <w:rPr>
                <w:rFonts w:eastAsia="宋体" w:cs="Times New Roman"/>
                <w:sz w:val="18"/>
                <w:szCs w:val="18"/>
              </w:rPr>
            </w:pPr>
            <w:r>
              <w:rPr>
                <w:rFonts w:eastAsia="宋体" w:cs="Times New Roman" w:hint="eastAsia"/>
                <w:sz w:val="18"/>
                <w:szCs w:val="18"/>
              </w:rPr>
              <w:t>名称</w:t>
            </w:r>
          </w:p>
        </w:tc>
        <w:tc>
          <w:tcPr>
            <w:tcW w:w="7476" w:type="dxa"/>
            <w:gridSpan w:val="4"/>
            <w:shd w:val="clear" w:color="auto" w:fill="D9D9D9" w:themeFill="background1" w:themeFillShade="D9"/>
            <w:vAlign w:val="center"/>
          </w:tcPr>
          <w:p w:rsidR="001A5B12" w:rsidRPr="00A71D2E" w:rsidRDefault="001A5B12" w:rsidP="0027505B">
            <w:pPr>
              <w:jc w:val="center"/>
              <w:rPr>
                <w:rFonts w:eastAsia="宋体" w:cs="Times New Roman"/>
                <w:sz w:val="18"/>
                <w:szCs w:val="18"/>
              </w:rPr>
            </w:pPr>
            <w:r w:rsidRPr="00A71D2E">
              <w:rPr>
                <w:rFonts w:eastAsia="宋体" w:cs="Times New Roman" w:hint="eastAsia"/>
                <w:sz w:val="18"/>
                <w:szCs w:val="18"/>
              </w:rPr>
              <w:t>年末余额</w:t>
            </w:r>
          </w:p>
        </w:tc>
      </w:tr>
      <w:tr w:rsidR="001A5B12" w:rsidRPr="00A71D2E" w:rsidTr="0027505B">
        <w:trPr>
          <w:trHeight w:val="20"/>
        </w:trPr>
        <w:tc>
          <w:tcPr>
            <w:tcW w:w="1974" w:type="dxa"/>
            <w:vMerge/>
            <w:shd w:val="clear" w:color="auto" w:fill="D9D9D9" w:themeFill="background1" w:themeFillShade="D9"/>
            <w:vAlign w:val="center"/>
          </w:tcPr>
          <w:p w:rsidR="001A5B12" w:rsidRPr="00A71D2E" w:rsidRDefault="001A5B12">
            <w:pPr>
              <w:ind w:leftChars="86" w:left="181"/>
              <w:jc w:val="center"/>
              <w:rPr>
                <w:rFonts w:eastAsia="宋体" w:cs="Times New Roman"/>
                <w:sz w:val="18"/>
                <w:szCs w:val="18"/>
              </w:rPr>
            </w:pPr>
          </w:p>
        </w:tc>
        <w:tc>
          <w:tcPr>
            <w:tcW w:w="1869" w:type="dxa"/>
            <w:shd w:val="clear" w:color="auto" w:fill="D9D9D9" w:themeFill="background1" w:themeFillShade="D9"/>
            <w:vAlign w:val="center"/>
          </w:tcPr>
          <w:p w:rsidR="001A5B12" w:rsidRDefault="001A5B12" w:rsidP="0027505B">
            <w:pPr>
              <w:jc w:val="center"/>
              <w:rPr>
                <w:rFonts w:eastAsia="宋体" w:cs="Times New Roman"/>
                <w:sz w:val="18"/>
                <w:szCs w:val="18"/>
              </w:rPr>
            </w:pPr>
            <w:r>
              <w:rPr>
                <w:rFonts w:eastAsia="宋体" w:cs="Times New Roman" w:hint="eastAsia"/>
                <w:sz w:val="18"/>
                <w:szCs w:val="18"/>
              </w:rPr>
              <w:t>预期平均损失率</w:t>
            </w:r>
          </w:p>
          <w:p w:rsidR="001A5B12" w:rsidRPr="00A71D2E" w:rsidRDefault="005F14EE" w:rsidP="0027505B">
            <w:pPr>
              <w:jc w:val="center"/>
              <w:rPr>
                <w:rFonts w:eastAsia="宋体" w:cs="Times New Roman"/>
                <w:sz w:val="18"/>
                <w:szCs w:val="18"/>
              </w:rPr>
            </w:pPr>
            <w:r>
              <w:rPr>
                <w:rFonts w:eastAsia="宋体" w:cs="Times New Roman" w:hint="eastAsia"/>
                <w:sz w:val="18"/>
                <w:szCs w:val="18"/>
              </w:rPr>
              <w:t>(</w:t>
            </w:r>
            <w:r w:rsidR="001A5B12">
              <w:rPr>
                <w:rFonts w:eastAsia="宋体" w:cs="Times New Roman"/>
                <w:sz w:val="18"/>
                <w:szCs w:val="18"/>
              </w:rPr>
              <w:t xml:space="preserve">% </w:t>
            </w:r>
            <w:r>
              <w:rPr>
                <w:rFonts w:eastAsia="宋体" w:cs="Times New Roman"/>
                <w:sz w:val="18"/>
                <w:szCs w:val="18"/>
              </w:rPr>
              <w:t>)</w:t>
            </w:r>
          </w:p>
        </w:tc>
        <w:tc>
          <w:tcPr>
            <w:tcW w:w="1869" w:type="dxa"/>
            <w:shd w:val="clear" w:color="auto" w:fill="D9D9D9" w:themeFill="background1" w:themeFillShade="D9"/>
            <w:vAlign w:val="center"/>
          </w:tcPr>
          <w:p w:rsidR="001A5B12" w:rsidDel="00DE4324" w:rsidRDefault="001A5B12" w:rsidP="0027505B">
            <w:pPr>
              <w:jc w:val="center"/>
              <w:rPr>
                <w:rFonts w:eastAsia="宋体" w:cs="Times New Roman"/>
                <w:sz w:val="18"/>
                <w:szCs w:val="18"/>
              </w:rPr>
            </w:pPr>
            <w:r>
              <w:rPr>
                <w:rFonts w:eastAsia="宋体" w:cs="Times New Roman" w:hint="eastAsia"/>
                <w:sz w:val="18"/>
                <w:szCs w:val="18"/>
              </w:rPr>
              <w:t>账面余额</w:t>
            </w:r>
          </w:p>
        </w:tc>
        <w:tc>
          <w:tcPr>
            <w:tcW w:w="1869" w:type="dxa"/>
            <w:shd w:val="clear" w:color="auto" w:fill="D9D9D9" w:themeFill="background1" w:themeFillShade="D9"/>
            <w:vAlign w:val="center"/>
          </w:tcPr>
          <w:p w:rsidR="001A5B12" w:rsidRPr="00A71D2E" w:rsidRDefault="001A5B12" w:rsidP="0027505B">
            <w:pPr>
              <w:jc w:val="center"/>
              <w:rPr>
                <w:rFonts w:eastAsia="宋体" w:cs="Times New Roman"/>
                <w:sz w:val="18"/>
                <w:szCs w:val="18"/>
              </w:rPr>
            </w:pPr>
            <w:r>
              <w:rPr>
                <w:rFonts w:eastAsia="宋体" w:cs="Times New Roman" w:hint="eastAsia"/>
                <w:sz w:val="18"/>
                <w:szCs w:val="18"/>
              </w:rPr>
              <w:t>坏账准备</w:t>
            </w:r>
          </w:p>
        </w:tc>
        <w:tc>
          <w:tcPr>
            <w:tcW w:w="1869" w:type="dxa"/>
            <w:shd w:val="clear" w:color="auto" w:fill="D9D9D9" w:themeFill="background1" w:themeFillShade="D9"/>
            <w:vAlign w:val="center"/>
          </w:tcPr>
          <w:p w:rsidR="001A5B12" w:rsidRPr="00A71D2E" w:rsidRDefault="001A5B12" w:rsidP="0027505B">
            <w:pPr>
              <w:jc w:val="center"/>
              <w:rPr>
                <w:rFonts w:eastAsia="宋体" w:cs="Times New Roman"/>
                <w:sz w:val="18"/>
                <w:szCs w:val="18"/>
              </w:rPr>
            </w:pPr>
            <w:r>
              <w:rPr>
                <w:rFonts w:eastAsia="宋体" w:cs="Times New Roman" w:hint="eastAsia"/>
                <w:sz w:val="18"/>
                <w:szCs w:val="18"/>
              </w:rPr>
              <w:t>账面价值</w:t>
            </w:r>
          </w:p>
        </w:tc>
      </w:tr>
      <w:tr w:rsidR="001A5B12" w:rsidRPr="00A71D2E" w:rsidTr="0027505B">
        <w:trPr>
          <w:trHeight w:val="20"/>
        </w:trPr>
        <w:tc>
          <w:tcPr>
            <w:tcW w:w="1974" w:type="dxa"/>
            <w:shd w:val="clear" w:color="auto" w:fill="FFFFFF" w:themeFill="background1"/>
            <w:vAlign w:val="center"/>
          </w:tcPr>
          <w:p w:rsidR="001A5B12" w:rsidRPr="00A71D2E" w:rsidRDefault="001A5B12" w:rsidP="0027505B">
            <w:pPr>
              <w:rPr>
                <w:rFonts w:eastAsia="宋体" w:cs="Times New Roman"/>
                <w:sz w:val="18"/>
                <w:szCs w:val="18"/>
              </w:rPr>
            </w:pPr>
            <w:r>
              <w:rPr>
                <w:rFonts w:eastAsia="宋体" w:cs="Times New Roman" w:hint="eastAsia"/>
                <w:sz w:val="18"/>
                <w:szCs w:val="18"/>
              </w:rPr>
              <w:t>组合</w:t>
            </w:r>
            <w:r>
              <w:rPr>
                <w:rFonts w:eastAsia="宋体" w:cs="Times New Roman" w:hint="eastAsia"/>
                <w:sz w:val="18"/>
                <w:szCs w:val="18"/>
              </w:rPr>
              <w:t>A</w:t>
            </w:r>
          </w:p>
        </w:tc>
        <w:tc>
          <w:tcPr>
            <w:tcW w:w="1869" w:type="dxa"/>
            <w:shd w:val="clear" w:color="auto" w:fill="FFFFFF" w:themeFill="background1"/>
            <w:vAlign w:val="center"/>
          </w:tcPr>
          <w:p w:rsidR="001A5B12" w:rsidRPr="00A71D2E" w:rsidRDefault="001A5B12" w:rsidP="0027505B">
            <w:pPr>
              <w:jc w:val="right"/>
              <w:rPr>
                <w:rFonts w:eastAsia="宋体" w:cs="Times New Roman"/>
                <w:sz w:val="18"/>
                <w:szCs w:val="18"/>
              </w:rPr>
            </w:pPr>
            <w:r w:rsidRPr="00732B68">
              <w:rPr>
                <w:rFonts w:eastAsia="宋体" w:cs="Times New Roman"/>
                <w:sz w:val="18"/>
                <w:szCs w:val="18"/>
              </w:rPr>
              <w:t>0.92</w:t>
            </w:r>
          </w:p>
        </w:tc>
        <w:tc>
          <w:tcPr>
            <w:tcW w:w="1869" w:type="dxa"/>
            <w:shd w:val="clear" w:color="auto" w:fill="FFFFFF" w:themeFill="background1"/>
            <w:vAlign w:val="center"/>
          </w:tcPr>
          <w:p w:rsidR="001A5B12" w:rsidRPr="003723F6" w:rsidRDefault="001A5B12" w:rsidP="0027505B">
            <w:pPr>
              <w:jc w:val="right"/>
              <w:rPr>
                <w:rFonts w:eastAsia="宋体" w:cs="Times New Roman"/>
                <w:sz w:val="18"/>
                <w:szCs w:val="18"/>
              </w:rPr>
            </w:pPr>
            <w:r w:rsidRPr="003723F6">
              <w:rPr>
                <w:rFonts w:eastAsia="宋体" w:cs="Times New Roman"/>
                <w:sz w:val="18"/>
                <w:szCs w:val="18"/>
              </w:rPr>
              <w:t>233,951,070.86</w:t>
            </w:r>
          </w:p>
        </w:tc>
        <w:tc>
          <w:tcPr>
            <w:tcW w:w="1869" w:type="dxa"/>
            <w:shd w:val="clear" w:color="auto" w:fill="FFFFFF" w:themeFill="background1"/>
            <w:vAlign w:val="center"/>
          </w:tcPr>
          <w:p w:rsidR="001A5B12" w:rsidRPr="00A71D2E" w:rsidRDefault="001A5B12" w:rsidP="0027505B">
            <w:pPr>
              <w:jc w:val="right"/>
              <w:rPr>
                <w:rFonts w:eastAsia="宋体" w:cs="Times New Roman"/>
                <w:sz w:val="18"/>
                <w:szCs w:val="18"/>
              </w:rPr>
            </w:pPr>
            <w:r w:rsidRPr="003723F6">
              <w:rPr>
                <w:rFonts w:eastAsia="宋体" w:cs="Times New Roman"/>
                <w:sz w:val="18"/>
                <w:szCs w:val="18"/>
              </w:rPr>
              <w:t>2,146,698.92</w:t>
            </w:r>
          </w:p>
        </w:tc>
        <w:tc>
          <w:tcPr>
            <w:tcW w:w="1869" w:type="dxa"/>
            <w:shd w:val="clear" w:color="auto" w:fill="FFFFFF" w:themeFill="background1"/>
            <w:vAlign w:val="center"/>
          </w:tcPr>
          <w:p w:rsidR="001A5B12" w:rsidRPr="00A71D2E" w:rsidRDefault="001A5B12" w:rsidP="0027505B">
            <w:pPr>
              <w:jc w:val="right"/>
              <w:rPr>
                <w:rFonts w:eastAsia="宋体" w:cs="Times New Roman"/>
                <w:sz w:val="18"/>
                <w:szCs w:val="18"/>
              </w:rPr>
            </w:pPr>
            <w:r w:rsidRPr="001A5B12">
              <w:rPr>
                <w:rFonts w:eastAsia="宋体" w:cs="Times New Roman"/>
                <w:sz w:val="18"/>
                <w:szCs w:val="18"/>
              </w:rPr>
              <w:t xml:space="preserve">231,804,371.94 </w:t>
            </w:r>
          </w:p>
        </w:tc>
      </w:tr>
      <w:tr w:rsidR="001A5B12" w:rsidRPr="00A71D2E" w:rsidTr="0027505B">
        <w:trPr>
          <w:trHeight w:val="20"/>
        </w:trPr>
        <w:tc>
          <w:tcPr>
            <w:tcW w:w="1974" w:type="dxa"/>
            <w:shd w:val="clear" w:color="auto" w:fill="FFFFFF" w:themeFill="background1"/>
            <w:vAlign w:val="center"/>
          </w:tcPr>
          <w:p w:rsidR="001A5B12" w:rsidRPr="00771092" w:rsidRDefault="001A5B12" w:rsidP="0027505B">
            <w:pPr>
              <w:rPr>
                <w:rFonts w:eastAsia="宋体" w:cs="Times New Roman"/>
                <w:sz w:val="18"/>
                <w:szCs w:val="18"/>
              </w:rPr>
            </w:pPr>
            <w:r>
              <w:rPr>
                <w:rFonts w:eastAsia="宋体" w:cs="Times New Roman" w:hint="eastAsia"/>
                <w:sz w:val="18"/>
                <w:szCs w:val="18"/>
              </w:rPr>
              <w:t>组合</w:t>
            </w:r>
            <w:r>
              <w:rPr>
                <w:rFonts w:eastAsia="宋体" w:cs="Times New Roman" w:hint="eastAsia"/>
                <w:sz w:val="18"/>
                <w:szCs w:val="18"/>
              </w:rPr>
              <w:t>B</w:t>
            </w:r>
          </w:p>
        </w:tc>
        <w:tc>
          <w:tcPr>
            <w:tcW w:w="1869" w:type="dxa"/>
            <w:shd w:val="clear" w:color="auto" w:fill="FFFFFF" w:themeFill="background1"/>
            <w:vAlign w:val="center"/>
          </w:tcPr>
          <w:p w:rsidR="001A5B12" w:rsidRPr="00771092" w:rsidRDefault="001A5B12" w:rsidP="0027505B">
            <w:pPr>
              <w:jc w:val="right"/>
              <w:rPr>
                <w:rFonts w:eastAsia="宋体" w:cs="Times New Roman"/>
                <w:sz w:val="18"/>
                <w:szCs w:val="18"/>
              </w:rPr>
            </w:pPr>
            <w:r w:rsidRPr="00732B68">
              <w:rPr>
                <w:rFonts w:eastAsia="宋体" w:cs="Times New Roman"/>
                <w:sz w:val="18"/>
                <w:szCs w:val="18"/>
              </w:rPr>
              <w:t>0.80</w:t>
            </w:r>
          </w:p>
        </w:tc>
        <w:tc>
          <w:tcPr>
            <w:tcW w:w="1869" w:type="dxa"/>
            <w:shd w:val="clear" w:color="auto" w:fill="FFFFFF" w:themeFill="background1"/>
            <w:vAlign w:val="center"/>
          </w:tcPr>
          <w:p w:rsidR="001A5B12" w:rsidRPr="003723F6" w:rsidRDefault="001A5B12" w:rsidP="0027505B">
            <w:pPr>
              <w:jc w:val="right"/>
              <w:rPr>
                <w:rFonts w:eastAsia="宋体" w:cs="Times New Roman"/>
                <w:sz w:val="18"/>
                <w:szCs w:val="18"/>
              </w:rPr>
            </w:pPr>
            <w:r w:rsidRPr="003723F6">
              <w:rPr>
                <w:rFonts w:eastAsia="宋体" w:cs="Times New Roman"/>
                <w:sz w:val="18"/>
                <w:szCs w:val="18"/>
              </w:rPr>
              <w:t>203,543,536.79</w:t>
            </w:r>
          </w:p>
        </w:tc>
        <w:tc>
          <w:tcPr>
            <w:tcW w:w="1869" w:type="dxa"/>
            <w:shd w:val="clear" w:color="auto" w:fill="FFFFFF" w:themeFill="background1"/>
            <w:vAlign w:val="center"/>
          </w:tcPr>
          <w:p w:rsidR="001A5B12" w:rsidRPr="00771092" w:rsidRDefault="001A5B12" w:rsidP="0027505B">
            <w:pPr>
              <w:jc w:val="right"/>
              <w:rPr>
                <w:rFonts w:eastAsia="宋体" w:cs="Times New Roman"/>
                <w:sz w:val="18"/>
                <w:szCs w:val="18"/>
              </w:rPr>
            </w:pPr>
            <w:r w:rsidRPr="003723F6">
              <w:rPr>
                <w:rFonts w:eastAsia="宋体" w:cs="Times New Roman"/>
                <w:sz w:val="18"/>
                <w:szCs w:val="18"/>
              </w:rPr>
              <w:t>1,637,719.74</w:t>
            </w:r>
          </w:p>
        </w:tc>
        <w:tc>
          <w:tcPr>
            <w:tcW w:w="1869" w:type="dxa"/>
            <w:shd w:val="clear" w:color="auto" w:fill="FFFFFF" w:themeFill="background1"/>
            <w:vAlign w:val="center"/>
          </w:tcPr>
          <w:p w:rsidR="001A5B12" w:rsidRPr="00771092" w:rsidRDefault="001A5B12" w:rsidP="0027505B">
            <w:pPr>
              <w:jc w:val="right"/>
              <w:rPr>
                <w:rFonts w:eastAsia="宋体" w:cs="Times New Roman"/>
                <w:sz w:val="18"/>
                <w:szCs w:val="18"/>
              </w:rPr>
            </w:pPr>
            <w:r w:rsidRPr="001A5B12">
              <w:rPr>
                <w:rFonts w:eastAsia="宋体" w:cs="Times New Roman"/>
                <w:sz w:val="18"/>
                <w:szCs w:val="18"/>
              </w:rPr>
              <w:t xml:space="preserve">201,905,817.05 </w:t>
            </w:r>
          </w:p>
        </w:tc>
      </w:tr>
      <w:tr w:rsidR="001A5B12" w:rsidRPr="00A71D2E" w:rsidTr="0027505B">
        <w:trPr>
          <w:trHeight w:val="20"/>
        </w:trPr>
        <w:tc>
          <w:tcPr>
            <w:tcW w:w="1974" w:type="dxa"/>
            <w:shd w:val="clear" w:color="auto" w:fill="FFFFFF" w:themeFill="background1"/>
            <w:vAlign w:val="center"/>
          </w:tcPr>
          <w:p w:rsidR="001A5B12" w:rsidRPr="00771092" w:rsidRDefault="001A5B12" w:rsidP="0027505B">
            <w:pPr>
              <w:rPr>
                <w:rFonts w:eastAsia="宋体" w:cs="Times New Roman"/>
                <w:sz w:val="18"/>
                <w:szCs w:val="18"/>
              </w:rPr>
            </w:pPr>
            <w:r>
              <w:rPr>
                <w:rFonts w:eastAsia="宋体" w:cs="Times New Roman" w:hint="eastAsia"/>
                <w:sz w:val="18"/>
                <w:szCs w:val="18"/>
              </w:rPr>
              <w:t>组合</w:t>
            </w:r>
            <w:r>
              <w:rPr>
                <w:rFonts w:eastAsia="宋体" w:cs="Times New Roman" w:hint="eastAsia"/>
                <w:sz w:val="18"/>
                <w:szCs w:val="18"/>
              </w:rPr>
              <w:t>C</w:t>
            </w:r>
          </w:p>
        </w:tc>
        <w:tc>
          <w:tcPr>
            <w:tcW w:w="1869" w:type="dxa"/>
            <w:shd w:val="clear" w:color="auto" w:fill="FFFFFF" w:themeFill="background1"/>
            <w:vAlign w:val="center"/>
          </w:tcPr>
          <w:p w:rsidR="001A5B12" w:rsidRPr="00771092" w:rsidRDefault="001A5B12" w:rsidP="0027505B">
            <w:pPr>
              <w:jc w:val="right"/>
              <w:rPr>
                <w:rFonts w:eastAsia="宋体" w:cs="Times New Roman"/>
                <w:sz w:val="18"/>
                <w:szCs w:val="18"/>
              </w:rPr>
            </w:pPr>
            <w:r w:rsidRPr="00732B68">
              <w:rPr>
                <w:rFonts w:eastAsia="宋体" w:cs="Times New Roman"/>
                <w:sz w:val="18"/>
                <w:szCs w:val="18"/>
              </w:rPr>
              <w:t>1.60</w:t>
            </w:r>
          </w:p>
        </w:tc>
        <w:tc>
          <w:tcPr>
            <w:tcW w:w="1869" w:type="dxa"/>
            <w:shd w:val="clear" w:color="auto" w:fill="FFFFFF" w:themeFill="background1"/>
            <w:vAlign w:val="center"/>
          </w:tcPr>
          <w:p w:rsidR="001A5B12" w:rsidRPr="00DA7298" w:rsidRDefault="001A5B12" w:rsidP="0027505B">
            <w:pPr>
              <w:jc w:val="right"/>
              <w:rPr>
                <w:rFonts w:eastAsia="宋体" w:cs="Times New Roman"/>
                <w:sz w:val="18"/>
                <w:szCs w:val="18"/>
              </w:rPr>
            </w:pPr>
            <w:r w:rsidRPr="00DA7298">
              <w:rPr>
                <w:rFonts w:eastAsia="宋体" w:cs="Times New Roman"/>
                <w:sz w:val="18"/>
                <w:szCs w:val="18"/>
              </w:rPr>
              <w:t>433,577,210.10</w:t>
            </w:r>
          </w:p>
        </w:tc>
        <w:tc>
          <w:tcPr>
            <w:tcW w:w="1869" w:type="dxa"/>
            <w:shd w:val="clear" w:color="auto" w:fill="FFFFFF" w:themeFill="background1"/>
            <w:vAlign w:val="center"/>
          </w:tcPr>
          <w:p w:rsidR="001A5B12" w:rsidRPr="00771092" w:rsidRDefault="001A5B12" w:rsidP="0027505B">
            <w:pPr>
              <w:jc w:val="right"/>
              <w:rPr>
                <w:rFonts w:eastAsia="宋体" w:cs="Times New Roman"/>
                <w:sz w:val="18"/>
                <w:szCs w:val="18"/>
              </w:rPr>
            </w:pPr>
            <w:r w:rsidRPr="00DA7298">
              <w:rPr>
                <w:rFonts w:eastAsia="宋体" w:cs="Times New Roman"/>
                <w:sz w:val="18"/>
                <w:szCs w:val="18"/>
              </w:rPr>
              <w:t>6,935,541.05</w:t>
            </w:r>
          </w:p>
        </w:tc>
        <w:tc>
          <w:tcPr>
            <w:tcW w:w="1869" w:type="dxa"/>
            <w:shd w:val="clear" w:color="auto" w:fill="FFFFFF" w:themeFill="background1"/>
            <w:vAlign w:val="center"/>
          </w:tcPr>
          <w:p w:rsidR="001A5B12" w:rsidRPr="00771092" w:rsidRDefault="001A5B12" w:rsidP="0027505B">
            <w:pPr>
              <w:jc w:val="right"/>
              <w:rPr>
                <w:rFonts w:eastAsia="宋体" w:cs="Times New Roman"/>
                <w:sz w:val="18"/>
                <w:szCs w:val="18"/>
              </w:rPr>
            </w:pPr>
            <w:r w:rsidRPr="001A5B12">
              <w:rPr>
                <w:rFonts w:eastAsia="宋体" w:cs="Times New Roman"/>
                <w:sz w:val="18"/>
                <w:szCs w:val="18"/>
              </w:rPr>
              <w:t xml:space="preserve">426,641,669.05 </w:t>
            </w:r>
          </w:p>
        </w:tc>
      </w:tr>
      <w:tr w:rsidR="001A5B12" w:rsidRPr="00A71D2E" w:rsidTr="0027505B">
        <w:trPr>
          <w:trHeight w:val="20"/>
        </w:trPr>
        <w:tc>
          <w:tcPr>
            <w:tcW w:w="1974" w:type="dxa"/>
            <w:shd w:val="clear" w:color="auto" w:fill="D9D9D9" w:themeFill="background1" w:themeFillShade="D9"/>
            <w:vAlign w:val="center"/>
          </w:tcPr>
          <w:p w:rsidR="001A5B12" w:rsidRPr="00A71D2E" w:rsidRDefault="001A5B12" w:rsidP="0027505B">
            <w:pPr>
              <w:rPr>
                <w:rFonts w:eastAsia="宋体" w:cs="Times New Roman"/>
                <w:sz w:val="18"/>
                <w:szCs w:val="18"/>
              </w:rPr>
            </w:pPr>
            <w:r w:rsidRPr="00A71D2E">
              <w:rPr>
                <w:rFonts w:eastAsia="宋体" w:cs="Times New Roman" w:hint="eastAsia"/>
                <w:sz w:val="18"/>
                <w:szCs w:val="18"/>
              </w:rPr>
              <w:t>合计</w:t>
            </w:r>
          </w:p>
        </w:tc>
        <w:tc>
          <w:tcPr>
            <w:tcW w:w="1869" w:type="dxa"/>
            <w:shd w:val="clear" w:color="auto" w:fill="FFFFFF" w:themeFill="background1"/>
            <w:vAlign w:val="center"/>
          </w:tcPr>
          <w:p w:rsidR="001A5B12" w:rsidRPr="00A71D2E" w:rsidRDefault="001A5B12" w:rsidP="0027505B">
            <w:pPr>
              <w:jc w:val="right"/>
              <w:rPr>
                <w:rFonts w:eastAsia="宋体" w:cs="Times New Roman"/>
                <w:sz w:val="18"/>
                <w:szCs w:val="18"/>
              </w:rPr>
            </w:pPr>
            <w:r w:rsidRPr="00732B68">
              <w:rPr>
                <w:rFonts w:eastAsia="宋体" w:cs="Times New Roman"/>
                <w:sz w:val="18"/>
                <w:szCs w:val="18"/>
              </w:rPr>
              <w:t>1.23</w:t>
            </w:r>
          </w:p>
        </w:tc>
        <w:tc>
          <w:tcPr>
            <w:tcW w:w="1869" w:type="dxa"/>
            <w:shd w:val="clear" w:color="auto" w:fill="FFFFFF" w:themeFill="background1"/>
            <w:vAlign w:val="center"/>
          </w:tcPr>
          <w:p w:rsidR="001A5B12" w:rsidRPr="003723F6" w:rsidRDefault="001A5B12" w:rsidP="0027505B">
            <w:pPr>
              <w:jc w:val="right"/>
              <w:rPr>
                <w:rFonts w:eastAsia="宋体" w:cs="Times New Roman"/>
                <w:sz w:val="18"/>
                <w:szCs w:val="18"/>
              </w:rPr>
            </w:pPr>
            <w:r w:rsidRPr="003723F6">
              <w:rPr>
                <w:rFonts w:eastAsia="宋体" w:cs="Times New Roman"/>
                <w:sz w:val="18"/>
                <w:szCs w:val="18"/>
              </w:rPr>
              <w:t>871,071,817.75</w:t>
            </w:r>
          </w:p>
        </w:tc>
        <w:tc>
          <w:tcPr>
            <w:tcW w:w="1869" w:type="dxa"/>
            <w:shd w:val="clear" w:color="auto" w:fill="FFFFFF" w:themeFill="background1"/>
            <w:vAlign w:val="center"/>
          </w:tcPr>
          <w:p w:rsidR="001A5B12" w:rsidRPr="00A71D2E" w:rsidRDefault="001A5B12" w:rsidP="0027505B">
            <w:pPr>
              <w:jc w:val="right"/>
              <w:rPr>
                <w:rFonts w:eastAsia="宋体" w:cs="Times New Roman"/>
                <w:sz w:val="18"/>
                <w:szCs w:val="18"/>
              </w:rPr>
            </w:pPr>
            <w:r w:rsidRPr="003723F6">
              <w:rPr>
                <w:rFonts w:eastAsia="宋体" w:cs="Times New Roman"/>
                <w:sz w:val="18"/>
                <w:szCs w:val="18"/>
              </w:rPr>
              <w:t>10,719,959.71</w:t>
            </w:r>
          </w:p>
        </w:tc>
        <w:tc>
          <w:tcPr>
            <w:tcW w:w="1869" w:type="dxa"/>
            <w:shd w:val="clear" w:color="auto" w:fill="FFFFFF" w:themeFill="background1"/>
            <w:vAlign w:val="center"/>
          </w:tcPr>
          <w:p w:rsidR="001A5B12" w:rsidRPr="00A71D2E" w:rsidRDefault="001A5B12" w:rsidP="0027505B">
            <w:pPr>
              <w:jc w:val="right"/>
              <w:rPr>
                <w:rFonts w:eastAsia="宋体" w:cs="Times New Roman"/>
                <w:sz w:val="18"/>
                <w:szCs w:val="18"/>
              </w:rPr>
            </w:pPr>
            <w:r w:rsidRPr="001A5B12">
              <w:rPr>
                <w:rFonts w:eastAsia="宋体" w:cs="Times New Roman"/>
                <w:sz w:val="18"/>
                <w:szCs w:val="18"/>
              </w:rPr>
              <w:t xml:space="preserve">860,351,858.04 </w:t>
            </w:r>
          </w:p>
        </w:tc>
      </w:tr>
    </w:tbl>
    <w:p w:rsidR="0078239A" w:rsidRDefault="0078239A" w:rsidP="0027505B">
      <w:pPr>
        <w:ind w:left="720"/>
        <w:jc w:val="both"/>
        <w:rPr>
          <w:rFonts w:eastAsia="宋体" w:cs="Times New Roman"/>
          <w:szCs w:val="21"/>
        </w:rPr>
      </w:pPr>
    </w:p>
    <w:p w:rsidR="00F45E43" w:rsidRPr="00815AEF" w:rsidRDefault="00F45E43" w:rsidP="00F45E43">
      <w:pPr>
        <w:pStyle w:val="aff1"/>
        <w:ind w:left="1350" w:firstLineChars="0" w:firstLine="0"/>
        <w:jc w:val="right"/>
        <w:rPr>
          <w:szCs w:val="21"/>
        </w:rPr>
      </w:pPr>
      <w:r w:rsidRPr="00815AEF">
        <w:rPr>
          <w:rFonts w:hint="eastAsia"/>
          <w:szCs w:val="21"/>
        </w:rPr>
        <w:t>单位</w:t>
      </w:r>
      <w:r w:rsidR="005F14EE">
        <w:rPr>
          <w:rFonts w:hint="eastAsia"/>
          <w:szCs w:val="21"/>
        </w:rPr>
        <w:t>：</w:t>
      </w:r>
      <w:r w:rsidRPr="00815AEF">
        <w:rPr>
          <w:rFonts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4"/>
        <w:gridCol w:w="1869"/>
        <w:gridCol w:w="1869"/>
        <w:gridCol w:w="1869"/>
        <w:gridCol w:w="1869"/>
      </w:tblGrid>
      <w:tr w:rsidR="001A5B12" w:rsidRPr="00A71D2E" w:rsidTr="0027505B">
        <w:trPr>
          <w:trHeight w:val="20"/>
        </w:trPr>
        <w:tc>
          <w:tcPr>
            <w:tcW w:w="1974" w:type="dxa"/>
            <w:vMerge w:val="restart"/>
            <w:shd w:val="clear" w:color="auto" w:fill="D9D9D9" w:themeFill="background1" w:themeFillShade="D9"/>
            <w:vAlign w:val="center"/>
          </w:tcPr>
          <w:p w:rsidR="001A5B12" w:rsidRPr="00A71D2E" w:rsidRDefault="001A5B12" w:rsidP="0027505B">
            <w:pPr>
              <w:jc w:val="center"/>
              <w:rPr>
                <w:rFonts w:eastAsia="宋体" w:cs="Times New Roman"/>
                <w:sz w:val="18"/>
                <w:szCs w:val="18"/>
              </w:rPr>
            </w:pPr>
            <w:r>
              <w:rPr>
                <w:rFonts w:eastAsia="宋体" w:cs="Times New Roman" w:hint="eastAsia"/>
                <w:sz w:val="18"/>
                <w:szCs w:val="18"/>
              </w:rPr>
              <w:t>名称</w:t>
            </w:r>
          </w:p>
        </w:tc>
        <w:tc>
          <w:tcPr>
            <w:tcW w:w="7476" w:type="dxa"/>
            <w:gridSpan w:val="4"/>
            <w:shd w:val="clear" w:color="auto" w:fill="D9D9D9" w:themeFill="background1" w:themeFillShade="D9"/>
            <w:vAlign w:val="center"/>
          </w:tcPr>
          <w:p w:rsidR="001A5B12" w:rsidRPr="00A71D2E" w:rsidRDefault="001A5B12" w:rsidP="0027505B">
            <w:pPr>
              <w:jc w:val="center"/>
              <w:rPr>
                <w:rFonts w:eastAsia="宋体" w:cs="Times New Roman"/>
                <w:sz w:val="18"/>
                <w:szCs w:val="18"/>
              </w:rPr>
            </w:pPr>
            <w:r w:rsidRPr="00A71D2E">
              <w:rPr>
                <w:rFonts w:eastAsia="宋体" w:cs="Times New Roman" w:hint="eastAsia"/>
                <w:sz w:val="18"/>
                <w:szCs w:val="18"/>
              </w:rPr>
              <w:t>年</w:t>
            </w:r>
            <w:r>
              <w:rPr>
                <w:rFonts w:eastAsia="宋体" w:cs="Times New Roman" w:hint="eastAsia"/>
                <w:sz w:val="18"/>
                <w:szCs w:val="18"/>
              </w:rPr>
              <w:t>初</w:t>
            </w:r>
            <w:r w:rsidRPr="00A71D2E">
              <w:rPr>
                <w:rFonts w:eastAsia="宋体" w:cs="Times New Roman" w:hint="eastAsia"/>
                <w:sz w:val="18"/>
                <w:szCs w:val="18"/>
              </w:rPr>
              <w:t>余额</w:t>
            </w:r>
          </w:p>
        </w:tc>
      </w:tr>
      <w:tr w:rsidR="001A5B12" w:rsidRPr="00A71D2E" w:rsidTr="0027505B">
        <w:trPr>
          <w:trHeight w:val="20"/>
        </w:trPr>
        <w:tc>
          <w:tcPr>
            <w:tcW w:w="1974" w:type="dxa"/>
            <w:vMerge/>
            <w:shd w:val="clear" w:color="auto" w:fill="D9D9D9" w:themeFill="background1" w:themeFillShade="D9"/>
            <w:vAlign w:val="center"/>
          </w:tcPr>
          <w:p w:rsidR="001A5B12" w:rsidRPr="00A71D2E" w:rsidRDefault="001A5B12" w:rsidP="00E456AF">
            <w:pPr>
              <w:ind w:leftChars="86" w:left="181"/>
              <w:jc w:val="center"/>
              <w:rPr>
                <w:rFonts w:eastAsia="宋体" w:cs="Times New Roman"/>
                <w:sz w:val="18"/>
                <w:szCs w:val="18"/>
              </w:rPr>
            </w:pPr>
          </w:p>
        </w:tc>
        <w:tc>
          <w:tcPr>
            <w:tcW w:w="1869" w:type="dxa"/>
            <w:shd w:val="clear" w:color="auto" w:fill="D9D9D9" w:themeFill="background1" w:themeFillShade="D9"/>
            <w:vAlign w:val="center"/>
          </w:tcPr>
          <w:p w:rsidR="001A5B12" w:rsidRDefault="001A5B12" w:rsidP="0027505B">
            <w:pPr>
              <w:jc w:val="center"/>
              <w:rPr>
                <w:rFonts w:eastAsia="宋体" w:cs="Times New Roman"/>
                <w:sz w:val="18"/>
                <w:szCs w:val="18"/>
              </w:rPr>
            </w:pPr>
            <w:r>
              <w:rPr>
                <w:rFonts w:eastAsia="宋体" w:cs="Times New Roman" w:hint="eastAsia"/>
                <w:sz w:val="18"/>
                <w:szCs w:val="18"/>
              </w:rPr>
              <w:t>预期平均损失率</w:t>
            </w:r>
          </w:p>
          <w:p w:rsidR="001A5B12" w:rsidRPr="00A71D2E" w:rsidRDefault="005F14EE" w:rsidP="0027505B">
            <w:pPr>
              <w:jc w:val="center"/>
              <w:rPr>
                <w:rFonts w:eastAsia="宋体" w:cs="Times New Roman"/>
                <w:sz w:val="18"/>
                <w:szCs w:val="18"/>
              </w:rPr>
            </w:pPr>
            <w:r>
              <w:rPr>
                <w:rFonts w:eastAsia="宋体" w:cs="Times New Roman" w:hint="eastAsia"/>
                <w:sz w:val="18"/>
                <w:szCs w:val="18"/>
              </w:rPr>
              <w:t>(</w:t>
            </w:r>
            <w:r w:rsidR="001A5B12">
              <w:rPr>
                <w:rFonts w:eastAsia="宋体" w:cs="Times New Roman"/>
                <w:sz w:val="18"/>
                <w:szCs w:val="18"/>
              </w:rPr>
              <w:t xml:space="preserve">% </w:t>
            </w:r>
            <w:r>
              <w:rPr>
                <w:rFonts w:eastAsia="宋体" w:cs="Times New Roman"/>
                <w:sz w:val="18"/>
                <w:szCs w:val="18"/>
              </w:rPr>
              <w:t>)</w:t>
            </w:r>
          </w:p>
        </w:tc>
        <w:tc>
          <w:tcPr>
            <w:tcW w:w="1869" w:type="dxa"/>
            <w:shd w:val="clear" w:color="auto" w:fill="D9D9D9" w:themeFill="background1" w:themeFillShade="D9"/>
            <w:vAlign w:val="center"/>
          </w:tcPr>
          <w:p w:rsidR="001A5B12" w:rsidDel="00DE4324" w:rsidRDefault="001A5B12" w:rsidP="0027505B">
            <w:pPr>
              <w:jc w:val="center"/>
              <w:rPr>
                <w:rFonts w:eastAsia="宋体" w:cs="Times New Roman"/>
                <w:sz w:val="18"/>
                <w:szCs w:val="18"/>
              </w:rPr>
            </w:pPr>
            <w:r>
              <w:rPr>
                <w:rFonts w:eastAsia="宋体" w:cs="Times New Roman" w:hint="eastAsia"/>
                <w:sz w:val="18"/>
                <w:szCs w:val="18"/>
              </w:rPr>
              <w:t>账面余额</w:t>
            </w:r>
          </w:p>
        </w:tc>
        <w:tc>
          <w:tcPr>
            <w:tcW w:w="1869" w:type="dxa"/>
            <w:shd w:val="clear" w:color="auto" w:fill="D9D9D9" w:themeFill="background1" w:themeFillShade="D9"/>
            <w:vAlign w:val="center"/>
          </w:tcPr>
          <w:p w:rsidR="001A5B12" w:rsidRPr="00A71D2E" w:rsidRDefault="001A5B12" w:rsidP="0027505B">
            <w:pPr>
              <w:jc w:val="center"/>
              <w:rPr>
                <w:rFonts w:eastAsia="宋体" w:cs="Times New Roman"/>
                <w:sz w:val="18"/>
                <w:szCs w:val="18"/>
              </w:rPr>
            </w:pPr>
            <w:r>
              <w:rPr>
                <w:rFonts w:eastAsia="宋体" w:cs="Times New Roman" w:hint="eastAsia"/>
                <w:sz w:val="18"/>
                <w:szCs w:val="18"/>
              </w:rPr>
              <w:t>坏账准备</w:t>
            </w:r>
          </w:p>
        </w:tc>
        <w:tc>
          <w:tcPr>
            <w:tcW w:w="1869" w:type="dxa"/>
            <w:shd w:val="clear" w:color="auto" w:fill="D9D9D9" w:themeFill="background1" w:themeFillShade="D9"/>
            <w:vAlign w:val="center"/>
          </w:tcPr>
          <w:p w:rsidR="001A5B12" w:rsidRPr="00A71D2E" w:rsidRDefault="001A5B12" w:rsidP="0027505B">
            <w:pPr>
              <w:jc w:val="center"/>
              <w:rPr>
                <w:rFonts w:eastAsia="宋体" w:cs="Times New Roman"/>
                <w:sz w:val="18"/>
                <w:szCs w:val="18"/>
              </w:rPr>
            </w:pPr>
            <w:r>
              <w:rPr>
                <w:rFonts w:eastAsia="宋体" w:cs="Times New Roman" w:hint="eastAsia"/>
                <w:sz w:val="18"/>
                <w:szCs w:val="18"/>
              </w:rPr>
              <w:t>账面价值</w:t>
            </w:r>
          </w:p>
        </w:tc>
      </w:tr>
      <w:tr w:rsidR="00A92063" w:rsidRPr="00A71D2E" w:rsidTr="0027505B">
        <w:trPr>
          <w:trHeight w:val="20"/>
        </w:trPr>
        <w:tc>
          <w:tcPr>
            <w:tcW w:w="1974" w:type="dxa"/>
            <w:shd w:val="clear" w:color="auto" w:fill="FFFFFF" w:themeFill="background1"/>
            <w:vAlign w:val="center"/>
          </w:tcPr>
          <w:p w:rsidR="00A92063" w:rsidRPr="00A71D2E" w:rsidRDefault="00A92063" w:rsidP="0027505B">
            <w:pPr>
              <w:rPr>
                <w:rFonts w:eastAsia="宋体" w:cs="Times New Roman"/>
                <w:sz w:val="18"/>
                <w:szCs w:val="18"/>
              </w:rPr>
            </w:pPr>
            <w:r>
              <w:rPr>
                <w:rFonts w:eastAsia="宋体" w:cs="Times New Roman" w:hint="eastAsia"/>
                <w:sz w:val="18"/>
                <w:szCs w:val="18"/>
              </w:rPr>
              <w:t>组合</w:t>
            </w:r>
            <w:r>
              <w:rPr>
                <w:rFonts w:eastAsia="宋体" w:cs="Times New Roman" w:hint="eastAsia"/>
                <w:sz w:val="18"/>
                <w:szCs w:val="18"/>
              </w:rPr>
              <w:t>A</w:t>
            </w:r>
          </w:p>
        </w:tc>
        <w:tc>
          <w:tcPr>
            <w:tcW w:w="1869" w:type="dxa"/>
            <w:shd w:val="clear" w:color="auto" w:fill="FFFFFF" w:themeFill="background1"/>
            <w:vAlign w:val="center"/>
          </w:tcPr>
          <w:p w:rsidR="00A92063" w:rsidRPr="00A71D2E" w:rsidRDefault="00A92063" w:rsidP="0027505B">
            <w:pPr>
              <w:jc w:val="right"/>
              <w:rPr>
                <w:rFonts w:eastAsia="宋体" w:cs="Times New Roman"/>
                <w:sz w:val="18"/>
                <w:szCs w:val="18"/>
              </w:rPr>
            </w:pPr>
            <w:r w:rsidRPr="00A71D2E">
              <w:rPr>
                <w:rFonts w:eastAsia="宋体" w:cs="Times New Roman"/>
                <w:sz w:val="18"/>
                <w:szCs w:val="18"/>
              </w:rPr>
              <w:t>0.46</w:t>
            </w:r>
          </w:p>
        </w:tc>
        <w:tc>
          <w:tcPr>
            <w:tcW w:w="1869" w:type="dxa"/>
            <w:shd w:val="clear" w:color="auto" w:fill="FFFFFF" w:themeFill="background1"/>
            <w:vAlign w:val="center"/>
          </w:tcPr>
          <w:p w:rsidR="00A92063" w:rsidRPr="003723F6" w:rsidRDefault="00A92063" w:rsidP="0027505B">
            <w:pPr>
              <w:jc w:val="right"/>
              <w:rPr>
                <w:rFonts w:eastAsia="宋体" w:cs="Times New Roman"/>
                <w:sz w:val="18"/>
                <w:szCs w:val="18"/>
              </w:rPr>
            </w:pPr>
            <w:r w:rsidRPr="00A71D2E">
              <w:rPr>
                <w:rFonts w:eastAsia="宋体" w:cs="Times New Roman"/>
                <w:sz w:val="18"/>
                <w:szCs w:val="18"/>
              </w:rPr>
              <w:t>245,057,673.82</w:t>
            </w:r>
          </w:p>
        </w:tc>
        <w:tc>
          <w:tcPr>
            <w:tcW w:w="1869" w:type="dxa"/>
            <w:shd w:val="clear" w:color="auto" w:fill="FFFFFF" w:themeFill="background1"/>
            <w:vAlign w:val="center"/>
          </w:tcPr>
          <w:p w:rsidR="00A92063" w:rsidRPr="00A71D2E" w:rsidRDefault="00A92063" w:rsidP="0027505B">
            <w:pPr>
              <w:jc w:val="right"/>
              <w:rPr>
                <w:rFonts w:eastAsia="宋体" w:cs="Times New Roman"/>
                <w:sz w:val="18"/>
                <w:szCs w:val="18"/>
              </w:rPr>
            </w:pPr>
            <w:r w:rsidRPr="00A71D2E">
              <w:rPr>
                <w:rFonts w:eastAsia="宋体" w:cs="Times New Roman"/>
                <w:sz w:val="18"/>
                <w:szCs w:val="18"/>
              </w:rPr>
              <w:t>1,121,411.76</w:t>
            </w:r>
          </w:p>
        </w:tc>
        <w:tc>
          <w:tcPr>
            <w:tcW w:w="1869" w:type="dxa"/>
            <w:shd w:val="clear" w:color="auto" w:fill="FFFFFF" w:themeFill="background1"/>
            <w:vAlign w:val="center"/>
          </w:tcPr>
          <w:p w:rsidR="00A92063" w:rsidRPr="00A71D2E" w:rsidRDefault="00A92063" w:rsidP="0027505B">
            <w:pPr>
              <w:jc w:val="right"/>
              <w:rPr>
                <w:rFonts w:eastAsia="宋体" w:cs="Times New Roman"/>
                <w:sz w:val="18"/>
                <w:szCs w:val="18"/>
              </w:rPr>
            </w:pPr>
            <w:r w:rsidRPr="00A71D2E">
              <w:rPr>
                <w:rFonts w:eastAsia="宋体" w:cs="Times New Roman"/>
                <w:sz w:val="18"/>
                <w:szCs w:val="18"/>
              </w:rPr>
              <w:t>243,936,262.06</w:t>
            </w:r>
          </w:p>
        </w:tc>
      </w:tr>
      <w:tr w:rsidR="00A92063" w:rsidRPr="00A71D2E" w:rsidTr="0027505B">
        <w:trPr>
          <w:trHeight w:val="20"/>
        </w:trPr>
        <w:tc>
          <w:tcPr>
            <w:tcW w:w="1974" w:type="dxa"/>
            <w:shd w:val="clear" w:color="auto" w:fill="FFFFFF" w:themeFill="background1"/>
            <w:vAlign w:val="center"/>
          </w:tcPr>
          <w:p w:rsidR="00A92063" w:rsidRPr="00771092" w:rsidRDefault="00A92063" w:rsidP="0027505B">
            <w:pPr>
              <w:rPr>
                <w:rFonts w:eastAsia="宋体" w:cs="Times New Roman"/>
                <w:sz w:val="18"/>
                <w:szCs w:val="18"/>
              </w:rPr>
            </w:pPr>
            <w:r>
              <w:rPr>
                <w:rFonts w:eastAsia="宋体" w:cs="Times New Roman" w:hint="eastAsia"/>
                <w:sz w:val="18"/>
                <w:szCs w:val="18"/>
              </w:rPr>
              <w:t>组合</w:t>
            </w:r>
            <w:r>
              <w:rPr>
                <w:rFonts w:eastAsia="宋体" w:cs="Times New Roman" w:hint="eastAsia"/>
                <w:sz w:val="18"/>
                <w:szCs w:val="18"/>
              </w:rPr>
              <w:t>B</w:t>
            </w:r>
          </w:p>
        </w:tc>
        <w:tc>
          <w:tcPr>
            <w:tcW w:w="1869" w:type="dxa"/>
            <w:shd w:val="clear" w:color="auto" w:fill="FFFFFF" w:themeFill="background1"/>
            <w:vAlign w:val="center"/>
          </w:tcPr>
          <w:p w:rsidR="00A92063" w:rsidRPr="00771092" w:rsidRDefault="00A92063" w:rsidP="0027505B">
            <w:pPr>
              <w:jc w:val="right"/>
              <w:rPr>
                <w:rFonts w:eastAsia="宋体" w:cs="Times New Roman"/>
                <w:sz w:val="18"/>
                <w:szCs w:val="18"/>
              </w:rPr>
            </w:pPr>
            <w:r w:rsidRPr="00A71D2E">
              <w:rPr>
                <w:rFonts w:eastAsia="宋体" w:cs="Times New Roman"/>
                <w:sz w:val="18"/>
                <w:szCs w:val="18"/>
              </w:rPr>
              <w:t>0.73</w:t>
            </w:r>
          </w:p>
        </w:tc>
        <w:tc>
          <w:tcPr>
            <w:tcW w:w="1869" w:type="dxa"/>
            <w:shd w:val="clear" w:color="auto" w:fill="FFFFFF" w:themeFill="background1"/>
            <w:vAlign w:val="center"/>
          </w:tcPr>
          <w:p w:rsidR="00A92063" w:rsidRPr="003723F6" w:rsidRDefault="00A92063" w:rsidP="0027505B">
            <w:pPr>
              <w:jc w:val="right"/>
              <w:rPr>
                <w:rFonts w:eastAsia="宋体" w:cs="Times New Roman"/>
                <w:sz w:val="18"/>
                <w:szCs w:val="18"/>
              </w:rPr>
            </w:pPr>
            <w:r w:rsidRPr="00A71D2E">
              <w:rPr>
                <w:rFonts w:eastAsia="宋体" w:cs="Times New Roman"/>
                <w:sz w:val="18"/>
                <w:szCs w:val="18"/>
              </w:rPr>
              <w:t>188,055,658.86</w:t>
            </w:r>
          </w:p>
        </w:tc>
        <w:tc>
          <w:tcPr>
            <w:tcW w:w="1869" w:type="dxa"/>
            <w:shd w:val="clear" w:color="auto" w:fill="FFFFFF" w:themeFill="background1"/>
            <w:vAlign w:val="center"/>
          </w:tcPr>
          <w:p w:rsidR="00A92063" w:rsidRPr="00771092" w:rsidRDefault="00A92063" w:rsidP="0027505B">
            <w:pPr>
              <w:jc w:val="right"/>
              <w:rPr>
                <w:rFonts w:eastAsia="宋体" w:cs="Times New Roman"/>
                <w:sz w:val="18"/>
                <w:szCs w:val="18"/>
              </w:rPr>
            </w:pPr>
            <w:r w:rsidRPr="00A71D2E">
              <w:rPr>
                <w:rFonts w:eastAsia="宋体" w:cs="Times New Roman"/>
                <w:sz w:val="18"/>
                <w:szCs w:val="18"/>
              </w:rPr>
              <w:t>1,376,020.86</w:t>
            </w:r>
          </w:p>
        </w:tc>
        <w:tc>
          <w:tcPr>
            <w:tcW w:w="1869" w:type="dxa"/>
            <w:shd w:val="clear" w:color="auto" w:fill="FFFFFF" w:themeFill="background1"/>
            <w:vAlign w:val="center"/>
          </w:tcPr>
          <w:p w:rsidR="00A92063" w:rsidRPr="00771092" w:rsidRDefault="00A92063" w:rsidP="0027505B">
            <w:pPr>
              <w:jc w:val="right"/>
              <w:rPr>
                <w:rFonts w:eastAsia="宋体" w:cs="Times New Roman"/>
                <w:sz w:val="18"/>
                <w:szCs w:val="18"/>
              </w:rPr>
            </w:pPr>
            <w:r w:rsidRPr="00A71D2E">
              <w:rPr>
                <w:rFonts w:eastAsia="宋体" w:cs="Times New Roman"/>
                <w:sz w:val="18"/>
                <w:szCs w:val="18"/>
              </w:rPr>
              <w:t>186,679,638.00</w:t>
            </w:r>
          </w:p>
        </w:tc>
      </w:tr>
      <w:tr w:rsidR="00A92063" w:rsidRPr="00A71D2E" w:rsidTr="0027505B">
        <w:trPr>
          <w:trHeight w:val="20"/>
        </w:trPr>
        <w:tc>
          <w:tcPr>
            <w:tcW w:w="1974" w:type="dxa"/>
            <w:shd w:val="clear" w:color="auto" w:fill="FFFFFF" w:themeFill="background1"/>
            <w:vAlign w:val="center"/>
          </w:tcPr>
          <w:p w:rsidR="00A92063" w:rsidRPr="00771092" w:rsidRDefault="00A92063" w:rsidP="0027505B">
            <w:pPr>
              <w:rPr>
                <w:rFonts w:eastAsia="宋体" w:cs="Times New Roman"/>
                <w:sz w:val="18"/>
                <w:szCs w:val="18"/>
              </w:rPr>
            </w:pPr>
            <w:r>
              <w:rPr>
                <w:rFonts w:eastAsia="宋体" w:cs="Times New Roman" w:hint="eastAsia"/>
                <w:sz w:val="18"/>
                <w:szCs w:val="18"/>
              </w:rPr>
              <w:t>组合</w:t>
            </w:r>
            <w:r>
              <w:rPr>
                <w:rFonts w:eastAsia="宋体" w:cs="Times New Roman" w:hint="eastAsia"/>
                <w:sz w:val="18"/>
                <w:szCs w:val="18"/>
              </w:rPr>
              <w:t>C</w:t>
            </w:r>
          </w:p>
        </w:tc>
        <w:tc>
          <w:tcPr>
            <w:tcW w:w="1869" w:type="dxa"/>
            <w:shd w:val="clear" w:color="auto" w:fill="FFFFFF" w:themeFill="background1"/>
            <w:vAlign w:val="center"/>
          </w:tcPr>
          <w:p w:rsidR="00A92063" w:rsidRPr="00771092" w:rsidRDefault="00A92063" w:rsidP="0027505B">
            <w:pPr>
              <w:jc w:val="right"/>
              <w:rPr>
                <w:rFonts w:eastAsia="宋体" w:cs="Times New Roman"/>
                <w:sz w:val="18"/>
                <w:szCs w:val="18"/>
              </w:rPr>
            </w:pPr>
            <w:r w:rsidRPr="00A71D2E">
              <w:rPr>
                <w:rFonts w:eastAsia="宋体" w:cs="Times New Roman"/>
                <w:sz w:val="18"/>
                <w:szCs w:val="18"/>
              </w:rPr>
              <w:t>1.65</w:t>
            </w:r>
          </w:p>
        </w:tc>
        <w:tc>
          <w:tcPr>
            <w:tcW w:w="1869" w:type="dxa"/>
            <w:shd w:val="clear" w:color="auto" w:fill="FFFFFF" w:themeFill="background1"/>
            <w:vAlign w:val="center"/>
          </w:tcPr>
          <w:p w:rsidR="00A92063" w:rsidRPr="00DA7298" w:rsidRDefault="00A92063" w:rsidP="0027505B">
            <w:pPr>
              <w:jc w:val="right"/>
              <w:rPr>
                <w:rFonts w:eastAsia="宋体" w:cs="Times New Roman"/>
                <w:sz w:val="18"/>
                <w:szCs w:val="18"/>
              </w:rPr>
            </w:pPr>
            <w:r w:rsidRPr="00A71D2E">
              <w:rPr>
                <w:rFonts w:eastAsia="宋体" w:cs="Times New Roman"/>
                <w:sz w:val="18"/>
                <w:szCs w:val="18"/>
              </w:rPr>
              <w:t>290,465,376.63</w:t>
            </w:r>
          </w:p>
        </w:tc>
        <w:tc>
          <w:tcPr>
            <w:tcW w:w="1869" w:type="dxa"/>
            <w:shd w:val="clear" w:color="auto" w:fill="FFFFFF" w:themeFill="background1"/>
            <w:vAlign w:val="center"/>
          </w:tcPr>
          <w:p w:rsidR="00A92063" w:rsidRPr="00771092" w:rsidRDefault="00A92063" w:rsidP="0027505B">
            <w:pPr>
              <w:jc w:val="right"/>
              <w:rPr>
                <w:rFonts w:eastAsia="宋体" w:cs="Times New Roman"/>
                <w:sz w:val="18"/>
                <w:szCs w:val="18"/>
              </w:rPr>
            </w:pPr>
            <w:r w:rsidRPr="00A71D2E">
              <w:rPr>
                <w:rFonts w:eastAsia="宋体" w:cs="Times New Roman"/>
                <w:sz w:val="18"/>
                <w:szCs w:val="18"/>
              </w:rPr>
              <w:t>4,784,764.19</w:t>
            </w:r>
          </w:p>
        </w:tc>
        <w:tc>
          <w:tcPr>
            <w:tcW w:w="1869" w:type="dxa"/>
            <w:shd w:val="clear" w:color="auto" w:fill="FFFFFF" w:themeFill="background1"/>
            <w:vAlign w:val="center"/>
          </w:tcPr>
          <w:p w:rsidR="00A92063" w:rsidRPr="00771092" w:rsidRDefault="00A92063" w:rsidP="0027505B">
            <w:pPr>
              <w:jc w:val="right"/>
              <w:rPr>
                <w:rFonts w:eastAsia="宋体" w:cs="Times New Roman"/>
                <w:sz w:val="18"/>
                <w:szCs w:val="18"/>
              </w:rPr>
            </w:pPr>
            <w:r w:rsidRPr="00A71D2E">
              <w:rPr>
                <w:rFonts w:eastAsia="宋体" w:cs="Times New Roman"/>
                <w:sz w:val="18"/>
                <w:szCs w:val="18"/>
              </w:rPr>
              <w:t>285,680,612.44</w:t>
            </w:r>
          </w:p>
        </w:tc>
      </w:tr>
      <w:tr w:rsidR="00A92063" w:rsidRPr="00A71D2E" w:rsidTr="0027505B">
        <w:trPr>
          <w:trHeight w:val="20"/>
        </w:trPr>
        <w:tc>
          <w:tcPr>
            <w:tcW w:w="1974" w:type="dxa"/>
            <w:shd w:val="clear" w:color="auto" w:fill="D9D9D9" w:themeFill="background1" w:themeFillShade="D9"/>
            <w:vAlign w:val="center"/>
          </w:tcPr>
          <w:p w:rsidR="00A92063" w:rsidRPr="00A71D2E" w:rsidRDefault="00A92063" w:rsidP="0027505B">
            <w:pPr>
              <w:rPr>
                <w:rFonts w:eastAsia="宋体" w:cs="Times New Roman"/>
                <w:sz w:val="18"/>
                <w:szCs w:val="18"/>
              </w:rPr>
            </w:pPr>
            <w:r w:rsidRPr="00A71D2E">
              <w:rPr>
                <w:rFonts w:eastAsia="宋体" w:cs="Times New Roman" w:hint="eastAsia"/>
                <w:sz w:val="18"/>
                <w:szCs w:val="18"/>
              </w:rPr>
              <w:t>合计</w:t>
            </w:r>
          </w:p>
        </w:tc>
        <w:tc>
          <w:tcPr>
            <w:tcW w:w="1869" w:type="dxa"/>
            <w:shd w:val="clear" w:color="auto" w:fill="FFFFFF" w:themeFill="background1"/>
            <w:vAlign w:val="center"/>
          </w:tcPr>
          <w:p w:rsidR="00A92063" w:rsidRPr="00A71D2E" w:rsidRDefault="00A92063" w:rsidP="0027505B">
            <w:pPr>
              <w:jc w:val="right"/>
              <w:rPr>
                <w:rFonts w:eastAsia="宋体" w:cs="Times New Roman"/>
                <w:sz w:val="18"/>
                <w:szCs w:val="18"/>
              </w:rPr>
            </w:pPr>
            <w:r w:rsidRPr="00A71D2E">
              <w:rPr>
                <w:rFonts w:eastAsia="宋体" w:cs="Times New Roman"/>
                <w:sz w:val="18"/>
                <w:szCs w:val="18"/>
              </w:rPr>
              <w:t>1.01</w:t>
            </w:r>
          </w:p>
        </w:tc>
        <w:tc>
          <w:tcPr>
            <w:tcW w:w="1869" w:type="dxa"/>
            <w:shd w:val="clear" w:color="auto" w:fill="FFFFFF" w:themeFill="background1"/>
            <w:vAlign w:val="center"/>
          </w:tcPr>
          <w:p w:rsidR="00A92063" w:rsidRPr="003723F6" w:rsidRDefault="00A92063" w:rsidP="0027505B">
            <w:pPr>
              <w:jc w:val="right"/>
              <w:rPr>
                <w:rFonts w:eastAsia="宋体" w:cs="Times New Roman"/>
                <w:sz w:val="18"/>
                <w:szCs w:val="18"/>
              </w:rPr>
            </w:pPr>
            <w:r w:rsidRPr="00A71D2E">
              <w:rPr>
                <w:rFonts w:eastAsia="宋体" w:cs="Times New Roman"/>
                <w:sz w:val="18"/>
                <w:szCs w:val="18"/>
              </w:rPr>
              <w:t>723,578,709.31</w:t>
            </w:r>
          </w:p>
        </w:tc>
        <w:tc>
          <w:tcPr>
            <w:tcW w:w="1869" w:type="dxa"/>
            <w:shd w:val="clear" w:color="auto" w:fill="FFFFFF" w:themeFill="background1"/>
            <w:vAlign w:val="center"/>
          </w:tcPr>
          <w:p w:rsidR="00A92063" w:rsidRPr="00A71D2E" w:rsidRDefault="00A92063" w:rsidP="0027505B">
            <w:pPr>
              <w:jc w:val="right"/>
              <w:rPr>
                <w:rFonts w:eastAsia="宋体" w:cs="Times New Roman"/>
                <w:sz w:val="18"/>
                <w:szCs w:val="18"/>
              </w:rPr>
            </w:pPr>
            <w:r w:rsidRPr="00A71D2E">
              <w:rPr>
                <w:rFonts w:eastAsia="宋体" w:cs="Times New Roman"/>
                <w:sz w:val="18"/>
                <w:szCs w:val="18"/>
              </w:rPr>
              <w:t>7,282,196.81</w:t>
            </w:r>
          </w:p>
        </w:tc>
        <w:tc>
          <w:tcPr>
            <w:tcW w:w="1869" w:type="dxa"/>
            <w:shd w:val="clear" w:color="auto" w:fill="FFFFFF" w:themeFill="background1"/>
            <w:vAlign w:val="center"/>
          </w:tcPr>
          <w:p w:rsidR="00A92063" w:rsidRPr="00A71D2E" w:rsidRDefault="00A92063" w:rsidP="0027505B">
            <w:pPr>
              <w:jc w:val="right"/>
              <w:rPr>
                <w:rFonts w:eastAsia="宋体" w:cs="Times New Roman"/>
                <w:sz w:val="18"/>
                <w:szCs w:val="18"/>
              </w:rPr>
            </w:pPr>
            <w:r w:rsidRPr="00A71D2E">
              <w:rPr>
                <w:rFonts w:eastAsia="宋体" w:cs="Times New Roman"/>
                <w:sz w:val="18"/>
                <w:szCs w:val="18"/>
              </w:rPr>
              <w:t>716,296,512.50</w:t>
            </w:r>
          </w:p>
        </w:tc>
      </w:tr>
    </w:tbl>
    <w:p w:rsidR="001A5B12" w:rsidRDefault="001A5B12" w:rsidP="0027505B">
      <w:pPr>
        <w:ind w:left="720"/>
        <w:jc w:val="both"/>
        <w:rPr>
          <w:rFonts w:eastAsia="宋体" w:cs="Times New Roman"/>
          <w:szCs w:val="21"/>
        </w:rPr>
      </w:pPr>
    </w:p>
    <w:p w:rsidR="00251127" w:rsidRPr="00251127" w:rsidRDefault="00251127" w:rsidP="00C244F9">
      <w:pPr>
        <w:ind w:left="720"/>
        <w:jc w:val="both"/>
        <w:rPr>
          <w:rFonts w:eastAsia="宋体" w:cs="Times New Roman"/>
          <w:szCs w:val="21"/>
        </w:rPr>
      </w:pPr>
      <w:r w:rsidRPr="00251127">
        <w:rPr>
          <w:rFonts w:eastAsia="宋体" w:cs="Times New Roman" w:hint="eastAsia"/>
          <w:szCs w:val="21"/>
        </w:rPr>
        <w:t>按组合计提</w:t>
      </w:r>
      <w:r w:rsidR="00DD00C0">
        <w:rPr>
          <w:rFonts w:eastAsia="宋体" w:cs="Times New Roman" w:hint="eastAsia"/>
          <w:szCs w:val="21"/>
        </w:rPr>
        <w:t>坏账</w:t>
      </w:r>
      <w:r w:rsidRPr="00251127">
        <w:rPr>
          <w:rFonts w:eastAsia="宋体" w:cs="Times New Roman" w:hint="eastAsia"/>
          <w:szCs w:val="21"/>
        </w:rPr>
        <w:t>准备的说明</w:t>
      </w:r>
      <w:r w:rsidR="005F14EE">
        <w:rPr>
          <w:rFonts w:eastAsia="宋体" w:cs="Times New Roman" w:hint="eastAsia"/>
          <w:szCs w:val="21"/>
        </w:rPr>
        <w:t>：</w:t>
      </w:r>
    </w:p>
    <w:p w:rsidR="00251127" w:rsidRPr="00251127" w:rsidRDefault="00251127" w:rsidP="00C244F9">
      <w:pPr>
        <w:ind w:left="720"/>
        <w:jc w:val="both"/>
        <w:rPr>
          <w:rFonts w:eastAsia="宋体" w:cs="Times New Roman"/>
          <w:szCs w:val="21"/>
        </w:rPr>
      </w:pPr>
    </w:p>
    <w:p w:rsidR="00E16978" w:rsidRPr="00E16978" w:rsidRDefault="00251127" w:rsidP="00C244F9">
      <w:pPr>
        <w:ind w:left="720"/>
        <w:jc w:val="both"/>
        <w:rPr>
          <w:rFonts w:eastAsia="宋体" w:cs="Times New Roman"/>
          <w:szCs w:val="21"/>
        </w:rPr>
      </w:pPr>
      <w:r w:rsidRPr="00251127">
        <w:rPr>
          <w:rFonts w:eastAsia="宋体" w:cs="Times New Roman" w:hint="eastAsia"/>
          <w:szCs w:val="21"/>
        </w:rPr>
        <w:t>作为本集团信用风险管理的一部分，本集团</w:t>
      </w:r>
      <w:r w:rsidR="009C6BE7">
        <w:rPr>
          <w:rFonts w:eastAsia="宋体" w:cs="Times New Roman" w:hint="eastAsia"/>
          <w:szCs w:val="21"/>
        </w:rPr>
        <w:t>基于应收账款账</w:t>
      </w:r>
      <w:proofErr w:type="gramStart"/>
      <w:r w:rsidR="009C6BE7">
        <w:rPr>
          <w:rFonts w:eastAsia="宋体" w:cs="Times New Roman" w:hint="eastAsia"/>
          <w:szCs w:val="21"/>
        </w:rPr>
        <w:t>龄采用</w:t>
      </w:r>
      <w:proofErr w:type="gramEnd"/>
      <w:r w:rsidR="009C6BE7">
        <w:rPr>
          <w:rFonts w:eastAsia="宋体" w:cs="Times New Roman" w:hint="eastAsia"/>
          <w:szCs w:val="21"/>
        </w:rPr>
        <w:t>减值矩阵确定三类业务形成的应收账款的预期信用损失。</w:t>
      </w:r>
      <w:r w:rsidRPr="00251127">
        <w:rPr>
          <w:rFonts w:eastAsia="宋体" w:cs="Times New Roman" w:hint="eastAsia"/>
          <w:szCs w:val="21"/>
        </w:rPr>
        <w:t>按照业务的区域和对象划分风险特征，划分为组合</w:t>
      </w:r>
      <w:r w:rsidRPr="00251127">
        <w:rPr>
          <w:rFonts w:eastAsia="宋体" w:cs="Times New Roman" w:hint="eastAsia"/>
          <w:szCs w:val="21"/>
        </w:rPr>
        <w:t>A</w:t>
      </w:r>
      <w:r w:rsidRPr="00251127">
        <w:rPr>
          <w:rFonts w:eastAsia="宋体" w:cs="Times New Roman" w:hint="eastAsia"/>
          <w:szCs w:val="21"/>
        </w:rPr>
        <w:t>、组合</w:t>
      </w:r>
      <w:r w:rsidRPr="00251127">
        <w:rPr>
          <w:rFonts w:eastAsia="宋体" w:cs="Times New Roman" w:hint="eastAsia"/>
          <w:szCs w:val="21"/>
        </w:rPr>
        <w:t>B</w:t>
      </w:r>
      <w:r w:rsidRPr="00251127">
        <w:rPr>
          <w:rFonts w:eastAsia="宋体" w:cs="Times New Roman" w:hint="eastAsia"/>
          <w:szCs w:val="21"/>
        </w:rPr>
        <w:t>和组合</w:t>
      </w:r>
      <w:r w:rsidRPr="00251127">
        <w:rPr>
          <w:rFonts w:eastAsia="宋体" w:cs="Times New Roman" w:hint="eastAsia"/>
          <w:szCs w:val="21"/>
        </w:rPr>
        <w:t>C</w:t>
      </w:r>
      <w:r w:rsidR="009C6BE7">
        <w:rPr>
          <w:rFonts w:eastAsia="宋体" w:cs="Times New Roman" w:hint="eastAsia"/>
          <w:szCs w:val="21"/>
        </w:rPr>
        <w:t>，其具有相同的风险特征，账</w:t>
      </w:r>
      <w:proofErr w:type="gramStart"/>
      <w:r w:rsidR="009C6BE7">
        <w:rPr>
          <w:rFonts w:eastAsia="宋体" w:cs="Times New Roman" w:hint="eastAsia"/>
          <w:szCs w:val="21"/>
        </w:rPr>
        <w:t>龄信息</w:t>
      </w:r>
      <w:proofErr w:type="gramEnd"/>
      <w:r w:rsidR="009C6BE7">
        <w:rPr>
          <w:rFonts w:eastAsia="宋体" w:cs="Times New Roman" w:hint="eastAsia"/>
          <w:szCs w:val="21"/>
        </w:rPr>
        <w:t>能反映这三类客户</w:t>
      </w:r>
      <w:r w:rsidR="009C6BE7" w:rsidRPr="009C6BE7">
        <w:rPr>
          <w:rFonts w:eastAsia="宋体" w:cs="Times New Roman" w:hint="eastAsia"/>
          <w:szCs w:val="21"/>
        </w:rPr>
        <w:t>于应收账款到期时的偿付能力</w:t>
      </w:r>
      <w:r w:rsidR="009C6BE7">
        <w:rPr>
          <w:rFonts w:eastAsia="宋体" w:cs="Times New Roman" w:hint="eastAsia"/>
          <w:szCs w:val="21"/>
        </w:rPr>
        <w:t>。</w:t>
      </w:r>
    </w:p>
    <w:p w:rsidR="00F45E43" w:rsidRDefault="00F45E43">
      <w:pPr>
        <w:adjustRightInd/>
        <w:snapToGrid/>
        <w:rPr>
          <w:rFonts w:eastAsia="宋体" w:cs="Times New Roman"/>
          <w:szCs w:val="21"/>
        </w:rPr>
      </w:pPr>
      <w:r>
        <w:rPr>
          <w:rFonts w:eastAsia="宋体" w:cs="Times New Roman"/>
          <w:szCs w:val="21"/>
        </w:rPr>
        <w:br w:type="page"/>
      </w:r>
    </w:p>
    <w:p w:rsidR="00F45E43" w:rsidRPr="00A71D2E" w:rsidRDefault="005F14EE" w:rsidP="00F45E43">
      <w:pPr>
        <w:rPr>
          <w:rFonts w:eastAsia="宋体" w:cs="Times New Roman"/>
          <w:szCs w:val="21"/>
        </w:rPr>
      </w:pPr>
      <w:r>
        <w:rPr>
          <w:rFonts w:eastAsia="宋体" w:cs="Times New Roman"/>
          <w:b/>
          <w:szCs w:val="21"/>
        </w:rPr>
        <w:t>(</w:t>
      </w:r>
      <w:r w:rsidR="00F45E43" w:rsidRPr="00A71D2E">
        <w:rPr>
          <w:rFonts w:eastAsia="宋体" w:cs="Times New Roman" w:hint="eastAsia"/>
          <w:b/>
          <w:szCs w:val="21"/>
        </w:rPr>
        <w:t>五</w:t>
      </w:r>
      <w:r>
        <w:rPr>
          <w:rFonts w:eastAsia="宋体" w:cs="Times New Roman"/>
          <w:b/>
          <w:szCs w:val="21"/>
        </w:rPr>
        <w:t>)</w:t>
      </w:r>
      <w:r w:rsidR="00F45E43" w:rsidRPr="00A71D2E">
        <w:rPr>
          <w:rFonts w:eastAsia="宋体" w:cs="Times New Roman"/>
          <w:b/>
          <w:szCs w:val="21"/>
        </w:rPr>
        <w:tab/>
      </w:r>
      <w:r w:rsidR="00F45E43" w:rsidRPr="00A71D2E">
        <w:rPr>
          <w:rFonts w:eastAsia="宋体" w:cs="Times New Roman" w:hint="eastAsia"/>
          <w:b/>
          <w:szCs w:val="21"/>
        </w:rPr>
        <w:t>合并财务报表项目注释</w:t>
      </w:r>
      <w:r w:rsidR="00F45E43" w:rsidRPr="00A71D2E">
        <w:rPr>
          <w:rFonts w:eastAsia="宋体" w:cs="Times New Roman"/>
          <w:szCs w:val="21"/>
        </w:rPr>
        <w:t xml:space="preserve"> - </w:t>
      </w:r>
      <w:r w:rsidR="00F45E43" w:rsidRPr="00A71D2E">
        <w:rPr>
          <w:rFonts w:eastAsia="宋体" w:cs="Times New Roman" w:hint="eastAsia"/>
          <w:szCs w:val="21"/>
        </w:rPr>
        <w:t>续</w:t>
      </w:r>
    </w:p>
    <w:p w:rsidR="00F45E43" w:rsidRPr="007E2F61" w:rsidRDefault="00F45E43" w:rsidP="00F45E43">
      <w:pPr>
        <w:ind w:left="720"/>
        <w:jc w:val="both"/>
        <w:rPr>
          <w:rFonts w:eastAsia="宋体" w:cs="Times New Roman"/>
          <w:szCs w:val="21"/>
        </w:rPr>
      </w:pPr>
    </w:p>
    <w:p w:rsidR="00F45E43" w:rsidRPr="00A71D2E" w:rsidRDefault="00F45E43" w:rsidP="00F45E43">
      <w:pPr>
        <w:ind w:left="720"/>
        <w:jc w:val="both"/>
        <w:rPr>
          <w:rFonts w:eastAsia="宋体" w:cs="Times New Roman"/>
          <w:szCs w:val="21"/>
        </w:rPr>
      </w:pPr>
      <w:r>
        <w:rPr>
          <w:rFonts w:eastAsia="宋体" w:cs="Times New Roman"/>
          <w:b/>
          <w:szCs w:val="21"/>
        </w:rPr>
        <w:t>3</w:t>
      </w:r>
      <w:r w:rsidRPr="00A71D2E">
        <w:rPr>
          <w:rFonts w:eastAsia="宋体" w:cs="Times New Roman" w:hint="eastAsia"/>
          <w:b/>
          <w:szCs w:val="21"/>
        </w:rPr>
        <w:t>、</w:t>
      </w:r>
      <w:r w:rsidRPr="00A71D2E">
        <w:rPr>
          <w:rFonts w:eastAsia="宋体" w:cs="Times New Roman"/>
          <w:b/>
          <w:szCs w:val="21"/>
        </w:rPr>
        <w:tab/>
      </w:r>
      <w:r w:rsidRPr="00A71D2E">
        <w:rPr>
          <w:rFonts w:eastAsia="宋体" w:cs="Times New Roman" w:hint="eastAsia"/>
          <w:b/>
          <w:szCs w:val="21"/>
        </w:rPr>
        <w:t>应收</w:t>
      </w:r>
      <w:r>
        <w:rPr>
          <w:rFonts w:eastAsia="宋体" w:cs="Times New Roman" w:hint="eastAsia"/>
          <w:b/>
          <w:szCs w:val="21"/>
        </w:rPr>
        <w:t>账</w:t>
      </w:r>
      <w:r w:rsidRPr="00A71D2E">
        <w:rPr>
          <w:rFonts w:eastAsia="宋体" w:cs="Times New Roman" w:hint="eastAsia"/>
          <w:b/>
          <w:szCs w:val="21"/>
        </w:rPr>
        <w:t>款</w:t>
      </w:r>
      <w:r w:rsidRPr="00A71D2E">
        <w:rPr>
          <w:rFonts w:eastAsia="宋体" w:cs="Times New Roman"/>
          <w:bCs/>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F45E43" w:rsidRDefault="00F45E43" w:rsidP="00F45E43">
      <w:pPr>
        <w:ind w:left="720"/>
        <w:jc w:val="both"/>
        <w:rPr>
          <w:rFonts w:eastAsia="宋体" w:cs="Times New Roman"/>
          <w:szCs w:val="21"/>
        </w:rPr>
      </w:pPr>
    </w:p>
    <w:p w:rsidR="00F45E43" w:rsidRPr="0027505B" w:rsidRDefault="005F14EE" w:rsidP="00F45E43">
      <w:pPr>
        <w:ind w:left="720"/>
        <w:jc w:val="both"/>
        <w:rPr>
          <w:rFonts w:eastAsia="宋体" w:cs="Times New Roman"/>
          <w:szCs w:val="21"/>
        </w:rPr>
      </w:pPr>
      <w:r w:rsidRPr="00C76406">
        <w:rPr>
          <w:rFonts w:eastAsia="宋体" w:cs="Times New Roman"/>
          <w:szCs w:val="21"/>
        </w:rPr>
        <w:t>(</w:t>
      </w:r>
      <w:r w:rsidR="00F45E43" w:rsidRPr="00C76406">
        <w:rPr>
          <w:rFonts w:eastAsia="宋体" w:cs="Times New Roman"/>
          <w:szCs w:val="21"/>
        </w:rPr>
        <w:t>2</w:t>
      </w:r>
      <w:r w:rsidRPr="00C76406">
        <w:rPr>
          <w:rFonts w:eastAsia="宋体" w:cs="Times New Roman"/>
          <w:szCs w:val="21"/>
        </w:rPr>
        <w:t>)</w:t>
      </w:r>
      <w:r w:rsidR="00F45E43" w:rsidRPr="00C76406">
        <w:rPr>
          <w:rFonts w:eastAsia="宋体" w:cs="Times New Roman"/>
          <w:szCs w:val="21"/>
        </w:rPr>
        <w:tab/>
      </w:r>
      <w:r w:rsidR="00F45E43" w:rsidRPr="00C76406">
        <w:rPr>
          <w:rFonts w:eastAsia="宋体" w:cs="Times New Roman" w:hint="eastAsia"/>
          <w:szCs w:val="21"/>
        </w:rPr>
        <w:t>按坏账准备计提方法分类披露</w:t>
      </w:r>
      <w:r w:rsidR="00F45E43" w:rsidRPr="00C76406">
        <w:rPr>
          <w:rFonts w:eastAsia="宋体" w:cs="Times New Roman"/>
          <w:szCs w:val="21"/>
        </w:rPr>
        <w:t xml:space="preserve"> - </w:t>
      </w:r>
      <w:r w:rsidR="00F45E43" w:rsidRPr="00C76406">
        <w:rPr>
          <w:rFonts w:eastAsia="宋体" w:cs="Times New Roman" w:hint="eastAsia"/>
          <w:szCs w:val="21"/>
        </w:rPr>
        <w:t>续</w:t>
      </w:r>
    </w:p>
    <w:p w:rsidR="00C95FEE" w:rsidRDefault="00C95FEE" w:rsidP="00511F0D">
      <w:pPr>
        <w:ind w:left="720"/>
        <w:jc w:val="both"/>
        <w:rPr>
          <w:rFonts w:eastAsia="宋体" w:cs="Times New Roman"/>
          <w:szCs w:val="21"/>
        </w:rPr>
      </w:pPr>
    </w:p>
    <w:p w:rsidR="00E36439" w:rsidRDefault="00E36439" w:rsidP="00E36439">
      <w:pPr>
        <w:ind w:left="720"/>
        <w:jc w:val="both"/>
        <w:rPr>
          <w:rFonts w:eastAsia="宋体" w:cs="Times New Roman"/>
          <w:szCs w:val="21"/>
        </w:rPr>
      </w:pPr>
      <w:r w:rsidRPr="00A71D2E">
        <w:rPr>
          <w:rFonts w:eastAsia="宋体" w:cs="Times New Roman" w:hint="eastAsia"/>
          <w:szCs w:val="21"/>
        </w:rPr>
        <w:t>按</w:t>
      </w:r>
      <w:r>
        <w:rPr>
          <w:rFonts w:eastAsia="宋体" w:cs="Times New Roman" w:hint="eastAsia"/>
          <w:szCs w:val="21"/>
        </w:rPr>
        <w:t>组合</w:t>
      </w:r>
      <w:r w:rsidRPr="00A71D2E">
        <w:rPr>
          <w:rFonts w:eastAsia="宋体" w:cs="Times New Roman" w:hint="eastAsia"/>
          <w:szCs w:val="21"/>
        </w:rPr>
        <w:t>计提</w:t>
      </w:r>
      <w:r>
        <w:rPr>
          <w:rFonts w:eastAsia="宋体" w:cs="Times New Roman" w:hint="eastAsia"/>
          <w:szCs w:val="21"/>
        </w:rPr>
        <w:t>坏账</w:t>
      </w:r>
      <w:r w:rsidRPr="00A71D2E">
        <w:rPr>
          <w:rFonts w:eastAsia="宋体" w:cs="Times New Roman" w:hint="eastAsia"/>
          <w:szCs w:val="21"/>
        </w:rPr>
        <w:t>准备</w:t>
      </w:r>
      <w:r>
        <w:rPr>
          <w:rFonts w:eastAsia="宋体" w:cs="Times New Roman" w:hint="eastAsia"/>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E36439" w:rsidRDefault="00E36439" w:rsidP="0027505B">
      <w:pPr>
        <w:ind w:left="720"/>
        <w:jc w:val="both"/>
        <w:rPr>
          <w:rFonts w:eastAsia="宋体" w:cs="Times New Roman"/>
          <w:szCs w:val="21"/>
        </w:rPr>
      </w:pPr>
    </w:p>
    <w:p w:rsidR="007D47F9" w:rsidRPr="00A71D2E" w:rsidRDefault="00046069" w:rsidP="00F66363">
      <w:pPr>
        <w:ind w:left="720"/>
        <w:jc w:val="both"/>
        <w:rPr>
          <w:rFonts w:eastAsia="宋体" w:cs="Times New Roman"/>
          <w:szCs w:val="21"/>
        </w:rPr>
      </w:pPr>
      <w:r>
        <w:rPr>
          <w:rFonts w:eastAsia="宋体" w:cs="Times New Roman" w:hint="eastAsia"/>
          <w:szCs w:val="21"/>
        </w:rPr>
        <w:t>组合</w:t>
      </w:r>
      <w:r>
        <w:rPr>
          <w:rFonts w:eastAsia="宋体" w:cs="Times New Roman" w:hint="eastAsia"/>
          <w:szCs w:val="21"/>
        </w:rPr>
        <w:t>A</w:t>
      </w:r>
      <w:r w:rsidR="007D47F9" w:rsidRPr="00A71D2E">
        <w:rPr>
          <w:rFonts w:eastAsia="宋体" w:cs="Times New Roman" w:hint="eastAsia"/>
          <w:szCs w:val="21"/>
        </w:rPr>
        <w:t>的应收账款的信用风险与</w:t>
      </w:r>
      <w:r w:rsidR="00F45E43">
        <w:rPr>
          <w:rFonts w:eastAsia="宋体" w:cs="Times New Roman" w:hint="eastAsia"/>
          <w:szCs w:val="21"/>
        </w:rPr>
        <w:t>坏账</w:t>
      </w:r>
      <w:r w:rsidR="007D47F9" w:rsidRPr="00A71D2E">
        <w:rPr>
          <w:rFonts w:eastAsia="宋体" w:cs="Times New Roman" w:hint="eastAsia"/>
          <w:szCs w:val="21"/>
        </w:rPr>
        <w:t>准备情况如下</w:t>
      </w:r>
      <w:r w:rsidR="005F14EE">
        <w:rPr>
          <w:rFonts w:eastAsia="宋体" w:cs="Times New Roman" w:hint="eastAsia"/>
          <w:szCs w:val="21"/>
        </w:rPr>
        <w:t>：</w:t>
      </w:r>
    </w:p>
    <w:p w:rsidR="007921C1" w:rsidRPr="00A71D2E" w:rsidRDefault="007921C1" w:rsidP="00F66363">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74"/>
        <w:gridCol w:w="1869"/>
        <w:gridCol w:w="1869"/>
        <w:gridCol w:w="1869"/>
        <w:gridCol w:w="1869"/>
      </w:tblGrid>
      <w:tr w:rsidR="00E9391C" w:rsidRPr="00A71D2E" w:rsidTr="0027505B">
        <w:trPr>
          <w:trHeight w:val="20"/>
        </w:trPr>
        <w:tc>
          <w:tcPr>
            <w:tcW w:w="1974" w:type="dxa"/>
            <w:vMerge w:val="restart"/>
            <w:shd w:val="clear" w:color="auto" w:fill="D9D9D9" w:themeFill="background1" w:themeFillShade="D9"/>
            <w:tcMar>
              <w:top w:w="0" w:type="dxa"/>
              <w:left w:w="108" w:type="dxa"/>
              <w:bottom w:w="0" w:type="dxa"/>
              <w:right w:w="108" w:type="dxa"/>
            </w:tcMar>
            <w:vAlign w:val="center"/>
            <w:hideMark/>
          </w:tcPr>
          <w:p w:rsidR="00E9391C" w:rsidRPr="00A71D2E" w:rsidRDefault="00E9391C" w:rsidP="00F66363">
            <w:pPr>
              <w:jc w:val="center"/>
              <w:rPr>
                <w:rFonts w:eastAsia="宋体" w:cs="Times New Roman"/>
                <w:sz w:val="18"/>
                <w:szCs w:val="18"/>
              </w:rPr>
            </w:pPr>
            <w:r w:rsidRPr="00A71D2E">
              <w:rPr>
                <w:rFonts w:eastAsia="宋体" w:cs="Times New Roman" w:hint="eastAsia"/>
                <w:sz w:val="18"/>
                <w:szCs w:val="18"/>
              </w:rPr>
              <w:t>账龄</w:t>
            </w:r>
          </w:p>
        </w:tc>
        <w:tc>
          <w:tcPr>
            <w:tcW w:w="7476" w:type="dxa"/>
            <w:gridSpan w:val="4"/>
            <w:shd w:val="clear" w:color="auto" w:fill="D9D9D9" w:themeFill="background1" w:themeFillShade="D9"/>
            <w:vAlign w:val="center"/>
          </w:tcPr>
          <w:p w:rsidR="00E9391C" w:rsidRPr="00A71D2E" w:rsidRDefault="00E9391C" w:rsidP="00F66363">
            <w:pPr>
              <w:ind w:left="31" w:right="93"/>
              <w:jc w:val="center"/>
              <w:rPr>
                <w:rFonts w:eastAsia="宋体" w:cs="Times New Roman"/>
                <w:sz w:val="18"/>
                <w:szCs w:val="18"/>
              </w:rPr>
            </w:pPr>
            <w:r w:rsidRPr="00A71D2E">
              <w:rPr>
                <w:rFonts w:eastAsia="宋体" w:cs="Times New Roman" w:hint="eastAsia"/>
                <w:sz w:val="18"/>
                <w:szCs w:val="18"/>
              </w:rPr>
              <w:t>年末余额</w:t>
            </w:r>
          </w:p>
        </w:tc>
      </w:tr>
      <w:tr w:rsidR="00D1758B" w:rsidRPr="00A71D2E" w:rsidTr="0027505B">
        <w:trPr>
          <w:trHeight w:val="20"/>
        </w:trPr>
        <w:tc>
          <w:tcPr>
            <w:tcW w:w="1974" w:type="dxa"/>
            <w:vMerge/>
            <w:shd w:val="clear" w:color="auto" w:fill="D9D9D9" w:themeFill="background1" w:themeFillShade="D9"/>
            <w:tcMar>
              <w:top w:w="0" w:type="dxa"/>
              <w:left w:w="108" w:type="dxa"/>
              <w:bottom w:w="0" w:type="dxa"/>
              <w:right w:w="108" w:type="dxa"/>
            </w:tcMar>
            <w:vAlign w:val="center"/>
            <w:hideMark/>
          </w:tcPr>
          <w:p w:rsidR="00D1758B" w:rsidRPr="00A71D2E" w:rsidRDefault="00D1758B" w:rsidP="00D1758B">
            <w:pPr>
              <w:jc w:val="center"/>
              <w:rPr>
                <w:rFonts w:eastAsia="宋体" w:cs="Times New Roman"/>
                <w:sz w:val="18"/>
                <w:szCs w:val="18"/>
              </w:rPr>
            </w:pPr>
          </w:p>
        </w:tc>
        <w:tc>
          <w:tcPr>
            <w:tcW w:w="1869" w:type="dxa"/>
            <w:shd w:val="clear" w:color="auto" w:fill="D9D9D9" w:themeFill="background1" w:themeFillShade="D9"/>
            <w:vAlign w:val="center"/>
          </w:tcPr>
          <w:p w:rsidR="00D1758B" w:rsidRDefault="00D1758B" w:rsidP="00D1758B">
            <w:pPr>
              <w:ind w:left="49" w:right="90"/>
              <w:jc w:val="center"/>
              <w:rPr>
                <w:rFonts w:eastAsia="宋体" w:cs="Times New Roman"/>
                <w:sz w:val="18"/>
                <w:szCs w:val="18"/>
              </w:rPr>
            </w:pPr>
            <w:r>
              <w:rPr>
                <w:rFonts w:eastAsia="宋体" w:cs="Times New Roman" w:hint="eastAsia"/>
                <w:sz w:val="18"/>
                <w:szCs w:val="18"/>
              </w:rPr>
              <w:t>预期平均损失率</w:t>
            </w:r>
          </w:p>
          <w:p w:rsidR="00D1758B" w:rsidRPr="00A71D2E" w:rsidRDefault="005F14EE" w:rsidP="00D1758B">
            <w:pPr>
              <w:ind w:left="49" w:right="90"/>
              <w:jc w:val="center"/>
              <w:rPr>
                <w:rFonts w:eastAsia="宋体" w:cs="Times New Roman"/>
                <w:sz w:val="18"/>
                <w:szCs w:val="18"/>
              </w:rPr>
            </w:pPr>
            <w:r>
              <w:rPr>
                <w:rFonts w:eastAsia="宋体" w:cs="Times New Roman" w:hint="eastAsia"/>
                <w:sz w:val="18"/>
                <w:szCs w:val="18"/>
              </w:rPr>
              <w:t>(</w:t>
            </w:r>
            <w:r w:rsidR="00D1758B">
              <w:rPr>
                <w:rFonts w:eastAsia="宋体" w:cs="Times New Roman"/>
                <w:sz w:val="18"/>
                <w:szCs w:val="18"/>
              </w:rPr>
              <w:t>%</w:t>
            </w:r>
            <w:r>
              <w:rPr>
                <w:rFonts w:eastAsia="宋体" w:cs="Times New Roman"/>
                <w:sz w:val="18"/>
                <w:szCs w:val="18"/>
              </w:rPr>
              <w:t>)</w:t>
            </w:r>
          </w:p>
        </w:tc>
        <w:tc>
          <w:tcPr>
            <w:tcW w:w="1869" w:type="dxa"/>
            <w:shd w:val="clear" w:color="auto" w:fill="D9D9D9"/>
            <w:vAlign w:val="center"/>
          </w:tcPr>
          <w:p w:rsidR="00D1758B" w:rsidRDefault="00D1758B" w:rsidP="00D1758B">
            <w:pPr>
              <w:ind w:left="49" w:right="90"/>
              <w:jc w:val="center"/>
              <w:rPr>
                <w:rFonts w:eastAsia="宋体" w:cs="Times New Roman"/>
                <w:sz w:val="18"/>
                <w:szCs w:val="18"/>
              </w:rPr>
            </w:pPr>
            <w:r>
              <w:rPr>
                <w:rFonts w:eastAsia="宋体" w:cs="Times New Roman" w:hint="eastAsia"/>
                <w:sz w:val="18"/>
                <w:szCs w:val="18"/>
              </w:rPr>
              <w:t>账面余额</w:t>
            </w:r>
          </w:p>
        </w:tc>
        <w:tc>
          <w:tcPr>
            <w:tcW w:w="1869" w:type="dxa"/>
            <w:shd w:val="clear" w:color="auto" w:fill="D9D9D9"/>
            <w:vAlign w:val="center"/>
          </w:tcPr>
          <w:p w:rsidR="00D1758B" w:rsidRPr="00A71D2E" w:rsidRDefault="002602F8" w:rsidP="00D1758B">
            <w:pPr>
              <w:ind w:left="49" w:right="90"/>
              <w:jc w:val="center"/>
              <w:rPr>
                <w:rFonts w:eastAsia="宋体" w:cs="Times New Roman"/>
                <w:sz w:val="18"/>
                <w:szCs w:val="18"/>
              </w:rPr>
            </w:pPr>
            <w:r>
              <w:rPr>
                <w:rFonts w:eastAsia="宋体" w:cs="Times New Roman" w:hint="eastAsia"/>
                <w:sz w:val="18"/>
                <w:szCs w:val="18"/>
              </w:rPr>
              <w:t>坏账</w:t>
            </w:r>
            <w:r w:rsidR="00D1758B">
              <w:rPr>
                <w:rFonts w:eastAsia="宋体" w:cs="Times New Roman" w:hint="eastAsia"/>
                <w:sz w:val="18"/>
                <w:szCs w:val="18"/>
              </w:rPr>
              <w:t>准备</w:t>
            </w:r>
          </w:p>
        </w:tc>
        <w:tc>
          <w:tcPr>
            <w:tcW w:w="1869" w:type="dxa"/>
            <w:shd w:val="clear" w:color="auto" w:fill="D9D9D9" w:themeFill="background1" w:themeFillShade="D9"/>
            <w:vAlign w:val="center"/>
          </w:tcPr>
          <w:p w:rsidR="00D1758B" w:rsidRPr="00A71D2E" w:rsidRDefault="00E9391C" w:rsidP="00D1758B">
            <w:pPr>
              <w:ind w:left="49" w:right="90"/>
              <w:jc w:val="center"/>
              <w:rPr>
                <w:rFonts w:eastAsia="宋体" w:cs="Times New Roman"/>
                <w:sz w:val="18"/>
                <w:szCs w:val="18"/>
              </w:rPr>
            </w:pPr>
            <w:r>
              <w:rPr>
                <w:rFonts w:eastAsia="宋体" w:cs="Times New Roman"/>
                <w:sz w:val="18"/>
                <w:szCs w:val="18"/>
              </w:rPr>
              <w:t>账面价值</w:t>
            </w:r>
          </w:p>
        </w:tc>
      </w:tr>
      <w:tr w:rsidR="00D1758B"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D1758B" w:rsidRPr="00A71D2E" w:rsidRDefault="00D1758B" w:rsidP="00D1758B">
            <w:pPr>
              <w:ind w:left="-18" w:right="87"/>
              <w:rPr>
                <w:rFonts w:eastAsia="宋体" w:cs="Times New Roman"/>
                <w:sz w:val="18"/>
                <w:szCs w:val="18"/>
              </w:rPr>
            </w:pPr>
            <w:r w:rsidRPr="00A71D2E">
              <w:rPr>
                <w:rFonts w:eastAsia="宋体" w:cs="Times New Roman" w:hint="eastAsia"/>
                <w:sz w:val="18"/>
                <w:szCs w:val="18"/>
              </w:rPr>
              <w:t>信用期内</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0.16 </w:t>
            </w:r>
          </w:p>
        </w:tc>
        <w:tc>
          <w:tcPr>
            <w:tcW w:w="1869" w:type="dxa"/>
            <w:vAlign w:val="center"/>
          </w:tcPr>
          <w:p w:rsidR="00D1758B" w:rsidRPr="00967E8D" w:rsidRDefault="00D1758B" w:rsidP="00D1758B">
            <w:pPr>
              <w:ind w:left="49" w:right="117"/>
              <w:jc w:val="right"/>
              <w:rPr>
                <w:rFonts w:eastAsia="宋体" w:cs="Times New Roman"/>
                <w:sz w:val="18"/>
                <w:szCs w:val="18"/>
              </w:rPr>
            </w:pPr>
            <w:r w:rsidRPr="00967E8D">
              <w:rPr>
                <w:rFonts w:eastAsia="宋体" w:cs="Times New Roman"/>
                <w:sz w:val="18"/>
                <w:szCs w:val="18"/>
              </w:rPr>
              <w:t>229,575,129.81</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360,933.32 </w:t>
            </w:r>
          </w:p>
        </w:tc>
        <w:tc>
          <w:tcPr>
            <w:tcW w:w="1869" w:type="dxa"/>
            <w:shd w:val="clear" w:color="auto" w:fill="auto"/>
            <w:vAlign w:val="center"/>
          </w:tcPr>
          <w:p w:rsidR="00D1758B" w:rsidRPr="00A71D2E" w:rsidRDefault="00E9391C" w:rsidP="00D1758B">
            <w:pPr>
              <w:ind w:left="49" w:right="117"/>
              <w:jc w:val="right"/>
              <w:rPr>
                <w:rFonts w:eastAsia="宋体" w:cs="Times New Roman"/>
                <w:sz w:val="18"/>
                <w:szCs w:val="18"/>
              </w:rPr>
            </w:pPr>
            <w:r w:rsidRPr="00E9391C">
              <w:rPr>
                <w:rFonts w:eastAsia="宋体" w:cs="Times New Roman"/>
                <w:sz w:val="18"/>
                <w:szCs w:val="18"/>
              </w:rPr>
              <w:t xml:space="preserve">229,214,196.49 </w:t>
            </w:r>
          </w:p>
        </w:tc>
      </w:tr>
      <w:tr w:rsidR="00D1758B"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D1758B" w:rsidRPr="00A71D2E" w:rsidRDefault="00D1758B" w:rsidP="00D1758B">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年以内</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25.18 </w:t>
            </w:r>
          </w:p>
        </w:tc>
        <w:tc>
          <w:tcPr>
            <w:tcW w:w="1869" w:type="dxa"/>
            <w:vAlign w:val="center"/>
          </w:tcPr>
          <w:p w:rsidR="00D1758B" w:rsidRPr="00967E8D" w:rsidRDefault="00D1758B" w:rsidP="00D1758B">
            <w:pPr>
              <w:ind w:left="49" w:right="117"/>
              <w:jc w:val="right"/>
              <w:rPr>
                <w:rFonts w:eastAsia="宋体" w:cs="Times New Roman"/>
                <w:sz w:val="18"/>
                <w:szCs w:val="18"/>
              </w:rPr>
            </w:pPr>
            <w:r w:rsidRPr="00967E8D">
              <w:rPr>
                <w:rFonts w:eastAsia="宋体" w:cs="Times New Roman"/>
                <w:sz w:val="18"/>
                <w:szCs w:val="18"/>
              </w:rPr>
              <w:t>3,461,753.33</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871,577.88 </w:t>
            </w:r>
          </w:p>
        </w:tc>
        <w:tc>
          <w:tcPr>
            <w:tcW w:w="1869" w:type="dxa"/>
            <w:shd w:val="clear" w:color="auto" w:fill="auto"/>
            <w:vAlign w:val="center"/>
          </w:tcPr>
          <w:p w:rsidR="00D1758B" w:rsidRPr="00A71D2E" w:rsidRDefault="00E9391C" w:rsidP="00D1758B">
            <w:pPr>
              <w:ind w:left="49" w:right="117"/>
              <w:jc w:val="right"/>
              <w:rPr>
                <w:rFonts w:eastAsia="宋体" w:cs="Times New Roman"/>
                <w:sz w:val="18"/>
                <w:szCs w:val="18"/>
              </w:rPr>
            </w:pPr>
            <w:r w:rsidRPr="00E9391C">
              <w:rPr>
                <w:rFonts w:eastAsia="宋体" w:cs="Times New Roman"/>
                <w:sz w:val="18"/>
                <w:szCs w:val="18"/>
              </w:rPr>
              <w:t xml:space="preserve">2,590,175.45 </w:t>
            </w:r>
          </w:p>
        </w:tc>
      </w:tr>
      <w:tr w:rsidR="00D1758B"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D1758B" w:rsidRPr="00A71D2E" w:rsidRDefault="00D1758B" w:rsidP="00D1758B">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年至</w:t>
            </w:r>
            <w:r w:rsidRPr="00967E8D">
              <w:rPr>
                <w:rFonts w:eastAsia="宋体" w:cs="Times New Roman" w:hint="eastAsia"/>
                <w:sz w:val="18"/>
                <w:szCs w:val="18"/>
              </w:rPr>
              <w:t>2</w:t>
            </w:r>
            <w:r w:rsidRPr="00967E8D">
              <w:rPr>
                <w:rFonts w:eastAsia="宋体" w:cs="Times New Roman" w:hint="eastAsia"/>
                <w:sz w:val="18"/>
                <w:szCs w:val="18"/>
              </w:rPr>
              <w:t>年</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100.00 </w:t>
            </w:r>
          </w:p>
        </w:tc>
        <w:tc>
          <w:tcPr>
            <w:tcW w:w="1869" w:type="dxa"/>
            <w:vAlign w:val="center"/>
          </w:tcPr>
          <w:p w:rsidR="00D1758B" w:rsidRPr="00967E8D" w:rsidRDefault="00D1758B" w:rsidP="00D1758B">
            <w:pPr>
              <w:ind w:left="49" w:right="117"/>
              <w:jc w:val="right"/>
              <w:rPr>
                <w:rFonts w:eastAsia="宋体" w:cs="Times New Roman"/>
                <w:sz w:val="18"/>
                <w:szCs w:val="18"/>
              </w:rPr>
            </w:pPr>
            <w:r w:rsidRPr="00967E8D">
              <w:rPr>
                <w:rFonts w:eastAsia="宋体" w:cs="Times New Roman"/>
                <w:sz w:val="18"/>
                <w:szCs w:val="18"/>
              </w:rPr>
              <w:t>578,161.93</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578,161.93 </w:t>
            </w:r>
          </w:p>
        </w:tc>
        <w:tc>
          <w:tcPr>
            <w:tcW w:w="1869" w:type="dxa"/>
            <w:shd w:val="clear" w:color="auto" w:fill="auto"/>
            <w:vAlign w:val="center"/>
          </w:tcPr>
          <w:p w:rsidR="00D1758B" w:rsidRPr="00A71D2E" w:rsidRDefault="00E9391C" w:rsidP="00D1758B">
            <w:pPr>
              <w:ind w:left="49" w:right="117"/>
              <w:jc w:val="right"/>
              <w:rPr>
                <w:rFonts w:eastAsia="宋体" w:cs="Times New Roman"/>
                <w:sz w:val="18"/>
                <w:szCs w:val="18"/>
              </w:rPr>
            </w:pPr>
            <w:r>
              <w:rPr>
                <w:rFonts w:eastAsia="宋体" w:cs="Times New Roman"/>
                <w:sz w:val="18"/>
                <w:szCs w:val="18"/>
              </w:rPr>
              <w:t>-    </w:t>
            </w:r>
          </w:p>
        </w:tc>
      </w:tr>
      <w:tr w:rsidR="00D1758B"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D1758B" w:rsidRPr="00A71D2E" w:rsidRDefault="00D1758B" w:rsidP="00D1758B">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2</w:t>
            </w:r>
            <w:r w:rsidRPr="00967E8D">
              <w:rPr>
                <w:rFonts w:eastAsia="宋体" w:cs="Times New Roman" w:hint="eastAsia"/>
                <w:sz w:val="18"/>
                <w:szCs w:val="18"/>
              </w:rPr>
              <w:t>年至</w:t>
            </w:r>
            <w:r w:rsidRPr="00967E8D">
              <w:rPr>
                <w:rFonts w:eastAsia="宋体" w:cs="Times New Roman" w:hint="eastAsia"/>
                <w:sz w:val="18"/>
                <w:szCs w:val="18"/>
              </w:rPr>
              <w:t>3</w:t>
            </w:r>
            <w:r w:rsidRPr="00967E8D">
              <w:rPr>
                <w:rFonts w:eastAsia="宋体" w:cs="Times New Roman" w:hint="eastAsia"/>
                <w:sz w:val="18"/>
                <w:szCs w:val="18"/>
              </w:rPr>
              <w:t>年</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100.00 </w:t>
            </w:r>
          </w:p>
        </w:tc>
        <w:tc>
          <w:tcPr>
            <w:tcW w:w="1869" w:type="dxa"/>
            <w:vAlign w:val="center"/>
          </w:tcPr>
          <w:p w:rsidR="00D1758B" w:rsidRPr="00967E8D" w:rsidRDefault="00D1758B" w:rsidP="00D1758B">
            <w:pPr>
              <w:ind w:left="49" w:right="117"/>
              <w:jc w:val="right"/>
              <w:rPr>
                <w:rFonts w:eastAsia="宋体" w:cs="Times New Roman"/>
                <w:sz w:val="18"/>
                <w:szCs w:val="18"/>
              </w:rPr>
            </w:pPr>
            <w:r w:rsidRPr="00967E8D">
              <w:rPr>
                <w:rFonts w:eastAsia="宋体" w:cs="Times New Roman"/>
                <w:sz w:val="18"/>
                <w:szCs w:val="18"/>
              </w:rPr>
              <w:t>10,195.23</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10,195.23 </w:t>
            </w:r>
          </w:p>
        </w:tc>
        <w:tc>
          <w:tcPr>
            <w:tcW w:w="1869" w:type="dxa"/>
            <w:shd w:val="clear" w:color="auto" w:fill="auto"/>
            <w:vAlign w:val="center"/>
          </w:tcPr>
          <w:p w:rsidR="00D1758B" w:rsidRPr="00A71D2E" w:rsidRDefault="00E9391C" w:rsidP="00D1758B">
            <w:pPr>
              <w:ind w:left="49" w:right="117"/>
              <w:jc w:val="right"/>
              <w:rPr>
                <w:rFonts w:eastAsia="宋体" w:cs="Times New Roman"/>
                <w:sz w:val="18"/>
                <w:szCs w:val="18"/>
              </w:rPr>
            </w:pPr>
            <w:r>
              <w:rPr>
                <w:rFonts w:eastAsia="宋体" w:cs="Times New Roman"/>
                <w:sz w:val="18"/>
                <w:szCs w:val="18"/>
              </w:rPr>
              <w:t>-    </w:t>
            </w:r>
          </w:p>
        </w:tc>
      </w:tr>
      <w:tr w:rsidR="00D1758B"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D1758B" w:rsidRPr="00A71D2E" w:rsidRDefault="00D1758B" w:rsidP="00D1758B">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3</w:t>
            </w:r>
            <w:r w:rsidRPr="00967E8D">
              <w:rPr>
                <w:rFonts w:eastAsia="宋体" w:cs="Times New Roman" w:hint="eastAsia"/>
                <w:sz w:val="18"/>
                <w:szCs w:val="18"/>
              </w:rPr>
              <w:t>年以上</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100.00 </w:t>
            </w:r>
          </w:p>
        </w:tc>
        <w:tc>
          <w:tcPr>
            <w:tcW w:w="1869" w:type="dxa"/>
            <w:vAlign w:val="center"/>
          </w:tcPr>
          <w:p w:rsidR="00D1758B" w:rsidRPr="00967E8D" w:rsidRDefault="00D1758B" w:rsidP="00D1758B">
            <w:pPr>
              <w:ind w:left="49" w:right="117"/>
              <w:jc w:val="right"/>
              <w:rPr>
                <w:rFonts w:eastAsia="宋体" w:cs="Times New Roman"/>
                <w:sz w:val="18"/>
                <w:szCs w:val="18"/>
              </w:rPr>
            </w:pPr>
            <w:r w:rsidRPr="00967E8D">
              <w:rPr>
                <w:rFonts w:eastAsia="宋体" w:cs="Times New Roman"/>
                <w:sz w:val="18"/>
                <w:szCs w:val="18"/>
              </w:rPr>
              <w:t>325,830.56</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325,830.56 </w:t>
            </w:r>
          </w:p>
        </w:tc>
        <w:tc>
          <w:tcPr>
            <w:tcW w:w="1869" w:type="dxa"/>
            <w:shd w:val="clear" w:color="auto" w:fill="auto"/>
            <w:vAlign w:val="center"/>
          </w:tcPr>
          <w:p w:rsidR="00D1758B" w:rsidRPr="00A71D2E" w:rsidRDefault="00E9391C" w:rsidP="00D1758B">
            <w:pPr>
              <w:ind w:left="49" w:right="117"/>
              <w:jc w:val="right"/>
              <w:rPr>
                <w:rFonts w:eastAsia="宋体" w:cs="Times New Roman"/>
                <w:sz w:val="18"/>
                <w:szCs w:val="18"/>
              </w:rPr>
            </w:pPr>
            <w:r>
              <w:rPr>
                <w:rFonts w:eastAsia="宋体" w:cs="Times New Roman"/>
                <w:sz w:val="18"/>
                <w:szCs w:val="18"/>
              </w:rPr>
              <w:t>-    </w:t>
            </w:r>
          </w:p>
        </w:tc>
      </w:tr>
      <w:tr w:rsidR="00D1758B" w:rsidRPr="00A71D2E" w:rsidTr="0027505B">
        <w:trPr>
          <w:trHeight w:val="20"/>
        </w:trPr>
        <w:tc>
          <w:tcPr>
            <w:tcW w:w="1974" w:type="dxa"/>
            <w:shd w:val="clear" w:color="auto" w:fill="D9D9D9" w:themeFill="background1" w:themeFillShade="D9"/>
            <w:tcMar>
              <w:top w:w="0" w:type="dxa"/>
              <w:left w:w="108" w:type="dxa"/>
              <w:bottom w:w="0" w:type="dxa"/>
              <w:right w:w="108" w:type="dxa"/>
            </w:tcMar>
            <w:vAlign w:val="center"/>
            <w:hideMark/>
          </w:tcPr>
          <w:p w:rsidR="00D1758B" w:rsidRPr="00A71D2E" w:rsidRDefault="00D1758B" w:rsidP="00D1758B">
            <w:pPr>
              <w:rPr>
                <w:rFonts w:eastAsia="宋体" w:cs="Times New Roman"/>
                <w:bCs/>
                <w:sz w:val="18"/>
                <w:szCs w:val="18"/>
              </w:rPr>
            </w:pPr>
            <w:r w:rsidRPr="00A71D2E">
              <w:rPr>
                <w:rFonts w:eastAsia="宋体" w:cs="Times New Roman" w:hint="eastAsia"/>
                <w:bCs/>
                <w:sz w:val="18"/>
                <w:szCs w:val="18"/>
              </w:rPr>
              <w:t>合计</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0.92 </w:t>
            </w:r>
          </w:p>
        </w:tc>
        <w:tc>
          <w:tcPr>
            <w:tcW w:w="1869" w:type="dxa"/>
            <w:vAlign w:val="center"/>
          </w:tcPr>
          <w:p w:rsidR="00D1758B" w:rsidRPr="00967E8D" w:rsidRDefault="00D1758B" w:rsidP="00D1758B">
            <w:pPr>
              <w:ind w:left="49" w:right="117"/>
              <w:jc w:val="right"/>
              <w:rPr>
                <w:rFonts w:eastAsia="宋体" w:cs="Times New Roman"/>
                <w:sz w:val="18"/>
                <w:szCs w:val="18"/>
              </w:rPr>
            </w:pPr>
            <w:r w:rsidRPr="00967E8D">
              <w:rPr>
                <w:rFonts w:eastAsia="宋体" w:cs="Times New Roman"/>
                <w:sz w:val="18"/>
                <w:szCs w:val="18"/>
              </w:rPr>
              <w:t>233,951,070.86</w:t>
            </w:r>
          </w:p>
        </w:tc>
        <w:tc>
          <w:tcPr>
            <w:tcW w:w="1869" w:type="dxa"/>
            <w:shd w:val="clear" w:color="auto" w:fill="auto"/>
            <w:vAlign w:val="center"/>
          </w:tcPr>
          <w:p w:rsidR="00D1758B" w:rsidRPr="00A71D2E" w:rsidRDefault="00D1758B" w:rsidP="00D1758B">
            <w:pPr>
              <w:ind w:left="49" w:right="117"/>
              <w:jc w:val="right"/>
              <w:rPr>
                <w:rFonts w:eastAsia="宋体" w:cs="Times New Roman"/>
                <w:sz w:val="18"/>
                <w:szCs w:val="18"/>
              </w:rPr>
            </w:pPr>
            <w:r w:rsidRPr="00967E8D">
              <w:rPr>
                <w:rFonts w:eastAsia="宋体" w:cs="Times New Roman"/>
                <w:sz w:val="18"/>
                <w:szCs w:val="18"/>
              </w:rPr>
              <w:t xml:space="preserve"> 2,146,698.92 </w:t>
            </w:r>
          </w:p>
        </w:tc>
        <w:tc>
          <w:tcPr>
            <w:tcW w:w="1869" w:type="dxa"/>
            <w:shd w:val="clear" w:color="auto" w:fill="auto"/>
            <w:vAlign w:val="center"/>
          </w:tcPr>
          <w:p w:rsidR="00D1758B" w:rsidRPr="00A71D2E" w:rsidRDefault="00E9391C" w:rsidP="00D1758B">
            <w:pPr>
              <w:ind w:left="49" w:right="117"/>
              <w:jc w:val="right"/>
              <w:rPr>
                <w:rFonts w:eastAsia="宋体" w:cs="Times New Roman"/>
                <w:sz w:val="18"/>
                <w:szCs w:val="18"/>
              </w:rPr>
            </w:pPr>
            <w:r w:rsidRPr="00E9391C">
              <w:rPr>
                <w:rFonts w:eastAsia="宋体" w:cs="Times New Roman"/>
                <w:sz w:val="18"/>
                <w:szCs w:val="18"/>
              </w:rPr>
              <w:t xml:space="preserve">231,804,371.94 </w:t>
            </w:r>
          </w:p>
        </w:tc>
      </w:tr>
    </w:tbl>
    <w:p w:rsidR="001F2A3A" w:rsidRDefault="001F2A3A" w:rsidP="007E2F61">
      <w:pPr>
        <w:ind w:leftChars="337" w:left="708" w:firstLine="1"/>
        <w:jc w:val="both"/>
        <w:rPr>
          <w:rFonts w:eastAsia="宋体" w:cs="Times New Roman"/>
          <w:szCs w:val="21"/>
        </w:rPr>
      </w:pPr>
    </w:p>
    <w:p w:rsidR="008B6628" w:rsidRPr="00A71D2E" w:rsidRDefault="008B6628" w:rsidP="008B6628">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74"/>
        <w:gridCol w:w="1869"/>
        <w:gridCol w:w="1869"/>
        <w:gridCol w:w="1869"/>
        <w:gridCol w:w="1869"/>
      </w:tblGrid>
      <w:tr w:rsidR="008B6628" w:rsidRPr="00A71D2E" w:rsidTr="0027505B">
        <w:trPr>
          <w:trHeight w:val="20"/>
        </w:trPr>
        <w:tc>
          <w:tcPr>
            <w:tcW w:w="1974" w:type="dxa"/>
            <w:vMerge w:val="restart"/>
            <w:shd w:val="clear" w:color="auto" w:fill="D9D9D9" w:themeFill="background1" w:themeFillShade="D9"/>
            <w:tcMar>
              <w:top w:w="0" w:type="dxa"/>
              <w:left w:w="108" w:type="dxa"/>
              <w:bottom w:w="0" w:type="dxa"/>
              <w:right w:w="108" w:type="dxa"/>
            </w:tcMar>
            <w:vAlign w:val="center"/>
            <w:hideMark/>
          </w:tcPr>
          <w:p w:rsidR="008B6628" w:rsidRPr="00A71D2E" w:rsidRDefault="008B6628" w:rsidP="00E456AF">
            <w:pPr>
              <w:jc w:val="center"/>
              <w:rPr>
                <w:rFonts w:eastAsia="宋体" w:cs="Times New Roman"/>
                <w:sz w:val="18"/>
                <w:szCs w:val="18"/>
              </w:rPr>
            </w:pPr>
            <w:r w:rsidRPr="00A71D2E">
              <w:rPr>
                <w:rFonts w:eastAsia="宋体" w:cs="Times New Roman" w:hint="eastAsia"/>
                <w:sz w:val="18"/>
                <w:szCs w:val="18"/>
              </w:rPr>
              <w:t>账龄</w:t>
            </w:r>
          </w:p>
        </w:tc>
        <w:tc>
          <w:tcPr>
            <w:tcW w:w="7476" w:type="dxa"/>
            <w:gridSpan w:val="4"/>
            <w:shd w:val="clear" w:color="auto" w:fill="D9D9D9" w:themeFill="background1" w:themeFillShade="D9"/>
            <w:vAlign w:val="center"/>
          </w:tcPr>
          <w:p w:rsidR="008B6628" w:rsidRPr="00A71D2E" w:rsidRDefault="002602F8" w:rsidP="00E456AF">
            <w:pPr>
              <w:ind w:left="31" w:right="93"/>
              <w:jc w:val="center"/>
              <w:rPr>
                <w:rFonts w:eastAsia="宋体" w:cs="Times New Roman"/>
                <w:sz w:val="18"/>
                <w:szCs w:val="18"/>
              </w:rPr>
            </w:pPr>
            <w:r>
              <w:rPr>
                <w:rFonts w:eastAsia="宋体" w:cs="Times New Roman" w:hint="eastAsia"/>
                <w:sz w:val="18"/>
                <w:szCs w:val="18"/>
              </w:rPr>
              <w:t>年初</w:t>
            </w:r>
            <w:r w:rsidR="008B6628" w:rsidRPr="00A71D2E">
              <w:rPr>
                <w:rFonts w:eastAsia="宋体" w:cs="Times New Roman" w:hint="eastAsia"/>
                <w:sz w:val="18"/>
                <w:szCs w:val="18"/>
              </w:rPr>
              <w:t>余额</w:t>
            </w:r>
          </w:p>
        </w:tc>
      </w:tr>
      <w:tr w:rsidR="008B6628" w:rsidRPr="00A71D2E" w:rsidTr="0027505B">
        <w:trPr>
          <w:trHeight w:val="20"/>
        </w:trPr>
        <w:tc>
          <w:tcPr>
            <w:tcW w:w="1974" w:type="dxa"/>
            <w:vMerge/>
            <w:shd w:val="clear" w:color="auto" w:fill="D9D9D9" w:themeFill="background1" w:themeFillShade="D9"/>
            <w:tcMar>
              <w:top w:w="0" w:type="dxa"/>
              <w:left w:w="108" w:type="dxa"/>
              <w:bottom w:w="0" w:type="dxa"/>
              <w:right w:w="108" w:type="dxa"/>
            </w:tcMar>
            <w:vAlign w:val="center"/>
            <w:hideMark/>
          </w:tcPr>
          <w:p w:rsidR="008B6628" w:rsidRPr="00A71D2E" w:rsidRDefault="008B6628" w:rsidP="00E456AF">
            <w:pPr>
              <w:jc w:val="center"/>
              <w:rPr>
                <w:rFonts w:eastAsia="宋体" w:cs="Times New Roman"/>
                <w:sz w:val="18"/>
                <w:szCs w:val="18"/>
              </w:rPr>
            </w:pPr>
          </w:p>
        </w:tc>
        <w:tc>
          <w:tcPr>
            <w:tcW w:w="1869" w:type="dxa"/>
            <w:shd w:val="clear" w:color="auto" w:fill="D9D9D9" w:themeFill="background1" w:themeFillShade="D9"/>
            <w:vAlign w:val="center"/>
          </w:tcPr>
          <w:p w:rsidR="008B6628" w:rsidRDefault="008B6628" w:rsidP="00E456AF">
            <w:pPr>
              <w:ind w:left="49" w:right="90"/>
              <w:jc w:val="center"/>
              <w:rPr>
                <w:rFonts w:eastAsia="宋体" w:cs="Times New Roman"/>
                <w:sz w:val="18"/>
                <w:szCs w:val="18"/>
              </w:rPr>
            </w:pPr>
            <w:r>
              <w:rPr>
                <w:rFonts w:eastAsia="宋体" w:cs="Times New Roman" w:hint="eastAsia"/>
                <w:sz w:val="18"/>
                <w:szCs w:val="18"/>
              </w:rPr>
              <w:t>预期平均损失率</w:t>
            </w:r>
          </w:p>
          <w:p w:rsidR="008B6628" w:rsidRPr="00A71D2E" w:rsidRDefault="005F14EE" w:rsidP="00E456AF">
            <w:pPr>
              <w:ind w:left="49" w:right="90"/>
              <w:jc w:val="center"/>
              <w:rPr>
                <w:rFonts w:eastAsia="宋体" w:cs="Times New Roman"/>
                <w:sz w:val="18"/>
                <w:szCs w:val="18"/>
              </w:rPr>
            </w:pPr>
            <w:r>
              <w:rPr>
                <w:rFonts w:eastAsia="宋体" w:cs="Times New Roman" w:hint="eastAsia"/>
                <w:sz w:val="18"/>
                <w:szCs w:val="18"/>
              </w:rPr>
              <w:t>(</w:t>
            </w:r>
            <w:r w:rsidR="008B6628">
              <w:rPr>
                <w:rFonts w:eastAsia="宋体" w:cs="Times New Roman"/>
                <w:sz w:val="18"/>
                <w:szCs w:val="18"/>
              </w:rPr>
              <w:t>%</w:t>
            </w:r>
            <w:r>
              <w:rPr>
                <w:rFonts w:eastAsia="宋体" w:cs="Times New Roman"/>
                <w:sz w:val="18"/>
                <w:szCs w:val="18"/>
              </w:rPr>
              <w:t>)</w:t>
            </w:r>
          </w:p>
        </w:tc>
        <w:tc>
          <w:tcPr>
            <w:tcW w:w="1869" w:type="dxa"/>
            <w:shd w:val="clear" w:color="auto" w:fill="D9D9D9"/>
            <w:vAlign w:val="center"/>
          </w:tcPr>
          <w:p w:rsidR="008B6628" w:rsidRDefault="008B6628" w:rsidP="00E456AF">
            <w:pPr>
              <w:ind w:left="49" w:right="90"/>
              <w:jc w:val="center"/>
              <w:rPr>
                <w:rFonts w:eastAsia="宋体" w:cs="Times New Roman"/>
                <w:sz w:val="18"/>
                <w:szCs w:val="18"/>
              </w:rPr>
            </w:pPr>
            <w:r>
              <w:rPr>
                <w:rFonts w:eastAsia="宋体" w:cs="Times New Roman" w:hint="eastAsia"/>
                <w:sz w:val="18"/>
                <w:szCs w:val="18"/>
              </w:rPr>
              <w:t>账面余额</w:t>
            </w:r>
          </w:p>
        </w:tc>
        <w:tc>
          <w:tcPr>
            <w:tcW w:w="1869" w:type="dxa"/>
            <w:shd w:val="clear" w:color="auto" w:fill="D9D9D9"/>
            <w:vAlign w:val="center"/>
          </w:tcPr>
          <w:p w:rsidR="008B6628" w:rsidRPr="00A71D2E" w:rsidRDefault="002602F8" w:rsidP="00E456AF">
            <w:pPr>
              <w:ind w:left="49" w:right="90"/>
              <w:jc w:val="center"/>
              <w:rPr>
                <w:rFonts w:eastAsia="宋体" w:cs="Times New Roman"/>
                <w:sz w:val="18"/>
                <w:szCs w:val="18"/>
              </w:rPr>
            </w:pPr>
            <w:r>
              <w:rPr>
                <w:rFonts w:eastAsia="宋体" w:cs="Times New Roman" w:hint="eastAsia"/>
                <w:sz w:val="18"/>
                <w:szCs w:val="18"/>
              </w:rPr>
              <w:t>坏账</w:t>
            </w:r>
            <w:r w:rsidR="008B6628">
              <w:rPr>
                <w:rFonts w:eastAsia="宋体" w:cs="Times New Roman" w:hint="eastAsia"/>
                <w:sz w:val="18"/>
                <w:szCs w:val="18"/>
              </w:rPr>
              <w:t>准备</w:t>
            </w:r>
          </w:p>
        </w:tc>
        <w:tc>
          <w:tcPr>
            <w:tcW w:w="1869" w:type="dxa"/>
            <w:shd w:val="clear" w:color="auto" w:fill="D9D9D9" w:themeFill="background1" w:themeFillShade="D9"/>
            <w:vAlign w:val="center"/>
          </w:tcPr>
          <w:p w:rsidR="008B6628" w:rsidRPr="00A71D2E" w:rsidRDefault="008B6628" w:rsidP="00E456AF">
            <w:pPr>
              <w:ind w:left="49" w:right="90"/>
              <w:jc w:val="center"/>
              <w:rPr>
                <w:rFonts w:eastAsia="宋体" w:cs="Times New Roman"/>
                <w:sz w:val="18"/>
                <w:szCs w:val="18"/>
              </w:rPr>
            </w:pPr>
            <w:r>
              <w:rPr>
                <w:rFonts w:eastAsia="宋体" w:cs="Times New Roman"/>
                <w:sz w:val="18"/>
                <w:szCs w:val="18"/>
              </w:rPr>
              <w:t>账面价值</w:t>
            </w:r>
          </w:p>
        </w:tc>
      </w:tr>
      <w:tr w:rsidR="008B6628"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8B6628" w:rsidRPr="00A71D2E" w:rsidRDefault="008B6628" w:rsidP="00E456AF">
            <w:pPr>
              <w:ind w:left="-18" w:right="87"/>
              <w:rPr>
                <w:rFonts w:eastAsia="宋体" w:cs="Times New Roman"/>
                <w:sz w:val="18"/>
                <w:szCs w:val="18"/>
              </w:rPr>
            </w:pPr>
            <w:r w:rsidRPr="00A71D2E">
              <w:rPr>
                <w:rFonts w:eastAsia="宋体" w:cs="Times New Roman" w:hint="eastAsia"/>
                <w:sz w:val="18"/>
                <w:szCs w:val="18"/>
              </w:rPr>
              <w:t>信用期内</w:t>
            </w:r>
          </w:p>
        </w:tc>
        <w:tc>
          <w:tcPr>
            <w:tcW w:w="1869" w:type="dxa"/>
            <w:shd w:val="clear" w:color="auto" w:fill="auto"/>
            <w:vAlign w:val="center"/>
          </w:tcPr>
          <w:p w:rsidR="008B6628" w:rsidRPr="00A71D2E" w:rsidRDefault="004C6B34" w:rsidP="00E456AF">
            <w:pPr>
              <w:ind w:left="49" w:right="117"/>
              <w:jc w:val="right"/>
              <w:rPr>
                <w:rFonts w:eastAsia="宋体" w:cs="Times New Roman"/>
                <w:sz w:val="18"/>
                <w:szCs w:val="18"/>
              </w:rPr>
            </w:pPr>
            <w:r w:rsidRPr="004C6B34">
              <w:rPr>
                <w:rFonts w:eastAsia="宋体" w:cs="Times New Roman"/>
                <w:sz w:val="18"/>
                <w:szCs w:val="18"/>
              </w:rPr>
              <w:t>0.10</w:t>
            </w:r>
          </w:p>
        </w:tc>
        <w:tc>
          <w:tcPr>
            <w:tcW w:w="1869" w:type="dxa"/>
            <w:vAlign w:val="center"/>
          </w:tcPr>
          <w:p w:rsidR="008B6628" w:rsidRPr="00967E8D" w:rsidRDefault="00123E10" w:rsidP="00E456AF">
            <w:pPr>
              <w:ind w:left="49" w:right="117"/>
              <w:jc w:val="right"/>
              <w:rPr>
                <w:rFonts w:eastAsia="宋体" w:cs="Times New Roman"/>
                <w:sz w:val="18"/>
                <w:szCs w:val="18"/>
              </w:rPr>
            </w:pPr>
            <w:r w:rsidRPr="00123E10">
              <w:rPr>
                <w:rFonts w:eastAsia="宋体" w:cs="Times New Roman"/>
                <w:sz w:val="18"/>
                <w:szCs w:val="18"/>
              </w:rPr>
              <w:t>242,103,728.30</w:t>
            </w:r>
          </w:p>
        </w:tc>
        <w:tc>
          <w:tcPr>
            <w:tcW w:w="1869" w:type="dxa"/>
            <w:shd w:val="clear" w:color="auto" w:fill="auto"/>
            <w:vAlign w:val="center"/>
          </w:tcPr>
          <w:p w:rsidR="008B6628" w:rsidRPr="00A71D2E" w:rsidRDefault="00123E10" w:rsidP="00E456AF">
            <w:pPr>
              <w:ind w:left="49" w:right="117"/>
              <w:jc w:val="right"/>
              <w:rPr>
                <w:rFonts w:eastAsia="宋体" w:cs="Times New Roman"/>
                <w:sz w:val="18"/>
                <w:szCs w:val="18"/>
              </w:rPr>
            </w:pPr>
            <w:r w:rsidRPr="00123E10">
              <w:rPr>
                <w:rFonts w:eastAsia="宋体" w:cs="Times New Roman"/>
                <w:sz w:val="18"/>
                <w:szCs w:val="18"/>
              </w:rPr>
              <w:t>242,103.73</w:t>
            </w:r>
          </w:p>
        </w:tc>
        <w:tc>
          <w:tcPr>
            <w:tcW w:w="1869" w:type="dxa"/>
            <w:shd w:val="clear" w:color="auto" w:fill="auto"/>
            <w:vAlign w:val="center"/>
          </w:tcPr>
          <w:p w:rsidR="008B6628" w:rsidRPr="00A71D2E" w:rsidRDefault="00123E10" w:rsidP="00E456AF">
            <w:pPr>
              <w:ind w:left="49" w:right="117"/>
              <w:jc w:val="right"/>
              <w:rPr>
                <w:rFonts w:eastAsia="宋体" w:cs="Times New Roman"/>
                <w:sz w:val="18"/>
                <w:szCs w:val="18"/>
              </w:rPr>
            </w:pPr>
            <w:r w:rsidRPr="00123E10">
              <w:rPr>
                <w:rFonts w:eastAsia="宋体" w:cs="Times New Roman"/>
                <w:sz w:val="18"/>
                <w:szCs w:val="18"/>
              </w:rPr>
              <w:t>241,861,624.57</w:t>
            </w:r>
          </w:p>
        </w:tc>
      </w:tr>
      <w:tr w:rsidR="008B6628"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8B6628" w:rsidRPr="00A71D2E" w:rsidRDefault="008B6628" w:rsidP="00E456AF">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年以内</w:t>
            </w:r>
          </w:p>
        </w:tc>
        <w:tc>
          <w:tcPr>
            <w:tcW w:w="1869" w:type="dxa"/>
            <w:shd w:val="clear" w:color="auto" w:fill="auto"/>
            <w:vAlign w:val="center"/>
          </w:tcPr>
          <w:p w:rsidR="008B6628" w:rsidRPr="00A71D2E" w:rsidRDefault="004C6B34" w:rsidP="00E456AF">
            <w:pPr>
              <w:ind w:left="49" w:right="117"/>
              <w:jc w:val="right"/>
              <w:rPr>
                <w:rFonts w:eastAsia="宋体" w:cs="Times New Roman"/>
                <w:sz w:val="18"/>
                <w:szCs w:val="18"/>
              </w:rPr>
            </w:pPr>
            <w:r w:rsidRPr="004C6B34">
              <w:rPr>
                <w:rFonts w:eastAsia="宋体" w:cs="Times New Roman"/>
                <w:sz w:val="18"/>
                <w:szCs w:val="18"/>
              </w:rPr>
              <w:t>15.84</w:t>
            </w:r>
          </w:p>
        </w:tc>
        <w:tc>
          <w:tcPr>
            <w:tcW w:w="1869" w:type="dxa"/>
            <w:vAlign w:val="center"/>
          </w:tcPr>
          <w:p w:rsidR="008B6628" w:rsidRPr="00967E8D" w:rsidRDefault="00123E10" w:rsidP="00E456AF">
            <w:pPr>
              <w:ind w:left="49" w:right="117"/>
              <w:jc w:val="right"/>
              <w:rPr>
                <w:rFonts w:eastAsia="宋体" w:cs="Times New Roman"/>
                <w:sz w:val="18"/>
                <w:szCs w:val="18"/>
              </w:rPr>
            </w:pPr>
            <w:r w:rsidRPr="00123E10">
              <w:rPr>
                <w:rFonts w:eastAsia="宋体" w:cs="Times New Roman"/>
                <w:sz w:val="18"/>
                <w:szCs w:val="18"/>
              </w:rPr>
              <w:t>2,465,006.54</w:t>
            </w:r>
          </w:p>
        </w:tc>
        <w:tc>
          <w:tcPr>
            <w:tcW w:w="1869" w:type="dxa"/>
            <w:shd w:val="clear" w:color="auto" w:fill="auto"/>
            <w:vAlign w:val="center"/>
          </w:tcPr>
          <w:p w:rsidR="008B6628" w:rsidRPr="00A71D2E" w:rsidRDefault="00123E10" w:rsidP="00E456AF">
            <w:pPr>
              <w:ind w:left="49" w:right="117"/>
              <w:jc w:val="right"/>
              <w:rPr>
                <w:rFonts w:eastAsia="宋体" w:cs="Times New Roman"/>
                <w:sz w:val="18"/>
                <w:szCs w:val="18"/>
              </w:rPr>
            </w:pPr>
            <w:r w:rsidRPr="00123E10">
              <w:rPr>
                <w:rFonts w:eastAsia="宋体" w:cs="Times New Roman"/>
                <w:sz w:val="18"/>
                <w:szCs w:val="18"/>
              </w:rPr>
              <w:t>390,369.05</w:t>
            </w:r>
          </w:p>
        </w:tc>
        <w:tc>
          <w:tcPr>
            <w:tcW w:w="1869" w:type="dxa"/>
            <w:shd w:val="clear" w:color="auto" w:fill="auto"/>
            <w:vAlign w:val="center"/>
          </w:tcPr>
          <w:p w:rsidR="008B6628" w:rsidRPr="00A71D2E" w:rsidRDefault="00123E10" w:rsidP="00E456AF">
            <w:pPr>
              <w:ind w:left="49" w:right="117"/>
              <w:jc w:val="right"/>
              <w:rPr>
                <w:rFonts w:eastAsia="宋体" w:cs="Times New Roman"/>
                <w:sz w:val="18"/>
                <w:szCs w:val="18"/>
              </w:rPr>
            </w:pPr>
            <w:r w:rsidRPr="00123E10">
              <w:rPr>
                <w:rFonts w:eastAsia="宋体" w:cs="Times New Roman"/>
                <w:sz w:val="18"/>
                <w:szCs w:val="18"/>
              </w:rPr>
              <w:t>2,074,637.49</w:t>
            </w:r>
          </w:p>
        </w:tc>
      </w:tr>
      <w:tr w:rsidR="004C6B34"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4C6B34" w:rsidRPr="00A71D2E" w:rsidRDefault="004C6B34" w:rsidP="004C6B34">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年至</w:t>
            </w:r>
            <w:r w:rsidRPr="00967E8D">
              <w:rPr>
                <w:rFonts w:eastAsia="宋体" w:cs="Times New Roman" w:hint="eastAsia"/>
                <w:sz w:val="18"/>
                <w:szCs w:val="18"/>
              </w:rPr>
              <w:t>2</w:t>
            </w:r>
            <w:r w:rsidRPr="00967E8D">
              <w:rPr>
                <w:rFonts w:eastAsia="宋体" w:cs="Times New Roman" w:hint="eastAsia"/>
                <w:sz w:val="18"/>
                <w:szCs w:val="18"/>
              </w:rPr>
              <w:t>年</w:t>
            </w:r>
          </w:p>
        </w:tc>
        <w:tc>
          <w:tcPr>
            <w:tcW w:w="1869" w:type="dxa"/>
            <w:shd w:val="clear" w:color="auto" w:fill="auto"/>
            <w:vAlign w:val="center"/>
          </w:tcPr>
          <w:p w:rsidR="004C6B34" w:rsidRPr="00A71D2E" w:rsidRDefault="004C6B34" w:rsidP="004C6B34">
            <w:pPr>
              <w:ind w:left="49" w:right="117"/>
              <w:jc w:val="right"/>
              <w:rPr>
                <w:rFonts w:eastAsia="宋体" w:cs="Times New Roman"/>
                <w:sz w:val="18"/>
                <w:szCs w:val="18"/>
              </w:rPr>
            </w:pPr>
            <w:r w:rsidRPr="00C22D8B">
              <w:rPr>
                <w:rFonts w:eastAsia="宋体" w:cs="Times New Roman"/>
                <w:sz w:val="18"/>
                <w:szCs w:val="18"/>
              </w:rPr>
              <w:t xml:space="preserve"> 100.00</w:t>
            </w:r>
          </w:p>
        </w:tc>
        <w:tc>
          <w:tcPr>
            <w:tcW w:w="1869" w:type="dxa"/>
            <w:vAlign w:val="center"/>
          </w:tcPr>
          <w:p w:rsidR="004C6B34" w:rsidRPr="00967E8D" w:rsidRDefault="004C6B34" w:rsidP="004C6B34">
            <w:pPr>
              <w:ind w:left="49" w:right="117"/>
              <w:jc w:val="right"/>
              <w:rPr>
                <w:rFonts w:eastAsia="宋体" w:cs="Times New Roman"/>
                <w:sz w:val="18"/>
                <w:szCs w:val="18"/>
              </w:rPr>
            </w:pPr>
            <w:r w:rsidRPr="00123E10">
              <w:rPr>
                <w:rFonts w:eastAsia="宋体" w:cs="Times New Roman"/>
                <w:sz w:val="18"/>
                <w:szCs w:val="18"/>
              </w:rPr>
              <w:t>13,886.12</w:t>
            </w:r>
          </w:p>
        </w:tc>
        <w:tc>
          <w:tcPr>
            <w:tcW w:w="1869" w:type="dxa"/>
            <w:shd w:val="clear" w:color="auto" w:fill="auto"/>
            <w:vAlign w:val="center"/>
          </w:tcPr>
          <w:p w:rsidR="004C6B34" w:rsidRPr="00A71D2E" w:rsidRDefault="004C6B34" w:rsidP="004C6B34">
            <w:pPr>
              <w:ind w:left="49" w:right="117"/>
              <w:jc w:val="right"/>
              <w:rPr>
                <w:rFonts w:eastAsia="宋体" w:cs="Times New Roman"/>
                <w:sz w:val="18"/>
                <w:szCs w:val="18"/>
              </w:rPr>
            </w:pPr>
            <w:r w:rsidRPr="00123E10">
              <w:rPr>
                <w:rFonts w:eastAsia="宋体" w:cs="Times New Roman"/>
                <w:sz w:val="18"/>
                <w:szCs w:val="18"/>
              </w:rPr>
              <w:t>13,886.12</w:t>
            </w:r>
          </w:p>
        </w:tc>
        <w:tc>
          <w:tcPr>
            <w:tcW w:w="1869" w:type="dxa"/>
            <w:shd w:val="clear" w:color="auto" w:fill="auto"/>
            <w:vAlign w:val="center"/>
          </w:tcPr>
          <w:p w:rsidR="004C6B34" w:rsidRPr="00A71D2E" w:rsidRDefault="004C6B34" w:rsidP="004C6B34">
            <w:pPr>
              <w:ind w:left="49" w:right="117"/>
              <w:jc w:val="right"/>
              <w:rPr>
                <w:rFonts w:eastAsia="宋体" w:cs="Times New Roman"/>
                <w:sz w:val="18"/>
                <w:szCs w:val="18"/>
              </w:rPr>
            </w:pPr>
            <w:r>
              <w:rPr>
                <w:rFonts w:eastAsia="宋体" w:cs="Times New Roman"/>
                <w:sz w:val="18"/>
                <w:szCs w:val="18"/>
              </w:rPr>
              <w:t>-    </w:t>
            </w:r>
          </w:p>
        </w:tc>
      </w:tr>
      <w:tr w:rsidR="004C6B34"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4C6B34" w:rsidRPr="00A71D2E" w:rsidRDefault="004C6B34" w:rsidP="004C6B34">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2</w:t>
            </w:r>
            <w:r w:rsidRPr="00967E8D">
              <w:rPr>
                <w:rFonts w:eastAsia="宋体" w:cs="Times New Roman" w:hint="eastAsia"/>
                <w:sz w:val="18"/>
                <w:szCs w:val="18"/>
              </w:rPr>
              <w:t>年至</w:t>
            </w:r>
            <w:r w:rsidRPr="00967E8D">
              <w:rPr>
                <w:rFonts w:eastAsia="宋体" w:cs="Times New Roman" w:hint="eastAsia"/>
                <w:sz w:val="18"/>
                <w:szCs w:val="18"/>
              </w:rPr>
              <w:t>3</w:t>
            </w:r>
            <w:r w:rsidRPr="00967E8D">
              <w:rPr>
                <w:rFonts w:eastAsia="宋体" w:cs="Times New Roman" w:hint="eastAsia"/>
                <w:sz w:val="18"/>
                <w:szCs w:val="18"/>
              </w:rPr>
              <w:t>年</w:t>
            </w:r>
          </w:p>
        </w:tc>
        <w:tc>
          <w:tcPr>
            <w:tcW w:w="1869" w:type="dxa"/>
            <w:shd w:val="clear" w:color="auto" w:fill="auto"/>
            <w:vAlign w:val="center"/>
          </w:tcPr>
          <w:p w:rsidR="004C6B34" w:rsidRPr="00A71D2E" w:rsidRDefault="004C6B34" w:rsidP="004C6B34">
            <w:pPr>
              <w:ind w:left="49" w:right="117"/>
              <w:jc w:val="right"/>
              <w:rPr>
                <w:rFonts w:eastAsia="宋体" w:cs="Times New Roman"/>
                <w:sz w:val="18"/>
                <w:szCs w:val="18"/>
              </w:rPr>
            </w:pPr>
            <w:r w:rsidRPr="00C22D8B">
              <w:rPr>
                <w:rFonts w:eastAsia="宋体" w:cs="Times New Roman"/>
                <w:sz w:val="18"/>
                <w:szCs w:val="18"/>
              </w:rPr>
              <w:t xml:space="preserve"> 100.00</w:t>
            </w:r>
          </w:p>
        </w:tc>
        <w:tc>
          <w:tcPr>
            <w:tcW w:w="1869" w:type="dxa"/>
            <w:vAlign w:val="center"/>
          </w:tcPr>
          <w:p w:rsidR="004C6B34" w:rsidRPr="00967E8D" w:rsidRDefault="004C6B34" w:rsidP="004C6B34">
            <w:pPr>
              <w:ind w:left="49" w:right="117"/>
              <w:jc w:val="right"/>
              <w:rPr>
                <w:rFonts w:eastAsia="宋体" w:cs="Times New Roman"/>
                <w:sz w:val="18"/>
                <w:szCs w:val="18"/>
              </w:rPr>
            </w:pPr>
            <w:r w:rsidRPr="00123E10">
              <w:rPr>
                <w:rFonts w:eastAsia="宋体" w:cs="Times New Roman"/>
                <w:sz w:val="18"/>
                <w:szCs w:val="18"/>
              </w:rPr>
              <w:t>474,556.48</w:t>
            </w:r>
          </w:p>
        </w:tc>
        <w:tc>
          <w:tcPr>
            <w:tcW w:w="1869" w:type="dxa"/>
            <w:shd w:val="clear" w:color="auto" w:fill="auto"/>
            <w:vAlign w:val="center"/>
          </w:tcPr>
          <w:p w:rsidR="004C6B34" w:rsidRPr="00A71D2E" w:rsidRDefault="004C6B34" w:rsidP="004C6B34">
            <w:pPr>
              <w:ind w:left="49" w:right="117"/>
              <w:jc w:val="right"/>
              <w:rPr>
                <w:rFonts w:eastAsia="宋体" w:cs="Times New Roman"/>
                <w:sz w:val="18"/>
                <w:szCs w:val="18"/>
              </w:rPr>
            </w:pPr>
            <w:r w:rsidRPr="00123E10">
              <w:rPr>
                <w:rFonts w:eastAsia="宋体" w:cs="Times New Roman"/>
                <w:sz w:val="18"/>
                <w:szCs w:val="18"/>
              </w:rPr>
              <w:t>474,556.48</w:t>
            </w:r>
          </w:p>
        </w:tc>
        <w:tc>
          <w:tcPr>
            <w:tcW w:w="1869" w:type="dxa"/>
            <w:shd w:val="clear" w:color="auto" w:fill="auto"/>
            <w:vAlign w:val="center"/>
          </w:tcPr>
          <w:p w:rsidR="004C6B34" w:rsidRPr="00A71D2E" w:rsidRDefault="004C6B34" w:rsidP="004C6B34">
            <w:pPr>
              <w:ind w:left="49" w:right="117"/>
              <w:jc w:val="right"/>
              <w:rPr>
                <w:rFonts w:eastAsia="宋体" w:cs="Times New Roman"/>
                <w:sz w:val="18"/>
                <w:szCs w:val="18"/>
              </w:rPr>
            </w:pPr>
            <w:r>
              <w:rPr>
                <w:rFonts w:eastAsia="宋体" w:cs="Times New Roman"/>
                <w:sz w:val="18"/>
                <w:szCs w:val="18"/>
              </w:rPr>
              <w:t>-    </w:t>
            </w:r>
          </w:p>
        </w:tc>
      </w:tr>
      <w:tr w:rsidR="004C6B34"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4C6B34" w:rsidRPr="00A71D2E" w:rsidRDefault="004C6B34" w:rsidP="004C6B34">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3</w:t>
            </w:r>
            <w:r w:rsidRPr="00967E8D">
              <w:rPr>
                <w:rFonts w:eastAsia="宋体" w:cs="Times New Roman" w:hint="eastAsia"/>
                <w:sz w:val="18"/>
                <w:szCs w:val="18"/>
              </w:rPr>
              <w:t>年以上</w:t>
            </w:r>
          </w:p>
        </w:tc>
        <w:tc>
          <w:tcPr>
            <w:tcW w:w="1869" w:type="dxa"/>
            <w:shd w:val="clear" w:color="auto" w:fill="auto"/>
            <w:vAlign w:val="center"/>
          </w:tcPr>
          <w:p w:rsidR="004C6B34" w:rsidRPr="00A71D2E" w:rsidRDefault="004C6B34" w:rsidP="004C6B34">
            <w:pPr>
              <w:ind w:left="49" w:right="117"/>
              <w:jc w:val="right"/>
              <w:rPr>
                <w:rFonts w:eastAsia="宋体" w:cs="Times New Roman"/>
                <w:sz w:val="18"/>
                <w:szCs w:val="18"/>
              </w:rPr>
            </w:pPr>
            <w:r w:rsidRPr="00C22D8B">
              <w:rPr>
                <w:rFonts w:eastAsia="宋体" w:cs="Times New Roman"/>
                <w:sz w:val="18"/>
                <w:szCs w:val="18"/>
              </w:rPr>
              <w:t xml:space="preserve"> 100.00</w:t>
            </w:r>
          </w:p>
        </w:tc>
        <w:tc>
          <w:tcPr>
            <w:tcW w:w="1869" w:type="dxa"/>
            <w:vAlign w:val="center"/>
          </w:tcPr>
          <w:p w:rsidR="004C6B34" w:rsidRPr="00967E8D" w:rsidRDefault="004C6B34" w:rsidP="004C6B34">
            <w:pPr>
              <w:ind w:left="49" w:right="117"/>
              <w:jc w:val="right"/>
              <w:rPr>
                <w:rFonts w:eastAsia="宋体" w:cs="Times New Roman"/>
                <w:sz w:val="18"/>
                <w:szCs w:val="18"/>
              </w:rPr>
            </w:pPr>
            <w:r w:rsidRPr="00123E10">
              <w:rPr>
                <w:rFonts w:eastAsia="宋体" w:cs="Times New Roman"/>
                <w:sz w:val="18"/>
                <w:szCs w:val="18"/>
              </w:rPr>
              <w:t>496.38</w:t>
            </w:r>
          </w:p>
        </w:tc>
        <w:tc>
          <w:tcPr>
            <w:tcW w:w="1869" w:type="dxa"/>
            <w:shd w:val="clear" w:color="auto" w:fill="auto"/>
            <w:vAlign w:val="center"/>
          </w:tcPr>
          <w:p w:rsidR="004C6B34" w:rsidRPr="00A71D2E" w:rsidRDefault="004C6B34" w:rsidP="004C6B34">
            <w:pPr>
              <w:ind w:left="49" w:right="117"/>
              <w:jc w:val="right"/>
              <w:rPr>
                <w:rFonts w:eastAsia="宋体" w:cs="Times New Roman"/>
                <w:sz w:val="18"/>
                <w:szCs w:val="18"/>
              </w:rPr>
            </w:pPr>
            <w:r w:rsidRPr="00123E10">
              <w:rPr>
                <w:rFonts w:eastAsia="宋体" w:cs="Times New Roman"/>
                <w:sz w:val="18"/>
                <w:szCs w:val="18"/>
              </w:rPr>
              <w:t>496.38</w:t>
            </w:r>
          </w:p>
        </w:tc>
        <w:tc>
          <w:tcPr>
            <w:tcW w:w="1869" w:type="dxa"/>
            <w:shd w:val="clear" w:color="auto" w:fill="auto"/>
            <w:vAlign w:val="center"/>
          </w:tcPr>
          <w:p w:rsidR="004C6B34" w:rsidRPr="00A71D2E" w:rsidRDefault="004C6B34" w:rsidP="004C6B34">
            <w:pPr>
              <w:ind w:left="49" w:right="117"/>
              <w:jc w:val="right"/>
              <w:rPr>
                <w:rFonts w:eastAsia="宋体" w:cs="Times New Roman"/>
                <w:sz w:val="18"/>
                <w:szCs w:val="18"/>
              </w:rPr>
            </w:pPr>
            <w:r>
              <w:rPr>
                <w:rFonts w:eastAsia="宋体" w:cs="Times New Roman"/>
                <w:sz w:val="18"/>
                <w:szCs w:val="18"/>
              </w:rPr>
              <w:t>-    </w:t>
            </w:r>
          </w:p>
        </w:tc>
      </w:tr>
      <w:tr w:rsidR="008B6628" w:rsidRPr="00A71D2E" w:rsidTr="0027505B">
        <w:trPr>
          <w:trHeight w:val="20"/>
        </w:trPr>
        <w:tc>
          <w:tcPr>
            <w:tcW w:w="1974" w:type="dxa"/>
            <w:shd w:val="clear" w:color="auto" w:fill="D9D9D9" w:themeFill="background1" w:themeFillShade="D9"/>
            <w:tcMar>
              <w:top w:w="0" w:type="dxa"/>
              <w:left w:w="108" w:type="dxa"/>
              <w:bottom w:w="0" w:type="dxa"/>
              <w:right w:w="108" w:type="dxa"/>
            </w:tcMar>
            <w:vAlign w:val="center"/>
            <w:hideMark/>
          </w:tcPr>
          <w:p w:rsidR="008B6628" w:rsidRPr="00A71D2E" w:rsidRDefault="008B6628" w:rsidP="00E456AF">
            <w:pPr>
              <w:rPr>
                <w:rFonts w:eastAsia="宋体" w:cs="Times New Roman"/>
                <w:bCs/>
                <w:sz w:val="18"/>
                <w:szCs w:val="18"/>
              </w:rPr>
            </w:pPr>
            <w:r w:rsidRPr="00A71D2E">
              <w:rPr>
                <w:rFonts w:eastAsia="宋体" w:cs="Times New Roman" w:hint="eastAsia"/>
                <w:bCs/>
                <w:sz w:val="18"/>
                <w:szCs w:val="18"/>
              </w:rPr>
              <w:t>合计</w:t>
            </w:r>
          </w:p>
        </w:tc>
        <w:tc>
          <w:tcPr>
            <w:tcW w:w="1869" w:type="dxa"/>
            <w:shd w:val="clear" w:color="auto" w:fill="auto"/>
            <w:vAlign w:val="center"/>
          </w:tcPr>
          <w:p w:rsidR="008B6628" w:rsidRPr="00A71D2E" w:rsidRDefault="004C6B34" w:rsidP="00E456AF">
            <w:pPr>
              <w:ind w:left="49" w:right="117"/>
              <w:jc w:val="right"/>
              <w:rPr>
                <w:rFonts w:eastAsia="宋体" w:cs="Times New Roman"/>
                <w:sz w:val="18"/>
                <w:szCs w:val="18"/>
              </w:rPr>
            </w:pPr>
            <w:r w:rsidRPr="004C6B34">
              <w:rPr>
                <w:rFonts w:eastAsia="宋体" w:cs="Times New Roman"/>
                <w:sz w:val="18"/>
                <w:szCs w:val="18"/>
              </w:rPr>
              <w:t>0.46</w:t>
            </w:r>
          </w:p>
        </w:tc>
        <w:tc>
          <w:tcPr>
            <w:tcW w:w="1869" w:type="dxa"/>
            <w:vAlign w:val="center"/>
          </w:tcPr>
          <w:p w:rsidR="008B6628" w:rsidRPr="00967E8D" w:rsidRDefault="00123E10" w:rsidP="00E456AF">
            <w:pPr>
              <w:ind w:left="49" w:right="117"/>
              <w:jc w:val="right"/>
              <w:rPr>
                <w:rFonts w:eastAsia="宋体" w:cs="Times New Roman"/>
                <w:sz w:val="18"/>
                <w:szCs w:val="18"/>
              </w:rPr>
            </w:pPr>
            <w:r w:rsidRPr="00123E10">
              <w:rPr>
                <w:rFonts w:eastAsia="宋体" w:cs="Times New Roman"/>
                <w:sz w:val="18"/>
                <w:szCs w:val="18"/>
              </w:rPr>
              <w:t>245,057,673.82</w:t>
            </w:r>
          </w:p>
        </w:tc>
        <w:tc>
          <w:tcPr>
            <w:tcW w:w="1869" w:type="dxa"/>
            <w:shd w:val="clear" w:color="auto" w:fill="auto"/>
            <w:vAlign w:val="center"/>
          </w:tcPr>
          <w:p w:rsidR="008B6628" w:rsidRPr="00A71D2E" w:rsidRDefault="00123E10" w:rsidP="00E456AF">
            <w:pPr>
              <w:ind w:left="49" w:right="117"/>
              <w:jc w:val="right"/>
              <w:rPr>
                <w:rFonts w:eastAsia="宋体" w:cs="Times New Roman"/>
                <w:sz w:val="18"/>
                <w:szCs w:val="18"/>
              </w:rPr>
            </w:pPr>
            <w:r w:rsidRPr="00123E10">
              <w:rPr>
                <w:rFonts w:eastAsia="宋体" w:cs="Times New Roman"/>
                <w:sz w:val="18"/>
                <w:szCs w:val="18"/>
              </w:rPr>
              <w:t>1,121,411.76</w:t>
            </w:r>
          </w:p>
        </w:tc>
        <w:tc>
          <w:tcPr>
            <w:tcW w:w="1869" w:type="dxa"/>
            <w:shd w:val="clear" w:color="auto" w:fill="auto"/>
            <w:vAlign w:val="center"/>
          </w:tcPr>
          <w:p w:rsidR="008B6628" w:rsidRPr="00A71D2E" w:rsidRDefault="00123E10" w:rsidP="00E456AF">
            <w:pPr>
              <w:ind w:left="49" w:right="117"/>
              <w:jc w:val="right"/>
              <w:rPr>
                <w:rFonts w:eastAsia="宋体" w:cs="Times New Roman"/>
                <w:sz w:val="18"/>
                <w:szCs w:val="18"/>
              </w:rPr>
            </w:pPr>
            <w:r w:rsidRPr="00123E10">
              <w:rPr>
                <w:rFonts w:eastAsia="宋体" w:cs="Times New Roman"/>
                <w:sz w:val="18"/>
                <w:szCs w:val="18"/>
              </w:rPr>
              <w:t>243,936,262.06</w:t>
            </w:r>
          </w:p>
        </w:tc>
      </w:tr>
    </w:tbl>
    <w:p w:rsidR="008B6628" w:rsidRDefault="008B6628" w:rsidP="007E2F61">
      <w:pPr>
        <w:ind w:leftChars="337" w:left="708" w:firstLine="1"/>
        <w:jc w:val="both"/>
        <w:rPr>
          <w:rFonts w:eastAsia="宋体" w:cs="Times New Roman"/>
          <w:szCs w:val="21"/>
        </w:rPr>
      </w:pPr>
    </w:p>
    <w:p w:rsidR="007D47F9" w:rsidRDefault="007D47F9" w:rsidP="00F66363">
      <w:pPr>
        <w:ind w:left="720"/>
        <w:jc w:val="both"/>
        <w:rPr>
          <w:rFonts w:eastAsia="宋体" w:cs="Times New Roman"/>
          <w:szCs w:val="21"/>
        </w:rPr>
      </w:pPr>
      <w:r w:rsidRPr="00A71D2E">
        <w:rPr>
          <w:rFonts w:eastAsia="宋体" w:cs="Times New Roman" w:hint="eastAsia"/>
          <w:szCs w:val="21"/>
        </w:rPr>
        <w:t>组合</w:t>
      </w:r>
      <w:r w:rsidR="00E63D1E">
        <w:rPr>
          <w:rFonts w:eastAsia="宋体" w:cs="Times New Roman"/>
          <w:szCs w:val="21"/>
        </w:rPr>
        <w:t>B</w:t>
      </w:r>
      <w:r w:rsidRPr="00A71D2E">
        <w:rPr>
          <w:rFonts w:eastAsia="宋体" w:cs="Times New Roman" w:hint="eastAsia"/>
          <w:szCs w:val="21"/>
        </w:rPr>
        <w:t>的应收账款的信用风险与</w:t>
      </w:r>
      <w:r w:rsidR="00785CFB">
        <w:rPr>
          <w:rFonts w:eastAsia="宋体" w:cs="Times New Roman" w:hint="eastAsia"/>
          <w:szCs w:val="21"/>
        </w:rPr>
        <w:t>坏账</w:t>
      </w:r>
      <w:r w:rsidRPr="00A71D2E">
        <w:rPr>
          <w:rFonts w:eastAsia="宋体" w:cs="Times New Roman" w:hint="eastAsia"/>
          <w:szCs w:val="21"/>
        </w:rPr>
        <w:t>准备情况如下</w:t>
      </w:r>
      <w:r w:rsidR="005F14EE">
        <w:rPr>
          <w:rFonts w:eastAsia="宋体" w:cs="Times New Roman" w:hint="eastAsia"/>
          <w:szCs w:val="21"/>
        </w:rPr>
        <w:t>：</w:t>
      </w:r>
    </w:p>
    <w:p w:rsidR="0015213F" w:rsidRPr="00A71D2E" w:rsidRDefault="0015213F" w:rsidP="0015213F">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74"/>
        <w:gridCol w:w="1869"/>
        <w:gridCol w:w="1869"/>
        <w:gridCol w:w="1869"/>
        <w:gridCol w:w="1869"/>
      </w:tblGrid>
      <w:tr w:rsidR="0015213F" w:rsidRPr="00A71D2E" w:rsidTr="0027505B">
        <w:trPr>
          <w:trHeight w:val="20"/>
        </w:trPr>
        <w:tc>
          <w:tcPr>
            <w:tcW w:w="1974" w:type="dxa"/>
            <w:vMerge w:val="restart"/>
            <w:shd w:val="clear" w:color="auto" w:fill="D9D9D9" w:themeFill="background1" w:themeFillShade="D9"/>
            <w:tcMar>
              <w:top w:w="0" w:type="dxa"/>
              <w:left w:w="108" w:type="dxa"/>
              <w:bottom w:w="0" w:type="dxa"/>
              <w:right w:w="108" w:type="dxa"/>
            </w:tcMar>
            <w:vAlign w:val="center"/>
            <w:hideMark/>
          </w:tcPr>
          <w:p w:rsidR="0015213F" w:rsidRPr="00A71D2E" w:rsidRDefault="0015213F" w:rsidP="00E456AF">
            <w:pPr>
              <w:jc w:val="center"/>
              <w:rPr>
                <w:rFonts w:eastAsia="宋体" w:cs="Times New Roman"/>
                <w:sz w:val="18"/>
                <w:szCs w:val="18"/>
              </w:rPr>
            </w:pPr>
            <w:r w:rsidRPr="00A71D2E">
              <w:rPr>
                <w:rFonts w:eastAsia="宋体" w:cs="Times New Roman" w:hint="eastAsia"/>
                <w:sz w:val="18"/>
                <w:szCs w:val="18"/>
              </w:rPr>
              <w:t>账龄</w:t>
            </w:r>
          </w:p>
        </w:tc>
        <w:tc>
          <w:tcPr>
            <w:tcW w:w="7476" w:type="dxa"/>
            <w:gridSpan w:val="4"/>
            <w:shd w:val="clear" w:color="auto" w:fill="D9D9D9" w:themeFill="background1" w:themeFillShade="D9"/>
            <w:vAlign w:val="center"/>
          </w:tcPr>
          <w:p w:rsidR="0015213F" w:rsidRPr="00A71D2E" w:rsidRDefault="0015213F" w:rsidP="00E456AF">
            <w:pPr>
              <w:ind w:left="31" w:right="93"/>
              <w:jc w:val="center"/>
              <w:rPr>
                <w:rFonts w:eastAsia="宋体" w:cs="Times New Roman"/>
                <w:sz w:val="18"/>
                <w:szCs w:val="18"/>
              </w:rPr>
            </w:pPr>
            <w:r w:rsidRPr="00A71D2E">
              <w:rPr>
                <w:rFonts w:eastAsia="宋体" w:cs="Times New Roman" w:hint="eastAsia"/>
                <w:sz w:val="18"/>
                <w:szCs w:val="18"/>
              </w:rPr>
              <w:t>年末余额</w:t>
            </w:r>
          </w:p>
        </w:tc>
      </w:tr>
      <w:tr w:rsidR="0015213F" w:rsidRPr="00A71D2E" w:rsidTr="0027505B">
        <w:trPr>
          <w:trHeight w:val="20"/>
        </w:trPr>
        <w:tc>
          <w:tcPr>
            <w:tcW w:w="1974" w:type="dxa"/>
            <w:vMerge/>
            <w:shd w:val="clear" w:color="auto" w:fill="D9D9D9" w:themeFill="background1" w:themeFillShade="D9"/>
            <w:tcMar>
              <w:top w:w="0" w:type="dxa"/>
              <w:left w:w="108" w:type="dxa"/>
              <w:bottom w:w="0" w:type="dxa"/>
              <w:right w:w="108" w:type="dxa"/>
            </w:tcMar>
            <w:vAlign w:val="center"/>
            <w:hideMark/>
          </w:tcPr>
          <w:p w:rsidR="0015213F" w:rsidRPr="00A71D2E" w:rsidRDefault="0015213F" w:rsidP="00E456AF">
            <w:pPr>
              <w:jc w:val="center"/>
              <w:rPr>
                <w:rFonts w:eastAsia="宋体" w:cs="Times New Roman"/>
                <w:sz w:val="18"/>
                <w:szCs w:val="18"/>
              </w:rPr>
            </w:pPr>
          </w:p>
        </w:tc>
        <w:tc>
          <w:tcPr>
            <w:tcW w:w="1869" w:type="dxa"/>
            <w:shd w:val="clear" w:color="auto" w:fill="D9D9D9" w:themeFill="background1" w:themeFillShade="D9"/>
            <w:vAlign w:val="center"/>
          </w:tcPr>
          <w:p w:rsidR="0015213F" w:rsidRDefault="0015213F" w:rsidP="00E456AF">
            <w:pPr>
              <w:ind w:left="49" w:right="90"/>
              <w:jc w:val="center"/>
              <w:rPr>
                <w:rFonts w:eastAsia="宋体" w:cs="Times New Roman"/>
                <w:sz w:val="18"/>
                <w:szCs w:val="18"/>
              </w:rPr>
            </w:pPr>
            <w:r>
              <w:rPr>
                <w:rFonts w:eastAsia="宋体" w:cs="Times New Roman" w:hint="eastAsia"/>
                <w:sz w:val="18"/>
                <w:szCs w:val="18"/>
              </w:rPr>
              <w:t>预期平均损失率</w:t>
            </w:r>
          </w:p>
          <w:p w:rsidR="0015213F" w:rsidRPr="00A71D2E" w:rsidRDefault="005F14EE" w:rsidP="00E456AF">
            <w:pPr>
              <w:ind w:left="49" w:right="90"/>
              <w:jc w:val="center"/>
              <w:rPr>
                <w:rFonts w:eastAsia="宋体" w:cs="Times New Roman"/>
                <w:sz w:val="18"/>
                <w:szCs w:val="18"/>
              </w:rPr>
            </w:pPr>
            <w:r>
              <w:rPr>
                <w:rFonts w:eastAsia="宋体" w:cs="Times New Roman" w:hint="eastAsia"/>
                <w:sz w:val="18"/>
                <w:szCs w:val="18"/>
              </w:rPr>
              <w:t>(</w:t>
            </w:r>
            <w:r w:rsidR="0015213F">
              <w:rPr>
                <w:rFonts w:eastAsia="宋体" w:cs="Times New Roman"/>
                <w:sz w:val="18"/>
                <w:szCs w:val="18"/>
              </w:rPr>
              <w:t>%</w:t>
            </w:r>
            <w:r>
              <w:rPr>
                <w:rFonts w:eastAsia="宋体" w:cs="Times New Roman"/>
                <w:sz w:val="18"/>
                <w:szCs w:val="18"/>
              </w:rPr>
              <w:t>)</w:t>
            </w:r>
          </w:p>
        </w:tc>
        <w:tc>
          <w:tcPr>
            <w:tcW w:w="1869" w:type="dxa"/>
            <w:shd w:val="clear" w:color="auto" w:fill="D9D9D9"/>
            <w:vAlign w:val="center"/>
          </w:tcPr>
          <w:p w:rsidR="0015213F" w:rsidRDefault="0015213F" w:rsidP="00E456AF">
            <w:pPr>
              <w:ind w:left="49" w:right="90"/>
              <w:jc w:val="center"/>
              <w:rPr>
                <w:rFonts w:eastAsia="宋体" w:cs="Times New Roman"/>
                <w:sz w:val="18"/>
                <w:szCs w:val="18"/>
              </w:rPr>
            </w:pPr>
            <w:r>
              <w:rPr>
                <w:rFonts w:eastAsia="宋体" w:cs="Times New Roman" w:hint="eastAsia"/>
                <w:sz w:val="18"/>
                <w:szCs w:val="18"/>
              </w:rPr>
              <w:t>账面余额</w:t>
            </w:r>
          </w:p>
        </w:tc>
        <w:tc>
          <w:tcPr>
            <w:tcW w:w="1869" w:type="dxa"/>
            <w:shd w:val="clear" w:color="auto" w:fill="D9D9D9"/>
            <w:vAlign w:val="center"/>
          </w:tcPr>
          <w:p w:rsidR="0015213F" w:rsidRPr="00A71D2E" w:rsidRDefault="0015213F" w:rsidP="00E456AF">
            <w:pPr>
              <w:ind w:left="49" w:right="90"/>
              <w:jc w:val="center"/>
              <w:rPr>
                <w:rFonts w:eastAsia="宋体" w:cs="Times New Roman"/>
                <w:sz w:val="18"/>
                <w:szCs w:val="18"/>
              </w:rPr>
            </w:pPr>
            <w:r>
              <w:rPr>
                <w:rFonts w:eastAsia="宋体" w:cs="Times New Roman" w:hint="eastAsia"/>
                <w:sz w:val="18"/>
                <w:szCs w:val="18"/>
              </w:rPr>
              <w:t>坏账准备</w:t>
            </w:r>
          </w:p>
        </w:tc>
        <w:tc>
          <w:tcPr>
            <w:tcW w:w="1869" w:type="dxa"/>
            <w:shd w:val="clear" w:color="auto" w:fill="D9D9D9" w:themeFill="background1" w:themeFillShade="D9"/>
            <w:vAlign w:val="center"/>
          </w:tcPr>
          <w:p w:rsidR="0015213F" w:rsidRPr="00A71D2E" w:rsidRDefault="0015213F" w:rsidP="00E456AF">
            <w:pPr>
              <w:ind w:left="49" w:right="90"/>
              <w:jc w:val="center"/>
              <w:rPr>
                <w:rFonts w:eastAsia="宋体" w:cs="Times New Roman"/>
                <w:sz w:val="18"/>
                <w:szCs w:val="18"/>
              </w:rPr>
            </w:pPr>
            <w:r>
              <w:rPr>
                <w:rFonts w:eastAsia="宋体" w:cs="Times New Roman"/>
                <w:sz w:val="18"/>
                <w:szCs w:val="18"/>
              </w:rPr>
              <w:t>账面价值</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15213F" w:rsidRPr="00A71D2E" w:rsidRDefault="0015213F" w:rsidP="0015213F">
            <w:pPr>
              <w:ind w:left="-18" w:right="87"/>
              <w:rPr>
                <w:rFonts w:eastAsia="宋体" w:cs="Times New Roman"/>
                <w:sz w:val="18"/>
                <w:szCs w:val="18"/>
              </w:rPr>
            </w:pPr>
            <w:r w:rsidRPr="00A71D2E">
              <w:rPr>
                <w:rFonts w:eastAsia="宋体" w:cs="Times New Roman" w:hint="eastAsia"/>
                <w:sz w:val="18"/>
                <w:szCs w:val="18"/>
              </w:rPr>
              <w:t>信用期内</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0.24 </w:t>
            </w:r>
          </w:p>
        </w:tc>
        <w:tc>
          <w:tcPr>
            <w:tcW w:w="1869" w:type="dxa"/>
            <w:vAlign w:val="center"/>
          </w:tcPr>
          <w:p w:rsidR="0015213F" w:rsidRPr="00967E8D" w:rsidRDefault="0015213F" w:rsidP="0015213F">
            <w:pPr>
              <w:ind w:left="49" w:right="117"/>
              <w:jc w:val="right"/>
              <w:rPr>
                <w:rFonts w:eastAsia="宋体" w:cs="Times New Roman"/>
                <w:sz w:val="18"/>
                <w:szCs w:val="18"/>
              </w:rPr>
            </w:pPr>
            <w:r w:rsidRPr="00967E8D">
              <w:rPr>
                <w:rFonts w:eastAsia="宋体" w:cs="Times New Roman"/>
                <w:sz w:val="18"/>
                <w:szCs w:val="18"/>
              </w:rPr>
              <w:t>196,138,974.20</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470,733.54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15213F">
              <w:rPr>
                <w:rFonts w:eastAsia="宋体" w:cs="Times New Roman"/>
                <w:sz w:val="18"/>
                <w:szCs w:val="18"/>
              </w:rPr>
              <w:t>195,668,240.66</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15213F" w:rsidRPr="00A71D2E" w:rsidRDefault="0015213F" w:rsidP="0015213F">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年以内</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6.66 </w:t>
            </w:r>
          </w:p>
        </w:tc>
        <w:tc>
          <w:tcPr>
            <w:tcW w:w="1869" w:type="dxa"/>
            <w:vAlign w:val="center"/>
          </w:tcPr>
          <w:p w:rsidR="0015213F" w:rsidRPr="00967E8D" w:rsidRDefault="0015213F" w:rsidP="0015213F">
            <w:pPr>
              <w:ind w:left="49" w:right="117"/>
              <w:jc w:val="right"/>
              <w:rPr>
                <w:rFonts w:eastAsia="宋体" w:cs="Times New Roman"/>
                <w:sz w:val="18"/>
                <w:szCs w:val="18"/>
              </w:rPr>
            </w:pPr>
            <w:r w:rsidRPr="00967E8D">
              <w:rPr>
                <w:rFonts w:eastAsia="宋体" w:cs="Times New Roman"/>
                <w:sz w:val="18"/>
                <w:szCs w:val="18"/>
              </w:rPr>
              <w:t>6,050,613.12</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402,819.82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15213F">
              <w:rPr>
                <w:rFonts w:eastAsia="宋体" w:cs="Times New Roman"/>
                <w:sz w:val="18"/>
                <w:szCs w:val="18"/>
              </w:rPr>
              <w:t>5,647,793.30</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15213F" w:rsidRPr="00A71D2E" w:rsidRDefault="0015213F" w:rsidP="0015213F">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年至</w:t>
            </w:r>
            <w:r w:rsidRPr="00967E8D">
              <w:rPr>
                <w:rFonts w:eastAsia="宋体" w:cs="Times New Roman" w:hint="eastAsia"/>
                <w:sz w:val="18"/>
                <w:szCs w:val="18"/>
              </w:rPr>
              <w:t>2</w:t>
            </w:r>
            <w:r w:rsidRPr="00967E8D">
              <w:rPr>
                <w:rFonts w:eastAsia="宋体" w:cs="Times New Roman" w:hint="eastAsia"/>
                <w:sz w:val="18"/>
                <w:szCs w:val="18"/>
              </w:rPr>
              <w:t>年</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55.01 </w:t>
            </w:r>
          </w:p>
        </w:tc>
        <w:tc>
          <w:tcPr>
            <w:tcW w:w="1869" w:type="dxa"/>
            <w:vAlign w:val="center"/>
          </w:tcPr>
          <w:p w:rsidR="0015213F" w:rsidRPr="00967E8D" w:rsidRDefault="0015213F" w:rsidP="0015213F">
            <w:pPr>
              <w:ind w:left="49" w:right="117"/>
              <w:jc w:val="right"/>
              <w:rPr>
                <w:rFonts w:eastAsia="宋体" w:cs="Times New Roman"/>
                <w:sz w:val="18"/>
                <w:szCs w:val="18"/>
              </w:rPr>
            </w:pPr>
            <w:r w:rsidRPr="00967E8D">
              <w:rPr>
                <w:rFonts w:eastAsia="宋体" w:cs="Times New Roman"/>
                <w:sz w:val="18"/>
                <w:szCs w:val="18"/>
              </w:rPr>
              <w:t>1,310,989.02</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721,205.93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15213F">
              <w:rPr>
                <w:rFonts w:eastAsia="宋体" w:cs="Times New Roman"/>
                <w:sz w:val="18"/>
                <w:szCs w:val="18"/>
              </w:rPr>
              <w:t>589,783.09</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15213F" w:rsidRPr="00A71D2E" w:rsidRDefault="0015213F" w:rsidP="0015213F">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2</w:t>
            </w:r>
            <w:r w:rsidRPr="00967E8D">
              <w:rPr>
                <w:rFonts w:eastAsia="宋体" w:cs="Times New Roman" w:hint="eastAsia"/>
                <w:sz w:val="18"/>
                <w:szCs w:val="18"/>
              </w:rPr>
              <w:t>年至</w:t>
            </w:r>
            <w:r w:rsidRPr="00967E8D">
              <w:rPr>
                <w:rFonts w:eastAsia="宋体" w:cs="Times New Roman" w:hint="eastAsia"/>
                <w:sz w:val="18"/>
                <w:szCs w:val="18"/>
              </w:rPr>
              <w:t>3</w:t>
            </w:r>
            <w:r w:rsidRPr="00967E8D">
              <w:rPr>
                <w:rFonts w:eastAsia="宋体" w:cs="Times New Roman" w:hint="eastAsia"/>
                <w:sz w:val="18"/>
                <w:szCs w:val="18"/>
              </w:rPr>
              <w:t>年</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100.00 </w:t>
            </w:r>
          </w:p>
        </w:tc>
        <w:tc>
          <w:tcPr>
            <w:tcW w:w="1869" w:type="dxa"/>
            <w:vAlign w:val="center"/>
          </w:tcPr>
          <w:p w:rsidR="0015213F" w:rsidRPr="00967E8D" w:rsidRDefault="0015213F" w:rsidP="0015213F">
            <w:pPr>
              <w:ind w:left="49" w:right="117"/>
              <w:jc w:val="right"/>
              <w:rPr>
                <w:rFonts w:eastAsia="宋体" w:cs="Times New Roman"/>
                <w:sz w:val="18"/>
                <w:szCs w:val="18"/>
              </w:rPr>
            </w:pPr>
            <w:r w:rsidRPr="00967E8D">
              <w:rPr>
                <w:rFonts w:eastAsia="宋体" w:cs="Times New Roman"/>
                <w:sz w:val="18"/>
                <w:szCs w:val="18"/>
              </w:rPr>
              <w:t>42,864.45</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42,864.45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Pr>
                <w:rFonts w:eastAsia="宋体" w:cs="Times New Roman"/>
                <w:sz w:val="18"/>
                <w:szCs w:val="18"/>
              </w:rPr>
              <w:t>-    </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15213F" w:rsidRPr="00A71D2E" w:rsidRDefault="0015213F" w:rsidP="0015213F">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3</w:t>
            </w:r>
            <w:r w:rsidRPr="00967E8D">
              <w:rPr>
                <w:rFonts w:eastAsia="宋体" w:cs="Times New Roman" w:hint="eastAsia"/>
                <w:sz w:val="18"/>
                <w:szCs w:val="18"/>
              </w:rPr>
              <w:t>年以上</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100.00 </w:t>
            </w:r>
          </w:p>
        </w:tc>
        <w:tc>
          <w:tcPr>
            <w:tcW w:w="1869" w:type="dxa"/>
            <w:vAlign w:val="center"/>
          </w:tcPr>
          <w:p w:rsidR="0015213F" w:rsidRPr="00967E8D" w:rsidRDefault="0015213F" w:rsidP="0015213F">
            <w:pPr>
              <w:ind w:left="49" w:right="117"/>
              <w:jc w:val="right"/>
              <w:rPr>
                <w:rFonts w:eastAsia="宋体" w:cs="Times New Roman"/>
                <w:sz w:val="18"/>
                <w:szCs w:val="18"/>
              </w:rPr>
            </w:pPr>
            <w:r w:rsidRPr="00967E8D">
              <w:rPr>
                <w:rFonts w:eastAsia="宋体" w:cs="Times New Roman"/>
                <w:sz w:val="18"/>
                <w:szCs w:val="18"/>
              </w:rPr>
              <w:t>96.00</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96.00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Pr>
                <w:rFonts w:eastAsia="宋体" w:cs="Times New Roman"/>
                <w:sz w:val="18"/>
                <w:szCs w:val="18"/>
              </w:rPr>
              <w:t>-    </w:t>
            </w:r>
          </w:p>
        </w:tc>
      </w:tr>
      <w:tr w:rsidR="0015213F" w:rsidRPr="00A71D2E" w:rsidTr="0027505B">
        <w:trPr>
          <w:trHeight w:val="20"/>
        </w:trPr>
        <w:tc>
          <w:tcPr>
            <w:tcW w:w="1974" w:type="dxa"/>
            <w:shd w:val="clear" w:color="auto" w:fill="D9D9D9" w:themeFill="background1" w:themeFillShade="D9"/>
            <w:tcMar>
              <w:top w:w="0" w:type="dxa"/>
              <w:left w:w="108" w:type="dxa"/>
              <w:bottom w:w="0" w:type="dxa"/>
              <w:right w:w="108" w:type="dxa"/>
            </w:tcMar>
            <w:vAlign w:val="center"/>
            <w:hideMark/>
          </w:tcPr>
          <w:p w:rsidR="0015213F" w:rsidRPr="00A71D2E" w:rsidRDefault="0015213F" w:rsidP="0015213F">
            <w:pPr>
              <w:rPr>
                <w:rFonts w:eastAsia="宋体" w:cs="Times New Roman"/>
                <w:bCs/>
                <w:sz w:val="18"/>
                <w:szCs w:val="18"/>
              </w:rPr>
            </w:pPr>
            <w:r w:rsidRPr="00A71D2E">
              <w:rPr>
                <w:rFonts w:eastAsia="宋体" w:cs="Times New Roman" w:hint="eastAsia"/>
                <w:bCs/>
                <w:sz w:val="18"/>
                <w:szCs w:val="18"/>
              </w:rPr>
              <w:t>合计</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0.80 </w:t>
            </w:r>
          </w:p>
        </w:tc>
        <w:tc>
          <w:tcPr>
            <w:tcW w:w="1869" w:type="dxa"/>
            <w:vAlign w:val="center"/>
          </w:tcPr>
          <w:p w:rsidR="0015213F" w:rsidRPr="00967E8D" w:rsidRDefault="0015213F" w:rsidP="0015213F">
            <w:pPr>
              <w:ind w:left="49" w:right="117"/>
              <w:jc w:val="right"/>
              <w:rPr>
                <w:rFonts w:eastAsia="宋体" w:cs="Times New Roman"/>
                <w:sz w:val="18"/>
                <w:szCs w:val="18"/>
              </w:rPr>
            </w:pPr>
            <w:r w:rsidRPr="00967E8D">
              <w:rPr>
                <w:rFonts w:eastAsia="宋体" w:cs="Times New Roman"/>
                <w:sz w:val="18"/>
                <w:szCs w:val="18"/>
              </w:rPr>
              <w:t>203,543,536.79</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967E8D">
              <w:rPr>
                <w:rFonts w:eastAsia="宋体" w:cs="Times New Roman"/>
                <w:sz w:val="18"/>
                <w:szCs w:val="18"/>
              </w:rPr>
              <w:t xml:space="preserve"> 1,637,719.74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15213F">
              <w:rPr>
                <w:rFonts w:eastAsia="宋体" w:cs="Times New Roman"/>
                <w:sz w:val="18"/>
                <w:szCs w:val="18"/>
              </w:rPr>
              <w:t>201,905,817.05</w:t>
            </w:r>
          </w:p>
        </w:tc>
      </w:tr>
    </w:tbl>
    <w:p w:rsidR="0015213F" w:rsidRDefault="0015213F" w:rsidP="00F66363">
      <w:pPr>
        <w:ind w:left="720"/>
        <w:jc w:val="both"/>
        <w:rPr>
          <w:rFonts w:eastAsia="宋体" w:cs="Times New Roman"/>
          <w:szCs w:val="21"/>
        </w:rPr>
      </w:pPr>
    </w:p>
    <w:p w:rsidR="0015213F" w:rsidRPr="00A71D2E" w:rsidRDefault="0015213F" w:rsidP="0015213F">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74"/>
        <w:gridCol w:w="1869"/>
        <w:gridCol w:w="1869"/>
        <w:gridCol w:w="1869"/>
        <w:gridCol w:w="1869"/>
      </w:tblGrid>
      <w:tr w:rsidR="0015213F" w:rsidRPr="00A71D2E" w:rsidTr="0027505B">
        <w:trPr>
          <w:trHeight w:val="20"/>
        </w:trPr>
        <w:tc>
          <w:tcPr>
            <w:tcW w:w="1974" w:type="dxa"/>
            <w:vMerge w:val="restart"/>
            <w:shd w:val="clear" w:color="auto" w:fill="D9D9D9" w:themeFill="background1" w:themeFillShade="D9"/>
            <w:tcMar>
              <w:top w:w="0" w:type="dxa"/>
              <w:left w:w="108" w:type="dxa"/>
              <w:bottom w:w="0" w:type="dxa"/>
              <w:right w:w="108" w:type="dxa"/>
            </w:tcMar>
            <w:vAlign w:val="center"/>
            <w:hideMark/>
          </w:tcPr>
          <w:p w:rsidR="0015213F" w:rsidRPr="00A71D2E" w:rsidRDefault="0015213F" w:rsidP="00E456AF">
            <w:pPr>
              <w:jc w:val="center"/>
              <w:rPr>
                <w:rFonts w:eastAsia="宋体" w:cs="Times New Roman"/>
                <w:sz w:val="18"/>
                <w:szCs w:val="18"/>
              </w:rPr>
            </w:pPr>
            <w:r w:rsidRPr="00A71D2E">
              <w:rPr>
                <w:rFonts w:eastAsia="宋体" w:cs="Times New Roman" w:hint="eastAsia"/>
                <w:sz w:val="18"/>
                <w:szCs w:val="18"/>
              </w:rPr>
              <w:t>账龄</w:t>
            </w:r>
          </w:p>
        </w:tc>
        <w:tc>
          <w:tcPr>
            <w:tcW w:w="7476" w:type="dxa"/>
            <w:gridSpan w:val="4"/>
            <w:shd w:val="clear" w:color="auto" w:fill="D9D9D9" w:themeFill="background1" w:themeFillShade="D9"/>
            <w:vAlign w:val="center"/>
          </w:tcPr>
          <w:p w:rsidR="0015213F" w:rsidRPr="00A71D2E" w:rsidRDefault="0015213F" w:rsidP="00E456AF">
            <w:pPr>
              <w:ind w:left="31" w:right="93"/>
              <w:jc w:val="center"/>
              <w:rPr>
                <w:rFonts w:eastAsia="宋体" w:cs="Times New Roman"/>
                <w:sz w:val="18"/>
                <w:szCs w:val="18"/>
              </w:rPr>
            </w:pPr>
            <w:r w:rsidRPr="00A71D2E">
              <w:rPr>
                <w:rFonts w:eastAsia="宋体" w:cs="Times New Roman" w:hint="eastAsia"/>
                <w:sz w:val="18"/>
                <w:szCs w:val="18"/>
              </w:rPr>
              <w:t>年</w:t>
            </w:r>
            <w:r>
              <w:rPr>
                <w:rFonts w:eastAsia="宋体" w:cs="Times New Roman" w:hint="eastAsia"/>
                <w:sz w:val="18"/>
                <w:szCs w:val="18"/>
              </w:rPr>
              <w:t>初</w:t>
            </w:r>
            <w:r w:rsidRPr="00A71D2E">
              <w:rPr>
                <w:rFonts w:eastAsia="宋体" w:cs="Times New Roman" w:hint="eastAsia"/>
                <w:sz w:val="18"/>
                <w:szCs w:val="18"/>
              </w:rPr>
              <w:t>余额</w:t>
            </w:r>
          </w:p>
        </w:tc>
      </w:tr>
      <w:tr w:rsidR="0015213F" w:rsidRPr="00A71D2E" w:rsidTr="0027505B">
        <w:trPr>
          <w:trHeight w:val="20"/>
        </w:trPr>
        <w:tc>
          <w:tcPr>
            <w:tcW w:w="1974" w:type="dxa"/>
            <w:vMerge/>
            <w:shd w:val="clear" w:color="auto" w:fill="D9D9D9" w:themeFill="background1" w:themeFillShade="D9"/>
            <w:tcMar>
              <w:top w:w="0" w:type="dxa"/>
              <w:left w:w="108" w:type="dxa"/>
              <w:bottom w:w="0" w:type="dxa"/>
              <w:right w:w="108" w:type="dxa"/>
            </w:tcMar>
            <w:vAlign w:val="center"/>
            <w:hideMark/>
          </w:tcPr>
          <w:p w:rsidR="0015213F" w:rsidRPr="00A71D2E" w:rsidRDefault="0015213F" w:rsidP="00E456AF">
            <w:pPr>
              <w:jc w:val="center"/>
              <w:rPr>
                <w:rFonts w:eastAsia="宋体" w:cs="Times New Roman"/>
                <w:sz w:val="18"/>
                <w:szCs w:val="18"/>
              </w:rPr>
            </w:pPr>
          </w:p>
        </w:tc>
        <w:tc>
          <w:tcPr>
            <w:tcW w:w="1869" w:type="dxa"/>
            <w:shd w:val="clear" w:color="auto" w:fill="D9D9D9" w:themeFill="background1" w:themeFillShade="D9"/>
            <w:vAlign w:val="center"/>
          </w:tcPr>
          <w:p w:rsidR="0015213F" w:rsidRDefault="0015213F" w:rsidP="00E456AF">
            <w:pPr>
              <w:ind w:left="49" w:right="90"/>
              <w:jc w:val="center"/>
              <w:rPr>
                <w:rFonts w:eastAsia="宋体" w:cs="Times New Roman"/>
                <w:sz w:val="18"/>
                <w:szCs w:val="18"/>
              </w:rPr>
            </w:pPr>
            <w:r>
              <w:rPr>
                <w:rFonts w:eastAsia="宋体" w:cs="Times New Roman" w:hint="eastAsia"/>
                <w:sz w:val="18"/>
                <w:szCs w:val="18"/>
              </w:rPr>
              <w:t>预期平均损失率</w:t>
            </w:r>
          </w:p>
          <w:p w:rsidR="0015213F" w:rsidRPr="00A71D2E" w:rsidRDefault="005F14EE" w:rsidP="00E456AF">
            <w:pPr>
              <w:ind w:left="49" w:right="90"/>
              <w:jc w:val="center"/>
              <w:rPr>
                <w:rFonts w:eastAsia="宋体" w:cs="Times New Roman"/>
                <w:sz w:val="18"/>
                <w:szCs w:val="18"/>
              </w:rPr>
            </w:pPr>
            <w:r>
              <w:rPr>
                <w:rFonts w:eastAsia="宋体" w:cs="Times New Roman" w:hint="eastAsia"/>
                <w:sz w:val="18"/>
                <w:szCs w:val="18"/>
              </w:rPr>
              <w:t>(</w:t>
            </w:r>
            <w:r w:rsidR="0015213F">
              <w:rPr>
                <w:rFonts w:eastAsia="宋体" w:cs="Times New Roman"/>
                <w:sz w:val="18"/>
                <w:szCs w:val="18"/>
              </w:rPr>
              <w:t>%</w:t>
            </w:r>
            <w:r>
              <w:rPr>
                <w:rFonts w:eastAsia="宋体" w:cs="Times New Roman"/>
                <w:sz w:val="18"/>
                <w:szCs w:val="18"/>
              </w:rPr>
              <w:t>)</w:t>
            </w:r>
          </w:p>
        </w:tc>
        <w:tc>
          <w:tcPr>
            <w:tcW w:w="1869" w:type="dxa"/>
            <w:shd w:val="clear" w:color="auto" w:fill="D9D9D9"/>
            <w:vAlign w:val="center"/>
          </w:tcPr>
          <w:p w:rsidR="0015213F" w:rsidRDefault="0015213F" w:rsidP="00E456AF">
            <w:pPr>
              <w:ind w:left="49" w:right="90"/>
              <w:jc w:val="center"/>
              <w:rPr>
                <w:rFonts w:eastAsia="宋体" w:cs="Times New Roman"/>
                <w:sz w:val="18"/>
                <w:szCs w:val="18"/>
              </w:rPr>
            </w:pPr>
            <w:r>
              <w:rPr>
                <w:rFonts w:eastAsia="宋体" w:cs="Times New Roman" w:hint="eastAsia"/>
                <w:sz w:val="18"/>
                <w:szCs w:val="18"/>
              </w:rPr>
              <w:t>账面余额</w:t>
            </w:r>
          </w:p>
        </w:tc>
        <w:tc>
          <w:tcPr>
            <w:tcW w:w="1869" w:type="dxa"/>
            <w:shd w:val="clear" w:color="auto" w:fill="D9D9D9"/>
            <w:vAlign w:val="center"/>
          </w:tcPr>
          <w:p w:rsidR="0015213F" w:rsidRPr="00A71D2E" w:rsidRDefault="0015213F" w:rsidP="00E456AF">
            <w:pPr>
              <w:ind w:left="49" w:right="90"/>
              <w:jc w:val="center"/>
              <w:rPr>
                <w:rFonts w:eastAsia="宋体" w:cs="Times New Roman"/>
                <w:sz w:val="18"/>
                <w:szCs w:val="18"/>
              </w:rPr>
            </w:pPr>
            <w:r>
              <w:rPr>
                <w:rFonts w:eastAsia="宋体" w:cs="Times New Roman" w:hint="eastAsia"/>
                <w:sz w:val="18"/>
                <w:szCs w:val="18"/>
              </w:rPr>
              <w:t>坏账准备</w:t>
            </w:r>
          </w:p>
        </w:tc>
        <w:tc>
          <w:tcPr>
            <w:tcW w:w="1869" w:type="dxa"/>
            <w:shd w:val="clear" w:color="auto" w:fill="D9D9D9" w:themeFill="background1" w:themeFillShade="D9"/>
            <w:vAlign w:val="center"/>
          </w:tcPr>
          <w:p w:rsidR="0015213F" w:rsidRPr="00A71D2E" w:rsidRDefault="0015213F" w:rsidP="00E456AF">
            <w:pPr>
              <w:ind w:left="49" w:right="90"/>
              <w:jc w:val="center"/>
              <w:rPr>
                <w:rFonts w:eastAsia="宋体" w:cs="Times New Roman"/>
                <w:sz w:val="18"/>
                <w:szCs w:val="18"/>
              </w:rPr>
            </w:pPr>
            <w:r>
              <w:rPr>
                <w:rFonts w:eastAsia="宋体" w:cs="Times New Roman"/>
                <w:sz w:val="18"/>
                <w:szCs w:val="18"/>
              </w:rPr>
              <w:t>账面价值</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15213F" w:rsidRPr="00A71D2E" w:rsidRDefault="0015213F" w:rsidP="0015213F">
            <w:pPr>
              <w:ind w:left="-18" w:right="87"/>
              <w:rPr>
                <w:rFonts w:eastAsia="宋体" w:cs="Times New Roman"/>
                <w:sz w:val="18"/>
                <w:szCs w:val="18"/>
              </w:rPr>
            </w:pPr>
            <w:r w:rsidRPr="00A71D2E">
              <w:rPr>
                <w:rFonts w:eastAsia="宋体" w:cs="Times New Roman" w:hint="eastAsia"/>
                <w:sz w:val="18"/>
                <w:szCs w:val="18"/>
              </w:rPr>
              <w:t>信用期内</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0.10 </w:t>
            </w:r>
          </w:p>
        </w:tc>
        <w:tc>
          <w:tcPr>
            <w:tcW w:w="1869" w:type="dxa"/>
            <w:vAlign w:val="center"/>
          </w:tcPr>
          <w:p w:rsidR="0015213F" w:rsidRPr="00967E8D" w:rsidRDefault="0015213F" w:rsidP="0015213F">
            <w:pPr>
              <w:ind w:left="49" w:right="117"/>
              <w:jc w:val="right"/>
              <w:rPr>
                <w:rFonts w:eastAsia="宋体" w:cs="Times New Roman"/>
                <w:sz w:val="18"/>
                <w:szCs w:val="18"/>
              </w:rPr>
            </w:pPr>
            <w:r w:rsidRPr="00FE2C30">
              <w:rPr>
                <w:rFonts w:eastAsia="宋体" w:cs="Times New Roman"/>
                <w:sz w:val="18"/>
                <w:szCs w:val="18"/>
              </w:rPr>
              <w:t>179,925,546.37</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180,336.60</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179,745,209.77 </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15213F" w:rsidRPr="00A71D2E" w:rsidRDefault="0015213F" w:rsidP="0015213F">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年以内</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14.29 </w:t>
            </w:r>
          </w:p>
        </w:tc>
        <w:tc>
          <w:tcPr>
            <w:tcW w:w="1869" w:type="dxa"/>
            <w:vAlign w:val="center"/>
          </w:tcPr>
          <w:p w:rsidR="0015213F" w:rsidRPr="00967E8D" w:rsidRDefault="0015213F" w:rsidP="0015213F">
            <w:pPr>
              <w:ind w:left="49" w:right="117"/>
              <w:jc w:val="right"/>
              <w:rPr>
                <w:rFonts w:eastAsia="宋体" w:cs="Times New Roman"/>
                <w:sz w:val="18"/>
                <w:szCs w:val="18"/>
              </w:rPr>
            </w:pPr>
            <w:r w:rsidRPr="00FE2C30">
              <w:rPr>
                <w:rFonts w:eastAsia="宋体" w:cs="Times New Roman"/>
                <w:sz w:val="18"/>
                <w:szCs w:val="18"/>
              </w:rPr>
              <w:t xml:space="preserve">7,953,661.68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1,136,767.80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6,816,893.88 </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15213F" w:rsidRPr="00A71D2E" w:rsidRDefault="0015213F" w:rsidP="0015213F">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年至</w:t>
            </w:r>
            <w:r w:rsidRPr="00967E8D">
              <w:rPr>
                <w:rFonts w:eastAsia="宋体" w:cs="Times New Roman" w:hint="eastAsia"/>
                <w:sz w:val="18"/>
                <w:szCs w:val="18"/>
              </w:rPr>
              <w:t>2</w:t>
            </w:r>
            <w:r w:rsidRPr="00967E8D">
              <w:rPr>
                <w:rFonts w:eastAsia="宋体" w:cs="Times New Roman" w:hint="eastAsia"/>
                <w:sz w:val="18"/>
                <w:szCs w:val="18"/>
              </w:rPr>
              <w:t>年</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30.74 </w:t>
            </w:r>
          </w:p>
        </w:tc>
        <w:tc>
          <w:tcPr>
            <w:tcW w:w="1869" w:type="dxa"/>
            <w:vAlign w:val="center"/>
          </w:tcPr>
          <w:p w:rsidR="0015213F" w:rsidRPr="00967E8D" w:rsidRDefault="0015213F" w:rsidP="0015213F">
            <w:pPr>
              <w:ind w:left="49" w:right="117"/>
              <w:jc w:val="right"/>
              <w:rPr>
                <w:rFonts w:eastAsia="宋体" w:cs="Times New Roman"/>
                <w:sz w:val="18"/>
                <w:szCs w:val="18"/>
              </w:rPr>
            </w:pPr>
            <w:r w:rsidRPr="00FE2C30">
              <w:rPr>
                <w:rFonts w:eastAsia="宋体" w:cs="Times New Roman"/>
                <w:sz w:val="18"/>
                <w:szCs w:val="18"/>
              </w:rPr>
              <w:t xml:space="preserve">169,711.06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52,176.71 </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117,534.35 </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15213F" w:rsidRPr="00A71D2E" w:rsidRDefault="0015213F" w:rsidP="0015213F">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2</w:t>
            </w:r>
            <w:r w:rsidRPr="00967E8D">
              <w:rPr>
                <w:rFonts w:eastAsia="宋体" w:cs="Times New Roman" w:hint="eastAsia"/>
                <w:sz w:val="18"/>
                <w:szCs w:val="18"/>
              </w:rPr>
              <w:t>年至</w:t>
            </w:r>
            <w:r w:rsidRPr="00967E8D">
              <w:rPr>
                <w:rFonts w:eastAsia="宋体" w:cs="Times New Roman" w:hint="eastAsia"/>
                <w:sz w:val="18"/>
                <w:szCs w:val="18"/>
              </w:rPr>
              <w:t>3</w:t>
            </w:r>
            <w:r w:rsidRPr="00967E8D">
              <w:rPr>
                <w:rFonts w:eastAsia="宋体" w:cs="Times New Roman" w:hint="eastAsia"/>
                <w:sz w:val="18"/>
                <w:szCs w:val="18"/>
              </w:rPr>
              <w:t>年</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100.00 </w:t>
            </w:r>
          </w:p>
        </w:tc>
        <w:tc>
          <w:tcPr>
            <w:tcW w:w="1869" w:type="dxa"/>
            <w:vAlign w:val="center"/>
          </w:tcPr>
          <w:p w:rsidR="0015213F" w:rsidRPr="00967E8D" w:rsidRDefault="0015213F" w:rsidP="0015213F">
            <w:pPr>
              <w:ind w:left="49" w:right="117"/>
              <w:jc w:val="right"/>
              <w:rPr>
                <w:rFonts w:eastAsia="宋体" w:cs="Times New Roman"/>
                <w:sz w:val="18"/>
                <w:szCs w:val="18"/>
              </w:rPr>
            </w:pPr>
            <w:r w:rsidRPr="00FE2C30">
              <w:rPr>
                <w:rFonts w:eastAsia="宋体" w:cs="Times New Roman"/>
                <w:sz w:val="18"/>
                <w:szCs w:val="18"/>
              </w:rPr>
              <w:t>156.42</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156.42</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Pr>
                <w:rFonts w:eastAsia="宋体" w:cs="Times New Roman"/>
                <w:sz w:val="18"/>
                <w:szCs w:val="18"/>
              </w:rPr>
              <w:t>-    </w:t>
            </w:r>
            <w:r w:rsidRPr="00FE2C30">
              <w:rPr>
                <w:rFonts w:eastAsia="宋体" w:cs="Times New Roman"/>
                <w:sz w:val="18"/>
                <w:szCs w:val="18"/>
              </w:rPr>
              <w:t xml:space="preserve"> </w:t>
            </w:r>
          </w:p>
        </w:tc>
      </w:tr>
      <w:tr w:rsidR="0015213F"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15213F" w:rsidRPr="00A71D2E" w:rsidRDefault="0015213F" w:rsidP="0015213F">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3</w:t>
            </w:r>
            <w:r w:rsidRPr="00967E8D">
              <w:rPr>
                <w:rFonts w:eastAsia="宋体" w:cs="Times New Roman" w:hint="eastAsia"/>
                <w:sz w:val="18"/>
                <w:szCs w:val="18"/>
              </w:rPr>
              <w:t>年以上</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 100.00 </w:t>
            </w:r>
          </w:p>
        </w:tc>
        <w:tc>
          <w:tcPr>
            <w:tcW w:w="1869" w:type="dxa"/>
            <w:vAlign w:val="center"/>
          </w:tcPr>
          <w:p w:rsidR="0015213F" w:rsidRPr="00967E8D" w:rsidRDefault="0015213F" w:rsidP="0015213F">
            <w:pPr>
              <w:ind w:left="49" w:right="117"/>
              <w:jc w:val="right"/>
              <w:rPr>
                <w:rFonts w:eastAsia="宋体" w:cs="Times New Roman"/>
                <w:sz w:val="18"/>
                <w:szCs w:val="18"/>
              </w:rPr>
            </w:pPr>
            <w:r w:rsidRPr="00FE2C30">
              <w:rPr>
                <w:rFonts w:eastAsia="宋体" w:cs="Times New Roman"/>
                <w:sz w:val="18"/>
                <w:szCs w:val="18"/>
              </w:rPr>
              <w:t>6,583.33</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6,583.33</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Pr>
                <w:rFonts w:eastAsia="宋体" w:cs="Times New Roman"/>
                <w:sz w:val="18"/>
                <w:szCs w:val="18"/>
              </w:rPr>
              <w:t>-    </w:t>
            </w:r>
            <w:r w:rsidRPr="00FE2C30">
              <w:rPr>
                <w:rFonts w:eastAsia="宋体" w:cs="Times New Roman"/>
                <w:sz w:val="18"/>
                <w:szCs w:val="18"/>
              </w:rPr>
              <w:t xml:space="preserve"> </w:t>
            </w:r>
          </w:p>
        </w:tc>
      </w:tr>
      <w:tr w:rsidR="0015213F" w:rsidRPr="00A71D2E" w:rsidTr="0027505B">
        <w:trPr>
          <w:trHeight w:val="20"/>
        </w:trPr>
        <w:tc>
          <w:tcPr>
            <w:tcW w:w="1974" w:type="dxa"/>
            <w:shd w:val="clear" w:color="auto" w:fill="D9D9D9" w:themeFill="background1" w:themeFillShade="D9"/>
            <w:tcMar>
              <w:top w:w="0" w:type="dxa"/>
              <w:left w:w="108" w:type="dxa"/>
              <w:bottom w:w="0" w:type="dxa"/>
              <w:right w:w="108" w:type="dxa"/>
            </w:tcMar>
            <w:vAlign w:val="center"/>
            <w:hideMark/>
          </w:tcPr>
          <w:p w:rsidR="0015213F" w:rsidRPr="00A71D2E" w:rsidRDefault="0015213F" w:rsidP="0015213F">
            <w:pPr>
              <w:rPr>
                <w:rFonts w:eastAsia="宋体" w:cs="Times New Roman"/>
                <w:bCs/>
                <w:sz w:val="18"/>
                <w:szCs w:val="18"/>
              </w:rPr>
            </w:pPr>
            <w:r w:rsidRPr="00A71D2E">
              <w:rPr>
                <w:rFonts w:eastAsia="宋体" w:cs="Times New Roman" w:hint="eastAsia"/>
                <w:bCs/>
                <w:sz w:val="18"/>
                <w:szCs w:val="18"/>
              </w:rPr>
              <w:t>合计</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0.73 </w:t>
            </w:r>
          </w:p>
        </w:tc>
        <w:tc>
          <w:tcPr>
            <w:tcW w:w="1869" w:type="dxa"/>
            <w:vAlign w:val="center"/>
          </w:tcPr>
          <w:p w:rsidR="0015213F" w:rsidRPr="00967E8D" w:rsidRDefault="0015213F" w:rsidP="0015213F">
            <w:pPr>
              <w:ind w:left="49" w:right="117"/>
              <w:jc w:val="right"/>
              <w:rPr>
                <w:rFonts w:eastAsia="宋体" w:cs="Times New Roman"/>
                <w:sz w:val="18"/>
                <w:szCs w:val="18"/>
              </w:rPr>
            </w:pPr>
            <w:r w:rsidRPr="00FE2C30">
              <w:rPr>
                <w:rFonts w:eastAsia="宋体" w:cs="Times New Roman"/>
                <w:sz w:val="18"/>
                <w:szCs w:val="18"/>
              </w:rPr>
              <w:t>188,055,658.86</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1,376,020.86</w:t>
            </w:r>
          </w:p>
        </w:tc>
        <w:tc>
          <w:tcPr>
            <w:tcW w:w="1869" w:type="dxa"/>
            <w:shd w:val="clear" w:color="auto" w:fill="auto"/>
            <w:vAlign w:val="center"/>
          </w:tcPr>
          <w:p w:rsidR="0015213F" w:rsidRPr="00A71D2E" w:rsidRDefault="0015213F" w:rsidP="0015213F">
            <w:pPr>
              <w:ind w:left="49" w:right="117"/>
              <w:jc w:val="right"/>
              <w:rPr>
                <w:rFonts w:eastAsia="宋体" w:cs="Times New Roman"/>
                <w:sz w:val="18"/>
                <w:szCs w:val="18"/>
              </w:rPr>
            </w:pPr>
            <w:r w:rsidRPr="00FE2C30">
              <w:rPr>
                <w:rFonts w:eastAsia="宋体" w:cs="Times New Roman"/>
                <w:sz w:val="18"/>
                <w:szCs w:val="18"/>
              </w:rPr>
              <w:t xml:space="preserve">186,679,638.00 </w:t>
            </w:r>
          </w:p>
        </w:tc>
      </w:tr>
    </w:tbl>
    <w:p w:rsidR="00F13A49" w:rsidRDefault="00F13A49" w:rsidP="00F66363">
      <w:pPr>
        <w:ind w:left="720"/>
        <w:jc w:val="both"/>
        <w:rPr>
          <w:rFonts w:eastAsia="宋体" w:cs="Times New Roman"/>
          <w:szCs w:val="21"/>
        </w:rPr>
      </w:pPr>
    </w:p>
    <w:p w:rsidR="00F13A49" w:rsidRDefault="00F13A49">
      <w:pPr>
        <w:adjustRightInd/>
        <w:snapToGrid/>
        <w:rPr>
          <w:rFonts w:eastAsia="宋体" w:cs="Times New Roman"/>
          <w:szCs w:val="21"/>
        </w:rPr>
      </w:pPr>
      <w:r>
        <w:rPr>
          <w:rFonts w:eastAsia="宋体" w:cs="Times New Roman"/>
          <w:szCs w:val="21"/>
        </w:rPr>
        <w:br w:type="page"/>
      </w:r>
    </w:p>
    <w:p w:rsidR="00F13A49" w:rsidRPr="00A71D2E" w:rsidRDefault="005F14EE" w:rsidP="00F13A49">
      <w:pPr>
        <w:rPr>
          <w:rFonts w:eastAsia="宋体" w:cs="Times New Roman"/>
          <w:szCs w:val="21"/>
        </w:rPr>
      </w:pPr>
      <w:r>
        <w:rPr>
          <w:rFonts w:eastAsia="宋体" w:cs="Times New Roman"/>
          <w:b/>
          <w:szCs w:val="21"/>
        </w:rPr>
        <w:t>(</w:t>
      </w:r>
      <w:r w:rsidR="00F13A49" w:rsidRPr="00A71D2E">
        <w:rPr>
          <w:rFonts w:eastAsia="宋体" w:cs="Times New Roman" w:hint="eastAsia"/>
          <w:b/>
          <w:szCs w:val="21"/>
        </w:rPr>
        <w:t>五</w:t>
      </w:r>
      <w:r>
        <w:rPr>
          <w:rFonts w:eastAsia="宋体" w:cs="Times New Roman"/>
          <w:b/>
          <w:szCs w:val="21"/>
        </w:rPr>
        <w:t>)</w:t>
      </w:r>
      <w:r w:rsidR="00F13A49" w:rsidRPr="00A71D2E">
        <w:rPr>
          <w:rFonts w:eastAsia="宋体" w:cs="Times New Roman"/>
          <w:b/>
          <w:szCs w:val="21"/>
        </w:rPr>
        <w:tab/>
      </w:r>
      <w:r w:rsidR="00F13A49" w:rsidRPr="00A71D2E">
        <w:rPr>
          <w:rFonts w:eastAsia="宋体" w:cs="Times New Roman" w:hint="eastAsia"/>
          <w:b/>
          <w:szCs w:val="21"/>
        </w:rPr>
        <w:t>合并财务报表项目注释</w:t>
      </w:r>
      <w:r w:rsidR="00F13A49" w:rsidRPr="00A71D2E">
        <w:rPr>
          <w:rFonts w:eastAsia="宋体" w:cs="Times New Roman"/>
          <w:szCs w:val="21"/>
        </w:rPr>
        <w:t xml:space="preserve"> - </w:t>
      </w:r>
      <w:r w:rsidR="00F13A49" w:rsidRPr="00A71D2E">
        <w:rPr>
          <w:rFonts w:eastAsia="宋体" w:cs="Times New Roman" w:hint="eastAsia"/>
          <w:szCs w:val="21"/>
        </w:rPr>
        <w:t>续</w:t>
      </w:r>
    </w:p>
    <w:p w:rsidR="00F13A49" w:rsidRPr="007E2F61" w:rsidRDefault="00F13A49" w:rsidP="00F13A49">
      <w:pPr>
        <w:ind w:left="720"/>
        <w:jc w:val="both"/>
        <w:rPr>
          <w:rFonts w:eastAsia="宋体" w:cs="Times New Roman"/>
          <w:szCs w:val="21"/>
        </w:rPr>
      </w:pPr>
    </w:p>
    <w:p w:rsidR="00F13A49" w:rsidRPr="00A71D2E" w:rsidRDefault="00F13A49" w:rsidP="00F13A49">
      <w:pPr>
        <w:ind w:left="720"/>
        <w:jc w:val="both"/>
        <w:rPr>
          <w:rFonts w:eastAsia="宋体" w:cs="Times New Roman"/>
          <w:szCs w:val="21"/>
        </w:rPr>
      </w:pPr>
      <w:r>
        <w:rPr>
          <w:rFonts w:eastAsia="宋体" w:cs="Times New Roman"/>
          <w:b/>
          <w:szCs w:val="21"/>
        </w:rPr>
        <w:t>3</w:t>
      </w:r>
      <w:r w:rsidRPr="00A71D2E">
        <w:rPr>
          <w:rFonts w:eastAsia="宋体" w:cs="Times New Roman" w:hint="eastAsia"/>
          <w:b/>
          <w:szCs w:val="21"/>
        </w:rPr>
        <w:t>、</w:t>
      </w:r>
      <w:r w:rsidRPr="00A71D2E">
        <w:rPr>
          <w:rFonts w:eastAsia="宋体" w:cs="Times New Roman"/>
          <w:b/>
          <w:szCs w:val="21"/>
        </w:rPr>
        <w:tab/>
      </w:r>
      <w:r w:rsidRPr="00A71D2E">
        <w:rPr>
          <w:rFonts w:eastAsia="宋体" w:cs="Times New Roman" w:hint="eastAsia"/>
          <w:b/>
          <w:szCs w:val="21"/>
        </w:rPr>
        <w:t>应收</w:t>
      </w:r>
      <w:r>
        <w:rPr>
          <w:rFonts w:eastAsia="宋体" w:cs="Times New Roman" w:hint="eastAsia"/>
          <w:b/>
          <w:szCs w:val="21"/>
        </w:rPr>
        <w:t>账</w:t>
      </w:r>
      <w:r w:rsidRPr="00A71D2E">
        <w:rPr>
          <w:rFonts w:eastAsia="宋体" w:cs="Times New Roman" w:hint="eastAsia"/>
          <w:b/>
          <w:szCs w:val="21"/>
        </w:rPr>
        <w:t>款</w:t>
      </w:r>
      <w:r w:rsidRPr="00A71D2E">
        <w:rPr>
          <w:rFonts w:eastAsia="宋体" w:cs="Times New Roman"/>
          <w:bCs/>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F13A49" w:rsidRDefault="00F13A49" w:rsidP="00F13A49">
      <w:pPr>
        <w:ind w:left="720"/>
        <w:jc w:val="both"/>
        <w:rPr>
          <w:rFonts w:eastAsia="宋体" w:cs="Times New Roman"/>
          <w:szCs w:val="21"/>
        </w:rPr>
      </w:pPr>
    </w:p>
    <w:p w:rsidR="00F13A49" w:rsidRPr="0027505B" w:rsidRDefault="005F14EE" w:rsidP="00F13A49">
      <w:pPr>
        <w:ind w:left="720"/>
        <w:jc w:val="both"/>
        <w:rPr>
          <w:rFonts w:eastAsia="宋体" w:cs="Times New Roman"/>
          <w:szCs w:val="21"/>
        </w:rPr>
      </w:pPr>
      <w:r w:rsidRPr="00C76406">
        <w:rPr>
          <w:rFonts w:eastAsia="宋体" w:cs="Times New Roman"/>
          <w:szCs w:val="21"/>
        </w:rPr>
        <w:t>(</w:t>
      </w:r>
      <w:r w:rsidR="00F13A49" w:rsidRPr="00C76406">
        <w:rPr>
          <w:rFonts w:eastAsia="宋体" w:cs="Times New Roman"/>
          <w:szCs w:val="21"/>
        </w:rPr>
        <w:t>2</w:t>
      </w:r>
      <w:r w:rsidRPr="00C76406">
        <w:rPr>
          <w:rFonts w:eastAsia="宋体" w:cs="Times New Roman"/>
          <w:szCs w:val="21"/>
        </w:rPr>
        <w:t>)</w:t>
      </w:r>
      <w:r w:rsidR="00F13A49" w:rsidRPr="00C76406">
        <w:rPr>
          <w:rFonts w:eastAsia="宋体" w:cs="Times New Roman"/>
          <w:szCs w:val="21"/>
        </w:rPr>
        <w:tab/>
      </w:r>
      <w:r w:rsidR="00F13A49" w:rsidRPr="00C76406">
        <w:rPr>
          <w:rFonts w:eastAsia="宋体" w:cs="Times New Roman" w:hint="eastAsia"/>
          <w:szCs w:val="21"/>
        </w:rPr>
        <w:t>按坏账准备计提方法分类披露</w:t>
      </w:r>
      <w:r w:rsidR="00F13A49" w:rsidRPr="00C76406">
        <w:rPr>
          <w:rFonts w:eastAsia="宋体" w:cs="Times New Roman"/>
          <w:szCs w:val="21"/>
        </w:rPr>
        <w:t xml:space="preserve"> - </w:t>
      </w:r>
      <w:r w:rsidR="00F13A49" w:rsidRPr="00C76406">
        <w:rPr>
          <w:rFonts w:eastAsia="宋体" w:cs="Times New Roman" w:hint="eastAsia"/>
          <w:szCs w:val="21"/>
        </w:rPr>
        <w:t>续</w:t>
      </w:r>
    </w:p>
    <w:p w:rsidR="0015213F" w:rsidRDefault="0015213F" w:rsidP="00F66363">
      <w:pPr>
        <w:ind w:left="720"/>
        <w:jc w:val="both"/>
        <w:rPr>
          <w:rFonts w:eastAsia="宋体" w:cs="Times New Roman"/>
          <w:szCs w:val="21"/>
        </w:rPr>
      </w:pPr>
    </w:p>
    <w:p w:rsidR="00E36439" w:rsidRDefault="00E36439" w:rsidP="00E36439">
      <w:pPr>
        <w:ind w:left="720"/>
        <w:jc w:val="both"/>
        <w:rPr>
          <w:rFonts w:eastAsia="宋体" w:cs="Times New Roman"/>
          <w:szCs w:val="21"/>
        </w:rPr>
      </w:pPr>
      <w:r w:rsidRPr="00A71D2E">
        <w:rPr>
          <w:rFonts w:eastAsia="宋体" w:cs="Times New Roman" w:hint="eastAsia"/>
          <w:szCs w:val="21"/>
        </w:rPr>
        <w:t>按</w:t>
      </w:r>
      <w:r>
        <w:rPr>
          <w:rFonts w:eastAsia="宋体" w:cs="Times New Roman" w:hint="eastAsia"/>
          <w:szCs w:val="21"/>
        </w:rPr>
        <w:t>组合</w:t>
      </w:r>
      <w:r w:rsidRPr="00A71D2E">
        <w:rPr>
          <w:rFonts w:eastAsia="宋体" w:cs="Times New Roman" w:hint="eastAsia"/>
          <w:szCs w:val="21"/>
        </w:rPr>
        <w:t>计提</w:t>
      </w:r>
      <w:r>
        <w:rPr>
          <w:rFonts w:eastAsia="宋体" w:cs="Times New Roman" w:hint="eastAsia"/>
          <w:szCs w:val="21"/>
        </w:rPr>
        <w:t>坏账</w:t>
      </w:r>
      <w:r w:rsidRPr="00A71D2E">
        <w:rPr>
          <w:rFonts w:eastAsia="宋体" w:cs="Times New Roman" w:hint="eastAsia"/>
          <w:szCs w:val="21"/>
        </w:rPr>
        <w:t>准备</w:t>
      </w:r>
      <w:r>
        <w:rPr>
          <w:rFonts w:eastAsia="宋体" w:cs="Times New Roman" w:hint="eastAsia"/>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E36439" w:rsidRDefault="00E36439" w:rsidP="00F66363">
      <w:pPr>
        <w:ind w:left="720"/>
        <w:jc w:val="both"/>
        <w:rPr>
          <w:rFonts w:eastAsia="宋体" w:cs="Times New Roman"/>
          <w:szCs w:val="21"/>
        </w:rPr>
      </w:pPr>
    </w:p>
    <w:p w:rsidR="00736C63" w:rsidRDefault="007D47F9">
      <w:pPr>
        <w:ind w:left="720"/>
        <w:jc w:val="both"/>
        <w:rPr>
          <w:rFonts w:eastAsia="宋体" w:cs="Times New Roman"/>
          <w:szCs w:val="21"/>
        </w:rPr>
      </w:pPr>
      <w:r w:rsidRPr="00A71D2E">
        <w:rPr>
          <w:rFonts w:eastAsia="宋体" w:cs="Times New Roman" w:hint="eastAsia"/>
          <w:szCs w:val="21"/>
        </w:rPr>
        <w:t>组合</w:t>
      </w:r>
      <w:r w:rsidR="008805D6">
        <w:rPr>
          <w:rFonts w:eastAsia="宋体" w:cs="Times New Roman" w:hint="eastAsia"/>
          <w:szCs w:val="21"/>
        </w:rPr>
        <w:t>C</w:t>
      </w:r>
      <w:r w:rsidRPr="00A71D2E">
        <w:rPr>
          <w:rFonts w:eastAsia="宋体" w:cs="Times New Roman" w:hint="eastAsia"/>
          <w:szCs w:val="21"/>
        </w:rPr>
        <w:t>的应收账款的信用风险与</w:t>
      </w:r>
      <w:r w:rsidR="00785CFB">
        <w:rPr>
          <w:rFonts w:eastAsia="宋体" w:cs="Times New Roman" w:hint="eastAsia"/>
          <w:szCs w:val="21"/>
        </w:rPr>
        <w:t>坏账</w:t>
      </w:r>
      <w:r w:rsidR="00423BD2" w:rsidRPr="00A71D2E">
        <w:rPr>
          <w:rFonts w:eastAsia="宋体" w:cs="Times New Roman" w:hint="eastAsia"/>
          <w:szCs w:val="21"/>
        </w:rPr>
        <w:t>准备</w:t>
      </w:r>
      <w:r w:rsidRPr="00A71D2E">
        <w:rPr>
          <w:rFonts w:eastAsia="宋体" w:cs="Times New Roman" w:hint="eastAsia"/>
          <w:szCs w:val="21"/>
        </w:rPr>
        <w:t>情况如下</w:t>
      </w:r>
      <w:r w:rsidR="005F14EE">
        <w:rPr>
          <w:rFonts w:eastAsia="宋体" w:cs="Times New Roman" w:hint="eastAsia"/>
          <w:szCs w:val="21"/>
        </w:rPr>
        <w:t>：</w:t>
      </w:r>
    </w:p>
    <w:p w:rsidR="00F13A49" w:rsidRPr="00A71D2E" w:rsidRDefault="00F13A49" w:rsidP="00F13A49">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74"/>
        <w:gridCol w:w="1869"/>
        <w:gridCol w:w="1869"/>
        <w:gridCol w:w="1869"/>
        <w:gridCol w:w="1869"/>
      </w:tblGrid>
      <w:tr w:rsidR="00F13A49" w:rsidRPr="00A71D2E" w:rsidTr="0027505B">
        <w:trPr>
          <w:trHeight w:val="20"/>
        </w:trPr>
        <w:tc>
          <w:tcPr>
            <w:tcW w:w="1974" w:type="dxa"/>
            <w:vMerge w:val="restart"/>
            <w:shd w:val="clear" w:color="auto" w:fill="D9D9D9" w:themeFill="background1" w:themeFillShade="D9"/>
            <w:tcMar>
              <w:top w:w="0" w:type="dxa"/>
              <w:left w:w="108" w:type="dxa"/>
              <w:bottom w:w="0" w:type="dxa"/>
              <w:right w:w="108" w:type="dxa"/>
            </w:tcMar>
            <w:vAlign w:val="center"/>
            <w:hideMark/>
          </w:tcPr>
          <w:p w:rsidR="00F13A49" w:rsidRPr="00A71D2E" w:rsidRDefault="00F13A49" w:rsidP="00E456AF">
            <w:pPr>
              <w:jc w:val="center"/>
              <w:rPr>
                <w:rFonts w:eastAsia="宋体" w:cs="Times New Roman"/>
                <w:sz w:val="18"/>
                <w:szCs w:val="18"/>
              </w:rPr>
            </w:pPr>
            <w:r w:rsidRPr="00A71D2E">
              <w:rPr>
                <w:rFonts w:eastAsia="宋体" w:cs="Times New Roman" w:hint="eastAsia"/>
                <w:sz w:val="18"/>
                <w:szCs w:val="18"/>
              </w:rPr>
              <w:t>账龄</w:t>
            </w:r>
          </w:p>
        </w:tc>
        <w:tc>
          <w:tcPr>
            <w:tcW w:w="7476" w:type="dxa"/>
            <w:gridSpan w:val="4"/>
            <w:shd w:val="clear" w:color="auto" w:fill="D9D9D9" w:themeFill="background1" w:themeFillShade="D9"/>
            <w:vAlign w:val="center"/>
          </w:tcPr>
          <w:p w:rsidR="00F13A49" w:rsidRPr="00A71D2E" w:rsidRDefault="00F13A49" w:rsidP="00E456AF">
            <w:pPr>
              <w:ind w:left="31" w:right="93"/>
              <w:jc w:val="center"/>
              <w:rPr>
                <w:rFonts w:eastAsia="宋体" w:cs="Times New Roman"/>
                <w:sz w:val="18"/>
                <w:szCs w:val="18"/>
              </w:rPr>
            </w:pPr>
            <w:r w:rsidRPr="00A71D2E">
              <w:rPr>
                <w:rFonts w:eastAsia="宋体" w:cs="Times New Roman" w:hint="eastAsia"/>
                <w:sz w:val="18"/>
                <w:szCs w:val="18"/>
              </w:rPr>
              <w:t>年末余额</w:t>
            </w:r>
          </w:p>
        </w:tc>
      </w:tr>
      <w:tr w:rsidR="00F13A49" w:rsidRPr="00A71D2E" w:rsidTr="0027505B">
        <w:trPr>
          <w:trHeight w:val="20"/>
        </w:trPr>
        <w:tc>
          <w:tcPr>
            <w:tcW w:w="1974" w:type="dxa"/>
            <w:vMerge/>
            <w:shd w:val="clear" w:color="auto" w:fill="D9D9D9" w:themeFill="background1" w:themeFillShade="D9"/>
            <w:tcMar>
              <w:top w:w="0" w:type="dxa"/>
              <w:left w:w="108" w:type="dxa"/>
              <w:bottom w:w="0" w:type="dxa"/>
              <w:right w:w="108" w:type="dxa"/>
            </w:tcMar>
            <w:vAlign w:val="center"/>
            <w:hideMark/>
          </w:tcPr>
          <w:p w:rsidR="00F13A49" w:rsidRPr="00A71D2E" w:rsidRDefault="00F13A49" w:rsidP="00E456AF">
            <w:pPr>
              <w:jc w:val="center"/>
              <w:rPr>
                <w:rFonts w:eastAsia="宋体" w:cs="Times New Roman"/>
                <w:sz w:val="18"/>
                <w:szCs w:val="18"/>
              </w:rPr>
            </w:pPr>
          </w:p>
        </w:tc>
        <w:tc>
          <w:tcPr>
            <w:tcW w:w="1869" w:type="dxa"/>
            <w:shd w:val="clear" w:color="auto" w:fill="D9D9D9" w:themeFill="background1" w:themeFillShade="D9"/>
            <w:vAlign w:val="center"/>
          </w:tcPr>
          <w:p w:rsidR="00F13A49" w:rsidRDefault="00F13A49" w:rsidP="00E456AF">
            <w:pPr>
              <w:ind w:left="49" w:right="90"/>
              <w:jc w:val="center"/>
              <w:rPr>
                <w:rFonts w:eastAsia="宋体" w:cs="Times New Roman"/>
                <w:sz w:val="18"/>
                <w:szCs w:val="18"/>
              </w:rPr>
            </w:pPr>
            <w:r>
              <w:rPr>
                <w:rFonts w:eastAsia="宋体" w:cs="Times New Roman" w:hint="eastAsia"/>
                <w:sz w:val="18"/>
                <w:szCs w:val="18"/>
              </w:rPr>
              <w:t>预期平均损失率</w:t>
            </w:r>
          </w:p>
          <w:p w:rsidR="00F13A49" w:rsidRPr="00A71D2E" w:rsidRDefault="005F14EE" w:rsidP="00E456AF">
            <w:pPr>
              <w:ind w:left="49" w:right="90"/>
              <w:jc w:val="center"/>
              <w:rPr>
                <w:rFonts w:eastAsia="宋体" w:cs="Times New Roman"/>
                <w:sz w:val="18"/>
                <w:szCs w:val="18"/>
              </w:rPr>
            </w:pPr>
            <w:r>
              <w:rPr>
                <w:rFonts w:eastAsia="宋体" w:cs="Times New Roman" w:hint="eastAsia"/>
                <w:sz w:val="18"/>
                <w:szCs w:val="18"/>
              </w:rPr>
              <w:t>(</w:t>
            </w:r>
            <w:r w:rsidR="00F13A49">
              <w:rPr>
                <w:rFonts w:eastAsia="宋体" w:cs="Times New Roman"/>
                <w:sz w:val="18"/>
                <w:szCs w:val="18"/>
              </w:rPr>
              <w:t>%</w:t>
            </w:r>
            <w:r>
              <w:rPr>
                <w:rFonts w:eastAsia="宋体" w:cs="Times New Roman"/>
                <w:sz w:val="18"/>
                <w:szCs w:val="18"/>
              </w:rPr>
              <w:t>)</w:t>
            </w:r>
          </w:p>
        </w:tc>
        <w:tc>
          <w:tcPr>
            <w:tcW w:w="1869" w:type="dxa"/>
            <w:shd w:val="clear" w:color="auto" w:fill="D9D9D9"/>
            <w:vAlign w:val="center"/>
          </w:tcPr>
          <w:p w:rsidR="00F13A49" w:rsidRDefault="00F13A49" w:rsidP="00E456AF">
            <w:pPr>
              <w:ind w:left="49" w:right="90"/>
              <w:jc w:val="center"/>
              <w:rPr>
                <w:rFonts w:eastAsia="宋体" w:cs="Times New Roman"/>
                <w:sz w:val="18"/>
                <w:szCs w:val="18"/>
              </w:rPr>
            </w:pPr>
            <w:r>
              <w:rPr>
                <w:rFonts w:eastAsia="宋体" w:cs="Times New Roman" w:hint="eastAsia"/>
                <w:sz w:val="18"/>
                <w:szCs w:val="18"/>
              </w:rPr>
              <w:t>账面余额</w:t>
            </w:r>
          </w:p>
        </w:tc>
        <w:tc>
          <w:tcPr>
            <w:tcW w:w="1869" w:type="dxa"/>
            <w:shd w:val="clear" w:color="auto" w:fill="D9D9D9"/>
            <w:vAlign w:val="center"/>
          </w:tcPr>
          <w:p w:rsidR="00F13A49" w:rsidRPr="00A71D2E" w:rsidRDefault="00F13A49" w:rsidP="00E456AF">
            <w:pPr>
              <w:ind w:left="49" w:right="90"/>
              <w:jc w:val="center"/>
              <w:rPr>
                <w:rFonts w:eastAsia="宋体" w:cs="Times New Roman"/>
                <w:sz w:val="18"/>
                <w:szCs w:val="18"/>
              </w:rPr>
            </w:pPr>
            <w:r>
              <w:rPr>
                <w:rFonts w:eastAsia="宋体" w:cs="Times New Roman" w:hint="eastAsia"/>
                <w:sz w:val="18"/>
                <w:szCs w:val="18"/>
              </w:rPr>
              <w:t>坏账准备</w:t>
            </w:r>
          </w:p>
        </w:tc>
        <w:tc>
          <w:tcPr>
            <w:tcW w:w="1869" w:type="dxa"/>
            <w:shd w:val="clear" w:color="auto" w:fill="D9D9D9" w:themeFill="background1" w:themeFillShade="D9"/>
            <w:vAlign w:val="center"/>
          </w:tcPr>
          <w:p w:rsidR="00F13A49" w:rsidRPr="00A71D2E" w:rsidRDefault="00F13A49" w:rsidP="00E456AF">
            <w:pPr>
              <w:ind w:left="49" w:right="90"/>
              <w:jc w:val="center"/>
              <w:rPr>
                <w:rFonts w:eastAsia="宋体" w:cs="Times New Roman"/>
                <w:sz w:val="18"/>
                <w:szCs w:val="18"/>
              </w:rPr>
            </w:pPr>
            <w:r>
              <w:rPr>
                <w:rFonts w:eastAsia="宋体" w:cs="Times New Roman"/>
                <w:sz w:val="18"/>
                <w:szCs w:val="18"/>
              </w:rPr>
              <w:t>账面价值</w:t>
            </w:r>
          </w:p>
        </w:tc>
      </w:tr>
      <w:tr w:rsidR="00F13A49"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F13A49" w:rsidRPr="00A71D2E" w:rsidRDefault="00F13A49" w:rsidP="00F13A49">
            <w:pPr>
              <w:ind w:left="-18" w:right="87"/>
              <w:rPr>
                <w:rFonts w:eastAsia="宋体" w:cs="Times New Roman"/>
                <w:sz w:val="18"/>
                <w:szCs w:val="18"/>
              </w:rPr>
            </w:pPr>
            <w:r w:rsidRPr="00A71D2E">
              <w:rPr>
                <w:rFonts w:eastAsia="宋体" w:cs="Times New Roman" w:hint="eastAsia"/>
                <w:sz w:val="18"/>
                <w:szCs w:val="18"/>
              </w:rPr>
              <w:t>信用期内</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0.14 </w:t>
            </w:r>
          </w:p>
        </w:tc>
        <w:tc>
          <w:tcPr>
            <w:tcW w:w="1869" w:type="dxa"/>
            <w:vAlign w:val="center"/>
          </w:tcPr>
          <w:p w:rsidR="00F13A49" w:rsidRPr="00967E8D" w:rsidRDefault="00F13A49" w:rsidP="00F13A49">
            <w:pPr>
              <w:ind w:left="49" w:right="117"/>
              <w:jc w:val="right"/>
              <w:rPr>
                <w:rFonts w:eastAsia="宋体" w:cs="Times New Roman"/>
                <w:sz w:val="18"/>
                <w:szCs w:val="18"/>
              </w:rPr>
            </w:pPr>
            <w:r w:rsidRPr="00DA7298">
              <w:rPr>
                <w:rFonts w:eastAsia="宋体" w:cs="Times New Roman"/>
                <w:sz w:val="18"/>
                <w:szCs w:val="18"/>
              </w:rPr>
              <w:t>391,337,395.39</w:t>
            </w:r>
          </w:p>
        </w:tc>
        <w:tc>
          <w:tcPr>
            <w:tcW w:w="1869" w:type="dxa"/>
            <w:shd w:val="clear" w:color="auto" w:fill="auto"/>
            <w:vAlign w:val="center"/>
          </w:tcPr>
          <w:p w:rsidR="00F13A49" w:rsidRPr="00A71D2E" w:rsidRDefault="00F13A49" w:rsidP="00FE2C30">
            <w:pPr>
              <w:tabs>
                <w:tab w:val="left" w:pos="1344"/>
              </w:tabs>
              <w:ind w:left="49" w:right="117"/>
              <w:jc w:val="right"/>
              <w:rPr>
                <w:rFonts w:eastAsia="宋体" w:cs="Times New Roman"/>
                <w:sz w:val="18"/>
                <w:szCs w:val="18"/>
              </w:rPr>
            </w:pPr>
            <w:r w:rsidRPr="00967E8D">
              <w:rPr>
                <w:rFonts w:eastAsia="宋体" w:cs="Times New Roman"/>
                <w:sz w:val="18"/>
                <w:szCs w:val="18"/>
              </w:rPr>
              <w:t xml:space="preserve"> 556,317.99 </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F13A49">
              <w:rPr>
                <w:rFonts w:eastAsia="宋体" w:cs="Times New Roman"/>
                <w:sz w:val="18"/>
                <w:szCs w:val="18"/>
              </w:rPr>
              <w:t>390,781,077.40</w:t>
            </w:r>
          </w:p>
        </w:tc>
      </w:tr>
      <w:tr w:rsidR="00F13A49"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F13A49" w:rsidRPr="00A71D2E" w:rsidRDefault="00F13A49" w:rsidP="00F13A4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年以内</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8.71 </w:t>
            </w:r>
          </w:p>
        </w:tc>
        <w:tc>
          <w:tcPr>
            <w:tcW w:w="1869" w:type="dxa"/>
            <w:vAlign w:val="center"/>
          </w:tcPr>
          <w:p w:rsidR="00F13A49" w:rsidRPr="00967E8D" w:rsidRDefault="00F13A49" w:rsidP="00F13A49">
            <w:pPr>
              <w:ind w:left="49" w:right="117"/>
              <w:jc w:val="right"/>
              <w:rPr>
                <w:rFonts w:eastAsia="宋体" w:cs="Times New Roman"/>
                <w:sz w:val="18"/>
                <w:szCs w:val="18"/>
              </w:rPr>
            </w:pPr>
            <w:r w:rsidRPr="00967E8D">
              <w:rPr>
                <w:rFonts w:eastAsia="宋体" w:cs="Times New Roman"/>
                <w:sz w:val="18"/>
                <w:szCs w:val="18"/>
              </w:rPr>
              <w:t>39,283,138.08</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3,422,546.43 </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F13A49">
              <w:rPr>
                <w:rFonts w:eastAsia="宋体" w:cs="Times New Roman"/>
                <w:sz w:val="18"/>
                <w:szCs w:val="18"/>
              </w:rPr>
              <w:t>35,860,591.65</w:t>
            </w:r>
          </w:p>
        </w:tc>
      </w:tr>
      <w:tr w:rsidR="00F13A49"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F13A49" w:rsidRPr="00A71D2E" w:rsidRDefault="00F13A49" w:rsidP="00F13A4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年至</w:t>
            </w:r>
            <w:r w:rsidRPr="00967E8D">
              <w:rPr>
                <w:rFonts w:eastAsia="宋体" w:cs="Times New Roman" w:hint="eastAsia"/>
                <w:sz w:val="18"/>
                <w:szCs w:val="18"/>
              </w:rPr>
              <w:t>2</w:t>
            </w:r>
            <w:r w:rsidRPr="00967E8D">
              <w:rPr>
                <w:rFonts w:eastAsia="宋体" w:cs="Times New Roman" w:hint="eastAsia"/>
                <w:sz w:val="18"/>
                <w:szCs w:val="18"/>
              </w:rPr>
              <w:t>年</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100.00 </w:t>
            </w:r>
          </w:p>
        </w:tc>
        <w:tc>
          <w:tcPr>
            <w:tcW w:w="1869" w:type="dxa"/>
            <w:vAlign w:val="center"/>
          </w:tcPr>
          <w:p w:rsidR="00F13A49" w:rsidRPr="00967E8D" w:rsidRDefault="00F13A49" w:rsidP="00F13A49">
            <w:pPr>
              <w:ind w:left="49" w:right="117"/>
              <w:jc w:val="right"/>
              <w:rPr>
                <w:rFonts w:eastAsia="宋体" w:cs="Times New Roman"/>
                <w:sz w:val="18"/>
                <w:szCs w:val="18"/>
              </w:rPr>
            </w:pPr>
            <w:r w:rsidRPr="00967E8D">
              <w:rPr>
                <w:rFonts w:eastAsia="宋体" w:cs="Times New Roman"/>
                <w:sz w:val="18"/>
                <w:szCs w:val="18"/>
              </w:rPr>
              <w:t>1,454,684.46</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1,454,684.46 </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Pr>
                <w:rFonts w:eastAsia="宋体" w:cs="Times New Roman"/>
                <w:sz w:val="18"/>
                <w:szCs w:val="18"/>
              </w:rPr>
              <w:t>-    </w:t>
            </w:r>
          </w:p>
        </w:tc>
      </w:tr>
      <w:tr w:rsidR="00F13A49"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F13A49" w:rsidRPr="00A71D2E" w:rsidRDefault="00F13A49" w:rsidP="00F13A4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2</w:t>
            </w:r>
            <w:r w:rsidRPr="00967E8D">
              <w:rPr>
                <w:rFonts w:eastAsia="宋体" w:cs="Times New Roman" w:hint="eastAsia"/>
                <w:sz w:val="18"/>
                <w:szCs w:val="18"/>
              </w:rPr>
              <w:t>年至</w:t>
            </w:r>
            <w:r w:rsidRPr="00967E8D">
              <w:rPr>
                <w:rFonts w:eastAsia="宋体" w:cs="Times New Roman" w:hint="eastAsia"/>
                <w:sz w:val="18"/>
                <w:szCs w:val="18"/>
              </w:rPr>
              <w:t>3</w:t>
            </w:r>
            <w:r w:rsidRPr="00967E8D">
              <w:rPr>
                <w:rFonts w:eastAsia="宋体" w:cs="Times New Roman" w:hint="eastAsia"/>
                <w:sz w:val="18"/>
                <w:szCs w:val="18"/>
              </w:rPr>
              <w:t>年</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100.00 </w:t>
            </w:r>
          </w:p>
        </w:tc>
        <w:tc>
          <w:tcPr>
            <w:tcW w:w="1869" w:type="dxa"/>
            <w:vAlign w:val="center"/>
          </w:tcPr>
          <w:p w:rsidR="00F13A49" w:rsidRPr="00967E8D" w:rsidRDefault="00F13A49" w:rsidP="00F13A49">
            <w:pPr>
              <w:ind w:left="49" w:right="117"/>
              <w:jc w:val="right"/>
              <w:rPr>
                <w:rFonts w:eastAsia="宋体" w:cs="Times New Roman"/>
                <w:sz w:val="18"/>
                <w:szCs w:val="18"/>
              </w:rPr>
            </w:pPr>
            <w:r w:rsidRPr="00967E8D">
              <w:rPr>
                <w:rFonts w:eastAsia="宋体" w:cs="Times New Roman"/>
                <w:sz w:val="18"/>
                <w:szCs w:val="18"/>
              </w:rPr>
              <w:t>1,470,443.84</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1,470,443.84 </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Pr>
                <w:rFonts w:eastAsia="宋体" w:cs="Times New Roman"/>
                <w:sz w:val="18"/>
                <w:szCs w:val="18"/>
              </w:rPr>
              <w:t>-    </w:t>
            </w:r>
          </w:p>
        </w:tc>
      </w:tr>
      <w:tr w:rsidR="00F13A49"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F13A49" w:rsidRPr="00A71D2E" w:rsidRDefault="00F13A49" w:rsidP="00F13A4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3</w:t>
            </w:r>
            <w:r w:rsidRPr="00967E8D">
              <w:rPr>
                <w:rFonts w:eastAsia="宋体" w:cs="Times New Roman" w:hint="eastAsia"/>
                <w:sz w:val="18"/>
                <w:szCs w:val="18"/>
              </w:rPr>
              <w:t>年以上</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100.00 </w:t>
            </w:r>
          </w:p>
        </w:tc>
        <w:tc>
          <w:tcPr>
            <w:tcW w:w="1869" w:type="dxa"/>
            <w:vAlign w:val="center"/>
          </w:tcPr>
          <w:p w:rsidR="00F13A49" w:rsidRPr="00967E8D" w:rsidRDefault="00F13A49" w:rsidP="00F13A49">
            <w:pPr>
              <w:ind w:left="49" w:right="117"/>
              <w:jc w:val="right"/>
              <w:rPr>
                <w:rFonts w:eastAsia="宋体" w:cs="Times New Roman"/>
                <w:sz w:val="18"/>
                <w:szCs w:val="18"/>
              </w:rPr>
            </w:pPr>
            <w:r w:rsidRPr="00967E8D">
              <w:rPr>
                <w:rFonts w:eastAsia="宋体" w:cs="Times New Roman"/>
                <w:sz w:val="18"/>
                <w:szCs w:val="18"/>
              </w:rPr>
              <w:t>31,548.33</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31,548.33 </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Pr>
                <w:rFonts w:eastAsia="宋体" w:cs="Times New Roman"/>
                <w:sz w:val="18"/>
                <w:szCs w:val="18"/>
              </w:rPr>
              <w:t>-    </w:t>
            </w:r>
          </w:p>
        </w:tc>
      </w:tr>
      <w:tr w:rsidR="00F13A49" w:rsidRPr="00A71D2E" w:rsidTr="0027505B">
        <w:trPr>
          <w:trHeight w:val="20"/>
        </w:trPr>
        <w:tc>
          <w:tcPr>
            <w:tcW w:w="1974" w:type="dxa"/>
            <w:shd w:val="clear" w:color="auto" w:fill="D9D9D9" w:themeFill="background1" w:themeFillShade="D9"/>
            <w:tcMar>
              <w:top w:w="0" w:type="dxa"/>
              <w:left w:w="108" w:type="dxa"/>
              <w:bottom w:w="0" w:type="dxa"/>
              <w:right w:w="108" w:type="dxa"/>
            </w:tcMar>
            <w:vAlign w:val="center"/>
            <w:hideMark/>
          </w:tcPr>
          <w:p w:rsidR="00F13A49" w:rsidRPr="00A71D2E" w:rsidRDefault="00F13A49" w:rsidP="00F13A49">
            <w:pPr>
              <w:rPr>
                <w:rFonts w:eastAsia="宋体" w:cs="Times New Roman"/>
                <w:bCs/>
                <w:sz w:val="18"/>
                <w:szCs w:val="18"/>
              </w:rPr>
            </w:pPr>
            <w:r w:rsidRPr="00A71D2E">
              <w:rPr>
                <w:rFonts w:eastAsia="宋体" w:cs="Times New Roman" w:hint="eastAsia"/>
                <w:bCs/>
                <w:sz w:val="18"/>
                <w:szCs w:val="18"/>
              </w:rPr>
              <w:t>合计</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1.60 </w:t>
            </w:r>
          </w:p>
        </w:tc>
        <w:tc>
          <w:tcPr>
            <w:tcW w:w="1869" w:type="dxa"/>
            <w:vAlign w:val="center"/>
          </w:tcPr>
          <w:p w:rsidR="00F13A49" w:rsidRPr="00967E8D" w:rsidRDefault="00F13A49" w:rsidP="00F13A49">
            <w:pPr>
              <w:ind w:left="49" w:right="117"/>
              <w:jc w:val="right"/>
              <w:rPr>
                <w:rFonts w:eastAsia="宋体" w:cs="Times New Roman"/>
                <w:sz w:val="18"/>
                <w:szCs w:val="18"/>
              </w:rPr>
            </w:pPr>
            <w:r w:rsidRPr="00967E8D">
              <w:rPr>
                <w:rFonts w:eastAsia="宋体" w:cs="Times New Roman"/>
                <w:sz w:val="18"/>
                <w:szCs w:val="18"/>
              </w:rPr>
              <w:t>433,577,210.1</w:t>
            </w:r>
            <w:r>
              <w:rPr>
                <w:rFonts w:eastAsia="宋体" w:cs="Times New Roman"/>
                <w:sz w:val="18"/>
                <w:szCs w:val="18"/>
              </w:rPr>
              <w:t>0</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967E8D">
              <w:rPr>
                <w:rFonts w:eastAsia="宋体" w:cs="Times New Roman"/>
                <w:sz w:val="18"/>
                <w:szCs w:val="18"/>
              </w:rPr>
              <w:t xml:space="preserve"> 6,935,541.0</w:t>
            </w:r>
            <w:r>
              <w:rPr>
                <w:rFonts w:eastAsia="宋体" w:cs="Times New Roman"/>
                <w:sz w:val="18"/>
                <w:szCs w:val="18"/>
              </w:rPr>
              <w:t>5</w:t>
            </w:r>
            <w:r w:rsidRPr="00967E8D">
              <w:rPr>
                <w:rFonts w:eastAsia="宋体" w:cs="Times New Roman"/>
                <w:sz w:val="18"/>
                <w:szCs w:val="18"/>
              </w:rPr>
              <w:t xml:space="preserve"> </w:t>
            </w:r>
          </w:p>
        </w:tc>
        <w:tc>
          <w:tcPr>
            <w:tcW w:w="1869" w:type="dxa"/>
            <w:shd w:val="clear" w:color="auto" w:fill="auto"/>
            <w:vAlign w:val="center"/>
          </w:tcPr>
          <w:p w:rsidR="00F13A49" w:rsidRPr="00A71D2E" w:rsidRDefault="00F13A49" w:rsidP="00F13A49">
            <w:pPr>
              <w:ind w:left="49" w:right="117"/>
              <w:jc w:val="right"/>
              <w:rPr>
                <w:rFonts w:eastAsia="宋体" w:cs="Times New Roman"/>
                <w:sz w:val="18"/>
                <w:szCs w:val="18"/>
              </w:rPr>
            </w:pPr>
            <w:r w:rsidRPr="00F13A49">
              <w:rPr>
                <w:rFonts w:eastAsia="宋体" w:cs="Times New Roman"/>
                <w:sz w:val="18"/>
                <w:szCs w:val="18"/>
              </w:rPr>
              <w:t>426,641,669.05</w:t>
            </w:r>
          </w:p>
        </w:tc>
      </w:tr>
    </w:tbl>
    <w:p w:rsidR="00F13A49" w:rsidRDefault="00F13A49">
      <w:pPr>
        <w:ind w:left="720"/>
        <w:jc w:val="both"/>
        <w:rPr>
          <w:rFonts w:eastAsia="宋体" w:cs="Times New Roman"/>
          <w:szCs w:val="21"/>
        </w:rPr>
      </w:pPr>
    </w:p>
    <w:p w:rsidR="00F839C8" w:rsidRPr="00A71D2E" w:rsidRDefault="00F839C8" w:rsidP="00F839C8">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74"/>
        <w:gridCol w:w="1869"/>
        <w:gridCol w:w="1869"/>
        <w:gridCol w:w="1869"/>
        <w:gridCol w:w="1869"/>
      </w:tblGrid>
      <w:tr w:rsidR="00F839C8" w:rsidRPr="00A71D2E" w:rsidTr="0027505B">
        <w:trPr>
          <w:trHeight w:val="20"/>
        </w:trPr>
        <w:tc>
          <w:tcPr>
            <w:tcW w:w="1974" w:type="dxa"/>
            <w:vMerge w:val="restart"/>
            <w:shd w:val="clear" w:color="auto" w:fill="D9D9D9" w:themeFill="background1" w:themeFillShade="D9"/>
            <w:tcMar>
              <w:top w:w="0" w:type="dxa"/>
              <w:left w:w="108" w:type="dxa"/>
              <w:bottom w:w="0" w:type="dxa"/>
              <w:right w:w="108" w:type="dxa"/>
            </w:tcMar>
            <w:vAlign w:val="center"/>
            <w:hideMark/>
          </w:tcPr>
          <w:p w:rsidR="00F839C8" w:rsidRPr="00A71D2E" w:rsidRDefault="00F839C8" w:rsidP="00E456AF">
            <w:pPr>
              <w:jc w:val="center"/>
              <w:rPr>
                <w:rFonts w:eastAsia="宋体" w:cs="Times New Roman"/>
                <w:sz w:val="18"/>
                <w:szCs w:val="18"/>
              </w:rPr>
            </w:pPr>
            <w:r w:rsidRPr="00A71D2E">
              <w:rPr>
                <w:rFonts w:eastAsia="宋体" w:cs="Times New Roman" w:hint="eastAsia"/>
                <w:sz w:val="18"/>
                <w:szCs w:val="18"/>
              </w:rPr>
              <w:t>账龄</w:t>
            </w:r>
          </w:p>
        </w:tc>
        <w:tc>
          <w:tcPr>
            <w:tcW w:w="7476" w:type="dxa"/>
            <w:gridSpan w:val="4"/>
            <w:shd w:val="clear" w:color="auto" w:fill="D9D9D9" w:themeFill="background1" w:themeFillShade="D9"/>
            <w:vAlign w:val="center"/>
          </w:tcPr>
          <w:p w:rsidR="00F839C8" w:rsidRPr="00A71D2E" w:rsidRDefault="00F839C8" w:rsidP="00E456AF">
            <w:pPr>
              <w:ind w:left="31" w:right="93"/>
              <w:jc w:val="center"/>
              <w:rPr>
                <w:rFonts w:eastAsia="宋体" w:cs="Times New Roman"/>
                <w:sz w:val="18"/>
                <w:szCs w:val="18"/>
              </w:rPr>
            </w:pPr>
            <w:r w:rsidRPr="00A71D2E">
              <w:rPr>
                <w:rFonts w:eastAsia="宋体" w:cs="Times New Roman" w:hint="eastAsia"/>
                <w:sz w:val="18"/>
                <w:szCs w:val="18"/>
              </w:rPr>
              <w:t>年</w:t>
            </w:r>
            <w:r>
              <w:rPr>
                <w:rFonts w:eastAsia="宋体" w:cs="Times New Roman" w:hint="eastAsia"/>
                <w:sz w:val="18"/>
                <w:szCs w:val="18"/>
              </w:rPr>
              <w:t>初</w:t>
            </w:r>
            <w:r w:rsidRPr="00A71D2E">
              <w:rPr>
                <w:rFonts w:eastAsia="宋体" w:cs="Times New Roman" w:hint="eastAsia"/>
                <w:sz w:val="18"/>
                <w:szCs w:val="18"/>
              </w:rPr>
              <w:t>余额</w:t>
            </w:r>
          </w:p>
        </w:tc>
      </w:tr>
      <w:tr w:rsidR="00F839C8" w:rsidRPr="00A71D2E" w:rsidTr="0027505B">
        <w:trPr>
          <w:trHeight w:val="20"/>
        </w:trPr>
        <w:tc>
          <w:tcPr>
            <w:tcW w:w="1974" w:type="dxa"/>
            <w:vMerge/>
            <w:shd w:val="clear" w:color="auto" w:fill="D9D9D9" w:themeFill="background1" w:themeFillShade="D9"/>
            <w:tcMar>
              <w:top w:w="0" w:type="dxa"/>
              <w:left w:w="108" w:type="dxa"/>
              <w:bottom w:w="0" w:type="dxa"/>
              <w:right w:w="108" w:type="dxa"/>
            </w:tcMar>
            <w:vAlign w:val="center"/>
            <w:hideMark/>
          </w:tcPr>
          <w:p w:rsidR="00F839C8" w:rsidRPr="00A71D2E" w:rsidRDefault="00F839C8" w:rsidP="00E456AF">
            <w:pPr>
              <w:jc w:val="center"/>
              <w:rPr>
                <w:rFonts w:eastAsia="宋体" w:cs="Times New Roman"/>
                <w:sz w:val="18"/>
                <w:szCs w:val="18"/>
              </w:rPr>
            </w:pPr>
          </w:p>
        </w:tc>
        <w:tc>
          <w:tcPr>
            <w:tcW w:w="1869" w:type="dxa"/>
            <w:shd w:val="clear" w:color="auto" w:fill="D9D9D9" w:themeFill="background1" w:themeFillShade="D9"/>
            <w:vAlign w:val="center"/>
          </w:tcPr>
          <w:p w:rsidR="00F839C8" w:rsidRDefault="00F839C8" w:rsidP="00E456AF">
            <w:pPr>
              <w:ind w:left="49" w:right="90"/>
              <w:jc w:val="center"/>
              <w:rPr>
                <w:rFonts w:eastAsia="宋体" w:cs="Times New Roman"/>
                <w:sz w:val="18"/>
                <w:szCs w:val="18"/>
              </w:rPr>
            </w:pPr>
            <w:r>
              <w:rPr>
                <w:rFonts w:eastAsia="宋体" w:cs="Times New Roman" w:hint="eastAsia"/>
                <w:sz w:val="18"/>
                <w:szCs w:val="18"/>
              </w:rPr>
              <w:t>预期平均损失率</w:t>
            </w:r>
          </w:p>
          <w:p w:rsidR="00F839C8" w:rsidRPr="00A71D2E" w:rsidRDefault="005F14EE" w:rsidP="00E456AF">
            <w:pPr>
              <w:ind w:left="49" w:right="90"/>
              <w:jc w:val="center"/>
              <w:rPr>
                <w:rFonts w:eastAsia="宋体" w:cs="Times New Roman"/>
                <w:sz w:val="18"/>
                <w:szCs w:val="18"/>
              </w:rPr>
            </w:pPr>
            <w:r>
              <w:rPr>
                <w:rFonts w:eastAsia="宋体" w:cs="Times New Roman" w:hint="eastAsia"/>
                <w:sz w:val="18"/>
                <w:szCs w:val="18"/>
              </w:rPr>
              <w:t>(</w:t>
            </w:r>
            <w:r w:rsidR="00F839C8">
              <w:rPr>
                <w:rFonts w:eastAsia="宋体" w:cs="Times New Roman"/>
                <w:sz w:val="18"/>
                <w:szCs w:val="18"/>
              </w:rPr>
              <w:t>%</w:t>
            </w:r>
            <w:r>
              <w:rPr>
                <w:rFonts w:eastAsia="宋体" w:cs="Times New Roman"/>
                <w:sz w:val="18"/>
                <w:szCs w:val="18"/>
              </w:rPr>
              <w:t>)</w:t>
            </w:r>
          </w:p>
        </w:tc>
        <w:tc>
          <w:tcPr>
            <w:tcW w:w="1869" w:type="dxa"/>
            <w:shd w:val="clear" w:color="auto" w:fill="D9D9D9"/>
            <w:vAlign w:val="center"/>
          </w:tcPr>
          <w:p w:rsidR="00F839C8" w:rsidRDefault="00F839C8" w:rsidP="00E456AF">
            <w:pPr>
              <w:ind w:left="49" w:right="90"/>
              <w:jc w:val="center"/>
              <w:rPr>
                <w:rFonts w:eastAsia="宋体" w:cs="Times New Roman"/>
                <w:sz w:val="18"/>
                <w:szCs w:val="18"/>
              </w:rPr>
            </w:pPr>
            <w:r>
              <w:rPr>
                <w:rFonts w:eastAsia="宋体" w:cs="Times New Roman" w:hint="eastAsia"/>
                <w:sz w:val="18"/>
                <w:szCs w:val="18"/>
              </w:rPr>
              <w:t>账面余额</w:t>
            </w:r>
          </w:p>
        </w:tc>
        <w:tc>
          <w:tcPr>
            <w:tcW w:w="1869" w:type="dxa"/>
            <w:shd w:val="clear" w:color="auto" w:fill="D9D9D9"/>
            <w:vAlign w:val="center"/>
          </w:tcPr>
          <w:p w:rsidR="00F839C8" w:rsidRPr="00A71D2E" w:rsidRDefault="00F839C8" w:rsidP="00E456AF">
            <w:pPr>
              <w:ind w:left="49" w:right="90"/>
              <w:jc w:val="center"/>
              <w:rPr>
                <w:rFonts w:eastAsia="宋体" w:cs="Times New Roman"/>
                <w:sz w:val="18"/>
                <w:szCs w:val="18"/>
              </w:rPr>
            </w:pPr>
            <w:r>
              <w:rPr>
                <w:rFonts w:eastAsia="宋体" w:cs="Times New Roman" w:hint="eastAsia"/>
                <w:sz w:val="18"/>
                <w:szCs w:val="18"/>
              </w:rPr>
              <w:t>坏账准备</w:t>
            </w:r>
          </w:p>
        </w:tc>
        <w:tc>
          <w:tcPr>
            <w:tcW w:w="1869" w:type="dxa"/>
            <w:shd w:val="clear" w:color="auto" w:fill="D9D9D9" w:themeFill="background1" w:themeFillShade="D9"/>
            <w:vAlign w:val="center"/>
          </w:tcPr>
          <w:p w:rsidR="00F839C8" w:rsidRPr="00A71D2E" w:rsidRDefault="00F839C8" w:rsidP="00E456AF">
            <w:pPr>
              <w:ind w:left="49" w:right="90"/>
              <w:jc w:val="center"/>
              <w:rPr>
                <w:rFonts w:eastAsia="宋体" w:cs="Times New Roman"/>
                <w:sz w:val="18"/>
                <w:szCs w:val="18"/>
              </w:rPr>
            </w:pPr>
            <w:r>
              <w:rPr>
                <w:rFonts w:eastAsia="宋体" w:cs="Times New Roman"/>
                <w:sz w:val="18"/>
                <w:szCs w:val="18"/>
              </w:rPr>
              <w:t>账面价值</w:t>
            </w:r>
          </w:p>
        </w:tc>
      </w:tr>
      <w:tr w:rsidR="00F839C8"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F839C8" w:rsidRPr="00A71D2E" w:rsidRDefault="00F839C8" w:rsidP="00F839C8">
            <w:pPr>
              <w:ind w:left="-18" w:right="87"/>
              <w:rPr>
                <w:rFonts w:eastAsia="宋体" w:cs="Times New Roman"/>
                <w:sz w:val="18"/>
                <w:szCs w:val="18"/>
              </w:rPr>
            </w:pPr>
            <w:r w:rsidRPr="00A71D2E">
              <w:rPr>
                <w:rFonts w:eastAsia="宋体" w:cs="Times New Roman" w:hint="eastAsia"/>
                <w:sz w:val="18"/>
                <w:szCs w:val="18"/>
              </w:rPr>
              <w:t>信用期内</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0.11</w:t>
            </w:r>
          </w:p>
        </w:tc>
        <w:tc>
          <w:tcPr>
            <w:tcW w:w="1869" w:type="dxa"/>
            <w:vAlign w:val="center"/>
          </w:tcPr>
          <w:p w:rsidR="00F839C8" w:rsidRPr="00967E8D" w:rsidRDefault="00F839C8" w:rsidP="00F839C8">
            <w:pPr>
              <w:ind w:left="49" w:right="117"/>
              <w:jc w:val="right"/>
              <w:rPr>
                <w:rFonts w:eastAsia="宋体" w:cs="Times New Roman"/>
                <w:sz w:val="18"/>
                <w:szCs w:val="18"/>
              </w:rPr>
            </w:pPr>
            <w:r>
              <w:rPr>
                <w:rFonts w:eastAsia="等线" w:cs="Times New Roman"/>
                <w:color w:val="000000"/>
                <w:sz w:val="18"/>
                <w:szCs w:val="18"/>
              </w:rPr>
              <w:t>275,313,496.25</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302,844.85</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275,010,651.40</w:t>
            </w:r>
          </w:p>
        </w:tc>
      </w:tr>
      <w:tr w:rsidR="00F839C8" w:rsidRPr="00A71D2E" w:rsidTr="0027505B">
        <w:trPr>
          <w:trHeight w:val="20"/>
        </w:trPr>
        <w:tc>
          <w:tcPr>
            <w:tcW w:w="1974" w:type="dxa"/>
            <w:shd w:val="clear" w:color="auto" w:fill="FFFFFF" w:themeFill="background1"/>
            <w:tcMar>
              <w:top w:w="0" w:type="dxa"/>
              <w:left w:w="108" w:type="dxa"/>
              <w:bottom w:w="0" w:type="dxa"/>
              <w:right w:w="108" w:type="dxa"/>
            </w:tcMar>
            <w:vAlign w:val="center"/>
            <w:hideMark/>
          </w:tcPr>
          <w:p w:rsidR="00F839C8" w:rsidRPr="00A71D2E" w:rsidRDefault="00F839C8" w:rsidP="00F839C8">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年以内</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15.85</w:t>
            </w:r>
          </w:p>
        </w:tc>
        <w:tc>
          <w:tcPr>
            <w:tcW w:w="1869" w:type="dxa"/>
            <w:vAlign w:val="center"/>
          </w:tcPr>
          <w:p w:rsidR="00F839C8" w:rsidRPr="00967E8D" w:rsidRDefault="00F839C8" w:rsidP="00F839C8">
            <w:pPr>
              <w:ind w:left="49" w:right="117"/>
              <w:jc w:val="right"/>
              <w:rPr>
                <w:rFonts w:eastAsia="宋体" w:cs="Times New Roman"/>
                <w:sz w:val="18"/>
                <w:szCs w:val="18"/>
              </w:rPr>
            </w:pPr>
            <w:r>
              <w:rPr>
                <w:rFonts w:eastAsia="等线" w:cs="Times New Roman"/>
                <w:color w:val="000000"/>
                <w:sz w:val="18"/>
                <w:szCs w:val="18"/>
              </w:rPr>
              <w:t>12,680,188.27</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2,010,227.23</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10,669,961.04</w:t>
            </w:r>
          </w:p>
        </w:tc>
      </w:tr>
      <w:tr w:rsidR="00F839C8"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F839C8" w:rsidRPr="00A71D2E" w:rsidRDefault="00F839C8" w:rsidP="00F839C8">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年至</w:t>
            </w:r>
            <w:r w:rsidRPr="00967E8D">
              <w:rPr>
                <w:rFonts w:eastAsia="宋体" w:cs="Times New Roman" w:hint="eastAsia"/>
                <w:sz w:val="18"/>
                <w:szCs w:val="18"/>
              </w:rPr>
              <w:t>2</w:t>
            </w:r>
            <w:r w:rsidRPr="00967E8D">
              <w:rPr>
                <w:rFonts w:eastAsia="宋体" w:cs="Times New Roman" w:hint="eastAsia"/>
                <w:sz w:val="18"/>
                <w:szCs w:val="18"/>
              </w:rPr>
              <w:t>年</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100.00</w:t>
            </w:r>
          </w:p>
        </w:tc>
        <w:tc>
          <w:tcPr>
            <w:tcW w:w="1869" w:type="dxa"/>
            <w:vAlign w:val="center"/>
          </w:tcPr>
          <w:p w:rsidR="00F839C8" w:rsidRPr="00967E8D" w:rsidRDefault="00F839C8" w:rsidP="00F839C8">
            <w:pPr>
              <w:ind w:left="49" w:right="117"/>
              <w:jc w:val="right"/>
              <w:rPr>
                <w:rFonts w:eastAsia="宋体" w:cs="Times New Roman"/>
                <w:sz w:val="18"/>
                <w:szCs w:val="18"/>
              </w:rPr>
            </w:pPr>
            <w:r>
              <w:rPr>
                <w:rFonts w:eastAsia="等线" w:cs="Times New Roman"/>
                <w:color w:val="000000"/>
                <w:sz w:val="18"/>
                <w:szCs w:val="18"/>
              </w:rPr>
              <w:t>2,439,353.42</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2,439,353.42</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sidRPr="00DA3D2F">
              <w:rPr>
                <w:rFonts w:eastAsia="宋体" w:cs="Times New Roman"/>
                <w:sz w:val="18"/>
                <w:szCs w:val="18"/>
              </w:rPr>
              <w:t>-    </w:t>
            </w:r>
          </w:p>
        </w:tc>
      </w:tr>
      <w:tr w:rsidR="00F839C8"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F839C8" w:rsidRPr="00A71D2E" w:rsidRDefault="00F839C8" w:rsidP="00F839C8">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2</w:t>
            </w:r>
            <w:r w:rsidRPr="00967E8D">
              <w:rPr>
                <w:rFonts w:eastAsia="宋体" w:cs="Times New Roman" w:hint="eastAsia"/>
                <w:sz w:val="18"/>
                <w:szCs w:val="18"/>
              </w:rPr>
              <w:t>年至</w:t>
            </w:r>
            <w:r w:rsidRPr="00967E8D">
              <w:rPr>
                <w:rFonts w:eastAsia="宋体" w:cs="Times New Roman" w:hint="eastAsia"/>
                <w:sz w:val="18"/>
                <w:szCs w:val="18"/>
              </w:rPr>
              <w:t>3</w:t>
            </w:r>
            <w:r w:rsidRPr="00967E8D">
              <w:rPr>
                <w:rFonts w:eastAsia="宋体" w:cs="Times New Roman" w:hint="eastAsia"/>
                <w:sz w:val="18"/>
                <w:szCs w:val="18"/>
              </w:rPr>
              <w:t>年</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100.00</w:t>
            </w:r>
          </w:p>
        </w:tc>
        <w:tc>
          <w:tcPr>
            <w:tcW w:w="1869" w:type="dxa"/>
            <w:vAlign w:val="center"/>
          </w:tcPr>
          <w:p w:rsidR="00F839C8" w:rsidRPr="00967E8D" w:rsidRDefault="00F839C8" w:rsidP="00F839C8">
            <w:pPr>
              <w:ind w:left="49" w:right="117"/>
              <w:jc w:val="right"/>
              <w:rPr>
                <w:rFonts w:eastAsia="宋体" w:cs="Times New Roman"/>
                <w:sz w:val="18"/>
                <w:szCs w:val="18"/>
              </w:rPr>
            </w:pPr>
            <w:r>
              <w:rPr>
                <w:rFonts w:eastAsia="等线" w:cs="Times New Roman"/>
                <w:color w:val="000000"/>
                <w:sz w:val="18"/>
                <w:szCs w:val="18"/>
              </w:rPr>
              <w:t>32,338.69</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32,338.69</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sidRPr="00DA3D2F">
              <w:rPr>
                <w:rFonts w:eastAsia="宋体" w:cs="Times New Roman"/>
                <w:sz w:val="18"/>
                <w:szCs w:val="18"/>
              </w:rPr>
              <w:t>-    </w:t>
            </w:r>
          </w:p>
        </w:tc>
      </w:tr>
      <w:tr w:rsidR="00F839C8" w:rsidRPr="00A71D2E" w:rsidTr="0027505B">
        <w:trPr>
          <w:trHeight w:val="20"/>
        </w:trPr>
        <w:tc>
          <w:tcPr>
            <w:tcW w:w="1974" w:type="dxa"/>
            <w:shd w:val="clear" w:color="auto" w:fill="FFFFFF" w:themeFill="background1"/>
            <w:tcMar>
              <w:top w:w="0" w:type="dxa"/>
              <w:left w:w="108" w:type="dxa"/>
              <w:bottom w:w="0" w:type="dxa"/>
              <w:right w:w="108" w:type="dxa"/>
            </w:tcMar>
            <w:vAlign w:val="center"/>
          </w:tcPr>
          <w:p w:rsidR="00F839C8" w:rsidRPr="00A71D2E" w:rsidRDefault="00F839C8" w:rsidP="00F839C8">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3</w:t>
            </w:r>
            <w:r w:rsidRPr="00967E8D">
              <w:rPr>
                <w:rFonts w:eastAsia="宋体" w:cs="Times New Roman" w:hint="eastAsia"/>
                <w:sz w:val="18"/>
                <w:szCs w:val="18"/>
              </w:rPr>
              <w:t>年以上</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sidRPr="00144E5B">
              <w:rPr>
                <w:rFonts w:eastAsia="宋体" w:cs="Times New Roman"/>
                <w:sz w:val="18"/>
                <w:szCs w:val="18"/>
              </w:rPr>
              <w:t>-    </w:t>
            </w:r>
          </w:p>
        </w:tc>
        <w:tc>
          <w:tcPr>
            <w:tcW w:w="1869" w:type="dxa"/>
            <w:vAlign w:val="center"/>
          </w:tcPr>
          <w:p w:rsidR="00F839C8" w:rsidRPr="00967E8D" w:rsidRDefault="00F839C8" w:rsidP="00F839C8">
            <w:pPr>
              <w:ind w:left="49" w:right="117"/>
              <w:jc w:val="right"/>
              <w:rPr>
                <w:rFonts w:eastAsia="宋体" w:cs="Times New Roman"/>
                <w:sz w:val="18"/>
                <w:szCs w:val="18"/>
              </w:rPr>
            </w:pPr>
            <w:r w:rsidRPr="00144E5B">
              <w:rPr>
                <w:rFonts w:eastAsia="宋体" w:cs="Times New Roman"/>
                <w:sz w:val="18"/>
                <w:szCs w:val="18"/>
              </w:rPr>
              <w:t>-    </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sidRPr="00144E5B">
              <w:rPr>
                <w:rFonts w:eastAsia="宋体" w:cs="Times New Roman"/>
                <w:sz w:val="18"/>
                <w:szCs w:val="18"/>
              </w:rPr>
              <w:t>-    </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sidRPr="00144E5B">
              <w:rPr>
                <w:rFonts w:eastAsia="宋体" w:cs="Times New Roman"/>
                <w:sz w:val="18"/>
                <w:szCs w:val="18"/>
              </w:rPr>
              <w:t>-    </w:t>
            </w:r>
          </w:p>
        </w:tc>
      </w:tr>
      <w:tr w:rsidR="00F839C8" w:rsidRPr="00A71D2E" w:rsidTr="0027505B">
        <w:trPr>
          <w:trHeight w:val="20"/>
        </w:trPr>
        <w:tc>
          <w:tcPr>
            <w:tcW w:w="1974" w:type="dxa"/>
            <w:shd w:val="clear" w:color="auto" w:fill="D9D9D9" w:themeFill="background1" w:themeFillShade="D9"/>
            <w:tcMar>
              <w:top w:w="0" w:type="dxa"/>
              <w:left w:w="108" w:type="dxa"/>
              <w:bottom w:w="0" w:type="dxa"/>
              <w:right w:w="108" w:type="dxa"/>
            </w:tcMar>
            <w:vAlign w:val="center"/>
            <w:hideMark/>
          </w:tcPr>
          <w:p w:rsidR="00F839C8" w:rsidRPr="00A71D2E" w:rsidRDefault="00F839C8" w:rsidP="00F839C8">
            <w:pPr>
              <w:rPr>
                <w:rFonts w:eastAsia="宋体" w:cs="Times New Roman"/>
                <w:bCs/>
                <w:sz w:val="18"/>
                <w:szCs w:val="18"/>
              </w:rPr>
            </w:pPr>
            <w:r w:rsidRPr="00A71D2E">
              <w:rPr>
                <w:rFonts w:eastAsia="宋体" w:cs="Times New Roman" w:hint="eastAsia"/>
                <w:bCs/>
                <w:sz w:val="18"/>
                <w:szCs w:val="18"/>
              </w:rPr>
              <w:t>合计</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1.65</w:t>
            </w:r>
          </w:p>
        </w:tc>
        <w:tc>
          <w:tcPr>
            <w:tcW w:w="1869" w:type="dxa"/>
            <w:vAlign w:val="center"/>
          </w:tcPr>
          <w:p w:rsidR="00F839C8" w:rsidRPr="00967E8D" w:rsidRDefault="00F839C8" w:rsidP="00F839C8">
            <w:pPr>
              <w:ind w:left="49" w:right="117"/>
              <w:jc w:val="right"/>
              <w:rPr>
                <w:rFonts w:eastAsia="宋体" w:cs="Times New Roman"/>
                <w:sz w:val="18"/>
                <w:szCs w:val="18"/>
              </w:rPr>
            </w:pPr>
            <w:r>
              <w:rPr>
                <w:rFonts w:eastAsia="等线" w:cs="Times New Roman"/>
                <w:color w:val="000000"/>
                <w:sz w:val="18"/>
                <w:szCs w:val="18"/>
              </w:rPr>
              <w:t>290,465,376.63</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4,784,764.19</w:t>
            </w:r>
          </w:p>
        </w:tc>
        <w:tc>
          <w:tcPr>
            <w:tcW w:w="1869" w:type="dxa"/>
            <w:shd w:val="clear" w:color="auto" w:fill="auto"/>
            <w:vAlign w:val="center"/>
          </w:tcPr>
          <w:p w:rsidR="00F839C8" w:rsidRPr="00A71D2E" w:rsidRDefault="00F839C8" w:rsidP="00F839C8">
            <w:pPr>
              <w:ind w:left="49" w:right="117"/>
              <w:jc w:val="right"/>
              <w:rPr>
                <w:rFonts w:eastAsia="宋体" w:cs="Times New Roman"/>
                <w:sz w:val="18"/>
                <w:szCs w:val="18"/>
              </w:rPr>
            </w:pPr>
            <w:r>
              <w:rPr>
                <w:rFonts w:eastAsia="等线" w:cs="Times New Roman"/>
                <w:color w:val="000000"/>
                <w:sz w:val="18"/>
                <w:szCs w:val="18"/>
              </w:rPr>
              <w:t>285,680,612.44</w:t>
            </w:r>
          </w:p>
        </w:tc>
      </w:tr>
    </w:tbl>
    <w:p w:rsidR="00611578" w:rsidRDefault="00611578" w:rsidP="0027505B">
      <w:pPr>
        <w:ind w:left="720"/>
        <w:jc w:val="both"/>
        <w:rPr>
          <w:rFonts w:eastAsia="宋体" w:cs="Times New Roman"/>
          <w:szCs w:val="21"/>
        </w:rPr>
      </w:pPr>
    </w:p>
    <w:p w:rsidR="007D47F9" w:rsidRPr="00184E66" w:rsidRDefault="00F839C8" w:rsidP="0027505B">
      <w:pPr>
        <w:pStyle w:val="aff1"/>
        <w:numPr>
          <w:ilvl w:val="0"/>
          <w:numId w:val="7"/>
        </w:numPr>
        <w:ind w:left="1440" w:firstLineChars="0" w:hanging="720"/>
        <w:rPr>
          <w:szCs w:val="21"/>
        </w:rPr>
      </w:pPr>
      <w:r>
        <w:rPr>
          <w:rFonts w:hint="eastAsia"/>
          <w:szCs w:val="21"/>
        </w:rPr>
        <w:t>坏账</w:t>
      </w:r>
      <w:r w:rsidR="007D47F9" w:rsidRPr="00A71D2E">
        <w:rPr>
          <w:rFonts w:hint="eastAsia"/>
          <w:szCs w:val="21"/>
        </w:rPr>
        <w:t>准备情况</w:t>
      </w:r>
    </w:p>
    <w:p w:rsidR="00826F13" w:rsidRDefault="00826F13">
      <w:pPr>
        <w:ind w:left="72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18"/>
        </w:rPr>
        <w:t>人民币</w:t>
      </w:r>
      <w:r w:rsidRPr="00A71D2E">
        <w:rPr>
          <w:rFonts w:eastAsia="宋体" w:cs="Times New Roman" w:hint="eastAsia"/>
          <w:szCs w:val="21"/>
        </w:rPr>
        <w:t>元</w:t>
      </w:r>
    </w:p>
    <w:tbl>
      <w:tblPr>
        <w:tblStyle w:val="aff5"/>
        <w:tblW w:w="9445" w:type="dxa"/>
        <w:tblInd w:w="720" w:type="dxa"/>
        <w:tblLayout w:type="fixed"/>
        <w:tblLook w:val="04A0" w:firstRow="1" w:lastRow="0" w:firstColumn="1" w:lastColumn="0" w:noHBand="0" w:noVBand="1"/>
      </w:tblPr>
      <w:tblGrid>
        <w:gridCol w:w="1975"/>
        <w:gridCol w:w="1863"/>
        <w:gridCol w:w="1872"/>
        <w:gridCol w:w="1863"/>
        <w:gridCol w:w="1872"/>
      </w:tblGrid>
      <w:tr w:rsidR="0088744A" w:rsidRPr="00DA30C4" w:rsidTr="0027505B">
        <w:trPr>
          <w:trHeight w:val="20"/>
        </w:trPr>
        <w:tc>
          <w:tcPr>
            <w:tcW w:w="1975" w:type="dxa"/>
            <w:vMerge w:val="restart"/>
            <w:shd w:val="clear" w:color="auto" w:fill="D9D9D9" w:themeFill="background1" w:themeFillShade="D9"/>
            <w:vAlign w:val="center"/>
          </w:tcPr>
          <w:p w:rsidR="0088744A" w:rsidRPr="00A77152" w:rsidRDefault="0088744A" w:rsidP="00611AFA">
            <w:pPr>
              <w:jc w:val="center"/>
              <w:rPr>
                <w:rFonts w:asciiTheme="minorEastAsia" w:eastAsiaTheme="minorEastAsia" w:hAnsiTheme="minorEastAsia"/>
                <w:sz w:val="18"/>
                <w:szCs w:val="18"/>
              </w:rPr>
            </w:pPr>
            <w:r w:rsidRPr="00A77152">
              <w:rPr>
                <w:rFonts w:asciiTheme="minorEastAsia" w:hAnsiTheme="minorEastAsia" w:hint="eastAsia"/>
                <w:sz w:val="18"/>
                <w:szCs w:val="18"/>
              </w:rPr>
              <w:t>类别</w:t>
            </w:r>
          </w:p>
        </w:tc>
        <w:tc>
          <w:tcPr>
            <w:tcW w:w="1863" w:type="dxa"/>
            <w:vMerge w:val="restart"/>
            <w:shd w:val="clear" w:color="auto" w:fill="D9D9D9" w:themeFill="background1" w:themeFillShade="D9"/>
            <w:vAlign w:val="center"/>
          </w:tcPr>
          <w:p w:rsidR="0088744A" w:rsidRPr="00A77152" w:rsidRDefault="0088744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年初</w:t>
            </w:r>
            <w:r w:rsidRPr="00A77152">
              <w:rPr>
                <w:rFonts w:asciiTheme="minorEastAsia" w:hAnsiTheme="minorEastAsia" w:hint="eastAsia"/>
                <w:sz w:val="18"/>
                <w:szCs w:val="18"/>
              </w:rPr>
              <w:t>余额</w:t>
            </w:r>
          </w:p>
        </w:tc>
        <w:tc>
          <w:tcPr>
            <w:tcW w:w="3735" w:type="dxa"/>
            <w:gridSpan w:val="2"/>
            <w:shd w:val="clear" w:color="auto" w:fill="D9D9D9" w:themeFill="background1" w:themeFillShade="D9"/>
            <w:vAlign w:val="center"/>
          </w:tcPr>
          <w:p w:rsidR="0088744A" w:rsidRPr="00A77152" w:rsidRDefault="0088744A">
            <w:pPr>
              <w:jc w:val="center"/>
              <w:rPr>
                <w:rFonts w:asciiTheme="minorEastAsia" w:eastAsiaTheme="minorEastAsia" w:hAnsiTheme="minorEastAsia"/>
                <w:sz w:val="18"/>
                <w:szCs w:val="18"/>
              </w:rPr>
            </w:pPr>
            <w:r w:rsidRPr="00A77152">
              <w:rPr>
                <w:rFonts w:asciiTheme="minorEastAsia" w:hAnsiTheme="minorEastAsia" w:hint="eastAsia"/>
                <w:sz w:val="18"/>
                <w:szCs w:val="18"/>
              </w:rPr>
              <w:t>本</w:t>
            </w:r>
            <w:r w:rsidR="00BF64FA">
              <w:rPr>
                <w:rFonts w:asciiTheme="minorEastAsia" w:hAnsiTheme="minorEastAsia" w:hint="eastAsia"/>
                <w:sz w:val="18"/>
                <w:szCs w:val="18"/>
              </w:rPr>
              <w:t>年</w:t>
            </w:r>
            <w:r w:rsidRPr="00A77152">
              <w:rPr>
                <w:rFonts w:asciiTheme="minorEastAsia" w:hAnsiTheme="minorEastAsia" w:hint="eastAsia"/>
                <w:sz w:val="18"/>
                <w:szCs w:val="18"/>
              </w:rPr>
              <w:t>变动金额</w:t>
            </w:r>
          </w:p>
        </w:tc>
        <w:tc>
          <w:tcPr>
            <w:tcW w:w="1872" w:type="dxa"/>
            <w:vMerge w:val="restart"/>
            <w:shd w:val="clear" w:color="auto" w:fill="D9D9D9" w:themeFill="background1" w:themeFillShade="D9"/>
            <w:vAlign w:val="center"/>
          </w:tcPr>
          <w:p w:rsidR="0088744A" w:rsidRPr="00A77152" w:rsidRDefault="0088744A">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年末</w:t>
            </w:r>
            <w:r w:rsidRPr="00A77152">
              <w:rPr>
                <w:rFonts w:asciiTheme="minorEastAsia" w:hAnsiTheme="minorEastAsia" w:hint="eastAsia"/>
                <w:sz w:val="18"/>
                <w:szCs w:val="18"/>
              </w:rPr>
              <w:t>余额</w:t>
            </w:r>
          </w:p>
        </w:tc>
      </w:tr>
      <w:tr w:rsidR="0088744A" w:rsidRPr="00DA30C4" w:rsidTr="0027505B">
        <w:trPr>
          <w:trHeight w:val="20"/>
        </w:trPr>
        <w:tc>
          <w:tcPr>
            <w:tcW w:w="1975" w:type="dxa"/>
            <w:vMerge/>
            <w:shd w:val="clear" w:color="auto" w:fill="D9D9D9" w:themeFill="background1" w:themeFillShade="D9"/>
            <w:vAlign w:val="center"/>
          </w:tcPr>
          <w:p w:rsidR="0088744A" w:rsidRPr="00A77152" w:rsidRDefault="0088744A" w:rsidP="00611AFA">
            <w:pPr>
              <w:jc w:val="center"/>
              <w:rPr>
                <w:rFonts w:asciiTheme="minorEastAsia" w:eastAsiaTheme="minorEastAsia" w:hAnsiTheme="minorEastAsia"/>
                <w:sz w:val="18"/>
                <w:szCs w:val="18"/>
              </w:rPr>
            </w:pPr>
          </w:p>
        </w:tc>
        <w:tc>
          <w:tcPr>
            <w:tcW w:w="1863" w:type="dxa"/>
            <w:vMerge/>
            <w:shd w:val="clear" w:color="auto" w:fill="D9D9D9" w:themeFill="background1" w:themeFillShade="D9"/>
            <w:vAlign w:val="center"/>
          </w:tcPr>
          <w:p w:rsidR="0088744A" w:rsidRPr="00A77152" w:rsidRDefault="0088744A">
            <w:pPr>
              <w:jc w:val="center"/>
              <w:rPr>
                <w:rFonts w:asciiTheme="minorEastAsia" w:eastAsiaTheme="minorEastAsia" w:hAnsiTheme="minorEastAsia"/>
                <w:sz w:val="18"/>
                <w:szCs w:val="18"/>
              </w:rPr>
            </w:pPr>
          </w:p>
        </w:tc>
        <w:tc>
          <w:tcPr>
            <w:tcW w:w="1872" w:type="dxa"/>
            <w:shd w:val="clear" w:color="auto" w:fill="D9D9D9" w:themeFill="background1" w:themeFillShade="D9"/>
            <w:vAlign w:val="center"/>
          </w:tcPr>
          <w:p w:rsidR="0088744A" w:rsidRPr="00A77152" w:rsidRDefault="0088744A">
            <w:pPr>
              <w:jc w:val="center"/>
              <w:rPr>
                <w:rFonts w:asciiTheme="minorEastAsia" w:eastAsiaTheme="minorEastAsia" w:hAnsiTheme="minorEastAsia"/>
                <w:sz w:val="18"/>
                <w:szCs w:val="18"/>
              </w:rPr>
            </w:pPr>
            <w:r w:rsidRPr="00A77152">
              <w:rPr>
                <w:rFonts w:asciiTheme="minorEastAsia" w:hAnsiTheme="minorEastAsia" w:hint="eastAsia"/>
                <w:sz w:val="18"/>
                <w:szCs w:val="18"/>
              </w:rPr>
              <w:t>计提</w:t>
            </w:r>
          </w:p>
        </w:tc>
        <w:tc>
          <w:tcPr>
            <w:tcW w:w="1863" w:type="dxa"/>
            <w:shd w:val="clear" w:color="auto" w:fill="D9D9D9" w:themeFill="background1" w:themeFillShade="D9"/>
            <w:vAlign w:val="center"/>
          </w:tcPr>
          <w:p w:rsidR="0088744A" w:rsidRPr="00A77152" w:rsidRDefault="0088744A">
            <w:pPr>
              <w:jc w:val="center"/>
              <w:rPr>
                <w:rFonts w:asciiTheme="minorEastAsia" w:eastAsiaTheme="minorEastAsia" w:hAnsiTheme="minorEastAsia"/>
                <w:sz w:val="18"/>
                <w:szCs w:val="18"/>
              </w:rPr>
            </w:pPr>
            <w:r w:rsidRPr="00A77152">
              <w:rPr>
                <w:rFonts w:asciiTheme="minorEastAsia" w:hAnsiTheme="minorEastAsia" w:hint="eastAsia"/>
                <w:sz w:val="18"/>
                <w:szCs w:val="18"/>
              </w:rPr>
              <w:t>其他变动</w:t>
            </w:r>
          </w:p>
        </w:tc>
        <w:tc>
          <w:tcPr>
            <w:tcW w:w="1872" w:type="dxa"/>
            <w:vMerge/>
            <w:shd w:val="clear" w:color="auto" w:fill="D9D9D9" w:themeFill="background1" w:themeFillShade="D9"/>
            <w:vAlign w:val="center"/>
          </w:tcPr>
          <w:p w:rsidR="0088744A" w:rsidRPr="00A77152" w:rsidRDefault="0088744A">
            <w:pPr>
              <w:jc w:val="right"/>
              <w:rPr>
                <w:rFonts w:asciiTheme="minorEastAsia" w:eastAsiaTheme="minorEastAsia" w:hAnsiTheme="minorEastAsia"/>
                <w:sz w:val="18"/>
                <w:szCs w:val="18"/>
              </w:rPr>
            </w:pPr>
          </w:p>
        </w:tc>
      </w:tr>
      <w:tr w:rsidR="00DA30C4" w:rsidRPr="00DA30C4" w:rsidTr="0027505B">
        <w:trPr>
          <w:trHeight w:val="20"/>
        </w:trPr>
        <w:tc>
          <w:tcPr>
            <w:tcW w:w="1975" w:type="dxa"/>
            <w:vAlign w:val="center"/>
          </w:tcPr>
          <w:p w:rsidR="00DA30C4" w:rsidRPr="00A77152" w:rsidRDefault="00DA30C4" w:rsidP="00ED70D9">
            <w:pPr>
              <w:jc w:val="left"/>
              <w:rPr>
                <w:rFonts w:asciiTheme="minorEastAsia" w:eastAsiaTheme="minorEastAsia" w:hAnsiTheme="minorEastAsia"/>
                <w:sz w:val="18"/>
                <w:szCs w:val="18"/>
              </w:rPr>
            </w:pPr>
            <w:r w:rsidRPr="00A77152">
              <w:rPr>
                <w:rFonts w:asciiTheme="minorEastAsia" w:hAnsiTheme="minorEastAsia" w:hint="eastAsia"/>
                <w:sz w:val="18"/>
                <w:szCs w:val="18"/>
              </w:rPr>
              <w:t>应收款项</w:t>
            </w:r>
          </w:p>
        </w:tc>
        <w:tc>
          <w:tcPr>
            <w:tcW w:w="1863" w:type="dxa"/>
            <w:vAlign w:val="center"/>
          </w:tcPr>
          <w:p w:rsidR="00DA30C4" w:rsidRPr="00CB6879" w:rsidRDefault="00DA30C4" w:rsidP="0027505B">
            <w:pPr>
              <w:widowControl/>
              <w:jc w:val="right"/>
              <w:rPr>
                <w:sz w:val="18"/>
                <w:szCs w:val="18"/>
              </w:rPr>
            </w:pPr>
            <w:r w:rsidRPr="00CB6879">
              <w:rPr>
                <w:sz w:val="18"/>
                <w:szCs w:val="18"/>
              </w:rPr>
              <w:t>31,961,828.76</w:t>
            </w:r>
          </w:p>
        </w:tc>
        <w:tc>
          <w:tcPr>
            <w:tcW w:w="1872" w:type="dxa"/>
            <w:vAlign w:val="center"/>
          </w:tcPr>
          <w:p w:rsidR="00DA30C4" w:rsidRPr="00CB6879" w:rsidRDefault="00DA30C4" w:rsidP="0027505B">
            <w:pPr>
              <w:widowControl/>
              <w:jc w:val="right"/>
              <w:rPr>
                <w:sz w:val="18"/>
                <w:szCs w:val="18"/>
              </w:rPr>
            </w:pPr>
            <w:r w:rsidRPr="00CB6879">
              <w:rPr>
                <w:sz w:val="18"/>
                <w:szCs w:val="18"/>
              </w:rPr>
              <w:t>3,032,508.82</w:t>
            </w:r>
          </w:p>
        </w:tc>
        <w:tc>
          <w:tcPr>
            <w:tcW w:w="1863" w:type="dxa"/>
            <w:vAlign w:val="center"/>
          </w:tcPr>
          <w:p w:rsidR="00DA30C4" w:rsidRPr="00CB6879" w:rsidRDefault="00DA30C4" w:rsidP="0027505B">
            <w:pPr>
              <w:widowControl/>
              <w:jc w:val="right"/>
              <w:rPr>
                <w:sz w:val="18"/>
                <w:szCs w:val="18"/>
              </w:rPr>
            </w:pPr>
            <w:r w:rsidRPr="00CB6879">
              <w:rPr>
                <w:sz w:val="18"/>
                <w:szCs w:val="18"/>
              </w:rPr>
              <w:t>7,790.08</w:t>
            </w:r>
          </w:p>
        </w:tc>
        <w:tc>
          <w:tcPr>
            <w:tcW w:w="1872" w:type="dxa"/>
            <w:vAlign w:val="center"/>
          </w:tcPr>
          <w:p w:rsidR="00DA30C4" w:rsidRPr="00CB6879" w:rsidRDefault="00DA30C4" w:rsidP="0027505B">
            <w:pPr>
              <w:widowControl/>
              <w:jc w:val="right"/>
              <w:rPr>
                <w:sz w:val="18"/>
                <w:szCs w:val="18"/>
              </w:rPr>
            </w:pPr>
            <w:r w:rsidRPr="00CB6879">
              <w:rPr>
                <w:sz w:val="18"/>
                <w:szCs w:val="18"/>
              </w:rPr>
              <w:t>35,002,127.66</w:t>
            </w:r>
          </w:p>
        </w:tc>
      </w:tr>
      <w:tr w:rsidR="00DA30C4" w:rsidRPr="00DA30C4" w:rsidTr="0027505B">
        <w:trPr>
          <w:trHeight w:val="20"/>
        </w:trPr>
        <w:tc>
          <w:tcPr>
            <w:tcW w:w="1975" w:type="dxa"/>
            <w:shd w:val="clear" w:color="auto" w:fill="D9D9D9" w:themeFill="background1" w:themeFillShade="D9"/>
            <w:vAlign w:val="center"/>
          </w:tcPr>
          <w:p w:rsidR="00DA30C4" w:rsidRPr="00CB6879" w:rsidRDefault="00DA30C4" w:rsidP="0027505B">
            <w:pPr>
              <w:jc w:val="left"/>
              <w:rPr>
                <w:rFonts w:asciiTheme="minorEastAsia" w:eastAsiaTheme="minorEastAsia" w:hAnsiTheme="minorEastAsia"/>
                <w:sz w:val="18"/>
                <w:szCs w:val="18"/>
              </w:rPr>
            </w:pPr>
            <w:r w:rsidRPr="00CB6879">
              <w:rPr>
                <w:rFonts w:asciiTheme="minorEastAsia" w:hAnsiTheme="minorEastAsia" w:hint="eastAsia"/>
                <w:sz w:val="18"/>
                <w:szCs w:val="18"/>
              </w:rPr>
              <w:t>合计</w:t>
            </w:r>
          </w:p>
        </w:tc>
        <w:tc>
          <w:tcPr>
            <w:tcW w:w="1863" w:type="dxa"/>
            <w:vAlign w:val="center"/>
          </w:tcPr>
          <w:p w:rsidR="00DA30C4" w:rsidRPr="00CB6879" w:rsidRDefault="00DA30C4" w:rsidP="0027505B">
            <w:pPr>
              <w:widowControl/>
              <w:jc w:val="right"/>
              <w:rPr>
                <w:sz w:val="18"/>
                <w:szCs w:val="18"/>
              </w:rPr>
            </w:pPr>
            <w:r w:rsidRPr="00CB6879">
              <w:rPr>
                <w:sz w:val="18"/>
                <w:szCs w:val="18"/>
              </w:rPr>
              <w:t>31,961,828.76</w:t>
            </w:r>
          </w:p>
        </w:tc>
        <w:tc>
          <w:tcPr>
            <w:tcW w:w="1872" w:type="dxa"/>
            <w:vAlign w:val="center"/>
          </w:tcPr>
          <w:p w:rsidR="00DA30C4" w:rsidRPr="00CB6879" w:rsidRDefault="00DA30C4" w:rsidP="0027505B">
            <w:pPr>
              <w:widowControl/>
              <w:jc w:val="right"/>
              <w:rPr>
                <w:sz w:val="18"/>
                <w:szCs w:val="18"/>
              </w:rPr>
            </w:pPr>
            <w:r w:rsidRPr="00CB6879">
              <w:rPr>
                <w:sz w:val="18"/>
                <w:szCs w:val="18"/>
              </w:rPr>
              <w:t>3,032,508.82</w:t>
            </w:r>
          </w:p>
        </w:tc>
        <w:tc>
          <w:tcPr>
            <w:tcW w:w="1863" w:type="dxa"/>
            <w:vAlign w:val="center"/>
          </w:tcPr>
          <w:p w:rsidR="00DA30C4" w:rsidRPr="00CB6879" w:rsidRDefault="00DA30C4" w:rsidP="0027505B">
            <w:pPr>
              <w:widowControl/>
              <w:jc w:val="right"/>
              <w:rPr>
                <w:sz w:val="18"/>
                <w:szCs w:val="18"/>
              </w:rPr>
            </w:pPr>
            <w:r w:rsidRPr="00CB6879">
              <w:rPr>
                <w:sz w:val="18"/>
                <w:szCs w:val="18"/>
              </w:rPr>
              <w:t>7,790.08</w:t>
            </w:r>
          </w:p>
        </w:tc>
        <w:tc>
          <w:tcPr>
            <w:tcW w:w="1872" w:type="dxa"/>
            <w:vAlign w:val="center"/>
          </w:tcPr>
          <w:p w:rsidR="00DA30C4" w:rsidRPr="00CB6879" w:rsidRDefault="00DA30C4" w:rsidP="0027505B">
            <w:pPr>
              <w:widowControl/>
              <w:jc w:val="right"/>
              <w:rPr>
                <w:sz w:val="18"/>
                <w:szCs w:val="18"/>
              </w:rPr>
            </w:pPr>
            <w:r w:rsidRPr="00CB6879">
              <w:rPr>
                <w:sz w:val="18"/>
                <w:szCs w:val="18"/>
              </w:rPr>
              <w:t>35,002,127.66</w:t>
            </w:r>
          </w:p>
        </w:tc>
      </w:tr>
    </w:tbl>
    <w:p w:rsidR="0036327F" w:rsidRDefault="0036327F" w:rsidP="00611AFA">
      <w:pPr>
        <w:ind w:left="720"/>
        <w:rPr>
          <w:rFonts w:eastAsia="宋体" w:cs="Times New Roman"/>
          <w:szCs w:val="21"/>
        </w:rPr>
      </w:pPr>
    </w:p>
    <w:p w:rsidR="007D47F9" w:rsidRPr="00A71D2E" w:rsidRDefault="007D47F9" w:rsidP="0027505B">
      <w:pPr>
        <w:pStyle w:val="aff1"/>
        <w:numPr>
          <w:ilvl w:val="0"/>
          <w:numId w:val="7"/>
        </w:numPr>
        <w:ind w:left="1440" w:firstLineChars="0" w:hanging="720"/>
        <w:rPr>
          <w:szCs w:val="21"/>
        </w:rPr>
      </w:pPr>
      <w:r w:rsidRPr="00A71D2E">
        <w:rPr>
          <w:rFonts w:hint="eastAsia"/>
          <w:szCs w:val="21"/>
        </w:rPr>
        <w:t>按</w:t>
      </w:r>
      <w:r w:rsidRPr="00A71D2E">
        <w:rPr>
          <w:rFonts w:hint="eastAsia"/>
          <w:bCs/>
          <w:szCs w:val="21"/>
          <w:lang w:val="x-none"/>
        </w:rPr>
        <w:t>欠款</w:t>
      </w:r>
      <w:r w:rsidRPr="00A71D2E">
        <w:rPr>
          <w:rFonts w:hint="eastAsia"/>
          <w:szCs w:val="21"/>
        </w:rPr>
        <w:t>方归集的</w:t>
      </w:r>
      <w:r w:rsidR="00F602A1" w:rsidRPr="00A71D2E">
        <w:rPr>
          <w:rFonts w:hint="eastAsia"/>
          <w:szCs w:val="21"/>
        </w:rPr>
        <w:t>年</w:t>
      </w:r>
      <w:r w:rsidRPr="00A71D2E">
        <w:rPr>
          <w:rFonts w:hint="eastAsia"/>
          <w:szCs w:val="21"/>
        </w:rPr>
        <w:t>末余额前五名的应收账款情况</w:t>
      </w:r>
    </w:p>
    <w:p w:rsidR="00B127FD" w:rsidRDefault="00FD330F" w:rsidP="00CB6879">
      <w:pPr>
        <w:pStyle w:val="aff1"/>
        <w:ind w:left="1350" w:right="-28" w:firstLineChars="0" w:firstLine="0"/>
        <w:jc w:val="right"/>
        <w:rPr>
          <w:szCs w:val="21"/>
        </w:rPr>
      </w:pPr>
      <w:r w:rsidRPr="00FD330F">
        <w:rPr>
          <w:rFonts w:hint="eastAsia"/>
          <w:szCs w:val="21"/>
        </w:rPr>
        <w:t>单位</w:t>
      </w:r>
      <w:r w:rsidR="005F14EE">
        <w:rPr>
          <w:rFonts w:hint="eastAsia"/>
          <w:szCs w:val="21"/>
        </w:rPr>
        <w:t>：</w:t>
      </w:r>
      <w:r w:rsidRPr="00FD330F">
        <w:rPr>
          <w:rFonts w:hint="eastAsia"/>
          <w:szCs w:val="18"/>
        </w:rPr>
        <w:t>人民币</w:t>
      </w:r>
      <w:r w:rsidRPr="00FD330F">
        <w:rPr>
          <w:rFonts w:hint="eastAsia"/>
          <w:szCs w:val="21"/>
        </w:rPr>
        <w:t>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38"/>
        <w:gridCol w:w="1868"/>
        <w:gridCol w:w="1869"/>
        <w:gridCol w:w="1869"/>
      </w:tblGrid>
      <w:tr w:rsidR="005E3D8F" w:rsidRPr="005E06C9" w:rsidTr="0027505B">
        <w:trPr>
          <w:trHeight w:val="20"/>
        </w:trPr>
        <w:tc>
          <w:tcPr>
            <w:tcW w:w="3838" w:type="dxa"/>
            <w:shd w:val="clear" w:color="auto" w:fill="D9D9D9" w:themeFill="background1" w:themeFillShade="D9"/>
            <w:tcMar>
              <w:top w:w="0" w:type="dxa"/>
              <w:left w:w="108" w:type="dxa"/>
              <w:bottom w:w="0" w:type="dxa"/>
              <w:right w:w="108" w:type="dxa"/>
            </w:tcMar>
            <w:vAlign w:val="center"/>
            <w:hideMark/>
          </w:tcPr>
          <w:p w:rsidR="005E3D8F" w:rsidRPr="005E06C9" w:rsidRDefault="005E3D8F" w:rsidP="00E456AF">
            <w:pPr>
              <w:ind w:leftChars="86" w:left="181"/>
              <w:jc w:val="center"/>
              <w:rPr>
                <w:rFonts w:eastAsia="宋体" w:cs="Times New Roman"/>
                <w:sz w:val="18"/>
                <w:szCs w:val="18"/>
              </w:rPr>
            </w:pPr>
            <w:r w:rsidRPr="005E06C9">
              <w:rPr>
                <w:rFonts w:eastAsia="宋体" w:cs="Times New Roman" w:hint="eastAsia"/>
                <w:sz w:val="18"/>
                <w:szCs w:val="18"/>
              </w:rPr>
              <w:t>单位名称</w:t>
            </w:r>
          </w:p>
        </w:tc>
        <w:tc>
          <w:tcPr>
            <w:tcW w:w="1868" w:type="dxa"/>
            <w:shd w:val="clear" w:color="auto" w:fill="D9D9D9" w:themeFill="background1" w:themeFillShade="D9"/>
            <w:tcMar>
              <w:top w:w="0" w:type="dxa"/>
              <w:left w:w="108" w:type="dxa"/>
              <w:bottom w:w="0" w:type="dxa"/>
              <w:right w:w="108" w:type="dxa"/>
            </w:tcMar>
            <w:vAlign w:val="center"/>
            <w:hideMark/>
          </w:tcPr>
          <w:p w:rsidR="005E3D8F" w:rsidRPr="005E06C9" w:rsidRDefault="005E3D8F" w:rsidP="0027505B">
            <w:pPr>
              <w:jc w:val="center"/>
              <w:rPr>
                <w:rFonts w:eastAsia="宋体" w:cs="Times New Roman"/>
                <w:sz w:val="18"/>
                <w:szCs w:val="18"/>
              </w:rPr>
            </w:pPr>
            <w:r w:rsidRPr="005E06C9">
              <w:rPr>
                <w:rFonts w:eastAsia="宋体" w:cs="Times New Roman" w:hint="eastAsia"/>
                <w:sz w:val="18"/>
                <w:szCs w:val="18"/>
              </w:rPr>
              <w:t>年末余额</w:t>
            </w:r>
          </w:p>
        </w:tc>
        <w:tc>
          <w:tcPr>
            <w:tcW w:w="1869" w:type="dxa"/>
            <w:shd w:val="clear" w:color="auto" w:fill="D9D9D9" w:themeFill="background1" w:themeFillShade="D9"/>
            <w:vAlign w:val="center"/>
          </w:tcPr>
          <w:p w:rsidR="00FD78CF" w:rsidRDefault="005E3D8F" w:rsidP="0027505B">
            <w:pPr>
              <w:jc w:val="center"/>
              <w:rPr>
                <w:rFonts w:eastAsia="宋体" w:cs="Times New Roman"/>
                <w:sz w:val="18"/>
                <w:szCs w:val="18"/>
              </w:rPr>
            </w:pPr>
            <w:r w:rsidRPr="005E06C9">
              <w:rPr>
                <w:rFonts w:eastAsia="宋体" w:cs="Times New Roman" w:hint="eastAsia"/>
                <w:sz w:val="18"/>
                <w:szCs w:val="18"/>
              </w:rPr>
              <w:t>占应收账款年末余额</w:t>
            </w:r>
          </w:p>
          <w:p w:rsidR="005E3D8F" w:rsidRPr="005E06C9" w:rsidRDefault="005E3D8F" w:rsidP="0027505B">
            <w:pPr>
              <w:jc w:val="center"/>
              <w:rPr>
                <w:rFonts w:eastAsia="宋体" w:cs="Times New Roman"/>
                <w:sz w:val="18"/>
                <w:szCs w:val="18"/>
              </w:rPr>
            </w:pPr>
            <w:r w:rsidRPr="005E06C9">
              <w:rPr>
                <w:rFonts w:eastAsia="宋体" w:cs="Times New Roman" w:hint="eastAsia"/>
                <w:sz w:val="18"/>
                <w:szCs w:val="18"/>
              </w:rPr>
              <w:t>合计数的比例</w:t>
            </w:r>
            <w:r w:rsidR="005F14EE">
              <w:rPr>
                <w:rFonts w:eastAsia="宋体" w:cs="Times New Roman"/>
                <w:sz w:val="18"/>
                <w:szCs w:val="18"/>
              </w:rPr>
              <w:t>(</w:t>
            </w:r>
            <w:r w:rsidRPr="005E06C9">
              <w:rPr>
                <w:rFonts w:eastAsia="宋体" w:cs="Times New Roman"/>
                <w:sz w:val="18"/>
                <w:szCs w:val="18"/>
              </w:rPr>
              <w:t>%</w:t>
            </w:r>
            <w:r w:rsidR="005F14EE">
              <w:rPr>
                <w:rFonts w:eastAsia="宋体" w:cs="Times New Roman"/>
                <w:sz w:val="18"/>
                <w:szCs w:val="18"/>
              </w:rPr>
              <w:t>)</w:t>
            </w:r>
          </w:p>
        </w:tc>
        <w:tc>
          <w:tcPr>
            <w:tcW w:w="1869" w:type="dxa"/>
            <w:shd w:val="clear" w:color="auto" w:fill="D9D9D9" w:themeFill="background1" w:themeFillShade="D9"/>
            <w:tcMar>
              <w:top w:w="0" w:type="dxa"/>
              <w:left w:w="108" w:type="dxa"/>
              <w:bottom w:w="0" w:type="dxa"/>
              <w:right w:w="108" w:type="dxa"/>
            </w:tcMar>
            <w:vAlign w:val="center"/>
            <w:hideMark/>
          </w:tcPr>
          <w:p w:rsidR="005E3D8F" w:rsidRPr="005E06C9" w:rsidRDefault="00F839C8" w:rsidP="0027505B">
            <w:pPr>
              <w:ind w:leftChars="21" w:left="44"/>
              <w:jc w:val="center"/>
              <w:rPr>
                <w:rFonts w:eastAsia="宋体" w:cs="Times New Roman"/>
                <w:sz w:val="18"/>
                <w:szCs w:val="18"/>
              </w:rPr>
            </w:pPr>
            <w:r>
              <w:rPr>
                <w:rFonts w:eastAsia="宋体" w:cs="Times New Roman" w:hint="eastAsia"/>
                <w:sz w:val="18"/>
                <w:szCs w:val="18"/>
              </w:rPr>
              <w:t>坏账</w:t>
            </w:r>
            <w:r w:rsidR="005E3D8F" w:rsidRPr="005E06C9">
              <w:rPr>
                <w:rFonts w:eastAsia="宋体" w:cs="Times New Roman" w:hint="eastAsia"/>
                <w:sz w:val="18"/>
                <w:szCs w:val="18"/>
              </w:rPr>
              <w:t>准备</w:t>
            </w:r>
          </w:p>
          <w:p w:rsidR="005E3D8F" w:rsidRPr="005E06C9" w:rsidRDefault="005E3D8F" w:rsidP="0027505B">
            <w:pPr>
              <w:ind w:leftChars="21" w:left="44"/>
              <w:jc w:val="center"/>
              <w:rPr>
                <w:rFonts w:eastAsia="宋体" w:cs="Times New Roman"/>
                <w:sz w:val="18"/>
                <w:szCs w:val="18"/>
              </w:rPr>
            </w:pPr>
            <w:r w:rsidRPr="005E06C9">
              <w:rPr>
                <w:rFonts w:eastAsia="宋体" w:cs="Times New Roman" w:hint="eastAsia"/>
                <w:sz w:val="18"/>
                <w:szCs w:val="18"/>
              </w:rPr>
              <w:t>年末余额</w:t>
            </w:r>
          </w:p>
        </w:tc>
      </w:tr>
      <w:tr w:rsidR="005E3D8F" w:rsidRPr="005E06C9" w:rsidTr="0027505B">
        <w:trPr>
          <w:trHeight w:val="20"/>
        </w:trPr>
        <w:tc>
          <w:tcPr>
            <w:tcW w:w="3838" w:type="dxa"/>
            <w:tcMar>
              <w:top w:w="0" w:type="dxa"/>
              <w:left w:w="108" w:type="dxa"/>
              <w:bottom w:w="0" w:type="dxa"/>
              <w:right w:w="108" w:type="dxa"/>
            </w:tcMar>
            <w:vAlign w:val="center"/>
          </w:tcPr>
          <w:p w:rsidR="005E3D8F" w:rsidRPr="005E06C9" w:rsidRDefault="001F2003" w:rsidP="00704E2E">
            <w:pPr>
              <w:rPr>
                <w:rFonts w:eastAsia="宋体" w:cs="Times New Roman"/>
                <w:sz w:val="18"/>
                <w:szCs w:val="18"/>
              </w:rPr>
            </w:pPr>
            <w:proofErr w:type="gramStart"/>
            <w:r w:rsidRPr="001F2003">
              <w:rPr>
                <w:rFonts w:eastAsia="宋体" w:cs="Times New Roman" w:hint="eastAsia"/>
                <w:sz w:val="18"/>
                <w:szCs w:val="18"/>
              </w:rPr>
              <w:t>海康威视股份公司</w:t>
            </w:r>
            <w:proofErr w:type="gramEnd"/>
            <w:r w:rsidR="007252E8">
              <w:rPr>
                <w:rFonts w:eastAsia="宋体" w:cs="Times New Roman" w:hint="eastAsia"/>
                <w:sz w:val="18"/>
                <w:szCs w:val="18"/>
              </w:rPr>
              <w:t>及其</w:t>
            </w:r>
            <w:r w:rsidRPr="001F2003">
              <w:rPr>
                <w:rFonts w:eastAsia="宋体" w:cs="Times New Roman" w:hint="eastAsia"/>
                <w:sz w:val="18"/>
                <w:szCs w:val="18"/>
              </w:rPr>
              <w:t>下属企业</w:t>
            </w:r>
          </w:p>
        </w:tc>
        <w:tc>
          <w:tcPr>
            <w:tcW w:w="1868" w:type="dxa"/>
            <w:tcMar>
              <w:top w:w="0" w:type="dxa"/>
              <w:left w:w="108" w:type="dxa"/>
              <w:bottom w:w="0" w:type="dxa"/>
              <w:right w:w="108" w:type="dxa"/>
            </w:tcMar>
            <w:vAlign w:val="center"/>
          </w:tcPr>
          <w:p w:rsidR="005E3D8F" w:rsidRPr="005E06C9" w:rsidRDefault="000041AB" w:rsidP="0027505B">
            <w:pPr>
              <w:jc w:val="right"/>
              <w:rPr>
                <w:rFonts w:eastAsia="宋体" w:cs="Times New Roman"/>
                <w:sz w:val="18"/>
                <w:szCs w:val="18"/>
              </w:rPr>
            </w:pPr>
            <w:r w:rsidRPr="000041AB">
              <w:rPr>
                <w:rFonts w:eastAsia="宋体" w:cs="Times New Roman"/>
                <w:sz w:val="18"/>
                <w:szCs w:val="18"/>
              </w:rPr>
              <w:t>246,307,061.08</w:t>
            </w:r>
          </w:p>
        </w:tc>
        <w:tc>
          <w:tcPr>
            <w:tcW w:w="1869" w:type="dxa"/>
            <w:vAlign w:val="center"/>
          </w:tcPr>
          <w:p w:rsidR="005E3D8F" w:rsidRPr="003B7786" w:rsidRDefault="00F82F54" w:rsidP="0027505B">
            <w:pPr>
              <w:ind w:rightChars="62" w:right="130"/>
              <w:jc w:val="right"/>
              <w:rPr>
                <w:rFonts w:eastAsia="宋体" w:cs="Times New Roman"/>
                <w:sz w:val="18"/>
                <w:szCs w:val="18"/>
              </w:rPr>
            </w:pPr>
            <w:r w:rsidRPr="00F82F54">
              <w:rPr>
                <w:rFonts w:eastAsia="宋体" w:cs="Times New Roman"/>
                <w:sz w:val="18"/>
                <w:szCs w:val="18"/>
              </w:rPr>
              <w:t>27.51</w:t>
            </w:r>
          </w:p>
        </w:tc>
        <w:tc>
          <w:tcPr>
            <w:tcW w:w="1869" w:type="dxa"/>
            <w:tcMar>
              <w:top w:w="0" w:type="dxa"/>
              <w:left w:w="108" w:type="dxa"/>
              <w:bottom w:w="0" w:type="dxa"/>
              <w:right w:w="108" w:type="dxa"/>
            </w:tcMar>
            <w:vAlign w:val="center"/>
          </w:tcPr>
          <w:p w:rsidR="005E3D8F" w:rsidRPr="005E06C9" w:rsidRDefault="0093471D" w:rsidP="0027505B">
            <w:pPr>
              <w:ind w:leftChars="21" w:left="44"/>
              <w:jc w:val="right"/>
              <w:rPr>
                <w:rFonts w:eastAsia="宋体" w:cs="Times New Roman"/>
                <w:sz w:val="18"/>
                <w:szCs w:val="18"/>
              </w:rPr>
            </w:pPr>
            <w:r w:rsidRPr="0093471D">
              <w:rPr>
                <w:rFonts w:eastAsia="宋体" w:cs="Times New Roman"/>
                <w:sz w:val="18"/>
                <w:szCs w:val="18"/>
              </w:rPr>
              <w:t>3,341,126.55</w:t>
            </w:r>
          </w:p>
        </w:tc>
      </w:tr>
      <w:tr w:rsidR="0093471D" w:rsidRPr="005E06C9" w:rsidTr="0027505B">
        <w:trPr>
          <w:trHeight w:val="20"/>
        </w:trPr>
        <w:tc>
          <w:tcPr>
            <w:tcW w:w="3838" w:type="dxa"/>
            <w:tcMar>
              <w:top w:w="0" w:type="dxa"/>
              <w:left w:w="108" w:type="dxa"/>
              <w:bottom w:w="0" w:type="dxa"/>
              <w:right w:w="108" w:type="dxa"/>
            </w:tcMar>
            <w:vAlign w:val="center"/>
          </w:tcPr>
          <w:p w:rsidR="0093471D" w:rsidRPr="005E06C9" w:rsidRDefault="0093471D" w:rsidP="00704E2E">
            <w:pPr>
              <w:rPr>
                <w:rFonts w:eastAsia="宋体" w:cs="Times New Roman"/>
                <w:sz w:val="18"/>
                <w:szCs w:val="18"/>
              </w:rPr>
            </w:pPr>
            <w:r>
              <w:rPr>
                <w:rFonts w:eastAsia="宋体" w:cs="Times New Roman" w:hint="eastAsia"/>
                <w:sz w:val="18"/>
                <w:szCs w:val="18"/>
              </w:rPr>
              <w:t>第三方</w:t>
            </w:r>
            <w:r>
              <w:rPr>
                <w:rFonts w:eastAsia="宋体" w:cs="Times New Roman" w:hint="eastAsia"/>
                <w:sz w:val="18"/>
                <w:szCs w:val="18"/>
              </w:rPr>
              <w:t>A</w:t>
            </w:r>
          </w:p>
        </w:tc>
        <w:tc>
          <w:tcPr>
            <w:tcW w:w="1868" w:type="dxa"/>
            <w:tcMar>
              <w:top w:w="0" w:type="dxa"/>
              <w:left w:w="108" w:type="dxa"/>
              <w:bottom w:w="0" w:type="dxa"/>
              <w:right w:w="108" w:type="dxa"/>
            </w:tcMar>
            <w:vAlign w:val="center"/>
          </w:tcPr>
          <w:p w:rsidR="0093471D" w:rsidRPr="005E06C9" w:rsidRDefault="0093471D" w:rsidP="0027505B">
            <w:pPr>
              <w:jc w:val="right"/>
              <w:rPr>
                <w:rFonts w:eastAsia="宋体" w:cs="Times New Roman"/>
                <w:sz w:val="18"/>
                <w:szCs w:val="18"/>
              </w:rPr>
            </w:pPr>
            <w:r w:rsidRPr="002338FC">
              <w:rPr>
                <w:rFonts w:eastAsia="宋体" w:cs="Times New Roman"/>
                <w:sz w:val="18"/>
                <w:szCs w:val="18"/>
              </w:rPr>
              <w:t>75,589,302.09</w:t>
            </w:r>
          </w:p>
        </w:tc>
        <w:tc>
          <w:tcPr>
            <w:tcW w:w="1869" w:type="dxa"/>
            <w:vAlign w:val="center"/>
          </w:tcPr>
          <w:p w:rsidR="0093471D" w:rsidRPr="005E06C9" w:rsidRDefault="00F82F54" w:rsidP="0027505B">
            <w:pPr>
              <w:ind w:rightChars="62" w:right="130"/>
              <w:jc w:val="right"/>
              <w:rPr>
                <w:rFonts w:eastAsia="宋体" w:cs="Times New Roman"/>
                <w:sz w:val="18"/>
                <w:szCs w:val="18"/>
              </w:rPr>
            </w:pPr>
            <w:r w:rsidRPr="00F82F54">
              <w:rPr>
                <w:rFonts w:eastAsia="宋体" w:cs="Times New Roman"/>
                <w:sz w:val="18"/>
                <w:szCs w:val="18"/>
              </w:rPr>
              <w:t>8.44</w:t>
            </w:r>
          </w:p>
        </w:tc>
        <w:tc>
          <w:tcPr>
            <w:tcW w:w="1869" w:type="dxa"/>
            <w:tcMar>
              <w:top w:w="0" w:type="dxa"/>
              <w:left w:w="108" w:type="dxa"/>
              <w:bottom w:w="0" w:type="dxa"/>
              <w:right w:w="108" w:type="dxa"/>
            </w:tcMar>
            <w:vAlign w:val="center"/>
          </w:tcPr>
          <w:p w:rsidR="0093471D" w:rsidRPr="005E06C9" w:rsidRDefault="0093471D" w:rsidP="0027505B">
            <w:pPr>
              <w:ind w:leftChars="21" w:left="44"/>
              <w:jc w:val="right"/>
              <w:rPr>
                <w:rFonts w:eastAsia="宋体" w:cs="Times New Roman"/>
                <w:sz w:val="18"/>
                <w:szCs w:val="18"/>
              </w:rPr>
            </w:pPr>
            <w:r w:rsidRPr="00B10AEA">
              <w:rPr>
                <w:rFonts w:eastAsia="宋体" w:cs="Times New Roman"/>
                <w:sz w:val="18"/>
                <w:szCs w:val="18"/>
              </w:rPr>
              <w:t>323,045.53</w:t>
            </w:r>
          </w:p>
        </w:tc>
      </w:tr>
      <w:tr w:rsidR="0093471D" w:rsidRPr="005E06C9" w:rsidTr="0027505B">
        <w:trPr>
          <w:trHeight w:val="20"/>
        </w:trPr>
        <w:tc>
          <w:tcPr>
            <w:tcW w:w="3838" w:type="dxa"/>
            <w:tcMar>
              <w:top w:w="0" w:type="dxa"/>
              <w:left w:w="108" w:type="dxa"/>
              <w:bottom w:w="0" w:type="dxa"/>
              <w:right w:w="108" w:type="dxa"/>
            </w:tcMar>
            <w:vAlign w:val="center"/>
          </w:tcPr>
          <w:p w:rsidR="0093471D" w:rsidRPr="005E06C9" w:rsidRDefault="0093471D" w:rsidP="00704E2E">
            <w:pPr>
              <w:rPr>
                <w:rFonts w:eastAsia="宋体" w:cs="Times New Roman"/>
                <w:sz w:val="18"/>
                <w:szCs w:val="18"/>
              </w:rPr>
            </w:pPr>
            <w:r>
              <w:rPr>
                <w:rFonts w:eastAsia="宋体" w:cs="Times New Roman" w:hint="eastAsia"/>
                <w:sz w:val="18"/>
                <w:szCs w:val="18"/>
              </w:rPr>
              <w:t>第三方</w:t>
            </w:r>
            <w:r>
              <w:rPr>
                <w:rFonts w:eastAsia="宋体" w:cs="Times New Roman" w:hint="eastAsia"/>
                <w:sz w:val="18"/>
                <w:szCs w:val="18"/>
              </w:rPr>
              <w:t>B</w:t>
            </w:r>
          </w:p>
        </w:tc>
        <w:tc>
          <w:tcPr>
            <w:tcW w:w="1868" w:type="dxa"/>
            <w:tcMar>
              <w:top w:w="0" w:type="dxa"/>
              <w:left w:w="108" w:type="dxa"/>
              <w:bottom w:w="0" w:type="dxa"/>
              <w:right w:w="108" w:type="dxa"/>
            </w:tcMar>
            <w:vAlign w:val="center"/>
          </w:tcPr>
          <w:p w:rsidR="0093471D" w:rsidRPr="005E06C9" w:rsidRDefault="0093471D" w:rsidP="0027505B">
            <w:pPr>
              <w:jc w:val="right"/>
              <w:rPr>
                <w:rFonts w:eastAsia="宋体" w:cs="Times New Roman"/>
                <w:sz w:val="18"/>
                <w:szCs w:val="18"/>
              </w:rPr>
            </w:pPr>
            <w:r w:rsidRPr="002338FC">
              <w:rPr>
                <w:rFonts w:eastAsia="宋体" w:cs="Times New Roman"/>
                <w:sz w:val="18"/>
                <w:szCs w:val="18"/>
              </w:rPr>
              <w:t>44,649,779.37</w:t>
            </w:r>
          </w:p>
        </w:tc>
        <w:tc>
          <w:tcPr>
            <w:tcW w:w="1869" w:type="dxa"/>
            <w:vAlign w:val="center"/>
          </w:tcPr>
          <w:p w:rsidR="0093471D" w:rsidRPr="005E06C9" w:rsidRDefault="00F82F54" w:rsidP="0027505B">
            <w:pPr>
              <w:ind w:rightChars="62" w:right="130"/>
              <w:jc w:val="right"/>
              <w:rPr>
                <w:rFonts w:eastAsia="宋体" w:cs="Times New Roman"/>
                <w:sz w:val="18"/>
                <w:szCs w:val="18"/>
              </w:rPr>
            </w:pPr>
            <w:r w:rsidRPr="00F82F54">
              <w:rPr>
                <w:rFonts w:eastAsia="宋体" w:cs="Times New Roman"/>
                <w:sz w:val="18"/>
                <w:szCs w:val="18"/>
              </w:rPr>
              <w:t>4.99</w:t>
            </w:r>
          </w:p>
        </w:tc>
        <w:tc>
          <w:tcPr>
            <w:tcW w:w="1869" w:type="dxa"/>
            <w:tcMar>
              <w:top w:w="0" w:type="dxa"/>
              <w:left w:w="108" w:type="dxa"/>
              <w:bottom w:w="0" w:type="dxa"/>
              <w:right w:w="108" w:type="dxa"/>
            </w:tcMar>
            <w:vAlign w:val="center"/>
          </w:tcPr>
          <w:p w:rsidR="0093471D" w:rsidRPr="005E06C9" w:rsidRDefault="0093471D" w:rsidP="0027505B">
            <w:pPr>
              <w:ind w:leftChars="21" w:left="44"/>
              <w:jc w:val="right"/>
              <w:rPr>
                <w:rFonts w:eastAsia="宋体" w:cs="Times New Roman"/>
                <w:sz w:val="18"/>
                <w:szCs w:val="18"/>
              </w:rPr>
            </w:pPr>
            <w:r w:rsidRPr="00B10AEA">
              <w:rPr>
                <w:rFonts w:eastAsia="宋体" w:cs="Times New Roman"/>
                <w:sz w:val="18"/>
                <w:szCs w:val="18"/>
              </w:rPr>
              <w:t>107,159.47</w:t>
            </w:r>
          </w:p>
        </w:tc>
      </w:tr>
      <w:tr w:rsidR="0093471D" w:rsidRPr="005E06C9" w:rsidTr="0027505B">
        <w:trPr>
          <w:trHeight w:val="20"/>
        </w:trPr>
        <w:tc>
          <w:tcPr>
            <w:tcW w:w="3838" w:type="dxa"/>
            <w:tcMar>
              <w:top w:w="0" w:type="dxa"/>
              <w:left w:w="108" w:type="dxa"/>
              <w:bottom w:w="0" w:type="dxa"/>
              <w:right w:w="108" w:type="dxa"/>
            </w:tcMar>
            <w:vAlign w:val="center"/>
          </w:tcPr>
          <w:p w:rsidR="0093471D" w:rsidRPr="005E06C9" w:rsidRDefault="0093471D" w:rsidP="00704E2E">
            <w:pPr>
              <w:rPr>
                <w:rFonts w:eastAsia="宋体" w:cs="Times New Roman"/>
                <w:sz w:val="18"/>
                <w:szCs w:val="18"/>
              </w:rPr>
            </w:pPr>
            <w:r>
              <w:rPr>
                <w:rFonts w:eastAsia="宋体" w:cs="Times New Roman" w:hint="eastAsia"/>
                <w:sz w:val="18"/>
                <w:szCs w:val="18"/>
              </w:rPr>
              <w:t>第三方</w:t>
            </w:r>
            <w:r>
              <w:rPr>
                <w:rFonts w:eastAsia="宋体" w:cs="Times New Roman" w:hint="eastAsia"/>
                <w:sz w:val="18"/>
                <w:szCs w:val="18"/>
              </w:rPr>
              <w:t>C</w:t>
            </w:r>
          </w:p>
        </w:tc>
        <w:tc>
          <w:tcPr>
            <w:tcW w:w="1868" w:type="dxa"/>
            <w:tcMar>
              <w:top w:w="0" w:type="dxa"/>
              <w:left w:w="108" w:type="dxa"/>
              <w:bottom w:w="0" w:type="dxa"/>
              <w:right w:w="108" w:type="dxa"/>
            </w:tcMar>
            <w:vAlign w:val="center"/>
          </w:tcPr>
          <w:p w:rsidR="0093471D" w:rsidRPr="005E06C9" w:rsidRDefault="0093471D" w:rsidP="0027505B">
            <w:pPr>
              <w:jc w:val="right"/>
              <w:rPr>
                <w:rFonts w:eastAsia="宋体" w:cs="Times New Roman"/>
                <w:sz w:val="18"/>
                <w:szCs w:val="18"/>
              </w:rPr>
            </w:pPr>
            <w:r w:rsidRPr="002338FC">
              <w:rPr>
                <w:rFonts w:eastAsia="宋体" w:cs="Times New Roman"/>
                <w:sz w:val="18"/>
                <w:szCs w:val="18"/>
              </w:rPr>
              <w:t>38,436,317.61</w:t>
            </w:r>
          </w:p>
        </w:tc>
        <w:tc>
          <w:tcPr>
            <w:tcW w:w="1869" w:type="dxa"/>
            <w:vAlign w:val="center"/>
          </w:tcPr>
          <w:p w:rsidR="0093471D" w:rsidRPr="005E06C9" w:rsidRDefault="00F82F54" w:rsidP="0027505B">
            <w:pPr>
              <w:ind w:rightChars="62" w:right="130"/>
              <w:jc w:val="right"/>
              <w:rPr>
                <w:rFonts w:eastAsia="宋体" w:cs="Times New Roman"/>
                <w:sz w:val="18"/>
                <w:szCs w:val="18"/>
              </w:rPr>
            </w:pPr>
            <w:r w:rsidRPr="00F82F54">
              <w:rPr>
                <w:rFonts w:eastAsia="宋体" w:cs="Times New Roman"/>
                <w:sz w:val="18"/>
                <w:szCs w:val="18"/>
              </w:rPr>
              <w:t>4.29</w:t>
            </w:r>
          </w:p>
        </w:tc>
        <w:tc>
          <w:tcPr>
            <w:tcW w:w="1869" w:type="dxa"/>
            <w:tcMar>
              <w:top w:w="0" w:type="dxa"/>
              <w:left w:w="108" w:type="dxa"/>
              <w:bottom w:w="0" w:type="dxa"/>
              <w:right w:w="108" w:type="dxa"/>
            </w:tcMar>
            <w:vAlign w:val="center"/>
          </w:tcPr>
          <w:p w:rsidR="0093471D" w:rsidRPr="005E06C9" w:rsidRDefault="0093471D" w:rsidP="0027505B">
            <w:pPr>
              <w:ind w:leftChars="21" w:left="44"/>
              <w:jc w:val="right"/>
              <w:rPr>
                <w:rFonts w:eastAsia="宋体" w:cs="Times New Roman"/>
                <w:sz w:val="18"/>
                <w:szCs w:val="18"/>
              </w:rPr>
            </w:pPr>
            <w:r w:rsidRPr="00B10AEA">
              <w:rPr>
                <w:rFonts w:eastAsia="宋体" w:cs="Times New Roman"/>
                <w:sz w:val="18"/>
                <w:szCs w:val="18"/>
              </w:rPr>
              <w:t>62,766.66</w:t>
            </w:r>
          </w:p>
        </w:tc>
      </w:tr>
      <w:tr w:rsidR="0093471D" w:rsidRPr="005E06C9" w:rsidTr="0027505B">
        <w:trPr>
          <w:trHeight w:val="20"/>
        </w:trPr>
        <w:tc>
          <w:tcPr>
            <w:tcW w:w="3838" w:type="dxa"/>
            <w:tcMar>
              <w:top w:w="0" w:type="dxa"/>
              <w:left w:w="108" w:type="dxa"/>
              <w:bottom w:w="0" w:type="dxa"/>
              <w:right w:w="108" w:type="dxa"/>
            </w:tcMar>
            <w:vAlign w:val="center"/>
          </w:tcPr>
          <w:p w:rsidR="0093471D" w:rsidRPr="005E06C9" w:rsidRDefault="0093471D" w:rsidP="00704E2E">
            <w:pPr>
              <w:rPr>
                <w:rFonts w:eastAsia="宋体" w:cs="Times New Roman"/>
                <w:sz w:val="18"/>
                <w:szCs w:val="18"/>
              </w:rPr>
            </w:pPr>
            <w:r>
              <w:rPr>
                <w:rFonts w:eastAsia="宋体" w:cs="Times New Roman" w:hint="eastAsia"/>
                <w:sz w:val="18"/>
                <w:szCs w:val="18"/>
              </w:rPr>
              <w:t>第三方</w:t>
            </w:r>
            <w:r>
              <w:rPr>
                <w:rFonts w:eastAsia="宋体" w:cs="Times New Roman" w:hint="eastAsia"/>
                <w:sz w:val="18"/>
                <w:szCs w:val="18"/>
              </w:rPr>
              <w:t>D</w:t>
            </w:r>
          </w:p>
        </w:tc>
        <w:tc>
          <w:tcPr>
            <w:tcW w:w="1868" w:type="dxa"/>
            <w:tcMar>
              <w:top w:w="0" w:type="dxa"/>
              <w:left w:w="108" w:type="dxa"/>
              <w:bottom w:w="0" w:type="dxa"/>
              <w:right w:w="108" w:type="dxa"/>
            </w:tcMar>
            <w:vAlign w:val="center"/>
          </w:tcPr>
          <w:p w:rsidR="0093471D" w:rsidRPr="005E06C9" w:rsidRDefault="0093471D" w:rsidP="0027505B">
            <w:pPr>
              <w:jc w:val="right"/>
              <w:rPr>
                <w:rFonts w:eastAsia="宋体" w:cs="Times New Roman"/>
                <w:sz w:val="18"/>
                <w:szCs w:val="18"/>
              </w:rPr>
            </w:pPr>
            <w:r w:rsidRPr="002338FC">
              <w:rPr>
                <w:rFonts w:eastAsia="宋体" w:cs="Times New Roman"/>
                <w:sz w:val="18"/>
                <w:szCs w:val="18"/>
              </w:rPr>
              <w:t>34,197,568.57</w:t>
            </w:r>
          </w:p>
        </w:tc>
        <w:tc>
          <w:tcPr>
            <w:tcW w:w="1869" w:type="dxa"/>
            <w:vAlign w:val="center"/>
          </w:tcPr>
          <w:p w:rsidR="0093471D" w:rsidRPr="005E06C9" w:rsidRDefault="00F82F54" w:rsidP="0027505B">
            <w:pPr>
              <w:ind w:rightChars="62" w:right="130"/>
              <w:jc w:val="right"/>
              <w:rPr>
                <w:rFonts w:eastAsia="宋体" w:cs="Times New Roman"/>
                <w:sz w:val="18"/>
                <w:szCs w:val="18"/>
              </w:rPr>
            </w:pPr>
            <w:r w:rsidRPr="00F82F54">
              <w:rPr>
                <w:rFonts w:eastAsia="宋体" w:cs="Times New Roman"/>
                <w:sz w:val="18"/>
                <w:szCs w:val="18"/>
              </w:rPr>
              <w:t>3.82</w:t>
            </w:r>
          </w:p>
        </w:tc>
        <w:tc>
          <w:tcPr>
            <w:tcW w:w="1869" w:type="dxa"/>
            <w:tcMar>
              <w:top w:w="0" w:type="dxa"/>
              <w:left w:w="108" w:type="dxa"/>
              <w:bottom w:w="0" w:type="dxa"/>
              <w:right w:w="108" w:type="dxa"/>
            </w:tcMar>
            <w:vAlign w:val="center"/>
          </w:tcPr>
          <w:p w:rsidR="0093471D" w:rsidRPr="005E06C9" w:rsidRDefault="0093471D" w:rsidP="0027505B">
            <w:pPr>
              <w:ind w:leftChars="21" w:left="44"/>
              <w:jc w:val="right"/>
              <w:rPr>
                <w:rFonts w:eastAsia="宋体" w:cs="Times New Roman"/>
                <w:sz w:val="18"/>
                <w:szCs w:val="18"/>
              </w:rPr>
            </w:pPr>
            <w:r w:rsidRPr="00B10AEA">
              <w:rPr>
                <w:rFonts w:eastAsia="宋体" w:cs="Times New Roman"/>
                <w:sz w:val="18"/>
                <w:szCs w:val="18"/>
              </w:rPr>
              <w:t>55,844.77</w:t>
            </w:r>
          </w:p>
        </w:tc>
      </w:tr>
      <w:tr w:rsidR="0093471D" w:rsidRPr="005E06C9" w:rsidTr="0027505B">
        <w:trPr>
          <w:trHeight w:val="20"/>
        </w:trPr>
        <w:tc>
          <w:tcPr>
            <w:tcW w:w="3838" w:type="dxa"/>
            <w:shd w:val="clear" w:color="auto" w:fill="D9D9D9" w:themeFill="background1" w:themeFillShade="D9"/>
            <w:tcMar>
              <w:top w:w="0" w:type="dxa"/>
              <w:left w:w="108" w:type="dxa"/>
              <w:bottom w:w="0" w:type="dxa"/>
              <w:right w:w="108" w:type="dxa"/>
            </w:tcMar>
            <w:vAlign w:val="center"/>
            <w:hideMark/>
          </w:tcPr>
          <w:p w:rsidR="0093471D" w:rsidRPr="005E06C9" w:rsidRDefault="0093471D" w:rsidP="0027505B">
            <w:pPr>
              <w:rPr>
                <w:rFonts w:eastAsia="宋体" w:cs="Times New Roman"/>
                <w:sz w:val="18"/>
                <w:szCs w:val="18"/>
              </w:rPr>
            </w:pPr>
            <w:r w:rsidRPr="005E06C9">
              <w:rPr>
                <w:rFonts w:eastAsia="宋体" w:cs="Times New Roman" w:hint="eastAsia"/>
                <w:sz w:val="18"/>
                <w:szCs w:val="18"/>
              </w:rPr>
              <w:t>合计</w:t>
            </w:r>
          </w:p>
        </w:tc>
        <w:tc>
          <w:tcPr>
            <w:tcW w:w="1868" w:type="dxa"/>
            <w:tcMar>
              <w:top w:w="0" w:type="dxa"/>
              <w:left w:w="108" w:type="dxa"/>
              <w:bottom w:w="0" w:type="dxa"/>
              <w:right w:w="108" w:type="dxa"/>
            </w:tcMar>
            <w:vAlign w:val="center"/>
          </w:tcPr>
          <w:p w:rsidR="0093471D" w:rsidRPr="005E06C9" w:rsidRDefault="000041AB" w:rsidP="0027505B">
            <w:pPr>
              <w:jc w:val="right"/>
              <w:rPr>
                <w:rFonts w:eastAsia="宋体" w:cs="Times New Roman"/>
                <w:sz w:val="18"/>
                <w:szCs w:val="18"/>
              </w:rPr>
            </w:pPr>
            <w:r w:rsidRPr="000041AB">
              <w:rPr>
                <w:rFonts w:eastAsia="宋体" w:cs="Times New Roman"/>
                <w:sz w:val="18"/>
                <w:szCs w:val="18"/>
              </w:rPr>
              <w:t>439,180,028.72</w:t>
            </w:r>
          </w:p>
        </w:tc>
        <w:tc>
          <w:tcPr>
            <w:tcW w:w="1869" w:type="dxa"/>
            <w:vAlign w:val="center"/>
          </w:tcPr>
          <w:p w:rsidR="0093471D" w:rsidRPr="005E06C9" w:rsidRDefault="00F82F54" w:rsidP="0027505B">
            <w:pPr>
              <w:ind w:rightChars="62" w:right="130"/>
              <w:jc w:val="right"/>
              <w:rPr>
                <w:rFonts w:eastAsia="宋体" w:cs="Times New Roman"/>
                <w:sz w:val="18"/>
                <w:szCs w:val="18"/>
              </w:rPr>
            </w:pPr>
            <w:r w:rsidRPr="00F82F54">
              <w:rPr>
                <w:rFonts w:eastAsia="宋体" w:cs="Times New Roman"/>
                <w:sz w:val="18"/>
                <w:szCs w:val="18"/>
              </w:rPr>
              <w:t>49.05</w:t>
            </w:r>
          </w:p>
        </w:tc>
        <w:tc>
          <w:tcPr>
            <w:tcW w:w="1869" w:type="dxa"/>
            <w:tcMar>
              <w:top w:w="0" w:type="dxa"/>
              <w:left w:w="108" w:type="dxa"/>
              <w:bottom w:w="0" w:type="dxa"/>
              <w:right w:w="108" w:type="dxa"/>
            </w:tcMar>
            <w:vAlign w:val="center"/>
          </w:tcPr>
          <w:p w:rsidR="0093471D" w:rsidRPr="005E06C9" w:rsidRDefault="0093471D" w:rsidP="0027505B">
            <w:pPr>
              <w:ind w:leftChars="21" w:left="44"/>
              <w:jc w:val="right"/>
              <w:rPr>
                <w:rFonts w:eastAsia="宋体" w:cs="Times New Roman"/>
                <w:sz w:val="18"/>
                <w:szCs w:val="18"/>
              </w:rPr>
            </w:pPr>
            <w:r w:rsidRPr="00B10AEA">
              <w:rPr>
                <w:rFonts w:eastAsia="宋体" w:cs="Times New Roman"/>
                <w:sz w:val="18"/>
                <w:szCs w:val="18"/>
              </w:rPr>
              <w:t>3,889,942.98</w:t>
            </w:r>
          </w:p>
        </w:tc>
      </w:tr>
    </w:tbl>
    <w:p w:rsidR="00CD7A58" w:rsidRDefault="00CD7A58" w:rsidP="00F66363">
      <w:pPr>
        <w:ind w:left="720"/>
        <w:rPr>
          <w:rFonts w:eastAsia="宋体" w:cs="Times New Roman"/>
          <w:szCs w:val="21"/>
        </w:rPr>
      </w:pPr>
    </w:p>
    <w:p w:rsidR="00CD7A58" w:rsidRDefault="00CD7A58">
      <w:pPr>
        <w:adjustRightInd/>
        <w:snapToGrid/>
        <w:rPr>
          <w:rFonts w:eastAsia="宋体" w:cs="Times New Roman"/>
          <w:szCs w:val="21"/>
        </w:rPr>
      </w:pPr>
      <w:r>
        <w:rPr>
          <w:rFonts w:eastAsia="宋体" w:cs="Times New Roman"/>
          <w:szCs w:val="21"/>
        </w:rPr>
        <w:br w:type="page"/>
      </w:r>
    </w:p>
    <w:p w:rsidR="00CD7A58" w:rsidRPr="00A71D2E" w:rsidRDefault="005F14EE" w:rsidP="00CD7A58">
      <w:pPr>
        <w:rPr>
          <w:rFonts w:eastAsia="宋体" w:cs="Times New Roman"/>
          <w:szCs w:val="21"/>
        </w:rPr>
      </w:pPr>
      <w:r>
        <w:rPr>
          <w:rFonts w:eastAsia="宋体" w:cs="Times New Roman"/>
          <w:b/>
          <w:szCs w:val="21"/>
        </w:rPr>
        <w:t>(</w:t>
      </w:r>
      <w:r w:rsidR="00CD7A58" w:rsidRPr="00A71D2E">
        <w:rPr>
          <w:rFonts w:eastAsia="宋体" w:cs="Times New Roman" w:hint="eastAsia"/>
          <w:b/>
          <w:szCs w:val="21"/>
        </w:rPr>
        <w:t>五</w:t>
      </w:r>
      <w:r>
        <w:rPr>
          <w:rFonts w:eastAsia="宋体" w:cs="Times New Roman"/>
          <w:b/>
          <w:szCs w:val="21"/>
        </w:rPr>
        <w:t>)</w:t>
      </w:r>
      <w:r w:rsidR="00CD7A58" w:rsidRPr="00A71D2E">
        <w:rPr>
          <w:rFonts w:eastAsia="宋体" w:cs="Times New Roman"/>
          <w:b/>
          <w:szCs w:val="21"/>
        </w:rPr>
        <w:tab/>
      </w:r>
      <w:r w:rsidR="00CD7A58" w:rsidRPr="00A71D2E">
        <w:rPr>
          <w:rFonts w:eastAsia="宋体" w:cs="Times New Roman" w:hint="eastAsia"/>
          <w:b/>
          <w:szCs w:val="21"/>
        </w:rPr>
        <w:t>合并财务报表项目注释</w:t>
      </w:r>
      <w:r w:rsidR="00CD7A58" w:rsidRPr="00A71D2E">
        <w:rPr>
          <w:rFonts w:eastAsia="宋体" w:cs="Times New Roman"/>
          <w:szCs w:val="21"/>
        </w:rPr>
        <w:t xml:space="preserve"> - </w:t>
      </w:r>
      <w:r w:rsidR="00CD7A58" w:rsidRPr="00A71D2E">
        <w:rPr>
          <w:rFonts w:eastAsia="宋体" w:cs="Times New Roman" w:hint="eastAsia"/>
          <w:szCs w:val="21"/>
        </w:rPr>
        <w:t>续</w:t>
      </w:r>
    </w:p>
    <w:p w:rsidR="00C96CA6" w:rsidRPr="00CD7A58" w:rsidRDefault="00C96CA6" w:rsidP="00F66363">
      <w:pPr>
        <w:ind w:left="720"/>
        <w:rPr>
          <w:rFonts w:eastAsia="宋体" w:cs="Times New Roman"/>
          <w:szCs w:val="21"/>
        </w:rPr>
      </w:pPr>
    </w:p>
    <w:p w:rsidR="007D47F9" w:rsidRPr="00A71D2E" w:rsidRDefault="007D47F9" w:rsidP="00F66363">
      <w:pPr>
        <w:pStyle w:val="2"/>
        <w:numPr>
          <w:ilvl w:val="2"/>
          <w:numId w:val="1"/>
        </w:numPr>
        <w:adjustRightInd w:val="0"/>
        <w:snapToGrid w:val="0"/>
        <w:spacing w:line="230" w:lineRule="auto"/>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应收款项融资</w:t>
      </w:r>
    </w:p>
    <w:p w:rsidR="00F709EF" w:rsidRPr="00A71D2E" w:rsidRDefault="00F709EF" w:rsidP="00F66363">
      <w:pPr>
        <w:spacing w:line="230" w:lineRule="auto"/>
        <w:ind w:left="720"/>
        <w:jc w:val="both"/>
        <w:rPr>
          <w:rFonts w:eastAsia="宋体" w:cs="Times New Roman"/>
          <w:szCs w:val="18"/>
        </w:rPr>
      </w:pPr>
    </w:p>
    <w:p w:rsidR="00F709EF" w:rsidRPr="00A71D2E" w:rsidRDefault="005F14EE">
      <w:pPr>
        <w:spacing w:line="230" w:lineRule="auto"/>
        <w:ind w:left="1440" w:hanging="720"/>
        <w:jc w:val="both"/>
        <w:rPr>
          <w:rFonts w:eastAsia="宋体" w:cs="Times New Roman"/>
          <w:szCs w:val="18"/>
        </w:rPr>
      </w:pPr>
      <w:r>
        <w:rPr>
          <w:rFonts w:eastAsia="宋体" w:cs="Times New Roman"/>
          <w:szCs w:val="21"/>
        </w:rPr>
        <w:t>(</w:t>
      </w:r>
      <w:r w:rsidR="00F709EF" w:rsidRPr="00A71D2E">
        <w:rPr>
          <w:rFonts w:eastAsia="宋体" w:cs="Times New Roman"/>
          <w:szCs w:val="21"/>
        </w:rPr>
        <w:t>1</w:t>
      </w:r>
      <w:r>
        <w:rPr>
          <w:rFonts w:eastAsia="宋体" w:cs="Times New Roman"/>
          <w:szCs w:val="21"/>
        </w:rPr>
        <w:t>)</w:t>
      </w:r>
      <w:r w:rsidR="00F709EF" w:rsidRPr="00A71D2E">
        <w:rPr>
          <w:rFonts w:eastAsia="宋体" w:cs="Times New Roman"/>
          <w:szCs w:val="21"/>
        </w:rPr>
        <w:tab/>
      </w:r>
      <w:r w:rsidR="00F709EF" w:rsidRPr="00A71D2E">
        <w:rPr>
          <w:rFonts w:eastAsia="宋体" w:cs="Times New Roman" w:hint="eastAsia"/>
          <w:szCs w:val="21"/>
        </w:rPr>
        <w:t>应收款项融资分类</w:t>
      </w:r>
    </w:p>
    <w:p w:rsidR="007D47F9" w:rsidRPr="00A71D2E" w:rsidRDefault="007D47F9" w:rsidP="00F66363">
      <w:pPr>
        <w:spacing w:line="230" w:lineRule="auto"/>
        <w:ind w:left="720"/>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0"/>
        <w:gridCol w:w="1845"/>
        <w:gridCol w:w="1845"/>
      </w:tblGrid>
      <w:tr w:rsidR="009E4A3F" w:rsidRPr="00A71D2E" w:rsidTr="0027505B">
        <w:trPr>
          <w:trHeight w:val="20"/>
        </w:trPr>
        <w:tc>
          <w:tcPr>
            <w:tcW w:w="5760" w:type="dxa"/>
            <w:shd w:val="clear" w:color="auto" w:fill="D9D9D9" w:themeFill="background1" w:themeFillShade="D9"/>
            <w:noWrap/>
            <w:vAlign w:val="center"/>
            <w:hideMark/>
          </w:tcPr>
          <w:p w:rsidR="009E4A3F" w:rsidRPr="00F66363" w:rsidRDefault="009E4A3F" w:rsidP="00F66363">
            <w:pPr>
              <w:spacing w:line="230" w:lineRule="auto"/>
              <w:jc w:val="center"/>
              <w:rPr>
                <w:rFonts w:eastAsia="宋体" w:cs="Times New Roman"/>
                <w:color w:val="000000"/>
                <w:sz w:val="18"/>
                <w:szCs w:val="18"/>
              </w:rPr>
            </w:pPr>
            <w:r w:rsidRPr="00F66363">
              <w:rPr>
                <w:rFonts w:eastAsia="宋体" w:cs="Times New Roman" w:hint="eastAsia"/>
                <w:color w:val="000000"/>
                <w:sz w:val="18"/>
                <w:szCs w:val="18"/>
              </w:rPr>
              <w:t>项目</w:t>
            </w:r>
          </w:p>
        </w:tc>
        <w:tc>
          <w:tcPr>
            <w:tcW w:w="1845" w:type="dxa"/>
            <w:shd w:val="clear" w:color="auto" w:fill="D9D9D9" w:themeFill="background1" w:themeFillShade="D9"/>
            <w:vAlign w:val="center"/>
          </w:tcPr>
          <w:p w:rsidR="009E4A3F" w:rsidRPr="00F66363" w:rsidRDefault="00046BC3" w:rsidP="00F66363">
            <w:pPr>
              <w:spacing w:line="230" w:lineRule="auto"/>
              <w:jc w:val="center"/>
              <w:rPr>
                <w:rFonts w:eastAsia="宋体" w:cs="Times New Roman"/>
                <w:color w:val="000000"/>
                <w:sz w:val="18"/>
                <w:szCs w:val="18"/>
              </w:rPr>
            </w:pPr>
            <w:r w:rsidRPr="00F66363">
              <w:rPr>
                <w:rFonts w:eastAsia="宋体" w:cs="Times New Roman" w:hint="eastAsia"/>
                <w:color w:val="000000"/>
                <w:sz w:val="18"/>
                <w:szCs w:val="18"/>
              </w:rPr>
              <w:t>年末余额</w:t>
            </w:r>
          </w:p>
        </w:tc>
        <w:tc>
          <w:tcPr>
            <w:tcW w:w="1845" w:type="dxa"/>
            <w:shd w:val="clear" w:color="auto" w:fill="D9D9D9" w:themeFill="background1" w:themeFillShade="D9"/>
            <w:vAlign w:val="center"/>
          </w:tcPr>
          <w:p w:rsidR="009E4A3F" w:rsidRPr="00F66363" w:rsidRDefault="00046BC3" w:rsidP="00F66363">
            <w:pPr>
              <w:spacing w:line="230" w:lineRule="auto"/>
              <w:jc w:val="center"/>
              <w:rPr>
                <w:rFonts w:eastAsia="宋体" w:cs="Times New Roman"/>
                <w:color w:val="000000"/>
                <w:sz w:val="18"/>
                <w:szCs w:val="18"/>
              </w:rPr>
            </w:pPr>
            <w:r w:rsidRPr="00F66363">
              <w:rPr>
                <w:rFonts w:eastAsia="宋体" w:cs="Times New Roman" w:hint="eastAsia"/>
                <w:color w:val="000000"/>
                <w:sz w:val="18"/>
                <w:szCs w:val="18"/>
              </w:rPr>
              <w:t>年初余额</w:t>
            </w:r>
          </w:p>
        </w:tc>
      </w:tr>
      <w:tr w:rsidR="00556E30" w:rsidRPr="00A71D2E" w:rsidTr="0027505B">
        <w:trPr>
          <w:trHeight w:val="20"/>
        </w:trPr>
        <w:tc>
          <w:tcPr>
            <w:tcW w:w="5760" w:type="dxa"/>
            <w:shd w:val="clear" w:color="auto" w:fill="auto"/>
            <w:noWrap/>
            <w:vAlign w:val="center"/>
          </w:tcPr>
          <w:p w:rsidR="00556E30" w:rsidRPr="00F66363" w:rsidRDefault="00556E30" w:rsidP="00556E30">
            <w:pPr>
              <w:spacing w:line="230" w:lineRule="auto"/>
              <w:rPr>
                <w:rFonts w:eastAsia="宋体" w:cs="Times New Roman"/>
                <w:color w:val="000000"/>
                <w:sz w:val="18"/>
                <w:szCs w:val="18"/>
              </w:rPr>
            </w:pPr>
            <w:r w:rsidRPr="00F66363">
              <w:rPr>
                <w:rFonts w:eastAsia="宋体" w:cs="Times New Roman" w:hint="eastAsia"/>
                <w:color w:val="000000"/>
                <w:sz w:val="18"/>
                <w:szCs w:val="18"/>
              </w:rPr>
              <w:t>银行承兑汇票</w:t>
            </w:r>
          </w:p>
        </w:tc>
        <w:tc>
          <w:tcPr>
            <w:tcW w:w="1845" w:type="dxa"/>
            <w:shd w:val="clear" w:color="auto" w:fill="auto"/>
            <w:vAlign w:val="center"/>
          </w:tcPr>
          <w:p w:rsidR="00556E30" w:rsidRPr="00A71D2E" w:rsidRDefault="00627C16" w:rsidP="00627C16">
            <w:pPr>
              <w:spacing w:line="230" w:lineRule="auto"/>
              <w:ind w:left="720" w:right="15" w:hanging="720"/>
              <w:jc w:val="right"/>
              <w:rPr>
                <w:rFonts w:eastAsia="宋体" w:cs="Times New Roman"/>
                <w:sz w:val="18"/>
                <w:szCs w:val="18"/>
              </w:rPr>
            </w:pPr>
            <w:r w:rsidRPr="00627C16">
              <w:rPr>
                <w:rFonts w:eastAsia="宋体" w:cs="Times New Roman"/>
                <w:sz w:val="18"/>
                <w:szCs w:val="18"/>
              </w:rPr>
              <w:t>21,276,850.44</w:t>
            </w:r>
          </w:p>
        </w:tc>
        <w:tc>
          <w:tcPr>
            <w:tcW w:w="1845" w:type="dxa"/>
            <w:shd w:val="clear" w:color="auto" w:fill="auto"/>
            <w:vAlign w:val="center"/>
          </w:tcPr>
          <w:p w:rsidR="00556E30" w:rsidRPr="00A71D2E" w:rsidRDefault="00556E30" w:rsidP="00556E30">
            <w:pPr>
              <w:spacing w:line="230" w:lineRule="auto"/>
              <w:ind w:right="15"/>
              <w:jc w:val="right"/>
              <w:rPr>
                <w:rFonts w:eastAsia="宋体" w:cs="Times New Roman"/>
                <w:sz w:val="18"/>
                <w:szCs w:val="18"/>
              </w:rPr>
            </w:pPr>
            <w:r w:rsidRPr="00A71D2E">
              <w:rPr>
                <w:rFonts w:eastAsia="宋体" w:cs="Times New Roman"/>
                <w:sz w:val="18"/>
                <w:szCs w:val="18"/>
              </w:rPr>
              <w:t>2,290,950.59</w:t>
            </w:r>
          </w:p>
        </w:tc>
      </w:tr>
      <w:tr w:rsidR="00556E30" w:rsidRPr="00A71D2E" w:rsidTr="0027505B">
        <w:trPr>
          <w:trHeight w:val="20"/>
        </w:trPr>
        <w:tc>
          <w:tcPr>
            <w:tcW w:w="5760" w:type="dxa"/>
            <w:shd w:val="clear" w:color="auto" w:fill="D9D9D9" w:themeFill="background1" w:themeFillShade="D9"/>
            <w:noWrap/>
            <w:vAlign w:val="center"/>
            <w:hideMark/>
          </w:tcPr>
          <w:p w:rsidR="00556E30" w:rsidRPr="00F66363" w:rsidRDefault="00556E30" w:rsidP="00556E30">
            <w:pPr>
              <w:spacing w:line="230" w:lineRule="auto"/>
              <w:rPr>
                <w:rFonts w:eastAsia="宋体" w:cs="Times New Roman"/>
                <w:sz w:val="18"/>
                <w:szCs w:val="18"/>
              </w:rPr>
            </w:pPr>
            <w:r w:rsidRPr="00F66363">
              <w:rPr>
                <w:rFonts w:eastAsia="宋体" w:cs="Times New Roman" w:hint="eastAsia"/>
                <w:sz w:val="18"/>
                <w:szCs w:val="18"/>
              </w:rPr>
              <w:t>合计</w:t>
            </w:r>
          </w:p>
        </w:tc>
        <w:tc>
          <w:tcPr>
            <w:tcW w:w="1845" w:type="dxa"/>
            <w:vAlign w:val="center"/>
          </w:tcPr>
          <w:p w:rsidR="00556E30" w:rsidRPr="00A71D2E" w:rsidRDefault="00627C16" w:rsidP="00556E30">
            <w:pPr>
              <w:spacing w:line="230" w:lineRule="auto"/>
              <w:ind w:right="15"/>
              <w:jc w:val="right"/>
              <w:rPr>
                <w:rFonts w:eastAsia="宋体" w:cs="Times New Roman"/>
                <w:sz w:val="18"/>
                <w:szCs w:val="18"/>
              </w:rPr>
            </w:pPr>
            <w:r w:rsidRPr="00627C16">
              <w:rPr>
                <w:rFonts w:eastAsia="宋体" w:cs="Times New Roman"/>
                <w:sz w:val="18"/>
                <w:szCs w:val="18"/>
              </w:rPr>
              <w:t>21,276,850.44</w:t>
            </w:r>
          </w:p>
        </w:tc>
        <w:tc>
          <w:tcPr>
            <w:tcW w:w="1845" w:type="dxa"/>
            <w:vAlign w:val="center"/>
          </w:tcPr>
          <w:p w:rsidR="00556E30" w:rsidRPr="00A71D2E" w:rsidRDefault="00556E30" w:rsidP="00556E30">
            <w:pPr>
              <w:spacing w:line="230" w:lineRule="auto"/>
              <w:ind w:right="15"/>
              <w:jc w:val="right"/>
              <w:rPr>
                <w:rFonts w:eastAsia="宋体" w:cs="Times New Roman"/>
                <w:sz w:val="18"/>
                <w:szCs w:val="18"/>
              </w:rPr>
            </w:pPr>
            <w:r w:rsidRPr="00A71D2E">
              <w:rPr>
                <w:rFonts w:eastAsia="宋体" w:cs="Times New Roman"/>
                <w:sz w:val="18"/>
                <w:szCs w:val="18"/>
              </w:rPr>
              <w:t>2,290,950.59</w:t>
            </w:r>
          </w:p>
        </w:tc>
      </w:tr>
    </w:tbl>
    <w:p w:rsidR="002808CA" w:rsidRDefault="002808CA" w:rsidP="002808CA">
      <w:pPr>
        <w:spacing w:line="230" w:lineRule="auto"/>
        <w:ind w:left="720"/>
        <w:jc w:val="both"/>
        <w:rPr>
          <w:rFonts w:eastAsia="宋体" w:cs="Times New Roman"/>
        </w:rPr>
      </w:pPr>
    </w:p>
    <w:p w:rsidR="002808CA" w:rsidRPr="00A71D2E" w:rsidRDefault="005F14EE" w:rsidP="002808CA">
      <w:pPr>
        <w:ind w:left="720"/>
        <w:jc w:val="both"/>
        <w:rPr>
          <w:rFonts w:eastAsia="宋体" w:cs="Times New Roman"/>
          <w:szCs w:val="21"/>
        </w:rPr>
      </w:pPr>
      <w:r>
        <w:rPr>
          <w:rFonts w:eastAsia="宋体" w:cs="Times New Roman"/>
          <w:szCs w:val="21"/>
        </w:rPr>
        <w:t>(</w:t>
      </w:r>
      <w:r w:rsidR="002808CA" w:rsidRPr="00A71D2E">
        <w:rPr>
          <w:rFonts w:eastAsia="宋体" w:cs="Times New Roman"/>
          <w:szCs w:val="21"/>
        </w:rPr>
        <w:t>2</w:t>
      </w:r>
      <w:r>
        <w:rPr>
          <w:rFonts w:eastAsia="宋体" w:cs="Times New Roman"/>
          <w:szCs w:val="21"/>
        </w:rPr>
        <w:t>)</w:t>
      </w:r>
      <w:r w:rsidR="002808CA" w:rsidRPr="00A71D2E">
        <w:rPr>
          <w:rFonts w:eastAsia="宋体" w:cs="Times New Roman"/>
          <w:szCs w:val="21"/>
        </w:rPr>
        <w:tab/>
      </w:r>
      <w:r w:rsidR="002808CA" w:rsidRPr="00A71D2E">
        <w:rPr>
          <w:rFonts w:eastAsia="宋体" w:cs="Times New Roman" w:hint="eastAsia"/>
          <w:szCs w:val="21"/>
        </w:rPr>
        <w:t>本年末，本集团无已质押的应收</w:t>
      </w:r>
      <w:r w:rsidR="00E10075">
        <w:rPr>
          <w:rFonts w:eastAsia="宋体" w:cs="Times New Roman" w:hint="eastAsia"/>
          <w:szCs w:val="21"/>
        </w:rPr>
        <w:t>款项融资</w:t>
      </w:r>
      <w:r w:rsidR="002808CA" w:rsidRPr="00A71D2E">
        <w:rPr>
          <w:rFonts w:eastAsia="宋体" w:cs="Times New Roman" w:hint="eastAsia"/>
          <w:szCs w:val="21"/>
        </w:rPr>
        <w:t>。</w:t>
      </w:r>
      <w:r w:rsidR="002808CA" w:rsidRPr="00A71D2E">
        <w:rPr>
          <w:rFonts w:eastAsia="宋体" w:cs="Times New Roman"/>
          <w:szCs w:val="21"/>
        </w:rPr>
        <w:cr/>
      </w:r>
    </w:p>
    <w:p w:rsidR="002808CA" w:rsidRPr="00A71D2E" w:rsidRDefault="005F14EE" w:rsidP="001B7C82">
      <w:pPr>
        <w:ind w:left="720"/>
        <w:jc w:val="both"/>
        <w:rPr>
          <w:rFonts w:eastAsia="宋体" w:cs="Times New Roman"/>
          <w:szCs w:val="21"/>
        </w:rPr>
      </w:pPr>
      <w:r>
        <w:rPr>
          <w:rFonts w:eastAsia="宋体" w:cs="Times New Roman"/>
          <w:szCs w:val="21"/>
        </w:rPr>
        <w:t>(</w:t>
      </w:r>
      <w:r w:rsidR="002808CA" w:rsidRPr="00A71D2E">
        <w:rPr>
          <w:rFonts w:eastAsia="宋体" w:cs="Times New Roman"/>
          <w:szCs w:val="21"/>
        </w:rPr>
        <w:t>3</w:t>
      </w:r>
      <w:r>
        <w:rPr>
          <w:rFonts w:eastAsia="宋体" w:cs="Times New Roman"/>
          <w:szCs w:val="21"/>
        </w:rPr>
        <w:t>)</w:t>
      </w:r>
      <w:r w:rsidR="002808CA" w:rsidRPr="00A71D2E">
        <w:rPr>
          <w:rFonts w:eastAsia="宋体" w:cs="Times New Roman"/>
          <w:szCs w:val="21"/>
        </w:rPr>
        <w:tab/>
      </w:r>
      <w:r w:rsidR="002808CA" w:rsidRPr="00A71D2E">
        <w:rPr>
          <w:rFonts w:eastAsia="宋体" w:cs="Times New Roman" w:hint="eastAsia"/>
          <w:szCs w:val="21"/>
        </w:rPr>
        <w:t>本年末，本集团无已背书或贴现且在资产负债表日尚未到期的应收</w:t>
      </w:r>
      <w:r w:rsidR="00E10075">
        <w:rPr>
          <w:rFonts w:eastAsia="宋体" w:cs="Times New Roman" w:hint="eastAsia"/>
          <w:szCs w:val="21"/>
        </w:rPr>
        <w:t>款项融资</w:t>
      </w:r>
      <w:r w:rsidR="002808CA" w:rsidRPr="00A71D2E">
        <w:rPr>
          <w:rFonts w:eastAsia="宋体" w:cs="Times New Roman" w:hint="eastAsia"/>
          <w:szCs w:val="21"/>
        </w:rPr>
        <w:t>。</w:t>
      </w:r>
    </w:p>
    <w:p w:rsidR="005B54A8" w:rsidRPr="00A71D2E" w:rsidRDefault="005B54A8" w:rsidP="00F66363">
      <w:pPr>
        <w:spacing w:line="230" w:lineRule="auto"/>
        <w:ind w:left="720"/>
        <w:jc w:val="both"/>
        <w:rPr>
          <w:rFonts w:eastAsia="宋体" w:cs="Times New Roman"/>
          <w:szCs w:val="21"/>
        </w:rPr>
      </w:pPr>
    </w:p>
    <w:p w:rsidR="00694CFB" w:rsidRPr="00A71D2E" w:rsidRDefault="005F14EE" w:rsidP="00F66363">
      <w:pPr>
        <w:spacing w:line="230" w:lineRule="auto"/>
        <w:ind w:left="1436" w:hanging="716"/>
        <w:jc w:val="both"/>
        <w:rPr>
          <w:rFonts w:eastAsia="宋体" w:cs="Times New Roman"/>
          <w:szCs w:val="21"/>
        </w:rPr>
      </w:pPr>
      <w:r>
        <w:rPr>
          <w:rFonts w:eastAsia="宋体" w:cs="Times New Roman"/>
          <w:szCs w:val="21"/>
        </w:rPr>
        <w:t>(</w:t>
      </w:r>
      <w:r w:rsidR="005F01C9">
        <w:rPr>
          <w:rFonts w:eastAsia="宋体" w:cs="Times New Roman"/>
          <w:szCs w:val="21"/>
        </w:rPr>
        <w:t>4</w:t>
      </w:r>
      <w:r>
        <w:rPr>
          <w:rFonts w:eastAsia="宋体" w:cs="Times New Roman"/>
          <w:szCs w:val="21"/>
        </w:rPr>
        <w:t>)</w:t>
      </w:r>
      <w:r w:rsidR="000B4BEB" w:rsidRPr="00A71D2E">
        <w:rPr>
          <w:rFonts w:eastAsia="宋体" w:cs="Times New Roman"/>
          <w:szCs w:val="21"/>
        </w:rPr>
        <w:tab/>
      </w:r>
      <w:r w:rsidR="004F4E95" w:rsidRPr="00A71D2E">
        <w:rPr>
          <w:rFonts w:eastAsia="宋体" w:cs="Times New Roman" w:hint="eastAsia"/>
          <w:szCs w:val="21"/>
        </w:rPr>
        <w:t>本集团认为所持有的银行承兑汇票的承兑银行</w:t>
      </w:r>
      <w:r w:rsidR="007D47F9" w:rsidRPr="00A71D2E">
        <w:rPr>
          <w:rFonts w:eastAsia="宋体" w:cs="Times New Roman" w:hint="eastAsia"/>
          <w:szCs w:val="21"/>
        </w:rPr>
        <w:t>信用评级较高，不存在重大的</w:t>
      </w:r>
      <w:r w:rsidR="00320B90">
        <w:rPr>
          <w:rFonts w:eastAsia="宋体" w:cs="Times New Roman" w:hint="eastAsia"/>
          <w:szCs w:val="21"/>
        </w:rPr>
        <w:t>坏账</w:t>
      </w:r>
      <w:r w:rsidR="007D47F9" w:rsidRPr="00A71D2E">
        <w:rPr>
          <w:rFonts w:eastAsia="宋体" w:cs="Times New Roman" w:hint="eastAsia"/>
          <w:szCs w:val="21"/>
        </w:rPr>
        <w:t>风险，因此未计提</w:t>
      </w:r>
      <w:r w:rsidR="004E3F63">
        <w:rPr>
          <w:rFonts w:eastAsia="宋体" w:cs="Times New Roman" w:hint="eastAsia"/>
          <w:szCs w:val="21"/>
        </w:rPr>
        <w:t>坏账</w:t>
      </w:r>
      <w:r w:rsidR="007D47F9" w:rsidRPr="00A71D2E">
        <w:rPr>
          <w:rFonts w:eastAsia="宋体" w:cs="Times New Roman" w:hint="eastAsia"/>
          <w:szCs w:val="21"/>
        </w:rPr>
        <w:t>准备。</w:t>
      </w:r>
    </w:p>
    <w:p w:rsidR="007D47F9" w:rsidRPr="00A71D2E" w:rsidRDefault="007D47F9" w:rsidP="00F66363">
      <w:pPr>
        <w:spacing w:line="230" w:lineRule="auto"/>
        <w:ind w:left="1440" w:hanging="720"/>
        <w:rPr>
          <w:rFonts w:eastAsia="宋体" w:cs="Times New Roman"/>
          <w:szCs w:val="21"/>
        </w:rPr>
      </w:pPr>
    </w:p>
    <w:p w:rsidR="007D47F9" w:rsidRPr="00A71D2E" w:rsidRDefault="007D47F9" w:rsidP="00F66363">
      <w:pPr>
        <w:pStyle w:val="2"/>
        <w:numPr>
          <w:ilvl w:val="2"/>
          <w:numId w:val="1"/>
        </w:numPr>
        <w:adjustRightInd w:val="0"/>
        <w:snapToGrid w:val="0"/>
        <w:spacing w:line="230" w:lineRule="auto"/>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预付款项</w:t>
      </w:r>
    </w:p>
    <w:p w:rsidR="007D47F9" w:rsidRPr="00A71D2E" w:rsidRDefault="007D47F9" w:rsidP="00F66363">
      <w:pPr>
        <w:spacing w:line="230" w:lineRule="auto"/>
        <w:ind w:left="720"/>
        <w:rPr>
          <w:rFonts w:eastAsia="宋体" w:cs="Times New Roman"/>
          <w:szCs w:val="21"/>
        </w:rPr>
      </w:pPr>
    </w:p>
    <w:p w:rsidR="007D47F9" w:rsidRPr="00A71D2E" w:rsidRDefault="007D47F9">
      <w:pPr>
        <w:pStyle w:val="aff1"/>
        <w:numPr>
          <w:ilvl w:val="0"/>
          <w:numId w:val="12"/>
        </w:numPr>
        <w:spacing w:line="230" w:lineRule="auto"/>
        <w:ind w:left="1440" w:firstLineChars="0" w:hanging="709"/>
        <w:rPr>
          <w:szCs w:val="21"/>
        </w:rPr>
      </w:pPr>
      <w:r w:rsidRPr="00A71D2E">
        <w:rPr>
          <w:rFonts w:hint="eastAsia"/>
          <w:szCs w:val="21"/>
        </w:rPr>
        <w:t>预付</w:t>
      </w:r>
      <w:proofErr w:type="gramStart"/>
      <w:r w:rsidRPr="00A71D2E">
        <w:rPr>
          <w:rFonts w:hint="eastAsia"/>
          <w:szCs w:val="21"/>
        </w:rPr>
        <w:t>款项按账龄</w:t>
      </w:r>
      <w:proofErr w:type="gramEnd"/>
      <w:r w:rsidRPr="00A71D2E">
        <w:rPr>
          <w:rFonts w:hint="eastAsia"/>
          <w:szCs w:val="21"/>
        </w:rPr>
        <w:t>列示</w:t>
      </w:r>
    </w:p>
    <w:p w:rsidR="007D47F9" w:rsidRPr="00A71D2E" w:rsidRDefault="007D47F9" w:rsidP="00F66363">
      <w:pPr>
        <w:spacing w:line="230" w:lineRule="auto"/>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65"/>
        <w:gridCol w:w="1845"/>
        <w:gridCol w:w="1845"/>
        <w:gridCol w:w="1845"/>
        <w:gridCol w:w="1845"/>
      </w:tblGrid>
      <w:tr w:rsidR="009E4A3F" w:rsidRPr="00A71D2E" w:rsidTr="0027505B">
        <w:trPr>
          <w:trHeight w:val="20"/>
        </w:trPr>
        <w:tc>
          <w:tcPr>
            <w:tcW w:w="2065" w:type="dxa"/>
            <w:vMerge w:val="restart"/>
            <w:shd w:val="clear" w:color="auto" w:fill="D9D9D9" w:themeFill="background1" w:themeFillShade="D9"/>
            <w:tcMar>
              <w:top w:w="0" w:type="dxa"/>
              <w:left w:w="108" w:type="dxa"/>
              <w:bottom w:w="0" w:type="dxa"/>
              <w:right w:w="108" w:type="dxa"/>
            </w:tcMar>
            <w:vAlign w:val="center"/>
            <w:hideMark/>
          </w:tcPr>
          <w:p w:rsidR="009E4A3F" w:rsidRPr="00A71D2E" w:rsidRDefault="009E4A3F" w:rsidP="00F66363">
            <w:pPr>
              <w:spacing w:line="230" w:lineRule="auto"/>
              <w:jc w:val="center"/>
              <w:rPr>
                <w:rFonts w:eastAsia="宋体" w:cs="Times New Roman"/>
                <w:sz w:val="18"/>
                <w:szCs w:val="18"/>
              </w:rPr>
            </w:pPr>
            <w:r w:rsidRPr="00A71D2E">
              <w:rPr>
                <w:rFonts w:eastAsia="宋体" w:cs="Times New Roman" w:hint="eastAsia"/>
                <w:sz w:val="18"/>
                <w:szCs w:val="18"/>
              </w:rPr>
              <w:t>账龄</w:t>
            </w:r>
          </w:p>
        </w:tc>
        <w:tc>
          <w:tcPr>
            <w:tcW w:w="3690" w:type="dxa"/>
            <w:gridSpan w:val="2"/>
            <w:shd w:val="clear" w:color="auto" w:fill="D9D9D9" w:themeFill="background1" w:themeFillShade="D9"/>
            <w:tcMar>
              <w:top w:w="0" w:type="dxa"/>
              <w:left w:w="108" w:type="dxa"/>
              <w:bottom w:w="0" w:type="dxa"/>
              <w:right w:w="108" w:type="dxa"/>
            </w:tcMar>
            <w:vAlign w:val="center"/>
            <w:hideMark/>
          </w:tcPr>
          <w:p w:rsidR="009E4A3F" w:rsidRPr="00A71D2E" w:rsidRDefault="000B2B61" w:rsidP="00F66363">
            <w:pPr>
              <w:spacing w:line="230" w:lineRule="auto"/>
              <w:jc w:val="center"/>
              <w:rPr>
                <w:rFonts w:eastAsia="宋体" w:cs="Times New Roman"/>
                <w:sz w:val="18"/>
                <w:szCs w:val="18"/>
              </w:rPr>
            </w:pPr>
            <w:r w:rsidRPr="00A71D2E">
              <w:rPr>
                <w:rFonts w:eastAsia="宋体" w:cs="Times New Roman" w:hint="eastAsia"/>
                <w:sz w:val="18"/>
                <w:szCs w:val="18"/>
              </w:rPr>
              <w:t>年末余额</w:t>
            </w:r>
          </w:p>
        </w:tc>
        <w:tc>
          <w:tcPr>
            <w:tcW w:w="3690" w:type="dxa"/>
            <w:gridSpan w:val="2"/>
            <w:shd w:val="clear" w:color="auto" w:fill="D9D9D9" w:themeFill="background1" w:themeFillShade="D9"/>
            <w:tcMar>
              <w:top w:w="0" w:type="dxa"/>
              <w:left w:w="108" w:type="dxa"/>
              <w:bottom w:w="0" w:type="dxa"/>
              <w:right w:w="108" w:type="dxa"/>
            </w:tcMar>
            <w:vAlign w:val="center"/>
            <w:hideMark/>
          </w:tcPr>
          <w:p w:rsidR="009E4A3F" w:rsidRPr="00A71D2E" w:rsidRDefault="000B2B61" w:rsidP="00F66363">
            <w:pPr>
              <w:spacing w:line="230" w:lineRule="auto"/>
              <w:jc w:val="center"/>
              <w:rPr>
                <w:rFonts w:eastAsia="宋体" w:cs="Times New Roman"/>
                <w:sz w:val="18"/>
                <w:szCs w:val="18"/>
              </w:rPr>
            </w:pPr>
            <w:r w:rsidRPr="00A71D2E">
              <w:rPr>
                <w:rFonts w:eastAsia="宋体" w:cs="Times New Roman" w:hint="eastAsia"/>
                <w:sz w:val="18"/>
                <w:szCs w:val="18"/>
              </w:rPr>
              <w:t>年初余额</w:t>
            </w:r>
          </w:p>
        </w:tc>
      </w:tr>
      <w:tr w:rsidR="009E4A3F" w:rsidRPr="00A71D2E" w:rsidTr="0027505B">
        <w:trPr>
          <w:trHeight w:val="20"/>
        </w:trPr>
        <w:tc>
          <w:tcPr>
            <w:tcW w:w="2065" w:type="dxa"/>
            <w:vMerge/>
            <w:shd w:val="clear" w:color="auto" w:fill="D9D9D9" w:themeFill="background1" w:themeFillShade="D9"/>
            <w:tcMar>
              <w:top w:w="0" w:type="dxa"/>
              <w:left w:w="108" w:type="dxa"/>
              <w:bottom w:w="0" w:type="dxa"/>
              <w:right w:w="108" w:type="dxa"/>
            </w:tcMar>
            <w:vAlign w:val="center"/>
            <w:hideMark/>
          </w:tcPr>
          <w:p w:rsidR="009E4A3F" w:rsidRPr="00A71D2E" w:rsidRDefault="009E4A3F" w:rsidP="00F66363">
            <w:pPr>
              <w:spacing w:line="230" w:lineRule="auto"/>
              <w:jc w:val="center"/>
              <w:rPr>
                <w:rFonts w:eastAsia="宋体" w:cs="Times New Roman"/>
                <w:sz w:val="18"/>
                <w:szCs w:val="18"/>
              </w:rPr>
            </w:pPr>
          </w:p>
        </w:tc>
        <w:tc>
          <w:tcPr>
            <w:tcW w:w="1845" w:type="dxa"/>
            <w:shd w:val="clear" w:color="auto" w:fill="D9D9D9" w:themeFill="background1" w:themeFillShade="D9"/>
            <w:tcMar>
              <w:top w:w="0" w:type="dxa"/>
              <w:left w:w="108" w:type="dxa"/>
              <w:bottom w:w="0" w:type="dxa"/>
              <w:right w:w="108" w:type="dxa"/>
            </w:tcMar>
            <w:vAlign w:val="center"/>
            <w:hideMark/>
          </w:tcPr>
          <w:p w:rsidR="009E4A3F" w:rsidRPr="00A71D2E" w:rsidRDefault="009E4A3F" w:rsidP="00F66363">
            <w:pPr>
              <w:spacing w:line="230" w:lineRule="auto"/>
              <w:jc w:val="center"/>
              <w:rPr>
                <w:rFonts w:eastAsia="宋体" w:cs="Times New Roman"/>
                <w:sz w:val="18"/>
                <w:szCs w:val="18"/>
              </w:rPr>
            </w:pPr>
            <w:r w:rsidRPr="00A71D2E">
              <w:rPr>
                <w:rFonts w:eastAsia="宋体" w:cs="Times New Roman" w:hint="eastAsia"/>
                <w:sz w:val="18"/>
                <w:szCs w:val="18"/>
              </w:rPr>
              <w:t>金额</w:t>
            </w:r>
          </w:p>
        </w:tc>
        <w:tc>
          <w:tcPr>
            <w:tcW w:w="1845" w:type="dxa"/>
            <w:shd w:val="clear" w:color="auto" w:fill="D9D9D9" w:themeFill="background1" w:themeFillShade="D9"/>
            <w:tcMar>
              <w:top w:w="0" w:type="dxa"/>
              <w:left w:w="108" w:type="dxa"/>
              <w:bottom w:w="0" w:type="dxa"/>
              <w:right w:w="108" w:type="dxa"/>
            </w:tcMar>
            <w:vAlign w:val="center"/>
            <w:hideMark/>
          </w:tcPr>
          <w:p w:rsidR="009E4A3F" w:rsidRPr="00A71D2E" w:rsidRDefault="009E4A3F" w:rsidP="00F66363">
            <w:pPr>
              <w:spacing w:line="230" w:lineRule="auto"/>
              <w:jc w:val="center"/>
              <w:rPr>
                <w:rFonts w:eastAsia="宋体" w:cs="Times New Roman"/>
                <w:sz w:val="18"/>
                <w:szCs w:val="18"/>
              </w:rPr>
            </w:pPr>
            <w:r w:rsidRPr="00A71D2E">
              <w:rPr>
                <w:rFonts w:eastAsia="宋体" w:cs="Times New Roman" w:hint="eastAsia"/>
                <w:sz w:val="18"/>
                <w:szCs w:val="18"/>
              </w:rPr>
              <w:t>比例</w:t>
            </w:r>
            <w:r w:rsidR="005F14EE">
              <w:rPr>
                <w:rFonts w:eastAsia="宋体" w:cs="Times New Roman"/>
                <w:sz w:val="18"/>
                <w:szCs w:val="18"/>
              </w:rPr>
              <w:t>(</w:t>
            </w:r>
            <w:r w:rsidRPr="00A71D2E">
              <w:rPr>
                <w:rFonts w:eastAsia="宋体" w:cs="Times New Roman"/>
                <w:sz w:val="18"/>
                <w:szCs w:val="18"/>
              </w:rPr>
              <w:t>%</w:t>
            </w:r>
            <w:r w:rsidR="005F14EE">
              <w:rPr>
                <w:rFonts w:eastAsia="宋体" w:cs="Times New Roman"/>
                <w:sz w:val="18"/>
                <w:szCs w:val="18"/>
              </w:rPr>
              <w:t>)</w:t>
            </w:r>
          </w:p>
        </w:tc>
        <w:tc>
          <w:tcPr>
            <w:tcW w:w="1845" w:type="dxa"/>
            <w:shd w:val="clear" w:color="auto" w:fill="D9D9D9" w:themeFill="background1" w:themeFillShade="D9"/>
            <w:tcMar>
              <w:top w:w="0" w:type="dxa"/>
              <w:left w:w="108" w:type="dxa"/>
              <w:bottom w:w="0" w:type="dxa"/>
              <w:right w:w="108" w:type="dxa"/>
            </w:tcMar>
            <w:vAlign w:val="center"/>
            <w:hideMark/>
          </w:tcPr>
          <w:p w:rsidR="009E4A3F" w:rsidRPr="00A71D2E" w:rsidRDefault="009E4A3F" w:rsidP="00F66363">
            <w:pPr>
              <w:spacing w:line="230" w:lineRule="auto"/>
              <w:jc w:val="center"/>
              <w:rPr>
                <w:rFonts w:eastAsia="宋体" w:cs="Times New Roman"/>
                <w:sz w:val="18"/>
                <w:szCs w:val="18"/>
              </w:rPr>
            </w:pPr>
            <w:r w:rsidRPr="00A71D2E">
              <w:rPr>
                <w:rFonts w:eastAsia="宋体" w:cs="Times New Roman" w:hint="eastAsia"/>
                <w:sz w:val="18"/>
                <w:szCs w:val="18"/>
              </w:rPr>
              <w:t>金额</w:t>
            </w:r>
          </w:p>
        </w:tc>
        <w:tc>
          <w:tcPr>
            <w:tcW w:w="1845" w:type="dxa"/>
            <w:shd w:val="clear" w:color="auto" w:fill="D9D9D9" w:themeFill="background1" w:themeFillShade="D9"/>
            <w:tcMar>
              <w:top w:w="0" w:type="dxa"/>
              <w:left w:w="108" w:type="dxa"/>
              <w:bottom w:w="0" w:type="dxa"/>
              <w:right w:w="108" w:type="dxa"/>
            </w:tcMar>
            <w:vAlign w:val="center"/>
            <w:hideMark/>
          </w:tcPr>
          <w:p w:rsidR="009E4A3F" w:rsidRPr="00A71D2E" w:rsidRDefault="009E4A3F" w:rsidP="00F66363">
            <w:pPr>
              <w:spacing w:line="230" w:lineRule="auto"/>
              <w:jc w:val="center"/>
              <w:rPr>
                <w:rFonts w:eastAsia="宋体" w:cs="Times New Roman"/>
                <w:sz w:val="18"/>
                <w:szCs w:val="18"/>
              </w:rPr>
            </w:pPr>
            <w:r w:rsidRPr="00A71D2E">
              <w:rPr>
                <w:rFonts w:eastAsia="宋体" w:cs="Times New Roman" w:hint="eastAsia"/>
                <w:sz w:val="18"/>
                <w:szCs w:val="18"/>
              </w:rPr>
              <w:t>比例</w:t>
            </w:r>
            <w:r w:rsidR="005F14EE">
              <w:rPr>
                <w:rFonts w:eastAsia="宋体" w:cs="Times New Roman"/>
                <w:sz w:val="18"/>
                <w:szCs w:val="18"/>
              </w:rPr>
              <w:t>(</w:t>
            </w:r>
            <w:r w:rsidRPr="00A71D2E">
              <w:rPr>
                <w:rFonts w:eastAsia="宋体" w:cs="Times New Roman"/>
                <w:sz w:val="18"/>
                <w:szCs w:val="18"/>
              </w:rPr>
              <w:t>%</w:t>
            </w:r>
            <w:r w:rsidR="005F14EE">
              <w:rPr>
                <w:rFonts w:eastAsia="宋体" w:cs="Times New Roman"/>
                <w:sz w:val="18"/>
                <w:szCs w:val="18"/>
              </w:rPr>
              <w:t>)</w:t>
            </w:r>
          </w:p>
        </w:tc>
      </w:tr>
      <w:tr w:rsidR="00060F26" w:rsidRPr="00A71D2E" w:rsidTr="0027505B">
        <w:trPr>
          <w:trHeight w:val="20"/>
        </w:trPr>
        <w:tc>
          <w:tcPr>
            <w:tcW w:w="2065" w:type="dxa"/>
            <w:shd w:val="clear" w:color="auto" w:fill="FFFFFF" w:themeFill="background1"/>
            <w:tcMar>
              <w:top w:w="0" w:type="dxa"/>
              <w:left w:w="108" w:type="dxa"/>
              <w:bottom w:w="0" w:type="dxa"/>
              <w:right w:w="108" w:type="dxa"/>
            </w:tcMar>
            <w:vAlign w:val="center"/>
          </w:tcPr>
          <w:p w:rsidR="00060F26" w:rsidRPr="00A71D2E" w:rsidRDefault="00060F26" w:rsidP="00060F26">
            <w:pPr>
              <w:spacing w:line="230" w:lineRule="auto"/>
              <w:rPr>
                <w:rFonts w:eastAsia="宋体" w:cs="Times New Roman"/>
                <w:sz w:val="18"/>
                <w:szCs w:val="18"/>
              </w:rPr>
            </w:pPr>
            <w:r w:rsidRPr="00A71D2E">
              <w:rPr>
                <w:rFonts w:eastAsia="宋体" w:cs="Times New Roman"/>
                <w:sz w:val="18"/>
                <w:szCs w:val="18"/>
              </w:rPr>
              <w:t>1</w:t>
            </w:r>
            <w:r w:rsidRPr="00A71D2E">
              <w:rPr>
                <w:rFonts w:eastAsia="宋体" w:cs="Times New Roman" w:hint="eastAsia"/>
                <w:sz w:val="18"/>
                <w:szCs w:val="18"/>
              </w:rPr>
              <w:t>年以内</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060F26">
              <w:rPr>
                <w:rFonts w:eastAsia="宋体" w:cs="Times New Roman"/>
                <w:sz w:val="18"/>
                <w:szCs w:val="18"/>
              </w:rPr>
              <w:t>32,089,100.72</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060F26">
              <w:rPr>
                <w:rFonts w:eastAsia="宋体" w:cs="Times New Roman"/>
                <w:sz w:val="18"/>
                <w:szCs w:val="18"/>
              </w:rPr>
              <w:t>97.28</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FF417F">
              <w:rPr>
                <w:rFonts w:eastAsia="宋体" w:cs="Times New Roman"/>
                <w:sz w:val="18"/>
                <w:szCs w:val="18"/>
              </w:rPr>
              <w:t>32,237,258.37</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A71D2E">
              <w:rPr>
                <w:rFonts w:eastAsia="宋体" w:cs="Times New Roman"/>
                <w:sz w:val="18"/>
                <w:szCs w:val="18"/>
              </w:rPr>
              <w:t>9</w:t>
            </w:r>
            <w:r>
              <w:rPr>
                <w:rFonts w:eastAsia="宋体" w:cs="Times New Roman"/>
                <w:sz w:val="18"/>
                <w:szCs w:val="18"/>
              </w:rPr>
              <w:t>4</w:t>
            </w:r>
            <w:r w:rsidRPr="00A71D2E">
              <w:rPr>
                <w:rFonts w:eastAsia="宋体" w:cs="Times New Roman"/>
                <w:sz w:val="18"/>
                <w:szCs w:val="18"/>
              </w:rPr>
              <w:t>.</w:t>
            </w:r>
            <w:r>
              <w:rPr>
                <w:rFonts w:eastAsia="宋体" w:cs="Times New Roman"/>
                <w:sz w:val="18"/>
                <w:szCs w:val="18"/>
              </w:rPr>
              <w:t>94</w:t>
            </w:r>
          </w:p>
        </w:tc>
      </w:tr>
      <w:tr w:rsidR="00060F26" w:rsidRPr="00A71D2E" w:rsidTr="0027505B">
        <w:trPr>
          <w:trHeight w:val="20"/>
        </w:trPr>
        <w:tc>
          <w:tcPr>
            <w:tcW w:w="2065" w:type="dxa"/>
            <w:shd w:val="clear" w:color="auto" w:fill="FFFFFF" w:themeFill="background1"/>
            <w:tcMar>
              <w:top w:w="0" w:type="dxa"/>
              <w:left w:w="108" w:type="dxa"/>
              <w:bottom w:w="0" w:type="dxa"/>
              <w:right w:w="108" w:type="dxa"/>
            </w:tcMar>
            <w:vAlign w:val="center"/>
          </w:tcPr>
          <w:p w:rsidR="00060F26" w:rsidRPr="00A71D2E" w:rsidRDefault="00060F26" w:rsidP="00060F26">
            <w:pPr>
              <w:spacing w:line="230" w:lineRule="auto"/>
              <w:rPr>
                <w:rFonts w:eastAsia="宋体" w:cs="Times New Roman"/>
                <w:sz w:val="18"/>
                <w:szCs w:val="18"/>
              </w:rPr>
            </w:pPr>
            <w:r w:rsidRPr="00A71D2E">
              <w:rPr>
                <w:rFonts w:eastAsia="宋体" w:cs="Times New Roman"/>
                <w:sz w:val="18"/>
                <w:szCs w:val="18"/>
              </w:rPr>
              <w:t>1</w:t>
            </w:r>
            <w:r w:rsidRPr="00A71D2E">
              <w:rPr>
                <w:rFonts w:eastAsia="宋体" w:cs="Times New Roman" w:hint="eastAsia"/>
                <w:sz w:val="18"/>
                <w:szCs w:val="18"/>
              </w:rPr>
              <w:t>至</w:t>
            </w:r>
            <w:r w:rsidRPr="00A71D2E">
              <w:rPr>
                <w:rFonts w:eastAsia="宋体" w:cs="Times New Roman"/>
                <w:sz w:val="18"/>
                <w:szCs w:val="18"/>
              </w:rPr>
              <w:t>2</w:t>
            </w:r>
            <w:r w:rsidRPr="00A71D2E">
              <w:rPr>
                <w:rFonts w:eastAsia="宋体" w:cs="Times New Roman" w:hint="eastAsia"/>
                <w:sz w:val="18"/>
                <w:szCs w:val="18"/>
              </w:rPr>
              <w:t>年</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060F26">
              <w:rPr>
                <w:rFonts w:eastAsia="宋体" w:cs="Times New Roman"/>
                <w:sz w:val="18"/>
                <w:szCs w:val="18"/>
              </w:rPr>
              <w:t>695,573.10</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060F26">
              <w:rPr>
                <w:rFonts w:eastAsia="宋体" w:cs="Times New Roman"/>
                <w:sz w:val="18"/>
                <w:szCs w:val="18"/>
              </w:rPr>
              <w:t>2.11</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A71D2E">
              <w:rPr>
                <w:rFonts w:eastAsia="宋体" w:cs="Times New Roman"/>
                <w:sz w:val="18"/>
                <w:szCs w:val="18"/>
              </w:rPr>
              <w:t>1,585,745.76</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A71D2E">
              <w:rPr>
                <w:rFonts w:eastAsia="宋体" w:cs="Times New Roman"/>
                <w:sz w:val="18"/>
                <w:szCs w:val="18"/>
              </w:rPr>
              <w:t>4.</w:t>
            </w:r>
            <w:r>
              <w:rPr>
                <w:rFonts w:eastAsia="宋体" w:cs="Times New Roman"/>
                <w:sz w:val="18"/>
                <w:szCs w:val="18"/>
              </w:rPr>
              <w:t>67</w:t>
            </w:r>
          </w:p>
        </w:tc>
      </w:tr>
      <w:tr w:rsidR="00060F26" w:rsidRPr="00A71D2E" w:rsidTr="0027505B">
        <w:trPr>
          <w:trHeight w:val="20"/>
        </w:trPr>
        <w:tc>
          <w:tcPr>
            <w:tcW w:w="2065" w:type="dxa"/>
            <w:shd w:val="clear" w:color="auto" w:fill="FFFFFF" w:themeFill="background1"/>
            <w:tcMar>
              <w:top w:w="0" w:type="dxa"/>
              <w:left w:w="108" w:type="dxa"/>
              <w:bottom w:w="0" w:type="dxa"/>
              <w:right w:w="108" w:type="dxa"/>
            </w:tcMar>
            <w:vAlign w:val="center"/>
          </w:tcPr>
          <w:p w:rsidR="00060F26" w:rsidRPr="00A71D2E" w:rsidRDefault="00060F26" w:rsidP="00060F26">
            <w:pPr>
              <w:spacing w:line="230" w:lineRule="auto"/>
              <w:rPr>
                <w:rFonts w:eastAsia="宋体" w:cs="Times New Roman"/>
                <w:sz w:val="18"/>
                <w:szCs w:val="18"/>
              </w:rPr>
            </w:pPr>
            <w:r w:rsidRPr="00A71D2E">
              <w:rPr>
                <w:rFonts w:eastAsia="宋体" w:cs="Times New Roman"/>
                <w:sz w:val="18"/>
                <w:szCs w:val="18"/>
              </w:rPr>
              <w:t>2</w:t>
            </w:r>
            <w:r w:rsidRPr="00A71D2E">
              <w:rPr>
                <w:rFonts w:eastAsia="宋体" w:cs="Times New Roman" w:hint="eastAsia"/>
                <w:sz w:val="18"/>
                <w:szCs w:val="18"/>
              </w:rPr>
              <w:t>至</w:t>
            </w:r>
            <w:r w:rsidRPr="00A71D2E">
              <w:rPr>
                <w:rFonts w:eastAsia="宋体" w:cs="Times New Roman"/>
                <w:sz w:val="18"/>
                <w:szCs w:val="18"/>
              </w:rPr>
              <w:t>3</w:t>
            </w:r>
            <w:r w:rsidRPr="00A71D2E">
              <w:rPr>
                <w:rFonts w:eastAsia="宋体" w:cs="Times New Roman" w:hint="eastAsia"/>
                <w:sz w:val="18"/>
                <w:szCs w:val="18"/>
              </w:rPr>
              <w:t>年</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060F26">
              <w:rPr>
                <w:rFonts w:eastAsia="宋体" w:cs="Times New Roman"/>
                <w:sz w:val="18"/>
                <w:szCs w:val="18"/>
              </w:rPr>
              <w:t>100,417.47</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060F26">
              <w:rPr>
                <w:rFonts w:eastAsia="宋体" w:cs="Times New Roman"/>
                <w:sz w:val="18"/>
                <w:szCs w:val="18"/>
              </w:rPr>
              <w:t>0.30</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A71D2E">
              <w:rPr>
                <w:rFonts w:eastAsia="宋体" w:cs="Times New Roman"/>
                <w:sz w:val="18"/>
                <w:szCs w:val="18"/>
              </w:rPr>
              <w:t>133,707.27</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A71D2E">
              <w:rPr>
                <w:rFonts w:eastAsia="宋体" w:cs="Times New Roman"/>
                <w:sz w:val="18"/>
                <w:szCs w:val="18"/>
              </w:rPr>
              <w:t>0.3</w:t>
            </w:r>
            <w:r>
              <w:rPr>
                <w:rFonts w:eastAsia="宋体" w:cs="Times New Roman"/>
                <w:sz w:val="18"/>
                <w:szCs w:val="18"/>
              </w:rPr>
              <w:t>9</w:t>
            </w:r>
          </w:p>
        </w:tc>
      </w:tr>
      <w:tr w:rsidR="00060F26" w:rsidRPr="00A71D2E" w:rsidTr="0027505B">
        <w:trPr>
          <w:trHeight w:val="20"/>
        </w:trPr>
        <w:tc>
          <w:tcPr>
            <w:tcW w:w="2065" w:type="dxa"/>
            <w:shd w:val="clear" w:color="auto" w:fill="FFFFFF" w:themeFill="background1"/>
            <w:tcMar>
              <w:top w:w="0" w:type="dxa"/>
              <w:left w:w="108" w:type="dxa"/>
              <w:bottom w:w="0" w:type="dxa"/>
              <w:right w:w="108" w:type="dxa"/>
            </w:tcMar>
            <w:vAlign w:val="center"/>
          </w:tcPr>
          <w:p w:rsidR="00060F26" w:rsidRPr="00A71D2E" w:rsidRDefault="00060F26" w:rsidP="00060F26">
            <w:pPr>
              <w:spacing w:line="230" w:lineRule="auto"/>
              <w:rPr>
                <w:rFonts w:eastAsia="宋体" w:cs="Times New Roman"/>
                <w:sz w:val="18"/>
                <w:szCs w:val="18"/>
              </w:rPr>
            </w:pPr>
            <w:r>
              <w:rPr>
                <w:rFonts w:eastAsia="宋体" w:cs="Times New Roman" w:hint="eastAsia"/>
                <w:sz w:val="18"/>
                <w:szCs w:val="18"/>
              </w:rPr>
              <w:t>3</w:t>
            </w:r>
            <w:r>
              <w:rPr>
                <w:rFonts w:eastAsia="宋体" w:cs="Times New Roman" w:hint="eastAsia"/>
                <w:sz w:val="18"/>
                <w:szCs w:val="18"/>
              </w:rPr>
              <w:t>年以上</w:t>
            </w:r>
          </w:p>
        </w:tc>
        <w:tc>
          <w:tcPr>
            <w:tcW w:w="1845" w:type="dxa"/>
            <w:tcMar>
              <w:top w:w="0" w:type="dxa"/>
              <w:left w:w="108" w:type="dxa"/>
              <w:bottom w:w="0" w:type="dxa"/>
              <w:right w:w="108" w:type="dxa"/>
            </w:tcMar>
            <w:vAlign w:val="center"/>
          </w:tcPr>
          <w:p w:rsidR="00060F26" w:rsidRPr="00060F26" w:rsidRDefault="00060F26" w:rsidP="00060F26">
            <w:pPr>
              <w:spacing w:line="230" w:lineRule="auto"/>
              <w:jc w:val="right"/>
              <w:rPr>
                <w:rFonts w:eastAsia="宋体" w:cs="Times New Roman"/>
                <w:sz w:val="18"/>
                <w:szCs w:val="18"/>
              </w:rPr>
            </w:pPr>
            <w:r w:rsidRPr="00060F26">
              <w:rPr>
                <w:rFonts w:eastAsia="宋体" w:cs="Times New Roman"/>
                <w:sz w:val="18"/>
                <w:szCs w:val="18"/>
              </w:rPr>
              <w:t>102,427.29</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060F26">
              <w:rPr>
                <w:rFonts w:eastAsia="宋体" w:cs="Times New Roman"/>
                <w:sz w:val="18"/>
                <w:szCs w:val="18"/>
              </w:rPr>
              <w:t>0.31</w:t>
            </w:r>
          </w:p>
        </w:tc>
        <w:tc>
          <w:tcPr>
            <w:tcW w:w="1845" w:type="dxa"/>
            <w:tcMar>
              <w:top w:w="0" w:type="dxa"/>
              <w:left w:w="108" w:type="dxa"/>
              <w:bottom w:w="0" w:type="dxa"/>
              <w:right w:w="108" w:type="dxa"/>
            </w:tcMar>
            <w:vAlign w:val="center"/>
          </w:tcPr>
          <w:p w:rsidR="00060F26" w:rsidRPr="00A71D2E" w:rsidRDefault="00060F26" w:rsidP="00060F26">
            <w:pPr>
              <w:wordWrap w:val="0"/>
              <w:spacing w:line="230" w:lineRule="auto"/>
              <w:jc w:val="right"/>
              <w:rPr>
                <w:rFonts w:eastAsia="宋体" w:cs="Times New Roman"/>
                <w:sz w:val="18"/>
                <w:szCs w:val="18"/>
              </w:rPr>
            </w:pPr>
            <w:r>
              <w:rPr>
                <w:rFonts w:eastAsia="宋体" w:cs="Times New Roman" w:hint="eastAsia"/>
                <w:sz w:val="18"/>
                <w:szCs w:val="18"/>
              </w:rPr>
              <w:t>-</w:t>
            </w:r>
            <w:r w:rsidR="004F42E4">
              <w:rPr>
                <w:rFonts w:eastAsia="宋体" w:cs="Times New Roman"/>
                <w:sz w:val="18"/>
                <w:szCs w:val="18"/>
              </w:rPr>
              <w:t>    </w:t>
            </w:r>
          </w:p>
        </w:tc>
        <w:tc>
          <w:tcPr>
            <w:tcW w:w="1845" w:type="dxa"/>
            <w:tcMar>
              <w:top w:w="0" w:type="dxa"/>
              <w:left w:w="108" w:type="dxa"/>
              <w:bottom w:w="0" w:type="dxa"/>
              <w:right w:w="108" w:type="dxa"/>
            </w:tcMar>
            <w:vAlign w:val="center"/>
          </w:tcPr>
          <w:p w:rsidR="00060F26" w:rsidRPr="00A71D2E" w:rsidRDefault="00060F26" w:rsidP="00060F26">
            <w:pPr>
              <w:wordWrap w:val="0"/>
              <w:spacing w:line="230" w:lineRule="auto"/>
              <w:jc w:val="right"/>
              <w:rPr>
                <w:rFonts w:eastAsia="宋体" w:cs="Times New Roman"/>
                <w:sz w:val="18"/>
                <w:szCs w:val="18"/>
              </w:rPr>
            </w:pPr>
            <w:r>
              <w:rPr>
                <w:rFonts w:eastAsia="宋体" w:cs="Times New Roman" w:hint="eastAsia"/>
                <w:sz w:val="18"/>
                <w:szCs w:val="18"/>
              </w:rPr>
              <w:t>-</w:t>
            </w:r>
            <w:r w:rsidR="004F42E4">
              <w:rPr>
                <w:rFonts w:eastAsia="宋体" w:cs="Times New Roman"/>
                <w:sz w:val="18"/>
                <w:szCs w:val="18"/>
              </w:rPr>
              <w:t>    </w:t>
            </w:r>
          </w:p>
        </w:tc>
      </w:tr>
      <w:tr w:rsidR="00060F26" w:rsidRPr="00A71D2E" w:rsidTr="0027505B">
        <w:trPr>
          <w:trHeight w:val="20"/>
        </w:trPr>
        <w:tc>
          <w:tcPr>
            <w:tcW w:w="2065" w:type="dxa"/>
            <w:shd w:val="clear" w:color="auto" w:fill="D9D9D9" w:themeFill="background1" w:themeFillShade="D9"/>
            <w:tcMar>
              <w:top w:w="0" w:type="dxa"/>
              <w:left w:w="108" w:type="dxa"/>
              <w:bottom w:w="0" w:type="dxa"/>
              <w:right w:w="108" w:type="dxa"/>
            </w:tcMar>
            <w:vAlign w:val="center"/>
            <w:hideMark/>
          </w:tcPr>
          <w:p w:rsidR="00060F26" w:rsidRPr="00A71D2E" w:rsidRDefault="00060F26" w:rsidP="00060F26">
            <w:pPr>
              <w:spacing w:line="230" w:lineRule="auto"/>
              <w:rPr>
                <w:rFonts w:eastAsia="宋体" w:cs="Times New Roman"/>
                <w:sz w:val="18"/>
                <w:szCs w:val="18"/>
              </w:rPr>
            </w:pPr>
            <w:r w:rsidRPr="00A71D2E">
              <w:rPr>
                <w:rFonts w:eastAsia="宋体" w:cs="Times New Roman" w:hint="eastAsia"/>
                <w:sz w:val="18"/>
                <w:szCs w:val="18"/>
              </w:rPr>
              <w:t>合计</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060F26">
              <w:rPr>
                <w:rFonts w:eastAsia="宋体" w:cs="Times New Roman"/>
                <w:sz w:val="18"/>
                <w:szCs w:val="18"/>
              </w:rPr>
              <w:t>32,987,518.58</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060F26">
              <w:rPr>
                <w:rFonts w:eastAsia="宋体" w:cs="Times New Roman"/>
                <w:sz w:val="18"/>
                <w:szCs w:val="18"/>
              </w:rPr>
              <w:t>100.00</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FF417F">
              <w:rPr>
                <w:rFonts w:eastAsia="宋体" w:cs="Times New Roman"/>
                <w:sz w:val="18"/>
                <w:szCs w:val="18"/>
              </w:rPr>
              <w:t>33,956,711.40</w:t>
            </w:r>
          </w:p>
        </w:tc>
        <w:tc>
          <w:tcPr>
            <w:tcW w:w="1845" w:type="dxa"/>
            <w:tcMar>
              <w:top w:w="0" w:type="dxa"/>
              <w:left w:w="108" w:type="dxa"/>
              <w:bottom w:w="0" w:type="dxa"/>
              <w:right w:w="108" w:type="dxa"/>
            </w:tcMar>
            <w:vAlign w:val="center"/>
          </w:tcPr>
          <w:p w:rsidR="00060F26" w:rsidRPr="00A71D2E" w:rsidRDefault="00060F26" w:rsidP="00060F26">
            <w:pPr>
              <w:spacing w:line="230" w:lineRule="auto"/>
              <w:jc w:val="right"/>
              <w:rPr>
                <w:rFonts w:eastAsia="宋体" w:cs="Times New Roman"/>
                <w:sz w:val="18"/>
                <w:szCs w:val="18"/>
              </w:rPr>
            </w:pPr>
            <w:r w:rsidRPr="00A71D2E">
              <w:rPr>
                <w:rFonts w:eastAsia="宋体" w:cs="Times New Roman"/>
                <w:sz w:val="18"/>
                <w:szCs w:val="18"/>
              </w:rPr>
              <w:t>100.00</w:t>
            </w:r>
          </w:p>
        </w:tc>
      </w:tr>
    </w:tbl>
    <w:p w:rsidR="00F602A1" w:rsidRPr="00A71D2E" w:rsidRDefault="00F602A1" w:rsidP="00F66363">
      <w:pPr>
        <w:spacing w:line="230" w:lineRule="auto"/>
        <w:ind w:left="720"/>
        <w:rPr>
          <w:rFonts w:eastAsia="宋体" w:cs="Times New Roman"/>
          <w:szCs w:val="21"/>
        </w:rPr>
      </w:pPr>
    </w:p>
    <w:p w:rsidR="007D47F9" w:rsidRPr="00A71D2E" w:rsidRDefault="007D47F9">
      <w:pPr>
        <w:pStyle w:val="aff1"/>
        <w:numPr>
          <w:ilvl w:val="0"/>
          <w:numId w:val="12"/>
        </w:numPr>
        <w:spacing w:line="230" w:lineRule="auto"/>
        <w:ind w:left="1440" w:firstLineChars="0" w:hanging="709"/>
        <w:rPr>
          <w:szCs w:val="21"/>
        </w:rPr>
      </w:pPr>
      <w:r w:rsidRPr="00A71D2E">
        <w:rPr>
          <w:rFonts w:hint="eastAsia"/>
          <w:szCs w:val="21"/>
        </w:rPr>
        <w:t>按预付对象归集的年末余额前五名的预付款项情况</w:t>
      </w:r>
    </w:p>
    <w:p w:rsidR="007D47F9" w:rsidRPr="00A71D2E" w:rsidRDefault="007D47F9" w:rsidP="00F66363">
      <w:pPr>
        <w:spacing w:line="230" w:lineRule="auto"/>
        <w:ind w:left="720"/>
        <w:jc w:val="both"/>
        <w:rPr>
          <w:rFonts w:eastAsia="宋体" w:cs="Times New Roman"/>
          <w:szCs w:val="21"/>
        </w:rPr>
      </w:pPr>
    </w:p>
    <w:p w:rsidR="00F706CC" w:rsidRPr="00F706CC" w:rsidRDefault="00F706CC" w:rsidP="00F706CC">
      <w:pPr>
        <w:spacing w:line="230" w:lineRule="auto"/>
        <w:ind w:left="720" w:firstLine="11"/>
        <w:jc w:val="both"/>
        <w:rPr>
          <w:rFonts w:eastAsia="宋体" w:cs="Times New Roman"/>
          <w:szCs w:val="21"/>
        </w:rPr>
      </w:pPr>
      <w:r>
        <w:rPr>
          <w:rFonts w:eastAsia="宋体" w:cs="Times New Roman" w:hint="eastAsia"/>
          <w:szCs w:val="21"/>
        </w:rPr>
        <w:t>本年</w:t>
      </w:r>
      <w:r w:rsidR="00BE656C" w:rsidRPr="00A71D2E">
        <w:rPr>
          <w:rFonts w:eastAsia="宋体" w:cs="Times New Roman" w:hint="eastAsia"/>
          <w:szCs w:val="21"/>
        </w:rPr>
        <w:t>末</w:t>
      </w:r>
      <w:r w:rsidR="007772DF" w:rsidRPr="00A71D2E">
        <w:rPr>
          <w:rFonts w:eastAsia="宋体" w:cs="Times New Roman" w:hint="eastAsia"/>
          <w:szCs w:val="21"/>
        </w:rPr>
        <w:t>，</w:t>
      </w:r>
      <w:r w:rsidR="00BF2CCC" w:rsidRPr="00A71D2E">
        <w:rPr>
          <w:rFonts w:eastAsia="宋体" w:cs="Times New Roman" w:hint="eastAsia"/>
          <w:szCs w:val="21"/>
        </w:rPr>
        <w:t>本集团</w:t>
      </w:r>
      <w:r w:rsidR="007772DF" w:rsidRPr="00A71D2E">
        <w:rPr>
          <w:rFonts w:eastAsia="宋体" w:cs="Times New Roman" w:hint="eastAsia"/>
          <w:szCs w:val="21"/>
        </w:rPr>
        <w:t>预付款项金额前五名</w:t>
      </w:r>
      <w:r w:rsidR="00950E15" w:rsidRPr="00A71D2E">
        <w:rPr>
          <w:rFonts w:eastAsia="宋体" w:cs="Times New Roman" w:hint="eastAsia"/>
          <w:szCs w:val="21"/>
        </w:rPr>
        <w:t>合计金额为人民币</w:t>
      </w:r>
      <w:r w:rsidR="0027505B" w:rsidRPr="00060F26">
        <w:rPr>
          <w:rFonts w:eastAsia="宋体" w:cs="Times New Roman"/>
          <w:szCs w:val="21"/>
        </w:rPr>
        <w:t>1</w:t>
      </w:r>
      <w:r w:rsidR="0027505B">
        <w:rPr>
          <w:rFonts w:eastAsia="宋体" w:cs="Times New Roman"/>
          <w:szCs w:val="21"/>
        </w:rPr>
        <w:t>6</w:t>
      </w:r>
      <w:r w:rsidR="0027505B" w:rsidRPr="00060F26">
        <w:rPr>
          <w:rFonts w:eastAsia="宋体" w:cs="Times New Roman"/>
          <w:szCs w:val="21"/>
        </w:rPr>
        <w:t>,</w:t>
      </w:r>
      <w:r w:rsidR="0027505B">
        <w:rPr>
          <w:rFonts w:eastAsia="宋体" w:cs="Times New Roman"/>
          <w:szCs w:val="21"/>
        </w:rPr>
        <w:t>963</w:t>
      </w:r>
      <w:r w:rsidR="0027505B" w:rsidRPr="00060F26">
        <w:rPr>
          <w:rFonts w:eastAsia="宋体" w:cs="Times New Roman"/>
          <w:szCs w:val="21"/>
        </w:rPr>
        <w:t>,</w:t>
      </w:r>
      <w:r w:rsidR="0027505B">
        <w:rPr>
          <w:rFonts w:eastAsia="宋体" w:cs="Times New Roman"/>
          <w:szCs w:val="21"/>
        </w:rPr>
        <w:t>940</w:t>
      </w:r>
      <w:r w:rsidR="0027505B" w:rsidRPr="00060F26">
        <w:rPr>
          <w:rFonts w:eastAsia="宋体" w:cs="Times New Roman"/>
          <w:szCs w:val="21"/>
        </w:rPr>
        <w:t>.</w:t>
      </w:r>
      <w:r w:rsidR="0027505B">
        <w:rPr>
          <w:rFonts w:eastAsia="宋体" w:cs="Times New Roman"/>
          <w:szCs w:val="21"/>
        </w:rPr>
        <w:t>60</w:t>
      </w:r>
      <w:r w:rsidR="00950E15" w:rsidRPr="00A71D2E">
        <w:rPr>
          <w:rFonts w:eastAsia="宋体" w:cs="Times New Roman" w:hint="eastAsia"/>
          <w:szCs w:val="21"/>
        </w:rPr>
        <w:t>元</w:t>
      </w:r>
      <w:r w:rsidR="005F14EE">
        <w:rPr>
          <w:rFonts w:eastAsia="宋体" w:cs="Times New Roman" w:hint="eastAsia"/>
          <w:szCs w:val="21"/>
        </w:rPr>
        <w:t>(</w:t>
      </w:r>
      <w:r w:rsidR="00592165">
        <w:rPr>
          <w:rFonts w:eastAsia="宋体" w:cs="Times New Roman" w:hint="eastAsia"/>
          <w:szCs w:val="21"/>
        </w:rPr>
        <w:t>上年</w:t>
      </w:r>
      <w:r w:rsidR="00592165" w:rsidRPr="00F706CC">
        <w:rPr>
          <w:rFonts w:eastAsia="宋体" w:cs="Times New Roman" w:hint="eastAsia"/>
          <w:szCs w:val="21"/>
        </w:rPr>
        <w:t>末</w:t>
      </w:r>
      <w:r w:rsidR="005F14EE">
        <w:rPr>
          <w:rFonts w:eastAsia="宋体" w:cs="Times New Roman" w:hint="eastAsia"/>
          <w:szCs w:val="21"/>
        </w:rPr>
        <w:t>：</w:t>
      </w:r>
      <w:r w:rsidR="00592165">
        <w:rPr>
          <w:rFonts w:eastAsia="宋体" w:cs="Times New Roman" w:hint="eastAsia"/>
          <w:szCs w:val="21"/>
        </w:rPr>
        <w:t>人民</w:t>
      </w:r>
      <w:r w:rsidR="00592165" w:rsidRPr="00F706CC">
        <w:rPr>
          <w:rFonts w:eastAsia="宋体" w:cs="Times New Roman" w:hint="eastAsia"/>
          <w:szCs w:val="21"/>
        </w:rPr>
        <w:t>币</w:t>
      </w:r>
      <w:r w:rsidR="00501341" w:rsidRPr="00963F90">
        <w:rPr>
          <w:rFonts w:eastAsia="宋体" w:cs="Times New Roman"/>
          <w:szCs w:val="21"/>
        </w:rPr>
        <w:t>19,894,903.13</w:t>
      </w:r>
      <w:r w:rsidR="00592165" w:rsidRPr="00F706CC">
        <w:rPr>
          <w:rFonts w:eastAsia="宋体" w:cs="Times New Roman" w:hint="eastAsia"/>
          <w:szCs w:val="21"/>
        </w:rPr>
        <w:t>元</w:t>
      </w:r>
      <w:r w:rsidR="005F14EE">
        <w:rPr>
          <w:rFonts w:eastAsia="宋体" w:cs="Times New Roman" w:hint="eastAsia"/>
          <w:szCs w:val="21"/>
        </w:rPr>
        <w:t>)</w:t>
      </w:r>
      <w:r w:rsidR="00950E15" w:rsidRPr="00A71D2E">
        <w:rPr>
          <w:rFonts w:eastAsia="宋体" w:cs="Times New Roman" w:hint="eastAsia"/>
          <w:szCs w:val="21"/>
        </w:rPr>
        <w:t>，占</w:t>
      </w:r>
      <w:r w:rsidR="00B04F84" w:rsidRPr="00A71D2E">
        <w:rPr>
          <w:rFonts w:eastAsia="宋体" w:cs="Times New Roman" w:hint="eastAsia"/>
          <w:szCs w:val="21"/>
        </w:rPr>
        <w:t>预付</w:t>
      </w:r>
      <w:r w:rsidR="00B019C6">
        <w:rPr>
          <w:rFonts w:eastAsia="宋体" w:cs="Times New Roman" w:hint="eastAsia"/>
          <w:szCs w:val="21"/>
        </w:rPr>
        <w:t>款项</w:t>
      </w:r>
      <w:r w:rsidR="00950E15" w:rsidRPr="00A71D2E">
        <w:rPr>
          <w:rFonts w:eastAsia="宋体" w:cs="Times New Roman" w:hint="eastAsia"/>
          <w:szCs w:val="21"/>
        </w:rPr>
        <w:t>年末余额</w:t>
      </w:r>
      <w:r w:rsidR="00BF2CCC" w:rsidRPr="00A71D2E">
        <w:rPr>
          <w:rFonts w:eastAsia="宋体" w:cs="Times New Roman" w:hint="eastAsia"/>
          <w:szCs w:val="21"/>
        </w:rPr>
        <w:t>合计数</w:t>
      </w:r>
      <w:r w:rsidR="00950E15" w:rsidRPr="00A71D2E">
        <w:rPr>
          <w:rFonts w:eastAsia="宋体" w:cs="Times New Roman" w:hint="eastAsia"/>
          <w:szCs w:val="21"/>
        </w:rPr>
        <w:t>的</w:t>
      </w:r>
      <w:r w:rsidR="00BF2CCC" w:rsidRPr="00A71D2E">
        <w:rPr>
          <w:rFonts w:eastAsia="宋体" w:cs="Times New Roman" w:hint="eastAsia"/>
          <w:szCs w:val="21"/>
        </w:rPr>
        <w:t>比例为</w:t>
      </w:r>
      <w:r w:rsidR="0027505B">
        <w:rPr>
          <w:rFonts w:eastAsia="宋体" w:cs="Times New Roman"/>
          <w:szCs w:val="21"/>
        </w:rPr>
        <w:t>51</w:t>
      </w:r>
      <w:r w:rsidR="0027505B" w:rsidRPr="00060F26">
        <w:rPr>
          <w:rFonts w:eastAsia="宋体" w:cs="Times New Roman"/>
          <w:szCs w:val="21"/>
        </w:rPr>
        <w:t>.</w:t>
      </w:r>
      <w:r w:rsidR="0027505B">
        <w:rPr>
          <w:rFonts w:eastAsia="宋体" w:cs="Times New Roman"/>
          <w:szCs w:val="21"/>
        </w:rPr>
        <w:t>43</w:t>
      </w:r>
      <w:r w:rsidR="00060F26" w:rsidRPr="00060F26">
        <w:rPr>
          <w:rFonts w:eastAsia="宋体" w:cs="Times New Roman"/>
          <w:szCs w:val="21"/>
        </w:rPr>
        <w:t>%</w:t>
      </w:r>
      <w:r w:rsidR="00963F90" w:rsidRPr="00963F90">
        <w:rPr>
          <w:rFonts w:eastAsia="宋体" w:cs="Times New Roman" w:hint="eastAsia"/>
          <w:szCs w:val="21"/>
        </w:rPr>
        <w:t xml:space="preserve"> </w:t>
      </w:r>
      <w:r w:rsidR="005F14EE">
        <w:rPr>
          <w:rFonts w:eastAsia="宋体" w:cs="Times New Roman" w:hint="eastAsia"/>
          <w:szCs w:val="21"/>
        </w:rPr>
        <w:t>(</w:t>
      </w:r>
      <w:r>
        <w:rPr>
          <w:rFonts w:eastAsia="宋体" w:cs="Times New Roman" w:hint="eastAsia"/>
          <w:szCs w:val="21"/>
        </w:rPr>
        <w:t>上年</w:t>
      </w:r>
      <w:r w:rsidRPr="00F706CC">
        <w:rPr>
          <w:rFonts w:eastAsia="宋体" w:cs="Times New Roman" w:hint="eastAsia"/>
          <w:szCs w:val="21"/>
        </w:rPr>
        <w:t>末</w:t>
      </w:r>
      <w:r w:rsidR="005F14EE">
        <w:rPr>
          <w:rFonts w:eastAsia="宋体" w:cs="Times New Roman" w:hint="eastAsia"/>
          <w:szCs w:val="21"/>
        </w:rPr>
        <w:t>：</w:t>
      </w:r>
      <w:r w:rsidR="00501341" w:rsidRPr="00963F90">
        <w:rPr>
          <w:rFonts w:eastAsia="宋体" w:cs="Times New Roman"/>
          <w:szCs w:val="21"/>
        </w:rPr>
        <w:t>58.59</w:t>
      </w:r>
      <w:r w:rsidRPr="00F706CC">
        <w:rPr>
          <w:rFonts w:eastAsia="宋体" w:cs="Times New Roman"/>
          <w:szCs w:val="21"/>
        </w:rPr>
        <w:t>%</w:t>
      </w:r>
      <w:r w:rsidR="005F14EE">
        <w:rPr>
          <w:rFonts w:eastAsia="宋体" w:cs="Times New Roman" w:hint="eastAsia"/>
          <w:szCs w:val="21"/>
        </w:rPr>
        <w:t>)</w:t>
      </w:r>
      <w:r w:rsidRPr="00F706CC">
        <w:rPr>
          <w:rFonts w:eastAsia="宋体" w:cs="Times New Roman" w:hint="eastAsia"/>
          <w:szCs w:val="21"/>
        </w:rPr>
        <w:t>。</w:t>
      </w:r>
    </w:p>
    <w:p w:rsidR="006B5A4F" w:rsidRPr="0036327F" w:rsidRDefault="006B5A4F" w:rsidP="00F66363">
      <w:pPr>
        <w:spacing w:line="230" w:lineRule="auto"/>
        <w:ind w:left="720"/>
        <w:jc w:val="both"/>
        <w:rPr>
          <w:rFonts w:eastAsia="宋体" w:cs="Times New Roman"/>
          <w:szCs w:val="21"/>
        </w:rPr>
      </w:pPr>
    </w:p>
    <w:p w:rsidR="007D47F9" w:rsidRPr="00A71D2E" w:rsidRDefault="007D47F9">
      <w:pPr>
        <w:pStyle w:val="2"/>
        <w:numPr>
          <w:ilvl w:val="2"/>
          <w:numId w:val="1"/>
        </w:numPr>
        <w:adjustRightInd w:val="0"/>
        <w:snapToGrid w:val="0"/>
        <w:spacing w:line="230" w:lineRule="auto"/>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其他应收款</w:t>
      </w:r>
    </w:p>
    <w:p w:rsidR="007D47F9" w:rsidRPr="00A71D2E" w:rsidRDefault="007D47F9">
      <w:pPr>
        <w:spacing w:line="230" w:lineRule="auto"/>
        <w:ind w:firstLine="720"/>
        <w:rPr>
          <w:rFonts w:eastAsia="宋体" w:cs="Times New Roman"/>
          <w:szCs w:val="21"/>
        </w:rPr>
      </w:pPr>
    </w:p>
    <w:p w:rsidR="007D47F9" w:rsidRPr="00A71D2E" w:rsidRDefault="005F14EE">
      <w:pPr>
        <w:spacing w:line="230" w:lineRule="auto"/>
        <w:ind w:firstLine="720"/>
        <w:rPr>
          <w:rFonts w:eastAsia="宋体" w:cs="Times New Roman"/>
        </w:rPr>
      </w:pPr>
      <w:r>
        <w:rPr>
          <w:rFonts w:eastAsia="宋体" w:cs="Times New Roman"/>
          <w:szCs w:val="21"/>
        </w:rPr>
        <w:t>(</w:t>
      </w:r>
      <w:r w:rsidR="007D47F9" w:rsidRPr="00A71D2E">
        <w:rPr>
          <w:rFonts w:eastAsia="宋体" w:cs="Times New Roman"/>
          <w:szCs w:val="21"/>
        </w:rPr>
        <w:t>1</w:t>
      </w:r>
      <w:r>
        <w:rPr>
          <w:rFonts w:eastAsia="宋体" w:cs="Times New Roman"/>
          <w:szCs w:val="21"/>
        </w:rPr>
        <w:t>)</w:t>
      </w:r>
      <w:r w:rsidR="007D47F9" w:rsidRPr="00A71D2E">
        <w:rPr>
          <w:rFonts w:eastAsia="宋体" w:cs="Times New Roman"/>
          <w:szCs w:val="21"/>
        </w:rPr>
        <w:tab/>
      </w:r>
      <w:proofErr w:type="gramStart"/>
      <w:r w:rsidR="007D47F9" w:rsidRPr="00A71D2E">
        <w:rPr>
          <w:rFonts w:eastAsia="宋体" w:cs="Times New Roman" w:hint="eastAsia"/>
        </w:rPr>
        <w:t>按账龄</w:t>
      </w:r>
      <w:proofErr w:type="gramEnd"/>
      <w:r w:rsidR="007D47F9" w:rsidRPr="00A71D2E">
        <w:rPr>
          <w:rFonts w:eastAsia="宋体" w:cs="Times New Roman" w:hint="eastAsia"/>
        </w:rPr>
        <w:t>披露</w:t>
      </w:r>
    </w:p>
    <w:p w:rsidR="007D47F9" w:rsidRPr="00A71D2E" w:rsidRDefault="007D47F9">
      <w:pPr>
        <w:spacing w:line="230" w:lineRule="auto"/>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1E0" w:firstRow="1" w:lastRow="1" w:firstColumn="1" w:lastColumn="1" w:noHBand="0" w:noVBand="0"/>
      </w:tblPr>
      <w:tblGrid>
        <w:gridCol w:w="5760"/>
        <w:gridCol w:w="1845"/>
        <w:gridCol w:w="1845"/>
      </w:tblGrid>
      <w:tr w:rsidR="009E4A3F" w:rsidRPr="00A71D2E" w:rsidTr="0027505B">
        <w:trPr>
          <w:trHeight w:val="20"/>
        </w:trPr>
        <w:tc>
          <w:tcPr>
            <w:tcW w:w="5760" w:type="dxa"/>
            <w:shd w:val="clear" w:color="auto" w:fill="D9D9D9"/>
            <w:vAlign w:val="center"/>
          </w:tcPr>
          <w:p w:rsidR="009E4A3F" w:rsidRPr="00A71D2E" w:rsidRDefault="009E4A3F">
            <w:pPr>
              <w:spacing w:line="230" w:lineRule="auto"/>
              <w:jc w:val="center"/>
              <w:rPr>
                <w:rFonts w:eastAsia="宋体" w:cs="Times New Roman"/>
                <w:sz w:val="18"/>
                <w:szCs w:val="18"/>
              </w:rPr>
            </w:pPr>
            <w:r w:rsidRPr="00A71D2E">
              <w:rPr>
                <w:rFonts w:eastAsia="宋体" w:cs="Times New Roman" w:hint="eastAsia"/>
                <w:sz w:val="18"/>
                <w:szCs w:val="18"/>
              </w:rPr>
              <w:t>账龄</w:t>
            </w:r>
          </w:p>
        </w:tc>
        <w:tc>
          <w:tcPr>
            <w:tcW w:w="1845" w:type="dxa"/>
            <w:shd w:val="clear" w:color="auto" w:fill="D9D9D9"/>
            <w:vAlign w:val="center"/>
          </w:tcPr>
          <w:p w:rsidR="009E4A3F" w:rsidRPr="00A71D2E" w:rsidRDefault="00FA69B0">
            <w:pPr>
              <w:spacing w:line="230" w:lineRule="auto"/>
              <w:jc w:val="center"/>
              <w:rPr>
                <w:rFonts w:eastAsia="宋体" w:cs="Times New Roman"/>
                <w:sz w:val="18"/>
                <w:szCs w:val="18"/>
              </w:rPr>
            </w:pPr>
            <w:r w:rsidRPr="00A71D2E">
              <w:rPr>
                <w:rFonts w:eastAsia="宋体" w:cs="Times New Roman" w:hint="eastAsia"/>
                <w:sz w:val="18"/>
                <w:szCs w:val="18"/>
              </w:rPr>
              <w:t>年末余额</w:t>
            </w:r>
          </w:p>
        </w:tc>
        <w:tc>
          <w:tcPr>
            <w:tcW w:w="1845" w:type="dxa"/>
            <w:shd w:val="clear" w:color="auto" w:fill="D9D9D9"/>
            <w:vAlign w:val="center"/>
          </w:tcPr>
          <w:p w:rsidR="009E4A3F" w:rsidRPr="00A71D2E" w:rsidRDefault="00FA69B0">
            <w:pPr>
              <w:spacing w:line="230" w:lineRule="auto"/>
              <w:jc w:val="center"/>
              <w:rPr>
                <w:rFonts w:eastAsia="宋体" w:cs="Times New Roman"/>
                <w:sz w:val="18"/>
                <w:szCs w:val="18"/>
              </w:rPr>
            </w:pPr>
            <w:r w:rsidRPr="00A71D2E">
              <w:rPr>
                <w:rFonts w:eastAsia="宋体" w:cs="Times New Roman" w:hint="eastAsia"/>
                <w:sz w:val="18"/>
                <w:szCs w:val="18"/>
              </w:rPr>
              <w:t>年初余额</w:t>
            </w:r>
          </w:p>
        </w:tc>
      </w:tr>
      <w:tr w:rsidR="00AE0FD1" w:rsidRPr="00A71D2E" w:rsidTr="0027505B">
        <w:trPr>
          <w:trHeight w:val="20"/>
        </w:trPr>
        <w:tc>
          <w:tcPr>
            <w:tcW w:w="5760" w:type="dxa"/>
            <w:shd w:val="clear" w:color="auto" w:fill="auto"/>
            <w:vAlign w:val="center"/>
          </w:tcPr>
          <w:p w:rsidR="00AE0FD1" w:rsidRPr="00A71D2E" w:rsidRDefault="00AE0FD1" w:rsidP="00AE0FD1">
            <w:pPr>
              <w:spacing w:line="230" w:lineRule="auto"/>
              <w:rPr>
                <w:rFonts w:eastAsia="宋体" w:cs="Times New Roman"/>
                <w:sz w:val="18"/>
                <w:szCs w:val="18"/>
              </w:rPr>
            </w:pPr>
            <w:r w:rsidRPr="00A71D2E">
              <w:rPr>
                <w:rFonts w:eastAsia="宋体" w:cs="Times New Roman"/>
                <w:sz w:val="18"/>
                <w:szCs w:val="18"/>
              </w:rPr>
              <w:t>1</w:t>
            </w:r>
            <w:r w:rsidRPr="00A71D2E">
              <w:rPr>
                <w:rFonts w:eastAsia="宋体" w:cs="Times New Roman" w:hint="eastAsia"/>
                <w:sz w:val="18"/>
                <w:szCs w:val="18"/>
              </w:rPr>
              <w:t>年以内</w:t>
            </w:r>
          </w:p>
        </w:tc>
        <w:tc>
          <w:tcPr>
            <w:tcW w:w="1845" w:type="dxa"/>
            <w:shd w:val="clear" w:color="auto" w:fill="auto"/>
            <w:vAlign w:val="center"/>
          </w:tcPr>
          <w:p w:rsidR="00AE0FD1" w:rsidRPr="00A71D2E" w:rsidRDefault="00967E8D" w:rsidP="00AE0FD1">
            <w:pPr>
              <w:spacing w:line="230" w:lineRule="auto"/>
              <w:ind w:left="-18"/>
              <w:jc w:val="right"/>
              <w:rPr>
                <w:rFonts w:eastAsia="宋体" w:cs="Times New Roman"/>
                <w:sz w:val="18"/>
                <w:szCs w:val="18"/>
              </w:rPr>
            </w:pPr>
            <w:r w:rsidRPr="00967E8D">
              <w:rPr>
                <w:rFonts w:eastAsia="宋体" w:cs="Times New Roman"/>
                <w:sz w:val="18"/>
                <w:szCs w:val="18"/>
              </w:rPr>
              <w:t>23,389,063.50</w:t>
            </w:r>
          </w:p>
        </w:tc>
        <w:tc>
          <w:tcPr>
            <w:tcW w:w="1845" w:type="dxa"/>
            <w:shd w:val="clear" w:color="auto" w:fill="auto"/>
            <w:vAlign w:val="center"/>
          </w:tcPr>
          <w:p w:rsidR="00AE0FD1" w:rsidRPr="00A71D2E" w:rsidRDefault="00AE0FD1" w:rsidP="00AE0FD1">
            <w:pPr>
              <w:spacing w:line="230" w:lineRule="auto"/>
              <w:ind w:left="-18"/>
              <w:jc w:val="right"/>
              <w:rPr>
                <w:rFonts w:eastAsia="宋体" w:cs="Times New Roman"/>
                <w:sz w:val="18"/>
                <w:szCs w:val="18"/>
              </w:rPr>
            </w:pPr>
            <w:r w:rsidRPr="00A71D2E">
              <w:rPr>
                <w:rFonts w:eastAsia="宋体" w:cs="Times New Roman"/>
                <w:sz w:val="18"/>
                <w:szCs w:val="18"/>
              </w:rPr>
              <w:t>8,753,397.78</w:t>
            </w:r>
          </w:p>
        </w:tc>
      </w:tr>
      <w:tr w:rsidR="00967E8D" w:rsidRPr="00A71D2E" w:rsidTr="0027505B">
        <w:trPr>
          <w:trHeight w:val="20"/>
        </w:trPr>
        <w:tc>
          <w:tcPr>
            <w:tcW w:w="5760" w:type="dxa"/>
            <w:shd w:val="clear" w:color="auto" w:fill="auto"/>
            <w:vAlign w:val="center"/>
          </w:tcPr>
          <w:p w:rsidR="00967E8D" w:rsidRPr="00A71D2E" w:rsidRDefault="00967E8D" w:rsidP="00967E8D">
            <w:pPr>
              <w:spacing w:line="230" w:lineRule="auto"/>
              <w:rPr>
                <w:rFonts w:eastAsia="宋体" w:cs="Times New Roman"/>
                <w:sz w:val="18"/>
                <w:szCs w:val="18"/>
              </w:rPr>
            </w:pPr>
            <w:r w:rsidRPr="00A71D2E">
              <w:rPr>
                <w:rFonts w:eastAsia="宋体" w:cs="Times New Roman"/>
                <w:sz w:val="18"/>
                <w:szCs w:val="18"/>
              </w:rPr>
              <w:t>1</w:t>
            </w:r>
            <w:r w:rsidRPr="00A71D2E">
              <w:rPr>
                <w:rFonts w:eastAsia="宋体" w:cs="Times New Roman" w:hint="eastAsia"/>
                <w:sz w:val="18"/>
                <w:szCs w:val="18"/>
              </w:rPr>
              <w:t>至</w:t>
            </w:r>
            <w:r w:rsidRPr="00A71D2E">
              <w:rPr>
                <w:rFonts w:eastAsia="宋体" w:cs="Times New Roman"/>
                <w:sz w:val="18"/>
                <w:szCs w:val="18"/>
              </w:rPr>
              <w:t>2</w:t>
            </w:r>
            <w:r w:rsidRPr="00A71D2E">
              <w:rPr>
                <w:rFonts w:eastAsia="宋体" w:cs="Times New Roman" w:hint="eastAsia"/>
                <w:sz w:val="18"/>
                <w:szCs w:val="18"/>
              </w:rPr>
              <w:t>年</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967E8D">
              <w:rPr>
                <w:rFonts w:eastAsia="宋体" w:cs="Times New Roman"/>
                <w:sz w:val="18"/>
                <w:szCs w:val="18"/>
              </w:rPr>
              <w:t xml:space="preserve"> 74</w:t>
            </w:r>
            <w:r w:rsidR="003E4D55">
              <w:rPr>
                <w:rFonts w:eastAsia="宋体" w:cs="Times New Roman"/>
                <w:sz w:val="18"/>
                <w:szCs w:val="18"/>
              </w:rPr>
              <w:t>8</w:t>
            </w:r>
            <w:r w:rsidRPr="00967E8D">
              <w:rPr>
                <w:rFonts w:eastAsia="宋体" w:cs="Times New Roman"/>
                <w:sz w:val="18"/>
                <w:szCs w:val="18"/>
              </w:rPr>
              <w:t xml:space="preserve">,996.12 </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A71D2E">
              <w:rPr>
                <w:rFonts w:eastAsia="宋体" w:cs="Times New Roman"/>
                <w:sz w:val="18"/>
                <w:szCs w:val="18"/>
              </w:rPr>
              <w:t>50,613.40</w:t>
            </w:r>
          </w:p>
        </w:tc>
      </w:tr>
      <w:tr w:rsidR="00967E8D" w:rsidRPr="00A71D2E" w:rsidTr="0027505B">
        <w:trPr>
          <w:trHeight w:val="20"/>
        </w:trPr>
        <w:tc>
          <w:tcPr>
            <w:tcW w:w="5760" w:type="dxa"/>
            <w:shd w:val="clear" w:color="auto" w:fill="auto"/>
            <w:vAlign w:val="center"/>
          </w:tcPr>
          <w:p w:rsidR="00967E8D" w:rsidRPr="00A71D2E" w:rsidRDefault="00967E8D" w:rsidP="00967E8D">
            <w:pPr>
              <w:spacing w:line="230" w:lineRule="auto"/>
              <w:rPr>
                <w:rFonts w:eastAsia="宋体" w:cs="Times New Roman"/>
                <w:sz w:val="18"/>
                <w:szCs w:val="18"/>
              </w:rPr>
            </w:pPr>
            <w:r w:rsidRPr="00A71D2E">
              <w:rPr>
                <w:rFonts w:eastAsia="宋体" w:cs="Times New Roman"/>
                <w:sz w:val="18"/>
                <w:szCs w:val="18"/>
              </w:rPr>
              <w:t>2</w:t>
            </w:r>
            <w:r w:rsidRPr="00A71D2E">
              <w:rPr>
                <w:rFonts w:eastAsia="宋体" w:cs="Times New Roman" w:hint="eastAsia"/>
                <w:sz w:val="18"/>
                <w:szCs w:val="18"/>
              </w:rPr>
              <w:t>至</w:t>
            </w:r>
            <w:r w:rsidRPr="00A71D2E">
              <w:rPr>
                <w:rFonts w:eastAsia="宋体" w:cs="Times New Roman"/>
                <w:sz w:val="18"/>
                <w:szCs w:val="18"/>
              </w:rPr>
              <w:t>3</w:t>
            </w:r>
            <w:r w:rsidRPr="00A71D2E">
              <w:rPr>
                <w:rFonts w:eastAsia="宋体" w:cs="Times New Roman" w:hint="eastAsia"/>
                <w:sz w:val="18"/>
                <w:szCs w:val="18"/>
              </w:rPr>
              <w:t>年</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967E8D">
              <w:rPr>
                <w:rFonts w:eastAsia="宋体" w:cs="Times New Roman"/>
                <w:sz w:val="18"/>
                <w:szCs w:val="18"/>
              </w:rPr>
              <w:t xml:space="preserve"> 5</w:t>
            </w:r>
            <w:r w:rsidR="003E4D55">
              <w:rPr>
                <w:rFonts w:eastAsia="宋体" w:cs="Times New Roman"/>
                <w:sz w:val="18"/>
                <w:szCs w:val="18"/>
              </w:rPr>
              <w:t>0</w:t>
            </w:r>
            <w:r w:rsidRPr="00967E8D">
              <w:rPr>
                <w:rFonts w:eastAsia="宋体" w:cs="Times New Roman"/>
                <w:sz w:val="18"/>
                <w:szCs w:val="18"/>
              </w:rPr>
              <w:t xml:space="preserve">,000.00 </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A71D2E">
              <w:rPr>
                <w:rFonts w:eastAsia="宋体" w:cs="Times New Roman"/>
                <w:sz w:val="18"/>
                <w:szCs w:val="18"/>
              </w:rPr>
              <w:t>374.10</w:t>
            </w:r>
          </w:p>
        </w:tc>
      </w:tr>
      <w:tr w:rsidR="00967E8D" w:rsidRPr="00A71D2E" w:rsidTr="0027505B">
        <w:trPr>
          <w:trHeight w:val="20"/>
        </w:trPr>
        <w:tc>
          <w:tcPr>
            <w:tcW w:w="5760" w:type="dxa"/>
            <w:shd w:val="clear" w:color="auto" w:fill="auto"/>
            <w:vAlign w:val="center"/>
          </w:tcPr>
          <w:p w:rsidR="00967E8D" w:rsidRPr="00A71D2E" w:rsidRDefault="00967E8D" w:rsidP="00967E8D">
            <w:pPr>
              <w:spacing w:line="230" w:lineRule="auto"/>
              <w:rPr>
                <w:rFonts w:eastAsia="宋体" w:cs="Times New Roman"/>
                <w:sz w:val="18"/>
                <w:szCs w:val="18"/>
              </w:rPr>
            </w:pPr>
            <w:r w:rsidRPr="00A71D2E">
              <w:rPr>
                <w:rFonts w:eastAsia="宋体" w:cs="Times New Roman"/>
                <w:sz w:val="18"/>
                <w:szCs w:val="18"/>
              </w:rPr>
              <w:t>3</w:t>
            </w:r>
            <w:r w:rsidRPr="00A71D2E">
              <w:rPr>
                <w:rFonts w:eastAsia="宋体" w:cs="Times New Roman" w:hint="eastAsia"/>
                <w:sz w:val="18"/>
                <w:szCs w:val="18"/>
              </w:rPr>
              <w:t>年以上</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967E8D">
              <w:rPr>
                <w:rFonts w:eastAsia="宋体" w:cs="Times New Roman"/>
                <w:sz w:val="18"/>
                <w:szCs w:val="18"/>
              </w:rPr>
              <w:t xml:space="preserve"> 24,500.00 </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A71D2E">
              <w:rPr>
                <w:rFonts w:eastAsia="宋体" w:cs="Times New Roman"/>
                <w:sz w:val="18"/>
                <w:szCs w:val="18"/>
              </w:rPr>
              <w:t>24,500.00</w:t>
            </w:r>
          </w:p>
        </w:tc>
      </w:tr>
      <w:tr w:rsidR="00967E8D" w:rsidRPr="00A71D2E" w:rsidTr="0027505B">
        <w:trPr>
          <w:trHeight w:val="20"/>
        </w:trPr>
        <w:tc>
          <w:tcPr>
            <w:tcW w:w="5760" w:type="dxa"/>
            <w:shd w:val="clear" w:color="auto" w:fill="auto"/>
            <w:vAlign w:val="center"/>
          </w:tcPr>
          <w:p w:rsidR="00967E8D" w:rsidRPr="00A71D2E" w:rsidRDefault="00967E8D" w:rsidP="00967E8D">
            <w:pPr>
              <w:spacing w:line="230" w:lineRule="auto"/>
              <w:rPr>
                <w:rFonts w:eastAsia="宋体" w:cs="Times New Roman"/>
                <w:sz w:val="18"/>
                <w:szCs w:val="18"/>
              </w:rPr>
            </w:pPr>
            <w:r w:rsidRPr="00A71D2E">
              <w:rPr>
                <w:rFonts w:eastAsia="宋体" w:cs="Times New Roman" w:hint="eastAsia"/>
                <w:sz w:val="18"/>
                <w:szCs w:val="18"/>
              </w:rPr>
              <w:t>其他应收款</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967E8D">
              <w:rPr>
                <w:rFonts w:eastAsia="宋体" w:cs="Times New Roman"/>
                <w:sz w:val="18"/>
                <w:szCs w:val="18"/>
              </w:rPr>
              <w:t xml:space="preserve"> 24,212,559.62 </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A71D2E">
              <w:rPr>
                <w:rFonts w:eastAsia="宋体" w:cs="Times New Roman"/>
                <w:sz w:val="18"/>
                <w:szCs w:val="18"/>
              </w:rPr>
              <w:t>8,828,885.28</w:t>
            </w:r>
          </w:p>
        </w:tc>
      </w:tr>
      <w:tr w:rsidR="00967E8D" w:rsidRPr="00A71D2E" w:rsidTr="0027505B">
        <w:trPr>
          <w:trHeight w:val="20"/>
        </w:trPr>
        <w:tc>
          <w:tcPr>
            <w:tcW w:w="5760" w:type="dxa"/>
            <w:shd w:val="clear" w:color="auto" w:fill="auto"/>
            <w:vAlign w:val="center"/>
          </w:tcPr>
          <w:p w:rsidR="00967E8D" w:rsidRPr="00A71D2E" w:rsidRDefault="00967E8D" w:rsidP="00967E8D">
            <w:pPr>
              <w:spacing w:line="230" w:lineRule="auto"/>
              <w:rPr>
                <w:rFonts w:eastAsia="宋体" w:cs="Times New Roman"/>
                <w:sz w:val="18"/>
                <w:szCs w:val="18"/>
              </w:rPr>
            </w:pPr>
            <w:r w:rsidRPr="00A71D2E">
              <w:rPr>
                <w:rFonts w:eastAsia="宋体" w:cs="Times New Roman" w:hint="eastAsia"/>
                <w:sz w:val="18"/>
                <w:szCs w:val="18"/>
              </w:rPr>
              <w:t>减</w:t>
            </w:r>
            <w:r w:rsidR="005F14EE">
              <w:rPr>
                <w:rFonts w:eastAsia="宋体" w:cs="Times New Roman" w:hint="eastAsia"/>
                <w:sz w:val="18"/>
                <w:szCs w:val="18"/>
              </w:rPr>
              <w:t>：</w:t>
            </w:r>
            <w:r w:rsidR="000E7033">
              <w:rPr>
                <w:rFonts w:eastAsia="宋体" w:cs="Times New Roman" w:hint="eastAsia"/>
                <w:sz w:val="18"/>
                <w:szCs w:val="18"/>
              </w:rPr>
              <w:t>坏账</w:t>
            </w:r>
            <w:r w:rsidRPr="00A71D2E">
              <w:rPr>
                <w:rFonts w:eastAsia="宋体" w:cs="Times New Roman" w:hint="eastAsia"/>
                <w:sz w:val="18"/>
                <w:szCs w:val="18"/>
              </w:rPr>
              <w:t>准备</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967E8D">
              <w:rPr>
                <w:rFonts w:eastAsia="宋体" w:cs="Times New Roman"/>
                <w:sz w:val="18"/>
                <w:szCs w:val="18"/>
              </w:rPr>
              <w:t xml:space="preserve"> 396,522.59</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A71D2E">
              <w:rPr>
                <w:rFonts w:eastAsia="宋体" w:cs="Times New Roman"/>
                <w:sz w:val="18"/>
                <w:szCs w:val="18"/>
              </w:rPr>
              <w:t>162,310.29</w:t>
            </w:r>
          </w:p>
        </w:tc>
      </w:tr>
      <w:tr w:rsidR="00967E8D" w:rsidRPr="00A71D2E" w:rsidTr="0027505B">
        <w:trPr>
          <w:trHeight w:val="20"/>
        </w:trPr>
        <w:tc>
          <w:tcPr>
            <w:tcW w:w="5760" w:type="dxa"/>
            <w:shd w:val="clear" w:color="auto" w:fill="D9D9D9"/>
            <w:vAlign w:val="center"/>
          </w:tcPr>
          <w:p w:rsidR="00967E8D" w:rsidRPr="00A71D2E" w:rsidRDefault="00967E8D" w:rsidP="00967E8D">
            <w:pPr>
              <w:spacing w:line="230" w:lineRule="auto"/>
              <w:rPr>
                <w:rFonts w:eastAsia="宋体" w:cs="Times New Roman"/>
                <w:sz w:val="18"/>
                <w:szCs w:val="18"/>
              </w:rPr>
            </w:pPr>
            <w:r w:rsidRPr="00A71D2E">
              <w:rPr>
                <w:rFonts w:eastAsia="宋体" w:cs="Times New Roman" w:hint="eastAsia"/>
                <w:sz w:val="18"/>
                <w:szCs w:val="18"/>
              </w:rPr>
              <w:t>账面价值</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967E8D">
              <w:rPr>
                <w:rFonts w:eastAsia="宋体" w:cs="Times New Roman"/>
                <w:sz w:val="18"/>
                <w:szCs w:val="18"/>
              </w:rPr>
              <w:t xml:space="preserve"> 23,816,037.03 </w:t>
            </w:r>
          </w:p>
        </w:tc>
        <w:tc>
          <w:tcPr>
            <w:tcW w:w="1845" w:type="dxa"/>
            <w:shd w:val="clear" w:color="auto" w:fill="auto"/>
            <w:vAlign w:val="center"/>
          </w:tcPr>
          <w:p w:rsidR="00967E8D" w:rsidRPr="00A71D2E" w:rsidRDefault="00967E8D" w:rsidP="00967E8D">
            <w:pPr>
              <w:spacing w:line="230" w:lineRule="auto"/>
              <w:ind w:left="-18"/>
              <w:jc w:val="right"/>
              <w:rPr>
                <w:rFonts w:eastAsia="宋体" w:cs="Times New Roman"/>
                <w:sz w:val="18"/>
                <w:szCs w:val="18"/>
              </w:rPr>
            </w:pPr>
            <w:r w:rsidRPr="00A71D2E">
              <w:rPr>
                <w:rFonts w:eastAsia="宋体" w:cs="Times New Roman"/>
                <w:sz w:val="18"/>
                <w:szCs w:val="18"/>
              </w:rPr>
              <w:t>8,666,574.99</w:t>
            </w:r>
          </w:p>
        </w:tc>
      </w:tr>
    </w:tbl>
    <w:p w:rsidR="00A11E89" w:rsidRPr="00A71D2E" w:rsidRDefault="00A11E89">
      <w:pPr>
        <w:spacing w:line="230" w:lineRule="auto"/>
        <w:ind w:left="1440" w:hanging="731"/>
        <w:jc w:val="both"/>
        <w:rPr>
          <w:rFonts w:eastAsia="宋体" w:cs="Times New Roman"/>
          <w:szCs w:val="21"/>
        </w:rPr>
      </w:pPr>
    </w:p>
    <w:p w:rsidR="007D47F9" w:rsidRPr="00A71D2E" w:rsidRDefault="007D47F9">
      <w:pPr>
        <w:pStyle w:val="aff1"/>
        <w:numPr>
          <w:ilvl w:val="0"/>
          <w:numId w:val="13"/>
        </w:numPr>
        <w:spacing w:line="230" w:lineRule="auto"/>
        <w:ind w:left="1440" w:firstLineChars="0" w:hanging="720"/>
        <w:rPr>
          <w:szCs w:val="21"/>
        </w:rPr>
      </w:pPr>
      <w:r w:rsidRPr="00A71D2E">
        <w:rPr>
          <w:rFonts w:hint="eastAsia"/>
          <w:szCs w:val="21"/>
        </w:rPr>
        <w:t>按款项性质分类情况</w:t>
      </w:r>
    </w:p>
    <w:p w:rsidR="007D47F9" w:rsidRPr="00A71D2E" w:rsidRDefault="007D47F9">
      <w:pPr>
        <w:spacing w:line="230" w:lineRule="auto"/>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0"/>
        <w:gridCol w:w="1845"/>
        <w:gridCol w:w="1845"/>
      </w:tblGrid>
      <w:tr w:rsidR="00501DC4" w:rsidRPr="00A71D2E" w:rsidTr="0027505B">
        <w:trPr>
          <w:trHeight w:val="20"/>
        </w:trPr>
        <w:tc>
          <w:tcPr>
            <w:tcW w:w="5760" w:type="dxa"/>
            <w:shd w:val="clear" w:color="000000" w:fill="D9D9D9"/>
            <w:noWrap/>
            <w:vAlign w:val="center"/>
            <w:hideMark/>
          </w:tcPr>
          <w:p w:rsidR="00501DC4" w:rsidRPr="00A71D2E" w:rsidRDefault="00501DC4">
            <w:pPr>
              <w:spacing w:line="230" w:lineRule="auto"/>
              <w:jc w:val="center"/>
              <w:rPr>
                <w:rFonts w:eastAsia="宋体" w:cs="Times New Roman"/>
                <w:color w:val="000000"/>
                <w:sz w:val="18"/>
                <w:szCs w:val="18"/>
              </w:rPr>
            </w:pPr>
            <w:r w:rsidRPr="00A71D2E">
              <w:rPr>
                <w:rFonts w:eastAsia="宋体" w:cs="Times New Roman" w:hint="eastAsia"/>
                <w:color w:val="000000"/>
                <w:sz w:val="18"/>
                <w:szCs w:val="18"/>
              </w:rPr>
              <w:t>款项性质</w:t>
            </w:r>
          </w:p>
        </w:tc>
        <w:tc>
          <w:tcPr>
            <w:tcW w:w="1845" w:type="dxa"/>
            <w:shd w:val="clear" w:color="000000" w:fill="D9D9D9"/>
            <w:vAlign w:val="center"/>
          </w:tcPr>
          <w:p w:rsidR="00501DC4" w:rsidRPr="00A71D2E" w:rsidRDefault="00501DC4">
            <w:pPr>
              <w:spacing w:line="230" w:lineRule="auto"/>
              <w:jc w:val="center"/>
              <w:rPr>
                <w:rFonts w:eastAsia="宋体" w:cs="Times New Roman"/>
                <w:color w:val="000000"/>
                <w:sz w:val="18"/>
                <w:szCs w:val="18"/>
              </w:rPr>
            </w:pPr>
            <w:r w:rsidRPr="00A71D2E">
              <w:rPr>
                <w:rFonts w:eastAsia="宋体" w:cs="Times New Roman" w:hint="eastAsia"/>
                <w:sz w:val="18"/>
                <w:szCs w:val="18"/>
              </w:rPr>
              <w:t>年末余额</w:t>
            </w:r>
          </w:p>
        </w:tc>
        <w:tc>
          <w:tcPr>
            <w:tcW w:w="1845" w:type="dxa"/>
            <w:shd w:val="clear" w:color="000000" w:fill="D9D9D9"/>
            <w:vAlign w:val="center"/>
          </w:tcPr>
          <w:p w:rsidR="00501DC4" w:rsidRPr="00A71D2E" w:rsidRDefault="00501DC4">
            <w:pPr>
              <w:spacing w:line="230" w:lineRule="auto"/>
              <w:jc w:val="center"/>
              <w:rPr>
                <w:rFonts w:eastAsia="宋体" w:cs="Times New Roman"/>
                <w:color w:val="000000"/>
                <w:sz w:val="18"/>
                <w:szCs w:val="18"/>
              </w:rPr>
            </w:pPr>
            <w:r w:rsidRPr="00A71D2E">
              <w:rPr>
                <w:rFonts w:eastAsia="宋体" w:cs="Times New Roman" w:hint="eastAsia"/>
                <w:sz w:val="18"/>
                <w:szCs w:val="18"/>
              </w:rPr>
              <w:t>年初余额</w:t>
            </w:r>
          </w:p>
        </w:tc>
      </w:tr>
      <w:tr w:rsidR="00AE0FD1" w:rsidRPr="00A71D2E" w:rsidTr="0027505B">
        <w:trPr>
          <w:trHeight w:val="20"/>
        </w:trPr>
        <w:tc>
          <w:tcPr>
            <w:tcW w:w="5760" w:type="dxa"/>
            <w:shd w:val="clear" w:color="auto" w:fill="auto"/>
            <w:noWrap/>
            <w:vAlign w:val="center"/>
          </w:tcPr>
          <w:p w:rsidR="00AE0FD1" w:rsidRPr="00A71D2E" w:rsidRDefault="00AE0FD1" w:rsidP="00AE0FD1">
            <w:pPr>
              <w:spacing w:line="230" w:lineRule="auto"/>
              <w:rPr>
                <w:rFonts w:eastAsia="宋体" w:cs="Times New Roman"/>
                <w:color w:val="000000"/>
                <w:sz w:val="18"/>
                <w:szCs w:val="18"/>
              </w:rPr>
            </w:pPr>
            <w:r w:rsidRPr="00A71D2E">
              <w:rPr>
                <w:rFonts w:eastAsia="宋体" w:cs="Times New Roman" w:hint="eastAsia"/>
                <w:sz w:val="18"/>
                <w:szCs w:val="18"/>
              </w:rPr>
              <w:t>员工备用金</w:t>
            </w:r>
          </w:p>
        </w:tc>
        <w:tc>
          <w:tcPr>
            <w:tcW w:w="1845" w:type="dxa"/>
            <w:shd w:val="clear" w:color="auto" w:fill="auto"/>
            <w:vAlign w:val="center"/>
          </w:tcPr>
          <w:p w:rsidR="00AE0FD1" w:rsidRPr="00A71D2E" w:rsidRDefault="00BE4851" w:rsidP="00AE0FD1">
            <w:pPr>
              <w:spacing w:line="230" w:lineRule="auto"/>
              <w:jc w:val="right"/>
              <w:rPr>
                <w:rFonts w:eastAsia="宋体" w:cs="Times New Roman"/>
                <w:sz w:val="18"/>
                <w:szCs w:val="18"/>
              </w:rPr>
            </w:pPr>
            <w:r w:rsidRPr="00BE4851">
              <w:rPr>
                <w:rFonts w:eastAsia="宋体" w:cs="Times New Roman"/>
                <w:sz w:val="18"/>
                <w:szCs w:val="18"/>
              </w:rPr>
              <w:t>3,296,468.45</w:t>
            </w:r>
          </w:p>
        </w:tc>
        <w:tc>
          <w:tcPr>
            <w:tcW w:w="1845" w:type="dxa"/>
            <w:shd w:val="clear" w:color="auto" w:fill="auto"/>
            <w:vAlign w:val="center"/>
          </w:tcPr>
          <w:p w:rsidR="00AE0FD1" w:rsidRPr="00A71D2E" w:rsidRDefault="00AE0FD1" w:rsidP="00AE0FD1">
            <w:pPr>
              <w:spacing w:line="230" w:lineRule="auto"/>
              <w:jc w:val="right"/>
              <w:rPr>
                <w:rFonts w:eastAsia="宋体" w:cs="Times New Roman"/>
                <w:sz w:val="18"/>
                <w:szCs w:val="18"/>
              </w:rPr>
            </w:pPr>
            <w:r w:rsidRPr="00A71D2E">
              <w:rPr>
                <w:rFonts w:eastAsia="宋体" w:cs="Times New Roman"/>
                <w:sz w:val="18"/>
                <w:szCs w:val="18"/>
              </w:rPr>
              <w:t>3,390,819.04</w:t>
            </w:r>
          </w:p>
        </w:tc>
      </w:tr>
      <w:tr w:rsidR="00AE0FD1" w:rsidRPr="00A71D2E" w:rsidTr="0027505B">
        <w:trPr>
          <w:trHeight w:val="20"/>
        </w:trPr>
        <w:tc>
          <w:tcPr>
            <w:tcW w:w="5760" w:type="dxa"/>
            <w:shd w:val="clear" w:color="auto" w:fill="auto"/>
            <w:noWrap/>
            <w:vAlign w:val="center"/>
            <w:hideMark/>
          </w:tcPr>
          <w:p w:rsidR="00AE0FD1" w:rsidRPr="00A71D2E" w:rsidRDefault="00AE0FD1" w:rsidP="00AE0FD1">
            <w:pPr>
              <w:spacing w:line="230" w:lineRule="auto"/>
              <w:rPr>
                <w:rFonts w:eastAsia="宋体" w:cs="Times New Roman"/>
                <w:sz w:val="18"/>
                <w:szCs w:val="18"/>
              </w:rPr>
            </w:pPr>
            <w:r w:rsidRPr="00A71D2E">
              <w:rPr>
                <w:rFonts w:eastAsia="宋体" w:cs="Times New Roman" w:hint="eastAsia"/>
                <w:sz w:val="18"/>
                <w:szCs w:val="18"/>
              </w:rPr>
              <w:t>押金保证金</w:t>
            </w:r>
          </w:p>
        </w:tc>
        <w:tc>
          <w:tcPr>
            <w:tcW w:w="1845" w:type="dxa"/>
            <w:shd w:val="clear" w:color="auto" w:fill="auto"/>
            <w:vAlign w:val="center"/>
          </w:tcPr>
          <w:p w:rsidR="00AE0FD1" w:rsidRPr="00A71D2E" w:rsidRDefault="00BE4851" w:rsidP="00AE0FD1">
            <w:pPr>
              <w:spacing w:line="230" w:lineRule="auto"/>
              <w:jc w:val="right"/>
              <w:rPr>
                <w:rFonts w:eastAsia="宋体" w:cs="Times New Roman"/>
                <w:color w:val="000000"/>
                <w:sz w:val="18"/>
                <w:szCs w:val="18"/>
              </w:rPr>
            </w:pPr>
            <w:r w:rsidRPr="00BE4851">
              <w:rPr>
                <w:rFonts w:eastAsia="宋体" w:cs="Times New Roman"/>
                <w:color w:val="000000"/>
                <w:sz w:val="18"/>
                <w:szCs w:val="18"/>
              </w:rPr>
              <w:t>6,238,295.87</w:t>
            </w:r>
          </w:p>
        </w:tc>
        <w:tc>
          <w:tcPr>
            <w:tcW w:w="1845" w:type="dxa"/>
            <w:shd w:val="clear" w:color="auto" w:fill="auto"/>
            <w:vAlign w:val="center"/>
          </w:tcPr>
          <w:p w:rsidR="00AE0FD1" w:rsidRPr="00A71D2E" w:rsidRDefault="00AE0FD1" w:rsidP="00AE0FD1">
            <w:pPr>
              <w:spacing w:line="230" w:lineRule="auto"/>
              <w:jc w:val="right"/>
              <w:rPr>
                <w:rFonts w:eastAsia="宋体" w:cs="Times New Roman"/>
                <w:color w:val="000000"/>
                <w:sz w:val="18"/>
                <w:szCs w:val="18"/>
              </w:rPr>
            </w:pPr>
            <w:r w:rsidRPr="00A71D2E">
              <w:rPr>
                <w:rFonts w:eastAsia="宋体" w:cs="Times New Roman"/>
                <w:color w:val="000000"/>
                <w:sz w:val="18"/>
                <w:szCs w:val="18"/>
              </w:rPr>
              <w:t>5,438,066.24</w:t>
            </w:r>
          </w:p>
        </w:tc>
      </w:tr>
      <w:tr w:rsidR="00AE0FD1" w:rsidRPr="00A71D2E" w:rsidTr="0027505B">
        <w:trPr>
          <w:trHeight w:val="20"/>
        </w:trPr>
        <w:tc>
          <w:tcPr>
            <w:tcW w:w="5760" w:type="dxa"/>
            <w:shd w:val="clear" w:color="auto" w:fill="auto"/>
            <w:noWrap/>
            <w:vAlign w:val="center"/>
          </w:tcPr>
          <w:p w:rsidR="00AE0FD1" w:rsidRPr="00A71D2E" w:rsidRDefault="00967E8D" w:rsidP="00AE0FD1">
            <w:pPr>
              <w:spacing w:line="230" w:lineRule="auto"/>
              <w:rPr>
                <w:rFonts w:eastAsia="宋体" w:cs="Times New Roman"/>
                <w:sz w:val="18"/>
                <w:szCs w:val="18"/>
              </w:rPr>
            </w:pPr>
            <w:r>
              <w:rPr>
                <w:rFonts w:eastAsia="宋体" w:cs="Times New Roman" w:hint="eastAsia"/>
                <w:sz w:val="18"/>
                <w:szCs w:val="18"/>
              </w:rPr>
              <w:t>出口退税</w:t>
            </w:r>
          </w:p>
        </w:tc>
        <w:tc>
          <w:tcPr>
            <w:tcW w:w="1845" w:type="dxa"/>
            <w:vAlign w:val="center"/>
          </w:tcPr>
          <w:p w:rsidR="00AE0FD1" w:rsidRPr="00A71D2E" w:rsidRDefault="00E35210" w:rsidP="00AE0FD1">
            <w:pPr>
              <w:spacing w:line="230" w:lineRule="auto"/>
              <w:jc w:val="right"/>
              <w:rPr>
                <w:rFonts w:eastAsia="宋体" w:cs="Times New Roman"/>
                <w:sz w:val="18"/>
                <w:szCs w:val="18"/>
              </w:rPr>
            </w:pPr>
            <w:r w:rsidRPr="00E35210">
              <w:rPr>
                <w:rFonts w:eastAsia="宋体" w:cs="Times New Roman"/>
                <w:sz w:val="18"/>
                <w:szCs w:val="18"/>
              </w:rPr>
              <w:t>14,677,795.30</w:t>
            </w:r>
          </w:p>
        </w:tc>
        <w:tc>
          <w:tcPr>
            <w:tcW w:w="1845" w:type="dxa"/>
            <w:vAlign w:val="center"/>
          </w:tcPr>
          <w:p w:rsidR="00AE0FD1" w:rsidRPr="00A71D2E" w:rsidRDefault="00AE0FD1" w:rsidP="00AE0FD1">
            <w:pPr>
              <w:spacing w:line="230" w:lineRule="auto"/>
              <w:jc w:val="right"/>
              <w:rPr>
                <w:rFonts w:eastAsia="宋体" w:cs="Times New Roman"/>
                <w:sz w:val="18"/>
                <w:szCs w:val="18"/>
              </w:rPr>
            </w:pPr>
            <w:r w:rsidRPr="00A71D2E">
              <w:rPr>
                <w:rFonts w:eastAsia="宋体" w:cs="Times New Roman"/>
                <w:sz w:val="18"/>
                <w:szCs w:val="18"/>
              </w:rPr>
              <w:t>-    </w:t>
            </w:r>
          </w:p>
        </w:tc>
      </w:tr>
      <w:tr w:rsidR="00AE0FD1" w:rsidRPr="00A71D2E" w:rsidTr="0027505B">
        <w:trPr>
          <w:trHeight w:val="20"/>
        </w:trPr>
        <w:tc>
          <w:tcPr>
            <w:tcW w:w="5760" w:type="dxa"/>
            <w:shd w:val="clear" w:color="000000" w:fill="D9D9D9"/>
            <w:noWrap/>
            <w:vAlign w:val="center"/>
            <w:hideMark/>
          </w:tcPr>
          <w:p w:rsidR="00AE0FD1" w:rsidRPr="00A71D2E" w:rsidRDefault="00AE0FD1" w:rsidP="00AE0FD1">
            <w:pPr>
              <w:spacing w:line="230" w:lineRule="auto"/>
              <w:rPr>
                <w:rFonts w:eastAsia="宋体" w:cs="Times New Roman"/>
                <w:color w:val="000000"/>
                <w:sz w:val="18"/>
                <w:szCs w:val="18"/>
              </w:rPr>
            </w:pPr>
            <w:r w:rsidRPr="00A71D2E">
              <w:rPr>
                <w:rFonts w:eastAsia="宋体" w:cs="Times New Roman" w:hint="eastAsia"/>
                <w:color w:val="000000"/>
                <w:sz w:val="18"/>
                <w:szCs w:val="18"/>
              </w:rPr>
              <w:t>合计</w:t>
            </w:r>
          </w:p>
        </w:tc>
        <w:tc>
          <w:tcPr>
            <w:tcW w:w="1845" w:type="dxa"/>
            <w:vAlign w:val="center"/>
          </w:tcPr>
          <w:p w:rsidR="00AE0FD1" w:rsidRPr="00A71D2E" w:rsidRDefault="00E35210" w:rsidP="00AE0FD1">
            <w:pPr>
              <w:spacing w:line="230" w:lineRule="auto"/>
              <w:jc w:val="right"/>
              <w:rPr>
                <w:rFonts w:eastAsia="宋体" w:cs="Times New Roman"/>
                <w:sz w:val="18"/>
                <w:szCs w:val="18"/>
              </w:rPr>
            </w:pPr>
            <w:r w:rsidRPr="00E35210">
              <w:rPr>
                <w:rFonts w:eastAsia="宋体" w:cs="Times New Roman"/>
                <w:sz w:val="18"/>
                <w:szCs w:val="18"/>
              </w:rPr>
              <w:t>24,212,559.62</w:t>
            </w:r>
          </w:p>
        </w:tc>
        <w:tc>
          <w:tcPr>
            <w:tcW w:w="1845" w:type="dxa"/>
            <w:vAlign w:val="center"/>
          </w:tcPr>
          <w:p w:rsidR="00AE0FD1" w:rsidRPr="00A71D2E" w:rsidRDefault="00AE0FD1" w:rsidP="00AE0FD1">
            <w:pPr>
              <w:spacing w:line="230" w:lineRule="auto"/>
              <w:jc w:val="right"/>
              <w:rPr>
                <w:rFonts w:eastAsia="宋体" w:cs="Times New Roman"/>
                <w:sz w:val="18"/>
                <w:szCs w:val="18"/>
              </w:rPr>
            </w:pPr>
            <w:r w:rsidRPr="00A71D2E">
              <w:rPr>
                <w:rFonts w:eastAsia="宋体" w:cs="Times New Roman"/>
                <w:sz w:val="18"/>
                <w:szCs w:val="18"/>
              </w:rPr>
              <w:t>8,828,885.28</w:t>
            </w:r>
          </w:p>
        </w:tc>
      </w:tr>
    </w:tbl>
    <w:p w:rsidR="000E7033" w:rsidRDefault="000E7033">
      <w:pPr>
        <w:adjustRightInd/>
        <w:snapToGrid/>
        <w:rPr>
          <w:rFonts w:eastAsia="宋体" w:cs="Times New Roman"/>
          <w:szCs w:val="21"/>
        </w:rPr>
      </w:pPr>
      <w:r>
        <w:rPr>
          <w:rFonts w:eastAsia="宋体" w:cs="Times New Roman"/>
          <w:szCs w:val="21"/>
        </w:rPr>
        <w:br w:type="page"/>
      </w:r>
    </w:p>
    <w:p w:rsidR="000E7033" w:rsidRDefault="005F14EE" w:rsidP="000E7033">
      <w:pPr>
        <w:rPr>
          <w:rFonts w:eastAsia="宋体" w:cs="Times New Roman"/>
          <w:szCs w:val="21"/>
        </w:rPr>
      </w:pPr>
      <w:r>
        <w:rPr>
          <w:rFonts w:eastAsia="宋体" w:cs="Times New Roman"/>
          <w:b/>
          <w:szCs w:val="21"/>
        </w:rPr>
        <w:t>(</w:t>
      </w:r>
      <w:r w:rsidR="000E7033" w:rsidRPr="00A71D2E">
        <w:rPr>
          <w:rFonts w:eastAsia="宋体" w:cs="Times New Roman" w:hint="eastAsia"/>
          <w:b/>
          <w:szCs w:val="21"/>
        </w:rPr>
        <w:t>五</w:t>
      </w:r>
      <w:r>
        <w:rPr>
          <w:rFonts w:eastAsia="宋体" w:cs="Times New Roman"/>
          <w:b/>
          <w:szCs w:val="21"/>
        </w:rPr>
        <w:t>)</w:t>
      </w:r>
      <w:r w:rsidR="000E7033" w:rsidRPr="00A71D2E">
        <w:rPr>
          <w:rFonts w:eastAsia="宋体" w:cs="Times New Roman"/>
          <w:b/>
          <w:szCs w:val="21"/>
        </w:rPr>
        <w:tab/>
      </w:r>
      <w:r w:rsidR="000E7033" w:rsidRPr="00A71D2E">
        <w:rPr>
          <w:rFonts w:eastAsia="宋体" w:cs="Times New Roman" w:hint="eastAsia"/>
          <w:b/>
          <w:szCs w:val="21"/>
        </w:rPr>
        <w:t>合并财务报表项目注释</w:t>
      </w:r>
      <w:r w:rsidR="000E7033" w:rsidRPr="00A71D2E">
        <w:rPr>
          <w:rFonts w:eastAsia="宋体" w:cs="Times New Roman"/>
          <w:szCs w:val="21"/>
        </w:rPr>
        <w:t xml:space="preserve"> - </w:t>
      </w:r>
      <w:r w:rsidR="000E7033" w:rsidRPr="00A71D2E">
        <w:rPr>
          <w:rFonts w:eastAsia="宋体" w:cs="Times New Roman" w:hint="eastAsia"/>
          <w:szCs w:val="21"/>
        </w:rPr>
        <w:t>续</w:t>
      </w:r>
    </w:p>
    <w:p w:rsidR="00B019C6" w:rsidRPr="00A71D2E" w:rsidRDefault="00B019C6" w:rsidP="000E7033">
      <w:pPr>
        <w:rPr>
          <w:rFonts w:eastAsia="宋体" w:cs="Times New Roman"/>
          <w:szCs w:val="21"/>
        </w:rPr>
      </w:pPr>
    </w:p>
    <w:p w:rsidR="00B019C6" w:rsidRPr="00A71D2E" w:rsidRDefault="00B019C6" w:rsidP="00B019C6">
      <w:pPr>
        <w:ind w:left="720"/>
        <w:jc w:val="both"/>
        <w:rPr>
          <w:rFonts w:eastAsia="宋体" w:cs="Times New Roman"/>
          <w:szCs w:val="21"/>
        </w:rPr>
      </w:pPr>
      <w:r>
        <w:rPr>
          <w:rFonts w:eastAsia="宋体" w:cs="Times New Roman"/>
          <w:b/>
          <w:szCs w:val="21"/>
        </w:rPr>
        <w:t>6</w:t>
      </w:r>
      <w:r w:rsidRPr="00A71D2E">
        <w:rPr>
          <w:rFonts w:eastAsia="宋体" w:cs="Times New Roman" w:hint="eastAsia"/>
          <w:b/>
          <w:szCs w:val="21"/>
        </w:rPr>
        <w:t>、</w:t>
      </w:r>
      <w:r w:rsidRPr="00A71D2E">
        <w:rPr>
          <w:rFonts w:eastAsia="宋体" w:cs="Times New Roman"/>
          <w:b/>
          <w:szCs w:val="21"/>
        </w:rPr>
        <w:tab/>
      </w:r>
      <w:r>
        <w:rPr>
          <w:rFonts w:eastAsia="宋体" w:cs="Times New Roman" w:hint="eastAsia"/>
          <w:b/>
          <w:szCs w:val="21"/>
        </w:rPr>
        <w:t>其他应收款</w:t>
      </w:r>
      <w:r w:rsidRPr="0027505B">
        <w:rPr>
          <w:rFonts w:eastAsia="宋体" w:cs="Times New Roman"/>
          <w:bCs/>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5A2C95" w:rsidRPr="000E7033" w:rsidRDefault="005A2C95" w:rsidP="00F66363">
      <w:pPr>
        <w:ind w:left="720"/>
        <w:jc w:val="both"/>
        <w:rPr>
          <w:rFonts w:eastAsia="宋体" w:cs="Times New Roman"/>
          <w:szCs w:val="21"/>
        </w:rPr>
      </w:pPr>
    </w:p>
    <w:p w:rsidR="007D47F9" w:rsidRPr="00A71D2E" w:rsidRDefault="000E7033">
      <w:pPr>
        <w:pStyle w:val="aff1"/>
        <w:numPr>
          <w:ilvl w:val="0"/>
          <w:numId w:val="13"/>
        </w:numPr>
        <w:ind w:left="1440" w:firstLineChars="0" w:hanging="720"/>
        <w:rPr>
          <w:szCs w:val="21"/>
        </w:rPr>
      </w:pPr>
      <w:r>
        <w:rPr>
          <w:rFonts w:hint="eastAsia"/>
          <w:szCs w:val="21"/>
        </w:rPr>
        <w:t>其他应收款坏账</w:t>
      </w:r>
      <w:r w:rsidR="00B969C1">
        <w:rPr>
          <w:rFonts w:hint="eastAsia"/>
          <w:szCs w:val="21"/>
        </w:rPr>
        <w:t>准备</w:t>
      </w:r>
      <w:r>
        <w:rPr>
          <w:rFonts w:hint="eastAsia"/>
          <w:szCs w:val="21"/>
        </w:rPr>
        <w:t>计提</w:t>
      </w:r>
      <w:r w:rsidR="007D47F9" w:rsidRPr="00A71D2E">
        <w:rPr>
          <w:rFonts w:hint="eastAsia"/>
          <w:szCs w:val="21"/>
        </w:rPr>
        <w:t>情况</w:t>
      </w:r>
    </w:p>
    <w:p w:rsidR="00495C8A" w:rsidRPr="00A71D2E" w:rsidRDefault="00495C8A" w:rsidP="00F66363">
      <w:pPr>
        <w:ind w:left="720"/>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777"/>
        <w:gridCol w:w="1778"/>
        <w:gridCol w:w="1777"/>
        <w:gridCol w:w="1778"/>
      </w:tblGrid>
      <w:tr w:rsidR="00495C8A" w:rsidRPr="00F93718" w:rsidTr="0027505B">
        <w:trPr>
          <w:trHeight w:val="20"/>
        </w:trPr>
        <w:tc>
          <w:tcPr>
            <w:tcW w:w="2340" w:type="dxa"/>
            <w:vMerge w:val="restart"/>
            <w:shd w:val="clear" w:color="auto" w:fill="D9D9D9" w:themeFill="background1" w:themeFillShade="D9"/>
            <w:noWrap/>
            <w:vAlign w:val="center"/>
            <w:hideMark/>
          </w:tcPr>
          <w:p w:rsidR="00495C8A" w:rsidRPr="00F93718" w:rsidRDefault="00D7048C" w:rsidP="00F66363">
            <w:pPr>
              <w:jc w:val="center"/>
              <w:rPr>
                <w:rFonts w:eastAsia="宋体" w:cs="Times New Roman"/>
                <w:sz w:val="16"/>
                <w:szCs w:val="16"/>
              </w:rPr>
            </w:pPr>
            <w:r w:rsidRPr="00F93718">
              <w:rPr>
                <w:rFonts w:eastAsia="宋体" w:cs="Times New Roman" w:hint="eastAsia"/>
                <w:sz w:val="16"/>
                <w:szCs w:val="16"/>
              </w:rPr>
              <w:t>坏账准备</w:t>
            </w:r>
          </w:p>
        </w:tc>
        <w:tc>
          <w:tcPr>
            <w:tcW w:w="1777" w:type="dxa"/>
            <w:shd w:val="clear" w:color="auto" w:fill="D9D9D9"/>
            <w:noWrap/>
            <w:vAlign w:val="center"/>
          </w:tcPr>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第一阶段</w:t>
            </w:r>
          </w:p>
        </w:tc>
        <w:tc>
          <w:tcPr>
            <w:tcW w:w="1778" w:type="dxa"/>
            <w:shd w:val="clear" w:color="auto" w:fill="D9D9D9"/>
            <w:noWrap/>
            <w:vAlign w:val="center"/>
          </w:tcPr>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第二阶段</w:t>
            </w:r>
          </w:p>
        </w:tc>
        <w:tc>
          <w:tcPr>
            <w:tcW w:w="1777" w:type="dxa"/>
            <w:shd w:val="clear" w:color="auto" w:fill="D9D9D9"/>
            <w:noWrap/>
            <w:vAlign w:val="center"/>
          </w:tcPr>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第三阶段</w:t>
            </w:r>
          </w:p>
        </w:tc>
        <w:tc>
          <w:tcPr>
            <w:tcW w:w="1778" w:type="dxa"/>
            <w:vMerge w:val="restart"/>
            <w:shd w:val="clear" w:color="auto" w:fill="D9D9D9"/>
            <w:noWrap/>
            <w:vAlign w:val="center"/>
            <w:hideMark/>
          </w:tcPr>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合计</w:t>
            </w:r>
          </w:p>
        </w:tc>
      </w:tr>
      <w:tr w:rsidR="00495C8A" w:rsidRPr="00F93718" w:rsidTr="0027505B">
        <w:trPr>
          <w:trHeight w:val="20"/>
        </w:trPr>
        <w:tc>
          <w:tcPr>
            <w:tcW w:w="2340" w:type="dxa"/>
            <w:vMerge/>
            <w:shd w:val="clear" w:color="auto" w:fill="D9D9D9" w:themeFill="background1" w:themeFillShade="D9"/>
            <w:noWrap/>
            <w:vAlign w:val="center"/>
          </w:tcPr>
          <w:p w:rsidR="00495C8A" w:rsidRPr="00F93718" w:rsidRDefault="00495C8A" w:rsidP="00F66363">
            <w:pPr>
              <w:rPr>
                <w:rFonts w:eastAsia="宋体" w:cs="Times New Roman"/>
                <w:sz w:val="16"/>
                <w:szCs w:val="16"/>
              </w:rPr>
            </w:pPr>
          </w:p>
        </w:tc>
        <w:tc>
          <w:tcPr>
            <w:tcW w:w="1777" w:type="dxa"/>
            <w:shd w:val="clear" w:color="auto" w:fill="D9D9D9"/>
            <w:noWrap/>
            <w:vAlign w:val="center"/>
          </w:tcPr>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未来</w:t>
            </w:r>
            <w:r w:rsidRPr="00F93718">
              <w:rPr>
                <w:rFonts w:eastAsia="宋体" w:cs="Times New Roman"/>
                <w:sz w:val="16"/>
                <w:szCs w:val="16"/>
              </w:rPr>
              <w:t>12</w:t>
            </w:r>
            <w:r w:rsidRPr="00F93718">
              <w:rPr>
                <w:rFonts w:eastAsia="宋体" w:cs="Times New Roman" w:hint="eastAsia"/>
                <w:sz w:val="16"/>
                <w:szCs w:val="16"/>
              </w:rPr>
              <w:t>个月</w:t>
            </w:r>
          </w:p>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预期信用损失</w:t>
            </w:r>
          </w:p>
        </w:tc>
        <w:tc>
          <w:tcPr>
            <w:tcW w:w="1778" w:type="dxa"/>
            <w:shd w:val="clear" w:color="auto" w:fill="D9D9D9"/>
            <w:noWrap/>
            <w:vAlign w:val="center"/>
          </w:tcPr>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整个存续期</w:t>
            </w:r>
          </w:p>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预期信用损失</w:t>
            </w:r>
          </w:p>
          <w:p w:rsidR="00495C8A" w:rsidRPr="00F93718" w:rsidRDefault="005F14EE" w:rsidP="00F66363">
            <w:pPr>
              <w:jc w:val="center"/>
              <w:rPr>
                <w:rFonts w:eastAsia="宋体" w:cs="Times New Roman"/>
                <w:sz w:val="16"/>
                <w:szCs w:val="16"/>
              </w:rPr>
            </w:pPr>
            <w:r w:rsidRPr="00F93718">
              <w:rPr>
                <w:rFonts w:eastAsia="宋体" w:cs="Times New Roman"/>
                <w:sz w:val="16"/>
                <w:szCs w:val="16"/>
              </w:rPr>
              <w:t>(</w:t>
            </w:r>
            <w:r w:rsidR="00495C8A" w:rsidRPr="00F93718">
              <w:rPr>
                <w:rFonts w:eastAsia="宋体" w:cs="Times New Roman" w:hint="eastAsia"/>
                <w:sz w:val="16"/>
                <w:szCs w:val="16"/>
              </w:rPr>
              <w:t>未发生信用减值</w:t>
            </w:r>
            <w:r w:rsidRPr="00F93718">
              <w:rPr>
                <w:rFonts w:eastAsia="宋体" w:cs="Times New Roman"/>
                <w:sz w:val="16"/>
                <w:szCs w:val="16"/>
              </w:rPr>
              <w:t>)</w:t>
            </w:r>
          </w:p>
        </w:tc>
        <w:tc>
          <w:tcPr>
            <w:tcW w:w="1777" w:type="dxa"/>
            <w:shd w:val="clear" w:color="auto" w:fill="D9D9D9"/>
            <w:noWrap/>
            <w:vAlign w:val="center"/>
          </w:tcPr>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整个存续期</w:t>
            </w:r>
          </w:p>
          <w:p w:rsidR="00495C8A" w:rsidRPr="00F93718" w:rsidRDefault="00495C8A" w:rsidP="00F66363">
            <w:pPr>
              <w:jc w:val="center"/>
              <w:rPr>
                <w:rFonts w:eastAsia="宋体" w:cs="Times New Roman"/>
                <w:sz w:val="16"/>
                <w:szCs w:val="16"/>
              </w:rPr>
            </w:pPr>
            <w:r w:rsidRPr="00F93718">
              <w:rPr>
                <w:rFonts w:eastAsia="宋体" w:cs="Times New Roman" w:hint="eastAsia"/>
                <w:sz w:val="16"/>
                <w:szCs w:val="16"/>
              </w:rPr>
              <w:t>预期信用损失</w:t>
            </w:r>
          </w:p>
          <w:p w:rsidR="00495C8A" w:rsidRPr="00F93718" w:rsidRDefault="005F14EE" w:rsidP="00F66363">
            <w:pPr>
              <w:jc w:val="center"/>
              <w:rPr>
                <w:rFonts w:eastAsia="宋体" w:cs="Times New Roman"/>
                <w:sz w:val="16"/>
                <w:szCs w:val="16"/>
              </w:rPr>
            </w:pPr>
            <w:r w:rsidRPr="00F93718">
              <w:rPr>
                <w:rFonts w:eastAsia="宋体" w:cs="Times New Roman"/>
                <w:sz w:val="16"/>
                <w:szCs w:val="16"/>
              </w:rPr>
              <w:t>(</w:t>
            </w:r>
            <w:r w:rsidR="00495C8A" w:rsidRPr="00F93718">
              <w:rPr>
                <w:rFonts w:eastAsia="宋体" w:cs="Times New Roman" w:hint="eastAsia"/>
                <w:sz w:val="16"/>
                <w:szCs w:val="16"/>
              </w:rPr>
              <w:t>已发生信用减值</w:t>
            </w:r>
            <w:r w:rsidRPr="00F93718">
              <w:rPr>
                <w:rFonts w:eastAsia="宋体" w:cs="Times New Roman"/>
                <w:sz w:val="16"/>
                <w:szCs w:val="16"/>
              </w:rPr>
              <w:t>)</w:t>
            </w:r>
          </w:p>
        </w:tc>
        <w:tc>
          <w:tcPr>
            <w:tcW w:w="1778" w:type="dxa"/>
            <w:vMerge/>
            <w:shd w:val="clear" w:color="000000" w:fill="FFFFFF"/>
            <w:noWrap/>
            <w:vAlign w:val="center"/>
          </w:tcPr>
          <w:p w:rsidR="00495C8A" w:rsidRPr="00F93718" w:rsidRDefault="00495C8A" w:rsidP="00F66363">
            <w:pPr>
              <w:jc w:val="center"/>
              <w:rPr>
                <w:rFonts w:eastAsia="宋体" w:cs="Times New Roman"/>
                <w:sz w:val="16"/>
                <w:szCs w:val="16"/>
              </w:rPr>
            </w:pPr>
          </w:p>
        </w:tc>
      </w:tr>
      <w:tr w:rsidR="00464D2A" w:rsidRPr="00F93718" w:rsidTr="0027505B">
        <w:trPr>
          <w:trHeight w:val="20"/>
        </w:trPr>
        <w:tc>
          <w:tcPr>
            <w:tcW w:w="2340" w:type="dxa"/>
            <w:shd w:val="clear" w:color="000000" w:fill="FFFFFF"/>
            <w:noWrap/>
            <w:vAlign w:val="center"/>
          </w:tcPr>
          <w:p w:rsidR="00464D2A" w:rsidRPr="00F93718" w:rsidRDefault="00464D2A" w:rsidP="00464D2A">
            <w:pPr>
              <w:rPr>
                <w:rFonts w:eastAsia="宋体" w:cs="Times New Roman"/>
                <w:sz w:val="16"/>
                <w:szCs w:val="16"/>
              </w:rPr>
            </w:pPr>
            <w:r w:rsidRPr="00F93718">
              <w:rPr>
                <w:rFonts w:eastAsia="宋体" w:cs="Times New Roman"/>
                <w:sz w:val="16"/>
                <w:szCs w:val="16"/>
              </w:rPr>
              <w:t>2023</w:t>
            </w:r>
            <w:r w:rsidRPr="00F93718">
              <w:rPr>
                <w:rFonts w:eastAsia="宋体" w:cs="Times New Roman" w:hint="eastAsia"/>
                <w:sz w:val="16"/>
                <w:szCs w:val="16"/>
              </w:rPr>
              <w:t>年</w:t>
            </w:r>
            <w:r w:rsidRPr="00F93718">
              <w:rPr>
                <w:rFonts w:eastAsia="宋体" w:cs="Times New Roman"/>
                <w:sz w:val="16"/>
                <w:szCs w:val="16"/>
              </w:rPr>
              <w:t>1</w:t>
            </w:r>
            <w:r w:rsidRPr="00F93718">
              <w:rPr>
                <w:rFonts w:eastAsia="宋体" w:cs="Times New Roman" w:hint="eastAsia"/>
                <w:sz w:val="16"/>
                <w:szCs w:val="16"/>
              </w:rPr>
              <w:t>月</w:t>
            </w:r>
            <w:r w:rsidRPr="00F93718">
              <w:rPr>
                <w:rFonts w:eastAsia="宋体" w:cs="Times New Roman"/>
                <w:sz w:val="16"/>
                <w:szCs w:val="16"/>
              </w:rPr>
              <w:t>1</w:t>
            </w:r>
            <w:r w:rsidRPr="00F93718">
              <w:rPr>
                <w:rFonts w:eastAsia="宋体" w:cs="Times New Roman" w:hint="eastAsia"/>
                <w:sz w:val="16"/>
                <w:szCs w:val="16"/>
              </w:rPr>
              <w:t>日余额</w:t>
            </w:r>
          </w:p>
        </w:tc>
        <w:tc>
          <w:tcPr>
            <w:tcW w:w="1777" w:type="dxa"/>
            <w:shd w:val="clear" w:color="000000" w:fill="FFFFFF"/>
            <w:noWrap/>
            <w:vAlign w:val="center"/>
          </w:tcPr>
          <w:p w:rsidR="00464D2A" w:rsidRPr="00F93718" w:rsidRDefault="00464D2A" w:rsidP="00464D2A">
            <w:pPr>
              <w:jc w:val="right"/>
              <w:rPr>
                <w:rFonts w:eastAsia="宋体" w:cs="Times New Roman"/>
                <w:sz w:val="16"/>
                <w:szCs w:val="16"/>
              </w:rPr>
            </w:pPr>
            <w:r w:rsidRPr="00F93718">
              <w:rPr>
                <w:rFonts w:eastAsia="宋体" w:cs="Times New Roman"/>
                <w:sz w:val="16"/>
                <w:szCs w:val="16"/>
              </w:rPr>
              <w:t xml:space="preserve">  148,563.03</w:t>
            </w:r>
          </w:p>
        </w:tc>
        <w:tc>
          <w:tcPr>
            <w:tcW w:w="1778" w:type="dxa"/>
            <w:shd w:val="clear" w:color="000000" w:fill="FFFFFF"/>
            <w:noWrap/>
            <w:vAlign w:val="center"/>
          </w:tcPr>
          <w:p w:rsidR="00464D2A" w:rsidRPr="00F93718" w:rsidRDefault="00464D2A" w:rsidP="00464D2A">
            <w:pPr>
              <w:jc w:val="right"/>
              <w:rPr>
                <w:rFonts w:eastAsia="宋体" w:cs="Times New Roman"/>
                <w:sz w:val="16"/>
                <w:szCs w:val="16"/>
              </w:rPr>
            </w:pPr>
            <w:r w:rsidRPr="00F93718">
              <w:rPr>
                <w:rFonts w:eastAsia="宋体" w:cs="Times New Roman"/>
                <w:sz w:val="16"/>
                <w:szCs w:val="16"/>
              </w:rPr>
              <w:t xml:space="preserve"> 3,590.02</w:t>
            </w:r>
          </w:p>
        </w:tc>
        <w:tc>
          <w:tcPr>
            <w:tcW w:w="1777" w:type="dxa"/>
            <w:shd w:val="clear" w:color="000000" w:fill="FFFFFF"/>
            <w:noWrap/>
            <w:vAlign w:val="center"/>
          </w:tcPr>
          <w:p w:rsidR="00464D2A" w:rsidRPr="00F93718" w:rsidRDefault="00464D2A" w:rsidP="00464D2A">
            <w:pPr>
              <w:jc w:val="right"/>
              <w:rPr>
                <w:rFonts w:eastAsia="宋体" w:cs="Times New Roman"/>
                <w:sz w:val="16"/>
                <w:szCs w:val="16"/>
              </w:rPr>
            </w:pPr>
            <w:r w:rsidRPr="00F93718">
              <w:rPr>
                <w:rFonts w:eastAsia="宋体" w:cs="Times New Roman"/>
                <w:sz w:val="16"/>
                <w:szCs w:val="16"/>
              </w:rPr>
              <w:t xml:space="preserve"> 10,157.24</w:t>
            </w:r>
          </w:p>
        </w:tc>
        <w:tc>
          <w:tcPr>
            <w:tcW w:w="1778" w:type="dxa"/>
            <w:shd w:val="clear" w:color="000000" w:fill="FFFFFF"/>
            <w:noWrap/>
            <w:vAlign w:val="center"/>
          </w:tcPr>
          <w:p w:rsidR="00464D2A" w:rsidRPr="00F93718" w:rsidRDefault="00464D2A" w:rsidP="00464D2A">
            <w:pPr>
              <w:jc w:val="right"/>
              <w:rPr>
                <w:rFonts w:eastAsia="宋体" w:cs="Times New Roman"/>
                <w:sz w:val="16"/>
                <w:szCs w:val="16"/>
              </w:rPr>
            </w:pPr>
            <w:r w:rsidRPr="00F93718">
              <w:rPr>
                <w:rFonts w:eastAsia="宋体" w:cs="Times New Roman"/>
                <w:sz w:val="16"/>
                <w:szCs w:val="16"/>
              </w:rPr>
              <w:t xml:space="preserve"> 162,310.29</w:t>
            </w:r>
          </w:p>
        </w:tc>
      </w:tr>
      <w:tr w:rsidR="00464D2A" w:rsidRPr="00F93718" w:rsidTr="0027505B">
        <w:trPr>
          <w:trHeight w:val="20"/>
        </w:trPr>
        <w:tc>
          <w:tcPr>
            <w:tcW w:w="2340" w:type="dxa"/>
            <w:shd w:val="clear" w:color="000000" w:fill="FFFFFF"/>
            <w:noWrap/>
            <w:vAlign w:val="center"/>
          </w:tcPr>
          <w:p w:rsidR="00464D2A" w:rsidRPr="00F93718" w:rsidRDefault="00EF71D0" w:rsidP="00464D2A">
            <w:pPr>
              <w:autoSpaceDE w:val="0"/>
              <w:autoSpaceDN w:val="0"/>
              <w:rPr>
                <w:rFonts w:eastAsia="宋体" w:cs="Times New Roman"/>
                <w:sz w:val="16"/>
                <w:szCs w:val="16"/>
              </w:rPr>
            </w:pPr>
            <w:r w:rsidRPr="00F93718">
              <w:rPr>
                <w:rFonts w:eastAsia="宋体" w:cs="Times New Roman" w:hint="eastAsia"/>
                <w:sz w:val="16"/>
                <w:szCs w:val="16"/>
              </w:rPr>
              <w:t>年初</w:t>
            </w:r>
            <w:r w:rsidR="00464D2A" w:rsidRPr="00F93718">
              <w:rPr>
                <w:rFonts w:eastAsia="宋体" w:cs="Times New Roman" w:hint="eastAsia"/>
                <w:sz w:val="16"/>
                <w:szCs w:val="16"/>
              </w:rPr>
              <w:t>余额在本年</w:t>
            </w:r>
            <w:r w:rsidR="005F14EE" w:rsidRPr="00F93718">
              <w:rPr>
                <w:rFonts w:eastAsia="宋体" w:cs="Times New Roman" w:hint="eastAsia"/>
                <w:sz w:val="16"/>
                <w:szCs w:val="16"/>
              </w:rPr>
              <w:t>：</w:t>
            </w:r>
          </w:p>
        </w:tc>
        <w:tc>
          <w:tcPr>
            <w:tcW w:w="1777" w:type="dxa"/>
            <w:shd w:val="clear" w:color="000000" w:fill="FFFFFF"/>
            <w:noWrap/>
            <w:vAlign w:val="center"/>
          </w:tcPr>
          <w:p w:rsidR="00464D2A" w:rsidRPr="00F93718" w:rsidRDefault="00464D2A" w:rsidP="00464D2A">
            <w:pPr>
              <w:jc w:val="right"/>
              <w:rPr>
                <w:rFonts w:eastAsia="宋体" w:cs="Times New Roman"/>
                <w:sz w:val="16"/>
                <w:szCs w:val="16"/>
              </w:rPr>
            </w:pPr>
          </w:p>
        </w:tc>
        <w:tc>
          <w:tcPr>
            <w:tcW w:w="1778" w:type="dxa"/>
            <w:shd w:val="clear" w:color="000000" w:fill="FFFFFF"/>
            <w:noWrap/>
            <w:vAlign w:val="center"/>
          </w:tcPr>
          <w:p w:rsidR="00464D2A" w:rsidRPr="00F93718" w:rsidRDefault="00464D2A" w:rsidP="00464D2A">
            <w:pPr>
              <w:jc w:val="right"/>
              <w:rPr>
                <w:rFonts w:eastAsia="宋体" w:cs="Times New Roman"/>
                <w:sz w:val="16"/>
                <w:szCs w:val="16"/>
              </w:rPr>
            </w:pPr>
          </w:p>
        </w:tc>
        <w:tc>
          <w:tcPr>
            <w:tcW w:w="1777" w:type="dxa"/>
            <w:shd w:val="clear" w:color="000000" w:fill="FFFFFF"/>
            <w:noWrap/>
            <w:vAlign w:val="center"/>
          </w:tcPr>
          <w:p w:rsidR="00464D2A" w:rsidRPr="00F93718" w:rsidRDefault="00464D2A" w:rsidP="00464D2A">
            <w:pPr>
              <w:jc w:val="right"/>
              <w:rPr>
                <w:rFonts w:eastAsia="宋体" w:cs="Times New Roman"/>
                <w:sz w:val="16"/>
                <w:szCs w:val="16"/>
              </w:rPr>
            </w:pPr>
          </w:p>
        </w:tc>
        <w:tc>
          <w:tcPr>
            <w:tcW w:w="1778" w:type="dxa"/>
            <w:shd w:val="clear" w:color="000000" w:fill="FFFFFF"/>
            <w:noWrap/>
            <w:vAlign w:val="center"/>
          </w:tcPr>
          <w:p w:rsidR="00464D2A" w:rsidRPr="00F93718" w:rsidRDefault="00464D2A" w:rsidP="00464D2A">
            <w:pPr>
              <w:jc w:val="right"/>
              <w:rPr>
                <w:rFonts w:eastAsia="宋体" w:cs="Times New Roman"/>
                <w:sz w:val="16"/>
                <w:szCs w:val="16"/>
              </w:rPr>
            </w:pPr>
          </w:p>
        </w:tc>
      </w:tr>
      <w:tr w:rsidR="00985508" w:rsidRPr="00F93718" w:rsidTr="0027505B">
        <w:trPr>
          <w:trHeight w:val="20"/>
        </w:trPr>
        <w:tc>
          <w:tcPr>
            <w:tcW w:w="2340" w:type="dxa"/>
            <w:shd w:val="clear" w:color="000000" w:fill="FFFFFF"/>
            <w:noWrap/>
            <w:vAlign w:val="center"/>
          </w:tcPr>
          <w:p w:rsidR="00985508" w:rsidRPr="00F93718" w:rsidRDefault="00985508" w:rsidP="00985508">
            <w:pPr>
              <w:rPr>
                <w:rFonts w:eastAsia="宋体" w:cs="Times New Roman"/>
                <w:sz w:val="16"/>
                <w:szCs w:val="16"/>
              </w:rPr>
            </w:pPr>
            <w:r w:rsidRPr="00F93718">
              <w:rPr>
                <w:rFonts w:eastAsia="宋体" w:cs="Times New Roman"/>
                <w:sz w:val="16"/>
                <w:szCs w:val="16"/>
              </w:rPr>
              <w:t>——</w:t>
            </w:r>
            <w:r w:rsidRPr="00F93718">
              <w:rPr>
                <w:rFonts w:eastAsia="宋体" w:cs="Times New Roman" w:hint="eastAsia"/>
                <w:sz w:val="16"/>
                <w:szCs w:val="16"/>
              </w:rPr>
              <w:t>转入第二阶段</w:t>
            </w:r>
          </w:p>
        </w:tc>
        <w:tc>
          <w:tcPr>
            <w:tcW w:w="1777" w:type="dxa"/>
            <w:shd w:val="clear" w:color="000000" w:fill="FFFFFF"/>
            <w:noWrap/>
            <w:vAlign w:val="center"/>
          </w:tcPr>
          <w:p w:rsidR="00985508" w:rsidRPr="00F93718" w:rsidRDefault="005F14EE" w:rsidP="00985508">
            <w:pPr>
              <w:jc w:val="right"/>
              <w:rPr>
                <w:rFonts w:eastAsia="宋体" w:cs="Times New Roman"/>
                <w:sz w:val="16"/>
                <w:szCs w:val="16"/>
              </w:rPr>
            </w:pPr>
            <w:r w:rsidRPr="00F93718">
              <w:rPr>
                <w:rFonts w:eastAsia="宋体" w:cs="Times New Roman"/>
                <w:sz w:val="16"/>
                <w:szCs w:val="16"/>
              </w:rPr>
              <w:t>(</w:t>
            </w:r>
            <w:r w:rsidR="00985508" w:rsidRPr="00F93718">
              <w:rPr>
                <w:rFonts w:eastAsia="宋体" w:cs="Times New Roman"/>
                <w:sz w:val="16"/>
                <w:szCs w:val="16"/>
              </w:rPr>
              <w:t>31,263.20</w:t>
            </w:r>
            <w:r w:rsidRPr="00F93718">
              <w:rPr>
                <w:rFonts w:eastAsia="宋体" w:cs="Times New Roman"/>
                <w:sz w:val="16"/>
                <w:szCs w:val="16"/>
              </w:rPr>
              <w:t>)</w:t>
            </w:r>
          </w:p>
        </w:tc>
        <w:tc>
          <w:tcPr>
            <w:tcW w:w="1778" w:type="dxa"/>
            <w:shd w:val="clear" w:color="000000" w:fill="FFFFFF"/>
            <w:noWrap/>
            <w:vAlign w:val="center"/>
          </w:tcPr>
          <w:p w:rsidR="00985508" w:rsidRPr="00F93718" w:rsidRDefault="00985508" w:rsidP="00985508">
            <w:pPr>
              <w:jc w:val="right"/>
              <w:rPr>
                <w:rFonts w:eastAsia="宋体" w:cs="Times New Roman"/>
                <w:sz w:val="16"/>
                <w:szCs w:val="16"/>
              </w:rPr>
            </w:pPr>
            <w:r w:rsidRPr="00F93718">
              <w:rPr>
                <w:rFonts w:eastAsia="宋体" w:cs="Times New Roman"/>
                <w:sz w:val="16"/>
                <w:szCs w:val="16"/>
              </w:rPr>
              <w:t>31,263.20</w:t>
            </w:r>
          </w:p>
        </w:tc>
        <w:tc>
          <w:tcPr>
            <w:tcW w:w="1777" w:type="dxa"/>
            <w:shd w:val="clear" w:color="000000" w:fill="FFFFFF"/>
            <w:noWrap/>
            <w:vAlign w:val="center"/>
          </w:tcPr>
          <w:p w:rsidR="00985508" w:rsidRPr="00F93718" w:rsidRDefault="00985508" w:rsidP="00985508">
            <w:pPr>
              <w:jc w:val="right"/>
              <w:rPr>
                <w:rFonts w:eastAsia="宋体" w:cs="Times New Roman"/>
                <w:sz w:val="16"/>
                <w:szCs w:val="16"/>
              </w:rPr>
            </w:pPr>
            <w:r w:rsidRPr="0027505B">
              <w:rPr>
                <w:rFonts w:eastAsia="宋体" w:cs="Times New Roman"/>
                <w:color w:val="000000"/>
                <w:sz w:val="16"/>
                <w:szCs w:val="16"/>
              </w:rPr>
              <w:t>-    </w:t>
            </w:r>
          </w:p>
        </w:tc>
        <w:tc>
          <w:tcPr>
            <w:tcW w:w="1778" w:type="dxa"/>
            <w:shd w:val="clear" w:color="000000" w:fill="FFFFFF"/>
            <w:noWrap/>
            <w:vAlign w:val="center"/>
          </w:tcPr>
          <w:p w:rsidR="00985508" w:rsidRPr="00F93718" w:rsidRDefault="00985508" w:rsidP="00985508">
            <w:pPr>
              <w:jc w:val="right"/>
              <w:rPr>
                <w:rFonts w:eastAsia="宋体" w:cs="Times New Roman"/>
                <w:sz w:val="16"/>
                <w:szCs w:val="16"/>
              </w:rPr>
            </w:pPr>
            <w:r w:rsidRPr="0027505B">
              <w:rPr>
                <w:rFonts w:eastAsia="宋体" w:cs="Times New Roman"/>
                <w:color w:val="000000"/>
                <w:sz w:val="16"/>
                <w:szCs w:val="16"/>
              </w:rPr>
              <w:t>-    </w:t>
            </w:r>
          </w:p>
        </w:tc>
      </w:tr>
      <w:tr w:rsidR="00621335" w:rsidRPr="00F93718" w:rsidTr="0027505B">
        <w:trPr>
          <w:trHeight w:val="20"/>
        </w:trPr>
        <w:tc>
          <w:tcPr>
            <w:tcW w:w="2340" w:type="dxa"/>
            <w:shd w:val="clear" w:color="000000" w:fill="FFFFFF"/>
            <w:noWrap/>
            <w:vAlign w:val="center"/>
          </w:tcPr>
          <w:p w:rsidR="00621335" w:rsidRPr="00F93718" w:rsidRDefault="00621335" w:rsidP="00621335">
            <w:pPr>
              <w:rPr>
                <w:rFonts w:eastAsia="宋体" w:cs="Times New Roman"/>
                <w:sz w:val="16"/>
                <w:szCs w:val="16"/>
              </w:rPr>
            </w:pPr>
            <w:r w:rsidRPr="00F93718">
              <w:rPr>
                <w:rFonts w:eastAsia="宋体" w:cs="Times New Roman"/>
                <w:sz w:val="16"/>
                <w:szCs w:val="16"/>
              </w:rPr>
              <w:t>——</w:t>
            </w:r>
            <w:r w:rsidRPr="00F93718">
              <w:rPr>
                <w:rFonts w:eastAsia="宋体" w:cs="Times New Roman" w:hint="eastAsia"/>
                <w:sz w:val="16"/>
                <w:szCs w:val="16"/>
              </w:rPr>
              <w:t>转入第三阶段</w:t>
            </w:r>
          </w:p>
        </w:tc>
        <w:tc>
          <w:tcPr>
            <w:tcW w:w="1777" w:type="dxa"/>
            <w:shd w:val="clear" w:color="000000" w:fill="FFFFFF"/>
            <w:noWrap/>
            <w:vAlign w:val="center"/>
          </w:tcPr>
          <w:p w:rsidR="00621335" w:rsidRPr="00F93718" w:rsidRDefault="00621335" w:rsidP="00621335">
            <w:pPr>
              <w:jc w:val="right"/>
              <w:rPr>
                <w:rFonts w:eastAsia="宋体" w:cs="Times New Roman"/>
                <w:sz w:val="16"/>
                <w:szCs w:val="16"/>
              </w:rPr>
            </w:pPr>
            <w:r w:rsidRPr="0027505B">
              <w:rPr>
                <w:rFonts w:eastAsia="宋体" w:cs="Times New Roman"/>
                <w:color w:val="000000"/>
                <w:sz w:val="16"/>
                <w:szCs w:val="16"/>
              </w:rPr>
              <w:t>-    </w:t>
            </w:r>
          </w:p>
        </w:tc>
        <w:tc>
          <w:tcPr>
            <w:tcW w:w="1778" w:type="dxa"/>
            <w:shd w:val="clear" w:color="000000" w:fill="FFFFFF"/>
            <w:noWrap/>
            <w:vAlign w:val="center"/>
          </w:tcPr>
          <w:p w:rsidR="00621335" w:rsidRPr="00F93718" w:rsidRDefault="00621335" w:rsidP="00621335">
            <w:pPr>
              <w:jc w:val="right"/>
              <w:rPr>
                <w:rFonts w:eastAsia="宋体" w:cs="Times New Roman"/>
                <w:sz w:val="16"/>
                <w:szCs w:val="16"/>
              </w:rPr>
            </w:pPr>
            <w:r w:rsidRPr="0027505B">
              <w:rPr>
                <w:rFonts w:eastAsia="宋体" w:cs="Times New Roman"/>
                <w:color w:val="000000"/>
                <w:sz w:val="16"/>
                <w:szCs w:val="16"/>
              </w:rPr>
              <w:t>-    </w:t>
            </w:r>
          </w:p>
        </w:tc>
        <w:tc>
          <w:tcPr>
            <w:tcW w:w="1777" w:type="dxa"/>
            <w:shd w:val="clear" w:color="000000" w:fill="FFFFFF"/>
            <w:noWrap/>
            <w:vAlign w:val="center"/>
          </w:tcPr>
          <w:p w:rsidR="00621335" w:rsidRPr="00F93718" w:rsidRDefault="00621335" w:rsidP="00621335">
            <w:pPr>
              <w:jc w:val="right"/>
              <w:rPr>
                <w:rFonts w:eastAsia="宋体" w:cs="Times New Roman"/>
                <w:sz w:val="16"/>
                <w:szCs w:val="16"/>
              </w:rPr>
            </w:pPr>
            <w:r w:rsidRPr="0027505B">
              <w:rPr>
                <w:rFonts w:eastAsia="宋体" w:cs="Times New Roman"/>
                <w:color w:val="000000"/>
                <w:sz w:val="16"/>
                <w:szCs w:val="16"/>
              </w:rPr>
              <w:t>-    </w:t>
            </w:r>
          </w:p>
        </w:tc>
        <w:tc>
          <w:tcPr>
            <w:tcW w:w="1778" w:type="dxa"/>
            <w:shd w:val="clear" w:color="000000" w:fill="FFFFFF"/>
            <w:noWrap/>
            <w:vAlign w:val="center"/>
          </w:tcPr>
          <w:p w:rsidR="00621335" w:rsidRPr="00F93718" w:rsidRDefault="00621335" w:rsidP="00621335">
            <w:pPr>
              <w:jc w:val="right"/>
              <w:rPr>
                <w:rFonts w:eastAsia="宋体" w:cs="Times New Roman"/>
                <w:sz w:val="16"/>
                <w:szCs w:val="16"/>
              </w:rPr>
            </w:pPr>
            <w:r w:rsidRPr="0027505B">
              <w:rPr>
                <w:rFonts w:eastAsia="宋体" w:cs="Times New Roman"/>
                <w:color w:val="000000"/>
                <w:sz w:val="16"/>
                <w:szCs w:val="16"/>
              </w:rPr>
              <w:t>-    </w:t>
            </w:r>
          </w:p>
        </w:tc>
      </w:tr>
      <w:tr w:rsidR="00985508" w:rsidRPr="00F93718" w:rsidTr="0027505B">
        <w:trPr>
          <w:trHeight w:val="20"/>
        </w:trPr>
        <w:tc>
          <w:tcPr>
            <w:tcW w:w="2340" w:type="dxa"/>
            <w:shd w:val="clear" w:color="000000" w:fill="FFFFFF"/>
            <w:noWrap/>
            <w:vAlign w:val="center"/>
          </w:tcPr>
          <w:p w:rsidR="00985508" w:rsidRPr="00F93718" w:rsidRDefault="00985508" w:rsidP="00985508">
            <w:pPr>
              <w:rPr>
                <w:rFonts w:eastAsia="宋体" w:cs="Times New Roman"/>
                <w:sz w:val="16"/>
                <w:szCs w:val="16"/>
              </w:rPr>
            </w:pPr>
            <w:r w:rsidRPr="00F93718">
              <w:rPr>
                <w:rFonts w:eastAsia="宋体" w:cs="Times New Roman" w:hint="eastAsia"/>
                <w:sz w:val="16"/>
                <w:szCs w:val="16"/>
              </w:rPr>
              <w:t>本年计提</w:t>
            </w:r>
          </w:p>
        </w:tc>
        <w:tc>
          <w:tcPr>
            <w:tcW w:w="1777" w:type="dxa"/>
            <w:shd w:val="clear" w:color="000000" w:fill="FFFFFF"/>
            <w:noWrap/>
            <w:vAlign w:val="center"/>
          </w:tcPr>
          <w:p w:rsidR="00985508" w:rsidRPr="00F93718" w:rsidRDefault="00985508" w:rsidP="00985508">
            <w:pPr>
              <w:jc w:val="right"/>
              <w:rPr>
                <w:rFonts w:eastAsia="宋体" w:cs="Times New Roman"/>
                <w:sz w:val="16"/>
                <w:szCs w:val="16"/>
              </w:rPr>
            </w:pPr>
            <w:r w:rsidRPr="00F93718">
              <w:rPr>
                <w:rFonts w:eastAsia="宋体" w:cs="Times New Roman"/>
                <w:sz w:val="16"/>
                <w:szCs w:val="16"/>
              </w:rPr>
              <w:t>51,186.91</w:t>
            </w:r>
          </w:p>
        </w:tc>
        <w:tc>
          <w:tcPr>
            <w:tcW w:w="1778" w:type="dxa"/>
            <w:shd w:val="clear" w:color="000000" w:fill="FFFFFF"/>
            <w:noWrap/>
            <w:vAlign w:val="center"/>
          </w:tcPr>
          <w:p w:rsidR="00985508" w:rsidRPr="00F93718" w:rsidRDefault="00621335" w:rsidP="00985508">
            <w:pPr>
              <w:jc w:val="right"/>
              <w:rPr>
                <w:rFonts w:eastAsia="宋体" w:cs="Times New Roman"/>
                <w:sz w:val="16"/>
                <w:szCs w:val="16"/>
              </w:rPr>
            </w:pPr>
            <w:r w:rsidRPr="00F93718">
              <w:rPr>
                <w:rFonts w:eastAsia="宋体" w:cs="Times New Roman"/>
                <w:sz w:val="16"/>
                <w:szCs w:val="16"/>
              </w:rPr>
              <w:t>169,366.41</w:t>
            </w:r>
          </w:p>
        </w:tc>
        <w:tc>
          <w:tcPr>
            <w:tcW w:w="1777" w:type="dxa"/>
            <w:shd w:val="clear" w:color="000000" w:fill="FFFFFF"/>
            <w:noWrap/>
            <w:vAlign w:val="center"/>
          </w:tcPr>
          <w:p w:rsidR="00985508" w:rsidRPr="00F93718" w:rsidRDefault="00621335" w:rsidP="00985508">
            <w:pPr>
              <w:jc w:val="right"/>
              <w:rPr>
                <w:rFonts w:eastAsia="宋体" w:cs="Times New Roman"/>
                <w:sz w:val="16"/>
                <w:szCs w:val="16"/>
              </w:rPr>
            </w:pPr>
            <w:r w:rsidRPr="00F93718">
              <w:rPr>
                <w:rFonts w:eastAsia="宋体" w:cs="Times New Roman"/>
                <w:sz w:val="16"/>
                <w:szCs w:val="16"/>
              </w:rPr>
              <w:t>13,658.98</w:t>
            </w:r>
          </w:p>
        </w:tc>
        <w:tc>
          <w:tcPr>
            <w:tcW w:w="1778" w:type="dxa"/>
            <w:shd w:val="clear" w:color="000000" w:fill="FFFFFF"/>
            <w:noWrap/>
            <w:vAlign w:val="center"/>
          </w:tcPr>
          <w:p w:rsidR="00985508" w:rsidRPr="00F93718" w:rsidRDefault="00985508" w:rsidP="00985508">
            <w:pPr>
              <w:jc w:val="right"/>
              <w:rPr>
                <w:rFonts w:eastAsia="宋体" w:cs="Times New Roman"/>
                <w:sz w:val="16"/>
                <w:szCs w:val="16"/>
              </w:rPr>
            </w:pPr>
            <w:r w:rsidRPr="00F93718">
              <w:rPr>
                <w:rFonts w:eastAsia="宋体" w:cs="Times New Roman"/>
                <w:sz w:val="16"/>
                <w:szCs w:val="16"/>
              </w:rPr>
              <w:t>234,212.30</w:t>
            </w:r>
          </w:p>
        </w:tc>
      </w:tr>
      <w:tr w:rsidR="00985508" w:rsidRPr="00F93718" w:rsidTr="0027505B">
        <w:trPr>
          <w:trHeight w:val="20"/>
        </w:trPr>
        <w:tc>
          <w:tcPr>
            <w:tcW w:w="2340" w:type="dxa"/>
            <w:shd w:val="clear" w:color="000000" w:fill="FFFFFF"/>
            <w:noWrap/>
            <w:vAlign w:val="center"/>
          </w:tcPr>
          <w:p w:rsidR="00985508" w:rsidRPr="00F93718" w:rsidRDefault="00985508" w:rsidP="00985508">
            <w:pPr>
              <w:rPr>
                <w:rFonts w:eastAsia="宋体" w:cs="Times New Roman"/>
                <w:sz w:val="16"/>
                <w:szCs w:val="16"/>
              </w:rPr>
            </w:pPr>
            <w:r w:rsidRPr="00F93718">
              <w:rPr>
                <w:rFonts w:eastAsia="宋体" w:cs="Times New Roman" w:hint="eastAsia"/>
                <w:sz w:val="16"/>
                <w:szCs w:val="16"/>
              </w:rPr>
              <w:t>汇率变动的影响</w:t>
            </w:r>
          </w:p>
        </w:tc>
        <w:tc>
          <w:tcPr>
            <w:tcW w:w="1777" w:type="dxa"/>
            <w:shd w:val="clear" w:color="000000" w:fill="FFFFFF"/>
            <w:noWrap/>
            <w:vAlign w:val="center"/>
          </w:tcPr>
          <w:p w:rsidR="00985508" w:rsidRPr="00F93718" w:rsidRDefault="00985508" w:rsidP="00985508">
            <w:pPr>
              <w:jc w:val="right"/>
              <w:rPr>
                <w:rFonts w:eastAsia="宋体" w:cs="Times New Roman"/>
                <w:sz w:val="16"/>
                <w:szCs w:val="16"/>
              </w:rPr>
            </w:pPr>
            <w:r w:rsidRPr="0027505B">
              <w:rPr>
                <w:rFonts w:eastAsia="宋体" w:cs="Times New Roman"/>
                <w:color w:val="000000"/>
                <w:sz w:val="16"/>
                <w:szCs w:val="16"/>
              </w:rPr>
              <w:t>-    </w:t>
            </w:r>
          </w:p>
        </w:tc>
        <w:tc>
          <w:tcPr>
            <w:tcW w:w="1778" w:type="dxa"/>
            <w:shd w:val="clear" w:color="000000" w:fill="FFFFFF"/>
            <w:noWrap/>
            <w:vAlign w:val="center"/>
          </w:tcPr>
          <w:p w:rsidR="00985508" w:rsidRPr="00F93718" w:rsidRDefault="00985508" w:rsidP="00985508">
            <w:pPr>
              <w:jc w:val="right"/>
              <w:rPr>
                <w:rFonts w:eastAsia="宋体" w:cs="Times New Roman"/>
                <w:sz w:val="16"/>
                <w:szCs w:val="16"/>
              </w:rPr>
            </w:pPr>
            <w:r w:rsidRPr="0027505B">
              <w:rPr>
                <w:rFonts w:eastAsia="宋体" w:cs="Times New Roman"/>
                <w:color w:val="000000"/>
                <w:sz w:val="16"/>
                <w:szCs w:val="16"/>
              </w:rPr>
              <w:t>-    </w:t>
            </w:r>
          </w:p>
        </w:tc>
        <w:tc>
          <w:tcPr>
            <w:tcW w:w="1777" w:type="dxa"/>
            <w:shd w:val="clear" w:color="000000" w:fill="FFFFFF"/>
            <w:noWrap/>
            <w:vAlign w:val="center"/>
          </w:tcPr>
          <w:p w:rsidR="00985508" w:rsidRPr="00F93718" w:rsidRDefault="00985508" w:rsidP="00985508">
            <w:pPr>
              <w:jc w:val="right"/>
              <w:rPr>
                <w:rFonts w:eastAsia="宋体" w:cs="Times New Roman"/>
                <w:sz w:val="16"/>
                <w:szCs w:val="16"/>
              </w:rPr>
            </w:pPr>
            <w:r w:rsidRPr="0027505B">
              <w:rPr>
                <w:rFonts w:eastAsia="宋体" w:cs="Times New Roman"/>
                <w:color w:val="000000"/>
                <w:sz w:val="16"/>
                <w:szCs w:val="16"/>
              </w:rPr>
              <w:t>-    </w:t>
            </w:r>
          </w:p>
        </w:tc>
        <w:tc>
          <w:tcPr>
            <w:tcW w:w="1778" w:type="dxa"/>
            <w:shd w:val="clear" w:color="000000" w:fill="FFFFFF"/>
            <w:noWrap/>
            <w:vAlign w:val="center"/>
          </w:tcPr>
          <w:p w:rsidR="00985508" w:rsidRPr="00F93718" w:rsidRDefault="00985508" w:rsidP="00985508">
            <w:pPr>
              <w:jc w:val="right"/>
              <w:rPr>
                <w:rFonts w:eastAsia="宋体" w:cs="Times New Roman"/>
                <w:sz w:val="16"/>
                <w:szCs w:val="16"/>
              </w:rPr>
            </w:pPr>
            <w:r w:rsidRPr="0027505B">
              <w:rPr>
                <w:rFonts w:eastAsia="宋体" w:cs="Times New Roman"/>
                <w:color w:val="000000"/>
                <w:sz w:val="16"/>
                <w:szCs w:val="16"/>
              </w:rPr>
              <w:t>-    </w:t>
            </w:r>
          </w:p>
        </w:tc>
      </w:tr>
      <w:tr w:rsidR="00985508" w:rsidRPr="00F93718" w:rsidTr="0027505B">
        <w:trPr>
          <w:trHeight w:val="20"/>
        </w:trPr>
        <w:tc>
          <w:tcPr>
            <w:tcW w:w="2340" w:type="dxa"/>
            <w:shd w:val="clear" w:color="auto" w:fill="D9D9D9"/>
            <w:noWrap/>
            <w:vAlign w:val="center"/>
          </w:tcPr>
          <w:p w:rsidR="00985508" w:rsidRPr="00F93718" w:rsidRDefault="00985508" w:rsidP="00985508">
            <w:pPr>
              <w:rPr>
                <w:rFonts w:eastAsia="宋体" w:cs="Times New Roman"/>
                <w:sz w:val="16"/>
                <w:szCs w:val="16"/>
              </w:rPr>
            </w:pPr>
            <w:r w:rsidRPr="00F93718">
              <w:rPr>
                <w:rFonts w:eastAsia="宋体" w:cs="Times New Roman"/>
                <w:sz w:val="16"/>
                <w:szCs w:val="16"/>
              </w:rPr>
              <w:t>2023</w:t>
            </w:r>
            <w:r w:rsidRPr="00F93718">
              <w:rPr>
                <w:rFonts w:eastAsia="宋体" w:cs="Times New Roman" w:hint="eastAsia"/>
                <w:sz w:val="16"/>
                <w:szCs w:val="16"/>
              </w:rPr>
              <w:t>年</w:t>
            </w:r>
            <w:r w:rsidRPr="00F93718">
              <w:rPr>
                <w:rFonts w:eastAsia="宋体" w:cs="Times New Roman"/>
                <w:sz w:val="16"/>
                <w:szCs w:val="16"/>
              </w:rPr>
              <w:t>12</w:t>
            </w:r>
            <w:r w:rsidRPr="00F93718">
              <w:rPr>
                <w:rFonts w:eastAsia="宋体" w:cs="Times New Roman" w:hint="eastAsia"/>
                <w:sz w:val="16"/>
                <w:szCs w:val="16"/>
              </w:rPr>
              <w:t>月</w:t>
            </w:r>
            <w:r w:rsidRPr="00F93718">
              <w:rPr>
                <w:rFonts w:eastAsia="宋体" w:cs="Times New Roman"/>
                <w:sz w:val="16"/>
                <w:szCs w:val="16"/>
              </w:rPr>
              <w:t>31</w:t>
            </w:r>
            <w:r w:rsidRPr="00F93718">
              <w:rPr>
                <w:rFonts w:eastAsia="宋体" w:cs="Times New Roman" w:hint="eastAsia"/>
                <w:sz w:val="16"/>
                <w:szCs w:val="16"/>
              </w:rPr>
              <w:t>日余额</w:t>
            </w:r>
          </w:p>
        </w:tc>
        <w:tc>
          <w:tcPr>
            <w:tcW w:w="1777" w:type="dxa"/>
            <w:shd w:val="clear" w:color="000000" w:fill="FFFFFF"/>
            <w:noWrap/>
            <w:vAlign w:val="center"/>
          </w:tcPr>
          <w:p w:rsidR="00985508" w:rsidRPr="00F93718" w:rsidRDefault="00985508" w:rsidP="00985508">
            <w:pPr>
              <w:jc w:val="right"/>
              <w:rPr>
                <w:rFonts w:eastAsia="宋体" w:cs="Times New Roman"/>
                <w:sz w:val="16"/>
                <w:szCs w:val="16"/>
              </w:rPr>
            </w:pPr>
            <w:r w:rsidRPr="00F93718">
              <w:rPr>
                <w:rFonts w:eastAsia="宋体" w:cs="Times New Roman"/>
                <w:sz w:val="16"/>
                <w:szCs w:val="16"/>
              </w:rPr>
              <w:t>168,486.74</w:t>
            </w:r>
          </w:p>
        </w:tc>
        <w:tc>
          <w:tcPr>
            <w:tcW w:w="1778" w:type="dxa"/>
            <w:shd w:val="clear" w:color="000000" w:fill="FFFFFF"/>
            <w:noWrap/>
            <w:vAlign w:val="center"/>
          </w:tcPr>
          <w:p w:rsidR="00985508" w:rsidRPr="00F93718" w:rsidRDefault="00621335" w:rsidP="00985508">
            <w:pPr>
              <w:jc w:val="right"/>
              <w:rPr>
                <w:rFonts w:eastAsia="宋体" w:cs="Times New Roman"/>
                <w:sz w:val="16"/>
                <w:szCs w:val="16"/>
              </w:rPr>
            </w:pPr>
            <w:r w:rsidRPr="00F93718">
              <w:rPr>
                <w:rFonts w:eastAsia="宋体" w:cs="Times New Roman"/>
                <w:sz w:val="16"/>
                <w:szCs w:val="16"/>
              </w:rPr>
              <w:t>204,219.63</w:t>
            </w:r>
          </w:p>
        </w:tc>
        <w:tc>
          <w:tcPr>
            <w:tcW w:w="1777" w:type="dxa"/>
            <w:shd w:val="clear" w:color="000000" w:fill="FFFFFF"/>
            <w:noWrap/>
            <w:vAlign w:val="center"/>
          </w:tcPr>
          <w:p w:rsidR="00985508" w:rsidRPr="00F93718" w:rsidRDefault="00621335" w:rsidP="00985508">
            <w:pPr>
              <w:jc w:val="right"/>
              <w:rPr>
                <w:rFonts w:eastAsia="宋体" w:cs="Times New Roman"/>
                <w:sz w:val="16"/>
                <w:szCs w:val="16"/>
              </w:rPr>
            </w:pPr>
            <w:r w:rsidRPr="00F93718">
              <w:rPr>
                <w:rFonts w:eastAsia="宋体" w:cs="Times New Roman"/>
                <w:sz w:val="16"/>
                <w:szCs w:val="16"/>
              </w:rPr>
              <w:t>23,816.22</w:t>
            </w:r>
          </w:p>
        </w:tc>
        <w:tc>
          <w:tcPr>
            <w:tcW w:w="1778" w:type="dxa"/>
            <w:shd w:val="clear" w:color="000000" w:fill="FFFFFF"/>
            <w:noWrap/>
            <w:vAlign w:val="center"/>
          </w:tcPr>
          <w:p w:rsidR="00985508" w:rsidRPr="00F93718" w:rsidRDefault="00985508" w:rsidP="00985508">
            <w:pPr>
              <w:jc w:val="right"/>
              <w:rPr>
                <w:rFonts w:eastAsia="宋体" w:cs="Times New Roman"/>
                <w:sz w:val="16"/>
                <w:szCs w:val="16"/>
              </w:rPr>
            </w:pPr>
            <w:r w:rsidRPr="00F93718">
              <w:rPr>
                <w:rFonts w:eastAsia="宋体" w:cs="Times New Roman"/>
                <w:sz w:val="16"/>
                <w:szCs w:val="16"/>
              </w:rPr>
              <w:t>396,522.59</w:t>
            </w:r>
          </w:p>
        </w:tc>
      </w:tr>
    </w:tbl>
    <w:p w:rsidR="006B5A4F" w:rsidRPr="00A71D2E" w:rsidRDefault="006B5A4F" w:rsidP="00F66363">
      <w:pPr>
        <w:adjustRightInd/>
        <w:ind w:left="1440" w:hanging="720"/>
        <w:jc w:val="both"/>
        <w:rPr>
          <w:rFonts w:eastAsia="宋体" w:cs="Times New Roman"/>
          <w:szCs w:val="21"/>
        </w:rPr>
      </w:pPr>
    </w:p>
    <w:p w:rsidR="00C13EF8" w:rsidRDefault="00C44785">
      <w:pPr>
        <w:pStyle w:val="aff1"/>
        <w:numPr>
          <w:ilvl w:val="0"/>
          <w:numId w:val="13"/>
        </w:numPr>
        <w:ind w:left="720" w:firstLineChars="0" w:firstLine="0"/>
        <w:jc w:val="both"/>
        <w:rPr>
          <w:szCs w:val="21"/>
        </w:rPr>
      </w:pPr>
      <w:r>
        <w:rPr>
          <w:rFonts w:hint="eastAsia"/>
          <w:szCs w:val="21"/>
        </w:rPr>
        <w:t>其他应收款坏账准备</w:t>
      </w:r>
      <w:r w:rsidR="00D7048C" w:rsidRPr="00184E66">
        <w:rPr>
          <w:rFonts w:hint="eastAsia"/>
          <w:szCs w:val="21"/>
        </w:rPr>
        <w:t>情况</w:t>
      </w:r>
    </w:p>
    <w:p w:rsidR="00184E66" w:rsidRPr="00184E66" w:rsidRDefault="00184E66" w:rsidP="00184E66">
      <w:pPr>
        <w:pStyle w:val="aff1"/>
        <w:ind w:left="1091" w:firstLineChars="0" w:firstLine="0"/>
        <w:jc w:val="right"/>
        <w:rPr>
          <w:szCs w:val="21"/>
        </w:rPr>
      </w:pPr>
      <w:r w:rsidRPr="00184E66">
        <w:rPr>
          <w:rFonts w:hint="eastAsia"/>
          <w:szCs w:val="21"/>
        </w:rPr>
        <w:t>单位</w:t>
      </w:r>
      <w:r w:rsidR="005F14EE">
        <w:rPr>
          <w:rFonts w:hint="eastAsia"/>
          <w:szCs w:val="21"/>
        </w:rPr>
        <w:t>：</w:t>
      </w:r>
      <w:r w:rsidRPr="00184E66">
        <w:rPr>
          <w:rFonts w:hint="eastAsia"/>
          <w:szCs w:val="18"/>
        </w:rPr>
        <w:t>人民币</w:t>
      </w:r>
      <w:r w:rsidRPr="00184E66">
        <w:rPr>
          <w:rFonts w:hint="eastAsia"/>
          <w:szCs w:val="21"/>
        </w:rPr>
        <w:t>元</w:t>
      </w:r>
    </w:p>
    <w:tbl>
      <w:tblPr>
        <w:tblStyle w:val="aff5"/>
        <w:tblW w:w="0" w:type="auto"/>
        <w:tblInd w:w="720" w:type="dxa"/>
        <w:tblLayout w:type="fixed"/>
        <w:tblLook w:val="04A0" w:firstRow="1" w:lastRow="0" w:firstColumn="1" w:lastColumn="0" w:noHBand="0" w:noVBand="1"/>
      </w:tblPr>
      <w:tblGrid>
        <w:gridCol w:w="2335"/>
        <w:gridCol w:w="2370"/>
        <w:gridCol w:w="2370"/>
        <w:gridCol w:w="2370"/>
      </w:tblGrid>
      <w:tr w:rsidR="00D91E45" w:rsidTr="0027505B">
        <w:trPr>
          <w:trHeight w:val="20"/>
        </w:trPr>
        <w:tc>
          <w:tcPr>
            <w:tcW w:w="2335" w:type="dxa"/>
            <w:shd w:val="clear" w:color="auto" w:fill="D9D9D9" w:themeFill="background1" w:themeFillShade="D9"/>
            <w:vAlign w:val="center"/>
          </w:tcPr>
          <w:p w:rsidR="00D91E45" w:rsidRPr="00031F9B" w:rsidRDefault="00D91E45" w:rsidP="00A91102">
            <w:pPr>
              <w:widowControl/>
              <w:jc w:val="center"/>
              <w:rPr>
                <w:sz w:val="18"/>
                <w:szCs w:val="18"/>
              </w:rPr>
            </w:pPr>
            <w:r w:rsidRPr="00031F9B">
              <w:rPr>
                <w:rFonts w:hint="eastAsia"/>
                <w:sz w:val="18"/>
                <w:szCs w:val="18"/>
              </w:rPr>
              <w:t>类别</w:t>
            </w:r>
          </w:p>
        </w:tc>
        <w:tc>
          <w:tcPr>
            <w:tcW w:w="2370" w:type="dxa"/>
            <w:shd w:val="clear" w:color="auto" w:fill="D9D9D9" w:themeFill="background1" w:themeFillShade="D9"/>
            <w:vAlign w:val="center"/>
          </w:tcPr>
          <w:p w:rsidR="00D91E45" w:rsidRPr="00031F9B" w:rsidRDefault="00EF71D0" w:rsidP="00A91102">
            <w:pPr>
              <w:widowControl/>
              <w:jc w:val="center"/>
              <w:rPr>
                <w:sz w:val="18"/>
                <w:szCs w:val="18"/>
              </w:rPr>
            </w:pPr>
            <w:r>
              <w:rPr>
                <w:rFonts w:hint="eastAsia"/>
                <w:sz w:val="18"/>
                <w:szCs w:val="18"/>
              </w:rPr>
              <w:t>年初</w:t>
            </w:r>
            <w:r w:rsidR="00D91E45" w:rsidRPr="00031F9B">
              <w:rPr>
                <w:rFonts w:hint="eastAsia"/>
                <w:sz w:val="18"/>
                <w:szCs w:val="18"/>
              </w:rPr>
              <w:t>余额</w:t>
            </w:r>
          </w:p>
        </w:tc>
        <w:tc>
          <w:tcPr>
            <w:tcW w:w="2370" w:type="dxa"/>
            <w:shd w:val="clear" w:color="auto" w:fill="D9D9D9" w:themeFill="background1" w:themeFillShade="D9"/>
            <w:vAlign w:val="center"/>
          </w:tcPr>
          <w:p w:rsidR="00D91E45" w:rsidRPr="00031F9B" w:rsidRDefault="00D91E45" w:rsidP="00A91102">
            <w:pPr>
              <w:jc w:val="center"/>
              <w:rPr>
                <w:sz w:val="18"/>
                <w:szCs w:val="18"/>
              </w:rPr>
            </w:pPr>
            <w:r w:rsidRPr="00031F9B">
              <w:rPr>
                <w:rFonts w:hint="eastAsia"/>
                <w:sz w:val="18"/>
                <w:szCs w:val="18"/>
              </w:rPr>
              <w:t>本</w:t>
            </w:r>
            <w:r w:rsidR="00B17CEB" w:rsidRPr="00031F9B">
              <w:rPr>
                <w:rFonts w:hint="eastAsia"/>
                <w:sz w:val="18"/>
                <w:szCs w:val="18"/>
              </w:rPr>
              <w:t>年计提</w:t>
            </w:r>
            <w:r w:rsidRPr="00031F9B">
              <w:rPr>
                <w:rFonts w:hint="eastAsia"/>
                <w:sz w:val="18"/>
                <w:szCs w:val="18"/>
              </w:rPr>
              <w:t>金额</w:t>
            </w:r>
          </w:p>
        </w:tc>
        <w:tc>
          <w:tcPr>
            <w:tcW w:w="2370" w:type="dxa"/>
            <w:shd w:val="clear" w:color="auto" w:fill="D9D9D9" w:themeFill="background1" w:themeFillShade="D9"/>
            <w:vAlign w:val="center"/>
          </w:tcPr>
          <w:p w:rsidR="00D91E45" w:rsidRPr="00031F9B" w:rsidRDefault="00EF71D0" w:rsidP="00A91102">
            <w:pPr>
              <w:widowControl/>
              <w:jc w:val="center"/>
              <w:rPr>
                <w:sz w:val="18"/>
                <w:szCs w:val="18"/>
              </w:rPr>
            </w:pPr>
            <w:r>
              <w:rPr>
                <w:rFonts w:hint="eastAsia"/>
                <w:sz w:val="18"/>
                <w:szCs w:val="18"/>
              </w:rPr>
              <w:t>年末</w:t>
            </w:r>
            <w:r w:rsidR="00D91E45" w:rsidRPr="00031F9B">
              <w:rPr>
                <w:rFonts w:hint="eastAsia"/>
                <w:sz w:val="18"/>
                <w:szCs w:val="18"/>
              </w:rPr>
              <w:t>余额</w:t>
            </w:r>
          </w:p>
        </w:tc>
      </w:tr>
      <w:tr w:rsidR="00D91E45" w:rsidTr="0027505B">
        <w:trPr>
          <w:trHeight w:val="20"/>
        </w:trPr>
        <w:tc>
          <w:tcPr>
            <w:tcW w:w="2335" w:type="dxa"/>
            <w:vAlign w:val="center"/>
          </w:tcPr>
          <w:p w:rsidR="00D91E45" w:rsidRPr="00031F9B" w:rsidRDefault="00D91E45" w:rsidP="00A91102">
            <w:pPr>
              <w:widowControl/>
              <w:jc w:val="left"/>
              <w:rPr>
                <w:sz w:val="18"/>
                <w:szCs w:val="18"/>
              </w:rPr>
            </w:pPr>
            <w:r w:rsidRPr="00031F9B">
              <w:rPr>
                <w:rFonts w:hint="eastAsia"/>
                <w:sz w:val="18"/>
                <w:szCs w:val="18"/>
              </w:rPr>
              <w:t>其他应收款</w:t>
            </w:r>
          </w:p>
        </w:tc>
        <w:tc>
          <w:tcPr>
            <w:tcW w:w="2370" w:type="dxa"/>
            <w:vAlign w:val="center"/>
          </w:tcPr>
          <w:p w:rsidR="00D91E45" w:rsidRPr="000A1333" w:rsidRDefault="00D91E45" w:rsidP="00E35210">
            <w:pPr>
              <w:widowControl/>
              <w:spacing w:line="230" w:lineRule="auto"/>
              <w:jc w:val="right"/>
              <w:rPr>
                <w:sz w:val="18"/>
                <w:szCs w:val="18"/>
              </w:rPr>
            </w:pPr>
            <w:r w:rsidRPr="000A1333">
              <w:rPr>
                <w:sz w:val="18"/>
                <w:szCs w:val="18"/>
              </w:rPr>
              <w:t>162,310.29</w:t>
            </w:r>
          </w:p>
        </w:tc>
        <w:tc>
          <w:tcPr>
            <w:tcW w:w="2370" w:type="dxa"/>
            <w:vAlign w:val="center"/>
          </w:tcPr>
          <w:p w:rsidR="00D91E45" w:rsidRPr="000A1333" w:rsidRDefault="00D91E45" w:rsidP="00E35210">
            <w:pPr>
              <w:jc w:val="right"/>
              <w:rPr>
                <w:sz w:val="18"/>
                <w:szCs w:val="18"/>
              </w:rPr>
            </w:pPr>
            <w:r w:rsidRPr="000A1333">
              <w:rPr>
                <w:sz w:val="18"/>
                <w:szCs w:val="18"/>
              </w:rPr>
              <w:t>234,212.30</w:t>
            </w:r>
          </w:p>
        </w:tc>
        <w:tc>
          <w:tcPr>
            <w:tcW w:w="2370" w:type="dxa"/>
            <w:vAlign w:val="center"/>
          </w:tcPr>
          <w:p w:rsidR="00D91E45" w:rsidRPr="000A1333" w:rsidRDefault="00D91E45" w:rsidP="00E35210">
            <w:pPr>
              <w:jc w:val="right"/>
              <w:rPr>
                <w:sz w:val="18"/>
                <w:szCs w:val="18"/>
              </w:rPr>
            </w:pPr>
            <w:r w:rsidRPr="000A1333">
              <w:rPr>
                <w:sz w:val="18"/>
                <w:szCs w:val="18"/>
              </w:rPr>
              <w:t>396,522.59</w:t>
            </w:r>
          </w:p>
        </w:tc>
      </w:tr>
      <w:tr w:rsidR="00D91E45" w:rsidTr="0027505B">
        <w:trPr>
          <w:trHeight w:val="20"/>
        </w:trPr>
        <w:tc>
          <w:tcPr>
            <w:tcW w:w="2335" w:type="dxa"/>
            <w:shd w:val="clear" w:color="auto" w:fill="D9D9D9" w:themeFill="background1" w:themeFillShade="D9"/>
            <w:vAlign w:val="center"/>
          </w:tcPr>
          <w:p w:rsidR="00D91E45" w:rsidRPr="00031F9B" w:rsidRDefault="00D91E45" w:rsidP="00A91102">
            <w:pPr>
              <w:widowControl/>
              <w:jc w:val="left"/>
              <w:rPr>
                <w:sz w:val="18"/>
                <w:szCs w:val="18"/>
              </w:rPr>
            </w:pPr>
            <w:r w:rsidRPr="00031F9B">
              <w:rPr>
                <w:rFonts w:hint="eastAsia"/>
                <w:sz w:val="18"/>
                <w:szCs w:val="18"/>
              </w:rPr>
              <w:t>合计</w:t>
            </w:r>
          </w:p>
        </w:tc>
        <w:tc>
          <w:tcPr>
            <w:tcW w:w="2370" w:type="dxa"/>
            <w:vAlign w:val="center"/>
          </w:tcPr>
          <w:p w:rsidR="00D91E45" w:rsidRPr="000A1333" w:rsidRDefault="00D91E45" w:rsidP="00E35210">
            <w:pPr>
              <w:widowControl/>
              <w:spacing w:line="230" w:lineRule="auto"/>
              <w:jc w:val="right"/>
              <w:rPr>
                <w:sz w:val="18"/>
                <w:szCs w:val="18"/>
              </w:rPr>
            </w:pPr>
            <w:r w:rsidRPr="000A1333">
              <w:rPr>
                <w:sz w:val="18"/>
                <w:szCs w:val="18"/>
              </w:rPr>
              <w:t>162,310.29</w:t>
            </w:r>
          </w:p>
        </w:tc>
        <w:tc>
          <w:tcPr>
            <w:tcW w:w="2370" w:type="dxa"/>
            <w:vAlign w:val="center"/>
          </w:tcPr>
          <w:p w:rsidR="00D91E45" w:rsidRPr="000A1333" w:rsidRDefault="00D91E45" w:rsidP="00E35210">
            <w:pPr>
              <w:widowControl/>
              <w:spacing w:line="230" w:lineRule="auto"/>
              <w:jc w:val="right"/>
              <w:rPr>
                <w:sz w:val="18"/>
                <w:szCs w:val="18"/>
              </w:rPr>
            </w:pPr>
            <w:r w:rsidRPr="000A1333">
              <w:rPr>
                <w:sz w:val="18"/>
                <w:szCs w:val="18"/>
              </w:rPr>
              <w:t>234,212.30</w:t>
            </w:r>
          </w:p>
        </w:tc>
        <w:tc>
          <w:tcPr>
            <w:tcW w:w="2370" w:type="dxa"/>
            <w:vAlign w:val="center"/>
          </w:tcPr>
          <w:p w:rsidR="00D91E45" w:rsidRPr="000A1333" w:rsidRDefault="00D91E45" w:rsidP="00E35210">
            <w:pPr>
              <w:widowControl/>
              <w:spacing w:line="230" w:lineRule="auto"/>
              <w:jc w:val="right"/>
              <w:rPr>
                <w:sz w:val="18"/>
                <w:szCs w:val="18"/>
              </w:rPr>
            </w:pPr>
            <w:r w:rsidRPr="000A1333">
              <w:rPr>
                <w:sz w:val="18"/>
                <w:szCs w:val="18"/>
              </w:rPr>
              <w:t>396,522.59</w:t>
            </w:r>
          </w:p>
        </w:tc>
      </w:tr>
    </w:tbl>
    <w:p w:rsidR="00D7048C" w:rsidRDefault="00D7048C" w:rsidP="00184E66">
      <w:pPr>
        <w:ind w:firstLineChars="337" w:firstLine="708"/>
        <w:jc w:val="both"/>
        <w:rPr>
          <w:szCs w:val="21"/>
        </w:rPr>
      </w:pPr>
    </w:p>
    <w:p w:rsidR="007D47F9" w:rsidRPr="00A71D2E" w:rsidRDefault="007D47F9">
      <w:pPr>
        <w:pStyle w:val="aff1"/>
        <w:numPr>
          <w:ilvl w:val="0"/>
          <w:numId w:val="13"/>
        </w:numPr>
        <w:adjustRightInd/>
        <w:ind w:left="1440" w:firstLineChars="0" w:hanging="720"/>
        <w:rPr>
          <w:szCs w:val="21"/>
        </w:rPr>
      </w:pPr>
      <w:r w:rsidRPr="00A71D2E">
        <w:rPr>
          <w:rFonts w:hint="eastAsia"/>
          <w:szCs w:val="21"/>
        </w:rPr>
        <w:t>按欠款方归集的</w:t>
      </w:r>
      <w:r w:rsidR="00F602A1" w:rsidRPr="00A71D2E">
        <w:rPr>
          <w:rFonts w:hint="eastAsia"/>
          <w:szCs w:val="21"/>
        </w:rPr>
        <w:t>年</w:t>
      </w:r>
      <w:r w:rsidRPr="00A71D2E">
        <w:rPr>
          <w:rFonts w:hint="eastAsia"/>
          <w:szCs w:val="21"/>
        </w:rPr>
        <w:t>末余额前五名的其他应收款情况</w:t>
      </w:r>
    </w:p>
    <w:p w:rsidR="004907B6" w:rsidRPr="00F77567" w:rsidRDefault="004907B6" w:rsidP="004907B6">
      <w:pPr>
        <w:jc w:val="right"/>
        <w:rPr>
          <w:rFonts w:eastAsia="宋体" w:cs="Times New Roman"/>
          <w:szCs w:val="18"/>
        </w:rPr>
      </w:pPr>
      <w:r w:rsidRPr="00F77567">
        <w:rPr>
          <w:rFonts w:eastAsia="宋体" w:cs="Times New Roman" w:hint="eastAsia"/>
          <w:szCs w:val="18"/>
        </w:rPr>
        <w:t>单位</w:t>
      </w:r>
      <w:r w:rsidR="005F14EE">
        <w:rPr>
          <w:rFonts w:eastAsia="宋体" w:cs="Times New Roman"/>
          <w:szCs w:val="18"/>
        </w:rPr>
        <w:t>：</w:t>
      </w:r>
      <w:r w:rsidRPr="00F77567">
        <w:rPr>
          <w:rFonts w:eastAsia="宋体" w:cs="Times New Roman" w:hint="eastAsia"/>
          <w:szCs w:val="18"/>
        </w:rPr>
        <w:t>人民币元</w:t>
      </w:r>
    </w:p>
    <w:tbl>
      <w:tblPr>
        <w:tblW w:w="9450" w:type="dxa"/>
        <w:tblInd w:w="715" w:type="dxa"/>
        <w:tblLayout w:type="fixed"/>
        <w:tblLook w:val="04A0" w:firstRow="1" w:lastRow="0" w:firstColumn="1" w:lastColumn="0" w:noHBand="0" w:noVBand="1"/>
      </w:tblPr>
      <w:tblGrid>
        <w:gridCol w:w="1407"/>
        <w:gridCol w:w="1608"/>
        <w:gridCol w:w="1609"/>
        <w:gridCol w:w="1608"/>
        <w:gridCol w:w="1609"/>
        <w:gridCol w:w="1609"/>
      </w:tblGrid>
      <w:tr w:rsidR="00D418AF" w:rsidRPr="00191322" w:rsidTr="0027505B">
        <w:trPr>
          <w:trHeight w:val="20"/>
        </w:trPr>
        <w:tc>
          <w:tcPr>
            <w:tcW w:w="1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D418AF" w:rsidRPr="00191322" w:rsidRDefault="00D418AF" w:rsidP="0027505B">
            <w:pPr>
              <w:ind w:leftChars="-7" w:left="-15"/>
              <w:jc w:val="center"/>
              <w:rPr>
                <w:rFonts w:eastAsia="宋体" w:cs="Times New Roman"/>
                <w:color w:val="000000"/>
                <w:sz w:val="18"/>
                <w:szCs w:val="18"/>
              </w:rPr>
            </w:pPr>
            <w:r w:rsidRPr="00191322">
              <w:rPr>
                <w:rFonts w:eastAsia="宋体" w:cs="Times New Roman" w:hint="eastAsia"/>
                <w:color w:val="000000"/>
                <w:sz w:val="18"/>
                <w:szCs w:val="18"/>
              </w:rPr>
              <w:t>单位名称</w:t>
            </w:r>
          </w:p>
        </w:tc>
        <w:tc>
          <w:tcPr>
            <w:tcW w:w="1608" w:type="dxa"/>
            <w:tcBorders>
              <w:top w:val="single" w:sz="4" w:space="0" w:color="auto"/>
              <w:left w:val="nil"/>
              <w:bottom w:val="single" w:sz="4" w:space="0" w:color="auto"/>
              <w:right w:val="single" w:sz="4" w:space="0" w:color="auto"/>
            </w:tcBorders>
            <w:shd w:val="clear" w:color="auto" w:fill="D9D9D9" w:themeFill="background2" w:themeFillShade="D9"/>
            <w:noWrap/>
            <w:vAlign w:val="center"/>
            <w:hideMark/>
          </w:tcPr>
          <w:p w:rsidR="00D418AF" w:rsidRPr="00191322" w:rsidRDefault="00D418AF" w:rsidP="00D418AF">
            <w:pPr>
              <w:ind w:leftChars="86" w:left="181"/>
              <w:jc w:val="center"/>
              <w:rPr>
                <w:rFonts w:eastAsia="宋体" w:cs="Times New Roman"/>
                <w:color w:val="000000"/>
                <w:sz w:val="18"/>
                <w:szCs w:val="18"/>
              </w:rPr>
            </w:pPr>
            <w:r w:rsidRPr="00191322">
              <w:rPr>
                <w:rFonts w:eastAsia="宋体" w:cs="Times New Roman" w:hint="eastAsia"/>
                <w:color w:val="000000"/>
                <w:sz w:val="18"/>
                <w:szCs w:val="18"/>
              </w:rPr>
              <w:t>年末余额</w:t>
            </w:r>
          </w:p>
        </w:tc>
        <w:tc>
          <w:tcPr>
            <w:tcW w:w="1609" w:type="dxa"/>
            <w:tcBorders>
              <w:top w:val="single" w:sz="4" w:space="0" w:color="auto"/>
              <w:left w:val="nil"/>
              <w:bottom w:val="single" w:sz="4" w:space="0" w:color="auto"/>
              <w:right w:val="single" w:sz="4" w:space="0" w:color="auto"/>
            </w:tcBorders>
            <w:shd w:val="clear" w:color="auto" w:fill="D9D9D9" w:themeFill="background2" w:themeFillShade="D9"/>
            <w:vAlign w:val="center"/>
          </w:tcPr>
          <w:p w:rsidR="00D418AF" w:rsidRPr="00191322" w:rsidRDefault="00D418AF">
            <w:pPr>
              <w:ind w:leftChars="86" w:left="181"/>
              <w:jc w:val="center"/>
              <w:rPr>
                <w:rFonts w:eastAsia="宋体" w:cs="Times New Roman"/>
                <w:color w:val="000000"/>
                <w:sz w:val="18"/>
                <w:szCs w:val="18"/>
              </w:rPr>
            </w:pPr>
            <w:r w:rsidRPr="00191322">
              <w:rPr>
                <w:rFonts w:eastAsia="宋体" w:cs="Times New Roman" w:hint="eastAsia"/>
                <w:color w:val="000000"/>
                <w:sz w:val="18"/>
                <w:szCs w:val="18"/>
              </w:rPr>
              <w:t>占其他应收款年末余额合计</w:t>
            </w:r>
            <w:r w:rsidRPr="00191322">
              <w:rPr>
                <w:rFonts w:eastAsia="宋体" w:cs="Times New Roman" w:hint="eastAsia"/>
                <w:color w:val="000000"/>
                <w:sz w:val="18"/>
                <w:szCs w:val="18"/>
                <w:shd w:val="clear" w:color="auto" w:fill="D9D9D9" w:themeFill="background2" w:themeFillShade="D9"/>
              </w:rPr>
              <w:t>数</w:t>
            </w:r>
            <w:r w:rsidRPr="00191322">
              <w:rPr>
                <w:rFonts w:eastAsia="宋体" w:cs="Times New Roman" w:hint="eastAsia"/>
                <w:color w:val="000000"/>
                <w:sz w:val="18"/>
                <w:szCs w:val="18"/>
              </w:rPr>
              <w:t>的比例</w:t>
            </w:r>
            <w:r w:rsidR="005F14EE" w:rsidRPr="00191322">
              <w:rPr>
                <w:rFonts w:eastAsia="宋体" w:cs="Times New Roman"/>
                <w:color w:val="000000"/>
                <w:sz w:val="18"/>
                <w:szCs w:val="18"/>
              </w:rPr>
              <w:t>(</w:t>
            </w:r>
            <w:r w:rsidRPr="00191322">
              <w:rPr>
                <w:rFonts w:eastAsia="宋体" w:cs="Times New Roman"/>
                <w:color w:val="000000"/>
                <w:sz w:val="18"/>
                <w:szCs w:val="18"/>
              </w:rPr>
              <w:t>%</w:t>
            </w:r>
            <w:r w:rsidR="005F14EE" w:rsidRPr="00191322">
              <w:rPr>
                <w:rFonts w:eastAsia="宋体" w:cs="Times New Roman"/>
                <w:color w:val="000000"/>
                <w:sz w:val="18"/>
                <w:szCs w:val="18"/>
              </w:rPr>
              <w:t>)</w:t>
            </w:r>
          </w:p>
        </w:tc>
        <w:tc>
          <w:tcPr>
            <w:tcW w:w="1608" w:type="dxa"/>
            <w:tcBorders>
              <w:top w:val="single" w:sz="4" w:space="0" w:color="auto"/>
              <w:left w:val="single" w:sz="4" w:space="0" w:color="auto"/>
              <w:bottom w:val="single" w:sz="4" w:space="0" w:color="auto"/>
              <w:right w:val="single" w:sz="4" w:space="0" w:color="auto"/>
            </w:tcBorders>
            <w:shd w:val="clear" w:color="auto" w:fill="D9D9D9" w:themeFill="background2" w:themeFillShade="D9"/>
            <w:vAlign w:val="center"/>
          </w:tcPr>
          <w:p w:rsidR="00D418AF" w:rsidRPr="00191322" w:rsidRDefault="00D418AF" w:rsidP="00D418AF">
            <w:pPr>
              <w:ind w:leftChars="86" w:left="181"/>
              <w:jc w:val="center"/>
              <w:rPr>
                <w:rFonts w:eastAsia="宋体" w:cs="Times New Roman"/>
                <w:color w:val="000000"/>
                <w:sz w:val="18"/>
                <w:szCs w:val="18"/>
              </w:rPr>
            </w:pPr>
            <w:r w:rsidRPr="00191322">
              <w:rPr>
                <w:rFonts w:eastAsia="宋体" w:cs="Times New Roman" w:hint="eastAsia"/>
                <w:color w:val="000000"/>
                <w:sz w:val="18"/>
                <w:szCs w:val="18"/>
              </w:rPr>
              <w:t>款项的性质</w:t>
            </w:r>
          </w:p>
        </w:tc>
        <w:tc>
          <w:tcPr>
            <w:tcW w:w="1609" w:type="dxa"/>
            <w:tcBorders>
              <w:top w:val="single" w:sz="4" w:space="0" w:color="auto"/>
              <w:left w:val="single" w:sz="4" w:space="0" w:color="auto"/>
              <w:bottom w:val="single" w:sz="4" w:space="0" w:color="auto"/>
              <w:right w:val="single" w:sz="4" w:space="0" w:color="auto"/>
            </w:tcBorders>
            <w:shd w:val="clear" w:color="auto" w:fill="D9D9D9" w:themeFill="background2" w:themeFillShade="D9"/>
            <w:noWrap/>
            <w:vAlign w:val="center"/>
            <w:hideMark/>
          </w:tcPr>
          <w:p w:rsidR="00D418AF" w:rsidRPr="00191322" w:rsidRDefault="00D418AF" w:rsidP="00D418AF">
            <w:pPr>
              <w:ind w:leftChars="86" w:left="181"/>
              <w:jc w:val="center"/>
              <w:rPr>
                <w:rFonts w:eastAsia="宋体" w:cs="Times New Roman"/>
                <w:color w:val="000000"/>
                <w:sz w:val="18"/>
                <w:szCs w:val="18"/>
              </w:rPr>
            </w:pPr>
            <w:r w:rsidRPr="00191322">
              <w:rPr>
                <w:rFonts w:eastAsia="宋体" w:cs="Times New Roman" w:hint="eastAsia"/>
                <w:color w:val="000000"/>
                <w:sz w:val="18"/>
                <w:szCs w:val="18"/>
              </w:rPr>
              <w:t>账龄</w:t>
            </w:r>
          </w:p>
        </w:tc>
        <w:tc>
          <w:tcPr>
            <w:tcW w:w="160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D418AF" w:rsidRPr="00191322" w:rsidRDefault="00320B90" w:rsidP="00D418AF">
            <w:pPr>
              <w:ind w:leftChars="86" w:left="181"/>
              <w:jc w:val="center"/>
              <w:rPr>
                <w:rFonts w:eastAsia="宋体" w:cs="Times New Roman"/>
                <w:color w:val="000000"/>
                <w:sz w:val="18"/>
                <w:szCs w:val="18"/>
              </w:rPr>
            </w:pPr>
            <w:r w:rsidRPr="00191322">
              <w:rPr>
                <w:rFonts w:eastAsia="宋体" w:cs="Times New Roman" w:hint="eastAsia"/>
                <w:color w:val="000000"/>
                <w:sz w:val="18"/>
                <w:szCs w:val="18"/>
              </w:rPr>
              <w:t>坏账</w:t>
            </w:r>
            <w:r w:rsidR="00D418AF" w:rsidRPr="00191322">
              <w:rPr>
                <w:rFonts w:eastAsia="宋体" w:cs="Times New Roman" w:hint="eastAsia"/>
                <w:color w:val="000000"/>
                <w:sz w:val="18"/>
                <w:szCs w:val="18"/>
              </w:rPr>
              <w:t>准备</w:t>
            </w:r>
          </w:p>
          <w:p w:rsidR="00D418AF" w:rsidRPr="00191322" w:rsidRDefault="00D418AF" w:rsidP="00D418AF">
            <w:pPr>
              <w:ind w:leftChars="86" w:left="181"/>
              <w:jc w:val="center"/>
              <w:rPr>
                <w:rFonts w:eastAsia="宋体" w:cs="Times New Roman"/>
                <w:color w:val="000000"/>
                <w:sz w:val="18"/>
                <w:szCs w:val="18"/>
              </w:rPr>
            </w:pPr>
            <w:r w:rsidRPr="00191322">
              <w:rPr>
                <w:rFonts w:eastAsia="宋体" w:cs="Times New Roman" w:hint="eastAsia"/>
                <w:color w:val="000000"/>
                <w:sz w:val="18"/>
                <w:szCs w:val="18"/>
              </w:rPr>
              <w:t>年末余额</w:t>
            </w:r>
          </w:p>
        </w:tc>
      </w:tr>
      <w:tr w:rsidR="00420656" w:rsidRPr="00191322" w:rsidTr="0027505B">
        <w:trPr>
          <w:trHeight w:val="20"/>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BE4851" w:rsidP="0027505B">
            <w:pPr>
              <w:ind w:leftChars="-7" w:left="-15"/>
              <w:rPr>
                <w:rFonts w:eastAsia="宋体" w:cs="Times New Roman"/>
                <w:color w:val="000000"/>
                <w:sz w:val="18"/>
                <w:szCs w:val="18"/>
              </w:rPr>
            </w:pPr>
            <w:r w:rsidRPr="0027505B">
              <w:rPr>
                <w:rFonts w:eastAsia="宋体" w:cs="Times New Roman" w:hint="eastAsia"/>
                <w:sz w:val="18"/>
                <w:szCs w:val="18"/>
              </w:rPr>
              <w:t>第三方</w:t>
            </w:r>
            <w:r w:rsidRPr="0027505B">
              <w:rPr>
                <w:rFonts w:eastAsia="宋体" w:cs="Times New Roman"/>
                <w:sz w:val="18"/>
                <w:szCs w:val="18"/>
              </w:rPr>
              <w:t>E</w:t>
            </w:r>
          </w:p>
        </w:tc>
        <w:tc>
          <w:tcPr>
            <w:tcW w:w="1608"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14,677,795.30</w:t>
            </w:r>
          </w:p>
        </w:tc>
        <w:tc>
          <w:tcPr>
            <w:tcW w:w="1609" w:type="dxa"/>
            <w:tcBorders>
              <w:top w:val="single" w:sz="4" w:space="0" w:color="auto"/>
              <w:left w:val="nil"/>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sz w:val="18"/>
                <w:szCs w:val="18"/>
              </w:rPr>
            </w:pPr>
            <w:r w:rsidRPr="00191322">
              <w:rPr>
                <w:rFonts w:eastAsia="宋体" w:cs="Times New Roman"/>
                <w:sz w:val="18"/>
                <w:szCs w:val="18"/>
              </w:rPr>
              <w:t>60.62</w:t>
            </w:r>
          </w:p>
        </w:tc>
        <w:tc>
          <w:tcPr>
            <w:tcW w:w="1608" w:type="dxa"/>
            <w:tcBorders>
              <w:top w:val="single" w:sz="4" w:space="0" w:color="auto"/>
              <w:left w:val="single" w:sz="4" w:space="0" w:color="auto"/>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sz w:val="18"/>
                <w:szCs w:val="18"/>
              </w:rPr>
            </w:pPr>
            <w:r w:rsidRPr="0027505B">
              <w:rPr>
                <w:rFonts w:eastAsia="宋体" w:cs="Times New Roman" w:hint="eastAsia"/>
                <w:sz w:val="18"/>
                <w:szCs w:val="18"/>
              </w:rPr>
              <w:t>出口退税</w:t>
            </w:r>
          </w:p>
        </w:tc>
        <w:tc>
          <w:tcPr>
            <w:tcW w:w="16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420656">
            <w:pPr>
              <w:ind w:leftChars="86" w:left="181"/>
              <w:jc w:val="center"/>
              <w:rPr>
                <w:rFonts w:eastAsia="宋体" w:cs="Times New Roman"/>
                <w:color w:val="000000"/>
                <w:sz w:val="18"/>
                <w:szCs w:val="18"/>
              </w:rPr>
            </w:pPr>
            <w:r w:rsidRPr="0027505B">
              <w:rPr>
                <w:rFonts w:eastAsia="宋体" w:cs="Times New Roman"/>
                <w:sz w:val="18"/>
                <w:szCs w:val="18"/>
              </w:rPr>
              <w:t>1</w:t>
            </w:r>
            <w:r w:rsidRPr="0027505B">
              <w:rPr>
                <w:rFonts w:eastAsia="宋体" w:cs="Times New Roman" w:hint="eastAsia"/>
                <w:sz w:val="18"/>
                <w:szCs w:val="18"/>
              </w:rPr>
              <w:t>年以内</w:t>
            </w:r>
          </w:p>
        </w:tc>
        <w:tc>
          <w:tcPr>
            <w:tcW w:w="1609"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334EE5" w:rsidP="00DC5547">
            <w:pPr>
              <w:pStyle w:val="aff1"/>
              <w:ind w:left="360" w:right="3" w:firstLineChars="0" w:firstLine="0"/>
              <w:jc w:val="right"/>
              <w:rPr>
                <w:color w:val="000000"/>
                <w:sz w:val="18"/>
                <w:szCs w:val="18"/>
              </w:rPr>
            </w:pPr>
            <w:r w:rsidRPr="00191322">
              <w:rPr>
                <w:color w:val="000000"/>
                <w:sz w:val="18"/>
                <w:szCs w:val="18"/>
              </w:rPr>
              <w:t>-    </w:t>
            </w:r>
          </w:p>
        </w:tc>
      </w:tr>
      <w:tr w:rsidR="00420656" w:rsidRPr="00191322" w:rsidTr="0027505B">
        <w:trPr>
          <w:trHeight w:val="20"/>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27505B">
            <w:pPr>
              <w:ind w:leftChars="-7" w:left="-15"/>
              <w:rPr>
                <w:rFonts w:eastAsia="宋体" w:cs="Times New Roman"/>
                <w:color w:val="000000"/>
                <w:sz w:val="18"/>
                <w:szCs w:val="18"/>
              </w:rPr>
            </w:pPr>
            <w:r w:rsidRPr="0027505B">
              <w:rPr>
                <w:rFonts w:eastAsia="宋体" w:cs="Times New Roman" w:hint="eastAsia"/>
                <w:sz w:val="18"/>
                <w:szCs w:val="18"/>
              </w:rPr>
              <w:t>第三方</w:t>
            </w:r>
            <w:r w:rsidR="00BE4851" w:rsidRPr="0027505B">
              <w:rPr>
                <w:rFonts w:eastAsia="宋体" w:cs="Times New Roman"/>
                <w:sz w:val="18"/>
                <w:szCs w:val="18"/>
              </w:rPr>
              <w:t>F</w:t>
            </w:r>
          </w:p>
        </w:tc>
        <w:tc>
          <w:tcPr>
            <w:tcW w:w="1608"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2,000,000.00</w:t>
            </w:r>
          </w:p>
        </w:tc>
        <w:tc>
          <w:tcPr>
            <w:tcW w:w="1609" w:type="dxa"/>
            <w:tcBorders>
              <w:top w:val="single" w:sz="4" w:space="0" w:color="auto"/>
              <w:left w:val="nil"/>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sz w:val="18"/>
                <w:szCs w:val="18"/>
              </w:rPr>
            </w:pPr>
            <w:r w:rsidRPr="00191322">
              <w:rPr>
                <w:rFonts w:eastAsia="宋体" w:cs="Times New Roman"/>
                <w:sz w:val="18"/>
                <w:szCs w:val="18"/>
              </w:rPr>
              <w:t>8.26</w:t>
            </w:r>
          </w:p>
        </w:tc>
        <w:tc>
          <w:tcPr>
            <w:tcW w:w="1608" w:type="dxa"/>
            <w:tcBorders>
              <w:top w:val="single" w:sz="4" w:space="0" w:color="auto"/>
              <w:left w:val="single" w:sz="4" w:space="0" w:color="auto"/>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sz w:val="18"/>
                <w:szCs w:val="18"/>
              </w:rPr>
            </w:pPr>
            <w:r w:rsidRPr="0027505B">
              <w:rPr>
                <w:rFonts w:eastAsia="宋体" w:cs="Times New Roman" w:hint="eastAsia"/>
                <w:sz w:val="18"/>
                <w:szCs w:val="18"/>
              </w:rPr>
              <w:t>押金保证金</w:t>
            </w:r>
          </w:p>
        </w:tc>
        <w:tc>
          <w:tcPr>
            <w:tcW w:w="16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420656">
            <w:pPr>
              <w:ind w:leftChars="86" w:left="181"/>
              <w:jc w:val="center"/>
              <w:rPr>
                <w:rFonts w:eastAsia="宋体" w:cs="Times New Roman"/>
                <w:sz w:val="18"/>
                <w:szCs w:val="18"/>
              </w:rPr>
            </w:pPr>
            <w:r w:rsidRPr="0027505B">
              <w:rPr>
                <w:rFonts w:eastAsia="宋体" w:cs="Times New Roman"/>
                <w:sz w:val="18"/>
                <w:szCs w:val="18"/>
              </w:rPr>
              <w:t>1</w:t>
            </w:r>
            <w:r w:rsidRPr="0027505B">
              <w:rPr>
                <w:rFonts w:eastAsia="宋体" w:cs="Times New Roman" w:hint="eastAsia"/>
                <w:sz w:val="18"/>
                <w:szCs w:val="18"/>
              </w:rPr>
              <w:t>年以内</w:t>
            </w:r>
          </w:p>
        </w:tc>
        <w:tc>
          <w:tcPr>
            <w:tcW w:w="1609"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3,435.61</w:t>
            </w:r>
          </w:p>
        </w:tc>
      </w:tr>
      <w:tr w:rsidR="00420656" w:rsidRPr="00191322" w:rsidTr="0027505B">
        <w:trPr>
          <w:trHeight w:val="20"/>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27505B">
            <w:pPr>
              <w:ind w:leftChars="-7" w:left="-15"/>
              <w:rPr>
                <w:rFonts w:eastAsia="宋体" w:cs="Times New Roman"/>
                <w:color w:val="000000"/>
                <w:sz w:val="18"/>
                <w:szCs w:val="18"/>
              </w:rPr>
            </w:pPr>
            <w:r w:rsidRPr="0027505B">
              <w:rPr>
                <w:rFonts w:eastAsia="宋体" w:cs="Times New Roman" w:hint="eastAsia"/>
                <w:sz w:val="18"/>
                <w:szCs w:val="18"/>
              </w:rPr>
              <w:t>第三方</w:t>
            </w:r>
            <w:r w:rsidR="00BE4851" w:rsidRPr="0027505B">
              <w:rPr>
                <w:rFonts w:eastAsia="宋体" w:cs="Times New Roman"/>
                <w:sz w:val="18"/>
                <w:szCs w:val="18"/>
              </w:rPr>
              <w:t>G</w:t>
            </w:r>
          </w:p>
        </w:tc>
        <w:tc>
          <w:tcPr>
            <w:tcW w:w="1608"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453,098.74</w:t>
            </w:r>
          </w:p>
        </w:tc>
        <w:tc>
          <w:tcPr>
            <w:tcW w:w="1609" w:type="dxa"/>
            <w:tcBorders>
              <w:top w:val="single" w:sz="4" w:space="0" w:color="auto"/>
              <w:left w:val="nil"/>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sz w:val="18"/>
                <w:szCs w:val="18"/>
              </w:rPr>
            </w:pPr>
            <w:r w:rsidRPr="00191322">
              <w:rPr>
                <w:rFonts w:eastAsia="宋体" w:cs="Times New Roman"/>
                <w:sz w:val="18"/>
                <w:szCs w:val="18"/>
              </w:rPr>
              <w:t>1.87</w:t>
            </w:r>
          </w:p>
        </w:tc>
        <w:tc>
          <w:tcPr>
            <w:tcW w:w="1608" w:type="dxa"/>
            <w:tcBorders>
              <w:top w:val="single" w:sz="4" w:space="0" w:color="auto"/>
              <w:left w:val="single" w:sz="4" w:space="0" w:color="auto"/>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sz w:val="18"/>
                <w:szCs w:val="18"/>
              </w:rPr>
            </w:pPr>
            <w:r w:rsidRPr="0027505B">
              <w:rPr>
                <w:rFonts w:eastAsia="宋体" w:cs="Times New Roman" w:hint="eastAsia"/>
                <w:sz w:val="18"/>
                <w:szCs w:val="18"/>
              </w:rPr>
              <w:t>押金保证金</w:t>
            </w:r>
          </w:p>
        </w:tc>
        <w:tc>
          <w:tcPr>
            <w:tcW w:w="16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420656">
            <w:pPr>
              <w:ind w:leftChars="86" w:left="181"/>
              <w:jc w:val="center"/>
              <w:rPr>
                <w:rFonts w:eastAsia="宋体" w:cs="Times New Roman"/>
                <w:color w:val="000000"/>
                <w:sz w:val="18"/>
                <w:szCs w:val="18"/>
              </w:rPr>
            </w:pPr>
            <w:r w:rsidRPr="0027505B">
              <w:rPr>
                <w:rFonts w:eastAsia="宋体" w:cs="Times New Roman"/>
                <w:sz w:val="18"/>
                <w:szCs w:val="18"/>
              </w:rPr>
              <w:t>1</w:t>
            </w:r>
            <w:r w:rsidRPr="0027505B">
              <w:rPr>
                <w:rFonts w:eastAsia="宋体" w:cs="Times New Roman" w:hint="eastAsia"/>
                <w:sz w:val="18"/>
                <w:szCs w:val="18"/>
              </w:rPr>
              <w:t>年以内</w:t>
            </w:r>
          </w:p>
        </w:tc>
        <w:tc>
          <w:tcPr>
            <w:tcW w:w="1609"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1,635.13</w:t>
            </w:r>
          </w:p>
        </w:tc>
      </w:tr>
      <w:tr w:rsidR="00420656" w:rsidRPr="00191322" w:rsidTr="0027505B">
        <w:trPr>
          <w:trHeight w:val="20"/>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27505B">
            <w:pPr>
              <w:ind w:leftChars="-7" w:left="-15"/>
              <w:rPr>
                <w:rFonts w:eastAsia="宋体" w:cs="Times New Roman"/>
                <w:color w:val="000000"/>
                <w:sz w:val="18"/>
                <w:szCs w:val="18"/>
              </w:rPr>
            </w:pPr>
            <w:r w:rsidRPr="0027505B">
              <w:rPr>
                <w:rFonts w:eastAsia="宋体" w:cs="Times New Roman" w:hint="eastAsia"/>
                <w:sz w:val="18"/>
                <w:szCs w:val="18"/>
              </w:rPr>
              <w:t>第三方</w:t>
            </w:r>
            <w:r w:rsidR="00BE4851" w:rsidRPr="0027505B">
              <w:rPr>
                <w:rFonts w:eastAsia="宋体" w:cs="Times New Roman"/>
                <w:sz w:val="18"/>
                <w:szCs w:val="18"/>
              </w:rPr>
              <w:t>H</w:t>
            </w:r>
          </w:p>
        </w:tc>
        <w:tc>
          <w:tcPr>
            <w:tcW w:w="1608"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332,999.93</w:t>
            </w:r>
          </w:p>
        </w:tc>
        <w:tc>
          <w:tcPr>
            <w:tcW w:w="1609" w:type="dxa"/>
            <w:tcBorders>
              <w:top w:val="single" w:sz="4" w:space="0" w:color="auto"/>
              <w:left w:val="nil"/>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sz w:val="18"/>
                <w:szCs w:val="18"/>
              </w:rPr>
            </w:pPr>
            <w:r w:rsidRPr="00191322">
              <w:rPr>
                <w:rFonts w:eastAsia="宋体" w:cs="Times New Roman"/>
                <w:sz w:val="18"/>
                <w:szCs w:val="18"/>
              </w:rPr>
              <w:t>1.38</w:t>
            </w:r>
          </w:p>
        </w:tc>
        <w:tc>
          <w:tcPr>
            <w:tcW w:w="1608" w:type="dxa"/>
            <w:tcBorders>
              <w:top w:val="single" w:sz="4" w:space="0" w:color="auto"/>
              <w:left w:val="single" w:sz="4" w:space="0" w:color="auto"/>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sz w:val="18"/>
                <w:szCs w:val="18"/>
              </w:rPr>
            </w:pPr>
            <w:r w:rsidRPr="0027505B">
              <w:rPr>
                <w:rFonts w:eastAsia="宋体" w:cs="Times New Roman" w:hint="eastAsia"/>
                <w:sz w:val="18"/>
                <w:szCs w:val="18"/>
              </w:rPr>
              <w:t>押金保证金</w:t>
            </w:r>
          </w:p>
        </w:tc>
        <w:tc>
          <w:tcPr>
            <w:tcW w:w="16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420656">
            <w:pPr>
              <w:ind w:leftChars="86" w:left="181"/>
              <w:jc w:val="center"/>
              <w:rPr>
                <w:rFonts w:eastAsia="宋体" w:cs="Times New Roman"/>
                <w:color w:val="000000"/>
                <w:sz w:val="18"/>
                <w:szCs w:val="18"/>
              </w:rPr>
            </w:pPr>
            <w:r w:rsidRPr="0027505B">
              <w:rPr>
                <w:rFonts w:eastAsia="宋体" w:cs="Times New Roman"/>
                <w:sz w:val="18"/>
                <w:szCs w:val="18"/>
              </w:rPr>
              <w:t>1</w:t>
            </w:r>
            <w:r w:rsidRPr="0027505B">
              <w:rPr>
                <w:rFonts w:eastAsia="宋体" w:cs="Times New Roman" w:hint="eastAsia"/>
                <w:sz w:val="18"/>
                <w:szCs w:val="18"/>
              </w:rPr>
              <w:t>年</w:t>
            </w:r>
            <w:r w:rsidRPr="0027505B">
              <w:rPr>
                <w:rFonts w:eastAsia="宋体" w:cs="Times New Roman"/>
                <w:sz w:val="18"/>
                <w:szCs w:val="18"/>
              </w:rPr>
              <w:t>-2</w:t>
            </w:r>
            <w:r w:rsidRPr="0027505B">
              <w:rPr>
                <w:rFonts w:eastAsia="宋体" w:cs="Times New Roman" w:hint="eastAsia"/>
                <w:sz w:val="18"/>
                <w:szCs w:val="18"/>
              </w:rPr>
              <w:t>年</w:t>
            </w:r>
          </w:p>
        </w:tc>
        <w:tc>
          <w:tcPr>
            <w:tcW w:w="1609"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133,199.97</w:t>
            </w:r>
          </w:p>
        </w:tc>
      </w:tr>
      <w:tr w:rsidR="00420656" w:rsidRPr="00191322" w:rsidTr="0027505B">
        <w:trPr>
          <w:trHeight w:val="20"/>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27505B">
            <w:pPr>
              <w:ind w:leftChars="-7" w:left="-15"/>
              <w:rPr>
                <w:rFonts w:eastAsia="宋体" w:cs="Times New Roman"/>
                <w:color w:val="000000"/>
                <w:sz w:val="18"/>
                <w:szCs w:val="18"/>
              </w:rPr>
            </w:pPr>
            <w:r w:rsidRPr="0027505B">
              <w:rPr>
                <w:rFonts w:eastAsia="宋体" w:cs="Times New Roman" w:hint="eastAsia"/>
                <w:sz w:val="18"/>
                <w:szCs w:val="18"/>
              </w:rPr>
              <w:t>第三方</w:t>
            </w:r>
            <w:r w:rsidR="00BE4851" w:rsidRPr="0027505B">
              <w:rPr>
                <w:rFonts w:eastAsia="宋体" w:cs="Times New Roman"/>
                <w:sz w:val="18"/>
                <w:szCs w:val="18"/>
              </w:rPr>
              <w:t>I</w:t>
            </w:r>
          </w:p>
        </w:tc>
        <w:tc>
          <w:tcPr>
            <w:tcW w:w="1608"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323,505.00</w:t>
            </w:r>
          </w:p>
        </w:tc>
        <w:tc>
          <w:tcPr>
            <w:tcW w:w="1609" w:type="dxa"/>
            <w:tcBorders>
              <w:top w:val="single" w:sz="4" w:space="0" w:color="auto"/>
              <w:left w:val="nil"/>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color w:val="000000"/>
                <w:sz w:val="18"/>
                <w:szCs w:val="18"/>
              </w:rPr>
            </w:pPr>
            <w:r w:rsidRPr="00191322">
              <w:rPr>
                <w:rFonts w:eastAsia="宋体" w:cs="Times New Roman"/>
                <w:sz w:val="18"/>
                <w:szCs w:val="18"/>
              </w:rPr>
              <w:t>1.34</w:t>
            </w:r>
          </w:p>
        </w:tc>
        <w:tc>
          <w:tcPr>
            <w:tcW w:w="1608" w:type="dxa"/>
            <w:tcBorders>
              <w:top w:val="single" w:sz="4" w:space="0" w:color="auto"/>
              <w:left w:val="single" w:sz="4" w:space="0" w:color="auto"/>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color w:val="000000"/>
                <w:sz w:val="18"/>
                <w:szCs w:val="18"/>
              </w:rPr>
            </w:pPr>
            <w:r w:rsidRPr="0027505B">
              <w:rPr>
                <w:rFonts w:eastAsia="宋体" w:cs="Times New Roman" w:hint="eastAsia"/>
                <w:sz w:val="18"/>
                <w:szCs w:val="18"/>
              </w:rPr>
              <w:t>押金保证金</w:t>
            </w:r>
          </w:p>
        </w:tc>
        <w:tc>
          <w:tcPr>
            <w:tcW w:w="16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420656">
            <w:pPr>
              <w:ind w:leftChars="86" w:left="181"/>
              <w:jc w:val="center"/>
              <w:rPr>
                <w:rFonts w:eastAsia="宋体" w:cs="Times New Roman"/>
                <w:color w:val="000000"/>
                <w:sz w:val="18"/>
                <w:szCs w:val="18"/>
              </w:rPr>
            </w:pPr>
            <w:r w:rsidRPr="0027505B">
              <w:rPr>
                <w:rFonts w:eastAsia="宋体" w:cs="Times New Roman"/>
                <w:sz w:val="18"/>
                <w:szCs w:val="18"/>
              </w:rPr>
              <w:t>1</w:t>
            </w:r>
            <w:r w:rsidRPr="0027505B">
              <w:rPr>
                <w:rFonts w:eastAsia="宋体" w:cs="Times New Roman" w:hint="eastAsia"/>
                <w:sz w:val="18"/>
                <w:szCs w:val="18"/>
              </w:rPr>
              <w:t>年以内</w:t>
            </w:r>
          </w:p>
        </w:tc>
        <w:tc>
          <w:tcPr>
            <w:tcW w:w="1609"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4,601.52</w:t>
            </w:r>
          </w:p>
        </w:tc>
      </w:tr>
      <w:tr w:rsidR="00420656" w:rsidRPr="00191322" w:rsidTr="0027505B">
        <w:trPr>
          <w:trHeight w:val="20"/>
        </w:trPr>
        <w:tc>
          <w:tcPr>
            <w:tcW w:w="1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420656" w:rsidRPr="00191322" w:rsidRDefault="00420656" w:rsidP="0027505B">
            <w:pPr>
              <w:ind w:leftChars="-7" w:left="-15"/>
              <w:rPr>
                <w:rFonts w:eastAsia="宋体" w:cs="Times New Roman"/>
                <w:color w:val="000000"/>
                <w:sz w:val="18"/>
                <w:szCs w:val="18"/>
              </w:rPr>
            </w:pPr>
            <w:r w:rsidRPr="00191322">
              <w:rPr>
                <w:rFonts w:eastAsia="宋体" w:cs="Times New Roman" w:hint="eastAsia"/>
                <w:color w:val="000000"/>
                <w:sz w:val="18"/>
                <w:szCs w:val="18"/>
              </w:rPr>
              <w:t>合计</w:t>
            </w:r>
          </w:p>
        </w:tc>
        <w:tc>
          <w:tcPr>
            <w:tcW w:w="1608"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420656" w:rsidP="00420656">
            <w:pPr>
              <w:ind w:leftChars="86" w:left="181"/>
              <w:jc w:val="right"/>
              <w:rPr>
                <w:rFonts w:eastAsia="宋体" w:cs="Times New Roman"/>
                <w:color w:val="000000"/>
                <w:sz w:val="18"/>
                <w:szCs w:val="18"/>
              </w:rPr>
            </w:pPr>
            <w:r w:rsidRPr="00191322">
              <w:rPr>
                <w:rFonts w:eastAsia="宋体" w:cs="Times New Roman"/>
                <w:sz w:val="18"/>
                <w:szCs w:val="18"/>
              </w:rPr>
              <w:t>17,787,398.97</w:t>
            </w:r>
          </w:p>
        </w:tc>
        <w:tc>
          <w:tcPr>
            <w:tcW w:w="1609" w:type="dxa"/>
            <w:tcBorders>
              <w:top w:val="single" w:sz="4" w:space="0" w:color="auto"/>
              <w:left w:val="nil"/>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color w:val="000000"/>
                <w:sz w:val="18"/>
                <w:szCs w:val="18"/>
              </w:rPr>
            </w:pPr>
            <w:r w:rsidRPr="00191322">
              <w:rPr>
                <w:rFonts w:eastAsia="宋体" w:cs="Times New Roman"/>
                <w:sz w:val="18"/>
                <w:szCs w:val="18"/>
              </w:rPr>
              <w:t>73.46</w:t>
            </w:r>
          </w:p>
        </w:tc>
        <w:tc>
          <w:tcPr>
            <w:tcW w:w="1608" w:type="dxa"/>
            <w:tcBorders>
              <w:top w:val="single" w:sz="4" w:space="0" w:color="auto"/>
              <w:left w:val="single" w:sz="4" w:space="0" w:color="auto"/>
              <w:bottom w:val="single" w:sz="4" w:space="0" w:color="auto"/>
              <w:right w:val="single" w:sz="4" w:space="0" w:color="auto"/>
            </w:tcBorders>
            <w:vAlign w:val="center"/>
          </w:tcPr>
          <w:p w:rsidR="00420656" w:rsidRPr="00191322" w:rsidRDefault="00420656" w:rsidP="00420656">
            <w:pPr>
              <w:ind w:leftChars="86" w:left="181"/>
              <w:jc w:val="center"/>
              <w:rPr>
                <w:rFonts w:eastAsia="宋体" w:cs="Times New Roman"/>
                <w:color w:val="000000"/>
                <w:sz w:val="18"/>
                <w:szCs w:val="18"/>
              </w:rPr>
            </w:pPr>
          </w:p>
        </w:tc>
        <w:tc>
          <w:tcPr>
            <w:tcW w:w="16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191322" w:rsidRDefault="00420656" w:rsidP="00420656">
            <w:pPr>
              <w:ind w:leftChars="86" w:left="181"/>
              <w:jc w:val="center"/>
              <w:rPr>
                <w:rFonts w:eastAsia="宋体" w:cs="Times New Roman"/>
                <w:color w:val="000000"/>
                <w:sz w:val="18"/>
                <w:szCs w:val="18"/>
              </w:rPr>
            </w:pPr>
          </w:p>
        </w:tc>
        <w:tc>
          <w:tcPr>
            <w:tcW w:w="1609" w:type="dxa"/>
            <w:tcBorders>
              <w:top w:val="single" w:sz="4" w:space="0" w:color="auto"/>
              <w:left w:val="nil"/>
              <w:bottom w:val="single" w:sz="4" w:space="0" w:color="auto"/>
              <w:right w:val="single" w:sz="4" w:space="0" w:color="auto"/>
            </w:tcBorders>
            <w:shd w:val="clear" w:color="auto" w:fill="auto"/>
            <w:noWrap/>
            <w:vAlign w:val="center"/>
          </w:tcPr>
          <w:p w:rsidR="00420656" w:rsidRPr="00191322" w:rsidRDefault="00724DFC" w:rsidP="00420656">
            <w:pPr>
              <w:ind w:leftChars="86" w:left="181"/>
              <w:jc w:val="right"/>
              <w:rPr>
                <w:rFonts w:eastAsia="宋体" w:cs="Times New Roman"/>
                <w:color w:val="000000"/>
                <w:sz w:val="18"/>
                <w:szCs w:val="18"/>
              </w:rPr>
            </w:pPr>
            <w:r w:rsidRPr="00191322">
              <w:rPr>
                <w:rFonts w:eastAsia="宋体" w:cs="Times New Roman"/>
                <w:sz w:val="18"/>
                <w:szCs w:val="18"/>
              </w:rPr>
              <w:t>142,872.23</w:t>
            </w:r>
          </w:p>
        </w:tc>
      </w:tr>
    </w:tbl>
    <w:p w:rsidR="009A769C" w:rsidRPr="00D3198A" w:rsidRDefault="009A769C" w:rsidP="00A24142">
      <w:pPr>
        <w:adjustRightInd/>
        <w:ind w:leftChars="337" w:left="708" w:firstLine="1"/>
        <w:jc w:val="both"/>
        <w:rPr>
          <w:rFonts w:eastAsia="宋体" w:cs="Times New Roman"/>
          <w:szCs w:val="21"/>
        </w:rPr>
      </w:pPr>
    </w:p>
    <w:p w:rsidR="007D47F9" w:rsidRPr="00A71D2E" w:rsidRDefault="007D47F9" w:rsidP="00F66363">
      <w:pPr>
        <w:pStyle w:val="2"/>
        <w:numPr>
          <w:ilvl w:val="2"/>
          <w:numId w:val="1"/>
        </w:numPr>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存货</w:t>
      </w:r>
    </w:p>
    <w:p w:rsidR="007D47F9" w:rsidRPr="00A71D2E" w:rsidRDefault="007D47F9" w:rsidP="00F66363">
      <w:pPr>
        <w:adjustRightInd/>
        <w:ind w:left="720"/>
        <w:jc w:val="both"/>
        <w:rPr>
          <w:rFonts w:eastAsia="宋体" w:cs="Times New Roman"/>
          <w:szCs w:val="21"/>
        </w:rPr>
      </w:pPr>
    </w:p>
    <w:p w:rsidR="007D47F9" w:rsidRPr="00A71D2E" w:rsidRDefault="007D47F9" w:rsidP="00F66363">
      <w:pPr>
        <w:pStyle w:val="aff1"/>
        <w:numPr>
          <w:ilvl w:val="0"/>
          <w:numId w:val="2"/>
        </w:numPr>
        <w:adjustRightInd/>
        <w:ind w:left="1440" w:firstLineChars="0" w:hanging="720"/>
        <w:jc w:val="both"/>
        <w:rPr>
          <w:szCs w:val="21"/>
        </w:rPr>
      </w:pPr>
      <w:r w:rsidRPr="00A71D2E">
        <w:rPr>
          <w:rFonts w:hint="eastAsia"/>
          <w:szCs w:val="21"/>
        </w:rPr>
        <w:t>存货分类</w:t>
      </w:r>
    </w:p>
    <w:p w:rsidR="007F1CD9" w:rsidRPr="00A71D2E" w:rsidRDefault="007F1CD9" w:rsidP="00F66363">
      <w:pPr>
        <w:adjustRightIn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6"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1395"/>
        <w:gridCol w:w="1395"/>
        <w:gridCol w:w="1398"/>
        <w:gridCol w:w="1395"/>
        <w:gridCol w:w="1395"/>
        <w:gridCol w:w="1398"/>
      </w:tblGrid>
      <w:tr w:rsidR="007F1CD9" w:rsidRPr="00A71D2E" w:rsidTr="0027505B">
        <w:trPr>
          <w:trHeight w:val="20"/>
        </w:trPr>
        <w:tc>
          <w:tcPr>
            <w:tcW w:w="567" w:type="pct"/>
            <w:vMerge w:val="restart"/>
            <w:shd w:val="clear" w:color="auto" w:fill="D9D9D9" w:themeFill="background1" w:themeFillShade="D9"/>
            <w:noWrap/>
            <w:vAlign w:val="center"/>
            <w:hideMark/>
          </w:tcPr>
          <w:p w:rsidR="007F1CD9" w:rsidRPr="00A71D2E" w:rsidRDefault="00184E66" w:rsidP="00F66363">
            <w:pPr>
              <w:adjustRightInd/>
              <w:jc w:val="center"/>
              <w:rPr>
                <w:rFonts w:eastAsia="宋体" w:cs="Times New Roman"/>
                <w:color w:val="000000"/>
                <w:sz w:val="18"/>
                <w:szCs w:val="18"/>
              </w:rPr>
            </w:pPr>
            <w:r>
              <w:rPr>
                <w:rFonts w:eastAsia="宋体" w:cs="Times New Roman" w:hint="eastAsia"/>
                <w:color w:val="000000"/>
                <w:sz w:val="18"/>
                <w:szCs w:val="18"/>
              </w:rPr>
              <w:t>项目</w:t>
            </w:r>
          </w:p>
        </w:tc>
        <w:tc>
          <w:tcPr>
            <w:tcW w:w="2216" w:type="pct"/>
            <w:gridSpan w:val="3"/>
            <w:shd w:val="clear" w:color="auto" w:fill="D9D9D9" w:themeFill="background1" w:themeFillShade="D9"/>
            <w:vAlign w:val="center"/>
          </w:tcPr>
          <w:p w:rsidR="007F1CD9" w:rsidRPr="00A71D2E" w:rsidRDefault="006C643E" w:rsidP="00F66363">
            <w:pPr>
              <w:adjustRightInd/>
              <w:jc w:val="center"/>
              <w:rPr>
                <w:rFonts w:eastAsia="宋体" w:cs="Times New Roman"/>
                <w:color w:val="000000"/>
                <w:sz w:val="18"/>
                <w:szCs w:val="18"/>
              </w:rPr>
            </w:pPr>
            <w:r w:rsidRPr="00A71D2E">
              <w:rPr>
                <w:rFonts w:eastAsia="宋体" w:cs="Times New Roman" w:hint="eastAsia"/>
                <w:color w:val="000000"/>
                <w:sz w:val="18"/>
                <w:szCs w:val="18"/>
              </w:rPr>
              <w:t>年末余额</w:t>
            </w:r>
          </w:p>
        </w:tc>
        <w:tc>
          <w:tcPr>
            <w:tcW w:w="2216" w:type="pct"/>
            <w:gridSpan w:val="3"/>
            <w:shd w:val="clear" w:color="auto" w:fill="D9D9D9" w:themeFill="background1" w:themeFillShade="D9"/>
            <w:vAlign w:val="center"/>
          </w:tcPr>
          <w:p w:rsidR="007F1CD9" w:rsidRPr="00A71D2E" w:rsidRDefault="006C643E" w:rsidP="00F66363">
            <w:pPr>
              <w:adjustRightInd/>
              <w:jc w:val="center"/>
              <w:rPr>
                <w:rFonts w:eastAsia="宋体" w:cs="Times New Roman"/>
                <w:sz w:val="18"/>
                <w:szCs w:val="18"/>
              </w:rPr>
            </w:pPr>
            <w:r w:rsidRPr="00A71D2E">
              <w:rPr>
                <w:rFonts w:eastAsia="宋体" w:cs="Times New Roman" w:hint="eastAsia"/>
                <w:sz w:val="18"/>
                <w:szCs w:val="18"/>
              </w:rPr>
              <w:t>年初余额</w:t>
            </w:r>
          </w:p>
        </w:tc>
      </w:tr>
      <w:tr w:rsidR="007F1CD9" w:rsidRPr="00A71D2E" w:rsidTr="0027505B">
        <w:trPr>
          <w:trHeight w:val="20"/>
        </w:trPr>
        <w:tc>
          <w:tcPr>
            <w:tcW w:w="567" w:type="pct"/>
            <w:vMerge/>
            <w:shd w:val="clear" w:color="auto" w:fill="D9D9D9" w:themeFill="background1" w:themeFillShade="D9"/>
            <w:noWrap/>
            <w:vAlign w:val="center"/>
          </w:tcPr>
          <w:p w:rsidR="007F1CD9" w:rsidRPr="00A71D2E" w:rsidRDefault="007F1CD9" w:rsidP="00F66363">
            <w:pPr>
              <w:adjustRightInd/>
              <w:jc w:val="center"/>
              <w:rPr>
                <w:rFonts w:eastAsia="宋体" w:cs="Times New Roman"/>
                <w:color w:val="000000"/>
                <w:sz w:val="18"/>
                <w:szCs w:val="18"/>
              </w:rPr>
            </w:pPr>
          </w:p>
        </w:tc>
        <w:tc>
          <w:tcPr>
            <w:tcW w:w="738" w:type="pct"/>
            <w:shd w:val="clear" w:color="auto" w:fill="D9D9D9" w:themeFill="background1" w:themeFillShade="D9"/>
            <w:vAlign w:val="center"/>
          </w:tcPr>
          <w:p w:rsidR="007F1CD9" w:rsidRPr="00A71D2E" w:rsidRDefault="00A5742F" w:rsidP="00F66363">
            <w:pPr>
              <w:adjustRightInd/>
              <w:jc w:val="center"/>
              <w:rPr>
                <w:rFonts w:eastAsia="宋体" w:cs="Times New Roman"/>
                <w:sz w:val="18"/>
                <w:szCs w:val="18"/>
              </w:rPr>
            </w:pPr>
            <w:r>
              <w:rPr>
                <w:rFonts w:eastAsia="宋体" w:cs="Times New Roman" w:hint="eastAsia"/>
                <w:sz w:val="18"/>
                <w:szCs w:val="18"/>
              </w:rPr>
              <w:t>账面余额</w:t>
            </w:r>
          </w:p>
        </w:tc>
        <w:tc>
          <w:tcPr>
            <w:tcW w:w="738" w:type="pct"/>
            <w:shd w:val="clear" w:color="auto" w:fill="D9D9D9" w:themeFill="background1" w:themeFillShade="D9"/>
            <w:vAlign w:val="center"/>
          </w:tcPr>
          <w:p w:rsidR="007F1CD9" w:rsidRPr="00A71D2E" w:rsidRDefault="007F1CD9" w:rsidP="00F66363">
            <w:pPr>
              <w:adjustRightInd/>
              <w:jc w:val="center"/>
              <w:rPr>
                <w:rFonts w:eastAsia="宋体" w:cs="Times New Roman"/>
                <w:sz w:val="18"/>
                <w:szCs w:val="18"/>
              </w:rPr>
            </w:pPr>
            <w:r w:rsidRPr="00A71D2E">
              <w:rPr>
                <w:rFonts w:eastAsia="宋体" w:cs="Times New Roman" w:hint="eastAsia"/>
                <w:sz w:val="18"/>
                <w:szCs w:val="18"/>
              </w:rPr>
              <w:t>存货跌价准备</w:t>
            </w:r>
          </w:p>
        </w:tc>
        <w:tc>
          <w:tcPr>
            <w:tcW w:w="740" w:type="pct"/>
            <w:shd w:val="clear" w:color="auto" w:fill="D9D9D9" w:themeFill="background1" w:themeFillShade="D9"/>
            <w:vAlign w:val="center"/>
          </w:tcPr>
          <w:p w:rsidR="007F1CD9" w:rsidRPr="00A71D2E" w:rsidRDefault="007F1CD9" w:rsidP="00F66363">
            <w:pPr>
              <w:adjustRightInd/>
              <w:jc w:val="center"/>
              <w:rPr>
                <w:rFonts w:eastAsia="宋体" w:cs="Times New Roman"/>
                <w:sz w:val="18"/>
                <w:szCs w:val="18"/>
              </w:rPr>
            </w:pPr>
            <w:r w:rsidRPr="00A71D2E">
              <w:rPr>
                <w:rFonts w:eastAsia="宋体" w:cs="Times New Roman" w:hint="eastAsia"/>
                <w:sz w:val="18"/>
                <w:szCs w:val="18"/>
              </w:rPr>
              <w:t>账面价值</w:t>
            </w:r>
          </w:p>
        </w:tc>
        <w:tc>
          <w:tcPr>
            <w:tcW w:w="738" w:type="pct"/>
            <w:shd w:val="clear" w:color="auto" w:fill="D9D9D9" w:themeFill="background1" w:themeFillShade="D9"/>
            <w:vAlign w:val="center"/>
          </w:tcPr>
          <w:p w:rsidR="007F1CD9" w:rsidRPr="00A71D2E" w:rsidRDefault="00A5742F" w:rsidP="00F66363">
            <w:pPr>
              <w:adjustRightInd/>
              <w:jc w:val="center"/>
              <w:rPr>
                <w:rFonts w:eastAsia="宋体" w:cs="Times New Roman"/>
                <w:sz w:val="18"/>
                <w:szCs w:val="18"/>
              </w:rPr>
            </w:pPr>
            <w:r>
              <w:rPr>
                <w:rFonts w:eastAsia="宋体" w:cs="Times New Roman" w:hint="eastAsia"/>
                <w:sz w:val="18"/>
                <w:szCs w:val="18"/>
              </w:rPr>
              <w:t>账面余额</w:t>
            </w:r>
          </w:p>
        </w:tc>
        <w:tc>
          <w:tcPr>
            <w:tcW w:w="738" w:type="pct"/>
            <w:shd w:val="clear" w:color="auto" w:fill="D9D9D9" w:themeFill="background1" w:themeFillShade="D9"/>
            <w:vAlign w:val="center"/>
          </w:tcPr>
          <w:p w:rsidR="007F1CD9" w:rsidRPr="00A71D2E" w:rsidRDefault="007F1CD9" w:rsidP="00F66363">
            <w:pPr>
              <w:adjustRightInd/>
              <w:jc w:val="center"/>
              <w:rPr>
                <w:rFonts w:eastAsia="宋体" w:cs="Times New Roman"/>
                <w:sz w:val="18"/>
                <w:szCs w:val="18"/>
              </w:rPr>
            </w:pPr>
            <w:r w:rsidRPr="00A71D2E">
              <w:rPr>
                <w:rFonts w:eastAsia="宋体" w:cs="Times New Roman" w:hint="eastAsia"/>
                <w:sz w:val="18"/>
                <w:szCs w:val="18"/>
              </w:rPr>
              <w:t>存货跌价准备</w:t>
            </w:r>
          </w:p>
        </w:tc>
        <w:tc>
          <w:tcPr>
            <w:tcW w:w="740" w:type="pct"/>
            <w:shd w:val="clear" w:color="auto" w:fill="D9D9D9" w:themeFill="background1" w:themeFillShade="D9"/>
            <w:noWrap/>
            <w:vAlign w:val="center"/>
          </w:tcPr>
          <w:p w:rsidR="007F1CD9" w:rsidRPr="00A71D2E" w:rsidRDefault="007F1CD9" w:rsidP="00F66363">
            <w:pPr>
              <w:adjustRightInd/>
              <w:jc w:val="center"/>
              <w:rPr>
                <w:rFonts w:eastAsia="宋体" w:cs="Times New Roman"/>
                <w:sz w:val="18"/>
                <w:szCs w:val="18"/>
              </w:rPr>
            </w:pPr>
            <w:r w:rsidRPr="00A71D2E">
              <w:rPr>
                <w:rFonts w:eastAsia="宋体" w:cs="Times New Roman" w:hint="eastAsia"/>
                <w:sz w:val="18"/>
                <w:szCs w:val="18"/>
              </w:rPr>
              <w:t>账面价值</w:t>
            </w:r>
          </w:p>
        </w:tc>
      </w:tr>
      <w:tr w:rsidR="00954214" w:rsidRPr="00A71D2E" w:rsidTr="0027505B">
        <w:trPr>
          <w:trHeight w:val="20"/>
        </w:trPr>
        <w:tc>
          <w:tcPr>
            <w:tcW w:w="567" w:type="pct"/>
            <w:shd w:val="clear" w:color="auto" w:fill="auto"/>
            <w:noWrap/>
            <w:vAlign w:val="center"/>
          </w:tcPr>
          <w:p w:rsidR="00954214" w:rsidRPr="00A71D2E" w:rsidRDefault="00954214" w:rsidP="00954214">
            <w:pPr>
              <w:adjustRightInd/>
              <w:rPr>
                <w:rFonts w:eastAsia="宋体" w:cs="Times New Roman"/>
                <w:color w:val="000000"/>
                <w:sz w:val="18"/>
                <w:szCs w:val="18"/>
              </w:rPr>
            </w:pPr>
            <w:r w:rsidRPr="00A71D2E">
              <w:rPr>
                <w:rFonts w:eastAsia="宋体" w:cs="Times New Roman" w:hint="eastAsia"/>
                <w:sz w:val="18"/>
                <w:szCs w:val="18"/>
              </w:rPr>
              <w:t>原材料</w:t>
            </w:r>
          </w:p>
        </w:tc>
        <w:tc>
          <w:tcPr>
            <w:tcW w:w="738" w:type="pct"/>
            <w:vAlign w:val="center"/>
          </w:tcPr>
          <w:p w:rsidR="00954214" w:rsidRPr="00A71D2E" w:rsidRDefault="00A24142" w:rsidP="00954214">
            <w:pPr>
              <w:adjustRightInd/>
              <w:ind w:left="-104"/>
              <w:jc w:val="right"/>
              <w:rPr>
                <w:rFonts w:eastAsia="宋体" w:cs="Times New Roman"/>
                <w:sz w:val="18"/>
                <w:szCs w:val="18"/>
              </w:rPr>
            </w:pPr>
            <w:r w:rsidRPr="00A24142">
              <w:rPr>
                <w:rFonts w:eastAsia="宋体" w:cs="Times New Roman"/>
                <w:sz w:val="18"/>
                <w:szCs w:val="18"/>
              </w:rPr>
              <w:t>164,254,236.01</w:t>
            </w:r>
          </w:p>
        </w:tc>
        <w:tc>
          <w:tcPr>
            <w:tcW w:w="738" w:type="pct"/>
            <w:vAlign w:val="center"/>
          </w:tcPr>
          <w:p w:rsidR="00954214" w:rsidRPr="00A71D2E" w:rsidRDefault="003C369A" w:rsidP="00954214">
            <w:pPr>
              <w:adjustRightInd/>
              <w:ind w:left="-104"/>
              <w:jc w:val="right"/>
              <w:rPr>
                <w:rFonts w:eastAsia="宋体" w:cs="Times New Roman"/>
                <w:sz w:val="18"/>
                <w:szCs w:val="18"/>
              </w:rPr>
            </w:pPr>
            <w:r w:rsidRPr="003C369A">
              <w:rPr>
                <w:rFonts w:eastAsia="宋体" w:cs="Times New Roman"/>
                <w:sz w:val="18"/>
                <w:szCs w:val="18"/>
              </w:rPr>
              <w:t>6,761,208.81</w:t>
            </w:r>
          </w:p>
        </w:tc>
        <w:tc>
          <w:tcPr>
            <w:tcW w:w="740" w:type="pct"/>
            <w:vAlign w:val="center"/>
          </w:tcPr>
          <w:p w:rsidR="00954214" w:rsidRPr="00A71D2E" w:rsidRDefault="003C369A" w:rsidP="00954214">
            <w:pPr>
              <w:adjustRightInd/>
              <w:ind w:left="-104"/>
              <w:jc w:val="right"/>
              <w:rPr>
                <w:rFonts w:eastAsia="宋体" w:cs="Times New Roman"/>
                <w:sz w:val="18"/>
                <w:szCs w:val="18"/>
              </w:rPr>
            </w:pPr>
            <w:r w:rsidRPr="003C369A">
              <w:rPr>
                <w:rFonts w:eastAsia="宋体" w:cs="Times New Roman"/>
                <w:sz w:val="18"/>
                <w:szCs w:val="18"/>
              </w:rPr>
              <w:t>157,493,027.20</w:t>
            </w:r>
          </w:p>
        </w:tc>
        <w:tc>
          <w:tcPr>
            <w:tcW w:w="738" w:type="pct"/>
            <w:vAlign w:val="center"/>
          </w:tcPr>
          <w:p w:rsidR="00954214" w:rsidRPr="00A71D2E" w:rsidRDefault="00954214" w:rsidP="00954214">
            <w:pPr>
              <w:adjustRightInd/>
              <w:ind w:left="-104"/>
              <w:jc w:val="right"/>
              <w:rPr>
                <w:rFonts w:eastAsia="宋体" w:cs="Times New Roman"/>
                <w:sz w:val="18"/>
                <w:szCs w:val="18"/>
              </w:rPr>
            </w:pPr>
            <w:r w:rsidRPr="00A71D2E">
              <w:rPr>
                <w:rFonts w:eastAsia="宋体" w:cs="Times New Roman"/>
                <w:sz w:val="18"/>
                <w:szCs w:val="18"/>
              </w:rPr>
              <w:t>150,621,265.48</w:t>
            </w:r>
          </w:p>
        </w:tc>
        <w:tc>
          <w:tcPr>
            <w:tcW w:w="738" w:type="pct"/>
            <w:vAlign w:val="center"/>
          </w:tcPr>
          <w:p w:rsidR="00954214" w:rsidRPr="00A71D2E" w:rsidRDefault="00954214" w:rsidP="00954214">
            <w:pPr>
              <w:adjustRightInd/>
              <w:ind w:left="-104"/>
              <w:jc w:val="right"/>
              <w:rPr>
                <w:rFonts w:eastAsia="宋体" w:cs="Times New Roman"/>
                <w:color w:val="000000"/>
                <w:sz w:val="18"/>
                <w:szCs w:val="18"/>
              </w:rPr>
            </w:pPr>
            <w:r w:rsidRPr="00A71D2E">
              <w:rPr>
                <w:rFonts w:eastAsia="宋体" w:cs="Times New Roman"/>
                <w:sz w:val="18"/>
                <w:szCs w:val="18"/>
              </w:rPr>
              <w:t>11,398,142.01</w:t>
            </w:r>
          </w:p>
        </w:tc>
        <w:tc>
          <w:tcPr>
            <w:tcW w:w="740" w:type="pct"/>
            <w:shd w:val="clear" w:color="auto" w:fill="auto"/>
            <w:noWrap/>
            <w:vAlign w:val="center"/>
          </w:tcPr>
          <w:p w:rsidR="00954214" w:rsidRPr="00A71D2E" w:rsidRDefault="00954214" w:rsidP="00954214">
            <w:pPr>
              <w:adjustRightInd/>
              <w:ind w:left="-104"/>
              <w:jc w:val="right"/>
              <w:rPr>
                <w:rFonts w:eastAsia="宋体" w:cs="Times New Roman"/>
                <w:color w:val="000000"/>
                <w:sz w:val="18"/>
                <w:szCs w:val="18"/>
              </w:rPr>
            </w:pPr>
            <w:r w:rsidRPr="00A71D2E">
              <w:rPr>
                <w:rFonts w:eastAsia="宋体" w:cs="Times New Roman"/>
                <w:sz w:val="18"/>
                <w:szCs w:val="18"/>
              </w:rPr>
              <w:t>139,223,123.47</w:t>
            </w:r>
          </w:p>
        </w:tc>
      </w:tr>
      <w:tr w:rsidR="00A24142" w:rsidRPr="00A71D2E" w:rsidTr="0027505B">
        <w:trPr>
          <w:trHeight w:val="20"/>
        </w:trPr>
        <w:tc>
          <w:tcPr>
            <w:tcW w:w="567" w:type="pct"/>
            <w:shd w:val="clear" w:color="auto" w:fill="auto"/>
            <w:noWrap/>
            <w:vAlign w:val="center"/>
          </w:tcPr>
          <w:p w:rsidR="00A24142" w:rsidRPr="00A71D2E" w:rsidRDefault="00A24142" w:rsidP="00A24142">
            <w:pPr>
              <w:adjustRightInd/>
              <w:rPr>
                <w:rFonts w:eastAsia="宋体" w:cs="Times New Roman"/>
                <w:sz w:val="18"/>
                <w:szCs w:val="18"/>
              </w:rPr>
            </w:pPr>
            <w:r>
              <w:rPr>
                <w:rFonts w:eastAsia="宋体" w:cs="Times New Roman" w:hint="eastAsia"/>
                <w:sz w:val="18"/>
                <w:szCs w:val="18"/>
              </w:rPr>
              <w:t>在</w:t>
            </w:r>
            <w:r w:rsidR="008D5DFA">
              <w:rPr>
                <w:rFonts w:eastAsia="宋体" w:cs="Times New Roman" w:hint="eastAsia"/>
                <w:sz w:val="18"/>
                <w:szCs w:val="18"/>
              </w:rPr>
              <w:t>产品</w:t>
            </w:r>
          </w:p>
        </w:tc>
        <w:tc>
          <w:tcPr>
            <w:tcW w:w="738" w:type="pct"/>
            <w:vAlign w:val="center"/>
          </w:tcPr>
          <w:p w:rsidR="00A24142" w:rsidRPr="00A71D2E" w:rsidRDefault="00A24142" w:rsidP="00A24142">
            <w:pPr>
              <w:adjustRightInd/>
              <w:ind w:left="-104"/>
              <w:jc w:val="right"/>
              <w:rPr>
                <w:rFonts w:eastAsia="宋体" w:cs="Times New Roman"/>
                <w:sz w:val="18"/>
                <w:szCs w:val="18"/>
              </w:rPr>
            </w:pPr>
            <w:r w:rsidRPr="00A24142">
              <w:rPr>
                <w:rFonts w:eastAsia="宋体" w:cs="Times New Roman"/>
                <w:sz w:val="18"/>
                <w:szCs w:val="18"/>
              </w:rPr>
              <w:t>29,541,570.84</w:t>
            </w:r>
          </w:p>
        </w:tc>
        <w:tc>
          <w:tcPr>
            <w:tcW w:w="738" w:type="pct"/>
            <w:vAlign w:val="center"/>
          </w:tcPr>
          <w:p w:rsidR="00A24142" w:rsidRPr="00A71D2E" w:rsidRDefault="00A24142" w:rsidP="00A24142">
            <w:pPr>
              <w:adjustRightInd/>
              <w:ind w:left="-104"/>
              <w:jc w:val="right"/>
              <w:rPr>
                <w:rFonts w:eastAsia="宋体" w:cs="Times New Roman"/>
                <w:sz w:val="18"/>
                <w:szCs w:val="18"/>
              </w:rPr>
            </w:pPr>
            <w:r w:rsidRPr="00A71D2E">
              <w:rPr>
                <w:rFonts w:eastAsia="宋体" w:cs="Times New Roman"/>
                <w:sz w:val="18"/>
                <w:szCs w:val="18"/>
              </w:rPr>
              <w:t>-    </w:t>
            </w:r>
          </w:p>
        </w:tc>
        <w:tc>
          <w:tcPr>
            <w:tcW w:w="740" w:type="pct"/>
            <w:vAlign w:val="center"/>
          </w:tcPr>
          <w:p w:rsidR="00A24142" w:rsidRPr="00A71D2E" w:rsidRDefault="003C369A" w:rsidP="00A24142">
            <w:pPr>
              <w:adjustRightInd/>
              <w:ind w:left="-104"/>
              <w:jc w:val="right"/>
              <w:rPr>
                <w:rFonts w:eastAsia="宋体" w:cs="Times New Roman"/>
                <w:sz w:val="18"/>
                <w:szCs w:val="18"/>
              </w:rPr>
            </w:pPr>
            <w:r w:rsidRPr="00A24142">
              <w:rPr>
                <w:rFonts w:eastAsia="宋体" w:cs="Times New Roman"/>
                <w:sz w:val="18"/>
                <w:szCs w:val="18"/>
              </w:rPr>
              <w:t>29,541,570.84</w:t>
            </w:r>
          </w:p>
        </w:tc>
        <w:tc>
          <w:tcPr>
            <w:tcW w:w="738" w:type="pct"/>
            <w:vAlign w:val="center"/>
          </w:tcPr>
          <w:p w:rsidR="00A24142" w:rsidRPr="00A71D2E" w:rsidRDefault="00A24142" w:rsidP="00A24142">
            <w:pPr>
              <w:adjustRightInd/>
              <w:ind w:left="-104"/>
              <w:jc w:val="right"/>
              <w:rPr>
                <w:rFonts w:eastAsia="宋体" w:cs="Times New Roman"/>
                <w:sz w:val="18"/>
                <w:szCs w:val="18"/>
              </w:rPr>
            </w:pPr>
            <w:r w:rsidRPr="00A24142">
              <w:rPr>
                <w:rFonts w:eastAsia="宋体" w:cs="Times New Roman"/>
                <w:sz w:val="18"/>
                <w:szCs w:val="18"/>
              </w:rPr>
              <w:t>33,731,176.44</w:t>
            </w:r>
          </w:p>
        </w:tc>
        <w:tc>
          <w:tcPr>
            <w:tcW w:w="738" w:type="pct"/>
            <w:vAlign w:val="center"/>
          </w:tcPr>
          <w:p w:rsidR="00A24142" w:rsidRPr="00A71D2E" w:rsidRDefault="00A24142" w:rsidP="00A24142">
            <w:pPr>
              <w:adjustRightInd/>
              <w:ind w:left="-104"/>
              <w:jc w:val="right"/>
              <w:rPr>
                <w:rFonts w:eastAsia="宋体" w:cs="Times New Roman"/>
                <w:color w:val="000000"/>
                <w:sz w:val="18"/>
                <w:szCs w:val="18"/>
              </w:rPr>
            </w:pPr>
            <w:r w:rsidRPr="00A71D2E">
              <w:rPr>
                <w:rFonts w:eastAsia="宋体" w:cs="Times New Roman"/>
                <w:sz w:val="18"/>
                <w:szCs w:val="18"/>
              </w:rPr>
              <w:t>-    </w:t>
            </w:r>
          </w:p>
        </w:tc>
        <w:tc>
          <w:tcPr>
            <w:tcW w:w="740" w:type="pct"/>
            <w:shd w:val="clear" w:color="auto" w:fill="auto"/>
            <w:noWrap/>
            <w:vAlign w:val="center"/>
          </w:tcPr>
          <w:p w:rsidR="00A24142" w:rsidRPr="00A71D2E" w:rsidRDefault="00A24142" w:rsidP="00A24142">
            <w:pPr>
              <w:adjustRightInd/>
              <w:ind w:left="-104"/>
              <w:jc w:val="right"/>
              <w:rPr>
                <w:rFonts w:eastAsia="宋体" w:cs="Times New Roman"/>
                <w:sz w:val="18"/>
                <w:szCs w:val="18"/>
              </w:rPr>
            </w:pPr>
            <w:r w:rsidRPr="00A71D2E">
              <w:rPr>
                <w:rFonts w:eastAsia="宋体" w:cs="Times New Roman"/>
                <w:sz w:val="18"/>
                <w:szCs w:val="18"/>
              </w:rPr>
              <w:t>33,731,176.44</w:t>
            </w:r>
          </w:p>
        </w:tc>
      </w:tr>
      <w:tr w:rsidR="00A24142" w:rsidRPr="00A71D2E" w:rsidTr="0027505B">
        <w:trPr>
          <w:trHeight w:val="20"/>
        </w:trPr>
        <w:tc>
          <w:tcPr>
            <w:tcW w:w="567" w:type="pct"/>
            <w:shd w:val="clear" w:color="auto" w:fill="auto"/>
            <w:noWrap/>
            <w:vAlign w:val="center"/>
          </w:tcPr>
          <w:p w:rsidR="00A24142" w:rsidRPr="00A71D2E" w:rsidRDefault="00A24142" w:rsidP="00A24142">
            <w:pPr>
              <w:adjustRightInd/>
              <w:rPr>
                <w:rFonts w:eastAsia="宋体" w:cs="Times New Roman"/>
                <w:color w:val="000000"/>
                <w:sz w:val="18"/>
                <w:szCs w:val="18"/>
              </w:rPr>
            </w:pPr>
            <w:r w:rsidRPr="00A71D2E">
              <w:rPr>
                <w:rFonts w:eastAsia="宋体" w:cs="Times New Roman" w:hint="eastAsia"/>
                <w:sz w:val="18"/>
                <w:szCs w:val="18"/>
              </w:rPr>
              <w:t>产成品</w:t>
            </w:r>
          </w:p>
        </w:tc>
        <w:tc>
          <w:tcPr>
            <w:tcW w:w="738" w:type="pct"/>
            <w:vAlign w:val="center"/>
          </w:tcPr>
          <w:p w:rsidR="00A24142" w:rsidRPr="00A71D2E" w:rsidRDefault="00A24142" w:rsidP="00A24142">
            <w:pPr>
              <w:adjustRightInd/>
              <w:ind w:left="-104"/>
              <w:jc w:val="right"/>
              <w:rPr>
                <w:rFonts w:eastAsia="宋体" w:cs="Times New Roman"/>
                <w:sz w:val="18"/>
                <w:szCs w:val="18"/>
              </w:rPr>
            </w:pPr>
            <w:r w:rsidRPr="00A24142">
              <w:rPr>
                <w:rFonts w:eastAsia="宋体" w:cs="Times New Roman"/>
                <w:sz w:val="18"/>
                <w:szCs w:val="18"/>
              </w:rPr>
              <w:t>525,076,698.08</w:t>
            </w:r>
          </w:p>
        </w:tc>
        <w:tc>
          <w:tcPr>
            <w:tcW w:w="738" w:type="pct"/>
            <w:vAlign w:val="center"/>
          </w:tcPr>
          <w:p w:rsidR="00A24142" w:rsidRPr="00A71D2E" w:rsidRDefault="003C369A" w:rsidP="00A24142">
            <w:pPr>
              <w:adjustRightInd/>
              <w:ind w:left="-104"/>
              <w:jc w:val="right"/>
              <w:rPr>
                <w:rFonts w:eastAsia="宋体" w:cs="Times New Roman"/>
                <w:sz w:val="18"/>
                <w:szCs w:val="18"/>
              </w:rPr>
            </w:pPr>
            <w:r w:rsidRPr="003C369A">
              <w:rPr>
                <w:rFonts w:eastAsia="宋体" w:cs="Times New Roman"/>
                <w:sz w:val="18"/>
                <w:szCs w:val="18"/>
              </w:rPr>
              <w:t>17,341,201.75</w:t>
            </w:r>
          </w:p>
        </w:tc>
        <w:tc>
          <w:tcPr>
            <w:tcW w:w="740" w:type="pct"/>
            <w:vAlign w:val="center"/>
          </w:tcPr>
          <w:p w:rsidR="00A24142" w:rsidRPr="00A71D2E" w:rsidRDefault="003C369A" w:rsidP="00A24142">
            <w:pPr>
              <w:adjustRightInd/>
              <w:ind w:left="-104"/>
              <w:jc w:val="right"/>
              <w:rPr>
                <w:rFonts w:eastAsia="宋体" w:cs="Times New Roman"/>
                <w:sz w:val="18"/>
                <w:szCs w:val="18"/>
              </w:rPr>
            </w:pPr>
            <w:r w:rsidRPr="003C369A">
              <w:rPr>
                <w:rFonts w:eastAsia="宋体" w:cs="Times New Roman"/>
                <w:sz w:val="18"/>
                <w:szCs w:val="18"/>
              </w:rPr>
              <w:t>507,735,496.33</w:t>
            </w:r>
          </w:p>
        </w:tc>
        <w:tc>
          <w:tcPr>
            <w:tcW w:w="738" w:type="pct"/>
            <w:vAlign w:val="center"/>
          </w:tcPr>
          <w:p w:rsidR="00A24142" w:rsidRPr="00A71D2E" w:rsidRDefault="00A24142" w:rsidP="00A24142">
            <w:pPr>
              <w:adjustRightInd/>
              <w:ind w:left="-104"/>
              <w:jc w:val="right"/>
              <w:rPr>
                <w:rFonts w:eastAsia="宋体" w:cs="Times New Roman"/>
                <w:sz w:val="18"/>
                <w:szCs w:val="18"/>
              </w:rPr>
            </w:pPr>
            <w:r w:rsidRPr="00A24142">
              <w:rPr>
                <w:rFonts w:eastAsia="宋体" w:cs="Times New Roman"/>
                <w:sz w:val="18"/>
                <w:szCs w:val="18"/>
              </w:rPr>
              <w:t>437,950,967.72</w:t>
            </w:r>
          </w:p>
        </w:tc>
        <w:tc>
          <w:tcPr>
            <w:tcW w:w="738" w:type="pct"/>
            <w:vAlign w:val="center"/>
          </w:tcPr>
          <w:p w:rsidR="00A24142" w:rsidRPr="00A71D2E" w:rsidRDefault="00A24142" w:rsidP="00A24142">
            <w:pPr>
              <w:adjustRightInd/>
              <w:ind w:left="-104"/>
              <w:jc w:val="right"/>
              <w:rPr>
                <w:rFonts w:eastAsia="宋体" w:cs="Times New Roman"/>
                <w:color w:val="000000"/>
                <w:sz w:val="18"/>
                <w:szCs w:val="18"/>
              </w:rPr>
            </w:pPr>
            <w:r w:rsidRPr="00A71D2E">
              <w:rPr>
                <w:rFonts w:eastAsia="宋体" w:cs="Times New Roman"/>
                <w:sz w:val="18"/>
                <w:szCs w:val="18"/>
              </w:rPr>
              <w:t>20,558,590.62</w:t>
            </w:r>
          </w:p>
        </w:tc>
        <w:tc>
          <w:tcPr>
            <w:tcW w:w="740" w:type="pct"/>
            <w:shd w:val="clear" w:color="auto" w:fill="auto"/>
            <w:noWrap/>
            <w:vAlign w:val="center"/>
          </w:tcPr>
          <w:p w:rsidR="00A24142" w:rsidRPr="00A71D2E" w:rsidRDefault="003C369A" w:rsidP="00A24142">
            <w:pPr>
              <w:adjustRightInd/>
              <w:ind w:left="-104"/>
              <w:jc w:val="right"/>
              <w:rPr>
                <w:rFonts w:eastAsia="宋体" w:cs="Times New Roman"/>
                <w:color w:val="000000"/>
                <w:sz w:val="18"/>
                <w:szCs w:val="18"/>
              </w:rPr>
            </w:pPr>
            <w:r w:rsidRPr="003C369A">
              <w:rPr>
                <w:rFonts w:eastAsia="宋体" w:cs="Times New Roman"/>
                <w:sz w:val="18"/>
                <w:szCs w:val="18"/>
              </w:rPr>
              <w:t>417,392,377.10</w:t>
            </w:r>
          </w:p>
        </w:tc>
      </w:tr>
      <w:tr w:rsidR="00A24142" w:rsidRPr="00A71D2E" w:rsidTr="0027505B">
        <w:trPr>
          <w:trHeight w:val="20"/>
        </w:trPr>
        <w:tc>
          <w:tcPr>
            <w:tcW w:w="567" w:type="pct"/>
            <w:shd w:val="clear" w:color="auto" w:fill="D9D9D9" w:themeFill="background1" w:themeFillShade="D9"/>
            <w:noWrap/>
            <w:vAlign w:val="center"/>
          </w:tcPr>
          <w:p w:rsidR="00A24142" w:rsidRPr="00A71D2E" w:rsidRDefault="00A24142" w:rsidP="00A24142">
            <w:pPr>
              <w:adjustRightInd/>
              <w:rPr>
                <w:rFonts w:eastAsia="宋体" w:cs="Times New Roman"/>
                <w:color w:val="000000"/>
                <w:sz w:val="18"/>
                <w:szCs w:val="18"/>
              </w:rPr>
            </w:pPr>
            <w:r w:rsidRPr="00A71D2E">
              <w:rPr>
                <w:rFonts w:eastAsia="宋体" w:cs="Times New Roman" w:hint="eastAsia"/>
                <w:sz w:val="18"/>
                <w:szCs w:val="18"/>
              </w:rPr>
              <w:t>合计</w:t>
            </w:r>
          </w:p>
        </w:tc>
        <w:tc>
          <w:tcPr>
            <w:tcW w:w="738" w:type="pct"/>
            <w:vAlign w:val="center"/>
          </w:tcPr>
          <w:p w:rsidR="00A24142" w:rsidRPr="00A71D2E" w:rsidRDefault="00A24142" w:rsidP="00A24142">
            <w:pPr>
              <w:adjustRightInd/>
              <w:ind w:left="-104"/>
              <w:jc w:val="right"/>
              <w:rPr>
                <w:rFonts w:eastAsia="宋体" w:cs="Times New Roman"/>
                <w:sz w:val="18"/>
                <w:szCs w:val="18"/>
              </w:rPr>
            </w:pPr>
            <w:r w:rsidRPr="00A24142">
              <w:rPr>
                <w:rFonts w:eastAsia="宋体" w:cs="Times New Roman"/>
                <w:sz w:val="18"/>
                <w:szCs w:val="18"/>
              </w:rPr>
              <w:t>718,872,504.93</w:t>
            </w:r>
          </w:p>
        </w:tc>
        <w:tc>
          <w:tcPr>
            <w:tcW w:w="738" w:type="pct"/>
            <w:vAlign w:val="center"/>
          </w:tcPr>
          <w:p w:rsidR="00A24142" w:rsidRPr="00A71D2E" w:rsidRDefault="003C369A" w:rsidP="00A24142">
            <w:pPr>
              <w:adjustRightInd/>
              <w:ind w:left="-104"/>
              <w:jc w:val="right"/>
              <w:rPr>
                <w:rFonts w:eastAsia="宋体" w:cs="Times New Roman"/>
                <w:sz w:val="18"/>
                <w:szCs w:val="18"/>
              </w:rPr>
            </w:pPr>
            <w:r w:rsidRPr="003C369A">
              <w:rPr>
                <w:rFonts w:eastAsia="宋体" w:cs="Times New Roman"/>
                <w:sz w:val="18"/>
                <w:szCs w:val="18"/>
              </w:rPr>
              <w:t>24,102,410.56</w:t>
            </w:r>
          </w:p>
        </w:tc>
        <w:tc>
          <w:tcPr>
            <w:tcW w:w="740" w:type="pct"/>
            <w:vAlign w:val="center"/>
          </w:tcPr>
          <w:p w:rsidR="00A24142" w:rsidRPr="00A71D2E" w:rsidRDefault="003C369A" w:rsidP="00A24142">
            <w:pPr>
              <w:adjustRightInd/>
              <w:ind w:left="-104"/>
              <w:jc w:val="right"/>
              <w:rPr>
                <w:rFonts w:eastAsia="宋体" w:cs="Times New Roman"/>
                <w:sz w:val="18"/>
                <w:szCs w:val="18"/>
              </w:rPr>
            </w:pPr>
            <w:r w:rsidRPr="003C369A">
              <w:rPr>
                <w:rFonts w:eastAsia="宋体" w:cs="Times New Roman"/>
                <w:sz w:val="18"/>
                <w:szCs w:val="18"/>
              </w:rPr>
              <w:t>694,770,094.37</w:t>
            </w:r>
          </w:p>
        </w:tc>
        <w:tc>
          <w:tcPr>
            <w:tcW w:w="738" w:type="pct"/>
            <w:vAlign w:val="center"/>
          </w:tcPr>
          <w:p w:rsidR="00A24142" w:rsidRPr="00A71D2E" w:rsidRDefault="00A24142" w:rsidP="00A24142">
            <w:pPr>
              <w:adjustRightInd/>
              <w:ind w:left="-104"/>
              <w:jc w:val="right"/>
              <w:rPr>
                <w:rFonts w:eastAsia="宋体" w:cs="Times New Roman"/>
                <w:sz w:val="18"/>
                <w:szCs w:val="18"/>
              </w:rPr>
            </w:pPr>
            <w:r w:rsidRPr="00A71D2E">
              <w:rPr>
                <w:rFonts w:eastAsia="宋体" w:cs="Times New Roman"/>
                <w:sz w:val="18"/>
                <w:szCs w:val="18"/>
              </w:rPr>
              <w:t>622,303,409.64</w:t>
            </w:r>
          </w:p>
        </w:tc>
        <w:tc>
          <w:tcPr>
            <w:tcW w:w="738" w:type="pct"/>
            <w:vAlign w:val="center"/>
          </w:tcPr>
          <w:p w:rsidR="00A24142" w:rsidRPr="00A71D2E" w:rsidRDefault="00A24142" w:rsidP="00A24142">
            <w:pPr>
              <w:adjustRightInd/>
              <w:ind w:left="-104"/>
              <w:jc w:val="right"/>
              <w:rPr>
                <w:rFonts w:eastAsia="宋体" w:cs="Times New Roman"/>
                <w:color w:val="000000"/>
                <w:sz w:val="18"/>
                <w:szCs w:val="18"/>
              </w:rPr>
            </w:pPr>
            <w:r w:rsidRPr="00A71D2E">
              <w:rPr>
                <w:rFonts w:eastAsia="宋体" w:cs="Times New Roman"/>
                <w:sz w:val="18"/>
                <w:szCs w:val="18"/>
              </w:rPr>
              <w:t>31,956,732.63</w:t>
            </w:r>
          </w:p>
        </w:tc>
        <w:tc>
          <w:tcPr>
            <w:tcW w:w="740" w:type="pct"/>
            <w:shd w:val="clear" w:color="auto" w:fill="auto"/>
            <w:noWrap/>
            <w:vAlign w:val="center"/>
          </w:tcPr>
          <w:p w:rsidR="00A24142" w:rsidRPr="00A71D2E" w:rsidRDefault="00A24142" w:rsidP="00A24142">
            <w:pPr>
              <w:adjustRightInd/>
              <w:ind w:left="-104"/>
              <w:jc w:val="right"/>
              <w:rPr>
                <w:rFonts w:eastAsia="宋体" w:cs="Times New Roman"/>
                <w:color w:val="000000"/>
                <w:sz w:val="18"/>
                <w:szCs w:val="18"/>
              </w:rPr>
            </w:pPr>
            <w:r w:rsidRPr="00A71D2E">
              <w:rPr>
                <w:rFonts w:eastAsia="宋体" w:cs="Times New Roman"/>
                <w:sz w:val="18"/>
                <w:szCs w:val="18"/>
              </w:rPr>
              <w:t>590,346,677.01</w:t>
            </w:r>
          </w:p>
        </w:tc>
      </w:tr>
    </w:tbl>
    <w:p w:rsidR="00B019C6" w:rsidRDefault="00B019C6" w:rsidP="00F66363">
      <w:pPr>
        <w:ind w:left="720"/>
        <w:jc w:val="both"/>
        <w:rPr>
          <w:rFonts w:eastAsia="宋体" w:cs="Times New Roman"/>
          <w:szCs w:val="18"/>
        </w:rPr>
      </w:pPr>
    </w:p>
    <w:p w:rsidR="00B019C6" w:rsidRDefault="00B019C6">
      <w:pPr>
        <w:adjustRightInd/>
        <w:snapToGrid/>
        <w:rPr>
          <w:rFonts w:eastAsia="宋体" w:cs="Times New Roman"/>
          <w:szCs w:val="18"/>
        </w:rPr>
      </w:pPr>
      <w:r>
        <w:rPr>
          <w:rFonts w:eastAsia="宋体" w:cs="Times New Roman"/>
          <w:szCs w:val="18"/>
        </w:rPr>
        <w:br w:type="page"/>
      </w:r>
    </w:p>
    <w:p w:rsidR="00B019C6" w:rsidRPr="00A71D2E" w:rsidRDefault="005F14EE" w:rsidP="00B019C6">
      <w:pPr>
        <w:rPr>
          <w:rFonts w:eastAsia="宋体" w:cs="Times New Roman"/>
          <w:szCs w:val="21"/>
        </w:rPr>
      </w:pPr>
      <w:r>
        <w:rPr>
          <w:rFonts w:eastAsia="宋体" w:cs="Times New Roman"/>
          <w:b/>
          <w:szCs w:val="21"/>
        </w:rPr>
        <w:t>(</w:t>
      </w:r>
      <w:r w:rsidR="00B019C6" w:rsidRPr="00A71D2E">
        <w:rPr>
          <w:rFonts w:eastAsia="宋体" w:cs="Times New Roman" w:hint="eastAsia"/>
          <w:b/>
          <w:szCs w:val="21"/>
        </w:rPr>
        <w:t>五</w:t>
      </w:r>
      <w:r>
        <w:rPr>
          <w:rFonts w:eastAsia="宋体" w:cs="Times New Roman"/>
          <w:b/>
          <w:szCs w:val="21"/>
        </w:rPr>
        <w:t>)</w:t>
      </w:r>
      <w:r w:rsidR="00B019C6" w:rsidRPr="00A71D2E">
        <w:rPr>
          <w:rFonts w:eastAsia="宋体" w:cs="Times New Roman"/>
          <w:b/>
          <w:szCs w:val="21"/>
        </w:rPr>
        <w:tab/>
      </w:r>
      <w:r w:rsidR="00B019C6" w:rsidRPr="00A71D2E">
        <w:rPr>
          <w:rFonts w:eastAsia="宋体" w:cs="Times New Roman" w:hint="eastAsia"/>
          <w:b/>
          <w:szCs w:val="21"/>
        </w:rPr>
        <w:t>合并财务报表项目注释</w:t>
      </w:r>
      <w:r w:rsidR="00B019C6" w:rsidRPr="00A71D2E">
        <w:rPr>
          <w:rFonts w:eastAsia="宋体" w:cs="Times New Roman"/>
          <w:szCs w:val="21"/>
        </w:rPr>
        <w:t xml:space="preserve"> - </w:t>
      </w:r>
      <w:r w:rsidR="00B019C6" w:rsidRPr="00A71D2E">
        <w:rPr>
          <w:rFonts w:eastAsia="宋体" w:cs="Times New Roman" w:hint="eastAsia"/>
          <w:szCs w:val="21"/>
        </w:rPr>
        <w:t>续</w:t>
      </w:r>
    </w:p>
    <w:p w:rsidR="00B019C6" w:rsidRPr="00341A10" w:rsidRDefault="00B019C6" w:rsidP="00B019C6">
      <w:pPr>
        <w:tabs>
          <w:tab w:val="left" w:pos="709"/>
        </w:tabs>
        <w:ind w:left="720"/>
        <w:rPr>
          <w:rFonts w:eastAsia="宋体" w:cs="Times New Roman"/>
          <w:bCs/>
          <w:szCs w:val="21"/>
        </w:rPr>
      </w:pPr>
    </w:p>
    <w:p w:rsidR="00B019C6" w:rsidRDefault="00B019C6" w:rsidP="00B019C6">
      <w:pPr>
        <w:tabs>
          <w:tab w:val="left" w:pos="709"/>
        </w:tabs>
        <w:ind w:left="720"/>
        <w:rPr>
          <w:rFonts w:eastAsia="宋体" w:cs="Times New Roman"/>
          <w:bCs/>
          <w:szCs w:val="21"/>
        </w:rPr>
      </w:pPr>
      <w:r w:rsidRPr="00FE2C30">
        <w:rPr>
          <w:rFonts w:eastAsia="宋体" w:cs="Times New Roman"/>
          <w:b/>
          <w:szCs w:val="21"/>
        </w:rPr>
        <w:t>7</w:t>
      </w:r>
      <w:r w:rsidRPr="00FE2C30">
        <w:rPr>
          <w:rFonts w:eastAsia="宋体" w:cs="Times New Roman" w:hint="eastAsia"/>
          <w:b/>
          <w:szCs w:val="21"/>
        </w:rPr>
        <w:t>、</w:t>
      </w:r>
      <w:r w:rsidRPr="00FE2C30">
        <w:rPr>
          <w:rFonts w:eastAsia="宋体" w:cs="Times New Roman"/>
          <w:b/>
          <w:szCs w:val="21"/>
        </w:rPr>
        <w:tab/>
      </w:r>
      <w:r w:rsidRPr="00FE2C30">
        <w:rPr>
          <w:rFonts w:eastAsia="宋体" w:cs="Times New Roman" w:hint="eastAsia"/>
          <w:b/>
          <w:szCs w:val="21"/>
        </w:rPr>
        <w:t>存货</w:t>
      </w:r>
      <w:r>
        <w:rPr>
          <w:rFonts w:eastAsia="宋体" w:cs="Times New Roman" w:hint="eastAsia"/>
          <w:bCs/>
          <w:szCs w:val="21"/>
        </w:rPr>
        <w:t xml:space="preserve"> </w:t>
      </w:r>
      <w:r w:rsidRPr="00A71D2E">
        <w:rPr>
          <w:rFonts w:eastAsia="宋体" w:cs="Times New Roman"/>
          <w:szCs w:val="21"/>
        </w:rPr>
        <w:t xml:space="preserve">- </w:t>
      </w:r>
      <w:r w:rsidRPr="00A71D2E">
        <w:rPr>
          <w:rFonts w:eastAsia="宋体" w:cs="Times New Roman" w:hint="eastAsia"/>
          <w:szCs w:val="21"/>
        </w:rPr>
        <w:t>续</w:t>
      </w:r>
    </w:p>
    <w:p w:rsidR="00F60FE4" w:rsidRDefault="00F60FE4" w:rsidP="00F66363">
      <w:pPr>
        <w:ind w:left="720"/>
        <w:jc w:val="both"/>
        <w:rPr>
          <w:rFonts w:eastAsia="宋体" w:cs="Times New Roman"/>
          <w:szCs w:val="18"/>
        </w:rPr>
      </w:pPr>
    </w:p>
    <w:p w:rsidR="007D47F9" w:rsidRPr="00A71D2E" w:rsidRDefault="007D47F9">
      <w:pPr>
        <w:pStyle w:val="aff1"/>
        <w:numPr>
          <w:ilvl w:val="0"/>
          <w:numId w:val="2"/>
        </w:numPr>
        <w:ind w:left="1440" w:firstLineChars="0" w:hanging="720"/>
        <w:rPr>
          <w:szCs w:val="21"/>
        </w:rPr>
      </w:pPr>
      <w:r w:rsidRPr="00A71D2E">
        <w:rPr>
          <w:rFonts w:hint="eastAsia"/>
          <w:szCs w:val="21"/>
        </w:rPr>
        <w:t>存货跌价准备</w:t>
      </w:r>
    </w:p>
    <w:p w:rsidR="00540F53" w:rsidRPr="00A71D2E" w:rsidRDefault="00540F53">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80"/>
        <w:gridCol w:w="1674"/>
        <w:gridCol w:w="1675"/>
        <w:gridCol w:w="1675"/>
        <w:gridCol w:w="1675"/>
        <w:gridCol w:w="1675"/>
      </w:tblGrid>
      <w:tr w:rsidR="00540F53" w:rsidRPr="00A71D2E" w:rsidTr="0027505B">
        <w:trPr>
          <w:trHeight w:val="20"/>
        </w:trPr>
        <w:tc>
          <w:tcPr>
            <w:tcW w:w="1080" w:type="dxa"/>
            <w:shd w:val="clear" w:color="auto" w:fill="D9D9D9" w:themeFill="background1" w:themeFillShade="D9"/>
            <w:tcMar>
              <w:top w:w="0" w:type="dxa"/>
              <w:left w:w="108" w:type="dxa"/>
              <w:bottom w:w="0" w:type="dxa"/>
              <w:right w:w="108" w:type="dxa"/>
            </w:tcMar>
            <w:vAlign w:val="center"/>
            <w:hideMark/>
          </w:tcPr>
          <w:p w:rsidR="00540F53" w:rsidRPr="00A71D2E" w:rsidRDefault="00540F53">
            <w:pPr>
              <w:jc w:val="center"/>
              <w:rPr>
                <w:rFonts w:eastAsia="宋体" w:cs="Times New Roman"/>
                <w:sz w:val="18"/>
                <w:szCs w:val="18"/>
              </w:rPr>
            </w:pPr>
            <w:r w:rsidRPr="00A71D2E">
              <w:rPr>
                <w:rFonts w:eastAsia="宋体" w:cs="Times New Roman" w:hint="eastAsia"/>
                <w:sz w:val="18"/>
                <w:szCs w:val="18"/>
              </w:rPr>
              <w:t>项目</w:t>
            </w:r>
          </w:p>
        </w:tc>
        <w:tc>
          <w:tcPr>
            <w:tcW w:w="1674" w:type="dxa"/>
            <w:shd w:val="clear" w:color="auto" w:fill="D9D9D9" w:themeFill="background1" w:themeFillShade="D9"/>
            <w:tcMar>
              <w:top w:w="0" w:type="dxa"/>
              <w:left w:w="108" w:type="dxa"/>
              <w:bottom w:w="0" w:type="dxa"/>
              <w:right w:w="108" w:type="dxa"/>
            </w:tcMar>
            <w:vAlign w:val="center"/>
            <w:hideMark/>
          </w:tcPr>
          <w:p w:rsidR="00540F53" w:rsidRPr="00A71D2E" w:rsidRDefault="00351DA5">
            <w:pPr>
              <w:jc w:val="center"/>
              <w:rPr>
                <w:rFonts w:eastAsia="宋体" w:cs="Times New Roman"/>
                <w:sz w:val="18"/>
                <w:szCs w:val="18"/>
              </w:rPr>
            </w:pPr>
            <w:r w:rsidRPr="00A71D2E">
              <w:rPr>
                <w:rFonts w:eastAsia="宋体" w:cs="Times New Roman" w:hint="eastAsia"/>
                <w:sz w:val="18"/>
                <w:szCs w:val="18"/>
              </w:rPr>
              <w:t>年初余额</w:t>
            </w:r>
          </w:p>
        </w:tc>
        <w:tc>
          <w:tcPr>
            <w:tcW w:w="1675" w:type="dxa"/>
            <w:shd w:val="clear" w:color="auto" w:fill="D9D9D9" w:themeFill="background1" w:themeFillShade="D9"/>
            <w:tcMar>
              <w:top w:w="0" w:type="dxa"/>
              <w:left w:w="108" w:type="dxa"/>
              <w:bottom w:w="0" w:type="dxa"/>
              <w:right w:w="108" w:type="dxa"/>
            </w:tcMar>
            <w:vAlign w:val="center"/>
            <w:hideMark/>
          </w:tcPr>
          <w:p w:rsidR="00540F53" w:rsidRPr="00A71D2E" w:rsidRDefault="00351DA5">
            <w:pPr>
              <w:jc w:val="center"/>
              <w:rPr>
                <w:rFonts w:eastAsia="宋体" w:cs="Times New Roman"/>
                <w:sz w:val="18"/>
                <w:szCs w:val="18"/>
              </w:rPr>
            </w:pPr>
            <w:r w:rsidRPr="00A71D2E">
              <w:rPr>
                <w:rFonts w:eastAsia="宋体" w:cs="Times New Roman" w:hint="eastAsia"/>
                <w:sz w:val="18"/>
                <w:szCs w:val="18"/>
              </w:rPr>
              <w:t>本年</w:t>
            </w:r>
            <w:r w:rsidR="00540F53" w:rsidRPr="00A71D2E">
              <w:rPr>
                <w:rFonts w:eastAsia="宋体" w:cs="Times New Roman" w:hint="eastAsia"/>
                <w:sz w:val="18"/>
                <w:szCs w:val="18"/>
              </w:rPr>
              <w:t>计提金额</w:t>
            </w:r>
          </w:p>
        </w:tc>
        <w:tc>
          <w:tcPr>
            <w:tcW w:w="1675" w:type="dxa"/>
            <w:shd w:val="clear" w:color="auto" w:fill="D9D9D9" w:themeFill="background1" w:themeFillShade="D9"/>
            <w:tcMar>
              <w:top w:w="0" w:type="dxa"/>
              <w:left w:w="108" w:type="dxa"/>
              <w:bottom w:w="0" w:type="dxa"/>
              <w:right w:w="108" w:type="dxa"/>
            </w:tcMar>
            <w:vAlign w:val="center"/>
            <w:hideMark/>
          </w:tcPr>
          <w:p w:rsidR="00540F53" w:rsidRPr="00A71D2E" w:rsidRDefault="00351DA5">
            <w:pPr>
              <w:jc w:val="center"/>
              <w:rPr>
                <w:rFonts w:eastAsia="宋体" w:cs="Times New Roman"/>
                <w:sz w:val="18"/>
                <w:szCs w:val="18"/>
              </w:rPr>
            </w:pPr>
            <w:r w:rsidRPr="00A71D2E">
              <w:rPr>
                <w:rFonts w:eastAsia="宋体" w:cs="Times New Roman" w:hint="eastAsia"/>
                <w:sz w:val="18"/>
                <w:szCs w:val="18"/>
              </w:rPr>
              <w:t>本年</w:t>
            </w:r>
            <w:r w:rsidR="00540F53" w:rsidRPr="00A71D2E">
              <w:rPr>
                <w:rFonts w:eastAsia="宋体" w:cs="Times New Roman" w:hint="eastAsia"/>
                <w:sz w:val="18"/>
                <w:szCs w:val="18"/>
              </w:rPr>
              <w:t>转销金额</w:t>
            </w:r>
          </w:p>
        </w:tc>
        <w:tc>
          <w:tcPr>
            <w:tcW w:w="1675" w:type="dxa"/>
            <w:shd w:val="clear" w:color="auto" w:fill="D9D9D9" w:themeFill="background1" w:themeFillShade="D9"/>
            <w:tcMar>
              <w:top w:w="0" w:type="dxa"/>
              <w:left w:w="108" w:type="dxa"/>
              <w:bottom w:w="0" w:type="dxa"/>
              <w:right w:w="108" w:type="dxa"/>
            </w:tcMar>
            <w:vAlign w:val="center"/>
            <w:hideMark/>
          </w:tcPr>
          <w:p w:rsidR="00540F53" w:rsidRPr="00A71D2E" w:rsidRDefault="00540F53">
            <w:pPr>
              <w:jc w:val="center"/>
              <w:rPr>
                <w:rFonts w:eastAsia="宋体" w:cs="Times New Roman"/>
                <w:sz w:val="18"/>
                <w:szCs w:val="18"/>
              </w:rPr>
            </w:pPr>
            <w:r w:rsidRPr="00A71D2E">
              <w:rPr>
                <w:rFonts w:eastAsia="宋体" w:cs="Times New Roman" w:hint="eastAsia"/>
                <w:sz w:val="18"/>
                <w:szCs w:val="18"/>
              </w:rPr>
              <w:t>外币折算差额</w:t>
            </w:r>
          </w:p>
        </w:tc>
        <w:tc>
          <w:tcPr>
            <w:tcW w:w="1675" w:type="dxa"/>
            <w:shd w:val="clear" w:color="auto" w:fill="D9D9D9" w:themeFill="background1" w:themeFillShade="D9"/>
            <w:tcMar>
              <w:top w:w="0" w:type="dxa"/>
              <w:left w:w="108" w:type="dxa"/>
              <w:bottom w:w="0" w:type="dxa"/>
              <w:right w:w="108" w:type="dxa"/>
            </w:tcMar>
            <w:vAlign w:val="center"/>
            <w:hideMark/>
          </w:tcPr>
          <w:p w:rsidR="00540F53" w:rsidRPr="00A71D2E" w:rsidRDefault="00351DA5">
            <w:pPr>
              <w:ind w:left="-104" w:right="-101"/>
              <w:jc w:val="center"/>
              <w:rPr>
                <w:rFonts w:eastAsia="宋体" w:cs="Times New Roman"/>
                <w:sz w:val="18"/>
                <w:szCs w:val="18"/>
              </w:rPr>
            </w:pPr>
            <w:r w:rsidRPr="00A71D2E">
              <w:rPr>
                <w:rFonts w:eastAsia="宋体" w:cs="Times New Roman" w:hint="eastAsia"/>
                <w:sz w:val="18"/>
                <w:szCs w:val="18"/>
              </w:rPr>
              <w:t>年末余额</w:t>
            </w:r>
          </w:p>
        </w:tc>
      </w:tr>
      <w:tr w:rsidR="007F5FC4" w:rsidRPr="00A71D2E" w:rsidTr="0027505B">
        <w:trPr>
          <w:trHeight w:val="20"/>
        </w:trPr>
        <w:tc>
          <w:tcPr>
            <w:tcW w:w="1080" w:type="dxa"/>
            <w:shd w:val="clear" w:color="auto" w:fill="FFFFFF" w:themeFill="background1"/>
            <w:tcMar>
              <w:top w:w="0" w:type="dxa"/>
              <w:left w:w="108" w:type="dxa"/>
              <w:bottom w:w="0" w:type="dxa"/>
              <w:right w:w="108" w:type="dxa"/>
            </w:tcMar>
            <w:vAlign w:val="center"/>
          </w:tcPr>
          <w:p w:rsidR="007F5FC4" w:rsidRPr="00A71D2E" w:rsidRDefault="007F5FC4" w:rsidP="007F5FC4">
            <w:pPr>
              <w:rPr>
                <w:rFonts w:eastAsia="宋体" w:cs="Times New Roman"/>
                <w:sz w:val="18"/>
                <w:szCs w:val="18"/>
              </w:rPr>
            </w:pPr>
            <w:r w:rsidRPr="00A71D2E">
              <w:rPr>
                <w:rFonts w:eastAsia="宋体" w:cs="Times New Roman" w:hint="eastAsia"/>
                <w:sz w:val="18"/>
                <w:szCs w:val="18"/>
              </w:rPr>
              <w:t>原材料</w:t>
            </w:r>
          </w:p>
        </w:tc>
        <w:tc>
          <w:tcPr>
            <w:tcW w:w="1674" w:type="dxa"/>
            <w:tcMar>
              <w:top w:w="0" w:type="dxa"/>
              <w:left w:w="108" w:type="dxa"/>
              <w:bottom w:w="0" w:type="dxa"/>
              <w:right w:w="108" w:type="dxa"/>
            </w:tcMar>
            <w:vAlign w:val="center"/>
          </w:tcPr>
          <w:p w:rsidR="007F5FC4" w:rsidRPr="00A71D2E" w:rsidRDefault="007F5FC4" w:rsidP="007F5FC4">
            <w:pPr>
              <w:jc w:val="right"/>
              <w:rPr>
                <w:rFonts w:eastAsia="宋体" w:cs="Times New Roman"/>
                <w:sz w:val="18"/>
                <w:szCs w:val="18"/>
                <w:highlight w:val="yellow"/>
              </w:rPr>
            </w:pPr>
            <w:r w:rsidRPr="00A71D2E">
              <w:rPr>
                <w:rFonts w:eastAsia="宋体" w:cs="Times New Roman"/>
                <w:sz w:val="18"/>
                <w:szCs w:val="18"/>
              </w:rPr>
              <w:t>11,398,142.01</w:t>
            </w:r>
          </w:p>
        </w:tc>
        <w:tc>
          <w:tcPr>
            <w:tcW w:w="1675" w:type="dxa"/>
            <w:tcMar>
              <w:top w:w="0" w:type="dxa"/>
              <w:left w:w="108" w:type="dxa"/>
              <w:bottom w:w="0" w:type="dxa"/>
              <w:right w:w="108" w:type="dxa"/>
            </w:tcMar>
            <w:vAlign w:val="center"/>
          </w:tcPr>
          <w:p w:rsidR="007F5FC4" w:rsidRPr="003C369A" w:rsidRDefault="00537ED4" w:rsidP="0014300C">
            <w:pPr>
              <w:pStyle w:val="aff1"/>
              <w:wordWrap w:val="0"/>
              <w:ind w:left="360" w:firstLineChars="0" w:firstLine="0"/>
              <w:jc w:val="right"/>
              <w:rPr>
                <w:sz w:val="18"/>
                <w:szCs w:val="18"/>
              </w:rPr>
            </w:pPr>
            <w:r>
              <w:rPr>
                <w:rFonts w:hint="eastAsia"/>
                <w:sz w:val="18"/>
                <w:szCs w:val="18"/>
              </w:rPr>
              <w:t>-</w:t>
            </w:r>
            <w:r>
              <w:rPr>
                <w:sz w:val="18"/>
                <w:szCs w:val="18"/>
              </w:rPr>
              <w:t>    </w:t>
            </w:r>
          </w:p>
        </w:tc>
        <w:tc>
          <w:tcPr>
            <w:tcW w:w="1675" w:type="dxa"/>
            <w:tcMar>
              <w:top w:w="0" w:type="dxa"/>
              <w:left w:w="108" w:type="dxa"/>
              <w:bottom w:w="0" w:type="dxa"/>
              <w:right w:w="108" w:type="dxa"/>
            </w:tcMar>
            <w:vAlign w:val="center"/>
          </w:tcPr>
          <w:p w:rsidR="007F5FC4" w:rsidRPr="00A71D2E" w:rsidRDefault="003C369A" w:rsidP="007F5FC4">
            <w:pPr>
              <w:jc w:val="right"/>
              <w:rPr>
                <w:rFonts w:eastAsia="宋体" w:cs="Times New Roman"/>
                <w:sz w:val="18"/>
                <w:szCs w:val="18"/>
                <w:highlight w:val="yellow"/>
              </w:rPr>
            </w:pPr>
            <w:r w:rsidRPr="003C369A">
              <w:rPr>
                <w:rFonts w:eastAsia="宋体" w:cs="Times New Roman"/>
                <w:sz w:val="18"/>
                <w:szCs w:val="18"/>
              </w:rPr>
              <w:t>4,636,933.20</w:t>
            </w:r>
          </w:p>
        </w:tc>
        <w:tc>
          <w:tcPr>
            <w:tcW w:w="1675" w:type="dxa"/>
            <w:tcMar>
              <w:top w:w="0" w:type="dxa"/>
              <w:left w:w="108" w:type="dxa"/>
              <w:bottom w:w="0" w:type="dxa"/>
              <w:right w:w="108" w:type="dxa"/>
            </w:tcMar>
            <w:vAlign w:val="center"/>
          </w:tcPr>
          <w:p w:rsidR="007F5FC4" w:rsidRPr="003C369A" w:rsidRDefault="00537ED4" w:rsidP="0014300C">
            <w:pPr>
              <w:pStyle w:val="aff1"/>
              <w:wordWrap w:val="0"/>
              <w:ind w:left="360" w:firstLineChars="0" w:firstLine="0"/>
              <w:jc w:val="right"/>
              <w:rPr>
                <w:sz w:val="18"/>
                <w:szCs w:val="18"/>
              </w:rPr>
            </w:pPr>
            <w:r>
              <w:rPr>
                <w:rFonts w:hint="eastAsia"/>
                <w:sz w:val="18"/>
                <w:szCs w:val="18"/>
              </w:rPr>
              <w:t>-</w:t>
            </w:r>
            <w:r>
              <w:rPr>
                <w:sz w:val="18"/>
                <w:szCs w:val="18"/>
              </w:rPr>
              <w:t>    </w:t>
            </w:r>
          </w:p>
        </w:tc>
        <w:tc>
          <w:tcPr>
            <w:tcW w:w="1675" w:type="dxa"/>
            <w:tcMar>
              <w:top w:w="0" w:type="dxa"/>
              <w:left w:w="108" w:type="dxa"/>
              <w:bottom w:w="0" w:type="dxa"/>
              <w:right w:w="108" w:type="dxa"/>
            </w:tcMar>
            <w:vAlign w:val="center"/>
          </w:tcPr>
          <w:p w:rsidR="007F5FC4" w:rsidRPr="00A71D2E" w:rsidRDefault="003C369A" w:rsidP="007F5FC4">
            <w:pPr>
              <w:jc w:val="right"/>
              <w:rPr>
                <w:rFonts w:eastAsia="宋体" w:cs="Times New Roman"/>
                <w:sz w:val="18"/>
                <w:szCs w:val="18"/>
                <w:highlight w:val="yellow"/>
              </w:rPr>
            </w:pPr>
            <w:r w:rsidRPr="003C369A">
              <w:rPr>
                <w:rFonts w:eastAsia="宋体" w:cs="Times New Roman"/>
                <w:sz w:val="18"/>
                <w:szCs w:val="18"/>
              </w:rPr>
              <w:t>6,761,208.81</w:t>
            </w:r>
          </w:p>
        </w:tc>
      </w:tr>
      <w:tr w:rsidR="007F5FC4" w:rsidRPr="00A71D2E" w:rsidTr="0027505B">
        <w:trPr>
          <w:trHeight w:val="20"/>
        </w:trPr>
        <w:tc>
          <w:tcPr>
            <w:tcW w:w="1080" w:type="dxa"/>
            <w:shd w:val="clear" w:color="auto" w:fill="FFFFFF" w:themeFill="background1"/>
            <w:tcMar>
              <w:top w:w="0" w:type="dxa"/>
              <w:left w:w="108" w:type="dxa"/>
              <w:bottom w:w="0" w:type="dxa"/>
              <w:right w:w="108" w:type="dxa"/>
            </w:tcMar>
            <w:vAlign w:val="center"/>
          </w:tcPr>
          <w:p w:rsidR="007F5FC4" w:rsidRPr="00A71D2E" w:rsidRDefault="007F5FC4" w:rsidP="007F5FC4">
            <w:pPr>
              <w:rPr>
                <w:rFonts w:eastAsia="宋体" w:cs="Times New Roman"/>
                <w:sz w:val="18"/>
                <w:szCs w:val="18"/>
              </w:rPr>
            </w:pPr>
            <w:r w:rsidRPr="00A71D2E">
              <w:rPr>
                <w:rFonts w:eastAsia="宋体" w:cs="Times New Roman" w:hint="eastAsia"/>
                <w:sz w:val="18"/>
                <w:szCs w:val="18"/>
              </w:rPr>
              <w:t>产成品</w:t>
            </w:r>
          </w:p>
        </w:tc>
        <w:tc>
          <w:tcPr>
            <w:tcW w:w="1674" w:type="dxa"/>
            <w:tcMar>
              <w:top w:w="0" w:type="dxa"/>
              <w:left w:w="108" w:type="dxa"/>
              <w:bottom w:w="0" w:type="dxa"/>
              <w:right w:w="108" w:type="dxa"/>
            </w:tcMar>
            <w:vAlign w:val="center"/>
          </w:tcPr>
          <w:p w:rsidR="007F5FC4" w:rsidRPr="00A71D2E" w:rsidRDefault="007F5FC4" w:rsidP="007F5FC4">
            <w:pPr>
              <w:jc w:val="right"/>
              <w:rPr>
                <w:rFonts w:eastAsia="宋体" w:cs="Times New Roman"/>
                <w:sz w:val="18"/>
                <w:szCs w:val="18"/>
                <w:highlight w:val="yellow"/>
              </w:rPr>
            </w:pPr>
            <w:r w:rsidRPr="00A71D2E">
              <w:rPr>
                <w:rFonts w:eastAsia="宋体" w:cs="Times New Roman"/>
                <w:sz w:val="18"/>
                <w:szCs w:val="18"/>
              </w:rPr>
              <w:t>20,558,590.62</w:t>
            </w:r>
          </w:p>
        </w:tc>
        <w:tc>
          <w:tcPr>
            <w:tcW w:w="1675" w:type="dxa"/>
            <w:tcMar>
              <w:top w:w="0" w:type="dxa"/>
              <w:left w:w="108" w:type="dxa"/>
              <w:bottom w:w="0" w:type="dxa"/>
              <w:right w:w="108" w:type="dxa"/>
            </w:tcMar>
            <w:vAlign w:val="center"/>
          </w:tcPr>
          <w:p w:rsidR="007F5FC4" w:rsidRPr="00A71D2E" w:rsidRDefault="003C369A" w:rsidP="007F5FC4">
            <w:pPr>
              <w:jc w:val="right"/>
              <w:rPr>
                <w:rFonts w:eastAsia="宋体" w:cs="Times New Roman"/>
                <w:sz w:val="18"/>
                <w:szCs w:val="18"/>
                <w:highlight w:val="yellow"/>
              </w:rPr>
            </w:pPr>
            <w:r w:rsidRPr="003C369A">
              <w:rPr>
                <w:rFonts w:eastAsia="宋体" w:cs="Times New Roman"/>
                <w:sz w:val="18"/>
                <w:szCs w:val="18"/>
              </w:rPr>
              <w:t>10,963,112.4</w:t>
            </w:r>
            <w:r w:rsidR="00611578">
              <w:rPr>
                <w:rFonts w:eastAsia="宋体" w:cs="Times New Roman"/>
                <w:sz w:val="18"/>
                <w:szCs w:val="18"/>
              </w:rPr>
              <w:t>5</w:t>
            </w:r>
          </w:p>
        </w:tc>
        <w:tc>
          <w:tcPr>
            <w:tcW w:w="1675" w:type="dxa"/>
            <w:tcMar>
              <w:top w:w="0" w:type="dxa"/>
              <w:left w:w="108" w:type="dxa"/>
              <w:bottom w:w="0" w:type="dxa"/>
              <w:right w:w="108" w:type="dxa"/>
            </w:tcMar>
            <w:vAlign w:val="center"/>
          </w:tcPr>
          <w:p w:rsidR="007F5FC4" w:rsidRPr="00A71D2E" w:rsidRDefault="003C369A" w:rsidP="007F5FC4">
            <w:pPr>
              <w:jc w:val="right"/>
              <w:rPr>
                <w:rFonts w:eastAsia="宋体" w:cs="Times New Roman"/>
                <w:sz w:val="18"/>
                <w:szCs w:val="18"/>
                <w:highlight w:val="yellow"/>
              </w:rPr>
            </w:pPr>
            <w:r w:rsidRPr="003C369A">
              <w:rPr>
                <w:rFonts w:eastAsia="宋体" w:cs="Times New Roman"/>
                <w:sz w:val="18"/>
                <w:szCs w:val="18"/>
              </w:rPr>
              <w:t>14,448,700.81</w:t>
            </w:r>
          </w:p>
        </w:tc>
        <w:tc>
          <w:tcPr>
            <w:tcW w:w="1675" w:type="dxa"/>
            <w:tcMar>
              <w:top w:w="0" w:type="dxa"/>
              <w:left w:w="108" w:type="dxa"/>
              <w:bottom w:w="0" w:type="dxa"/>
              <w:right w:w="108" w:type="dxa"/>
            </w:tcMar>
            <w:vAlign w:val="center"/>
          </w:tcPr>
          <w:p w:rsidR="007F5FC4" w:rsidRPr="00A71D2E" w:rsidRDefault="00611578" w:rsidP="007F5FC4">
            <w:pPr>
              <w:jc w:val="right"/>
              <w:rPr>
                <w:rFonts w:eastAsia="宋体" w:cs="Times New Roman"/>
                <w:sz w:val="18"/>
                <w:szCs w:val="18"/>
                <w:highlight w:val="yellow"/>
              </w:rPr>
            </w:pPr>
            <w:r w:rsidRPr="00611578">
              <w:rPr>
                <w:rFonts w:eastAsia="宋体" w:cs="Times New Roman"/>
                <w:sz w:val="18"/>
                <w:szCs w:val="18"/>
              </w:rPr>
              <w:t>268,199.49</w:t>
            </w:r>
          </w:p>
        </w:tc>
        <w:tc>
          <w:tcPr>
            <w:tcW w:w="1675" w:type="dxa"/>
            <w:tcMar>
              <w:top w:w="0" w:type="dxa"/>
              <w:left w:w="108" w:type="dxa"/>
              <w:bottom w:w="0" w:type="dxa"/>
              <w:right w:w="108" w:type="dxa"/>
            </w:tcMar>
            <w:vAlign w:val="center"/>
          </w:tcPr>
          <w:p w:rsidR="007F5FC4" w:rsidRPr="00A71D2E" w:rsidRDefault="003C369A" w:rsidP="007F5FC4">
            <w:pPr>
              <w:jc w:val="right"/>
              <w:rPr>
                <w:rFonts w:eastAsia="宋体" w:cs="Times New Roman"/>
                <w:sz w:val="18"/>
                <w:szCs w:val="18"/>
                <w:highlight w:val="yellow"/>
              </w:rPr>
            </w:pPr>
            <w:r w:rsidRPr="003C369A">
              <w:rPr>
                <w:rFonts w:eastAsia="宋体" w:cs="Times New Roman"/>
                <w:sz w:val="18"/>
                <w:szCs w:val="18"/>
              </w:rPr>
              <w:t>17,341,201.75</w:t>
            </w:r>
          </w:p>
        </w:tc>
      </w:tr>
      <w:tr w:rsidR="007F5FC4" w:rsidRPr="00A71D2E" w:rsidTr="0027505B">
        <w:trPr>
          <w:trHeight w:val="20"/>
        </w:trPr>
        <w:tc>
          <w:tcPr>
            <w:tcW w:w="1080" w:type="dxa"/>
            <w:shd w:val="clear" w:color="auto" w:fill="D9D9D9" w:themeFill="background1" w:themeFillShade="D9"/>
            <w:tcMar>
              <w:top w:w="0" w:type="dxa"/>
              <w:left w:w="108" w:type="dxa"/>
              <w:bottom w:w="0" w:type="dxa"/>
              <w:right w:w="108" w:type="dxa"/>
            </w:tcMar>
            <w:vAlign w:val="center"/>
            <w:hideMark/>
          </w:tcPr>
          <w:p w:rsidR="007F5FC4" w:rsidRPr="00A71D2E" w:rsidRDefault="007F5FC4" w:rsidP="007F5FC4">
            <w:pPr>
              <w:rPr>
                <w:rFonts w:eastAsia="宋体" w:cs="Times New Roman"/>
                <w:sz w:val="18"/>
                <w:szCs w:val="18"/>
              </w:rPr>
            </w:pPr>
            <w:r w:rsidRPr="00A71D2E">
              <w:rPr>
                <w:rFonts w:eastAsia="宋体" w:cs="Times New Roman" w:hint="eastAsia"/>
                <w:sz w:val="18"/>
                <w:szCs w:val="18"/>
              </w:rPr>
              <w:t>合计</w:t>
            </w:r>
          </w:p>
        </w:tc>
        <w:tc>
          <w:tcPr>
            <w:tcW w:w="1674" w:type="dxa"/>
            <w:tcMar>
              <w:top w:w="0" w:type="dxa"/>
              <w:left w:w="108" w:type="dxa"/>
              <w:bottom w:w="0" w:type="dxa"/>
              <w:right w:w="108" w:type="dxa"/>
            </w:tcMar>
            <w:vAlign w:val="center"/>
          </w:tcPr>
          <w:p w:rsidR="007F5FC4" w:rsidRPr="00A71D2E" w:rsidRDefault="007F5FC4" w:rsidP="007F5FC4">
            <w:pPr>
              <w:jc w:val="right"/>
              <w:rPr>
                <w:rFonts w:eastAsia="宋体" w:cs="Times New Roman"/>
                <w:sz w:val="18"/>
                <w:szCs w:val="18"/>
                <w:highlight w:val="yellow"/>
              </w:rPr>
            </w:pPr>
            <w:r w:rsidRPr="00A71D2E">
              <w:rPr>
                <w:rFonts w:eastAsia="宋体" w:cs="Times New Roman"/>
                <w:sz w:val="18"/>
                <w:szCs w:val="18"/>
              </w:rPr>
              <w:t>31,956,732.63</w:t>
            </w:r>
          </w:p>
        </w:tc>
        <w:tc>
          <w:tcPr>
            <w:tcW w:w="1675" w:type="dxa"/>
            <w:tcMar>
              <w:top w:w="0" w:type="dxa"/>
              <w:left w:w="108" w:type="dxa"/>
              <w:bottom w:w="0" w:type="dxa"/>
              <w:right w:w="108" w:type="dxa"/>
            </w:tcMar>
            <w:vAlign w:val="center"/>
          </w:tcPr>
          <w:p w:rsidR="007F5FC4" w:rsidRPr="00A71D2E" w:rsidRDefault="003C369A" w:rsidP="007F5FC4">
            <w:pPr>
              <w:jc w:val="right"/>
              <w:rPr>
                <w:rFonts w:eastAsia="宋体" w:cs="Times New Roman"/>
                <w:sz w:val="18"/>
                <w:szCs w:val="18"/>
                <w:highlight w:val="yellow"/>
              </w:rPr>
            </w:pPr>
            <w:r w:rsidRPr="003C369A">
              <w:rPr>
                <w:rFonts w:eastAsia="宋体" w:cs="Times New Roman"/>
                <w:sz w:val="18"/>
                <w:szCs w:val="18"/>
              </w:rPr>
              <w:t>10,963,112.4</w:t>
            </w:r>
            <w:r w:rsidR="00611578">
              <w:rPr>
                <w:rFonts w:eastAsia="宋体" w:cs="Times New Roman"/>
                <w:sz w:val="18"/>
                <w:szCs w:val="18"/>
              </w:rPr>
              <w:t>5</w:t>
            </w:r>
          </w:p>
        </w:tc>
        <w:tc>
          <w:tcPr>
            <w:tcW w:w="1675" w:type="dxa"/>
            <w:tcMar>
              <w:top w:w="0" w:type="dxa"/>
              <w:left w:w="108" w:type="dxa"/>
              <w:bottom w:w="0" w:type="dxa"/>
              <w:right w:w="108" w:type="dxa"/>
            </w:tcMar>
            <w:vAlign w:val="center"/>
          </w:tcPr>
          <w:p w:rsidR="007F5FC4" w:rsidRPr="00A71D2E" w:rsidRDefault="003C369A" w:rsidP="007F5FC4">
            <w:pPr>
              <w:jc w:val="right"/>
              <w:rPr>
                <w:rFonts w:eastAsia="宋体" w:cs="Times New Roman"/>
                <w:sz w:val="18"/>
                <w:szCs w:val="18"/>
                <w:highlight w:val="yellow"/>
              </w:rPr>
            </w:pPr>
            <w:r w:rsidRPr="003C369A">
              <w:rPr>
                <w:rFonts w:eastAsia="宋体" w:cs="Times New Roman"/>
                <w:sz w:val="18"/>
                <w:szCs w:val="18"/>
              </w:rPr>
              <w:t>19,085,634.01</w:t>
            </w:r>
          </w:p>
        </w:tc>
        <w:tc>
          <w:tcPr>
            <w:tcW w:w="1675" w:type="dxa"/>
            <w:tcMar>
              <w:top w:w="0" w:type="dxa"/>
              <w:left w:w="108" w:type="dxa"/>
              <w:bottom w:w="0" w:type="dxa"/>
              <w:right w:w="108" w:type="dxa"/>
            </w:tcMar>
            <w:vAlign w:val="center"/>
          </w:tcPr>
          <w:p w:rsidR="007F5FC4" w:rsidRPr="00A71D2E" w:rsidRDefault="00611578" w:rsidP="007F5FC4">
            <w:pPr>
              <w:jc w:val="right"/>
              <w:rPr>
                <w:rFonts w:eastAsia="宋体" w:cs="Times New Roman"/>
                <w:sz w:val="18"/>
                <w:szCs w:val="18"/>
                <w:highlight w:val="yellow"/>
              </w:rPr>
            </w:pPr>
            <w:r w:rsidRPr="00611578">
              <w:rPr>
                <w:rFonts w:eastAsia="宋体" w:cs="Times New Roman"/>
                <w:sz w:val="18"/>
                <w:szCs w:val="18"/>
              </w:rPr>
              <w:t>268,199.49</w:t>
            </w:r>
          </w:p>
        </w:tc>
        <w:tc>
          <w:tcPr>
            <w:tcW w:w="1675" w:type="dxa"/>
            <w:tcMar>
              <w:top w:w="0" w:type="dxa"/>
              <w:left w:w="108" w:type="dxa"/>
              <w:bottom w:w="0" w:type="dxa"/>
              <w:right w:w="108" w:type="dxa"/>
            </w:tcMar>
            <w:vAlign w:val="center"/>
          </w:tcPr>
          <w:p w:rsidR="007F5FC4" w:rsidRPr="00A71D2E" w:rsidRDefault="003C369A" w:rsidP="007F5FC4">
            <w:pPr>
              <w:jc w:val="right"/>
              <w:rPr>
                <w:rFonts w:eastAsia="宋体" w:cs="Times New Roman"/>
                <w:sz w:val="18"/>
                <w:szCs w:val="18"/>
                <w:highlight w:val="yellow"/>
              </w:rPr>
            </w:pPr>
            <w:r w:rsidRPr="003C369A">
              <w:rPr>
                <w:rFonts w:eastAsia="宋体" w:cs="Times New Roman"/>
                <w:sz w:val="18"/>
                <w:szCs w:val="18"/>
              </w:rPr>
              <w:t>24,102,410.56</w:t>
            </w:r>
          </w:p>
        </w:tc>
      </w:tr>
    </w:tbl>
    <w:p w:rsidR="006916FD" w:rsidRDefault="006916FD">
      <w:pPr>
        <w:tabs>
          <w:tab w:val="left" w:pos="709"/>
        </w:tabs>
        <w:ind w:left="720"/>
        <w:rPr>
          <w:rFonts w:eastAsia="宋体" w:cs="Times New Roman"/>
          <w:bCs/>
          <w:szCs w:val="21"/>
        </w:rPr>
      </w:pPr>
    </w:p>
    <w:p w:rsidR="00341A10" w:rsidRDefault="00184E66" w:rsidP="0027505B">
      <w:pPr>
        <w:ind w:left="720"/>
        <w:jc w:val="both"/>
        <w:rPr>
          <w:rFonts w:eastAsia="宋体" w:cs="Times New Roman"/>
          <w:bCs/>
          <w:szCs w:val="21"/>
        </w:rPr>
      </w:pPr>
      <w:r>
        <w:rPr>
          <w:rFonts w:eastAsia="宋体" w:cs="Times New Roman" w:hint="eastAsia"/>
          <w:bCs/>
          <w:szCs w:val="21"/>
        </w:rPr>
        <w:t>本年度，本集团因实际使用、销售或报废了部分</w:t>
      </w:r>
      <w:proofErr w:type="gramStart"/>
      <w:r>
        <w:rPr>
          <w:rFonts w:eastAsia="宋体" w:cs="Times New Roman" w:hint="eastAsia"/>
          <w:bCs/>
          <w:szCs w:val="21"/>
        </w:rPr>
        <w:t>长库龄</w:t>
      </w:r>
      <w:proofErr w:type="gramEnd"/>
      <w:r>
        <w:rPr>
          <w:rFonts w:eastAsia="宋体" w:cs="Times New Roman" w:hint="eastAsia"/>
          <w:bCs/>
          <w:szCs w:val="21"/>
        </w:rPr>
        <w:t>原材料及产成品导致转销存货跌价准备合计人民币</w:t>
      </w:r>
      <w:r w:rsidR="003C369A" w:rsidRPr="003C369A">
        <w:rPr>
          <w:rFonts w:eastAsia="宋体" w:cs="Times New Roman"/>
          <w:szCs w:val="21"/>
        </w:rPr>
        <w:t>19,085,634.01</w:t>
      </w:r>
      <w:r>
        <w:rPr>
          <w:rFonts w:eastAsia="宋体" w:cs="Times New Roman" w:hint="eastAsia"/>
          <w:bCs/>
          <w:szCs w:val="21"/>
        </w:rPr>
        <w:t>元。</w:t>
      </w:r>
    </w:p>
    <w:p w:rsidR="005077DA" w:rsidRDefault="005077DA" w:rsidP="0027505B">
      <w:pPr>
        <w:adjustRightInd/>
        <w:snapToGrid/>
        <w:ind w:left="720"/>
        <w:jc w:val="both"/>
        <w:rPr>
          <w:rFonts w:eastAsia="宋体" w:cs="Times New Roman"/>
          <w:bCs/>
          <w:szCs w:val="21"/>
        </w:rPr>
      </w:pPr>
    </w:p>
    <w:p w:rsidR="00253207" w:rsidRDefault="00253207" w:rsidP="0027505B">
      <w:pPr>
        <w:ind w:left="720"/>
        <w:jc w:val="both"/>
        <w:rPr>
          <w:rFonts w:eastAsia="宋体" w:cs="Times New Roman"/>
          <w:bCs/>
          <w:szCs w:val="21"/>
        </w:rPr>
      </w:pPr>
      <w:r w:rsidRPr="00DC5547">
        <w:rPr>
          <w:rFonts w:eastAsia="宋体" w:cs="Times New Roman" w:hint="eastAsia"/>
          <w:bCs/>
          <w:szCs w:val="21"/>
        </w:rPr>
        <w:t>按组合计提存货跌价准备</w:t>
      </w:r>
      <w:r w:rsidR="005077DA" w:rsidRPr="00DC5547">
        <w:rPr>
          <w:rFonts w:eastAsia="宋体" w:cs="Times New Roman" w:hint="eastAsia"/>
          <w:bCs/>
          <w:szCs w:val="21"/>
        </w:rPr>
        <w:t>的计提标准</w:t>
      </w:r>
      <w:r w:rsidR="005F14EE">
        <w:rPr>
          <w:rFonts w:eastAsia="宋体" w:cs="Times New Roman" w:hint="eastAsia"/>
          <w:bCs/>
          <w:szCs w:val="21"/>
        </w:rPr>
        <w:t>：</w:t>
      </w:r>
    </w:p>
    <w:p w:rsidR="00253207" w:rsidRDefault="00253207" w:rsidP="0027505B">
      <w:pPr>
        <w:ind w:left="720"/>
        <w:jc w:val="both"/>
        <w:rPr>
          <w:rFonts w:eastAsia="宋体" w:cs="Times New Roman"/>
          <w:bCs/>
          <w:szCs w:val="21"/>
        </w:rPr>
      </w:pPr>
    </w:p>
    <w:p w:rsidR="00F61CF8" w:rsidRPr="00702529" w:rsidRDefault="00F61CF8" w:rsidP="0027505B">
      <w:pPr>
        <w:ind w:left="720"/>
        <w:jc w:val="both"/>
        <w:rPr>
          <w:rFonts w:asciiTheme="majorHAnsi" w:hAnsiTheme="majorHAnsi" w:cstheme="majorHAnsi"/>
        </w:rPr>
      </w:pPr>
      <w:r w:rsidRPr="005E12D9">
        <w:rPr>
          <w:rFonts w:asciiTheme="majorHAnsi" w:hAnsiTheme="majorHAnsi" w:cstheme="majorHAnsi" w:hint="eastAsia"/>
        </w:rPr>
        <w:t>本集团原材料、在产品及产成品以历史损失情况与业务风险为基础，考虑不同类型存货呆滞过时风险及未来市场需求、产品迭代变更及项目变更风险，结合</w:t>
      </w:r>
      <w:proofErr w:type="gramStart"/>
      <w:r w:rsidRPr="005E12D9">
        <w:rPr>
          <w:rFonts w:asciiTheme="majorHAnsi" w:hAnsiTheme="majorHAnsi" w:cstheme="majorHAnsi" w:hint="eastAsia"/>
        </w:rPr>
        <w:t>库龄综合</w:t>
      </w:r>
      <w:proofErr w:type="gramEnd"/>
      <w:r w:rsidRPr="005E12D9">
        <w:rPr>
          <w:rFonts w:asciiTheme="majorHAnsi" w:hAnsiTheme="majorHAnsi" w:cstheme="majorHAnsi" w:hint="eastAsia"/>
        </w:rPr>
        <w:t>评估相关存货的可变现净值。</w:t>
      </w:r>
    </w:p>
    <w:p w:rsidR="005077DA" w:rsidRDefault="005077DA">
      <w:pPr>
        <w:tabs>
          <w:tab w:val="left" w:pos="709"/>
        </w:tabs>
        <w:ind w:left="720"/>
        <w:rPr>
          <w:rFonts w:eastAsia="宋体" w:cs="Times New Roman"/>
          <w:bCs/>
          <w:szCs w:val="21"/>
        </w:rPr>
      </w:pPr>
    </w:p>
    <w:p w:rsidR="00ED5980" w:rsidRPr="00A71D2E" w:rsidRDefault="00ED5980">
      <w:pPr>
        <w:pStyle w:val="2"/>
        <w:numPr>
          <w:ilvl w:val="2"/>
          <w:numId w:val="1"/>
        </w:numPr>
        <w:adjustRightInd w:val="0"/>
        <w:snapToGrid w:val="0"/>
        <w:ind w:left="1440" w:hanging="720"/>
        <w:contextualSpacing w:val="0"/>
        <w:rPr>
          <w:rFonts w:ascii="Times New Roman" w:eastAsia="宋体" w:hAnsi="Times New Roman" w:cs="Times New Roman"/>
          <w:bCs/>
          <w:szCs w:val="21"/>
          <w:lang w:val="x-none"/>
        </w:rPr>
      </w:pPr>
      <w:r w:rsidRPr="00A71D2E">
        <w:rPr>
          <w:rFonts w:ascii="Times New Roman" w:eastAsia="宋体" w:hAnsi="Times New Roman" w:cs="Times New Roman" w:hint="eastAsia"/>
          <w:bCs/>
          <w:szCs w:val="21"/>
          <w:lang w:val="x-none"/>
        </w:rPr>
        <w:t>一年内到期的非流动资产</w:t>
      </w:r>
    </w:p>
    <w:p w:rsidR="00ED5980" w:rsidRPr="00A71D2E" w:rsidRDefault="00ED5980">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05"/>
        <w:gridCol w:w="1674"/>
        <w:gridCol w:w="1674"/>
      </w:tblGrid>
      <w:tr w:rsidR="00CE0A30" w:rsidRPr="00A71D2E" w:rsidTr="0027505B">
        <w:trPr>
          <w:trHeight w:val="20"/>
        </w:trPr>
        <w:tc>
          <w:tcPr>
            <w:tcW w:w="6105" w:type="dxa"/>
            <w:shd w:val="clear" w:color="auto" w:fill="D9D9D9" w:themeFill="background1" w:themeFillShade="D9"/>
            <w:tcMar>
              <w:top w:w="0" w:type="dxa"/>
              <w:left w:w="108" w:type="dxa"/>
              <w:bottom w:w="0" w:type="dxa"/>
              <w:right w:w="108" w:type="dxa"/>
            </w:tcMar>
            <w:vAlign w:val="center"/>
            <w:hideMark/>
          </w:tcPr>
          <w:p w:rsidR="00CE0A30" w:rsidRPr="00A71D2E" w:rsidRDefault="00CE0A30">
            <w:pPr>
              <w:jc w:val="center"/>
              <w:rPr>
                <w:rFonts w:eastAsia="宋体" w:cs="Times New Roman"/>
                <w:sz w:val="18"/>
                <w:szCs w:val="18"/>
              </w:rPr>
            </w:pPr>
            <w:r w:rsidRPr="00A71D2E">
              <w:rPr>
                <w:rFonts w:eastAsia="宋体" w:cs="Times New Roman" w:hint="eastAsia"/>
                <w:sz w:val="18"/>
                <w:szCs w:val="18"/>
              </w:rPr>
              <w:t>项目</w:t>
            </w:r>
          </w:p>
        </w:tc>
        <w:tc>
          <w:tcPr>
            <w:tcW w:w="1674" w:type="dxa"/>
            <w:shd w:val="clear" w:color="auto" w:fill="D9D9D9" w:themeFill="background1" w:themeFillShade="D9"/>
            <w:vAlign w:val="center"/>
          </w:tcPr>
          <w:p w:rsidR="00CE0A30" w:rsidRPr="00A71D2E" w:rsidRDefault="0013719E">
            <w:pPr>
              <w:jc w:val="center"/>
              <w:rPr>
                <w:rFonts w:eastAsia="宋体" w:cs="Times New Roman"/>
                <w:sz w:val="18"/>
                <w:szCs w:val="18"/>
              </w:rPr>
            </w:pPr>
            <w:r w:rsidRPr="00A71D2E">
              <w:rPr>
                <w:rFonts w:eastAsia="宋体" w:cs="Times New Roman" w:hint="eastAsia"/>
                <w:sz w:val="18"/>
                <w:szCs w:val="18"/>
              </w:rPr>
              <w:t>年末余额</w:t>
            </w:r>
          </w:p>
        </w:tc>
        <w:tc>
          <w:tcPr>
            <w:tcW w:w="1674" w:type="dxa"/>
            <w:shd w:val="clear" w:color="auto" w:fill="D9D9D9" w:themeFill="background1" w:themeFillShade="D9"/>
            <w:vAlign w:val="center"/>
          </w:tcPr>
          <w:p w:rsidR="00CE0A30" w:rsidRPr="00A71D2E" w:rsidRDefault="0013719E">
            <w:pPr>
              <w:jc w:val="center"/>
              <w:rPr>
                <w:rFonts w:eastAsia="宋体" w:cs="Times New Roman"/>
                <w:sz w:val="18"/>
                <w:szCs w:val="18"/>
              </w:rPr>
            </w:pPr>
            <w:r w:rsidRPr="00A71D2E">
              <w:rPr>
                <w:rFonts w:eastAsia="宋体" w:cs="Times New Roman" w:hint="eastAsia"/>
                <w:sz w:val="18"/>
                <w:szCs w:val="18"/>
              </w:rPr>
              <w:t>年初余额</w:t>
            </w:r>
          </w:p>
        </w:tc>
      </w:tr>
      <w:tr w:rsidR="00456A73" w:rsidRPr="00A71D2E" w:rsidTr="0027505B">
        <w:trPr>
          <w:trHeight w:val="20"/>
        </w:trPr>
        <w:tc>
          <w:tcPr>
            <w:tcW w:w="6105" w:type="dxa"/>
            <w:shd w:val="clear" w:color="auto" w:fill="auto"/>
            <w:tcMar>
              <w:top w:w="0" w:type="dxa"/>
              <w:left w:w="108" w:type="dxa"/>
              <w:bottom w:w="0" w:type="dxa"/>
              <w:right w:w="108" w:type="dxa"/>
            </w:tcMar>
            <w:vAlign w:val="center"/>
          </w:tcPr>
          <w:p w:rsidR="00456A73" w:rsidRPr="00A71D2E" w:rsidRDefault="00456A73" w:rsidP="00456A73">
            <w:pPr>
              <w:rPr>
                <w:rFonts w:eastAsia="宋体" w:cs="Times New Roman"/>
                <w:sz w:val="18"/>
                <w:szCs w:val="18"/>
              </w:rPr>
            </w:pPr>
            <w:r w:rsidRPr="00A71D2E">
              <w:rPr>
                <w:rFonts w:eastAsia="宋体" w:cs="Times New Roman" w:hint="eastAsia"/>
                <w:sz w:val="18"/>
                <w:szCs w:val="18"/>
              </w:rPr>
              <w:t>一年内到期的员工借款</w:t>
            </w:r>
            <w:r w:rsidR="005F14EE">
              <w:rPr>
                <w:rFonts w:eastAsia="宋体" w:cs="Times New Roman"/>
                <w:sz w:val="18"/>
                <w:szCs w:val="18"/>
              </w:rPr>
              <w:t>(</w:t>
            </w:r>
            <w:r w:rsidRPr="00A71D2E">
              <w:rPr>
                <w:rFonts w:eastAsia="宋体" w:cs="Times New Roman" w:hint="eastAsia"/>
                <w:sz w:val="18"/>
                <w:szCs w:val="18"/>
              </w:rPr>
              <w:t>附注五、</w:t>
            </w:r>
            <w:r w:rsidRPr="00A71D2E">
              <w:rPr>
                <w:rFonts w:eastAsia="宋体" w:cs="Times New Roman"/>
                <w:sz w:val="18"/>
                <w:szCs w:val="18"/>
              </w:rPr>
              <w:t>10</w:t>
            </w:r>
            <w:r w:rsidR="005F14EE">
              <w:rPr>
                <w:rFonts w:eastAsia="宋体" w:cs="Times New Roman"/>
                <w:sz w:val="18"/>
                <w:szCs w:val="18"/>
              </w:rPr>
              <w:t>)</w:t>
            </w:r>
          </w:p>
        </w:tc>
        <w:tc>
          <w:tcPr>
            <w:tcW w:w="1674" w:type="dxa"/>
            <w:vAlign w:val="center"/>
          </w:tcPr>
          <w:p w:rsidR="00456A73" w:rsidRPr="00A71D2E" w:rsidRDefault="002B4A24" w:rsidP="00456A73">
            <w:pPr>
              <w:ind w:right="87"/>
              <w:jc w:val="right"/>
              <w:rPr>
                <w:rFonts w:eastAsia="宋体" w:cs="Times New Roman"/>
                <w:sz w:val="18"/>
                <w:szCs w:val="18"/>
              </w:rPr>
            </w:pPr>
            <w:r w:rsidRPr="002B4A24">
              <w:rPr>
                <w:rFonts w:eastAsia="宋体" w:cs="Times New Roman"/>
                <w:sz w:val="18"/>
                <w:szCs w:val="18"/>
              </w:rPr>
              <w:t>8,681,589.12</w:t>
            </w:r>
          </w:p>
        </w:tc>
        <w:tc>
          <w:tcPr>
            <w:tcW w:w="1674" w:type="dxa"/>
            <w:vAlign w:val="center"/>
          </w:tcPr>
          <w:p w:rsidR="00456A73" w:rsidRPr="00A71D2E" w:rsidRDefault="00456A73" w:rsidP="00456A73">
            <w:pPr>
              <w:ind w:right="87"/>
              <w:jc w:val="right"/>
              <w:rPr>
                <w:rFonts w:eastAsia="宋体" w:cs="Times New Roman"/>
                <w:sz w:val="18"/>
                <w:szCs w:val="18"/>
              </w:rPr>
            </w:pPr>
            <w:r w:rsidRPr="00A71D2E">
              <w:rPr>
                <w:rFonts w:eastAsia="宋体" w:cs="Times New Roman"/>
                <w:sz w:val="18"/>
                <w:szCs w:val="18"/>
              </w:rPr>
              <w:t>8,945,100.00</w:t>
            </w:r>
          </w:p>
        </w:tc>
      </w:tr>
      <w:tr w:rsidR="00456A73" w:rsidRPr="00A71D2E" w:rsidTr="0027505B">
        <w:trPr>
          <w:trHeight w:val="20"/>
        </w:trPr>
        <w:tc>
          <w:tcPr>
            <w:tcW w:w="6105" w:type="dxa"/>
            <w:shd w:val="clear" w:color="auto" w:fill="D9D9D9" w:themeFill="background1" w:themeFillShade="D9"/>
            <w:tcMar>
              <w:top w:w="0" w:type="dxa"/>
              <w:left w:w="108" w:type="dxa"/>
              <w:bottom w:w="0" w:type="dxa"/>
              <w:right w:w="108" w:type="dxa"/>
            </w:tcMar>
            <w:vAlign w:val="center"/>
            <w:hideMark/>
          </w:tcPr>
          <w:p w:rsidR="00456A73" w:rsidRPr="00A71D2E" w:rsidRDefault="00456A73" w:rsidP="00456A73">
            <w:pPr>
              <w:rPr>
                <w:rFonts w:eastAsia="宋体" w:cs="Times New Roman"/>
                <w:sz w:val="18"/>
                <w:szCs w:val="18"/>
              </w:rPr>
            </w:pPr>
            <w:r w:rsidRPr="00A71D2E">
              <w:rPr>
                <w:rFonts w:eastAsia="宋体" w:cs="Times New Roman" w:hint="eastAsia"/>
                <w:sz w:val="18"/>
                <w:szCs w:val="18"/>
              </w:rPr>
              <w:t>合计</w:t>
            </w:r>
          </w:p>
        </w:tc>
        <w:tc>
          <w:tcPr>
            <w:tcW w:w="1674" w:type="dxa"/>
            <w:vAlign w:val="center"/>
          </w:tcPr>
          <w:p w:rsidR="00456A73" w:rsidRPr="00A71D2E" w:rsidRDefault="002B4A24" w:rsidP="00456A73">
            <w:pPr>
              <w:ind w:right="87"/>
              <w:jc w:val="right"/>
              <w:rPr>
                <w:rFonts w:eastAsia="宋体" w:cs="Times New Roman"/>
                <w:sz w:val="18"/>
                <w:szCs w:val="18"/>
              </w:rPr>
            </w:pPr>
            <w:r w:rsidRPr="002B4A24">
              <w:rPr>
                <w:rFonts w:eastAsia="宋体" w:cs="Times New Roman"/>
                <w:sz w:val="18"/>
                <w:szCs w:val="18"/>
              </w:rPr>
              <w:t>8,681,589.12</w:t>
            </w:r>
          </w:p>
        </w:tc>
        <w:tc>
          <w:tcPr>
            <w:tcW w:w="1674" w:type="dxa"/>
            <w:vAlign w:val="center"/>
          </w:tcPr>
          <w:p w:rsidR="00456A73" w:rsidRPr="00A71D2E" w:rsidRDefault="00456A73" w:rsidP="00456A73">
            <w:pPr>
              <w:ind w:right="87"/>
              <w:jc w:val="right"/>
              <w:rPr>
                <w:rFonts w:eastAsia="宋体" w:cs="Times New Roman"/>
                <w:sz w:val="18"/>
                <w:szCs w:val="18"/>
              </w:rPr>
            </w:pPr>
            <w:r w:rsidRPr="008651FD">
              <w:rPr>
                <w:rFonts w:eastAsia="宋体" w:cs="Times New Roman"/>
                <w:sz w:val="18"/>
                <w:szCs w:val="18"/>
              </w:rPr>
              <w:t>8,945,100.00</w:t>
            </w:r>
          </w:p>
        </w:tc>
      </w:tr>
    </w:tbl>
    <w:p w:rsidR="00ED5980" w:rsidRPr="00A71D2E" w:rsidRDefault="00ED5980">
      <w:pPr>
        <w:ind w:left="720"/>
        <w:jc w:val="both"/>
        <w:rPr>
          <w:rFonts w:eastAsia="宋体" w:cs="Times New Roman"/>
          <w:szCs w:val="21"/>
        </w:rPr>
      </w:pPr>
    </w:p>
    <w:p w:rsidR="007D47F9" w:rsidRPr="00A71D2E" w:rsidRDefault="007D47F9">
      <w:pPr>
        <w:pStyle w:val="2"/>
        <w:numPr>
          <w:ilvl w:val="2"/>
          <w:numId w:val="1"/>
        </w:numPr>
        <w:adjustRightInd w:val="0"/>
        <w:snapToGrid w:val="0"/>
        <w:ind w:left="1440" w:hanging="720"/>
        <w:contextualSpacing w:val="0"/>
        <w:rPr>
          <w:rFonts w:ascii="Times New Roman" w:eastAsia="宋体" w:hAnsi="Times New Roman" w:cs="Times New Roman"/>
          <w:bCs/>
          <w:szCs w:val="21"/>
        </w:rPr>
      </w:pPr>
      <w:r w:rsidRPr="00A71D2E">
        <w:rPr>
          <w:rFonts w:ascii="Times New Roman" w:eastAsia="宋体" w:hAnsi="Times New Roman" w:cs="Times New Roman" w:hint="eastAsia"/>
        </w:rPr>
        <w:t>其他流动资产</w:t>
      </w:r>
    </w:p>
    <w:p w:rsidR="007D47F9" w:rsidRPr="00A71D2E" w:rsidRDefault="007D47F9">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05"/>
        <w:gridCol w:w="1674"/>
        <w:gridCol w:w="1674"/>
      </w:tblGrid>
      <w:tr w:rsidR="00E41084" w:rsidRPr="00A71D2E" w:rsidTr="0027505B">
        <w:trPr>
          <w:trHeight w:val="20"/>
        </w:trPr>
        <w:tc>
          <w:tcPr>
            <w:tcW w:w="6105" w:type="dxa"/>
            <w:shd w:val="clear" w:color="auto" w:fill="D9D9D9" w:themeFill="background1" w:themeFillShade="D9"/>
            <w:tcMar>
              <w:top w:w="0" w:type="dxa"/>
              <w:left w:w="108" w:type="dxa"/>
              <w:bottom w:w="0" w:type="dxa"/>
              <w:right w:w="108" w:type="dxa"/>
            </w:tcMar>
            <w:vAlign w:val="center"/>
            <w:hideMark/>
          </w:tcPr>
          <w:p w:rsidR="00E41084" w:rsidRPr="00A71D2E" w:rsidRDefault="00E41084">
            <w:pPr>
              <w:jc w:val="center"/>
              <w:rPr>
                <w:rFonts w:eastAsia="宋体" w:cs="Times New Roman"/>
                <w:sz w:val="18"/>
                <w:szCs w:val="18"/>
              </w:rPr>
            </w:pPr>
            <w:r w:rsidRPr="00A71D2E">
              <w:rPr>
                <w:rFonts w:eastAsia="宋体" w:cs="Times New Roman" w:hint="eastAsia"/>
                <w:sz w:val="18"/>
                <w:szCs w:val="18"/>
              </w:rPr>
              <w:t>项目</w:t>
            </w:r>
          </w:p>
        </w:tc>
        <w:tc>
          <w:tcPr>
            <w:tcW w:w="1674" w:type="dxa"/>
            <w:shd w:val="clear" w:color="auto" w:fill="D9D9D9" w:themeFill="background1" w:themeFillShade="D9"/>
            <w:vAlign w:val="center"/>
          </w:tcPr>
          <w:p w:rsidR="00E41084" w:rsidRPr="00A71D2E" w:rsidRDefault="00E41084">
            <w:pPr>
              <w:jc w:val="center"/>
              <w:rPr>
                <w:rFonts w:eastAsia="宋体" w:cs="Times New Roman"/>
                <w:sz w:val="18"/>
                <w:szCs w:val="18"/>
              </w:rPr>
            </w:pPr>
            <w:r w:rsidRPr="00A71D2E">
              <w:rPr>
                <w:rFonts w:eastAsia="宋体" w:cs="Times New Roman" w:hint="eastAsia"/>
                <w:sz w:val="18"/>
                <w:szCs w:val="18"/>
              </w:rPr>
              <w:t>年末余额</w:t>
            </w:r>
          </w:p>
        </w:tc>
        <w:tc>
          <w:tcPr>
            <w:tcW w:w="1674" w:type="dxa"/>
            <w:shd w:val="clear" w:color="auto" w:fill="D9D9D9" w:themeFill="background1" w:themeFillShade="D9"/>
            <w:vAlign w:val="center"/>
          </w:tcPr>
          <w:p w:rsidR="00E41084" w:rsidRPr="00A71D2E" w:rsidRDefault="00E41084">
            <w:pPr>
              <w:jc w:val="center"/>
              <w:rPr>
                <w:rFonts w:eastAsia="宋体" w:cs="Times New Roman"/>
                <w:sz w:val="18"/>
                <w:szCs w:val="18"/>
              </w:rPr>
            </w:pPr>
            <w:r w:rsidRPr="00A71D2E">
              <w:rPr>
                <w:rFonts w:eastAsia="宋体" w:cs="Times New Roman" w:hint="eastAsia"/>
                <w:sz w:val="18"/>
                <w:szCs w:val="18"/>
              </w:rPr>
              <w:t>年初余额</w:t>
            </w:r>
          </w:p>
        </w:tc>
      </w:tr>
      <w:tr w:rsidR="00314226" w:rsidRPr="00A71D2E" w:rsidTr="0027505B">
        <w:trPr>
          <w:trHeight w:val="20"/>
        </w:trPr>
        <w:tc>
          <w:tcPr>
            <w:tcW w:w="6105" w:type="dxa"/>
            <w:shd w:val="clear" w:color="auto" w:fill="auto"/>
            <w:tcMar>
              <w:top w:w="0" w:type="dxa"/>
              <w:left w:w="108" w:type="dxa"/>
              <w:bottom w:w="0" w:type="dxa"/>
              <w:right w:w="108" w:type="dxa"/>
            </w:tcMar>
            <w:vAlign w:val="center"/>
          </w:tcPr>
          <w:p w:rsidR="00314226" w:rsidRPr="00A71D2E" w:rsidRDefault="00314226" w:rsidP="00314226">
            <w:pPr>
              <w:rPr>
                <w:rFonts w:eastAsia="宋体" w:cs="Times New Roman"/>
                <w:sz w:val="18"/>
                <w:szCs w:val="18"/>
              </w:rPr>
            </w:pPr>
            <w:r w:rsidRPr="00A71D2E">
              <w:rPr>
                <w:rFonts w:eastAsia="宋体" w:cs="Times New Roman" w:hint="eastAsia"/>
                <w:sz w:val="18"/>
                <w:szCs w:val="18"/>
              </w:rPr>
              <w:t>待抵扣增值税</w:t>
            </w:r>
          </w:p>
        </w:tc>
        <w:tc>
          <w:tcPr>
            <w:tcW w:w="1674" w:type="dxa"/>
            <w:shd w:val="clear" w:color="auto" w:fill="auto"/>
            <w:vAlign w:val="center"/>
          </w:tcPr>
          <w:p w:rsidR="00314226" w:rsidRPr="00A71D2E" w:rsidRDefault="00525209" w:rsidP="00314226">
            <w:pPr>
              <w:ind w:right="87"/>
              <w:jc w:val="right"/>
              <w:rPr>
                <w:rFonts w:eastAsia="宋体" w:cs="Times New Roman"/>
                <w:sz w:val="18"/>
                <w:szCs w:val="18"/>
              </w:rPr>
            </w:pPr>
            <w:r w:rsidRPr="00525209">
              <w:rPr>
                <w:rFonts w:eastAsia="宋体" w:cs="Times New Roman"/>
                <w:sz w:val="18"/>
                <w:szCs w:val="18"/>
              </w:rPr>
              <w:t>68,313,666.58</w:t>
            </w:r>
          </w:p>
        </w:tc>
        <w:tc>
          <w:tcPr>
            <w:tcW w:w="1674" w:type="dxa"/>
            <w:shd w:val="clear" w:color="auto" w:fill="auto"/>
            <w:vAlign w:val="center"/>
          </w:tcPr>
          <w:p w:rsidR="00314226" w:rsidRPr="00A71D2E" w:rsidRDefault="00314226" w:rsidP="00314226">
            <w:pPr>
              <w:ind w:right="87"/>
              <w:jc w:val="right"/>
              <w:rPr>
                <w:rFonts w:eastAsia="宋体" w:cs="Times New Roman"/>
                <w:sz w:val="18"/>
                <w:szCs w:val="18"/>
              </w:rPr>
            </w:pPr>
            <w:r w:rsidRPr="00A71D2E">
              <w:rPr>
                <w:rFonts w:eastAsia="宋体" w:cs="Times New Roman"/>
                <w:sz w:val="18"/>
                <w:szCs w:val="18"/>
              </w:rPr>
              <w:t>24,790,052.28</w:t>
            </w:r>
          </w:p>
        </w:tc>
      </w:tr>
      <w:tr w:rsidR="00314226" w:rsidRPr="00A71D2E" w:rsidTr="0027505B">
        <w:trPr>
          <w:trHeight w:val="20"/>
        </w:trPr>
        <w:tc>
          <w:tcPr>
            <w:tcW w:w="6105" w:type="dxa"/>
            <w:shd w:val="clear" w:color="auto" w:fill="auto"/>
            <w:tcMar>
              <w:top w:w="0" w:type="dxa"/>
              <w:left w:w="108" w:type="dxa"/>
              <w:bottom w:w="0" w:type="dxa"/>
              <w:right w:w="108" w:type="dxa"/>
            </w:tcMar>
            <w:vAlign w:val="center"/>
          </w:tcPr>
          <w:p w:rsidR="00314226" w:rsidRPr="00A71D2E" w:rsidRDefault="00314226" w:rsidP="00314226">
            <w:pPr>
              <w:rPr>
                <w:rFonts w:eastAsia="宋体" w:cs="Times New Roman"/>
                <w:sz w:val="18"/>
                <w:szCs w:val="18"/>
              </w:rPr>
            </w:pPr>
            <w:r w:rsidRPr="00A71D2E">
              <w:rPr>
                <w:rFonts w:eastAsia="宋体" w:cs="Times New Roman" w:hint="eastAsia"/>
                <w:sz w:val="18"/>
                <w:szCs w:val="18"/>
              </w:rPr>
              <w:t>预缴企业所得税</w:t>
            </w:r>
          </w:p>
        </w:tc>
        <w:tc>
          <w:tcPr>
            <w:tcW w:w="1674" w:type="dxa"/>
            <w:shd w:val="clear" w:color="auto" w:fill="auto"/>
            <w:vAlign w:val="center"/>
          </w:tcPr>
          <w:p w:rsidR="00314226" w:rsidRPr="00A71D2E" w:rsidRDefault="00525209" w:rsidP="00314226">
            <w:pPr>
              <w:ind w:right="87"/>
              <w:jc w:val="right"/>
              <w:rPr>
                <w:rFonts w:eastAsia="宋体" w:cs="Times New Roman"/>
                <w:sz w:val="18"/>
                <w:szCs w:val="18"/>
              </w:rPr>
            </w:pPr>
            <w:r w:rsidRPr="00525209">
              <w:rPr>
                <w:rFonts w:eastAsia="宋体" w:cs="Times New Roman"/>
                <w:sz w:val="18"/>
                <w:szCs w:val="18"/>
              </w:rPr>
              <w:t>4,064,949.29</w:t>
            </w:r>
          </w:p>
        </w:tc>
        <w:tc>
          <w:tcPr>
            <w:tcW w:w="1674" w:type="dxa"/>
            <w:shd w:val="clear" w:color="auto" w:fill="auto"/>
            <w:vAlign w:val="center"/>
          </w:tcPr>
          <w:p w:rsidR="00314226" w:rsidRPr="00A71D2E" w:rsidRDefault="00314226" w:rsidP="00314226">
            <w:pPr>
              <w:ind w:right="87"/>
              <w:jc w:val="right"/>
              <w:rPr>
                <w:rFonts w:eastAsia="宋体" w:cs="Times New Roman"/>
                <w:sz w:val="18"/>
                <w:szCs w:val="18"/>
              </w:rPr>
            </w:pPr>
            <w:r w:rsidRPr="00A71D2E">
              <w:rPr>
                <w:rFonts w:eastAsia="宋体" w:cs="Times New Roman"/>
                <w:sz w:val="18"/>
                <w:szCs w:val="18"/>
              </w:rPr>
              <w:t>17,878,731.29</w:t>
            </w:r>
          </w:p>
        </w:tc>
      </w:tr>
      <w:tr w:rsidR="00314226" w:rsidRPr="00A71D2E" w:rsidTr="0027505B">
        <w:trPr>
          <w:trHeight w:val="20"/>
        </w:trPr>
        <w:tc>
          <w:tcPr>
            <w:tcW w:w="6105" w:type="dxa"/>
            <w:shd w:val="clear" w:color="auto" w:fill="auto"/>
            <w:tcMar>
              <w:top w:w="0" w:type="dxa"/>
              <w:left w:w="108" w:type="dxa"/>
              <w:bottom w:w="0" w:type="dxa"/>
              <w:right w:w="108" w:type="dxa"/>
            </w:tcMar>
            <w:vAlign w:val="center"/>
          </w:tcPr>
          <w:p w:rsidR="00314226" w:rsidRPr="00A71D2E" w:rsidRDefault="00314226" w:rsidP="00314226">
            <w:pPr>
              <w:rPr>
                <w:rFonts w:eastAsia="宋体" w:cs="Times New Roman"/>
                <w:sz w:val="18"/>
                <w:szCs w:val="18"/>
              </w:rPr>
            </w:pPr>
            <w:r w:rsidRPr="00A71D2E">
              <w:rPr>
                <w:rFonts w:eastAsia="宋体" w:cs="Times New Roman" w:hint="eastAsia"/>
                <w:sz w:val="18"/>
                <w:szCs w:val="18"/>
              </w:rPr>
              <w:t>待摊费用</w:t>
            </w:r>
          </w:p>
        </w:tc>
        <w:tc>
          <w:tcPr>
            <w:tcW w:w="1674" w:type="dxa"/>
            <w:shd w:val="clear" w:color="auto" w:fill="auto"/>
            <w:vAlign w:val="center"/>
          </w:tcPr>
          <w:p w:rsidR="00314226" w:rsidRPr="00A71D2E" w:rsidRDefault="00525209" w:rsidP="00314226">
            <w:pPr>
              <w:ind w:right="87"/>
              <w:jc w:val="right"/>
              <w:rPr>
                <w:rFonts w:eastAsia="宋体" w:cs="Times New Roman"/>
                <w:sz w:val="18"/>
                <w:szCs w:val="18"/>
              </w:rPr>
            </w:pPr>
            <w:r w:rsidRPr="00525209">
              <w:rPr>
                <w:rFonts w:eastAsia="宋体" w:cs="Times New Roman"/>
                <w:sz w:val="18"/>
                <w:szCs w:val="18"/>
              </w:rPr>
              <w:t>4,140,296.80</w:t>
            </w:r>
          </w:p>
        </w:tc>
        <w:tc>
          <w:tcPr>
            <w:tcW w:w="1674" w:type="dxa"/>
            <w:shd w:val="clear" w:color="auto" w:fill="auto"/>
            <w:vAlign w:val="center"/>
          </w:tcPr>
          <w:p w:rsidR="00314226" w:rsidRPr="00A71D2E" w:rsidRDefault="00314226" w:rsidP="00314226">
            <w:pPr>
              <w:ind w:right="87"/>
              <w:jc w:val="right"/>
              <w:rPr>
                <w:rFonts w:eastAsia="宋体" w:cs="Times New Roman"/>
                <w:sz w:val="18"/>
                <w:szCs w:val="18"/>
              </w:rPr>
            </w:pPr>
            <w:r w:rsidRPr="00A71D2E">
              <w:rPr>
                <w:rFonts w:eastAsia="宋体" w:cs="Times New Roman"/>
                <w:sz w:val="18"/>
                <w:szCs w:val="18"/>
              </w:rPr>
              <w:t>4,263,591.10</w:t>
            </w:r>
          </w:p>
        </w:tc>
      </w:tr>
      <w:tr w:rsidR="00314226" w:rsidRPr="00A71D2E" w:rsidTr="0027505B">
        <w:trPr>
          <w:trHeight w:val="20"/>
        </w:trPr>
        <w:tc>
          <w:tcPr>
            <w:tcW w:w="6105" w:type="dxa"/>
            <w:shd w:val="clear" w:color="auto" w:fill="auto"/>
            <w:tcMar>
              <w:top w:w="0" w:type="dxa"/>
              <w:left w:w="108" w:type="dxa"/>
              <w:bottom w:w="0" w:type="dxa"/>
              <w:right w:w="108" w:type="dxa"/>
            </w:tcMar>
            <w:vAlign w:val="center"/>
          </w:tcPr>
          <w:p w:rsidR="00314226" w:rsidRPr="00A71D2E" w:rsidRDefault="00314226" w:rsidP="00314226">
            <w:pPr>
              <w:rPr>
                <w:rFonts w:eastAsia="宋体" w:cs="Times New Roman"/>
                <w:sz w:val="18"/>
                <w:szCs w:val="18"/>
              </w:rPr>
            </w:pPr>
            <w:r w:rsidRPr="00A71D2E">
              <w:rPr>
                <w:rFonts w:eastAsia="宋体" w:cs="Times New Roman" w:hint="eastAsia"/>
                <w:sz w:val="18"/>
                <w:szCs w:val="18"/>
              </w:rPr>
              <w:t>应收退货成本</w:t>
            </w:r>
          </w:p>
        </w:tc>
        <w:tc>
          <w:tcPr>
            <w:tcW w:w="1674" w:type="dxa"/>
            <w:shd w:val="clear" w:color="auto" w:fill="auto"/>
            <w:vAlign w:val="center"/>
          </w:tcPr>
          <w:p w:rsidR="00314226" w:rsidRPr="00A71D2E" w:rsidRDefault="00525209" w:rsidP="00314226">
            <w:pPr>
              <w:ind w:right="87"/>
              <w:jc w:val="right"/>
              <w:rPr>
                <w:rFonts w:eastAsia="宋体" w:cs="Times New Roman"/>
                <w:sz w:val="18"/>
                <w:szCs w:val="18"/>
              </w:rPr>
            </w:pPr>
            <w:r w:rsidRPr="00525209">
              <w:rPr>
                <w:rFonts w:eastAsia="宋体" w:cs="Times New Roman"/>
                <w:sz w:val="18"/>
                <w:szCs w:val="18"/>
              </w:rPr>
              <w:t>4,032,773.53</w:t>
            </w:r>
          </w:p>
        </w:tc>
        <w:tc>
          <w:tcPr>
            <w:tcW w:w="1674" w:type="dxa"/>
            <w:shd w:val="clear" w:color="auto" w:fill="auto"/>
            <w:vAlign w:val="center"/>
          </w:tcPr>
          <w:p w:rsidR="00314226" w:rsidRPr="00A71D2E" w:rsidRDefault="00314226" w:rsidP="00314226">
            <w:pPr>
              <w:ind w:right="87"/>
              <w:jc w:val="right"/>
              <w:rPr>
                <w:rFonts w:eastAsia="宋体" w:cs="Times New Roman"/>
                <w:sz w:val="18"/>
                <w:szCs w:val="18"/>
              </w:rPr>
            </w:pPr>
            <w:r w:rsidRPr="00A71D2E">
              <w:rPr>
                <w:rFonts w:eastAsia="宋体" w:cs="Times New Roman"/>
                <w:sz w:val="18"/>
                <w:szCs w:val="18"/>
              </w:rPr>
              <w:t>1,699,081.47</w:t>
            </w:r>
          </w:p>
        </w:tc>
      </w:tr>
      <w:tr w:rsidR="00DB7EFB" w:rsidRPr="00A71D2E" w:rsidTr="0027505B">
        <w:trPr>
          <w:trHeight w:val="20"/>
        </w:trPr>
        <w:tc>
          <w:tcPr>
            <w:tcW w:w="6105" w:type="dxa"/>
            <w:shd w:val="clear" w:color="auto" w:fill="D9D9D9" w:themeFill="background1" w:themeFillShade="D9"/>
            <w:tcMar>
              <w:top w:w="0" w:type="dxa"/>
              <w:left w:w="108" w:type="dxa"/>
              <w:bottom w:w="0" w:type="dxa"/>
              <w:right w:w="108" w:type="dxa"/>
            </w:tcMar>
            <w:vAlign w:val="center"/>
            <w:hideMark/>
          </w:tcPr>
          <w:p w:rsidR="00DB7EFB" w:rsidRPr="00A71D2E" w:rsidRDefault="00DB7EFB" w:rsidP="00DB7EFB">
            <w:pPr>
              <w:rPr>
                <w:rFonts w:eastAsia="宋体" w:cs="Times New Roman"/>
                <w:sz w:val="18"/>
                <w:szCs w:val="18"/>
              </w:rPr>
            </w:pPr>
            <w:r w:rsidRPr="00A71D2E">
              <w:rPr>
                <w:rFonts w:eastAsia="宋体" w:cs="Times New Roman" w:hint="eastAsia"/>
                <w:sz w:val="18"/>
                <w:szCs w:val="18"/>
              </w:rPr>
              <w:t>合计</w:t>
            </w:r>
          </w:p>
        </w:tc>
        <w:tc>
          <w:tcPr>
            <w:tcW w:w="1674" w:type="dxa"/>
            <w:vAlign w:val="center"/>
          </w:tcPr>
          <w:p w:rsidR="00DB7EFB" w:rsidRPr="00A71D2E" w:rsidRDefault="00525209" w:rsidP="00DB7EFB">
            <w:pPr>
              <w:ind w:right="87"/>
              <w:jc w:val="right"/>
              <w:rPr>
                <w:rFonts w:eastAsia="宋体" w:cs="Times New Roman"/>
                <w:sz w:val="18"/>
                <w:szCs w:val="18"/>
              </w:rPr>
            </w:pPr>
            <w:r w:rsidRPr="00525209">
              <w:rPr>
                <w:rFonts w:eastAsia="宋体" w:cs="Times New Roman"/>
                <w:sz w:val="18"/>
                <w:szCs w:val="18"/>
              </w:rPr>
              <w:t>80,551,686.20</w:t>
            </w:r>
          </w:p>
        </w:tc>
        <w:tc>
          <w:tcPr>
            <w:tcW w:w="1674" w:type="dxa"/>
            <w:vAlign w:val="center"/>
          </w:tcPr>
          <w:p w:rsidR="00DB7EFB" w:rsidRPr="00A71D2E" w:rsidRDefault="00DB7EFB" w:rsidP="00DB7EFB">
            <w:pPr>
              <w:ind w:right="87"/>
              <w:jc w:val="right"/>
              <w:rPr>
                <w:rFonts w:eastAsia="宋体" w:cs="Times New Roman"/>
                <w:sz w:val="18"/>
                <w:szCs w:val="18"/>
              </w:rPr>
            </w:pPr>
            <w:r w:rsidRPr="00A71D2E">
              <w:rPr>
                <w:rFonts w:eastAsia="宋体" w:cs="Times New Roman"/>
                <w:sz w:val="18"/>
                <w:szCs w:val="18"/>
              </w:rPr>
              <w:t>48,631,456.14</w:t>
            </w:r>
          </w:p>
        </w:tc>
      </w:tr>
    </w:tbl>
    <w:p w:rsidR="00F602A1" w:rsidRPr="00D3198A" w:rsidRDefault="00F602A1">
      <w:pPr>
        <w:ind w:left="720"/>
        <w:jc w:val="both"/>
        <w:rPr>
          <w:rFonts w:eastAsia="宋体" w:cs="Times New Roman"/>
          <w:szCs w:val="21"/>
        </w:rPr>
      </w:pPr>
    </w:p>
    <w:p w:rsidR="007D47F9" w:rsidRPr="00A71D2E" w:rsidRDefault="007D47F9">
      <w:pPr>
        <w:pStyle w:val="2"/>
        <w:numPr>
          <w:ilvl w:val="2"/>
          <w:numId w:val="1"/>
        </w:numPr>
        <w:adjustRightInd w:val="0"/>
        <w:snapToGrid w:val="0"/>
        <w:ind w:left="1440" w:hanging="720"/>
        <w:contextualSpacing w:val="0"/>
        <w:rPr>
          <w:rFonts w:ascii="Times New Roman" w:eastAsia="宋体" w:hAnsi="Times New Roman" w:cs="Times New Roman"/>
          <w:bCs/>
          <w:szCs w:val="21"/>
          <w:lang w:val="x-none"/>
        </w:rPr>
      </w:pPr>
      <w:r w:rsidRPr="00A71D2E">
        <w:rPr>
          <w:rFonts w:ascii="Times New Roman" w:eastAsia="宋体" w:hAnsi="Times New Roman" w:cs="Times New Roman" w:hint="eastAsia"/>
          <w:bCs/>
          <w:szCs w:val="21"/>
          <w:lang w:val="x-none"/>
        </w:rPr>
        <w:t>长期</w:t>
      </w:r>
      <w:r w:rsidRPr="00A71D2E">
        <w:rPr>
          <w:rFonts w:ascii="Times New Roman" w:eastAsia="宋体" w:hAnsi="Times New Roman" w:cs="Times New Roman" w:hint="eastAsia"/>
        </w:rPr>
        <w:t>应收</w:t>
      </w:r>
      <w:r w:rsidRPr="00A71D2E">
        <w:rPr>
          <w:rFonts w:ascii="Times New Roman" w:eastAsia="宋体" w:hAnsi="Times New Roman" w:cs="Times New Roman" w:hint="eastAsia"/>
          <w:bCs/>
          <w:szCs w:val="21"/>
          <w:lang w:val="x-none"/>
        </w:rPr>
        <w:t>款</w:t>
      </w:r>
    </w:p>
    <w:p w:rsidR="007D47F9" w:rsidRPr="00A71D2E" w:rsidRDefault="007D47F9">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3" w:type="dxa"/>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0" w:type="dxa"/>
          <w:right w:w="0" w:type="dxa"/>
        </w:tblCellMar>
        <w:tblLook w:val="04A0" w:firstRow="1" w:lastRow="0" w:firstColumn="1" w:lastColumn="0" w:noHBand="0" w:noVBand="1"/>
      </w:tblPr>
      <w:tblGrid>
        <w:gridCol w:w="6105"/>
        <w:gridCol w:w="1674"/>
        <w:gridCol w:w="1674"/>
      </w:tblGrid>
      <w:tr w:rsidR="0005640E" w:rsidRPr="00A71D2E" w:rsidTr="0027505B">
        <w:trPr>
          <w:trHeight w:val="144"/>
        </w:trPr>
        <w:tc>
          <w:tcPr>
            <w:tcW w:w="6105" w:type="dxa"/>
            <w:shd w:val="clear" w:color="auto" w:fill="D9D9D9"/>
            <w:tcMar>
              <w:top w:w="0" w:type="dxa"/>
              <w:left w:w="108" w:type="dxa"/>
              <w:bottom w:w="0" w:type="dxa"/>
              <w:right w:w="108" w:type="dxa"/>
            </w:tcMar>
            <w:vAlign w:val="center"/>
            <w:hideMark/>
          </w:tcPr>
          <w:p w:rsidR="0005640E" w:rsidRPr="00A71D2E" w:rsidRDefault="0005640E">
            <w:pPr>
              <w:jc w:val="center"/>
              <w:rPr>
                <w:rFonts w:eastAsia="宋体" w:cs="Times New Roman"/>
                <w:sz w:val="18"/>
                <w:szCs w:val="18"/>
              </w:rPr>
            </w:pPr>
            <w:r w:rsidRPr="00A71D2E">
              <w:rPr>
                <w:rFonts w:eastAsia="宋体" w:cs="Times New Roman" w:hint="eastAsia"/>
                <w:sz w:val="18"/>
                <w:szCs w:val="18"/>
              </w:rPr>
              <w:t>项目</w:t>
            </w:r>
          </w:p>
        </w:tc>
        <w:tc>
          <w:tcPr>
            <w:tcW w:w="1674" w:type="dxa"/>
            <w:shd w:val="clear" w:color="auto" w:fill="D9D9D9"/>
            <w:vAlign w:val="center"/>
          </w:tcPr>
          <w:p w:rsidR="0005640E" w:rsidRPr="00A71D2E" w:rsidRDefault="0005640E">
            <w:pPr>
              <w:ind w:left="-17" w:right="-15"/>
              <w:jc w:val="center"/>
              <w:rPr>
                <w:rFonts w:eastAsia="宋体" w:cs="Times New Roman"/>
                <w:sz w:val="18"/>
                <w:szCs w:val="18"/>
              </w:rPr>
            </w:pPr>
            <w:r w:rsidRPr="00A71D2E">
              <w:rPr>
                <w:rFonts w:eastAsia="宋体" w:cs="Times New Roman" w:hint="eastAsia"/>
                <w:sz w:val="18"/>
                <w:szCs w:val="18"/>
              </w:rPr>
              <w:t>年末余额</w:t>
            </w:r>
          </w:p>
        </w:tc>
        <w:tc>
          <w:tcPr>
            <w:tcW w:w="1674" w:type="dxa"/>
            <w:shd w:val="clear" w:color="auto" w:fill="D9D9D9"/>
            <w:vAlign w:val="center"/>
          </w:tcPr>
          <w:p w:rsidR="0005640E" w:rsidRPr="00A71D2E" w:rsidRDefault="0005640E">
            <w:pPr>
              <w:ind w:left="-17" w:right="-15"/>
              <w:jc w:val="center"/>
              <w:rPr>
                <w:rFonts w:eastAsia="宋体" w:cs="Times New Roman"/>
                <w:sz w:val="18"/>
                <w:szCs w:val="18"/>
              </w:rPr>
            </w:pPr>
            <w:r w:rsidRPr="00A71D2E">
              <w:rPr>
                <w:rFonts w:eastAsia="宋体" w:cs="Times New Roman" w:hint="eastAsia"/>
                <w:sz w:val="18"/>
                <w:szCs w:val="18"/>
              </w:rPr>
              <w:t>年初余额</w:t>
            </w:r>
          </w:p>
        </w:tc>
      </w:tr>
      <w:tr w:rsidR="0005640E" w:rsidRPr="00A71D2E" w:rsidTr="0027505B">
        <w:trPr>
          <w:trHeight w:val="144"/>
        </w:trPr>
        <w:tc>
          <w:tcPr>
            <w:tcW w:w="6105" w:type="dxa"/>
            <w:shd w:val="clear" w:color="auto" w:fill="auto"/>
            <w:tcMar>
              <w:top w:w="0" w:type="dxa"/>
              <w:left w:w="108" w:type="dxa"/>
              <w:bottom w:w="0" w:type="dxa"/>
              <w:right w:w="108" w:type="dxa"/>
            </w:tcMar>
            <w:vAlign w:val="center"/>
          </w:tcPr>
          <w:p w:rsidR="0005640E" w:rsidRPr="00A71D2E" w:rsidRDefault="0005640E" w:rsidP="00317F6E">
            <w:pPr>
              <w:rPr>
                <w:rFonts w:eastAsia="宋体" w:cs="Times New Roman"/>
                <w:sz w:val="18"/>
                <w:szCs w:val="18"/>
              </w:rPr>
            </w:pPr>
            <w:r w:rsidRPr="00A71D2E">
              <w:rPr>
                <w:rFonts w:eastAsia="宋体" w:cs="Times New Roman" w:hint="eastAsia"/>
                <w:sz w:val="18"/>
                <w:szCs w:val="18"/>
              </w:rPr>
              <w:t>员工住房借款</w:t>
            </w:r>
          </w:p>
        </w:tc>
        <w:tc>
          <w:tcPr>
            <w:tcW w:w="1674" w:type="dxa"/>
            <w:shd w:val="clear" w:color="auto" w:fill="auto"/>
            <w:vAlign w:val="center"/>
          </w:tcPr>
          <w:p w:rsidR="0005640E" w:rsidRPr="00A71D2E" w:rsidRDefault="0005640E" w:rsidP="00317F6E">
            <w:pPr>
              <w:ind w:right="87"/>
              <w:jc w:val="right"/>
              <w:rPr>
                <w:rFonts w:eastAsia="宋体" w:cs="Times New Roman"/>
                <w:sz w:val="18"/>
                <w:szCs w:val="18"/>
              </w:rPr>
            </w:pPr>
            <w:r w:rsidRPr="002B4A24">
              <w:rPr>
                <w:rFonts w:eastAsia="宋体" w:cs="Times New Roman"/>
                <w:sz w:val="18"/>
                <w:szCs w:val="18"/>
              </w:rPr>
              <w:t>24,541,370.83</w:t>
            </w:r>
          </w:p>
        </w:tc>
        <w:tc>
          <w:tcPr>
            <w:tcW w:w="1674" w:type="dxa"/>
            <w:shd w:val="clear" w:color="auto" w:fill="auto"/>
            <w:vAlign w:val="center"/>
          </w:tcPr>
          <w:p w:rsidR="0005640E" w:rsidRPr="00A71D2E" w:rsidRDefault="0005640E" w:rsidP="00317F6E">
            <w:pPr>
              <w:ind w:right="87"/>
              <w:jc w:val="right"/>
              <w:rPr>
                <w:rFonts w:eastAsia="宋体" w:cs="Times New Roman"/>
                <w:sz w:val="18"/>
                <w:szCs w:val="18"/>
              </w:rPr>
            </w:pPr>
            <w:r w:rsidRPr="00A71D2E">
              <w:rPr>
                <w:rFonts w:eastAsia="宋体" w:cs="Times New Roman"/>
                <w:sz w:val="18"/>
                <w:szCs w:val="18"/>
              </w:rPr>
              <w:t>27,368,698.98</w:t>
            </w:r>
          </w:p>
        </w:tc>
      </w:tr>
      <w:tr w:rsidR="0005640E" w:rsidRPr="00A71D2E" w:rsidTr="0027505B">
        <w:trPr>
          <w:trHeight w:val="144"/>
        </w:trPr>
        <w:tc>
          <w:tcPr>
            <w:tcW w:w="6105" w:type="dxa"/>
            <w:shd w:val="clear" w:color="auto" w:fill="auto"/>
            <w:tcMar>
              <w:top w:w="0" w:type="dxa"/>
              <w:left w:w="108" w:type="dxa"/>
              <w:bottom w:w="0" w:type="dxa"/>
              <w:right w:w="108" w:type="dxa"/>
            </w:tcMar>
            <w:vAlign w:val="center"/>
          </w:tcPr>
          <w:p w:rsidR="0005640E" w:rsidRPr="00A71D2E" w:rsidRDefault="0005640E" w:rsidP="00317F6E">
            <w:pPr>
              <w:rPr>
                <w:rFonts w:eastAsia="宋体" w:cs="Times New Roman"/>
                <w:sz w:val="18"/>
                <w:szCs w:val="18"/>
              </w:rPr>
            </w:pPr>
            <w:r w:rsidRPr="00A71D2E">
              <w:rPr>
                <w:rFonts w:eastAsia="宋体" w:cs="Times New Roman" w:hint="eastAsia"/>
                <w:sz w:val="18"/>
                <w:szCs w:val="18"/>
              </w:rPr>
              <w:t>其中</w:t>
            </w:r>
            <w:r w:rsidR="005F14EE">
              <w:rPr>
                <w:rFonts w:eastAsia="宋体" w:cs="Times New Roman" w:hint="eastAsia"/>
                <w:sz w:val="18"/>
                <w:szCs w:val="18"/>
              </w:rPr>
              <w:t>：</w:t>
            </w:r>
            <w:r w:rsidRPr="00A71D2E">
              <w:rPr>
                <w:rFonts w:eastAsia="宋体" w:cs="Times New Roman" w:hint="eastAsia"/>
                <w:sz w:val="18"/>
                <w:szCs w:val="18"/>
              </w:rPr>
              <w:t>未实现融资收益</w:t>
            </w:r>
          </w:p>
        </w:tc>
        <w:tc>
          <w:tcPr>
            <w:tcW w:w="1674" w:type="dxa"/>
            <w:shd w:val="clear" w:color="auto" w:fill="auto"/>
            <w:vAlign w:val="center"/>
          </w:tcPr>
          <w:p w:rsidR="0005640E" w:rsidRPr="00A71D2E" w:rsidRDefault="0005640E" w:rsidP="00317F6E">
            <w:pPr>
              <w:ind w:right="87"/>
              <w:jc w:val="right"/>
              <w:rPr>
                <w:rFonts w:eastAsia="宋体" w:cs="Times New Roman"/>
                <w:sz w:val="18"/>
                <w:szCs w:val="18"/>
              </w:rPr>
            </w:pPr>
            <w:r w:rsidRPr="002B4A24">
              <w:rPr>
                <w:rFonts w:eastAsia="宋体" w:cs="Times New Roman"/>
                <w:sz w:val="18"/>
                <w:szCs w:val="18"/>
              </w:rPr>
              <w:t>2,229,959.17</w:t>
            </w:r>
          </w:p>
        </w:tc>
        <w:tc>
          <w:tcPr>
            <w:tcW w:w="1674" w:type="dxa"/>
            <w:shd w:val="clear" w:color="auto" w:fill="auto"/>
            <w:vAlign w:val="center"/>
          </w:tcPr>
          <w:p w:rsidR="0005640E" w:rsidRPr="00A71D2E" w:rsidRDefault="0005640E" w:rsidP="00317F6E">
            <w:pPr>
              <w:ind w:right="87"/>
              <w:jc w:val="right"/>
              <w:rPr>
                <w:rFonts w:eastAsia="宋体" w:cs="Times New Roman"/>
                <w:sz w:val="18"/>
                <w:szCs w:val="18"/>
              </w:rPr>
            </w:pPr>
            <w:r w:rsidRPr="00A71D2E">
              <w:rPr>
                <w:rFonts w:eastAsia="宋体" w:cs="Times New Roman"/>
                <w:sz w:val="18"/>
                <w:szCs w:val="18"/>
              </w:rPr>
              <w:t>3,409,701.02</w:t>
            </w:r>
          </w:p>
        </w:tc>
      </w:tr>
      <w:tr w:rsidR="0005640E" w:rsidRPr="00A71D2E" w:rsidTr="0027505B">
        <w:trPr>
          <w:trHeight w:val="144"/>
        </w:trPr>
        <w:tc>
          <w:tcPr>
            <w:tcW w:w="6105" w:type="dxa"/>
            <w:shd w:val="clear" w:color="auto" w:fill="auto"/>
            <w:tcMar>
              <w:top w:w="0" w:type="dxa"/>
              <w:left w:w="108" w:type="dxa"/>
              <w:bottom w:w="0" w:type="dxa"/>
              <w:right w:w="108" w:type="dxa"/>
            </w:tcMar>
            <w:vAlign w:val="center"/>
          </w:tcPr>
          <w:p w:rsidR="0005640E" w:rsidRPr="00A71D2E" w:rsidRDefault="0005640E" w:rsidP="00317F6E">
            <w:pPr>
              <w:rPr>
                <w:rFonts w:eastAsia="宋体" w:cs="Times New Roman"/>
                <w:sz w:val="18"/>
                <w:szCs w:val="18"/>
              </w:rPr>
            </w:pPr>
            <w:r w:rsidRPr="00A71D2E">
              <w:rPr>
                <w:rFonts w:eastAsia="宋体" w:cs="Times New Roman" w:hint="eastAsia"/>
                <w:sz w:val="18"/>
                <w:szCs w:val="18"/>
              </w:rPr>
              <w:t>减</w:t>
            </w:r>
            <w:r w:rsidR="005F14EE">
              <w:rPr>
                <w:rFonts w:eastAsia="宋体" w:cs="Times New Roman" w:hint="eastAsia"/>
                <w:sz w:val="18"/>
                <w:szCs w:val="18"/>
              </w:rPr>
              <w:t>：</w:t>
            </w:r>
            <w:r w:rsidRPr="00A71D2E">
              <w:rPr>
                <w:rFonts w:eastAsia="宋体" w:cs="Times New Roman" w:hint="eastAsia"/>
                <w:sz w:val="18"/>
                <w:szCs w:val="18"/>
              </w:rPr>
              <w:t>一年内到期的员工住房借款</w:t>
            </w:r>
            <w:r w:rsidR="005F14EE">
              <w:rPr>
                <w:rFonts w:eastAsia="宋体" w:cs="Times New Roman"/>
                <w:sz w:val="18"/>
                <w:szCs w:val="18"/>
              </w:rPr>
              <w:t>(</w:t>
            </w:r>
            <w:r w:rsidRPr="00A71D2E">
              <w:rPr>
                <w:rFonts w:eastAsia="宋体" w:cs="Times New Roman" w:hint="eastAsia"/>
                <w:sz w:val="18"/>
                <w:szCs w:val="18"/>
              </w:rPr>
              <w:t>附注五、</w:t>
            </w:r>
            <w:r w:rsidRPr="00A71D2E">
              <w:rPr>
                <w:rFonts w:eastAsia="宋体" w:cs="Times New Roman"/>
                <w:sz w:val="18"/>
                <w:szCs w:val="18"/>
              </w:rPr>
              <w:t>8</w:t>
            </w:r>
            <w:r w:rsidR="005F14EE">
              <w:rPr>
                <w:rFonts w:eastAsia="宋体" w:cs="Times New Roman"/>
                <w:sz w:val="18"/>
                <w:szCs w:val="18"/>
              </w:rPr>
              <w:t>)</w:t>
            </w:r>
          </w:p>
        </w:tc>
        <w:tc>
          <w:tcPr>
            <w:tcW w:w="1674" w:type="dxa"/>
            <w:shd w:val="clear" w:color="auto" w:fill="auto"/>
            <w:vAlign w:val="center"/>
          </w:tcPr>
          <w:p w:rsidR="0005640E" w:rsidRPr="00A71D2E" w:rsidRDefault="0005640E" w:rsidP="00317F6E">
            <w:pPr>
              <w:ind w:right="87"/>
              <w:jc w:val="right"/>
              <w:rPr>
                <w:rFonts w:eastAsia="宋体" w:cs="Times New Roman"/>
                <w:sz w:val="18"/>
                <w:szCs w:val="18"/>
              </w:rPr>
            </w:pPr>
            <w:r w:rsidRPr="002B4A24">
              <w:rPr>
                <w:rFonts w:eastAsia="宋体" w:cs="Times New Roman"/>
                <w:sz w:val="18"/>
                <w:szCs w:val="18"/>
              </w:rPr>
              <w:t>8,681,589.12</w:t>
            </w:r>
          </w:p>
        </w:tc>
        <w:tc>
          <w:tcPr>
            <w:tcW w:w="1674" w:type="dxa"/>
            <w:shd w:val="clear" w:color="auto" w:fill="auto"/>
            <w:vAlign w:val="center"/>
          </w:tcPr>
          <w:p w:rsidR="0005640E" w:rsidRPr="00A71D2E" w:rsidRDefault="0005640E" w:rsidP="00317F6E">
            <w:pPr>
              <w:ind w:right="87"/>
              <w:jc w:val="right"/>
              <w:rPr>
                <w:rFonts w:eastAsia="宋体" w:cs="Times New Roman"/>
                <w:sz w:val="18"/>
                <w:szCs w:val="18"/>
              </w:rPr>
            </w:pPr>
            <w:r w:rsidRPr="00A71D2E">
              <w:rPr>
                <w:rFonts w:eastAsia="宋体" w:cs="Times New Roman"/>
                <w:sz w:val="18"/>
                <w:szCs w:val="18"/>
              </w:rPr>
              <w:t>8,945,100.00</w:t>
            </w:r>
          </w:p>
        </w:tc>
      </w:tr>
      <w:tr w:rsidR="0005640E" w:rsidRPr="00A71D2E" w:rsidTr="0027505B">
        <w:trPr>
          <w:trHeight w:val="144"/>
        </w:trPr>
        <w:tc>
          <w:tcPr>
            <w:tcW w:w="6105" w:type="dxa"/>
            <w:shd w:val="clear" w:color="auto" w:fill="D9D9D9"/>
            <w:tcMar>
              <w:top w:w="0" w:type="dxa"/>
              <w:left w:w="108" w:type="dxa"/>
              <w:bottom w:w="0" w:type="dxa"/>
              <w:right w:w="108" w:type="dxa"/>
            </w:tcMar>
            <w:vAlign w:val="center"/>
            <w:hideMark/>
          </w:tcPr>
          <w:p w:rsidR="0005640E" w:rsidRPr="00A71D2E" w:rsidRDefault="0005640E" w:rsidP="00317F6E">
            <w:pPr>
              <w:rPr>
                <w:rFonts w:eastAsia="宋体" w:cs="Times New Roman"/>
                <w:sz w:val="18"/>
                <w:szCs w:val="18"/>
              </w:rPr>
            </w:pPr>
            <w:r w:rsidRPr="00A71D2E">
              <w:rPr>
                <w:rFonts w:eastAsia="宋体" w:cs="Times New Roman" w:hint="eastAsia"/>
                <w:sz w:val="18"/>
                <w:szCs w:val="18"/>
              </w:rPr>
              <w:t>合计</w:t>
            </w:r>
          </w:p>
        </w:tc>
        <w:tc>
          <w:tcPr>
            <w:tcW w:w="1674" w:type="dxa"/>
            <w:shd w:val="clear" w:color="auto" w:fill="auto"/>
            <w:vAlign w:val="center"/>
          </w:tcPr>
          <w:p w:rsidR="0005640E" w:rsidRPr="00A71D2E" w:rsidRDefault="0005640E" w:rsidP="00317F6E">
            <w:pPr>
              <w:ind w:right="87"/>
              <w:jc w:val="right"/>
              <w:rPr>
                <w:rFonts w:eastAsia="宋体" w:cs="Times New Roman"/>
                <w:sz w:val="18"/>
                <w:szCs w:val="18"/>
              </w:rPr>
            </w:pPr>
            <w:r w:rsidRPr="002B4A24">
              <w:rPr>
                <w:rFonts w:eastAsia="宋体" w:cs="Times New Roman"/>
                <w:sz w:val="18"/>
                <w:szCs w:val="18"/>
              </w:rPr>
              <w:t>15,859,781.71</w:t>
            </w:r>
          </w:p>
        </w:tc>
        <w:tc>
          <w:tcPr>
            <w:tcW w:w="1674" w:type="dxa"/>
            <w:shd w:val="clear" w:color="auto" w:fill="auto"/>
            <w:vAlign w:val="center"/>
          </w:tcPr>
          <w:p w:rsidR="0005640E" w:rsidRPr="00A71D2E" w:rsidRDefault="0005640E" w:rsidP="00317F6E">
            <w:pPr>
              <w:ind w:right="87"/>
              <w:jc w:val="right"/>
              <w:rPr>
                <w:rFonts w:eastAsia="宋体" w:cs="Times New Roman"/>
                <w:sz w:val="18"/>
                <w:szCs w:val="18"/>
              </w:rPr>
            </w:pPr>
            <w:r w:rsidRPr="00A71D2E">
              <w:rPr>
                <w:rFonts w:eastAsia="宋体" w:cs="Times New Roman"/>
                <w:sz w:val="18"/>
                <w:szCs w:val="18"/>
              </w:rPr>
              <w:t>18,423,598.98</w:t>
            </w:r>
          </w:p>
        </w:tc>
      </w:tr>
    </w:tbl>
    <w:p w:rsidR="005F2AEA" w:rsidRPr="0027505B" w:rsidRDefault="005F2AEA" w:rsidP="0027505B">
      <w:pPr>
        <w:ind w:left="720"/>
        <w:jc w:val="both"/>
        <w:rPr>
          <w:rFonts w:asciiTheme="majorHAnsi" w:hAnsiTheme="majorHAnsi" w:cstheme="majorHAnsi"/>
        </w:rPr>
      </w:pPr>
    </w:p>
    <w:p w:rsidR="007D47F9" w:rsidRPr="00F66363" w:rsidRDefault="007D47F9">
      <w:pPr>
        <w:ind w:left="731"/>
        <w:jc w:val="both"/>
        <w:rPr>
          <w:rFonts w:eastAsia="宋体" w:cs="Times New Roman"/>
          <w:bCs/>
          <w:szCs w:val="21"/>
          <w:lang w:val="x-none"/>
        </w:rPr>
      </w:pPr>
      <w:r w:rsidRPr="00F66363">
        <w:rPr>
          <w:rFonts w:eastAsia="宋体" w:cs="Times New Roman" w:hint="eastAsia"/>
          <w:szCs w:val="21"/>
        </w:rPr>
        <w:t>本集团认为长期</w:t>
      </w:r>
      <w:proofErr w:type="gramStart"/>
      <w:r w:rsidRPr="00F66363">
        <w:rPr>
          <w:rFonts w:eastAsia="宋体" w:cs="Times New Roman" w:hint="eastAsia"/>
          <w:szCs w:val="21"/>
        </w:rPr>
        <w:t>应收员工</w:t>
      </w:r>
      <w:proofErr w:type="gramEnd"/>
      <w:r w:rsidR="00C63DDB" w:rsidRPr="00F66363">
        <w:rPr>
          <w:rFonts w:eastAsia="宋体" w:cs="Times New Roman" w:hint="eastAsia"/>
          <w:szCs w:val="21"/>
        </w:rPr>
        <w:t>住房</w:t>
      </w:r>
      <w:r w:rsidRPr="00F66363">
        <w:rPr>
          <w:rFonts w:eastAsia="宋体" w:cs="Times New Roman" w:hint="eastAsia"/>
          <w:szCs w:val="21"/>
        </w:rPr>
        <w:t>借款对应的员工均</w:t>
      </w:r>
      <w:r w:rsidR="00546FA6">
        <w:rPr>
          <w:rFonts w:eastAsia="宋体" w:cs="Times New Roman" w:hint="eastAsia"/>
          <w:szCs w:val="21"/>
        </w:rPr>
        <w:t>为</w:t>
      </w:r>
      <w:r w:rsidRPr="00F66363">
        <w:rPr>
          <w:rFonts w:eastAsia="宋体" w:cs="Times New Roman" w:hint="eastAsia"/>
          <w:szCs w:val="21"/>
        </w:rPr>
        <w:t>本集团</w:t>
      </w:r>
      <w:r w:rsidR="00546FA6">
        <w:rPr>
          <w:rFonts w:eastAsia="宋体" w:cs="Times New Roman" w:hint="eastAsia"/>
          <w:szCs w:val="21"/>
        </w:rPr>
        <w:t>在职员工</w:t>
      </w:r>
      <w:r w:rsidRPr="00F66363">
        <w:rPr>
          <w:rFonts w:eastAsia="宋体" w:cs="Times New Roman" w:hint="eastAsia"/>
          <w:szCs w:val="21"/>
        </w:rPr>
        <w:t>，本集团认为其不存在重大的信用风险，因此未计提损失准备。</w:t>
      </w:r>
    </w:p>
    <w:p w:rsidR="00A73D17" w:rsidRDefault="00A73D17">
      <w:pPr>
        <w:adjustRightInd/>
        <w:snapToGrid/>
        <w:rPr>
          <w:rFonts w:eastAsia="宋体" w:cs="Times New Roman"/>
          <w:szCs w:val="21"/>
        </w:rPr>
      </w:pPr>
      <w:r>
        <w:rPr>
          <w:rFonts w:eastAsia="宋体" w:cs="Times New Roman"/>
          <w:szCs w:val="21"/>
        </w:rPr>
        <w:br w:type="page"/>
      </w:r>
    </w:p>
    <w:p w:rsidR="00A73D17" w:rsidRPr="00A71D2E" w:rsidRDefault="005F14EE" w:rsidP="00A73D17">
      <w:pPr>
        <w:rPr>
          <w:rFonts w:eastAsia="宋体" w:cs="Times New Roman"/>
          <w:szCs w:val="21"/>
        </w:rPr>
      </w:pPr>
      <w:r>
        <w:rPr>
          <w:rFonts w:eastAsia="宋体" w:cs="Times New Roman"/>
          <w:b/>
          <w:szCs w:val="21"/>
        </w:rPr>
        <w:t>(</w:t>
      </w:r>
      <w:r w:rsidR="00A73D17" w:rsidRPr="00A71D2E">
        <w:rPr>
          <w:rFonts w:eastAsia="宋体" w:cs="Times New Roman" w:hint="eastAsia"/>
          <w:b/>
          <w:szCs w:val="21"/>
        </w:rPr>
        <w:t>五</w:t>
      </w:r>
      <w:r>
        <w:rPr>
          <w:rFonts w:eastAsia="宋体" w:cs="Times New Roman"/>
          <w:b/>
          <w:szCs w:val="21"/>
        </w:rPr>
        <w:t>)</w:t>
      </w:r>
      <w:r w:rsidR="00A73D17" w:rsidRPr="00A71D2E">
        <w:rPr>
          <w:rFonts w:eastAsia="宋体" w:cs="Times New Roman"/>
          <w:b/>
          <w:szCs w:val="21"/>
        </w:rPr>
        <w:tab/>
      </w:r>
      <w:r w:rsidR="00A73D17" w:rsidRPr="00A71D2E">
        <w:rPr>
          <w:rFonts w:eastAsia="宋体" w:cs="Times New Roman" w:hint="eastAsia"/>
          <w:b/>
          <w:szCs w:val="21"/>
        </w:rPr>
        <w:t>合并财务报表项目注释</w:t>
      </w:r>
      <w:r w:rsidR="00A73D17" w:rsidRPr="00A71D2E">
        <w:rPr>
          <w:rFonts w:eastAsia="宋体" w:cs="Times New Roman"/>
          <w:szCs w:val="21"/>
        </w:rPr>
        <w:t xml:space="preserve"> - </w:t>
      </w:r>
      <w:r w:rsidR="00A73D17" w:rsidRPr="00A71D2E">
        <w:rPr>
          <w:rFonts w:eastAsia="宋体" w:cs="Times New Roman" w:hint="eastAsia"/>
          <w:szCs w:val="21"/>
        </w:rPr>
        <w:t>续</w:t>
      </w:r>
    </w:p>
    <w:p w:rsidR="00CF4F54" w:rsidRPr="00A73D17" w:rsidRDefault="00CF4F54" w:rsidP="00616E8D">
      <w:pPr>
        <w:jc w:val="both"/>
        <w:rPr>
          <w:rFonts w:eastAsia="宋体" w:cs="Times New Roman"/>
          <w:szCs w:val="21"/>
        </w:rPr>
      </w:pPr>
    </w:p>
    <w:p w:rsidR="007D47F9" w:rsidRPr="00A71D2E" w:rsidRDefault="007D47F9" w:rsidP="00F66363">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固定资产</w:t>
      </w:r>
    </w:p>
    <w:p w:rsidR="007D47F9" w:rsidRPr="00A71D2E" w:rsidRDefault="007D47F9" w:rsidP="00F66363">
      <w:pPr>
        <w:ind w:left="720"/>
        <w:jc w:val="both"/>
        <w:rPr>
          <w:rFonts w:eastAsia="宋体" w:cs="Times New Roman"/>
          <w:szCs w:val="21"/>
        </w:rPr>
      </w:pPr>
    </w:p>
    <w:p w:rsidR="007D47F9" w:rsidRPr="00A71D2E" w:rsidRDefault="007D47F9" w:rsidP="00F66363">
      <w:pPr>
        <w:pStyle w:val="aff1"/>
        <w:numPr>
          <w:ilvl w:val="0"/>
          <w:numId w:val="8"/>
        </w:numPr>
        <w:ind w:left="1440" w:firstLineChars="0" w:hanging="709"/>
        <w:rPr>
          <w:szCs w:val="21"/>
        </w:rPr>
      </w:pPr>
      <w:r w:rsidRPr="00A71D2E">
        <w:rPr>
          <w:rFonts w:hint="eastAsia"/>
          <w:bCs/>
          <w:szCs w:val="21"/>
          <w:lang w:val="x-none"/>
        </w:rPr>
        <w:t>固定资产</w:t>
      </w:r>
      <w:r w:rsidRPr="00A71D2E">
        <w:rPr>
          <w:rFonts w:hint="eastAsia"/>
          <w:szCs w:val="21"/>
        </w:rPr>
        <w:t>情况</w:t>
      </w:r>
    </w:p>
    <w:p w:rsidR="0057757E" w:rsidRPr="00A71D2E" w:rsidRDefault="0057757E" w:rsidP="00F66363">
      <w:pPr>
        <w:ind w:left="5040" w:right="9"/>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4645"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12"/>
        <w:gridCol w:w="1683"/>
        <w:gridCol w:w="1684"/>
        <w:gridCol w:w="1683"/>
        <w:gridCol w:w="1684"/>
      </w:tblGrid>
      <w:tr w:rsidR="0057757E" w:rsidRPr="00191322" w:rsidTr="0027505B">
        <w:trPr>
          <w:trHeight w:val="20"/>
        </w:trPr>
        <w:tc>
          <w:tcPr>
            <w:tcW w:w="2712" w:type="dxa"/>
            <w:shd w:val="clear" w:color="auto" w:fill="D9D9D9" w:themeFill="background1" w:themeFillShade="D9"/>
            <w:tcMar>
              <w:top w:w="0" w:type="dxa"/>
              <w:left w:w="108" w:type="dxa"/>
              <w:bottom w:w="0" w:type="dxa"/>
              <w:right w:w="108" w:type="dxa"/>
            </w:tcMar>
            <w:vAlign w:val="center"/>
            <w:hideMark/>
          </w:tcPr>
          <w:p w:rsidR="0057757E" w:rsidRPr="00191322" w:rsidRDefault="0057757E" w:rsidP="00F66363">
            <w:pPr>
              <w:jc w:val="center"/>
              <w:rPr>
                <w:rFonts w:eastAsia="宋体" w:cs="Times New Roman"/>
                <w:sz w:val="18"/>
                <w:szCs w:val="18"/>
              </w:rPr>
            </w:pPr>
            <w:r w:rsidRPr="00191322">
              <w:rPr>
                <w:rFonts w:eastAsia="宋体" w:cs="Times New Roman" w:hint="eastAsia"/>
                <w:sz w:val="18"/>
                <w:szCs w:val="18"/>
              </w:rPr>
              <w:t>项目</w:t>
            </w:r>
          </w:p>
        </w:tc>
        <w:tc>
          <w:tcPr>
            <w:tcW w:w="1683" w:type="dxa"/>
            <w:shd w:val="clear" w:color="auto" w:fill="D9D9D9" w:themeFill="background1" w:themeFillShade="D9"/>
            <w:tcMar>
              <w:top w:w="0" w:type="dxa"/>
              <w:left w:w="108" w:type="dxa"/>
              <w:bottom w:w="0" w:type="dxa"/>
              <w:right w:w="108" w:type="dxa"/>
            </w:tcMar>
            <w:vAlign w:val="center"/>
            <w:hideMark/>
          </w:tcPr>
          <w:p w:rsidR="0057757E" w:rsidRPr="00191322" w:rsidRDefault="0057757E" w:rsidP="00F66363">
            <w:pPr>
              <w:jc w:val="center"/>
              <w:rPr>
                <w:rFonts w:eastAsia="宋体" w:cs="Times New Roman"/>
                <w:sz w:val="18"/>
                <w:szCs w:val="18"/>
              </w:rPr>
            </w:pPr>
            <w:r w:rsidRPr="00191322">
              <w:rPr>
                <w:rFonts w:eastAsia="宋体" w:cs="Times New Roman" w:hint="eastAsia"/>
                <w:sz w:val="18"/>
                <w:szCs w:val="18"/>
              </w:rPr>
              <w:t>通用设备</w:t>
            </w:r>
          </w:p>
        </w:tc>
        <w:tc>
          <w:tcPr>
            <w:tcW w:w="1684" w:type="dxa"/>
            <w:shd w:val="clear" w:color="auto" w:fill="D9D9D9" w:themeFill="background1" w:themeFillShade="D9"/>
            <w:vAlign w:val="center"/>
          </w:tcPr>
          <w:p w:rsidR="0057757E" w:rsidRPr="00191322" w:rsidRDefault="0057757E" w:rsidP="00F66363">
            <w:pPr>
              <w:jc w:val="center"/>
              <w:rPr>
                <w:rFonts w:eastAsia="宋体" w:cs="Times New Roman"/>
                <w:sz w:val="18"/>
                <w:szCs w:val="18"/>
              </w:rPr>
            </w:pPr>
            <w:r w:rsidRPr="00191322">
              <w:rPr>
                <w:rFonts w:eastAsia="宋体" w:cs="Times New Roman" w:hint="eastAsia"/>
                <w:sz w:val="18"/>
                <w:szCs w:val="18"/>
              </w:rPr>
              <w:t>专用设备</w:t>
            </w:r>
          </w:p>
        </w:tc>
        <w:tc>
          <w:tcPr>
            <w:tcW w:w="1683" w:type="dxa"/>
            <w:shd w:val="clear" w:color="auto" w:fill="D9D9D9" w:themeFill="background1" w:themeFillShade="D9"/>
            <w:vAlign w:val="center"/>
          </w:tcPr>
          <w:p w:rsidR="0057757E" w:rsidRPr="00191322" w:rsidRDefault="0057757E" w:rsidP="00F66363">
            <w:pPr>
              <w:jc w:val="center"/>
              <w:rPr>
                <w:rFonts w:eastAsia="宋体" w:cs="Times New Roman"/>
                <w:sz w:val="18"/>
                <w:szCs w:val="18"/>
              </w:rPr>
            </w:pPr>
            <w:r w:rsidRPr="00191322">
              <w:rPr>
                <w:rFonts w:eastAsia="宋体" w:cs="Times New Roman" w:hint="eastAsia"/>
                <w:sz w:val="18"/>
                <w:szCs w:val="18"/>
              </w:rPr>
              <w:t>运输工具</w:t>
            </w:r>
          </w:p>
        </w:tc>
        <w:tc>
          <w:tcPr>
            <w:tcW w:w="1684" w:type="dxa"/>
            <w:shd w:val="clear" w:color="auto" w:fill="D9D9D9" w:themeFill="background1" w:themeFillShade="D9"/>
            <w:vAlign w:val="center"/>
          </w:tcPr>
          <w:p w:rsidR="0057757E" w:rsidRPr="00191322" w:rsidRDefault="0057757E" w:rsidP="00F66363">
            <w:pPr>
              <w:jc w:val="center"/>
              <w:rPr>
                <w:rFonts w:eastAsia="宋体" w:cs="Times New Roman"/>
                <w:sz w:val="18"/>
                <w:szCs w:val="18"/>
              </w:rPr>
            </w:pPr>
            <w:r w:rsidRPr="00191322">
              <w:rPr>
                <w:rFonts w:eastAsia="宋体" w:cs="Times New Roman" w:hint="eastAsia"/>
                <w:sz w:val="18"/>
                <w:szCs w:val="18"/>
              </w:rPr>
              <w:t>合计</w:t>
            </w:r>
          </w:p>
        </w:tc>
      </w:tr>
      <w:tr w:rsidR="0057757E" w:rsidRPr="00191322" w:rsidTr="0027505B">
        <w:trPr>
          <w:trHeight w:val="20"/>
        </w:trPr>
        <w:tc>
          <w:tcPr>
            <w:tcW w:w="2712" w:type="dxa"/>
            <w:shd w:val="clear" w:color="auto" w:fill="D9D9D9" w:themeFill="background1" w:themeFillShade="D9"/>
            <w:tcMar>
              <w:top w:w="0" w:type="dxa"/>
              <w:left w:w="108" w:type="dxa"/>
              <w:bottom w:w="0" w:type="dxa"/>
              <w:right w:w="108" w:type="dxa"/>
            </w:tcMar>
            <w:vAlign w:val="center"/>
          </w:tcPr>
          <w:p w:rsidR="0057757E" w:rsidRPr="00191322" w:rsidRDefault="0057757E" w:rsidP="00F66363">
            <w:pPr>
              <w:ind w:left="-37"/>
              <w:rPr>
                <w:rFonts w:eastAsia="宋体" w:cs="Times New Roman"/>
                <w:sz w:val="18"/>
                <w:szCs w:val="18"/>
              </w:rPr>
            </w:pPr>
            <w:r w:rsidRPr="00191322">
              <w:rPr>
                <w:rFonts w:eastAsia="宋体" w:cs="Times New Roman" w:hint="eastAsia"/>
                <w:sz w:val="18"/>
                <w:szCs w:val="18"/>
              </w:rPr>
              <w:t>一、账面原值</w:t>
            </w:r>
            <w:r w:rsidR="005F14EE" w:rsidRPr="00191322">
              <w:rPr>
                <w:rFonts w:eastAsia="宋体" w:cs="Times New Roman" w:hint="eastAsia"/>
                <w:sz w:val="18"/>
                <w:szCs w:val="18"/>
              </w:rPr>
              <w:t>：</w:t>
            </w:r>
          </w:p>
        </w:tc>
        <w:tc>
          <w:tcPr>
            <w:tcW w:w="1683" w:type="dxa"/>
            <w:shd w:val="clear" w:color="auto" w:fill="auto"/>
            <w:tcMar>
              <w:top w:w="0" w:type="dxa"/>
              <w:left w:w="108" w:type="dxa"/>
              <w:bottom w:w="0" w:type="dxa"/>
              <w:right w:w="108" w:type="dxa"/>
            </w:tcMar>
            <w:vAlign w:val="center"/>
          </w:tcPr>
          <w:p w:rsidR="0057757E" w:rsidRPr="00191322" w:rsidRDefault="0057757E" w:rsidP="00F66363">
            <w:pPr>
              <w:jc w:val="right"/>
              <w:rPr>
                <w:rFonts w:eastAsia="宋体" w:cs="Times New Roman"/>
                <w:sz w:val="18"/>
                <w:szCs w:val="18"/>
              </w:rPr>
            </w:pPr>
          </w:p>
        </w:tc>
        <w:tc>
          <w:tcPr>
            <w:tcW w:w="1684" w:type="dxa"/>
            <w:vAlign w:val="center"/>
          </w:tcPr>
          <w:p w:rsidR="0057757E" w:rsidRPr="00191322" w:rsidRDefault="0057757E" w:rsidP="00F66363">
            <w:pPr>
              <w:ind w:right="91"/>
              <w:jc w:val="right"/>
              <w:rPr>
                <w:rFonts w:eastAsia="宋体" w:cs="Times New Roman"/>
                <w:sz w:val="18"/>
                <w:szCs w:val="18"/>
              </w:rPr>
            </w:pPr>
          </w:p>
        </w:tc>
        <w:tc>
          <w:tcPr>
            <w:tcW w:w="1683" w:type="dxa"/>
            <w:shd w:val="clear" w:color="auto" w:fill="auto"/>
            <w:vAlign w:val="center"/>
          </w:tcPr>
          <w:p w:rsidR="0057757E" w:rsidRPr="00191322" w:rsidRDefault="0057757E" w:rsidP="00F66363">
            <w:pPr>
              <w:ind w:right="108"/>
              <w:jc w:val="right"/>
              <w:rPr>
                <w:rFonts w:eastAsia="宋体" w:cs="Times New Roman"/>
                <w:sz w:val="18"/>
                <w:szCs w:val="18"/>
              </w:rPr>
            </w:pPr>
          </w:p>
        </w:tc>
        <w:tc>
          <w:tcPr>
            <w:tcW w:w="1684" w:type="dxa"/>
            <w:vAlign w:val="center"/>
          </w:tcPr>
          <w:p w:rsidR="0057757E" w:rsidRPr="00191322" w:rsidRDefault="0057757E" w:rsidP="00F66363">
            <w:pPr>
              <w:ind w:right="108"/>
              <w:jc w:val="right"/>
              <w:rPr>
                <w:rFonts w:eastAsia="宋体" w:cs="Times New Roman"/>
                <w:sz w:val="18"/>
                <w:szCs w:val="18"/>
              </w:rPr>
            </w:pPr>
          </w:p>
        </w:tc>
      </w:tr>
      <w:tr w:rsidR="00B67BF4"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67BF4" w:rsidRPr="00191322" w:rsidRDefault="00B67BF4" w:rsidP="00B67BF4">
            <w:pPr>
              <w:tabs>
                <w:tab w:val="left" w:pos="318"/>
              </w:tabs>
              <w:rPr>
                <w:rFonts w:eastAsia="宋体" w:cs="Times New Roman"/>
                <w:sz w:val="18"/>
                <w:szCs w:val="18"/>
              </w:rPr>
            </w:pPr>
            <w:r w:rsidRPr="00191322">
              <w:rPr>
                <w:rFonts w:eastAsia="宋体" w:cs="Times New Roman"/>
                <w:sz w:val="18"/>
                <w:szCs w:val="18"/>
              </w:rPr>
              <w:tab/>
              <w:t>1.</w:t>
            </w:r>
            <w:r w:rsidRPr="00191322">
              <w:rPr>
                <w:rFonts w:eastAsia="宋体" w:cs="Times New Roman" w:hint="eastAsia"/>
                <w:sz w:val="18"/>
                <w:szCs w:val="18"/>
              </w:rPr>
              <w:t>年初余额</w:t>
            </w:r>
          </w:p>
        </w:tc>
        <w:tc>
          <w:tcPr>
            <w:tcW w:w="1683" w:type="dxa"/>
            <w:shd w:val="clear" w:color="auto" w:fill="auto"/>
            <w:tcMar>
              <w:top w:w="0" w:type="dxa"/>
              <w:left w:w="108" w:type="dxa"/>
              <w:bottom w:w="0" w:type="dxa"/>
              <w:right w:w="108" w:type="dxa"/>
            </w:tcMar>
            <w:vAlign w:val="center"/>
          </w:tcPr>
          <w:p w:rsidR="00B67BF4" w:rsidRPr="00191322" w:rsidRDefault="00B67BF4" w:rsidP="00B67BF4">
            <w:pPr>
              <w:jc w:val="right"/>
              <w:rPr>
                <w:rFonts w:eastAsia="宋体" w:cs="Times New Roman"/>
                <w:sz w:val="18"/>
                <w:szCs w:val="18"/>
              </w:rPr>
            </w:pPr>
            <w:r w:rsidRPr="00191322">
              <w:rPr>
                <w:rFonts w:eastAsia="宋体" w:cs="Times New Roman"/>
                <w:sz w:val="18"/>
                <w:szCs w:val="18"/>
              </w:rPr>
              <w:t>94,869,699.64</w:t>
            </w:r>
          </w:p>
        </w:tc>
        <w:tc>
          <w:tcPr>
            <w:tcW w:w="1684" w:type="dxa"/>
            <w:vAlign w:val="center"/>
          </w:tcPr>
          <w:p w:rsidR="00B67BF4" w:rsidRPr="00191322" w:rsidRDefault="00B67BF4" w:rsidP="00B67BF4">
            <w:pPr>
              <w:ind w:right="91"/>
              <w:jc w:val="right"/>
              <w:rPr>
                <w:rFonts w:eastAsia="宋体" w:cs="Times New Roman"/>
                <w:sz w:val="18"/>
                <w:szCs w:val="18"/>
              </w:rPr>
            </w:pPr>
            <w:r w:rsidRPr="00191322">
              <w:rPr>
                <w:rFonts w:eastAsia="宋体" w:cs="Times New Roman"/>
                <w:sz w:val="18"/>
                <w:szCs w:val="18"/>
              </w:rPr>
              <w:t>152,389,103.90</w:t>
            </w:r>
          </w:p>
        </w:tc>
        <w:tc>
          <w:tcPr>
            <w:tcW w:w="1683" w:type="dxa"/>
            <w:shd w:val="clear" w:color="auto" w:fill="auto"/>
            <w:vAlign w:val="center"/>
          </w:tcPr>
          <w:p w:rsidR="00B67BF4" w:rsidRPr="00191322" w:rsidRDefault="00B67BF4" w:rsidP="00B67BF4">
            <w:pPr>
              <w:ind w:right="108"/>
              <w:jc w:val="right"/>
              <w:rPr>
                <w:rFonts w:eastAsia="宋体" w:cs="Times New Roman"/>
                <w:sz w:val="18"/>
                <w:szCs w:val="18"/>
              </w:rPr>
            </w:pPr>
            <w:r w:rsidRPr="00191322">
              <w:rPr>
                <w:rFonts w:eastAsia="宋体" w:cs="Times New Roman"/>
                <w:sz w:val="18"/>
                <w:szCs w:val="18"/>
              </w:rPr>
              <w:t>422,581.95</w:t>
            </w:r>
          </w:p>
        </w:tc>
        <w:tc>
          <w:tcPr>
            <w:tcW w:w="1684" w:type="dxa"/>
            <w:vAlign w:val="center"/>
          </w:tcPr>
          <w:p w:rsidR="00B67BF4" w:rsidRPr="00191322" w:rsidRDefault="00B67BF4" w:rsidP="00B67BF4">
            <w:pPr>
              <w:ind w:right="108"/>
              <w:jc w:val="right"/>
              <w:rPr>
                <w:rFonts w:eastAsia="宋体" w:cs="Times New Roman"/>
                <w:sz w:val="18"/>
                <w:szCs w:val="18"/>
              </w:rPr>
            </w:pPr>
            <w:r w:rsidRPr="00191322">
              <w:rPr>
                <w:rFonts w:eastAsia="宋体" w:cs="Times New Roman"/>
                <w:sz w:val="18"/>
                <w:szCs w:val="18"/>
              </w:rPr>
              <w:t>247,681,385.49</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318"/>
              </w:tabs>
              <w:rPr>
                <w:rFonts w:eastAsia="宋体" w:cs="Times New Roman"/>
                <w:sz w:val="18"/>
                <w:szCs w:val="18"/>
              </w:rPr>
            </w:pPr>
            <w:r w:rsidRPr="00191322">
              <w:rPr>
                <w:rFonts w:eastAsia="宋体" w:cs="Times New Roman"/>
                <w:sz w:val="18"/>
                <w:szCs w:val="18"/>
              </w:rPr>
              <w:tab/>
              <w:t>2.</w:t>
            </w:r>
            <w:r w:rsidRPr="00191322">
              <w:rPr>
                <w:rFonts w:eastAsia="宋体" w:cs="Times New Roman" w:hint="eastAsia"/>
                <w:sz w:val="18"/>
                <w:szCs w:val="18"/>
              </w:rPr>
              <w:t>本年增加金额</w:t>
            </w:r>
          </w:p>
        </w:tc>
        <w:tc>
          <w:tcPr>
            <w:tcW w:w="1683" w:type="dxa"/>
            <w:shd w:val="clear" w:color="auto" w:fill="auto"/>
            <w:tcMar>
              <w:top w:w="0" w:type="dxa"/>
              <w:left w:w="108" w:type="dxa"/>
              <w:bottom w:w="0" w:type="dxa"/>
              <w:right w:w="108" w:type="dxa"/>
            </w:tcMar>
            <w:vAlign w:val="center"/>
          </w:tcPr>
          <w:p w:rsidR="00BC3ECC" w:rsidRPr="00191322" w:rsidRDefault="00982CDB" w:rsidP="00BC3ECC">
            <w:pPr>
              <w:jc w:val="right"/>
              <w:rPr>
                <w:rFonts w:eastAsia="宋体" w:cs="Times New Roman"/>
                <w:sz w:val="18"/>
                <w:szCs w:val="18"/>
              </w:rPr>
            </w:pPr>
            <w:r w:rsidRPr="00191322">
              <w:rPr>
                <w:rFonts w:eastAsia="宋体" w:cs="Times New Roman"/>
                <w:sz w:val="18"/>
                <w:szCs w:val="18"/>
              </w:rPr>
              <w:t xml:space="preserve">30,213,449.43 </w:t>
            </w:r>
            <w:r w:rsidR="00BC3ECC" w:rsidRPr="00191322">
              <w:rPr>
                <w:rFonts w:eastAsia="宋体" w:cs="Times New Roman"/>
                <w:sz w:val="18"/>
                <w:szCs w:val="18"/>
              </w:rPr>
              <w:t xml:space="preserve"> </w:t>
            </w:r>
          </w:p>
        </w:tc>
        <w:tc>
          <w:tcPr>
            <w:tcW w:w="1684" w:type="dxa"/>
            <w:vAlign w:val="center"/>
          </w:tcPr>
          <w:p w:rsidR="00BC3ECC" w:rsidRPr="00191322" w:rsidRDefault="001C2D2E" w:rsidP="00BC3ECC">
            <w:pPr>
              <w:ind w:right="91"/>
              <w:jc w:val="right"/>
              <w:rPr>
                <w:rFonts w:eastAsia="宋体" w:cs="Times New Roman"/>
                <w:sz w:val="18"/>
                <w:szCs w:val="18"/>
              </w:rPr>
            </w:pPr>
            <w:r w:rsidRPr="00191322">
              <w:rPr>
                <w:rFonts w:eastAsia="宋体" w:cs="Times New Roman"/>
                <w:sz w:val="18"/>
                <w:szCs w:val="18"/>
              </w:rPr>
              <w:t>26,869,567.88</w:t>
            </w:r>
          </w:p>
        </w:tc>
        <w:tc>
          <w:tcPr>
            <w:tcW w:w="1683" w:type="dxa"/>
            <w:shd w:val="clear" w:color="auto" w:fill="auto"/>
            <w:vAlign w:val="center"/>
          </w:tcPr>
          <w:p w:rsidR="00BC3ECC" w:rsidRPr="00191322" w:rsidRDefault="001C2D2E" w:rsidP="00BC3ECC">
            <w:pPr>
              <w:ind w:right="108"/>
              <w:jc w:val="right"/>
              <w:rPr>
                <w:rFonts w:eastAsia="宋体" w:cs="Times New Roman"/>
                <w:sz w:val="18"/>
                <w:szCs w:val="18"/>
              </w:rPr>
            </w:pPr>
            <w:r w:rsidRPr="00191322">
              <w:rPr>
                <w:rFonts w:eastAsia="宋体" w:cs="Times New Roman"/>
                <w:sz w:val="18"/>
                <w:szCs w:val="18"/>
              </w:rPr>
              <w:t>7,000.00</w:t>
            </w:r>
          </w:p>
        </w:tc>
        <w:tc>
          <w:tcPr>
            <w:tcW w:w="1684" w:type="dxa"/>
            <w:vAlign w:val="center"/>
          </w:tcPr>
          <w:p w:rsidR="00BC3ECC" w:rsidRPr="00191322" w:rsidRDefault="001C2D2E" w:rsidP="00BC3ECC">
            <w:pPr>
              <w:ind w:right="108"/>
              <w:jc w:val="right"/>
              <w:rPr>
                <w:rFonts w:eastAsia="宋体" w:cs="Times New Roman"/>
                <w:sz w:val="18"/>
                <w:szCs w:val="18"/>
              </w:rPr>
            </w:pPr>
            <w:r w:rsidRPr="00191322">
              <w:rPr>
                <w:rFonts w:eastAsia="宋体" w:cs="Times New Roman"/>
                <w:sz w:val="18"/>
                <w:szCs w:val="18"/>
              </w:rPr>
              <w:t>57,090,017.31</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pPr>
              <w:tabs>
                <w:tab w:val="left" w:pos="453"/>
              </w:tabs>
              <w:rPr>
                <w:rFonts w:eastAsia="宋体" w:cs="Times New Roman"/>
                <w:sz w:val="18"/>
                <w:szCs w:val="18"/>
              </w:rPr>
            </w:pPr>
            <w:r w:rsidRPr="00191322">
              <w:rPr>
                <w:rFonts w:eastAsia="宋体" w:cs="Times New Roman"/>
                <w:sz w:val="18"/>
                <w:szCs w:val="18"/>
              </w:rPr>
              <w:tab/>
            </w:r>
            <w:r w:rsidR="005F14EE" w:rsidRPr="00191322">
              <w:rPr>
                <w:rFonts w:eastAsia="宋体" w:cs="Times New Roman"/>
                <w:sz w:val="18"/>
                <w:szCs w:val="18"/>
              </w:rPr>
              <w:t>(</w:t>
            </w:r>
            <w:r w:rsidRPr="00191322">
              <w:rPr>
                <w:rFonts w:eastAsia="宋体" w:cs="Times New Roman"/>
                <w:sz w:val="18"/>
                <w:szCs w:val="18"/>
              </w:rPr>
              <w:t>1</w:t>
            </w:r>
            <w:r w:rsidR="005F14EE" w:rsidRPr="00191322">
              <w:rPr>
                <w:rFonts w:eastAsia="宋体" w:cs="Times New Roman"/>
                <w:sz w:val="18"/>
                <w:szCs w:val="18"/>
              </w:rPr>
              <w:t>)</w:t>
            </w:r>
            <w:r w:rsidRPr="00191322">
              <w:rPr>
                <w:rFonts w:eastAsia="宋体" w:cs="Times New Roman" w:hint="eastAsia"/>
                <w:sz w:val="18"/>
                <w:szCs w:val="18"/>
              </w:rPr>
              <w:t>购置</w:t>
            </w:r>
          </w:p>
        </w:tc>
        <w:tc>
          <w:tcPr>
            <w:tcW w:w="1683" w:type="dxa"/>
            <w:shd w:val="clear" w:color="auto" w:fill="auto"/>
            <w:tcMar>
              <w:top w:w="0" w:type="dxa"/>
              <w:left w:w="108" w:type="dxa"/>
              <w:bottom w:w="0" w:type="dxa"/>
              <w:right w:w="108" w:type="dxa"/>
            </w:tcMar>
            <w:vAlign w:val="center"/>
          </w:tcPr>
          <w:p w:rsidR="00BC3ECC" w:rsidRPr="00191322" w:rsidRDefault="001C2D2E" w:rsidP="00BC3ECC">
            <w:pPr>
              <w:jc w:val="right"/>
              <w:rPr>
                <w:rFonts w:eastAsia="宋体" w:cs="Times New Roman"/>
                <w:sz w:val="18"/>
                <w:szCs w:val="18"/>
              </w:rPr>
            </w:pPr>
            <w:r w:rsidRPr="00191322">
              <w:rPr>
                <w:rFonts w:eastAsia="宋体" w:cs="Times New Roman"/>
                <w:sz w:val="18"/>
                <w:szCs w:val="18"/>
              </w:rPr>
              <w:t>29,246,061.82</w:t>
            </w:r>
          </w:p>
        </w:tc>
        <w:tc>
          <w:tcPr>
            <w:tcW w:w="1684" w:type="dxa"/>
            <w:vAlign w:val="center"/>
          </w:tcPr>
          <w:p w:rsidR="00BC3ECC" w:rsidRPr="00191322" w:rsidRDefault="001C2D2E" w:rsidP="00BC3ECC">
            <w:pPr>
              <w:ind w:right="91"/>
              <w:jc w:val="right"/>
              <w:rPr>
                <w:rFonts w:eastAsia="宋体" w:cs="Times New Roman"/>
                <w:sz w:val="18"/>
                <w:szCs w:val="18"/>
              </w:rPr>
            </w:pPr>
            <w:r w:rsidRPr="00191322">
              <w:rPr>
                <w:rFonts w:eastAsia="宋体" w:cs="Times New Roman"/>
                <w:sz w:val="18"/>
                <w:szCs w:val="18"/>
              </w:rPr>
              <w:t>12,479,395.76</w:t>
            </w:r>
          </w:p>
        </w:tc>
        <w:tc>
          <w:tcPr>
            <w:tcW w:w="1683" w:type="dxa"/>
            <w:shd w:val="clear" w:color="auto" w:fill="auto"/>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7,000.00 </w:t>
            </w:r>
          </w:p>
        </w:tc>
        <w:tc>
          <w:tcPr>
            <w:tcW w:w="1684" w:type="dxa"/>
            <w:vAlign w:val="center"/>
          </w:tcPr>
          <w:p w:rsidR="00BC3ECC" w:rsidRPr="00191322" w:rsidRDefault="00E851C1" w:rsidP="00BC3ECC">
            <w:pPr>
              <w:ind w:right="108"/>
              <w:jc w:val="right"/>
              <w:rPr>
                <w:rFonts w:eastAsia="宋体" w:cs="Times New Roman"/>
                <w:sz w:val="18"/>
                <w:szCs w:val="18"/>
              </w:rPr>
            </w:pPr>
            <w:r w:rsidRPr="00191322">
              <w:rPr>
                <w:rFonts w:eastAsia="宋体" w:cs="Times New Roman"/>
                <w:sz w:val="18"/>
                <w:szCs w:val="18"/>
              </w:rPr>
              <w:t>41,732,457.58</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5F14EE">
            <w:pPr>
              <w:tabs>
                <w:tab w:val="left" w:pos="453"/>
              </w:tabs>
              <w:ind w:left="462"/>
              <w:rPr>
                <w:rFonts w:eastAsia="宋体" w:cs="Times New Roman"/>
                <w:sz w:val="18"/>
                <w:szCs w:val="18"/>
              </w:rPr>
            </w:pPr>
            <w:r w:rsidRPr="00191322">
              <w:rPr>
                <w:rFonts w:eastAsia="宋体" w:cs="Times New Roman"/>
                <w:sz w:val="18"/>
                <w:szCs w:val="18"/>
              </w:rPr>
              <w:t>(</w:t>
            </w:r>
            <w:r w:rsidR="00BC3ECC" w:rsidRPr="00191322">
              <w:rPr>
                <w:rFonts w:eastAsia="宋体" w:cs="Times New Roman"/>
                <w:sz w:val="18"/>
                <w:szCs w:val="18"/>
              </w:rPr>
              <w:t>2</w:t>
            </w:r>
            <w:r w:rsidRPr="00191322">
              <w:rPr>
                <w:rFonts w:eastAsia="宋体" w:cs="Times New Roman"/>
                <w:sz w:val="18"/>
                <w:szCs w:val="18"/>
              </w:rPr>
              <w:t>)</w:t>
            </w:r>
            <w:r w:rsidR="00BC3ECC" w:rsidRPr="00191322">
              <w:rPr>
                <w:rFonts w:eastAsia="宋体" w:cs="Times New Roman" w:hint="eastAsia"/>
                <w:sz w:val="18"/>
                <w:szCs w:val="18"/>
              </w:rPr>
              <w:t>在建工程转入</w:t>
            </w:r>
          </w:p>
        </w:tc>
        <w:tc>
          <w:tcPr>
            <w:tcW w:w="1683" w:type="dxa"/>
            <w:shd w:val="clear" w:color="auto" w:fill="auto"/>
            <w:tcMar>
              <w:top w:w="0" w:type="dxa"/>
              <w:left w:w="108" w:type="dxa"/>
              <w:bottom w:w="0" w:type="dxa"/>
              <w:right w:w="108" w:type="dxa"/>
            </w:tcMar>
            <w:vAlign w:val="center"/>
          </w:tcPr>
          <w:p w:rsidR="00BC3ECC" w:rsidRPr="00191322" w:rsidRDefault="001C2D2E" w:rsidP="00BC3ECC">
            <w:pPr>
              <w:jc w:val="right"/>
              <w:rPr>
                <w:rFonts w:eastAsia="宋体" w:cs="Times New Roman"/>
                <w:sz w:val="18"/>
                <w:szCs w:val="18"/>
              </w:rPr>
            </w:pPr>
            <w:r w:rsidRPr="00191322">
              <w:rPr>
                <w:rFonts w:eastAsia="宋体" w:cs="Times New Roman"/>
                <w:sz w:val="18"/>
                <w:szCs w:val="18"/>
              </w:rPr>
              <w:t>967,387.61</w:t>
            </w:r>
          </w:p>
        </w:tc>
        <w:tc>
          <w:tcPr>
            <w:tcW w:w="1684" w:type="dxa"/>
            <w:vAlign w:val="center"/>
          </w:tcPr>
          <w:p w:rsidR="00BC3ECC" w:rsidRPr="00191322" w:rsidRDefault="001C2D2E" w:rsidP="00BC3ECC">
            <w:pPr>
              <w:ind w:right="91"/>
              <w:jc w:val="right"/>
              <w:rPr>
                <w:rFonts w:eastAsia="宋体" w:cs="Times New Roman"/>
                <w:sz w:val="18"/>
                <w:szCs w:val="18"/>
              </w:rPr>
            </w:pPr>
            <w:r w:rsidRPr="00191322">
              <w:rPr>
                <w:rFonts w:eastAsia="宋体" w:cs="Times New Roman"/>
                <w:sz w:val="18"/>
                <w:szCs w:val="18"/>
              </w:rPr>
              <w:t>14,390,172.12</w:t>
            </w:r>
          </w:p>
        </w:tc>
        <w:tc>
          <w:tcPr>
            <w:tcW w:w="1683" w:type="dxa"/>
            <w:shd w:val="clear" w:color="auto" w:fill="auto"/>
            <w:vAlign w:val="center"/>
          </w:tcPr>
          <w:p w:rsidR="00BC3ECC" w:rsidRPr="00191322" w:rsidRDefault="009D3B75" w:rsidP="00BC3ECC">
            <w:pPr>
              <w:ind w:right="108"/>
              <w:jc w:val="right"/>
              <w:rPr>
                <w:rFonts w:eastAsia="宋体" w:cs="Times New Roman"/>
                <w:sz w:val="18"/>
                <w:szCs w:val="18"/>
              </w:rPr>
            </w:pPr>
            <w:r w:rsidRPr="00191322">
              <w:rPr>
                <w:rFonts w:eastAsia="宋体" w:cs="Times New Roman"/>
                <w:sz w:val="18"/>
                <w:szCs w:val="18"/>
              </w:rPr>
              <w:t>-    </w:t>
            </w:r>
          </w:p>
        </w:tc>
        <w:tc>
          <w:tcPr>
            <w:tcW w:w="1684" w:type="dxa"/>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15,357,559.73 </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318"/>
              </w:tabs>
              <w:rPr>
                <w:rFonts w:eastAsia="宋体" w:cs="Times New Roman"/>
                <w:sz w:val="18"/>
                <w:szCs w:val="18"/>
              </w:rPr>
            </w:pPr>
            <w:r w:rsidRPr="00191322">
              <w:rPr>
                <w:rFonts w:eastAsia="宋体" w:cs="Times New Roman"/>
                <w:sz w:val="18"/>
                <w:szCs w:val="18"/>
              </w:rPr>
              <w:tab/>
              <w:t>3.</w:t>
            </w:r>
            <w:r w:rsidRPr="00191322">
              <w:rPr>
                <w:rFonts w:eastAsia="宋体" w:cs="Times New Roman" w:hint="eastAsia"/>
                <w:sz w:val="18"/>
                <w:szCs w:val="18"/>
              </w:rPr>
              <w:t>本年减少金额</w:t>
            </w:r>
          </w:p>
        </w:tc>
        <w:tc>
          <w:tcPr>
            <w:tcW w:w="1683" w:type="dxa"/>
            <w:shd w:val="clear" w:color="auto" w:fill="auto"/>
            <w:tcMar>
              <w:top w:w="0" w:type="dxa"/>
              <w:left w:w="108" w:type="dxa"/>
              <w:bottom w:w="0" w:type="dxa"/>
              <w:right w:w="108" w:type="dxa"/>
            </w:tcMar>
            <w:vAlign w:val="center"/>
          </w:tcPr>
          <w:p w:rsidR="00BC3ECC" w:rsidRPr="00191322" w:rsidRDefault="00BC3ECC" w:rsidP="00BC3ECC">
            <w:pPr>
              <w:jc w:val="right"/>
              <w:rPr>
                <w:rFonts w:eastAsia="宋体" w:cs="Times New Roman"/>
                <w:sz w:val="18"/>
                <w:szCs w:val="18"/>
              </w:rPr>
            </w:pPr>
            <w:r w:rsidRPr="00191322">
              <w:rPr>
                <w:rFonts w:eastAsia="宋体" w:cs="Times New Roman"/>
                <w:sz w:val="18"/>
                <w:szCs w:val="18"/>
              </w:rPr>
              <w:t xml:space="preserve"> 1,111,721.55 </w:t>
            </w:r>
          </w:p>
        </w:tc>
        <w:tc>
          <w:tcPr>
            <w:tcW w:w="1684" w:type="dxa"/>
            <w:vAlign w:val="center"/>
          </w:tcPr>
          <w:p w:rsidR="00BC3ECC" w:rsidRPr="00191322" w:rsidRDefault="00BC3ECC" w:rsidP="00BC3ECC">
            <w:pPr>
              <w:ind w:right="91"/>
              <w:jc w:val="right"/>
              <w:rPr>
                <w:rFonts w:eastAsia="宋体" w:cs="Times New Roman"/>
                <w:sz w:val="18"/>
                <w:szCs w:val="18"/>
              </w:rPr>
            </w:pPr>
            <w:r w:rsidRPr="00191322">
              <w:rPr>
                <w:rFonts w:eastAsia="宋体" w:cs="Times New Roman"/>
                <w:sz w:val="18"/>
                <w:szCs w:val="18"/>
              </w:rPr>
              <w:t xml:space="preserve"> 6,677,982.48 </w:t>
            </w:r>
          </w:p>
        </w:tc>
        <w:tc>
          <w:tcPr>
            <w:tcW w:w="1683" w:type="dxa"/>
            <w:shd w:val="clear" w:color="auto" w:fill="auto"/>
            <w:vAlign w:val="center"/>
          </w:tcPr>
          <w:p w:rsidR="00BC3ECC" w:rsidRPr="00191322" w:rsidRDefault="009D3B75" w:rsidP="00BC3ECC">
            <w:pPr>
              <w:ind w:right="108"/>
              <w:jc w:val="right"/>
              <w:rPr>
                <w:rFonts w:eastAsia="宋体" w:cs="Times New Roman"/>
                <w:sz w:val="18"/>
                <w:szCs w:val="18"/>
              </w:rPr>
            </w:pPr>
            <w:r w:rsidRPr="00191322">
              <w:rPr>
                <w:rFonts w:eastAsia="宋体" w:cs="Times New Roman"/>
                <w:sz w:val="18"/>
                <w:szCs w:val="18"/>
              </w:rPr>
              <w:t>-    </w:t>
            </w:r>
          </w:p>
        </w:tc>
        <w:tc>
          <w:tcPr>
            <w:tcW w:w="1684" w:type="dxa"/>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7,789,704.03 </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462"/>
              </w:tabs>
              <w:rPr>
                <w:rFonts w:eastAsia="宋体" w:cs="Times New Roman"/>
                <w:sz w:val="18"/>
                <w:szCs w:val="18"/>
              </w:rPr>
            </w:pPr>
            <w:r w:rsidRPr="00191322">
              <w:rPr>
                <w:rFonts w:eastAsia="宋体" w:cs="Times New Roman"/>
                <w:sz w:val="18"/>
                <w:szCs w:val="18"/>
              </w:rPr>
              <w:tab/>
            </w:r>
            <w:r w:rsidR="005F14EE" w:rsidRPr="00191322">
              <w:rPr>
                <w:rFonts w:eastAsia="宋体" w:cs="Times New Roman"/>
                <w:sz w:val="18"/>
                <w:szCs w:val="18"/>
              </w:rPr>
              <w:t>(</w:t>
            </w:r>
            <w:r w:rsidRPr="00191322">
              <w:rPr>
                <w:rFonts w:eastAsia="宋体" w:cs="Times New Roman"/>
                <w:sz w:val="18"/>
                <w:szCs w:val="18"/>
              </w:rPr>
              <w:t>1</w:t>
            </w:r>
            <w:r w:rsidR="005F14EE" w:rsidRPr="00191322">
              <w:rPr>
                <w:rFonts w:eastAsia="宋体" w:cs="Times New Roman"/>
                <w:sz w:val="18"/>
                <w:szCs w:val="18"/>
              </w:rPr>
              <w:t>)</w:t>
            </w:r>
            <w:r w:rsidRPr="00191322">
              <w:rPr>
                <w:rFonts w:eastAsia="宋体" w:cs="Times New Roman" w:hint="eastAsia"/>
                <w:sz w:val="18"/>
                <w:szCs w:val="18"/>
              </w:rPr>
              <w:t>处置或报废</w:t>
            </w:r>
          </w:p>
        </w:tc>
        <w:tc>
          <w:tcPr>
            <w:tcW w:w="1683" w:type="dxa"/>
            <w:shd w:val="clear" w:color="auto" w:fill="auto"/>
            <w:tcMar>
              <w:top w:w="0" w:type="dxa"/>
              <w:left w:w="108" w:type="dxa"/>
              <w:bottom w:w="0" w:type="dxa"/>
              <w:right w:w="108" w:type="dxa"/>
            </w:tcMar>
            <w:vAlign w:val="center"/>
          </w:tcPr>
          <w:p w:rsidR="00BC3ECC" w:rsidRPr="00191322" w:rsidDel="00F602A1" w:rsidRDefault="00BC3ECC" w:rsidP="00BC3ECC">
            <w:pPr>
              <w:jc w:val="right"/>
              <w:rPr>
                <w:rFonts w:eastAsia="宋体" w:cs="Times New Roman"/>
                <w:sz w:val="18"/>
                <w:szCs w:val="18"/>
              </w:rPr>
            </w:pPr>
            <w:r w:rsidRPr="00191322">
              <w:rPr>
                <w:rFonts w:eastAsia="宋体" w:cs="Times New Roman"/>
                <w:sz w:val="18"/>
                <w:szCs w:val="18"/>
              </w:rPr>
              <w:t xml:space="preserve"> 1,111,721.55 </w:t>
            </w:r>
          </w:p>
        </w:tc>
        <w:tc>
          <w:tcPr>
            <w:tcW w:w="1684" w:type="dxa"/>
            <w:vAlign w:val="center"/>
          </w:tcPr>
          <w:p w:rsidR="00BC3ECC" w:rsidRPr="00191322" w:rsidDel="00F602A1" w:rsidRDefault="00BC3ECC" w:rsidP="00BC3ECC">
            <w:pPr>
              <w:ind w:right="91"/>
              <w:jc w:val="right"/>
              <w:rPr>
                <w:rFonts w:eastAsia="宋体" w:cs="Times New Roman"/>
                <w:sz w:val="18"/>
                <w:szCs w:val="18"/>
              </w:rPr>
            </w:pPr>
            <w:r w:rsidRPr="00191322">
              <w:rPr>
                <w:rFonts w:eastAsia="宋体" w:cs="Times New Roman"/>
                <w:sz w:val="18"/>
                <w:szCs w:val="18"/>
              </w:rPr>
              <w:t xml:space="preserve"> 6,677,982.48 </w:t>
            </w:r>
          </w:p>
        </w:tc>
        <w:tc>
          <w:tcPr>
            <w:tcW w:w="1683" w:type="dxa"/>
            <w:shd w:val="clear" w:color="auto" w:fill="auto"/>
            <w:vAlign w:val="center"/>
          </w:tcPr>
          <w:p w:rsidR="00BC3ECC" w:rsidRPr="00191322" w:rsidDel="00F602A1" w:rsidRDefault="009D3B75" w:rsidP="00BC3ECC">
            <w:pPr>
              <w:ind w:right="108"/>
              <w:jc w:val="right"/>
              <w:rPr>
                <w:rFonts w:eastAsia="宋体" w:cs="Times New Roman"/>
                <w:sz w:val="18"/>
                <w:szCs w:val="18"/>
              </w:rPr>
            </w:pPr>
            <w:r w:rsidRPr="00191322">
              <w:rPr>
                <w:rFonts w:eastAsia="宋体" w:cs="Times New Roman"/>
                <w:sz w:val="18"/>
                <w:szCs w:val="18"/>
              </w:rPr>
              <w:t>-    </w:t>
            </w:r>
          </w:p>
        </w:tc>
        <w:tc>
          <w:tcPr>
            <w:tcW w:w="1684" w:type="dxa"/>
            <w:vAlign w:val="center"/>
          </w:tcPr>
          <w:p w:rsidR="00BC3ECC" w:rsidRPr="00191322" w:rsidDel="00F602A1" w:rsidRDefault="00BC3ECC" w:rsidP="00BC3ECC">
            <w:pPr>
              <w:ind w:right="108"/>
              <w:jc w:val="right"/>
              <w:rPr>
                <w:rFonts w:eastAsia="宋体" w:cs="Times New Roman"/>
                <w:sz w:val="18"/>
                <w:szCs w:val="18"/>
              </w:rPr>
            </w:pPr>
            <w:r w:rsidRPr="00191322">
              <w:rPr>
                <w:rFonts w:eastAsia="宋体" w:cs="Times New Roman"/>
                <w:sz w:val="18"/>
                <w:szCs w:val="18"/>
              </w:rPr>
              <w:t xml:space="preserve"> 7,789,704.03 </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318"/>
              </w:tabs>
              <w:rPr>
                <w:rFonts w:eastAsia="宋体" w:cs="Times New Roman"/>
                <w:sz w:val="18"/>
                <w:szCs w:val="18"/>
              </w:rPr>
            </w:pPr>
            <w:r w:rsidRPr="00191322">
              <w:rPr>
                <w:rFonts w:eastAsia="宋体" w:cs="Times New Roman"/>
                <w:sz w:val="18"/>
                <w:szCs w:val="18"/>
              </w:rPr>
              <w:tab/>
              <w:t>4.</w:t>
            </w:r>
            <w:r w:rsidRPr="00191322">
              <w:rPr>
                <w:rFonts w:eastAsia="宋体" w:cs="Times New Roman" w:hint="eastAsia"/>
                <w:sz w:val="18"/>
                <w:szCs w:val="18"/>
              </w:rPr>
              <w:t>外币报表折算差额</w:t>
            </w:r>
          </w:p>
        </w:tc>
        <w:tc>
          <w:tcPr>
            <w:tcW w:w="1683" w:type="dxa"/>
            <w:shd w:val="clear" w:color="auto" w:fill="auto"/>
            <w:tcMar>
              <w:top w:w="0" w:type="dxa"/>
              <w:left w:w="108" w:type="dxa"/>
              <w:bottom w:w="0" w:type="dxa"/>
              <w:right w:w="108" w:type="dxa"/>
            </w:tcMar>
            <w:vAlign w:val="center"/>
          </w:tcPr>
          <w:p w:rsidR="00BC3ECC" w:rsidRPr="00191322" w:rsidRDefault="00BC3ECC" w:rsidP="00BC3ECC">
            <w:pPr>
              <w:jc w:val="right"/>
              <w:rPr>
                <w:rFonts w:eastAsia="宋体" w:cs="Times New Roman"/>
                <w:sz w:val="18"/>
                <w:szCs w:val="18"/>
              </w:rPr>
            </w:pPr>
            <w:r w:rsidRPr="00191322">
              <w:rPr>
                <w:rFonts w:eastAsia="宋体" w:cs="Times New Roman"/>
                <w:sz w:val="18"/>
                <w:szCs w:val="18"/>
              </w:rPr>
              <w:t xml:space="preserve"> 2,299.</w:t>
            </w:r>
            <w:r w:rsidR="001C2D2E" w:rsidRPr="00191322">
              <w:rPr>
                <w:rFonts w:eastAsia="宋体" w:cs="Times New Roman"/>
                <w:sz w:val="18"/>
                <w:szCs w:val="18"/>
              </w:rPr>
              <w:t>0</w:t>
            </w:r>
            <w:r w:rsidR="0078062A" w:rsidRPr="00191322">
              <w:rPr>
                <w:rFonts w:eastAsia="宋体" w:cs="Times New Roman"/>
                <w:sz w:val="18"/>
                <w:szCs w:val="18"/>
              </w:rPr>
              <w:t xml:space="preserve">5 </w:t>
            </w:r>
          </w:p>
        </w:tc>
        <w:tc>
          <w:tcPr>
            <w:tcW w:w="1684" w:type="dxa"/>
            <w:vAlign w:val="center"/>
          </w:tcPr>
          <w:p w:rsidR="00BC3ECC" w:rsidRPr="00191322" w:rsidRDefault="009D3B75" w:rsidP="00BC3ECC">
            <w:pPr>
              <w:ind w:right="91"/>
              <w:jc w:val="right"/>
              <w:rPr>
                <w:rFonts w:eastAsia="宋体" w:cs="Times New Roman"/>
                <w:sz w:val="18"/>
                <w:szCs w:val="18"/>
              </w:rPr>
            </w:pPr>
            <w:r w:rsidRPr="00191322">
              <w:rPr>
                <w:rFonts w:eastAsia="宋体" w:cs="Times New Roman"/>
                <w:sz w:val="18"/>
                <w:szCs w:val="18"/>
              </w:rPr>
              <w:t>-    </w:t>
            </w:r>
          </w:p>
        </w:tc>
        <w:tc>
          <w:tcPr>
            <w:tcW w:w="1683" w:type="dxa"/>
            <w:shd w:val="clear" w:color="auto" w:fill="auto"/>
            <w:vAlign w:val="center"/>
          </w:tcPr>
          <w:p w:rsidR="00BC3ECC" w:rsidRPr="00191322" w:rsidRDefault="009D3B75" w:rsidP="00BC3ECC">
            <w:pPr>
              <w:ind w:right="108"/>
              <w:jc w:val="right"/>
              <w:rPr>
                <w:rFonts w:eastAsia="宋体" w:cs="Times New Roman"/>
                <w:sz w:val="18"/>
                <w:szCs w:val="18"/>
              </w:rPr>
            </w:pPr>
            <w:r w:rsidRPr="00191322">
              <w:rPr>
                <w:rFonts w:eastAsia="宋体" w:cs="Times New Roman"/>
                <w:sz w:val="18"/>
                <w:szCs w:val="18"/>
              </w:rPr>
              <w:t>-    </w:t>
            </w:r>
          </w:p>
        </w:tc>
        <w:tc>
          <w:tcPr>
            <w:tcW w:w="1684" w:type="dxa"/>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2,299.</w:t>
            </w:r>
            <w:r w:rsidR="001C2D2E" w:rsidRPr="00191322">
              <w:rPr>
                <w:rFonts w:eastAsia="宋体" w:cs="Times New Roman"/>
                <w:sz w:val="18"/>
                <w:szCs w:val="18"/>
              </w:rPr>
              <w:t>0</w:t>
            </w:r>
            <w:r w:rsidR="00C35A93" w:rsidRPr="00191322">
              <w:rPr>
                <w:rFonts w:eastAsia="宋体" w:cs="Times New Roman"/>
                <w:sz w:val="18"/>
                <w:szCs w:val="18"/>
              </w:rPr>
              <w:t xml:space="preserve">5 </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318"/>
              </w:tabs>
              <w:rPr>
                <w:rFonts w:eastAsia="宋体" w:cs="Times New Roman"/>
                <w:sz w:val="18"/>
                <w:szCs w:val="18"/>
              </w:rPr>
            </w:pPr>
            <w:r w:rsidRPr="00191322">
              <w:rPr>
                <w:rFonts w:eastAsia="宋体" w:cs="Times New Roman"/>
                <w:sz w:val="18"/>
                <w:szCs w:val="18"/>
              </w:rPr>
              <w:tab/>
              <w:t>5.</w:t>
            </w:r>
            <w:r w:rsidRPr="00191322">
              <w:rPr>
                <w:rFonts w:eastAsia="宋体" w:cs="Times New Roman" w:hint="eastAsia"/>
                <w:sz w:val="18"/>
                <w:szCs w:val="18"/>
              </w:rPr>
              <w:t>年末余额</w:t>
            </w:r>
          </w:p>
        </w:tc>
        <w:tc>
          <w:tcPr>
            <w:tcW w:w="1683" w:type="dxa"/>
            <w:shd w:val="clear" w:color="auto" w:fill="auto"/>
            <w:tcMar>
              <w:top w:w="0" w:type="dxa"/>
              <w:left w:w="108" w:type="dxa"/>
              <w:bottom w:w="0" w:type="dxa"/>
              <w:right w:w="108" w:type="dxa"/>
            </w:tcMar>
            <w:vAlign w:val="center"/>
          </w:tcPr>
          <w:p w:rsidR="00BC3ECC" w:rsidRPr="00191322" w:rsidRDefault="001C2D2E" w:rsidP="00BC3ECC">
            <w:pPr>
              <w:jc w:val="right"/>
              <w:rPr>
                <w:rFonts w:eastAsia="宋体" w:cs="Times New Roman"/>
                <w:sz w:val="18"/>
                <w:szCs w:val="18"/>
              </w:rPr>
            </w:pPr>
            <w:r w:rsidRPr="00191322">
              <w:rPr>
                <w:rFonts w:eastAsia="宋体" w:cs="Times New Roman"/>
                <w:sz w:val="18"/>
                <w:szCs w:val="18"/>
              </w:rPr>
              <w:t>123,973,726.57</w:t>
            </w:r>
          </w:p>
        </w:tc>
        <w:tc>
          <w:tcPr>
            <w:tcW w:w="1684" w:type="dxa"/>
            <w:vAlign w:val="center"/>
          </w:tcPr>
          <w:p w:rsidR="00BC3ECC" w:rsidRPr="00191322" w:rsidRDefault="001C2D2E" w:rsidP="00BC3ECC">
            <w:pPr>
              <w:ind w:right="91"/>
              <w:jc w:val="right"/>
              <w:rPr>
                <w:rFonts w:eastAsia="宋体" w:cs="Times New Roman"/>
                <w:sz w:val="18"/>
                <w:szCs w:val="18"/>
              </w:rPr>
            </w:pPr>
            <w:r w:rsidRPr="00191322">
              <w:rPr>
                <w:rFonts w:eastAsia="宋体" w:cs="Times New Roman"/>
                <w:sz w:val="18"/>
                <w:szCs w:val="18"/>
              </w:rPr>
              <w:t>172,580,689.30</w:t>
            </w:r>
          </w:p>
        </w:tc>
        <w:tc>
          <w:tcPr>
            <w:tcW w:w="1683" w:type="dxa"/>
            <w:shd w:val="clear" w:color="auto" w:fill="auto"/>
            <w:vAlign w:val="center"/>
          </w:tcPr>
          <w:p w:rsidR="00BC3ECC" w:rsidRPr="00191322" w:rsidRDefault="001C2D2E" w:rsidP="00BC3ECC">
            <w:pPr>
              <w:ind w:right="108"/>
              <w:jc w:val="right"/>
              <w:rPr>
                <w:rFonts w:eastAsia="宋体" w:cs="Times New Roman"/>
                <w:sz w:val="18"/>
                <w:szCs w:val="18"/>
              </w:rPr>
            </w:pPr>
            <w:r w:rsidRPr="00191322">
              <w:rPr>
                <w:rFonts w:eastAsia="宋体" w:cs="Times New Roman"/>
                <w:sz w:val="18"/>
                <w:szCs w:val="18"/>
              </w:rPr>
              <w:t>429,581.95</w:t>
            </w:r>
          </w:p>
        </w:tc>
        <w:tc>
          <w:tcPr>
            <w:tcW w:w="1684" w:type="dxa"/>
            <w:vAlign w:val="center"/>
          </w:tcPr>
          <w:p w:rsidR="00BC3ECC" w:rsidRPr="00191322" w:rsidRDefault="001C2D2E" w:rsidP="00BC3ECC">
            <w:pPr>
              <w:ind w:right="108"/>
              <w:jc w:val="right"/>
              <w:rPr>
                <w:rFonts w:eastAsia="宋体" w:cs="Times New Roman"/>
                <w:sz w:val="18"/>
                <w:szCs w:val="18"/>
              </w:rPr>
            </w:pPr>
            <w:r w:rsidRPr="00191322">
              <w:rPr>
                <w:rFonts w:eastAsia="宋体" w:cs="Times New Roman"/>
                <w:sz w:val="18"/>
                <w:szCs w:val="18"/>
              </w:rPr>
              <w:t>296,983,997.82</w:t>
            </w:r>
          </w:p>
        </w:tc>
      </w:tr>
      <w:tr w:rsidR="00B67BF4" w:rsidRPr="00191322" w:rsidTr="0027505B">
        <w:trPr>
          <w:trHeight w:val="20"/>
        </w:trPr>
        <w:tc>
          <w:tcPr>
            <w:tcW w:w="2712" w:type="dxa"/>
            <w:shd w:val="clear" w:color="auto" w:fill="D9D9D9" w:themeFill="background1" w:themeFillShade="D9"/>
            <w:tcMar>
              <w:top w:w="0" w:type="dxa"/>
              <w:left w:w="108" w:type="dxa"/>
              <w:bottom w:w="0" w:type="dxa"/>
              <w:right w:w="108" w:type="dxa"/>
            </w:tcMar>
            <w:vAlign w:val="center"/>
          </w:tcPr>
          <w:p w:rsidR="00B67BF4" w:rsidRPr="00191322" w:rsidRDefault="00B67BF4" w:rsidP="00B67BF4">
            <w:pPr>
              <w:ind w:left="-37"/>
              <w:rPr>
                <w:rFonts w:eastAsia="宋体" w:cs="Times New Roman"/>
                <w:sz w:val="18"/>
                <w:szCs w:val="18"/>
              </w:rPr>
            </w:pPr>
            <w:r w:rsidRPr="00191322">
              <w:rPr>
                <w:rFonts w:eastAsia="宋体" w:cs="Times New Roman" w:hint="eastAsia"/>
                <w:sz w:val="18"/>
                <w:szCs w:val="18"/>
              </w:rPr>
              <w:t>二、累计折旧</w:t>
            </w:r>
          </w:p>
        </w:tc>
        <w:tc>
          <w:tcPr>
            <w:tcW w:w="1683" w:type="dxa"/>
            <w:shd w:val="clear" w:color="auto" w:fill="auto"/>
            <w:tcMar>
              <w:top w:w="0" w:type="dxa"/>
              <w:left w:w="108" w:type="dxa"/>
              <w:bottom w:w="0" w:type="dxa"/>
              <w:right w:w="108" w:type="dxa"/>
            </w:tcMar>
            <w:vAlign w:val="center"/>
          </w:tcPr>
          <w:p w:rsidR="00B67BF4" w:rsidRPr="00191322" w:rsidRDefault="00B67BF4" w:rsidP="00B67BF4">
            <w:pPr>
              <w:jc w:val="right"/>
              <w:rPr>
                <w:rFonts w:eastAsia="宋体" w:cs="Times New Roman"/>
                <w:sz w:val="18"/>
                <w:szCs w:val="18"/>
              </w:rPr>
            </w:pPr>
          </w:p>
        </w:tc>
        <w:tc>
          <w:tcPr>
            <w:tcW w:w="1684" w:type="dxa"/>
            <w:vAlign w:val="center"/>
          </w:tcPr>
          <w:p w:rsidR="00B67BF4" w:rsidRPr="00191322" w:rsidRDefault="00B67BF4" w:rsidP="00B67BF4">
            <w:pPr>
              <w:ind w:right="91"/>
              <w:jc w:val="right"/>
              <w:rPr>
                <w:rFonts w:eastAsia="宋体" w:cs="Times New Roman"/>
                <w:sz w:val="18"/>
                <w:szCs w:val="18"/>
              </w:rPr>
            </w:pPr>
          </w:p>
        </w:tc>
        <w:tc>
          <w:tcPr>
            <w:tcW w:w="1683" w:type="dxa"/>
            <w:shd w:val="clear" w:color="auto" w:fill="auto"/>
            <w:vAlign w:val="center"/>
          </w:tcPr>
          <w:p w:rsidR="00B67BF4" w:rsidRPr="00191322" w:rsidRDefault="00B67BF4" w:rsidP="00B67BF4">
            <w:pPr>
              <w:ind w:right="108"/>
              <w:jc w:val="right"/>
              <w:rPr>
                <w:rFonts w:eastAsia="宋体" w:cs="Times New Roman"/>
                <w:sz w:val="18"/>
                <w:szCs w:val="18"/>
              </w:rPr>
            </w:pPr>
          </w:p>
        </w:tc>
        <w:tc>
          <w:tcPr>
            <w:tcW w:w="1684" w:type="dxa"/>
            <w:vAlign w:val="center"/>
          </w:tcPr>
          <w:p w:rsidR="00B67BF4" w:rsidRPr="00191322" w:rsidRDefault="00B67BF4" w:rsidP="00B67BF4">
            <w:pPr>
              <w:ind w:right="108"/>
              <w:jc w:val="right"/>
              <w:rPr>
                <w:rFonts w:eastAsia="宋体" w:cs="Times New Roman"/>
                <w:sz w:val="18"/>
                <w:szCs w:val="18"/>
              </w:rPr>
            </w:pPr>
          </w:p>
        </w:tc>
      </w:tr>
      <w:tr w:rsidR="00B67BF4"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67BF4" w:rsidRPr="00191322" w:rsidRDefault="00B67BF4" w:rsidP="00B67BF4">
            <w:pPr>
              <w:tabs>
                <w:tab w:val="left" w:pos="318"/>
              </w:tabs>
              <w:rPr>
                <w:rFonts w:eastAsia="宋体" w:cs="Times New Roman"/>
                <w:sz w:val="18"/>
                <w:szCs w:val="18"/>
              </w:rPr>
            </w:pPr>
            <w:r w:rsidRPr="00191322">
              <w:rPr>
                <w:rFonts w:eastAsia="宋体" w:cs="Times New Roman"/>
                <w:sz w:val="18"/>
                <w:szCs w:val="18"/>
              </w:rPr>
              <w:tab/>
              <w:t>1.</w:t>
            </w:r>
            <w:r w:rsidRPr="00191322">
              <w:rPr>
                <w:rFonts w:eastAsia="宋体" w:cs="Times New Roman" w:hint="eastAsia"/>
                <w:sz w:val="18"/>
                <w:szCs w:val="18"/>
              </w:rPr>
              <w:t>年初余额</w:t>
            </w:r>
          </w:p>
        </w:tc>
        <w:tc>
          <w:tcPr>
            <w:tcW w:w="1683" w:type="dxa"/>
            <w:shd w:val="clear" w:color="auto" w:fill="auto"/>
            <w:tcMar>
              <w:top w:w="0" w:type="dxa"/>
              <w:left w:w="108" w:type="dxa"/>
              <w:bottom w:w="0" w:type="dxa"/>
              <w:right w:w="108" w:type="dxa"/>
            </w:tcMar>
            <w:vAlign w:val="center"/>
          </w:tcPr>
          <w:p w:rsidR="00B67BF4" w:rsidRPr="00191322" w:rsidRDefault="001C2D2E" w:rsidP="00B67BF4">
            <w:pPr>
              <w:jc w:val="right"/>
              <w:rPr>
                <w:rFonts w:eastAsia="宋体" w:cs="Times New Roman"/>
                <w:sz w:val="18"/>
                <w:szCs w:val="18"/>
              </w:rPr>
            </w:pPr>
            <w:r w:rsidRPr="00191322">
              <w:rPr>
                <w:rFonts w:eastAsia="宋体" w:cs="Times New Roman"/>
                <w:sz w:val="18"/>
                <w:szCs w:val="18"/>
              </w:rPr>
              <w:t>41,305,912.20</w:t>
            </w:r>
          </w:p>
        </w:tc>
        <w:tc>
          <w:tcPr>
            <w:tcW w:w="1684" w:type="dxa"/>
            <w:vAlign w:val="center"/>
          </w:tcPr>
          <w:p w:rsidR="00B67BF4" w:rsidRPr="00191322" w:rsidRDefault="00B67BF4" w:rsidP="00B67BF4">
            <w:pPr>
              <w:ind w:right="91"/>
              <w:jc w:val="right"/>
              <w:rPr>
                <w:rFonts w:eastAsia="宋体" w:cs="Times New Roman"/>
                <w:sz w:val="18"/>
                <w:szCs w:val="18"/>
              </w:rPr>
            </w:pPr>
            <w:r w:rsidRPr="00191322">
              <w:rPr>
                <w:rFonts w:eastAsia="宋体" w:cs="Times New Roman"/>
                <w:sz w:val="18"/>
                <w:szCs w:val="18"/>
              </w:rPr>
              <w:t>52,603,508.57</w:t>
            </w:r>
          </w:p>
        </w:tc>
        <w:tc>
          <w:tcPr>
            <w:tcW w:w="1683" w:type="dxa"/>
            <w:shd w:val="clear" w:color="auto" w:fill="auto"/>
            <w:vAlign w:val="center"/>
          </w:tcPr>
          <w:p w:rsidR="00B67BF4" w:rsidRPr="00191322" w:rsidRDefault="00B67BF4" w:rsidP="00B67BF4">
            <w:pPr>
              <w:ind w:right="108"/>
              <w:jc w:val="right"/>
              <w:rPr>
                <w:rFonts w:eastAsia="宋体" w:cs="Times New Roman"/>
                <w:sz w:val="18"/>
                <w:szCs w:val="18"/>
              </w:rPr>
            </w:pPr>
            <w:r w:rsidRPr="00191322">
              <w:rPr>
                <w:rFonts w:eastAsia="宋体" w:cs="Times New Roman"/>
                <w:sz w:val="18"/>
                <w:szCs w:val="18"/>
              </w:rPr>
              <w:t>225,705.49</w:t>
            </w:r>
          </w:p>
        </w:tc>
        <w:tc>
          <w:tcPr>
            <w:tcW w:w="1684" w:type="dxa"/>
            <w:vAlign w:val="center"/>
          </w:tcPr>
          <w:p w:rsidR="00B67BF4" w:rsidRPr="00191322" w:rsidRDefault="00B67BF4" w:rsidP="00B67BF4">
            <w:pPr>
              <w:ind w:right="108"/>
              <w:jc w:val="right"/>
              <w:rPr>
                <w:rFonts w:eastAsia="宋体" w:cs="Times New Roman"/>
                <w:sz w:val="18"/>
                <w:szCs w:val="18"/>
              </w:rPr>
            </w:pPr>
            <w:r w:rsidRPr="00191322">
              <w:rPr>
                <w:rFonts w:eastAsia="宋体" w:cs="Times New Roman"/>
                <w:sz w:val="18"/>
                <w:szCs w:val="18"/>
              </w:rPr>
              <w:t>94,135,126.26</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318"/>
              </w:tabs>
              <w:rPr>
                <w:rFonts w:eastAsia="宋体" w:cs="Times New Roman"/>
                <w:sz w:val="18"/>
                <w:szCs w:val="18"/>
              </w:rPr>
            </w:pPr>
            <w:r w:rsidRPr="00191322">
              <w:rPr>
                <w:rFonts w:eastAsia="宋体" w:cs="Times New Roman"/>
                <w:sz w:val="18"/>
                <w:szCs w:val="18"/>
              </w:rPr>
              <w:tab/>
              <w:t>2.</w:t>
            </w:r>
            <w:r w:rsidRPr="00191322">
              <w:rPr>
                <w:rFonts w:eastAsia="宋体" w:cs="Times New Roman" w:hint="eastAsia"/>
                <w:sz w:val="18"/>
                <w:szCs w:val="18"/>
              </w:rPr>
              <w:t>本年增加金额</w:t>
            </w:r>
          </w:p>
        </w:tc>
        <w:tc>
          <w:tcPr>
            <w:tcW w:w="1683" w:type="dxa"/>
            <w:shd w:val="clear" w:color="auto" w:fill="auto"/>
            <w:tcMar>
              <w:top w:w="0" w:type="dxa"/>
              <w:left w:w="108" w:type="dxa"/>
              <w:bottom w:w="0" w:type="dxa"/>
              <w:right w:w="108" w:type="dxa"/>
            </w:tcMar>
            <w:vAlign w:val="center"/>
          </w:tcPr>
          <w:p w:rsidR="00BC3ECC" w:rsidRPr="00191322" w:rsidRDefault="001C2D2E" w:rsidP="00BC3ECC">
            <w:pPr>
              <w:jc w:val="right"/>
              <w:rPr>
                <w:rFonts w:eastAsia="宋体" w:cs="Times New Roman"/>
                <w:sz w:val="18"/>
                <w:szCs w:val="18"/>
              </w:rPr>
            </w:pPr>
            <w:r w:rsidRPr="00191322">
              <w:rPr>
                <w:rFonts w:eastAsia="宋体" w:cs="Times New Roman"/>
                <w:sz w:val="18"/>
                <w:szCs w:val="18"/>
              </w:rPr>
              <w:t>19,449,890.56</w:t>
            </w:r>
          </w:p>
        </w:tc>
        <w:tc>
          <w:tcPr>
            <w:tcW w:w="1684" w:type="dxa"/>
            <w:vAlign w:val="center"/>
          </w:tcPr>
          <w:p w:rsidR="00BC3ECC" w:rsidRPr="00191322" w:rsidRDefault="001C2D2E" w:rsidP="00BC3ECC">
            <w:pPr>
              <w:ind w:right="91"/>
              <w:jc w:val="right"/>
              <w:rPr>
                <w:rFonts w:eastAsia="宋体" w:cs="Times New Roman"/>
                <w:sz w:val="18"/>
                <w:szCs w:val="18"/>
              </w:rPr>
            </w:pPr>
            <w:r w:rsidRPr="00191322">
              <w:rPr>
                <w:rFonts w:eastAsia="宋体" w:cs="Times New Roman"/>
                <w:sz w:val="18"/>
                <w:szCs w:val="18"/>
              </w:rPr>
              <w:t>29,131,710.76</w:t>
            </w:r>
          </w:p>
        </w:tc>
        <w:tc>
          <w:tcPr>
            <w:tcW w:w="1683" w:type="dxa"/>
            <w:shd w:val="clear" w:color="auto" w:fill="auto"/>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141,165.29 </w:t>
            </w:r>
          </w:p>
        </w:tc>
        <w:tc>
          <w:tcPr>
            <w:tcW w:w="1684" w:type="dxa"/>
            <w:vAlign w:val="center"/>
          </w:tcPr>
          <w:p w:rsidR="00BC3ECC" w:rsidRPr="00191322" w:rsidRDefault="001C2D2E" w:rsidP="00BC3ECC">
            <w:pPr>
              <w:ind w:right="108"/>
              <w:jc w:val="right"/>
              <w:rPr>
                <w:rFonts w:eastAsia="宋体" w:cs="Times New Roman"/>
                <w:sz w:val="18"/>
                <w:szCs w:val="18"/>
              </w:rPr>
            </w:pPr>
            <w:r w:rsidRPr="00191322">
              <w:rPr>
                <w:rFonts w:eastAsia="宋体" w:cs="Times New Roman"/>
                <w:sz w:val="18"/>
                <w:szCs w:val="18"/>
              </w:rPr>
              <w:t>48,722,766.61</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453"/>
              </w:tabs>
              <w:rPr>
                <w:rFonts w:eastAsia="宋体" w:cs="Times New Roman"/>
                <w:sz w:val="18"/>
                <w:szCs w:val="18"/>
              </w:rPr>
            </w:pPr>
            <w:r w:rsidRPr="00191322">
              <w:rPr>
                <w:rFonts w:eastAsia="宋体" w:cs="Times New Roman"/>
                <w:sz w:val="18"/>
                <w:szCs w:val="18"/>
              </w:rPr>
              <w:tab/>
            </w:r>
            <w:r w:rsidR="005F14EE" w:rsidRPr="00191322">
              <w:rPr>
                <w:rFonts w:eastAsia="宋体" w:cs="Times New Roman"/>
                <w:sz w:val="18"/>
                <w:szCs w:val="18"/>
              </w:rPr>
              <w:t>(</w:t>
            </w:r>
            <w:r w:rsidRPr="00191322">
              <w:rPr>
                <w:rFonts w:eastAsia="宋体" w:cs="Times New Roman"/>
                <w:sz w:val="18"/>
                <w:szCs w:val="18"/>
              </w:rPr>
              <w:t>1</w:t>
            </w:r>
            <w:r w:rsidR="005F14EE" w:rsidRPr="00191322">
              <w:rPr>
                <w:rFonts w:eastAsia="宋体" w:cs="Times New Roman"/>
                <w:sz w:val="18"/>
                <w:szCs w:val="18"/>
              </w:rPr>
              <w:t>)</w:t>
            </w:r>
            <w:r w:rsidRPr="00191322">
              <w:rPr>
                <w:rFonts w:eastAsia="宋体" w:cs="Times New Roman" w:hint="eastAsia"/>
                <w:sz w:val="18"/>
                <w:szCs w:val="18"/>
              </w:rPr>
              <w:t>计提</w:t>
            </w:r>
          </w:p>
        </w:tc>
        <w:tc>
          <w:tcPr>
            <w:tcW w:w="1683" w:type="dxa"/>
            <w:shd w:val="clear" w:color="auto" w:fill="auto"/>
            <w:tcMar>
              <w:top w:w="0" w:type="dxa"/>
              <w:left w:w="108" w:type="dxa"/>
              <w:bottom w:w="0" w:type="dxa"/>
              <w:right w:w="108" w:type="dxa"/>
            </w:tcMar>
            <w:vAlign w:val="center"/>
          </w:tcPr>
          <w:p w:rsidR="00BC3ECC" w:rsidRPr="00191322" w:rsidRDefault="001C2D2E" w:rsidP="00BC3ECC">
            <w:pPr>
              <w:jc w:val="right"/>
              <w:rPr>
                <w:rFonts w:eastAsia="宋体" w:cs="Times New Roman"/>
                <w:sz w:val="18"/>
                <w:szCs w:val="18"/>
              </w:rPr>
            </w:pPr>
            <w:r w:rsidRPr="00191322">
              <w:rPr>
                <w:rFonts w:eastAsia="宋体" w:cs="Times New Roman"/>
                <w:sz w:val="18"/>
                <w:szCs w:val="18"/>
              </w:rPr>
              <w:t>19,449,890.56</w:t>
            </w:r>
          </w:p>
        </w:tc>
        <w:tc>
          <w:tcPr>
            <w:tcW w:w="1684" w:type="dxa"/>
            <w:vAlign w:val="center"/>
          </w:tcPr>
          <w:p w:rsidR="00BC3ECC" w:rsidRPr="00191322" w:rsidRDefault="001C2D2E" w:rsidP="00BC3ECC">
            <w:pPr>
              <w:ind w:right="91"/>
              <w:jc w:val="right"/>
              <w:rPr>
                <w:rFonts w:eastAsia="宋体" w:cs="Times New Roman"/>
                <w:sz w:val="18"/>
                <w:szCs w:val="18"/>
              </w:rPr>
            </w:pPr>
            <w:r w:rsidRPr="00191322">
              <w:rPr>
                <w:rFonts w:eastAsia="宋体" w:cs="Times New Roman"/>
                <w:sz w:val="18"/>
                <w:szCs w:val="18"/>
              </w:rPr>
              <w:t>29,131,710.76</w:t>
            </w:r>
          </w:p>
        </w:tc>
        <w:tc>
          <w:tcPr>
            <w:tcW w:w="1683" w:type="dxa"/>
            <w:shd w:val="clear" w:color="auto" w:fill="auto"/>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141,165.29 </w:t>
            </w:r>
          </w:p>
        </w:tc>
        <w:tc>
          <w:tcPr>
            <w:tcW w:w="1684" w:type="dxa"/>
            <w:vAlign w:val="center"/>
          </w:tcPr>
          <w:p w:rsidR="00BC3ECC" w:rsidRPr="00191322" w:rsidRDefault="001C2D2E" w:rsidP="00BC3ECC">
            <w:pPr>
              <w:ind w:right="108"/>
              <w:jc w:val="right"/>
              <w:rPr>
                <w:rFonts w:eastAsia="宋体" w:cs="Times New Roman"/>
                <w:sz w:val="18"/>
                <w:szCs w:val="18"/>
              </w:rPr>
            </w:pPr>
            <w:r w:rsidRPr="00191322">
              <w:rPr>
                <w:rFonts w:eastAsia="宋体" w:cs="Times New Roman"/>
                <w:sz w:val="18"/>
                <w:szCs w:val="18"/>
              </w:rPr>
              <w:t>48,722,766.61</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318"/>
              </w:tabs>
              <w:rPr>
                <w:rFonts w:eastAsia="宋体" w:cs="Times New Roman"/>
                <w:sz w:val="18"/>
                <w:szCs w:val="18"/>
              </w:rPr>
            </w:pPr>
            <w:r w:rsidRPr="00191322">
              <w:rPr>
                <w:rFonts w:eastAsia="宋体" w:cs="Times New Roman"/>
                <w:sz w:val="18"/>
                <w:szCs w:val="18"/>
              </w:rPr>
              <w:tab/>
              <w:t>3.</w:t>
            </w:r>
            <w:r w:rsidRPr="00191322">
              <w:rPr>
                <w:rFonts w:eastAsia="宋体" w:cs="Times New Roman" w:hint="eastAsia"/>
                <w:sz w:val="18"/>
                <w:szCs w:val="18"/>
              </w:rPr>
              <w:t>本年减少金额</w:t>
            </w:r>
          </w:p>
        </w:tc>
        <w:tc>
          <w:tcPr>
            <w:tcW w:w="1683" w:type="dxa"/>
            <w:shd w:val="clear" w:color="auto" w:fill="auto"/>
            <w:tcMar>
              <w:top w:w="0" w:type="dxa"/>
              <w:left w:w="108" w:type="dxa"/>
              <w:bottom w:w="0" w:type="dxa"/>
              <w:right w:w="108" w:type="dxa"/>
            </w:tcMar>
            <w:vAlign w:val="center"/>
          </w:tcPr>
          <w:p w:rsidR="00BC3ECC" w:rsidRPr="00191322" w:rsidRDefault="00BC3ECC" w:rsidP="00BC3ECC">
            <w:pPr>
              <w:jc w:val="right"/>
              <w:rPr>
                <w:rFonts w:eastAsia="宋体" w:cs="Times New Roman"/>
                <w:sz w:val="18"/>
                <w:szCs w:val="18"/>
              </w:rPr>
            </w:pPr>
            <w:r w:rsidRPr="00191322">
              <w:rPr>
                <w:rFonts w:eastAsia="宋体" w:cs="Times New Roman"/>
                <w:sz w:val="18"/>
                <w:szCs w:val="18"/>
              </w:rPr>
              <w:t xml:space="preserve"> 870,129.43 </w:t>
            </w:r>
          </w:p>
        </w:tc>
        <w:tc>
          <w:tcPr>
            <w:tcW w:w="1684" w:type="dxa"/>
            <w:vAlign w:val="center"/>
          </w:tcPr>
          <w:p w:rsidR="00BC3ECC" w:rsidRPr="00191322" w:rsidRDefault="00BC3ECC" w:rsidP="00BC3ECC">
            <w:pPr>
              <w:ind w:right="91"/>
              <w:jc w:val="right"/>
              <w:rPr>
                <w:rFonts w:eastAsia="宋体" w:cs="Times New Roman"/>
                <w:sz w:val="18"/>
                <w:szCs w:val="18"/>
              </w:rPr>
            </w:pPr>
            <w:r w:rsidRPr="00191322">
              <w:rPr>
                <w:rFonts w:eastAsia="宋体" w:cs="Times New Roman"/>
                <w:sz w:val="18"/>
                <w:szCs w:val="18"/>
              </w:rPr>
              <w:t xml:space="preserve"> 1,945,236.00 </w:t>
            </w:r>
          </w:p>
        </w:tc>
        <w:tc>
          <w:tcPr>
            <w:tcW w:w="1683" w:type="dxa"/>
            <w:shd w:val="clear" w:color="auto" w:fill="auto"/>
            <w:vAlign w:val="center"/>
          </w:tcPr>
          <w:p w:rsidR="00BC3ECC" w:rsidRPr="00191322" w:rsidRDefault="00F0714C" w:rsidP="00BC3ECC">
            <w:pPr>
              <w:ind w:right="108"/>
              <w:jc w:val="right"/>
              <w:rPr>
                <w:rFonts w:eastAsia="宋体" w:cs="Times New Roman"/>
                <w:sz w:val="18"/>
                <w:szCs w:val="18"/>
              </w:rPr>
            </w:pPr>
            <w:r w:rsidRPr="00191322">
              <w:rPr>
                <w:rFonts w:eastAsia="宋体" w:cs="Times New Roman"/>
                <w:sz w:val="18"/>
                <w:szCs w:val="18"/>
              </w:rPr>
              <w:t>-    </w:t>
            </w:r>
          </w:p>
        </w:tc>
        <w:tc>
          <w:tcPr>
            <w:tcW w:w="1684" w:type="dxa"/>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2,815,365.43 </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462"/>
              </w:tabs>
              <w:rPr>
                <w:rFonts w:eastAsia="宋体" w:cs="Times New Roman"/>
                <w:sz w:val="18"/>
                <w:szCs w:val="18"/>
              </w:rPr>
            </w:pPr>
            <w:r w:rsidRPr="00191322">
              <w:rPr>
                <w:rFonts w:eastAsia="宋体" w:cs="Times New Roman"/>
                <w:sz w:val="18"/>
                <w:szCs w:val="18"/>
              </w:rPr>
              <w:tab/>
            </w:r>
            <w:r w:rsidR="005F14EE" w:rsidRPr="00191322">
              <w:rPr>
                <w:rFonts w:eastAsia="宋体" w:cs="Times New Roman"/>
                <w:sz w:val="18"/>
                <w:szCs w:val="18"/>
              </w:rPr>
              <w:t>(</w:t>
            </w:r>
            <w:r w:rsidRPr="00191322">
              <w:rPr>
                <w:rFonts w:eastAsia="宋体" w:cs="Times New Roman"/>
                <w:sz w:val="18"/>
                <w:szCs w:val="18"/>
              </w:rPr>
              <w:t>1</w:t>
            </w:r>
            <w:r w:rsidR="005F14EE" w:rsidRPr="00191322">
              <w:rPr>
                <w:rFonts w:eastAsia="宋体" w:cs="Times New Roman"/>
                <w:sz w:val="18"/>
                <w:szCs w:val="18"/>
              </w:rPr>
              <w:t>)</w:t>
            </w:r>
            <w:r w:rsidRPr="00191322">
              <w:rPr>
                <w:rFonts w:eastAsia="宋体" w:cs="Times New Roman" w:hint="eastAsia"/>
                <w:sz w:val="18"/>
                <w:szCs w:val="18"/>
              </w:rPr>
              <w:t>处置或报废</w:t>
            </w:r>
          </w:p>
        </w:tc>
        <w:tc>
          <w:tcPr>
            <w:tcW w:w="1683" w:type="dxa"/>
            <w:shd w:val="clear" w:color="auto" w:fill="auto"/>
            <w:tcMar>
              <w:top w:w="0" w:type="dxa"/>
              <w:left w:w="108" w:type="dxa"/>
              <w:bottom w:w="0" w:type="dxa"/>
              <w:right w:w="108" w:type="dxa"/>
            </w:tcMar>
            <w:vAlign w:val="center"/>
          </w:tcPr>
          <w:p w:rsidR="00BC3ECC" w:rsidRPr="00191322" w:rsidDel="00F602A1" w:rsidRDefault="00BC3ECC" w:rsidP="00BC3ECC">
            <w:pPr>
              <w:jc w:val="right"/>
              <w:rPr>
                <w:rFonts w:eastAsia="宋体" w:cs="Times New Roman"/>
                <w:sz w:val="18"/>
                <w:szCs w:val="18"/>
              </w:rPr>
            </w:pPr>
            <w:r w:rsidRPr="00191322">
              <w:rPr>
                <w:rFonts w:eastAsia="宋体" w:cs="Times New Roman"/>
                <w:sz w:val="18"/>
                <w:szCs w:val="18"/>
              </w:rPr>
              <w:t xml:space="preserve"> 870,129.43 </w:t>
            </w:r>
          </w:p>
        </w:tc>
        <w:tc>
          <w:tcPr>
            <w:tcW w:w="1684" w:type="dxa"/>
            <w:vAlign w:val="center"/>
          </w:tcPr>
          <w:p w:rsidR="00BC3ECC" w:rsidRPr="00191322" w:rsidDel="00F602A1" w:rsidRDefault="00BC3ECC" w:rsidP="00BC3ECC">
            <w:pPr>
              <w:ind w:right="91"/>
              <w:jc w:val="right"/>
              <w:rPr>
                <w:rFonts w:eastAsia="宋体" w:cs="Times New Roman"/>
                <w:sz w:val="18"/>
                <w:szCs w:val="18"/>
              </w:rPr>
            </w:pPr>
            <w:r w:rsidRPr="00191322">
              <w:rPr>
                <w:rFonts w:eastAsia="宋体" w:cs="Times New Roman"/>
                <w:sz w:val="18"/>
                <w:szCs w:val="18"/>
              </w:rPr>
              <w:t xml:space="preserve"> 1,945,236.00 </w:t>
            </w:r>
          </w:p>
        </w:tc>
        <w:tc>
          <w:tcPr>
            <w:tcW w:w="1683" w:type="dxa"/>
            <w:shd w:val="clear" w:color="auto" w:fill="auto"/>
            <w:vAlign w:val="center"/>
          </w:tcPr>
          <w:p w:rsidR="00BC3ECC" w:rsidRPr="00191322" w:rsidDel="00F602A1" w:rsidRDefault="00F0714C" w:rsidP="00BC3ECC">
            <w:pPr>
              <w:ind w:right="108"/>
              <w:jc w:val="right"/>
              <w:rPr>
                <w:rFonts w:eastAsia="宋体" w:cs="Times New Roman"/>
                <w:sz w:val="18"/>
                <w:szCs w:val="18"/>
              </w:rPr>
            </w:pPr>
            <w:r w:rsidRPr="00191322">
              <w:rPr>
                <w:rFonts w:eastAsia="宋体" w:cs="Times New Roman"/>
                <w:sz w:val="18"/>
                <w:szCs w:val="18"/>
              </w:rPr>
              <w:t>-    </w:t>
            </w:r>
          </w:p>
        </w:tc>
        <w:tc>
          <w:tcPr>
            <w:tcW w:w="1684" w:type="dxa"/>
            <w:vAlign w:val="center"/>
          </w:tcPr>
          <w:p w:rsidR="00BC3ECC" w:rsidRPr="00191322" w:rsidDel="00F602A1" w:rsidRDefault="00BC3ECC" w:rsidP="00BC3ECC">
            <w:pPr>
              <w:ind w:right="108"/>
              <w:jc w:val="right"/>
              <w:rPr>
                <w:rFonts w:eastAsia="宋体" w:cs="Times New Roman"/>
                <w:sz w:val="18"/>
                <w:szCs w:val="18"/>
              </w:rPr>
            </w:pPr>
            <w:r w:rsidRPr="00191322">
              <w:rPr>
                <w:rFonts w:eastAsia="宋体" w:cs="Times New Roman"/>
                <w:sz w:val="18"/>
                <w:szCs w:val="18"/>
              </w:rPr>
              <w:t xml:space="preserve"> 2,815,365.43 </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318"/>
              </w:tabs>
              <w:rPr>
                <w:rFonts w:eastAsia="宋体" w:cs="Times New Roman"/>
                <w:sz w:val="18"/>
                <w:szCs w:val="18"/>
              </w:rPr>
            </w:pPr>
            <w:r w:rsidRPr="00191322">
              <w:rPr>
                <w:rFonts w:eastAsia="宋体" w:cs="Times New Roman"/>
                <w:sz w:val="18"/>
                <w:szCs w:val="18"/>
              </w:rPr>
              <w:tab/>
              <w:t>4.</w:t>
            </w:r>
            <w:r w:rsidRPr="00191322">
              <w:rPr>
                <w:rFonts w:eastAsia="宋体" w:cs="Times New Roman" w:hint="eastAsia"/>
                <w:sz w:val="18"/>
                <w:szCs w:val="18"/>
              </w:rPr>
              <w:t>外币报表折算差额</w:t>
            </w:r>
          </w:p>
        </w:tc>
        <w:tc>
          <w:tcPr>
            <w:tcW w:w="1683" w:type="dxa"/>
            <w:shd w:val="clear" w:color="auto" w:fill="auto"/>
            <w:tcMar>
              <w:top w:w="0" w:type="dxa"/>
              <w:left w:w="108" w:type="dxa"/>
              <w:bottom w:w="0" w:type="dxa"/>
              <w:right w:w="108" w:type="dxa"/>
            </w:tcMar>
            <w:vAlign w:val="center"/>
          </w:tcPr>
          <w:p w:rsidR="00BC3ECC" w:rsidRPr="00191322" w:rsidRDefault="00BC3ECC" w:rsidP="00BC3ECC">
            <w:pPr>
              <w:jc w:val="right"/>
              <w:rPr>
                <w:rFonts w:eastAsia="宋体" w:cs="Times New Roman"/>
                <w:sz w:val="18"/>
                <w:szCs w:val="18"/>
              </w:rPr>
            </w:pPr>
            <w:r w:rsidRPr="00191322">
              <w:rPr>
                <w:rFonts w:eastAsia="宋体" w:cs="Times New Roman"/>
                <w:sz w:val="18"/>
                <w:szCs w:val="18"/>
              </w:rPr>
              <w:t xml:space="preserve"> 1,462.05 </w:t>
            </w:r>
          </w:p>
        </w:tc>
        <w:tc>
          <w:tcPr>
            <w:tcW w:w="1684" w:type="dxa"/>
            <w:vAlign w:val="center"/>
          </w:tcPr>
          <w:p w:rsidR="00BC3ECC" w:rsidRPr="00191322" w:rsidRDefault="00F0714C" w:rsidP="00BC3ECC">
            <w:pPr>
              <w:ind w:right="91"/>
              <w:jc w:val="right"/>
              <w:rPr>
                <w:rFonts w:eastAsia="宋体" w:cs="Times New Roman"/>
                <w:sz w:val="18"/>
                <w:szCs w:val="18"/>
              </w:rPr>
            </w:pPr>
            <w:r w:rsidRPr="00191322">
              <w:rPr>
                <w:rFonts w:eastAsia="宋体" w:cs="Times New Roman"/>
                <w:sz w:val="18"/>
                <w:szCs w:val="18"/>
              </w:rPr>
              <w:t>-    </w:t>
            </w:r>
          </w:p>
        </w:tc>
        <w:tc>
          <w:tcPr>
            <w:tcW w:w="1683" w:type="dxa"/>
            <w:shd w:val="clear" w:color="auto" w:fill="auto"/>
            <w:vAlign w:val="center"/>
          </w:tcPr>
          <w:p w:rsidR="00BC3ECC" w:rsidRPr="00191322" w:rsidRDefault="00F0714C" w:rsidP="00BC3ECC">
            <w:pPr>
              <w:ind w:right="108"/>
              <w:jc w:val="right"/>
              <w:rPr>
                <w:rFonts w:eastAsia="宋体" w:cs="Times New Roman"/>
                <w:sz w:val="18"/>
                <w:szCs w:val="18"/>
              </w:rPr>
            </w:pPr>
            <w:r w:rsidRPr="00191322">
              <w:rPr>
                <w:rFonts w:eastAsia="宋体" w:cs="Times New Roman"/>
                <w:sz w:val="18"/>
                <w:szCs w:val="18"/>
              </w:rPr>
              <w:t>-    </w:t>
            </w:r>
          </w:p>
        </w:tc>
        <w:tc>
          <w:tcPr>
            <w:tcW w:w="1684" w:type="dxa"/>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1,462.05 </w:t>
            </w: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318"/>
              </w:tabs>
              <w:rPr>
                <w:rFonts w:eastAsia="宋体" w:cs="Times New Roman"/>
                <w:sz w:val="18"/>
                <w:szCs w:val="18"/>
              </w:rPr>
            </w:pPr>
            <w:r w:rsidRPr="00191322">
              <w:rPr>
                <w:rFonts w:eastAsia="宋体" w:cs="Times New Roman"/>
                <w:sz w:val="18"/>
                <w:szCs w:val="18"/>
              </w:rPr>
              <w:tab/>
              <w:t>5.</w:t>
            </w:r>
            <w:r w:rsidRPr="00191322">
              <w:rPr>
                <w:rFonts w:eastAsia="宋体" w:cs="Times New Roman" w:hint="eastAsia"/>
                <w:sz w:val="18"/>
                <w:szCs w:val="18"/>
              </w:rPr>
              <w:t>年末余额</w:t>
            </w:r>
          </w:p>
        </w:tc>
        <w:tc>
          <w:tcPr>
            <w:tcW w:w="1683" w:type="dxa"/>
            <w:shd w:val="clear" w:color="auto" w:fill="auto"/>
            <w:tcMar>
              <w:top w:w="0" w:type="dxa"/>
              <w:left w:w="108" w:type="dxa"/>
              <w:bottom w:w="0" w:type="dxa"/>
              <w:right w:w="108" w:type="dxa"/>
            </w:tcMar>
            <w:vAlign w:val="center"/>
          </w:tcPr>
          <w:p w:rsidR="00BC3ECC" w:rsidRPr="00191322" w:rsidRDefault="001C2D2E" w:rsidP="00BC3ECC">
            <w:pPr>
              <w:jc w:val="right"/>
              <w:rPr>
                <w:rFonts w:eastAsia="宋体" w:cs="Times New Roman"/>
                <w:sz w:val="18"/>
                <w:szCs w:val="18"/>
              </w:rPr>
            </w:pPr>
            <w:r w:rsidRPr="00191322">
              <w:rPr>
                <w:rFonts w:eastAsia="宋体" w:cs="Times New Roman"/>
                <w:sz w:val="18"/>
                <w:szCs w:val="18"/>
              </w:rPr>
              <w:t>59,887,135.38</w:t>
            </w:r>
          </w:p>
        </w:tc>
        <w:tc>
          <w:tcPr>
            <w:tcW w:w="1684" w:type="dxa"/>
            <w:vAlign w:val="center"/>
          </w:tcPr>
          <w:p w:rsidR="00BC3ECC" w:rsidRPr="00191322" w:rsidRDefault="001C2D2E" w:rsidP="00BC3ECC">
            <w:pPr>
              <w:ind w:right="91"/>
              <w:jc w:val="right"/>
              <w:rPr>
                <w:rFonts w:eastAsia="宋体" w:cs="Times New Roman"/>
                <w:sz w:val="18"/>
                <w:szCs w:val="18"/>
              </w:rPr>
            </w:pPr>
            <w:r w:rsidRPr="00191322">
              <w:rPr>
                <w:rFonts w:eastAsia="宋体" w:cs="Times New Roman"/>
                <w:sz w:val="18"/>
                <w:szCs w:val="18"/>
              </w:rPr>
              <w:t>79,789,983.33</w:t>
            </w:r>
          </w:p>
        </w:tc>
        <w:tc>
          <w:tcPr>
            <w:tcW w:w="1683" w:type="dxa"/>
            <w:shd w:val="clear" w:color="auto" w:fill="auto"/>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366,870.78 </w:t>
            </w:r>
          </w:p>
        </w:tc>
        <w:tc>
          <w:tcPr>
            <w:tcW w:w="1684" w:type="dxa"/>
            <w:vAlign w:val="center"/>
          </w:tcPr>
          <w:p w:rsidR="00BC3ECC" w:rsidRPr="00191322" w:rsidRDefault="001C2D2E" w:rsidP="00BC3ECC">
            <w:pPr>
              <w:ind w:right="108"/>
              <w:jc w:val="right"/>
              <w:rPr>
                <w:rFonts w:eastAsia="宋体" w:cs="Times New Roman"/>
                <w:sz w:val="18"/>
                <w:szCs w:val="18"/>
              </w:rPr>
            </w:pPr>
            <w:r w:rsidRPr="00191322">
              <w:rPr>
                <w:rFonts w:eastAsia="宋体" w:cs="Times New Roman"/>
                <w:sz w:val="18"/>
                <w:szCs w:val="18"/>
              </w:rPr>
              <w:t>140,043,989.49</w:t>
            </w:r>
          </w:p>
        </w:tc>
      </w:tr>
      <w:tr w:rsidR="00B67BF4" w:rsidRPr="00191322" w:rsidTr="0027505B">
        <w:trPr>
          <w:trHeight w:val="20"/>
        </w:trPr>
        <w:tc>
          <w:tcPr>
            <w:tcW w:w="2712" w:type="dxa"/>
            <w:shd w:val="clear" w:color="auto" w:fill="D9D9D9" w:themeFill="background1" w:themeFillShade="D9"/>
            <w:tcMar>
              <w:top w:w="0" w:type="dxa"/>
              <w:left w:w="108" w:type="dxa"/>
              <w:bottom w:w="0" w:type="dxa"/>
              <w:right w:w="108" w:type="dxa"/>
            </w:tcMar>
            <w:vAlign w:val="center"/>
          </w:tcPr>
          <w:p w:rsidR="00B67BF4" w:rsidRPr="00191322" w:rsidRDefault="00B67BF4" w:rsidP="00B67BF4">
            <w:pPr>
              <w:tabs>
                <w:tab w:val="left" w:pos="318"/>
              </w:tabs>
              <w:rPr>
                <w:rFonts w:eastAsia="宋体" w:cs="Times New Roman"/>
                <w:sz w:val="18"/>
                <w:szCs w:val="18"/>
              </w:rPr>
            </w:pPr>
            <w:r w:rsidRPr="00191322">
              <w:rPr>
                <w:rFonts w:eastAsia="宋体" w:cs="Times New Roman" w:hint="eastAsia"/>
                <w:sz w:val="18"/>
                <w:szCs w:val="18"/>
              </w:rPr>
              <w:t>三、减值准备</w:t>
            </w:r>
          </w:p>
        </w:tc>
        <w:tc>
          <w:tcPr>
            <w:tcW w:w="1683" w:type="dxa"/>
            <w:shd w:val="clear" w:color="auto" w:fill="auto"/>
            <w:tcMar>
              <w:top w:w="0" w:type="dxa"/>
              <w:left w:w="108" w:type="dxa"/>
              <w:bottom w:w="0" w:type="dxa"/>
              <w:right w:w="108" w:type="dxa"/>
            </w:tcMar>
            <w:vAlign w:val="center"/>
          </w:tcPr>
          <w:p w:rsidR="00B67BF4" w:rsidRPr="00191322" w:rsidRDefault="00B67BF4" w:rsidP="00B67BF4">
            <w:pPr>
              <w:jc w:val="right"/>
              <w:rPr>
                <w:rFonts w:eastAsia="宋体" w:cs="Times New Roman"/>
                <w:sz w:val="18"/>
                <w:szCs w:val="18"/>
              </w:rPr>
            </w:pPr>
          </w:p>
        </w:tc>
        <w:tc>
          <w:tcPr>
            <w:tcW w:w="1684" w:type="dxa"/>
            <w:vAlign w:val="center"/>
          </w:tcPr>
          <w:p w:rsidR="00B67BF4" w:rsidRPr="00191322" w:rsidRDefault="00B67BF4" w:rsidP="00B67BF4">
            <w:pPr>
              <w:ind w:right="91"/>
              <w:jc w:val="right"/>
              <w:rPr>
                <w:rFonts w:eastAsia="宋体" w:cs="Times New Roman"/>
                <w:sz w:val="18"/>
                <w:szCs w:val="18"/>
              </w:rPr>
            </w:pPr>
          </w:p>
        </w:tc>
        <w:tc>
          <w:tcPr>
            <w:tcW w:w="1683" w:type="dxa"/>
            <w:shd w:val="clear" w:color="auto" w:fill="auto"/>
            <w:vAlign w:val="center"/>
          </w:tcPr>
          <w:p w:rsidR="00B67BF4" w:rsidRPr="00191322" w:rsidRDefault="00B67BF4" w:rsidP="00B67BF4">
            <w:pPr>
              <w:ind w:right="108"/>
              <w:jc w:val="right"/>
              <w:rPr>
                <w:rFonts w:eastAsia="宋体" w:cs="Times New Roman"/>
                <w:sz w:val="18"/>
                <w:szCs w:val="18"/>
              </w:rPr>
            </w:pPr>
          </w:p>
        </w:tc>
        <w:tc>
          <w:tcPr>
            <w:tcW w:w="1684" w:type="dxa"/>
            <w:vAlign w:val="center"/>
          </w:tcPr>
          <w:p w:rsidR="00B67BF4" w:rsidRPr="00191322" w:rsidRDefault="00B67BF4" w:rsidP="00B67BF4">
            <w:pPr>
              <w:ind w:right="108"/>
              <w:jc w:val="right"/>
              <w:rPr>
                <w:rFonts w:eastAsia="宋体" w:cs="Times New Roman"/>
                <w:sz w:val="18"/>
                <w:szCs w:val="18"/>
              </w:rPr>
            </w:pPr>
          </w:p>
        </w:tc>
      </w:tr>
      <w:tr w:rsidR="00B67BF4"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67BF4" w:rsidRPr="00191322" w:rsidRDefault="00B67BF4" w:rsidP="00B67BF4">
            <w:pPr>
              <w:tabs>
                <w:tab w:val="left" w:pos="318"/>
              </w:tabs>
              <w:rPr>
                <w:rFonts w:eastAsia="宋体" w:cs="Times New Roman"/>
                <w:sz w:val="18"/>
                <w:szCs w:val="18"/>
              </w:rPr>
            </w:pPr>
            <w:r w:rsidRPr="00191322">
              <w:rPr>
                <w:rFonts w:eastAsia="宋体" w:cs="Times New Roman"/>
                <w:sz w:val="18"/>
                <w:szCs w:val="18"/>
              </w:rPr>
              <w:tab/>
            </w:r>
            <w:r w:rsidRPr="00191322">
              <w:rPr>
                <w:rFonts w:eastAsia="宋体" w:cs="Times New Roman" w:hint="eastAsia"/>
                <w:sz w:val="18"/>
                <w:szCs w:val="18"/>
              </w:rPr>
              <w:t>年初及年末余额</w:t>
            </w:r>
          </w:p>
        </w:tc>
        <w:tc>
          <w:tcPr>
            <w:tcW w:w="1683" w:type="dxa"/>
            <w:shd w:val="clear" w:color="auto" w:fill="auto"/>
            <w:tcMar>
              <w:top w:w="0" w:type="dxa"/>
              <w:left w:w="108" w:type="dxa"/>
              <w:bottom w:w="0" w:type="dxa"/>
              <w:right w:w="108" w:type="dxa"/>
            </w:tcMar>
            <w:vAlign w:val="center"/>
          </w:tcPr>
          <w:p w:rsidR="00B67BF4" w:rsidRPr="00191322" w:rsidRDefault="00B67BF4" w:rsidP="00B67BF4">
            <w:pPr>
              <w:jc w:val="right"/>
              <w:rPr>
                <w:rFonts w:eastAsia="宋体" w:cs="Times New Roman"/>
                <w:sz w:val="18"/>
                <w:szCs w:val="18"/>
              </w:rPr>
            </w:pPr>
            <w:r w:rsidRPr="00191322">
              <w:rPr>
                <w:rFonts w:eastAsia="宋体" w:cs="Times New Roman"/>
                <w:sz w:val="18"/>
                <w:szCs w:val="18"/>
              </w:rPr>
              <w:t>-    </w:t>
            </w:r>
          </w:p>
        </w:tc>
        <w:tc>
          <w:tcPr>
            <w:tcW w:w="1684" w:type="dxa"/>
            <w:vAlign w:val="center"/>
          </w:tcPr>
          <w:p w:rsidR="00B67BF4" w:rsidRPr="00191322" w:rsidRDefault="00B67BF4" w:rsidP="00B67BF4">
            <w:pPr>
              <w:ind w:right="91"/>
              <w:jc w:val="right"/>
              <w:rPr>
                <w:rFonts w:eastAsia="宋体" w:cs="Times New Roman"/>
                <w:sz w:val="18"/>
                <w:szCs w:val="18"/>
              </w:rPr>
            </w:pPr>
            <w:r w:rsidRPr="00191322">
              <w:rPr>
                <w:rFonts w:eastAsia="宋体" w:cs="Times New Roman"/>
                <w:sz w:val="18"/>
                <w:szCs w:val="18"/>
              </w:rPr>
              <w:t>-    </w:t>
            </w:r>
          </w:p>
        </w:tc>
        <w:tc>
          <w:tcPr>
            <w:tcW w:w="1683" w:type="dxa"/>
            <w:shd w:val="clear" w:color="auto" w:fill="auto"/>
            <w:vAlign w:val="center"/>
          </w:tcPr>
          <w:p w:rsidR="00B67BF4" w:rsidRPr="00191322" w:rsidRDefault="00B67BF4" w:rsidP="00B67BF4">
            <w:pPr>
              <w:ind w:right="108"/>
              <w:jc w:val="right"/>
              <w:rPr>
                <w:rFonts w:eastAsia="宋体" w:cs="Times New Roman"/>
                <w:sz w:val="18"/>
                <w:szCs w:val="18"/>
              </w:rPr>
            </w:pPr>
            <w:r w:rsidRPr="00191322">
              <w:rPr>
                <w:rFonts w:eastAsia="宋体" w:cs="Times New Roman"/>
                <w:sz w:val="18"/>
                <w:szCs w:val="18"/>
              </w:rPr>
              <w:t>-    </w:t>
            </w:r>
          </w:p>
        </w:tc>
        <w:tc>
          <w:tcPr>
            <w:tcW w:w="1684" w:type="dxa"/>
            <w:vAlign w:val="center"/>
          </w:tcPr>
          <w:p w:rsidR="00B67BF4" w:rsidRPr="00191322" w:rsidRDefault="00B67BF4" w:rsidP="00B67BF4">
            <w:pPr>
              <w:ind w:right="108"/>
              <w:jc w:val="right"/>
              <w:rPr>
                <w:rFonts w:eastAsia="宋体" w:cs="Times New Roman"/>
                <w:sz w:val="18"/>
                <w:szCs w:val="18"/>
              </w:rPr>
            </w:pPr>
            <w:r w:rsidRPr="00191322">
              <w:rPr>
                <w:rFonts w:eastAsia="宋体" w:cs="Times New Roman"/>
                <w:sz w:val="18"/>
                <w:szCs w:val="18"/>
              </w:rPr>
              <w:t>-    </w:t>
            </w:r>
          </w:p>
        </w:tc>
      </w:tr>
      <w:tr w:rsidR="00B67BF4" w:rsidRPr="00191322" w:rsidTr="0027505B">
        <w:trPr>
          <w:trHeight w:val="20"/>
        </w:trPr>
        <w:tc>
          <w:tcPr>
            <w:tcW w:w="2712" w:type="dxa"/>
            <w:shd w:val="clear" w:color="auto" w:fill="D9D9D9" w:themeFill="background1" w:themeFillShade="D9"/>
            <w:tcMar>
              <w:top w:w="0" w:type="dxa"/>
              <w:left w:w="108" w:type="dxa"/>
              <w:bottom w:w="0" w:type="dxa"/>
              <w:right w:w="108" w:type="dxa"/>
            </w:tcMar>
            <w:vAlign w:val="center"/>
          </w:tcPr>
          <w:p w:rsidR="00B67BF4" w:rsidRPr="00191322" w:rsidRDefault="00B67BF4" w:rsidP="00B67BF4">
            <w:pPr>
              <w:ind w:left="-37"/>
              <w:rPr>
                <w:rFonts w:eastAsia="宋体" w:cs="Times New Roman"/>
                <w:sz w:val="18"/>
                <w:szCs w:val="18"/>
              </w:rPr>
            </w:pPr>
            <w:r w:rsidRPr="00191322">
              <w:rPr>
                <w:rFonts w:eastAsia="宋体" w:cs="Times New Roman" w:hint="eastAsia"/>
                <w:sz w:val="18"/>
                <w:szCs w:val="18"/>
              </w:rPr>
              <w:t>四、账面价值</w:t>
            </w:r>
          </w:p>
        </w:tc>
        <w:tc>
          <w:tcPr>
            <w:tcW w:w="1683" w:type="dxa"/>
            <w:shd w:val="clear" w:color="auto" w:fill="auto"/>
            <w:tcMar>
              <w:top w:w="0" w:type="dxa"/>
              <w:left w:w="108" w:type="dxa"/>
              <w:bottom w:w="0" w:type="dxa"/>
              <w:right w:w="108" w:type="dxa"/>
            </w:tcMar>
            <w:vAlign w:val="center"/>
          </w:tcPr>
          <w:p w:rsidR="00B67BF4" w:rsidRPr="00191322" w:rsidRDefault="00B67BF4" w:rsidP="00B67BF4">
            <w:pPr>
              <w:jc w:val="right"/>
              <w:rPr>
                <w:rFonts w:eastAsia="宋体" w:cs="Times New Roman"/>
                <w:sz w:val="18"/>
                <w:szCs w:val="18"/>
              </w:rPr>
            </w:pPr>
          </w:p>
        </w:tc>
        <w:tc>
          <w:tcPr>
            <w:tcW w:w="1684" w:type="dxa"/>
            <w:vAlign w:val="center"/>
          </w:tcPr>
          <w:p w:rsidR="00B67BF4" w:rsidRPr="00191322" w:rsidRDefault="00B67BF4" w:rsidP="00B67BF4">
            <w:pPr>
              <w:ind w:right="91"/>
              <w:jc w:val="right"/>
              <w:rPr>
                <w:rFonts w:eastAsia="宋体" w:cs="Times New Roman"/>
                <w:sz w:val="18"/>
                <w:szCs w:val="18"/>
              </w:rPr>
            </w:pPr>
          </w:p>
        </w:tc>
        <w:tc>
          <w:tcPr>
            <w:tcW w:w="1683" w:type="dxa"/>
            <w:shd w:val="clear" w:color="auto" w:fill="auto"/>
            <w:vAlign w:val="center"/>
          </w:tcPr>
          <w:p w:rsidR="00B67BF4" w:rsidRPr="00191322" w:rsidRDefault="00B67BF4" w:rsidP="00B67BF4">
            <w:pPr>
              <w:ind w:right="108"/>
              <w:jc w:val="right"/>
              <w:rPr>
                <w:rFonts w:eastAsia="宋体" w:cs="Times New Roman"/>
                <w:sz w:val="18"/>
                <w:szCs w:val="18"/>
              </w:rPr>
            </w:pPr>
          </w:p>
        </w:tc>
        <w:tc>
          <w:tcPr>
            <w:tcW w:w="1684" w:type="dxa"/>
            <w:vAlign w:val="center"/>
          </w:tcPr>
          <w:p w:rsidR="00B67BF4" w:rsidRPr="00191322" w:rsidRDefault="00B67BF4" w:rsidP="00B67BF4">
            <w:pPr>
              <w:ind w:right="108"/>
              <w:jc w:val="right"/>
              <w:rPr>
                <w:rFonts w:eastAsia="宋体" w:cs="Times New Roman"/>
                <w:sz w:val="18"/>
                <w:szCs w:val="18"/>
              </w:rPr>
            </w:pPr>
          </w:p>
        </w:tc>
      </w:tr>
      <w:tr w:rsidR="00BC3ECC"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C3ECC" w:rsidRPr="00191322" w:rsidRDefault="00BC3ECC" w:rsidP="00BC3ECC">
            <w:pPr>
              <w:tabs>
                <w:tab w:val="left" w:pos="318"/>
              </w:tabs>
              <w:rPr>
                <w:rFonts w:eastAsia="宋体" w:cs="Times New Roman"/>
                <w:sz w:val="18"/>
                <w:szCs w:val="18"/>
              </w:rPr>
            </w:pPr>
            <w:r w:rsidRPr="00191322">
              <w:rPr>
                <w:rFonts w:eastAsia="宋体" w:cs="Times New Roman"/>
                <w:sz w:val="18"/>
                <w:szCs w:val="18"/>
              </w:rPr>
              <w:tab/>
              <w:t>1.</w:t>
            </w:r>
            <w:r w:rsidRPr="00191322">
              <w:rPr>
                <w:rFonts w:eastAsia="宋体" w:cs="Times New Roman" w:hint="eastAsia"/>
                <w:sz w:val="18"/>
                <w:szCs w:val="18"/>
              </w:rPr>
              <w:t>年末账面价值</w:t>
            </w:r>
          </w:p>
        </w:tc>
        <w:tc>
          <w:tcPr>
            <w:tcW w:w="1683" w:type="dxa"/>
            <w:shd w:val="clear" w:color="auto" w:fill="auto"/>
            <w:tcMar>
              <w:top w:w="0" w:type="dxa"/>
              <w:left w:w="108" w:type="dxa"/>
              <w:bottom w:w="0" w:type="dxa"/>
              <w:right w:w="108" w:type="dxa"/>
            </w:tcMar>
            <w:vAlign w:val="center"/>
          </w:tcPr>
          <w:p w:rsidR="00BC3ECC" w:rsidRPr="00191322" w:rsidRDefault="001C2D2E" w:rsidP="00BC3ECC">
            <w:pPr>
              <w:jc w:val="right"/>
              <w:rPr>
                <w:rFonts w:eastAsia="宋体" w:cs="Times New Roman"/>
                <w:sz w:val="18"/>
                <w:szCs w:val="18"/>
              </w:rPr>
            </w:pPr>
            <w:r w:rsidRPr="00191322">
              <w:rPr>
                <w:rFonts w:eastAsia="宋体" w:cs="Times New Roman"/>
                <w:sz w:val="18"/>
                <w:szCs w:val="18"/>
              </w:rPr>
              <w:t>64,086,591.19</w:t>
            </w:r>
          </w:p>
        </w:tc>
        <w:tc>
          <w:tcPr>
            <w:tcW w:w="1684" w:type="dxa"/>
            <w:vAlign w:val="center"/>
          </w:tcPr>
          <w:p w:rsidR="00BC3ECC" w:rsidRPr="00191322" w:rsidRDefault="001C2D2E" w:rsidP="00BC3ECC">
            <w:pPr>
              <w:ind w:right="91"/>
              <w:jc w:val="right"/>
              <w:rPr>
                <w:rFonts w:eastAsia="宋体" w:cs="Times New Roman"/>
                <w:sz w:val="18"/>
                <w:szCs w:val="18"/>
              </w:rPr>
            </w:pPr>
            <w:r w:rsidRPr="00191322">
              <w:rPr>
                <w:rFonts w:eastAsia="宋体" w:cs="Times New Roman"/>
                <w:sz w:val="18"/>
                <w:szCs w:val="18"/>
              </w:rPr>
              <w:t>92,790,705.97</w:t>
            </w:r>
          </w:p>
        </w:tc>
        <w:tc>
          <w:tcPr>
            <w:tcW w:w="1683" w:type="dxa"/>
            <w:shd w:val="clear" w:color="auto" w:fill="auto"/>
            <w:vAlign w:val="center"/>
          </w:tcPr>
          <w:p w:rsidR="00BC3ECC" w:rsidRPr="00191322" w:rsidRDefault="001C2D2E" w:rsidP="00BC3ECC">
            <w:pPr>
              <w:ind w:right="108"/>
              <w:jc w:val="right"/>
              <w:rPr>
                <w:rFonts w:eastAsia="宋体" w:cs="Times New Roman"/>
                <w:sz w:val="18"/>
                <w:szCs w:val="18"/>
              </w:rPr>
            </w:pPr>
            <w:r w:rsidRPr="00191322">
              <w:rPr>
                <w:rFonts w:eastAsia="宋体" w:cs="Times New Roman"/>
                <w:sz w:val="18"/>
                <w:szCs w:val="18"/>
              </w:rPr>
              <w:t>62,711.17</w:t>
            </w:r>
          </w:p>
        </w:tc>
        <w:tc>
          <w:tcPr>
            <w:tcW w:w="1684" w:type="dxa"/>
            <w:vAlign w:val="center"/>
          </w:tcPr>
          <w:p w:rsidR="00BC3ECC" w:rsidRPr="00191322" w:rsidRDefault="00BC3ECC" w:rsidP="00BC3ECC">
            <w:pPr>
              <w:ind w:right="108"/>
              <w:jc w:val="right"/>
              <w:rPr>
                <w:rFonts w:eastAsia="宋体" w:cs="Times New Roman"/>
                <w:sz w:val="18"/>
                <w:szCs w:val="18"/>
              </w:rPr>
            </w:pPr>
            <w:r w:rsidRPr="00191322">
              <w:rPr>
                <w:rFonts w:eastAsia="宋体" w:cs="Times New Roman"/>
                <w:sz w:val="18"/>
                <w:szCs w:val="18"/>
              </w:rPr>
              <w:t xml:space="preserve"> 156,940,008.</w:t>
            </w:r>
            <w:r w:rsidR="0078062A" w:rsidRPr="00191322">
              <w:rPr>
                <w:rFonts w:eastAsia="宋体" w:cs="Times New Roman"/>
                <w:sz w:val="18"/>
                <w:szCs w:val="18"/>
              </w:rPr>
              <w:t>33</w:t>
            </w:r>
            <w:r w:rsidRPr="00191322">
              <w:rPr>
                <w:rFonts w:eastAsia="宋体" w:cs="Times New Roman"/>
                <w:sz w:val="18"/>
                <w:szCs w:val="18"/>
              </w:rPr>
              <w:t xml:space="preserve"> </w:t>
            </w:r>
          </w:p>
        </w:tc>
      </w:tr>
      <w:tr w:rsidR="00B67BF4" w:rsidRPr="00191322" w:rsidTr="0027505B">
        <w:trPr>
          <w:trHeight w:val="20"/>
        </w:trPr>
        <w:tc>
          <w:tcPr>
            <w:tcW w:w="2712" w:type="dxa"/>
            <w:shd w:val="clear" w:color="auto" w:fill="FFFFFF" w:themeFill="background1"/>
            <w:tcMar>
              <w:top w:w="0" w:type="dxa"/>
              <w:left w:w="108" w:type="dxa"/>
              <w:bottom w:w="0" w:type="dxa"/>
              <w:right w:w="108" w:type="dxa"/>
            </w:tcMar>
            <w:vAlign w:val="center"/>
          </w:tcPr>
          <w:p w:rsidR="00B67BF4" w:rsidRPr="00191322" w:rsidRDefault="00B67BF4" w:rsidP="00B67BF4">
            <w:pPr>
              <w:tabs>
                <w:tab w:val="left" w:pos="318"/>
              </w:tabs>
              <w:rPr>
                <w:rFonts w:eastAsia="宋体" w:cs="Times New Roman"/>
                <w:sz w:val="18"/>
                <w:szCs w:val="18"/>
              </w:rPr>
            </w:pPr>
            <w:r w:rsidRPr="00191322">
              <w:rPr>
                <w:rFonts w:eastAsia="宋体" w:cs="Times New Roman"/>
                <w:sz w:val="18"/>
                <w:szCs w:val="18"/>
              </w:rPr>
              <w:tab/>
              <w:t>2.</w:t>
            </w:r>
            <w:r w:rsidRPr="00191322">
              <w:rPr>
                <w:rFonts w:eastAsia="宋体" w:cs="Times New Roman" w:hint="eastAsia"/>
                <w:sz w:val="18"/>
                <w:szCs w:val="18"/>
              </w:rPr>
              <w:t>年初账面价值</w:t>
            </w:r>
          </w:p>
        </w:tc>
        <w:tc>
          <w:tcPr>
            <w:tcW w:w="1683" w:type="dxa"/>
            <w:shd w:val="clear" w:color="auto" w:fill="auto"/>
            <w:tcMar>
              <w:top w:w="0" w:type="dxa"/>
              <w:left w:w="108" w:type="dxa"/>
              <w:bottom w:w="0" w:type="dxa"/>
              <w:right w:w="108" w:type="dxa"/>
            </w:tcMar>
            <w:vAlign w:val="center"/>
          </w:tcPr>
          <w:p w:rsidR="00B67BF4" w:rsidRPr="00191322" w:rsidRDefault="00B67BF4" w:rsidP="00B67BF4">
            <w:pPr>
              <w:jc w:val="right"/>
              <w:rPr>
                <w:rFonts w:eastAsia="宋体" w:cs="Times New Roman"/>
                <w:sz w:val="18"/>
                <w:szCs w:val="18"/>
              </w:rPr>
            </w:pPr>
            <w:r w:rsidRPr="00191322">
              <w:rPr>
                <w:rFonts w:eastAsia="宋体" w:cs="Times New Roman"/>
                <w:sz w:val="18"/>
                <w:szCs w:val="18"/>
              </w:rPr>
              <w:t>53,563,787.44</w:t>
            </w:r>
          </w:p>
        </w:tc>
        <w:tc>
          <w:tcPr>
            <w:tcW w:w="1684" w:type="dxa"/>
            <w:vAlign w:val="center"/>
          </w:tcPr>
          <w:p w:rsidR="00B67BF4" w:rsidRPr="00191322" w:rsidRDefault="00B67BF4" w:rsidP="00B67BF4">
            <w:pPr>
              <w:ind w:right="91"/>
              <w:jc w:val="right"/>
              <w:rPr>
                <w:rFonts w:eastAsia="宋体" w:cs="Times New Roman"/>
                <w:sz w:val="18"/>
                <w:szCs w:val="18"/>
              </w:rPr>
            </w:pPr>
            <w:r w:rsidRPr="00191322">
              <w:rPr>
                <w:rFonts w:eastAsia="宋体" w:cs="Times New Roman"/>
                <w:sz w:val="18"/>
                <w:szCs w:val="18"/>
              </w:rPr>
              <w:t>99,785,595.33</w:t>
            </w:r>
          </w:p>
        </w:tc>
        <w:tc>
          <w:tcPr>
            <w:tcW w:w="1683" w:type="dxa"/>
            <w:shd w:val="clear" w:color="auto" w:fill="auto"/>
            <w:vAlign w:val="center"/>
          </w:tcPr>
          <w:p w:rsidR="00B67BF4" w:rsidRPr="00191322" w:rsidRDefault="00B67BF4" w:rsidP="00B67BF4">
            <w:pPr>
              <w:ind w:right="108"/>
              <w:jc w:val="right"/>
              <w:rPr>
                <w:rFonts w:eastAsia="宋体" w:cs="Times New Roman"/>
                <w:sz w:val="18"/>
                <w:szCs w:val="18"/>
              </w:rPr>
            </w:pPr>
            <w:r w:rsidRPr="00191322">
              <w:rPr>
                <w:rFonts w:eastAsia="宋体" w:cs="Times New Roman"/>
                <w:sz w:val="18"/>
                <w:szCs w:val="18"/>
              </w:rPr>
              <w:t>196,876.46</w:t>
            </w:r>
          </w:p>
        </w:tc>
        <w:tc>
          <w:tcPr>
            <w:tcW w:w="1684" w:type="dxa"/>
            <w:vAlign w:val="center"/>
          </w:tcPr>
          <w:p w:rsidR="00B67BF4" w:rsidRPr="00191322" w:rsidRDefault="00B67BF4" w:rsidP="00B67BF4">
            <w:pPr>
              <w:ind w:right="108"/>
              <w:jc w:val="right"/>
              <w:rPr>
                <w:rFonts w:eastAsia="宋体" w:cs="Times New Roman"/>
                <w:sz w:val="18"/>
                <w:szCs w:val="18"/>
              </w:rPr>
            </w:pPr>
            <w:r w:rsidRPr="00191322">
              <w:rPr>
                <w:rFonts w:eastAsia="宋体" w:cs="Times New Roman"/>
                <w:sz w:val="18"/>
                <w:szCs w:val="18"/>
              </w:rPr>
              <w:t>153,546,259.</w:t>
            </w:r>
            <w:r w:rsidR="00E851C1" w:rsidRPr="00191322">
              <w:rPr>
                <w:rFonts w:eastAsia="宋体" w:cs="Times New Roman"/>
                <w:sz w:val="18"/>
                <w:szCs w:val="18"/>
              </w:rPr>
              <w:t>23</w:t>
            </w:r>
          </w:p>
        </w:tc>
      </w:tr>
    </w:tbl>
    <w:p w:rsidR="00E54C27" w:rsidRPr="00A71D2E" w:rsidRDefault="00E54C27" w:rsidP="00F66363">
      <w:pPr>
        <w:ind w:left="720"/>
        <w:jc w:val="both"/>
        <w:rPr>
          <w:rFonts w:eastAsia="宋体" w:cs="Times New Roman"/>
          <w:szCs w:val="21"/>
        </w:rPr>
      </w:pPr>
    </w:p>
    <w:p w:rsidR="007D47F9" w:rsidRPr="00BC3ECC" w:rsidRDefault="002764E1">
      <w:pPr>
        <w:pStyle w:val="aff1"/>
        <w:numPr>
          <w:ilvl w:val="0"/>
          <w:numId w:val="8"/>
        </w:numPr>
        <w:ind w:left="1440" w:firstLineChars="0" w:hanging="709"/>
        <w:rPr>
          <w:szCs w:val="21"/>
        </w:rPr>
      </w:pPr>
      <w:r w:rsidRPr="00BC3ECC">
        <w:rPr>
          <w:rFonts w:hint="eastAsia"/>
          <w:szCs w:val="21"/>
        </w:rPr>
        <w:t>本年末</w:t>
      </w:r>
      <w:r w:rsidR="007D47F9" w:rsidRPr="00BC3ECC">
        <w:rPr>
          <w:rFonts w:hint="eastAsia"/>
          <w:szCs w:val="21"/>
        </w:rPr>
        <w:t>，本集团无重大的暂时闲置的固定资产。</w:t>
      </w:r>
    </w:p>
    <w:p w:rsidR="007D47F9" w:rsidRPr="00BC3ECC" w:rsidRDefault="007D47F9">
      <w:pPr>
        <w:pStyle w:val="aff1"/>
        <w:ind w:left="1440" w:firstLineChars="0" w:hanging="709"/>
        <w:rPr>
          <w:szCs w:val="21"/>
        </w:rPr>
      </w:pPr>
    </w:p>
    <w:p w:rsidR="007D47F9" w:rsidRPr="00BC3ECC" w:rsidRDefault="002764E1">
      <w:pPr>
        <w:pStyle w:val="aff1"/>
        <w:numPr>
          <w:ilvl w:val="0"/>
          <w:numId w:val="8"/>
        </w:numPr>
        <w:ind w:left="1440" w:firstLineChars="0" w:hanging="709"/>
        <w:rPr>
          <w:szCs w:val="21"/>
        </w:rPr>
      </w:pPr>
      <w:r w:rsidRPr="00BC3ECC">
        <w:rPr>
          <w:rFonts w:hint="eastAsia"/>
          <w:szCs w:val="21"/>
        </w:rPr>
        <w:t>本年末</w:t>
      </w:r>
      <w:r w:rsidR="007D47F9" w:rsidRPr="00BC3ECC">
        <w:rPr>
          <w:rFonts w:hint="eastAsia"/>
          <w:szCs w:val="21"/>
        </w:rPr>
        <w:t>，本集团</w:t>
      </w:r>
      <w:proofErr w:type="gramStart"/>
      <w:r w:rsidRPr="00BC3ECC">
        <w:rPr>
          <w:rFonts w:hint="eastAsia"/>
          <w:szCs w:val="21"/>
        </w:rPr>
        <w:t>无通过</w:t>
      </w:r>
      <w:proofErr w:type="gramEnd"/>
      <w:r w:rsidRPr="00BC3ECC">
        <w:rPr>
          <w:rFonts w:hint="eastAsia"/>
          <w:szCs w:val="21"/>
        </w:rPr>
        <w:t>经营租赁租出的固定资产</w:t>
      </w:r>
      <w:r w:rsidR="007D47F9" w:rsidRPr="00BC3ECC">
        <w:rPr>
          <w:rFonts w:hint="eastAsia"/>
          <w:szCs w:val="21"/>
        </w:rPr>
        <w:t>。</w:t>
      </w:r>
    </w:p>
    <w:p w:rsidR="007D47F9" w:rsidRPr="00BC3ECC" w:rsidRDefault="007D47F9">
      <w:pPr>
        <w:pStyle w:val="aff1"/>
        <w:tabs>
          <w:tab w:val="left" w:pos="3060"/>
        </w:tabs>
        <w:ind w:left="1440" w:firstLineChars="0" w:hanging="709"/>
        <w:rPr>
          <w:szCs w:val="21"/>
        </w:rPr>
      </w:pPr>
    </w:p>
    <w:p w:rsidR="007D47F9" w:rsidRPr="00BC3ECC" w:rsidRDefault="00D92843">
      <w:pPr>
        <w:pStyle w:val="aff1"/>
        <w:numPr>
          <w:ilvl w:val="0"/>
          <w:numId w:val="8"/>
        </w:numPr>
        <w:ind w:left="1440" w:firstLineChars="0" w:hanging="709"/>
        <w:rPr>
          <w:szCs w:val="21"/>
        </w:rPr>
      </w:pPr>
      <w:r w:rsidRPr="00BC3ECC">
        <w:rPr>
          <w:rFonts w:hint="eastAsia"/>
          <w:szCs w:val="21"/>
        </w:rPr>
        <w:t>本年末</w:t>
      </w:r>
      <w:r w:rsidR="007D47F9" w:rsidRPr="00BC3ECC">
        <w:rPr>
          <w:rFonts w:hint="eastAsia"/>
          <w:bCs/>
          <w:szCs w:val="21"/>
          <w:lang w:val="x-none"/>
        </w:rPr>
        <w:t>，</w:t>
      </w:r>
      <w:r w:rsidR="007D47F9" w:rsidRPr="00BC3ECC">
        <w:rPr>
          <w:rFonts w:hint="eastAsia"/>
          <w:szCs w:val="21"/>
        </w:rPr>
        <w:t>本集团不存在未办妥产权证书的固定资产。</w:t>
      </w:r>
    </w:p>
    <w:p w:rsidR="00B60260" w:rsidRPr="00A71D2E" w:rsidRDefault="00264024">
      <w:pPr>
        <w:pStyle w:val="aff1"/>
        <w:numPr>
          <w:ilvl w:val="0"/>
          <w:numId w:val="8"/>
        </w:numPr>
        <w:ind w:firstLineChars="0"/>
        <w:sectPr w:rsidR="00B60260" w:rsidRPr="00A71D2E" w:rsidSect="00452B2B">
          <w:headerReference w:type="default" r:id="rId30"/>
          <w:pgSz w:w="11906" w:h="16838" w:code="9"/>
          <w:pgMar w:top="864" w:right="720" w:bottom="432" w:left="1008" w:header="720" w:footer="360" w:gutter="0"/>
          <w:cols w:space="720"/>
          <w:docGrid w:linePitch="360"/>
        </w:sectPr>
      </w:pPr>
      <w:r w:rsidRPr="00A71D2E">
        <w:br w:type="page"/>
      </w:r>
    </w:p>
    <w:p w:rsidR="00264024" w:rsidRPr="00F66363" w:rsidRDefault="005F14EE">
      <w:pPr>
        <w:rPr>
          <w:rFonts w:eastAsia="宋体" w:cs="Times New Roman"/>
          <w:szCs w:val="21"/>
        </w:rPr>
      </w:pPr>
      <w:r>
        <w:rPr>
          <w:rFonts w:eastAsia="宋体" w:cs="Times New Roman"/>
          <w:b/>
          <w:szCs w:val="21"/>
        </w:rPr>
        <w:t>(</w:t>
      </w:r>
      <w:r w:rsidR="00264024" w:rsidRPr="00F66363">
        <w:rPr>
          <w:rFonts w:eastAsia="宋体" w:cs="Times New Roman" w:hint="eastAsia"/>
          <w:b/>
          <w:szCs w:val="21"/>
        </w:rPr>
        <w:t>五</w:t>
      </w:r>
      <w:r>
        <w:rPr>
          <w:rFonts w:eastAsia="宋体" w:cs="Times New Roman"/>
          <w:b/>
          <w:szCs w:val="21"/>
        </w:rPr>
        <w:t>)</w:t>
      </w:r>
      <w:r w:rsidR="00264024" w:rsidRPr="00F66363">
        <w:rPr>
          <w:rFonts w:eastAsia="宋体" w:cs="Times New Roman"/>
          <w:b/>
          <w:szCs w:val="21"/>
        </w:rPr>
        <w:tab/>
      </w:r>
      <w:r w:rsidR="00264024" w:rsidRPr="00F66363">
        <w:rPr>
          <w:rFonts w:eastAsia="宋体" w:cs="Times New Roman" w:hint="eastAsia"/>
          <w:b/>
          <w:szCs w:val="21"/>
        </w:rPr>
        <w:t>合并财务报表项目注释</w:t>
      </w:r>
      <w:r w:rsidR="00264024" w:rsidRPr="00F66363">
        <w:rPr>
          <w:rFonts w:eastAsia="宋体" w:cs="Times New Roman"/>
          <w:bCs/>
          <w:szCs w:val="21"/>
        </w:rPr>
        <w:t xml:space="preserve"> </w:t>
      </w:r>
      <w:r w:rsidR="00264024" w:rsidRPr="00F66363">
        <w:rPr>
          <w:rFonts w:eastAsia="宋体" w:cs="Times New Roman"/>
          <w:szCs w:val="21"/>
        </w:rPr>
        <w:t xml:space="preserve">- </w:t>
      </w:r>
      <w:r w:rsidR="00264024" w:rsidRPr="00F66363">
        <w:rPr>
          <w:rFonts w:eastAsia="宋体" w:cs="Times New Roman" w:hint="eastAsia"/>
          <w:szCs w:val="21"/>
        </w:rPr>
        <w:t>续</w:t>
      </w:r>
    </w:p>
    <w:p w:rsidR="00CE0A30" w:rsidRPr="00A71D2E" w:rsidRDefault="00CE0A30">
      <w:pPr>
        <w:pStyle w:val="aff1"/>
        <w:tabs>
          <w:tab w:val="left" w:pos="3060"/>
        </w:tabs>
        <w:ind w:left="1440" w:firstLineChars="0" w:hanging="709"/>
        <w:rPr>
          <w:szCs w:val="21"/>
        </w:rPr>
      </w:pPr>
    </w:p>
    <w:p w:rsidR="00CE0A30" w:rsidRPr="00A71D2E" w:rsidRDefault="00CE0A30">
      <w:pPr>
        <w:pStyle w:val="2"/>
        <w:numPr>
          <w:ilvl w:val="2"/>
          <w:numId w:val="1"/>
        </w:numPr>
        <w:adjustRightInd w:val="0"/>
        <w:snapToGrid w:val="0"/>
        <w:ind w:left="1440" w:hanging="720"/>
        <w:contextualSpacing w:val="0"/>
        <w:rPr>
          <w:rFonts w:ascii="Times New Roman" w:eastAsia="宋体" w:hAnsi="Times New Roman" w:cs="Times New Roman"/>
          <w:szCs w:val="24"/>
        </w:rPr>
      </w:pPr>
      <w:r w:rsidRPr="00A71D2E">
        <w:rPr>
          <w:rFonts w:ascii="Times New Roman" w:eastAsia="宋体" w:hAnsi="Times New Roman" w:cs="Times New Roman" w:hint="eastAsia"/>
          <w:szCs w:val="24"/>
        </w:rPr>
        <w:t>在建工程</w:t>
      </w:r>
    </w:p>
    <w:p w:rsidR="00CE0A30" w:rsidRPr="00A71D2E" w:rsidRDefault="00CE0A30" w:rsidP="0027505B">
      <w:pPr>
        <w:pStyle w:val="aff1"/>
        <w:ind w:left="1440" w:firstLineChars="0" w:hanging="720"/>
        <w:rPr>
          <w:szCs w:val="21"/>
        </w:rPr>
      </w:pPr>
    </w:p>
    <w:p w:rsidR="00CE0A30" w:rsidRPr="00A71D2E" w:rsidRDefault="00CE0A30">
      <w:pPr>
        <w:pStyle w:val="aff1"/>
        <w:numPr>
          <w:ilvl w:val="0"/>
          <w:numId w:val="14"/>
        </w:numPr>
        <w:ind w:left="1440" w:firstLineChars="0" w:hanging="720"/>
        <w:rPr>
          <w:szCs w:val="21"/>
        </w:rPr>
      </w:pPr>
      <w:r w:rsidRPr="00A71D2E">
        <w:rPr>
          <w:rFonts w:hint="eastAsia"/>
          <w:szCs w:val="21"/>
        </w:rPr>
        <w:t>在建工程情况</w:t>
      </w:r>
    </w:p>
    <w:p w:rsidR="00CE0A30" w:rsidRPr="00A71D2E" w:rsidRDefault="00CE0A30">
      <w:pPr>
        <w:ind w:left="5040" w:right="9"/>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0" w:type="dxa"/>
          <w:right w:w="0" w:type="dxa"/>
        </w:tblCellMar>
        <w:tblLook w:val="04A0" w:firstRow="1" w:lastRow="0" w:firstColumn="1" w:lastColumn="0" w:noHBand="0" w:noVBand="1"/>
      </w:tblPr>
      <w:tblGrid>
        <w:gridCol w:w="4728"/>
        <w:gridCol w:w="1680"/>
        <w:gridCol w:w="1680"/>
        <w:gridCol w:w="1680"/>
        <w:gridCol w:w="1680"/>
        <w:gridCol w:w="1680"/>
        <w:gridCol w:w="1680"/>
      </w:tblGrid>
      <w:tr w:rsidR="00CE0A30" w:rsidRPr="00191322" w:rsidTr="0027505B">
        <w:trPr>
          <w:trHeight w:val="20"/>
        </w:trPr>
        <w:tc>
          <w:tcPr>
            <w:tcW w:w="4728" w:type="dxa"/>
            <w:vMerge w:val="restart"/>
            <w:shd w:val="clear" w:color="auto" w:fill="D9D9D9"/>
            <w:tcMar>
              <w:top w:w="0" w:type="dxa"/>
              <w:left w:w="108" w:type="dxa"/>
              <w:bottom w:w="0" w:type="dxa"/>
              <w:right w:w="108" w:type="dxa"/>
            </w:tcMar>
            <w:vAlign w:val="center"/>
            <w:hideMark/>
          </w:tcPr>
          <w:p w:rsidR="00CE0A30" w:rsidRPr="00191322" w:rsidRDefault="00CE0A30">
            <w:pPr>
              <w:jc w:val="center"/>
              <w:rPr>
                <w:rFonts w:eastAsia="宋体" w:cs="Times New Roman"/>
                <w:sz w:val="18"/>
                <w:szCs w:val="18"/>
              </w:rPr>
            </w:pPr>
            <w:r w:rsidRPr="00191322">
              <w:rPr>
                <w:rFonts w:eastAsia="宋体" w:cs="Times New Roman" w:hint="eastAsia"/>
                <w:sz w:val="18"/>
                <w:szCs w:val="18"/>
              </w:rPr>
              <w:t>项目</w:t>
            </w:r>
          </w:p>
        </w:tc>
        <w:tc>
          <w:tcPr>
            <w:tcW w:w="5040" w:type="dxa"/>
            <w:gridSpan w:val="3"/>
            <w:shd w:val="clear" w:color="auto" w:fill="D9D9D9"/>
            <w:vAlign w:val="center"/>
          </w:tcPr>
          <w:p w:rsidR="00CE0A30" w:rsidRPr="00191322" w:rsidRDefault="00A64F10" w:rsidP="0027505B">
            <w:pPr>
              <w:ind w:right="87"/>
              <w:jc w:val="center"/>
              <w:rPr>
                <w:rFonts w:eastAsia="宋体" w:cs="Times New Roman"/>
                <w:sz w:val="18"/>
                <w:szCs w:val="18"/>
              </w:rPr>
            </w:pPr>
            <w:r w:rsidRPr="00191322">
              <w:rPr>
                <w:rFonts w:eastAsia="宋体" w:cs="Times New Roman" w:hint="eastAsia"/>
                <w:sz w:val="18"/>
                <w:szCs w:val="18"/>
              </w:rPr>
              <w:t>年末余额</w:t>
            </w:r>
          </w:p>
        </w:tc>
        <w:tc>
          <w:tcPr>
            <w:tcW w:w="5040" w:type="dxa"/>
            <w:gridSpan w:val="3"/>
            <w:shd w:val="clear" w:color="auto" w:fill="D9D9D9"/>
            <w:tcMar>
              <w:top w:w="0" w:type="dxa"/>
              <w:left w:w="108" w:type="dxa"/>
              <w:bottom w:w="0" w:type="dxa"/>
              <w:right w:w="108" w:type="dxa"/>
            </w:tcMar>
            <w:vAlign w:val="center"/>
            <w:hideMark/>
          </w:tcPr>
          <w:p w:rsidR="00CE0A30" w:rsidRPr="00191322" w:rsidRDefault="00A64F10" w:rsidP="0027505B">
            <w:pPr>
              <w:ind w:right="31"/>
              <w:jc w:val="center"/>
              <w:rPr>
                <w:rFonts w:eastAsia="宋体" w:cs="Times New Roman"/>
                <w:sz w:val="18"/>
                <w:szCs w:val="18"/>
              </w:rPr>
            </w:pPr>
            <w:r w:rsidRPr="00191322">
              <w:rPr>
                <w:rFonts w:eastAsia="宋体" w:cs="Times New Roman" w:hint="eastAsia"/>
                <w:sz w:val="18"/>
                <w:szCs w:val="18"/>
              </w:rPr>
              <w:t>年初余额</w:t>
            </w:r>
          </w:p>
        </w:tc>
      </w:tr>
      <w:tr w:rsidR="00824202" w:rsidRPr="00191322" w:rsidTr="0027505B">
        <w:trPr>
          <w:trHeight w:val="20"/>
        </w:trPr>
        <w:tc>
          <w:tcPr>
            <w:tcW w:w="4728" w:type="dxa"/>
            <w:vMerge/>
            <w:shd w:val="clear" w:color="auto" w:fill="D9D9D9"/>
            <w:vAlign w:val="center"/>
            <w:hideMark/>
          </w:tcPr>
          <w:p w:rsidR="00CE0A30" w:rsidRPr="00191322" w:rsidRDefault="00CE0A30">
            <w:pPr>
              <w:jc w:val="center"/>
              <w:rPr>
                <w:rFonts w:eastAsia="宋体" w:cs="Times New Roman"/>
                <w:sz w:val="18"/>
                <w:szCs w:val="18"/>
              </w:rPr>
            </w:pPr>
          </w:p>
        </w:tc>
        <w:tc>
          <w:tcPr>
            <w:tcW w:w="1680" w:type="dxa"/>
            <w:shd w:val="clear" w:color="auto" w:fill="D9D9D9"/>
            <w:vAlign w:val="center"/>
          </w:tcPr>
          <w:p w:rsidR="00CE0A30" w:rsidRPr="00191322" w:rsidRDefault="00CE0A30" w:rsidP="0027505B">
            <w:pPr>
              <w:ind w:right="87"/>
              <w:jc w:val="center"/>
              <w:rPr>
                <w:rFonts w:eastAsia="宋体" w:cs="Times New Roman"/>
                <w:sz w:val="18"/>
                <w:szCs w:val="18"/>
              </w:rPr>
            </w:pPr>
            <w:r w:rsidRPr="00191322">
              <w:rPr>
                <w:rFonts w:eastAsia="宋体" w:cs="Times New Roman" w:hint="eastAsia"/>
                <w:sz w:val="18"/>
                <w:szCs w:val="18"/>
              </w:rPr>
              <w:t>账面余额</w:t>
            </w:r>
          </w:p>
        </w:tc>
        <w:tc>
          <w:tcPr>
            <w:tcW w:w="1680" w:type="dxa"/>
            <w:shd w:val="clear" w:color="auto" w:fill="D9D9D9"/>
            <w:vAlign w:val="center"/>
          </w:tcPr>
          <w:p w:rsidR="00CE0A30" w:rsidRPr="00191322" w:rsidRDefault="00CE0A30" w:rsidP="0027505B">
            <w:pPr>
              <w:ind w:right="87"/>
              <w:jc w:val="center"/>
              <w:rPr>
                <w:rFonts w:eastAsia="宋体" w:cs="Times New Roman"/>
                <w:sz w:val="18"/>
                <w:szCs w:val="18"/>
              </w:rPr>
            </w:pPr>
            <w:r w:rsidRPr="00191322">
              <w:rPr>
                <w:rFonts w:eastAsia="宋体" w:cs="Times New Roman" w:hint="eastAsia"/>
                <w:sz w:val="18"/>
                <w:szCs w:val="18"/>
              </w:rPr>
              <w:t>减值准备</w:t>
            </w:r>
          </w:p>
        </w:tc>
        <w:tc>
          <w:tcPr>
            <w:tcW w:w="1680" w:type="dxa"/>
            <w:shd w:val="clear" w:color="auto" w:fill="D9D9D9"/>
            <w:vAlign w:val="center"/>
          </w:tcPr>
          <w:p w:rsidR="00CE0A30" w:rsidRPr="00191322" w:rsidRDefault="00CE0A30" w:rsidP="0027505B">
            <w:pPr>
              <w:ind w:right="87"/>
              <w:jc w:val="center"/>
              <w:rPr>
                <w:rFonts w:eastAsia="宋体" w:cs="Times New Roman"/>
                <w:sz w:val="18"/>
                <w:szCs w:val="18"/>
              </w:rPr>
            </w:pPr>
            <w:r w:rsidRPr="00191322">
              <w:rPr>
                <w:rFonts w:eastAsia="宋体" w:cs="Times New Roman" w:hint="eastAsia"/>
                <w:sz w:val="18"/>
                <w:szCs w:val="18"/>
              </w:rPr>
              <w:t>账面价值</w:t>
            </w:r>
          </w:p>
        </w:tc>
        <w:tc>
          <w:tcPr>
            <w:tcW w:w="1680" w:type="dxa"/>
            <w:shd w:val="clear" w:color="auto" w:fill="D9D9D9"/>
            <w:tcMar>
              <w:top w:w="0" w:type="dxa"/>
              <w:left w:w="108" w:type="dxa"/>
              <w:bottom w:w="0" w:type="dxa"/>
              <w:right w:w="108" w:type="dxa"/>
            </w:tcMar>
            <w:vAlign w:val="center"/>
            <w:hideMark/>
          </w:tcPr>
          <w:p w:rsidR="00CE0A30" w:rsidRPr="00191322" w:rsidRDefault="00CE0A30">
            <w:pPr>
              <w:jc w:val="center"/>
              <w:rPr>
                <w:rFonts w:eastAsia="宋体" w:cs="Times New Roman"/>
                <w:sz w:val="18"/>
                <w:szCs w:val="18"/>
              </w:rPr>
            </w:pPr>
            <w:r w:rsidRPr="00191322">
              <w:rPr>
                <w:rFonts w:eastAsia="宋体" w:cs="Times New Roman" w:hint="eastAsia"/>
                <w:sz w:val="18"/>
                <w:szCs w:val="18"/>
              </w:rPr>
              <w:t>账面余额</w:t>
            </w:r>
          </w:p>
        </w:tc>
        <w:tc>
          <w:tcPr>
            <w:tcW w:w="1680" w:type="dxa"/>
            <w:shd w:val="clear" w:color="auto" w:fill="D9D9D9"/>
            <w:tcMar>
              <w:top w:w="0" w:type="dxa"/>
              <w:left w:w="108" w:type="dxa"/>
              <w:bottom w:w="0" w:type="dxa"/>
              <w:right w:w="108" w:type="dxa"/>
            </w:tcMar>
            <w:vAlign w:val="center"/>
            <w:hideMark/>
          </w:tcPr>
          <w:p w:rsidR="00CE0A30" w:rsidRPr="00191322" w:rsidRDefault="00CE0A30">
            <w:pPr>
              <w:jc w:val="center"/>
              <w:rPr>
                <w:rFonts w:eastAsia="宋体" w:cs="Times New Roman"/>
                <w:sz w:val="18"/>
                <w:szCs w:val="18"/>
              </w:rPr>
            </w:pPr>
            <w:r w:rsidRPr="00191322">
              <w:rPr>
                <w:rFonts w:eastAsia="宋体" w:cs="Times New Roman" w:hint="eastAsia"/>
                <w:sz w:val="18"/>
                <w:szCs w:val="18"/>
              </w:rPr>
              <w:t>减值准备</w:t>
            </w:r>
          </w:p>
        </w:tc>
        <w:tc>
          <w:tcPr>
            <w:tcW w:w="1680" w:type="dxa"/>
            <w:shd w:val="clear" w:color="auto" w:fill="D9D9D9"/>
            <w:tcMar>
              <w:top w:w="0" w:type="dxa"/>
              <w:left w:w="108" w:type="dxa"/>
              <w:bottom w:w="0" w:type="dxa"/>
              <w:right w:w="108" w:type="dxa"/>
            </w:tcMar>
            <w:vAlign w:val="center"/>
            <w:hideMark/>
          </w:tcPr>
          <w:p w:rsidR="00CE0A30" w:rsidRPr="00191322" w:rsidRDefault="00CE0A30">
            <w:pPr>
              <w:jc w:val="center"/>
              <w:rPr>
                <w:rFonts w:eastAsia="宋体" w:cs="Times New Roman"/>
                <w:sz w:val="18"/>
                <w:szCs w:val="18"/>
              </w:rPr>
            </w:pPr>
            <w:r w:rsidRPr="00191322">
              <w:rPr>
                <w:rFonts w:eastAsia="宋体" w:cs="Times New Roman" w:hint="eastAsia"/>
                <w:sz w:val="18"/>
                <w:szCs w:val="18"/>
              </w:rPr>
              <w:t>账面价值</w:t>
            </w:r>
          </w:p>
        </w:tc>
      </w:tr>
      <w:tr w:rsidR="005F46CB" w:rsidRPr="00191322" w:rsidTr="0027505B">
        <w:trPr>
          <w:trHeight w:val="20"/>
        </w:trPr>
        <w:tc>
          <w:tcPr>
            <w:tcW w:w="4728" w:type="dxa"/>
            <w:shd w:val="clear" w:color="auto" w:fill="auto"/>
            <w:tcMar>
              <w:top w:w="0" w:type="dxa"/>
              <w:left w:w="108" w:type="dxa"/>
              <w:bottom w:w="0" w:type="dxa"/>
              <w:right w:w="108" w:type="dxa"/>
            </w:tcMar>
            <w:vAlign w:val="center"/>
          </w:tcPr>
          <w:p w:rsidR="005F46CB" w:rsidRPr="00191322" w:rsidRDefault="005F46CB" w:rsidP="005F46CB">
            <w:pPr>
              <w:rPr>
                <w:rFonts w:eastAsia="宋体" w:cs="Times New Roman"/>
                <w:sz w:val="18"/>
                <w:szCs w:val="18"/>
              </w:rPr>
            </w:pPr>
            <w:r w:rsidRPr="00191322">
              <w:rPr>
                <w:rFonts w:eastAsia="宋体" w:cs="Times New Roman" w:hint="eastAsia"/>
                <w:sz w:val="18"/>
                <w:szCs w:val="18"/>
              </w:rPr>
              <w:t>萤石智能家居产品产业化基地项目</w:t>
            </w:r>
          </w:p>
        </w:tc>
        <w:tc>
          <w:tcPr>
            <w:tcW w:w="1680" w:type="dxa"/>
            <w:shd w:val="clear" w:color="auto" w:fill="auto"/>
            <w:vAlign w:val="center"/>
          </w:tcPr>
          <w:p w:rsidR="005F46CB" w:rsidRPr="00191322" w:rsidRDefault="005F46CB" w:rsidP="0027505B">
            <w:pPr>
              <w:ind w:left="-104" w:right="87"/>
              <w:jc w:val="right"/>
              <w:rPr>
                <w:rFonts w:eastAsia="宋体" w:cs="Times New Roman"/>
                <w:sz w:val="18"/>
                <w:szCs w:val="18"/>
              </w:rPr>
            </w:pPr>
            <w:r w:rsidRPr="00191322">
              <w:rPr>
                <w:rFonts w:eastAsia="宋体" w:cs="Times New Roman"/>
                <w:sz w:val="18"/>
                <w:szCs w:val="18"/>
              </w:rPr>
              <w:t xml:space="preserve"> 581,119,789.59 </w:t>
            </w:r>
          </w:p>
        </w:tc>
        <w:tc>
          <w:tcPr>
            <w:tcW w:w="1680" w:type="dxa"/>
            <w:shd w:val="clear" w:color="auto" w:fill="auto"/>
            <w:vAlign w:val="center"/>
          </w:tcPr>
          <w:p w:rsidR="005F46CB" w:rsidRPr="00191322" w:rsidRDefault="005F46CB">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vAlign w:val="center"/>
          </w:tcPr>
          <w:p w:rsidR="005F46CB" w:rsidRPr="00191322" w:rsidRDefault="005F46CB" w:rsidP="0027505B">
            <w:pPr>
              <w:ind w:left="-104" w:right="87"/>
              <w:jc w:val="right"/>
              <w:rPr>
                <w:rFonts w:eastAsia="宋体" w:cs="Times New Roman"/>
                <w:sz w:val="18"/>
                <w:szCs w:val="18"/>
              </w:rPr>
            </w:pPr>
            <w:r w:rsidRPr="00191322">
              <w:rPr>
                <w:rFonts w:eastAsia="宋体" w:cs="Times New Roman"/>
                <w:sz w:val="18"/>
                <w:szCs w:val="18"/>
              </w:rPr>
              <w:t xml:space="preserve"> 581,119,789.59 </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282,125,289.92</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    </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282,125,289.92</w:t>
            </w:r>
          </w:p>
        </w:tc>
      </w:tr>
      <w:tr w:rsidR="005F46CB" w:rsidRPr="00191322" w:rsidTr="0027505B">
        <w:trPr>
          <w:trHeight w:val="20"/>
        </w:trPr>
        <w:tc>
          <w:tcPr>
            <w:tcW w:w="4728" w:type="dxa"/>
            <w:shd w:val="clear" w:color="auto" w:fill="auto"/>
            <w:tcMar>
              <w:top w:w="0" w:type="dxa"/>
              <w:left w:w="108" w:type="dxa"/>
              <w:bottom w:w="0" w:type="dxa"/>
              <w:right w:w="108" w:type="dxa"/>
            </w:tcMar>
            <w:vAlign w:val="center"/>
          </w:tcPr>
          <w:p w:rsidR="005F46CB" w:rsidRPr="00191322" w:rsidRDefault="005F46CB" w:rsidP="005F46CB">
            <w:pPr>
              <w:rPr>
                <w:rFonts w:eastAsia="宋体" w:cs="Times New Roman"/>
                <w:sz w:val="18"/>
                <w:szCs w:val="18"/>
              </w:rPr>
            </w:pPr>
            <w:r w:rsidRPr="00191322">
              <w:rPr>
                <w:rFonts w:eastAsia="宋体" w:cs="Times New Roman" w:hint="eastAsia"/>
                <w:sz w:val="18"/>
                <w:szCs w:val="18"/>
              </w:rPr>
              <w:t>萤石智能制造重庆基地项目</w:t>
            </w:r>
          </w:p>
        </w:tc>
        <w:tc>
          <w:tcPr>
            <w:tcW w:w="1680" w:type="dxa"/>
            <w:shd w:val="clear" w:color="auto" w:fill="auto"/>
            <w:vAlign w:val="center"/>
          </w:tcPr>
          <w:p w:rsidR="005F46CB" w:rsidRPr="00191322" w:rsidRDefault="005F46CB" w:rsidP="0027505B">
            <w:pPr>
              <w:ind w:left="-104" w:right="87"/>
              <w:jc w:val="right"/>
              <w:rPr>
                <w:rFonts w:eastAsia="宋体" w:cs="Times New Roman"/>
                <w:sz w:val="18"/>
                <w:szCs w:val="18"/>
              </w:rPr>
            </w:pPr>
            <w:r w:rsidRPr="00191322">
              <w:rPr>
                <w:rFonts w:eastAsia="宋体" w:cs="Times New Roman"/>
                <w:sz w:val="18"/>
                <w:szCs w:val="18"/>
              </w:rPr>
              <w:t xml:space="preserve"> 628,214,692.80 </w:t>
            </w:r>
          </w:p>
        </w:tc>
        <w:tc>
          <w:tcPr>
            <w:tcW w:w="1680" w:type="dxa"/>
            <w:shd w:val="clear" w:color="auto" w:fill="auto"/>
            <w:vAlign w:val="center"/>
          </w:tcPr>
          <w:p w:rsidR="005F46CB" w:rsidRPr="00191322" w:rsidRDefault="005F46CB">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vAlign w:val="center"/>
          </w:tcPr>
          <w:p w:rsidR="005F46CB" w:rsidRPr="00191322" w:rsidRDefault="005F46CB" w:rsidP="0027505B">
            <w:pPr>
              <w:ind w:left="-104" w:right="87"/>
              <w:jc w:val="right"/>
              <w:rPr>
                <w:rFonts w:eastAsia="宋体" w:cs="Times New Roman"/>
                <w:sz w:val="18"/>
                <w:szCs w:val="18"/>
              </w:rPr>
            </w:pPr>
            <w:r w:rsidRPr="00191322">
              <w:rPr>
                <w:rFonts w:eastAsia="宋体" w:cs="Times New Roman"/>
                <w:sz w:val="18"/>
                <w:szCs w:val="18"/>
              </w:rPr>
              <w:t xml:space="preserve"> 628,214,692.80 </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72,173,018.20</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    </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72,173,018.20</w:t>
            </w:r>
          </w:p>
        </w:tc>
      </w:tr>
      <w:tr w:rsidR="009B5125" w:rsidRPr="00191322" w:rsidTr="0027505B">
        <w:trPr>
          <w:trHeight w:val="20"/>
        </w:trPr>
        <w:tc>
          <w:tcPr>
            <w:tcW w:w="4728" w:type="dxa"/>
            <w:shd w:val="clear" w:color="auto" w:fill="auto"/>
            <w:tcMar>
              <w:top w:w="0" w:type="dxa"/>
              <w:left w:w="108" w:type="dxa"/>
              <w:bottom w:w="0" w:type="dxa"/>
              <w:right w:w="108" w:type="dxa"/>
            </w:tcMar>
            <w:vAlign w:val="center"/>
          </w:tcPr>
          <w:p w:rsidR="009B5125" w:rsidRPr="00191322" w:rsidRDefault="009B5125" w:rsidP="009B5125">
            <w:pPr>
              <w:rPr>
                <w:rFonts w:eastAsia="宋体" w:cs="Times New Roman"/>
                <w:sz w:val="18"/>
                <w:szCs w:val="18"/>
              </w:rPr>
            </w:pPr>
            <w:r w:rsidRPr="00191322">
              <w:rPr>
                <w:rFonts w:eastAsia="宋体" w:cs="Times New Roman" w:hint="eastAsia"/>
                <w:sz w:val="18"/>
                <w:szCs w:val="18"/>
              </w:rPr>
              <w:t>桐庐电</w:t>
            </w:r>
            <w:proofErr w:type="gramStart"/>
            <w:r w:rsidRPr="00191322">
              <w:rPr>
                <w:rFonts w:eastAsia="宋体" w:cs="Times New Roman" w:hint="eastAsia"/>
                <w:sz w:val="18"/>
                <w:szCs w:val="18"/>
              </w:rPr>
              <w:t>装产线建设项目</w:t>
            </w:r>
            <w:proofErr w:type="gramEnd"/>
          </w:p>
        </w:tc>
        <w:tc>
          <w:tcPr>
            <w:tcW w:w="1680" w:type="dxa"/>
            <w:shd w:val="clear" w:color="auto" w:fill="auto"/>
            <w:vAlign w:val="center"/>
          </w:tcPr>
          <w:p w:rsidR="009B5125" w:rsidRPr="00191322" w:rsidRDefault="009B5125" w:rsidP="0027505B">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vAlign w:val="center"/>
          </w:tcPr>
          <w:p w:rsidR="009B5125" w:rsidRPr="00191322" w:rsidRDefault="009B5125">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vAlign w:val="center"/>
          </w:tcPr>
          <w:p w:rsidR="009B5125" w:rsidRPr="00191322" w:rsidRDefault="009B5125" w:rsidP="0027505B">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tcMar>
              <w:top w:w="0" w:type="dxa"/>
              <w:left w:w="108" w:type="dxa"/>
              <w:bottom w:w="0" w:type="dxa"/>
              <w:right w:w="108" w:type="dxa"/>
            </w:tcMar>
            <w:vAlign w:val="center"/>
          </w:tcPr>
          <w:p w:rsidR="009B5125" w:rsidRPr="00191322" w:rsidRDefault="009B5125">
            <w:pPr>
              <w:ind w:left="-104"/>
              <w:jc w:val="right"/>
              <w:rPr>
                <w:rFonts w:eastAsia="宋体" w:cs="Times New Roman"/>
                <w:sz w:val="18"/>
                <w:szCs w:val="18"/>
              </w:rPr>
            </w:pPr>
            <w:r w:rsidRPr="00191322">
              <w:rPr>
                <w:rFonts w:eastAsia="宋体" w:cs="Times New Roman"/>
                <w:sz w:val="18"/>
                <w:szCs w:val="18"/>
              </w:rPr>
              <w:t>6,014,976.77</w:t>
            </w:r>
          </w:p>
        </w:tc>
        <w:tc>
          <w:tcPr>
            <w:tcW w:w="1680" w:type="dxa"/>
            <w:shd w:val="clear" w:color="auto" w:fill="auto"/>
            <w:tcMar>
              <w:top w:w="0" w:type="dxa"/>
              <w:left w:w="108" w:type="dxa"/>
              <w:bottom w:w="0" w:type="dxa"/>
              <w:right w:w="108" w:type="dxa"/>
            </w:tcMar>
            <w:vAlign w:val="center"/>
          </w:tcPr>
          <w:p w:rsidR="009B5125" w:rsidRPr="00191322" w:rsidRDefault="009B5125" w:rsidP="0027505B">
            <w:pPr>
              <w:ind w:left="-104"/>
              <w:jc w:val="right"/>
              <w:rPr>
                <w:rFonts w:eastAsia="宋体" w:cs="Times New Roman"/>
                <w:sz w:val="18"/>
                <w:szCs w:val="18"/>
              </w:rPr>
            </w:pPr>
            <w:r w:rsidRPr="00191322">
              <w:rPr>
                <w:rFonts w:eastAsia="宋体" w:cs="Times New Roman"/>
                <w:sz w:val="18"/>
                <w:szCs w:val="18"/>
              </w:rPr>
              <w:t>-    </w:t>
            </w:r>
          </w:p>
        </w:tc>
        <w:tc>
          <w:tcPr>
            <w:tcW w:w="1680" w:type="dxa"/>
            <w:shd w:val="clear" w:color="auto" w:fill="auto"/>
            <w:tcMar>
              <w:top w:w="0" w:type="dxa"/>
              <w:left w:w="108" w:type="dxa"/>
              <w:bottom w:w="0" w:type="dxa"/>
              <w:right w:w="108" w:type="dxa"/>
            </w:tcMar>
            <w:vAlign w:val="center"/>
          </w:tcPr>
          <w:p w:rsidR="009B5125" w:rsidRPr="00191322" w:rsidRDefault="009B5125">
            <w:pPr>
              <w:ind w:left="-104"/>
              <w:jc w:val="right"/>
              <w:rPr>
                <w:rFonts w:eastAsia="宋体" w:cs="Times New Roman"/>
                <w:sz w:val="18"/>
                <w:szCs w:val="18"/>
              </w:rPr>
            </w:pPr>
            <w:r w:rsidRPr="00191322">
              <w:rPr>
                <w:rFonts w:eastAsia="宋体" w:cs="Times New Roman"/>
                <w:sz w:val="18"/>
                <w:szCs w:val="18"/>
              </w:rPr>
              <w:t>6,014,976.77</w:t>
            </w:r>
          </w:p>
        </w:tc>
      </w:tr>
      <w:tr w:rsidR="009B5125" w:rsidRPr="00191322" w:rsidTr="0027505B">
        <w:trPr>
          <w:trHeight w:val="20"/>
        </w:trPr>
        <w:tc>
          <w:tcPr>
            <w:tcW w:w="4728" w:type="dxa"/>
            <w:shd w:val="clear" w:color="auto" w:fill="auto"/>
            <w:tcMar>
              <w:top w:w="0" w:type="dxa"/>
              <w:left w:w="108" w:type="dxa"/>
              <w:bottom w:w="0" w:type="dxa"/>
              <w:right w:w="108" w:type="dxa"/>
            </w:tcMar>
            <w:vAlign w:val="center"/>
          </w:tcPr>
          <w:p w:rsidR="009B5125" w:rsidRPr="00191322" w:rsidRDefault="009B5125" w:rsidP="009B5125">
            <w:pPr>
              <w:rPr>
                <w:rFonts w:eastAsia="宋体" w:cs="Times New Roman"/>
                <w:sz w:val="18"/>
                <w:szCs w:val="18"/>
              </w:rPr>
            </w:pPr>
            <w:r w:rsidRPr="00191322">
              <w:rPr>
                <w:rFonts w:eastAsia="宋体" w:cs="Times New Roman" w:hint="eastAsia"/>
                <w:sz w:val="18"/>
                <w:szCs w:val="18"/>
              </w:rPr>
              <w:t>重庆电</w:t>
            </w:r>
            <w:proofErr w:type="gramStart"/>
            <w:r w:rsidRPr="00191322">
              <w:rPr>
                <w:rFonts w:eastAsia="宋体" w:cs="Times New Roman" w:hint="eastAsia"/>
                <w:sz w:val="18"/>
                <w:szCs w:val="18"/>
              </w:rPr>
              <w:t>装产线建设项目</w:t>
            </w:r>
            <w:proofErr w:type="gramEnd"/>
          </w:p>
        </w:tc>
        <w:tc>
          <w:tcPr>
            <w:tcW w:w="1680" w:type="dxa"/>
            <w:shd w:val="clear" w:color="auto" w:fill="auto"/>
            <w:vAlign w:val="center"/>
          </w:tcPr>
          <w:p w:rsidR="009B5125" w:rsidRPr="00191322" w:rsidRDefault="009B5125" w:rsidP="0027505B">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vAlign w:val="center"/>
          </w:tcPr>
          <w:p w:rsidR="009B5125" w:rsidRPr="00191322" w:rsidRDefault="009B5125">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vAlign w:val="center"/>
          </w:tcPr>
          <w:p w:rsidR="009B5125" w:rsidRPr="00191322" w:rsidRDefault="009B5125" w:rsidP="0027505B">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tcMar>
              <w:top w:w="0" w:type="dxa"/>
              <w:left w:w="108" w:type="dxa"/>
              <w:bottom w:w="0" w:type="dxa"/>
              <w:right w:w="108" w:type="dxa"/>
            </w:tcMar>
            <w:vAlign w:val="center"/>
          </w:tcPr>
          <w:p w:rsidR="009B5125" w:rsidRPr="00191322" w:rsidRDefault="009B5125">
            <w:pPr>
              <w:ind w:left="-104"/>
              <w:jc w:val="right"/>
              <w:rPr>
                <w:rFonts w:eastAsia="宋体" w:cs="Times New Roman"/>
                <w:sz w:val="18"/>
                <w:szCs w:val="18"/>
              </w:rPr>
            </w:pPr>
            <w:r w:rsidRPr="00191322">
              <w:rPr>
                <w:rFonts w:eastAsia="宋体" w:cs="Times New Roman"/>
                <w:sz w:val="18"/>
                <w:szCs w:val="18"/>
              </w:rPr>
              <w:t>151,858.40</w:t>
            </w:r>
          </w:p>
        </w:tc>
        <w:tc>
          <w:tcPr>
            <w:tcW w:w="1680" w:type="dxa"/>
            <w:shd w:val="clear" w:color="auto" w:fill="auto"/>
            <w:tcMar>
              <w:top w:w="0" w:type="dxa"/>
              <w:left w:w="108" w:type="dxa"/>
              <w:bottom w:w="0" w:type="dxa"/>
              <w:right w:w="108" w:type="dxa"/>
            </w:tcMar>
            <w:vAlign w:val="center"/>
          </w:tcPr>
          <w:p w:rsidR="009B5125" w:rsidRPr="00191322" w:rsidRDefault="009B5125">
            <w:pPr>
              <w:ind w:left="-104"/>
              <w:jc w:val="right"/>
              <w:rPr>
                <w:rFonts w:eastAsia="宋体" w:cs="Times New Roman"/>
                <w:sz w:val="18"/>
                <w:szCs w:val="18"/>
              </w:rPr>
            </w:pPr>
            <w:r w:rsidRPr="00191322">
              <w:rPr>
                <w:rFonts w:eastAsia="宋体" w:cs="Times New Roman"/>
                <w:sz w:val="18"/>
                <w:szCs w:val="18"/>
              </w:rPr>
              <w:t>-    </w:t>
            </w:r>
          </w:p>
        </w:tc>
        <w:tc>
          <w:tcPr>
            <w:tcW w:w="1680" w:type="dxa"/>
            <w:shd w:val="clear" w:color="auto" w:fill="auto"/>
            <w:tcMar>
              <w:top w:w="0" w:type="dxa"/>
              <w:left w:w="108" w:type="dxa"/>
              <w:bottom w:w="0" w:type="dxa"/>
              <w:right w:w="108" w:type="dxa"/>
            </w:tcMar>
            <w:vAlign w:val="center"/>
          </w:tcPr>
          <w:p w:rsidR="009B5125" w:rsidRPr="00191322" w:rsidRDefault="009B5125">
            <w:pPr>
              <w:ind w:left="-104"/>
              <w:jc w:val="right"/>
              <w:rPr>
                <w:rFonts w:eastAsia="宋体" w:cs="Times New Roman"/>
                <w:sz w:val="18"/>
                <w:szCs w:val="18"/>
              </w:rPr>
            </w:pPr>
            <w:r w:rsidRPr="00191322">
              <w:rPr>
                <w:rFonts w:eastAsia="宋体" w:cs="Times New Roman"/>
                <w:sz w:val="18"/>
                <w:szCs w:val="18"/>
              </w:rPr>
              <w:t>151,858.40</w:t>
            </w:r>
          </w:p>
        </w:tc>
      </w:tr>
      <w:tr w:rsidR="005F46CB" w:rsidRPr="00191322" w:rsidTr="0027505B">
        <w:trPr>
          <w:trHeight w:val="20"/>
        </w:trPr>
        <w:tc>
          <w:tcPr>
            <w:tcW w:w="4728" w:type="dxa"/>
            <w:shd w:val="clear" w:color="auto" w:fill="auto"/>
            <w:tcMar>
              <w:top w:w="0" w:type="dxa"/>
              <w:left w:w="108" w:type="dxa"/>
              <w:bottom w:w="0" w:type="dxa"/>
              <w:right w:w="108" w:type="dxa"/>
            </w:tcMar>
            <w:vAlign w:val="center"/>
          </w:tcPr>
          <w:p w:rsidR="005F46CB" w:rsidRPr="00191322" w:rsidRDefault="005F46CB" w:rsidP="005F46CB">
            <w:pPr>
              <w:rPr>
                <w:rFonts w:eastAsia="宋体" w:cs="Times New Roman"/>
                <w:sz w:val="18"/>
                <w:szCs w:val="18"/>
              </w:rPr>
            </w:pPr>
            <w:r w:rsidRPr="00191322">
              <w:rPr>
                <w:rFonts w:eastAsia="宋体" w:cs="Times New Roman" w:hint="eastAsia"/>
                <w:sz w:val="18"/>
                <w:szCs w:val="18"/>
              </w:rPr>
              <w:t>其他</w:t>
            </w:r>
          </w:p>
        </w:tc>
        <w:tc>
          <w:tcPr>
            <w:tcW w:w="1680" w:type="dxa"/>
            <w:shd w:val="clear" w:color="auto" w:fill="auto"/>
            <w:vAlign w:val="center"/>
          </w:tcPr>
          <w:p w:rsidR="005F46CB" w:rsidRPr="00191322" w:rsidRDefault="005F46CB" w:rsidP="0027505B">
            <w:pPr>
              <w:ind w:left="-104" w:right="87"/>
              <w:jc w:val="right"/>
              <w:rPr>
                <w:rFonts w:eastAsia="宋体" w:cs="Times New Roman"/>
                <w:sz w:val="18"/>
                <w:szCs w:val="18"/>
              </w:rPr>
            </w:pPr>
            <w:r w:rsidRPr="00191322">
              <w:rPr>
                <w:rFonts w:eastAsia="宋体" w:cs="Times New Roman"/>
                <w:sz w:val="18"/>
                <w:szCs w:val="18"/>
              </w:rPr>
              <w:t xml:space="preserve"> 8,384,631.33 </w:t>
            </w:r>
          </w:p>
        </w:tc>
        <w:tc>
          <w:tcPr>
            <w:tcW w:w="1680" w:type="dxa"/>
            <w:shd w:val="clear" w:color="auto" w:fill="auto"/>
            <w:vAlign w:val="center"/>
          </w:tcPr>
          <w:p w:rsidR="005F46CB" w:rsidRPr="00191322" w:rsidRDefault="005F46CB">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vAlign w:val="center"/>
          </w:tcPr>
          <w:p w:rsidR="005F46CB" w:rsidRPr="00191322" w:rsidRDefault="005F46CB" w:rsidP="0027505B">
            <w:pPr>
              <w:ind w:left="-104" w:right="87"/>
              <w:jc w:val="right"/>
              <w:rPr>
                <w:rFonts w:eastAsia="宋体" w:cs="Times New Roman"/>
                <w:sz w:val="18"/>
                <w:szCs w:val="18"/>
              </w:rPr>
            </w:pPr>
            <w:r w:rsidRPr="00191322">
              <w:rPr>
                <w:rFonts w:eastAsia="宋体" w:cs="Times New Roman"/>
                <w:sz w:val="18"/>
                <w:szCs w:val="18"/>
              </w:rPr>
              <w:t xml:space="preserve"> 8,384,631.33 </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7,425,636.17</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    </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7,425,636.17</w:t>
            </w:r>
          </w:p>
        </w:tc>
      </w:tr>
      <w:tr w:rsidR="005F46CB" w:rsidRPr="00191322" w:rsidTr="0027505B">
        <w:trPr>
          <w:trHeight w:val="20"/>
        </w:trPr>
        <w:tc>
          <w:tcPr>
            <w:tcW w:w="4728" w:type="dxa"/>
            <w:shd w:val="clear" w:color="auto" w:fill="D9D9D9"/>
            <w:tcMar>
              <w:top w:w="0" w:type="dxa"/>
              <w:left w:w="108" w:type="dxa"/>
              <w:bottom w:w="0" w:type="dxa"/>
              <w:right w:w="108" w:type="dxa"/>
            </w:tcMar>
            <w:vAlign w:val="center"/>
          </w:tcPr>
          <w:p w:rsidR="005F46CB" w:rsidRPr="00191322" w:rsidRDefault="005F46CB" w:rsidP="005F46CB">
            <w:pPr>
              <w:rPr>
                <w:rFonts w:eastAsia="宋体" w:cs="Times New Roman"/>
                <w:sz w:val="18"/>
                <w:szCs w:val="18"/>
              </w:rPr>
            </w:pPr>
            <w:r w:rsidRPr="00191322">
              <w:rPr>
                <w:rFonts w:eastAsia="宋体" w:cs="Times New Roman" w:hint="eastAsia"/>
                <w:sz w:val="18"/>
                <w:szCs w:val="18"/>
              </w:rPr>
              <w:t>合计</w:t>
            </w:r>
          </w:p>
        </w:tc>
        <w:tc>
          <w:tcPr>
            <w:tcW w:w="1680" w:type="dxa"/>
            <w:shd w:val="clear" w:color="auto" w:fill="auto"/>
            <w:vAlign w:val="center"/>
          </w:tcPr>
          <w:p w:rsidR="005F46CB" w:rsidRPr="00191322" w:rsidRDefault="005F46CB" w:rsidP="0027505B">
            <w:pPr>
              <w:ind w:left="-104" w:right="87"/>
              <w:jc w:val="right"/>
              <w:rPr>
                <w:rFonts w:eastAsia="宋体" w:cs="Times New Roman"/>
                <w:sz w:val="18"/>
                <w:szCs w:val="18"/>
              </w:rPr>
            </w:pPr>
            <w:r w:rsidRPr="00191322">
              <w:rPr>
                <w:rFonts w:eastAsia="宋体" w:cs="Times New Roman"/>
                <w:sz w:val="18"/>
                <w:szCs w:val="18"/>
              </w:rPr>
              <w:t>1,217,719,113.72</w:t>
            </w:r>
          </w:p>
        </w:tc>
        <w:tc>
          <w:tcPr>
            <w:tcW w:w="1680" w:type="dxa"/>
            <w:shd w:val="clear" w:color="auto" w:fill="auto"/>
            <w:vAlign w:val="center"/>
          </w:tcPr>
          <w:p w:rsidR="005F46CB" w:rsidRPr="00191322" w:rsidRDefault="005F46CB">
            <w:pPr>
              <w:ind w:left="-104" w:right="87"/>
              <w:jc w:val="right"/>
              <w:rPr>
                <w:rFonts w:eastAsia="宋体" w:cs="Times New Roman"/>
                <w:sz w:val="18"/>
                <w:szCs w:val="18"/>
              </w:rPr>
            </w:pPr>
            <w:r w:rsidRPr="00191322">
              <w:rPr>
                <w:rFonts w:eastAsia="宋体" w:cs="Times New Roman"/>
                <w:sz w:val="18"/>
                <w:szCs w:val="18"/>
              </w:rPr>
              <w:t>-    </w:t>
            </w:r>
          </w:p>
        </w:tc>
        <w:tc>
          <w:tcPr>
            <w:tcW w:w="1680" w:type="dxa"/>
            <w:shd w:val="clear" w:color="auto" w:fill="auto"/>
            <w:vAlign w:val="center"/>
          </w:tcPr>
          <w:p w:rsidR="005F46CB" w:rsidRPr="00191322" w:rsidRDefault="005F46CB" w:rsidP="0027505B">
            <w:pPr>
              <w:ind w:left="-104" w:right="87"/>
              <w:jc w:val="right"/>
              <w:rPr>
                <w:rFonts w:eastAsia="宋体" w:cs="Times New Roman"/>
                <w:sz w:val="18"/>
                <w:szCs w:val="18"/>
              </w:rPr>
            </w:pPr>
            <w:r w:rsidRPr="00191322">
              <w:rPr>
                <w:rFonts w:eastAsia="宋体" w:cs="Times New Roman"/>
                <w:sz w:val="18"/>
                <w:szCs w:val="18"/>
              </w:rPr>
              <w:t>1,217,719,113.72</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367,890,779.46</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    </w:t>
            </w:r>
          </w:p>
        </w:tc>
        <w:tc>
          <w:tcPr>
            <w:tcW w:w="1680" w:type="dxa"/>
            <w:shd w:val="clear" w:color="auto" w:fill="auto"/>
            <w:tcMar>
              <w:top w:w="0" w:type="dxa"/>
              <w:left w:w="108" w:type="dxa"/>
              <w:bottom w:w="0" w:type="dxa"/>
              <w:right w:w="108" w:type="dxa"/>
            </w:tcMar>
            <w:vAlign w:val="center"/>
          </w:tcPr>
          <w:p w:rsidR="005F46CB" w:rsidRPr="00191322" w:rsidRDefault="005F46CB">
            <w:pPr>
              <w:ind w:left="-104"/>
              <w:jc w:val="right"/>
              <w:rPr>
                <w:rFonts w:eastAsia="宋体" w:cs="Times New Roman"/>
                <w:sz w:val="18"/>
                <w:szCs w:val="18"/>
              </w:rPr>
            </w:pPr>
            <w:r w:rsidRPr="00191322">
              <w:rPr>
                <w:rFonts w:eastAsia="宋体" w:cs="Times New Roman"/>
                <w:sz w:val="18"/>
                <w:szCs w:val="18"/>
              </w:rPr>
              <w:t>367,890,779.46</w:t>
            </w:r>
          </w:p>
        </w:tc>
      </w:tr>
    </w:tbl>
    <w:p w:rsidR="00CE0A30" w:rsidRPr="00A71D2E" w:rsidRDefault="00CE0A30" w:rsidP="00F66363">
      <w:pPr>
        <w:ind w:left="720"/>
        <w:jc w:val="both"/>
        <w:rPr>
          <w:rFonts w:eastAsia="宋体" w:cs="Times New Roman"/>
          <w:szCs w:val="21"/>
        </w:rPr>
      </w:pPr>
    </w:p>
    <w:p w:rsidR="007D47F9" w:rsidRPr="00A71D2E" w:rsidRDefault="007D47F9">
      <w:pPr>
        <w:pStyle w:val="aff1"/>
        <w:numPr>
          <w:ilvl w:val="0"/>
          <w:numId w:val="14"/>
        </w:numPr>
        <w:ind w:left="1440" w:firstLineChars="0" w:hanging="709"/>
        <w:rPr>
          <w:szCs w:val="21"/>
        </w:rPr>
      </w:pPr>
      <w:r w:rsidRPr="00A71D2E">
        <w:rPr>
          <w:rFonts w:hint="eastAsia"/>
          <w:szCs w:val="21"/>
        </w:rPr>
        <w:t>重要在建工程本</w:t>
      </w:r>
      <w:r w:rsidR="005A5AF5" w:rsidRPr="00A71D2E">
        <w:rPr>
          <w:rFonts w:hint="eastAsia"/>
          <w:szCs w:val="21"/>
        </w:rPr>
        <w:t>年</w:t>
      </w:r>
      <w:r w:rsidRPr="00A71D2E">
        <w:rPr>
          <w:rFonts w:hint="eastAsia"/>
          <w:szCs w:val="21"/>
        </w:rPr>
        <w:t>变动情况</w:t>
      </w:r>
    </w:p>
    <w:p w:rsidR="004B0DEA" w:rsidRPr="00A71D2E" w:rsidRDefault="004B0DEA">
      <w:pPr>
        <w:ind w:left="5040" w:right="-18"/>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Style w:val="aff5"/>
        <w:tblW w:w="14823" w:type="dxa"/>
        <w:tblInd w:w="715" w:type="dxa"/>
        <w:tblLayout w:type="fixed"/>
        <w:tblLook w:val="04A0" w:firstRow="1" w:lastRow="0" w:firstColumn="1" w:lastColumn="0" w:noHBand="0" w:noVBand="1"/>
      </w:tblPr>
      <w:tblGrid>
        <w:gridCol w:w="1832"/>
        <w:gridCol w:w="1417"/>
        <w:gridCol w:w="1418"/>
        <w:gridCol w:w="1346"/>
        <w:gridCol w:w="1120"/>
        <w:gridCol w:w="1330"/>
        <w:gridCol w:w="1092"/>
        <w:gridCol w:w="924"/>
        <w:gridCol w:w="1203"/>
        <w:gridCol w:w="1134"/>
        <w:gridCol w:w="923"/>
        <w:gridCol w:w="1084"/>
      </w:tblGrid>
      <w:tr w:rsidR="00A04616" w:rsidRPr="00191322" w:rsidTr="0027505B">
        <w:trPr>
          <w:trHeight w:val="20"/>
        </w:trPr>
        <w:tc>
          <w:tcPr>
            <w:tcW w:w="1832" w:type="dxa"/>
            <w:shd w:val="clear" w:color="auto" w:fill="D9D9D9" w:themeFill="background2" w:themeFillShade="D9"/>
            <w:vAlign w:val="center"/>
          </w:tcPr>
          <w:p w:rsidR="00072F53" w:rsidRPr="00191322" w:rsidRDefault="00072F53">
            <w:pPr>
              <w:jc w:val="center"/>
              <w:rPr>
                <w:b/>
                <w:sz w:val="17"/>
                <w:szCs w:val="17"/>
              </w:rPr>
            </w:pPr>
            <w:r w:rsidRPr="00191322">
              <w:rPr>
                <w:rFonts w:hint="eastAsia"/>
                <w:sz w:val="17"/>
                <w:szCs w:val="17"/>
              </w:rPr>
              <w:t>项目</w:t>
            </w:r>
          </w:p>
        </w:tc>
        <w:tc>
          <w:tcPr>
            <w:tcW w:w="1417" w:type="dxa"/>
            <w:shd w:val="clear" w:color="auto" w:fill="D9D9D9" w:themeFill="background2" w:themeFillShade="D9"/>
            <w:vAlign w:val="center"/>
          </w:tcPr>
          <w:p w:rsidR="00072F53" w:rsidRPr="00191322" w:rsidRDefault="00072F53">
            <w:pPr>
              <w:jc w:val="center"/>
              <w:rPr>
                <w:b/>
                <w:sz w:val="17"/>
                <w:szCs w:val="17"/>
              </w:rPr>
            </w:pPr>
            <w:r w:rsidRPr="00191322">
              <w:rPr>
                <w:rFonts w:hint="eastAsia"/>
                <w:sz w:val="17"/>
                <w:szCs w:val="17"/>
              </w:rPr>
              <w:t>预算数</w:t>
            </w:r>
          </w:p>
        </w:tc>
        <w:tc>
          <w:tcPr>
            <w:tcW w:w="1418" w:type="dxa"/>
            <w:shd w:val="clear" w:color="auto" w:fill="D9D9D9" w:themeFill="background2" w:themeFillShade="D9"/>
            <w:vAlign w:val="center"/>
          </w:tcPr>
          <w:p w:rsidR="00072F53" w:rsidRPr="00191322" w:rsidRDefault="00AF4F07">
            <w:pPr>
              <w:jc w:val="center"/>
              <w:rPr>
                <w:b/>
                <w:sz w:val="17"/>
                <w:szCs w:val="17"/>
              </w:rPr>
            </w:pPr>
            <w:r w:rsidRPr="00191322">
              <w:rPr>
                <w:rFonts w:hint="eastAsia"/>
                <w:sz w:val="17"/>
                <w:szCs w:val="17"/>
              </w:rPr>
              <w:t>年初余额</w:t>
            </w:r>
          </w:p>
        </w:tc>
        <w:tc>
          <w:tcPr>
            <w:tcW w:w="1346" w:type="dxa"/>
            <w:shd w:val="clear" w:color="auto" w:fill="D9D9D9" w:themeFill="background2" w:themeFillShade="D9"/>
            <w:vAlign w:val="center"/>
          </w:tcPr>
          <w:p w:rsidR="00A04616" w:rsidRPr="00191322" w:rsidRDefault="00572D1F">
            <w:pPr>
              <w:jc w:val="center"/>
              <w:rPr>
                <w:sz w:val="17"/>
                <w:szCs w:val="17"/>
              </w:rPr>
            </w:pPr>
            <w:r w:rsidRPr="00191322">
              <w:rPr>
                <w:rFonts w:hint="eastAsia"/>
                <w:sz w:val="17"/>
                <w:szCs w:val="17"/>
              </w:rPr>
              <w:t>本年</w:t>
            </w:r>
            <w:r w:rsidR="00072F53" w:rsidRPr="00191322">
              <w:rPr>
                <w:rFonts w:hint="eastAsia"/>
                <w:sz w:val="17"/>
                <w:szCs w:val="17"/>
              </w:rPr>
              <w:t>增加</w:t>
            </w:r>
          </w:p>
          <w:p w:rsidR="00072F53" w:rsidRPr="00191322" w:rsidRDefault="006F127B">
            <w:pPr>
              <w:jc w:val="center"/>
              <w:rPr>
                <w:b/>
                <w:sz w:val="17"/>
                <w:szCs w:val="17"/>
              </w:rPr>
            </w:pPr>
            <w:r w:rsidRPr="00191322">
              <w:rPr>
                <w:rFonts w:hint="eastAsia"/>
                <w:sz w:val="17"/>
                <w:szCs w:val="17"/>
              </w:rPr>
              <w:t>金额</w:t>
            </w:r>
          </w:p>
        </w:tc>
        <w:tc>
          <w:tcPr>
            <w:tcW w:w="1120" w:type="dxa"/>
            <w:shd w:val="clear" w:color="auto" w:fill="D9D9D9" w:themeFill="background2" w:themeFillShade="D9"/>
            <w:vAlign w:val="center"/>
          </w:tcPr>
          <w:p w:rsidR="00072F53" w:rsidRPr="00191322" w:rsidRDefault="00BF6BCB">
            <w:pPr>
              <w:jc w:val="center"/>
              <w:rPr>
                <w:sz w:val="17"/>
                <w:szCs w:val="17"/>
              </w:rPr>
            </w:pPr>
            <w:r w:rsidRPr="00191322">
              <w:rPr>
                <w:rFonts w:hint="eastAsia"/>
                <w:sz w:val="17"/>
                <w:szCs w:val="17"/>
              </w:rPr>
              <w:t>本年</w:t>
            </w:r>
            <w:r w:rsidR="00072F53" w:rsidRPr="00191322">
              <w:rPr>
                <w:rFonts w:hint="eastAsia"/>
                <w:sz w:val="17"/>
                <w:szCs w:val="17"/>
              </w:rPr>
              <w:t>转入</w:t>
            </w:r>
          </w:p>
          <w:p w:rsidR="00A04616" w:rsidRPr="00191322" w:rsidRDefault="00072F53">
            <w:pPr>
              <w:jc w:val="center"/>
              <w:rPr>
                <w:sz w:val="17"/>
                <w:szCs w:val="17"/>
              </w:rPr>
            </w:pPr>
            <w:r w:rsidRPr="00191322">
              <w:rPr>
                <w:rFonts w:hint="eastAsia"/>
                <w:sz w:val="17"/>
                <w:szCs w:val="17"/>
              </w:rPr>
              <w:t>固定资产</w:t>
            </w:r>
          </w:p>
          <w:p w:rsidR="00072F53" w:rsidRPr="00191322" w:rsidDel="00F602A1" w:rsidRDefault="00072F53">
            <w:pPr>
              <w:jc w:val="center"/>
              <w:rPr>
                <w:sz w:val="17"/>
                <w:szCs w:val="17"/>
              </w:rPr>
            </w:pPr>
            <w:r w:rsidRPr="00191322">
              <w:rPr>
                <w:rFonts w:hint="eastAsia"/>
                <w:sz w:val="17"/>
                <w:szCs w:val="17"/>
              </w:rPr>
              <w:t>金额</w:t>
            </w:r>
          </w:p>
        </w:tc>
        <w:tc>
          <w:tcPr>
            <w:tcW w:w="1330" w:type="dxa"/>
            <w:shd w:val="clear" w:color="auto" w:fill="D9D9D9" w:themeFill="background2" w:themeFillShade="D9"/>
            <w:vAlign w:val="center"/>
          </w:tcPr>
          <w:p w:rsidR="00072F53" w:rsidRPr="00191322" w:rsidRDefault="00BF6BCB">
            <w:pPr>
              <w:jc w:val="center"/>
              <w:rPr>
                <w:sz w:val="17"/>
                <w:szCs w:val="17"/>
              </w:rPr>
            </w:pPr>
            <w:r w:rsidRPr="00191322">
              <w:rPr>
                <w:rFonts w:hint="eastAsia"/>
                <w:sz w:val="17"/>
                <w:szCs w:val="17"/>
              </w:rPr>
              <w:t>年末余额</w:t>
            </w:r>
          </w:p>
        </w:tc>
        <w:tc>
          <w:tcPr>
            <w:tcW w:w="1092" w:type="dxa"/>
            <w:shd w:val="clear" w:color="auto" w:fill="D9D9D9" w:themeFill="background2" w:themeFillShade="D9"/>
            <w:vAlign w:val="center"/>
          </w:tcPr>
          <w:p w:rsidR="00824202" w:rsidRPr="00191322" w:rsidRDefault="00072F53">
            <w:pPr>
              <w:jc w:val="center"/>
              <w:rPr>
                <w:sz w:val="17"/>
                <w:szCs w:val="17"/>
              </w:rPr>
            </w:pPr>
            <w:r w:rsidRPr="00191322">
              <w:rPr>
                <w:rFonts w:hint="eastAsia"/>
                <w:sz w:val="17"/>
                <w:szCs w:val="17"/>
              </w:rPr>
              <w:t>工程累计</w:t>
            </w:r>
          </w:p>
          <w:p w:rsidR="00824202" w:rsidRPr="00191322" w:rsidRDefault="00072F53">
            <w:pPr>
              <w:jc w:val="center"/>
              <w:rPr>
                <w:sz w:val="17"/>
                <w:szCs w:val="17"/>
              </w:rPr>
            </w:pPr>
            <w:r w:rsidRPr="00191322">
              <w:rPr>
                <w:rFonts w:hint="eastAsia"/>
                <w:sz w:val="17"/>
                <w:szCs w:val="17"/>
              </w:rPr>
              <w:t>投入占预算</w:t>
            </w:r>
          </w:p>
          <w:p w:rsidR="00072F53" w:rsidRPr="00191322" w:rsidRDefault="0067610B">
            <w:pPr>
              <w:jc w:val="center"/>
              <w:rPr>
                <w:b/>
                <w:sz w:val="17"/>
                <w:szCs w:val="17"/>
              </w:rPr>
            </w:pPr>
            <w:r w:rsidRPr="00191322">
              <w:rPr>
                <w:rFonts w:hint="eastAsia"/>
                <w:sz w:val="17"/>
                <w:szCs w:val="17"/>
              </w:rPr>
              <w:t>比例</w:t>
            </w:r>
          </w:p>
        </w:tc>
        <w:tc>
          <w:tcPr>
            <w:tcW w:w="924" w:type="dxa"/>
            <w:shd w:val="clear" w:color="auto" w:fill="D9D9D9" w:themeFill="background2" w:themeFillShade="D9"/>
            <w:vAlign w:val="center"/>
          </w:tcPr>
          <w:p w:rsidR="00072F53" w:rsidRPr="00191322" w:rsidRDefault="00072F53">
            <w:pPr>
              <w:jc w:val="center"/>
              <w:rPr>
                <w:sz w:val="17"/>
                <w:szCs w:val="17"/>
              </w:rPr>
            </w:pPr>
            <w:r w:rsidRPr="00191322">
              <w:rPr>
                <w:rFonts w:hint="eastAsia"/>
                <w:sz w:val="17"/>
                <w:szCs w:val="17"/>
              </w:rPr>
              <w:t>工程进度</w:t>
            </w:r>
          </w:p>
        </w:tc>
        <w:tc>
          <w:tcPr>
            <w:tcW w:w="1203" w:type="dxa"/>
            <w:shd w:val="clear" w:color="auto" w:fill="D9D9D9" w:themeFill="background2" w:themeFillShade="D9"/>
            <w:vAlign w:val="center"/>
          </w:tcPr>
          <w:p w:rsidR="00072F53" w:rsidRPr="00191322" w:rsidRDefault="00072F53">
            <w:pPr>
              <w:jc w:val="center"/>
              <w:rPr>
                <w:sz w:val="17"/>
                <w:szCs w:val="17"/>
              </w:rPr>
            </w:pPr>
            <w:r w:rsidRPr="00191322">
              <w:rPr>
                <w:rFonts w:hint="eastAsia"/>
                <w:sz w:val="17"/>
                <w:szCs w:val="17"/>
              </w:rPr>
              <w:t>利息资本化</w:t>
            </w:r>
          </w:p>
          <w:p w:rsidR="00072F53" w:rsidRPr="00191322" w:rsidRDefault="00072F53">
            <w:pPr>
              <w:jc w:val="center"/>
              <w:rPr>
                <w:sz w:val="17"/>
                <w:szCs w:val="17"/>
              </w:rPr>
            </w:pPr>
            <w:r w:rsidRPr="00191322">
              <w:rPr>
                <w:rFonts w:hint="eastAsia"/>
                <w:sz w:val="17"/>
                <w:szCs w:val="17"/>
              </w:rPr>
              <w:t>累计金额</w:t>
            </w:r>
          </w:p>
        </w:tc>
        <w:tc>
          <w:tcPr>
            <w:tcW w:w="1134" w:type="dxa"/>
            <w:shd w:val="clear" w:color="auto" w:fill="D9D9D9" w:themeFill="background2" w:themeFillShade="D9"/>
            <w:vAlign w:val="center"/>
          </w:tcPr>
          <w:p w:rsidR="00072F53" w:rsidRPr="00191322" w:rsidRDefault="0053722D">
            <w:pPr>
              <w:jc w:val="center"/>
              <w:rPr>
                <w:sz w:val="17"/>
                <w:szCs w:val="17"/>
              </w:rPr>
            </w:pPr>
            <w:r w:rsidRPr="00191322">
              <w:rPr>
                <w:rFonts w:hint="eastAsia"/>
                <w:sz w:val="17"/>
                <w:szCs w:val="17"/>
              </w:rPr>
              <w:t>其中</w:t>
            </w:r>
            <w:r w:rsidR="005F14EE" w:rsidRPr="00191322">
              <w:rPr>
                <w:rFonts w:hint="eastAsia"/>
                <w:sz w:val="17"/>
                <w:szCs w:val="17"/>
              </w:rPr>
              <w:t>：</w:t>
            </w:r>
            <w:r w:rsidRPr="00191322">
              <w:rPr>
                <w:rFonts w:hint="eastAsia"/>
                <w:sz w:val="17"/>
                <w:szCs w:val="17"/>
              </w:rPr>
              <w:t>本年</w:t>
            </w:r>
          </w:p>
          <w:p w:rsidR="00072F53" w:rsidRPr="00191322" w:rsidRDefault="00072F53">
            <w:pPr>
              <w:jc w:val="center"/>
              <w:rPr>
                <w:sz w:val="17"/>
                <w:szCs w:val="17"/>
              </w:rPr>
            </w:pPr>
            <w:r w:rsidRPr="00191322">
              <w:rPr>
                <w:rFonts w:hint="eastAsia"/>
                <w:sz w:val="17"/>
                <w:szCs w:val="17"/>
              </w:rPr>
              <w:t>利息资本化</w:t>
            </w:r>
          </w:p>
          <w:p w:rsidR="00072F53" w:rsidRPr="00191322" w:rsidRDefault="00072F53">
            <w:pPr>
              <w:jc w:val="center"/>
              <w:rPr>
                <w:sz w:val="17"/>
                <w:szCs w:val="17"/>
              </w:rPr>
            </w:pPr>
            <w:r w:rsidRPr="00191322">
              <w:rPr>
                <w:rFonts w:hint="eastAsia"/>
                <w:sz w:val="17"/>
                <w:szCs w:val="17"/>
              </w:rPr>
              <w:t>金额</w:t>
            </w:r>
          </w:p>
        </w:tc>
        <w:tc>
          <w:tcPr>
            <w:tcW w:w="923" w:type="dxa"/>
            <w:shd w:val="clear" w:color="auto" w:fill="D9D9D9" w:themeFill="background2" w:themeFillShade="D9"/>
            <w:vAlign w:val="center"/>
          </w:tcPr>
          <w:p w:rsidR="00072F53" w:rsidRPr="00191322" w:rsidRDefault="0053722D">
            <w:pPr>
              <w:jc w:val="center"/>
              <w:rPr>
                <w:sz w:val="17"/>
                <w:szCs w:val="17"/>
              </w:rPr>
            </w:pPr>
            <w:r w:rsidRPr="00191322">
              <w:rPr>
                <w:rFonts w:hint="eastAsia"/>
                <w:sz w:val="17"/>
                <w:szCs w:val="17"/>
              </w:rPr>
              <w:t>本年</w:t>
            </w:r>
            <w:r w:rsidR="00072F53" w:rsidRPr="00191322">
              <w:rPr>
                <w:rFonts w:hint="eastAsia"/>
                <w:sz w:val="17"/>
                <w:szCs w:val="17"/>
              </w:rPr>
              <w:t>利息</w:t>
            </w:r>
          </w:p>
          <w:p w:rsidR="00072F53" w:rsidRPr="00191322" w:rsidRDefault="00072F53" w:rsidP="001A57F3">
            <w:pPr>
              <w:jc w:val="center"/>
              <w:rPr>
                <w:sz w:val="17"/>
                <w:szCs w:val="17"/>
              </w:rPr>
            </w:pPr>
            <w:r w:rsidRPr="00191322">
              <w:rPr>
                <w:rFonts w:hint="eastAsia"/>
                <w:sz w:val="17"/>
                <w:szCs w:val="17"/>
              </w:rPr>
              <w:t>资本化率</w:t>
            </w:r>
          </w:p>
        </w:tc>
        <w:tc>
          <w:tcPr>
            <w:tcW w:w="1084" w:type="dxa"/>
            <w:shd w:val="clear" w:color="auto" w:fill="D9D9D9" w:themeFill="background2" w:themeFillShade="D9"/>
            <w:vAlign w:val="center"/>
          </w:tcPr>
          <w:p w:rsidR="00072F53" w:rsidRPr="00191322" w:rsidRDefault="00072F53">
            <w:pPr>
              <w:jc w:val="center"/>
              <w:rPr>
                <w:b/>
                <w:sz w:val="17"/>
                <w:szCs w:val="17"/>
              </w:rPr>
            </w:pPr>
            <w:r w:rsidRPr="00191322">
              <w:rPr>
                <w:rFonts w:hint="eastAsia"/>
                <w:sz w:val="17"/>
                <w:szCs w:val="17"/>
              </w:rPr>
              <w:t>资金来源</w:t>
            </w:r>
          </w:p>
        </w:tc>
      </w:tr>
      <w:tr w:rsidR="005A6816" w:rsidRPr="00191322" w:rsidTr="0027505B">
        <w:trPr>
          <w:trHeight w:val="20"/>
        </w:trPr>
        <w:tc>
          <w:tcPr>
            <w:tcW w:w="1832" w:type="dxa"/>
            <w:vAlign w:val="center"/>
          </w:tcPr>
          <w:p w:rsidR="00191322" w:rsidRDefault="005A6816" w:rsidP="005A6816">
            <w:pPr>
              <w:rPr>
                <w:sz w:val="17"/>
                <w:szCs w:val="17"/>
              </w:rPr>
            </w:pPr>
            <w:r w:rsidRPr="0027505B">
              <w:rPr>
                <w:rFonts w:hint="eastAsia"/>
                <w:sz w:val="17"/>
                <w:szCs w:val="17"/>
              </w:rPr>
              <w:t>萤石智能家居产品</w:t>
            </w:r>
          </w:p>
          <w:p w:rsidR="005A6816" w:rsidRPr="0027505B" w:rsidRDefault="00191322" w:rsidP="005A6816">
            <w:pPr>
              <w:rPr>
                <w:sz w:val="17"/>
                <w:szCs w:val="17"/>
              </w:rPr>
            </w:pPr>
            <w:r>
              <w:rPr>
                <w:rFonts w:hint="eastAsia"/>
                <w:sz w:val="17"/>
                <w:szCs w:val="17"/>
              </w:rPr>
              <w:t xml:space="preserve"> </w:t>
            </w:r>
            <w:r>
              <w:rPr>
                <w:sz w:val="17"/>
                <w:szCs w:val="17"/>
              </w:rPr>
              <w:t xml:space="preserve">   </w:t>
            </w:r>
            <w:r w:rsidR="005A6816" w:rsidRPr="0027505B">
              <w:rPr>
                <w:rFonts w:hint="eastAsia"/>
                <w:sz w:val="17"/>
                <w:szCs w:val="17"/>
              </w:rPr>
              <w:t>产业化基地项目</w:t>
            </w:r>
          </w:p>
        </w:tc>
        <w:tc>
          <w:tcPr>
            <w:tcW w:w="1417" w:type="dxa"/>
            <w:vAlign w:val="center"/>
          </w:tcPr>
          <w:p w:rsidR="005A6816" w:rsidRPr="00191322" w:rsidRDefault="005A6816" w:rsidP="005A6816">
            <w:pPr>
              <w:jc w:val="right"/>
              <w:rPr>
                <w:sz w:val="17"/>
                <w:szCs w:val="17"/>
              </w:rPr>
            </w:pPr>
            <w:r w:rsidRPr="00191322">
              <w:rPr>
                <w:sz w:val="17"/>
                <w:szCs w:val="17"/>
              </w:rPr>
              <w:t>752,570,000.00</w:t>
            </w:r>
          </w:p>
        </w:tc>
        <w:tc>
          <w:tcPr>
            <w:tcW w:w="1418" w:type="dxa"/>
            <w:vAlign w:val="center"/>
          </w:tcPr>
          <w:p w:rsidR="005A6816" w:rsidRPr="00191322" w:rsidRDefault="005A6816" w:rsidP="005A6816">
            <w:pPr>
              <w:jc w:val="right"/>
              <w:rPr>
                <w:sz w:val="17"/>
                <w:szCs w:val="17"/>
              </w:rPr>
            </w:pPr>
            <w:r w:rsidRPr="00191322">
              <w:rPr>
                <w:sz w:val="17"/>
                <w:szCs w:val="17"/>
              </w:rPr>
              <w:t>282,125,289.92</w:t>
            </w:r>
          </w:p>
        </w:tc>
        <w:tc>
          <w:tcPr>
            <w:tcW w:w="1346" w:type="dxa"/>
            <w:vAlign w:val="center"/>
          </w:tcPr>
          <w:p w:rsidR="005A6816" w:rsidRPr="00191322" w:rsidRDefault="005C3E3D" w:rsidP="005A6816">
            <w:pPr>
              <w:jc w:val="right"/>
              <w:rPr>
                <w:sz w:val="17"/>
                <w:szCs w:val="17"/>
              </w:rPr>
            </w:pPr>
            <w:r w:rsidRPr="00191322">
              <w:rPr>
                <w:sz w:val="17"/>
                <w:szCs w:val="17"/>
              </w:rPr>
              <w:t>298,994,499.67</w:t>
            </w:r>
          </w:p>
        </w:tc>
        <w:tc>
          <w:tcPr>
            <w:tcW w:w="1120" w:type="dxa"/>
            <w:vAlign w:val="center"/>
          </w:tcPr>
          <w:p w:rsidR="005A6816" w:rsidRPr="00191322" w:rsidDel="00F602A1" w:rsidRDefault="005A6816" w:rsidP="005A6816">
            <w:pPr>
              <w:jc w:val="right"/>
              <w:rPr>
                <w:sz w:val="17"/>
                <w:szCs w:val="17"/>
              </w:rPr>
            </w:pPr>
            <w:r w:rsidRPr="00191322">
              <w:rPr>
                <w:sz w:val="17"/>
                <w:szCs w:val="17"/>
              </w:rPr>
              <w:t>-    </w:t>
            </w:r>
          </w:p>
        </w:tc>
        <w:tc>
          <w:tcPr>
            <w:tcW w:w="1330" w:type="dxa"/>
            <w:vAlign w:val="center"/>
          </w:tcPr>
          <w:p w:rsidR="005A6816" w:rsidRPr="00191322" w:rsidRDefault="005A6816" w:rsidP="005A6816">
            <w:pPr>
              <w:jc w:val="right"/>
              <w:rPr>
                <w:sz w:val="17"/>
                <w:szCs w:val="17"/>
              </w:rPr>
            </w:pPr>
            <w:r w:rsidRPr="00191322">
              <w:rPr>
                <w:sz w:val="17"/>
                <w:szCs w:val="17"/>
              </w:rPr>
              <w:t>581,119,789.59</w:t>
            </w:r>
          </w:p>
        </w:tc>
        <w:tc>
          <w:tcPr>
            <w:tcW w:w="1092" w:type="dxa"/>
            <w:vAlign w:val="center"/>
          </w:tcPr>
          <w:p w:rsidR="005A6816" w:rsidRPr="00191322" w:rsidRDefault="005A6816" w:rsidP="005A6816">
            <w:pPr>
              <w:jc w:val="right"/>
              <w:rPr>
                <w:sz w:val="17"/>
                <w:szCs w:val="17"/>
              </w:rPr>
            </w:pPr>
            <w:r w:rsidRPr="00191322">
              <w:rPr>
                <w:sz w:val="17"/>
                <w:szCs w:val="17"/>
              </w:rPr>
              <w:t>77.22%</w:t>
            </w:r>
          </w:p>
        </w:tc>
        <w:tc>
          <w:tcPr>
            <w:tcW w:w="924" w:type="dxa"/>
            <w:vAlign w:val="center"/>
          </w:tcPr>
          <w:p w:rsidR="005A6816" w:rsidRPr="00191322" w:rsidRDefault="005A6816" w:rsidP="005A6816">
            <w:pPr>
              <w:jc w:val="right"/>
              <w:rPr>
                <w:sz w:val="17"/>
                <w:szCs w:val="17"/>
              </w:rPr>
            </w:pPr>
            <w:r w:rsidRPr="00191322">
              <w:rPr>
                <w:sz w:val="17"/>
                <w:szCs w:val="17"/>
              </w:rPr>
              <w:t>77.22%</w:t>
            </w:r>
          </w:p>
        </w:tc>
        <w:tc>
          <w:tcPr>
            <w:tcW w:w="1203" w:type="dxa"/>
            <w:vAlign w:val="center"/>
          </w:tcPr>
          <w:p w:rsidR="005A6816" w:rsidRPr="00191322" w:rsidRDefault="00BC0070" w:rsidP="005A6816">
            <w:pPr>
              <w:jc w:val="right"/>
              <w:rPr>
                <w:sz w:val="17"/>
                <w:szCs w:val="17"/>
              </w:rPr>
            </w:pPr>
            <w:r w:rsidRPr="00191322">
              <w:rPr>
                <w:sz w:val="17"/>
                <w:szCs w:val="17"/>
              </w:rPr>
              <w:t>10,187,384.70</w:t>
            </w:r>
          </w:p>
        </w:tc>
        <w:tc>
          <w:tcPr>
            <w:tcW w:w="1134" w:type="dxa"/>
            <w:vAlign w:val="center"/>
          </w:tcPr>
          <w:p w:rsidR="005A6816" w:rsidRPr="00191322" w:rsidRDefault="00F1120E" w:rsidP="005A6816">
            <w:pPr>
              <w:jc w:val="right"/>
              <w:rPr>
                <w:sz w:val="17"/>
                <w:szCs w:val="17"/>
              </w:rPr>
            </w:pPr>
            <w:r w:rsidRPr="00191322">
              <w:rPr>
                <w:sz w:val="17"/>
                <w:szCs w:val="17"/>
              </w:rPr>
              <w:t>6,354,148.62</w:t>
            </w:r>
          </w:p>
        </w:tc>
        <w:tc>
          <w:tcPr>
            <w:tcW w:w="923" w:type="dxa"/>
            <w:vAlign w:val="center"/>
          </w:tcPr>
          <w:p w:rsidR="005A6816" w:rsidRPr="00191322" w:rsidRDefault="005A6816" w:rsidP="000E7C60">
            <w:pPr>
              <w:jc w:val="right"/>
              <w:rPr>
                <w:sz w:val="17"/>
                <w:szCs w:val="17"/>
              </w:rPr>
            </w:pPr>
            <w:r w:rsidRPr="00191322">
              <w:rPr>
                <w:sz w:val="17"/>
                <w:szCs w:val="17"/>
              </w:rPr>
              <w:t>3.65</w:t>
            </w:r>
            <w:r w:rsidR="001A57F3">
              <w:rPr>
                <w:sz w:val="17"/>
                <w:szCs w:val="17"/>
              </w:rPr>
              <w:t>%</w:t>
            </w:r>
          </w:p>
        </w:tc>
        <w:tc>
          <w:tcPr>
            <w:tcW w:w="1084" w:type="dxa"/>
            <w:vAlign w:val="center"/>
          </w:tcPr>
          <w:p w:rsidR="005A6816" w:rsidRPr="00191322" w:rsidRDefault="005A6816" w:rsidP="005A6816">
            <w:pPr>
              <w:jc w:val="center"/>
              <w:rPr>
                <w:sz w:val="17"/>
                <w:szCs w:val="17"/>
              </w:rPr>
            </w:pPr>
            <w:r w:rsidRPr="00191322">
              <w:rPr>
                <w:rFonts w:hint="eastAsia"/>
                <w:sz w:val="17"/>
                <w:szCs w:val="17"/>
              </w:rPr>
              <w:t>自有资金</w:t>
            </w:r>
            <w:r w:rsidRPr="00191322">
              <w:rPr>
                <w:sz w:val="17"/>
                <w:szCs w:val="17"/>
              </w:rPr>
              <w:t>/</w:t>
            </w:r>
          </w:p>
          <w:p w:rsidR="005A6816" w:rsidRPr="00191322" w:rsidRDefault="005A6816" w:rsidP="005A6816">
            <w:pPr>
              <w:jc w:val="center"/>
              <w:rPr>
                <w:sz w:val="17"/>
                <w:szCs w:val="17"/>
              </w:rPr>
            </w:pPr>
            <w:r w:rsidRPr="00191322">
              <w:rPr>
                <w:rFonts w:hint="eastAsia"/>
                <w:sz w:val="17"/>
                <w:szCs w:val="17"/>
              </w:rPr>
              <w:t>专项借款</w:t>
            </w:r>
            <w:r w:rsidR="0072699E" w:rsidRPr="00191322">
              <w:rPr>
                <w:sz w:val="17"/>
                <w:szCs w:val="17"/>
              </w:rPr>
              <w:t>/</w:t>
            </w:r>
          </w:p>
          <w:p w:rsidR="0072699E" w:rsidRPr="00191322" w:rsidRDefault="0072699E" w:rsidP="005A6816">
            <w:pPr>
              <w:jc w:val="center"/>
              <w:rPr>
                <w:b/>
                <w:sz w:val="17"/>
                <w:szCs w:val="17"/>
              </w:rPr>
            </w:pPr>
            <w:r w:rsidRPr="00191322">
              <w:rPr>
                <w:rFonts w:hint="eastAsia"/>
                <w:sz w:val="17"/>
                <w:szCs w:val="17"/>
              </w:rPr>
              <w:t>募集资金</w:t>
            </w:r>
          </w:p>
        </w:tc>
      </w:tr>
      <w:tr w:rsidR="00420E78" w:rsidRPr="00191322" w:rsidTr="0027505B">
        <w:trPr>
          <w:trHeight w:val="20"/>
        </w:trPr>
        <w:tc>
          <w:tcPr>
            <w:tcW w:w="1832" w:type="dxa"/>
            <w:vAlign w:val="center"/>
          </w:tcPr>
          <w:p w:rsidR="00191322" w:rsidRDefault="00420E78" w:rsidP="00420E78">
            <w:pPr>
              <w:rPr>
                <w:sz w:val="17"/>
                <w:szCs w:val="17"/>
              </w:rPr>
            </w:pPr>
            <w:r w:rsidRPr="0027505B">
              <w:rPr>
                <w:rFonts w:hint="eastAsia"/>
                <w:sz w:val="17"/>
                <w:szCs w:val="17"/>
              </w:rPr>
              <w:t>萤石智能制造重庆</w:t>
            </w:r>
          </w:p>
          <w:p w:rsidR="00420E78" w:rsidRPr="0027505B" w:rsidRDefault="00191322" w:rsidP="00420E78">
            <w:pPr>
              <w:rPr>
                <w:sz w:val="17"/>
                <w:szCs w:val="17"/>
              </w:rPr>
            </w:pPr>
            <w:r>
              <w:rPr>
                <w:rFonts w:hint="eastAsia"/>
                <w:sz w:val="17"/>
                <w:szCs w:val="17"/>
              </w:rPr>
              <w:t xml:space="preserve"> </w:t>
            </w:r>
            <w:r>
              <w:rPr>
                <w:sz w:val="17"/>
                <w:szCs w:val="17"/>
              </w:rPr>
              <w:t xml:space="preserve">   </w:t>
            </w:r>
            <w:r w:rsidR="00420E78" w:rsidRPr="0027505B">
              <w:rPr>
                <w:rFonts w:hint="eastAsia"/>
                <w:sz w:val="17"/>
                <w:szCs w:val="17"/>
              </w:rPr>
              <w:t>基地项目</w:t>
            </w:r>
          </w:p>
        </w:tc>
        <w:tc>
          <w:tcPr>
            <w:tcW w:w="1417" w:type="dxa"/>
            <w:vAlign w:val="center"/>
          </w:tcPr>
          <w:p w:rsidR="00420E78" w:rsidRPr="00191322" w:rsidRDefault="00420E78" w:rsidP="00420E78">
            <w:pPr>
              <w:jc w:val="right"/>
              <w:rPr>
                <w:sz w:val="17"/>
                <w:szCs w:val="17"/>
              </w:rPr>
            </w:pPr>
            <w:r w:rsidRPr="00191322">
              <w:rPr>
                <w:sz w:val="17"/>
                <w:szCs w:val="17"/>
              </w:rPr>
              <w:t>1,170,112,400.00</w:t>
            </w:r>
          </w:p>
        </w:tc>
        <w:tc>
          <w:tcPr>
            <w:tcW w:w="1418" w:type="dxa"/>
            <w:vAlign w:val="center"/>
          </w:tcPr>
          <w:p w:rsidR="00420E78" w:rsidRPr="00191322" w:rsidRDefault="00420E78" w:rsidP="00420E78">
            <w:pPr>
              <w:jc w:val="right"/>
              <w:rPr>
                <w:sz w:val="17"/>
                <w:szCs w:val="17"/>
              </w:rPr>
            </w:pPr>
            <w:r w:rsidRPr="00191322">
              <w:rPr>
                <w:sz w:val="17"/>
                <w:szCs w:val="17"/>
              </w:rPr>
              <w:t>72,173,018.20</w:t>
            </w:r>
          </w:p>
        </w:tc>
        <w:tc>
          <w:tcPr>
            <w:tcW w:w="1346" w:type="dxa"/>
            <w:vAlign w:val="center"/>
          </w:tcPr>
          <w:p w:rsidR="00420E78" w:rsidRPr="00191322" w:rsidRDefault="00420E78" w:rsidP="00420E78">
            <w:pPr>
              <w:jc w:val="right"/>
              <w:rPr>
                <w:sz w:val="17"/>
                <w:szCs w:val="17"/>
              </w:rPr>
            </w:pPr>
            <w:r w:rsidRPr="00191322">
              <w:rPr>
                <w:sz w:val="17"/>
                <w:szCs w:val="17"/>
              </w:rPr>
              <w:t>556,041,674.60</w:t>
            </w:r>
          </w:p>
        </w:tc>
        <w:tc>
          <w:tcPr>
            <w:tcW w:w="1120" w:type="dxa"/>
            <w:vAlign w:val="center"/>
          </w:tcPr>
          <w:p w:rsidR="00420E78" w:rsidRPr="00191322" w:rsidDel="00F602A1" w:rsidRDefault="00420E78" w:rsidP="00420E78">
            <w:pPr>
              <w:jc w:val="right"/>
              <w:rPr>
                <w:sz w:val="17"/>
                <w:szCs w:val="17"/>
              </w:rPr>
            </w:pPr>
            <w:r w:rsidRPr="00191322">
              <w:rPr>
                <w:sz w:val="17"/>
                <w:szCs w:val="17"/>
              </w:rPr>
              <w:t>-    </w:t>
            </w:r>
          </w:p>
        </w:tc>
        <w:tc>
          <w:tcPr>
            <w:tcW w:w="1330" w:type="dxa"/>
            <w:vAlign w:val="center"/>
          </w:tcPr>
          <w:p w:rsidR="00420E78" w:rsidRPr="00191322" w:rsidRDefault="00420E78" w:rsidP="00420E78">
            <w:pPr>
              <w:jc w:val="right"/>
              <w:rPr>
                <w:sz w:val="17"/>
                <w:szCs w:val="17"/>
              </w:rPr>
            </w:pPr>
            <w:r w:rsidRPr="00191322">
              <w:rPr>
                <w:sz w:val="17"/>
                <w:szCs w:val="17"/>
              </w:rPr>
              <w:t>628,214,692.80</w:t>
            </w:r>
          </w:p>
        </w:tc>
        <w:tc>
          <w:tcPr>
            <w:tcW w:w="1092" w:type="dxa"/>
            <w:vAlign w:val="center"/>
          </w:tcPr>
          <w:p w:rsidR="00420E78" w:rsidRPr="00191322" w:rsidRDefault="00420E78" w:rsidP="00420E78">
            <w:pPr>
              <w:jc w:val="right"/>
              <w:rPr>
                <w:sz w:val="17"/>
                <w:szCs w:val="17"/>
              </w:rPr>
            </w:pPr>
            <w:r w:rsidRPr="00191322">
              <w:rPr>
                <w:sz w:val="17"/>
                <w:szCs w:val="17"/>
              </w:rPr>
              <w:t>53.69%</w:t>
            </w:r>
          </w:p>
        </w:tc>
        <w:tc>
          <w:tcPr>
            <w:tcW w:w="924" w:type="dxa"/>
            <w:vAlign w:val="center"/>
          </w:tcPr>
          <w:p w:rsidR="00420E78" w:rsidRPr="00191322" w:rsidRDefault="00420E78" w:rsidP="00420E78">
            <w:pPr>
              <w:jc w:val="right"/>
              <w:rPr>
                <w:sz w:val="17"/>
                <w:szCs w:val="17"/>
              </w:rPr>
            </w:pPr>
            <w:r w:rsidRPr="00191322">
              <w:rPr>
                <w:sz w:val="17"/>
                <w:szCs w:val="17"/>
              </w:rPr>
              <w:t>53.69%</w:t>
            </w:r>
          </w:p>
        </w:tc>
        <w:tc>
          <w:tcPr>
            <w:tcW w:w="1203" w:type="dxa"/>
            <w:vAlign w:val="center"/>
          </w:tcPr>
          <w:p w:rsidR="00420E78" w:rsidRPr="00191322" w:rsidRDefault="00420E78" w:rsidP="00420E78">
            <w:pPr>
              <w:jc w:val="right"/>
              <w:rPr>
                <w:sz w:val="17"/>
                <w:szCs w:val="17"/>
              </w:rPr>
            </w:pPr>
            <w:r w:rsidRPr="00191322">
              <w:rPr>
                <w:sz w:val="17"/>
                <w:szCs w:val="17"/>
              </w:rPr>
              <w:t>-    </w:t>
            </w:r>
          </w:p>
        </w:tc>
        <w:tc>
          <w:tcPr>
            <w:tcW w:w="1134" w:type="dxa"/>
            <w:vAlign w:val="center"/>
          </w:tcPr>
          <w:p w:rsidR="00420E78" w:rsidRPr="00191322" w:rsidRDefault="00420E78" w:rsidP="00420E78">
            <w:pPr>
              <w:jc w:val="right"/>
              <w:rPr>
                <w:sz w:val="17"/>
                <w:szCs w:val="17"/>
              </w:rPr>
            </w:pPr>
            <w:r w:rsidRPr="00191322">
              <w:rPr>
                <w:sz w:val="17"/>
                <w:szCs w:val="17"/>
              </w:rPr>
              <w:t>-    </w:t>
            </w:r>
          </w:p>
        </w:tc>
        <w:tc>
          <w:tcPr>
            <w:tcW w:w="923" w:type="dxa"/>
            <w:vAlign w:val="center"/>
          </w:tcPr>
          <w:p w:rsidR="00420E78" w:rsidRPr="00191322" w:rsidRDefault="00420E78" w:rsidP="00420E78">
            <w:pPr>
              <w:jc w:val="right"/>
              <w:rPr>
                <w:sz w:val="17"/>
                <w:szCs w:val="17"/>
              </w:rPr>
            </w:pPr>
            <w:r w:rsidRPr="00191322">
              <w:rPr>
                <w:sz w:val="17"/>
                <w:szCs w:val="17"/>
              </w:rPr>
              <w:t>-    </w:t>
            </w:r>
          </w:p>
        </w:tc>
        <w:tc>
          <w:tcPr>
            <w:tcW w:w="1084" w:type="dxa"/>
            <w:vAlign w:val="center"/>
          </w:tcPr>
          <w:p w:rsidR="00420E78" w:rsidRPr="00191322" w:rsidRDefault="00420E78" w:rsidP="00420E78">
            <w:pPr>
              <w:jc w:val="center"/>
              <w:rPr>
                <w:sz w:val="17"/>
                <w:szCs w:val="17"/>
              </w:rPr>
            </w:pPr>
            <w:r w:rsidRPr="00191322">
              <w:rPr>
                <w:rFonts w:hint="eastAsia"/>
                <w:sz w:val="17"/>
                <w:szCs w:val="17"/>
              </w:rPr>
              <w:t>自有资金</w:t>
            </w:r>
            <w:r w:rsidR="0072699E" w:rsidRPr="00191322">
              <w:rPr>
                <w:sz w:val="17"/>
                <w:szCs w:val="17"/>
              </w:rPr>
              <w:t>/</w:t>
            </w:r>
          </w:p>
          <w:p w:rsidR="0072699E" w:rsidRPr="00191322" w:rsidRDefault="0072699E" w:rsidP="00420E78">
            <w:pPr>
              <w:jc w:val="center"/>
              <w:rPr>
                <w:sz w:val="17"/>
                <w:szCs w:val="17"/>
              </w:rPr>
            </w:pPr>
            <w:r w:rsidRPr="00191322">
              <w:rPr>
                <w:rFonts w:hint="eastAsia"/>
                <w:sz w:val="17"/>
                <w:szCs w:val="17"/>
              </w:rPr>
              <w:t>募集资金</w:t>
            </w:r>
          </w:p>
        </w:tc>
      </w:tr>
    </w:tbl>
    <w:p w:rsidR="00072F53" w:rsidRPr="00A71D2E" w:rsidRDefault="00072F53" w:rsidP="00F66363">
      <w:pPr>
        <w:ind w:left="720"/>
        <w:jc w:val="both"/>
        <w:rPr>
          <w:rFonts w:eastAsia="宋体" w:cs="Times New Roman"/>
          <w:szCs w:val="18"/>
        </w:rPr>
      </w:pPr>
    </w:p>
    <w:p w:rsidR="00E53F75" w:rsidRPr="00A71D2E" w:rsidRDefault="00F5371A">
      <w:pPr>
        <w:pStyle w:val="aff1"/>
        <w:numPr>
          <w:ilvl w:val="0"/>
          <w:numId w:val="14"/>
        </w:numPr>
        <w:ind w:left="1440" w:firstLineChars="0" w:hanging="709"/>
        <w:rPr>
          <w:szCs w:val="21"/>
        </w:rPr>
      </w:pPr>
      <w:r w:rsidRPr="00A71D2E">
        <w:rPr>
          <w:rFonts w:hint="eastAsia"/>
          <w:szCs w:val="21"/>
        </w:rPr>
        <w:t>本年</w:t>
      </w:r>
      <w:r w:rsidR="00E53F75" w:rsidRPr="00A71D2E">
        <w:rPr>
          <w:rFonts w:hint="eastAsia"/>
          <w:szCs w:val="21"/>
        </w:rPr>
        <w:t>计提在建工程减值准备情况</w:t>
      </w:r>
    </w:p>
    <w:p w:rsidR="00E53F75" w:rsidRPr="00A71D2E" w:rsidRDefault="00E53F75">
      <w:pPr>
        <w:ind w:left="731"/>
        <w:rPr>
          <w:rFonts w:eastAsia="宋体" w:cs="Times New Roman"/>
          <w:szCs w:val="18"/>
        </w:rPr>
      </w:pPr>
    </w:p>
    <w:p w:rsidR="00E53F75" w:rsidRPr="00A71D2E" w:rsidRDefault="00E53F75">
      <w:pPr>
        <w:ind w:left="731"/>
        <w:rPr>
          <w:rFonts w:eastAsia="宋体" w:cs="Times New Roman"/>
          <w:szCs w:val="18"/>
        </w:rPr>
      </w:pPr>
      <w:r w:rsidRPr="005A6816">
        <w:rPr>
          <w:rFonts w:eastAsia="宋体" w:cs="Times New Roman" w:hint="eastAsia"/>
          <w:szCs w:val="18"/>
        </w:rPr>
        <w:t>于本年末，本集团在建工程不存在减值迹象，因此未计提减值准备。</w:t>
      </w:r>
    </w:p>
    <w:p w:rsidR="007D47F9" w:rsidRPr="00A71D2E" w:rsidRDefault="003C369A" w:rsidP="003C369A">
      <w:pPr>
        <w:adjustRightInd/>
        <w:snapToGrid/>
        <w:rPr>
          <w:rFonts w:eastAsia="宋体" w:cs="Times New Roman"/>
          <w:szCs w:val="21"/>
        </w:rPr>
      </w:pPr>
      <w:r>
        <w:rPr>
          <w:rFonts w:eastAsia="宋体" w:cs="Times New Roman"/>
          <w:szCs w:val="21"/>
        </w:rPr>
        <w:br w:type="page"/>
      </w:r>
    </w:p>
    <w:p w:rsidR="00B60260" w:rsidRPr="00A71D2E" w:rsidRDefault="00B60260">
      <w:pPr>
        <w:pStyle w:val="aff1"/>
        <w:tabs>
          <w:tab w:val="left" w:pos="3060"/>
        </w:tabs>
        <w:ind w:left="1440" w:firstLineChars="0" w:hanging="709"/>
        <w:rPr>
          <w:szCs w:val="21"/>
        </w:rPr>
        <w:sectPr w:rsidR="00B60260" w:rsidRPr="00A71D2E" w:rsidSect="00452B2B">
          <w:headerReference w:type="default" r:id="rId31"/>
          <w:pgSz w:w="16838" w:h="11906" w:orient="landscape" w:code="9"/>
          <w:pgMar w:top="1008" w:right="432" w:bottom="720" w:left="864" w:header="720" w:footer="360" w:gutter="0"/>
          <w:cols w:space="720"/>
          <w:docGrid w:linePitch="360"/>
        </w:sectPr>
      </w:pPr>
    </w:p>
    <w:p w:rsidR="007D47F9" w:rsidRPr="00A71D2E" w:rsidRDefault="005F14EE">
      <w:pPr>
        <w:rPr>
          <w:rFonts w:eastAsia="宋体" w:cs="Times New Roman"/>
          <w:szCs w:val="21"/>
        </w:rPr>
      </w:pPr>
      <w:r>
        <w:rPr>
          <w:rFonts w:eastAsia="宋体" w:cs="Times New Roman"/>
          <w:b/>
          <w:szCs w:val="21"/>
        </w:rPr>
        <w:t>(</w:t>
      </w:r>
      <w:r w:rsidR="007D47F9" w:rsidRPr="00A71D2E">
        <w:rPr>
          <w:rFonts w:eastAsia="宋体" w:cs="Times New Roman" w:hint="eastAsia"/>
          <w:b/>
          <w:szCs w:val="21"/>
        </w:rPr>
        <w:t>五</w:t>
      </w:r>
      <w:r>
        <w:rPr>
          <w:rFonts w:eastAsia="宋体" w:cs="Times New Roman"/>
          <w:b/>
          <w:szCs w:val="21"/>
        </w:rPr>
        <w:t>)</w:t>
      </w:r>
      <w:r w:rsidR="007D47F9" w:rsidRPr="00A71D2E">
        <w:rPr>
          <w:rFonts w:eastAsia="宋体" w:cs="Times New Roman"/>
          <w:b/>
          <w:szCs w:val="21"/>
        </w:rPr>
        <w:tab/>
      </w:r>
      <w:r w:rsidR="007D47F9" w:rsidRPr="00A71D2E">
        <w:rPr>
          <w:rFonts w:eastAsia="宋体" w:cs="Times New Roman" w:hint="eastAsia"/>
          <w:b/>
          <w:szCs w:val="21"/>
        </w:rPr>
        <w:t>合并财务报表项目注释</w:t>
      </w:r>
      <w:r w:rsidR="007D47F9" w:rsidRPr="00A71D2E">
        <w:rPr>
          <w:rFonts w:eastAsia="宋体" w:cs="Times New Roman"/>
          <w:bCs/>
          <w:szCs w:val="21"/>
        </w:rPr>
        <w:t xml:space="preserve"> </w:t>
      </w:r>
      <w:r w:rsidR="007D47F9" w:rsidRPr="00A71D2E">
        <w:rPr>
          <w:rFonts w:eastAsia="宋体" w:cs="Times New Roman"/>
          <w:szCs w:val="21"/>
        </w:rPr>
        <w:t xml:space="preserve">- </w:t>
      </w:r>
      <w:r w:rsidR="007D47F9" w:rsidRPr="00A71D2E">
        <w:rPr>
          <w:rFonts w:eastAsia="宋体" w:cs="Times New Roman" w:hint="eastAsia"/>
          <w:szCs w:val="21"/>
        </w:rPr>
        <w:t>续</w:t>
      </w:r>
    </w:p>
    <w:p w:rsidR="007D47F9" w:rsidRPr="00A71D2E" w:rsidRDefault="007D47F9">
      <w:pPr>
        <w:tabs>
          <w:tab w:val="left" w:pos="709"/>
          <w:tab w:val="left" w:pos="1134"/>
        </w:tabs>
        <w:ind w:left="720"/>
        <w:rPr>
          <w:rFonts w:eastAsia="宋体" w:cs="Times New Roman"/>
          <w:szCs w:val="21"/>
        </w:rPr>
      </w:pPr>
    </w:p>
    <w:p w:rsidR="007D47F9" w:rsidRPr="00A71D2E" w:rsidRDefault="007D47F9" w:rsidP="00F66363">
      <w:pPr>
        <w:pStyle w:val="2"/>
        <w:numPr>
          <w:ilvl w:val="2"/>
          <w:numId w:val="1"/>
        </w:numPr>
        <w:adjustRightInd w:val="0"/>
        <w:snapToGrid w:val="0"/>
        <w:spacing w:line="228" w:lineRule="auto"/>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使用权资产</w:t>
      </w:r>
    </w:p>
    <w:p w:rsidR="00072F53" w:rsidRPr="00A71D2E" w:rsidRDefault="00072F53" w:rsidP="00F66363">
      <w:pPr>
        <w:spacing w:line="228" w:lineRule="auto"/>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629"/>
        <w:gridCol w:w="1827"/>
      </w:tblGrid>
      <w:tr w:rsidR="00072F53" w:rsidRPr="00C26513" w:rsidTr="0027505B">
        <w:trPr>
          <w:trHeight w:val="20"/>
        </w:trPr>
        <w:tc>
          <w:tcPr>
            <w:tcW w:w="7629" w:type="dxa"/>
            <w:shd w:val="clear" w:color="auto" w:fill="D9D9D9" w:themeFill="background1" w:themeFillShade="D9"/>
            <w:tcMar>
              <w:top w:w="0" w:type="dxa"/>
              <w:left w:w="108" w:type="dxa"/>
              <w:bottom w:w="0" w:type="dxa"/>
              <w:right w:w="108" w:type="dxa"/>
            </w:tcMar>
            <w:vAlign w:val="center"/>
            <w:hideMark/>
          </w:tcPr>
          <w:p w:rsidR="00072F53" w:rsidRPr="00C26513" w:rsidRDefault="00072F53" w:rsidP="00F66363">
            <w:pPr>
              <w:spacing w:line="228" w:lineRule="auto"/>
              <w:jc w:val="center"/>
              <w:rPr>
                <w:rFonts w:eastAsia="宋体" w:cs="Times New Roman"/>
                <w:sz w:val="18"/>
                <w:szCs w:val="18"/>
              </w:rPr>
            </w:pPr>
            <w:r w:rsidRPr="00C26513">
              <w:rPr>
                <w:rFonts w:eastAsia="宋体" w:cs="Times New Roman" w:hint="eastAsia"/>
                <w:sz w:val="18"/>
                <w:szCs w:val="18"/>
              </w:rPr>
              <w:t>项目</w:t>
            </w:r>
          </w:p>
        </w:tc>
        <w:tc>
          <w:tcPr>
            <w:tcW w:w="1827" w:type="dxa"/>
            <w:shd w:val="clear" w:color="auto" w:fill="D9D9D9" w:themeFill="background1" w:themeFillShade="D9"/>
            <w:tcMar>
              <w:top w:w="0" w:type="dxa"/>
              <w:left w:w="108" w:type="dxa"/>
              <w:bottom w:w="0" w:type="dxa"/>
              <w:right w:w="108" w:type="dxa"/>
            </w:tcMar>
            <w:vAlign w:val="center"/>
            <w:hideMark/>
          </w:tcPr>
          <w:p w:rsidR="00072F53" w:rsidRPr="00C26513" w:rsidRDefault="00072F53" w:rsidP="00F66363">
            <w:pPr>
              <w:spacing w:line="228" w:lineRule="auto"/>
              <w:jc w:val="center"/>
              <w:rPr>
                <w:rFonts w:eastAsia="宋体" w:cs="Times New Roman"/>
                <w:sz w:val="18"/>
                <w:szCs w:val="18"/>
              </w:rPr>
            </w:pPr>
            <w:r w:rsidRPr="00C26513">
              <w:rPr>
                <w:rFonts w:eastAsia="宋体" w:cs="Times New Roman" w:hint="eastAsia"/>
                <w:sz w:val="18"/>
                <w:szCs w:val="18"/>
              </w:rPr>
              <w:t>厂房及建筑物</w:t>
            </w:r>
          </w:p>
        </w:tc>
      </w:tr>
      <w:tr w:rsidR="00072F53" w:rsidRPr="00C26513" w:rsidTr="0027505B">
        <w:trPr>
          <w:trHeight w:val="20"/>
        </w:trPr>
        <w:tc>
          <w:tcPr>
            <w:tcW w:w="7629" w:type="dxa"/>
            <w:shd w:val="clear" w:color="auto" w:fill="D9D9D9" w:themeFill="background1" w:themeFillShade="D9"/>
            <w:tcMar>
              <w:top w:w="0" w:type="dxa"/>
              <w:left w:w="108" w:type="dxa"/>
              <w:bottom w:w="0" w:type="dxa"/>
              <w:right w:w="108" w:type="dxa"/>
            </w:tcMar>
            <w:vAlign w:val="center"/>
          </w:tcPr>
          <w:p w:rsidR="00072F53" w:rsidRPr="00C26513" w:rsidRDefault="00072F53" w:rsidP="00F66363">
            <w:pPr>
              <w:spacing w:line="228" w:lineRule="auto"/>
              <w:ind w:left="-37"/>
              <w:rPr>
                <w:rFonts w:eastAsia="宋体" w:cs="Times New Roman"/>
                <w:sz w:val="18"/>
                <w:szCs w:val="18"/>
              </w:rPr>
            </w:pPr>
            <w:r w:rsidRPr="00C26513">
              <w:rPr>
                <w:rFonts w:eastAsia="宋体" w:cs="Times New Roman" w:hint="eastAsia"/>
                <w:sz w:val="18"/>
                <w:szCs w:val="18"/>
              </w:rPr>
              <w:t>一、账面原值</w:t>
            </w:r>
            <w:r w:rsidR="005F14EE" w:rsidRPr="00C26513">
              <w:rPr>
                <w:rFonts w:eastAsia="宋体" w:cs="Times New Roman" w:hint="eastAsia"/>
                <w:sz w:val="18"/>
                <w:szCs w:val="18"/>
              </w:rPr>
              <w:t>：</w:t>
            </w:r>
          </w:p>
        </w:tc>
        <w:tc>
          <w:tcPr>
            <w:tcW w:w="1827" w:type="dxa"/>
            <w:shd w:val="clear" w:color="auto" w:fill="auto"/>
            <w:tcMar>
              <w:top w:w="0" w:type="dxa"/>
              <w:left w:w="108" w:type="dxa"/>
              <w:bottom w:w="0" w:type="dxa"/>
              <w:right w:w="108" w:type="dxa"/>
            </w:tcMar>
            <w:vAlign w:val="center"/>
          </w:tcPr>
          <w:p w:rsidR="00072F53" w:rsidRPr="00C26513" w:rsidRDefault="00072F53" w:rsidP="00F66363">
            <w:pPr>
              <w:spacing w:line="228" w:lineRule="auto"/>
              <w:jc w:val="right"/>
              <w:rPr>
                <w:rFonts w:eastAsia="宋体" w:cs="Times New Roman"/>
                <w:sz w:val="18"/>
                <w:szCs w:val="18"/>
              </w:rPr>
            </w:pP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1.</w:t>
            </w:r>
            <w:r w:rsidRPr="00C26513">
              <w:rPr>
                <w:rFonts w:eastAsia="宋体" w:cs="Times New Roman" w:hint="eastAsia"/>
                <w:sz w:val="18"/>
                <w:szCs w:val="18"/>
              </w:rPr>
              <w:t>年初余额</w:t>
            </w:r>
          </w:p>
        </w:tc>
        <w:tc>
          <w:tcPr>
            <w:tcW w:w="1827" w:type="dxa"/>
            <w:shd w:val="clear" w:color="auto" w:fill="auto"/>
            <w:tcMar>
              <w:top w:w="0" w:type="dxa"/>
              <w:left w:w="108" w:type="dxa"/>
              <w:bottom w:w="0" w:type="dxa"/>
              <w:right w:w="108" w:type="dxa"/>
            </w:tcMar>
            <w:vAlign w:val="center"/>
          </w:tcPr>
          <w:p w:rsidR="00CB4062" w:rsidRPr="00C26513" w:rsidRDefault="00CB4062" w:rsidP="00CB4062">
            <w:pPr>
              <w:spacing w:line="228" w:lineRule="auto"/>
              <w:jc w:val="right"/>
              <w:rPr>
                <w:rFonts w:eastAsia="宋体" w:cs="Times New Roman"/>
                <w:sz w:val="18"/>
                <w:szCs w:val="18"/>
              </w:rPr>
            </w:pPr>
            <w:r w:rsidRPr="00C26513">
              <w:rPr>
                <w:rFonts w:eastAsia="宋体" w:cs="Times New Roman"/>
                <w:sz w:val="18"/>
                <w:szCs w:val="18"/>
              </w:rPr>
              <w:t>131,941,134.85</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2.</w:t>
            </w:r>
            <w:r w:rsidRPr="00C26513">
              <w:rPr>
                <w:rFonts w:eastAsia="宋体" w:cs="Times New Roman" w:hint="eastAsia"/>
                <w:sz w:val="18"/>
                <w:szCs w:val="18"/>
              </w:rPr>
              <w:t>本年增加金额</w:t>
            </w:r>
          </w:p>
        </w:tc>
        <w:tc>
          <w:tcPr>
            <w:tcW w:w="1827" w:type="dxa"/>
            <w:shd w:val="clear" w:color="auto" w:fill="auto"/>
            <w:tcMar>
              <w:top w:w="0" w:type="dxa"/>
              <w:left w:w="108" w:type="dxa"/>
              <w:bottom w:w="0" w:type="dxa"/>
              <w:right w:w="108" w:type="dxa"/>
            </w:tcMar>
            <w:vAlign w:val="center"/>
          </w:tcPr>
          <w:p w:rsidR="00CB4062" w:rsidRPr="00C26513" w:rsidRDefault="00795365" w:rsidP="00CB4062">
            <w:pPr>
              <w:spacing w:line="228" w:lineRule="auto"/>
              <w:jc w:val="right"/>
              <w:rPr>
                <w:rFonts w:eastAsia="宋体" w:cs="Times New Roman"/>
                <w:sz w:val="18"/>
                <w:szCs w:val="18"/>
              </w:rPr>
            </w:pPr>
            <w:r w:rsidRPr="00C26513">
              <w:rPr>
                <w:rFonts w:eastAsia="宋体" w:cs="Times New Roman"/>
                <w:sz w:val="18"/>
                <w:szCs w:val="18"/>
              </w:rPr>
              <w:t>21,496,755.91</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3.</w:t>
            </w:r>
            <w:r w:rsidRPr="00C26513">
              <w:rPr>
                <w:rFonts w:eastAsia="宋体" w:cs="Times New Roman" w:hint="eastAsia"/>
                <w:sz w:val="18"/>
                <w:szCs w:val="18"/>
              </w:rPr>
              <w:t>本年减少金额</w:t>
            </w:r>
          </w:p>
        </w:tc>
        <w:tc>
          <w:tcPr>
            <w:tcW w:w="1827" w:type="dxa"/>
            <w:shd w:val="clear" w:color="auto" w:fill="auto"/>
            <w:tcMar>
              <w:top w:w="0" w:type="dxa"/>
              <w:left w:w="108" w:type="dxa"/>
              <w:bottom w:w="0" w:type="dxa"/>
              <w:right w:w="108" w:type="dxa"/>
            </w:tcMar>
            <w:vAlign w:val="center"/>
          </w:tcPr>
          <w:p w:rsidR="00CB4062" w:rsidRPr="00C26513" w:rsidRDefault="00795365" w:rsidP="00CB4062">
            <w:pPr>
              <w:spacing w:line="228" w:lineRule="auto"/>
              <w:jc w:val="right"/>
              <w:rPr>
                <w:rFonts w:eastAsia="宋体" w:cs="Times New Roman"/>
                <w:sz w:val="18"/>
                <w:szCs w:val="18"/>
              </w:rPr>
            </w:pPr>
            <w:r w:rsidRPr="00C26513">
              <w:rPr>
                <w:rFonts w:eastAsia="宋体" w:cs="Times New Roman"/>
                <w:sz w:val="18"/>
                <w:szCs w:val="18"/>
              </w:rPr>
              <w:t>21,472,162.11</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4.</w:t>
            </w:r>
            <w:r w:rsidRPr="00C26513">
              <w:rPr>
                <w:rFonts w:eastAsia="宋体" w:cs="Times New Roman" w:hint="eastAsia"/>
                <w:sz w:val="18"/>
                <w:szCs w:val="18"/>
              </w:rPr>
              <w:t>外币报表折算差额</w:t>
            </w:r>
          </w:p>
        </w:tc>
        <w:tc>
          <w:tcPr>
            <w:tcW w:w="1827" w:type="dxa"/>
            <w:shd w:val="clear" w:color="auto" w:fill="auto"/>
            <w:tcMar>
              <w:top w:w="0" w:type="dxa"/>
              <w:left w:w="108" w:type="dxa"/>
              <w:bottom w:w="0" w:type="dxa"/>
              <w:right w:w="108" w:type="dxa"/>
            </w:tcMar>
            <w:vAlign w:val="center"/>
          </w:tcPr>
          <w:p w:rsidR="00CB4062" w:rsidRPr="00C26513" w:rsidRDefault="00795365" w:rsidP="00795365">
            <w:pPr>
              <w:wordWrap w:val="0"/>
              <w:spacing w:line="228" w:lineRule="auto"/>
              <w:jc w:val="right"/>
              <w:rPr>
                <w:rFonts w:eastAsia="宋体" w:cs="Times New Roman"/>
                <w:sz w:val="18"/>
                <w:szCs w:val="18"/>
              </w:rPr>
            </w:pPr>
            <w:r w:rsidRPr="00C26513">
              <w:rPr>
                <w:rFonts w:eastAsia="宋体" w:cs="Times New Roman"/>
                <w:sz w:val="18"/>
                <w:szCs w:val="18"/>
              </w:rPr>
              <w:t>-</w:t>
            </w:r>
            <w:r w:rsidR="0025538F" w:rsidRPr="00C26513">
              <w:rPr>
                <w:rFonts w:eastAsia="宋体" w:cs="Times New Roman"/>
                <w:sz w:val="18"/>
                <w:szCs w:val="18"/>
              </w:rPr>
              <w:t>    </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5.</w:t>
            </w:r>
            <w:r w:rsidRPr="00C26513">
              <w:rPr>
                <w:rFonts w:eastAsia="宋体" w:cs="Times New Roman" w:hint="eastAsia"/>
                <w:sz w:val="18"/>
                <w:szCs w:val="18"/>
              </w:rPr>
              <w:t>年末余额</w:t>
            </w:r>
          </w:p>
        </w:tc>
        <w:tc>
          <w:tcPr>
            <w:tcW w:w="1827" w:type="dxa"/>
            <w:shd w:val="clear" w:color="auto" w:fill="auto"/>
            <w:tcMar>
              <w:top w:w="0" w:type="dxa"/>
              <w:left w:w="108" w:type="dxa"/>
              <w:bottom w:w="0" w:type="dxa"/>
              <w:right w:w="108" w:type="dxa"/>
            </w:tcMar>
            <w:vAlign w:val="center"/>
          </w:tcPr>
          <w:p w:rsidR="00CB4062" w:rsidRPr="00C26513" w:rsidRDefault="00795365" w:rsidP="00CB4062">
            <w:pPr>
              <w:spacing w:line="228" w:lineRule="auto"/>
              <w:jc w:val="right"/>
              <w:rPr>
                <w:rFonts w:eastAsia="宋体" w:cs="Times New Roman"/>
                <w:sz w:val="18"/>
                <w:szCs w:val="18"/>
              </w:rPr>
            </w:pPr>
            <w:r w:rsidRPr="00C26513">
              <w:rPr>
                <w:rFonts w:eastAsia="宋体" w:cs="Times New Roman"/>
                <w:sz w:val="18"/>
                <w:szCs w:val="18"/>
              </w:rPr>
              <w:t>131,965,728.65</w:t>
            </w:r>
          </w:p>
        </w:tc>
      </w:tr>
      <w:tr w:rsidR="00CB4062" w:rsidRPr="00C26513" w:rsidTr="0027505B">
        <w:trPr>
          <w:trHeight w:val="20"/>
        </w:trPr>
        <w:tc>
          <w:tcPr>
            <w:tcW w:w="7629" w:type="dxa"/>
            <w:shd w:val="clear" w:color="auto" w:fill="D9D9D9" w:themeFill="background1" w:themeFillShade="D9"/>
            <w:tcMar>
              <w:top w:w="0" w:type="dxa"/>
              <w:left w:w="108" w:type="dxa"/>
              <w:bottom w:w="0" w:type="dxa"/>
              <w:right w:w="108" w:type="dxa"/>
            </w:tcMar>
            <w:vAlign w:val="center"/>
          </w:tcPr>
          <w:p w:rsidR="00CB4062" w:rsidRPr="00C26513" w:rsidRDefault="00CB4062" w:rsidP="00CB4062">
            <w:pPr>
              <w:spacing w:line="228" w:lineRule="auto"/>
              <w:ind w:left="-37"/>
              <w:rPr>
                <w:rFonts w:eastAsia="宋体" w:cs="Times New Roman"/>
                <w:sz w:val="18"/>
                <w:szCs w:val="18"/>
              </w:rPr>
            </w:pPr>
            <w:r w:rsidRPr="00C26513">
              <w:rPr>
                <w:rFonts w:eastAsia="宋体" w:cs="Times New Roman" w:hint="eastAsia"/>
                <w:sz w:val="18"/>
                <w:szCs w:val="18"/>
              </w:rPr>
              <w:t>二、累计摊销</w:t>
            </w:r>
          </w:p>
        </w:tc>
        <w:tc>
          <w:tcPr>
            <w:tcW w:w="1827" w:type="dxa"/>
            <w:shd w:val="clear" w:color="auto" w:fill="auto"/>
            <w:tcMar>
              <w:top w:w="0" w:type="dxa"/>
              <w:left w:w="108" w:type="dxa"/>
              <w:bottom w:w="0" w:type="dxa"/>
              <w:right w:w="108" w:type="dxa"/>
            </w:tcMar>
            <w:vAlign w:val="center"/>
          </w:tcPr>
          <w:p w:rsidR="00CB4062" w:rsidRPr="00C26513" w:rsidRDefault="00CB4062" w:rsidP="00CB4062">
            <w:pPr>
              <w:spacing w:line="228" w:lineRule="auto"/>
              <w:jc w:val="right"/>
              <w:rPr>
                <w:rFonts w:eastAsia="宋体" w:cs="Times New Roman"/>
                <w:sz w:val="18"/>
                <w:szCs w:val="18"/>
              </w:rPr>
            </w:pP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1.</w:t>
            </w:r>
            <w:r w:rsidRPr="00C26513">
              <w:rPr>
                <w:rFonts w:eastAsia="宋体" w:cs="Times New Roman" w:hint="eastAsia"/>
                <w:sz w:val="18"/>
                <w:szCs w:val="18"/>
              </w:rPr>
              <w:t>年初余额</w:t>
            </w:r>
          </w:p>
        </w:tc>
        <w:tc>
          <w:tcPr>
            <w:tcW w:w="1827" w:type="dxa"/>
            <w:shd w:val="clear" w:color="auto" w:fill="auto"/>
            <w:tcMar>
              <w:top w:w="0" w:type="dxa"/>
              <w:left w:w="108" w:type="dxa"/>
              <w:bottom w:w="0" w:type="dxa"/>
              <w:right w:w="108" w:type="dxa"/>
            </w:tcMar>
            <w:vAlign w:val="center"/>
          </w:tcPr>
          <w:p w:rsidR="00CB4062" w:rsidRPr="00C26513" w:rsidRDefault="00CB4062" w:rsidP="00CB4062">
            <w:pPr>
              <w:spacing w:line="228" w:lineRule="auto"/>
              <w:jc w:val="right"/>
              <w:rPr>
                <w:rFonts w:eastAsia="宋体" w:cs="Times New Roman"/>
                <w:sz w:val="18"/>
                <w:szCs w:val="18"/>
              </w:rPr>
            </w:pPr>
            <w:r w:rsidRPr="00C26513">
              <w:rPr>
                <w:rFonts w:eastAsia="宋体" w:cs="Times New Roman"/>
                <w:sz w:val="18"/>
                <w:szCs w:val="18"/>
              </w:rPr>
              <w:t>47,507,533.92</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2.</w:t>
            </w:r>
            <w:r w:rsidRPr="00C26513">
              <w:rPr>
                <w:rFonts w:eastAsia="宋体" w:cs="Times New Roman" w:hint="eastAsia"/>
                <w:sz w:val="18"/>
                <w:szCs w:val="18"/>
              </w:rPr>
              <w:t>本年增加金额</w:t>
            </w:r>
          </w:p>
        </w:tc>
        <w:tc>
          <w:tcPr>
            <w:tcW w:w="1827" w:type="dxa"/>
            <w:shd w:val="clear" w:color="auto" w:fill="auto"/>
            <w:tcMar>
              <w:top w:w="0" w:type="dxa"/>
              <w:left w:w="108" w:type="dxa"/>
              <w:bottom w:w="0" w:type="dxa"/>
              <w:right w:w="108" w:type="dxa"/>
            </w:tcMar>
            <w:vAlign w:val="center"/>
          </w:tcPr>
          <w:p w:rsidR="00CB4062" w:rsidRPr="00C26513" w:rsidRDefault="00795365" w:rsidP="00CB4062">
            <w:pPr>
              <w:spacing w:line="228" w:lineRule="auto"/>
              <w:jc w:val="right"/>
              <w:rPr>
                <w:rFonts w:eastAsia="宋体" w:cs="Times New Roman"/>
                <w:sz w:val="18"/>
                <w:szCs w:val="18"/>
              </w:rPr>
            </w:pPr>
            <w:r w:rsidRPr="00C26513">
              <w:rPr>
                <w:rFonts w:eastAsia="宋体" w:cs="Times New Roman"/>
                <w:sz w:val="18"/>
                <w:szCs w:val="18"/>
              </w:rPr>
              <w:t>41,806,834.67</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27505B">
            <w:pPr>
              <w:tabs>
                <w:tab w:val="left" w:pos="462"/>
              </w:tabs>
              <w:spacing w:line="228" w:lineRule="auto"/>
              <w:rPr>
                <w:rFonts w:eastAsia="宋体" w:cs="Times New Roman"/>
                <w:sz w:val="18"/>
                <w:szCs w:val="18"/>
              </w:rPr>
            </w:pPr>
            <w:r w:rsidRPr="00C26513">
              <w:rPr>
                <w:rFonts w:eastAsia="宋体" w:cs="Times New Roman"/>
                <w:sz w:val="18"/>
                <w:szCs w:val="18"/>
              </w:rPr>
              <w:tab/>
            </w:r>
            <w:r w:rsidR="005F14EE" w:rsidRPr="00C26513">
              <w:rPr>
                <w:rFonts w:eastAsia="宋体" w:cs="Times New Roman"/>
                <w:sz w:val="18"/>
                <w:szCs w:val="18"/>
              </w:rPr>
              <w:t>(</w:t>
            </w:r>
            <w:r w:rsidRPr="00C26513">
              <w:rPr>
                <w:rFonts w:eastAsia="宋体" w:cs="Times New Roman"/>
                <w:sz w:val="18"/>
                <w:szCs w:val="18"/>
              </w:rPr>
              <w:t>1</w:t>
            </w:r>
            <w:r w:rsidR="005F14EE" w:rsidRPr="00C26513">
              <w:rPr>
                <w:rFonts w:eastAsia="宋体" w:cs="Times New Roman"/>
                <w:sz w:val="18"/>
                <w:szCs w:val="18"/>
              </w:rPr>
              <w:t>)</w:t>
            </w:r>
            <w:r w:rsidRPr="00C26513">
              <w:rPr>
                <w:rFonts w:eastAsia="宋体" w:cs="Times New Roman" w:hint="eastAsia"/>
                <w:sz w:val="18"/>
                <w:szCs w:val="18"/>
              </w:rPr>
              <w:t>计提</w:t>
            </w:r>
          </w:p>
        </w:tc>
        <w:tc>
          <w:tcPr>
            <w:tcW w:w="1827" w:type="dxa"/>
            <w:shd w:val="clear" w:color="auto" w:fill="auto"/>
            <w:tcMar>
              <w:top w:w="0" w:type="dxa"/>
              <w:left w:w="108" w:type="dxa"/>
              <w:bottom w:w="0" w:type="dxa"/>
              <w:right w:w="108" w:type="dxa"/>
            </w:tcMar>
            <w:vAlign w:val="center"/>
          </w:tcPr>
          <w:p w:rsidR="00CB4062" w:rsidRPr="00C26513" w:rsidRDefault="00795365" w:rsidP="00CB4062">
            <w:pPr>
              <w:spacing w:line="228" w:lineRule="auto"/>
              <w:jc w:val="right"/>
              <w:rPr>
                <w:rFonts w:eastAsia="宋体" w:cs="Times New Roman"/>
                <w:sz w:val="18"/>
                <w:szCs w:val="18"/>
              </w:rPr>
            </w:pPr>
            <w:r w:rsidRPr="00C26513">
              <w:rPr>
                <w:rFonts w:eastAsia="宋体" w:cs="Times New Roman"/>
                <w:sz w:val="18"/>
                <w:szCs w:val="18"/>
              </w:rPr>
              <w:t>41,806,834.67</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3.</w:t>
            </w:r>
            <w:r w:rsidRPr="00C26513">
              <w:rPr>
                <w:rFonts w:eastAsia="宋体" w:cs="Times New Roman" w:hint="eastAsia"/>
                <w:sz w:val="18"/>
                <w:szCs w:val="18"/>
              </w:rPr>
              <w:t>本年减少金额</w:t>
            </w:r>
          </w:p>
        </w:tc>
        <w:tc>
          <w:tcPr>
            <w:tcW w:w="1827" w:type="dxa"/>
            <w:shd w:val="clear" w:color="auto" w:fill="auto"/>
            <w:tcMar>
              <w:top w:w="0" w:type="dxa"/>
              <w:left w:w="108" w:type="dxa"/>
              <w:bottom w:w="0" w:type="dxa"/>
              <w:right w:w="108" w:type="dxa"/>
            </w:tcMar>
            <w:vAlign w:val="center"/>
          </w:tcPr>
          <w:p w:rsidR="00CB4062" w:rsidRPr="00C26513" w:rsidRDefault="00795365" w:rsidP="00CB4062">
            <w:pPr>
              <w:spacing w:line="228" w:lineRule="auto"/>
              <w:jc w:val="right"/>
              <w:rPr>
                <w:rFonts w:eastAsia="宋体" w:cs="Times New Roman"/>
                <w:sz w:val="18"/>
                <w:szCs w:val="18"/>
              </w:rPr>
            </w:pPr>
            <w:r w:rsidRPr="00C26513">
              <w:rPr>
                <w:rFonts w:eastAsia="宋体" w:cs="Times New Roman"/>
                <w:sz w:val="18"/>
                <w:szCs w:val="18"/>
              </w:rPr>
              <w:t>7,505,316.30</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4.</w:t>
            </w:r>
            <w:r w:rsidRPr="00C26513">
              <w:rPr>
                <w:rFonts w:eastAsia="宋体" w:cs="Times New Roman" w:hint="eastAsia"/>
                <w:sz w:val="18"/>
                <w:szCs w:val="18"/>
              </w:rPr>
              <w:t>外币报表折算差额</w:t>
            </w:r>
          </w:p>
        </w:tc>
        <w:tc>
          <w:tcPr>
            <w:tcW w:w="1827" w:type="dxa"/>
            <w:shd w:val="clear" w:color="auto" w:fill="auto"/>
            <w:tcMar>
              <w:top w:w="0" w:type="dxa"/>
              <w:left w:w="108" w:type="dxa"/>
              <w:bottom w:w="0" w:type="dxa"/>
              <w:right w:w="108" w:type="dxa"/>
            </w:tcMar>
            <w:vAlign w:val="center"/>
          </w:tcPr>
          <w:p w:rsidR="00CB4062" w:rsidRPr="00C26513" w:rsidRDefault="00795365" w:rsidP="00795365">
            <w:pPr>
              <w:wordWrap w:val="0"/>
              <w:spacing w:line="228" w:lineRule="auto"/>
              <w:jc w:val="right"/>
              <w:rPr>
                <w:rFonts w:eastAsia="宋体" w:cs="Times New Roman"/>
                <w:sz w:val="18"/>
                <w:szCs w:val="18"/>
              </w:rPr>
            </w:pPr>
            <w:r w:rsidRPr="00C26513">
              <w:rPr>
                <w:rFonts w:eastAsia="宋体" w:cs="Times New Roman"/>
                <w:sz w:val="18"/>
                <w:szCs w:val="18"/>
              </w:rPr>
              <w:t>-</w:t>
            </w:r>
            <w:r w:rsidR="0025538F" w:rsidRPr="00C26513">
              <w:rPr>
                <w:rFonts w:eastAsia="宋体" w:cs="Times New Roman"/>
                <w:sz w:val="18"/>
                <w:szCs w:val="18"/>
              </w:rPr>
              <w:t>    </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5.</w:t>
            </w:r>
            <w:r w:rsidRPr="00C26513">
              <w:rPr>
                <w:rFonts w:eastAsia="宋体" w:cs="Times New Roman" w:hint="eastAsia"/>
                <w:sz w:val="18"/>
                <w:szCs w:val="18"/>
              </w:rPr>
              <w:t>年末余额</w:t>
            </w:r>
          </w:p>
        </w:tc>
        <w:tc>
          <w:tcPr>
            <w:tcW w:w="1827" w:type="dxa"/>
            <w:shd w:val="clear" w:color="auto" w:fill="auto"/>
            <w:tcMar>
              <w:top w:w="0" w:type="dxa"/>
              <w:left w:w="108" w:type="dxa"/>
              <w:bottom w:w="0" w:type="dxa"/>
              <w:right w:w="108" w:type="dxa"/>
            </w:tcMar>
            <w:vAlign w:val="center"/>
          </w:tcPr>
          <w:p w:rsidR="00CB4062" w:rsidRPr="00C26513" w:rsidRDefault="00795365" w:rsidP="00CB4062">
            <w:pPr>
              <w:spacing w:line="228" w:lineRule="auto"/>
              <w:jc w:val="right"/>
              <w:rPr>
                <w:rFonts w:eastAsia="宋体" w:cs="Times New Roman"/>
                <w:sz w:val="18"/>
                <w:szCs w:val="18"/>
              </w:rPr>
            </w:pPr>
            <w:r w:rsidRPr="00C26513">
              <w:rPr>
                <w:rFonts w:eastAsia="宋体" w:cs="Times New Roman"/>
                <w:sz w:val="18"/>
                <w:szCs w:val="18"/>
              </w:rPr>
              <w:t>81,809,052.29</w:t>
            </w:r>
          </w:p>
        </w:tc>
      </w:tr>
      <w:tr w:rsidR="00CB4062" w:rsidRPr="00C26513" w:rsidTr="0027505B">
        <w:trPr>
          <w:trHeight w:val="20"/>
        </w:trPr>
        <w:tc>
          <w:tcPr>
            <w:tcW w:w="7629" w:type="dxa"/>
            <w:shd w:val="clear" w:color="auto" w:fill="D9D9D9" w:themeFill="background1" w:themeFillShade="D9"/>
            <w:tcMar>
              <w:top w:w="0" w:type="dxa"/>
              <w:left w:w="108" w:type="dxa"/>
              <w:bottom w:w="0" w:type="dxa"/>
              <w:right w:w="108" w:type="dxa"/>
            </w:tcMar>
            <w:vAlign w:val="center"/>
          </w:tcPr>
          <w:p w:rsidR="00CB4062" w:rsidRPr="00C26513" w:rsidRDefault="00CB4062" w:rsidP="00CB4062">
            <w:pPr>
              <w:spacing w:line="228" w:lineRule="auto"/>
              <w:ind w:left="-37"/>
              <w:rPr>
                <w:rFonts w:eastAsia="宋体" w:cs="Times New Roman"/>
                <w:sz w:val="18"/>
                <w:szCs w:val="18"/>
              </w:rPr>
            </w:pPr>
            <w:r w:rsidRPr="00C26513">
              <w:rPr>
                <w:rFonts w:eastAsia="宋体" w:cs="Times New Roman" w:hint="eastAsia"/>
                <w:sz w:val="18"/>
                <w:szCs w:val="18"/>
              </w:rPr>
              <w:t>三、减值准备</w:t>
            </w:r>
          </w:p>
        </w:tc>
        <w:tc>
          <w:tcPr>
            <w:tcW w:w="1827" w:type="dxa"/>
            <w:shd w:val="clear" w:color="auto" w:fill="auto"/>
            <w:tcMar>
              <w:top w:w="0" w:type="dxa"/>
              <w:left w:w="108" w:type="dxa"/>
              <w:bottom w:w="0" w:type="dxa"/>
              <w:right w:w="108" w:type="dxa"/>
            </w:tcMar>
            <w:vAlign w:val="center"/>
          </w:tcPr>
          <w:p w:rsidR="00CB4062" w:rsidRPr="00C26513" w:rsidRDefault="00CB4062" w:rsidP="00CB4062">
            <w:pPr>
              <w:spacing w:line="228" w:lineRule="auto"/>
              <w:jc w:val="right"/>
              <w:rPr>
                <w:rFonts w:eastAsia="宋体" w:cs="Times New Roman"/>
                <w:sz w:val="18"/>
                <w:szCs w:val="18"/>
              </w:rPr>
            </w:pP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1.</w:t>
            </w:r>
            <w:r w:rsidRPr="00C26513">
              <w:rPr>
                <w:rFonts w:eastAsia="宋体" w:cs="Times New Roman" w:hint="eastAsia"/>
                <w:sz w:val="18"/>
                <w:szCs w:val="18"/>
              </w:rPr>
              <w:t>年初及年末余额</w:t>
            </w:r>
          </w:p>
        </w:tc>
        <w:tc>
          <w:tcPr>
            <w:tcW w:w="1827" w:type="dxa"/>
            <w:shd w:val="clear" w:color="auto" w:fill="auto"/>
            <w:tcMar>
              <w:top w:w="0" w:type="dxa"/>
              <w:left w:w="108" w:type="dxa"/>
              <w:bottom w:w="0" w:type="dxa"/>
              <w:right w:w="108" w:type="dxa"/>
            </w:tcMar>
            <w:vAlign w:val="center"/>
          </w:tcPr>
          <w:p w:rsidR="00CB4062" w:rsidRPr="00C26513" w:rsidRDefault="00CB4062" w:rsidP="00CB4062">
            <w:pPr>
              <w:spacing w:line="228" w:lineRule="auto"/>
              <w:jc w:val="right"/>
              <w:rPr>
                <w:rFonts w:eastAsia="宋体" w:cs="Times New Roman"/>
                <w:sz w:val="18"/>
                <w:szCs w:val="18"/>
              </w:rPr>
            </w:pPr>
            <w:r w:rsidRPr="00C26513">
              <w:rPr>
                <w:rFonts w:eastAsia="宋体" w:cs="Times New Roman"/>
                <w:sz w:val="18"/>
                <w:szCs w:val="18"/>
              </w:rPr>
              <w:t>-    </w:t>
            </w:r>
          </w:p>
        </w:tc>
      </w:tr>
      <w:tr w:rsidR="00CB4062" w:rsidRPr="00C26513" w:rsidTr="0027505B">
        <w:trPr>
          <w:trHeight w:val="20"/>
        </w:trPr>
        <w:tc>
          <w:tcPr>
            <w:tcW w:w="7629" w:type="dxa"/>
            <w:shd w:val="clear" w:color="auto" w:fill="D9D9D9" w:themeFill="background1" w:themeFillShade="D9"/>
            <w:tcMar>
              <w:top w:w="0" w:type="dxa"/>
              <w:left w:w="108" w:type="dxa"/>
              <w:bottom w:w="0" w:type="dxa"/>
              <w:right w:w="108" w:type="dxa"/>
            </w:tcMar>
            <w:vAlign w:val="center"/>
          </w:tcPr>
          <w:p w:rsidR="00CB4062" w:rsidRPr="00C26513" w:rsidRDefault="00CB4062" w:rsidP="00CB4062">
            <w:pPr>
              <w:spacing w:line="228" w:lineRule="auto"/>
              <w:ind w:left="-37"/>
              <w:rPr>
                <w:rFonts w:eastAsia="宋体" w:cs="Times New Roman"/>
                <w:sz w:val="18"/>
                <w:szCs w:val="18"/>
              </w:rPr>
            </w:pPr>
            <w:r w:rsidRPr="00C26513">
              <w:rPr>
                <w:rFonts w:eastAsia="宋体" w:cs="Times New Roman" w:hint="eastAsia"/>
                <w:sz w:val="18"/>
                <w:szCs w:val="18"/>
              </w:rPr>
              <w:t>四、账面价值</w:t>
            </w:r>
          </w:p>
        </w:tc>
        <w:tc>
          <w:tcPr>
            <w:tcW w:w="1827" w:type="dxa"/>
            <w:shd w:val="clear" w:color="auto" w:fill="auto"/>
            <w:tcMar>
              <w:top w:w="0" w:type="dxa"/>
              <w:left w:w="108" w:type="dxa"/>
              <w:bottom w:w="0" w:type="dxa"/>
              <w:right w:w="108" w:type="dxa"/>
            </w:tcMar>
            <w:vAlign w:val="center"/>
          </w:tcPr>
          <w:p w:rsidR="00CB4062" w:rsidRPr="00C26513" w:rsidRDefault="00CB4062" w:rsidP="00CB4062">
            <w:pPr>
              <w:spacing w:line="228" w:lineRule="auto"/>
              <w:jc w:val="right"/>
              <w:rPr>
                <w:rFonts w:eastAsia="宋体" w:cs="Times New Roman"/>
                <w:sz w:val="18"/>
                <w:szCs w:val="18"/>
              </w:rPr>
            </w:pP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1.</w:t>
            </w:r>
            <w:r w:rsidRPr="00C26513">
              <w:rPr>
                <w:rFonts w:eastAsia="宋体" w:cs="Times New Roman" w:hint="eastAsia"/>
                <w:sz w:val="18"/>
                <w:szCs w:val="18"/>
              </w:rPr>
              <w:t>年末账面价值</w:t>
            </w:r>
          </w:p>
        </w:tc>
        <w:tc>
          <w:tcPr>
            <w:tcW w:w="1827" w:type="dxa"/>
            <w:shd w:val="clear" w:color="auto" w:fill="auto"/>
            <w:tcMar>
              <w:top w:w="0" w:type="dxa"/>
              <w:left w:w="108" w:type="dxa"/>
              <w:bottom w:w="0" w:type="dxa"/>
              <w:right w:w="108" w:type="dxa"/>
            </w:tcMar>
            <w:vAlign w:val="center"/>
          </w:tcPr>
          <w:p w:rsidR="00CB4062" w:rsidRPr="00C26513" w:rsidRDefault="00795365" w:rsidP="00CB4062">
            <w:pPr>
              <w:spacing w:line="228" w:lineRule="auto"/>
              <w:jc w:val="right"/>
              <w:rPr>
                <w:rFonts w:eastAsia="宋体" w:cs="Times New Roman"/>
                <w:sz w:val="18"/>
                <w:szCs w:val="18"/>
              </w:rPr>
            </w:pPr>
            <w:r w:rsidRPr="00C26513">
              <w:rPr>
                <w:rFonts w:eastAsia="宋体" w:cs="Times New Roman"/>
                <w:sz w:val="18"/>
                <w:szCs w:val="18"/>
              </w:rPr>
              <w:t>50,156,676.36</w:t>
            </w:r>
          </w:p>
        </w:tc>
      </w:tr>
      <w:tr w:rsidR="00CB4062" w:rsidRPr="00C26513" w:rsidTr="0027505B">
        <w:trPr>
          <w:trHeight w:val="20"/>
        </w:trPr>
        <w:tc>
          <w:tcPr>
            <w:tcW w:w="7629" w:type="dxa"/>
            <w:shd w:val="clear" w:color="auto" w:fill="FFFFFF" w:themeFill="background1"/>
            <w:tcMar>
              <w:top w:w="0" w:type="dxa"/>
              <w:left w:w="108" w:type="dxa"/>
              <w:bottom w:w="0" w:type="dxa"/>
              <w:right w:w="108" w:type="dxa"/>
            </w:tcMar>
            <w:vAlign w:val="center"/>
          </w:tcPr>
          <w:p w:rsidR="00CB4062" w:rsidRPr="00C26513" w:rsidRDefault="00CB4062" w:rsidP="00CB4062">
            <w:pPr>
              <w:tabs>
                <w:tab w:val="left" w:pos="327"/>
              </w:tabs>
              <w:spacing w:line="228" w:lineRule="auto"/>
              <w:rPr>
                <w:rFonts w:eastAsia="宋体" w:cs="Times New Roman"/>
                <w:sz w:val="18"/>
                <w:szCs w:val="18"/>
              </w:rPr>
            </w:pPr>
            <w:r w:rsidRPr="00C26513">
              <w:rPr>
                <w:rFonts w:eastAsia="宋体" w:cs="Times New Roman"/>
                <w:sz w:val="18"/>
                <w:szCs w:val="18"/>
              </w:rPr>
              <w:tab/>
              <w:t>2.</w:t>
            </w:r>
            <w:r w:rsidRPr="00C26513">
              <w:rPr>
                <w:rFonts w:eastAsia="宋体" w:cs="Times New Roman" w:hint="eastAsia"/>
                <w:sz w:val="18"/>
                <w:szCs w:val="18"/>
              </w:rPr>
              <w:t>年初账面价值</w:t>
            </w:r>
          </w:p>
        </w:tc>
        <w:tc>
          <w:tcPr>
            <w:tcW w:w="1827" w:type="dxa"/>
            <w:shd w:val="clear" w:color="auto" w:fill="auto"/>
            <w:tcMar>
              <w:top w:w="0" w:type="dxa"/>
              <w:left w:w="108" w:type="dxa"/>
              <w:bottom w:w="0" w:type="dxa"/>
              <w:right w:w="108" w:type="dxa"/>
            </w:tcMar>
            <w:vAlign w:val="center"/>
          </w:tcPr>
          <w:p w:rsidR="00CB4062" w:rsidRPr="00C26513" w:rsidRDefault="00CB4062" w:rsidP="00CB4062">
            <w:pPr>
              <w:spacing w:line="228" w:lineRule="auto"/>
              <w:jc w:val="right"/>
              <w:rPr>
                <w:rFonts w:eastAsia="宋体" w:cs="Times New Roman"/>
                <w:sz w:val="18"/>
                <w:szCs w:val="18"/>
              </w:rPr>
            </w:pPr>
            <w:r w:rsidRPr="00C26513">
              <w:rPr>
                <w:rFonts w:eastAsia="宋体" w:cs="Times New Roman"/>
                <w:sz w:val="18"/>
                <w:szCs w:val="18"/>
              </w:rPr>
              <w:t>84,433,600.93</w:t>
            </w:r>
          </w:p>
        </w:tc>
      </w:tr>
    </w:tbl>
    <w:p w:rsidR="007D47F9" w:rsidRPr="00A71D2E" w:rsidRDefault="007D47F9" w:rsidP="0027505B">
      <w:pPr>
        <w:tabs>
          <w:tab w:val="left" w:pos="709"/>
          <w:tab w:val="left" w:pos="1134"/>
        </w:tabs>
        <w:ind w:left="720"/>
        <w:rPr>
          <w:rFonts w:eastAsia="宋体" w:cs="Times New Roman"/>
          <w:szCs w:val="21"/>
        </w:rPr>
      </w:pPr>
    </w:p>
    <w:p w:rsidR="007D47F9" w:rsidRPr="00A71D2E" w:rsidRDefault="007D47F9" w:rsidP="0027505B">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无形资产</w:t>
      </w:r>
    </w:p>
    <w:p w:rsidR="007D47F9" w:rsidRPr="00A71D2E" w:rsidRDefault="007D47F9" w:rsidP="0027505B">
      <w:pPr>
        <w:tabs>
          <w:tab w:val="left" w:pos="709"/>
          <w:tab w:val="left" w:pos="1134"/>
        </w:tabs>
        <w:ind w:left="720"/>
        <w:rPr>
          <w:rFonts w:eastAsia="宋体" w:cs="Times New Roman"/>
          <w:szCs w:val="21"/>
        </w:rPr>
      </w:pPr>
    </w:p>
    <w:p w:rsidR="007D47F9" w:rsidRPr="00A71D2E" w:rsidRDefault="007D47F9" w:rsidP="0027505B">
      <w:pPr>
        <w:pStyle w:val="aff1"/>
        <w:numPr>
          <w:ilvl w:val="0"/>
          <w:numId w:val="3"/>
        </w:numPr>
        <w:ind w:left="1440" w:firstLineChars="0" w:hanging="709"/>
        <w:rPr>
          <w:szCs w:val="21"/>
        </w:rPr>
      </w:pPr>
      <w:r w:rsidRPr="00A71D2E">
        <w:rPr>
          <w:rFonts w:hint="eastAsia"/>
          <w:szCs w:val="21"/>
        </w:rPr>
        <w:t>无形资产情况</w:t>
      </w:r>
    </w:p>
    <w:p w:rsidR="00EB68E7" w:rsidRPr="00A71D2E" w:rsidRDefault="00EB68E7" w:rsidP="0027505B">
      <w:pPr>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64"/>
        <w:gridCol w:w="1830"/>
        <w:gridCol w:w="1831"/>
        <w:gridCol w:w="1831"/>
      </w:tblGrid>
      <w:tr w:rsidR="00EB68E7" w:rsidRPr="00C26513" w:rsidTr="0027505B">
        <w:trPr>
          <w:trHeight w:val="20"/>
        </w:trPr>
        <w:tc>
          <w:tcPr>
            <w:tcW w:w="3964" w:type="dxa"/>
            <w:shd w:val="clear" w:color="auto" w:fill="D9D9D9" w:themeFill="background1" w:themeFillShade="D9"/>
            <w:tcMar>
              <w:top w:w="0" w:type="dxa"/>
              <w:left w:w="108" w:type="dxa"/>
              <w:bottom w:w="0" w:type="dxa"/>
              <w:right w:w="108" w:type="dxa"/>
            </w:tcMar>
            <w:vAlign w:val="center"/>
            <w:hideMark/>
          </w:tcPr>
          <w:p w:rsidR="00EB68E7" w:rsidRPr="00C26513" w:rsidRDefault="00EB68E7" w:rsidP="0027505B">
            <w:pPr>
              <w:jc w:val="center"/>
              <w:rPr>
                <w:rFonts w:eastAsia="宋体" w:cs="Times New Roman"/>
                <w:sz w:val="18"/>
                <w:szCs w:val="18"/>
              </w:rPr>
            </w:pPr>
            <w:r w:rsidRPr="00C26513">
              <w:rPr>
                <w:rFonts w:eastAsia="宋体" w:cs="Times New Roman" w:hint="eastAsia"/>
                <w:sz w:val="18"/>
                <w:szCs w:val="18"/>
              </w:rPr>
              <w:t>项目</w:t>
            </w:r>
          </w:p>
        </w:tc>
        <w:tc>
          <w:tcPr>
            <w:tcW w:w="1830" w:type="dxa"/>
            <w:shd w:val="clear" w:color="auto" w:fill="D9D9D9" w:themeFill="background1" w:themeFillShade="D9"/>
            <w:tcMar>
              <w:top w:w="0" w:type="dxa"/>
              <w:left w:w="108" w:type="dxa"/>
              <w:bottom w:w="0" w:type="dxa"/>
              <w:right w:w="108" w:type="dxa"/>
            </w:tcMar>
            <w:vAlign w:val="center"/>
            <w:hideMark/>
          </w:tcPr>
          <w:p w:rsidR="00EB68E7" w:rsidRPr="00C26513" w:rsidRDefault="00EB68E7" w:rsidP="0027505B">
            <w:pPr>
              <w:jc w:val="center"/>
              <w:rPr>
                <w:rFonts w:eastAsia="宋体" w:cs="Times New Roman"/>
                <w:sz w:val="18"/>
                <w:szCs w:val="18"/>
              </w:rPr>
            </w:pPr>
            <w:r w:rsidRPr="00C26513">
              <w:rPr>
                <w:rFonts w:eastAsia="宋体" w:cs="Times New Roman" w:hint="eastAsia"/>
                <w:sz w:val="18"/>
                <w:szCs w:val="18"/>
              </w:rPr>
              <w:t>土地使用权</w:t>
            </w:r>
          </w:p>
        </w:tc>
        <w:tc>
          <w:tcPr>
            <w:tcW w:w="1831" w:type="dxa"/>
            <w:shd w:val="clear" w:color="auto" w:fill="D9D9D9" w:themeFill="background1" w:themeFillShade="D9"/>
            <w:vAlign w:val="center"/>
          </w:tcPr>
          <w:p w:rsidR="00EB68E7" w:rsidRPr="00C26513" w:rsidRDefault="00EB68E7" w:rsidP="0027505B">
            <w:pPr>
              <w:jc w:val="center"/>
              <w:rPr>
                <w:rFonts w:eastAsia="宋体" w:cs="Times New Roman"/>
                <w:sz w:val="18"/>
                <w:szCs w:val="18"/>
              </w:rPr>
            </w:pPr>
            <w:r w:rsidRPr="00C26513">
              <w:rPr>
                <w:rFonts w:eastAsia="宋体" w:cs="Times New Roman" w:hint="eastAsia"/>
                <w:sz w:val="18"/>
                <w:szCs w:val="18"/>
              </w:rPr>
              <w:t>应用软件使用权</w:t>
            </w:r>
          </w:p>
        </w:tc>
        <w:tc>
          <w:tcPr>
            <w:tcW w:w="1831" w:type="dxa"/>
            <w:shd w:val="clear" w:color="auto" w:fill="D9D9D9" w:themeFill="background1" w:themeFillShade="D9"/>
            <w:tcMar>
              <w:top w:w="0" w:type="dxa"/>
              <w:left w:w="108" w:type="dxa"/>
              <w:bottom w:w="0" w:type="dxa"/>
              <w:right w:w="108" w:type="dxa"/>
            </w:tcMar>
            <w:vAlign w:val="center"/>
            <w:hideMark/>
          </w:tcPr>
          <w:p w:rsidR="00EB68E7" w:rsidRPr="00C26513" w:rsidRDefault="00EB68E7" w:rsidP="0027505B">
            <w:pPr>
              <w:jc w:val="center"/>
              <w:rPr>
                <w:rFonts w:eastAsia="宋体" w:cs="Times New Roman"/>
                <w:sz w:val="18"/>
                <w:szCs w:val="18"/>
              </w:rPr>
            </w:pPr>
            <w:r w:rsidRPr="00C26513">
              <w:rPr>
                <w:rFonts w:eastAsia="宋体" w:cs="Times New Roman" w:hint="eastAsia"/>
                <w:sz w:val="18"/>
                <w:szCs w:val="18"/>
              </w:rPr>
              <w:t>合计</w:t>
            </w:r>
          </w:p>
        </w:tc>
      </w:tr>
      <w:tr w:rsidR="00EB68E7" w:rsidRPr="00C26513" w:rsidTr="0027505B">
        <w:trPr>
          <w:trHeight w:val="20"/>
        </w:trPr>
        <w:tc>
          <w:tcPr>
            <w:tcW w:w="3964" w:type="dxa"/>
            <w:shd w:val="clear" w:color="auto" w:fill="D9D9D9" w:themeFill="background1" w:themeFillShade="D9"/>
            <w:tcMar>
              <w:top w:w="0" w:type="dxa"/>
              <w:left w:w="108" w:type="dxa"/>
              <w:bottom w:w="0" w:type="dxa"/>
              <w:right w:w="108" w:type="dxa"/>
            </w:tcMar>
            <w:vAlign w:val="center"/>
          </w:tcPr>
          <w:p w:rsidR="00EB68E7" w:rsidRPr="00C26513" w:rsidRDefault="00EB68E7" w:rsidP="0027505B">
            <w:pPr>
              <w:ind w:left="-37"/>
              <w:rPr>
                <w:rFonts w:eastAsia="宋体" w:cs="Times New Roman"/>
                <w:sz w:val="18"/>
                <w:szCs w:val="18"/>
              </w:rPr>
            </w:pPr>
            <w:r w:rsidRPr="00C26513">
              <w:rPr>
                <w:rFonts w:eastAsia="宋体" w:cs="Times New Roman" w:hint="eastAsia"/>
                <w:sz w:val="18"/>
                <w:szCs w:val="18"/>
              </w:rPr>
              <w:t>一、账面原值</w:t>
            </w:r>
            <w:r w:rsidR="005F14EE" w:rsidRPr="00C26513">
              <w:rPr>
                <w:rFonts w:eastAsia="宋体" w:cs="Times New Roman" w:hint="eastAsia"/>
                <w:sz w:val="18"/>
                <w:szCs w:val="18"/>
              </w:rPr>
              <w:t>：</w:t>
            </w:r>
          </w:p>
        </w:tc>
        <w:tc>
          <w:tcPr>
            <w:tcW w:w="1830" w:type="dxa"/>
            <w:shd w:val="clear" w:color="auto" w:fill="auto"/>
            <w:tcMar>
              <w:top w:w="0" w:type="dxa"/>
              <w:left w:w="108" w:type="dxa"/>
              <w:bottom w:w="0" w:type="dxa"/>
              <w:right w:w="108" w:type="dxa"/>
            </w:tcMar>
            <w:vAlign w:val="center"/>
          </w:tcPr>
          <w:p w:rsidR="00EB68E7" w:rsidRPr="00C26513" w:rsidRDefault="00EB68E7" w:rsidP="0027505B">
            <w:pPr>
              <w:jc w:val="right"/>
              <w:rPr>
                <w:rFonts w:eastAsia="宋体" w:cs="Times New Roman"/>
                <w:sz w:val="18"/>
                <w:szCs w:val="18"/>
              </w:rPr>
            </w:pPr>
          </w:p>
        </w:tc>
        <w:tc>
          <w:tcPr>
            <w:tcW w:w="1831" w:type="dxa"/>
            <w:shd w:val="clear" w:color="auto" w:fill="auto"/>
            <w:vAlign w:val="center"/>
          </w:tcPr>
          <w:p w:rsidR="00EB68E7" w:rsidRPr="00C26513" w:rsidRDefault="00EB68E7" w:rsidP="0027505B">
            <w:pPr>
              <w:jc w:val="right"/>
              <w:rPr>
                <w:rFonts w:eastAsia="宋体" w:cs="Times New Roman"/>
                <w:sz w:val="18"/>
                <w:szCs w:val="18"/>
              </w:rPr>
            </w:pPr>
          </w:p>
        </w:tc>
        <w:tc>
          <w:tcPr>
            <w:tcW w:w="1831" w:type="dxa"/>
            <w:shd w:val="clear" w:color="auto" w:fill="auto"/>
            <w:tcMar>
              <w:top w:w="0" w:type="dxa"/>
              <w:left w:w="108" w:type="dxa"/>
              <w:bottom w:w="0" w:type="dxa"/>
              <w:right w:w="108" w:type="dxa"/>
            </w:tcMar>
            <w:vAlign w:val="center"/>
          </w:tcPr>
          <w:p w:rsidR="00EB68E7" w:rsidRPr="00C26513" w:rsidRDefault="00EB68E7" w:rsidP="0027505B">
            <w:pPr>
              <w:jc w:val="right"/>
              <w:rPr>
                <w:rFonts w:eastAsia="宋体" w:cs="Times New Roman"/>
                <w:sz w:val="18"/>
                <w:szCs w:val="18"/>
              </w:rPr>
            </w:pPr>
          </w:p>
        </w:tc>
      </w:tr>
      <w:tr w:rsidR="002632D9"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2632D9" w:rsidRPr="00C26513" w:rsidRDefault="002632D9" w:rsidP="0027505B">
            <w:pPr>
              <w:tabs>
                <w:tab w:val="left" w:pos="327"/>
              </w:tabs>
              <w:rPr>
                <w:rFonts w:eastAsia="宋体" w:cs="Times New Roman"/>
                <w:sz w:val="18"/>
                <w:szCs w:val="18"/>
              </w:rPr>
            </w:pPr>
            <w:r w:rsidRPr="00C26513">
              <w:rPr>
                <w:rFonts w:eastAsia="宋体" w:cs="Times New Roman"/>
                <w:sz w:val="18"/>
                <w:szCs w:val="18"/>
              </w:rPr>
              <w:tab/>
              <w:t>1.</w:t>
            </w:r>
            <w:r w:rsidRPr="00C26513">
              <w:rPr>
                <w:rFonts w:eastAsia="宋体" w:cs="Times New Roman" w:hint="eastAsia"/>
                <w:sz w:val="18"/>
                <w:szCs w:val="18"/>
              </w:rPr>
              <w:t>年初余额</w:t>
            </w:r>
          </w:p>
        </w:tc>
        <w:tc>
          <w:tcPr>
            <w:tcW w:w="1830" w:type="dxa"/>
            <w:shd w:val="clear" w:color="auto" w:fill="auto"/>
            <w:tcMar>
              <w:top w:w="0" w:type="dxa"/>
              <w:left w:w="108" w:type="dxa"/>
              <w:bottom w:w="0" w:type="dxa"/>
              <w:right w:w="108" w:type="dxa"/>
            </w:tcMar>
            <w:vAlign w:val="center"/>
          </w:tcPr>
          <w:p w:rsidR="002632D9" w:rsidRPr="00C26513" w:rsidRDefault="002632D9" w:rsidP="0027505B">
            <w:pPr>
              <w:jc w:val="right"/>
              <w:rPr>
                <w:rFonts w:eastAsia="宋体" w:cs="Times New Roman"/>
                <w:sz w:val="18"/>
                <w:szCs w:val="18"/>
              </w:rPr>
            </w:pPr>
            <w:r w:rsidRPr="00C26513">
              <w:rPr>
                <w:rFonts w:eastAsia="宋体" w:cs="Times New Roman"/>
                <w:sz w:val="18"/>
                <w:szCs w:val="18"/>
              </w:rPr>
              <w:t>226,850,267.31</w:t>
            </w:r>
          </w:p>
        </w:tc>
        <w:tc>
          <w:tcPr>
            <w:tcW w:w="1831" w:type="dxa"/>
            <w:shd w:val="clear" w:color="auto" w:fill="auto"/>
            <w:vAlign w:val="center"/>
          </w:tcPr>
          <w:p w:rsidR="002632D9" w:rsidRPr="00C26513" w:rsidRDefault="002632D9" w:rsidP="0027505B">
            <w:pPr>
              <w:jc w:val="right"/>
              <w:rPr>
                <w:rFonts w:eastAsia="宋体" w:cs="Times New Roman"/>
                <w:sz w:val="18"/>
                <w:szCs w:val="18"/>
              </w:rPr>
            </w:pPr>
            <w:r w:rsidRPr="00C26513">
              <w:rPr>
                <w:rFonts w:eastAsia="宋体" w:cs="Times New Roman"/>
                <w:sz w:val="18"/>
                <w:szCs w:val="18"/>
              </w:rPr>
              <w:t>16,030,057.38</w:t>
            </w:r>
          </w:p>
        </w:tc>
        <w:tc>
          <w:tcPr>
            <w:tcW w:w="1831" w:type="dxa"/>
            <w:shd w:val="clear" w:color="auto" w:fill="auto"/>
            <w:tcMar>
              <w:top w:w="0" w:type="dxa"/>
              <w:left w:w="108" w:type="dxa"/>
              <w:bottom w:w="0" w:type="dxa"/>
              <w:right w:w="108" w:type="dxa"/>
            </w:tcMar>
            <w:vAlign w:val="center"/>
          </w:tcPr>
          <w:p w:rsidR="002632D9" w:rsidRPr="00C26513" w:rsidRDefault="002632D9" w:rsidP="0027505B">
            <w:pPr>
              <w:jc w:val="right"/>
              <w:rPr>
                <w:rFonts w:eastAsia="宋体" w:cs="Times New Roman"/>
                <w:sz w:val="18"/>
                <w:szCs w:val="18"/>
              </w:rPr>
            </w:pPr>
            <w:r w:rsidRPr="00C26513">
              <w:rPr>
                <w:rFonts w:eastAsia="宋体" w:cs="Times New Roman"/>
                <w:sz w:val="18"/>
                <w:szCs w:val="18"/>
              </w:rPr>
              <w:t>242,880,324.69</w:t>
            </w:r>
          </w:p>
        </w:tc>
      </w:tr>
      <w:tr w:rsidR="002632D9"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2632D9" w:rsidRPr="00C26513" w:rsidRDefault="002632D9" w:rsidP="0027505B">
            <w:pPr>
              <w:tabs>
                <w:tab w:val="left" w:pos="327"/>
              </w:tabs>
              <w:rPr>
                <w:rFonts w:eastAsia="宋体" w:cs="Times New Roman"/>
                <w:sz w:val="18"/>
                <w:szCs w:val="18"/>
              </w:rPr>
            </w:pPr>
            <w:r w:rsidRPr="00C26513">
              <w:rPr>
                <w:rFonts w:eastAsia="宋体" w:cs="Times New Roman"/>
                <w:sz w:val="18"/>
                <w:szCs w:val="18"/>
              </w:rPr>
              <w:tab/>
              <w:t>2.</w:t>
            </w:r>
            <w:r w:rsidRPr="00C26513">
              <w:rPr>
                <w:rFonts w:eastAsia="宋体" w:cs="Times New Roman" w:hint="eastAsia"/>
                <w:sz w:val="18"/>
                <w:szCs w:val="18"/>
              </w:rPr>
              <w:t>本年增加金额</w:t>
            </w:r>
          </w:p>
        </w:tc>
        <w:tc>
          <w:tcPr>
            <w:tcW w:w="1830" w:type="dxa"/>
            <w:shd w:val="clear" w:color="auto" w:fill="auto"/>
            <w:tcMar>
              <w:top w:w="0" w:type="dxa"/>
              <w:left w:w="108" w:type="dxa"/>
              <w:bottom w:w="0" w:type="dxa"/>
              <w:right w:w="108" w:type="dxa"/>
            </w:tcMar>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w:t>
            </w:r>
            <w:r w:rsidR="0007502B" w:rsidRPr="00C26513">
              <w:rPr>
                <w:rFonts w:eastAsia="宋体" w:cs="Times New Roman"/>
                <w:sz w:val="18"/>
                <w:szCs w:val="18"/>
              </w:rPr>
              <w:t>    </w:t>
            </w:r>
          </w:p>
        </w:tc>
        <w:tc>
          <w:tcPr>
            <w:tcW w:w="1831" w:type="dxa"/>
            <w:shd w:val="clear" w:color="auto" w:fill="auto"/>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2,523,980.08</w:t>
            </w:r>
          </w:p>
        </w:tc>
        <w:tc>
          <w:tcPr>
            <w:tcW w:w="1831" w:type="dxa"/>
            <w:shd w:val="clear" w:color="auto" w:fill="auto"/>
            <w:tcMar>
              <w:top w:w="0" w:type="dxa"/>
              <w:left w:w="108" w:type="dxa"/>
              <w:bottom w:w="0" w:type="dxa"/>
              <w:right w:w="108" w:type="dxa"/>
            </w:tcMar>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2,523,980.08</w:t>
            </w:r>
          </w:p>
        </w:tc>
      </w:tr>
      <w:tr w:rsidR="002632D9"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2632D9" w:rsidRPr="00C26513" w:rsidRDefault="002632D9" w:rsidP="0027505B">
            <w:pPr>
              <w:tabs>
                <w:tab w:val="left" w:pos="327"/>
              </w:tabs>
              <w:rPr>
                <w:rFonts w:eastAsia="宋体" w:cs="Times New Roman"/>
                <w:sz w:val="18"/>
                <w:szCs w:val="18"/>
              </w:rPr>
            </w:pPr>
            <w:r w:rsidRPr="00C26513">
              <w:rPr>
                <w:rFonts w:eastAsia="宋体" w:cs="Times New Roman"/>
                <w:sz w:val="18"/>
                <w:szCs w:val="18"/>
              </w:rPr>
              <w:tab/>
              <w:t>3.</w:t>
            </w:r>
            <w:r w:rsidRPr="00C26513">
              <w:rPr>
                <w:rFonts w:eastAsia="宋体" w:cs="Times New Roman" w:hint="eastAsia"/>
                <w:sz w:val="18"/>
                <w:szCs w:val="18"/>
              </w:rPr>
              <w:t>本年减少金额</w:t>
            </w:r>
          </w:p>
        </w:tc>
        <w:tc>
          <w:tcPr>
            <w:tcW w:w="1830" w:type="dxa"/>
            <w:shd w:val="clear" w:color="auto" w:fill="auto"/>
            <w:tcMar>
              <w:top w:w="0" w:type="dxa"/>
              <w:left w:w="108" w:type="dxa"/>
              <w:bottom w:w="0" w:type="dxa"/>
              <w:right w:w="108" w:type="dxa"/>
            </w:tcMar>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w:t>
            </w:r>
            <w:r w:rsidR="0007502B" w:rsidRPr="00C26513">
              <w:rPr>
                <w:rFonts w:eastAsia="宋体" w:cs="Times New Roman"/>
                <w:sz w:val="18"/>
                <w:szCs w:val="18"/>
              </w:rPr>
              <w:t>    </w:t>
            </w:r>
          </w:p>
        </w:tc>
        <w:tc>
          <w:tcPr>
            <w:tcW w:w="1831" w:type="dxa"/>
            <w:shd w:val="clear" w:color="auto" w:fill="auto"/>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w:t>
            </w:r>
            <w:r w:rsidR="0007502B" w:rsidRPr="00C26513">
              <w:rPr>
                <w:rFonts w:eastAsia="宋体" w:cs="Times New Roman"/>
                <w:sz w:val="18"/>
                <w:szCs w:val="18"/>
              </w:rPr>
              <w:t>    </w:t>
            </w:r>
          </w:p>
        </w:tc>
        <w:tc>
          <w:tcPr>
            <w:tcW w:w="1831" w:type="dxa"/>
            <w:shd w:val="clear" w:color="auto" w:fill="auto"/>
            <w:tcMar>
              <w:top w:w="0" w:type="dxa"/>
              <w:left w:w="108" w:type="dxa"/>
              <w:bottom w:w="0" w:type="dxa"/>
              <w:right w:w="108" w:type="dxa"/>
            </w:tcMar>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w:t>
            </w:r>
            <w:r w:rsidR="0007502B" w:rsidRPr="00C26513">
              <w:rPr>
                <w:rFonts w:eastAsia="宋体" w:cs="Times New Roman"/>
                <w:sz w:val="18"/>
                <w:szCs w:val="18"/>
              </w:rPr>
              <w:t>    </w:t>
            </w:r>
          </w:p>
        </w:tc>
      </w:tr>
      <w:tr w:rsidR="002632D9"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2632D9" w:rsidRPr="00C26513" w:rsidRDefault="002632D9" w:rsidP="0027505B">
            <w:pPr>
              <w:tabs>
                <w:tab w:val="left" w:pos="327"/>
              </w:tabs>
              <w:rPr>
                <w:rFonts w:eastAsia="宋体" w:cs="Times New Roman"/>
                <w:sz w:val="18"/>
                <w:szCs w:val="18"/>
              </w:rPr>
            </w:pPr>
            <w:r w:rsidRPr="00C26513">
              <w:rPr>
                <w:rFonts w:eastAsia="宋体" w:cs="Times New Roman"/>
                <w:sz w:val="18"/>
                <w:szCs w:val="18"/>
              </w:rPr>
              <w:tab/>
              <w:t>4.</w:t>
            </w:r>
            <w:r w:rsidRPr="00C26513">
              <w:rPr>
                <w:rFonts w:eastAsia="宋体" w:cs="Times New Roman" w:hint="eastAsia"/>
                <w:sz w:val="18"/>
                <w:szCs w:val="18"/>
              </w:rPr>
              <w:t>年末余额</w:t>
            </w:r>
          </w:p>
        </w:tc>
        <w:tc>
          <w:tcPr>
            <w:tcW w:w="1830" w:type="dxa"/>
            <w:shd w:val="clear" w:color="auto" w:fill="auto"/>
            <w:tcMar>
              <w:top w:w="0" w:type="dxa"/>
              <w:left w:w="108" w:type="dxa"/>
              <w:bottom w:w="0" w:type="dxa"/>
              <w:right w:w="108" w:type="dxa"/>
            </w:tcMar>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226,850,267.31</w:t>
            </w:r>
          </w:p>
        </w:tc>
        <w:tc>
          <w:tcPr>
            <w:tcW w:w="1831" w:type="dxa"/>
            <w:shd w:val="clear" w:color="auto" w:fill="auto"/>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18,554,037.46</w:t>
            </w:r>
          </w:p>
        </w:tc>
        <w:tc>
          <w:tcPr>
            <w:tcW w:w="1831" w:type="dxa"/>
            <w:shd w:val="clear" w:color="auto" w:fill="auto"/>
            <w:tcMar>
              <w:top w:w="0" w:type="dxa"/>
              <w:left w:w="108" w:type="dxa"/>
              <w:bottom w:w="0" w:type="dxa"/>
              <w:right w:w="108" w:type="dxa"/>
            </w:tcMar>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245,404,304.77</w:t>
            </w:r>
          </w:p>
        </w:tc>
      </w:tr>
      <w:tr w:rsidR="002632D9" w:rsidRPr="00C26513" w:rsidTr="0027505B">
        <w:trPr>
          <w:trHeight w:val="20"/>
        </w:trPr>
        <w:tc>
          <w:tcPr>
            <w:tcW w:w="3964" w:type="dxa"/>
            <w:shd w:val="clear" w:color="auto" w:fill="D9D9D9" w:themeFill="background1" w:themeFillShade="D9"/>
            <w:tcMar>
              <w:top w:w="0" w:type="dxa"/>
              <w:left w:w="108" w:type="dxa"/>
              <w:bottom w:w="0" w:type="dxa"/>
              <w:right w:w="108" w:type="dxa"/>
            </w:tcMar>
            <w:vAlign w:val="center"/>
          </w:tcPr>
          <w:p w:rsidR="002632D9" w:rsidRPr="00C26513" w:rsidRDefault="002632D9" w:rsidP="0027505B">
            <w:pPr>
              <w:ind w:left="-37"/>
              <w:rPr>
                <w:rFonts w:eastAsia="宋体" w:cs="Times New Roman"/>
                <w:sz w:val="18"/>
                <w:szCs w:val="18"/>
              </w:rPr>
            </w:pPr>
            <w:r w:rsidRPr="00C26513">
              <w:rPr>
                <w:rFonts w:eastAsia="宋体" w:cs="Times New Roman" w:hint="eastAsia"/>
                <w:sz w:val="18"/>
                <w:szCs w:val="18"/>
              </w:rPr>
              <w:t>二、累计摊销</w:t>
            </w:r>
          </w:p>
        </w:tc>
        <w:tc>
          <w:tcPr>
            <w:tcW w:w="1830" w:type="dxa"/>
            <w:shd w:val="clear" w:color="auto" w:fill="auto"/>
            <w:tcMar>
              <w:top w:w="0" w:type="dxa"/>
              <w:left w:w="108" w:type="dxa"/>
              <w:bottom w:w="0" w:type="dxa"/>
              <w:right w:w="108" w:type="dxa"/>
            </w:tcMar>
            <w:vAlign w:val="center"/>
          </w:tcPr>
          <w:p w:rsidR="002632D9" w:rsidRPr="00C26513" w:rsidRDefault="002632D9" w:rsidP="0027505B">
            <w:pPr>
              <w:jc w:val="right"/>
              <w:rPr>
                <w:rFonts w:eastAsia="宋体" w:cs="Times New Roman"/>
                <w:sz w:val="18"/>
                <w:szCs w:val="18"/>
              </w:rPr>
            </w:pPr>
          </w:p>
        </w:tc>
        <w:tc>
          <w:tcPr>
            <w:tcW w:w="1831" w:type="dxa"/>
            <w:shd w:val="clear" w:color="auto" w:fill="auto"/>
            <w:vAlign w:val="center"/>
          </w:tcPr>
          <w:p w:rsidR="002632D9" w:rsidRPr="00C26513" w:rsidRDefault="002632D9" w:rsidP="0027505B">
            <w:pPr>
              <w:jc w:val="right"/>
              <w:rPr>
                <w:rFonts w:eastAsia="宋体" w:cs="Times New Roman"/>
                <w:sz w:val="18"/>
                <w:szCs w:val="18"/>
              </w:rPr>
            </w:pPr>
          </w:p>
        </w:tc>
        <w:tc>
          <w:tcPr>
            <w:tcW w:w="1831" w:type="dxa"/>
            <w:shd w:val="clear" w:color="auto" w:fill="auto"/>
            <w:tcMar>
              <w:top w:w="0" w:type="dxa"/>
              <w:left w:w="108" w:type="dxa"/>
              <w:bottom w:w="0" w:type="dxa"/>
              <w:right w:w="108" w:type="dxa"/>
            </w:tcMar>
            <w:vAlign w:val="center"/>
          </w:tcPr>
          <w:p w:rsidR="002632D9" w:rsidRPr="00C26513" w:rsidRDefault="002632D9" w:rsidP="0027505B">
            <w:pPr>
              <w:jc w:val="right"/>
              <w:rPr>
                <w:rFonts w:eastAsia="宋体" w:cs="Times New Roman"/>
                <w:sz w:val="18"/>
                <w:szCs w:val="18"/>
              </w:rPr>
            </w:pPr>
          </w:p>
        </w:tc>
      </w:tr>
      <w:tr w:rsidR="002632D9"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2632D9" w:rsidRPr="00C26513" w:rsidRDefault="002632D9" w:rsidP="0027505B">
            <w:pPr>
              <w:tabs>
                <w:tab w:val="left" w:pos="327"/>
              </w:tabs>
              <w:rPr>
                <w:rFonts w:eastAsia="宋体" w:cs="Times New Roman"/>
                <w:sz w:val="18"/>
                <w:szCs w:val="18"/>
              </w:rPr>
            </w:pPr>
            <w:r w:rsidRPr="00C26513">
              <w:rPr>
                <w:rFonts w:eastAsia="宋体" w:cs="Times New Roman"/>
                <w:sz w:val="18"/>
                <w:szCs w:val="18"/>
              </w:rPr>
              <w:tab/>
              <w:t>1.</w:t>
            </w:r>
            <w:r w:rsidRPr="00C26513">
              <w:rPr>
                <w:rFonts w:eastAsia="宋体" w:cs="Times New Roman" w:hint="eastAsia"/>
                <w:sz w:val="18"/>
                <w:szCs w:val="18"/>
              </w:rPr>
              <w:t>年初余额</w:t>
            </w:r>
          </w:p>
        </w:tc>
        <w:tc>
          <w:tcPr>
            <w:tcW w:w="1830" w:type="dxa"/>
            <w:shd w:val="clear" w:color="auto" w:fill="auto"/>
            <w:tcMar>
              <w:top w:w="0" w:type="dxa"/>
              <w:left w:w="108" w:type="dxa"/>
              <w:bottom w:w="0" w:type="dxa"/>
              <w:right w:w="108" w:type="dxa"/>
            </w:tcMar>
            <w:vAlign w:val="center"/>
          </w:tcPr>
          <w:p w:rsidR="002632D9" w:rsidRPr="00C26513" w:rsidRDefault="002632D9" w:rsidP="0027505B">
            <w:pPr>
              <w:jc w:val="right"/>
              <w:rPr>
                <w:rFonts w:eastAsia="宋体" w:cs="Times New Roman"/>
                <w:sz w:val="18"/>
                <w:szCs w:val="18"/>
              </w:rPr>
            </w:pPr>
            <w:r w:rsidRPr="00C26513">
              <w:rPr>
                <w:rFonts w:eastAsia="宋体" w:cs="Times New Roman"/>
                <w:sz w:val="18"/>
                <w:szCs w:val="18"/>
              </w:rPr>
              <w:t xml:space="preserve"> 4,203,923.50 </w:t>
            </w:r>
          </w:p>
        </w:tc>
        <w:tc>
          <w:tcPr>
            <w:tcW w:w="1831" w:type="dxa"/>
            <w:shd w:val="clear" w:color="auto" w:fill="auto"/>
            <w:vAlign w:val="center"/>
          </w:tcPr>
          <w:p w:rsidR="002632D9" w:rsidRPr="00C26513" w:rsidRDefault="002632D9" w:rsidP="0027505B">
            <w:pPr>
              <w:jc w:val="right"/>
              <w:rPr>
                <w:rFonts w:eastAsia="宋体" w:cs="Times New Roman"/>
                <w:sz w:val="18"/>
                <w:szCs w:val="18"/>
              </w:rPr>
            </w:pPr>
            <w:r w:rsidRPr="00C26513">
              <w:rPr>
                <w:rFonts w:eastAsia="宋体" w:cs="Times New Roman"/>
                <w:sz w:val="18"/>
                <w:szCs w:val="18"/>
              </w:rPr>
              <w:t>5,134,881.40</w:t>
            </w:r>
          </w:p>
        </w:tc>
        <w:tc>
          <w:tcPr>
            <w:tcW w:w="1831" w:type="dxa"/>
            <w:shd w:val="clear" w:color="auto" w:fill="auto"/>
            <w:tcMar>
              <w:top w:w="0" w:type="dxa"/>
              <w:left w:w="108" w:type="dxa"/>
              <w:bottom w:w="0" w:type="dxa"/>
              <w:right w:w="108" w:type="dxa"/>
            </w:tcMar>
            <w:vAlign w:val="center"/>
          </w:tcPr>
          <w:p w:rsidR="002632D9" w:rsidRPr="00C26513" w:rsidRDefault="002632D9" w:rsidP="0027505B">
            <w:pPr>
              <w:jc w:val="right"/>
              <w:rPr>
                <w:rFonts w:eastAsia="宋体" w:cs="Times New Roman"/>
                <w:sz w:val="18"/>
                <w:szCs w:val="18"/>
              </w:rPr>
            </w:pPr>
            <w:r w:rsidRPr="00C26513">
              <w:rPr>
                <w:rFonts w:eastAsia="宋体" w:cs="Times New Roman"/>
                <w:sz w:val="18"/>
                <w:szCs w:val="18"/>
              </w:rPr>
              <w:t xml:space="preserve">9,338,804.90    </w:t>
            </w:r>
          </w:p>
        </w:tc>
      </w:tr>
      <w:tr w:rsidR="002632D9"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2632D9" w:rsidRPr="00C26513" w:rsidRDefault="002632D9" w:rsidP="0027505B">
            <w:pPr>
              <w:tabs>
                <w:tab w:val="left" w:pos="327"/>
              </w:tabs>
              <w:rPr>
                <w:rFonts w:eastAsia="宋体" w:cs="Times New Roman"/>
                <w:sz w:val="18"/>
                <w:szCs w:val="18"/>
              </w:rPr>
            </w:pPr>
            <w:r w:rsidRPr="00C26513">
              <w:rPr>
                <w:rFonts w:eastAsia="宋体" w:cs="Times New Roman"/>
                <w:sz w:val="18"/>
                <w:szCs w:val="18"/>
              </w:rPr>
              <w:tab/>
              <w:t>2.</w:t>
            </w:r>
            <w:r w:rsidRPr="00C26513">
              <w:rPr>
                <w:rFonts w:eastAsia="宋体" w:cs="Times New Roman" w:hint="eastAsia"/>
                <w:sz w:val="18"/>
                <w:szCs w:val="18"/>
              </w:rPr>
              <w:t>本年增加金额</w:t>
            </w:r>
          </w:p>
        </w:tc>
        <w:tc>
          <w:tcPr>
            <w:tcW w:w="1830" w:type="dxa"/>
            <w:shd w:val="clear" w:color="auto" w:fill="auto"/>
            <w:tcMar>
              <w:top w:w="0" w:type="dxa"/>
              <w:left w:w="108" w:type="dxa"/>
              <w:bottom w:w="0" w:type="dxa"/>
              <w:right w:w="108" w:type="dxa"/>
            </w:tcMar>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4,537,005.34</w:t>
            </w:r>
          </w:p>
        </w:tc>
        <w:tc>
          <w:tcPr>
            <w:tcW w:w="1831" w:type="dxa"/>
            <w:shd w:val="clear" w:color="auto" w:fill="auto"/>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2,930,385.74</w:t>
            </w:r>
          </w:p>
        </w:tc>
        <w:tc>
          <w:tcPr>
            <w:tcW w:w="1831" w:type="dxa"/>
            <w:shd w:val="clear" w:color="auto" w:fill="auto"/>
            <w:tcMar>
              <w:top w:w="0" w:type="dxa"/>
              <w:left w:w="108" w:type="dxa"/>
              <w:bottom w:w="0" w:type="dxa"/>
              <w:right w:w="108" w:type="dxa"/>
            </w:tcMar>
            <w:vAlign w:val="center"/>
          </w:tcPr>
          <w:p w:rsidR="002632D9" w:rsidRPr="00C26513" w:rsidRDefault="00C35EC6" w:rsidP="0027505B">
            <w:pPr>
              <w:jc w:val="right"/>
              <w:rPr>
                <w:rFonts w:eastAsia="宋体" w:cs="Times New Roman"/>
                <w:sz w:val="18"/>
                <w:szCs w:val="18"/>
              </w:rPr>
            </w:pPr>
            <w:r w:rsidRPr="00C26513">
              <w:rPr>
                <w:rFonts w:eastAsia="宋体" w:cs="Times New Roman"/>
                <w:sz w:val="18"/>
                <w:szCs w:val="18"/>
              </w:rPr>
              <w:t>7,467,391.08</w:t>
            </w:r>
          </w:p>
        </w:tc>
      </w:tr>
      <w:tr w:rsidR="00C35EC6"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C35EC6" w:rsidRPr="00C26513" w:rsidRDefault="00C35EC6" w:rsidP="0027505B">
            <w:pPr>
              <w:tabs>
                <w:tab w:val="left" w:pos="462"/>
              </w:tabs>
              <w:rPr>
                <w:rFonts w:eastAsia="宋体" w:cs="Times New Roman"/>
                <w:sz w:val="18"/>
                <w:szCs w:val="18"/>
              </w:rPr>
            </w:pPr>
            <w:r w:rsidRPr="00C26513">
              <w:rPr>
                <w:rFonts w:eastAsia="宋体" w:cs="Times New Roman"/>
                <w:sz w:val="18"/>
                <w:szCs w:val="18"/>
              </w:rPr>
              <w:tab/>
            </w:r>
            <w:r w:rsidR="005F14EE" w:rsidRPr="00C26513">
              <w:rPr>
                <w:rFonts w:eastAsia="宋体" w:cs="Times New Roman"/>
                <w:sz w:val="18"/>
                <w:szCs w:val="18"/>
              </w:rPr>
              <w:t>(</w:t>
            </w:r>
            <w:r w:rsidRPr="00C26513">
              <w:rPr>
                <w:rFonts w:eastAsia="宋体" w:cs="Times New Roman"/>
                <w:sz w:val="18"/>
                <w:szCs w:val="18"/>
              </w:rPr>
              <w:t>1</w:t>
            </w:r>
            <w:r w:rsidR="005F14EE" w:rsidRPr="00C26513">
              <w:rPr>
                <w:rFonts w:eastAsia="宋体" w:cs="Times New Roman"/>
                <w:sz w:val="18"/>
                <w:szCs w:val="18"/>
              </w:rPr>
              <w:t>)</w:t>
            </w:r>
            <w:r w:rsidRPr="00C26513">
              <w:rPr>
                <w:rFonts w:eastAsia="宋体" w:cs="Times New Roman" w:hint="eastAsia"/>
                <w:sz w:val="18"/>
                <w:szCs w:val="18"/>
              </w:rPr>
              <w:t>计提</w:t>
            </w:r>
          </w:p>
        </w:tc>
        <w:tc>
          <w:tcPr>
            <w:tcW w:w="1830"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4,537,005.34</w:t>
            </w:r>
          </w:p>
        </w:tc>
        <w:tc>
          <w:tcPr>
            <w:tcW w:w="1831" w:type="dxa"/>
            <w:shd w:val="clear" w:color="auto" w:fill="auto"/>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2,930,385.74</w:t>
            </w:r>
          </w:p>
        </w:tc>
        <w:tc>
          <w:tcPr>
            <w:tcW w:w="1831"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7,467,391.08</w:t>
            </w:r>
          </w:p>
        </w:tc>
      </w:tr>
      <w:tr w:rsidR="00C35EC6"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C35EC6" w:rsidRPr="00C26513" w:rsidRDefault="00C35EC6" w:rsidP="0027505B">
            <w:pPr>
              <w:tabs>
                <w:tab w:val="left" w:pos="327"/>
              </w:tabs>
              <w:rPr>
                <w:rFonts w:eastAsia="宋体" w:cs="Times New Roman"/>
                <w:sz w:val="18"/>
                <w:szCs w:val="18"/>
              </w:rPr>
            </w:pPr>
            <w:r w:rsidRPr="00C26513">
              <w:rPr>
                <w:rFonts w:eastAsia="宋体" w:cs="Times New Roman"/>
                <w:sz w:val="18"/>
                <w:szCs w:val="18"/>
              </w:rPr>
              <w:tab/>
              <w:t>3.</w:t>
            </w:r>
            <w:r w:rsidRPr="00C26513">
              <w:rPr>
                <w:rFonts w:eastAsia="宋体" w:cs="Times New Roman" w:hint="eastAsia"/>
                <w:sz w:val="18"/>
                <w:szCs w:val="18"/>
              </w:rPr>
              <w:t>本年减少金额</w:t>
            </w:r>
          </w:p>
        </w:tc>
        <w:tc>
          <w:tcPr>
            <w:tcW w:w="1830" w:type="dxa"/>
            <w:shd w:val="clear" w:color="auto" w:fill="auto"/>
            <w:tcMar>
              <w:top w:w="0" w:type="dxa"/>
              <w:left w:w="108" w:type="dxa"/>
              <w:bottom w:w="0" w:type="dxa"/>
              <w:right w:w="108" w:type="dxa"/>
            </w:tcMar>
            <w:vAlign w:val="center"/>
          </w:tcPr>
          <w:p w:rsidR="00C35EC6" w:rsidRPr="00C26513" w:rsidRDefault="00B0699E" w:rsidP="0027505B">
            <w:pPr>
              <w:jc w:val="right"/>
              <w:rPr>
                <w:rFonts w:eastAsia="宋体" w:cs="Times New Roman"/>
                <w:sz w:val="18"/>
                <w:szCs w:val="18"/>
              </w:rPr>
            </w:pPr>
            <w:r w:rsidRPr="00C26513">
              <w:rPr>
                <w:rFonts w:eastAsia="宋体" w:cs="Times New Roman"/>
                <w:sz w:val="18"/>
                <w:szCs w:val="18"/>
              </w:rPr>
              <w:t>-    </w:t>
            </w:r>
          </w:p>
        </w:tc>
        <w:tc>
          <w:tcPr>
            <w:tcW w:w="1831" w:type="dxa"/>
            <w:shd w:val="clear" w:color="auto" w:fill="auto"/>
            <w:vAlign w:val="center"/>
          </w:tcPr>
          <w:p w:rsidR="00C35EC6" w:rsidRPr="00C26513" w:rsidRDefault="00B0699E" w:rsidP="0027505B">
            <w:pPr>
              <w:jc w:val="right"/>
              <w:rPr>
                <w:rFonts w:eastAsia="宋体" w:cs="Times New Roman"/>
                <w:sz w:val="18"/>
                <w:szCs w:val="18"/>
              </w:rPr>
            </w:pPr>
            <w:r w:rsidRPr="00C26513">
              <w:rPr>
                <w:rFonts w:eastAsia="宋体" w:cs="Times New Roman"/>
                <w:sz w:val="18"/>
                <w:szCs w:val="18"/>
              </w:rPr>
              <w:t>-    </w:t>
            </w:r>
          </w:p>
        </w:tc>
        <w:tc>
          <w:tcPr>
            <w:tcW w:w="1831" w:type="dxa"/>
            <w:shd w:val="clear" w:color="auto" w:fill="auto"/>
            <w:tcMar>
              <w:top w:w="0" w:type="dxa"/>
              <w:left w:w="108" w:type="dxa"/>
              <w:bottom w:w="0" w:type="dxa"/>
              <w:right w:w="108" w:type="dxa"/>
            </w:tcMar>
            <w:vAlign w:val="center"/>
          </w:tcPr>
          <w:p w:rsidR="00C35EC6" w:rsidRPr="00C26513" w:rsidRDefault="00B0699E" w:rsidP="0027505B">
            <w:pPr>
              <w:jc w:val="right"/>
              <w:rPr>
                <w:rFonts w:eastAsia="宋体" w:cs="Times New Roman"/>
                <w:sz w:val="18"/>
                <w:szCs w:val="18"/>
              </w:rPr>
            </w:pPr>
            <w:r w:rsidRPr="00C26513">
              <w:rPr>
                <w:rFonts w:eastAsia="宋体" w:cs="Times New Roman"/>
                <w:sz w:val="18"/>
                <w:szCs w:val="18"/>
              </w:rPr>
              <w:t>-    </w:t>
            </w:r>
          </w:p>
        </w:tc>
      </w:tr>
      <w:tr w:rsidR="00C35EC6"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C35EC6" w:rsidRPr="00C26513" w:rsidRDefault="00C35EC6" w:rsidP="0027505B">
            <w:pPr>
              <w:tabs>
                <w:tab w:val="left" w:pos="327"/>
              </w:tabs>
              <w:rPr>
                <w:rFonts w:eastAsia="宋体" w:cs="Times New Roman"/>
                <w:sz w:val="18"/>
                <w:szCs w:val="18"/>
              </w:rPr>
            </w:pPr>
            <w:r w:rsidRPr="00C26513">
              <w:rPr>
                <w:rFonts w:eastAsia="宋体" w:cs="Times New Roman"/>
                <w:sz w:val="18"/>
                <w:szCs w:val="18"/>
              </w:rPr>
              <w:tab/>
              <w:t>4.</w:t>
            </w:r>
            <w:r w:rsidRPr="00C26513">
              <w:rPr>
                <w:rFonts w:eastAsia="宋体" w:cs="Times New Roman" w:hint="eastAsia"/>
                <w:sz w:val="18"/>
                <w:szCs w:val="18"/>
              </w:rPr>
              <w:t>年末余额</w:t>
            </w:r>
          </w:p>
        </w:tc>
        <w:tc>
          <w:tcPr>
            <w:tcW w:w="1830"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8,740,928.84</w:t>
            </w:r>
          </w:p>
        </w:tc>
        <w:tc>
          <w:tcPr>
            <w:tcW w:w="1831" w:type="dxa"/>
            <w:shd w:val="clear" w:color="auto" w:fill="auto"/>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8,065,267.14</w:t>
            </w:r>
          </w:p>
        </w:tc>
        <w:tc>
          <w:tcPr>
            <w:tcW w:w="1831"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16,806,195.98</w:t>
            </w:r>
          </w:p>
        </w:tc>
      </w:tr>
      <w:tr w:rsidR="00C35EC6" w:rsidRPr="00C26513" w:rsidTr="0027505B">
        <w:trPr>
          <w:trHeight w:val="20"/>
        </w:trPr>
        <w:tc>
          <w:tcPr>
            <w:tcW w:w="3964" w:type="dxa"/>
            <w:shd w:val="clear" w:color="auto" w:fill="D9D9D9" w:themeFill="background1" w:themeFillShade="D9"/>
            <w:tcMar>
              <w:top w:w="0" w:type="dxa"/>
              <w:left w:w="108" w:type="dxa"/>
              <w:bottom w:w="0" w:type="dxa"/>
              <w:right w:w="108" w:type="dxa"/>
            </w:tcMar>
            <w:vAlign w:val="center"/>
          </w:tcPr>
          <w:p w:rsidR="00C35EC6" w:rsidRPr="00C26513" w:rsidRDefault="00C35EC6" w:rsidP="0027505B">
            <w:pPr>
              <w:ind w:left="-37"/>
              <w:rPr>
                <w:rFonts w:eastAsia="宋体" w:cs="Times New Roman"/>
                <w:sz w:val="18"/>
                <w:szCs w:val="18"/>
              </w:rPr>
            </w:pPr>
            <w:r w:rsidRPr="00C26513">
              <w:rPr>
                <w:rFonts w:eastAsia="宋体" w:cs="Times New Roman" w:hint="eastAsia"/>
                <w:sz w:val="18"/>
                <w:szCs w:val="18"/>
              </w:rPr>
              <w:t>三、减值准备</w:t>
            </w:r>
          </w:p>
        </w:tc>
        <w:tc>
          <w:tcPr>
            <w:tcW w:w="1830"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p>
        </w:tc>
        <w:tc>
          <w:tcPr>
            <w:tcW w:w="1831" w:type="dxa"/>
            <w:shd w:val="clear" w:color="auto" w:fill="auto"/>
            <w:vAlign w:val="center"/>
          </w:tcPr>
          <w:p w:rsidR="00C35EC6" w:rsidRPr="00C26513" w:rsidRDefault="00C35EC6" w:rsidP="0027505B">
            <w:pPr>
              <w:jc w:val="right"/>
              <w:rPr>
                <w:rFonts w:eastAsia="宋体" w:cs="Times New Roman"/>
                <w:sz w:val="18"/>
                <w:szCs w:val="18"/>
              </w:rPr>
            </w:pPr>
          </w:p>
        </w:tc>
        <w:tc>
          <w:tcPr>
            <w:tcW w:w="1831"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p>
        </w:tc>
      </w:tr>
      <w:tr w:rsidR="00C35EC6"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C35EC6" w:rsidRPr="00C26513" w:rsidRDefault="00C35EC6" w:rsidP="0027505B">
            <w:pPr>
              <w:tabs>
                <w:tab w:val="left" w:pos="327"/>
              </w:tabs>
              <w:rPr>
                <w:rFonts w:eastAsia="宋体" w:cs="Times New Roman"/>
                <w:sz w:val="18"/>
                <w:szCs w:val="18"/>
              </w:rPr>
            </w:pPr>
            <w:r w:rsidRPr="00C26513">
              <w:rPr>
                <w:rFonts w:eastAsia="宋体" w:cs="Times New Roman"/>
                <w:sz w:val="18"/>
                <w:szCs w:val="18"/>
              </w:rPr>
              <w:tab/>
              <w:t>1.</w:t>
            </w:r>
            <w:r w:rsidRPr="00C26513">
              <w:rPr>
                <w:rFonts w:eastAsia="宋体" w:cs="Times New Roman" w:hint="eastAsia"/>
                <w:sz w:val="18"/>
                <w:szCs w:val="18"/>
              </w:rPr>
              <w:t>年初及年末余额</w:t>
            </w:r>
          </w:p>
        </w:tc>
        <w:tc>
          <w:tcPr>
            <w:tcW w:w="1830"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    </w:t>
            </w:r>
          </w:p>
        </w:tc>
        <w:tc>
          <w:tcPr>
            <w:tcW w:w="1831" w:type="dxa"/>
            <w:shd w:val="clear" w:color="auto" w:fill="auto"/>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    </w:t>
            </w:r>
          </w:p>
        </w:tc>
        <w:tc>
          <w:tcPr>
            <w:tcW w:w="1831"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    </w:t>
            </w:r>
          </w:p>
        </w:tc>
      </w:tr>
      <w:tr w:rsidR="00C35EC6" w:rsidRPr="00C26513" w:rsidTr="0027505B">
        <w:trPr>
          <w:trHeight w:val="20"/>
        </w:trPr>
        <w:tc>
          <w:tcPr>
            <w:tcW w:w="3964" w:type="dxa"/>
            <w:shd w:val="clear" w:color="auto" w:fill="D9D9D9" w:themeFill="background1" w:themeFillShade="D9"/>
            <w:tcMar>
              <w:top w:w="0" w:type="dxa"/>
              <w:left w:w="108" w:type="dxa"/>
              <w:bottom w:w="0" w:type="dxa"/>
              <w:right w:w="108" w:type="dxa"/>
            </w:tcMar>
            <w:vAlign w:val="center"/>
          </w:tcPr>
          <w:p w:rsidR="00C35EC6" w:rsidRPr="00C26513" w:rsidRDefault="00C35EC6" w:rsidP="0027505B">
            <w:pPr>
              <w:ind w:left="-37"/>
              <w:rPr>
                <w:rFonts w:eastAsia="宋体" w:cs="Times New Roman"/>
                <w:sz w:val="18"/>
                <w:szCs w:val="18"/>
              </w:rPr>
            </w:pPr>
            <w:r w:rsidRPr="00C26513">
              <w:rPr>
                <w:rFonts w:eastAsia="宋体" w:cs="Times New Roman" w:hint="eastAsia"/>
                <w:sz w:val="18"/>
                <w:szCs w:val="18"/>
              </w:rPr>
              <w:t>四、账面价值</w:t>
            </w:r>
          </w:p>
        </w:tc>
        <w:tc>
          <w:tcPr>
            <w:tcW w:w="1830"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p>
        </w:tc>
        <w:tc>
          <w:tcPr>
            <w:tcW w:w="1831" w:type="dxa"/>
            <w:shd w:val="clear" w:color="auto" w:fill="auto"/>
            <w:vAlign w:val="center"/>
          </w:tcPr>
          <w:p w:rsidR="00C35EC6" w:rsidRPr="00C26513" w:rsidRDefault="00C35EC6" w:rsidP="0027505B">
            <w:pPr>
              <w:jc w:val="right"/>
              <w:rPr>
                <w:rFonts w:eastAsia="宋体" w:cs="Times New Roman"/>
                <w:sz w:val="18"/>
                <w:szCs w:val="18"/>
              </w:rPr>
            </w:pPr>
          </w:p>
        </w:tc>
        <w:tc>
          <w:tcPr>
            <w:tcW w:w="1831"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p>
        </w:tc>
      </w:tr>
      <w:tr w:rsidR="00C35EC6"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C35EC6" w:rsidRPr="00C26513" w:rsidRDefault="00C35EC6" w:rsidP="0027505B">
            <w:pPr>
              <w:tabs>
                <w:tab w:val="left" w:pos="327"/>
              </w:tabs>
              <w:rPr>
                <w:rFonts w:eastAsia="宋体" w:cs="Times New Roman"/>
                <w:sz w:val="18"/>
                <w:szCs w:val="18"/>
              </w:rPr>
            </w:pPr>
            <w:r w:rsidRPr="00C26513">
              <w:rPr>
                <w:rFonts w:eastAsia="宋体" w:cs="Times New Roman"/>
                <w:sz w:val="18"/>
                <w:szCs w:val="18"/>
              </w:rPr>
              <w:tab/>
              <w:t>1.</w:t>
            </w:r>
            <w:r w:rsidRPr="00C26513">
              <w:rPr>
                <w:rFonts w:eastAsia="宋体" w:cs="Times New Roman" w:hint="eastAsia"/>
                <w:sz w:val="18"/>
                <w:szCs w:val="18"/>
              </w:rPr>
              <w:t>年末账面价值</w:t>
            </w:r>
          </w:p>
        </w:tc>
        <w:tc>
          <w:tcPr>
            <w:tcW w:w="1830"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218,109,338.47</w:t>
            </w:r>
          </w:p>
        </w:tc>
        <w:tc>
          <w:tcPr>
            <w:tcW w:w="1831" w:type="dxa"/>
            <w:shd w:val="clear" w:color="auto" w:fill="auto"/>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10,488,770.32</w:t>
            </w:r>
          </w:p>
        </w:tc>
        <w:tc>
          <w:tcPr>
            <w:tcW w:w="1831"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228,598,108.79</w:t>
            </w:r>
          </w:p>
        </w:tc>
      </w:tr>
      <w:tr w:rsidR="00C35EC6" w:rsidRPr="00C26513" w:rsidTr="0027505B">
        <w:trPr>
          <w:trHeight w:val="20"/>
        </w:trPr>
        <w:tc>
          <w:tcPr>
            <w:tcW w:w="3964" w:type="dxa"/>
            <w:shd w:val="clear" w:color="auto" w:fill="FFFFFF" w:themeFill="background1"/>
            <w:tcMar>
              <w:top w:w="0" w:type="dxa"/>
              <w:left w:w="108" w:type="dxa"/>
              <w:bottom w:w="0" w:type="dxa"/>
              <w:right w:w="108" w:type="dxa"/>
            </w:tcMar>
            <w:vAlign w:val="center"/>
          </w:tcPr>
          <w:p w:rsidR="00C35EC6" w:rsidRPr="00C26513" w:rsidRDefault="00C35EC6" w:rsidP="0027505B">
            <w:pPr>
              <w:tabs>
                <w:tab w:val="left" w:pos="327"/>
              </w:tabs>
              <w:rPr>
                <w:rFonts w:eastAsia="宋体" w:cs="Times New Roman"/>
                <w:sz w:val="18"/>
                <w:szCs w:val="18"/>
              </w:rPr>
            </w:pPr>
            <w:r w:rsidRPr="00C26513">
              <w:rPr>
                <w:rFonts w:eastAsia="宋体" w:cs="Times New Roman"/>
                <w:sz w:val="18"/>
                <w:szCs w:val="18"/>
              </w:rPr>
              <w:tab/>
              <w:t>2.</w:t>
            </w:r>
            <w:r w:rsidRPr="00C26513">
              <w:rPr>
                <w:rFonts w:eastAsia="宋体" w:cs="Times New Roman" w:hint="eastAsia"/>
                <w:sz w:val="18"/>
                <w:szCs w:val="18"/>
              </w:rPr>
              <w:t>年初账面价值</w:t>
            </w:r>
          </w:p>
        </w:tc>
        <w:tc>
          <w:tcPr>
            <w:tcW w:w="1830"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222,646,343.81</w:t>
            </w:r>
          </w:p>
        </w:tc>
        <w:tc>
          <w:tcPr>
            <w:tcW w:w="1831" w:type="dxa"/>
            <w:shd w:val="clear" w:color="auto" w:fill="auto"/>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10,895,175.98</w:t>
            </w:r>
          </w:p>
        </w:tc>
        <w:tc>
          <w:tcPr>
            <w:tcW w:w="1831" w:type="dxa"/>
            <w:shd w:val="clear" w:color="auto" w:fill="auto"/>
            <w:tcMar>
              <w:top w:w="0" w:type="dxa"/>
              <w:left w:w="108" w:type="dxa"/>
              <w:bottom w:w="0" w:type="dxa"/>
              <w:right w:w="108" w:type="dxa"/>
            </w:tcMar>
            <w:vAlign w:val="center"/>
          </w:tcPr>
          <w:p w:rsidR="00C35EC6" w:rsidRPr="00C26513" w:rsidRDefault="00C35EC6" w:rsidP="0027505B">
            <w:pPr>
              <w:jc w:val="right"/>
              <w:rPr>
                <w:rFonts w:eastAsia="宋体" w:cs="Times New Roman"/>
                <w:sz w:val="18"/>
                <w:szCs w:val="18"/>
              </w:rPr>
            </w:pPr>
            <w:r w:rsidRPr="00C26513">
              <w:rPr>
                <w:rFonts w:eastAsia="宋体" w:cs="Times New Roman"/>
                <w:sz w:val="18"/>
                <w:szCs w:val="18"/>
              </w:rPr>
              <w:t>233,541,519.79</w:t>
            </w:r>
          </w:p>
        </w:tc>
      </w:tr>
      <w:tr w:rsidR="00C35EC6" w:rsidRPr="00C26513" w:rsidTr="0027505B">
        <w:trPr>
          <w:trHeight w:val="20"/>
        </w:trPr>
        <w:tc>
          <w:tcPr>
            <w:tcW w:w="3964" w:type="dxa"/>
            <w:shd w:val="clear" w:color="auto" w:fill="D9D9D9"/>
            <w:tcMar>
              <w:top w:w="0" w:type="dxa"/>
              <w:left w:w="108" w:type="dxa"/>
              <w:bottom w:w="0" w:type="dxa"/>
              <w:right w:w="108" w:type="dxa"/>
            </w:tcMar>
            <w:vAlign w:val="center"/>
          </w:tcPr>
          <w:p w:rsidR="00C35EC6" w:rsidRPr="00C26513" w:rsidRDefault="00C35EC6" w:rsidP="0027505B">
            <w:pPr>
              <w:tabs>
                <w:tab w:val="left" w:pos="166"/>
              </w:tabs>
              <w:rPr>
                <w:rFonts w:eastAsia="宋体" w:cs="Times New Roman"/>
                <w:sz w:val="18"/>
                <w:szCs w:val="18"/>
              </w:rPr>
            </w:pPr>
            <w:r w:rsidRPr="00C26513">
              <w:rPr>
                <w:rFonts w:eastAsia="宋体" w:cs="Times New Roman" w:hint="eastAsia"/>
                <w:sz w:val="18"/>
                <w:szCs w:val="18"/>
              </w:rPr>
              <w:t>剩余摊销年限</w:t>
            </w:r>
          </w:p>
        </w:tc>
        <w:tc>
          <w:tcPr>
            <w:tcW w:w="1830" w:type="dxa"/>
            <w:shd w:val="clear" w:color="auto" w:fill="D9D9D9"/>
            <w:tcMar>
              <w:top w:w="0" w:type="dxa"/>
              <w:left w:w="108" w:type="dxa"/>
              <w:bottom w:w="0" w:type="dxa"/>
              <w:right w:w="108" w:type="dxa"/>
            </w:tcMar>
            <w:vAlign w:val="center"/>
          </w:tcPr>
          <w:p w:rsidR="00C35EC6" w:rsidRPr="00C26513" w:rsidRDefault="00C35EC6" w:rsidP="0027505B">
            <w:pPr>
              <w:jc w:val="center"/>
              <w:rPr>
                <w:rFonts w:eastAsia="宋体" w:cs="Times New Roman"/>
                <w:sz w:val="18"/>
                <w:szCs w:val="18"/>
              </w:rPr>
            </w:pPr>
            <w:r w:rsidRPr="00C26513">
              <w:rPr>
                <w:rFonts w:eastAsia="宋体" w:cs="Times New Roman"/>
                <w:sz w:val="18"/>
                <w:szCs w:val="18"/>
              </w:rPr>
              <w:t>46.75</w:t>
            </w:r>
            <w:r w:rsidRPr="00C26513">
              <w:rPr>
                <w:rFonts w:eastAsia="宋体" w:cs="Times New Roman" w:hint="eastAsia"/>
                <w:sz w:val="18"/>
                <w:szCs w:val="18"/>
              </w:rPr>
              <w:t>年、</w:t>
            </w:r>
            <w:r w:rsidRPr="00C26513">
              <w:rPr>
                <w:rFonts w:eastAsia="宋体" w:cs="Times New Roman"/>
                <w:sz w:val="18"/>
                <w:szCs w:val="18"/>
              </w:rPr>
              <w:t>47.75</w:t>
            </w:r>
            <w:r w:rsidRPr="00C26513">
              <w:rPr>
                <w:rFonts w:eastAsia="宋体" w:cs="Times New Roman" w:hint="eastAsia"/>
                <w:sz w:val="18"/>
                <w:szCs w:val="18"/>
              </w:rPr>
              <w:t>年</w:t>
            </w:r>
          </w:p>
        </w:tc>
        <w:tc>
          <w:tcPr>
            <w:tcW w:w="1831" w:type="dxa"/>
            <w:shd w:val="clear" w:color="auto" w:fill="D9D9D9"/>
            <w:vAlign w:val="center"/>
          </w:tcPr>
          <w:p w:rsidR="00C35EC6" w:rsidRPr="00C26513" w:rsidRDefault="00C35EC6" w:rsidP="0027505B">
            <w:pPr>
              <w:jc w:val="center"/>
              <w:rPr>
                <w:rFonts w:eastAsia="宋体" w:cs="Times New Roman"/>
                <w:sz w:val="18"/>
                <w:szCs w:val="18"/>
              </w:rPr>
            </w:pPr>
            <w:r w:rsidRPr="00C26513">
              <w:rPr>
                <w:rFonts w:eastAsia="宋体" w:cs="Times New Roman"/>
                <w:sz w:val="18"/>
                <w:szCs w:val="18"/>
              </w:rPr>
              <w:t>0~4.75</w:t>
            </w:r>
            <w:r w:rsidRPr="00C26513">
              <w:rPr>
                <w:rFonts w:eastAsia="宋体" w:cs="Times New Roman" w:hint="eastAsia"/>
                <w:sz w:val="18"/>
                <w:szCs w:val="18"/>
              </w:rPr>
              <w:t>年</w:t>
            </w:r>
          </w:p>
        </w:tc>
        <w:tc>
          <w:tcPr>
            <w:tcW w:w="1831" w:type="dxa"/>
            <w:shd w:val="clear" w:color="auto" w:fill="D9D9D9"/>
            <w:tcMar>
              <w:top w:w="0" w:type="dxa"/>
              <w:left w:w="108" w:type="dxa"/>
              <w:bottom w:w="0" w:type="dxa"/>
              <w:right w:w="108" w:type="dxa"/>
            </w:tcMar>
            <w:vAlign w:val="center"/>
          </w:tcPr>
          <w:p w:rsidR="00C35EC6" w:rsidRPr="00C26513" w:rsidRDefault="00C35EC6" w:rsidP="0027505B">
            <w:pPr>
              <w:jc w:val="center"/>
              <w:rPr>
                <w:rFonts w:eastAsia="宋体" w:cs="Times New Roman"/>
                <w:sz w:val="18"/>
                <w:szCs w:val="18"/>
              </w:rPr>
            </w:pPr>
          </w:p>
        </w:tc>
      </w:tr>
    </w:tbl>
    <w:p w:rsidR="000C4F4B" w:rsidRPr="0014300C" w:rsidRDefault="000C4F4B" w:rsidP="0027505B">
      <w:pPr>
        <w:tabs>
          <w:tab w:val="left" w:pos="709"/>
          <w:tab w:val="left" w:pos="1134"/>
        </w:tabs>
        <w:ind w:left="720"/>
        <w:rPr>
          <w:rFonts w:eastAsia="宋体" w:cs="Times New Roman"/>
          <w:szCs w:val="21"/>
        </w:rPr>
      </w:pPr>
    </w:p>
    <w:p w:rsidR="000C4F4B" w:rsidRPr="0029430B" w:rsidRDefault="000C4F4B" w:rsidP="0027505B">
      <w:pPr>
        <w:pStyle w:val="aff1"/>
        <w:numPr>
          <w:ilvl w:val="0"/>
          <w:numId w:val="3"/>
        </w:numPr>
        <w:ind w:left="1440" w:firstLineChars="0" w:hanging="709"/>
        <w:rPr>
          <w:szCs w:val="21"/>
        </w:rPr>
      </w:pPr>
      <w:r w:rsidRPr="0029430B">
        <w:rPr>
          <w:rFonts w:hint="eastAsia"/>
          <w:szCs w:val="21"/>
        </w:rPr>
        <w:t>本年末，本</w:t>
      </w:r>
      <w:proofErr w:type="gramStart"/>
      <w:r w:rsidRPr="0029430B">
        <w:rPr>
          <w:rFonts w:hint="eastAsia"/>
          <w:szCs w:val="21"/>
        </w:rPr>
        <w:t>集团无未办妥</w:t>
      </w:r>
      <w:proofErr w:type="gramEnd"/>
      <w:r w:rsidRPr="0029430B">
        <w:rPr>
          <w:rFonts w:hint="eastAsia"/>
          <w:szCs w:val="21"/>
        </w:rPr>
        <w:t>产权证书的</w:t>
      </w:r>
      <w:r w:rsidR="0049332C">
        <w:rPr>
          <w:rFonts w:hint="eastAsia"/>
          <w:szCs w:val="21"/>
        </w:rPr>
        <w:t>土地使用权</w:t>
      </w:r>
      <w:r w:rsidRPr="0029430B">
        <w:rPr>
          <w:rFonts w:hint="eastAsia"/>
          <w:szCs w:val="21"/>
        </w:rPr>
        <w:t>。</w:t>
      </w:r>
    </w:p>
    <w:p w:rsidR="000C4F4B" w:rsidRPr="0029430B" w:rsidRDefault="000C4F4B" w:rsidP="00DC2F4B">
      <w:pPr>
        <w:pStyle w:val="aff1"/>
        <w:ind w:left="720" w:firstLineChars="0" w:firstLine="0"/>
        <w:jc w:val="both"/>
        <w:rPr>
          <w:szCs w:val="21"/>
        </w:rPr>
      </w:pPr>
    </w:p>
    <w:p w:rsidR="000C4F4B" w:rsidRPr="0029430B" w:rsidRDefault="000C4F4B" w:rsidP="0027505B">
      <w:pPr>
        <w:pStyle w:val="aff1"/>
        <w:numPr>
          <w:ilvl w:val="0"/>
          <w:numId w:val="3"/>
        </w:numPr>
        <w:ind w:left="1440" w:firstLineChars="0" w:hanging="709"/>
        <w:rPr>
          <w:szCs w:val="21"/>
        </w:rPr>
      </w:pPr>
      <w:r w:rsidRPr="0029430B">
        <w:rPr>
          <w:rFonts w:hint="eastAsia"/>
          <w:szCs w:val="21"/>
        </w:rPr>
        <w:t>截至</w:t>
      </w:r>
      <w:r w:rsidRPr="0029430B">
        <w:rPr>
          <w:szCs w:val="21"/>
        </w:rPr>
        <w:t>2023</w:t>
      </w:r>
      <w:r w:rsidRPr="0029430B">
        <w:rPr>
          <w:rFonts w:hint="eastAsia"/>
          <w:szCs w:val="21"/>
        </w:rPr>
        <w:t>年</w:t>
      </w:r>
      <w:r w:rsidRPr="0029430B">
        <w:rPr>
          <w:szCs w:val="21"/>
        </w:rPr>
        <w:t>12</w:t>
      </w:r>
      <w:r w:rsidRPr="0029430B">
        <w:rPr>
          <w:rFonts w:hint="eastAsia"/>
          <w:szCs w:val="21"/>
        </w:rPr>
        <w:t>月</w:t>
      </w:r>
      <w:r w:rsidRPr="0029430B">
        <w:rPr>
          <w:szCs w:val="21"/>
        </w:rPr>
        <w:t>31</w:t>
      </w:r>
      <w:r w:rsidRPr="0029430B">
        <w:rPr>
          <w:rFonts w:hint="eastAsia"/>
          <w:szCs w:val="21"/>
        </w:rPr>
        <w:t>日止，本集团用于借款抵押的土地使用权账面价值为人民币</w:t>
      </w:r>
      <w:r w:rsidR="00B019C6" w:rsidRPr="0034469B">
        <w:rPr>
          <w:szCs w:val="21"/>
        </w:rPr>
        <w:t>23,777,050.00</w:t>
      </w:r>
      <w:r w:rsidRPr="0029430B">
        <w:rPr>
          <w:rFonts w:hint="eastAsia"/>
          <w:szCs w:val="21"/>
        </w:rPr>
        <w:t>元，详见附注</w:t>
      </w:r>
      <w:r w:rsidR="005F14EE">
        <w:rPr>
          <w:rFonts w:hint="eastAsia"/>
          <w:szCs w:val="21"/>
        </w:rPr>
        <w:t>(</w:t>
      </w:r>
      <w:r w:rsidRPr="0029430B">
        <w:rPr>
          <w:rFonts w:hint="eastAsia"/>
          <w:szCs w:val="21"/>
        </w:rPr>
        <w:t>五</w:t>
      </w:r>
      <w:r w:rsidR="005F14EE">
        <w:rPr>
          <w:rFonts w:hint="eastAsia"/>
          <w:szCs w:val="21"/>
        </w:rPr>
        <w:t>)</w:t>
      </w:r>
      <w:r w:rsidRPr="0029430B">
        <w:rPr>
          <w:rFonts w:hint="eastAsia"/>
          <w:szCs w:val="21"/>
        </w:rPr>
        <w:t>、</w:t>
      </w:r>
      <w:r w:rsidRPr="0029430B">
        <w:rPr>
          <w:rFonts w:hint="eastAsia"/>
          <w:szCs w:val="21"/>
        </w:rPr>
        <w:t>2</w:t>
      </w:r>
      <w:r w:rsidR="0036095E">
        <w:rPr>
          <w:szCs w:val="21"/>
        </w:rPr>
        <w:t>8</w:t>
      </w:r>
      <w:r w:rsidRPr="0029430B">
        <w:rPr>
          <w:rFonts w:hint="eastAsia"/>
          <w:szCs w:val="21"/>
        </w:rPr>
        <w:t>。</w:t>
      </w:r>
    </w:p>
    <w:p w:rsidR="00F546DE" w:rsidRPr="00F66363" w:rsidRDefault="00F546DE" w:rsidP="0027505B">
      <w:pPr>
        <w:rPr>
          <w:rFonts w:eastAsia="宋体" w:cs="Times New Roman"/>
          <w:sz w:val="14"/>
          <w:szCs w:val="14"/>
        </w:rPr>
      </w:pPr>
      <w:r w:rsidRPr="00F66363">
        <w:rPr>
          <w:rFonts w:eastAsia="宋体" w:cs="Times New Roman"/>
          <w:sz w:val="14"/>
          <w:szCs w:val="14"/>
        </w:rPr>
        <w:br w:type="page"/>
      </w:r>
    </w:p>
    <w:p w:rsidR="00F546DE" w:rsidRPr="00F66363" w:rsidRDefault="005F14EE" w:rsidP="00F546DE">
      <w:pPr>
        <w:rPr>
          <w:rFonts w:eastAsia="宋体" w:cs="Times New Roman"/>
          <w:szCs w:val="21"/>
        </w:rPr>
      </w:pPr>
      <w:r>
        <w:rPr>
          <w:rFonts w:eastAsia="宋体" w:cs="Times New Roman"/>
          <w:b/>
          <w:szCs w:val="21"/>
        </w:rPr>
        <w:t>(</w:t>
      </w:r>
      <w:r w:rsidR="00F546DE" w:rsidRPr="00F66363">
        <w:rPr>
          <w:rFonts w:eastAsia="宋体" w:cs="Times New Roman" w:hint="eastAsia"/>
          <w:b/>
          <w:szCs w:val="21"/>
        </w:rPr>
        <w:t>五</w:t>
      </w:r>
      <w:r>
        <w:rPr>
          <w:rFonts w:eastAsia="宋体" w:cs="Times New Roman"/>
          <w:b/>
          <w:szCs w:val="21"/>
        </w:rPr>
        <w:t>)</w:t>
      </w:r>
      <w:r w:rsidR="00F546DE" w:rsidRPr="00F66363">
        <w:rPr>
          <w:rFonts w:eastAsia="宋体" w:cs="Times New Roman"/>
          <w:b/>
          <w:szCs w:val="21"/>
        </w:rPr>
        <w:tab/>
      </w:r>
      <w:r w:rsidR="00F546DE" w:rsidRPr="00F66363">
        <w:rPr>
          <w:rFonts w:eastAsia="宋体" w:cs="Times New Roman" w:hint="eastAsia"/>
          <w:b/>
          <w:szCs w:val="21"/>
        </w:rPr>
        <w:t>合并财务报表项目注释</w:t>
      </w:r>
      <w:r w:rsidR="00F546DE" w:rsidRPr="00F66363">
        <w:rPr>
          <w:rFonts w:eastAsia="宋体" w:cs="Times New Roman"/>
          <w:bCs/>
          <w:szCs w:val="21"/>
        </w:rPr>
        <w:t xml:space="preserve"> </w:t>
      </w:r>
      <w:r w:rsidR="00F546DE" w:rsidRPr="00F66363">
        <w:rPr>
          <w:rFonts w:eastAsia="宋体" w:cs="Times New Roman"/>
          <w:szCs w:val="21"/>
        </w:rPr>
        <w:t xml:space="preserve">- </w:t>
      </w:r>
      <w:r w:rsidR="00F546DE" w:rsidRPr="00F66363">
        <w:rPr>
          <w:rFonts w:eastAsia="宋体" w:cs="Times New Roman" w:hint="eastAsia"/>
          <w:szCs w:val="21"/>
        </w:rPr>
        <w:t>续</w:t>
      </w:r>
    </w:p>
    <w:p w:rsidR="00EB68E7" w:rsidRPr="00F66363" w:rsidRDefault="00EB68E7" w:rsidP="00F546DE">
      <w:pPr>
        <w:tabs>
          <w:tab w:val="left" w:pos="709"/>
          <w:tab w:val="left" w:pos="1134"/>
        </w:tabs>
        <w:ind w:left="720"/>
        <w:jc w:val="both"/>
        <w:rPr>
          <w:rFonts w:eastAsia="宋体" w:cs="Times New Roman"/>
          <w:szCs w:val="21"/>
        </w:rPr>
      </w:pPr>
    </w:p>
    <w:p w:rsidR="00415B2E" w:rsidRPr="00A71D2E" w:rsidRDefault="00415B2E" w:rsidP="00F66363">
      <w:pPr>
        <w:pStyle w:val="2"/>
        <w:numPr>
          <w:ilvl w:val="2"/>
          <w:numId w:val="1"/>
        </w:numPr>
        <w:adjustRightInd w:val="0"/>
        <w:snapToGrid w:val="0"/>
        <w:ind w:left="1440" w:hanging="720"/>
        <w:contextualSpacing w:val="0"/>
        <w:jc w:val="both"/>
        <w:rPr>
          <w:rFonts w:ascii="Times New Roman" w:eastAsia="宋体" w:hAnsi="Times New Roman" w:cs="Times New Roman"/>
        </w:rPr>
      </w:pPr>
      <w:r w:rsidRPr="00A71D2E">
        <w:rPr>
          <w:rFonts w:ascii="Times New Roman" w:eastAsia="宋体" w:hAnsi="Times New Roman" w:cs="Times New Roman" w:hint="eastAsia"/>
        </w:rPr>
        <w:t>长期待摊费用</w:t>
      </w:r>
    </w:p>
    <w:p w:rsidR="00F546DE" w:rsidRPr="00F66363" w:rsidRDefault="00F546DE" w:rsidP="00F546DE">
      <w:pPr>
        <w:jc w:val="right"/>
        <w:rPr>
          <w:rFonts w:eastAsia="宋体" w:cs="Times New Roman"/>
          <w:szCs w:val="21"/>
        </w:rPr>
      </w:pPr>
      <w:r w:rsidRPr="00A33E3F">
        <w:rPr>
          <w:rFonts w:eastAsia="宋体" w:cs="Times New Roman" w:hint="eastAsia"/>
          <w:szCs w:val="18"/>
        </w:rPr>
        <w:t>单位</w:t>
      </w:r>
      <w:r w:rsidR="005F14EE">
        <w:rPr>
          <w:rFonts w:eastAsia="宋体" w:cs="Times New Roman" w:hint="eastAsia"/>
          <w:szCs w:val="18"/>
        </w:rPr>
        <w:t>：</w:t>
      </w:r>
      <w:r w:rsidRPr="00A33E3F">
        <w:rPr>
          <w:rFonts w:eastAsia="宋体" w:cs="Times New Roman" w:hint="eastAsia"/>
          <w:szCs w:val="18"/>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08"/>
        <w:gridCol w:w="1834"/>
        <w:gridCol w:w="1834"/>
        <w:gridCol w:w="1834"/>
        <w:gridCol w:w="1834"/>
      </w:tblGrid>
      <w:tr w:rsidR="00EA33F4" w:rsidRPr="00A71D2E" w:rsidTr="0027505B">
        <w:trPr>
          <w:trHeight w:val="20"/>
        </w:trPr>
        <w:tc>
          <w:tcPr>
            <w:tcW w:w="2108" w:type="dxa"/>
            <w:shd w:val="clear" w:color="auto" w:fill="D9D9D9" w:themeFill="background1" w:themeFillShade="D9"/>
            <w:tcMar>
              <w:top w:w="0" w:type="dxa"/>
              <w:left w:w="108" w:type="dxa"/>
              <w:bottom w:w="0" w:type="dxa"/>
              <w:right w:w="108" w:type="dxa"/>
            </w:tcMar>
            <w:vAlign w:val="center"/>
            <w:hideMark/>
          </w:tcPr>
          <w:p w:rsidR="00EA33F4" w:rsidRPr="00A71D2E" w:rsidRDefault="00EA33F4">
            <w:pPr>
              <w:jc w:val="center"/>
              <w:rPr>
                <w:rFonts w:eastAsia="宋体" w:cs="Times New Roman"/>
                <w:sz w:val="18"/>
                <w:szCs w:val="18"/>
              </w:rPr>
            </w:pPr>
            <w:r w:rsidRPr="00A71D2E">
              <w:rPr>
                <w:rFonts w:eastAsia="宋体" w:cs="Times New Roman" w:hint="eastAsia"/>
                <w:sz w:val="18"/>
                <w:szCs w:val="18"/>
              </w:rPr>
              <w:t>项目</w:t>
            </w:r>
          </w:p>
        </w:tc>
        <w:tc>
          <w:tcPr>
            <w:tcW w:w="1834" w:type="dxa"/>
            <w:shd w:val="clear" w:color="auto" w:fill="D9D9D9" w:themeFill="background1" w:themeFillShade="D9"/>
            <w:vAlign w:val="center"/>
          </w:tcPr>
          <w:p w:rsidR="00EA33F4" w:rsidRPr="00A71D2E" w:rsidRDefault="00EA33F4">
            <w:pPr>
              <w:jc w:val="center"/>
              <w:rPr>
                <w:rFonts w:eastAsia="宋体" w:cs="Times New Roman"/>
                <w:sz w:val="18"/>
                <w:szCs w:val="18"/>
              </w:rPr>
            </w:pPr>
            <w:r w:rsidRPr="00A71D2E">
              <w:rPr>
                <w:rFonts w:eastAsia="宋体" w:cs="Times New Roman" w:hint="eastAsia"/>
                <w:sz w:val="18"/>
                <w:szCs w:val="18"/>
              </w:rPr>
              <w:t>年初余额</w:t>
            </w:r>
          </w:p>
        </w:tc>
        <w:tc>
          <w:tcPr>
            <w:tcW w:w="1834" w:type="dxa"/>
            <w:shd w:val="clear" w:color="auto" w:fill="D9D9D9" w:themeFill="background1" w:themeFillShade="D9"/>
            <w:vAlign w:val="center"/>
          </w:tcPr>
          <w:p w:rsidR="00EA33F4" w:rsidRPr="00A71D2E" w:rsidRDefault="00EA33F4">
            <w:pPr>
              <w:jc w:val="center"/>
              <w:rPr>
                <w:rFonts w:eastAsia="宋体" w:cs="Times New Roman"/>
                <w:sz w:val="18"/>
                <w:szCs w:val="18"/>
              </w:rPr>
            </w:pPr>
            <w:r w:rsidRPr="00A71D2E">
              <w:rPr>
                <w:rFonts w:eastAsia="宋体" w:cs="Times New Roman" w:hint="eastAsia"/>
                <w:sz w:val="18"/>
                <w:szCs w:val="18"/>
              </w:rPr>
              <w:t>本年增加金额</w:t>
            </w:r>
          </w:p>
        </w:tc>
        <w:tc>
          <w:tcPr>
            <w:tcW w:w="1834" w:type="dxa"/>
            <w:shd w:val="clear" w:color="auto" w:fill="D9D9D9" w:themeFill="background1" w:themeFillShade="D9"/>
            <w:vAlign w:val="center"/>
          </w:tcPr>
          <w:p w:rsidR="00EA33F4" w:rsidRPr="00A71D2E" w:rsidRDefault="00EA33F4">
            <w:pPr>
              <w:jc w:val="center"/>
              <w:rPr>
                <w:rFonts w:eastAsia="宋体" w:cs="Times New Roman"/>
                <w:sz w:val="18"/>
                <w:szCs w:val="18"/>
              </w:rPr>
            </w:pPr>
            <w:r w:rsidRPr="00A71D2E">
              <w:rPr>
                <w:rFonts w:eastAsia="宋体" w:cs="Times New Roman" w:hint="eastAsia"/>
                <w:sz w:val="18"/>
                <w:szCs w:val="18"/>
              </w:rPr>
              <w:t>本年摊销金额</w:t>
            </w:r>
          </w:p>
        </w:tc>
        <w:tc>
          <w:tcPr>
            <w:tcW w:w="1834" w:type="dxa"/>
            <w:shd w:val="clear" w:color="auto" w:fill="D9D9D9" w:themeFill="background1" w:themeFillShade="D9"/>
            <w:vAlign w:val="center"/>
          </w:tcPr>
          <w:p w:rsidR="00EA33F4" w:rsidRPr="00A71D2E" w:rsidRDefault="00EA33F4">
            <w:pPr>
              <w:jc w:val="center"/>
              <w:rPr>
                <w:rFonts w:eastAsia="宋体" w:cs="Times New Roman"/>
                <w:sz w:val="18"/>
                <w:szCs w:val="18"/>
              </w:rPr>
            </w:pPr>
            <w:r w:rsidRPr="00A71D2E">
              <w:rPr>
                <w:rFonts w:eastAsia="宋体" w:cs="Times New Roman" w:hint="eastAsia"/>
                <w:sz w:val="18"/>
                <w:szCs w:val="18"/>
              </w:rPr>
              <w:t>年末余额</w:t>
            </w:r>
          </w:p>
        </w:tc>
      </w:tr>
      <w:tr w:rsidR="00E17BD6" w:rsidRPr="00A71D2E" w:rsidTr="0027505B">
        <w:trPr>
          <w:trHeight w:val="20"/>
        </w:trPr>
        <w:tc>
          <w:tcPr>
            <w:tcW w:w="2108" w:type="dxa"/>
            <w:shd w:val="clear" w:color="auto" w:fill="FFFFFF" w:themeFill="background1"/>
            <w:tcMar>
              <w:top w:w="0" w:type="dxa"/>
              <w:left w:w="108" w:type="dxa"/>
              <w:bottom w:w="0" w:type="dxa"/>
              <w:right w:w="108" w:type="dxa"/>
            </w:tcMar>
            <w:vAlign w:val="center"/>
          </w:tcPr>
          <w:p w:rsidR="00E17BD6" w:rsidRPr="00A71D2E" w:rsidRDefault="00E17BD6" w:rsidP="00E17BD6">
            <w:pPr>
              <w:rPr>
                <w:rFonts w:eastAsia="宋体" w:cs="Times New Roman"/>
                <w:sz w:val="18"/>
                <w:szCs w:val="18"/>
              </w:rPr>
            </w:pPr>
            <w:r>
              <w:rPr>
                <w:rFonts w:eastAsia="宋体" w:cs="Times New Roman" w:hint="eastAsia"/>
                <w:sz w:val="18"/>
                <w:szCs w:val="18"/>
              </w:rPr>
              <w:t>租入固定资产改良支出</w:t>
            </w:r>
          </w:p>
        </w:tc>
        <w:tc>
          <w:tcPr>
            <w:tcW w:w="1834" w:type="dxa"/>
            <w:vAlign w:val="center"/>
          </w:tcPr>
          <w:p w:rsidR="00E17BD6" w:rsidRPr="00A71D2E" w:rsidRDefault="00E17BD6" w:rsidP="00E17BD6">
            <w:pPr>
              <w:ind w:right="93"/>
              <w:jc w:val="right"/>
              <w:rPr>
                <w:rFonts w:eastAsia="宋体" w:cs="Times New Roman"/>
                <w:sz w:val="18"/>
                <w:szCs w:val="18"/>
              </w:rPr>
            </w:pPr>
            <w:r w:rsidRPr="00A71D2E">
              <w:rPr>
                <w:rFonts w:eastAsia="宋体" w:cs="Times New Roman"/>
                <w:sz w:val="18"/>
                <w:szCs w:val="18"/>
              </w:rPr>
              <w:t>4,030,975.75</w:t>
            </w:r>
          </w:p>
        </w:tc>
        <w:tc>
          <w:tcPr>
            <w:tcW w:w="1834" w:type="dxa"/>
            <w:vAlign w:val="center"/>
          </w:tcPr>
          <w:p w:rsidR="00E17BD6" w:rsidRPr="00A71D2E" w:rsidRDefault="00C35EC6" w:rsidP="00E17BD6">
            <w:pPr>
              <w:ind w:right="93"/>
              <w:jc w:val="right"/>
              <w:rPr>
                <w:rFonts w:eastAsia="宋体" w:cs="Times New Roman"/>
                <w:sz w:val="18"/>
                <w:szCs w:val="18"/>
              </w:rPr>
            </w:pPr>
            <w:r w:rsidRPr="00C35EC6">
              <w:rPr>
                <w:rFonts w:eastAsia="宋体" w:cs="Times New Roman"/>
                <w:sz w:val="18"/>
                <w:szCs w:val="18"/>
              </w:rPr>
              <w:t>3,201,262.29</w:t>
            </w:r>
          </w:p>
        </w:tc>
        <w:tc>
          <w:tcPr>
            <w:tcW w:w="1834" w:type="dxa"/>
            <w:vAlign w:val="center"/>
          </w:tcPr>
          <w:p w:rsidR="00E17BD6" w:rsidRPr="00A71D2E" w:rsidRDefault="00C35EC6" w:rsidP="00E17BD6">
            <w:pPr>
              <w:ind w:right="93"/>
              <w:jc w:val="right"/>
              <w:rPr>
                <w:rFonts w:eastAsia="宋体" w:cs="Times New Roman"/>
                <w:sz w:val="18"/>
                <w:szCs w:val="18"/>
              </w:rPr>
            </w:pPr>
            <w:r w:rsidRPr="00C35EC6">
              <w:rPr>
                <w:rFonts w:eastAsia="宋体" w:cs="Times New Roman"/>
                <w:sz w:val="18"/>
                <w:szCs w:val="18"/>
              </w:rPr>
              <w:t>3,810,067.31</w:t>
            </w:r>
          </w:p>
        </w:tc>
        <w:tc>
          <w:tcPr>
            <w:tcW w:w="1834" w:type="dxa"/>
            <w:vAlign w:val="center"/>
          </w:tcPr>
          <w:p w:rsidR="00E17BD6" w:rsidRPr="00A71D2E" w:rsidRDefault="00C35EC6" w:rsidP="00E17BD6">
            <w:pPr>
              <w:ind w:right="93"/>
              <w:jc w:val="right"/>
              <w:rPr>
                <w:rFonts w:eastAsia="宋体" w:cs="Times New Roman"/>
                <w:sz w:val="18"/>
                <w:szCs w:val="18"/>
              </w:rPr>
            </w:pPr>
            <w:r w:rsidRPr="00C35EC6">
              <w:rPr>
                <w:rFonts w:eastAsia="宋体" w:cs="Times New Roman"/>
                <w:sz w:val="18"/>
                <w:szCs w:val="18"/>
              </w:rPr>
              <w:t>3,422,170.73</w:t>
            </w:r>
          </w:p>
        </w:tc>
      </w:tr>
      <w:tr w:rsidR="00E17BD6" w:rsidRPr="00A71D2E" w:rsidTr="0027505B">
        <w:trPr>
          <w:trHeight w:val="20"/>
        </w:trPr>
        <w:tc>
          <w:tcPr>
            <w:tcW w:w="2108" w:type="dxa"/>
            <w:shd w:val="clear" w:color="auto" w:fill="FFFFFF" w:themeFill="background1"/>
            <w:tcMar>
              <w:top w:w="0" w:type="dxa"/>
              <w:left w:w="108" w:type="dxa"/>
              <w:bottom w:w="0" w:type="dxa"/>
              <w:right w:w="108" w:type="dxa"/>
            </w:tcMar>
            <w:vAlign w:val="center"/>
          </w:tcPr>
          <w:p w:rsidR="00E17BD6" w:rsidRPr="00A71D2E" w:rsidRDefault="00E17BD6" w:rsidP="00E17BD6">
            <w:pPr>
              <w:rPr>
                <w:rFonts w:eastAsia="宋体" w:cs="Times New Roman"/>
                <w:sz w:val="18"/>
                <w:szCs w:val="18"/>
              </w:rPr>
            </w:pPr>
            <w:r w:rsidRPr="00A71D2E">
              <w:rPr>
                <w:rFonts w:eastAsia="宋体" w:cs="Times New Roman" w:hint="eastAsia"/>
                <w:sz w:val="18"/>
                <w:szCs w:val="18"/>
              </w:rPr>
              <w:t>员工住房借款待摊利息</w:t>
            </w:r>
          </w:p>
        </w:tc>
        <w:tc>
          <w:tcPr>
            <w:tcW w:w="1834" w:type="dxa"/>
            <w:vAlign w:val="center"/>
          </w:tcPr>
          <w:p w:rsidR="00E17BD6" w:rsidRPr="00A71D2E" w:rsidRDefault="00E17BD6" w:rsidP="00E17BD6">
            <w:pPr>
              <w:ind w:right="93"/>
              <w:jc w:val="right"/>
              <w:rPr>
                <w:rFonts w:eastAsia="宋体" w:cs="Times New Roman"/>
                <w:sz w:val="18"/>
                <w:szCs w:val="18"/>
              </w:rPr>
            </w:pPr>
            <w:r w:rsidRPr="00A71D2E">
              <w:rPr>
                <w:rFonts w:eastAsia="宋体" w:cs="Times New Roman"/>
                <w:sz w:val="18"/>
                <w:szCs w:val="18"/>
              </w:rPr>
              <w:t>3,409,701.02</w:t>
            </w:r>
          </w:p>
        </w:tc>
        <w:tc>
          <w:tcPr>
            <w:tcW w:w="1834" w:type="dxa"/>
            <w:vAlign w:val="center"/>
          </w:tcPr>
          <w:p w:rsidR="00E17BD6" w:rsidRPr="00A71D2E" w:rsidRDefault="00C35EC6" w:rsidP="00E17BD6">
            <w:pPr>
              <w:ind w:right="93"/>
              <w:jc w:val="right"/>
              <w:rPr>
                <w:rFonts w:eastAsia="宋体" w:cs="Times New Roman"/>
                <w:sz w:val="18"/>
                <w:szCs w:val="18"/>
              </w:rPr>
            </w:pPr>
            <w:r w:rsidRPr="00C35EC6">
              <w:rPr>
                <w:rFonts w:eastAsia="宋体" w:cs="Times New Roman"/>
                <w:sz w:val="18"/>
                <w:szCs w:val="18"/>
              </w:rPr>
              <w:t>1,033,860.50</w:t>
            </w:r>
          </w:p>
        </w:tc>
        <w:tc>
          <w:tcPr>
            <w:tcW w:w="1834" w:type="dxa"/>
            <w:vAlign w:val="center"/>
          </w:tcPr>
          <w:p w:rsidR="00E17BD6" w:rsidRPr="00A71D2E" w:rsidRDefault="00C35EC6" w:rsidP="00E17BD6">
            <w:pPr>
              <w:ind w:right="93"/>
              <w:jc w:val="right"/>
              <w:rPr>
                <w:rFonts w:eastAsia="宋体" w:cs="Times New Roman"/>
                <w:sz w:val="18"/>
                <w:szCs w:val="18"/>
              </w:rPr>
            </w:pPr>
            <w:r w:rsidRPr="00C35EC6">
              <w:rPr>
                <w:rFonts w:eastAsia="宋体" w:cs="Times New Roman"/>
                <w:sz w:val="18"/>
                <w:szCs w:val="18"/>
              </w:rPr>
              <w:t>2,213,602.35</w:t>
            </w:r>
          </w:p>
        </w:tc>
        <w:tc>
          <w:tcPr>
            <w:tcW w:w="1834" w:type="dxa"/>
            <w:vAlign w:val="center"/>
          </w:tcPr>
          <w:p w:rsidR="00E17BD6" w:rsidRPr="00A71D2E" w:rsidRDefault="00C35EC6" w:rsidP="00E17BD6">
            <w:pPr>
              <w:ind w:right="93"/>
              <w:jc w:val="right"/>
              <w:rPr>
                <w:rFonts w:eastAsia="宋体" w:cs="Times New Roman"/>
                <w:sz w:val="18"/>
                <w:szCs w:val="18"/>
              </w:rPr>
            </w:pPr>
            <w:r w:rsidRPr="00C35EC6">
              <w:rPr>
                <w:rFonts w:eastAsia="宋体" w:cs="Times New Roman"/>
                <w:sz w:val="18"/>
                <w:szCs w:val="18"/>
              </w:rPr>
              <w:t>2,229,959.17</w:t>
            </w:r>
          </w:p>
        </w:tc>
      </w:tr>
      <w:tr w:rsidR="00E17BD6" w:rsidRPr="00A71D2E" w:rsidTr="0027505B">
        <w:trPr>
          <w:trHeight w:val="20"/>
        </w:trPr>
        <w:tc>
          <w:tcPr>
            <w:tcW w:w="2108" w:type="dxa"/>
            <w:shd w:val="clear" w:color="auto" w:fill="D9D9D9" w:themeFill="background1" w:themeFillShade="D9"/>
            <w:tcMar>
              <w:top w:w="0" w:type="dxa"/>
              <w:left w:w="108" w:type="dxa"/>
              <w:bottom w:w="0" w:type="dxa"/>
              <w:right w:w="108" w:type="dxa"/>
            </w:tcMar>
            <w:vAlign w:val="center"/>
          </w:tcPr>
          <w:p w:rsidR="00E17BD6" w:rsidRPr="00A71D2E" w:rsidRDefault="00E17BD6" w:rsidP="00E17BD6">
            <w:pPr>
              <w:rPr>
                <w:rFonts w:eastAsia="宋体" w:cs="Times New Roman"/>
                <w:sz w:val="18"/>
                <w:szCs w:val="18"/>
              </w:rPr>
            </w:pPr>
            <w:r w:rsidRPr="00A71D2E">
              <w:rPr>
                <w:rFonts w:eastAsia="宋体" w:cs="Times New Roman" w:hint="eastAsia"/>
                <w:sz w:val="18"/>
                <w:szCs w:val="18"/>
              </w:rPr>
              <w:t>合计</w:t>
            </w:r>
          </w:p>
        </w:tc>
        <w:tc>
          <w:tcPr>
            <w:tcW w:w="1834" w:type="dxa"/>
            <w:vAlign w:val="center"/>
          </w:tcPr>
          <w:p w:rsidR="00E17BD6" w:rsidRPr="00A71D2E" w:rsidRDefault="00E17BD6" w:rsidP="00E17BD6">
            <w:pPr>
              <w:ind w:right="93"/>
              <w:jc w:val="right"/>
              <w:rPr>
                <w:rFonts w:eastAsia="宋体" w:cs="Times New Roman"/>
                <w:sz w:val="18"/>
                <w:szCs w:val="18"/>
              </w:rPr>
            </w:pPr>
            <w:r w:rsidRPr="00A71D2E">
              <w:rPr>
                <w:rFonts w:eastAsia="宋体" w:cs="Times New Roman"/>
                <w:sz w:val="18"/>
                <w:szCs w:val="18"/>
              </w:rPr>
              <w:t>7,440,676.77</w:t>
            </w:r>
          </w:p>
        </w:tc>
        <w:tc>
          <w:tcPr>
            <w:tcW w:w="1834" w:type="dxa"/>
            <w:vAlign w:val="center"/>
          </w:tcPr>
          <w:p w:rsidR="00E17BD6" w:rsidRPr="00A71D2E" w:rsidRDefault="00C35EC6" w:rsidP="00E17BD6">
            <w:pPr>
              <w:ind w:right="93"/>
              <w:jc w:val="right"/>
              <w:rPr>
                <w:rFonts w:eastAsia="宋体" w:cs="Times New Roman"/>
                <w:sz w:val="18"/>
                <w:szCs w:val="18"/>
              </w:rPr>
            </w:pPr>
            <w:r w:rsidRPr="00C35EC6">
              <w:rPr>
                <w:rFonts w:eastAsia="宋体" w:cs="Times New Roman"/>
                <w:sz w:val="18"/>
                <w:szCs w:val="18"/>
              </w:rPr>
              <w:t>4,235,122.79</w:t>
            </w:r>
          </w:p>
        </w:tc>
        <w:tc>
          <w:tcPr>
            <w:tcW w:w="1834" w:type="dxa"/>
            <w:vAlign w:val="center"/>
          </w:tcPr>
          <w:p w:rsidR="00E17BD6" w:rsidRPr="00A71D2E" w:rsidRDefault="00C35EC6" w:rsidP="00E17BD6">
            <w:pPr>
              <w:ind w:right="93"/>
              <w:jc w:val="right"/>
              <w:rPr>
                <w:rFonts w:eastAsia="宋体" w:cs="Times New Roman"/>
                <w:sz w:val="18"/>
                <w:szCs w:val="18"/>
              </w:rPr>
            </w:pPr>
            <w:r w:rsidRPr="00C35EC6">
              <w:rPr>
                <w:rFonts w:eastAsia="宋体" w:cs="Times New Roman"/>
                <w:sz w:val="18"/>
                <w:szCs w:val="18"/>
              </w:rPr>
              <w:t>6,023,669.66</w:t>
            </w:r>
          </w:p>
        </w:tc>
        <w:tc>
          <w:tcPr>
            <w:tcW w:w="1834" w:type="dxa"/>
            <w:vAlign w:val="center"/>
          </w:tcPr>
          <w:p w:rsidR="00E17BD6" w:rsidRPr="00A71D2E" w:rsidRDefault="00C35EC6" w:rsidP="00E17BD6">
            <w:pPr>
              <w:ind w:right="93"/>
              <w:jc w:val="right"/>
              <w:rPr>
                <w:rFonts w:eastAsia="宋体" w:cs="Times New Roman"/>
                <w:sz w:val="18"/>
                <w:szCs w:val="18"/>
              </w:rPr>
            </w:pPr>
            <w:r w:rsidRPr="00C35EC6">
              <w:rPr>
                <w:rFonts w:eastAsia="宋体" w:cs="Times New Roman"/>
                <w:sz w:val="18"/>
                <w:szCs w:val="18"/>
              </w:rPr>
              <w:t>5,652,129.90</w:t>
            </w:r>
          </w:p>
        </w:tc>
      </w:tr>
    </w:tbl>
    <w:p w:rsidR="00415B2E" w:rsidRPr="00A71D2E" w:rsidRDefault="00415B2E">
      <w:pPr>
        <w:ind w:left="731"/>
        <w:rPr>
          <w:rFonts w:eastAsia="宋体" w:cs="Times New Roman"/>
          <w:szCs w:val="21"/>
        </w:rPr>
      </w:pPr>
    </w:p>
    <w:p w:rsidR="007D47F9" w:rsidRPr="00A71D2E" w:rsidRDefault="007D47F9">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递延所得税资产</w:t>
      </w:r>
      <w:r w:rsidRPr="00A71D2E">
        <w:rPr>
          <w:rFonts w:ascii="Times New Roman" w:eastAsia="宋体" w:hAnsi="Times New Roman" w:cs="Times New Roman"/>
        </w:rPr>
        <w:t>/</w:t>
      </w:r>
      <w:r w:rsidRPr="00A71D2E">
        <w:rPr>
          <w:rFonts w:ascii="Times New Roman" w:eastAsia="宋体" w:hAnsi="Times New Roman" w:cs="Times New Roman" w:hint="eastAsia"/>
        </w:rPr>
        <w:t>递延所得税负债</w:t>
      </w:r>
    </w:p>
    <w:p w:rsidR="007D47F9" w:rsidRPr="00A71D2E" w:rsidRDefault="007D47F9">
      <w:pPr>
        <w:ind w:left="731"/>
        <w:rPr>
          <w:rFonts w:eastAsia="宋体" w:cs="Times New Roman"/>
          <w:szCs w:val="21"/>
        </w:rPr>
      </w:pPr>
    </w:p>
    <w:p w:rsidR="007D47F9" w:rsidRPr="00A71D2E" w:rsidRDefault="007D47F9">
      <w:pPr>
        <w:pStyle w:val="aff1"/>
        <w:numPr>
          <w:ilvl w:val="0"/>
          <w:numId w:val="43"/>
        </w:numPr>
        <w:ind w:left="1440" w:firstLineChars="0" w:hanging="709"/>
        <w:rPr>
          <w:szCs w:val="21"/>
        </w:rPr>
      </w:pPr>
      <w:r w:rsidRPr="00A71D2E">
        <w:rPr>
          <w:rFonts w:hint="eastAsia"/>
          <w:szCs w:val="21"/>
        </w:rPr>
        <w:t>未经</w:t>
      </w:r>
      <w:proofErr w:type="gramStart"/>
      <w:r w:rsidRPr="00A71D2E">
        <w:rPr>
          <w:rFonts w:hint="eastAsia"/>
          <w:szCs w:val="21"/>
        </w:rPr>
        <w:t>抵销</w:t>
      </w:r>
      <w:proofErr w:type="gramEnd"/>
      <w:r w:rsidRPr="00A71D2E">
        <w:rPr>
          <w:rFonts w:hint="eastAsia"/>
          <w:szCs w:val="21"/>
        </w:rPr>
        <w:t>的递延所得税资产</w:t>
      </w:r>
    </w:p>
    <w:p w:rsidR="00EB68E7" w:rsidRPr="00A71D2E" w:rsidRDefault="00EB68E7">
      <w:pPr>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8"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17"/>
        <w:gridCol w:w="1833"/>
        <w:gridCol w:w="1834"/>
        <w:gridCol w:w="1834"/>
        <w:gridCol w:w="1834"/>
      </w:tblGrid>
      <w:tr w:rsidR="00EB68E7" w:rsidRPr="00C26513" w:rsidTr="0027505B">
        <w:trPr>
          <w:trHeight w:val="20"/>
        </w:trPr>
        <w:tc>
          <w:tcPr>
            <w:tcW w:w="2117" w:type="dxa"/>
            <w:vMerge w:val="restart"/>
            <w:shd w:val="clear" w:color="auto" w:fill="D9D9D9" w:themeFill="background1" w:themeFillShade="D9"/>
            <w:vAlign w:val="center"/>
          </w:tcPr>
          <w:p w:rsidR="00EB68E7" w:rsidRPr="00C26513" w:rsidRDefault="00E679E2">
            <w:pPr>
              <w:jc w:val="center"/>
              <w:rPr>
                <w:rFonts w:eastAsia="宋体" w:cs="Times New Roman"/>
                <w:sz w:val="18"/>
                <w:szCs w:val="18"/>
              </w:rPr>
            </w:pPr>
            <w:r w:rsidRPr="00C26513">
              <w:rPr>
                <w:rFonts w:eastAsia="宋体" w:cs="Times New Roman" w:hint="eastAsia"/>
                <w:sz w:val="18"/>
                <w:szCs w:val="18"/>
              </w:rPr>
              <w:t>项目</w:t>
            </w:r>
          </w:p>
        </w:tc>
        <w:tc>
          <w:tcPr>
            <w:tcW w:w="3667" w:type="dxa"/>
            <w:gridSpan w:val="2"/>
            <w:shd w:val="clear" w:color="auto" w:fill="D9D9D9" w:themeFill="background1" w:themeFillShade="D9"/>
            <w:vAlign w:val="center"/>
          </w:tcPr>
          <w:p w:rsidR="00EB68E7" w:rsidRPr="00C26513" w:rsidRDefault="00A0062C">
            <w:pPr>
              <w:jc w:val="center"/>
              <w:rPr>
                <w:rFonts w:eastAsia="宋体" w:cs="Times New Roman"/>
                <w:sz w:val="18"/>
                <w:szCs w:val="18"/>
              </w:rPr>
            </w:pPr>
            <w:r w:rsidRPr="00C26513">
              <w:rPr>
                <w:rFonts w:eastAsia="宋体" w:cs="Times New Roman" w:hint="eastAsia"/>
                <w:sz w:val="18"/>
                <w:szCs w:val="18"/>
              </w:rPr>
              <w:t>年末余额</w:t>
            </w:r>
          </w:p>
        </w:tc>
        <w:tc>
          <w:tcPr>
            <w:tcW w:w="3668" w:type="dxa"/>
            <w:gridSpan w:val="2"/>
            <w:shd w:val="clear" w:color="auto" w:fill="D9D9D9" w:themeFill="background1" w:themeFillShade="D9"/>
            <w:vAlign w:val="center"/>
          </w:tcPr>
          <w:p w:rsidR="006E1121" w:rsidRPr="00C26513" w:rsidRDefault="00A0062C" w:rsidP="006E1121">
            <w:pPr>
              <w:jc w:val="center"/>
              <w:rPr>
                <w:rFonts w:eastAsia="宋体" w:cs="Times New Roman"/>
                <w:sz w:val="18"/>
                <w:szCs w:val="18"/>
              </w:rPr>
            </w:pPr>
            <w:r w:rsidRPr="00C26513">
              <w:rPr>
                <w:rFonts w:eastAsia="宋体" w:cs="Times New Roman" w:hint="eastAsia"/>
                <w:sz w:val="18"/>
                <w:szCs w:val="18"/>
              </w:rPr>
              <w:t>年初余额</w:t>
            </w:r>
            <w:r w:rsidR="005F14EE" w:rsidRPr="00C26513">
              <w:rPr>
                <w:rFonts w:eastAsia="宋体" w:cs="Times New Roman"/>
                <w:sz w:val="18"/>
                <w:szCs w:val="18"/>
              </w:rPr>
              <w:t>(</w:t>
            </w:r>
            <w:r w:rsidR="00DE1A2B" w:rsidRPr="00C26513">
              <w:rPr>
                <w:rFonts w:eastAsia="宋体" w:cs="Times New Roman" w:hint="eastAsia"/>
                <w:sz w:val="18"/>
                <w:szCs w:val="18"/>
              </w:rPr>
              <w:t>已重述</w:t>
            </w:r>
            <w:r w:rsidR="005F14EE" w:rsidRPr="00C26513">
              <w:rPr>
                <w:rFonts w:eastAsia="宋体" w:cs="Times New Roman"/>
                <w:sz w:val="18"/>
                <w:szCs w:val="18"/>
              </w:rPr>
              <w:t>)</w:t>
            </w:r>
          </w:p>
        </w:tc>
      </w:tr>
      <w:tr w:rsidR="00EB68E7" w:rsidRPr="00C26513" w:rsidTr="0027505B">
        <w:trPr>
          <w:trHeight w:val="20"/>
        </w:trPr>
        <w:tc>
          <w:tcPr>
            <w:tcW w:w="2117" w:type="dxa"/>
            <w:vMerge/>
            <w:shd w:val="clear" w:color="auto" w:fill="D9D9D9" w:themeFill="background1" w:themeFillShade="D9"/>
            <w:vAlign w:val="center"/>
          </w:tcPr>
          <w:p w:rsidR="00EB68E7" w:rsidRPr="00C26513" w:rsidRDefault="00EB68E7">
            <w:pPr>
              <w:rPr>
                <w:rFonts w:eastAsia="宋体" w:cs="Times New Roman"/>
                <w:sz w:val="18"/>
                <w:szCs w:val="18"/>
              </w:rPr>
            </w:pPr>
          </w:p>
        </w:tc>
        <w:tc>
          <w:tcPr>
            <w:tcW w:w="1833" w:type="dxa"/>
            <w:shd w:val="clear" w:color="auto" w:fill="D9D9D9" w:themeFill="background1" w:themeFillShade="D9"/>
            <w:vAlign w:val="center"/>
          </w:tcPr>
          <w:p w:rsidR="00EB68E7" w:rsidRPr="00C26513" w:rsidRDefault="00EB68E7">
            <w:pPr>
              <w:jc w:val="center"/>
              <w:rPr>
                <w:rFonts w:eastAsia="宋体" w:cs="Times New Roman"/>
                <w:sz w:val="18"/>
                <w:szCs w:val="18"/>
              </w:rPr>
            </w:pPr>
            <w:r w:rsidRPr="00C26513">
              <w:rPr>
                <w:rFonts w:eastAsia="宋体" w:cs="Times New Roman" w:hint="eastAsia"/>
                <w:sz w:val="18"/>
                <w:szCs w:val="18"/>
              </w:rPr>
              <w:t>可抵扣暂时性差异</w:t>
            </w:r>
          </w:p>
        </w:tc>
        <w:tc>
          <w:tcPr>
            <w:tcW w:w="1834" w:type="dxa"/>
            <w:shd w:val="clear" w:color="auto" w:fill="D9D9D9" w:themeFill="background1" w:themeFillShade="D9"/>
            <w:vAlign w:val="center"/>
          </w:tcPr>
          <w:p w:rsidR="00EB68E7" w:rsidRPr="00C26513" w:rsidRDefault="00EB68E7">
            <w:pPr>
              <w:jc w:val="center"/>
              <w:rPr>
                <w:rFonts w:eastAsia="宋体" w:cs="Times New Roman"/>
                <w:sz w:val="18"/>
                <w:szCs w:val="18"/>
              </w:rPr>
            </w:pPr>
            <w:r w:rsidRPr="00C26513">
              <w:rPr>
                <w:rFonts w:eastAsia="宋体" w:cs="Times New Roman" w:hint="eastAsia"/>
                <w:sz w:val="18"/>
                <w:szCs w:val="18"/>
              </w:rPr>
              <w:t>递延所得税资产</w:t>
            </w:r>
          </w:p>
        </w:tc>
        <w:tc>
          <w:tcPr>
            <w:tcW w:w="1834" w:type="dxa"/>
            <w:shd w:val="clear" w:color="auto" w:fill="D9D9D9" w:themeFill="background1" w:themeFillShade="D9"/>
            <w:vAlign w:val="center"/>
          </w:tcPr>
          <w:p w:rsidR="00EB68E7" w:rsidRPr="00C26513" w:rsidRDefault="00EB68E7">
            <w:pPr>
              <w:jc w:val="center"/>
              <w:rPr>
                <w:rFonts w:eastAsia="宋体" w:cs="Times New Roman"/>
                <w:sz w:val="18"/>
                <w:szCs w:val="18"/>
              </w:rPr>
            </w:pPr>
            <w:r w:rsidRPr="00C26513">
              <w:rPr>
                <w:rFonts w:eastAsia="宋体" w:cs="Times New Roman" w:hint="eastAsia"/>
                <w:sz w:val="18"/>
                <w:szCs w:val="18"/>
              </w:rPr>
              <w:t>可抵扣暂时性差异</w:t>
            </w:r>
          </w:p>
        </w:tc>
        <w:tc>
          <w:tcPr>
            <w:tcW w:w="1834" w:type="dxa"/>
            <w:shd w:val="clear" w:color="auto" w:fill="D9D9D9" w:themeFill="background1" w:themeFillShade="D9"/>
            <w:vAlign w:val="center"/>
          </w:tcPr>
          <w:p w:rsidR="00EB68E7" w:rsidRPr="00C26513" w:rsidRDefault="00EB68E7">
            <w:pPr>
              <w:jc w:val="center"/>
              <w:rPr>
                <w:rFonts w:eastAsia="宋体" w:cs="Times New Roman"/>
                <w:sz w:val="18"/>
                <w:szCs w:val="18"/>
              </w:rPr>
            </w:pPr>
            <w:r w:rsidRPr="00C26513">
              <w:rPr>
                <w:rFonts w:eastAsia="宋体" w:cs="Times New Roman" w:hint="eastAsia"/>
                <w:sz w:val="18"/>
                <w:szCs w:val="18"/>
              </w:rPr>
              <w:t>递延所得税资产</w:t>
            </w:r>
          </w:p>
        </w:tc>
      </w:tr>
      <w:tr w:rsidR="00224340" w:rsidRPr="00C26513" w:rsidTr="0027505B">
        <w:trPr>
          <w:trHeight w:val="20"/>
        </w:trPr>
        <w:tc>
          <w:tcPr>
            <w:tcW w:w="2117" w:type="dxa"/>
            <w:shd w:val="clear" w:color="auto" w:fill="auto"/>
            <w:vAlign w:val="center"/>
          </w:tcPr>
          <w:p w:rsidR="00224340" w:rsidRPr="00C26513" w:rsidRDefault="00DE1A2B" w:rsidP="00224340">
            <w:pPr>
              <w:rPr>
                <w:rFonts w:eastAsia="宋体" w:cs="Times New Roman"/>
                <w:sz w:val="18"/>
                <w:szCs w:val="18"/>
              </w:rPr>
            </w:pPr>
            <w:r w:rsidRPr="00C26513">
              <w:rPr>
                <w:rFonts w:eastAsia="宋体" w:cs="Times New Roman" w:hint="eastAsia"/>
                <w:sz w:val="18"/>
                <w:szCs w:val="18"/>
              </w:rPr>
              <w:t>坏账</w:t>
            </w:r>
            <w:r w:rsidR="00224340" w:rsidRPr="00C26513">
              <w:rPr>
                <w:rFonts w:eastAsia="宋体" w:cs="Times New Roman" w:hint="eastAsia"/>
                <w:sz w:val="18"/>
                <w:szCs w:val="18"/>
              </w:rPr>
              <w:t>准备</w:t>
            </w:r>
          </w:p>
        </w:tc>
        <w:tc>
          <w:tcPr>
            <w:tcW w:w="1833"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35,308,174.16</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8,826,464.09</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32,053,449.54</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8,013,362.39</w:t>
            </w:r>
          </w:p>
        </w:tc>
      </w:tr>
      <w:tr w:rsidR="00224340" w:rsidRPr="00C26513" w:rsidTr="0027505B">
        <w:trPr>
          <w:trHeight w:val="20"/>
        </w:trPr>
        <w:tc>
          <w:tcPr>
            <w:tcW w:w="2117" w:type="dxa"/>
            <w:vAlign w:val="center"/>
          </w:tcPr>
          <w:p w:rsidR="00224340" w:rsidRPr="00C26513" w:rsidRDefault="00224340" w:rsidP="00224340">
            <w:pPr>
              <w:rPr>
                <w:rFonts w:eastAsia="宋体" w:cs="Times New Roman"/>
                <w:sz w:val="18"/>
                <w:szCs w:val="18"/>
              </w:rPr>
            </w:pPr>
            <w:r w:rsidRPr="00C26513">
              <w:rPr>
                <w:rFonts w:eastAsia="宋体" w:cs="Times New Roman" w:hint="eastAsia"/>
                <w:sz w:val="18"/>
                <w:szCs w:val="18"/>
              </w:rPr>
              <w:t>资产减值准备</w:t>
            </w:r>
          </w:p>
        </w:tc>
        <w:tc>
          <w:tcPr>
            <w:tcW w:w="1833"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18,195,518.03</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4,264,263.21</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27,695,573.93</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6,634,054.12</w:t>
            </w:r>
          </w:p>
        </w:tc>
      </w:tr>
      <w:tr w:rsidR="00224340" w:rsidRPr="00C26513" w:rsidTr="0027505B">
        <w:trPr>
          <w:trHeight w:val="20"/>
        </w:trPr>
        <w:tc>
          <w:tcPr>
            <w:tcW w:w="2117" w:type="dxa"/>
            <w:vAlign w:val="center"/>
          </w:tcPr>
          <w:p w:rsidR="00224340" w:rsidRPr="00C26513" w:rsidRDefault="00224340" w:rsidP="00224340">
            <w:pPr>
              <w:rPr>
                <w:rFonts w:eastAsia="宋体" w:cs="Times New Roman"/>
                <w:sz w:val="18"/>
                <w:szCs w:val="18"/>
              </w:rPr>
            </w:pPr>
            <w:r w:rsidRPr="00C26513">
              <w:rPr>
                <w:rFonts w:eastAsia="宋体" w:cs="Times New Roman" w:hint="eastAsia"/>
                <w:sz w:val="18"/>
                <w:szCs w:val="18"/>
              </w:rPr>
              <w:t>已计提未结算的负债</w:t>
            </w:r>
          </w:p>
        </w:tc>
        <w:tc>
          <w:tcPr>
            <w:tcW w:w="1833"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113,368,764.67</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24,491,123.55</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139,411,683.88</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28,682,814.86</w:t>
            </w:r>
          </w:p>
        </w:tc>
      </w:tr>
      <w:tr w:rsidR="00224340" w:rsidRPr="00C26513" w:rsidTr="0027505B">
        <w:trPr>
          <w:trHeight w:val="20"/>
        </w:trPr>
        <w:tc>
          <w:tcPr>
            <w:tcW w:w="2117" w:type="dxa"/>
            <w:vAlign w:val="center"/>
          </w:tcPr>
          <w:p w:rsidR="00224340" w:rsidRPr="00C26513" w:rsidRDefault="00224340" w:rsidP="00224340">
            <w:pPr>
              <w:rPr>
                <w:rFonts w:eastAsia="宋体" w:cs="Times New Roman"/>
                <w:sz w:val="18"/>
                <w:szCs w:val="18"/>
              </w:rPr>
            </w:pPr>
            <w:r w:rsidRPr="00C26513">
              <w:rPr>
                <w:rFonts w:eastAsia="宋体" w:cs="Times New Roman" w:hint="eastAsia"/>
                <w:sz w:val="18"/>
                <w:szCs w:val="18"/>
              </w:rPr>
              <w:t>未实现利润</w:t>
            </w:r>
          </w:p>
        </w:tc>
        <w:tc>
          <w:tcPr>
            <w:tcW w:w="1833"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35,572,790.77</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8,893,197.69</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19,170,611.45</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4,792,652.86</w:t>
            </w:r>
          </w:p>
        </w:tc>
      </w:tr>
      <w:tr w:rsidR="00224340" w:rsidRPr="00C26513" w:rsidTr="0027505B">
        <w:trPr>
          <w:trHeight w:val="20"/>
        </w:trPr>
        <w:tc>
          <w:tcPr>
            <w:tcW w:w="2117" w:type="dxa"/>
            <w:vAlign w:val="center"/>
          </w:tcPr>
          <w:p w:rsidR="00224340" w:rsidRPr="00C26513" w:rsidRDefault="00224340" w:rsidP="00224340">
            <w:pPr>
              <w:rPr>
                <w:rFonts w:eastAsia="宋体" w:cs="Times New Roman"/>
                <w:sz w:val="18"/>
                <w:szCs w:val="18"/>
              </w:rPr>
            </w:pPr>
            <w:r w:rsidRPr="00C26513">
              <w:rPr>
                <w:rFonts w:eastAsia="宋体" w:cs="Times New Roman" w:hint="eastAsia"/>
                <w:sz w:val="18"/>
                <w:szCs w:val="18"/>
              </w:rPr>
              <w:t>预计负债</w:t>
            </w:r>
          </w:p>
        </w:tc>
        <w:tc>
          <w:tcPr>
            <w:tcW w:w="1833"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12,428,738.35</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3,107,184.59</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7,849,236.67</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1,962,309.17</w:t>
            </w:r>
          </w:p>
        </w:tc>
      </w:tr>
      <w:tr w:rsidR="00224340" w:rsidRPr="00C26513" w:rsidTr="0027505B">
        <w:trPr>
          <w:trHeight w:val="20"/>
        </w:trPr>
        <w:tc>
          <w:tcPr>
            <w:tcW w:w="2117" w:type="dxa"/>
            <w:vAlign w:val="center"/>
          </w:tcPr>
          <w:p w:rsidR="00224340" w:rsidRPr="00C26513" w:rsidRDefault="00224340" w:rsidP="00224340">
            <w:pPr>
              <w:rPr>
                <w:rFonts w:eastAsia="宋体" w:cs="Times New Roman"/>
                <w:sz w:val="18"/>
                <w:szCs w:val="18"/>
              </w:rPr>
            </w:pPr>
            <w:r w:rsidRPr="00C26513">
              <w:rPr>
                <w:rFonts w:eastAsia="宋体" w:cs="Times New Roman" w:hint="eastAsia"/>
                <w:sz w:val="18"/>
                <w:szCs w:val="18"/>
              </w:rPr>
              <w:t>政府补助</w:t>
            </w:r>
          </w:p>
        </w:tc>
        <w:tc>
          <w:tcPr>
            <w:tcW w:w="1833"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189,278,194.20</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29,086,038.19</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174,348,274.05</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 xml:space="preserve">26,287,818.07 </w:t>
            </w:r>
          </w:p>
        </w:tc>
      </w:tr>
      <w:tr w:rsidR="00224340" w:rsidRPr="00C26513" w:rsidTr="0027505B">
        <w:trPr>
          <w:trHeight w:val="20"/>
        </w:trPr>
        <w:tc>
          <w:tcPr>
            <w:tcW w:w="2117" w:type="dxa"/>
            <w:vAlign w:val="center"/>
          </w:tcPr>
          <w:p w:rsidR="00224340" w:rsidRPr="00C26513" w:rsidRDefault="00224340" w:rsidP="00224340">
            <w:pPr>
              <w:rPr>
                <w:rFonts w:eastAsia="宋体" w:cs="Times New Roman"/>
                <w:sz w:val="18"/>
                <w:szCs w:val="18"/>
              </w:rPr>
            </w:pPr>
            <w:r w:rsidRPr="00C26513">
              <w:rPr>
                <w:rFonts w:eastAsia="宋体" w:cs="Times New Roman" w:hint="eastAsia"/>
                <w:sz w:val="18"/>
                <w:szCs w:val="18"/>
              </w:rPr>
              <w:t>可抵扣亏损</w:t>
            </w:r>
          </w:p>
        </w:tc>
        <w:tc>
          <w:tcPr>
            <w:tcW w:w="1833"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479,670,339.11</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62,067,374.8</w:t>
            </w:r>
            <w:r w:rsidR="00FE0F6C" w:rsidRPr="00C26513">
              <w:rPr>
                <w:rFonts w:eastAsia="宋体" w:cs="Times New Roman"/>
                <w:sz w:val="18"/>
                <w:szCs w:val="18"/>
              </w:rPr>
              <w:t>5</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249,266,660.81</w:t>
            </w:r>
          </w:p>
        </w:tc>
        <w:tc>
          <w:tcPr>
            <w:tcW w:w="1834" w:type="dxa"/>
            <w:vAlign w:val="center"/>
          </w:tcPr>
          <w:p w:rsidR="00224340" w:rsidRPr="00C26513" w:rsidRDefault="00224340" w:rsidP="00224340">
            <w:pPr>
              <w:jc w:val="right"/>
              <w:rPr>
                <w:rFonts w:eastAsia="宋体" w:cs="Times New Roman"/>
                <w:sz w:val="18"/>
                <w:szCs w:val="18"/>
              </w:rPr>
            </w:pPr>
            <w:r w:rsidRPr="00C26513">
              <w:rPr>
                <w:rFonts w:eastAsia="宋体" w:cs="Times New Roman"/>
                <w:sz w:val="18"/>
                <w:szCs w:val="18"/>
              </w:rPr>
              <w:t>32,045,710.43</w:t>
            </w:r>
          </w:p>
        </w:tc>
      </w:tr>
      <w:tr w:rsidR="00BE5E92" w:rsidRPr="00C26513" w:rsidTr="0027505B">
        <w:trPr>
          <w:trHeight w:val="20"/>
        </w:trPr>
        <w:tc>
          <w:tcPr>
            <w:tcW w:w="2117" w:type="dxa"/>
            <w:vAlign w:val="center"/>
          </w:tcPr>
          <w:p w:rsidR="00BE5E92" w:rsidRPr="00C26513" w:rsidRDefault="00BE5E92" w:rsidP="00224340">
            <w:pPr>
              <w:rPr>
                <w:rFonts w:eastAsia="宋体" w:cs="Times New Roman"/>
                <w:sz w:val="18"/>
                <w:szCs w:val="18"/>
              </w:rPr>
            </w:pPr>
            <w:r w:rsidRPr="00C26513">
              <w:rPr>
                <w:rFonts w:eastAsia="宋体" w:cs="Times New Roman" w:hint="eastAsia"/>
                <w:sz w:val="18"/>
                <w:szCs w:val="18"/>
              </w:rPr>
              <w:t>租赁负债</w:t>
            </w:r>
          </w:p>
        </w:tc>
        <w:tc>
          <w:tcPr>
            <w:tcW w:w="1833" w:type="dxa"/>
            <w:vAlign w:val="center"/>
          </w:tcPr>
          <w:p w:rsidR="00BE5E92" w:rsidRPr="00C26513" w:rsidRDefault="00BE5E92" w:rsidP="00224340">
            <w:pPr>
              <w:jc w:val="right"/>
              <w:rPr>
                <w:rFonts w:eastAsia="宋体" w:cs="Times New Roman"/>
                <w:sz w:val="18"/>
                <w:szCs w:val="18"/>
              </w:rPr>
            </w:pPr>
            <w:r w:rsidRPr="00C26513">
              <w:rPr>
                <w:rFonts w:eastAsia="宋体" w:cs="Times New Roman"/>
                <w:sz w:val="18"/>
                <w:szCs w:val="18"/>
              </w:rPr>
              <w:t>57,806,580.63</w:t>
            </w:r>
          </w:p>
        </w:tc>
        <w:tc>
          <w:tcPr>
            <w:tcW w:w="1834" w:type="dxa"/>
            <w:vAlign w:val="center"/>
          </w:tcPr>
          <w:p w:rsidR="00BE5E92" w:rsidRPr="00C26513" w:rsidRDefault="00BE5E92" w:rsidP="00224340">
            <w:pPr>
              <w:jc w:val="right"/>
              <w:rPr>
                <w:rFonts w:eastAsia="宋体" w:cs="Times New Roman"/>
                <w:sz w:val="18"/>
                <w:szCs w:val="18"/>
              </w:rPr>
            </w:pPr>
            <w:r w:rsidRPr="00C26513">
              <w:rPr>
                <w:rFonts w:eastAsia="宋体" w:cs="Times New Roman"/>
                <w:sz w:val="18"/>
                <w:szCs w:val="18"/>
              </w:rPr>
              <w:t>9,774,331.20</w:t>
            </w:r>
          </w:p>
        </w:tc>
        <w:tc>
          <w:tcPr>
            <w:tcW w:w="1834" w:type="dxa"/>
            <w:vAlign w:val="center"/>
          </w:tcPr>
          <w:p w:rsidR="00BE5E92" w:rsidRPr="00C26513" w:rsidRDefault="00BE5E92" w:rsidP="00224340">
            <w:pPr>
              <w:jc w:val="right"/>
              <w:rPr>
                <w:rFonts w:eastAsia="宋体" w:cs="Times New Roman"/>
                <w:sz w:val="18"/>
                <w:szCs w:val="18"/>
              </w:rPr>
            </w:pPr>
            <w:r w:rsidRPr="00C26513">
              <w:rPr>
                <w:rFonts w:eastAsia="宋体" w:cs="Times New Roman"/>
                <w:sz w:val="18"/>
                <w:szCs w:val="18"/>
              </w:rPr>
              <w:t>95,114,937.22</w:t>
            </w:r>
          </w:p>
        </w:tc>
        <w:tc>
          <w:tcPr>
            <w:tcW w:w="1834" w:type="dxa"/>
            <w:vAlign w:val="center"/>
          </w:tcPr>
          <w:p w:rsidR="00BE5E92" w:rsidRPr="00C26513" w:rsidRDefault="00BE5E92" w:rsidP="00224340">
            <w:pPr>
              <w:jc w:val="right"/>
              <w:rPr>
                <w:rFonts w:eastAsia="宋体" w:cs="Times New Roman"/>
                <w:sz w:val="18"/>
                <w:szCs w:val="18"/>
              </w:rPr>
            </w:pPr>
            <w:r w:rsidRPr="00C26513">
              <w:rPr>
                <w:rFonts w:eastAsia="宋体" w:cs="Times New Roman"/>
                <w:sz w:val="18"/>
                <w:szCs w:val="18"/>
              </w:rPr>
              <w:t>16,260,433.73</w:t>
            </w:r>
          </w:p>
        </w:tc>
      </w:tr>
      <w:tr w:rsidR="00224340" w:rsidRPr="00C26513" w:rsidTr="0027505B">
        <w:trPr>
          <w:trHeight w:val="20"/>
        </w:trPr>
        <w:tc>
          <w:tcPr>
            <w:tcW w:w="2117" w:type="dxa"/>
            <w:shd w:val="clear" w:color="auto" w:fill="D9D9D9" w:themeFill="background1" w:themeFillShade="D9"/>
            <w:vAlign w:val="center"/>
          </w:tcPr>
          <w:p w:rsidR="00224340" w:rsidRPr="00C26513" w:rsidRDefault="00224340" w:rsidP="00224340">
            <w:pPr>
              <w:rPr>
                <w:rFonts w:eastAsia="宋体" w:cs="Times New Roman"/>
                <w:sz w:val="18"/>
                <w:szCs w:val="18"/>
              </w:rPr>
            </w:pPr>
            <w:r w:rsidRPr="00C26513">
              <w:rPr>
                <w:rFonts w:eastAsia="宋体" w:cs="Times New Roman" w:hint="eastAsia"/>
                <w:sz w:val="18"/>
                <w:szCs w:val="18"/>
              </w:rPr>
              <w:t>合计</w:t>
            </w:r>
          </w:p>
        </w:tc>
        <w:tc>
          <w:tcPr>
            <w:tcW w:w="1833"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941,629,099.92</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150,509,977.3</w:t>
            </w:r>
            <w:r w:rsidR="00FE0F6C" w:rsidRPr="00C26513">
              <w:rPr>
                <w:rFonts w:eastAsia="宋体" w:cs="Times New Roman"/>
                <w:sz w:val="18"/>
                <w:szCs w:val="18"/>
              </w:rPr>
              <w:t>7</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744,910,427.55</w:t>
            </w:r>
          </w:p>
        </w:tc>
        <w:tc>
          <w:tcPr>
            <w:tcW w:w="1834" w:type="dxa"/>
            <w:vAlign w:val="center"/>
          </w:tcPr>
          <w:p w:rsidR="00224340" w:rsidRPr="00C26513" w:rsidRDefault="00BE5E92" w:rsidP="00224340">
            <w:pPr>
              <w:jc w:val="right"/>
              <w:rPr>
                <w:rFonts w:eastAsia="宋体" w:cs="Times New Roman"/>
                <w:sz w:val="18"/>
                <w:szCs w:val="18"/>
              </w:rPr>
            </w:pPr>
            <w:r w:rsidRPr="00C26513">
              <w:rPr>
                <w:rFonts w:eastAsia="宋体" w:cs="Times New Roman"/>
                <w:sz w:val="18"/>
                <w:szCs w:val="18"/>
              </w:rPr>
              <w:t>124,679,155.63</w:t>
            </w:r>
          </w:p>
        </w:tc>
      </w:tr>
    </w:tbl>
    <w:p w:rsidR="00A1237E" w:rsidRPr="00A71D2E" w:rsidRDefault="00A1237E" w:rsidP="00F66363">
      <w:pPr>
        <w:ind w:left="720"/>
        <w:jc w:val="both"/>
        <w:rPr>
          <w:rFonts w:eastAsia="宋体" w:cs="Times New Roman"/>
          <w:szCs w:val="21"/>
        </w:rPr>
      </w:pPr>
    </w:p>
    <w:p w:rsidR="00EB68E7" w:rsidRPr="00A71D2E" w:rsidRDefault="00EB68E7">
      <w:pPr>
        <w:pStyle w:val="aff1"/>
        <w:numPr>
          <w:ilvl w:val="0"/>
          <w:numId w:val="43"/>
        </w:numPr>
        <w:ind w:left="1440" w:firstLineChars="0" w:hanging="709"/>
        <w:rPr>
          <w:szCs w:val="21"/>
        </w:rPr>
      </w:pPr>
      <w:r w:rsidRPr="00A71D2E">
        <w:rPr>
          <w:rFonts w:hint="eastAsia"/>
          <w:szCs w:val="21"/>
        </w:rPr>
        <w:t>未经</w:t>
      </w:r>
      <w:proofErr w:type="gramStart"/>
      <w:r w:rsidRPr="00A71D2E">
        <w:rPr>
          <w:rFonts w:hint="eastAsia"/>
          <w:szCs w:val="21"/>
        </w:rPr>
        <w:t>抵销</w:t>
      </w:r>
      <w:proofErr w:type="gramEnd"/>
      <w:r w:rsidRPr="00A71D2E">
        <w:rPr>
          <w:rFonts w:hint="eastAsia"/>
          <w:szCs w:val="21"/>
        </w:rPr>
        <w:t>的递延所得税负债</w:t>
      </w:r>
    </w:p>
    <w:p w:rsidR="00EB68E7" w:rsidRPr="00A71D2E" w:rsidRDefault="00EB68E7">
      <w:pPr>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9"/>
        <w:gridCol w:w="1833"/>
        <w:gridCol w:w="1834"/>
        <w:gridCol w:w="1834"/>
        <w:gridCol w:w="1834"/>
      </w:tblGrid>
      <w:tr w:rsidR="006B5673" w:rsidRPr="00A71D2E" w:rsidTr="0027505B">
        <w:trPr>
          <w:trHeight w:val="20"/>
        </w:trPr>
        <w:tc>
          <w:tcPr>
            <w:tcW w:w="2109" w:type="dxa"/>
            <w:vMerge w:val="restart"/>
            <w:shd w:val="clear" w:color="auto" w:fill="D9D9D9" w:themeFill="background1" w:themeFillShade="D9"/>
            <w:vAlign w:val="center"/>
          </w:tcPr>
          <w:p w:rsidR="006B5673" w:rsidRPr="00A71D2E" w:rsidRDefault="006B5673">
            <w:pPr>
              <w:jc w:val="center"/>
              <w:rPr>
                <w:rFonts w:eastAsia="宋体" w:cs="Times New Roman"/>
                <w:sz w:val="18"/>
                <w:szCs w:val="18"/>
              </w:rPr>
            </w:pPr>
            <w:r w:rsidRPr="00A71D2E">
              <w:rPr>
                <w:rFonts w:eastAsia="宋体" w:cs="Times New Roman" w:hint="eastAsia"/>
                <w:sz w:val="18"/>
                <w:szCs w:val="18"/>
              </w:rPr>
              <w:t>项目</w:t>
            </w:r>
          </w:p>
        </w:tc>
        <w:tc>
          <w:tcPr>
            <w:tcW w:w="3667" w:type="dxa"/>
            <w:gridSpan w:val="2"/>
            <w:shd w:val="clear" w:color="auto" w:fill="D9D9D9" w:themeFill="background1" w:themeFillShade="D9"/>
            <w:vAlign w:val="center"/>
          </w:tcPr>
          <w:p w:rsidR="006B5673" w:rsidRPr="00A71D2E" w:rsidRDefault="006B5673">
            <w:pPr>
              <w:jc w:val="center"/>
              <w:rPr>
                <w:rFonts w:eastAsia="宋体" w:cs="Times New Roman"/>
                <w:sz w:val="18"/>
                <w:szCs w:val="18"/>
              </w:rPr>
            </w:pPr>
            <w:r w:rsidRPr="00A71D2E">
              <w:rPr>
                <w:rFonts w:eastAsia="宋体" w:cs="Times New Roman" w:hint="eastAsia"/>
                <w:sz w:val="18"/>
                <w:szCs w:val="18"/>
              </w:rPr>
              <w:t>年末余额</w:t>
            </w:r>
          </w:p>
        </w:tc>
        <w:tc>
          <w:tcPr>
            <w:tcW w:w="3668" w:type="dxa"/>
            <w:gridSpan w:val="2"/>
            <w:shd w:val="clear" w:color="auto" w:fill="D9D9D9" w:themeFill="background1" w:themeFillShade="D9"/>
            <w:vAlign w:val="center"/>
          </w:tcPr>
          <w:p w:rsidR="006B5673" w:rsidRPr="00A71D2E" w:rsidRDefault="006B5673">
            <w:pPr>
              <w:jc w:val="center"/>
              <w:rPr>
                <w:rFonts w:eastAsia="宋体" w:cs="Times New Roman"/>
                <w:sz w:val="18"/>
                <w:szCs w:val="18"/>
              </w:rPr>
            </w:pPr>
            <w:r w:rsidRPr="00A71D2E">
              <w:rPr>
                <w:rFonts w:eastAsia="宋体" w:cs="Times New Roman" w:hint="eastAsia"/>
                <w:sz w:val="18"/>
                <w:szCs w:val="18"/>
              </w:rPr>
              <w:t>年初余额</w:t>
            </w:r>
            <w:r w:rsidR="005F14EE">
              <w:rPr>
                <w:rFonts w:eastAsia="宋体" w:cs="Times New Roman" w:hint="eastAsia"/>
                <w:sz w:val="18"/>
                <w:szCs w:val="18"/>
              </w:rPr>
              <w:t>(</w:t>
            </w:r>
            <w:r w:rsidR="00BE5E92">
              <w:rPr>
                <w:rFonts w:eastAsia="宋体" w:cs="Times New Roman" w:hint="eastAsia"/>
                <w:sz w:val="18"/>
                <w:szCs w:val="18"/>
              </w:rPr>
              <w:t>已重述</w:t>
            </w:r>
            <w:r w:rsidR="005F14EE">
              <w:rPr>
                <w:rFonts w:eastAsia="宋体" w:cs="Times New Roman"/>
                <w:sz w:val="18"/>
                <w:szCs w:val="18"/>
              </w:rPr>
              <w:t>)</w:t>
            </w:r>
          </w:p>
        </w:tc>
      </w:tr>
      <w:tr w:rsidR="00EB68E7" w:rsidRPr="00A71D2E" w:rsidTr="0027505B">
        <w:trPr>
          <w:trHeight w:val="20"/>
        </w:trPr>
        <w:tc>
          <w:tcPr>
            <w:tcW w:w="2109" w:type="dxa"/>
            <w:vMerge/>
            <w:shd w:val="clear" w:color="auto" w:fill="D9D9D9" w:themeFill="background1" w:themeFillShade="D9"/>
            <w:vAlign w:val="center"/>
          </w:tcPr>
          <w:p w:rsidR="00EB68E7" w:rsidRPr="00A71D2E" w:rsidRDefault="00EB68E7">
            <w:pPr>
              <w:rPr>
                <w:rFonts w:eastAsia="宋体" w:cs="Times New Roman"/>
                <w:sz w:val="18"/>
                <w:szCs w:val="18"/>
              </w:rPr>
            </w:pPr>
          </w:p>
        </w:tc>
        <w:tc>
          <w:tcPr>
            <w:tcW w:w="1833" w:type="dxa"/>
            <w:shd w:val="clear" w:color="auto" w:fill="D9D9D9" w:themeFill="background1" w:themeFillShade="D9"/>
            <w:vAlign w:val="center"/>
          </w:tcPr>
          <w:p w:rsidR="00EB68E7" w:rsidRPr="00A71D2E" w:rsidRDefault="00EB68E7">
            <w:pPr>
              <w:jc w:val="center"/>
              <w:rPr>
                <w:rFonts w:eastAsia="宋体" w:cs="Times New Roman"/>
                <w:sz w:val="18"/>
                <w:szCs w:val="18"/>
              </w:rPr>
            </w:pPr>
            <w:r w:rsidRPr="00A71D2E">
              <w:rPr>
                <w:rFonts w:eastAsia="宋体" w:cs="Times New Roman" w:hint="eastAsia"/>
                <w:sz w:val="18"/>
                <w:szCs w:val="18"/>
              </w:rPr>
              <w:t>应纳税暂时性差异</w:t>
            </w:r>
          </w:p>
        </w:tc>
        <w:tc>
          <w:tcPr>
            <w:tcW w:w="1834" w:type="dxa"/>
            <w:shd w:val="clear" w:color="auto" w:fill="D9D9D9" w:themeFill="background1" w:themeFillShade="D9"/>
            <w:vAlign w:val="center"/>
          </w:tcPr>
          <w:p w:rsidR="00EB68E7" w:rsidRPr="00A71D2E" w:rsidRDefault="00EB68E7">
            <w:pPr>
              <w:jc w:val="center"/>
              <w:rPr>
                <w:rFonts w:eastAsia="宋体" w:cs="Times New Roman"/>
                <w:sz w:val="18"/>
                <w:szCs w:val="18"/>
              </w:rPr>
            </w:pPr>
            <w:r w:rsidRPr="00A71D2E">
              <w:rPr>
                <w:rFonts w:eastAsia="宋体" w:cs="Times New Roman" w:hint="eastAsia"/>
                <w:sz w:val="18"/>
                <w:szCs w:val="18"/>
              </w:rPr>
              <w:t>递延所得税负债</w:t>
            </w:r>
          </w:p>
        </w:tc>
        <w:tc>
          <w:tcPr>
            <w:tcW w:w="1834" w:type="dxa"/>
            <w:shd w:val="clear" w:color="auto" w:fill="D9D9D9" w:themeFill="background1" w:themeFillShade="D9"/>
            <w:vAlign w:val="center"/>
          </w:tcPr>
          <w:p w:rsidR="00EB68E7" w:rsidRPr="00A71D2E" w:rsidRDefault="00EB68E7">
            <w:pPr>
              <w:jc w:val="center"/>
              <w:rPr>
                <w:rFonts w:eastAsia="宋体" w:cs="Times New Roman"/>
                <w:sz w:val="18"/>
                <w:szCs w:val="18"/>
              </w:rPr>
            </w:pPr>
            <w:r w:rsidRPr="00A71D2E">
              <w:rPr>
                <w:rFonts w:eastAsia="宋体" w:cs="Times New Roman" w:hint="eastAsia"/>
                <w:sz w:val="18"/>
                <w:szCs w:val="18"/>
              </w:rPr>
              <w:t>应纳税暂时性差异</w:t>
            </w:r>
          </w:p>
        </w:tc>
        <w:tc>
          <w:tcPr>
            <w:tcW w:w="1834" w:type="dxa"/>
            <w:shd w:val="clear" w:color="auto" w:fill="D9D9D9" w:themeFill="background1" w:themeFillShade="D9"/>
            <w:vAlign w:val="center"/>
          </w:tcPr>
          <w:p w:rsidR="00EB68E7" w:rsidRPr="00A71D2E" w:rsidRDefault="00EB68E7">
            <w:pPr>
              <w:jc w:val="center"/>
              <w:rPr>
                <w:rFonts w:eastAsia="宋体" w:cs="Times New Roman"/>
                <w:sz w:val="18"/>
                <w:szCs w:val="18"/>
              </w:rPr>
            </w:pPr>
            <w:r w:rsidRPr="00A71D2E">
              <w:rPr>
                <w:rFonts w:eastAsia="宋体" w:cs="Times New Roman" w:hint="eastAsia"/>
                <w:sz w:val="18"/>
                <w:szCs w:val="18"/>
              </w:rPr>
              <w:t>递延所得税负债</w:t>
            </w:r>
          </w:p>
        </w:tc>
      </w:tr>
      <w:tr w:rsidR="0044435C" w:rsidRPr="00A71D2E" w:rsidTr="0027505B">
        <w:trPr>
          <w:trHeight w:val="20"/>
        </w:trPr>
        <w:tc>
          <w:tcPr>
            <w:tcW w:w="2109" w:type="dxa"/>
            <w:shd w:val="clear" w:color="auto" w:fill="auto"/>
            <w:vAlign w:val="center"/>
          </w:tcPr>
          <w:p w:rsidR="0044435C" w:rsidRPr="00A71D2E" w:rsidRDefault="0044435C" w:rsidP="0044435C">
            <w:pPr>
              <w:rPr>
                <w:rFonts w:eastAsia="宋体" w:cs="Times New Roman"/>
                <w:sz w:val="18"/>
                <w:szCs w:val="18"/>
              </w:rPr>
            </w:pPr>
            <w:r w:rsidRPr="00A71D2E">
              <w:rPr>
                <w:rFonts w:eastAsia="宋体" w:cs="Times New Roman" w:hint="eastAsia"/>
                <w:sz w:val="18"/>
                <w:szCs w:val="18"/>
              </w:rPr>
              <w:t>固定资产</w:t>
            </w:r>
            <w:proofErr w:type="gramStart"/>
            <w:r w:rsidRPr="00A71D2E">
              <w:rPr>
                <w:rFonts w:eastAsia="宋体" w:cs="Times New Roman" w:hint="eastAsia"/>
                <w:sz w:val="18"/>
                <w:szCs w:val="18"/>
              </w:rPr>
              <w:t>折旧税会</w:t>
            </w:r>
            <w:proofErr w:type="gramEnd"/>
            <w:r w:rsidRPr="00A71D2E">
              <w:rPr>
                <w:rFonts w:eastAsia="宋体" w:cs="Times New Roman" w:hint="eastAsia"/>
                <w:sz w:val="18"/>
                <w:szCs w:val="18"/>
              </w:rPr>
              <w:t>差异</w:t>
            </w:r>
          </w:p>
        </w:tc>
        <w:tc>
          <w:tcPr>
            <w:tcW w:w="1833" w:type="dxa"/>
            <w:vAlign w:val="center"/>
          </w:tcPr>
          <w:p w:rsidR="0044435C" w:rsidRPr="00A71D2E" w:rsidRDefault="00BE5E92" w:rsidP="0044435C">
            <w:pPr>
              <w:jc w:val="right"/>
              <w:rPr>
                <w:rFonts w:eastAsia="宋体" w:cs="Times New Roman"/>
                <w:sz w:val="18"/>
                <w:szCs w:val="18"/>
              </w:rPr>
            </w:pPr>
            <w:r w:rsidRPr="00BE5E92">
              <w:rPr>
                <w:rFonts w:eastAsia="宋体" w:cs="Times New Roman"/>
                <w:sz w:val="18"/>
                <w:szCs w:val="18"/>
              </w:rPr>
              <w:t>77,246,584.58</w:t>
            </w:r>
          </w:p>
        </w:tc>
        <w:tc>
          <w:tcPr>
            <w:tcW w:w="1834" w:type="dxa"/>
            <w:vAlign w:val="center"/>
          </w:tcPr>
          <w:p w:rsidR="0044435C" w:rsidRPr="00A71D2E" w:rsidRDefault="00BE5E92" w:rsidP="0044435C">
            <w:pPr>
              <w:jc w:val="right"/>
              <w:rPr>
                <w:rFonts w:eastAsia="宋体" w:cs="Times New Roman"/>
                <w:sz w:val="18"/>
                <w:szCs w:val="18"/>
              </w:rPr>
            </w:pPr>
            <w:r w:rsidRPr="00BE5E92">
              <w:rPr>
                <w:rFonts w:eastAsia="宋体" w:cs="Times New Roman"/>
                <w:sz w:val="18"/>
                <w:szCs w:val="18"/>
              </w:rPr>
              <w:t>13,009,845.21</w:t>
            </w:r>
          </w:p>
        </w:tc>
        <w:tc>
          <w:tcPr>
            <w:tcW w:w="1834" w:type="dxa"/>
            <w:vAlign w:val="center"/>
          </w:tcPr>
          <w:p w:rsidR="0044435C" w:rsidRPr="00A71D2E" w:rsidRDefault="0044435C" w:rsidP="0044435C">
            <w:pPr>
              <w:jc w:val="right"/>
              <w:rPr>
                <w:rFonts w:eastAsia="宋体" w:cs="Times New Roman"/>
                <w:sz w:val="18"/>
                <w:szCs w:val="18"/>
              </w:rPr>
            </w:pPr>
            <w:r w:rsidRPr="00A71D2E">
              <w:rPr>
                <w:rFonts w:eastAsia="宋体" w:cs="Times New Roman"/>
                <w:sz w:val="18"/>
                <w:szCs w:val="18"/>
              </w:rPr>
              <w:t>66,275,645.64</w:t>
            </w:r>
          </w:p>
        </w:tc>
        <w:tc>
          <w:tcPr>
            <w:tcW w:w="1834" w:type="dxa"/>
            <w:vAlign w:val="center"/>
          </w:tcPr>
          <w:p w:rsidR="0044435C" w:rsidRPr="00A71D2E" w:rsidRDefault="0044435C" w:rsidP="0044435C">
            <w:pPr>
              <w:jc w:val="right"/>
              <w:rPr>
                <w:rFonts w:eastAsia="宋体" w:cs="Times New Roman"/>
                <w:sz w:val="18"/>
                <w:szCs w:val="18"/>
              </w:rPr>
            </w:pPr>
            <w:r w:rsidRPr="00A71D2E">
              <w:rPr>
                <w:rFonts w:eastAsia="宋体" w:cs="Times New Roman"/>
                <w:sz w:val="18"/>
                <w:szCs w:val="18"/>
              </w:rPr>
              <w:t>11,419,239.4</w:t>
            </w:r>
            <w:r>
              <w:rPr>
                <w:rFonts w:eastAsia="宋体" w:cs="Times New Roman"/>
                <w:sz w:val="18"/>
                <w:szCs w:val="18"/>
              </w:rPr>
              <w:t>2</w:t>
            </w:r>
          </w:p>
        </w:tc>
      </w:tr>
      <w:tr w:rsidR="00BE5E92" w:rsidRPr="00A71D2E" w:rsidTr="0027505B">
        <w:trPr>
          <w:trHeight w:val="20"/>
        </w:trPr>
        <w:tc>
          <w:tcPr>
            <w:tcW w:w="2109" w:type="dxa"/>
            <w:shd w:val="clear" w:color="auto" w:fill="auto"/>
            <w:vAlign w:val="center"/>
          </w:tcPr>
          <w:p w:rsidR="00BE5E92" w:rsidRPr="00A71D2E" w:rsidRDefault="00BE5E92" w:rsidP="0044435C">
            <w:pPr>
              <w:rPr>
                <w:rFonts w:eastAsia="宋体" w:cs="Times New Roman"/>
                <w:sz w:val="18"/>
                <w:szCs w:val="18"/>
              </w:rPr>
            </w:pPr>
            <w:r>
              <w:rPr>
                <w:rFonts w:eastAsia="宋体" w:cs="Times New Roman" w:hint="eastAsia"/>
                <w:sz w:val="18"/>
                <w:szCs w:val="18"/>
              </w:rPr>
              <w:t>使用权资产</w:t>
            </w:r>
          </w:p>
        </w:tc>
        <w:tc>
          <w:tcPr>
            <w:tcW w:w="1833" w:type="dxa"/>
            <w:vAlign w:val="center"/>
          </w:tcPr>
          <w:p w:rsidR="00BE5E92" w:rsidRPr="00A71D2E" w:rsidRDefault="00BE5E92" w:rsidP="0044435C">
            <w:pPr>
              <w:jc w:val="right"/>
              <w:rPr>
                <w:rFonts w:eastAsia="宋体" w:cs="Times New Roman"/>
                <w:sz w:val="18"/>
                <w:szCs w:val="18"/>
              </w:rPr>
            </w:pPr>
            <w:r w:rsidRPr="00BE5E92">
              <w:rPr>
                <w:rFonts w:eastAsia="宋体" w:cs="Times New Roman"/>
                <w:sz w:val="18"/>
                <w:szCs w:val="18"/>
              </w:rPr>
              <w:t>50,156,676.36</w:t>
            </w:r>
          </w:p>
        </w:tc>
        <w:tc>
          <w:tcPr>
            <w:tcW w:w="1834" w:type="dxa"/>
            <w:vAlign w:val="center"/>
          </w:tcPr>
          <w:p w:rsidR="00BE5E92" w:rsidRPr="00A71D2E" w:rsidRDefault="00BE5E92" w:rsidP="0044435C">
            <w:pPr>
              <w:jc w:val="right"/>
              <w:rPr>
                <w:rFonts w:eastAsia="宋体" w:cs="Times New Roman"/>
                <w:sz w:val="18"/>
                <w:szCs w:val="18"/>
              </w:rPr>
            </w:pPr>
            <w:r w:rsidRPr="00BE5E92">
              <w:rPr>
                <w:rFonts w:eastAsia="宋体" w:cs="Times New Roman"/>
                <w:sz w:val="18"/>
                <w:szCs w:val="18"/>
              </w:rPr>
              <w:t>8,519,661.40</w:t>
            </w:r>
          </w:p>
        </w:tc>
        <w:tc>
          <w:tcPr>
            <w:tcW w:w="1834" w:type="dxa"/>
            <w:vAlign w:val="center"/>
          </w:tcPr>
          <w:p w:rsidR="00BE5E92" w:rsidRPr="00A71D2E" w:rsidRDefault="00BE5E92" w:rsidP="0044435C">
            <w:pPr>
              <w:jc w:val="right"/>
              <w:rPr>
                <w:rFonts w:eastAsia="宋体" w:cs="Times New Roman"/>
                <w:sz w:val="18"/>
                <w:szCs w:val="18"/>
              </w:rPr>
            </w:pPr>
            <w:r w:rsidRPr="00BE5E92">
              <w:rPr>
                <w:rFonts w:eastAsia="宋体" w:cs="Times New Roman"/>
                <w:sz w:val="18"/>
                <w:szCs w:val="18"/>
              </w:rPr>
              <w:t>84,433,600.93</w:t>
            </w:r>
          </w:p>
        </w:tc>
        <w:tc>
          <w:tcPr>
            <w:tcW w:w="1834" w:type="dxa"/>
            <w:vAlign w:val="center"/>
          </w:tcPr>
          <w:p w:rsidR="00BE5E92" w:rsidRPr="00A71D2E" w:rsidRDefault="00BE5E92" w:rsidP="0044435C">
            <w:pPr>
              <w:jc w:val="right"/>
              <w:rPr>
                <w:rFonts w:eastAsia="宋体" w:cs="Times New Roman"/>
                <w:sz w:val="18"/>
                <w:szCs w:val="18"/>
              </w:rPr>
            </w:pPr>
            <w:r w:rsidRPr="00BE5E92">
              <w:rPr>
                <w:rFonts w:eastAsia="宋体" w:cs="Times New Roman"/>
                <w:sz w:val="18"/>
                <w:szCs w:val="18"/>
              </w:rPr>
              <w:t>14,434,135.22</w:t>
            </w:r>
          </w:p>
        </w:tc>
      </w:tr>
      <w:tr w:rsidR="0044435C" w:rsidRPr="00A71D2E" w:rsidTr="0027505B">
        <w:trPr>
          <w:trHeight w:val="20"/>
        </w:trPr>
        <w:tc>
          <w:tcPr>
            <w:tcW w:w="2109" w:type="dxa"/>
            <w:shd w:val="clear" w:color="auto" w:fill="D9D9D9" w:themeFill="background1" w:themeFillShade="D9"/>
            <w:vAlign w:val="center"/>
          </w:tcPr>
          <w:p w:rsidR="0044435C" w:rsidRPr="00A71D2E" w:rsidRDefault="0044435C" w:rsidP="0044435C">
            <w:pPr>
              <w:rPr>
                <w:rFonts w:eastAsia="宋体" w:cs="Times New Roman"/>
                <w:sz w:val="18"/>
                <w:szCs w:val="18"/>
              </w:rPr>
            </w:pPr>
            <w:r w:rsidRPr="00A71D2E">
              <w:rPr>
                <w:rFonts w:eastAsia="宋体" w:cs="Times New Roman" w:hint="eastAsia"/>
                <w:sz w:val="18"/>
                <w:szCs w:val="18"/>
              </w:rPr>
              <w:t>合计</w:t>
            </w:r>
          </w:p>
        </w:tc>
        <w:tc>
          <w:tcPr>
            <w:tcW w:w="1833" w:type="dxa"/>
            <w:vAlign w:val="center"/>
          </w:tcPr>
          <w:p w:rsidR="0044435C" w:rsidRPr="00A71D2E" w:rsidRDefault="00BE5E92" w:rsidP="0044435C">
            <w:pPr>
              <w:jc w:val="right"/>
              <w:rPr>
                <w:rFonts w:eastAsia="宋体" w:cs="Times New Roman"/>
                <w:sz w:val="18"/>
                <w:szCs w:val="18"/>
              </w:rPr>
            </w:pPr>
            <w:r w:rsidRPr="00BE5E92">
              <w:rPr>
                <w:rFonts w:eastAsia="宋体" w:cs="Times New Roman"/>
                <w:sz w:val="18"/>
                <w:szCs w:val="18"/>
              </w:rPr>
              <w:t>127,403,260.94</w:t>
            </w:r>
          </w:p>
        </w:tc>
        <w:tc>
          <w:tcPr>
            <w:tcW w:w="1834" w:type="dxa"/>
            <w:vAlign w:val="center"/>
          </w:tcPr>
          <w:p w:rsidR="0044435C" w:rsidRPr="00A71D2E" w:rsidRDefault="00BE5E92" w:rsidP="0044435C">
            <w:pPr>
              <w:jc w:val="right"/>
              <w:rPr>
                <w:rFonts w:eastAsia="宋体" w:cs="Times New Roman"/>
                <w:sz w:val="18"/>
                <w:szCs w:val="18"/>
              </w:rPr>
            </w:pPr>
            <w:r w:rsidRPr="00BE5E92">
              <w:rPr>
                <w:rFonts w:eastAsia="宋体" w:cs="Times New Roman"/>
                <w:sz w:val="18"/>
                <w:szCs w:val="18"/>
              </w:rPr>
              <w:t>21,529,506.61</w:t>
            </w:r>
          </w:p>
        </w:tc>
        <w:tc>
          <w:tcPr>
            <w:tcW w:w="1834" w:type="dxa"/>
            <w:vAlign w:val="center"/>
          </w:tcPr>
          <w:p w:rsidR="0044435C" w:rsidRPr="00A71D2E" w:rsidRDefault="00BE5E92" w:rsidP="0044435C">
            <w:pPr>
              <w:jc w:val="right"/>
              <w:rPr>
                <w:rFonts w:eastAsia="宋体" w:cs="Times New Roman"/>
                <w:sz w:val="18"/>
                <w:szCs w:val="18"/>
              </w:rPr>
            </w:pPr>
            <w:r w:rsidRPr="00BE5E92">
              <w:rPr>
                <w:rFonts w:eastAsia="宋体" w:cs="Times New Roman"/>
                <w:sz w:val="18"/>
                <w:szCs w:val="18"/>
              </w:rPr>
              <w:t>150,709,246.57</w:t>
            </w:r>
          </w:p>
        </w:tc>
        <w:tc>
          <w:tcPr>
            <w:tcW w:w="1834" w:type="dxa"/>
            <w:vAlign w:val="center"/>
          </w:tcPr>
          <w:p w:rsidR="0044435C" w:rsidRPr="00A71D2E" w:rsidRDefault="00BE5E92" w:rsidP="0044435C">
            <w:pPr>
              <w:jc w:val="right"/>
              <w:rPr>
                <w:rFonts w:eastAsia="宋体" w:cs="Times New Roman"/>
                <w:sz w:val="18"/>
                <w:szCs w:val="18"/>
              </w:rPr>
            </w:pPr>
            <w:r w:rsidRPr="00BE5E92">
              <w:rPr>
                <w:rFonts w:eastAsia="宋体" w:cs="Times New Roman"/>
                <w:sz w:val="18"/>
                <w:szCs w:val="18"/>
              </w:rPr>
              <w:t>25,853,374.64</w:t>
            </w:r>
          </w:p>
        </w:tc>
      </w:tr>
    </w:tbl>
    <w:p w:rsidR="00DE0B59" w:rsidRPr="00A71D2E" w:rsidRDefault="00DE0B59">
      <w:pPr>
        <w:ind w:left="731"/>
        <w:rPr>
          <w:rFonts w:eastAsia="宋体" w:cs="Times New Roman"/>
          <w:szCs w:val="21"/>
        </w:rPr>
      </w:pPr>
    </w:p>
    <w:p w:rsidR="00EB68E7" w:rsidRPr="00A71D2E" w:rsidRDefault="00EB68E7">
      <w:pPr>
        <w:pStyle w:val="aff1"/>
        <w:numPr>
          <w:ilvl w:val="0"/>
          <w:numId w:val="43"/>
        </w:numPr>
        <w:ind w:left="1440" w:firstLineChars="0" w:hanging="709"/>
        <w:rPr>
          <w:szCs w:val="21"/>
        </w:rPr>
      </w:pPr>
      <w:r w:rsidRPr="00A71D2E">
        <w:rPr>
          <w:rFonts w:hint="eastAsia"/>
          <w:szCs w:val="21"/>
        </w:rPr>
        <w:t>以</w:t>
      </w:r>
      <w:proofErr w:type="gramStart"/>
      <w:r w:rsidRPr="00A71D2E">
        <w:rPr>
          <w:rFonts w:hint="eastAsia"/>
          <w:szCs w:val="21"/>
        </w:rPr>
        <w:t>抵销</w:t>
      </w:r>
      <w:proofErr w:type="gramEnd"/>
      <w:r w:rsidRPr="00A71D2E">
        <w:rPr>
          <w:rFonts w:hint="eastAsia"/>
          <w:szCs w:val="21"/>
        </w:rPr>
        <w:t>后净额列示的递延所得税资产或负债</w:t>
      </w:r>
    </w:p>
    <w:p w:rsidR="00EB68E7" w:rsidRPr="00A71D2E" w:rsidRDefault="00EB68E7">
      <w:pPr>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9"/>
        <w:gridCol w:w="1833"/>
        <w:gridCol w:w="1834"/>
        <w:gridCol w:w="1834"/>
        <w:gridCol w:w="1834"/>
      </w:tblGrid>
      <w:tr w:rsidR="009A14E9" w:rsidRPr="00A71D2E" w:rsidTr="0027505B">
        <w:trPr>
          <w:trHeight w:val="20"/>
        </w:trPr>
        <w:tc>
          <w:tcPr>
            <w:tcW w:w="2109" w:type="dxa"/>
            <w:vMerge w:val="restart"/>
            <w:shd w:val="clear" w:color="auto" w:fill="D9D9D9" w:themeFill="background1" w:themeFillShade="D9"/>
            <w:vAlign w:val="center"/>
          </w:tcPr>
          <w:p w:rsidR="009A14E9" w:rsidRPr="00A71D2E" w:rsidRDefault="009A14E9">
            <w:pPr>
              <w:jc w:val="center"/>
              <w:rPr>
                <w:rFonts w:eastAsia="宋体" w:cs="Times New Roman"/>
                <w:sz w:val="18"/>
                <w:szCs w:val="18"/>
              </w:rPr>
            </w:pPr>
            <w:r w:rsidRPr="00A71D2E">
              <w:rPr>
                <w:rFonts w:eastAsia="宋体" w:cs="Times New Roman" w:hint="eastAsia"/>
                <w:sz w:val="18"/>
                <w:szCs w:val="18"/>
              </w:rPr>
              <w:t>项目</w:t>
            </w:r>
          </w:p>
        </w:tc>
        <w:tc>
          <w:tcPr>
            <w:tcW w:w="3667" w:type="dxa"/>
            <w:gridSpan w:val="2"/>
            <w:shd w:val="clear" w:color="auto" w:fill="D9D9D9" w:themeFill="background1" w:themeFillShade="D9"/>
            <w:vAlign w:val="center"/>
          </w:tcPr>
          <w:p w:rsidR="009A14E9" w:rsidRPr="00A71D2E" w:rsidRDefault="009A14E9">
            <w:pPr>
              <w:jc w:val="center"/>
              <w:rPr>
                <w:rFonts w:eastAsia="宋体" w:cs="Times New Roman"/>
                <w:sz w:val="18"/>
                <w:szCs w:val="18"/>
              </w:rPr>
            </w:pPr>
            <w:r w:rsidRPr="00A71D2E">
              <w:rPr>
                <w:rFonts w:eastAsia="宋体" w:cs="Times New Roman" w:hint="eastAsia"/>
                <w:sz w:val="18"/>
                <w:szCs w:val="18"/>
              </w:rPr>
              <w:t>年末余额</w:t>
            </w:r>
          </w:p>
        </w:tc>
        <w:tc>
          <w:tcPr>
            <w:tcW w:w="3668" w:type="dxa"/>
            <w:gridSpan w:val="2"/>
            <w:shd w:val="clear" w:color="auto" w:fill="D9D9D9" w:themeFill="background1" w:themeFillShade="D9"/>
            <w:vAlign w:val="center"/>
          </w:tcPr>
          <w:p w:rsidR="009A14E9" w:rsidRPr="00A71D2E" w:rsidRDefault="009A14E9">
            <w:pPr>
              <w:jc w:val="center"/>
              <w:rPr>
                <w:rFonts w:eastAsia="宋体" w:cs="Times New Roman"/>
                <w:sz w:val="18"/>
                <w:szCs w:val="18"/>
              </w:rPr>
            </w:pPr>
            <w:r w:rsidRPr="00A71D2E">
              <w:rPr>
                <w:rFonts w:eastAsia="宋体" w:cs="Times New Roman" w:hint="eastAsia"/>
                <w:sz w:val="18"/>
                <w:szCs w:val="18"/>
              </w:rPr>
              <w:t>年初余额</w:t>
            </w:r>
            <w:r w:rsidR="005F14EE">
              <w:rPr>
                <w:rFonts w:eastAsia="宋体" w:cs="Times New Roman" w:hint="eastAsia"/>
                <w:sz w:val="18"/>
                <w:szCs w:val="18"/>
              </w:rPr>
              <w:t>(</w:t>
            </w:r>
            <w:r w:rsidR="00BE5E92">
              <w:rPr>
                <w:rFonts w:eastAsia="宋体" w:cs="Times New Roman" w:hint="eastAsia"/>
                <w:sz w:val="18"/>
                <w:szCs w:val="18"/>
              </w:rPr>
              <w:t>已重述</w:t>
            </w:r>
            <w:r w:rsidR="005F14EE">
              <w:rPr>
                <w:rFonts w:eastAsia="宋体" w:cs="Times New Roman"/>
                <w:sz w:val="18"/>
                <w:szCs w:val="18"/>
              </w:rPr>
              <w:t>)</w:t>
            </w:r>
          </w:p>
        </w:tc>
      </w:tr>
      <w:tr w:rsidR="00EB68E7" w:rsidRPr="00A71D2E" w:rsidTr="0027505B">
        <w:trPr>
          <w:trHeight w:val="20"/>
        </w:trPr>
        <w:tc>
          <w:tcPr>
            <w:tcW w:w="2109" w:type="dxa"/>
            <w:vMerge/>
            <w:shd w:val="clear" w:color="auto" w:fill="D9D9D9" w:themeFill="background1" w:themeFillShade="D9"/>
            <w:vAlign w:val="center"/>
          </w:tcPr>
          <w:p w:rsidR="00EB68E7" w:rsidRPr="00A71D2E" w:rsidRDefault="00EB68E7">
            <w:pPr>
              <w:rPr>
                <w:rFonts w:eastAsia="宋体" w:cs="Times New Roman"/>
                <w:sz w:val="18"/>
                <w:szCs w:val="18"/>
              </w:rPr>
            </w:pPr>
          </w:p>
        </w:tc>
        <w:tc>
          <w:tcPr>
            <w:tcW w:w="1833" w:type="dxa"/>
            <w:shd w:val="clear" w:color="auto" w:fill="D9D9D9" w:themeFill="background1" w:themeFillShade="D9"/>
            <w:vAlign w:val="center"/>
          </w:tcPr>
          <w:p w:rsidR="00EB68E7" w:rsidRPr="00A71D2E" w:rsidRDefault="00EB68E7">
            <w:pPr>
              <w:jc w:val="center"/>
              <w:rPr>
                <w:rFonts w:eastAsia="宋体" w:cs="Times New Roman"/>
                <w:sz w:val="18"/>
                <w:szCs w:val="18"/>
              </w:rPr>
            </w:pPr>
            <w:r w:rsidRPr="00A71D2E">
              <w:rPr>
                <w:rFonts w:eastAsia="宋体" w:cs="Times New Roman" w:hint="eastAsia"/>
                <w:sz w:val="18"/>
                <w:szCs w:val="18"/>
              </w:rPr>
              <w:t>递延所得税资产</w:t>
            </w:r>
            <w:proofErr w:type="gramStart"/>
            <w:r w:rsidRPr="00A71D2E">
              <w:rPr>
                <w:rFonts w:eastAsia="宋体" w:cs="Times New Roman" w:hint="eastAsia"/>
                <w:sz w:val="18"/>
                <w:szCs w:val="18"/>
              </w:rPr>
              <w:t>和</w:t>
            </w:r>
            <w:proofErr w:type="gramEnd"/>
          </w:p>
          <w:p w:rsidR="00EB68E7" w:rsidRPr="00A71D2E" w:rsidRDefault="005E721B">
            <w:pPr>
              <w:jc w:val="center"/>
              <w:rPr>
                <w:rFonts w:eastAsia="宋体" w:cs="Times New Roman"/>
                <w:sz w:val="18"/>
                <w:szCs w:val="18"/>
              </w:rPr>
            </w:pPr>
            <w:r w:rsidRPr="00A71D2E">
              <w:rPr>
                <w:rFonts w:eastAsia="宋体" w:cs="Times New Roman" w:hint="eastAsia"/>
                <w:sz w:val="18"/>
                <w:szCs w:val="18"/>
              </w:rPr>
              <w:t>负债年末</w:t>
            </w:r>
            <w:r w:rsidR="00EB68E7" w:rsidRPr="00A71D2E">
              <w:rPr>
                <w:rFonts w:eastAsia="宋体" w:cs="Times New Roman" w:hint="eastAsia"/>
                <w:sz w:val="18"/>
                <w:szCs w:val="18"/>
              </w:rPr>
              <w:t>互</w:t>
            </w:r>
            <w:proofErr w:type="gramStart"/>
            <w:r w:rsidR="00EB68E7" w:rsidRPr="00A71D2E">
              <w:rPr>
                <w:rFonts w:eastAsia="宋体" w:cs="Times New Roman" w:hint="eastAsia"/>
                <w:sz w:val="18"/>
                <w:szCs w:val="18"/>
              </w:rPr>
              <w:t>抵金额</w:t>
            </w:r>
            <w:proofErr w:type="gramEnd"/>
          </w:p>
        </w:tc>
        <w:tc>
          <w:tcPr>
            <w:tcW w:w="1834" w:type="dxa"/>
            <w:shd w:val="clear" w:color="auto" w:fill="D9D9D9" w:themeFill="background1" w:themeFillShade="D9"/>
            <w:vAlign w:val="center"/>
          </w:tcPr>
          <w:p w:rsidR="00EB68E7" w:rsidRPr="00A71D2E" w:rsidRDefault="00EB68E7">
            <w:pPr>
              <w:jc w:val="center"/>
              <w:rPr>
                <w:rFonts w:eastAsia="宋体" w:cs="Times New Roman"/>
                <w:sz w:val="18"/>
                <w:szCs w:val="18"/>
              </w:rPr>
            </w:pPr>
            <w:proofErr w:type="gramStart"/>
            <w:r w:rsidRPr="00A71D2E">
              <w:rPr>
                <w:rFonts w:eastAsia="宋体" w:cs="Times New Roman" w:hint="eastAsia"/>
                <w:sz w:val="18"/>
                <w:szCs w:val="18"/>
              </w:rPr>
              <w:t>抵销后递延</w:t>
            </w:r>
            <w:proofErr w:type="gramEnd"/>
            <w:r w:rsidRPr="00A71D2E">
              <w:rPr>
                <w:rFonts w:eastAsia="宋体" w:cs="Times New Roman" w:hint="eastAsia"/>
                <w:sz w:val="18"/>
                <w:szCs w:val="18"/>
              </w:rPr>
              <w:t>所得税</w:t>
            </w:r>
          </w:p>
          <w:p w:rsidR="00EB68E7" w:rsidRPr="00A71D2E" w:rsidRDefault="00EB68E7">
            <w:pPr>
              <w:jc w:val="center"/>
              <w:rPr>
                <w:rFonts w:eastAsia="宋体" w:cs="Times New Roman"/>
                <w:sz w:val="18"/>
                <w:szCs w:val="18"/>
              </w:rPr>
            </w:pPr>
            <w:r w:rsidRPr="00A71D2E">
              <w:rPr>
                <w:rFonts w:eastAsia="宋体" w:cs="Times New Roman" w:hint="eastAsia"/>
                <w:sz w:val="18"/>
                <w:szCs w:val="18"/>
              </w:rPr>
              <w:t>资产或负债</w:t>
            </w:r>
          </w:p>
        </w:tc>
        <w:tc>
          <w:tcPr>
            <w:tcW w:w="1834" w:type="dxa"/>
            <w:shd w:val="clear" w:color="auto" w:fill="D9D9D9" w:themeFill="background1" w:themeFillShade="D9"/>
            <w:vAlign w:val="center"/>
          </w:tcPr>
          <w:p w:rsidR="00EB68E7" w:rsidRPr="00A71D2E" w:rsidRDefault="00EB68E7">
            <w:pPr>
              <w:jc w:val="center"/>
              <w:rPr>
                <w:rFonts w:eastAsia="宋体" w:cs="Times New Roman"/>
                <w:sz w:val="18"/>
                <w:szCs w:val="18"/>
              </w:rPr>
            </w:pPr>
            <w:r w:rsidRPr="00A71D2E">
              <w:rPr>
                <w:rFonts w:eastAsia="宋体" w:cs="Times New Roman" w:hint="eastAsia"/>
                <w:sz w:val="18"/>
                <w:szCs w:val="18"/>
              </w:rPr>
              <w:t>递延所得税资产</w:t>
            </w:r>
            <w:proofErr w:type="gramStart"/>
            <w:r w:rsidRPr="00A71D2E">
              <w:rPr>
                <w:rFonts w:eastAsia="宋体" w:cs="Times New Roman" w:hint="eastAsia"/>
                <w:sz w:val="18"/>
                <w:szCs w:val="18"/>
              </w:rPr>
              <w:t>和</w:t>
            </w:r>
            <w:proofErr w:type="gramEnd"/>
          </w:p>
          <w:p w:rsidR="00EB68E7" w:rsidRPr="00A71D2E" w:rsidRDefault="00EB68E7">
            <w:pPr>
              <w:jc w:val="center"/>
              <w:rPr>
                <w:rFonts w:eastAsia="宋体" w:cs="Times New Roman"/>
                <w:sz w:val="18"/>
                <w:szCs w:val="18"/>
              </w:rPr>
            </w:pPr>
            <w:r w:rsidRPr="00A71D2E">
              <w:rPr>
                <w:rFonts w:eastAsia="宋体" w:cs="Times New Roman" w:hint="eastAsia"/>
                <w:sz w:val="18"/>
                <w:szCs w:val="18"/>
              </w:rPr>
              <w:t>负债年末互</w:t>
            </w:r>
            <w:proofErr w:type="gramStart"/>
            <w:r w:rsidRPr="00A71D2E">
              <w:rPr>
                <w:rFonts w:eastAsia="宋体" w:cs="Times New Roman" w:hint="eastAsia"/>
                <w:sz w:val="18"/>
                <w:szCs w:val="18"/>
              </w:rPr>
              <w:t>抵金额</w:t>
            </w:r>
            <w:proofErr w:type="gramEnd"/>
          </w:p>
        </w:tc>
        <w:tc>
          <w:tcPr>
            <w:tcW w:w="1834" w:type="dxa"/>
            <w:shd w:val="clear" w:color="auto" w:fill="D9D9D9" w:themeFill="background1" w:themeFillShade="D9"/>
            <w:vAlign w:val="center"/>
          </w:tcPr>
          <w:p w:rsidR="00EB68E7" w:rsidRPr="00A71D2E" w:rsidRDefault="00EB68E7">
            <w:pPr>
              <w:jc w:val="center"/>
              <w:rPr>
                <w:rFonts w:eastAsia="宋体" w:cs="Times New Roman"/>
                <w:sz w:val="18"/>
                <w:szCs w:val="18"/>
              </w:rPr>
            </w:pPr>
            <w:proofErr w:type="gramStart"/>
            <w:r w:rsidRPr="00A71D2E">
              <w:rPr>
                <w:rFonts w:eastAsia="宋体" w:cs="Times New Roman" w:hint="eastAsia"/>
                <w:sz w:val="18"/>
                <w:szCs w:val="18"/>
              </w:rPr>
              <w:t>抵销后递延</w:t>
            </w:r>
            <w:proofErr w:type="gramEnd"/>
            <w:r w:rsidRPr="00A71D2E">
              <w:rPr>
                <w:rFonts w:eastAsia="宋体" w:cs="Times New Roman" w:hint="eastAsia"/>
                <w:sz w:val="18"/>
                <w:szCs w:val="18"/>
              </w:rPr>
              <w:t>所得税</w:t>
            </w:r>
          </w:p>
          <w:p w:rsidR="00EB68E7" w:rsidRPr="00A71D2E" w:rsidRDefault="00EB68E7">
            <w:pPr>
              <w:jc w:val="center"/>
              <w:rPr>
                <w:rFonts w:eastAsia="宋体" w:cs="Times New Roman"/>
                <w:sz w:val="18"/>
                <w:szCs w:val="18"/>
              </w:rPr>
            </w:pPr>
            <w:r w:rsidRPr="00A71D2E">
              <w:rPr>
                <w:rFonts w:eastAsia="宋体" w:cs="Times New Roman" w:hint="eastAsia"/>
                <w:sz w:val="18"/>
                <w:szCs w:val="18"/>
              </w:rPr>
              <w:t>资产或负债</w:t>
            </w:r>
          </w:p>
        </w:tc>
      </w:tr>
      <w:tr w:rsidR="001D6E56" w:rsidRPr="00A71D2E" w:rsidTr="0027505B">
        <w:trPr>
          <w:trHeight w:val="20"/>
        </w:trPr>
        <w:tc>
          <w:tcPr>
            <w:tcW w:w="2109" w:type="dxa"/>
            <w:shd w:val="clear" w:color="auto" w:fill="auto"/>
            <w:vAlign w:val="center"/>
          </w:tcPr>
          <w:p w:rsidR="001D6E56" w:rsidRPr="00A71D2E" w:rsidRDefault="001D6E56" w:rsidP="001D6E56">
            <w:pPr>
              <w:ind w:right="-105"/>
              <w:rPr>
                <w:rFonts w:eastAsia="宋体" w:cs="Times New Roman"/>
                <w:sz w:val="18"/>
                <w:szCs w:val="18"/>
              </w:rPr>
            </w:pPr>
            <w:r w:rsidRPr="00A71D2E">
              <w:rPr>
                <w:rFonts w:eastAsia="宋体" w:cs="Times New Roman" w:hint="eastAsia"/>
                <w:sz w:val="18"/>
                <w:szCs w:val="18"/>
              </w:rPr>
              <w:t>递延所得税资产</w:t>
            </w:r>
          </w:p>
        </w:tc>
        <w:tc>
          <w:tcPr>
            <w:tcW w:w="1833" w:type="dxa"/>
            <w:vAlign w:val="center"/>
          </w:tcPr>
          <w:p w:rsidR="001D6E56" w:rsidRPr="00A71D2E" w:rsidRDefault="00BE5E92" w:rsidP="001D6E56">
            <w:pPr>
              <w:jc w:val="right"/>
              <w:rPr>
                <w:rFonts w:eastAsia="宋体" w:cs="Times New Roman"/>
                <w:sz w:val="18"/>
                <w:szCs w:val="18"/>
              </w:rPr>
            </w:pPr>
            <w:r w:rsidRPr="00BE5E92">
              <w:rPr>
                <w:rFonts w:eastAsia="宋体" w:cs="Times New Roman"/>
                <w:sz w:val="18"/>
                <w:szCs w:val="18"/>
              </w:rPr>
              <w:t>21,529,506.61</w:t>
            </w:r>
          </w:p>
        </w:tc>
        <w:tc>
          <w:tcPr>
            <w:tcW w:w="1834" w:type="dxa"/>
            <w:vAlign w:val="center"/>
          </w:tcPr>
          <w:p w:rsidR="001D6E56" w:rsidRPr="00A71D2E" w:rsidRDefault="00BE5E92" w:rsidP="001D6E56">
            <w:pPr>
              <w:jc w:val="right"/>
              <w:rPr>
                <w:rFonts w:eastAsia="宋体" w:cs="Times New Roman"/>
                <w:sz w:val="18"/>
                <w:szCs w:val="18"/>
              </w:rPr>
            </w:pPr>
            <w:r w:rsidRPr="00BE5E92">
              <w:rPr>
                <w:rFonts w:eastAsia="宋体" w:cs="Times New Roman"/>
                <w:sz w:val="18"/>
                <w:szCs w:val="18"/>
              </w:rPr>
              <w:t>128,980,470.7</w:t>
            </w:r>
            <w:r w:rsidR="00FE0F6C">
              <w:rPr>
                <w:rFonts w:eastAsia="宋体" w:cs="Times New Roman"/>
                <w:sz w:val="18"/>
                <w:szCs w:val="18"/>
              </w:rPr>
              <w:t>6</w:t>
            </w:r>
          </w:p>
        </w:tc>
        <w:tc>
          <w:tcPr>
            <w:tcW w:w="1834" w:type="dxa"/>
            <w:vAlign w:val="center"/>
          </w:tcPr>
          <w:p w:rsidR="001D6E56" w:rsidRPr="00A71D2E" w:rsidRDefault="00BE5E92" w:rsidP="001D6E56">
            <w:pPr>
              <w:jc w:val="right"/>
              <w:rPr>
                <w:rFonts w:eastAsia="宋体" w:cs="Times New Roman"/>
                <w:sz w:val="18"/>
                <w:szCs w:val="18"/>
              </w:rPr>
            </w:pPr>
            <w:r w:rsidRPr="00BE5E92">
              <w:rPr>
                <w:rFonts w:eastAsia="宋体" w:cs="Times New Roman"/>
                <w:sz w:val="18"/>
                <w:szCs w:val="18"/>
              </w:rPr>
              <w:t>25,853,374.64</w:t>
            </w:r>
          </w:p>
        </w:tc>
        <w:tc>
          <w:tcPr>
            <w:tcW w:w="1834" w:type="dxa"/>
            <w:vAlign w:val="center"/>
          </w:tcPr>
          <w:p w:rsidR="001D6E56" w:rsidRPr="00A71D2E" w:rsidRDefault="00BE5E92" w:rsidP="001D6E56">
            <w:pPr>
              <w:jc w:val="right"/>
              <w:rPr>
                <w:rFonts w:eastAsia="宋体" w:cs="Times New Roman"/>
                <w:sz w:val="18"/>
                <w:szCs w:val="18"/>
              </w:rPr>
            </w:pPr>
            <w:r w:rsidRPr="00BE5E92">
              <w:rPr>
                <w:rFonts w:eastAsia="宋体" w:cs="Times New Roman"/>
                <w:sz w:val="18"/>
                <w:szCs w:val="18"/>
              </w:rPr>
              <w:t>98,825,780.99</w:t>
            </w:r>
          </w:p>
        </w:tc>
      </w:tr>
      <w:tr w:rsidR="00C26513" w:rsidRPr="00A71D2E" w:rsidTr="0027505B">
        <w:trPr>
          <w:trHeight w:val="20"/>
        </w:trPr>
        <w:tc>
          <w:tcPr>
            <w:tcW w:w="2109" w:type="dxa"/>
            <w:shd w:val="clear" w:color="auto" w:fill="auto"/>
            <w:vAlign w:val="center"/>
          </w:tcPr>
          <w:p w:rsidR="00C26513" w:rsidRPr="00A71D2E" w:rsidRDefault="00C26513" w:rsidP="001D6E56">
            <w:pPr>
              <w:ind w:right="-105"/>
              <w:rPr>
                <w:rFonts w:eastAsia="宋体" w:cs="Times New Roman"/>
                <w:sz w:val="18"/>
                <w:szCs w:val="18"/>
              </w:rPr>
            </w:pPr>
            <w:r w:rsidRPr="00A71D2E">
              <w:rPr>
                <w:rFonts w:eastAsia="宋体" w:cs="Times New Roman" w:hint="eastAsia"/>
                <w:sz w:val="18"/>
                <w:szCs w:val="18"/>
              </w:rPr>
              <w:t>递延所得税负债</w:t>
            </w:r>
          </w:p>
        </w:tc>
        <w:tc>
          <w:tcPr>
            <w:tcW w:w="1833" w:type="dxa"/>
            <w:vAlign w:val="center"/>
          </w:tcPr>
          <w:p w:rsidR="00C26513" w:rsidRPr="00A71D2E" w:rsidRDefault="00C26513" w:rsidP="001D6E56">
            <w:pPr>
              <w:jc w:val="right"/>
              <w:rPr>
                <w:rFonts w:eastAsia="宋体" w:cs="Times New Roman"/>
                <w:sz w:val="18"/>
                <w:szCs w:val="18"/>
              </w:rPr>
            </w:pPr>
            <w:r w:rsidRPr="00BE5E92">
              <w:rPr>
                <w:rFonts w:eastAsia="宋体" w:cs="Times New Roman"/>
                <w:sz w:val="18"/>
                <w:szCs w:val="18"/>
              </w:rPr>
              <w:t>21,529,506.61</w:t>
            </w:r>
          </w:p>
        </w:tc>
        <w:tc>
          <w:tcPr>
            <w:tcW w:w="1834" w:type="dxa"/>
            <w:vAlign w:val="center"/>
          </w:tcPr>
          <w:p w:rsidR="00C26513" w:rsidRPr="00BE5E92" w:rsidRDefault="00C26513" w:rsidP="0027505B">
            <w:pPr>
              <w:jc w:val="right"/>
              <w:rPr>
                <w:sz w:val="18"/>
                <w:szCs w:val="18"/>
              </w:rPr>
            </w:pPr>
            <w:r w:rsidRPr="00A71D2E">
              <w:rPr>
                <w:rFonts w:eastAsia="宋体" w:cs="Times New Roman"/>
                <w:sz w:val="18"/>
                <w:szCs w:val="18"/>
              </w:rPr>
              <w:t>-    </w:t>
            </w:r>
          </w:p>
        </w:tc>
        <w:tc>
          <w:tcPr>
            <w:tcW w:w="1834" w:type="dxa"/>
            <w:vAlign w:val="center"/>
          </w:tcPr>
          <w:p w:rsidR="00C26513" w:rsidRPr="00A71D2E" w:rsidRDefault="00C26513" w:rsidP="001D6E56">
            <w:pPr>
              <w:jc w:val="right"/>
              <w:rPr>
                <w:rFonts w:eastAsia="宋体" w:cs="Times New Roman"/>
                <w:sz w:val="18"/>
                <w:szCs w:val="18"/>
              </w:rPr>
            </w:pPr>
            <w:r w:rsidRPr="00BE5E92">
              <w:rPr>
                <w:rFonts w:eastAsia="宋体" w:cs="Times New Roman"/>
                <w:sz w:val="18"/>
                <w:szCs w:val="18"/>
              </w:rPr>
              <w:t>25,853,374.64</w:t>
            </w:r>
          </w:p>
        </w:tc>
        <w:tc>
          <w:tcPr>
            <w:tcW w:w="1834" w:type="dxa"/>
            <w:vAlign w:val="center"/>
          </w:tcPr>
          <w:p w:rsidR="00C26513" w:rsidRPr="00A71D2E" w:rsidRDefault="00C26513" w:rsidP="001D6E56">
            <w:pPr>
              <w:jc w:val="right"/>
              <w:rPr>
                <w:rFonts w:eastAsia="宋体" w:cs="Times New Roman"/>
                <w:sz w:val="18"/>
                <w:szCs w:val="18"/>
              </w:rPr>
            </w:pPr>
            <w:r w:rsidRPr="00A71D2E">
              <w:rPr>
                <w:rFonts w:eastAsia="宋体" w:cs="Times New Roman"/>
                <w:sz w:val="18"/>
                <w:szCs w:val="18"/>
              </w:rPr>
              <w:t>-    </w:t>
            </w:r>
          </w:p>
        </w:tc>
      </w:tr>
    </w:tbl>
    <w:p w:rsidR="000C4F4B" w:rsidRDefault="000C4F4B" w:rsidP="0027505B">
      <w:pPr>
        <w:ind w:left="731"/>
        <w:rPr>
          <w:szCs w:val="21"/>
        </w:rPr>
      </w:pPr>
    </w:p>
    <w:p w:rsidR="000C4F4B" w:rsidRPr="00A71D2E" w:rsidRDefault="000C4F4B" w:rsidP="0014300C">
      <w:pPr>
        <w:pStyle w:val="aff1"/>
        <w:numPr>
          <w:ilvl w:val="0"/>
          <w:numId w:val="43"/>
        </w:numPr>
        <w:ind w:left="1440" w:firstLineChars="0" w:hanging="709"/>
        <w:rPr>
          <w:szCs w:val="21"/>
        </w:rPr>
      </w:pPr>
      <w:r w:rsidRPr="00A71D2E">
        <w:rPr>
          <w:rFonts w:hint="eastAsia"/>
          <w:szCs w:val="21"/>
        </w:rPr>
        <w:t>未确认递延所得税资产明细</w:t>
      </w:r>
    </w:p>
    <w:p w:rsidR="000C4F4B" w:rsidRPr="00A71D2E" w:rsidRDefault="000C4F4B">
      <w:pPr>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773"/>
        <w:gridCol w:w="1835"/>
        <w:gridCol w:w="1836"/>
      </w:tblGrid>
      <w:tr w:rsidR="000C4F4B" w:rsidRPr="00A71D2E" w:rsidTr="0027505B">
        <w:trPr>
          <w:trHeight w:val="20"/>
        </w:trPr>
        <w:tc>
          <w:tcPr>
            <w:tcW w:w="5773" w:type="dxa"/>
            <w:shd w:val="clear" w:color="auto" w:fill="D9D9D9" w:themeFill="background1" w:themeFillShade="D9"/>
            <w:tcMar>
              <w:top w:w="0" w:type="dxa"/>
              <w:left w:w="108" w:type="dxa"/>
              <w:bottom w:w="0" w:type="dxa"/>
              <w:right w:w="108" w:type="dxa"/>
            </w:tcMar>
            <w:vAlign w:val="center"/>
            <w:hideMark/>
          </w:tcPr>
          <w:p w:rsidR="000C4F4B" w:rsidRPr="00A71D2E" w:rsidRDefault="000C4F4B" w:rsidP="00E456AF">
            <w:pPr>
              <w:jc w:val="center"/>
              <w:rPr>
                <w:rFonts w:eastAsia="宋体" w:cs="Times New Roman"/>
                <w:sz w:val="18"/>
                <w:szCs w:val="18"/>
              </w:rPr>
            </w:pPr>
            <w:r w:rsidRPr="00A71D2E">
              <w:rPr>
                <w:rFonts w:eastAsia="宋体" w:cs="Times New Roman" w:hint="eastAsia"/>
                <w:sz w:val="18"/>
                <w:szCs w:val="18"/>
              </w:rPr>
              <w:t>项目</w:t>
            </w:r>
          </w:p>
        </w:tc>
        <w:tc>
          <w:tcPr>
            <w:tcW w:w="1835" w:type="dxa"/>
            <w:shd w:val="clear" w:color="auto" w:fill="D9D9D9" w:themeFill="background1" w:themeFillShade="D9"/>
            <w:vAlign w:val="center"/>
          </w:tcPr>
          <w:p w:rsidR="000C4F4B" w:rsidRPr="00A71D2E" w:rsidRDefault="000C4F4B" w:rsidP="00E456AF">
            <w:pPr>
              <w:jc w:val="center"/>
              <w:rPr>
                <w:rFonts w:eastAsia="宋体" w:cs="Times New Roman"/>
                <w:sz w:val="18"/>
                <w:szCs w:val="18"/>
              </w:rPr>
            </w:pPr>
            <w:r w:rsidRPr="00A71D2E">
              <w:rPr>
                <w:rFonts w:eastAsia="宋体" w:cs="Times New Roman" w:hint="eastAsia"/>
                <w:sz w:val="18"/>
                <w:szCs w:val="18"/>
              </w:rPr>
              <w:t>年末余额</w:t>
            </w:r>
          </w:p>
        </w:tc>
        <w:tc>
          <w:tcPr>
            <w:tcW w:w="1836" w:type="dxa"/>
            <w:shd w:val="clear" w:color="auto" w:fill="D9D9D9" w:themeFill="background1" w:themeFillShade="D9"/>
            <w:vAlign w:val="center"/>
          </w:tcPr>
          <w:p w:rsidR="000C4F4B" w:rsidRPr="00A71D2E" w:rsidRDefault="000C4F4B" w:rsidP="00E456AF">
            <w:pPr>
              <w:jc w:val="center"/>
              <w:rPr>
                <w:rFonts w:eastAsia="宋体" w:cs="Times New Roman"/>
                <w:sz w:val="18"/>
                <w:szCs w:val="18"/>
              </w:rPr>
            </w:pPr>
            <w:r w:rsidRPr="00A71D2E">
              <w:rPr>
                <w:rFonts w:eastAsia="宋体" w:cs="Times New Roman" w:hint="eastAsia"/>
                <w:sz w:val="18"/>
                <w:szCs w:val="18"/>
              </w:rPr>
              <w:t>年初余额</w:t>
            </w:r>
          </w:p>
        </w:tc>
      </w:tr>
      <w:tr w:rsidR="000C4F4B" w:rsidRPr="00A71D2E" w:rsidTr="0027505B">
        <w:trPr>
          <w:trHeight w:val="20"/>
        </w:trPr>
        <w:tc>
          <w:tcPr>
            <w:tcW w:w="5773" w:type="dxa"/>
            <w:shd w:val="clear" w:color="auto" w:fill="FFFFFF" w:themeFill="background1"/>
            <w:tcMar>
              <w:top w:w="0" w:type="dxa"/>
              <w:left w:w="108" w:type="dxa"/>
              <w:bottom w:w="0" w:type="dxa"/>
              <w:right w:w="108" w:type="dxa"/>
            </w:tcMar>
            <w:vAlign w:val="center"/>
            <w:hideMark/>
          </w:tcPr>
          <w:p w:rsidR="000C4F4B" w:rsidRPr="00A71D2E" w:rsidRDefault="000C4F4B" w:rsidP="00E456AF">
            <w:pPr>
              <w:rPr>
                <w:rFonts w:eastAsia="宋体" w:cs="Times New Roman"/>
                <w:sz w:val="18"/>
                <w:szCs w:val="18"/>
              </w:rPr>
            </w:pPr>
            <w:r w:rsidRPr="00A71D2E">
              <w:rPr>
                <w:rFonts w:eastAsia="宋体" w:cs="Times New Roman" w:hint="eastAsia"/>
                <w:sz w:val="18"/>
                <w:szCs w:val="18"/>
              </w:rPr>
              <w:t>可抵扣暂时性差异</w:t>
            </w:r>
          </w:p>
        </w:tc>
        <w:tc>
          <w:tcPr>
            <w:tcW w:w="1835" w:type="dxa"/>
            <w:vAlign w:val="center"/>
          </w:tcPr>
          <w:p w:rsidR="000C4F4B" w:rsidRPr="00A71D2E" w:rsidRDefault="000C4F4B" w:rsidP="00E456AF">
            <w:pPr>
              <w:ind w:right="93"/>
              <w:jc w:val="right"/>
              <w:rPr>
                <w:rFonts w:eastAsia="宋体" w:cs="Times New Roman"/>
                <w:sz w:val="18"/>
                <w:szCs w:val="18"/>
              </w:rPr>
            </w:pPr>
            <w:r w:rsidRPr="00BE5E92">
              <w:rPr>
                <w:rFonts w:eastAsia="宋体" w:cs="Times New Roman"/>
                <w:sz w:val="18"/>
                <w:szCs w:val="18"/>
              </w:rPr>
              <w:t>6,747,753.92</w:t>
            </w:r>
          </w:p>
        </w:tc>
        <w:tc>
          <w:tcPr>
            <w:tcW w:w="1836" w:type="dxa"/>
            <w:vAlign w:val="center"/>
          </w:tcPr>
          <w:p w:rsidR="000C4F4B" w:rsidRPr="00A71D2E" w:rsidRDefault="000C4F4B" w:rsidP="00E456AF">
            <w:pPr>
              <w:ind w:right="93"/>
              <w:jc w:val="right"/>
              <w:rPr>
                <w:rFonts w:eastAsia="宋体" w:cs="Times New Roman"/>
                <w:sz w:val="18"/>
                <w:szCs w:val="18"/>
              </w:rPr>
            </w:pPr>
            <w:r w:rsidRPr="00A71D2E">
              <w:rPr>
                <w:rFonts w:eastAsia="宋体" w:cs="Times New Roman"/>
                <w:sz w:val="18"/>
                <w:szCs w:val="18"/>
              </w:rPr>
              <w:t>5,438,023.34</w:t>
            </w:r>
          </w:p>
        </w:tc>
      </w:tr>
      <w:tr w:rsidR="000C4F4B" w:rsidRPr="00A71D2E" w:rsidTr="0027505B">
        <w:trPr>
          <w:trHeight w:val="20"/>
        </w:trPr>
        <w:tc>
          <w:tcPr>
            <w:tcW w:w="5773" w:type="dxa"/>
            <w:shd w:val="clear" w:color="auto" w:fill="FFFFFF" w:themeFill="background1"/>
            <w:tcMar>
              <w:top w:w="0" w:type="dxa"/>
              <w:left w:w="108" w:type="dxa"/>
              <w:bottom w:w="0" w:type="dxa"/>
              <w:right w:w="108" w:type="dxa"/>
            </w:tcMar>
            <w:vAlign w:val="center"/>
            <w:hideMark/>
          </w:tcPr>
          <w:p w:rsidR="000C4F4B" w:rsidRPr="00A71D2E" w:rsidRDefault="000C4F4B" w:rsidP="00E456AF">
            <w:pPr>
              <w:rPr>
                <w:rFonts w:eastAsia="宋体" w:cs="Times New Roman"/>
                <w:sz w:val="18"/>
                <w:szCs w:val="18"/>
              </w:rPr>
            </w:pPr>
            <w:r w:rsidRPr="00A71D2E">
              <w:rPr>
                <w:rFonts w:eastAsia="宋体" w:cs="Times New Roman" w:hint="eastAsia"/>
                <w:sz w:val="18"/>
                <w:szCs w:val="18"/>
              </w:rPr>
              <w:t>可抵扣亏损</w:t>
            </w:r>
          </w:p>
        </w:tc>
        <w:tc>
          <w:tcPr>
            <w:tcW w:w="1835" w:type="dxa"/>
            <w:vAlign w:val="center"/>
          </w:tcPr>
          <w:p w:rsidR="000C4F4B" w:rsidRPr="00A71D2E" w:rsidRDefault="000C4F4B" w:rsidP="00E456AF">
            <w:pPr>
              <w:ind w:right="93"/>
              <w:jc w:val="right"/>
              <w:rPr>
                <w:rFonts w:eastAsia="宋体" w:cs="Times New Roman"/>
                <w:sz w:val="18"/>
                <w:szCs w:val="18"/>
              </w:rPr>
            </w:pPr>
            <w:r w:rsidRPr="00BE5E92">
              <w:rPr>
                <w:rFonts w:eastAsia="宋体" w:cs="Times New Roman"/>
                <w:sz w:val="18"/>
                <w:szCs w:val="18"/>
              </w:rPr>
              <w:t>24,806,852.97</w:t>
            </w:r>
          </w:p>
        </w:tc>
        <w:tc>
          <w:tcPr>
            <w:tcW w:w="1836" w:type="dxa"/>
            <w:vAlign w:val="center"/>
          </w:tcPr>
          <w:p w:rsidR="000C4F4B" w:rsidRPr="00A71D2E" w:rsidRDefault="000C4F4B" w:rsidP="00E456AF">
            <w:pPr>
              <w:ind w:right="93"/>
              <w:jc w:val="right"/>
              <w:rPr>
                <w:rFonts w:eastAsia="宋体" w:cs="Times New Roman"/>
                <w:sz w:val="18"/>
                <w:szCs w:val="18"/>
              </w:rPr>
            </w:pPr>
            <w:r w:rsidRPr="00A71D2E">
              <w:rPr>
                <w:rFonts w:eastAsia="宋体" w:cs="Times New Roman"/>
                <w:sz w:val="18"/>
                <w:szCs w:val="18"/>
              </w:rPr>
              <w:t>79,699,609.72</w:t>
            </w:r>
          </w:p>
        </w:tc>
      </w:tr>
      <w:tr w:rsidR="000C4F4B" w:rsidRPr="00A71D2E" w:rsidTr="0027505B">
        <w:trPr>
          <w:trHeight w:val="70"/>
        </w:trPr>
        <w:tc>
          <w:tcPr>
            <w:tcW w:w="5773" w:type="dxa"/>
            <w:shd w:val="clear" w:color="auto" w:fill="D9D9D9" w:themeFill="background1" w:themeFillShade="D9"/>
            <w:tcMar>
              <w:top w:w="0" w:type="dxa"/>
              <w:left w:w="108" w:type="dxa"/>
              <w:bottom w:w="0" w:type="dxa"/>
              <w:right w:w="108" w:type="dxa"/>
            </w:tcMar>
            <w:vAlign w:val="center"/>
            <w:hideMark/>
          </w:tcPr>
          <w:p w:rsidR="000C4F4B" w:rsidRPr="00A71D2E" w:rsidRDefault="000C4F4B" w:rsidP="00E456AF">
            <w:pPr>
              <w:rPr>
                <w:rFonts w:eastAsia="宋体" w:cs="Times New Roman"/>
                <w:sz w:val="18"/>
                <w:szCs w:val="18"/>
              </w:rPr>
            </w:pPr>
            <w:r w:rsidRPr="00A71D2E">
              <w:rPr>
                <w:rFonts w:eastAsia="宋体" w:cs="Times New Roman" w:hint="eastAsia"/>
                <w:bCs/>
                <w:sz w:val="18"/>
                <w:szCs w:val="18"/>
              </w:rPr>
              <w:t>合计</w:t>
            </w:r>
          </w:p>
        </w:tc>
        <w:tc>
          <w:tcPr>
            <w:tcW w:w="1835" w:type="dxa"/>
            <w:vAlign w:val="center"/>
          </w:tcPr>
          <w:p w:rsidR="000C4F4B" w:rsidRPr="00A71D2E" w:rsidRDefault="000C4F4B" w:rsidP="00E456AF">
            <w:pPr>
              <w:ind w:right="93"/>
              <w:jc w:val="right"/>
              <w:rPr>
                <w:rFonts w:eastAsia="宋体" w:cs="Times New Roman"/>
                <w:sz w:val="18"/>
                <w:szCs w:val="18"/>
              </w:rPr>
            </w:pPr>
            <w:r w:rsidRPr="00BE5E92">
              <w:rPr>
                <w:rFonts w:eastAsia="宋体" w:cs="Times New Roman"/>
                <w:sz w:val="18"/>
                <w:szCs w:val="18"/>
              </w:rPr>
              <w:t>31,554,606.89</w:t>
            </w:r>
          </w:p>
        </w:tc>
        <w:tc>
          <w:tcPr>
            <w:tcW w:w="1836" w:type="dxa"/>
            <w:vAlign w:val="center"/>
          </w:tcPr>
          <w:p w:rsidR="000C4F4B" w:rsidRPr="00A71D2E" w:rsidRDefault="000C4F4B" w:rsidP="00E456AF">
            <w:pPr>
              <w:ind w:right="93"/>
              <w:jc w:val="right"/>
              <w:rPr>
                <w:rFonts w:eastAsia="宋体" w:cs="Times New Roman"/>
                <w:sz w:val="18"/>
                <w:szCs w:val="18"/>
              </w:rPr>
            </w:pPr>
            <w:r w:rsidRPr="00A71D2E">
              <w:rPr>
                <w:rFonts w:eastAsia="宋体" w:cs="Times New Roman"/>
                <w:sz w:val="18"/>
                <w:szCs w:val="18"/>
              </w:rPr>
              <w:t>85,137,633.06</w:t>
            </w:r>
          </w:p>
        </w:tc>
      </w:tr>
    </w:tbl>
    <w:p w:rsidR="000C4F4B" w:rsidRDefault="000C4F4B" w:rsidP="0027505B">
      <w:pPr>
        <w:ind w:left="731"/>
        <w:rPr>
          <w:rFonts w:eastAsia="宋体" w:cs="Times New Roman"/>
          <w:szCs w:val="21"/>
        </w:rPr>
      </w:pPr>
    </w:p>
    <w:p w:rsidR="000C4F4B" w:rsidRPr="00A71D2E" w:rsidRDefault="000C4F4B" w:rsidP="0014300C">
      <w:pPr>
        <w:pStyle w:val="aff1"/>
        <w:numPr>
          <w:ilvl w:val="0"/>
          <w:numId w:val="43"/>
        </w:numPr>
        <w:ind w:left="1440" w:firstLineChars="0" w:hanging="709"/>
        <w:rPr>
          <w:szCs w:val="21"/>
        </w:rPr>
      </w:pPr>
      <w:r w:rsidRPr="00A71D2E">
        <w:rPr>
          <w:rFonts w:hint="eastAsia"/>
          <w:szCs w:val="21"/>
        </w:rPr>
        <w:t>未确认递延所得税资产的可抵扣亏损将于以下年度到期</w:t>
      </w:r>
    </w:p>
    <w:p w:rsidR="000C4F4B" w:rsidRPr="00A71D2E" w:rsidRDefault="000C4F4B" w:rsidP="000C4F4B">
      <w:pPr>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773"/>
        <w:gridCol w:w="1835"/>
        <w:gridCol w:w="1836"/>
      </w:tblGrid>
      <w:tr w:rsidR="000C4F4B" w:rsidRPr="00A71D2E" w:rsidTr="0027505B">
        <w:trPr>
          <w:trHeight w:val="20"/>
        </w:trPr>
        <w:tc>
          <w:tcPr>
            <w:tcW w:w="5773" w:type="dxa"/>
            <w:shd w:val="clear" w:color="auto" w:fill="D9D9D9" w:themeFill="background1" w:themeFillShade="D9"/>
            <w:tcMar>
              <w:top w:w="0" w:type="dxa"/>
              <w:left w:w="108" w:type="dxa"/>
              <w:bottom w:w="0" w:type="dxa"/>
              <w:right w:w="108" w:type="dxa"/>
            </w:tcMar>
            <w:vAlign w:val="center"/>
            <w:hideMark/>
          </w:tcPr>
          <w:p w:rsidR="000C4F4B" w:rsidRPr="00A71D2E" w:rsidRDefault="000C4F4B" w:rsidP="00E456AF">
            <w:pPr>
              <w:jc w:val="center"/>
              <w:rPr>
                <w:rFonts w:eastAsia="宋体" w:cs="Times New Roman"/>
                <w:sz w:val="18"/>
                <w:szCs w:val="18"/>
              </w:rPr>
            </w:pPr>
            <w:r w:rsidRPr="00A71D2E">
              <w:rPr>
                <w:rFonts w:eastAsia="宋体" w:cs="Times New Roman" w:hint="eastAsia"/>
                <w:sz w:val="18"/>
                <w:szCs w:val="18"/>
              </w:rPr>
              <w:t>年份</w:t>
            </w:r>
          </w:p>
        </w:tc>
        <w:tc>
          <w:tcPr>
            <w:tcW w:w="1835" w:type="dxa"/>
            <w:shd w:val="clear" w:color="auto" w:fill="D9D9D9" w:themeFill="background1" w:themeFillShade="D9"/>
            <w:vAlign w:val="center"/>
          </w:tcPr>
          <w:p w:rsidR="000C4F4B" w:rsidRPr="00A71D2E" w:rsidRDefault="000C4F4B" w:rsidP="00E456AF">
            <w:pPr>
              <w:jc w:val="center"/>
              <w:rPr>
                <w:rFonts w:eastAsia="宋体" w:cs="Times New Roman"/>
                <w:sz w:val="18"/>
                <w:szCs w:val="18"/>
              </w:rPr>
            </w:pPr>
            <w:r w:rsidRPr="00A71D2E">
              <w:rPr>
                <w:rFonts w:eastAsia="宋体" w:cs="Times New Roman" w:hint="eastAsia"/>
                <w:sz w:val="18"/>
                <w:szCs w:val="18"/>
              </w:rPr>
              <w:t>年末余额</w:t>
            </w:r>
          </w:p>
        </w:tc>
        <w:tc>
          <w:tcPr>
            <w:tcW w:w="1836" w:type="dxa"/>
            <w:shd w:val="clear" w:color="auto" w:fill="D9D9D9" w:themeFill="background1" w:themeFillShade="D9"/>
            <w:vAlign w:val="center"/>
          </w:tcPr>
          <w:p w:rsidR="000C4F4B" w:rsidRPr="00A71D2E" w:rsidRDefault="000C4F4B" w:rsidP="00E456AF">
            <w:pPr>
              <w:jc w:val="center"/>
              <w:rPr>
                <w:rFonts w:eastAsia="宋体" w:cs="Times New Roman"/>
                <w:sz w:val="18"/>
                <w:szCs w:val="18"/>
              </w:rPr>
            </w:pPr>
            <w:r w:rsidRPr="00A71D2E">
              <w:rPr>
                <w:rFonts w:eastAsia="宋体" w:cs="Times New Roman" w:hint="eastAsia"/>
                <w:sz w:val="18"/>
                <w:szCs w:val="18"/>
              </w:rPr>
              <w:t>年初余额</w:t>
            </w:r>
          </w:p>
        </w:tc>
      </w:tr>
      <w:tr w:rsidR="000C4F4B" w:rsidRPr="00A71D2E" w:rsidTr="0027505B">
        <w:trPr>
          <w:trHeight w:val="20"/>
        </w:trPr>
        <w:tc>
          <w:tcPr>
            <w:tcW w:w="5773" w:type="dxa"/>
            <w:shd w:val="clear" w:color="auto" w:fill="FFFFFF" w:themeFill="background1"/>
            <w:tcMar>
              <w:top w:w="0" w:type="dxa"/>
              <w:left w:w="108" w:type="dxa"/>
              <w:bottom w:w="0" w:type="dxa"/>
              <w:right w:w="108" w:type="dxa"/>
            </w:tcMar>
            <w:vAlign w:val="center"/>
          </w:tcPr>
          <w:p w:rsidR="000C4F4B" w:rsidRPr="00A71D2E" w:rsidRDefault="000C4F4B" w:rsidP="00E456AF">
            <w:pPr>
              <w:rPr>
                <w:rFonts w:eastAsia="宋体" w:cs="Times New Roman"/>
                <w:sz w:val="18"/>
                <w:szCs w:val="18"/>
              </w:rPr>
            </w:pPr>
            <w:r w:rsidRPr="00A71D2E">
              <w:rPr>
                <w:rFonts w:eastAsia="宋体" w:cs="Times New Roman" w:hint="eastAsia"/>
                <w:sz w:val="18"/>
                <w:szCs w:val="18"/>
              </w:rPr>
              <w:t>无限期</w:t>
            </w:r>
          </w:p>
        </w:tc>
        <w:tc>
          <w:tcPr>
            <w:tcW w:w="1835" w:type="dxa"/>
            <w:vAlign w:val="center"/>
          </w:tcPr>
          <w:p w:rsidR="000C4F4B" w:rsidRPr="00A71D2E" w:rsidRDefault="000C4F4B" w:rsidP="00E456AF">
            <w:pPr>
              <w:ind w:right="93"/>
              <w:jc w:val="right"/>
              <w:rPr>
                <w:rFonts w:eastAsia="宋体" w:cs="Times New Roman"/>
                <w:sz w:val="18"/>
                <w:szCs w:val="18"/>
              </w:rPr>
            </w:pPr>
            <w:r w:rsidRPr="00BE5E92">
              <w:rPr>
                <w:rFonts w:eastAsia="宋体" w:cs="Times New Roman"/>
                <w:sz w:val="18"/>
                <w:szCs w:val="18"/>
              </w:rPr>
              <w:t>24,806,852.97</w:t>
            </w:r>
          </w:p>
        </w:tc>
        <w:tc>
          <w:tcPr>
            <w:tcW w:w="1836" w:type="dxa"/>
            <w:vAlign w:val="center"/>
          </w:tcPr>
          <w:p w:rsidR="000C4F4B" w:rsidRPr="00A71D2E" w:rsidRDefault="000C4F4B" w:rsidP="00E456AF">
            <w:pPr>
              <w:ind w:right="93"/>
              <w:jc w:val="right"/>
              <w:rPr>
                <w:rFonts w:eastAsia="宋体" w:cs="Times New Roman"/>
                <w:sz w:val="18"/>
                <w:szCs w:val="18"/>
              </w:rPr>
            </w:pPr>
            <w:r w:rsidRPr="00A71D2E">
              <w:rPr>
                <w:rFonts w:eastAsia="宋体" w:cs="Times New Roman"/>
                <w:sz w:val="18"/>
                <w:szCs w:val="18"/>
              </w:rPr>
              <w:t>79,699,609.72</w:t>
            </w:r>
          </w:p>
        </w:tc>
      </w:tr>
      <w:tr w:rsidR="000C4F4B" w:rsidRPr="00A71D2E" w:rsidTr="0027505B">
        <w:trPr>
          <w:trHeight w:val="20"/>
        </w:trPr>
        <w:tc>
          <w:tcPr>
            <w:tcW w:w="5773" w:type="dxa"/>
            <w:shd w:val="clear" w:color="auto" w:fill="D9D9D9" w:themeFill="background1" w:themeFillShade="D9"/>
            <w:tcMar>
              <w:top w:w="0" w:type="dxa"/>
              <w:left w:w="108" w:type="dxa"/>
              <w:bottom w:w="0" w:type="dxa"/>
              <w:right w:w="108" w:type="dxa"/>
            </w:tcMar>
            <w:vAlign w:val="center"/>
          </w:tcPr>
          <w:p w:rsidR="000C4F4B" w:rsidRPr="00A71D2E" w:rsidRDefault="000C4F4B" w:rsidP="00E456AF">
            <w:pPr>
              <w:rPr>
                <w:rFonts w:eastAsia="宋体" w:cs="Times New Roman"/>
                <w:sz w:val="18"/>
                <w:szCs w:val="18"/>
              </w:rPr>
            </w:pPr>
            <w:r w:rsidRPr="00A71D2E">
              <w:rPr>
                <w:rFonts w:eastAsia="宋体" w:cs="Times New Roman" w:hint="eastAsia"/>
                <w:sz w:val="18"/>
                <w:szCs w:val="18"/>
              </w:rPr>
              <w:t>合计</w:t>
            </w:r>
          </w:p>
        </w:tc>
        <w:tc>
          <w:tcPr>
            <w:tcW w:w="1835" w:type="dxa"/>
            <w:vAlign w:val="center"/>
          </w:tcPr>
          <w:p w:rsidR="000C4F4B" w:rsidRPr="00A71D2E" w:rsidRDefault="000C4F4B" w:rsidP="00E456AF">
            <w:pPr>
              <w:ind w:right="93"/>
              <w:jc w:val="right"/>
              <w:rPr>
                <w:rFonts w:eastAsia="宋体" w:cs="Times New Roman"/>
                <w:sz w:val="18"/>
                <w:szCs w:val="18"/>
              </w:rPr>
            </w:pPr>
            <w:r w:rsidRPr="00BE5E92">
              <w:rPr>
                <w:rFonts w:eastAsia="宋体" w:cs="Times New Roman"/>
                <w:sz w:val="18"/>
                <w:szCs w:val="18"/>
              </w:rPr>
              <w:t>24,806,852.97</w:t>
            </w:r>
          </w:p>
        </w:tc>
        <w:tc>
          <w:tcPr>
            <w:tcW w:w="1836" w:type="dxa"/>
            <w:vAlign w:val="center"/>
          </w:tcPr>
          <w:p w:rsidR="000C4F4B" w:rsidRPr="00A71D2E" w:rsidRDefault="000C4F4B" w:rsidP="00E456AF">
            <w:pPr>
              <w:ind w:right="93"/>
              <w:jc w:val="right"/>
              <w:rPr>
                <w:rFonts w:eastAsia="宋体" w:cs="Times New Roman"/>
                <w:sz w:val="18"/>
                <w:szCs w:val="18"/>
              </w:rPr>
            </w:pPr>
            <w:r w:rsidRPr="00A71D2E">
              <w:rPr>
                <w:rFonts w:eastAsia="宋体" w:cs="Times New Roman"/>
                <w:sz w:val="18"/>
                <w:szCs w:val="18"/>
              </w:rPr>
              <w:t>79,699,609.72</w:t>
            </w:r>
          </w:p>
        </w:tc>
      </w:tr>
    </w:tbl>
    <w:p w:rsidR="00F546DE" w:rsidRPr="00F66363" w:rsidRDefault="00F546DE">
      <w:pPr>
        <w:adjustRightInd/>
        <w:snapToGrid/>
        <w:rPr>
          <w:rFonts w:eastAsia="宋体" w:cs="Times New Roman"/>
          <w:szCs w:val="21"/>
        </w:rPr>
      </w:pPr>
      <w:r w:rsidRPr="00F66363">
        <w:rPr>
          <w:rFonts w:eastAsia="宋体" w:cs="Times New Roman"/>
          <w:szCs w:val="21"/>
        </w:rPr>
        <w:br w:type="page"/>
      </w:r>
    </w:p>
    <w:p w:rsidR="00F546DE" w:rsidRPr="00F66363" w:rsidRDefault="005F14EE" w:rsidP="00F546DE">
      <w:pPr>
        <w:rPr>
          <w:rFonts w:eastAsia="宋体" w:cs="Times New Roman"/>
          <w:szCs w:val="21"/>
        </w:rPr>
      </w:pPr>
      <w:r>
        <w:rPr>
          <w:rFonts w:eastAsia="宋体" w:cs="Times New Roman"/>
          <w:b/>
          <w:szCs w:val="21"/>
        </w:rPr>
        <w:t>(</w:t>
      </w:r>
      <w:r w:rsidR="00F546DE" w:rsidRPr="00F66363">
        <w:rPr>
          <w:rFonts w:eastAsia="宋体" w:cs="Times New Roman" w:hint="eastAsia"/>
          <w:b/>
          <w:szCs w:val="21"/>
        </w:rPr>
        <w:t>五</w:t>
      </w:r>
      <w:r>
        <w:rPr>
          <w:rFonts w:eastAsia="宋体" w:cs="Times New Roman"/>
          <w:b/>
          <w:szCs w:val="21"/>
        </w:rPr>
        <w:t>)</w:t>
      </w:r>
      <w:r w:rsidR="00F546DE" w:rsidRPr="00F66363">
        <w:rPr>
          <w:rFonts w:eastAsia="宋体" w:cs="Times New Roman"/>
          <w:b/>
          <w:szCs w:val="21"/>
        </w:rPr>
        <w:tab/>
      </w:r>
      <w:r w:rsidR="00F546DE" w:rsidRPr="00F66363">
        <w:rPr>
          <w:rFonts w:eastAsia="宋体" w:cs="Times New Roman" w:hint="eastAsia"/>
          <w:b/>
          <w:szCs w:val="21"/>
        </w:rPr>
        <w:t>合并财务报表项目注释</w:t>
      </w:r>
      <w:r w:rsidR="00F546DE" w:rsidRPr="00F66363">
        <w:rPr>
          <w:rFonts w:eastAsia="宋体" w:cs="Times New Roman"/>
          <w:bCs/>
          <w:szCs w:val="21"/>
        </w:rPr>
        <w:t xml:space="preserve"> </w:t>
      </w:r>
      <w:r w:rsidR="00F546DE" w:rsidRPr="00F66363">
        <w:rPr>
          <w:rFonts w:eastAsia="宋体" w:cs="Times New Roman"/>
          <w:szCs w:val="21"/>
        </w:rPr>
        <w:t xml:space="preserve">- </w:t>
      </w:r>
      <w:r w:rsidR="00F546DE" w:rsidRPr="00F66363">
        <w:rPr>
          <w:rFonts w:eastAsia="宋体" w:cs="Times New Roman" w:hint="eastAsia"/>
          <w:szCs w:val="21"/>
        </w:rPr>
        <w:t>续</w:t>
      </w:r>
    </w:p>
    <w:p w:rsidR="00EB68E7" w:rsidRPr="00F66363" w:rsidRDefault="00EB68E7" w:rsidP="00406676">
      <w:pPr>
        <w:ind w:left="731"/>
        <w:rPr>
          <w:rFonts w:eastAsia="宋体" w:cs="Times New Roman"/>
          <w:szCs w:val="21"/>
        </w:rPr>
      </w:pPr>
    </w:p>
    <w:p w:rsidR="00EB68E7" w:rsidRPr="00A71D2E" w:rsidRDefault="00EB68E7" w:rsidP="00F66363">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其他非流动资产</w:t>
      </w:r>
    </w:p>
    <w:p w:rsidR="00EB68E7" w:rsidRPr="00A71D2E" w:rsidRDefault="00EB68E7" w:rsidP="00F66363">
      <w:pPr>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12"/>
        <w:gridCol w:w="1966"/>
        <w:gridCol w:w="1966"/>
      </w:tblGrid>
      <w:tr w:rsidR="00EB68E7" w:rsidRPr="00A71D2E" w:rsidTr="0027505B">
        <w:trPr>
          <w:trHeight w:val="20"/>
        </w:trPr>
        <w:tc>
          <w:tcPr>
            <w:tcW w:w="5512" w:type="dxa"/>
            <w:shd w:val="clear" w:color="auto" w:fill="D9D9D9" w:themeFill="background1" w:themeFillShade="D9"/>
            <w:tcMar>
              <w:top w:w="0" w:type="dxa"/>
              <w:left w:w="108" w:type="dxa"/>
              <w:bottom w:w="0" w:type="dxa"/>
              <w:right w:w="108" w:type="dxa"/>
            </w:tcMar>
            <w:vAlign w:val="center"/>
            <w:hideMark/>
          </w:tcPr>
          <w:p w:rsidR="00EB68E7" w:rsidRPr="00A71D2E" w:rsidRDefault="00EB68E7" w:rsidP="00F66363">
            <w:pPr>
              <w:jc w:val="center"/>
              <w:rPr>
                <w:rFonts w:eastAsia="宋体" w:cs="Times New Roman"/>
                <w:sz w:val="18"/>
                <w:szCs w:val="18"/>
              </w:rPr>
            </w:pPr>
            <w:r w:rsidRPr="00A71D2E">
              <w:rPr>
                <w:rFonts w:eastAsia="宋体" w:cs="Times New Roman" w:hint="eastAsia"/>
                <w:sz w:val="18"/>
                <w:szCs w:val="18"/>
              </w:rPr>
              <w:t>项目</w:t>
            </w:r>
          </w:p>
        </w:tc>
        <w:tc>
          <w:tcPr>
            <w:tcW w:w="1966" w:type="dxa"/>
            <w:shd w:val="clear" w:color="auto" w:fill="D9D9D9" w:themeFill="background1" w:themeFillShade="D9"/>
            <w:vAlign w:val="center"/>
          </w:tcPr>
          <w:p w:rsidR="00EB68E7" w:rsidRPr="00A71D2E" w:rsidRDefault="007F7EF0" w:rsidP="00F66363">
            <w:pPr>
              <w:jc w:val="center"/>
              <w:rPr>
                <w:rFonts w:eastAsia="宋体" w:cs="Times New Roman"/>
                <w:sz w:val="18"/>
                <w:szCs w:val="18"/>
              </w:rPr>
            </w:pPr>
            <w:r w:rsidRPr="00A71D2E">
              <w:rPr>
                <w:rFonts w:eastAsia="宋体" w:cs="Times New Roman" w:hint="eastAsia"/>
                <w:sz w:val="18"/>
                <w:szCs w:val="18"/>
              </w:rPr>
              <w:t>年末余额</w:t>
            </w:r>
          </w:p>
        </w:tc>
        <w:tc>
          <w:tcPr>
            <w:tcW w:w="1966" w:type="dxa"/>
            <w:shd w:val="clear" w:color="auto" w:fill="D9D9D9" w:themeFill="background1" w:themeFillShade="D9"/>
            <w:vAlign w:val="center"/>
          </w:tcPr>
          <w:p w:rsidR="00EB68E7" w:rsidRPr="00A71D2E" w:rsidRDefault="007F7EF0" w:rsidP="00F66363">
            <w:pPr>
              <w:jc w:val="center"/>
              <w:rPr>
                <w:rFonts w:eastAsia="宋体" w:cs="Times New Roman"/>
                <w:sz w:val="18"/>
                <w:szCs w:val="18"/>
              </w:rPr>
            </w:pPr>
            <w:r w:rsidRPr="00A71D2E">
              <w:rPr>
                <w:rFonts w:eastAsia="宋体" w:cs="Times New Roman" w:hint="eastAsia"/>
                <w:sz w:val="18"/>
                <w:szCs w:val="18"/>
              </w:rPr>
              <w:t>年初余额</w:t>
            </w:r>
          </w:p>
        </w:tc>
      </w:tr>
      <w:tr w:rsidR="008A16D0" w:rsidRPr="00A71D2E" w:rsidTr="0027505B">
        <w:trPr>
          <w:trHeight w:val="20"/>
        </w:trPr>
        <w:tc>
          <w:tcPr>
            <w:tcW w:w="5512" w:type="dxa"/>
            <w:shd w:val="clear" w:color="auto" w:fill="FFFFFF" w:themeFill="background1"/>
            <w:tcMar>
              <w:top w:w="0" w:type="dxa"/>
              <w:left w:w="108" w:type="dxa"/>
              <w:bottom w:w="0" w:type="dxa"/>
              <w:right w:w="108" w:type="dxa"/>
            </w:tcMar>
            <w:vAlign w:val="center"/>
          </w:tcPr>
          <w:p w:rsidR="008A16D0" w:rsidRPr="00A71D2E" w:rsidRDefault="008A16D0" w:rsidP="008A16D0">
            <w:pPr>
              <w:rPr>
                <w:rFonts w:eastAsia="宋体" w:cs="Times New Roman"/>
                <w:sz w:val="18"/>
                <w:szCs w:val="18"/>
              </w:rPr>
            </w:pPr>
            <w:r w:rsidRPr="00A71D2E">
              <w:rPr>
                <w:rFonts w:eastAsia="宋体" w:cs="Times New Roman" w:hint="eastAsia"/>
                <w:sz w:val="18"/>
                <w:szCs w:val="18"/>
              </w:rPr>
              <w:t>预付固定资产</w:t>
            </w:r>
            <w:proofErr w:type="gramStart"/>
            <w:r w:rsidRPr="00A71D2E">
              <w:rPr>
                <w:rFonts w:eastAsia="宋体" w:cs="Times New Roman" w:hint="eastAsia"/>
                <w:sz w:val="18"/>
                <w:szCs w:val="18"/>
              </w:rPr>
              <w:t>采购款</w:t>
            </w:r>
            <w:proofErr w:type="gramEnd"/>
          </w:p>
        </w:tc>
        <w:tc>
          <w:tcPr>
            <w:tcW w:w="1966" w:type="dxa"/>
            <w:vAlign w:val="center"/>
          </w:tcPr>
          <w:p w:rsidR="008A16D0" w:rsidRPr="00A71D2E" w:rsidRDefault="002B4A24" w:rsidP="008A16D0">
            <w:pPr>
              <w:ind w:right="93"/>
              <w:jc w:val="right"/>
              <w:rPr>
                <w:rFonts w:eastAsia="宋体" w:cs="Times New Roman"/>
                <w:sz w:val="18"/>
                <w:szCs w:val="18"/>
              </w:rPr>
            </w:pPr>
            <w:r w:rsidRPr="002B4A24">
              <w:rPr>
                <w:rFonts w:eastAsia="宋体" w:cs="Times New Roman"/>
                <w:sz w:val="18"/>
                <w:szCs w:val="18"/>
              </w:rPr>
              <w:t>2,497,752.40</w:t>
            </w:r>
          </w:p>
        </w:tc>
        <w:tc>
          <w:tcPr>
            <w:tcW w:w="1966" w:type="dxa"/>
            <w:vAlign w:val="center"/>
          </w:tcPr>
          <w:p w:rsidR="008A16D0" w:rsidRPr="00A71D2E" w:rsidRDefault="008A16D0" w:rsidP="008A16D0">
            <w:pPr>
              <w:ind w:right="93"/>
              <w:jc w:val="right"/>
              <w:rPr>
                <w:rFonts w:eastAsia="宋体" w:cs="Times New Roman"/>
                <w:sz w:val="18"/>
                <w:szCs w:val="18"/>
              </w:rPr>
            </w:pPr>
            <w:r w:rsidRPr="00A71D2E">
              <w:rPr>
                <w:rFonts w:eastAsia="宋体" w:cs="Times New Roman"/>
                <w:sz w:val="18"/>
                <w:szCs w:val="18"/>
              </w:rPr>
              <w:t>1,545,681.35</w:t>
            </w:r>
          </w:p>
        </w:tc>
      </w:tr>
      <w:tr w:rsidR="008A16D0" w:rsidRPr="00A71D2E" w:rsidTr="0027505B">
        <w:trPr>
          <w:trHeight w:val="20"/>
        </w:trPr>
        <w:tc>
          <w:tcPr>
            <w:tcW w:w="5512" w:type="dxa"/>
            <w:shd w:val="clear" w:color="auto" w:fill="FFFFFF" w:themeFill="background1"/>
            <w:tcMar>
              <w:top w:w="0" w:type="dxa"/>
              <w:left w:w="108" w:type="dxa"/>
              <w:bottom w:w="0" w:type="dxa"/>
              <w:right w:w="108" w:type="dxa"/>
            </w:tcMar>
            <w:vAlign w:val="center"/>
          </w:tcPr>
          <w:p w:rsidR="008A16D0" w:rsidRPr="00A71D2E" w:rsidRDefault="008A16D0" w:rsidP="008A16D0">
            <w:pPr>
              <w:rPr>
                <w:rFonts w:eastAsia="宋体" w:cs="Times New Roman"/>
                <w:sz w:val="18"/>
                <w:szCs w:val="18"/>
              </w:rPr>
            </w:pPr>
            <w:r w:rsidRPr="00A71D2E">
              <w:rPr>
                <w:rFonts w:eastAsia="宋体" w:cs="Times New Roman" w:hint="eastAsia"/>
                <w:sz w:val="18"/>
                <w:szCs w:val="18"/>
              </w:rPr>
              <w:t>房屋租赁押金</w:t>
            </w:r>
          </w:p>
        </w:tc>
        <w:tc>
          <w:tcPr>
            <w:tcW w:w="1966" w:type="dxa"/>
            <w:vAlign w:val="center"/>
          </w:tcPr>
          <w:p w:rsidR="008A16D0" w:rsidRPr="00A71D2E" w:rsidRDefault="002B4A24" w:rsidP="008A16D0">
            <w:pPr>
              <w:ind w:right="93"/>
              <w:jc w:val="right"/>
              <w:rPr>
                <w:rFonts w:eastAsia="宋体" w:cs="Times New Roman"/>
                <w:sz w:val="18"/>
                <w:szCs w:val="18"/>
              </w:rPr>
            </w:pPr>
            <w:r w:rsidRPr="002B4A24">
              <w:rPr>
                <w:rFonts w:eastAsia="宋体" w:cs="Times New Roman"/>
                <w:sz w:val="18"/>
                <w:szCs w:val="18"/>
              </w:rPr>
              <w:t>2,017,718.89</w:t>
            </w:r>
          </w:p>
        </w:tc>
        <w:tc>
          <w:tcPr>
            <w:tcW w:w="1966" w:type="dxa"/>
            <w:vAlign w:val="center"/>
          </w:tcPr>
          <w:p w:rsidR="008A16D0" w:rsidRPr="00A71D2E" w:rsidRDefault="008A16D0" w:rsidP="008A16D0">
            <w:pPr>
              <w:ind w:right="93"/>
              <w:jc w:val="right"/>
              <w:rPr>
                <w:rFonts w:eastAsia="宋体" w:cs="Times New Roman"/>
                <w:sz w:val="18"/>
                <w:szCs w:val="18"/>
              </w:rPr>
            </w:pPr>
            <w:r w:rsidRPr="00A71D2E">
              <w:rPr>
                <w:rFonts w:eastAsia="宋体" w:cs="Times New Roman"/>
                <w:sz w:val="18"/>
                <w:szCs w:val="18"/>
              </w:rPr>
              <w:t>2,181,057.96</w:t>
            </w:r>
          </w:p>
        </w:tc>
      </w:tr>
      <w:tr w:rsidR="008A16D0" w:rsidRPr="00A71D2E" w:rsidTr="0027505B">
        <w:trPr>
          <w:trHeight w:val="20"/>
        </w:trPr>
        <w:tc>
          <w:tcPr>
            <w:tcW w:w="5512" w:type="dxa"/>
            <w:shd w:val="clear" w:color="auto" w:fill="D9D9D9" w:themeFill="background1" w:themeFillShade="D9"/>
            <w:tcMar>
              <w:top w:w="0" w:type="dxa"/>
              <w:left w:w="108" w:type="dxa"/>
              <w:bottom w:w="0" w:type="dxa"/>
              <w:right w:w="108" w:type="dxa"/>
            </w:tcMar>
            <w:vAlign w:val="center"/>
            <w:hideMark/>
          </w:tcPr>
          <w:p w:rsidR="008A16D0" w:rsidRPr="00A71D2E" w:rsidRDefault="008A16D0" w:rsidP="008A16D0">
            <w:pPr>
              <w:rPr>
                <w:rFonts w:eastAsia="宋体" w:cs="Times New Roman"/>
                <w:sz w:val="18"/>
                <w:szCs w:val="18"/>
              </w:rPr>
            </w:pPr>
            <w:r w:rsidRPr="00A71D2E">
              <w:rPr>
                <w:rFonts w:eastAsia="宋体" w:cs="Times New Roman" w:hint="eastAsia"/>
                <w:sz w:val="18"/>
                <w:szCs w:val="18"/>
              </w:rPr>
              <w:t>合计</w:t>
            </w:r>
          </w:p>
        </w:tc>
        <w:tc>
          <w:tcPr>
            <w:tcW w:w="1966" w:type="dxa"/>
            <w:vAlign w:val="center"/>
          </w:tcPr>
          <w:p w:rsidR="008A16D0" w:rsidRPr="00A71D2E" w:rsidRDefault="002B4A24" w:rsidP="008A16D0">
            <w:pPr>
              <w:ind w:right="93"/>
              <w:jc w:val="right"/>
              <w:rPr>
                <w:rFonts w:eastAsia="宋体" w:cs="Times New Roman"/>
                <w:sz w:val="18"/>
                <w:szCs w:val="18"/>
              </w:rPr>
            </w:pPr>
            <w:r w:rsidRPr="002B4A24">
              <w:rPr>
                <w:rFonts w:eastAsia="宋体" w:cs="Times New Roman"/>
                <w:sz w:val="18"/>
                <w:szCs w:val="18"/>
              </w:rPr>
              <w:t>4,515,471.29</w:t>
            </w:r>
          </w:p>
        </w:tc>
        <w:tc>
          <w:tcPr>
            <w:tcW w:w="1966" w:type="dxa"/>
            <w:vAlign w:val="center"/>
          </w:tcPr>
          <w:p w:rsidR="008A16D0" w:rsidRPr="00A71D2E" w:rsidRDefault="008A16D0" w:rsidP="008A16D0">
            <w:pPr>
              <w:ind w:right="93"/>
              <w:jc w:val="right"/>
              <w:rPr>
                <w:rFonts w:eastAsia="宋体" w:cs="Times New Roman"/>
                <w:sz w:val="18"/>
                <w:szCs w:val="18"/>
              </w:rPr>
            </w:pPr>
            <w:r w:rsidRPr="008651FD">
              <w:rPr>
                <w:rFonts w:eastAsia="宋体" w:cs="Times New Roman"/>
                <w:sz w:val="18"/>
                <w:szCs w:val="18"/>
              </w:rPr>
              <w:t>3,726,739.31</w:t>
            </w:r>
          </w:p>
        </w:tc>
      </w:tr>
    </w:tbl>
    <w:p w:rsidR="00EB68E7" w:rsidRPr="00A71D2E" w:rsidRDefault="00EB68E7" w:rsidP="00F66363">
      <w:pPr>
        <w:ind w:left="731"/>
        <w:rPr>
          <w:rFonts w:eastAsia="宋体" w:cs="Times New Roman"/>
          <w:szCs w:val="21"/>
        </w:rPr>
      </w:pPr>
    </w:p>
    <w:p w:rsidR="00C0481E" w:rsidRDefault="00C0481E" w:rsidP="0014300C">
      <w:pPr>
        <w:pStyle w:val="2"/>
        <w:numPr>
          <w:ilvl w:val="2"/>
          <w:numId w:val="1"/>
        </w:numPr>
        <w:adjustRightInd w:val="0"/>
        <w:snapToGrid w:val="0"/>
        <w:ind w:left="1440" w:hanging="720"/>
        <w:contextualSpacing w:val="0"/>
      </w:pPr>
      <w:r w:rsidRPr="0014300C">
        <w:rPr>
          <w:rFonts w:ascii="Times New Roman" w:eastAsia="宋体" w:hAnsi="Times New Roman" w:cs="Times New Roman" w:hint="eastAsia"/>
          <w:szCs w:val="21"/>
        </w:rPr>
        <w:t>所有权或使用权受到限制的资产</w:t>
      </w:r>
    </w:p>
    <w:p w:rsidR="00C0481E" w:rsidRPr="00A71D2E" w:rsidRDefault="00C0481E" w:rsidP="00C0481E">
      <w:pPr>
        <w:ind w:leftChars="86" w:left="181"/>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05"/>
        <w:gridCol w:w="1538"/>
        <w:gridCol w:w="2268"/>
        <w:gridCol w:w="1594"/>
        <w:gridCol w:w="2339"/>
      </w:tblGrid>
      <w:tr w:rsidR="00C26513" w:rsidRPr="00A71D2E" w:rsidTr="00B00078">
        <w:trPr>
          <w:trHeight w:val="20"/>
        </w:trPr>
        <w:tc>
          <w:tcPr>
            <w:tcW w:w="1705" w:type="dxa"/>
            <w:vMerge w:val="restart"/>
            <w:shd w:val="clear" w:color="auto" w:fill="D9D9D9" w:themeFill="background1" w:themeFillShade="D9"/>
            <w:tcMar>
              <w:top w:w="0" w:type="dxa"/>
              <w:left w:w="108" w:type="dxa"/>
              <w:bottom w:w="0" w:type="dxa"/>
              <w:right w:w="108" w:type="dxa"/>
            </w:tcMar>
            <w:vAlign w:val="center"/>
            <w:hideMark/>
          </w:tcPr>
          <w:p w:rsidR="00C26513" w:rsidRPr="00A71D2E" w:rsidRDefault="00C26513" w:rsidP="0027505B">
            <w:pPr>
              <w:jc w:val="center"/>
              <w:rPr>
                <w:rFonts w:eastAsia="宋体" w:cs="Times New Roman"/>
                <w:sz w:val="18"/>
                <w:szCs w:val="18"/>
              </w:rPr>
            </w:pPr>
            <w:r w:rsidRPr="00A71D2E">
              <w:rPr>
                <w:rFonts w:eastAsia="宋体" w:cs="Times New Roman" w:hint="eastAsia"/>
                <w:sz w:val="18"/>
                <w:szCs w:val="18"/>
              </w:rPr>
              <w:t>项目</w:t>
            </w:r>
          </w:p>
        </w:tc>
        <w:tc>
          <w:tcPr>
            <w:tcW w:w="3806" w:type="dxa"/>
            <w:gridSpan w:val="2"/>
            <w:shd w:val="clear" w:color="auto" w:fill="D9D9D9" w:themeFill="background2" w:themeFillShade="D9"/>
            <w:vAlign w:val="center"/>
          </w:tcPr>
          <w:p w:rsidR="00C26513" w:rsidRPr="00A71D2E" w:rsidRDefault="00C26513" w:rsidP="00E456AF">
            <w:pPr>
              <w:ind w:leftChars="86" w:left="181"/>
              <w:jc w:val="center"/>
              <w:rPr>
                <w:rFonts w:eastAsia="宋体" w:cs="Times New Roman"/>
                <w:sz w:val="18"/>
                <w:szCs w:val="18"/>
              </w:rPr>
            </w:pPr>
            <w:r>
              <w:rPr>
                <w:rFonts w:eastAsia="宋体" w:cs="Times New Roman" w:hint="eastAsia"/>
                <w:sz w:val="18"/>
                <w:szCs w:val="18"/>
              </w:rPr>
              <w:t>年末账面余额</w:t>
            </w:r>
          </w:p>
        </w:tc>
        <w:tc>
          <w:tcPr>
            <w:tcW w:w="3933" w:type="dxa"/>
            <w:gridSpan w:val="2"/>
            <w:shd w:val="clear" w:color="auto" w:fill="D9D9D9" w:themeFill="background2" w:themeFillShade="D9"/>
            <w:vAlign w:val="center"/>
          </w:tcPr>
          <w:p w:rsidR="00C26513" w:rsidRPr="00A71D2E" w:rsidRDefault="00C26513" w:rsidP="00E456AF">
            <w:pPr>
              <w:ind w:leftChars="86" w:left="181"/>
              <w:jc w:val="center"/>
              <w:rPr>
                <w:rFonts w:eastAsia="宋体" w:cs="Times New Roman"/>
                <w:sz w:val="18"/>
                <w:szCs w:val="18"/>
              </w:rPr>
            </w:pPr>
            <w:r>
              <w:rPr>
                <w:rFonts w:eastAsia="宋体" w:cs="Times New Roman" w:hint="eastAsia"/>
                <w:sz w:val="18"/>
                <w:szCs w:val="18"/>
              </w:rPr>
              <w:t>年初账面余额</w:t>
            </w:r>
          </w:p>
        </w:tc>
      </w:tr>
      <w:tr w:rsidR="00C26513" w:rsidRPr="00A71D2E" w:rsidTr="00B00078">
        <w:trPr>
          <w:trHeight w:val="20"/>
        </w:trPr>
        <w:tc>
          <w:tcPr>
            <w:tcW w:w="1705" w:type="dxa"/>
            <w:vMerge/>
            <w:shd w:val="clear" w:color="auto" w:fill="D9D9D9" w:themeFill="background1" w:themeFillShade="D9"/>
            <w:tcMar>
              <w:top w:w="0" w:type="dxa"/>
              <w:left w:w="108" w:type="dxa"/>
              <w:bottom w:w="0" w:type="dxa"/>
              <w:right w:w="108" w:type="dxa"/>
            </w:tcMar>
            <w:vAlign w:val="center"/>
          </w:tcPr>
          <w:p w:rsidR="00C26513" w:rsidRPr="00A71D2E" w:rsidRDefault="00C26513" w:rsidP="0027505B">
            <w:pPr>
              <w:jc w:val="center"/>
              <w:rPr>
                <w:rFonts w:eastAsia="宋体" w:cs="Times New Roman"/>
                <w:sz w:val="18"/>
                <w:szCs w:val="18"/>
              </w:rPr>
            </w:pPr>
          </w:p>
        </w:tc>
        <w:tc>
          <w:tcPr>
            <w:tcW w:w="1538" w:type="dxa"/>
            <w:shd w:val="clear" w:color="auto" w:fill="D9D9D9" w:themeFill="background1" w:themeFillShade="D9"/>
            <w:vAlign w:val="center"/>
          </w:tcPr>
          <w:p w:rsidR="00C26513" w:rsidRPr="00A71D2E" w:rsidRDefault="00C26513" w:rsidP="000B0E9A">
            <w:pPr>
              <w:ind w:leftChars="86" w:left="181"/>
              <w:jc w:val="center"/>
              <w:rPr>
                <w:rFonts w:eastAsia="宋体" w:cs="Times New Roman"/>
                <w:sz w:val="18"/>
                <w:szCs w:val="18"/>
              </w:rPr>
            </w:pPr>
            <w:r>
              <w:rPr>
                <w:rFonts w:eastAsia="宋体" w:cs="Times New Roman" w:hint="eastAsia"/>
                <w:sz w:val="18"/>
                <w:szCs w:val="18"/>
              </w:rPr>
              <w:t>账面价值</w:t>
            </w:r>
          </w:p>
        </w:tc>
        <w:tc>
          <w:tcPr>
            <w:tcW w:w="2268" w:type="dxa"/>
            <w:shd w:val="clear" w:color="auto" w:fill="D9D9D9" w:themeFill="background2" w:themeFillShade="D9"/>
            <w:vAlign w:val="center"/>
          </w:tcPr>
          <w:p w:rsidR="00C26513" w:rsidRPr="00A71D2E" w:rsidRDefault="00C26513">
            <w:pPr>
              <w:ind w:leftChars="86" w:left="181"/>
              <w:jc w:val="center"/>
              <w:rPr>
                <w:rFonts w:eastAsia="宋体" w:cs="Times New Roman"/>
                <w:sz w:val="18"/>
                <w:szCs w:val="18"/>
              </w:rPr>
            </w:pPr>
            <w:r>
              <w:rPr>
                <w:rFonts w:eastAsia="宋体" w:cs="Times New Roman" w:hint="eastAsia"/>
                <w:sz w:val="18"/>
                <w:szCs w:val="18"/>
              </w:rPr>
              <w:t>受限原因</w:t>
            </w:r>
          </w:p>
        </w:tc>
        <w:tc>
          <w:tcPr>
            <w:tcW w:w="1594" w:type="dxa"/>
            <w:shd w:val="clear" w:color="auto" w:fill="D9D9D9" w:themeFill="background2" w:themeFillShade="D9"/>
            <w:vAlign w:val="center"/>
          </w:tcPr>
          <w:p w:rsidR="00C26513" w:rsidRPr="00A71D2E" w:rsidRDefault="00C26513" w:rsidP="000B0E9A">
            <w:pPr>
              <w:ind w:leftChars="86" w:left="181"/>
              <w:jc w:val="center"/>
              <w:rPr>
                <w:rFonts w:eastAsia="宋体" w:cs="Times New Roman"/>
                <w:sz w:val="18"/>
                <w:szCs w:val="18"/>
              </w:rPr>
            </w:pPr>
            <w:r>
              <w:rPr>
                <w:rFonts w:eastAsia="宋体" w:cs="Times New Roman" w:hint="eastAsia"/>
                <w:sz w:val="18"/>
                <w:szCs w:val="18"/>
              </w:rPr>
              <w:t>账面价值</w:t>
            </w:r>
          </w:p>
        </w:tc>
        <w:tc>
          <w:tcPr>
            <w:tcW w:w="2339" w:type="dxa"/>
            <w:shd w:val="clear" w:color="auto" w:fill="D9D9D9" w:themeFill="background2" w:themeFillShade="D9"/>
            <w:vAlign w:val="center"/>
          </w:tcPr>
          <w:p w:rsidR="00C26513" w:rsidRPr="00A71D2E" w:rsidRDefault="00C26513">
            <w:pPr>
              <w:ind w:leftChars="86" w:left="181"/>
              <w:jc w:val="center"/>
              <w:rPr>
                <w:rFonts w:eastAsia="宋体" w:cs="Times New Roman"/>
                <w:sz w:val="18"/>
                <w:szCs w:val="18"/>
              </w:rPr>
            </w:pPr>
            <w:r>
              <w:rPr>
                <w:rFonts w:eastAsia="宋体" w:cs="Times New Roman" w:hint="eastAsia"/>
                <w:sz w:val="18"/>
                <w:szCs w:val="18"/>
              </w:rPr>
              <w:t>受限原因</w:t>
            </w:r>
          </w:p>
        </w:tc>
      </w:tr>
      <w:tr w:rsidR="007F7790" w:rsidRPr="00A71D2E" w:rsidTr="0027505B">
        <w:trPr>
          <w:trHeight w:val="20"/>
        </w:trPr>
        <w:tc>
          <w:tcPr>
            <w:tcW w:w="1705" w:type="dxa"/>
            <w:shd w:val="clear" w:color="auto" w:fill="FFFFFF" w:themeFill="background1"/>
            <w:tcMar>
              <w:top w:w="0" w:type="dxa"/>
              <w:left w:w="108" w:type="dxa"/>
              <w:bottom w:w="0" w:type="dxa"/>
              <w:right w:w="108" w:type="dxa"/>
            </w:tcMar>
            <w:vAlign w:val="center"/>
          </w:tcPr>
          <w:p w:rsidR="000C0133" w:rsidRPr="00A71D2E" w:rsidRDefault="000C0133" w:rsidP="0027505B">
            <w:pPr>
              <w:rPr>
                <w:rFonts w:eastAsia="宋体" w:cs="Times New Roman"/>
                <w:sz w:val="18"/>
                <w:szCs w:val="18"/>
              </w:rPr>
            </w:pPr>
            <w:r>
              <w:rPr>
                <w:rFonts w:eastAsia="宋体" w:cs="Times New Roman" w:hint="eastAsia"/>
                <w:sz w:val="18"/>
                <w:szCs w:val="18"/>
              </w:rPr>
              <w:t>货币资金</w:t>
            </w:r>
          </w:p>
        </w:tc>
        <w:tc>
          <w:tcPr>
            <w:tcW w:w="1538" w:type="dxa"/>
            <w:vAlign w:val="center"/>
          </w:tcPr>
          <w:p w:rsidR="000C0133" w:rsidRPr="00A71D2E" w:rsidRDefault="00CE473D" w:rsidP="000B0E9A">
            <w:pPr>
              <w:ind w:leftChars="86" w:left="181" w:rightChars="44" w:right="92"/>
              <w:jc w:val="right"/>
              <w:rPr>
                <w:rFonts w:eastAsia="宋体" w:cs="Times New Roman"/>
                <w:sz w:val="18"/>
                <w:szCs w:val="18"/>
              </w:rPr>
            </w:pPr>
            <w:r w:rsidRPr="00FE2C30">
              <w:rPr>
                <w:rFonts w:eastAsia="宋体" w:cs="Times New Roman"/>
                <w:sz w:val="18"/>
                <w:szCs w:val="18"/>
              </w:rPr>
              <w:t>19,687,501.25</w:t>
            </w:r>
          </w:p>
        </w:tc>
        <w:tc>
          <w:tcPr>
            <w:tcW w:w="2268" w:type="dxa"/>
            <w:vAlign w:val="center"/>
          </w:tcPr>
          <w:p w:rsidR="000C0133" w:rsidRPr="00A71D2E" w:rsidRDefault="00C479F8" w:rsidP="0027505B">
            <w:pPr>
              <w:ind w:leftChars="86" w:left="181" w:rightChars="44" w:right="92"/>
              <w:jc w:val="center"/>
              <w:rPr>
                <w:rFonts w:eastAsia="宋体" w:cs="Times New Roman"/>
                <w:sz w:val="18"/>
                <w:szCs w:val="18"/>
              </w:rPr>
            </w:pPr>
            <w:r>
              <w:rPr>
                <w:rFonts w:eastAsia="宋体" w:cs="Times New Roman" w:hint="eastAsia"/>
                <w:sz w:val="18"/>
                <w:szCs w:val="18"/>
              </w:rPr>
              <w:t>各类保证金</w:t>
            </w:r>
            <w:r w:rsidR="0000171C">
              <w:rPr>
                <w:rFonts w:eastAsia="宋体" w:cs="Times New Roman" w:hint="eastAsia"/>
                <w:sz w:val="18"/>
                <w:szCs w:val="18"/>
              </w:rPr>
              <w:t>及其受限资金</w:t>
            </w:r>
          </w:p>
        </w:tc>
        <w:tc>
          <w:tcPr>
            <w:tcW w:w="1594" w:type="dxa"/>
            <w:vAlign w:val="center"/>
          </w:tcPr>
          <w:p w:rsidR="000C0133" w:rsidRPr="00A71D2E" w:rsidRDefault="00267BD4" w:rsidP="000B0E9A">
            <w:pPr>
              <w:ind w:leftChars="86" w:left="181" w:rightChars="44" w:right="92"/>
              <w:jc w:val="right"/>
              <w:rPr>
                <w:rFonts w:eastAsia="宋体" w:cs="Times New Roman"/>
                <w:sz w:val="18"/>
                <w:szCs w:val="18"/>
              </w:rPr>
            </w:pPr>
            <w:r>
              <w:rPr>
                <w:rFonts w:eastAsia="宋体" w:cs="Times New Roman" w:hint="eastAsia"/>
                <w:sz w:val="18"/>
                <w:szCs w:val="18"/>
              </w:rPr>
              <w:t>1</w:t>
            </w:r>
            <w:r>
              <w:rPr>
                <w:rFonts w:eastAsia="宋体" w:cs="Times New Roman"/>
                <w:sz w:val="18"/>
                <w:szCs w:val="18"/>
              </w:rPr>
              <w:t>,600,000.00</w:t>
            </w:r>
          </w:p>
        </w:tc>
        <w:tc>
          <w:tcPr>
            <w:tcW w:w="2339" w:type="dxa"/>
            <w:vAlign w:val="center"/>
          </w:tcPr>
          <w:p w:rsidR="000C0133" w:rsidRPr="00A71D2E" w:rsidRDefault="00C479F8" w:rsidP="0027505B">
            <w:pPr>
              <w:ind w:leftChars="86" w:left="181" w:rightChars="44" w:right="92"/>
              <w:jc w:val="center"/>
              <w:rPr>
                <w:rFonts w:eastAsia="宋体" w:cs="Times New Roman"/>
                <w:sz w:val="18"/>
                <w:szCs w:val="18"/>
              </w:rPr>
            </w:pPr>
            <w:r>
              <w:rPr>
                <w:rFonts w:eastAsia="宋体" w:cs="Times New Roman" w:hint="eastAsia"/>
                <w:sz w:val="18"/>
                <w:szCs w:val="18"/>
              </w:rPr>
              <w:t>各类保证金</w:t>
            </w:r>
            <w:r w:rsidR="000669CE">
              <w:rPr>
                <w:rFonts w:eastAsia="宋体" w:cs="Times New Roman" w:hint="eastAsia"/>
                <w:sz w:val="18"/>
                <w:szCs w:val="18"/>
              </w:rPr>
              <w:t>及其受限资金</w:t>
            </w:r>
          </w:p>
        </w:tc>
      </w:tr>
      <w:tr w:rsidR="007F7790" w:rsidRPr="00A71D2E" w:rsidTr="0027505B">
        <w:trPr>
          <w:trHeight w:val="20"/>
        </w:trPr>
        <w:tc>
          <w:tcPr>
            <w:tcW w:w="1705" w:type="dxa"/>
            <w:shd w:val="clear" w:color="auto" w:fill="FFFFFF" w:themeFill="background1"/>
            <w:tcMar>
              <w:top w:w="0" w:type="dxa"/>
              <w:left w:w="108" w:type="dxa"/>
              <w:bottom w:w="0" w:type="dxa"/>
              <w:right w:w="108" w:type="dxa"/>
            </w:tcMar>
            <w:vAlign w:val="center"/>
          </w:tcPr>
          <w:p w:rsidR="000C0133" w:rsidRPr="00A71D2E" w:rsidRDefault="000C0133" w:rsidP="0027505B">
            <w:pPr>
              <w:rPr>
                <w:rFonts w:eastAsia="宋体" w:cs="Times New Roman"/>
                <w:sz w:val="18"/>
                <w:szCs w:val="18"/>
              </w:rPr>
            </w:pPr>
            <w:r>
              <w:rPr>
                <w:rFonts w:eastAsia="宋体" w:cs="Times New Roman" w:hint="eastAsia"/>
                <w:sz w:val="18"/>
                <w:szCs w:val="18"/>
              </w:rPr>
              <w:t>无形资产</w:t>
            </w:r>
          </w:p>
        </w:tc>
        <w:tc>
          <w:tcPr>
            <w:tcW w:w="1538" w:type="dxa"/>
            <w:vAlign w:val="center"/>
          </w:tcPr>
          <w:p w:rsidR="000C0133" w:rsidRPr="00A71D2E" w:rsidRDefault="00423199" w:rsidP="000B0E9A">
            <w:pPr>
              <w:ind w:leftChars="86" w:left="181" w:rightChars="44" w:right="92"/>
              <w:jc w:val="right"/>
              <w:rPr>
                <w:rFonts w:eastAsia="宋体" w:cs="Times New Roman"/>
                <w:sz w:val="18"/>
                <w:szCs w:val="18"/>
              </w:rPr>
            </w:pPr>
            <w:r w:rsidRPr="00423199">
              <w:rPr>
                <w:rFonts w:eastAsia="宋体" w:cs="Times New Roman"/>
                <w:sz w:val="18"/>
                <w:szCs w:val="18"/>
              </w:rPr>
              <w:t>2</w:t>
            </w:r>
            <w:r w:rsidR="00A1723B">
              <w:rPr>
                <w:rFonts w:eastAsia="宋体" w:cs="Times New Roman"/>
                <w:sz w:val="18"/>
                <w:szCs w:val="18"/>
              </w:rPr>
              <w:t>3</w:t>
            </w:r>
            <w:r w:rsidRPr="00423199">
              <w:rPr>
                <w:rFonts w:eastAsia="宋体" w:cs="Times New Roman"/>
                <w:sz w:val="18"/>
                <w:szCs w:val="18"/>
              </w:rPr>
              <w:t>,</w:t>
            </w:r>
            <w:r w:rsidR="00A1723B">
              <w:rPr>
                <w:rFonts w:eastAsia="宋体" w:cs="Times New Roman"/>
                <w:sz w:val="18"/>
                <w:szCs w:val="18"/>
              </w:rPr>
              <w:t>777</w:t>
            </w:r>
            <w:r w:rsidRPr="00423199">
              <w:rPr>
                <w:rFonts w:eastAsia="宋体" w:cs="Times New Roman"/>
                <w:sz w:val="18"/>
                <w:szCs w:val="18"/>
              </w:rPr>
              <w:t>,</w:t>
            </w:r>
            <w:r w:rsidR="00A1723B">
              <w:rPr>
                <w:rFonts w:eastAsia="宋体" w:cs="Times New Roman"/>
                <w:sz w:val="18"/>
                <w:szCs w:val="18"/>
              </w:rPr>
              <w:t>0</w:t>
            </w:r>
            <w:r w:rsidRPr="00423199">
              <w:rPr>
                <w:rFonts w:eastAsia="宋体" w:cs="Times New Roman"/>
                <w:sz w:val="18"/>
                <w:szCs w:val="18"/>
              </w:rPr>
              <w:t>50.00</w:t>
            </w:r>
          </w:p>
        </w:tc>
        <w:tc>
          <w:tcPr>
            <w:tcW w:w="2268" w:type="dxa"/>
            <w:vAlign w:val="center"/>
          </w:tcPr>
          <w:p w:rsidR="000C0133" w:rsidRPr="00A71D2E" w:rsidRDefault="00C479F8" w:rsidP="0027505B">
            <w:pPr>
              <w:ind w:leftChars="86" w:left="181" w:rightChars="44" w:right="92"/>
              <w:jc w:val="center"/>
              <w:rPr>
                <w:rFonts w:eastAsia="宋体" w:cs="Times New Roman"/>
                <w:sz w:val="18"/>
                <w:szCs w:val="18"/>
              </w:rPr>
            </w:pPr>
            <w:r w:rsidRPr="00C479F8">
              <w:rPr>
                <w:rFonts w:eastAsia="宋体" w:cs="Times New Roman" w:hint="eastAsia"/>
                <w:sz w:val="18"/>
                <w:szCs w:val="18"/>
              </w:rPr>
              <w:t>抵押用于长期借款</w:t>
            </w:r>
          </w:p>
        </w:tc>
        <w:tc>
          <w:tcPr>
            <w:tcW w:w="1594" w:type="dxa"/>
            <w:vAlign w:val="center"/>
          </w:tcPr>
          <w:p w:rsidR="000C0133" w:rsidRPr="00A71D2E" w:rsidRDefault="00423199" w:rsidP="000B0E9A">
            <w:pPr>
              <w:ind w:leftChars="86" w:left="181" w:rightChars="44" w:right="92"/>
              <w:jc w:val="right"/>
              <w:rPr>
                <w:rFonts w:eastAsia="宋体" w:cs="Times New Roman"/>
                <w:sz w:val="18"/>
                <w:szCs w:val="18"/>
              </w:rPr>
            </w:pPr>
            <w:r w:rsidRPr="00423199">
              <w:rPr>
                <w:rFonts w:eastAsia="宋体" w:cs="Times New Roman"/>
                <w:sz w:val="18"/>
                <w:szCs w:val="18"/>
              </w:rPr>
              <w:t>24,285,650.00</w:t>
            </w:r>
          </w:p>
        </w:tc>
        <w:tc>
          <w:tcPr>
            <w:tcW w:w="2339" w:type="dxa"/>
            <w:vAlign w:val="center"/>
          </w:tcPr>
          <w:p w:rsidR="000C0133" w:rsidRPr="00A71D2E" w:rsidRDefault="00C479F8" w:rsidP="0027505B">
            <w:pPr>
              <w:ind w:leftChars="86" w:left="181" w:rightChars="44" w:right="92"/>
              <w:jc w:val="center"/>
              <w:rPr>
                <w:rFonts w:eastAsia="宋体" w:cs="Times New Roman"/>
                <w:sz w:val="18"/>
                <w:szCs w:val="18"/>
              </w:rPr>
            </w:pPr>
            <w:r w:rsidRPr="00C479F8">
              <w:rPr>
                <w:rFonts w:eastAsia="宋体" w:cs="Times New Roman" w:hint="eastAsia"/>
                <w:sz w:val="18"/>
                <w:szCs w:val="18"/>
              </w:rPr>
              <w:t>抵押用于长期借款</w:t>
            </w:r>
          </w:p>
        </w:tc>
      </w:tr>
      <w:tr w:rsidR="007F7790" w:rsidRPr="00A71D2E" w:rsidTr="0027505B">
        <w:trPr>
          <w:trHeight w:val="20"/>
        </w:trPr>
        <w:tc>
          <w:tcPr>
            <w:tcW w:w="1705" w:type="dxa"/>
            <w:shd w:val="clear" w:color="auto" w:fill="D9D9D9" w:themeFill="background1" w:themeFillShade="D9"/>
            <w:tcMar>
              <w:top w:w="0" w:type="dxa"/>
              <w:left w:w="108" w:type="dxa"/>
              <w:bottom w:w="0" w:type="dxa"/>
              <w:right w:w="108" w:type="dxa"/>
            </w:tcMar>
            <w:vAlign w:val="center"/>
            <w:hideMark/>
          </w:tcPr>
          <w:p w:rsidR="000C0133" w:rsidRPr="00A71D2E" w:rsidRDefault="000C0133" w:rsidP="0027505B">
            <w:pPr>
              <w:rPr>
                <w:rFonts w:eastAsia="宋体" w:cs="Times New Roman"/>
                <w:sz w:val="18"/>
                <w:szCs w:val="18"/>
              </w:rPr>
            </w:pPr>
            <w:r w:rsidRPr="00A71D2E">
              <w:rPr>
                <w:rFonts w:eastAsia="宋体" w:cs="Times New Roman" w:hint="eastAsia"/>
                <w:sz w:val="18"/>
                <w:szCs w:val="18"/>
              </w:rPr>
              <w:t>合计</w:t>
            </w:r>
          </w:p>
        </w:tc>
        <w:tc>
          <w:tcPr>
            <w:tcW w:w="1538" w:type="dxa"/>
            <w:vAlign w:val="center"/>
          </w:tcPr>
          <w:p w:rsidR="000C0133" w:rsidRPr="00A71D2E" w:rsidRDefault="00CE473D" w:rsidP="000B0E9A">
            <w:pPr>
              <w:ind w:leftChars="86" w:left="181" w:rightChars="44" w:right="92"/>
              <w:jc w:val="right"/>
              <w:rPr>
                <w:rFonts w:eastAsia="宋体" w:cs="Times New Roman"/>
                <w:sz w:val="18"/>
                <w:szCs w:val="18"/>
              </w:rPr>
            </w:pPr>
            <w:r w:rsidRPr="00CE473D">
              <w:rPr>
                <w:rFonts w:eastAsia="宋体" w:cs="Times New Roman"/>
                <w:sz w:val="18"/>
                <w:szCs w:val="18"/>
              </w:rPr>
              <w:t>43,464,551.25</w:t>
            </w:r>
          </w:p>
        </w:tc>
        <w:tc>
          <w:tcPr>
            <w:tcW w:w="2268" w:type="dxa"/>
            <w:vAlign w:val="center"/>
          </w:tcPr>
          <w:p w:rsidR="000C0133" w:rsidRPr="00A71D2E" w:rsidRDefault="00773E58">
            <w:pPr>
              <w:ind w:leftChars="86" w:left="181" w:rightChars="44" w:right="92"/>
              <w:jc w:val="center"/>
              <w:rPr>
                <w:rFonts w:eastAsia="宋体" w:cs="Times New Roman"/>
                <w:sz w:val="18"/>
                <w:szCs w:val="18"/>
              </w:rPr>
            </w:pPr>
            <w:r>
              <w:rPr>
                <w:rFonts w:eastAsia="宋体" w:cs="Times New Roman" w:hint="eastAsia"/>
                <w:sz w:val="18"/>
                <w:szCs w:val="18"/>
              </w:rPr>
              <w:t>/</w:t>
            </w:r>
          </w:p>
        </w:tc>
        <w:tc>
          <w:tcPr>
            <w:tcW w:w="1594" w:type="dxa"/>
            <w:vAlign w:val="center"/>
          </w:tcPr>
          <w:p w:rsidR="000C0133" w:rsidRPr="00A71D2E" w:rsidRDefault="00C15A8E" w:rsidP="000B0E9A">
            <w:pPr>
              <w:ind w:leftChars="86" w:left="181" w:rightChars="44" w:right="92"/>
              <w:jc w:val="right"/>
              <w:rPr>
                <w:rFonts w:eastAsia="宋体" w:cs="Times New Roman"/>
                <w:sz w:val="18"/>
                <w:szCs w:val="18"/>
              </w:rPr>
            </w:pPr>
            <w:r w:rsidRPr="00C15A8E">
              <w:rPr>
                <w:rFonts w:eastAsia="宋体" w:cs="Times New Roman"/>
                <w:sz w:val="18"/>
                <w:szCs w:val="18"/>
              </w:rPr>
              <w:t>25,885,650.00</w:t>
            </w:r>
          </w:p>
        </w:tc>
        <w:tc>
          <w:tcPr>
            <w:tcW w:w="2339" w:type="dxa"/>
            <w:vAlign w:val="center"/>
          </w:tcPr>
          <w:p w:rsidR="000C0133" w:rsidRPr="00A71D2E" w:rsidRDefault="00B514FC">
            <w:pPr>
              <w:ind w:leftChars="86" w:left="181" w:rightChars="44" w:right="92"/>
              <w:jc w:val="center"/>
              <w:rPr>
                <w:rFonts w:eastAsia="宋体" w:cs="Times New Roman"/>
                <w:sz w:val="18"/>
                <w:szCs w:val="18"/>
              </w:rPr>
            </w:pPr>
            <w:r>
              <w:rPr>
                <w:rFonts w:eastAsia="宋体" w:cs="Times New Roman" w:hint="eastAsia"/>
                <w:sz w:val="18"/>
                <w:szCs w:val="18"/>
              </w:rPr>
              <w:t>/</w:t>
            </w:r>
          </w:p>
        </w:tc>
      </w:tr>
    </w:tbl>
    <w:p w:rsidR="00C0481E" w:rsidRPr="0027505B" w:rsidRDefault="00C0481E" w:rsidP="0027505B">
      <w:pPr>
        <w:ind w:left="731"/>
        <w:rPr>
          <w:rFonts w:eastAsia="宋体" w:cs="Times New Roman"/>
          <w:szCs w:val="21"/>
        </w:rPr>
      </w:pPr>
    </w:p>
    <w:p w:rsidR="00EB68E7" w:rsidRPr="00A71D2E" w:rsidRDefault="00EB68E7" w:rsidP="00F66363">
      <w:pPr>
        <w:pStyle w:val="2"/>
        <w:numPr>
          <w:ilvl w:val="2"/>
          <w:numId w:val="1"/>
        </w:numPr>
        <w:adjustRightInd w:val="0"/>
        <w:snapToGrid w:val="0"/>
        <w:ind w:left="1440" w:hanging="720"/>
        <w:contextualSpacing w:val="0"/>
        <w:rPr>
          <w:rFonts w:ascii="Times New Roman" w:eastAsia="宋体" w:hAnsi="Times New Roman" w:cs="Times New Roman"/>
          <w:b w:val="0"/>
          <w:szCs w:val="21"/>
        </w:rPr>
      </w:pPr>
      <w:r w:rsidRPr="00A71D2E">
        <w:rPr>
          <w:rFonts w:ascii="Times New Roman" w:eastAsia="宋体" w:hAnsi="Times New Roman" w:cs="Times New Roman" w:hint="eastAsia"/>
          <w:szCs w:val="21"/>
        </w:rPr>
        <w:t>短期借款</w:t>
      </w:r>
    </w:p>
    <w:p w:rsidR="00EB68E7" w:rsidRPr="00A71D2E" w:rsidRDefault="00EB68E7" w:rsidP="00F66363">
      <w:pPr>
        <w:ind w:left="731"/>
        <w:rPr>
          <w:rFonts w:eastAsia="宋体" w:cs="Times New Roman"/>
          <w:szCs w:val="21"/>
        </w:rPr>
      </w:pPr>
    </w:p>
    <w:p w:rsidR="00EB68E7" w:rsidRPr="00A71D2E" w:rsidRDefault="00EB68E7">
      <w:pPr>
        <w:pStyle w:val="aff1"/>
        <w:numPr>
          <w:ilvl w:val="0"/>
          <w:numId w:val="15"/>
        </w:numPr>
        <w:ind w:left="1440" w:firstLineChars="0" w:hanging="709"/>
        <w:jc w:val="both"/>
        <w:rPr>
          <w:szCs w:val="21"/>
        </w:rPr>
      </w:pPr>
      <w:r w:rsidRPr="00A71D2E">
        <w:rPr>
          <w:rFonts w:hint="eastAsia"/>
          <w:szCs w:val="21"/>
        </w:rPr>
        <w:t>短期借款列示</w:t>
      </w:r>
    </w:p>
    <w:p w:rsidR="00815843" w:rsidRPr="00F66363" w:rsidRDefault="00815843" w:rsidP="00815843">
      <w:pPr>
        <w:jc w:val="right"/>
        <w:rPr>
          <w:rFonts w:eastAsia="宋体" w:cs="Times New Roman"/>
        </w:rPr>
      </w:pPr>
      <w:r w:rsidRPr="00C55624">
        <w:rPr>
          <w:rFonts w:eastAsia="宋体" w:cs="Times New Roman" w:hint="eastAsia"/>
          <w:szCs w:val="18"/>
        </w:rPr>
        <w:t>单位</w:t>
      </w:r>
      <w:r w:rsidR="005F14EE">
        <w:rPr>
          <w:rFonts w:eastAsia="宋体" w:cs="Times New Roman" w:hint="eastAsia"/>
          <w:szCs w:val="18"/>
        </w:rPr>
        <w:t>：</w:t>
      </w:r>
      <w:r w:rsidRPr="00C55624">
        <w:rPr>
          <w:rFonts w:eastAsia="宋体" w:cs="Times New Roman" w:hint="eastAsia"/>
          <w:szCs w:val="18"/>
        </w:rPr>
        <w:t>人民币元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17"/>
        <w:gridCol w:w="1966"/>
        <w:gridCol w:w="1967"/>
      </w:tblGrid>
      <w:tr w:rsidR="00921550" w:rsidRPr="00A71D2E" w:rsidTr="0027505B">
        <w:trPr>
          <w:trHeight w:val="20"/>
        </w:trPr>
        <w:tc>
          <w:tcPr>
            <w:tcW w:w="5517" w:type="dxa"/>
            <w:shd w:val="clear" w:color="auto" w:fill="D9D9D9" w:themeFill="background1" w:themeFillShade="D9"/>
            <w:tcMar>
              <w:top w:w="0" w:type="dxa"/>
              <w:left w:w="108" w:type="dxa"/>
              <w:bottom w:w="0" w:type="dxa"/>
              <w:right w:w="108" w:type="dxa"/>
            </w:tcMar>
            <w:vAlign w:val="center"/>
            <w:hideMark/>
          </w:tcPr>
          <w:p w:rsidR="00921550" w:rsidRPr="00A71D2E" w:rsidRDefault="00921550" w:rsidP="0027505B">
            <w:pPr>
              <w:jc w:val="center"/>
              <w:rPr>
                <w:rFonts w:eastAsia="宋体" w:cs="Times New Roman"/>
                <w:sz w:val="18"/>
                <w:szCs w:val="18"/>
              </w:rPr>
            </w:pPr>
          </w:p>
        </w:tc>
        <w:tc>
          <w:tcPr>
            <w:tcW w:w="1966" w:type="dxa"/>
            <w:shd w:val="clear" w:color="auto" w:fill="D9D9D9" w:themeFill="background1" w:themeFillShade="D9"/>
            <w:vAlign w:val="center"/>
          </w:tcPr>
          <w:p w:rsidR="00921550" w:rsidRPr="00A71D2E" w:rsidRDefault="00921550" w:rsidP="00F66363">
            <w:pPr>
              <w:jc w:val="center"/>
              <w:rPr>
                <w:rFonts w:eastAsia="宋体" w:cs="Times New Roman"/>
                <w:sz w:val="18"/>
                <w:szCs w:val="18"/>
              </w:rPr>
            </w:pPr>
            <w:r w:rsidRPr="00A71D2E">
              <w:rPr>
                <w:rFonts w:eastAsia="宋体" w:cs="Times New Roman" w:hint="eastAsia"/>
                <w:sz w:val="18"/>
                <w:szCs w:val="18"/>
              </w:rPr>
              <w:t>年末余额</w:t>
            </w:r>
          </w:p>
        </w:tc>
        <w:tc>
          <w:tcPr>
            <w:tcW w:w="1967" w:type="dxa"/>
            <w:shd w:val="clear" w:color="auto" w:fill="D9D9D9" w:themeFill="background1" w:themeFillShade="D9"/>
            <w:vAlign w:val="center"/>
          </w:tcPr>
          <w:p w:rsidR="00921550" w:rsidRPr="00A71D2E" w:rsidRDefault="00921550" w:rsidP="00F66363">
            <w:pPr>
              <w:jc w:val="center"/>
              <w:rPr>
                <w:rFonts w:eastAsia="宋体" w:cs="Times New Roman"/>
                <w:sz w:val="18"/>
                <w:szCs w:val="18"/>
              </w:rPr>
            </w:pPr>
            <w:r w:rsidRPr="00A71D2E">
              <w:rPr>
                <w:rFonts w:eastAsia="宋体" w:cs="Times New Roman" w:hint="eastAsia"/>
                <w:sz w:val="18"/>
                <w:szCs w:val="18"/>
              </w:rPr>
              <w:t>年初余额</w:t>
            </w:r>
          </w:p>
        </w:tc>
      </w:tr>
      <w:tr w:rsidR="007F67FF" w:rsidRPr="00A71D2E" w:rsidTr="0027505B">
        <w:trPr>
          <w:trHeight w:val="20"/>
        </w:trPr>
        <w:tc>
          <w:tcPr>
            <w:tcW w:w="5517" w:type="dxa"/>
            <w:shd w:val="clear" w:color="auto" w:fill="FFFFFF" w:themeFill="background1"/>
            <w:tcMar>
              <w:top w:w="0" w:type="dxa"/>
              <w:left w:w="108" w:type="dxa"/>
              <w:bottom w:w="0" w:type="dxa"/>
              <w:right w:w="108" w:type="dxa"/>
            </w:tcMar>
            <w:vAlign w:val="center"/>
          </w:tcPr>
          <w:p w:rsidR="007F67FF" w:rsidRPr="00A71D2E" w:rsidRDefault="007F67FF" w:rsidP="007F67FF">
            <w:pPr>
              <w:rPr>
                <w:rFonts w:eastAsia="宋体" w:cs="Times New Roman"/>
                <w:sz w:val="18"/>
                <w:szCs w:val="18"/>
              </w:rPr>
            </w:pPr>
            <w:r w:rsidRPr="00A71D2E">
              <w:rPr>
                <w:rFonts w:eastAsia="宋体" w:cs="Times New Roman" w:hint="eastAsia"/>
                <w:sz w:val="18"/>
                <w:szCs w:val="18"/>
              </w:rPr>
              <w:t>信用借款</w:t>
            </w:r>
            <w:r w:rsidRPr="00A71D2E">
              <w:rPr>
                <w:rFonts w:eastAsia="宋体" w:cs="Times New Roman"/>
                <w:sz w:val="18"/>
                <w:szCs w:val="18"/>
              </w:rPr>
              <w:t xml:space="preserve"> - </w:t>
            </w:r>
            <w:r w:rsidRPr="00A71D2E">
              <w:rPr>
                <w:rFonts w:eastAsia="宋体" w:cs="Times New Roman" w:hint="eastAsia"/>
                <w:sz w:val="18"/>
                <w:szCs w:val="18"/>
              </w:rPr>
              <w:t>本金</w:t>
            </w:r>
          </w:p>
        </w:tc>
        <w:tc>
          <w:tcPr>
            <w:tcW w:w="1966" w:type="dxa"/>
            <w:vAlign w:val="center"/>
          </w:tcPr>
          <w:p w:rsidR="007F67FF" w:rsidRPr="00A71D2E" w:rsidRDefault="00850939" w:rsidP="007F67FF">
            <w:pPr>
              <w:ind w:right="92"/>
              <w:jc w:val="right"/>
              <w:rPr>
                <w:rFonts w:eastAsia="宋体" w:cs="Times New Roman"/>
                <w:sz w:val="18"/>
                <w:szCs w:val="18"/>
              </w:rPr>
            </w:pPr>
            <w:r w:rsidRPr="00850939">
              <w:rPr>
                <w:rFonts w:eastAsia="宋体" w:cs="Times New Roman"/>
                <w:sz w:val="18"/>
                <w:szCs w:val="18"/>
              </w:rPr>
              <w:t>-</w:t>
            </w:r>
            <w:r w:rsidR="008B728A">
              <w:rPr>
                <w:rFonts w:eastAsia="宋体" w:cs="Times New Roman"/>
                <w:sz w:val="18"/>
                <w:szCs w:val="18"/>
              </w:rPr>
              <w:t>    </w:t>
            </w:r>
          </w:p>
        </w:tc>
        <w:tc>
          <w:tcPr>
            <w:tcW w:w="1967" w:type="dxa"/>
            <w:vAlign w:val="center"/>
          </w:tcPr>
          <w:p w:rsidR="007F67FF" w:rsidRPr="00A71D2E" w:rsidRDefault="007F67FF" w:rsidP="007F67FF">
            <w:pPr>
              <w:ind w:right="117"/>
              <w:jc w:val="right"/>
              <w:rPr>
                <w:rFonts w:eastAsia="宋体" w:cs="Times New Roman"/>
                <w:sz w:val="18"/>
                <w:szCs w:val="18"/>
              </w:rPr>
            </w:pPr>
            <w:r w:rsidRPr="00A71D2E">
              <w:rPr>
                <w:rFonts w:eastAsia="宋体" w:cs="Times New Roman"/>
                <w:sz w:val="18"/>
                <w:szCs w:val="18"/>
              </w:rPr>
              <w:t>200,000,000.00</w:t>
            </w:r>
          </w:p>
        </w:tc>
      </w:tr>
      <w:tr w:rsidR="007F67FF" w:rsidRPr="00A71D2E" w:rsidTr="0027505B">
        <w:trPr>
          <w:trHeight w:val="20"/>
        </w:trPr>
        <w:tc>
          <w:tcPr>
            <w:tcW w:w="5517" w:type="dxa"/>
            <w:shd w:val="clear" w:color="auto" w:fill="FFFFFF" w:themeFill="background1"/>
            <w:tcMar>
              <w:top w:w="0" w:type="dxa"/>
              <w:left w:w="108" w:type="dxa"/>
              <w:bottom w:w="0" w:type="dxa"/>
              <w:right w:w="108" w:type="dxa"/>
            </w:tcMar>
            <w:vAlign w:val="center"/>
          </w:tcPr>
          <w:p w:rsidR="007F67FF" w:rsidRPr="00A71D2E" w:rsidRDefault="007F67FF" w:rsidP="007F67FF">
            <w:pPr>
              <w:rPr>
                <w:rFonts w:eastAsia="宋体" w:cs="Times New Roman"/>
                <w:sz w:val="18"/>
                <w:szCs w:val="18"/>
              </w:rPr>
            </w:pPr>
            <w:r w:rsidRPr="00A71D2E">
              <w:rPr>
                <w:rFonts w:eastAsia="宋体" w:cs="Times New Roman" w:hint="eastAsia"/>
                <w:sz w:val="18"/>
                <w:szCs w:val="18"/>
              </w:rPr>
              <w:t>信用借款</w:t>
            </w:r>
            <w:r w:rsidRPr="00A71D2E">
              <w:rPr>
                <w:rFonts w:eastAsia="宋体" w:cs="Times New Roman"/>
                <w:sz w:val="18"/>
                <w:szCs w:val="18"/>
              </w:rPr>
              <w:t xml:space="preserve"> - </w:t>
            </w:r>
            <w:r w:rsidRPr="00A71D2E">
              <w:rPr>
                <w:rFonts w:eastAsia="宋体" w:cs="Times New Roman" w:hint="eastAsia"/>
                <w:sz w:val="18"/>
                <w:szCs w:val="18"/>
              </w:rPr>
              <w:t>利息</w:t>
            </w:r>
          </w:p>
        </w:tc>
        <w:tc>
          <w:tcPr>
            <w:tcW w:w="1966" w:type="dxa"/>
            <w:vAlign w:val="center"/>
          </w:tcPr>
          <w:p w:rsidR="007F67FF" w:rsidRPr="00A71D2E" w:rsidRDefault="00850939" w:rsidP="007F67FF">
            <w:pPr>
              <w:ind w:right="92"/>
              <w:jc w:val="right"/>
              <w:rPr>
                <w:rFonts w:eastAsia="宋体" w:cs="Times New Roman"/>
                <w:sz w:val="18"/>
                <w:szCs w:val="18"/>
              </w:rPr>
            </w:pPr>
            <w:r w:rsidRPr="00850939">
              <w:rPr>
                <w:rFonts w:eastAsia="宋体" w:cs="Times New Roman"/>
                <w:sz w:val="18"/>
                <w:szCs w:val="18"/>
              </w:rPr>
              <w:t>-</w:t>
            </w:r>
            <w:r w:rsidR="008B728A">
              <w:rPr>
                <w:rFonts w:eastAsia="宋体" w:cs="Times New Roman"/>
                <w:sz w:val="18"/>
                <w:szCs w:val="18"/>
              </w:rPr>
              <w:t>    </w:t>
            </w:r>
          </w:p>
        </w:tc>
        <w:tc>
          <w:tcPr>
            <w:tcW w:w="1967" w:type="dxa"/>
            <w:vAlign w:val="center"/>
          </w:tcPr>
          <w:p w:rsidR="007F67FF" w:rsidRPr="00A71D2E" w:rsidRDefault="007F67FF" w:rsidP="007F67FF">
            <w:pPr>
              <w:ind w:right="117"/>
              <w:jc w:val="right"/>
              <w:rPr>
                <w:rFonts w:eastAsia="宋体" w:cs="Times New Roman"/>
                <w:sz w:val="18"/>
                <w:szCs w:val="18"/>
              </w:rPr>
            </w:pPr>
            <w:r w:rsidRPr="00A71D2E">
              <w:rPr>
                <w:rFonts w:eastAsia="宋体" w:cs="Times New Roman"/>
                <w:sz w:val="18"/>
                <w:szCs w:val="18"/>
              </w:rPr>
              <w:t>165,000.00</w:t>
            </w:r>
          </w:p>
        </w:tc>
      </w:tr>
      <w:tr w:rsidR="007F67FF" w:rsidRPr="00A71D2E" w:rsidTr="0027505B">
        <w:trPr>
          <w:trHeight w:val="20"/>
        </w:trPr>
        <w:tc>
          <w:tcPr>
            <w:tcW w:w="5517" w:type="dxa"/>
            <w:shd w:val="clear" w:color="auto" w:fill="D9D9D9" w:themeFill="background1" w:themeFillShade="D9"/>
            <w:tcMar>
              <w:top w:w="0" w:type="dxa"/>
              <w:left w:w="108" w:type="dxa"/>
              <w:bottom w:w="0" w:type="dxa"/>
              <w:right w:w="108" w:type="dxa"/>
            </w:tcMar>
            <w:vAlign w:val="center"/>
          </w:tcPr>
          <w:p w:rsidR="007F67FF" w:rsidRPr="00A71D2E" w:rsidRDefault="007F67FF" w:rsidP="007F67FF">
            <w:pPr>
              <w:rPr>
                <w:rFonts w:eastAsia="宋体" w:cs="Times New Roman"/>
                <w:sz w:val="18"/>
                <w:szCs w:val="18"/>
              </w:rPr>
            </w:pPr>
            <w:r w:rsidRPr="00A71D2E">
              <w:rPr>
                <w:rFonts w:eastAsia="宋体" w:cs="Times New Roman" w:hint="eastAsia"/>
                <w:sz w:val="18"/>
                <w:szCs w:val="18"/>
              </w:rPr>
              <w:t>合计</w:t>
            </w:r>
          </w:p>
        </w:tc>
        <w:tc>
          <w:tcPr>
            <w:tcW w:w="1966" w:type="dxa"/>
            <w:vAlign w:val="center"/>
          </w:tcPr>
          <w:p w:rsidR="007F67FF" w:rsidRPr="00A71D2E" w:rsidRDefault="00850939" w:rsidP="007F67FF">
            <w:pPr>
              <w:ind w:right="92"/>
              <w:jc w:val="right"/>
              <w:rPr>
                <w:rFonts w:eastAsia="宋体" w:cs="Times New Roman"/>
                <w:sz w:val="18"/>
                <w:szCs w:val="18"/>
              </w:rPr>
            </w:pPr>
            <w:r w:rsidRPr="00850939">
              <w:rPr>
                <w:rFonts w:eastAsia="宋体" w:cs="Times New Roman"/>
                <w:sz w:val="18"/>
                <w:szCs w:val="18"/>
              </w:rPr>
              <w:t>-</w:t>
            </w:r>
            <w:r w:rsidR="008B728A">
              <w:rPr>
                <w:rFonts w:eastAsia="宋体" w:cs="Times New Roman"/>
                <w:sz w:val="18"/>
                <w:szCs w:val="18"/>
              </w:rPr>
              <w:t>    </w:t>
            </w:r>
          </w:p>
        </w:tc>
        <w:tc>
          <w:tcPr>
            <w:tcW w:w="1967" w:type="dxa"/>
            <w:vAlign w:val="center"/>
          </w:tcPr>
          <w:p w:rsidR="007F67FF" w:rsidRPr="00A71D2E" w:rsidRDefault="007F67FF" w:rsidP="007F67FF">
            <w:pPr>
              <w:ind w:right="117"/>
              <w:jc w:val="right"/>
              <w:rPr>
                <w:rFonts w:eastAsia="宋体" w:cs="Times New Roman"/>
                <w:sz w:val="18"/>
                <w:szCs w:val="18"/>
              </w:rPr>
            </w:pPr>
            <w:r w:rsidRPr="00A71D2E">
              <w:rPr>
                <w:rFonts w:eastAsia="宋体" w:cs="Times New Roman"/>
                <w:sz w:val="18"/>
                <w:szCs w:val="18"/>
              </w:rPr>
              <w:t>200,165,000.00</w:t>
            </w:r>
          </w:p>
        </w:tc>
      </w:tr>
    </w:tbl>
    <w:p w:rsidR="00EB68E7" w:rsidRPr="00A71D2E" w:rsidRDefault="00EB68E7" w:rsidP="00F66363">
      <w:pPr>
        <w:ind w:left="731"/>
        <w:rPr>
          <w:rFonts w:eastAsia="宋体" w:cs="Times New Roman"/>
          <w:szCs w:val="21"/>
        </w:rPr>
      </w:pPr>
    </w:p>
    <w:p w:rsidR="00896998" w:rsidRPr="00850939" w:rsidRDefault="002703E9">
      <w:pPr>
        <w:pStyle w:val="aff1"/>
        <w:numPr>
          <w:ilvl w:val="0"/>
          <w:numId w:val="15"/>
        </w:numPr>
        <w:ind w:left="1440" w:firstLineChars="0" w:hanging="709"/>
        <w:jc w:val="both"/>
        <w:rPr>
          <w:szCs w:val="21"/>
        </w:rPr>
      </w:pPr>
      <w:r w:rsidRPr="00850939">
        <w:rPr>
          <w:rFonts w:hint="eastAsia"/>
          <w:szCs w:val="21"/>
        </w:rPr>
        <w:t>本年末</w:t>
      </w:r>
      <w:r w:rsidR="00EB68E7" w:rsidRPr="00850939">
        <w:rPr>
          <w:rFonts w:hint="eastAsia"/>
          <w:szCs w:val="21"/>
        </w:rPr>
        <w:t>，本集团无已逾期</w:t>
      </w:r>
      <w:proofErr w:type="gramStart"/>
      <w:r w:rsidR="00EB68E7" w:rsidRPr="00850939">
        <w:rPr>
          <w:rFonts w:hint="eastAsia"/>
          <w:szCs w:val="21"/>
        </w:rPr>
        <w:t>未偿</w:t>
      </w:r>
      <w:proofErr w:type="gramEnd"/>
      <w:r w:rsidR="00EB68E7" w:rsidRPr="00850939">
        <w:rPr>
          <w:rFonts w:hint="eastAsia"/>
          <w:szCs w:val="21"/>
        </w:rPr>
        <w:t>还之短期借款。</w:t>
      </w:r>
    </w:p>
    <w:p w:rsidR="00896998" w:rsidRPr="00A71D2E" w:rsidRDefault="00896998" w:rsidP="00F66363">
      <w:pPr>
        <w:ind w:left="720"/>
        <w:jc w:val="both"/>
        <w:rPr>
          <w:rFonts w:eastAsia="宋体" w:cs="Times New Roman"/>
          <w:szCs w:val="21"/>
        </w:rPr>
      </w:pPr>
    </w:p>
    <w:p w:rsidR="00EB68E7" w:rsidRPr="00A71D2E" w:rsidRDefault="00EB68E7" w:rsidP="00F66363">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应付票据</w:t>
      </w:r>
    </w:p>
    <w:p w:rsidR="007C1E73" w:rsidRPr="00DD203F" w:rsidRDefault="007C1E73" w:rsidP="0027505B">
      <w:pPr>
        <w:ind w:left="731"/>
        <w:rPr>
          <w:rFonts w:eastAsia="宋体" w:cs="Times New Roman"/>
          <w:szCs w:val="21"/>
        </w:rPr>
      </w:pPr>
    </w:p>
    <w:p w:rsidR="007C1E73" w:rsidRDefault="007C1E73" w:rsidP="0027505B">
      <w:pPr>
        <w:ind w:leftChars="342" w:left="718"/>
        <w:rPr>
          <w:rFonts w:eastAsia="宋体" w:cs="Times New Roman"/>
          <w:szCs w:val="18"/>
        </w:rPr>
      </w:pPr>
      <w:r>
        <w:rPr>
          <w:rFonts w:eastAsia="宋体" w:cs="Times New Roman" w:hint="eastAsia"/>
          <w:szCs w:val="18"/>
        </w:rPr>
        <w:t>应付票据列示</w:t>
      </w:r>
    </w:p>
    <w:p w:rsidR="00EB68E7" w:rsidRPr="00A71D2E" w:rsidRDefault="00EB68E7" w:rsidP="00F66363">
      <w:pPr>
        <w:jc w:val="right"/>
        <w:rPr>
          <w:rFonts w:eastAsia="宋体" w:cs="Times New Roman"/>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12"/>
        <w:gridCol w:w="1966"/>
        <w:gridCol w:w="1966"/>
      </w:tblGrid>
      <w:tr w:rsidR="00921550" w:rsidRPr="00A71D2E" w:rsidTr="0027505B">
        <w:trPr>
          <w:trHeight w:val="20"/>
        </w:trPr>
        <w:tc>
          <w:tcPr>
            <w:tcW w:w="5512" w:type="dxa"/>
            <w:shd w:val="clear" w:color="auto" w:fill="D9D9D9" w:themeFill="background1" w:themeFillShade="D9"/>
            <w:tcMar>
              <w:top w:w="0" w:type="dxa"/>
              <w:left w:w="108" w:type="dxa"/>
              <w:bottom w:w="0" w:type="dxa"/>
              <w:right w:w="108" w:type="dxa"/>
            </w:tcMar>
            <w:vAlign w:val="center"/>
            <w:hideMark/>
          </w:tcPr>
          <w:p w:rsidR="00921550" w:rsidRPr="00A71D2E" w:rsidRDefault="00921550" w:rsidP="00F66363">
            <w:pPr>
              <w:jc w:val="center"/>
              <w:rPr>
                <w:rFonts w:eastAsia="宋体" w:cs="Times New Roman"/>
                <w:sz w:val="18"/>
                <w:szCs w:val="18"/>
              </w:rPr>
            </w:pPr>
          </w:p>
        </w:tc>
        <w:tc>
          <w:tcPr>
            <w:tcW w:w="1966" w:type="dxa"/>
            <w:shd w:val="clear" w:color="auto" w:fill="D9D9D9" w:themeFill="background1" w:themeFillShade="D9"/>
            <w:vAlign w:val="center"/>
          </w:tcPr>
          <w:p w:rsidR="00921550" w:rsidRPr="00A71D2E" w:rsidRDefault="00921550" w:rsidP="00F66363">
            <w:pPr>
              <w:jc w:val="center"/>
              <w:rPr>
                <w:rFonts w:eastAsia="宋体" w:cs="Times New Roman"/>
                <w:sz w:val="18"/>
                <w:szCs w:val="18"/>
              </w:rPr>
            </w:pPr>
            <w:r w:rsidRPr="00A71D2E">
              <w:rPr>
                <w:rFonts w:eastAsia="宋体" w:cs="Times New Roman" w:hint="eastAsia"/>
                <w:sz w:val="18"/>
                <w:szCs w:val="18"/>
              </w:rPr>
              <w:t>年末余额</w:t>
            </w:r>
          </w:p>
        </w:tc>
        <w:tc>
          <w:tcPr>
            <w:tcW w:w="1966" w:type="dxa"/>
            <w:shd w:val="clear" w:color="auto" w:fill="D9D9D9" w:themeFill="background1" w:themeFillShade="D9"/>
            <w:vAlign w:val="center"/>
          </w:tcPr>
          <w:p w:rsidR="00921550" w:rsidRPr="00A71D2E" w:rsidRDefault="00921550" w:rsidP="00F66363">
            <w:pPr>
              <w:jc w:val="center"/>
              <w:rPr>
                <w:rFonts w:eastAsia="宋体" w:cs="Times New Roman"/>
                <w:sz w:val="18"/>
                <w:szCs w:val="18"/>
              </w:rPr>
            </w:pPr>
            <w:r w:rsidRPr="00A71D2E">
              <w:rPr>
                <w:rFonts w:eastAsia="宋体" w:cs="Times New Roman" w:hint="eastAsia"/>
                <w:sz w:val="18"/>
                <w:szCs w:val="18"/>
              </w:rPr>
              <w:t>年初余额</w:t>
            </w:r>
          </w:p>
        </w:tc>
      </w:tr>
      <w:tr w:rsidR="002837D4" w:rsidRPr="00A71D2E" w:rsidTr="0027505B">
        <w:trPr>
          <w:trHeight w:val="20"/>
        </w:trPr>
        <w:tc>
          <w:tcPr>
            <w:tcW w:w="5512" w:type="dxa"/>
            <w:shd w:val="clear" w:color="auto" w:fill="FFFFFF" w:themeFill="background1"/>
            <w:tcMar>
              <w:top w:w="0" w:type="dxa"/>
              <w:left w:w="108" w:type="dxa"/>
              <w:bottom w:w="0" w:type="dxa"/>
              <w:right w:w="108" w:type="dxa"/>
            </w:tcMar>
            <w:vAlign w:val="center"/>
          </w:tcPr>
          <w:p w:rsidR="002837D4" w:rsidRPr="00A71D2E" w:rsidRDefault="002837D4" w:rsidP="002837D4">
            <w:pPr>
              <w:rPr>
                <w:rFonts w:eastAsia="宋体" w:cs="Times New Roman"/>
                <w:sz w:val="18"/>
                <w:szCs w:val="18"/>
              </w:rPr>
            </w:pPr>
            <w:r w:rsidRPr="00A71D2E">
              <w:rPr>
                <w:rFonts w:eastAsia="宋体" w:cs="Times New Roman" w:hint="eastAsia"/>
                <w:sz w:val="18"/>
                <w:szCs w:val="18"/>
              </w:rPr>
              <w:t>银行承兑汇票</w:t>
            </w:r>
          </w:p>
        </w:tc>
        <w:tc>
          <w:tcPr>
            <w:tcW w:w="1966" w:type="dxa"/>
            <w:vAlign w:val="center"/>
          </w:tcPr>
          <w:p w:rsidR="002837D4" w:rsidRPr="00A71D2E" w:rsidRDefault="00627C16" w:rsidP="002837D4">
            <w:pPr>
              <w:ind w:right="92"/>
              <w:jc w:val="right"/>
              <w:rPr>
                <w:rFonts w:eastAsia="宋体" w:cs="Times New Roman"/>
                <w:sz w:val="18"/>
                <w:szCs w:val="18"/>
              </w:rPr>
            </w:pPr>
            <w:r w:rsidRPr="00627C16">
              <w:rPr>
                <w:rFonts w:eastAsia="宋体" w:cs="Times New Roman"/>
                <w:sz w:val="18"/>
                <w:szCs w:val="18"/>
              </w:rPr>
              <w:t>179,892,364.61</w:t>
            </w:r>
          </w:p>
        </w:tc>
        <w:tc>
          <w:tcPr>
            <w:tcW w:w="1966" w:type="dxa"/>
            <w:vAlign w:val="center"/>
          </w:tcPr>
          <w:p w:rsidR="002837D4" w:rsidRPr="00A71D2E" w:rsidRDefault="002837D4" w:rsidP="002837D4">
            <w:pPr>
              <w:ind w:right="92"/>
              <w:jc w:val="right"/>
              <w:rPr>
                <w:rFonts w:eastAsia="宋体" w:cs="Times New Roman"/>
                <w:sz w:val="18"/>
                <w:szCs w:val="18"/>
              </w:rPr>
            </w:pPr>
            <w:r w:rsidRPr="00A71D2E">
              <w:rPr>
                <w:rFonts w:eastAsia="宋体" w:cs="Times New Roman"/>
                <w:sz w:val="18"/>
                <w:szCs w:val="18"/>
              </w:rPr>
              <w:t>143,496,422.45</w:t>
            </w:r>
          </w:p>
        </w:tc>
      </w:tr>
      <w:tr w:rsidR="002837D4" w:rsidRPr="00A71D2E" w:rsidTr="0027505B">
        <w:trPr>
          <w:trHeight w:val="20"/>
        </w:trPr>
        <w:tc>
          <w:tcPr>
            <w:tcW w:w="5512" w:type="dxa"/>
            <w:shd w:val="clear" w:color="auto" w:fill="D9D9D9" w:themeFill="background1" w:themeFillShade="D9"/>
            <w:tcMar>
              <w:top w:w="0" w:type="dxa"/>
              <w:left w:w="108" w:type="dxa"/>
              <w:bottom w:w="0" w:type="dxa"/>
              <w:right w:w="108" w:type="dxa"/>
            </w:tcMar>
            <w:vAlign w:val="center"/>
          </w:tcPr>
          <w:p w:rsidR="002837D4" w:rsidRPr="00A71D2E" w:rsidRDefault="002837D4" w:rsidP="002837D4">
            <w:pPr>
              <w:rPr>
                <w:rFonts w:eastAsia="宋体" w:cs="Times New Roman"/>
                <w:sz w:val="18"/>
                <w:szCs w:val="18"/>
              </w:rPr>
            </w:pPr>
            <w:r w:rsidRPr="00A71D2E">
              <w:rPr>
                <w:rFonts w:eastAsia="宋体" w:cs="Times New Roman" w:hint="eastAsia"/>
                <w:sz w:val="18"/>
                <w:szCs w:val="18"/>
              </w:rPr>
              <w:t>合计</w:t>
            </w:r>
          </w:p>
        </w:tc>
        <w:tc>
          <w:tcPr>
            <w:tcW w:w="1966" w:type="dxa"/>
            <w:vAlign w:val="center"/>
          </w:tcPr>
          <w:p w:rsidR="002837D4" w:rsidRPr="00A71D2E" w:rsidRDefault="00627C16" w:rsidP="002837D4">
            <w:pPr>
              <w:ind w:right="92"/>
              <w:jc w:val="right"/>
              <w:rPr>
                <w:rFonts w:eastAsia="宋体" w:cs="Times New Roman"/>
                <w:sz w:val="18"/>
                <w:szCs w:val="18"/>
              </w:rPr>
            </w:pPr>
            <w:r w:rsidRPr="00627C16">
              <w:rPr>
                <w:rFonts w:eastAsia="宋体" w:cs="Times New Roman"/>
                <w:sz w:val="18"/>
                <w:szCs w:val="18"/>
              </w:rPr>
              <w:t>179,892,364.61</w:t>
            </w:r>
          </w:p>
        </w:tc>
        <w:tc>
          <w:tcPr>
            <w:tcW w:w="1966" w:type="dxa"/>
            <w:vAlign w:val="center"/>
          </w:tcPr>
          <w:p w:rsidR="002837D4" w:rsidRPr="00A71D2E" w:rsidRDefault="002837D4" w:rsidP="002837D4">
            <w:pPr>
              <w:ind w:right="92"/>
              <w:jc w:val="right"/>
              <w:rPr>
                <w:rFonts w:eastAsia="宋体" w:cs="Times New Roman"/>
                <w:sz w:val="18"/>
                <w:szCs w:val="18"/>
              </w:rPr>
            </w:pPr>
            <w:r w:rsidRPr="00A71D2E">
              <w:rPr>
                <w:rFonts w:eastAsia="宋体" w:cs="Times New Roman"/>
                <w:sz w:val="18"/>
                <w:szCs w:val="18"/>
              </w:rPr>
              <w:t>143,496,422.45</w:t>
            </w:r>
          </w:p>
        </w:tc>
      </w:tr>
    </w:tbl>
    <w:p w:rsidR="00B24175" w:rsidRPr="00A71D2E" w:rsidRDefault="00B24175" w:rsidP="00F66363">
      <w:pPr>
        <w:ind w:left="731"/>
        <w:rPr>
          <w:rFonts w:eastAsia="宋体" w:cs="Times New Roman"/>
          <w:szCs w:val="21"/>
        </w:rPr>
      </w:pPr>
    </w:p>
    <w:p w:rsidR="00B24175" w:rsidRPr="00A71D2E" w:rsidRDefault="00136B57" w:rsidP="00F66363">
      <w:pPr>
        <w:ind w:left="731"/>
        <w:rPr>
          <w:rFonts w:eastAsia="宋体" w:cs="Times New Roman"/>
          <w:szCs w:val="21"/>
        </w:rPr>
      </w:pPr>
      <w:r w:rsidRPr="002E7890">
        <w:rPr>
          <w:rFonts w:eastAsia="宋体" w:cs="Times New Roman" w:hint="eastAsia"/>
          <w:szCs w:val="21"/>
        </w:rPr>
        <w:t>本年末，本集团无已到期而未支付之应付票据。</w:t>
      </w:r>
    </w:p>
    <w:p w:rsidR="00160570" w:rsidRPr="00F66363" w:rsidRDefault="00160570" w:rsidP="00160570">
      <w:pPr>
        <w:ind w:left="731"/>
        <w:rPr>
          <w:rFonts w:eastAsia="宋体" w:cs="Times New Roman"/>
          <w:szCs w:val="21"/>
        </w:rPr>
      </w:pPr>
    </w:p>
    <w:p w:rsidR="00EB68E7" w:rsidRPr="00A71D2E" w:rsidRDefault="00EB68E7" w:rsidP="00F66363">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应付账款</w:t>
      </w:r>
    </w:p>
    <w:p w:rsidR="00EB68E7" w:rsidRPr="00A71D2E" w:rsidRDefault="00EB68E7" w:rsidP="00F66363">
      <w:pPr>
        <w:ind w:left="731"/>
        <w:rPr>
          <w:rFonts w:eastAsia="宋体" w:cs="Times New Roman"/>
          <w:szCs w:val="21"/>
        </w:rPr>
      </w:pPr>
    </w:p>
    <w:p w:rsidR="00EB68E7" w:rsidRPr="00A71D2E" w:rsidRDefault="00EB68E7">
      <w:pPr>
        <w:pStyle w:val="aff1"/>
        <w:numPr>
          <w:ilvl w:val="0"/>
          <w:numId w:val="38"/>
        </w:numPr>
        <w:ind w:left="1440" w:firstLineChars="0" w:hanging="709"/>
        <w:jc w:val="both"/>
        <w:rPr>
          <w:szCs w:val="21"/>
        </w:rPr>
      </w:pPr>
      <w:r w:rsidRPr="00A71D2E">
        <w:rPr>
          <w:rFonts w:hint="eastAsia"/>
          <w:szCs w:val="21"/>
        </w:rPr>
        <w:t>应付账款列示</w:t>
      </w:r>
    </w:p>
    <w:p w:rsidR="00EB68E7" w:rsidRPr="00A71D2E" w:rsidRDefault="00EB68E7" w:rsidP="00F66363">
      <w:pPr>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8"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11"/>
        <w:gridCol w:w="1970"/>
        <w:gridCol w:w="1971"/>
      </w:tblGrid>
      <w:tr w:rsidR="00AC32A5" w:rsidRPr="00A71D2E" w:rsidTr="0027505B">
        <w:trPr>
          <w:trHeight w:val="20"/>
        </w:trPr>
        <w:tc>
          <w:tcPr>
            <w:tcW w:w="5511" w:type="dxa"/>
            <w:shd w:val="clear" w:color="auto" w:fill="D9D9D9" w:themeFill="background1" w:themeFillShade="D9"/>
            <w:tcMar>
              <w:top w:w="0" w:type="dxa"/>
              <w:left w:w="108" w:type="dxa"/>
              <w:bottom w:w="0" w:type="dxa"/>
              <w:right w:w="108" w:type="dxa"/>
            </w:tcMar>
            <w:vAlign w:val="center"/>
            <w:hideMark/>
          </w:tcPr>
          <w:p w:rsidR="00AC32A5" w:rsidRPr="00A71D2E" w:rsidRDefault="00AC32A5" w:rsidP="00F66363">
            <w:pPr>
              <w:jc w:val="center"/>
              <w:rPr>
                <w:rFonts w:eastAsia="宋体" w:cs="Times New Roman"/>
                <w:sz w:val="18"/>
                <w:szCs w:val="18"/>
              </w:rPr>
            </w:pPr>
            <w:r w:rsidRPr="00A71D2E">
              <w:rPr>
                <w:rFonts w:eastAsia="宋体" w:cs="Times New Roman" w:hint="eastAsia"/>
                <w:sz w:val="18"/>
                <w:szCs w:val="18"/>
              </w:rPr>
              <w:t>项目</w:t>
            </w:r>
          </w:p>
        </w:tc>
        <w:tc>
          <w:tcPr>
            <w:tcW w:w="1970" w:type="dxa"/>
            <w:shd w:val="clear" w:color="auto" w:fill="D9D9D9" w:themeFill="background1" w:themeFillShade="D9"/>
            <w:vAlign w:val="center"/>
          </w:tcPr>
          <w:p w:rsidR="00AC32A5" w:rsidRPr="00A71D2E" w:rsidRDefault="00AC32A5" w:rsidP="00F66363">
            <w:pPr>
              <w:jc w:val="center"/>
              <w:rPr>
                <w:rFonts w:eastAsia="宋体" w:cs="Times New Roman"/>
                <w:sz w:val="18"/>
                <w:szCs w:val="18"/>
              </w:rPr>
            </w:pPr>
            <w:r w:rsidRPr="00A71D2E">
              <w:rPr>
                <w:rFonts w:eastAsia="宋体" w:cs="Times New Roman" w:hint="eastAsia"/>
                <w:sz w:val="18"/>
                <w:szCs w:val="18"/>
              </w:rPr>
              <w:t>年末余额</w:t>
            </w:r>
          </w:p>
        </w:tc>
        <w:tc>
          <w:tcPr>
            <w:tcW w:w="1971" w:type="dxa"/>
            <w:shd w:val="clear" w:color="auto" w:fill="D9D9D9" w:themeFill="background1" w:themeFillShade="D9"/>
            <w:vAlign w:val="center"/>
          </w:tcPr>
          <w:p w:rsidR="00AC32A5" w:rsidRPr="00A71D2E" w:rsidRDefault="00AC32A5" w:rsidP="00F66363">
            <w:pPr>
              <w:jc w:val="center"/>
              <w:rPr>
                <w:rFonts w:eastAsia="宋体" w:cs="Times New Roman"/>
                <w:sz w:val="18"/>
                <w:szCs w:val="18"/>
              </w:rPr>
            </w:pPr>
            <w:r w:rsidRPr="00A71D2E">
              <w:rPr>
                <w:rFonts w:eastAsia="宋体" w:cs="Times New Roman" w:hint="eastAsia"/>
                <w:sz w:val="18"/>
                <w:szCs w:val="18"/>
              </w:rPr>
              <w:t>年初余额</w:t>
            </w:r>
          </w:p>
        </w:tc>
      </w:tr>
      <w:tr w:rsidR="00E7187C" w:rsidRPr="00A71D2E" w:rsidTr="0027505B">
        <w:trPr>
          <w:trHeight w:val="20"/>
        </w:trPr>
        <w:tc>
          <w:tcPr>
            <w:tcW w:w="5511" w:type="dxa"/>
            <w:tcMar>
              <w:top w:w="0" w:type="dxa"/>
              <w:left w:w="108" w:type="dxa"/>
              <w:bottom w:w="0" w:type="dxa"/>
              <w:right w:w="108" w:type="dxa"/>
            </w:tcMar>
            <w:vAlign w:val="center"/>
            <w:hideMark/>
          </w:tcPr>
          <w:p w:rsidR="00E7187C" w:rsidRPr="00A71D2E" w:rsidRDefault="00E7187C" w:rsidP="00E7187C">
            <w:pPr>
              <w:rPr>
                <w:rFonts w:eastAsia="宋体" w:cs="Times New Roman"/>
                <w:sz w:val="18"/>
                <w:szCs w:val="18"/>
              </w:rPr>
            </w:pPr>
            <w:r w:rsidRPr="00A71D2E">
              <w:rPr>
                <w:rFonts w:eastAsia="宋体" w:cs="Times New Roman" w:hint="eastAsia"/>
                <w:sz w:val="18"/>
                <w:szCs w:val="18"/>
              </w:rPr>
              <w:t>应付经营货款</w:t>
            </w:r>
          </w:p>
        </w:tc>
        <w:tc>
          <w:tcPr>
            <w:tcW w:w="1970" w:type="dxa"/>
            <w:vAlign w:val="center"/>
          </w:tcPr>
          <w:p w:rsidR="00E7187C" w:rsidRPr="00A71D2E" w:rsidRDefault="009B55FE" w:rsidP="00E7187C">
            <w:pPr>
              <w:ind w:rightChars="42" w:right="88"/>
              <w:jc w:val="right"/>
              <w:rPr>
                <w:rFonts w:eastAsia="宋体" w:cs="Times New Roman"/>
                <w:color w:val="000000"/>
                <w:sz w:val="18"/>
                <w:szCs w:val="18"/>
              </w:rPr>
            </w:pPr>
            <w:r w:rsidRPr="009B55FE">
              <w:rPr>
                <w:rFonts w:eastAsia="宋体" w:cs="Times New Roman"/>
                <w:color w:val="000000"/>
                <w:sz w:val="18"/>
                <w:szCs w:val="18"/>
              </w:rPr>
              <w:t>1,097,932,651.74</w:t>
            </w:r>
          </w:p>
        </w:tc>
        <w:tc>
          <w:tcPr>
            <w:tcW w:w="1971" w:type="dxa"/>
            <w:vAlign w:val="center"/>
          </w:tcPr>
          <w:p w:rsidR="00E7187C" w:rsidRPr="00A71D2E" w:rsidRDefault="00E7187C" w:rsidP="00E7187C">
            <w:pPr>
              <w:ind w:rightChars="42" w:right="88"/>
              <w:jc w:val="right"/>
              <w:rPr>
                <w:rFonts w:eastAsia="宋体" w:cs="Times New Roman"/>
                <w:sz w:val="18"/>
                <w:szCs w:val="18"/>
              </w:rPr>
            </w:pPr>
            <w:r w:rsidRPr="00A71D2E">
              <w:rPr>
                <w:rFonts w:eastAsia="宋体" w:cs="Times New Roman"/>
                <w:color w:val="000000"/>
                <w:sz w:val="18"/>
                <w:szCs w:val="18"/>
              </w:rPr>
              <w:t>753,547,802.75</w:t>
            </w:r>
          </w:p>
        </w:tc>
      </w:tr>
      <w:tr w:rsidR="00E7187C" w:rsidRPr="00A71D2E" w:rsidTr="0027505B">
        <w:trPr>
          <w:trHeight w:val="20"/>
        </w:trPr>
        <w:tc>
          <w:tcPr>
            <w:tcW w:w="5511" w:type="dxa"/>
            <w:tcMar>
              <w:top w:w="0" w:type="dxa"/>
              <w:left w:w="108" w:type="dxa"/>
              <w:bottom w:w="0" w:type="dxa"/>
              <w:right w:w="108" w:type="dxa"/>
            </w:tcMar>
            <w:vAlign w:val="center"/>
          </w:tcPr>
          <w:p w:rsidR="00E7187C" w:rsidRPr="00A71D2E" w:rsidRDefault="00E7187C" w:rsidP="00E7187C">
            <w:pPr>
              <w:rPr>
                <w:rFonts w:eastAsia="宋体" w:cs="Times New Roman"/>
                <w:sz w:val="18"/>
                <w:szCs w:val="18"/>
              </w:rPr>
            </w:pPr>
            <w:r w:rsidRPr="00A71D2E">
              <w:rPr>
                <w:rFonts w:eastAsia="宋体" w:cs="Times New Roman" w:hint="eastAsia"/>
                <w:sz w:val="18"/>
                <w:szCs w:val="18"/>
              </w:rPr>
              <w:t>应付工程设备款</w:t>
            </w:r>
          </w:p>
        </w:tc>
        <w:tc>
          <w:tcPr>
            <w:tcW w:w="1970" w:type="dxa"/>
            <w:vAlign w:val="center"/>
          </w:tcPr>
          <w:p w:rsidR="00E7187C" w:rsidRPr="00A71D2E" w:rsidRDefault="009B55FE" w:rsidP="00E7187C">
            <w:pPr>
              <w:ind w:rightChars="42" w:right="88"/>
              <w:jc w:val="right"/>
              <w:rPr>
                <w:rFonts w:eastAsia="宋体" w:cs="Times New Roman"/>
                <w:color w:val="000000"/>
                <w:sz w:val="18"/>
                <w:szCs w:val="18"/>
              </w:rPr>
            </w:pPr>
            <w:r w:rsidRPr="009B55FE">
              <w:rPr>
                <w:rFonts w:eastAsia="宋体" w:cs="Times New Roman"/>
                <w:color w:val="000000"/>
                <w:sz w:val="18"/>
                <w:szCs w:val="18"/>
              </w:rPr>
              <w:t>209,526,516.37</w:t>
            </w:r>
          </w:p>
        </w:tc>
        <w:tc>
          <w:tcPr>
            <w:tcW w:w="1971" w:type="dxa"/>
            <w:vAlign w:val="center"/>
          </w:tcPr>
          <w:p w:rsidR="00E7187C" w:rsidRPr="00A71D2E" w:rsidRDefault="00E7187C" w:rsidP="00E7187C">
            <w:pPr>
              <w:ind w:rightChars="42" w:right="88"/>
              <w:jc w:val="right"/>
              <w:rPr>
                <w:rFonts w:eastAsia="宋体" w:cs="Times New Roman"/>
                <w:sz w:val="18"/>
                <w:szCs w:val="18"/>
              </w:rPr>
            </w:pPr>
            <w:r w:rsidRPr="00A71D2E">
              <w:rPr>
                <w:rFonts w:eastAsia="宋体" w:cs="Times New Roman"/>
                <w:color w:val="000000"/>
                <w:sz w:val="18"/>
                <w:szCs w:val="18"/>
              </w:rPr>
              <w:t>28,139,456.84</w:t>
            </w:r>
          </w:p>
        </w:tc>
      </w:tr>
      <w:tr w:rsidR="00E7187C" w:rsidRPr="00A71D2E" w:rsidTr="0027505B">
        <w:trPr>
          <w:trHeight w:val="20"/>
        </w:trPr>
        <w:tc>
          <w:tcPr>
            <w:tcW w:w="5511" w:type="dxa"/>
            <w:shd w:val="clear" w:color="auto" w:fill="D9D9D9" w:themeFill="background1" w:themeFillShade="D9"/>
            <w:tcMar>
              <w:top w:w="0" w:type="dxa"/>
              <w:left w:w="108" w:type="dxa"/>
              <w:bottom w:w="0" w:type="dxa"/>
              <w:right w:w="108" w:type="dxa"/>
            </w:tcMar>
            <w:vAlign w:val="center"/>
            <w:hideMark/>
          </w:tcPr>
          <w:p w:rsidR="00E7187C" w:rsidRPr="00A71D2E" w:rsidRDefault="00E7187C" w:rsidP="00E7187C">
            <w:pPr>
              <w:rPr>
                <w:rFonts w:eastAsia="宋体" w:cs="Times New Roman"/>
                <w:sz w:val="18"/>
                <w:szCs w:val="18"/>
              </w:rPr>
            </w:pPr>
            <w:r w:rsidRPr="00A71D2E">
              <w:rPr>
                <w:rFonts w:eastAsia="宋体" w:cs="Times New Roman" w:hint="eastAsia"/>
                <w:bCs/>
                <w:sz w:val="18"/>
                <w:szCs w:val="18"/>
              </w:rPr>
              <w:t>合计</w:t>
            </w:r>
          </w:p>
        </w:tc>
        <w:tc>
          <w:tcPr>
            <w:tcW w:w="1970" w:type="dxa"/>
            <w:vAlign w:val="center"/>
          </w:tcPr>
          <w:p w:rsidR="00E7187C" w:rsidRPr="00A71D2E" w:rsidRDefault="009B55FE" w:rsidP="00E7187C">
            <w:pPr>
              <w:ind w:rightChars="40" w:right="84"/>
              <w:jc w:val="right"/>
              <w:rPr>
                <w:rFonts w:eastAsia="宋体" w:cs="Times New Roman"/>
                <w:sz w:val="18"/>
                <w:szCs w:val="18"/>
              </w:rPr>
            </w:pPr>
            <w:r w:rsidRPr="009B55FE">
              <w:rPr>
                <w:rFonts w:eastAsia="宋体" w:cs="Times New Roman"/>
                <w:sz w:val="18"/>
                <w:szCs w:val="18"/>
              </w:rPr>
              <w:t>1,307,459,168.11</w:t>
            </w:r>
          </w:p>
        </w:tc>
        <w:tc>
          <w:tcPr>
            <w:tcW w:w="1971" w:type="dxa"/>
            <w:vAlign w:val="center"/>
          </w:tcPr>
          <w:p w:rsidR="00E7187C" w:rsidRPr="00A71D2E" w:rsidRDefault="00E7187C" w:rsidP="00E7187C">
            <w:pPr>
              <w:ind w:rightChars="42" w:right="88"/>
              <w:jc w:val="right"/>
              <w:rPr>
                <w:rFonts w:eastAsia="宋体" w:cs="Times New Roman"/>
                <w:sz w:val="18"/>
                <w:szCs w:val="18"/>
              </w:rPr>
            </w:pPr>
            <w:r w:rsidRPr="00A71D2E">
              <w:rPr>
                <w:rFonts w:eastAsia="宋体" w:cs="Times New Roman"/>
                <w:sz w:val="18"/>
                <w:szCs w:val="18"/>
              </w:rPr>
              <w:t>781,687,259.59</w:t>
            </w:r>
          </w:p>
        </w:tc>
      </w:tr>
    </w:tbl>
    <w:p w:rsidR="00EB68E7" w:rsidRPr="00A71D2E" w:rsidRDefault="00EB68E7" w:rsidP="00F66363">
      <w:pPr>
        <w:ind w:left="731"/>
        <w:rPr>
          <w:rFonts w:eastAsia="宋体" w:cs="Times New Roman"/>
          <w:szCs w:val="21"/>
        </w:rPr>
      </w:pPr>
    </w:p>
    <w:p w:rsidR="00EB68E7" w:rsidRPr="00850939" w:rsidRDefault="00D573AA">
      <w:pPr>
        <w:pStyle w:val="aff1"/>
        <w:numPr>
          <w:ilvl w:val="0"/>
          <w:numId w:val="38"/>
        </w:numPr>
        <w:ind w:left="1440" w:firstLineChars="0" w:hanging="709"/>
        <w:jc w:val="both"/>
        <w:rPr>
          <w:szCs w:val="21"/>
        </w:rPr>
      </w:pPr>
      <w:r w:rsidRPr="00850939">
        <w:rPr>
          <w:rFonts w:hint="eastAsia"/>
          <w:szCs w:val="21"/>
        </w:rPr>
        <w:t>本年末</w:t>
      </w:r>
      <w:r w:rsidR="00EB68E7" w:rsidRPr="00850939">
        <w:rPr>
          <w:rFonts w:hint="eastAsia"/>
          <w:szCs w:val="21"/>
        </w:rPr>
        <w:t>，本集团无账龄超过一年的重要应付账款。</w:t>
      </w:r>
    </w:p>
    <w:p w:rsidR="00F04F27" w:rsidRDefault="00F04F27">
      <w:pPr>
        <w:adjustRightInd/>
        <w:snapToGrid/>
        <w:rPr>
          <w:rFonts w:eastAsia="宋体" w:cs="Times New Roman"/>
          <w:szCs w:val="21"/>
        </w:rPr>
      </w:pPr>
      <w:r>
        <w:rPr>
          <w:szCs w:val="21"/>
        </w:rPr>
        <w:br w:type="page"/>
      </w:r>
    </w:p>
    <w:p w:rsidR="00F04F27" w:rsidRPr="00F66363" w:rsidRDefault="005F14EE" w:rsidP="00F04F27">
      <w:pPr>
        <w:rPr>
          <w:rFonts w:eastAsia="宋体" w:cs="Times New Roman"/>
          <w:szCs w:val="21"/>
        </w:rPr>
      </w:pPr>
      <w:r>
        <w:rPr>
          <w:rFonts w:eastAsia="宋体" w:cs="Times New Roman"/>
          <w:b/>
          <w:szCs w:val="21"/>
        </w:rPr>
        <w:t>(</w:t>
      </w:r>
      <w:r w:rsidR="00F04F27" w:rsidRPr="00F66363">
        <w:rPr>
          <w:rFonts w:eastAsia="宋体" w:cs="Times New Roman" w:hint="eastAsia"/>
          <w:b/>
          <w:szCs w:val="21"/>
        </w:rPr>
        <w:t>五</w:t>
      </w:r>
      <w:r>
        <w:rPr>
          <w:rFonts w:eastAsia="宋体" w:cs="Times New Roman"/>
          <w:b/>
          <w:szCs w:val="21"/>
        </w:rPr>
        <w:t>)</w:t>
      </w:r>
      <w:r w:rsidR="00F04F27" w:rsidRPr="00F66363">
        <w:rPr>
          <w:rFonts w:eastAsia="宋体" w:cs="Times New Roman"/>
          <w:b/>
          <w:szCs w:val="21"/>
        </w:rPr>
        <w:tab/>
      </w:r>
      <w:r w:rsidR="00F04F27" w:rsidRPr="00F66363">
        <w:rPr>
          <w:rFonts w:eastAsia="宋体" w:cs="Times New Roman" w:hint="eastAsia"/>
          <w:b/>
          <w:szCs w:val="21"/>
        </w:rPr>
        <w:t>合并财务报表项目注释</w:t>
      </w:r>
      <w:r w:rsidR="00F04F27" w:rsidRPr="00F66363">
        <w:rPr>
          <w:rFonts w:eastAsia="宋体" w:cs="Times New Roman"/>
          <w:bCs/>
          <w:szCs w:val="21"/>
        </w:rPr>
        <w:t xml:space="preserve"> </w:t>
      </w:r>
      <w:r w:rsidR="00F04F27" w:rsidRPr="00F66363">
        <w:rPr>
          <w:rFonts w:eastAsia="宋体" w:cs="Times New Roman"/>
          <w:szCs w:val="21"/>
        </w:rPr>
        <w:t xml:space="preserve">- </w:t>
      </w:r>
      <w:r w:rsidR="00F04F27" w:rsidRPr="00F66363">
        <w:rPr>
          <w:rFonts w:eastAsia="宋体" w:cs="Times New Roman" w:hint="eastAsia"/>
          <w:szCs w:val="21"/>
        </w:rPr>
        <w:t>续</w:t>
      </w:r>
    </w:p>
    <w:p w:rsidR="00EB68E7" w:rsidRPr="00A71D2E" w:rsidRDefault="00EB68E7" w:rsidP="00F66363">
      <w:pPr>
        <w:pStyle w:val="aff1"/>
        <w:ind w:left="720" w:firstLineChars="0" w:firstLine="0"/>
        <w:jc w:val="both"/>
        <w:rPr>
          <w:szCs w:val="21"/>
        </w:rPr>
      </w:pPr>
    </w:p>
    <w:p w:rsidR="00EB68E7" w:rsidRPr="00A71D2E" w:rsidRDefault="00EB68E7" w:rsidP="00F66363">
      <w:pPr>
        <w:pStyle w:val="2"/>
        <w:numPr>
          <w:ilvl w:val="2"/>
          <w:numId w:val="1"/>
        </w:numPr>
        <w:adjustRightInd w:val="0"/>
        <w:snapToGrid w:val="0"/>
        <w:ind w:left="1440" w:hanging="720"/>
        <w:contextualSpacing w:val="0"/>
        <w:rPr>
          <w:rFonts w:ascii="Times New Roman" w:eastAsia="宋体" w:hAnsi="Times New Roman" w:cs="Times New Roman"/>
          <w:b w:val="0"/>
        </w:rPr>
      </w:pPr>
      <w:r w:rsidRPr="00A71D2E">
        <w:rPr>
          <w:rFonts w:ascii="Times New Roman" w:eastAsia="宋体" w:hAnsi="Times New Roman" w:cs="Times New Roman" w:hint="eastAsia"/>
        </w:rPr>
        <w:t>合同负债</w:t>
      </w:r>
    </w:p>
    <w:p w:rsidR="00EB68E7" w:rsidRPr="00A71D2E" w:rsidRDefault="00EB68E7" w:rsidP="00F66363">
      <w:pPr>
        <w:ind w:left="720"/>
        <w:jc w:val="both"/>
        <w:rPr>
          <w:rFonts w:eastAsia="宋体" w:cs="Times New Roman"/>
          <w:szCs w:val="18"/>
        </w:rPr>
      </w:pPr>
    </w:p>
    <w:p w:rsidR="00EB68E7" w:rsidRPr="00A71D2E" w:rsidRDefault="00EB68E7">
      <w:pPr>
        <w:pStyle w:val="aff1"/>
        <w:numPr>
          <w:ilvl w:val="0"/>
          <w:numId w:val="19"/>
        </w:numPr>
        <w:ind w:left="1440" w:firstLineChars="0" w:hanging="709"/>
        <w:rPr>
          <w:szCs w:val="21"/>
        </w:rPr>
      </w:pPr>
      <w:r w:rsidRPr="00A71D2E">
        <w:rPr>
          <w:rFonts w:hint="eastAsia"/>
          <w:szCs w:val="21"/>
        </w:rPr>
        <w:t>合同负债</w:t>
      </w:r>
      <w:r w:rsidR="007136E6">
        <w:rPr>
          <w:rFonts w:hint="eastAsia"/>
          <w:szCs w:val="21"/>
        </w:rPr>
        <w:t>情况</w:t>
      </w:r>
    </w:p>
    <w:p w:rsidR="00EB68E7" w:rsidRPr="00A71D2E" w:rsidRDefault="00EB68E7" w:rsidP="00F66363">
      <w:pPr>
        <w:jc w:val="right"/>
        <w:rPr>
          <w:rFonts w:eastAsia="宋体" w:cs="Times New Roman"/>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043"/>
        <w:gridCol w:w="1700"/>
        <w:gridCol w:w="1701"/>
      </w:tblGrid>
      <w:tr w:rsidR="003614CF" w:rsidRPr="00A71D2E" w:rsidTr="0027505B">
        <w:trPr>
          <w:trHeight w:val="20"/>
        </w:trPr>
        <w:tc>
          <w:tcPr>
            <w:tcW w:w="6043" w:type="dxa"/>
            <w:shd w:val="clear" w:color="auto" w:fill="D9D9D9" w:themeFill="background1" w:themeFillShade="D9"/>
            <w:tcMar>
              <w:top w:w="0" w:type="dxa"/>
              <w:left w:w="108" w:type="dxa"/>
              <w:bottom w:w="0" w:type="dxa"/>
              <w:right w:w="108" w:type="dxa"/>
            </w:tcMar>
            <w:vAlign w:val="center"/>
            <w:hideMark/>
          </w:tcPr>
          <w:p w:rsidR="003614CF" w:rsidRPr="00A71D2E" w:rsidRDefault="003614CF" w:rsidP="00F66363">
            <w:pPr>
              <w:jc w:val="center"/>
              <w:rPr>
                <w:rFonts w:eastAsia="宋体" w:cs="Times New Roman"/>
                <w:sz w:val="18"/>
                <w:szCs w:val="18"/>
              </w:rPr>
            </w:pPr>
          </w:p>
        </w:tc>
        <w:tc>
          <w:tcPr>
            <w:tcW w:w="1700" w:type="dxa"/>
            <w:shd w:val="clear" w:color="auto" w:fill="D9D9D9" w:themeFill="background1" w:themeFillShade="D9"/>
            <w:vAlign w:val="center"/>
          </w:tcPr>
          <w:p w:rsidR="003614CF" w:rsidRPr="00A71D2E" w:rsidRDefault="003614CF" w:rsidP="00F66363">
            <w:pPr>
              <w:jc w:val="center"/>
              <w:rPr>
                <w:rFonts w:eastAsia="宋体" w:cs="Times New Roman"/>
                <w:sz w:val="18"/>
                <w:szCs w:val="18"/>
              </w:rPr>
            </w:pPr>
            <w:r w:rsidRPr="00A71D2E">
              <w:rPr>
                <w:rFonts w:eastAsia="宋体" w:cs="Times New Roman" w:hint="eastAsia"/>
                <w:sz w:val="18"/>
                <w:szCs w:val="18"/>
              </w:rPr>
              <w:t>年末余额</w:t>
            </w:r>
          </w:p>
        </w:tc>
        <w:tc>
          <w:tcPr>
            <w:tcW w:w="1701" w:type="dxa"/>
            <w:shd w:val="clear" w:color="auto" w:fill="D9D9D9" w:themeFill="background1" w:themeFillShade="D9"/>
            <w:vAlign w:val="center"/>
          </w:tcPr>
          <w:p w:rsidR="003614CF" w:rsidRPr="00A71D2E" w:rsidRDefault="003614CF" w:rsidP="00F66363">
            <w:pPr>
              <w:jc w:val="center"/>
              <w:rPr>
                <w:rFonts w:eastAsia="宋体" w:cs="Times New Roman"/>
                <w:sz w:val="18"/>
                <w:szCs w:val="18"/>
              </w:rPr>
            </w:pPr>
            <w:r w:rsidRPr="00A71D2E">
              <w:rPr>
                <w:rFonts w:eastAsia="宋体" w:cs="Times New Roman" w:hint="eastAsia"/>
                <w:sz w:val="18"/>
                <w:szCs w:val="18"/>
              </w:rPr>
              <w:t>年初余额</w:t>
            </w:r>
          </w:p>
        </w:tc>
      </w:tr>
      <w:tr w:rsidR="00E7187C" w:rsidRPr="00A71D2E" w:rsidTr="0027505B">
        <w:trPr>
          <w:trHeight w:val="20"/>
        </w:trPr>
        <w:tc>
          <w:tcPr>
            <w:tcW w:w="6043" w:type="dxa"/>
            <w:shd w:val="clear" w:color="auto" w:fill="FFFFFF" w:themeFill="background1"/>
            <w:tcMar>
              <w:top w:w="0" w:type="dxa"/>
              <w:left w:w="108" w:type="dxa"/>
              <w:bottom w:w="0" w:type="dxa"/>
              <w:right w:w="108" w:type="dxa"/>
            </w:tcMar>
            <w:vAlign w:val="center"/>
          </w:tcPr>
          <w:p w:rsidR="00E7187C" w:rsidRPr="00A71D2E" w:rsidRDefault="00E7187C" w:rsidP="00E7187C">
            <w:pPr>
              <w:rPr>
                <w:rFonts w:eastAsia="宋体" w:cs="Times New Roman"/>
                <w:sz w:val="18"/>
                <w:szCs w:val="18"/>
              </w:rPr>
            </w:pPr>
            <w:r w:rsidRPr="00A71D2E">
              <w:rPr>
                <w:rFonts w:eastAsia="宋体" w:cs="Times New Roman" w:hint="eastAsia"/>
                <w:sz w:val="18"/>
                <w:szCs w:val="18"/>
              </w:rPr>
              <w:t>云增值及开放平台服务</w:t>
            </w:r>
          </w:p>
        </w:tc>
        <w:tc>
          <w:tcPr>
            <w:tcW w:w="1700" w:type="dxa"/>
            <w:vAlign w:val="center"/>
          </w:tcPr>
          <w:p w:rsidR="00E7187C" w:rsidRPr="00A71D2E" w:rsidRDefault="005413AB" w:rsidP="00E7187C">
            <w:pPr>
              <w:ind w:right="120"/>
              <w:jc w:val="right"/>
              <w:rPr>
                <w:rFonts w:eastAsia="宋体" w:cs="Times New Roman"/>
                <w:sz w:val="18"/>
                <w:szCs w:val="18"/>
              </w:rPr>
            </w:pPr>
            <w:r w:rsidRPr="005413AB">
              <w:rPr>
                <w:rFonts w:eastAsia="宋体" w:cs="Times New Roman"/>
                <w:sz w:val="18"/>
                <w:szCs w:val="18"/>
              </w:rPr>
              <w:t>261,283,987.21</w:t>
            </w:r>
          </w:p>
        </w:tc>
        <w:tc>
          <w:tcPr>
            <w:tcW w:w="1701" w:type="dxa"/>
            <w:vAlign w:val="center"/>
          </w:tcPr>
          <w:p w:rsidR="00E7187C" w:rsidRPr="00A71D2E" w:rsidRDefault="00E7187C" w:rsidP="00E7187C">
            <w:pPr>
              <w:ind w:right="120"/>
              <w:jc w:val="right"/>
              <w:rPr>
                <w:rFonts w:eastAsia="宋体" w:cs="Times New Roman"/>
                <w:sz w:val="18"/>
                <w:szCs w:val="18"/>
              </w:rPr>
            </w:pPr>
            <w:r w:rsidRPr="00A71D2E">
              <w:rPr>
                <w:rFonts w:eastAsia="宋体" w:cs="Times New Roman"/>
                <w:sz w:val="18"/>
                <w:szCs w:val="18"/>
              </w:rPr>
              <w:t>218,964,650.14</w:t>
            </w:r>
          </w:p>
        </w:tc>
      </w:tr>
      <w:tr w:rsidR="00E7187C" w:rsidRPr="00A71D2E" w:rsidTr="0027505B">
        <w:trPr>
          <w:trHeight w:val="20"/>
        </w:trPr>
        <w:tc>
          <w:tcPr>
            <w:tcW w:w="6043" w:type="dxa"/>
            <w:shd w:val="clear" w:color="auto" w:fill="FFFFFF" w:themeFill="background1"/>
            <w:tcMar>
              <w:top w:w="0" w:type="dxa"/>
              <w:left w:w="108" w:type="dxa"/>
              <w:bottom w:w="0" w:type="dxa"/>
              <w:right w:w="108" w:type="dxa"/>
            </w:tcMar>
            <w:vAlign w:val="center"/>
          </w:tcPr>
          <w:p w:rsidR="00E7187C" w:rsidRPr="00A71D2E" w:rsidRDefault="00E7187C" w:rsidP="00E7187C">
            <w:pPr>
              <w:rPr>
                <w:rFonts w:eastAsia="宋体" w:cs="Times New Roman"/>
                <w:sz w:val="18"/>
                <w:szCs w:val="18"/>
              </w:rPr>
            </w:pPr>
            <w:r>
              <w:rPr>
                <w:rFonts w:eastAsia="宋体" w:cs="Times New Roman" w:hint="eastAsia"/>
                <w:sz w:val="18"/>
                <w:szCs w:val="18"/>
              </w:rPr>
              <w:t>预收产品销售款</w:t>
            </w:r>
          </w:p>
        </w:tc>
        <w:tc>
          <w:tcPr>
            <w:tcW w:w="1700" w:type="dxa"/>
            <w:vAlign w:val="center"/>
          </w:tcPr>
          <w:p w:rsidR="00E7187C" w:rsidRPr="00A71D2E" w:rsidRDefault="005413AB" w:rsidP="00E7187C">
            <w:pPr>
              <w:ind w:right="120"/>
              <w:jc w:val="right"/>
              <w:rPr>
                <w:rFonts w:eastAsia="宋体" w:cs="Times New Roman"/>
                <w:sz w:val="18"/>
                <w:szCs w:val="18"/>
              </w:rPr>
            </w:pPr>
            <w:r w:rsidRPr="005413AB">
              <w:rPr>
                <w:rFonts w:eastAsia="宋体" w:cs="Times New Roman"/>
                <w:sz w:val="18"/>
                <w:szCs w:val="18"/>
              </w:rPr>
              <w:t>114,443,148.85</w:t>
            </w:r>
          </w:p>
        </w:tc>
        <w:tc>
          <w:tcPr>
            <w:tcW w:w="1701" w:type="dxa"/>
            <w:vAlign w:val="center"/>
          </w:tcPr>
          <w:p w:rsidR="00E7187C" w:rsidRPr="00A71D2E" w:rsidRDefault="00E7187C" w:rsidP="00E7187C">
            <w:pPr>
              <w:ind w:right="120"/>
              <w:jc w:val="right"/>
              <w:rPr>
                <w:rFonts w:eastAsia="宋体" w:cs="Times New Roman"/>
                <w:sz w:val="18"/>
                <w:szCs w:val="18"/>
              </w:rPr>
            </w:pPr>
            <w:r w:rsidRPr="005273B0">
              <w:rPr>
                <w:rFonts w:eastAsia="宋体" w:cs="Times New Roman"/>
                <w:sz w:val="18"/>
                <w:szCs w:val="18"/>
              </w:rPr>
              <w:t>65,518,620.15</w:t>
            </w:r>
          </w:p>
        </w:tc>
      </w:tr>
      <w:tr w:rsidR="00E7187C" w:rsidRPr="00A71D2E" w:rsidTr="0027505B">
        <w:trPr>
          <w:trHeight w:val="20"/>
        </w:trPr>
        <w:tc>
          <w:tcPr>
            <w:tcW w:w="6043" w:type="dxa"/>
            <w:shd w:val="clear" w:color="auto" w:fill="D9D9D9" w:themeFill="background1" w:themeFillShade="D9"/>
            <w:tcMar>
              <w:top w:w="0" w:type="dxa"/>
              <w:left w:w="108" w:type="dxa"/>
              <w:bottom w:w="0" w:type="dxa"/>
              <w:right w:w="108" w:type="dxa"/>
            </w:tcMar>
            <w:vAlign w:val="center"/>
          </w:tcPr>
          <w:p w:rsidR="00E7187C" w:rsidRPr="00A71D2E" w:rsidRDefault="00E7187C" w:rsidP="00E7187C">
            <w:pPr>
              <w:rPr>
                <w:rFonts w:eastAsia="宋体" w:cs="Times New Roman"/>
                <w:sz w:val="18"/>
                <w:szCs w:val="18"/>
              </w:rPr>
            </w:pPr>
            <w:r w:rsidRPr="00A71D2E">
              <w:rPr>
                <w:rFonts w:eastAsia="宋体" w:cs="Times New Roman" w:hint="eastAsia"/>
                <w:sz w:val="18"/>
                <w:szCs w:val="18"/>
              </w:rPr>
              <w:t>小计</w:t>
            </w:r>
          </w:p>
        </w:tc>
        <w:tc>
          <w:tcPr>
            <w:tcW w:w="1700" w:type="dxa"/>
            <w:vAlign w:val="center"/>
          </w:tcPr>
          <w:p w:rsidR="00E7187C" w:rsidRPr="00A71D2E" w:rsidRDefault="005413AB" w:rsidP="00E7187C">
            <w:pPr>
              <w:ind w:right="120"/>
              <w:jc w:val="right"/>
              <w:rPr>
                <w:rFonts w:eastAsia="宋体" w:cs="Times New Roman"/>
                <w:sz w:val="18"/>
                <w:szCs w:val="18"/>
              </w:rPr>
            </w:pPr>
            <w:r w:rsidRPr="005413AB">
              <w:rPr>
                <w:rFonts w:eastAsia="宋体" w:cs="Times New Roman"/>
                <w:sz w:val="18"/>
                <w:szCs w:val="18"/>
              </w:rPr>
              <w:t>375,727,136.06</w:t>
            </w:r>
          </w:p>
        </w:tc>
        <w:tc>
          <w:tcPr>
            <w:tcW w:w="1701" w:type="dxa"/>
            <w:vAlign w:val="center"/>
          </w:tcPr>
          <w:p w:rsidR="00E7187C" w:rsidRPr="00A71D2E" w:rsidRDefault="00E7187C" w:rsidP="00E7187C">
            <w:pPr>
              <w:ind w:right="120"/>
              <w:jc w:val="right"/>
              <w:rPr>
                <w:rFonts w:eastAsia="宋体" w:cs="Times New Roman"/>
                <w:sz w:val="18"/>
                <w:szCs w:val="18"/>
              </w:rPr>
            </w:pPr>
            <w:r w:rsidRPr="00A71D2E">
              <w:rPr>
                <w:rFonts w:eastAsia="宋体" w:cs="Times New Roman"/>
                <w:sz w:val="18"/>
                <w:szCs w:val="18"/>
              </w:rPr>
              <w:t>284,483,270.29</w:t>
            </w:r>
          </w:p>
        </w:tc>
      </w:tr>
      <w:tr w:rsidR="00E7187C" w:rsidRPr="00A71D2E" w:rsidTr="0027505B">
        <w:trPr>
          <w:trHeight w:val="20"/>
        </w:trPr>
        <w:tc>
          <w:tcPr>
            <w:tcW w:w="6043" w:type="dxa"/>
            <w:shd w:val="clear" w:color="auto" w:fill="auto"/>
            <w:tcMar>
              <w:top w:w="0" w:type="dxa"/>
              <w:left w:w="108" w:type="dxa"/>
              <w:bottom w:w="0" w:type="dxa"/>
              <w:right w:w="108" w:type="dxa"/>
            </w:tcMar>
            <w:vAlign w:val="center"/>
          </w:tcPr>
          <w:p w:rsidR="00E7187C" w:rsidRPr="00A71D2E" w:rsidRDefault="00E7187C" w:rsidP="00E7187C">
            <w:pPr>
              <w:rPr>
                <w:rFonts w:eastAsia="宋体" w:cs="Times New Roman"/>
                <w:sz w:val="18"/>
                <w:szCs w:val="18"/>
              </w:rPr>
            </w:pPr>
            <w:r w:rsidRPr="00A71D2E">
              <w:rPr>
                <w:rFonts w:eastAsia="宋体" w:cs="Times New Roman" w:hint="eastAsia"/>
                <w:sz w:val="18"/>
                <w:szCs w:val="18"/>
              </w:rPr>
              <w:t>减</w:t>
            </w:r>
            <w:r w:rsidR="005F14EE">
              <w:rPr>
                <w:rFonts w:eastAsia="宋体" w:cs="Times New Roman" w:hint="eastAsia"/>
                <w:sz w:val="18"/>
                <w:szCs w:val="18"/>
              </w:rPr>
              <w:t>：</w:t>
            </w:r>
            <w:r w:rsidRPr="00A71D2E">
              <w:rPr>
                <w:rFonts w:eastAsia="宋体" w:cs="Times New Roman" w:hint="eastAsia"/>
                <w:sz w:val="18"/>
                <w:szCs w:val="18"/>
              </w:rPr>
              <w:t>计入其他非流动负债的合同负债</w:t>
            </w:r>
            <w:r w:rsidR="005F14EE">
              <w:rPr>
                <w:rFonts w:eastAsia="宋体" w:cs="Times New Roman"/>
                <w:sz w:val="18"/>
                <w:szCs w:val="18"/>
              </w:rPr>
              <w:t>(</w:t>
            </w:r>
            <w:r w:rsidRPr="00A71D2E">
              <w:rPr>
                <w:rFonts w:eastAsia="宋体" w:cs="Times New Roman" w:hint="eastAsia"/>
                <w:sz w:val="18"/>
                <w:szCs w:val="18"/>
              </w:rPr>
              <w:t>附注</w:t>
            </w:r>
            <w:r w:rsidR="005F14EE">
              <w:rPr>
                <w:rFonts w:eastAsia="宋体" w:cs="Times New Roman"/>
                <w:sz w:val="18"/>
                <w:szCs w:val="18"/>
              </w:rPr>
              <w:t>(</w:t>
            </w:r>
            <w:r w:rsidRPr="00A71D2E">
              <w:rPr>
                <w:rFonts w:eastAsia="宋体" w:cs="Times New Roman" w:hint="eastAsia"/>
                <w:sz w:val="18"/>
                <w:szCs w:val="18"/>
              </w:rPr>
              <w:t>五</w:t>
            </w:r>
            <w:r w:rsidR="005F14EE">
              <w:rPr>
                <w:rFonts w:eastAsia="宋体" w:cs="Times New Roman"/>
                <w:sz w:val="18"/>
                <w:szCs w:val="18"/>
              </w:rPr>
              <w:t>)</w:t>
            </w:r>
            <w:r w:rsidRPr="00A71D2E">
              <w:rPr>
                <w:rFonts w:eastAsia="宋体" w:cs="Times New Roman" w:hint="eastAsia"/>
                <w:sz w:val="18"/>
                <w:szCs w:val="18"/>
              </w:rPr>
              <w:t>、</w:t>
            </w:r>
            <w:r w:rsidRPr="00A71D2E">
              <w:rPr>
                <w:rFonts w:eastAsia="宋体" w:cs="Times New Roman"/>
                <w:sz w:val="18"/>
                <w:szCs w:val="18"/>
              </w:rPr>
              <w:t>3</w:t>
            </w:r>
            <w:r w:rsidR="008A514A">
              <w:rPr>
                <w:rFonts w:eastAsia="宋体" w:cs="Times New Roman"/>
                <w:sz w:val="18"/>
                <w:szCs w:val="18"/>
              </w:rPr>
              <w:t>2</w:t>
            </w:r>
            <w:r w:rsidR="005F14EE">
              <w:rPr>
                <w:rFonts w:eastAsia="宋体" w:cs="Times New Roman"/>
                <w:sz w:val="18"/>
                <w:szCs w:val="18"/>
              </w:rPr>
              <w:t>)</w:t>
            </w:r>
          </w:p>
        </w:tc>
        <w:tc>
          <w:tcPr>
            <w:tcW w:w="1700" w:type="dxa"/>
            <w:vAlign w:val="center"/>
          </w:tcPr>
          <w:p w:rsidR="00E7187C" w:rsidRPr="00A71D2E" w:rsidRDefault="005413AB" w:rsidP="00E7187C">
            <w:pPr>
              <w:ind w:right="120"/>
              <w:jc w:val="right"/>
              <w:rPr>
                <w:rFonts w:eastAsia="宋体" w:cs="Times New Roman"/>
                <w:sz w:val="18"/>
                <w:szCs w:val="18"/>
              </w:rPr>
            </w:pPr>
            <w:r w:rsidRPr="005413AB">
              <w:rPr>
                <w:rFonts w:eastAsia="宋体" w:cs="Times New Roman"/>
                <w:sz w:val="18"/>
                <w:szCs w:val="18"/>
              </w:rPr>
              <w:t>30,140,767.27</w:t>
            </w:r>
          </w:p>
        </w:tc>
        <w:tc>
          <w:tcPr>
            <w:tcW w:w="1701" w:type="dxa"/>
            <w:vAlign w:val="center"/>
          </w:tcPr>
          <w:p w:rsidR="00E7187C" w:rsidRPr="00A71D2E" w:rsidRDefault="00E7187C" w:rsidP="00E7187C">
            <w:pPr>
              <w:ind w:right="120"/>
              <w:jc w:val="right"/>
              <w:rPr>
                <w:rFonts w:eastAsia="宋体" w:cs="Times New Roman"/>
                <w:sz w:val="18"/>
                <w:szCs w:val="18"/>
              </w:rPr>
            </w:pPr>
            <w:r w:rsidRPr="00A71D2E">
              <w:rPr>
                <w:rFonts w:eastAsia="宋体" w:cs="Times New Roman"/>
                <w:sz w:val="18"/>
                <w:szCs w:val="18"/>
              </w:rPr>
              <w:t>24,939,037.54</w:t>
            </w:r>
          </w:p>
        </w:tc>
      </w:tr>
      <w:tr w:rsidR="00E7187C" w:rsidRPr="00A71D2E" w:rsidTr="0027505B">
        <w:trPr>
          <w:trHeight w:val="20"/>
        </w:trPr>
        <w:tc>
          <w:tcPr>
            <w:tcW w:w="6043" w:type="dxa"/>
            <w:shd w:val="clear" w:color="auto" w:fill="D9D9D9" w:themeFill="background1" w:themeFillShade="D9"/>
            <w:tcMar>
              <w:top w:w="0" w:type="dxa"/>
              <w:left w:w="108" w:type="dxa"/>
              <w:bottom w:w="0" w:type="dxa"/>
              <w:right w:w="108" w:type="dxa"/>
            </w:tcMar>
            <w:vAlign w:val="center"/>
          </w:tcPr>
          <w:p w:rsidR="00E7187C" w:rsidRPr="00A71D2E" w:rsidRDefault="00E7187C" w:rsidP="00E7187C">
            <w:pPr>
              <w:rPr>
                <w:rFonts w:eastAsia="宋体" w:cs="Times New Roman"/>
                <w:sz w:val="18"/>
                <w:szCs w:val="18"/>
              </w:rPr>
            </w:pPr>
            <w:r w:rsidRPr="00A71D2E">
              <w:rPr>
                <w:rFonts w:eastAsia="宋体" w:cs="Times New Roman" w:hint="eastAsia"/>
                <w:sz w:val="18"/>
                <w:szCs w:val="18"/>
              </w:rPr>
              <w:t>合计</w:t>
            </w:r>
          </w:p>
        </w:tc>
        <w:tc>
          <w:tcPr>
            <w:tcW w:w="1700" w:type="dxa"/>
            <w:vAlign w:val="center"/>
          </w:tcPr>
          <w:p w:rsidR="00E7187C" w:rsidRPr="00A71D2E" w:rsidRDefault="005413AB" w:rsidP="00E7187C">
            <w:pPr>
              <w:ind w:right="120"/>
              <w:jc w:val="right"/>
              <w:rPr>
                <w:rFonts w:eastAsia="宋体" w:cs="Times New Roman"/>
                <w:sz w:val="18"/>
                <w:szCs w:val="18"/>
              </w:rPr>
            </w:pPr>
            <w:r w:rsidRPr="005413AB">
              <w:rPr>
                <w:rFonts w:eastAsia="宋体" w:cs="Times New Roman"/>
                <w:sz w:val="18"/>
                <w:szCs w:val="18"/>
              </w:rPr>
              <w:t>345,586,368.79</w:t>
            </w:r>
          </w:p>
        </w:tc>
        <w:tc>
          <w:tcPr>
            <w:tcW w:w="1701" w:type="dxa"/>
            <w:vAlign w:val="center"/>
          </w:tcPr>
          <w:p w:rsidR="00E7187C" w:rsidRPr="00A71D2E" w:rsidRDefault="00E7187C" w:rsidP="00E7187C">
            <w:pPr>
              <w:ind w:right="120"/>
              <w:jc w:val="right"/>
              <w:rPr>
                <w:rFonts w:eastAsia="宋体" w:cs="Times New Roman"/>
                <w:sz w:val="18"/>
                <w:szCs w:val="18"/>
              </w:rPr>
            </w:pPr>
            <w:r w:rsidRPr="00A71D2E">
              <w:rPr>
                <w:rFonts w:eastAsia="宋体" w:cs="Times New Roman"/>
                <w:sz w:val="18"/>
                <w:szCs w:val="18"/>
              </w:rPr>
              <w:t>259,544,232.75</w:t>
            </w:r>
          </w:p>
        </w:tc>
      </w:tr>
    </w:tbl>
    <w:p w:rsidR="00021383" w:rsidRPr="00A71D2E" w:rsidRDefault="00021383" w:rsidP="00F66363">
      <w:pPr>
        <w:ind w:left="720"/>
        <w:jc w:val="both"/>
        <w:rPr>
          <w:rFonts w:eastAsia="宋体" w:cs="Times New Roman"/>
        </w:rPr>
      </w:pPr>
    </w:p>
    <w:p w:rsidR="003D179A" w:rsidRPr="00A71D2E" w:rsidRDefault="003D179A">
      <w:pPr>
        <w:pStyle w:val="aff1"/>
        <w:numPr>
          <w:ilvl w:val="0"/>
          <w:numId w:val="19"/>
        </w:numPr>
        <w:ind w:left="1440" w:firstLineChars="0" w:hanging="709"/>
        <w:jc w:val="both"/>
      </w:pPr>
      <w:r w:rsidRPr="00A71D2E">
        <w:rPr>
          <w:rFonts w:hint="eastAsia"/>
        </w:rPr>
        <w:t>有关合同负债的定性和定量分析</w:t>
      </w:r>
    </w:p>
    <w:p w:rsidR="003D179A" w:rsidRPr="00A71D2E" w:rsidRDefault="003D179A">
      <w:pPr>
        <w:pStyle w:val="aff1"/>
        <w:ind w:left="1440" w:firstLineChars="0" w:firstLine="0"/>
        <w:jc w:val="both"/>
      </w:pPr>
    </w:p>
    <w:p w:rsidR="00EB68E7" w:rsidRPr="00A71D2E" w:rsidRDefault="00EB68E7">
      <w:pPr>
        <w:ind w:left="1440"/>
        <w:jc w:val="both"/>
        <w:rPr>
          <w:rFonts w:eastAsia="宋体" w:cs="Times New Roman"/>
        </w:rPr>
      </w:pPr>
      <w:r w:rsidRPr="00A71D2E">
        <w:rPr>
          <w:rFonts w:eastAsia="宋体" w:cs="Times New Roman" w:hint="eastAsia"/>
        </w:rPr>
        <w:t>本集团的云</w:t>
      </w:r>
      <w:r w:rsidRPr="00A71D2E">
        <w:rPr>
          <w:rFonts w:eastAsia="宋体" w:cs="Times New Roman" w:hint="eastAsia"/>
          <w:szCs w:val="21"/>
        </w:rPr>
        <w:t>增值及开放平台服务</w:t>
      </w:r>
      <w:r w:rsidRPr="00A71D2E">
        <w:rPr>
          <w:rFonts w:eastAsia="宋体" w:cs="Times New Roman" w:hint="eastAsia"/>
        </w:rPr>
        <w:t>收入在一段时间内确认。在收到客户预先支付的</w:t>
      </w:r>
      <w:proofErr w:type="gramStart"/>
      <w:r w:rsidRPr="00A71D2E">
        <w:rPr>
          <w:rFonts w:eastAsia="宋体" w:cs="Times New Roman" w:hint="eastAsia"/>
        </w:rPr>
        <w:t>服务款</w:t>
      </w:r>
      <w:proofErr w:type="gramEnd"/>
      <w:r w:rsidRPr="00A71D2E">
        <w:rPr>
          <w:rFonts w:eastAsia="宋体" w:cs="Times New Roman" w:hint="eastAsia"/>
        </w:rPr>
        <w:t>时将收到的</w:t>
      </w:r>
      <w:proofErr w:type="gramStart"/>
      <w:r w:rsidRPr="00A71D2E">
        <w:rPr>
          <w:rFonts w:eastAsia="宋体" w:cs="Times New Roman" w:hint="eastAsia"/>
        </w:rPr>
        <w:t>服务款</w:t>
      </w:r>
      <w:proofErr w:type="gramEnd"/>
      <w:r w:rsidRPr="00A71D2E">
        <w:rPr>
          <w:rFonts w:eastAsia="宋体" w:cs="Times New Roman" w:hint="eastAsia"/>
        </w:rPr>
        <w:t>确认一项合同负债，并在提供服务的期间内按照履约进度确认收入。</w:t>
      </w:r>
    </w:p>
    <w:p w:rsidR="00EB68E7" w:rsidRPr="00A71D2E" w:rsidRDefault="00EB68E7">
      <w:pPr>
        <w:ind w:left="1440"/>
        <w:jc w:val="both"/>
        <w:rPr>
          <w:rFonts w:eastAsia="宋体" w:cs="Times New Roman"/>
        </w:rPr>
      </w:pPr>
    </w:p>
    <w:p w:rsidR="00EB68E7" w:rsidRPr="00A71D2E" w:rsidRDefault="00924F32">
      <w:pPr>
        <w:pStyle w:val="aff1"/>
        <w:ind w:left="1440" w:firstLineChars="0" w:firstLine="0"/>
        <w:jc w:val="both"/>
      </w:pPr>
      <w:r>
        <w:rPr>
          <w:rFonts w:hint="eastAsia"/>
        </w:rPr>
        <w:t>预收</w:t>
      </w:r>
      <w:r w:rsidR="00A51A39">
        <w:rPr>
          <w:rFonts w:hint="eastAsia"/>
        </w:rPr>
        <w:t>产品销售款包括向经销商提供的</w:t>
      </w:r>
      <w:proofErr w:type="gramStart"/>
      <w:r w:rsidR="00A51A39">
        <w:rPr>
          <w:rFonts w:hint="eastAsia"/>
        </w:rPr>
        <w:t>销售返点</w:t>
      </w:r>
      <w:r w:rsidR="00483F15">
        <w:rPr>
          <w:rFonts w:hint="eastAsia"/>
        </w:rPr>
        <w:t>和</w:t>
      </w:r>
      <w:proofErr w:type="gramEnd"/>
      <w:r w:rsidR="00483F15">
        <w:rPr>
          <w:rFonts w:hint="eastAsia"/>
        </w:rPr>
        <w:t>客户预先支付的货款</w:t>
      </w:r>
      <w:r w:rsidR="00A51A39">
        <w:rPr>
          <w:rFonts w:hint="eastAsia"/>
        </w:rPr>
        <w:t>。</w:t>
      </w:r>
      <w:r w:rsidR="00EB68E7" w:rsidRPr="00A71D2E">
        <w:rPr>
          <w:rFonts w:hint="eastAsia"/>
        </w:rPr>
        <w:t>本集团的</w:t>
      </w:r>
      <w:proofErr w:type="gramStart"/>
      <w:r w:rsidR="00EB68E7" w:rsidRPr="00A71D2E">
        <w:rPr>
          <w:rFonts w:hint="eastAsia"/>
        </w:rPr>
        <w:t>销售返点主要</w:t>
      </w:r>
      <w:proofErr w:type="gramEnd"/>
      <w:r w:rsidR="00EB68E7" w:rsidRPr="00A71D2E">
        <w:rPr>
          <w:rFonts w:hint="eastAsia"/>
        </w:rPr>
        <w:t>为月度、季度及年度的销售返点。当经销商完成目标销售额时，本集团按实际销售额的一定比例发放返点，由经销商用于抵扣未来采购货款。</w:t>
      </w:r>
      <w:proofErr w:type="gramStart"/>
      <w:r w:rsidR="00EB68E7" w:rsidRPr="00A71D2E">
        <w:rPr>
          <w:rFonts w:hint="eastAsia"/>
        </w:rPr>
        <w:t>销售返点向</w:t>
      </w:r>
      <w:proofErr w:type="gramEnd"/>
      <w:r w:rsidR="00EB68E7" w:rsidRPr="00A71D2E">
        <w:rPr>
          <w:rFonts w:hint="eastAsia"/>
        </w:rPr>
        <w:t>经销商提供了其在未来采购</w:t>
      </w:r>
      <w:r w:rsidR="00EB68E7" w:rsidRPr="00A71D2E">
        <w:rPr>
          <w:rFonts w:hint="eastAsia"/>
          <w:szCs w:val="21"/>
        </w:rPr>
        <w:t>可行使的重大权利</w:t>
      </w:r>
      <w:r w:rsidR="00EB68E7" w:rsidRPr="00A71D2E">
        <w:rPr>
          <w:rFonts w:hint="eastAsia"/>
        </w:rPr>
        <w:t>，因此向经销商提供该未来</w:t>
      </w:r>
      <w:proofErr w:type="gramStart"/>
      <w:r w:rsidR="00EB68E7" w:rsidRPr="00A71D2E">
        <w:rPr>
          <w:rFonts w:hint="eastAsia"/>
        </w:rPr>
        <w:t>采购款</w:t>
      </w:r>
      <w:proofErr w:type="gramEnd"/>
      <w:r w:rsidR="00EB68E7" w:rsidRPr="00A71D2E">
        <w:rPr>
          <w:rFonts w:hint="eastAsia"/>
        </w:rPr>
        <w:t>的抵扣承诺是一项单独的履约义务，本集团在销售交易发生时确认一项合同负债，详见附注</w:t>
      </w:r>
      <w:r w:rsidR="005F14EE">
        <w:t>(</w:t>
      </w:r>
      <w:r w:rsidR="00EB68E7" w:rsidRPr="00A71D2E">
        <w:rPr>
          <w:rFonts w:hint="eastAsia"/>
        </w:rPr>
        <w:t>五</w:t>
      </w:r>
      <w:r w:rsidR="005F14EE">
        <w:t>)</w:t>
      </w:r>
      <w:r w:rsidR="00EB68E7" w:rsidRPr="00A71D2E">
        <w:rPr>
          <w:rFonts w:hint="eastAsia"/>
        </w:rPr>
        <w:t>、</w:t>
      </w:r>
      <w:r w:rsidR="00500C70" w:rsidRPr="00A71D2E">
        <w:t>3</w:t>
      </w:r>
      <w:r w:rsidR="005F79AB">
        <w:t>8</w:t>
      </w:r>
      <w:r w:rsidR="00E3584E" w:rsidRPr="00A71D2E">
        <w:rPr>
          <w:rFonts w:hint="eastAsia"/>
        </w:rPr>
        <w:t>。</w:t>
      </w:r>
      <w:r w:rsidR="00EB68E7" w:rsidRPr="00A71D2E">
        <w:rPr>
          <w:rFonts w:hint="eastAsia"/>
        </w:rPr>
        <w:t>本集团的产品销售收入在交易时将客户预先支付的货款确认一项合同负债，直至商品控制权转移给客户时确认收入。</w:t>
      </w:r>
    </w:p>
    <w:p w:rsidR="00EB68E7" w:rsidRPr="00A71D2E" w:rsidRDefault="00EB68E7">
      <w:pPr>
        <w:ind w:left="1440"/>
        <w:jc w:val="both"/>
        <w:rPr>
          <w:rFonts w:eastAsia="宋体" w:cs="Times New Roman"/>
        </w:rPr>
      </w:pPr>
    </w:p>
    <w:p w:rsidR="004D6EE7" w:rsidRPr="00C60024" w:rsidRDefault="004D6EE7">
      <w:pPr>
        <w:pStyle w:val="aff1"/>
        <w:numPr>
          <w:ilvl w:val="0"/>
          <w:numId w:val="19"/>
        </w:numPr>
        <w:ind w:left="1440" w:firstLineChars="0" w:hanging="709"/>
        <w:jc w:val="both"/>
      </w:pPr>
      <w:r w:rsidRPr="00C60024">
        <w:rPr>
          <w:rFonts w:hint="eastAsia"/>
        </w:rPr>
        <w:t>在本年确认的包括在合同负债</w:t>
      </w:r>
      <w:r w:rsidR="00EF71D0">
        <w:rPr>
          <w:rFonts w:hint="eastAsia"/>
        </w:rPr>
        <w:t>年初</w:t>
      </w:r>
      <w:r w:rsidRPr="00C60024">
        <w:rPr>
          <w:rFonts w:hint="eastAsia"/>
        </w:rPr>
        <w:t>账面价值的收入</w:t>
      </w:r>
    </w:p>
    <w:p w:rsidR="00627285" w:rsidRPr="00A71D2E" w:rsidRDefault="00627285">
      <w:pPr>
        <w:pStyle w:val="aff1"/>
        <w:ind w:left="1440" w:firstLineChars="0" w:firstLine="0"/>
        <w:jc w:val="both"/>
      </w:pPr>
    </w:p>
    <w:p w:rsidR="001B3BC1" w:rsidRPr="00A71D2E" w:rsidRDefault="00015460">
      <w:pPr>
        <w:pStyle w:val="aff1"/>
        <w:ind w:left="1440" w:firstLineChars="0" w:firstLine="0"/>
        <w:jc w:val="both"/>
        <w:rPr>
          <w:szCs w:val="21"/>
        </w:rPr>
      </w:pPr>
      <w:r w:rsidRPr="00A71D2E">
        <w:rPr>
          <w:rFonts w:hint="eastAsia"/>
        </w:rPr>
        <w:t>年初合同负债账面价值中金额为人民币</w:t>
      </w:r>
      <w:r w:rsidR="0002735F" w:rsidRPr="0002735F">
        <w:t>259,544,232.75</w:t>
      </w:r>
      <w:r w:rsidRPr="00A71D2E">
        <w:rPr>
          <w:rFonts w:hint="eastAsia"/>
        </w:rPr>
        <w:t>元已于</w:t>
      </w:r>
      <w:r w:rsidR="003D6880" w:rsidRPr="00A71D2E">
        <w:rPr>
          <w:rFonts w:hint="eastAsia"/>
        </w:rPr>
        <w:t>本</w:t>
      </w:r>
      <w:r w:rsidRPr="00A71D2E">
        <w:rPr>
          <w:rFonts w:hint="eastAsia"/>
        </w:rPr>
        <w:t>年度确认为收入，包括</w:t>
      </w:r>
      <w:proofErr w:type="gramStart"/>
      <w:r w:rsidRPr="00A71D2E">
        <w:rPr>
          <w:rFonts w:hint="eastAsia"/>
        </w:rPr>
        <w:t>云服务</w:t>
      </w:r>
      <w:proofErr w:type="gramEnd"/>
      <w:r w:rsidRPr="00A71D2E">
        <w:rPr>
          <w:rFonts w:hint="eastAsia"/>
        </w:rPr>
        <w:t>产生的合同负债人民币</w:t>
      </w:r>
      <w:r w:rsidR="00C60024" w:rsidRPr="00C60024">
        <w:t>194,025,612.60</w:t>
      </w:r>
      <w:r w:rsidRPr="00A71D2E">
        <w:rPr>
          <w:rFonts w:hint="eastAsia"/>
        </w:rPr>
        <w:t>元</w:t>
      </w:r>
      <w:r w:rsidR="00DB63AE">
        <w:rPr>
          <w:rFonts w:hint="eastAsia"/>
        </w:rPr>
        <w:t>及产品</w:t>
      </w:r>
      <w:r w:rsidRPr="00A71D2E">
        <w:rPr>
          <w:rFonts w:hint="eastAsia"/>
        </w:rPr>
        <w:t>销售产生的合同负债人民币</w:t>
      </w:r>
      <w:r w:rsidR="00F070E3" w:rsidRPr="00F070E3">
        <w:t>65,518,620.15</w:t>
      </w:r>
      <w:r w:rsidRPr="00A71D2E">
        <w:rPr>
          <w:rFonts w:hint="eastAsia"/>
        </w:rPr>
        <w:t>元</w:t>
      </w:r>
      <w:r w:rsidR="00CA0285">
        <w:rPr>
          <w:rFonts w:hint="eastAsia"/>
        </w:rPr>
        <w:t>。</w:t>
      </w:r>
      <w:r w:rsidR="004B2B9E" w:rsidRPr="00A71D2E">
        <w:rPr>
          <w:rFonts w:hint="eastAsia"/>
        </w:rPr>
        <w:t>年</w:t>
      </w:r>
      <w:r w:rsidRPr="00A71D2E">
        <w:rPr>
          <w:rFonts w:hint="eastAsia"/>
        </w:rPr>
        <w:t>末合同负债账面价值中预计人民币</w:t>
      </w:r>
      <w:r w:rsidR="00F070E3" w:rsidRPr="00F070E3">
        <w:t>345,586,368.79</w:t>
      </w:r>
      <w:r w:rsidRPr="00A71D2E">
        <w:rPr>
          <w:rFonts w:hint="eastAsia"/>
        </w:rPr>
        <w:t>元将于</w:t>
      </w:r>
      <w:r w:rsidR="008E217A" w:rsidRPr="00A71D2E">
        <w:t>202</w:t>
      </w:r>
      <w:r w:rsidR="00C60024">
        <w:t>4</w:t>
      </w:r>
      <w:r w:rsidR="008E217A" w:rsidRPr="00A71D2E">
        <w:rPr>
          <w:rFonts w:hint="eastAsia"/>
        </w:rPr>
        <w:t>年度</w:t>
      </w:r>
      <w:r w:rsidRPr="00A71D2E">
        <w:rPr>
          <w:rFonts w:hint="eastAsia"/>
        </w:rPr>
        <w:t>确认为收入，人民币</w:t>
      </w:r>
      <w:r w:rsidR="00F070E3" w:rsidRPr="00F070E3">
        <w:t>30,140,767.27</w:t>
      </w:r>
      <w:r w:rsidRPr="00A71D2E">
        <w:rPr>
          <w:rFonts w:hint="eastAsia"/>
        </w:rPr>
        <w:t>元将于</w:t>
      </w:r>
      <w:r w:rsidRPr="00A71D2E">
        <w:t>202</w:t>
      </w:r>
      <w:r w:rsidR="00C60024">
        <w:t>5</w:t>
      </w:r>
      <w:r w:rsidRPr="00A71D2E">
        <w:rPr>
          <w:rFonts w:hint="eastAsia"/>
        </w:rPr>
        <w:t>年度确认为收入。</w:t>
      </w:r>
    </w:p>
    <w:p w:rsidR="005F6448" w:rsidRPr="00F66363" w:rsidRDefault="005F6448" w:rsidP="005F6448">
      <w:pPr>
        <w:ind w:left="731"/>
        <w:rPr>
          <w:rFonts w:eastAsia="宋体" w:cs="Times New Roman"/>
          <w:szCs w:val="21"/>
        </w:rPr>
      </w:pPr>
    </w:p>
    <w:p w:rsidR="00EB68E7" w:rsidRPr="00A71D2E" w:rsidRDefault="00EB68E7" w:rsidP="00F66363">
      <w:pPr>
        <w:pStyle w:val="2"/>
        <w:numPr>
          <w:ilvl w:val="2"/>
          <w:numId w:val="1"/>
        </w:numPr>
        <w:adjustRightInd w:val="0"/>
        <w:snapToGrid w:val="0"/>
        <w:spacing w:line="235" w:lineRule="auto"/>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应付职工薪</w:t>
      </w:r>
      <w:proofErr w:type="gramStart"/>
      <w:r w:rsidRPr="00A71D2E">
        <w:rPr>
          <w:rFonts w:ascii="Times New Roman" w:eastAsia="宋体" w:hAnsi="Times New Roman" w:cs="Times New Roman" w:hint="eastAsia"/>
        </w:rPr>
        <w:t>酬</w:t>
      </w:r>
      <w:proofErr w:type="gramEnd"/>
    </w:p>
    <w:p w:rsidR="00EB68E7" w:rsidRPr="00A71D2E" w:rsidRDefault="00EB68E7" w:rsidP="00F66363">
      <w:pPr>
        <w:spacing w:line="235" w:lineRule="auto"/>
        <w:ind w:left="720"/>
        <w:rPr>
          <w:rFonts w:eastAsia="宋体" w:cs="Times New Roman"/>
        </w:rPr>
      </w:pPr>
    </w:p>
    <w:p w:rsidR="00EB68E7" w:rsidRPr="00A71D2E" w:rsidRDefault="00EB68E7" w:rsidP="00F66363">
      <w:pPr>
        <w:pStyle w:val="aff1"/>
        <w:numPr>
          <w:ilvl w:val="0"/>
          <w:numId w:val="5"/>
        </w:numPr>
        <w:spacing w:line="235" w:lineRule="auto"/>
        <w:ind w:left="1440" w:firstLineChars="0" w:hanging="709"/>
      </w:pPr>
      <w:r w:rsidRPr="00A71D2E">
        <w:rPr>
          <w:rFonts w:hint="eastAsia"/>
        </w:rPr>
        <w:t>应付职</w:t>
      </w:r>
      <w:r w:rsidRPr="00A71D2E">
        <w:rPr>
          <w:rFonts w:hint="eastAsia"/>
          <w:szCs w:val="21"/>
        </w:rPr>
        <w:t>工薪</w:t>
      </w:r>
      <w:proofErr w:type="gramStart"/>
      <w:r w:rsidRPr="00A71D2E">
        <w:rPr>
          <w:rFonts w:hint="eastAsia"/>
        </w:rPr>
        <w:t>酬</w:t>
      </w:r>
      <w:proofErr w:type="gramEnd"/>
      <w:r w:rsidRPr="00A71D2E">
        <w:rPr>
          <w:rFonts w:hint="eastAsia"/>
        </w:rPr>
        <w:t>列示</w:t>
      </w:r>
    </w:p>
    <w:p w:rsidR="00EB68E7" w:rsidRPr="00A71D2E" w:rsidRDefault="00EB68E7" w:rsidP="00F66363">
      <w:pPr>
        <w:spacing w:line="235" w:lineRule="auto"/>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1"/>
        <w:gridCol w:w="1692"/>
        <w:gridCol w:w="1694"/>
        <w:gridCol w:w="1693"/>
        <w:gridCol w:w="1694"/>
      </w:tblGrid>
      <w:tr w:rsidR="00EB68E7" w:rsidRPr="00A71D2E" w:rsidTr="0027505B">
        <w:trPr>
          <w:trHeight w:val="20"/>
        </w:trPr>
        <w:tc>
          <w:tcPr>
            <w:tcW w:w="2681" w:type="dxa"/>
            <w:shd w:val="clear" w:color="auto" w:fill="D9D9D9" w:themeFill="background1" w:themeFillShade="D9"/>
            <w:vAlign w:val="center"/>
          </w:tcPr>
          <w:p w:rsidR="00EB68E7" w:rsidRPr="00A71D2E" w:rsidRDefault="00EB68E7" w:rsidP="00F66363">
            <w:pPr>
              <w:spacing w:line="235" w:lineRule="auto"/>
              <w:jc w:val="center"/>
              <w:rPr>
                <w:rFonts w:eastAsia="宋体" w:cs="Times New Roman"/>
                <w:sz w:val="18"/>
                <w:szCs w:val="18"/>
              </w:rPr>
            </w:pPr>
            <w:r w:rsidRPr="00A71D2E">
              <w:rPr>
                <w:rFonts w:eastAsia="宋体" w:cs="Times New Roman" w:hint="eastAsia"/>
                <w:sz w:val="18"/>
                <w:szCs w:val="18"/>
              </w:rPr>
              <w:t>项目</w:t>
            </w:r>
          </w:p>
        </w:tc>
        <w:tc>
          <w:tcPr>
            <w:tcW w:w="1692" w:type="dxa"/>
            <w:shd w:val="clear" w:color="auto" w:fill="D9D9D9" w:themeFill="background1" w:themeFillShade="D9"/>
            <w:vAlign w:val="center"/>
          </w:tcPr>
          <w:p w:rsidR="00EB68E7" w:rsidRPr="00A71D2E" w:rsidRDefault="00AC097B" w:rsidP="00F66363">
            <w:pPr>
              <w:spacing w:line="235" w:lineRule="auto"/>
              <w:jc w:val="center"/>
              <w:rPr>
                <w:rFonts w:eastAsia="宋体" w:cs="Times New Roman"/>
                <w:sz w:val="18"/>
                <w:szCs w:val="18"/>
              </w:rPr>
            </w:pPr>
            <w:r w:rsidRPr="00A71D2E">
              <w:rPr>
                <w:rFonts w:eastAsia="宋体" w:cs="Times New Roman" w:hint="eastAsia"/>
                <w:sz w:val="18"/>
                <w:szCs w:val="18"/>
              </w:rPr>
              <w:t>年初余额</w:t>
            </w:r>
          </w:p>
        </w:tc>
        <w:tc>
          <w:tcPr>
            <w:tcW w:w="1694" w:type="dxa"/>
            <w:shd w:val="clear" w:color="auto" w:fill="D9D9D9" w:themeFill="background1" w:themeFillShade="D9"/>
            <w:vAlign w:val="center"/>
          </w:tcPr>
          <w:p w:rsidR="00EB68E7" w:rsidRPr="00A71D2E" w:rsidRDefault="00AC097B" w:rsidP="00F66363">
            <w:pPr>
              <w:spacing w:line="235" w:lineRule="auto"/>
              <w:jc w:val="center"/>
              <w:rPr>
                <w:rFonts w:eastAsia="宋体" w:cs="Times New Roman"/>
                <w:sz w:val="18"/>
                <w:szCs w:val="18"/>
              </w:rPr>
            </w:pPr>
            <w:r w:rsidRPr="00A71D2E">
              <w:rPr>
                <w:rFonts w:eastAsia="宋体" w:cs="Times New Roman" w:hint="eastAsia"/>
                <w:sz w:val="18"/>
                <w:szCs w:val="18"/>
              </w:rPr>
              <w:t>本年</w:t>
            </w:r>
            <w:r w:rsidR="00EB68E7" w:rsidRPr="00A71D2E">
              <w:rPr>
                <w:rFonts w:eastAsia="宋体" w:cs="Times New Roman" w:hint="eastAsia"/>
                <w:sz w:val="18"/>
                <w:szCs w:val="18"/>
              </w:rPr>
              <w:t>增加</w:t>
            </w:r>
          </w:p>
        </w:tc>
        <w:tc>
          <w:tcPr>
            <w:tcW w:w="1693" w:type="dxa"/>
            <w:shd w:val="clear" w:color="auto" w:fill="D9D9D9" w:themeFill="background1" w:themeFillShade="D9"/>
            <w:vAlign w:val="center"/>
          </w:tcPr>
          <w:p w:rsidR="00EB68E7" w:rsidRPr="00A71D2E" w:rsidRDefault="00AC097B" w:rsidP="00F66363">
            <w:pPr>
              <w:spacing w:line="235" w:lineRule="auto"/>
              <w:jc w:val="center"/>
              <w:rPr>
                <w:rFonts w:eastAsia="宋体" w:cs="Times New Roman"/>
                <w:sz w:val="18"/>
                <w:szCs w:val="18"/>
              </w:rPr>
            </w:pPr>
            <w:r w:rsidRPr="00A71D2E">
              <w:rPr>
                <w:rFonts w:eastAsia="宋体" w:cs="Times New Roman" w:hint="eastAsia"/>
                <w:sz w:val="18"/>
                <w:szCs w:val="18"/>
              </w:rPr>
              <w:t>本年</w:t>
            </w:r>
            <w:r w:rsidR="00EB68E7" w:rsidRPr="00A71D2E">
              <w:rPr>
                <w:rFonts w:eastAsia="宋体" w:cs="Times New Roman" w:hint="eastAsia"/>
                <w:sz w:val="18"/>
                <w:szCs w:val="18"/>
              </w:rPr>
              <w:t>减少</w:t>
            </w:r>
          </w:p>
        </w:tc>
        <w:tc>
          <w:tcPr>
            <w:tcW w:w="1694" w:type="dxa"/>
            <w:shd w:val="clear" w:color="auto" w:fill="D9D9D9" w:themeFill="background1" w:themeFillShade="D9"/>
            <w:vAlign w:val="center"/>
          </w:tcPr>
          <w:p w:rsidR="00EB68E7" w:rsidRPr="00A71D2E" w:rsidRDefault="00AC097B" w:rsidP="00F66363">
            <w:pPr>
              <w:spacing w:line="235" w:lineRule="auto"/>
              <w:ind w:left="-59"/>
              <w:jc w:val="center"/>
              <w:rPr>
                <w:rFonts w:eastAsia="宋体" w:cs="Times New Roman"/>
                <w:sz w:val="18"/>
                <w:szCs w:val="18"/>
              </w:rPr>
            </w:pPr>
            <w:r w:rsidRPr="00A71D2E">
              <w:rPr>
                <w:rFonts w:eastAsia="宋体" w:cs="Times New Roman" w:hint="eastAsia"/>
                <w:sz w:val="18"/>
                <w:szCs w:val="18"/>
              </w:rPr>
              <w:t>年末余额</w:t>
            </w:r>
          </w:p>
        </w:tc>
      </w:tr>
      <w:tr w:rsidR="004D0E23" w:rsidRPr="00A71D2E" w:rsidTr="0027505B">
        <w:trPr>
          <w:trHeight w:val="20"/>
        </w:trPr>
        <w:tc>
          <w:tcPr>
            <w:tcW w:w="2681" w:type="dxa"/>
            <w:shd w:val="clear" w:color="auto" w:fill="FFFFFF" w:themeFill="background1"/>
            <w:vAlign w:val="center"/>
          </w:tcPr>
          <w:p w:rsidR="004D0E23" w:rsidRPr="00A71D2E" w:rsidRDefault="004D0E23" w:rsidP="004D0E23">
            <w:pPr>
              <w:spacing w:line="235" w:lineRule="auto"/>
              <w:rPr>
                <w:rFonts w:eastAsia="宋体" w:cs="Times New Roman"/>
                <w:sz w:val="18"/>
                <w:szCs w:val="18"/>
              </w:rPr>
            </w:pPr>
            <w:r w:rsidRPr="00A71D2E">
              <w:rPr>
                <w:rFonts w:eastAsia="宋体" w:cs="Times New Roman"/>
                <w:sz w:val="18"/>
                <w:szCs w:val="18"/>
              </w:rPr>
              <w:t>1.</w:t>
            </w:r>
            <w:r w:rsidRPr="00A71D2E">
              <w:rPr>
                <w:rFonts w:eastAsia="宋体" w:cs="Times New Roman" w:hint="eastAsia"/>
                <w:sz w:val="18"/>
                <w:szCs w:val="18"/>
              </w:rPr>
              <w:t>短期薪酬</w:t>
            </w:r>
          </w:p>
        </w:tc>
        <w:tc>
          <w:tcPr>
            <w:tcW w:w="1692" w:type="dxa"/>
            <w:shd w:val="clear" w:color="auto" w:fill="auto"/>
            <w:vAlign w:val="center"/>
          </w:tcPr>
          <w:p w:rsidR="004D0E23" w:rsidRPr="00A71D2E" w:rsidRDefault="004D0E23" w:rsidP="004D0E23">
            <w:pPr>
              <w:spacing w:line="235" w:lineRule="auto"/>
              <w:ind w:left="720" w:hanging="720"/>
              <w:jc w:val="right"/>
              <w:rPr>
                <w:rFonts w:eastAsia="宋体" w:cs="Times New Roman"/>
                <w:sz w:val="18"/>
                <w:szCs w:val="18"/>
              </w:rPr>
            </w:pPr>
            <w:r w:rsidRPr="00A71D2E">
              <w:rPr>
                <w:rFonts w:eastAsia="宋体" w:cs="Times New Roman"/>
                <w:sz w:val="18"/>
                <w:szCs w:val="18"/>
              </w:rPr>
              <w:t>237,199,390.66</w:t>
            </w:r>
          </w:p>
        </w:tc>
        <w:tc>
          <w:tcPr>
            <w:tcW w:w="1694" w:type="dxa"/>
            <w:shd w:val="clear" w:color="auto" w:fill="auto"/>
            <w:vAlign w:val="center"/>
          </w:tcPr>
          <w:p w:rsidR="004D0E23" w:rsidRPr="00A71D2E" w:rsidRDefault="00CD209A" w:rsidP="004D0E23">
            <w:pPr>
              <w:spacing w:line="235" w:lineRule="auto"/>
              <w:ind w:left="720" w:hanging="720"/>
              <w:jc w:val="right"/>
              <w:rPr>
                <w:rFonts w:eastAsia="宋体" w:cs="Times New Roman"/>
                <w:sz w:val="18"/>
                <w:szCs w:val="18"/>
              </w:rPr>
            </w:pPr>
            <w:r w:rsidRPr="00CD209A">
              <w:rPr>
                <w:rFonts w:eastAsia="宋体" w:cs="Times New Roman"/>
                <w:sz w:val="18"/>
                <w:szCs w:val="18"/>
              </w:rPr>
              <w:t>1,011,592,823.64</w:t>
            </w:r>
          </w:p>
        </w:tc>
        <w:tc>
          <w:tcPr>
            <w:tcW w:w="1693" w:type="dxa"/>
            <w:shd w:val="clear" w:color="auto" w:fill="auto"/>
            <w:vAlign w:val="center"/>
          </w:tcPr>
          <w:p w:rsidR="004D0E23" w:rsidRPr="00A71D2E" w:rsidRDefault="00CD209A" w:rsidP="004D0E23">
            <w:pPr>
              <w:spacing w:line="235" w:lineRule="auto"/>
              <w:ind w:left="720" w:right="-18" w:hanging="720"/>
              <w:jc w:val="right"/>
              <w:rPr>
                <w:rFonts w:eastAsia="宋体" w:cs="Times New Roman"/>
                <w:sz w:val="18"/>
                <w:szCs w:val="18"/>
              </w:rPr>
            </w:pPr>
            <w:r w:rsidRPr="00CD209A">
              <w:rPr>
                <w:rFonts w:eastAsia="宋体" w:cs="Times New Roman"/>
                <w:sz w:val="18"/>
                <w:szCs w:val="18"/>
              </w:rPr>
              <w:t>954,320,278.34</w:t>
            </w:r>
          </w:p>
        </w:tc>
        <w:tc>
          <w:tcPr>
            <w:tcW w:w="1694" w:type="dxa"/>
            <w:shd w:val="clear" w:color="auto" w:fill="auto"/>
            <w:vAlign w:val="center"/>
          </w:tcPr>
          <w:p w:rsidR="004D0E23" w:rsidRPr="00A71D2E" w:rsidRDefault="00627C16" w:rsidP="004D0E23">
            <w:pPr>
              <w:spacing w:line="235" w:lineRule="auto"/>
              <w:ind w:left="720" w:hanging="720"/>
              <w:jc w:val="right"/>
              <w:rPr>
                <w:rFonts w:eastAsia="宋体" w:cs="Times New Roman"/>
                <w:sz w:val="18"/>
                <w:szCs w:val="18"/>
              </w:rPr>
            </w:pPr>
            <w:r w:rsidRPr="00627C16">
              <w:rPr>
                <w:rFonts w:eastAsia="宋体" w:cs="Times New Roman"/>
                <w:sz w:val="18"/>
                <w:szCs w:val="18"/>
              </w:rPr>
              <w:t>294,471,935.96</w:t>
            </w:r>
          </w:p>
        </w:tc>
      </w:tr>
      <w:tr w:rsidR="004D0E23" w:rsidRPr="00A71D2E" w:rsidTr="0027505B">
        <w:trPr>
          <w:trHeight w:val="20"/>
        </w:trPr>
        <w:tc>
          <w:tcPr>
            <w:tcW w:w="2681" w:type="dxa"/>
            <w:shd w:val="clear" w:color="auto" w:fill="FFFFFF" w:themeFill="background1"/>
            <w:vAlign w:val="center"/>
          </w:tcPr>
          <w:p w:rsidR="004D0E23" w:rsidRPr="00A71D2E" w:rsidRDefault="004D0E23" w:rsidP="004D0E23">
            <w:pPr>
              <w:spacing w:line="235" w:lineRule="auto"/>
              <w:rPr>
                <w:rFonts w:eastAsia="宋体" w:cs="Times New Roman"/>
                <w:sz w:val="18"/>
                <w:szCs w:val="18"/>
              </w:rPr>
            </w:pPr>
            <w:r w:rsidRPr="00A71D2E">
              <w:rPr>
                <w:rFonts w:eastAsia="宋体" w:cs="Times New Roman"/>
                <w:sz w:val="18"/>
                <w:szCs w:val="18"/>
              </w:rPr>
              <w:t>2.</w:t>
            </w:r>
            <w:r w:rsidRPr="00A71D2E">
              <w:rPr>
                <w:rFonts w:eastAsia="宋体" w:cs="Times New Roman" w:hint="eastAsia"/>
                <w:sz w:val="18"/>
                <w:szCs w:val="18"/>
              </w:rPr>
              <w:t>离职后福利</w:t>
            </w:r>
            <w:r w:rsidRPr="00A71D2E">
              <w:rPr>
                <w:rFonts w:eastAsia="宋体" w:cs="Times New Roman"/>
                <w:sz w:val="18"/>
                <w:szCs w:val="18"/>
              </w:rPr>
              <w:t>-</w:t>
            </w:r>
            <w:r w:rsidRPr="00A71D2E">
              <w:rPr>
                <w:rFonts w:eastAsia="宋体" w:cs="Times New Roman" w:hint="eastAsia"/>
                <w:sz w:val="18"/>
                <w:szCs w:val="18"/>
              </w:rPr>
              <w:t>设定提存计划</w:t>
            </w:r>
          </w:p>
        </w:tc>
        <w:tc>
          <w:tcPr>
            <w:tcW w:w="1692" w:type="dxa"/>
            <w:vAlign w:val="center"/>
          </w:tcPr>
          <w:p w:rsidR="004D0E23" w:rsidRPr="00A71D2E" w:rsidRDefault="004D0E23" w:rsidP="004D0E23">
            <w:pPr>
              <w:spacing w:line="235" w:lineRule="auto"/>
              <w:ind w:left="720" w:hanging="720"/>
              <w:jc w:val="right"/>
              <w:rPr>
                <w:rFonts w:eastAsia="宋体" w:cs="Times New Roman"/>
                <w:sz w:val="18"/>
                <w:szCs w:val="18"/>
              </w:rPr>
            </w:pPr>
            <w:r w:rsidRPr="00A71D2E">
              <w:rPr>
                <w:rFonts w:eastAsia="宋体" w:cs="Times New Roman"/>
                <w:sz w:val="18"/>
                <w:szCs w:val="18"/>
              </w:rPr>
              <w:t>7,301,635.14</w:t>
            </w:r>
          </w:p>
        </w:tc>
        <w:tc>
          <w:tcPr>
            <w:tcW w:w="1694" w:type="dxa"/>
            <w:vAlign w:val="center"/>
          </w:tcPr>
          <w:p w:rsidR="004D0E23" w:rsidRPr="00A71D2E" w:rsidRDefault="00CD209A" w:rsidP="004D0E23">
            <w:pPr>
              <w:spacing w:line="235" w:lineRule="auto"/>
              <w:ind w:left="720" w:hanging="720"/>
              <w:jc w:val="right"/>
              <w:rPr>
                <w:rFonts w:eastAsia="宋体" w:cs="Times New Roman"/>
                <w:sz w:val="18"/>
                <w:szCs w:val="18"/>
              </w:rPr>
            </w:pPr>
            <w:r w:rsidRPr="00CD209A">
              <w:rPr>
                <w:rFonts w:eastAsia="宋体" w:cs="Times New Roman"/>
                <w:sz w:val="18"/>
                <w:szCs w:val="18"/>
              </w:rPr>
              <w:t>63,130,180.11</w:t>
            </w:r>
          </w:p>
        </w:tc>
        <w:tc>
          <w:tcPr>
            <w:tcW w:w="1693" w:type="dxa"/>
            <w:vAlign w:val="center"/>
          </w:tcPr>
          <w:p w:rsidR="004D0E23" w:rsidRPr="00A71D2E" w:rsidRDefault="00CD209A" w:rsidP="004D0E23">
            <w:pPr>
              <w:spacing w:line="235" w:lineRule="auto"/>
              <w:ind w:left="720" w:right="-18" w:hanging="720"/>
              <w:jc w:val="right"/>
              <w:rPr>
                <w:rFonts w:eastAsia="宋体" w:cs="Times New Roman"/>
                <w:sz w:val="18"/>
                <w:szCs w:val="18"/>
              </w:rPr>
            </w:pPr>
            <w:r w:rsidRPr="00CD209A">
              <w:rPr>
                <w:rFonts w:eastAsia="宋体" w:cs="Times New Roman"/>
                <w:sz w:val="18"/>
                <w:szCs w:val="18"/>
              </w:rPr>
              <w:t>65,338,367.64</w:t>
            </w:r>
          </w:p>
        </w:tc>
        <w:tc>
          <w:tcPr>
            <w:tcW w:w="1694" w:type="dxa"/>
            <w:vAlign w:val="center"/>
          </w:tcPr>
          <w:p w:rsidR="004D0E23" w:rsidRPr="00A71D2E" w:rsidRDefault="00627C16" w:rsidP="004D0E23">
            <w:pPr>
              <w:spacing w:line="235" w:lineRule="auto"/>
              <w:ind w:left="720" w:hanging="720"/>
              <w:jc w:val="right"/>
              <w:rPr>
                <w:rFonts w:eastAsia="宋体" w:cs="Times New Roman"/>
                <w:sz w:val="18"/>
                <w:szCs w:val="18"/>
              </w:rPr>
            </w:pPr>
            <w:r w:rsidRPr="00627C16">
              <w:rPr>
                <w:rFonts w:eastAsia="宋体" w:cs="Times New Roman"/>
                <w:sz w:val="18"/>
                <w:szCs w:val="18"/>
              </w:rPr>
              <w:t>5,093,447.61</w:t>
            </w:r>
          </w:p>
        </w:tc>
      </w:tr>
      <w:tr w:rsidR="004D0E23" w:rsidRPr="00A71D2E" w:rsidTr="0027505B">
        <w:trPr>
          <w:trHeight w:val="20"/>
        </w:trPr>
        <w:tc>
          <w:tcPr>
            <w:tcW w:w="2681" w:type="dxa"/>
            <w:shd w:val="clear" w:color="auto" w:fill="D9D9D9" w:themeFill="background1" w:themeFillShade="D9"/>
            <w:vAlign w:val="center"/>
          </w:tcPr>
          <w:p w:rsidR="004D0E23" w:rsidRPr="00A71D2E" w:rsidRDefault="004D0E23" w:rsidP="004D0E23">
            <w:pPr>
              <w:spacing w:line="235" w:lineRule="auto"/>
              <w:rPr>
                <w:rFonts w:eastAsia="宋体" w:cs="Times New Roman"/>
                <w:sz w:val="18"/>
                <w:szCs w:val="18"/>
              </w:rPr>
            </w:pPr>
            <w:r w:rsidRPr="00A71D2E">
              <w:rPr>
                <w:rFonts w:eastAsia="宋体" w:cs="Times New Roman" w:hint="eastAsia"/>
                <w:sz w:val="18"/>
                <w:szCs w:val="18"/>
              </w:rPr>
              <w:t>合计</w:t>
            </w:r>
          </w:p>
        </w:tc>
        <w:tc>
          <w:tcPr>
            <w:tcW w:w="1692" w:type="dxa"/>
            <w:vAlign w:val="center"/>
          </w:tcPr>
          <w:p w:rsidR="004D0E23" w:rsidRPr="00A71D2E" w:rsidRDefault="004D0E23" w:rsidP="004D0E23">
            <w:pPr>
              <w:spacing w:line="235" w:lineRule="auto"/>
              <w:ind w:left="720" w:hanging="720"/>
              <w:jc w:val="right"/>
              <w:rPr>
                <w:rFonts w:eastAsia="宋体" w:cs="Times New Roman"/>
                <w:sz w:val="18"/>
                <w:szCs w:val="18"/>
              </w:rPr>
            </w:pPr>
            <w:r w:rsidRPr="00A71D2E">
              <w:rPr>
                <w:rFonts w:eastAsia="宋体" w:cs="Times New Roman"/>
                <w:sz w:val="18"/>
                <w:szCs w:val="18"/>
              </w:rPr>
              <w:t>244,501,025.80</w:t>
            </w:r>
          </w:p>
        </w:tc>
        <w:tc>
          <w:tcPr>
            <w:tcW w:w="1694" w:type="dxa"/>
            <w:vAlign w:val="center"/>
          </w:tcPr>
          <w:p w:rsidR="004D0E23" w:rsidRPr="00A71D2E" w:rsidRDefault="00CD209A" w:rsidP="004D0E23">
            <w:pPr>
              <w:spacing w:line="235" w:lineRule="auto"/>
              <w:ind w:left="720" w:hanging="720"/>
              <w:jc w:val="right"/>
              <w:rPr>
                <w:rFonts w:eastAsia="宋体" w:cs="Times New Roman"/>
                <w:sz w:val="18"/>
                <w:szCs w:val="18"/>
              </w:rPr>
            </w:pPr>
            <w:r w:rsidRPr="00CD209A">
              <w:rPr>
                <w:rFonts w:eastAsia="宋体" w:cs="Times New Roman"/>
                <w:sz w:val="18"/>
                <w:szCs w:val="18"/>
              </w:rPr>
              <w:t>1,074,723,003.75</w:t>
            </w:r>
          </w:p>
        </w:tc>
        <w:tc>
          <w:tcPr>
            <w:tcW w:w="1693" w:type="dxa"/>
            <w:vAlign w:val="center"/>
          </w:tcPr>
          <w:p w:rsidR="004D0E23" w:rsidRPr="00A71D2E" w:rsidRDefault="00CD209A" w:rsidP="004D0E23">
            <w:pPr>
              <w:spacing w:line="235" w:lineRule="auto"/>
              <w:ind w:left="720" w:right="-18" w:hanging="720"/>
              <w:jc w:val="right"/>
              <w:rPr>
                <w:rFonts w:eastAsia="宋体" w:cs="Times New Roman"/>
                <w:sz w:val="18"/>
                <w:szCs w:val="18"/>
              </w:rPr>
            </w:pPr>
            <w:r w:rsidRPr="00CD209A">
              <w:rPr>
                <w:rFonts w:eastAsia="宋体" w:cs="Times New Roman"/>
                <w:sz w:val="18"/>
                <w:szCs w:val="18"/>
              </w:rPr>
              <w:t>1,019,658,645.98</w:t>
            </w:r>
          </w:p>
        </w:tc>
        <w:tc>
          <w:tcPr>
            <w:tcW w:w="1694" w:type="dxa"/>
            <w:vAlign w:val="center"/>
          </w:tcPr>
          <w:p w:rsidR="004D0E23" w:rsidRPr="00A71D2E" w:rsidRDefault="00627C16" w:rsidP="004D0E23">
            <w:pPr>
              <w:spacing w:line="235" w:lineRule="auto"/>
              <w:ind w:left="720" w:hanging="720"/>
              <w:jc w:val="right"/>
              <w:rPr>
                <w:rFonts w:eastAsia="宋体" w:cs="Times New Roman"/>
                <w:sz w:val="18"/>
                <w:szCs w:val="18"/>
              </w:rPr>
            </w:pPr>
            <w:r w:rsidRPr="00627C16">
              <w:rPr>
                <w:rFonts w:eastAsia="宋体" w:cs="Times New Roman"/>
                <w:sz w:val="18"/>
                <w:szCs w:val="18"/>
              </w:rPr>
              <w:t>299,565,383.57</w:t>
            </w:r>
          </w:p>
        </w:tc>
      </w:tr>
    </w:tbl>
    <w:p w:rsidR="00EB68E7" w:rsidRPr="00A71D2E" w:rsidRDefault="00EB68E7" w:rsidP="00F66363">
      <w:pPr>
        <w:spacing w:line="235" w:lineRule="auto"/>
        <w:ind w:left="720"/>
        <w:jc w:val="both"/>
        <w:rPr>
          <w:rFonts w:eastAsia="宋体" w:cs="Times New Roman"/>
        </w:rPr>
      </w:pPr>
    </w:p>
    <w:p w:rsidR="00EB68E7" w:rsidRPr="00A71D2E" w:rsidRDefault="00EB68E7" w:rsidP="00F66363">
      <w:pPr>
        <w:pStyle w:val="aff1"/>
        <w:numPr>
          <w:ilvl w:val="0"/>
          <w:numId w:val="5"/>
        </w:numPr>
        <w:spacing w:line="235" w:lineRule="auto"/>
        <w:ind w:left="1440" w:firstLineChars="0" w:hanging="709"/>
      </w:pPr>
      <w:r w:rsidRPr="00A71D2E">
        <w:rPr>
          <w:rFonts w:hint="eastAsia"/>
        </w:rPr>
        <w:t>短期薪酬列示</w:t>
      </w:r>
    </w:p>
    <w:p w:rsidR="00EB68E7" w:rsidRPr="00A71D2E" w:rsidRDefault="00EB68E7" w:rsidP="00F66363">
      <w:pPr>
        <w:spacing w:line="235" w:lineRule="auto"/>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82"/>
        <w:gridCol w:w="1692"/>
        <w:gridCol w:w="1693"/>
        <w:gridCol w:w="1693"/>
        <w:gridCol w:w="1694"/>
      </w:tblGrid>
      <w:tr w:rsidR="00495734" w:rsidRPr="00C26513" w:rsidTr="0027505B">
        <w:trPr>
          <w:trHeight w:val="20"/>
        </w:trPr>
        <w:tc>
          <w:tcPr>
            <w:tcW w:w="2682" w:type="dxa"/>
            <w:shd w:val="clear" w:color="auto" w:fill="D9D9D9" w:themeFill="background1" w:themeFillShade="D9"/>
            <w:tcMar>
              <w:top w:w="0" w:type="dxa"/>
              <w:left w:w="108" w:type="dxa"/>
              <w:bottom w:w="0" w:type="dxa"/>
              <w:right w:w="108" w:type="dxa"/>
            </w:tcMar>
            <w:vAlign w:val="center"/>
            <w:hideMark/>
          </w:tcPr>
          <w:p w:rsidR="00495734" w:rsidRPr="00C26513" w:rsidRDefault="00495734" w:rsidP="00F66363">
            <w:pPr>
              <w:spacing w:line="235" w:lineRule="auto"/>
              <w:jc w:val="center"/>
              <w:rPr>
                <w:rFonts w:eastAsia="宋体" w:cs="Times New Roman"/>
                <w:sz w:val="18"/>
                <w:szCs w:val="18"/>
              </w:rPr>
            </w:pPr>
            <w:r w:rsidRPr="00C26513">
              <w:rPr>
                <w:rFonts w:eastAsia="宋体" w:cs="Times New Roman" w:hint="eastAsia"/>
                <w:sz w:val="18"/>
                <w:szCs w:val="18"/>
              </w:rPr>
              <w:t>项目</w:t>
            </w:r>
          </w:p>
        </w:tc>
        <w:tc>
          <w:tcPr>
            <w:tcW w:w="1692" w:type="dxa"/>
            <w:shd w:val="clear" w:color="auto" w:fill="D9D9D9" w:themeFill="background1" w:themeFillShade="D9"/>
            <w:tcMar>
              <w:top w:w="0" w:type="dxa"/>
              <w:left w:w="108" w:type="dxa"/>
              <w:bottom w:w="0" w:type="dxa"/>
              <w:right w:w="108" w:type="dxa"/>
            </w:tcMar>
            <w:vAlign w:val="center"/>
            <w:hideMark/>
          </w:tcPr>
          <w:p w:rsidR="00495734" w:rsidRPr="00C26513" w:rsidRDefault="00495734" w:rsidP="00F66363">
            <w:pPr>
              <w:spacing w:line="235" w:lineRule="auto"/>
              <w:jc w:val="center"/>
              <w:rPr>
                <w:rFonts w:eastAsia="宋体" w:cs="Times New Roman"/>
                <w:sz w:val="18"/>
                <w:szCs w:val="18"/>
              </w:rPr>
            </w:pPr>
            <w:r w:rsidRPr="00C26513">
              <w:rPr>
                <w:rFonts w:eastAsia="宋体" w:cs="Times New Roman" w:hint="eastAsia"/>
                <w:sz w:val="18"/>
                <w:szCs w:val="18"/>
              </w:rPr>
              <w:t>年初余额</w:t>
            </w:r>
          </w:p>
        </w:tc>
        <w:tc>
          <w:tcPr>
            <w:tcW w:w="1693" w:type="dxa"/>
            <w:shd w:val="clear" w:color="auto" w:fill="D9D9D9" w:themeFill="background1" w:themeFillShade="D9"/>
            <w:tcMar>
              <w:top w:w="0" w:type="dxa"/>
              <w:left w:w="108" w:type="dxa"/>
              <w:bottom w:w="0" w:type="dxa"/>
              <w:right w:w="108" w:type="dxa"/>
            </w:tcMar>
            <w:vAlign w:val="center"/>
            <w:hideMark/>
          </w:tcPr>
          <w:p w:rsidR="00495734" w:rsidRPr="00C26513" w:rsidRDefault="00495734" w:rsidP="00F66363">
            <w:pPr>
              <w:spacing w:line="235" w:lineRule="auto"/>
              <w:jc w:val="center"/>
              <w:rPr>
                <w:rFonts w:eastAsia="宋体" w:cs="Times New Roman"/>
                <w:sz w:val="18"/>
                <w:szCs w:val="18"/>
              </w:rPr>
            </w:pPr>
            <w:r w:rsidRPr="00C26513">
              <w:rPr>
                <w:rFonts w:eastAsia="宋体" w:cs="Times New Roman" w:hint="eastAsia"/>
                <w:sz w:val="18"/>
                <w:szCs w:val="18"/>
              </w:rPr>
              <w:t>本年增加</w:t>
            </w:r>
          </w:p>
        </w:tc>
        <w:tc>
          <w:tcPr>
            <w:tcW w:w="1693" w:type="dxa"/>
            <w:shd w:val="clear" w:color="auto" w:fill="D9D9D9" w:themeFill="background1" w:themeFillShade="D9"/>
            <w:tcMar>
              <w:top w:w="0" w:type="dxa"/>
              <w:left w:w="108" w:type="dxa"/>
              <w:bottom w:w="0" w:type="dxa"/>
              <w:right w:w="108" w:type="dxa"/>
            </w:tcMar>
            <w:vAlign w:val="center"/>
            <w:hideMark/>
          </w:tcPr>
          <w:p w:rsidR="00495734" w:rsidRPr="00C26513" w:rsidRDefault="00495734" w:rsidP="00F66363">
            <w:pPr>
              <w:spacing w:line="235" w:lineRule="auto"/>
              <w:jc w:val="center"/>
              <w:rPr>
                <w:rFonts w:eastAsia="宋体" w:cs="Times New Roman"/>
                <w:sz w:val="18"/>
                <w:szCs w:val="18"/>
              </w:rPr>
            </w:pPr>
            <w:r w:rsidRPr="00C26513">
              <w:rPr>
                <w:rFonts w:eastAsia="宋体" w:cs="Times New Roman" w:hint="eastAsia"/>
                <w:sz w:val="18"/>
                <w:szCs w:val="18"/>
              </w:rPr>
              <w:t>本年减少</w:t>
            </w:r>
          </w:p>
        </w:tc>
        <w:tc>
          <w:tcPr>
            <w:tcW w:w="1694" w:type="dxa"/>
            <w:shd w:val="clear" w:color="auto" w:fill="D9D9D9" w:themeFill="background1" w:themeFillShade="D9"/>
            <w:tcMar>
              <w:top w:w="0" w:type="dxa"/>
              <w:left w:w="108" w:type="dxa"/>
              <w:bottom w:w="0" w:type="dxa"/>
              <w:right w:w="108" w:type="dxa"/>
            </w:tcMar>
            <w:vAlign w:val="center"/>
            <w:hideMark/>
          </w:tcPr>
          <w:p w:rsidR="00495734" w:rsidRPr="00C26513" w:rsidRDefault="00495734" w:rsidP="00F66363">
            <w:pPr>
              <w:spacing w:line="235" w:lineRule="auto"/>
              <w:jc w:val="center"/>
              <w:rPr>
                <w:rFonts w:eastAsia="宋体" w:cs="Times New Roman"/>
                <w:sz w:val="18"/>
                <w:szCs w:val="18"/>
              </w:rPr>
            </w:pPr>
            <w:r w:rsidRPr="00C26513">
              <w:rPr>
                <w:rFonts w:eastAsia="宋体" w:cs="Times New Roman" w:hint="eastAsia"/>
                <w:sz w:val="18"/>
                <w:szCs w:val="18"/>
              </w:rPr>
              <w:t>年末余额</w:t>
            </w:r>
          </w:p>
        </w:tc>
      </w:tr>
      <w:tr w:rsidR="004D0E23" w:rsidRPr="00C26513" w:rsidTr="0027505B">
        <w:trPr>
          <w:trHeight w:val="20"/>
        </w:trPr>
        <w:tc>
          <w:tcPr>
            <w:tcW w:w="2682" w:type="dxa"/>
            <w:shd w:val="clear" w:color="auto" w:fill="FFFFFF" w:themeFill="background1"/>
            <w:tcMar>
              <w:top w:w="0" w:type="dxa"/>
              <w:left w:w="108" w:type="dxa"/>
              <w:bottom w:w="0" w:type="dxa"/>
              <w:right w:w="108" w:type="dxa"/>
            </w:tcMar>
            <w:vAlign w:val="center"/>
            <w:hideMark/>
          </w:tcPr>
          <w:p w:rsidR="004D0E23" w:rsidRPr="00C26513" w:rsidRDefault="004D0E23" w:rsidP="004D0E23">
            <w:pPr>
              <w:spacing w:line="235" w:lineRule="auto"/>
              <w:rPr>
                <w:rFonts w:eastAsia="宋体" w:cs="Times New Roman"/>
                <w:sz w:val="18"/>
                <w:szCs w:val="18"/>
              </w:rPr>
            </w:pPr>
            <w:r w:rsidRPr="00C26513">
              <w:rPr>
                <w:rFonts w:eastAsia="宋体" w:cs="Times New Roman"/>
                <w:sz w:val="18"/>
                <w:szCs w:val="18"/>
              </w:rPr>
              <w:t>1.</w:t>
            </w:r>
            <w:r w:rsidRPr="00C26513">
              <w:rPr>
                <w:rFonts w:eastAsia="宋体" w:cs="Times New Roman" w:hint="eastAsia"/>
                <w:sz w:val="18"/>
                <w:szCs w:val="18"/>
              </w:rPr>
              <w:t>工资、奖金、津贴和补贴</w:t>
            </w:r>
          </w:p>
        </w:tc>
        <w:tc>
          <w:tcPr>
            <w:tcW w:w="1692" w:type="dxa"/>
            <w:tcMar>
              <w:top w:w="0" w:type="dxa"/>
              <w:left w:w="108" w:type="dxa"/>
              <w:bottom w:w="0" w:type="dxa"/>
              <w:right w:w="108" w:type="dxa"/>
            </w:tcMar>
            <w:vAlign w:val="center"/>
          </w:tcPr>
          <w:p w:rsidR="004D0E23" w:rsidRPr="00C26513" w:rsidRDefault="004D0E23" w:rsidP="004D0E23">
            <w:pPr>
              <w:spacing w:line="235" w:lineRule="auto"/>
              <w:ind w:left="720" w:hanging="720"/>
              <w:jc w:val="right"/>
              <w:rPr>
                <w:rFonts w:eastAsia="宋体" w:cs="Times New Roman"/>
                <w:sz w:val="18"/>
                <w:szCs w:val="18"/>
              </w:rPr>
            </w:pPr>
            <w:r w:rsidRPr="00C26513">
              <w:rPr>
                <w:rFonts w:eastAsia="宋体" w:cs="Times New Roman"/>
                <w:sz w:val="18"/>
                <w:szCs w:val="18"/>
              </w:rPr>
              <w:t>208,027,163.24</w:t>
            </w:r>
          </w:p>
        </w:tc>
        <w:tc>
          <w:tcPr>
            <w:tcW w:w="1693" w:type="dxa"/>
            <w:tcMar>
              <w:top w:w="0" w:type="dxa"/>
              <w:left w:w="108" w:type="dxa"/>
              <w:bottom w:w="0" w:type="dxa"/>
              <w:right w:w="108" w:type="dxa"/>
            </w:tcMar>
            <w:vAlign w:val="center"/>
          </w:tcPr>
          <w:p w:rsidR="004D0E23" w:rsidRPr="00C26513" w:rsidRDefault="00CD209A" w:rsidP="004D0E23">
            <w:pPr>
              <w:spacing w:line="235" w:lineRule="auto"/>
              <w:ind w:left="720" w:hanging="720"/>
              <w:jc w:val="right"/>
              <w:rPr>
                <w:rFonts w:eastAsia="宋体" w:cs="Times New Roman"/>
                <w:sz w:val="18"/>
                <w:szCs w:val="18"/>
              </w:rPr>
            </w:pPr>
            <w:r w:rsidRPr="00C26513">
              <w:rPr>
                <w:rFonts w:eastAsia="宋体" w:cs="Times New Roman"/>
                <w:sz w:val="18"/>
                <w:szCs w:val="18"/>
              </w:rPr>
              <w:t>868,633,666.80</w:t>
            </w:r>
          </w:p>
        </w:tc>
        <w:tc>
          <w:tcPr>
            <w:tcW w:w="1693" w:type="dxa"/>
            <w:tcMar>
              <w:top w:w="0" w:type="dxa"/>
              <w:left w:w="108" w:type="dxa"/>
              <w:bottom w:w="0" w:type="dxa"/>
              <w:right w:w="108" w:type="dxa"/>
            </w:tcMar>
            <w:vAlign w:val="center"/>
          </w:tcPr>
          <w:p w:rsidR="004D0E23" w:rsidRPr="00C26513" w:rsidRDefault="00CD209A" w:rsidP="004D0E23">
            <w:pPr>
              <w:spacing w:line="235" w:lineRule="auto"/>
              <w:ind w:left="720" w:hanging="720"/>
              <w:jc w:val="right"/>
              <w:rPr>
                <w:rFonts w:eastAsia="宋体" w:cs="Times New Roman"/>
                <w:sz w:val="18"/>
                <w:szCs w:val="18"/>
              </w:rPr>
            </w:pPr>
            <w:r w:rsidRPr="00C26513">
              <w:rPr>
                <w:rFonts w:eastAsia="宋体" w:cs="Times New Roman"/>
                <w:sz w:val="18"/>
                <w:szCs w:val="18"/>
              </w:rPr>
              <w:t>814,030,695.20</w:t>
            </w:r>
          </w:p>
        </w:tc>
        <w:tc>
          <w:tcPr>
            <w:tcW w:w="1694" w:type="dxa"/>
            <w:tcMar>
              <w:top w:w="0" w:type="dxa"/>
              <w:left w:w="108" w:type="dxa"/>
              <w:bottom w:w="0" w:type="dxa"/>
              <w:right w:w="108" w:type="dxa"/>
            </w:tcMar>
            <w:vAlign w:val="center"/>
          </w:tcPr>
          <w:p w:rsidR="004D0E23" w:rsidRPr="00C26513" w:rsidRDefault="00627C16" w:rsidP="004D0E23">
            <w:pPr>
              <w:spacing w:line="235" w:lineRule="auto"/>
              <w:ind w:left="720" w:hanging="720"/>
              <w:jc w:val="right"/>
              <w:rPr>
                <w:rFonts w:eastAsia="宋体" w:cs="Times New Roman"/>
                <w:sz w:val="18"/>
                <w:szCs w:val="18"/>
              </w:rPr>
            </w:pPr>
            <w:r w:rsidRPr="00C26513">
              <w:rPr>
                <w:rFonts w:eastAsia="宋体" w:cs="Times New Roman"/>
                <w:sz w:val="18"/>
                <w:szCs w:val="18"/>
              </w:rPr>
              <w:t>262,630,134.84</w:t>
            </w:r>
          </w:p>
        </w:tc>
      </w:tr>
      <w:tr w:rsidR="004D0E23" w:rsidRPr="00C26513" w:rsidTr="0027505B">
        <w:trPr>
          <w:trHeight w:val="20"/>
        </w:trPr>
        <w:tc>
          <w:tcPr>
            <w:tcW w:w="2682" w:type="dxa"/>
            <w:shd w:val="clear" w:color="auto" w:fill="FFFFFF" w:themeFill="background1"/>
            <w:tcMar>
              <w:top w:w="0" w:type="dxa"/>
              <w:left w:w="108" w:type="dxa"/>
              <w:bottom w:w="0" w:type="dxa"/>
              <w:right w:w="108" w:type="dxa"/>
            </w:tcMar>
            <w:vAlign w:val="center"/>
            <w:hideMark/>
          </w:tcPr>
          <w:p w:rsidR="004D0E23" w:rsidRPr="00C26513" w:rsidRDefault="004D0E23" w:rsidP="004D0E23">
            <w:pPr>
              <w:spacing w:line="235" w:lineRule="auto"/>
              <w:rPr>
                <w:rFonts w:eastAsia="宋体" w:cs="Times New Roman"/>
                <w:sz w:val="18"/>
                <w:szCs w:val="18"/>
              </w:rPr>
            </w:pPr>
            <w:r w:rsidRPr="00C26513">
              <w:rPr>
                <w:rFonts w:eastAsia="宋体" w:cs="Times New Roman"/>
                <w:sz w:val="18"/>
                <w:szCs w:val="18"/>
              </w:rPr>
              <w:t>2.</w:t>
            </w:r>
            <w:r w:rsidRPr="00C26513">
              <w:rPr>
                <w:rFonts w:eastAsia="宋体" w:cs="Times New Roman" w:hint="eastAsia"/>
                <w:sz w:val="18"/>
                <w:szCs w:val="18"/>
              </w:rPr>
              <w:t>职工福利费</w:t>
            </w:r>
          </w:p>
        </w:tc>
        <w:tc>
          <w:tcPr>
            <w:tcW w:w="1692" w:type="dxa"/>
            <w:tcMar>
              <w:top w:w="0" w:type="dxa"/>
              <w:left w:w="108" w:type="dxa"/>
              <w:bottom w:w="0" w:type="dxa"/>
              <w:right w:w="108" w:type="dxa"/>
            </w:tcMar>
            <w:vAlign w:val="center"/>
          </w:tcPr>
          <w:p w:rsidR="004D0E23" w:rsidRPr="00C26513" w:rsidRDefault="004D0E23" w:rsidP="004D0E23">
            <w:pPr>
              <w:spacing w:line="235" w:lineRule="auto"/>
              <w:ind w:left="720" w:hanging="720"/>
              <w:jc w:val="right"/>
              <w:rPr>
                <w:rFonts w:eastAsia="宋体" w:cs="Times New Roman"/>
                <w:sz w:val="18"/>
                <w:szCs w:val="18"/>
              </w:rPr>
            </w:pPr>
            <w:r w:rsidRPr="00C26513">
              <w:rPr>
                <w:rFonts w:eastAsia="宋体" w:cs="Times New Roman"/>
                <w:sz w:val="18"/>
                <w:szCs w:val="18"/>
              </w:rPr>
              <w:t>-    </w:t>
            </w:r>
          </w:p>
        </w:tc>
        <w:tc>
          <w:tcPr>
            <w:tcW w:w="1693" w:type="dxa"/>
            <w:tcMar>
              <w:top w:w="0" w:type="dxa"/>
              <w:left w:w="108" w:type="dxa"/>
              <w:bottom w:w="0" w:type="dxa"/>
              <w:right w:w="108" w:type="dxa"/>
            </w:tcMar>
            <w:vAlign w:val="center"/>
          </w:tcPr>
          <w:p w:rsidR="004D0E23" w:rsidRPr="00C26513" w:rsidRDefault="00CD209A" w:rsidP="004D0E23">
            <w:pPr>
              <w:spacing w:line="235" w:lineRule="auto"/>
              <w:ind w:left="720" w:hanging="720"/>
              <w:jc w:val="right"/>
              <w:rPr>
                <w:rFonts w:eastAsia="宋体" w:cs="Times New Roman"/>
                <w:sz w:val="18"/>
                <w:szCs w:val="18"/>
              </w:rPr>
            </w:pPr>
            <w:r w:rsidRPr="00C26513">
              <w:rPr>
                <w:rFonts w:eastAsia="宋体" w:cs="Times New Roman"/>
                <w:sz w:val="18"/>
                <w:szCs w:val="18"/>
              </w:rPr>
              <w:t>18,817,227.95</w:t>
            </w:r>
          </w:p>
        </w:tc>
        <w:tc>
          <w:tcPr>
            <w:tcW w:w="1693" w:type="dxa"/>
            <w:tcMar>
              <w:top w:w="0" w:type="dxa"/>
              <w:left w:w="108" w:type="dxa"/>
              <w:bottom w:w="0" w:type="dxa"/>
              <w:right w:w="108" w:type="dxa"/>
            </w:tcMar>
            <w:vAlign w:val="center"/>
          </w:tcPr>
          <w:p w:rsidR="004D0E23" w:rsidRPr="00C26513" w:rsidRDefault="00CD209A" w:rsidP="004D0E23">
            <w:pPr>
              <w:spacing w:line="235" w:lineRule="auto"/>
              <w:ind w:left="720" w:hanging="720"/>
              <w:jc w:val="right"/>
              <w:rPr>
                <w:rFonts w:eastAsia="宋体" w:cs="Times New Roman"/>
                <w:sz w:val="18"/>
                <w:szCs w:val="18"/>
              </w:rPr>
            </w:pPr>
            <w:r w:rsidRPr="00C26513">
              <w:rPr>
                <w:rFonts w:eastAsia="宋体" w:cs="Times New Roman"/>
                <w:sz w:val="18"/>
                <w:szCs w:val="18"/>
              </w:rPr>
              <w:t>18,817,227.95</w:t>
            </w:r>
          </w:p>
        </w:tc>
        <w:tc>
          <w:tcPr>
            <w:tcW w:w="1694" w:type="dxa"/>
            <w:tcMar>
              <w:top w:w="0" w:type="dxa"/>
              <w:left w:w="108" w:type="dxa"/>
              <w:bottom w:w="0" w:type="dxa"/>
              <w:right w:w="108" w:type="dxa"/>
            </w:tcMar>
            <w:vAlign w:val="center"/>
          </w:tcPr>
          <w:p w:rsidR="004D0E23" w:rsidRPr="00C26513" w:rsidRDefault="00961F38" w:rsidP="004D0E23">
            <w:pPr>
              <w:spacing w:line="235" w:lineRule="auto"/>
              <w:ind w:left="720" w:hanging="720"/>
              <w:jc w:val="right"/>
              <w:rPr>
                <w:rFonts w:eastAsia="宋体" w:cs="Times New Roman"/>
                <w:sz w:val="18"/>
                <w:szCs w:val="18"/>
              </w:rPr>
            </w:pPr>
            <w:r w:rsidRPr="00C26513">
              <w:rPr>
                <w:rFonts w:eastAsia="宋体" w:cs="Times New Roman"/>
                <w:sz w:val="18"/>
                <w:szCs w:val="18"/>
              </w:rPr>
              <w:t>-    </w:t>
            </w:r>
          </w:p>
        </w:tc>
      </w:tr>
      <w:tr w:rsidR="004D0E23" w:rsidRPr="00C26513" w:rsidTr="0027505B">
        <w:trPr>
          <w:trHeight w:val="20"/>
        </w:trPr>
        <w:tc>
          <w:tcPr>
            <w:tcW w:w="2682" w:type="dxa"/>
            <w:shd w:val="clear" w:color="auto" w:fill="FFFFFF" w:themeFill="background1"/>
            <w:tcMar>
              <w:top w:w="0" w:type="dxa"/>
              <w:left w:w="108" w:type="dxa"/>
              <w:bottom w:w="0" w:type="dxa"/>
              <w:right w:w="108" w:type="dxa"/>
            </w:tcMar>
            <w:vAlign w:val="center"/>
            <w:hideMark/>
          </w:tcPr>
          <w:p w:rsidR="004D0E23" w:rsidRPr="00C26513" w:rsidRDefault="004D0E23" w:rsidP="004D0E23">
            <w:pPr>
              <w:spacing w:line="235" w:lineRule="auto"/>
              <w:rPr>
                <w:rFonts w:eastAsia="宋体" w:cs="Times New Roman"/>
                <w:sz w:val="18"/>
                <w:szCs w:val="18"/>
              </w:rPr>
            </w:pPr>
            <w:r w:rsidRPr="00C26513">
              <w:rPr>
                <w:rFonts w:eastAsia="宋体" w:cs="Times New Roman"/>
                <w:sz w:val="18"/>
                <w:szCs w:val="18"/>
              </w:rPr>
              <w:t>3.</w:t>
            </w:r>
            <w:r w:rsidRPr="00C26513">
              <w:rPr>
                <w:rFonts w:eastAsia="宋体" w:cs="Times New Roman" w:hint="eastAsia"/>
                <w:sz w:val="18"/>
                <w:szCs w:val="18"/>
              </w:rPr>
              <w:t>社会保险费</w:t>
            </w:r>
          </w:p>
        </w:tc>
        <w:tc>
          <w:tcPr>
            <w:tcW w:w="1692" w:type="dxa"/>
            <w:tcMar>
              <w:top w:w="0" w:type="dxa"/>
              <w:left w:w="108" w:type="dxa"/>
              <w:bottom w:w="0" w:type="dxa"/>
              <w:right w:w="108" w:type="dxa"/>
            </w:tcMar>
            <w:vAlign w:val="center"/>
          </w:tcPr>
          <w:p w:rsidR="004D0E23" w:rsidRPr="00C26513" w:rsidRDefault="004D0E23" w:rsidP="004D0E23">
            <w:pPr>
              <w:spacing w:line="235" w:lineRule="auto"/>
              <w:ind w:left="720" w:hanging="720"/>
              <w:jc w:val="right"/>
              <w:rPr>
                <w:rFonts w:eastAsia="宋体" w:cs="Times New Roman"/>
                <w:sz w:val="18"/>
                <w:szCs w:val="18"/>
              </w:rPr>
            </w:pPr>
            <w:r w:rsidRPr="00C26513">
              <w:rPr>
                <w:rFonts w:eastAsia="宋体" w:cs="Times New Roman"/>
                <w:sz w:val="18"/>
                <w:szCs w:val="18"/>
              </w:rPr>
              <w:t>4,630,061.94</w:t>
            </w:r>
          </w:p>
        </w:tc>
        <w:tc>
          <w:tcPr>
            <w:tcW w:w="1693" w:type="dxa"/>
            <w:tcMar>
              <w:top w:w="0" w:type="dxa"/>
              <w:left w:w="108" w:type="dxa"/>
              <w:bottom w:w="0" w:type="dxa"/>
              <w:right w:w="108" w:type="dxa"/>
            </w:tcMar>
            <w:vAlign w:val="center"/>
          </w:tcPr>
          <w:p w:rsidR="004D0E23" w:rsidRPr="00C26513" w:rsidRDefault="00CD209A" w:rsidP="004D0E23">
            <w:pPr>
              <w:spacing w:line="235" w:lineRule="auto"/>
              <w:ind w:left="720" w:hanging="720"/>
              <w:jc w:val="right"/>
              <w:rPr>
                <w:rFonts w:eastAsia="宋体" w:cs="Times New Roman"/>
                <w:sz w:val="18"/>
                <w:szCs w:val="18"/>
              </w:rPr>
            </w:pPr>
            <w:r w:rsidRPr="00C26513">
              <w:rPr>
                <w:rFonts w:eastAsia="宋体" w:cs="Times New Roman"/>
                <w:sz w:val="18"/>
                <w:szCs w:val="18"/>
              </w:rPr>
              <w:t>42,211,037.82</w:t>
            </w:r>
          </w:p>
        </w:tc>
        <w:tc>
          <w:tcPr>
            <w:tcW w:w="1693" w:type="dxa"/>
            <w:tcMar>
              <w:top w:w="0" w:type="dxa"/>
              <w:left w:w="108" w:type="dxa"/>
              <w:bottom w:w="0" w:type="dxa"/>
              <w:right w:w="108" w:type="dxa"/>
            </w:tcMar>
            <w:vAlign w:val="center"/>
          </w:tcPr>
          <w:p w:rsidR="004D0E23" w:rsidRPr="00C26513" w:rsidRDefault="00627C16" w:rsidP="004D0E23">
            <w:pPr>
              <w:spacing w:line="235" w:lineRule="auto"/>
              <w:ind w:left="720" w:hanging="720"/>
              <w:jc w:val="right"/>
              <w:rPr>
                <w:rFonts w:eastAsia="宋体" w:cs="Times New Roman"/>
                <w:sz w:val="18"/>
                <w:szCs w:val="18"/>
              </w:rPr>
            </w:pPr>
            <w:r w:rsidRPr="00C26513">
              <w:rPr>
                <w:rFonts w:eastAsia="宋体" w:cs="Times New Roman"/>
                <w:sz w:val="18"/>
                <w:szCs w:val="18"/>
              </w:rPr>
              <w:t>43,548,476.46</w:t>
            </w:r>
          </w:p>
        </w:tc>
        <w:tc>
          <w:tcPr>
            <w:tcW w:w="1694" w:type="dxa"/>
            <w:tcMar>
              <w:top w:w="0" w:type="dxa"/>
              <w:left w:w="108" w:type="dxa"/>
              <w:bottom w:w="0" w:type="dxa"/>
              <w:right w:w="108" w:type="dxa"/>
            </w:tcMar>
            <w:vAlign w:val="center"/>
          </w:tcPr>
          <w:p w:rsidR="004D0E23" w:rsidRPr="00C26513" w:rsidRDefault="00627C16" w:rsidP="004D0E23">
            <w:pPr>
              <w:spacing w:line="235" w:lineRule="auto"/>
              <w:ind w:left="720" w:hanging="720"/>
              <w:jc w:val="right"/>
              <w:rPr>
                <w:rFonts w:eastAsia="宋体" w:cs="Times New Roman"/>
                <w:sz w:val="18"/>
                <w:szCs w:val="18"/>
              </w:rPr>
            </w:pPr>
            <w:r w:rsidRPr="00C26513">
              <w:rPr>
                <w:rFonts w:eastAsia="宋体" w:cs="Times New Roman"/>
                <w:sz w:val="18"/>
                <w:szCs w:val="18"/>
              </w:rPr>
              <w:t>3,292,623.30</w:t>
            </w:r>
          </w:p>
        </w:tc>
      </w:tr>
      <w:tr w:rsidR="004D0E23" w:rsidRPr="00C26513" w:rsidTr="0027505B">
        <w:trPr>
          <w:trHeight w:val="20"/>
        </w:trPr>
        <w:tc>
          <w:tcPr>
            <w:tcW w:w="2682" w:type="dxa"/>
            <w:shd w:val="clear" w:color="auto" w:fill="FFFFFF" w:themeFill="background1"/>
            <w:tcMar>
              <w:top w:w="0" w:type="dxa"/>
              <w:left w:w="108" w:type="dxa"/>
              <w:bottom w:w="0" w:type="dxa"/>
              <w:right w:w="108" w:type="dxa"/>
            </w:tcMar>
            <w:vAlign w:val="center"/>
            <w:hideMark/>
          </w:tcPr>
          <w:p w:rsidR="004D0E23" w:rsidRPr="00C26513" w:rsidRDefault="004D0E23" w:rsidP="004D0E23">
            <w:pPr>
              <w:tabs>
                <w:tab w:val="left" w:pos="138"/>
              </w:tabs>
              <w:spacing w:line="235" w:lineRule="auto"/>
              <w:rPr>
                <w:rFonts w:eastAsia="宋体" w:cs="Times New Roman"/>
                <w:sz w:val="18"/>
                <w:szCs w:val="18"/>
              </w:rPr>
            </w:pPr>
            <w:r w:rsidRPr="00C26513">
              <w:rPr>
                <w:rFonts w:eastAsia="宋体" w:cs="Times New Roman"/>
                <w:sz w:val="18"/>
                <w:szCs w:val="18"/>
              </w:rPr>
              <w:tab/>
            </w:r>
            <w:r w:rsidRPr="00C26513">
              <w:rPr>
                <w:rFonts w:eastAsia="宋体" w:cs="Times New Roman" w:hint="eastAsia"/>
                <w:sz w:val="18"/>
                <w:szCs w:val="18"/>
              </w:rPr>
              <w:t>其中</w:t>
            </w:r>
            <w:r w:rsidR="005F14EE" w:rsidRPr="00C26513">
              <w:rPr>
                <w:rFonts w:eastAsia="宋体" w:cs="Times New Roman" w:hint="eastAsia"/>
                <w:sz w:val="18"/>
                <w:szCs w:val="18"/>
              </w:rPr>
              <w:t>：</w:t>
            </w:r>
            <w:r w:rsidRPr="00C26513">
              <w:rPr>
                <w:rFonts w:eastAsia="宋体" w:cs="Times New Roman" w:hint="eastAsia"/>
                <w:sz w:val="18"/>
                <w:szCs w:val="18"/>
              </w:rPr>
              <w:t>医疗保险费</w:t>
            </w:r>
          </w:p>
        </w:tc>
        <w:tc>
          <w:tcPr>
            <w:tcW w:w="1692" w:type="dxa"/>
            <w:tcMar>
              <w:top w:w="0" w:type="dxa"/>
              <w:left w:w="108" w:type="dxa"/>
              <w:bottom w:w="0" w:type="dxa"/>
              <w:right w:w="108" w:type="dxa"/>
            </w:tcMar>
            <w:vAlign w:val="center"/>
          </w:tcPr>
          <w:p w:rsidR="004D0E23" w:rsidRPr="00C26513" w:rsidRDefault="004D0E23" w:rsidP="004D0E23">
            <w:pPr>
              <w:spacing w:line="235" w:lineRule="auto"/>
              <w:ind w:left="720" w:hanging="720"/>
              <w:jc w:val="right"/>
              <w:rPr>
                <w:rFonts w:eastAsia="宋体" w:cs="Times New Roman"/>
                <w:sz w:val="18"/>
                <w:szCs w:val="18"/>
              </w:rPr>
            </w:pPr>
            <w:r w:rsidRPr="00C26513">
              <w:rPr>
                <w:rFonts w:eastAsia="宋体" w:cs="Times New Roman"/>
                <w:sz w:val="18"/>
                <w:szCs w:val="18"/>
              </w:rPr>
              <w:t>4,495,189.02</w:t>
            </w:r>
          </w:p>
        </w:tc>
        <w:tc>
          <w:tcPr>
            <w:tcW w:w="1693" w:type="dxa"/>
            <w:tcMar>
              <w:top w:w="0" w:type="dxa"/>
              <w:left w:w="108" w:type="dxa"/>
              <w:bottom w:w="0" w:type="dxa"/>
              <w:right w:w="108" w:type="dxa"/>
            </w:tcMar>
            <w:vAlign w:val="center"/>
          </w:tcPr>
          <w:p w:rsidR="004D0E23" w:rsidRPr="00C26513" w:rsidRDefault="00627C16" w:rsidP="004D0E23">
            <w:pPr>
              <w:spacing w:line="235" w:lineRule="auto"/>
              <w:ind w:left="720" w:hanging="720"/>
              <w:jc w:val="right"/>
              <w:rPr>
                <w:rFonts w:eastAsia="宋体" w:cs="Times New Roman"/>
                <w:sz w:val="18"/>
                <w:szCs w:val="18"/>
              </w:rPr>
            </w:pPr>
            <w:r w:rsidRPr="00C26513">
              <w:rPr>
                <w:rFonts w:eastAsia="宋体" w:cs="Times New Roman"/>
                <w:sz w:val="18"/>
                <w:szCs w:val="18"/>
              </w:rPr>
              <w:t>40,598,213.94</w:t>
            </w:r>
          </w:p>
        </w:tc>
        <w:tc>
          <w:tcPr>
            <w:tcW w:w="1693" w:type="dxa"/>
            <w:tcMar>
              <w:top w:w="0" w:type="dxa"/>
              <w:left w:w="108" w:type="dxa"/>
              <w:bottom w:w="0" w:type="dxa"/>
              <w:right w:w="108" w:type="dxa"/>
            </w:tcMar>
            <w:vAlign w:val="center"/>
          </w:tcPr>
          <w:p w:rsidR="004D0E23" w:rsidRPr="00C26513" w:rsidRDefault="00627C16" w:rsidP="004D0E23">
            <w:pPr>
              <w:spacing w:line="235" w:lineRule="auto"/>
              <w:ind w:left="720" w:hanging="720"/>
              <w:jc w:val="right"/>
              <w:rPr>
                <w:rFonts w:eastAsia="宋体" w:cs="Times New Roman"/>
                <w:sz w:val="18"/>
                <w:szCs w:val="18"/>
              </w:rPr>
            </w:pPr>
            <w:r w:rsidRPr="00C26513">
              <w:rPr>
                <w:rFonts w:eastAsia="宋体" w:cs="Times New Roman"/>
                <w:sz w:val="18"/>
                <w:szCs w:val="18"/>
              </w:rPr>
              <w:t>41,879,726.17</w:t>
            </w:r>
          </w:p>
        </w:tc>
        <w:tc>
          <w:tcPr>
            <w:tcW w:w="1694" w:type="dxa"/>
            <w:tcMar>
              <w:top w:w="0" w:type="dxa"/>
              <w:left w:w="108" w:type="dxa"/>
              <w:bottom w:w="0" w:type="dxa"/>
              <w:right w:w="108" w:type="dxa"/>
            </w:tcMar>
            <w:vAlign w:val="center"/>
          </w:tcPr>
          <w:p w:rsidR="004D0E23" w:rsidRPr="00C26513" w:rsidRDefault="00627C16" w:rsidP="004D0E23">
            <w:pPr>
              <w:spacing w:line="235" w:lineRule="auto"/>
              <w:ind w:left="720" w:hanging="720"/>
              <w:jc w:val="right"/>
              <w:rPr>
                <w:rFonts w:eastAsia="宋体" w:cs="Times New Roman"/>
                <w:sz w:val="18"/>
                <w:szCs w:val="18"/>
              </w:rPr>
            </w:pPr>
            <w:r w:rsidRPr="00C26513">
              <w:rPr>
                <w:rFonts w:eastAsia="宋体" w:cs="Times New Roman"/>
                <w:sz w:val="18"/>
                <w:szCs w:val="18"/>
              </w:rPr>
              <w:t>3,213,676.79</w:t>
            </w:r>
          </w:p>
        </w:tc>
      </w:tr>
      <w:tr w:rsidR="004D0E23" w:rsidRPr="00C26513" w:rsidTr="0027505B">
        <w:trPr>
          <w:trHeight w:val="20"/>
        </w:trPr>
        <w:tc>
          <w:tcPr>
            <w:tcW w:w="2682" w:type="dxa"/>
            <w:shd w:val="clear" w:color="auto" w:fill="FFFFFF" w:themeFill="background1"/>
            <w:tcMar>
              <w:top w:w="0" w:type="dxa"/>
              <w:left w:w="108" w:type="dxa"/>
              <w:bottom w:w="0" w:type="dxa"/>
              <w:right w:w="108" w:type="dxa"/>
            </w:tcMar>
            <w:vAlign w:val="center"/>
            <w:hideMark/>
          </w:tcPr>
          <w:p w:rsidR="004D0E23" w:rsidRPr="00C26513" w:rsidRDefault="004D0E23" w:rsidP="004D0E23">
            <w:pPr>
              <w:tabs>
                <w:tab w:val="left" w:pos="670"/>
              </w:tabs>
              <w:spacing w:line="235" w:lineRule="auto"/>
              <w:rPr>
                <w:rFonts w:eastAsia="宋体" w:cs="Times New Roman"/>
                <w:sz w:val="18"/>
                <w:szCs w:val="18"/>
              </w:rPr>
            </w:pPr>
            <w:r w:rsidRPr="00C26513">
              <w:rPr>
                <w:rFonts w:eastAsia="宋体" w:cs="Times New Roman"/>
                <w:sz w:val="18"/>
                <w:szCs w:val="18"/>
              </w:rPr>
              <w:tab/>
            </w:r>
            <w:r w:rsidRPr="00C26513">
              <w:rPr>
                <w:rFonts w:eastAsia="宋体" w:cs="Times New Roman" w:hint="eastAsia"/>
                <w:sz w:val="18"/>
                <w:szCs w:val="18"/>
              </w:rPr>
              <w:t>工伤保险费</w:t>
            </w:r>
          </w:p>
        </w:tc>
        <w:tc>
          <w:tcPr>
            <w:tcW w:w="1692" w:type="dxa"/>
            <w:tcMar>
              <w:top w:w="0" w:type="dxa"/>
              <w:left w:w="108" w:type="dxa"/>
              <w:bottom w:w="0" w:type="dxa"/>
              <w:right w:w="108" w:type="dxa"/>
            </w:tcMar>
            <w:vAlign w:val="center"/>
          </w:tcPr>
          <w:p w:rsidR="004D0E23" w:rsidRPr="00C26513" w:rsidRDefault="004D0E23" w:rsidP="004D0E23">
            <w:pPr>
              <w:spacing w:line="235" w:lineRule="auto"/>
              <w:ind w:left="720" w:hanging="720"/>
              <w:jc w:val="right"/>
              <w:rPr>
                <w:rFonts w:eastAsia="宋体" w:cs="Times New Roman"/>
                <w:sz w:val="18"/>
                <w:szCs w:val="18"/>
              </w:rPr>
            </w:pPr>
            <w:r w:rsidRPr="00C26513">
              <w:rPr>
                <w:rFonts w:eastAsia="宋体" w:cs="Times New Roman"/>
                <w:sz w:val="18"/>
                <w:szCs w:val="18"/>
              </w:rPr>
              <w:t>129,532.44</w:t>
            </w:r>
          </w:p>
        </w:tc>
        <w:tc>
          <w:tcPr>
            <w:tcW w:w="1693"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1,542,631.51</w:t>
            </w:r>
          </w:p>
        </w:tc>
        <w:tc>
          <w:tcPr>
            <w:tcW w:w="1693"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1,593,217.44</w:t>
            </w:r>
          </w:p>
        </w:tc>
        <w:tc>
          <w:tcPr>
            <w:tcW w:w="1694"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78,946.51</w:t>
            </w:r>
          </w:p>
        </w:tc>
      </w:tr>
      <w:tr w:rsidR="004D0E23" w:rsidRPr="00C26513" w:rsidTr="0027505B">
        <w:trPr>
          <w:trHeight w:val="20"/>
        </w:trPr>
        <w:tc>
          <w:tcPr>
            <w:tcW w:w="2682" w:type="dxa"/>
            <w:shd w:val="clear" w:color="auto" w:fill="FFFFFF" w:themeFill="background1"/>
            <w:tcMar>
              <w:top w:w="0" w:type="dxa"/>
              <w:left w:w="108" w:type="dxa"/>
              <w:bottom w:w="0" w:type="dxa"/>
              <w:right w:w="108" w:type="dxa"/>
            </w:tcMar>
            <w:vAlign w:val="center"/>
            <w:hideMark/>
          </w:tcPr>
          <w:p w:rsidR="004D0E23" w:rsidRPr="00C26513" w:rsidRDefault="004D0E23" w:rsidP="004D0E23">
            <w:pPr>
              <w:tabs>
                <w:tab w:val="left" w:pos="670"/>
              </w:tabs>
              <w:spacing w:line="235" w:lineRule="auto"/>
              <w:rPr>
                <w:rFonts w:eastAsia="宋体" w:cs="Times New Roman"/>
                <w:sz w:val="18"/>
                <w:szCs w:val="18"/>
              </w:rPr>
            </w:pPr>
            <w:r w:rsidRPr="00C26513">
              <w:rPr>
                <w:rFonts w:eastAsia="宋体" w:cs="Times New Roman"/>
                <w:sz w:val="18"/>
                <w:szCs w:val="18"/>
              </w:rPr>
              <w:tab/>
            </w:r>
            <w:r w:rsidRPr="00C26513">
              <w:rPr>
                <w:rFonts w:eastAsia="宋体" w:cs="Times New Roman" w:hint="eastAsia"/>
                <w:sz w:val="18"/>
                <w:szCs w:val="18"/>
              </w:rPr>
              <w:t>生育保险费</w:t>
            </w:r>
          </w:p>
        </w:tc>
        <w:tc>
          <w:tcPr>
            <w:tcW w:w="1692" w:type="dxa"/>
            <w:tcMar>
              <w:top w:w="0" w:type="dxa"/>
              <w:left w:w="108" w:type="dxa"/>
              <w:bottom w:w="0" w:type="dxa"/>
              <w:right w:w="108" w:type="dxa"/>
            </w:tcMar>
            <w:vAlign w:val="center"/>
          </w:tcPr>
          <w:p w:rsidR="004D0E23" w:rsidRPr="00C26513" w:rsidRDefault="004D0E23" w:rsidP="004D0E23">
            <w:pPr>
              <w:spacing w:line="235" w:lineRule="auto"/>
              <w:ind w:left="720" w:hanging="720"/>
              <w:jc w:val="right"/>
              <w:rPr>
                <w:rFonts w:eastAsia="宋体" w:cs="Times New Roman"/>
                <w:sz w:val="18"/>
                <w:szCs w:val="18"/>
              </w:rPr>
            </w:pPr>
            <w:r w:rsidRPr="00C26513">
              <w:rPr>
                <w:rFonts w:eastAsia="宋体" w:cs="Times New Roman"/>
                <w:sz w:val="18"/>
                <w:szCs w:val="18"/>
              </w:rPr>
              <w:t>5,340.48</w:t>
            </w:r>
          </w:p>
        </w:tc>
        <w:tc>
          <w:tcPr>
            <w:tcW w:w="1693"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70,192.37</w:t>
            </w:r>
          </w:p>
        </w:tc>
        <w:tc>
          <w:tcPr>
            <w:tcW w:w="1693"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75,532.85</w:t>
            </w:r>
          </w:p>
        </w:tc>
        <w:tc>
          <w:tcPr>
            <w:tcW w:w="1694" w:type="dxa"/>
            <w:tcMar>
              <w:top w:w="0" w:type="dxa"/>
              <w:left w:w="108" w:type="dxa"/>
              <w:bottom w:w="0" w:type="dxa"/>
              <w:right w:w="108" w:type="dxa"/>
            </w:tcMar>
            <w:vAlign w:val="center"/>
          </w:tcPr>
          <w:p w:rsidR="004D0E23" w:rsidRPr="00C26513" w:rsidRDefault="0079473F" w:rsidP="004D0E23">
            <w:pPr>
              <w:spacing w:line="235" w:lineRule="auto"/>
              <w:ind w:left="720" w:hanging="720"/>
              <w:jc w:val="right"/>
              <w:rPr>
                <w:rFonts w:eastAsia="宋体" w:cs="Times New Roman"/>
                <w:sz w:val="18"/>
                <w:szCs w:val="18"/>
              </w:rPr>
            </w:pPr>
            <w:r w:rsidRPr="00C26513">
              <w:rPr>
                <w:rFonts w:eastAsia="宋体" w:cs="Times New Roman"/>
                <w:sz w:val="18"/>
                <w:szCs w:val="18"/>
              </w:rPr>
              <w:t>-    </w:t>
            </w:r>
            <w:r w:rsidR="006351A9" w:rsidRPr="00C26513">
              <w:rPr>
                <w:rFonts w:eastAsia="宋体" w:cs="Times New Roman"/>
                <w:sz w:val="18"/>
                <w:szCs w:val="18"/>
              </w:rPr>
              <w:t xml:space="preserve"> </w:t>
            </w:r>
          </w:p>
        </w:tc>
      </w:tr>
      <w:tr w:rsidR="004D0E23" w:rsidRPr="00C26513" w:rsidTr="0027505B">
        <w:trPr>
          <w:trHeight w:val="20"/>
        </w:trPr>
        <w:tc>
          <w:tcPr>
            <w:tcW w:w="2682" w:type="dxa"/>
            <w:shd w:val="clear" w:color="auto" w:fill="FFFFFF" w:themeFill="background1"/>
            <w:tcMar>
              <w:top w:w="0" w:type="dxa"/>
              <w:left w:w="108" w:type="dxa"/>
              <w:bottom w:w="0" w:type="dxa"/>
              <w:right w:w="108" w:type="dxa"/>
            </w:tcMar>
            <w:vAlign w:val="center"/>
            <w:hideMark/>
          </w:tcPr>
          <w:p w:rsidR="004D0E23" w:rsidRPr="00C26513" w:rsidRDefault="004D0E23" w:rsidP="004D0E23">
            <w:pPr>
              <w:spacing w:line="235" w:lineRule="auto"/>
              <w:rPr>
                <w:rFonts w:eastAsia="宋体" w:cs="Times New Roman"/>
                <w:sz w:val="18"/>
                <w:szCs w:val="18"/>
              </w:rPr>
            </w:pPr>
            <w:r w:rsidRPr="00C26513">
              <w:rPr>
                <w:rFonts w:eastAsia="宋体" w:cs="Times New Roman"/>
                <w:sz w:val="18"/>
                <w:szCs w:val="18"/>
              </w:rPr>
              <w:t>4.</w:t>
            </w:r>
            <w:r w:rsidRPr="00C26513">
              <w:rPr>
                <w:rFonts w:eastAsia="宋体" w:cs="Times New Roman" w:hint="eastAsia"/>
                <w:sz w:val="18"/>
                <w:szCs w:val="18"/>
              </w:rPr>
              <w:t>住房公积金</w:t>
            </w:r>
          </w:p>
        </w:tc>
        <w:tc>
          <w:tcPr>
            <w:tcW w:w="1692" w:type="dxa"/>
            <w:tcMar>
              <w:top w:w="0" w:type="dxa"/>
              <w:left w:w="108" w:type="dxa"/>
              <w:bottom w:w="0" w:type="dxa"/>
              <w:right w:w="108" w:type="dxa"/>
            </w:tcMar>
            <w:vAlign w:val="center"/>
          </w:tcPr>
          <w:p w:rsidR="004D0E23" w:rsidRPr="00C26513" w:rsidRDefault="004D0E23" w:rsidP="004D0E23">
            <w:pPr>
              <w:spacing w:line="235" w:lineRule="auto"/>
              <w:ind w:left="720" w:hanging="720"/>
              <w:jc w:val="right"/>
              <w:rPr>
                <w:rFonts w:eastAsia="宋体" w:cs="Times New Roman"/>
                <w:sz w:val="18"/>
                <w:szCs w:val="18"/>
              </w:rPr>
            </w:pPr>
            <w:r w:rsidRPr="00C26513">
              <w:rPr>
                <w:rFonts w:eastAsia="宋体" w:cs="Times New Roman"/>
                <w:sz w:val="18"/>
                <w:szCs w:val="18"/>
              </w:rPr>
              <w:t>325,226.00</w:t>
            </w:r>
          </w:p>
        </w:tc>
        <w:tc>
          <w:tcPr>
            <w:tcW w:w="1693"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64,087,191.86</w:t>
            </w:r>
          </w:p>
        </w:tc>
        <w:tc>
          <w:tcPr>
            <w:tcW w:w="1693"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63,577,573.86</w:t>
            </w:r>
          </w:p>
        </w:tc>
        <w:tc>
          <w:tcPr>
            <w:tcW w:w="1694"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834,844.00</w:t>
            </w:r>
          </w:p>
        </w:tc>
      </w:tr>
      <w:tr w:rsidR="004D0E23" w:rsidRPr="00C26513" w:rsidTr="0027505B">
        <w:trPr>
          <w:trHeight w:val="20"/>
        </w:trPr>
        <w:tc>
          <w:tcPr>
            <w:tcW w:w="2682" w:type="dxa"/>
            <w:shd w:val="clear" w:color="auto" w:fill="FFFFFF" w:themeFill="background1"/>
            <w:tcMar>
              <w:top w:w="0" w:type="dxa"/>
              <w:left w:w="108" w:type="dxa"/>
              <w:bottom w:w="0" w:type="dxa"/>
              <w:right w:w="108" w:type="dxa"/>
            </w:tcMar>
            <w:vAlign w:val="center"/>
          </w:tcPr>
          <w:p w:rsidR="004D0E23" w:rsidRPr="00C26513" w:rsidRDefault="004D0E23" w:rsidP="004D0E23">
            <w:pPr>
              <w:spacing w:line="235" w:lineRule="auto"/>
              <w:rPr>
                <w:rFonts w:eastAsia="宋体" w:cs="Times New Roman"/>
                <w:sz w:val="18"/>
                <w:szCs w:val="18"/>
              </w:rPr>
            </w:pPr>
            <w:r w:rsidRPr="00C26513">
              <w:rPr>
                <w:rFonts w:eastAsia="宋体" w:cs="Times New Roman"/>
                <w:sz w:val="18"/>
                <w:szCs w:val="18"/>
              </w:rPr>
              <w:t>5.</w:t>
            </w:r>
            <w:r w:rsidRPr="00C26513">
              <w:rPr>
                <w:rFonts w:eastAsia="宋体" w:cs="Times New Roman" w:hint="eastAsia"/>
                <w:sz w:val="18"/>
                <w:szCs w:val="18"/>
              </w:rPr>
              <w:t>工会经费和职工教育经费</w:t>
            </w:r>
          </w:p>
        </w:tc>
        <w:tc>
          <w:tcPr>
            <w:tcW w:w="1692" w:type="dxa"/>
            <w:tcMar>
              <w:top w:w="0" w:type="dxa"/>
              <w:left w:w="108" w:type="dxa"/>
              <w:bottom w:w="0" w:type="dxa"/>
              <w:right w:w="108" w:type="dxa"/>
            </w:tcMar>
            <w:vAlign w:val="center"/>
          </w:tcPr>
          <w:p w:rsidR="004D0E23" w:rsidRPr="00C26513" w:rsidRDefault="004D0E23" w:rsidP="004D0E23">
            <w:pPr>
              <w:spacing w:line="235" w:lineRule="auto"/>
              <w:ind w:left="720" w:hanging="720"/>
              <w:jc w:val="right"/>
              <w:rPr>
                <w:rFonts w:eastAsia="宋体" w:cs="Times New Roman"/>
                <w:sz w:val="18"/>
                <w:szCs w:val="18"/>
              </w:rPr>
            </w:pPr>
            <w:r w:rsidRPr="00C26513">
              <w:rPr>
                <w:rFonts w:eastAsia="宋体" w:cs="Times New Roman"/>
                <w:sz w:val="18"/>
                <w:szCs w:val="18"/>
              </w:rPr>
              <w:t>24,216,939.48</w:t>
            </w:r>
          </w:p>
        </w:tc>
        <w:tc>
          <w:tcPr>
            <w:tcW w:w="1693"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17,843,699.21</w:t>
            </w:r>
          </w:p>
        </w:tc>
        <w:tc>
          <w:tcPr>
            <w:tcW w:w="1693"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14,346,304.87</w:t>
            </w:r>
          </w:p>
        </w:tc>
        <w:tc>
          <w:tcPr>
            <w:tcW w:w="1694"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27,714,333.82</w:t>
            </w:r>
          </w:p>
        </w:tc>
      </w:tr>
      <w:tr w:rsidR="004D0E23" w:rsidRPr="00C26513" w:rsidTr="0027505B">
        <w:trPr>
          <w:trHeight w:val="20"/>
        </w:trPr>
        <w:tc>
          <w:tcPr>
            <w:tcW w:w="2682" w:type="dxa"/>
            <w:shd w:val="clear" w:color="auto" w:fill="D9D9D9" w:themeFill="background1" w:themeFillShade="D9"/>
            <w:tcMar>
              <w:top w:w="0" w:type="dxa"/>
              <w:left w:w="108" w:type="dxa"/>
              <w:bottom w:w="0" w:type="dxa"/>
              <w:right w:w="108" w:type="dxa"/>
            </w:tcMar>
            <w:vAlign w:val="center"/>
            <w:hideMark/>
          </w:tcPr>
          <w:p w:rsidR="004D0E23" w:rsidRPr="00C26513" w:rsidRDefault="004D0E23" w:rsidP="004D0E23">
            <w:pPr>
              <w:spacing w:line="235" w:lineRule="auto"/>
              <w:rPr>
                <w:rFonts w:eastAsia="宋体" w:cs="Times New Roman"/>
                <w:sz w:val="18"/>
                <w:szCs w:val="18"/>
              </w:rPr>
            </w:pPr>
            <w:r w:rsidRPr="00C26513">
              <w:rPr>
                <w:rFonts w:eastAsia="宋体" w:cs="Times New Roman" w:hint="eastAsia"/>
                <w:bCs/>
                <w:sz w:val="18"/>
                <w:szCs w:val="18"/>
              </w:rPr>
              <w:t>合计</w:t>
            </w:r>
          </w:p>
        </w:tc>
        <w:tc>
          <w:tcPr>
            <w:tcW w:w="1692" w:type="dxa"/>
            <w:tcMar>
              <w:top w:w="0" w:type="dxa"/>
              <w:left w:w="108" w:type="dxa"/>
              <w:bottom w:w="0" w:type="dxa"/>
              <w:right w:w="108" w:type="dxa"/>
            </w:tcMar>
            <w:vAlign w:val="center"/>
          </w:tcPr>
          <w:p w:rsidR="004D0E23" w:rsidRPr="00C26513" w:rsidRDefault="004D0E23" w:rsidP="004D0E23">
            <w:pPr>
              <w:spacing w:line="235" w:lineRule="auto"/>
              <w:ind w:left="720" w:hanging="720"/>
              <w:jc w:val="right"/>
              <w:rPr>
                <w:rFonts w:eastAsia="宋体" w:cs="Times New Roman"/>
                <w:sz w:val="18"/>
                <w:szCs w:val="18"/>
              </w:rPr>
            </w:pPr>
            <w:r w:rsidRPr="00C26513">
              <w:rPr>
                <w:rFonts w:eastAsia="宋体" w:cs="Times New Roman"/>
                <w:sz w:val="18"/>
                <w:szCs w:val="18"/>
              </w:rPr>
              <w:t>237,199,390.66</w:t>
            </w:r>
          </w:p>
        </w:tc>
        <w:tc>
          <w:tcPr>
            <w:tcW w:w="1693" w:type="dxa"/>
            <w:tcMar>
              <w:top w:w="0" w:type="dxa"/>
              <w:left w:w="108" w:type="dxa"/>
              <w:bottom w:w="0" w:type="dxa"/>
              <w:right w:w="108" w:type="dxa"/>
            </w:tcMar>
            <w:vAlign w:val="center"/>
          </w:tcPr>
          <w:p w:rsidR="004D0E23" w:rsidRPr="00C26513" w:rsidRDefault="00EB5503" w:rsidP="004D0E23">
            <w:pPr>
              <w:spacing w:line="235" w:lineRule="auto"/>
              <w:ind w:left="720" w:hanging="720"/>
              <w:jc w:val="right"/>
              <w:rPr>
                <w:rFonts w:eastAsia="宋体" w:cs="Times New Roman"/>
                <w:sz w:val="18"/>
                <w:szCs w:val="18"/>
              </w:rPr>
            </w:pPr>
            <w:r w:rsidRPr="00C26513">
              <w:rPr>
                <w:rFonts w:eastAsia="宋体" w:cs="Times New Roman"/>
                <w:sz w:val="18"/>
                <w:szCs w:val="18"/>
              </w:rPr>
              <w:t>1,011,592,823.64</w:t>
            </w:r>
          </w:p>
        </w:tc>
        <w:tc>
          <w:tcPr>
            <w:tcW w:w="1693" w:type="dxa"/>
            <w:tcMar>
              <w:top w:w="0" w:type="dxa"/>
              <w:left w:w="108" w:type="dxa"/>
              <w:bottom w:w="0" w:type="dxa"/>
              <w:right w:w="108" w:type="dxa"/>
            </w:tcMar>
            <w:vAlign w:val="center"/>
          </w:tcPr>
          <w:p w:rsidR="004D0E23" w:rsidRPr="00C26513" w:rsidRDefault="00EB5503" w:rsidP="004D0E23">
            <w:pPr>
              <w:spacing w:line="235" w:lineRule="auto"/>
              <w:ind w:left="720" w:hanging="720"/>
              <w:jc w:val="right"/>
              <w:rPr>
                <w:rFonts w:eastAsia="宋体" w:cs="Times New Roman"/>
                <w:sz w:val="18"/>
                <w:szCs w:val="18"/>
              </w:rPr>
            </w:pPr>
            <w:r w:rsidRPr="00C26513">
              <w:rPr>
                <w:rFonts w:eastAsia="宋体" w:cs="Times New Roman"/>
                <w:sz w:val="18"/>
                <w:szCs w:val="18"/>
              </w:rPr>
              <w:t>954,320,278.34</w:t>
            </w:r>
          </w:p>
        </w:tc>
        <w:tc>
          <w:tcPr>
            <w:tcW w:w="1694" w:type="dxa"/>
            <w:tcMar>
              <w:top w:w="0" w:type="dxa"/>
              <w:left w:w="108" w:type="dxa"/>
              <w:bottom w:w="0" w:type="dxa"/>
              <w:right w:w="108" w:type="dxa"/>
            </w:tcMar>
            <w:vAlign w:val="center"/>
          </w:tcPr>
          <w:p w:rsidR="004D0E23" w:rsidRPr="00C26513" w:rsidRDefault="006351A9" w:rsidP="004D0E23">
            <w:pPr>
              <w:spacing w:line="235" w:lineRule="auto"/>
              <w:ind w:left="720" w:hanging="720"/>
              <w:jc w:val="right"/>
              <w:rPr>
                <w:rFonts w:eastAsia="宋体" w:cs="Times New Roman"/>
                <w:sz w:val="18"/>
                <w:szCs w:val="18"/>
              </w:rPr>
            </w:pPr>
            <w:r w:rsidRPr="00C26513">
              <w:rPr>
                <w:rFonts w:eastAsia="宋体" w:cs="Times New Roman"/>
                <w:sz w:val="18"/>
                <w:szCs w:val="18"/>
              </w:rPr>
              <w:t>294,471,935.96</w:t>
            </w:r>
          </w:p>
        </w:tc>
      </w:tr>
    </w:tbl>
    <w:p w:rsidR="00827678" w:rsidRPr="00F66363" w:rsidRDefault="005F14EE">
      <w:pPr>
        <w:rPr>
          <w:rFonts w:eastAsia="宋体" w:cs="Times New Roman"/>
          <w:szCs w:val="21"/>
        </w:rPr>
      </w:pPr>
      <w:r>
        <w:rPr>
          <w:rFonts w:eastAsia="宋体" w:cs="Times New Roman"/>
          <w:b/>
          <w:szCs w:val="21"/>
        </w:rPr>
        <w:t>(</w:t>
      </w:r>
      <w:r w:rsidR="00827678" w:rsidRPr="00F66363">
        <w:rPr>
          <w:rFonts w:eastAsia="宋体" w:cs="Times New Roman" w:hint="eastAsia"/>
          <w:b/>
          <w:szCs w:val="21"/>
        </w:rPr>
        <w:t>五</w:t>
      </w:r>
      <w:r>
        <w:rPr>
          <w:rFonts w:eastAsia="宋体" w:cs="Times New Roman"/>
          <w:b/>
          <w:szCs w:val="21"/>
        </w:rPr>
        <w:t>)</w:t>
      </w:r>
      <w:r w:rsidR="00827678" w:rsidRPr="00F66363">
        <w:rPr>
          <w:rFonts w:eastAsia="宋体" w:cs="Times New Roman"/>
          <w:b/>
          <w:szCs w:val="21"/>
        </w:rPr>
        <w:tab/>
      </w:r>
      <w:r w:rsidR="00827678" w:rsidRPr="00F66363">
        <w:rPr>
          <w:rFonts w:eastAsia="宋体" w:cs="Times New Roman" w:hint="eastAsia"/>
          <w:b/>
          <w:szCs w:val="21"/>
        </w:rPr>
        <w:t>合并财务报表项目注释</w:t>
      </w:r>
      <w:r w:rsidR="00827678" w:rsidRPr="00F66363">
        <w:rPr>
          <w:rFonts w:eastAsia="宋体" w:cs="Times New Roman"/>
          <w:bCs/>
          <w:szCs w:val="21"/>
        </w:rPr>
        <w:t xml:space="preserve"> </w:t>
      </w:r>
      <w:r w:rsidR="00827678" w:rsidRPr="00F66363">
        <w:rPr>
          <w:rFonts w:eastAsia="宋体" w:cs="Times New Roman"/>
          <w:szCs w:val="21"/>
        </w:rPr>
        <w:t xml:space="preserve">- </w:t>
      </w:r>
      <w:r w:rsidR="00827678" w:rsidRPr="00F66363">
        <w:rPr>
          <w:rFonts w:eastAsia="宋体" w:cs="Times New Roman" w:hint="eastAsia"/>
          <w:szCs w:val="21"/>
        </w:rPr>
        <w:t>续</w:t>
      </w:r>
    </w:p>
    <w:p w:rsidR="008D35FE" w:rsidRDefault="008D35FE" w:rsidP="0027505B">
      <w:pPr>
        <w:ind w:left="720"/>
        <w:jc w:val="both"/>
        <w:rPr>
          <w:rFonts w:eastAsia="宋体" w:cs="Times New Roman"/>
          <w:szCs w:val="18"/>
        </w:rPr>
      </w:pPr>
    </w:p>
    <w:p w:rsidR="00827678" w:rsidRDefault="00827678" w:rsidP="0027505B">
      <w:pPr>
        <w:ind w:left="720"/>
        <w:jc w:val="both"/>
        <w:rPr>
          <w:rFonts w:eastAsia="宋体" w:cs="Times New Roman"/>
          <w:szCs w:val="18"/>
        </w:rPr>
      </w:pPr>
      <w:r w:rsidRPr="00FE2C30">
        <w:rPr>
          <w:rFonts w:eastAsia="宋体" w:cs="Times New Roman"/>
          <w:b/>
          <w:bCs/>
          <w:szCs w:val="18"/>
        </w:rPr>
        <w:t>23</w:t>
      </w:r>
      <w:r w:rsidRPr="00FE2C30">
        <w:rPr>
          <w:rFonts w:eastAsia="宋体" w:cs="Times New Roman" w:hint="eastAsia"/>
          <w:b/>
          <w:bCs/>
          <w:szCs w:val="18"/>
        </w:rPr>
        <w:t>、</w:t>
      </w:r>
      <w:r w:rsidRPr="00FE2C30">
        <w:rPr>
          <w:rFonts w:eastAsia="宋体" w:cs="Times New Roman"/>
          <w:b/>
          <w:bCs/>
          <w:szCs w:val="18"/>
        </w:rPr>
        <w:tab/>
      </w:r>
      <w:r w:rsidRPr="00FE2C30">
        <w:rPr>
          <w:rFonts w:eastAsia="宋体" w:cs="Times New Roman" w:hint="eastAsia"/>
          <w:b/>
          <w:bCs/>
          <w:szCs w:val="18"/>
        </w:rPr>
        <w:t>应付职工薪酬</w:t>
      </w:r>
      <w:r>
        <w:rPr>
          <w:rFonts w:eastAsia="宋体" w:cs="Times New Roman" w:hint="eastAsia"/>
          <w:szCs w:val="18"/>
        </w:rPr>
        <w:t xml:space="preserve"> </w:t>
      </w:r>
      <w:r w:rsidRPr="00F66363">
        <w:rPr>
          <w:rFonts w:eastAsia="宋体" w:cs="Times New Roman"/>
          <w:szCs w:val="21"/>
        </w:rPr>
        <w:t xml:space="preserve">- </w:t>
      </w:r>
      <w:r w:rsidRPr="00F66363">
        <w:rPr>
          <w:rFonts w:eastAsia="宋体" w:cs="Times New Roman" w:hint="eastAsia"/>
          <w:szCs w:val="21"/>
        </w:rPr>
        <w:t>续</w:t>
      </w:r>
    </w:p>
    <w:p w:rsidR="00827678" w:rsidRPr="00A71D2E" w:rsidRDefault="00827678" w:rsidP="0027505B">
      <w:pPr>
        <w:ind w:left="720"/>
        <w:jc w:val="both"/>
        <w:rPr>
          <w:rFonts w:eastAsia="宋体" w:cs="Times New Roman"/>
          <w:szCs w:val="18"/>
        </w:rPr>
      </w:pPr>
    </w:p>
    <w:p w:rsidR="00EB68E7" w:rsidRPr="00A71D2E" w:rsidRDefault="00EB68E7" w:rsidP="0027505B">
      <w:pPr>
        <w:pStyle w:val="aff1"/>
        <w:numPr>
          <w:ilvl w:val="0"/>
          <w:numId w:val="5"/>
        </w:numPr>
        <w:ind w:left="1440" w:firstLineChars="0" w:hanging="709"/>
      </w:pPr>
      <w:r w:rsidRPr="00A71D2E">
        <w:rPr>
          <w:rFonts w:hint="eastAsia"/>
        </w:rPr>
        <w:t>设定提存计划</w:t>
      </w:r>
    </w:p>
    <w:p w:rsidR="00EB68E7" w:rsidRPr="00A71D2E" w:rsidRDefault="00EB68E7" w:rsidP="0027505B">
      <w:pPr>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692"/>
        <w:gridCol w:w="1692"/>
        <w:gridCol w:w="1692"/>
        <w:gridCol w:w="1692"/>
      </w:tblGrid>
      <w:tr w:rsidR="0029670E" w:rsidRPr="00A71D2E" w:rsidTr="0027505B">
        <w:trPr>
          <w:trHeight w:val="20"/>
        </w:trPr>
        <w:tc>
          <w:tcPr>
            <w:tcW w:w="2688" w:type="dxa"/>
            <w:shd w:val="clear" w:color="auto" w:fill="D9D9D9" w:themeFill="background1" w:themeFillShade="D9"/>
            <w:vAlign w:val="center"/>
          </w:tcPr>
          <w:p w:rsidR="0029670E" w:rsidRPr="00A71D2E" w:rsidRDefault="0029670E" w:rsidP="0027505B">
            <w:pPr>
              <w:jc w:val="center"/>
              <w:rPr>
                <w:rFonts w:eastAsia="宋体" w:cs="Times New Roman"/>
                <w:sz w:val="18"/>
                <w:szCs w:val="18"/>
              </w:rPr>
            </w:pPr>
            <w:r w:rsidRPr="00A71D2E">
              <w:rPr>
                <w:rFonts w:eastAsia="宋体" w:cs="Times New Roman" w:hint="eastAsia"/>
                <w:sz w:val="18"/>
                <w:szCs w:val="18"/>
              </w:rPr>
              <w:t>项目</w:t>
            </w:r>
          </w:p>
        </w:tc>
        <w:tc>
          <w:tcPr>
            <w:tcW w:w="1692" w:type="dxa"/>
            <w:shd w:val="clear" w:color="auto" w:fill="D9D9D9" w:themeFill="background1" w:themeFillShade="D9"/>
            <w:vAlign w:val="center"/>
          </w:tcPr>
          <w:p w:rsidR="0029670E" w:rsidRPr="00A71D2E" w:rsidRDefault="0029670E" w:rsidP="0027505B">
            <w:pPr>
              <w:jc w:val="center"/>
              <w:rPr>
                <w:rFonts w:eastAsia="宋体" w:cs="Times New Roman"/>
                <w:sz w:val="18"/>
                <w:szCs w:val="18"/>
              </w:rPr>
            </w:pPr>
            <w:r w:rsidRPr="00A71D2E">
              <w:rPr>
                <w:rFonts w:eastAsia="宋体" w:cs="Times New Roman" w:hint="eastAsia"/>
                <w:sz w:val="18"/>
                <w:szCs w:val="18"/>
              </w:rPr>
              <w:t>年初余额</w:t>
            </w:r>
          </w:p>
        </w:tc>
        <w:tc>
          <w:tcPr>
            <w:tcW w:w="1692" w:type="dxa"/>
            <w:shd w:val="clear" w:color="auto" w:fill="D9D9D9" w:themeFill="background1" w:themeFillShade="D9"/>
            <w:vAlign w:val="center"/>
          </w:tcPr>
          <w:p w:rsidR="0029670E" w:rsidRPr="00A71D2E" w:rsidRDefault="0029670E" w:rsidP="0027505B">
            <w:pPr>
              <w:jc w:val="center"/>
              <w:rPr>
                <w:rFonts w:eastAsia="宋体" w:cs="Times New Roman"/>
                <w:sz w:val="18"/>
                <w:szCs w:val="18"/>
              </w:rPr>
            </w:pPr>
            <w:r w:rsidRPr="00A71D2E">
              <w:rPr>
                <w:rFonts w:eastAsia="宋体" w:cs="Times New Roman" w:hint="eastAsia"/>
                <w:sz w:val="18"/>
                <w:szCs w:val="18"/>
              </w:rPr>
              <w:t>本年增加</w:t>
            </w:r>
          </w:p>
        </w:tc>
        <w:tc>
          <w:tcPr>
            <w:tcW w:w="1692" w:type="dxa"/>
            <w:shd w:val="clear" w:color="auto" w:fill="D9D9D9" w:themeFill="background1" w:themeFillShade="D9"/>
            <w:vAlign w:val="center"/>
          </w:tcPr>
          <w:p w:rsidR="0029670E" w:rsidRPr="00A71D2E" w:rsidRDefault="0029670E" w:rsidP="0027505B">
            <w:pPr>
              <w:jc w:val="center"/>
              <w:rPr>
                <w:rFonts w:eastAsia="宋体" w:cs="Times New Roman"/>
                <w:sz w:val="18"/>
                <w:szCs w:val="18"/>
              </w:rPr>
            </w:pPr>
            <w:r w:rsidRPr="00A71D2E">
              <w:rPr>
                <w:rFonts w:eastAsia="宋体" w:cs="Times New Roman" w:hint="eastAsia"/>
                <w:sz w:val="18"/>
                <w:szCs w:val="18"/>
              </w:rPr>
              <w:t>本年减少</w:t>
            </w:r>
          </w:p>
        </w:tc>
        <w:tc>
          <w:tcPr>
            <w:tcW w:w="1692" w:type="dxa"/>
            <w:shd w:val="clear" w:color="auto" w:fill="D9D9D9" w:themeFill="background1" w:themeFillShade="D9"/>
            <w:vAlign w:val="center"/>
          </w:tcPr>
          <w:p w:rsidR="0029670E" w:rsidRPr="00A71D2E" w:rsidRDefault="0029670E" w:rsidP="0027505B">
            <w:pPr>
              <w:ind w:left="-104" w:right="-101"/>
              <w:jc w:val="center"/>
              <w:rPr>
                <w:rFonts w:eastAsia="宋体" w:cs="Times New Roman"/>
                <w:sz w:val="18"/>
                <w:szCs w:val="18"/>
              </w:rPr>
            </w:pPr>
            <w:r w:rsidRPr="00A71D2E">
              <w:rPr>
                <w:rFonts w:eastAsia="宋体" w:cs="Times New Roman" w:hint="eastAsia"/>
                <w:sz w:val="18"/>
                <w:szCs w:val="18"/>
              </w:rPr>
              <w:t>年末余额</w:t>
            </w:r>
          </w:p>
        </w:tc>
      </w:tr>
      <w:tr w:rsidR="004D0E23" w:rsidRPr="00A71D2E" w:rsidTr="0027505B">
        <w:trPr>
          <w:trHeight w:val="20"/>
        </w:trPr>
        <w:tc>
          <w:tcPr>
            <w:tcW w:w="2688" w:type="dxa"/>
            <w:shd w:val="clear" w:color="auto" w:fill="FFFFFF" w:themeFill="background1"/>
            <w:vAlign w:val="center"/>
          </w:tcPr>
          <w:p w:rsidR="004D0E23" w:rsidRPr="00A71D2E" w:rsidRDefault="004D0E23" w:rsidP="0027505B">
            <w:pPr>
              <w:rPr>
                <w:rFonts w:eastAsia="宋体" w:cs="Times New Roman"/>
                <w:sz w:val="18"/>
                <w:szCs w:val="18"/>
              </w:rPr>
            </w:pPr>
            <w:r w:rsidRPr="00A71D2E">
              <w:rPr>
                <w:rFonts w:eastAsia="宋体" w:cs="Times New Roman"/>
                <w:sz w:val="18"/>
                <w:szCs w:val="18"/>
              </w:rPr>
              <w:t>1.</w:t>
            </w:r>
            <w:r w:rsidRPr="00A71D2E">
              <w:rPr>
                <w:rFonts w:eastAsia="宋体" w:cs="Times New Roman" w:hint="eastAsia"/>
                <w:sz w:val="18"/>
                <w:szCs w:val="18"/>
              </w:rPr>
              <w:t>基本养老保险</w:t>
            </w:r>
          </w:p>
        </w:tc>
        <w:tc>
          <w:tcPr>
            <w:tcW w:w="1692" w:type="dxa"/>
            <w:vAlign w:val="center"/>
          </w:tcPr>
          <w:p w:rsidR="004D0E23" w:rsidRPr="00A71D2E" w:rsidRDefault="004D0E23" w:rsidP="0027505B">
            <w:pPr>
              <w:ind w:left="720" w:hanging="720"/>
              <w:jc w:val="right"/>
              <w:rPr>
                <w:rFonts w:eastAsia="宋体" w:cs="Times New Roman"/>
                <w:sz w:val="18"/>
                <w:szCs w:val="18"/>
              </w:rPr>
            </w:pPr>
            <w:r w:rsidRPr="00A71D2E">
              <w:rPr>
                <w:rFonts w:eastAsia="宋体" w:cs="Times New Roman"/>
                <w:sz w:val="18"/>
                <w:szCs w:val="18"/>
              </w:rPr>
              <w:t>7,050,249.80</w:t>
            </w:r>
          </w:p>
        </w:tc>
        <w:tc>
          <w:tcPr>
            <w:tcW w:w="1692" w:type="dxa"/>
            <w:vAlign w:val="center"/>
          </w:tcPr>
          <w:p w:rsidR="004D0E23" w:rsidRPr="00A71D2E" w:rsidRDefault="006351A9" w:rsidP="0027505B">
            <w:pPr>
              <w:ind w:left="720" w:hanging="720"/>
              <w:jc w:val="right"/>
              <w:rPr>
                <w:rFonts w:eastAsia="宋体" w:cs="Times New Roman"/>
                <w:sz w:val="18"/>
                <w:szCs w:val="18"/>
              </w:rPr>
            </w:pPr>
            <w:r w:rsidRPr="006351A9">
              <w:rPr>
                <w:rFonts w:eastAsia="宋体" w:cs="Times New Roman"/>
                <w:sz w:val="18"/>
                <w:szCs w:val="18"/>
              </w:rPr>
              <w:t>60,931,336.59</w:t>
            </w:r>
          </w:p>
        </w:tc>
        <w:tc>
          <w:tcPr>
            <w:tcW w:w="1692" w:type="dxa"/>
            <w:vAlign w:val="center"/>
          </w:tcPr>
          <w:p w:rsidR="004D0E23" w:rsidRPr="00A71D2E" w:rsidRDefault="00AA6540" w:rsidP="0027505B">
            <w:pPr>
              <w:ind w:left="720" w:hanging="720"/>
              <w:jc w:val="right"/>
              <w:rPr>
                <w:rFonts w:eastAsia="宋体" w:cs="Times New Roman"/>
                <w:sz w:val="18"/>
                <w:szCs w:val="18"/>
              </w:rPr>
            </w:pPr>
            <w:r w:rsidRPr="00AA6540">
              <w:rPr>
                <w:rFonts w:eastAsia="宋体" w:cs="Times New Roman"/>
                <w:sz w:val="18"/>
                <w:szCs w:val="18"/>
              </w:rPr>
              <w:t>63,058,160.26</w:t>
            </w:r>
          </w:p>
        </w:tc>
        <w:tc>
          <w:tcPr>
            <w:tcW w:w="1692" w:type="dxa"/>
            <w:vAlign w:val="center"/>
          </w:tcPr>
          <w:p w:rsidR="004D0E23" w:rsidRPr="00A71D2E" w:rsidRDefault="00AA6540" w:rsidP="0027505B">
            <w:pPr>
              <w:ind w:left="720" w:hanging="720"/>
              <w:jc w:val="right"/>
              <w:rPr>
                <w:rFonts w:eastAsia="宋体" w:cs="Times New Roman"/>
                <w:sz w:val="18"/>
                <w:szCs w:val="18"/>
              </w:rPr>
            </w:pPr>
            <w:r w:rsidRPr="00AA6540">
              <w:rPr>
                <w:rFonts w:eastAsia="宋体" w:cs="Times New Roman"/>
                <w:sz w:val="18"/>
                <w:szCs w:val="18"/>
              </w:rPr>
              <w:t>4,923,426.13</w:t>
            </w:r>
          </w:p>
        </w:tc>
      </w:tr>
      <w:tr w:rsidR="004D0E23" w:rsidRPr="00A71D2E" w:rsidTr="0027505B">
        <w:trPr>
          <w:trHeight w:val="20"/>
        </w:trPr>
        <w:tc>
          <w:tcPr>
            <w:tcW w:w="2688" w:type="dxa"/>
            <w:shd w:val="clear" w:color="auto" w:fill="FFFFFF" w:themeFill="background1"/>
            <w:vAlign w:val="center"/>
          </w:tcPr>
          <w:p w:rsidR="004D0E23" w:rsidRPr="00A71D2E" w:rsidRDefault="004D0E23" w:rsidP="0027505B">
            <w:pPr>
              <w:rPr>
                <w:rFonts w:eastAsia="宋体" w:cs="Times New Roman"/>
                <w:sz w:val="18"/>
                <w:szCs w:val="18"/>
              </w:rPr>
            </w:pPr>
            <w:r w:rsidRPr="00A71D2E">
              <w:rPr>
                <w:rFonts w:eastAsia="宋体" w:cs="Times New Roman"/>
                <w:sz w:val="18"/>
                <w:szCs w:val="18"/>
              </w:rPr>
              <w:t>2.</w:t>
            </w:r>
            <w:r w:rsidRPr="00A71D2E">
              <w:rPr>
                <w:rFonts w:eastAsia="宋体" w:cs="Times New Roman" w:hint="eastAsia"/>
                <w:sz w:val="18"/>
                <w:szCs w:val="18"/>
              </w:rPr>
              <w:t>失业保险费</w:t>
            </w:r>
          </w:p>
        </w:tc>
        <w:tc>
          <w:tcPr>
            <w:tcW w:w="1692" w:type="dxa"/>
            <w:vAlign w:val="center"/>
          </w:tcPr>
          <w:p w:rsidR="004D0E23" w:rsidRPr="00A71D2E" w:rsidRDefault="004D0E23" w:rsidP="0027505B">
            <w:pPr>
              <w:ind w:left="720" w:hanging="720"/>
              <w:jc w:val="right"/>
              <w:rPr>
                <w:rFonts w:eastAsia="宋体" w:cs="Times New Roman"/>
                <w:sz w:val="18"/>
                <w:szCs w:val="18"/>
              </w:rPr>
            </w:pPr>
            <w:r w:rsidRPr="00A71D2E">
              <w:rPr>
                <w:rFonts w:eastAsia="宋体" w:cs="Times New Roman"/>
                <w:sz w:val="18"/>
                <w:szCs w:val="18"/>
              </w:rPr>
              <w:t>251,385.34</w:t>
            </w:r>
          </w:p>
        </w:tc>
        <w:tc>
          <w:tcPr>
            <w:tcW w:w="1692" w:type="dxa"/>
            <w:vAlign w:val="center"/>
          </w:tcPr>
          <w:p w:rsidR="004D0E23" w:rsidRPr="00A71D2E" w:rsidRDefault="006351A9" w:rsidP="0027505B">
            <w:pPr>
              <w:ind w:left="720" w:hanging="720"/>
              <w:jc w:val="right"/>
              <w:rPr>
                <w:rFonts w:eastAsia="宋体" w:cs="Times New Roman"/>
                <w:sz w:val="18"/>
                <w:szCs w:val="18"/>
              </w:rPr>
            </w:pPr>
            <w:r w:rsidRPr="006351A9">
              <w:rPr>
                <w:rFonts w:eastAsia="宋体" w:cs="Times New Roman"/>
                <w:sz w:val="18"/>
                <w:szCs w:val="18"/>
              </w:rPr>
              <w:t>2,198,843.52</w:t>
            </w:r>
          </w:p>
        </w:tc>
        <w:tc>
          <w:tcPr>
            <w:tcW w:w="1692" w:type="dxa"/>
            <w:vAlign w:val="center"/>
          </w:tcPr>
          <w:p w:rsidR="004D0E23" w:rsidRPr="00A71D2E" w:rsidRDefault="00AA6540" w:rsidP="0027505B">
            <w:pPr>
              <w:ind w:left="720" w:hanging="720"/>
              <w:jc w:val="right"/>
              <w:rPr>
                <w:rFonts w:eastAsia="宋体" w:cs="Times New Roman"/>
                <w:sz w:val="18"/>
                <w:szCs w:val="18"/>
              </w:rPr>
            </w:pPr>
            <w:r w:rsidRPr="00AA6540">
              <w:rPr>
                <w:rFonts w:eastAsia="宋体" w:cs="Times New Roman"/>
                <w:sz w:val="18"/>
                <w:szCs w:val="18"/>
              </w:rPr>
              <w:t>2,280,207.38</w:t>
            </w:r>
          </w:p>
        </w:tc>
        <w:tc>
          <w:tcPr>
            <w:tcW w:w="1692" w:type="dxa"/>
            <w:vAlign w:val="center"/>
          </w:tcPr>
          <w:p w:rsidR="004D0E23" w:rsidRPr="00A71D2E" w:rsidRDefault="00AA6540" w:rsidP="0027505B">
            <w:pPr>
              <w:ind w:left="720" w:hanging="720"/>
              <w:jc w:val="right"/>
              <w:rPr>
                <w:rFonts w:eastAsia="宋体" w:cs="Times New Roman"/>
                <w:sz w:val="18"/>
                <w:szCs w:val="18"/>
              </w:rPr>
            </w:pPr>
            <w:r w:rsidRPr="00AA6540">
              <w:rPr>
                <w:rFonts w:eastAsia="宋体" w:cs="Times New Roman"/>
                <w:sz w:val="18"/>
                <w:szCs w:val="18"/>
              </w:rPr>
              <w:t>170,021.48</w:t>
            </w:r>
          </w:p>
        </w:tc>
      </w:tr>
      <w:tr w:rsidR="004D0E23" w:rsidRPr="00A71D2E" w:rsidTr="0027505B">
        <w:trPr>
          <w:trHeight w:val="20"/>
        </w:trPr>
        <w:tc>
          <w:tcPr>
            <w:tcW w:w="2688" w:type="dxa"/>
            <w:shd w:val="clear" w:color="auto" w:fill="D9D9D9" w:themeFill="background1" w:themeFillShade="D9"/>
            <w:vAlign w:val="center"/>
          </w:tcPr>
          <w:p w:rsidR="004D0E23" w:rsidRPr="00A71D2E" w:rsidRDefault="004D0E23" w:rsidP="0027505B">
            <w:pPr>
              <w:rPr>
                <w:rFonts w:eastAsia="宋体" w:cs="Times New Roman"/>
                <w:sz w:val="18"/>
                <w:szCs w:val="18"/>
              </w:rPr>
            </w:pPr>
            <w:r w:rsidRPr="00A71D2E">
              <w:rPr>
                <w:rFonts w:eastAsia="宋体" w:cs="Times New Roman" w:hint="eastAsia"/>
                <w:sz w:val="18"/>
                <w:szCs w:val="18"/>
              </w:rPr>
              <w:t>合计</w:t>
            </w:r>
          </w:p>
        </w:tc>
        <w:tc>
          <w:tcPr>
            <w:tcW w:w="1692" w:type="dxa"/>
            <w:vAlign w:val="center"/>
          </w:tcPr>
          <w:p w:rsidR="004D0E23" w:rsidRPr="00A71D2E" w:rsidRDefault="004D0E23" w:rsidP="0027505B">
            <w:pPr>
              <w:ind w:left="720" w:hanging="720"/>
              <w:jc w:val="right"/>
              <w:rPr>
                <w:rFonts w:eastAsia="宋体" w:cs="Times New Roman"/>
                <w:sz w:val="18"/>
                <w:szCs w:val="18"/>
              </w:rPr>
            </w:pPr>
            <w:r w:rsidRPr="00A71D2E">
              <w:rPr>
                <w:rFonts w:eastAsia="宋体" w:cs="Times New Roman"/>
                <w:sz w:val="18"/>
                <w:szCs w:val="18"/>
              </w:rPr>
              <w:t>7,301,635.14</w:t>
            </w:r>
          </w:p>
        </w:tc>
        <w:tc>
          <w:tcPr>
            <w:tcW w:w="1692" w:type="dxa"/>
            <w:vAlign w:val="center"/>
          </w:tcPr>
          <w:p w:rsidR="004D0E23" w:rsidRPr="00A71D2E" w:rsidRDefault="00CD209A" w:rsidP="0027505B">
            <w:pPr>
              <w:ind w:left="720" w:hanging="720"/>
              <w:jc w:val="right"/>
              <w:rPr>
                <w:rFonts w:eastAsia="宋体" w:cs="Times New Roman"/>
                <w:sz w:val="18"/>
                <w:szCs w:val="18"/>
              </w:rPr>
            </w:pPr>
            <w:r w:rsidRPr="00CD209A">
              <w:rPr>
                <w:rFonts w:eastAsia="宋体" w:cs="Times New Roman"/>
                <w:sz w:val="18"/>
                <w:szCs w:val="18"/>
              </w:rPr>
              <w:t>63,130,180.11</w:t>
            </w:r>
          </w:p>
        </w:tc>
        <w:tc>
          <w:tcPr>
            <w:tcW w:w="1692" w:type="dxa"/>
            <w:vAlign w:val="center"/>
          </w:tcPr>
          <w:p w:rsidR="004D0E23" w:rsidRPr="00A71D2E" w:rsidRDefault="00CD209A" w:rsidP="0027505B">
            <w:pPr>
              <w:ind w:left="720" w:hanging="720"/>
              <w:jc w:val="right"/>
              <w:rPr>
                <w:rFonts w:eastAsia="宋体" w:cs="Times New Roman"/>
                <w:sz w:val="18"/>
                <w:szCs w:val="18"/>
              </w:rPr>
            </w:pPr>
            <w:r w:rsidRPr="00CD209A">
              <w:rPr>
                <w:rFonts w:eastAsia="宋体" w:cs="Times New Roman"/>
                <w:sz w:val="18"/>
                <w:szCs w:val="18"/>
              </w:rPr>
              <w:t>65,338,367.64</w:t>
            </w:r>
          </w:p>
        </w:tc>
        <w:tc>
          <w:tcPr>
            <w:tcW w:w="1692" w:type="dxa"/>
            <w:vAlign w:val="center"/>
          </w:tcPr>
          <w:p w:rsidR="004D0E23" w:rsidRPr="00A71D2E" w:rsidRDefault="00CD209A" w:rsidP="0027505B">
            <w:pPr>
              <w:ind w:left="720" w:hanging="720"/>
              <w:jc w:val="right"/>
              <w:rPr>
                <w:rFonts w:eastAsia="宋体" w:cs="Times New Roman"/>
                <w:sz w:val="18"/>
                <w:szCs w:val="18"/>
              </w:rPr>
            </w:pPr>
            <w:r w:rsidRPr="00CD209A">
              <w:rPr>
                <w:rFonts w:eastAsia="宋体" w:cs="Times New Roman"/>
                <w:sz w:val="18"/>
                <w:szCs w:val="18"/>
              </w:rPr>
              <w:t>5,093,447.61</w:t>
            </w:r>
          </w:p>
        </w:tc>
      </w:tr>
    </w:tbl>
    <w:p w:rsidR="00EB68E7" w:rsidRPr="00A71D2E" w:rsidRDefault="00EB68E7" w:rsidP="0027505B">
      <w:pPr>
        <w:ind w:left="720" w:right="-27"/>
        <w:rPr>
          <w:rFonts w:eastAsia="宋体" w:cs="Times New Roman"/>
          <w:szCs w:val="18"/>
        </w:rPr>
      </w:pPr>
    </w:p>
    <w:p w:rsidR="002C3181" w:rsidRPr="00A71D2E" w:rsidRDefault="002C3181" w:rsidP="0027505B">
      <w:pPr>
        <w:ind w:left="1440" w:hanging="720"/>
        <w:jc w:val="both"/>
        <w:rPr>
          <w:rFonts w:eastAsia="宋体" w:cs="Times New Roman"/>
          <w:szCs w:val="21"/>
        </w:rPr>
      </w:pPr>
      <w:r w:rsidRPr="00A71D2E">
        <w:rPr>
          <w:rFonts w:eastAsia="宋体" w:cs="Times New Roman" w:hint="eastAsia"/>
          <w:szCs w:val="21"/>
        </w:rPr>
        <w:t>注</w:t>
      </w:r>
      <w:r w:rsidR="005F14EE">
        <w:rPr>
          <w:rFonts w:eastAsia="宋体" w:cs="Times New Roman" w:hint="eastAsia"/>
          <w:szCs w:val="21"/>
        </w:rPr>
        <w:t>：</w:t>
      </w:r>
      <w:r w:rsidRPr="00A71D2E">
        <w:rPr>
          <w:rFonts w:eastAsia="宋体" w:cs="Times New Roman"/>
          <w:szCs w:val="21"/>
        </w:rPr>
        <w:tab/>
      </w:r>
      <w:r w:rsidR="00373426" w:rsidRPr="00A71D2E">
        <w:rPr>
          <w:rFonts w:eastAsia="宋体" w:cs="Times New Roman" w:hint="eastAsia"/>
          <w:szCs w:val="21"/>
        </w:rPr>
        <w:t>本集团按规定参加由政府机构设立的养老保险、失业保险计划设定提存计划，根据该等计划，本集团按缴存基数的相应比例每月向该等计划缴存费用。除上述每月缴存费用外，本集团不再承担进一步支付义务。相应的支出于发生时计入当期损益或相关资产的成本。</w:t>
      </w:r>
    </w:p>
    <w:p w:rsidR="002C3181" w:rsidRPr="00A71D2E" w:rsidRDefault="002C3181" w:rsidP="0027505B">
      <w:pPr>
        <w:ind w:left="1440"/>
        <w:jc w:val="both"/>
        <w:rPr>
          <w:rFonts w:eastAsia="宋体" w:cs="Times New Roman"/>
          <w:szCs w:val="21"/>
        </w:rPr>
      </w:pPr>
    </w:p>
    <w:p w:rsidR="00EB68E7" w:rsidRPr="00A71D2E" w:rsidRDefault="00C77283" w:rsidP="0027505B">
      <w:pPr>
        <w:ind w:left="1440"/>
        <w:jc w:val="both"/>
        <w:rPr>
          <w:rFonts w:eastAsia="宋体" w:cs="Times New Roman"/>
          <w:szCs w:val="21"/>
        </w:rPr>
      </w:pPr>
      <w:r w:rsidRPr="00A71D2E">
        <w:rPr>
          <w:rFonts w:eastAsia="宋体" w:cs="Times New Roman" w:hint="eastAsia"/>
          <w:szCs w:val="21"/>
        </w:rPr>
        <w:t>本集团本年</w:t>
      </w:r>
      <w:r w:rsidR="004D5B8D" w:rsidRPr="00A71D2E">
        <w:rPr>
          <w:rFonts w:eastAsia="宋体" w:cs="Times New Roman" w:hint="eastAsia"/>
          <w:szCs w:val="21"/>
        </w:rPr>
        <w:t>应分别向养老保险</w:t>
      </w:r>
      <w:r w:rsidRPr="00A71D2E">
        <w:rPr>
          <w:rFonts w:eastAsia="宋体" w:cs="Times New Roman" w:hint="eastAsia"/>
          <w:szCs w:val="21"/>
        </w:rPr>
        <w:t>、失业保险</w:t>
      </w:r>
      <w:r w:rsidR="004D5B8D" w:rsidRPr="00A71D2E">
        <w:rPr>
          <w:rFonts w:eastAsia="宋体" w:cs="Times New Roman" w:hint="eastAsia"/>
          <w:szCs w:val="21"/>
        </w:rPr>
        <w:t>计划缴存费用人民币</w:t>
      </w:r>
      <w:r w:rsidR="00601598">
        <w:rPr>
          <w:rFonts w:eastAsia="宋体" w:cs="Times New Roman"/>
          <w:szCs w:val="21"/>
        </w:rPr>
        <w:t xml:space="preserve"> </w:t>
      </w:r>
      <w:r w:rsidR="00AA6540">
        <w:rPr>
          <w:rFonts w:eastAsia="宋体" w:cs="Times New Roman"/>
          <w:szCs w:val="21"/>
        </w:rPr>
        <w:t>60,931,336.59</w:t>
      </w:r>
      <w:r w:rsidR="00601598">
        <w:rPr>
          <w:rFonts w:eastAsia="宋体" w:cs="Times New Roman"/>
          <w:szCs w:val="21"/>
        </w:rPr>
        <w:t xml:space="preserve"> </w:t>
      </w:r>
      <w:r w:rsidR="004D5B8D" w:rsidRPr="00A71D2E">
        <w:rPr>
          <w:rFonts w:eastAsia="宋体" w:cs="Times New Roman" w:hint="eastAsia"/>
          <w:szCs w:val="21"/>
        </w:rPr>
        <w:t>元</w:t>
      </w:r>
      <w:r w:rsidRPr="00A71D2E">
        <w:rPr>
          <w:rFonts w:eastAsia="宋体" w:cs="Times New Roman" w:hint="eastAsia"/>
          <w:szCs w:val="21"/>
        </w:rPr>
        <w:t>及人民币</w:t>
      </w:r>
      <w:r w:rsidR="00AA6540">
        <w:rPr>
          <w:rFonts w:eastAsia="宋体" w:cs="Times New Roman"/>
          <w:szCs w:val="21"/>
        </w:rPr>
        <w:t>2,198,843.52</w:t>
      </w:r>
      <w:r w:rsidRPr="00A71D2E">
        <w:rPr>
          <w:rFonts w:eastAsia="宋体" w:cs="Times New Roman" w:hint="eastAsia"/>
          <w:szCs w:val="21"/>
        </w:rPr>
        <w:t>元</w:t>
      </w:r>
      <w:r w:rsidR="005F14EE">
        <w:rPr>
          <w:rFonts w:eastAsia="宋体" w:cs="Times New Roman"/>
          <w:szCs w:val="21"/>
        </w:rPr>
        <w:t>(</w:t>
      </w:r>
      <w:r w:rsidRPr="00A71D2E">
        <w:rPr>
          <w:rFonts w:eastAsia="宋体" w:cs="Times New Roman"/>
          <w:szCs w:val="21"/>
        </w:rPr>
        <w:t>202</w:t>
      </w:r>
      <w:r w:rsidR="00601598">
        <w:rPr>
          <w:rFonts w:eastAsia="宋体" w:cs="Times New Roman"/>
          <w:szCs w:val="21"/>
        </w:rPr>
        <w:t>2</w:t>
      </w:r>
      <w:r w:rsidRPr="00A71D2E">
        <w:rPr>
          <w:rFonts w:eastAsia="宋体" w:cs="Times New Roman" w:hint="eastAsia"/>
          <w:szCs w:val="21"/>
        </w:rPr>
        <w:t>年</w:t>
      </w:r>
      <w:r w:rsidR="005F14EE">
        <w:rPr>
          <w:rFonts w:eastAsia="宋体" w:cs="Times New Roman" w:hint="eastAsia"/>
          <w:szCs w:val="21"/>
        </w:rPr>
        <w:t>：</w:t>
      </w:r>
      <w:r w:rsidR="00601598" w:rsidRPr="00A71D2E">
        <w:rPr>
          <w:rFonts w:eastAsia="宋体" w:cs="Times New Roman" w:hint="eastAsia"/>
          <w:szCs w:val="21"/>
        </w:rPr>
        <w:t>人民币</w:t>
      </w:r>
      <w:r w:rsidR="00601598" w:rsidRPr="00A71D2E">
        <w:rPr>
          <w:rFonts w:eastAsia="宋体" w:cs="Times New Roman"/>
          <w:szCs w:val="21"/>
        </w:rPr>
        <w:t>60,754,527.84</w:t>
      </w:r>
      <w:r w:rsidR="00601598" w:rsidRPr="00A71D2E">
        <w:rPr>
          <w:rFonts w:eastAsia="宋体" w:cs="Times New Roman" w:hint="eastAsia"/>
          <w:szCs w:val="21"/>
        </w:rPr>
        <w:t>元及人民币</w:t>
      </w:r>
      <w:r w:rsidR="00601598" w:rsidRPr="00A71D2E">
        <w:rPr>
          <w:rFonts w:eastAsia="宋体" w:cs="Times New Roman"/>
          <w:szCs w:val="21"/>
        </w:rPr>
        <w:t>2,125,836.65</w:t>
      </w:r>
      <w:r w:rsidR="00601598" w:rsidRPr="00A71D2E">
        <w:rPr>
          <w:rFonts w:eastAsia="宋体" w:cs="Times New Roman" w:hint="eastAsia"/>
          <w:szCs w:val="21"/>
        </w:rPr>
        <w:t>元</w:t>
      </w:r>
      <w:r w:rsidR="005F14EE">
        <w:rPr>
          <w:rFonts w:eastAsia="宋体" w:cs="Times New Roman"/>
          <w:szCs w:val="21"/>
        </w:rPr>
        <w:t>)</w:t>
      </w:r>
      <w:r w:rsidR="004D5B8D" w:rsidRPr="00A71D2E">
        <w:rPr>
          <w:rFonts w:eastAsia="宋体" w:cs="Times New Roman" w:hint="eastAsia"/>
          <w:szCs w:val="21"/>
        </w:rPr>
        <w:t>。于</w:t>
      </w:r>
      <w:r w:rsidR="004D5B8D" w:rsidRPr="00A71D2E">
        <w:rPr>
          <w:rFonts w:eastAsia="宋体" w:cs="Times New Roman"/>
          <w:szCs w:val="21"/>
        </w:rPr>
        <w:t>202</w:t>
      </w:r>
      <w:r w:rsidR="00601598">
        <w:rPr>
          <w:rFonts w:eastAsia="宋体" w:cs="Times New Roman"/>
          <w:szCs w:val="21"/>
        </w:rPr>
        <w:t>3</w:t>
      </w:r>
      <w:r w:rsidR="004D5B8D" w:rsidRPr="00A71D2E">
        <w:rPr>
          <w:rFonts w:eastAsia="宋体" w:cs="Times New Roman" w:hint="eastAsia"/>
          <w:szCs w:val="21"/>
        </w:rPr>
        <w:t>年</w:t>
      </w:r>
      <w:r w:rsidR="004D5B8D" w:rsidRPr="00A71D2E">
        <w:rPr>
          <w:rFonts w:eastAsia="宋体" w:cs="Times New Roman"/>
          <w:szCs w:val="21"/>
        </w:rPr>
        <w:t>12</w:t>
      </w:r>
      <w:r w:rsidR="004D5B8D" w:rsidRPr="00A71D2E">
        <w:rPr>
          <w:rFonts w:eastAsia="宋体" w:cs="Times New Roman" w:hint="eastAsia"/>
          <w:szCs w:val="21"/>
        </w:rPr>
        <w:t>月</w:t>
      </w:r>
      <w:r w:rsidR="004D5B8D" w:rsidRPr="00A71D2E">
        <w:rPr>
          <w:rFonts w:eastAsia="宋体" w:cs="Times New Roman"/>
          <w:szCs w:val="21"/>
        </w:rPr>
        <w:t>31</w:t>
      </w:r>
      <w:r w:rsidR="00AE03AF" w:rsidRPr="00A71D2E">
        <w:rPr>
          <w:rFonts w:eastAsia="宋体" w:cs="Times New Roman" w:hint="eastAsia"/>
          <w:szCs w:val="21"/>
        </w:rPr>
        <w:t>日</w:t>
      </w:r>
      <w:r w:rsidR="004D5B8D" w:rsidRPr="00A71D2E">
        <w:rPr>
          <w:rFonts w:eastAsia="宋体" w:cs="Times New Roman" w:hint="eastAsia"/>
          <w:szCs w:val="21"/>
        </w:rPr>
        <w:t>，本集团尚有人民币</w:t>
      </w:r>
      <w:r w:rsidR="00AA6540">
        <w:rPr>
          <w:rFonts w:eastAsia="宋体" w:cs="Times New Roman"/>
          <w:szCs w:val="21"/>
        </w:rPr>
        <w:t>4,923,426.13</w:t>
      </w:r>
      <w:r w:rsidR="004D5B8D" w:rsidRPr="00A71D2E">
        <w:rPr>
          <w:rFonts w:eastAsia="宋体" w:cs="Times New Roman" w:hint="eastAsia"/>
          <w:szCs w:val="21"/>
        </w:rPr>
        <w:t>元及人民币</w:t>
      </w:r>
      <w:r w:rsidR="00AA6540">
        <w:rPr>
          <w:rFonts w:eastAsia="宋体" w:cs="Times New Roman"/>
          <w:szCs w:val="21"/>
        </w:rPr>
        <w:t>170,021.48</w:t>
      </w:r>
      <w:r w:rsidR="00AE03AF" w:rsidRPr="00A71D2E">
        <w:rPr>
          <w:rFonts w:eastAsia="宋体" w:cs="Times New Roman" w:hint="eastAsia"/>
          <w:szCs w:val="21"/>
        </w:rPr>
        <w:t>元</w:t>
      </w:r>
      <w:r w:rsidR="005F14EE">
        <w:rPr>
          <w:rFonts w:eastAsia="宋体" w:cs="Times New Roman"/>
          <w:szCs w:val="21"/>
        </w:rPr>
        <w:t>(</w:t>
      </w:r>
      <w:r w:rsidR="00AE03AF" w:rsidRPr="00A71D2E">
        <w:rPr>
          <w:rFonts w:eastAsia="宋体" w:cs="Times New Roman"/>
          <w:szCs w:val="21"/>
        </w:rPr>
        <w:t>202</w:t>
      </w:r>
      <w:r w:rsidR="00601598">
        <w:rPr>
          <w:rFonts w:eastAsia="宋体" w:cs="Times New Roman"/>
          <w:szCs w:val="21"/>
        </w:rPr>
        <w:t>2</w:t>
      </w:r>
      <w:r w:rsidR="00AE03AF" w:rsidRPr="00A71D2E">
        <w:rPr>
          <w:rFonts w:eastAsia="宋体" w:cs="Times New Roman" w:hint="eastAsia"/>
          <w:szCs w:val="21"/>
        </w:rPr>
        <w:t>年</w:t>
      </w:r>
      <w:r w:rsidR="00AE03AF" w:rsidRPr="00A71D2E">
        <w:rPr>
          <w:rFonts w:eastAsia="宋体" w:cs="Times New Roman"/>
          <w:szCs w:val="21"/>
        </w:rPr>
        <w:t>12</w:t>
      </w:r>
      <w:r w:rsidR="00AE03AF" w:rsidRPr="00A71D2E">
        <w:rPr>
          <w:rFonts w:eastAsia="宋体" w:cs="Times New Roman" w:hint="eastAsia"/>
          <w:szCs w:val="21"/>
        </w:rPr>
        <w:t>月</w:t>
      </w:r>
      <w:r w:rsidR="00AE03AF" w:rsidRPr="00A71D2E">
        <w:rPr>
          <w:rFonts w:eastAsia="宋体" w:cs="Times New Roman"/>
          <w:szCs w:val="21"/>
        </w:rPr>
        <w:t>31</w:t>
      </w:r>
      <w:r w:rsidR="00AE03AF" w:rsidRPr="00A71D2E">
        <w:rPr>
          <w:rFonts w:eastAsia="宋体" w:cs="Times New Roman" w:hint="eastAsia"/>
          <w:szCs w:val="21"/>
        </w:rPr>
        <w:t>日</w:t>
      </w:r>
      <w:r w:rsidR="005F14EE">
        <w:rPr>
          <w:rFonts w:eastAsia="宋体" w:cs="Times New Roman" w:hint="eastAsia"/>
          <w:szCs w:val="21"/>
        </w:rPr>
        <w:t>：</w:t>
      </w:r>
      <w:r w:rsidR="00601598" w:rsidRPr="00A71D2E">
        <w:rPr>
          <w:rFonts w:eastAsia="宋体" w:cs="Times New Roman" w:hint="eastAsia"/>
          <w:szCs w:val="21"/>
        </w:rPr>
        <w:t>人民币</w:t>
      </w:r>
      <w:r w:rsidR="00601598" w:rsidRPr="00A71D2E">
        <w:rPr>
          <w:rFonts w:eastAsia="宋体" w:cs="Times New Roman"/>
          <w:szCs w:val="21"/>
        </w:rPr>
        <w:t>7,050,249.80</w:t>
      </w:r>
      <w:r w:rsidR="00601598" w:rsidRPr="00A71D2E">
        <w:rPr>
          <w:rFonts w:eastAsia="宋体" w:cs="Times New Roman" w:hint="eastAsia"/>
          <w:szCs w:val="21"/>
        </w:rPr>
        <w:t>元及人民币</w:t>
      </w:r>
      <w:r w:rsidR="00601598" w:rsidRPr="00A71D2E">
        <w:rPr>
          <w:rFonts w:eastAsia="宋体" w:cs="Times New Roman"/>
          <w:szCs w:val="21"/>
        </w:rPr>
        <w:t>251,385.34</w:t>
      </w:r>
      <w:r w:rsidR="00601598" w:rsidRPr="00A71D2E">
        <w:rPr>
          <w:rFonts w:eastAsia="宋体" w:cs="Times New Roman" w:hint="eastAsia"/>
          <w:szCs w:val="21"/>
        </w:rPr>
        <w:t>元</w:t>
      </w:r>
      <w:r w:rsidR="005F14EE">
        <w:rPr>
          <w:rFonts w:eastAsia="宋体" w:cs="Times New Roman"/>
          <w:szCs w:val="21"/>
        </w:rPr>
        <w:t>)</w:t>
      </w:r>
      <w:r w:rsidR="00197256" w:rsidRPr="00A71D2E">
        <w:rPr>
          <w:rFonts w:eastAsia="宋体" w:cs="Times New Roman" w:hint="eastAsia"/>
          <w:szCs w:val="21"/>
        </w:rPr>
        <w:t>的应缴存费用是</w:t>
      </w:r>
      <w:r w:rsidR="001A59C2" w:rsidRPr="00A71D2E">
        <w:rPr>
          <w:rFonts w:eastAsia="宋体" w:cs="Times New Roman" w:hint="eastAsia"/>
          <w:szCs w:val="21"/>
        </w:rPr>
        <w:t>于</w:t>
      </w:r>
      <w:r w:rsidR="00197256" w:rsidRPr="00A71D2E">
        <w:rPr>
          <w:rFonts w:eastAsia="宋体" w:cs="Times New Roman" w:hint="eastAsia"/>
          <w:szCs w:val="21"/>
        </w:rPr>
        <w:t>本报告期间到期</w:t>
      </w:r>
      <w:r w:rsidR="00B73FCD" w:rsidRPr="00A71D2E">
        <w:rPr>
          <w:rFonts w:eastAsia="宋体" w:cs="Times New Roman" w:hint="eastAsia"/>
          <w:szCs w:val="21"/>
        </w:rPr>
        <w:t>而未支付给养老保险及失业保险计划的。有关缴存费用已于报告期</w:t>
      </w:r>
      <w:r w:rsidR="004D5B8D" w:rsidRPr="00A71D2E">
        <w:rPr>
          <w:rFonts w:eastAsia="宋体" w:cs="Times New Roman" w:hint="eastAsia"/>
          <w:szCs w:val="21"/>
        </w:rPr>
        <w:t>后支付。</w:t>
      </w:r>
    </w:p>
    <w:p w:rsidR="00EB68E7" w:rsidRPr="00A71D2E" w:rsidRDefault="00EB68E7" w:rsidP="0027505B">
      <w:pPr>
        <w:ind w:left="720"/>
        <w:rPr>
          <w:rFonts w:eastAsia="宋体" w:cs="Times New Roman"/>
          <w:szCs w:val="18"/>
        </w:rPr>
      </w:pPr>
    </w:p>
    <w:p w:rsidR="00EB68E7" w:rsidRPr="00A71D2E" w:rsidRDefault="00EB68E7" w:rsidP="0027505B">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应交税费</w:t>
      </w:r>
    </w:p>
    <w:p w:rsidR="00EB68E7" w:rsidRPr="00A71D2E" w:rsidRDefault="00EB68E7" w:rsidP="0027505B">
      <w:pPr>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063"/>
        <w:gridCol w:w="1695"/>
        <w:gridCol w:w="1696"/>
      </w:tblGrid>
      <w:tr w:rsidR="00EB68E7" w:rsidRPr="00A71D2E" w:rsidTr="0027505B">
        <w:trPr>
          <w:trHeight w:val="20"/>
        </w:trPr>
        <w:tc>
          <w:tcPr>
            <w:tcW w:w="6063" w:type="dxa"/>
            <w:shd w:val="clear" w:color="auto" w:fill="D9D9D9" w:themeFill="background1" w:themeFillShade="D9"/>
            <w:tcMar>
              <w:top w:w="0" w:type="dxa"/>
              <w:left w:w="108" w:type="dxa"/>
              <w:bottom w:w="0" w:type="dxa"/>
              <w:right w:w="108" w:type="dxa"/>
            </w:tcMar>
            <w:vAlign w:val="center"/>
            <w:hideMark/>
          </w:tcPr>
          <w:p w:rsidR="00EB68E7" w:rsidRPr="00A71D2E" w:rsidRDefault="00EB68E7" w:rsidP="0027505B">
            <w:pPr>
              <w:jc w:val="center"/>
              <w:rPr>
                <w:rFonts w:eastAsia="宋体" w:cs="Times New Roman"/>
                <w:sz w:val="18"/>
                <w:szCs w:val="18"/>
              </w:rPr>
            </w:pPr>
            <w:r w:rsidRPr="00A71D2E">
              <w:rPr>
                <w:rFonts w:eastAsia="宋体" w:cs="Times New Roman" w:hint="eastAsia"/>
                <w:sz w:val="18"/>
                <w:szCs w:val="18"/>
              </w:rPr>
              <w:t>项目</w:t>
            </w:r>
          </w:p>
        </w:tc>
        <w:tc>
          <w:tcPr>
            <w:tcW w:w="1695" w:type="dxa"/>
            <w:shd w:val="clear" w:color="auto" w:fill="D9D9D9" w:themeFill="background1" w:themeFillShade="D9"/>
            <w:vAlign w:val="center"/>
          </w:tcPr>
          <w:p w:rsidR="00EB68E7" w:rsidRPr="00A71D2E" w:rsidRDefault="00FD5456" w:rsidP="0027505B">
            <w:pPr>
              <w:ind w:right="-12"/>
              <w:jc w:val="center"/>
              <w:rPr>
                <w:rFonts w:eastAsia="宋体" w:cs="Times New Roman"/>
                <w:sz w:val="18"/>
                <w:szCs w:val="18"/>
              </w:rPr>
            </w:pPr>
            <w:r w:rsidRPr="00A71D2E">
              <w:rPr>
                <w:rFonts w:eastAsia="宋体" w:cs="Times New Roman" w:hint="eastAsia"/>
                <w:sz w:val="18"/>
                <w:szCs w:val="18"/>
              </w:rPr>
              <w:t>年末余额</w:t>
            </w:r>
          </w:p>
        </w:tc>
        <w:tc>
          <w:tcPr>
            <w:tcW w:w="1696" w:type="dxa"/>
            <w:shd w:val="clear" w:color="auto" w:fill="D9D9D9" w:themeFill="background1" w:themeFillShade="D9"/>
            <w:vAlign w:val="center"/>
          </w:tcPr>
          <w:p w:rsidR="00EB68E7" w:rsidRPr="00A71D2E" w:rsidRDefault="00FD5456" w:rsidP="0027505B">
            <w:pPr>
              <w:ind w:right="-12"/>
              <w:jc w:val="center"/>
              <w:rPr>
                <w:rFonts w:eastAsia="宋体" w:cs="Times New Roman"/>
                <w:sz w:val="18"/>
                <w:szCs w:val="18"/>
              </w:rPr>
            </w:pPr>
            <w:r w:rsidRPr="00A71D2E">
              <w:rPr>
                <w:rFonts w:eastAsia="宋体" w:cs="Times New Roman" w:hint="eastAsia"/>
                <w:sz w:val="18"/>
                <w:szCs w:val="18"/>
              </w:rPr>
              <w:t>年初余额</w:t>
            </w:r>
          </w:p>
        </w:tc>
      </w:tr>
      <w:tr w:rsidR="007B07C7" w:rsidRPr="00A71D2E" w:rsidTr="0027505B">
        <w:trPr>
          <w:trHeight w:val="20"/>
        </w:trPr>
        <w:tc>
          <w:tcPr>
            <w:tcW w:w="6063" w:type="dxa"/>
            <w:tcMar>
              <w:top w:w="0" w:type="dxa"/>
              <w:left w:w="108" w:type="dxa"/>
              <w:bottom w:w="0" w:type="dxa"/>
              <w:right w:w="108" w:type="dxa"/>
            </w:tcMar>
            <w:vAlign w:val="center"/>
            <w:hideMark/>
          </w:tcPr>
          <w:p w:rsidR="007B07C7" w:rsidRPr="00A71D2E" w:rsidRDefault="007B07C7" w:rsidP="0027505B">
            <w:pPr>
              <w:rPr>
                <w:rFonts w:eastAsia="宋体" w:cs="Times New Roman"/>
                <w:sz w:val="18"/>
                <w:szCs w:val="18"/>
              </w:rPr>
            </w:pPr>
            <w:r w:rsidRPr="00A71D2E">
              <w:rPr>
                <w:rFonts w:eastAsia="宋体" w:cs="Times New Roman" w:hint="eastAsia"/>
                <w:sz w:val="18"/>
                <w:szCs w:val="18"/>
              </w:rPr>
              <w:t>增值税</w:t>
            </w:r>
          </w:p>
        </w:tc>
        <w:tc>
          <w:tcPr>
            <w:tcW w:w="1695" w:type="dxa"/>
            <w:vAlign w:val="center"/>
          </w:tcPr>
          <w:p w:rsidR="007B07C7" w:rsidRPr="00A71D2E" w:rsidRDefault="008D5A6C" w:rsidP="0027505B">
            <w:pPr>
              <w:ind w:right="94"/>
              <w:jc w:val="right"/>
              <w:rPr>
                <w:rFonts w:eastAsia="宋体" w:cs="Times New Roman"/>
                <w:sz w:val="18"/>
                <w:szCs w:val="18"/>
              </w:rPr>
            </w:pPr>
            <w:r w:rsidRPr="008D5A6C">
              <w:rPr>
                <w:rFonts w:eastAsia="宋体" w:cs="Times New Roman"/>
                <w:sz w:val="18"/>
                <w:szCs w:val="18"/>
              </w:rPr>
              <w:t>12,354,738.51</w:t>
            </w:r>
            <w:r w:rsidR="000D74F2" w:rsidRPr="000D74F2">
              <w:rPr>
                <w:rFonts w:eastAsia="宋体" w:cs="Times New Roman"/>
                <w:sz w:val="18"/>
                <w:szCs w:val="18"/>
              </w:rPr>
              <w:t xml:space="preserve"> </w:t>
            </w:r>
          </w:p>
        </w:tc>
        <w:tc>
          <w:tcPr>
            <w:tcW w:w="1696" w:type="dxa"/>
            <w:vAlign w:val="center"/>
          </w:tcPr>
          <w:p w:rsidR="007B07C7" w:rsidRPr="00A71D2E" w:rsidRDefault="007B07C7" w:rsidP="0027505B">
            <w:pPr>
              <w:ind w:right="94"/>
              <w:jc w:val="right"/>
              <w:rPr>
                <w:rFonts w:eastAsia="宋体" w:cs="Times New Roman"/>
                <w:sz w:val="18"/>
                <w:szCs w:val="18"/>
              </w:rPr>
            </w:pPr>
            <w:r w:rsidRPr="00A71D2E">
              <w:rPr>
                <w:rFonts w:eastAsia="宋体" w:cs="Times New Roman"/>
                <w:sz w:val="18"/>
                <w:szCs w:val="18"/>
              </w:rPr>
              <w:t>14,006,238.60</w:t>
            </w:r>
          </w:p>
        </w:tc>
      </w:tr>
      <w:tr w:rsidR="007B07C7" w:rsidRPr="00A71D2E" w:rsidTr="0027505B">
        <w:trPr>
          <w:trHeight w:val="20"/>
        </w:trPr>
        <w:tc>
          <w:tcPr>
            <w:tcW w:w="6063" w:type="dxa"/>
            <w:tcMar>
              <w:top w:w="0" w:type="dxa"/>
              <w:left w:w="108" w:type="dxa"/>
              <w:bottom w:w="0" w:type="dxa"/>
              <w:right w:w="108" w:type="dxa"/>
            </w:tcMar>
            <w:vAlign w:val="center"/>
          </w:tcPr>
          <w:p w:rsidR="007B07C7" w:rsidRPr="00A71D2E" w:rsidRDefault="007B07C7" w:rsidP="0027505B">
            <w:pPr>
              <w:rPr>
                <w:rFonts w:eastAsia="宋体" w:cs="Times New Roman"/>
                <w:sz w:val="18"/>
                <w:szCs w:val="18"/>
              </w:rPr>
            </w:pPr>
            <w:r w:rsidRPr="00A71D2E">
              <w:rPr>
                <w:rFonts w:eastAsia="宋体" w:cs="Times New Roman" w:hint="eastAsia"/>
                <w:sz w:val="18"/>
                <w:szCs w:val="18"/>
              </w:rPr>
              <w:t>企业所得税</w:t>
            </w:r>
          </w:p>
        </w:tc>
        <w:tc>
          <w:tcPr>
            <w:tcW w:w="1695" w:type="dxa"/>
            <w:vAlign w:val="center"/>
          </w:tcPr>
          <w:p w:rsidR="007B07C7" w:rsidRPr="00A71D2E" w:rsidRDefault="008D5A6C" w:rsidP="0027505B">
            <w:pPr>
              <w:ind w:right="94"/>
              <w:jc w:val="right"/>
              <w:rPr>
                <w:rFonts w:eastAsia="宋体" w:cs="Times New Roman"/>
                <w:sz w:val="18"/>
                <w:szCs w:val="18"/>
              </w:rPr>
            </w:pPr>
            <w:r w:rsidRPr="008D5A6C">
              <w:rPr>
                <w:rFonts w:eastAsia="宋体" w:cs="Times New Roman"/>
                <w:sz w:val="18"/>
                <w:szCs w:val="18"/>
              </w:rPr>
              <w:t>19,933,691.69</w:t>
            </w:r>
          </w:p>
        </w:tc>
        <w:tc>
          <w:tcPr>
            <w:tcW w:w="1696" w:type="dxa"/>
            <w:vAlign w:val="center"/>
          </w:tcPr>
          <w:p w:rsidR="007B07C7" w:rsidRPr="00A71D2E" w:rsidRDefault="007B07C7" w:rsidP="0027505B">
            <w:pPr>
              <w:ind w:right="94"/>
              <w:jc w:val="right"/>
              <w:rPr>
                <w:rFonts w:eastAsia="宋体" w:cs="Times New Roman"/>
                <w:sz w:val="18"/>
                <w:szCs w:val="18"/>
              </w:rPr>
            </w:pPr>
            <w:r w:rsidRPr="00A71D2E">
              <w:rPr>
                <w:rFonts w:eastAsia="宋体" w:cs="Times New Roman"/>
                <w:sz w:val="18"/>
                <w:szCs w:val="18"/>
              </w:rPr>
              <w:t>25,691,409.74</w:t>
            </w:r>
          </w:p>
        </w:tc>
      </w:tr>
      <w:tr w:rsidR="007B07C7" w:rsidRPr="00A71D2E" w:rsidTr="0027505B">
        <w:trPr>
          <w:trHeight w:val="20"/>
        </w:trPr>
        <w:tc>
          <w:tcPr>
            <w:tcW w:w="6063" w:type="dxa"/>
            <w:tcMar>
              <w:top w:w="0" w:type="dxa"/>
              <w:left w:w="108" w:type="dxa"/>
              <w:bottom w:w="0" w:type="dxa"/>
              <w:right w:w="108" w:type="dxa"/>
            </w:tcMar>
            <w:vAlign w:val="center"/>
          </w:tcPr>
          <w:p w:rsidR="007B07C7" w:rsidRPr="00A71D2E" w:rsidRDefault="007B07C7" w:rsidP="0027505B">
            <w:pPr>
              <w:rPr>
                <w:rFonts w:eastAsia="宋体" w:cs="Times New Roman"/>
                <w:sz w:val="18"/>
                <w:szCs w:val="18"/>
              </w:rPr>
            </w:pPr>
            <w:r w:rsidRPr="00A71D2E">
              <w:rPr>
                <w:rFonts w:eastAsia="宋体" w:cs="Times New Roman" w:hint="eastAsia"/>
                <w:sz w:val="18"/>
                <w:szCs w:val="18"/>
              </w:rPr>
              <w:t>个人所得税</w:t>
            </w:r>
          </w:p>
        </w:tc>
        <w:tc>
          <w:tcPr>
            <w:tcW w:w="1695" w:type="dxa"/>
            <w:vAlign w:val="center"/>
          </w:tcPr>
          <w:p w:rsidR="007B07C7" w:rsidRPr="00A71D2E" w:rsidRDefault="009E2475" w:rsidP="0027505B">
            <w:pPr>
              <w:ind w:right="94"/>
              <w:jc w:val="right"/>
              <w:rPr>
                <w:rFonts w:eastAsia="宋体" w:cs="Times New Roman"/>
                <w:sz w:val="18"/>
                <w:szCs w:val="18"/>
              </w:rPr>
            </w:pPr>
            <w:r w:rsidRPr="009E2475">
              <w:rPr>
                <w:rFonts w:eastAsia="宋体" w:cs="Times New Roman"/>
                <w:sz w:val="18"/>
                <w:szCs w:val="18"/>
              </w:rPr>
              <w:t>3,419,868.36</w:t>
            </w:r>
          </w:p>
        </w:tc>
        <w:tc>
          <w:tcPr>
            <w:tcW w:w="1696" w:type="dxa"/>
            <w:vAlign w:val="center"/>
          </w:tcPr>
          <w:p w:rsidR="007B07C7" w:rsidRPr="00A71D2E" w:rsidRDefault="007B07C7" w:rsidP="0027505B">
            <w:pPr>
              <w:ind w:right="94"/>
              <w:jc w:val="right"/>
              <w:rPr>
                <w:rFonts w:eastAsia="宋体" w:cs="Times New Roman"/>
                <w:sz w:val="18"/>
                <w:szCs w:val="18"/>
              </w:rPr>
            </w:pPr>
            <w:r w:rsidRPr="00A71D2E">
              <w:rPr>
                <w:rFonts w:eastAsia="宋体" w:cs="Times New Roman"/>
                <w:sz w:val="18"/>
                <w:szCs w:val="18"/>
              </w:rPr>
              <w:t>2,953,212.53</w:t>
            </w:r>
          </w:p>
        </w:tc>
      </w:tr>
      <w:tr w:rsidR="007B07C7" w:rsidRPr="00A71D2E" w:rsidTr="0027505B">
        <w:trPr>
          <w:trHeight w:val="20"/>
        </w:trPr>
        <w:tc>
          <w:tcPr>
            <w:tcW w:w="6063" w:type="dxa"/>
            <w:tcMar>
              <w:top w:w="0" w:type="dxa"/>
              <w:left w:w="108" w:type="dxa"/>
              <w:bottom w:w="0" w:type="dxa"/>
              <w:right w:w="108" w:type="dxa"/>
            </w:tcMar>
            <w:vAlign w:val="center"/>
          </w:tcPr>
          <w:p w:rsidR="007B07C7" w:rsidRPr="00A71D2E" w:rsidRDefault="007B07C7" w:rsidP="0027505B">
            <w:pPr>
              <w:rPr>
                <w:rFonts w:eastAsia="宋体" w:cs="Times New Roman"/>
                <w:sz w:val="18"/>
                <w:szCs w:val="18"/>
              </w:rPr>
            </w:pPr>
            <w:r w:rsidRPr="00A71D2E">
              <w:rPr>
                <w:rFonts w:eastAsia="宋体" w:cs="Times New Roman" w:hint="eastAsia"/>
                <w:sz w:val="18"/>
                <w:szCs w:val="18"/>
              </w:rPr>
              <w:t>印花税</w:t>
            </w:r>
          </w:p>
        </w:tc>
        <w:tc>
          <w:tcPr>
            <w:tcW w:w="1695" w:type="dxa"/>
            <w:vAlign w:val="center"/>
          </w:tcPr>
          <w:p w:rsidR="007B07C7" w:rsidRPr="00A71D2E" w:rsidRDefault="009E2475" w:rsidP="0027505B">
            <w:pPr>
              <w:ind w:right="94"/>
              <w:jc w:val="right"/>
              <w:rPr>
                <w:rFonts w:eastAsia="宋体" w:cs="Times New Roman"/>
                <w:sz w:val="18"/>
                <w:szCs w:val="18"/>
              </w:rPr>
            </w:pPr>
            <w:r w:rsidRPr="009E2475">
              <w:rPr>
                <w:rFonts w:eastAsia="宋体" w:cs="Times New Roman"/>
                <w:sz w:val="18"/>
                <w:szCs w:val="18"/>
              </w:rPr>
              <w:t>934,713.82</w:t>
            </w:r>
          </w:p>
        </w:tc>
        <w:tc>
          <w:tcPr>
            <w:tcW w:w="1696" w:type="dxa"/>
            <w:vAlign w:val="center"/>
          </w:tcPr>
          <w:p w:rsidR="007B07C7" w:rsidRPr="00A71D2E" w:rsidRDefault="007B07C7" w:rsidP="0027505B">
            <w:pPr>
              <w:ind w:right="94"/>
              <w:jc w:val="right"/>
              <w:rPr>
                <w:rFonts w:eastAsia="宋体" w:cs="Times New Roman"/>
                <w:sz w:val="18"/>
                <w:szCs w:val="18"/>
              </w:rPr>
            </w:pPr>
            <w:r w:rsidRPr="00A71D2E">
              <w:rPr>
                <w:rFonts w:eastAsia="宋体" w:cs="Times New Roman"/>
                <w:sz w:val="18"/>
                <w:szCs w:val="18"/>
              </w:rPr>
              <w:t>1,473,633.50</w:t>
            </w:r>
          </w:p>
        </w:tc>
      </w:tr>
      <w:tr w:rsidR="007B07C7" w:rsidRPr="00A71D2E" w:rsidTr="0027505B">
        <w:trPr>
          <w:trHeight w:val="20"/>
        </w:trPr>
        <w:tc>
          <w:tcPr>
            <w:tcW w:w="6063" w:type="dxa"/>
            <w:tcMar>
              <w:top w:w="0" w:type="dxa"/>
              <w:left w:w="108" w:type="dxa"/>
              <w:bottom w:w="0" w:type="dxa"/>
              <w:right w:w="108" w:type="dxa"/>
            </w:tcMar>
            <w:vAlign w:val="center"/>
          </w:tcPr>
          <w:p w:rsidR="007B07C7" w:rsidRPr="00A71D2E" w:rsidRDefault="007B07C7" w:rsidP="0027505B">
            <w:pPr>
              <w:rPr>
                <w:rFonts w:eastAsia="宋体" w:cs="Times New Roman"/>
                <w:sz w:val="18"/>
                <w:szCs w:val="18"/>
              </w:rPr>
            </w:pPr>
            <w:r w:rsidRPr="00A71D2E">
              <w:rPr>
                <w:rFonts w:eastAsia="宋体" w:cs="Times New Roman" w:hint="eastAsia"/>
                <w:sz w:val="18"/>
                <w:szCs w:val="18"/>
              </w:rPr>
              <w:t>城市维护建设税</w:t>
            </w:r>
          </w:p>
        </w:tc>
        <w:tc>
          <w:tcPr>
            <w:tcW w:w="1695" w:type="dxa"/>
            <w:vAlign w:val="center"/>
          </w:tcPr>
          <w:p w:rsidR="007B07C7" w:rsidRPr="00A71D2E" w:rsidRDefault="009E2475" w:rsidP="0027505B">
            <w:pPr>
              <w:ind w:right="94"/>
              <w:jc w:val="right"/>
              <w:rPr>
                <w:rFonts w:eastAsia="宋体" w:cs="Times New Roman"/>
                <w:sz w:val="18"/>
                <w:szCs w:val="18"/>
              </w:rPr>
            </w:pPr>
            <w:r w:rsidRPr="009E2475">
              <w:rPr>
                <w:rFonts w:eastAsia="宋体" w:cs="Times New Roman"/>
                <w:sz w:val="18"/>
                <w:szCs w:val="18"/>
              </w:rPr>
              <w:t>579,767.93</w:t>
            </w:r>
          </w:p>
        </w:tc>
        <w:tc>
          <w:tcPr>
            <w:tcW w:w="1696" w:type="dxa"/>
            <w:vAlign w:val="center"/>
          </w:tcPr>
          <w:p w:rsidR="007B07C7" w:rsidRPr="00A71D2E" w:rsidRDefault="007B07C7" w:rsidP="0027505B">
            <w:pPr>
              <w:ind w:right="94"/>
              <w:jc w:val="right"/>
              <w:rPr>
                <w:rFonts w:eastAsia="宋体" w:cs="Times New Roman"/>
                <w:sz w:val="18"/>
                <w:szCs w:val="18"/>
              </w:rPr>
            </w:pPr>
            <w:r w:rsidRPr="00A71D2E">
              <w:rPr>
                <w:rFonts w:eastAsia="宋体" w:cs="Times New Roman"/>
                <w:sz w:val="18"/>
                <w:szCs w:val="18"/>
              </w:rPr>
              <w:t>774,835.02</w:t>
            </w:r>
          </w:p>
        </w:tc>
      </w:tr>
      <w:tr w:rsidR="007B07C7" w:rsidRPr="00A71D2E" w:rsidTr="0027505B">
        <w:trPr>
          <w:trHeight w:val="20"/>
        </w:trPr>
        <w:tc>
          <w:tcPr>
            <w:tcW w:w="6063" w:type="dxa"/>
            <w:tcMar>
              <w:top w:w="0" w:type="dxa"/>
              <w:left w:w="108" w:type="dxa"/>
              <w:bottom w:w="0" w:type="dxa"/>
              <w:right w:w="108" w:type="dxa"/>
            </w:tcMar>
            <w:vAlign w:val="center"/>
          </w:tcPr>
          <w:p w:rsidR="007B07C7" w:rsidRPr="00A71D2E" w:rsidRDefault="007B07C7" w:rsidP="0027505B">
            <w:pPr>
              <w:rPr>
                <w:rFonts w:eastAsia="宋体" w:cs="Times New Roman"/>
                <w:sz w:val="18"/>
                <w:szCs w:val="18"/>
              </w:rPr>
            </w:pPr>
            <w:r w:rsidRPr="00A71D2E">
              <w:rPr>
                <w:rFonts w:eastAsia="宋体" w:cs="Times New Roman" w:hint="eastAsia"/>
                <w:sz w:val="18"/>
                <w:szCs w:val="18"/>
              </w:rPr>
              <w:t>教育费附加</w:t>
            </w:r>
          </w:p>
        </w:tc>
        <w:tc>
          <w:tcPr>
            <w:tcW w:w="1695" w:type="dxa"/>
            <w:vAlign w:val="center"/>
          </w:tcPr>
          <w:p w:rsidR="007B07C7" w:rsidRPr="00A71D2E" w:rsidRDefault="009E2475" w:rsidP="0027505B">
            <w:pPr>
              <w:ind w:right="94"/>
              <w:jc w:val="right"/>
              <w:rPr>
                <w:rFonts w:eastAsia="宋体" w:cs="Times New Roman"/>
                <w:sz w:val="18"/>
                <w:szCs w:val="18"/>
              </w:rPr>
            </w:pPr>
            <w:r w:rsidRPr="009E2475">
              <w:rPr>
                <w:rFonts w:eastAsia="宋体" w:cs="Times New Roman"/>
                <w:sz w:val="18"/>
                <w:szCs w:val="18"/>
              </w:rPr>
              <w:t>259,179.96</w:t>
            </w:r>
          </w:p>
        </w:tc>
        <w:tc>
          <w:tcPr>
            <w:tcW w:w="1696" w:type="dxa"/>
            <w:vAlign w:val="center"/>
          </w:tcPr>
          <w:p w:rsidR="007B07C7" w:rsidRPr="00A71D2E" w:rsidRDefault="007B07C7" w:rsidP="0027505B">
            <w:pPr>
              <w:ind w:right="94"/>
              <w:jc w:val="right"/>
              <w:rPr>
                <w:rFonts w:eastAsia="宋体" w:cs="Times New Roman"/>
                <w:sz w:val="18"/>
                <w:szCs w:val="18"/>
              </w:rPr>
            </w:pPr>
            <w:r w:rsidRPr="00A71D2E">
              <w:rPr>
                <w:rFonts w:eastAsia="宋体" w:cs="Times New Roman"/>
                <w:sz w:val="18"/>
                <w:szCs w:val="18"/>
              </w:rPr>
              <w:t>388,091.62</w:t>
            </w:r>
          </w:p>
        </w:tc>
      </w:tr>
      <w:tr w:rsidR="007B07C7" w:rsidRPr="00A71D2E" w:rsidTr="0027505B">
        <w:trPr>
          <w:trHeight w:val="20"/>
        </w:trPr>
        <w:tc>
          <w:tcPr>
            <w:tcW w:w="6063" w:type="dxa"/>
            <w:tcMar>
              <w:top w:w="0" w:type="dxa"/>
              <w:left w:w="108" w:type="dxa"/>
              <w:bottom w:w="0" w:type="dxa"/>
              <w:right w:w="108" w:type="dxa"/>
            </w:tcMar>
            <w:vAlign w:val="center"/>
          </w:tcPr>
          <w:p w:rsidR="007B07C7" w:rsidRPr="00A71D2E" w:rsidRDefault="007B07C7" w:rsidP="0027505B">
            <w:pPr>
              <w:rPr>
                <w:rFonts w:eastAsia="宋体" w:cs="Times New Roman"/>
                <w:sz w:val="18"/>
                <w:szCs w:val="18"/>
              </w:rPr>
            </w:pPr>
            <w:r w:rsidRPr="00A71D2E">
              <w:rPr>
                <w:rFonts w:eastAsia="宋体" w:cs="Times New Roman" w:hint="eastAsia"/>
                <w:sz w:val="18"/>
                <w:szCs w:val="18"/>
              </w:rPr>
              <w:t>地方教育附加</w:t>
            </w:r>
          </w:p>
        </w:tc>
        <w:tc>
          <w:tcPr>
            <w:tcW w:w="1695" w:type="dxa"/>
            <w:vAlign w:val="center"/>
          </w:tcPr>
          <w:p w:rsidR="007B07C7" w:rsidRPr="00A71D2E" w:rsidRDefault="009E2475" w:rsidP="0027505B">
            <w:pPr>
              <w:ind w:right="94"/>
              <w:jc w:val="right"/>
              <w:rPr>
                <w:rFonts w:eastAsia="宋体" w:cs="Times New Roman"/>
                <w:sz w:val="18"/>
                <w:szCs w:val="18"/>
              </w:rPr>
            </w:pPr>
            <w:r w:rsidRPr="009E2475">
              <w:rPr>
                <w:rFonts w:eastAsia="宋体" w:cs="Times New Roman"/>
                <w:sz w:val="18"/>
                <w:szCs w:val="18"/>
              </w:rPr>
              <w:t>172,786.64</w:t>
            </w:r>
          </w:p>
        </w:tc>
        <w:tc>
          <w:tcPr>
            <w:tcW w:w="1696" w:type="dxa"/>
            <w:vAlign w:val="center"/>
          </w:tcPr>
          <w:p w:rsidR="007B07C7" w:rsidRPr="00A71D2E" w:rsidRDefault="007B07C7" w:rsidP="0027505B">
            <w:pPr>
              <w:ind w:right="94"/>
              <w:jc w:val="right"/>
              <w:rPr>
                <w:rFonts w:eastAsia="宋体" w:cs="Times New Roman"/>
                <w:sz w:val="18"/>
                <w:szCs w:val="18"/>
              </w:rPr>
            </w:pPr>
            <w:r w:rsidRPr="00A71D2E">
              <w:rPr>
                <w:rFonts w:eastAsia="宋体" w:cs="Times New Roman"/>
                <w:sz w:val="18"/>
                <w:szCs w:val="18"/>
              </w:rPr>
              <w:t>258,727.78</w:t>
            </w:r>
          </w:p>
        </w:tc>
      </w:tr>
      <w:tr w:rsidR="007B07C7" w:rsidRPr="00A71D2E" w:rsidTr="0027505B">
        <w:trPr>
          <w:trHeight w:val="20"/>
        </w:trPr>
        <w:tc>
          <w:tcPr>
            <w:tcW w:w="6063" w:type="dxa"/>
            <w:tcMar>
              <w:top w:w="0" w:type="dxa"/>
              <w:left w:w="108" w:type="dxa"/>
              <w:bottom w:w="0" w:type="dxa"/>
              <w:right w:w="108" w:type="dxa"/>
            </w:tcMar>
            <w:vAlign w:val="center"/>
          </w:tcPr>
          <w:p w:rsidR="007B07C7" w:rsidRPr="00A71D2E" w:rsidRDefault="007B07C7" w:rsidP="0027505B">
            <w:pPr>
              <w:rPr>
                <w:rFonts w:eastAsia="宋体" w:cs="Times New Roman"/>
                <w:sz w:val="18"/>
                <w:szCs w:val="18"/>
              </w:rPr>
            </w:pPr>
            <w:r w:rsidRPr="00A71D2E">
              <w:rPr>
                <w:rFonts w:eastAsia="宋体" w:cs="Times New Roman" w:hint="eastAsia"/>
                <w:sz w:val="18"/>
                <w:szCs w:val="18"/>
              </w:rPr>
              <w:t>其他</w:t>
            </w:r>
          </w:p>
        </w:tc>
        <w:tc>
          <w:tcPr>
            <w:tcW w:w="1695" w:type="dxa"/>
            <w:vAlign w:val="center"/>
          </w:tcPr>
          <w:p w:rsidR="007B07C7" w:rsidRPr="00A71D2E" w:rsidRDefault="009E2475" w:rsidP="0027505B">
            <w:pPr>
              <w:ind w:right="94"/>
              <w:jc w:val="right"/>
              <w:rPr>
                <w:rFonts w:eastAsia="宋体" w:cs="Times New Roman"/>
                <w:sz w:val="18"/>
                <w:szCs w:val="18"/>
              </w:rPr>
            </w:pPr>
            <w:r w:rsidRPr="009E2475">
              <w:rPr>
                <w:rFonts w:eastAsia="宋体" w:cs="Times New Roman"/>
                <w:sz w:val="18"/>
                <w:szCs w:val="18"/>
              </w:rPr>
              <w:t>767,401.3</w:t>
            </w:r>
            <w:r w:rsidR="00B019C6">
              <w:rPr>
                <w:rFonts w:eastAsia="宋体" w:cs="Times New Roman"/>
                <w:sz w:val="18"/>
                <w:szCs w:val="18"/>
              </w:rPr>
              <w:t>6</w:t>
            </w:r>
          </w:p>
        </w:tc>
        <w:tc>
          <w:tcPr>
            <w:tcW w:w="1696" w:type="dxa"/>
            <w:vAlign w:val="center"/>
          </w:tcPr>
          <w:p w:rsidR="007B07C7" w:rsidRPr="00A71D2E" w:rsidRDefault="007B07C7" w:rsidP="0027505B">
            <w:pPr>
              <w:ind w:right="94"/>
              <w:jc w:val="right"/>
              <w:rPr>
                <w:rFonts w:eastAsia="宋体" w:cs="Times New Roman"/>
                <w:sz w:val="18"/>
                <w:szCs w:val="18"/>
              </w:rPr>
            </w:pPr>
            <w:r w:rsidRPr="00A71D2E">
              <w:rPr>
                <w:rFonts w:eastAsia="宋体" w:cs="Times New Roman"/>
                <w:sz w:val="18"/>
                <w:szCs w:val="18"/>
              </w:rPr>
              <w:t>549,056.51</w:t>
            </w:r>
          </w:p>
        </w:tc>
      </w:tr>
      <w:tr w:rsidR="007B07C7" w:rsidRPr="00A71D2E" w:rsidTr="0027505B">
        <w:trPr>
          <w:trHeight w:val="20"/>
        </w:trPr>
        <w:tc>
          <w:tcPr>
            <w:tcW w:w="6063" w:type="dxa"/>
            <w:shd w:val="clear" w:color="auto" w:fill="D9D9D9" w:themeFill="background1" w:themeFillShade="D9"/>
            <w:tcMar>
              <w:top w:w="0" w:type="dxa"/>
              <w:left w:w="108" w:type="dxa"/>
              <w:bottom w:w="0" w:type="dxa"/>
              <w:right w:w="108" w:type="dxa"/>
            </w:tcMar>
            <w:vAlign w:val="center"/>
            <w:hideMark/>
          </w:tcPr>
          <w:p w:rsidR="007B07C7" w:rsidRPr="00A71D2E" w:rsidRDefault="007B07C7" w:rsidP="0027505B">
            <w:pPr>
              <w:rPr>
                <w:rFonts w:eastAsia="宋体" w:cs="Times New Roman"/>
                <w:sz w:val="18"/>
                <w:szCs w:val="18"/>
              </w:rPr>
            </w:pPr>
            <w:r w:rsidRPr="00A71D2E">
              <w:rPr>
                <w:rFonts w:eastAsia="宋体" w:cs="Times New Roman" w:hint="eastAsia"/>
                <w:bCs/>
                <w:sz w:val="18"/>
                <w:szCs w:val="18"/>
              </w:rPr>
              <w:t>合计</w:t>
            </w:r>
          </w:p>
        </w:tc>
        <w:tc>
          <w:tcPr>
            <w:tcW w:w="1695" w:type="dxa"/>
            <w:vAlign w:val="center"/>
          </w:tcPr>
          <w:p w:rsidR="007B07C7" w:rsidRPr="00A71D2E" w:rsidRDefault="000D74F2" w:rsidP="0027505B">
            <w:pPr>
              <w:ind w:right="94"/>
              <w:jc w:val="right"/>
              <w:rPr>
                <w:rFonts w:eastAsia="宋体" w:cs="Times New Roman"/>
                <w:sz w:val="18"/>
                <w:szCs w:val="18"/>
              </w:rPr>
            </w:pPr>
            <w:r w:rsidRPr="000D74F2">
              <w:rPr>
                <w:rFonts w:eastAsia="宋体" w:cs="Times New Roman"/>
                <w:sz w:val="18"/>
                <w:szCs w:val="18"/>
              </w:rPr>
              <w:t xml:space="preserve">38,422,148.27 </w:t>
            </w:r>
          </w:p>
        </w:tc>
        <w:tc>
          <w:tcPr>
            <w:tcW w:w="1696" w:type="dxa"/>
            <w:vAlign w:val="center"/>
          </w:tcPr>
          <w:p w:rsidR="007B07C7" w:rsidRPr="00A71D2E" w:rsidRDefault="007B07C7" w:rsidP="0027505B">
            <w:pPr>
              <w:ind w:right="94"/>
              <w:jc w:val="right"/>
              <w:rPr>
                <w:rFonts w:eastAsia="宋体" w:cs="Times New Roman"/>
                <w:sz w:val="18"/>
                <w:szCs w:val="18"/>
              </w:rPr>
            </w:pPr>
            <w:r w:rsidRPr="00A71D2E">
              <w:rPr>
                <w:rFonts w:eastAsia="宋体" w:cs="Times New Roman"/>
                <w:sz w:val="18"/>
                <w:szCs w:val="18"/>
              </w:rPr>
              <w:t>46,095,205.30</w:t>
            </w:r>
          </w:p>
        </w:tc>
      </w:tr>
    </w:tbl>
    <w:p w:rsidR="005F6448" w:rsidRPr="00F66363" w:rsidRDefault="005F6448">
      <w:pPr>
        <w:ind w:left="731"/>
        <w:rPr>
          <w:rFonts w:eastAsia="宋体" w:cs="Times New Roman"/>
          <w:szCs w:val="21"/>
        </w:rPr>
      </w:pPr>
    </w:p>
    <w:p w:rsidR="00EB68E7" w:rsidRPr="00A71D2E" w:rsidRDefault="00EB68E7">
      <w:pPr>
        <w:pStyle w:val="2"/>
        <w:numPr>
          <w:ilvl w:val="2"/>
          <w:numId w:val="1"/>
        </w:numPr>
        <w:adjustRightInd w:val="0"/>
        <w:snapToGrid w:val="0"/>
        <w:ind w:left="1440" w:hanging="720"/>
        <w:contextualSpacing w:val="0"/>
        <w:rPr>
          <w:rFonts w:ascii="Times New Roman" w:eastAsia="宋体" w:hAnsi="Times New Roman" w:cs="Times New Roman"/>
          <w:szCs w:val="21"/>
        </w:rPr>
      </w:pPr>
      <w:r w:rsidRPr="00A71D2E">
        <w:rPr>
          <w:rFonts w:ascii="Times New Roman" w:eastAsia="宋体" w:hAnsi="Times New Roman" w:cs="Times New Roman" w:hint="eastAsia"/>
          <w:szCs w:val="21"/>
        </w:rPr>
        <w:t>其他应付款</w:t>
      </w:r>
    </w:p>
    <w:p w:rsidR="00EB68E7" w:rsidRPr="00A71D2E" w:rsidRDefault="00EB68E7">
      <w:pPr>
        <w:ind w:left="720"/>
        <w:rPr>
          <w:rFonts w:eastAsia="宋体" w:cs="Times New Roman"/>
          <w:szCs w:val="18"/>
        </w:rPr>
      </w:pPr>
    </w:p>
    <w:p w:rsidR="00EB68E7" w:rsidRPr="00A71D2E" w:rsidRDefault="00EB68E7">
      <w:pPr>
        <w:pStyle w:val="aff1"/>
        <w:numPr>
          <w:ilvl w:val="0"/>
          <w:numId w:val="16"/>
        </w:numPr>
        <w:ind w:left="1440" w:firstLineChars="0" w:hanging="709"/>
        <w:rPr>
          <w:szCs w:val="21"/>
        </w:rPr>
      </w:pPr>
      <w:r w:rsidRPr="00A71D2E">
        <w:rPr>
          <w:rFonts w:hint="eastAsia"/>
          <w:szCs w:val="21"/>
        </w:rPr>
        <w:t>按款项性质列示其他应付款</w:t>
      </w:r>
    </w:p>
    <w:p w:rsidR="00EB68E7" w:rsidRPr="00A71D2E" w:rsidRDefault="00EB68E7">
      <w:pPr>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063"/>
        <w:gridCol w:w="1696"/>
        <w:gridCol w:w="1697"/>
      </w:tblGrid>
      <w:tr w:rsidR="004D17F6" w:rsidRPr="00A71D2E" w:rsidTr="0027505B">
        <w:trPr>
          <w:trHeight w:val="20"/>
        </w:trPr>
        <w:tc>
          <w:tcPr>
            <w:tcW w:w="6063" w:type="dxa"/>
            <w:shd w:val="clear" w:color="auto" w:fill="D9D9D9" w:themeFill="background1" w:themeFillShade="D9"/>
            <w:tcMar>
              <w:top w:w="0" w:type="dxa"/>
              <w:left w:w="108" w:type="dxa"/>
              <w:bottom w:w="0" w:type="dxa"/>
              <w:right w:w="108" w:type="dxa"/>
            </w:tcMar>
            <w:vAlign w:val="center"/>
            <w:hideMark/>
          </w:tcPr>
          <w:p w:rsidR="004D17F6" w:rsidRPr="00A71D2E" w:rsidRDefault="004D17F6">
            <w:pPr>
              <w:jc w:val="center"/>
              <w:rPr>
                <w:rFonts w:eastAsia="宋体" w:cs="Times New Roman"/>
                <w:sz w:val="18"/>
                <w:szCs w:val="18"/>
              </w:rPr>
            </w:pPr>
            <w:r w:rsidRPr="00A71D2E">
              <w:rPr>
                <w:rFonts w:eastAsia="宋体" w:cs="Times New Roman" w:hint="eastAsia"/>
                <w:sz w:val="18"/>
                <w:szCs w:val="18"/>
              </w:rPr>
              <w:t>项目</w:t>
            </w:r>
          </w:p>
        </w:tc>
        <w:tc>
          <w:tcPr>
            <w:tcW w:w="1696" w:type="dxa"/>
            <w:shd w:val="clear" w:color="auto" w:fill="D9D9D9" w:themeFill="background1" w:themeFillShade="D9"/>
            <w:vAlign w:val="center"/>
          </w:tcPr>
          <w:p w:rsidR="004D17F6" w:rsidRPr="00A71D2E" w:rsidRDefault="004D17F6">
            <w:pPr>
              <w:jc w:val="center"/>
              <w:rPr>
                <w:rFonts w:eastAsia="宋体" w:cs="Times New Roman"/>
                <w:sz w:val="18"/>
                <w:szCs w:val="18"/>
              </w:rPr>
            </w:pPr>
            <w:r w:rsidRPr="00A71D2E">
              <w:rPr>
                <w:rFonts w:eastAsia="宋体" w:cs="Times New Roman" w:hint="eastAsia"/>
                <w:sz w:val="18"/>
                <w:szCs w:val="18"/>
              </w:rPr>
              <w:t>年末余额</w:t>
            </w:r>
          </w:p>
        </w:tc>
        <w:tc>
          <w:tcPr>
            <w:tcW w:w="1697" w:type="dxa"/>
            <w:shd w:val="clear" w:color="auto" w:fill="D9D9D9" w:themeFill="background1" w:themeFillShade="D9"/>
            <w:vAlign w:val="center"/>
          </w:tcPr>
          <w:p w:rsidR="004D17F6" w:rsidRPr="00A71D2E" w:rsidRDefault="004D17F6">
            <w:pPr>
              <w:jc w:val="center"/>
              <w:rPr>
                <w:rFonts w:eastAsia="宋体" w:cs="Times New Roman"/>
                <w:sz w:val="18"/>
                <w:szCs w:val="18"/>
              </w:rPr>
            </w:pPr>
            <w:r w:rsidRPr="00A71D2E">
              <w:rPr>
                <w:rFonts w:eastAsia="宋体" w:cs="Times New Roman" w:hint="eastAsia"/>
                <w:sz w:val="18"/>
                <w:szCs w:val="18"/>
              </w:rPr>
              <w:t>年初余额</w:t>
            </w:r>
          </w:p>
        </w:tc>
      </w:tr>
      <w:tr w:rsidR="008B6B1E" w:rsidRPr="00A71D2E" w:rsidTr="0027505B">
        <w:trPr>
          <w:trHeight w:val="20"/>
        </w:trPr>
        <w:tc>
          <w:tcPr>
            <w:tcW w:w="6063" w:type="dxa"/>
            <w:tcMar>
              <w:top w:w="0" w:type="dxa"/>
              <w:left w:w="108" w:type="dxa"/>
              <w:bottom w:w="0" w:type="dxa"/>
              <w:right w:w="108" w:type="dxa"/>
            </w:tcMar>
            <w:vAlign w:val="center"/>
          </w:tcPr>
          <w:p w:rsidR="008B6B1E" w:rsidRPr="00A71D2E" w:rsidRDefault="008B6B1E">
            <w:pPr>
              <w:rPr>
                <w:rFonts w:eastAsia="宋体" w:cs="Times New Roman"/>
                <w:sz w:val="18"/>
                <w:szCs w:val="18"/>
              </w:rPr>
            </w:pPr>
            <w:r w:rsidRPr="00A71D2E">
              <w:rPr>
                <w:rFonts w:eastAsia="宋体" w:cs="Times New Roman" w:hint="eastAsia"/>
                <w:sz w:val="18"/>
                <w:szCs w:val="18"/>
              </w:rPr>
              <w:t>预提费用</w:t>
            </w:r>
          </w:p>
        </w:tc>
        <w:tc>
          <w:tcPr>
            <w:tcW w:w="1696" w:type="dxa"/>
            <w:vAlign w:val="center"/>
          </w:tcPr>
          <w:p w:rsidR="008B6B1E" w:rsidRPr="00A71D2E" w:rsidRDefault="008731CA">
            <w:pPr>
              <w:ind w:right="105"/>
              <w:jc w:val="right"/>
              <w:rPr>
                <w:rFonts w:eastAsia="宋体" w:cs="Times New Roman"/>
                <w:sz w:val="18"/>
                <w:szCs w:val="18"/>
              </w:rPr>
            </w:pPr>
            <w:r w:rsidRPr="008731CA">
              <w:rPr>
                <w:rFonts w:eastAsia="宋体" w:cs="Times New Roman"/>
                <w:sz w:val="18"/>
                <w:szCs w:val="18"/>
              </w:rPr>
              <w:t>109,219,667.32</w:t>
            </w:r>
          </w:p>
        </w:tc>
        <w:tc>
          <w:tcPr>
            <w:tcW w:w="1697" w:type="dxa"/>
            <w:vAlign w:val="center"/>
          </w:tcPr>
          <w:p w:rsidR="008B6B1E" w:rsidRPr="00A71D2E" w:rsidRDefault="008B6B1E">
            <w:pPr>
              <w:ind w:right="105"/>
              <w:jc w:val="right"/>
              <w:rPr>
                <w:rFonts w:eastAsia="宋体" w:cs="Times New Roman"/>
                <w:sz w:val="18"/>
                <w:szCs w:val="18"/>
              </w:rPr>
            </w:pPr>
            <w:r w:rsidRPr="00FA01DC">
              <w:rPr>
                <w:rFonts w:eastAsia="宋体" w:cs="Times New Roman"/>
                <w:sz w:val="18"/>
                <w:szCs w:val="18"/>
              </w:rPr>
              <w:t>90,186,770.19</w:t>
            </w:r>
          </w:p>
        </w:tc>
      </w:tr>
      <w:tr w:rsidR="008B6B1E" w:rsidRPr="00A71D2E" w:rsidTr="0027505B">
        <w:trPr>
          <w:trHeight w:val="20"/>
        </w:trPr>
        <w:tc>
          <w:tcPr>
            <w:tcW w:w="6063" w:type="dxa"/>
            <w:tcMar>
              <w:top w:w="0" w:type="dxa"/>
              <w:left w:w="108" w:type="dxa"/>
              <w:bottom w:w="0" w:type="dxa"/>
              <w:right w:w="108" w:type="dxa"/>
            </w:tcMar>
            <w:vAlign w:val="center"/>
          </w:tcPr>
          <w:p w:rsidR="008B6B1E" w:rsidRPr="00A71D2E" w:rsidRDefault="008B6B1E">
            <w:pPr>
              <w:rPr>
                <w:rFonts w:eastAsia="宋体" w:cs="Times New Roman"/>
                <w:sz w:val="18"/>
                <w:szCs w:val="18"/>
              </w:rPr>
            </w:pPr>
            <w:r w:rsidRPr="00A71D2E">
              <w:rPr>
                <w:rFonts w:eastAsia="宋体" w:cs="Times New Roman" w:hint="eastAsia"/>
                <w:sz w:val="18"/>
                <w:szCs w:val="18"/>
              </w:rPr>
              <w:t>押金保证金</w:t>
            </w:r>
          </w:p>
        </w:tc>
        <w:tc>
          <w:tcPr>
            <w:tcW w:w="1696" w:type="dxa"/>
            <w:vAlign w:val="center"/>
          </w:tcPr>
          <w:p w:rsidR="008B6B1E" w:rsidRPr="00A71D2E" w:rsidRDefault="008731CA">
            <w:pPr>
              <w:ind w:right="105"/>
              <w:jc w:val="right"/>
              <w:rPr>
                <w:rFonts w:eastAsia="宋体" w:cs="Times New Roman"/>
                <w:sz w:val="18"/>
                <w:szCs w:val="18"/>
              </w:rPr>
            </w:pPr>
            <w:r w:rsidRPr="008731CA">
              <w:rPr>
                <w:rFonts w:eastAsia="宋体" w:cs="Times New Roman"/>
                <w:sz w:val="18"/>
                <w:szCs w:val="18"/>
              </w:rPr>
              <w:t>23,707,857.19</w:t>
            </w:r>
          </w:p>
        </w:tc>
        <w:tc>
          <w:tcPr>
            <w:tcW w:w="1697" w:type="dxa"/>
            <w:vAlign w:val="center"/>
          </w:tcPr>
          <w:p w:rsidR="008B6B1E" w:rsidRPr="00A71D2E" w:rsidRDefault="008B6B1E">
            <w:pPr>
              <w:ind w:right="105"/>
              <w:jc w:val="right"/>
              <w:rPr>
                <w:rFonts w:eastAsia="宋体" w:cs="Times New Roman"/>
                <w:sz w:val="18"/>
                <w:szCs w:val="18"/>
              </w:rPr>
            </w:pPr>
            <w:r w:rsidRPr="00A71D2E">
              <w:rPr>
                <w:rFonts w:eastAsia="宋体" w:cs="Times New Roman"/>
                <w:sz w:val="18"/>
                <w:szCs w:val="18"/>
              </w:rPr>
              <w:t>18,358,202.32</w:t>
            </w:r>
          </w:p>
        </w:tc>
      </w:tr>
      <w:tr w:rsidR="008B6B1E" w:rsidRPr="00A71D2E" w:rsidTr="0027505B">
        <w:trPr>
          <w:trHeight w:val="20"/>
        </w:trPr>
        <w:tc>
          <w:tcPr>
            <w:tcW w:w="6063" w:type="dxa"/>
            <w:tcMar>
              <w:top w:w="0" w:type="dxa"/>
              <w:left w:w="108" w:type="dxa"/>
              <w:bottom w:w="0" w:type="dxa"/>
              <w:right w:w="108" w:type="dxa"/>
            </w:tcMar>
            <w:vAlign w:val="center"/>
          </w:tcPr>
          <w:p w:rsidR="008B6B1E" w:rsidRPr="00A71D2E" w:rsidRDefault="008B6B1E">
            <w:pPr>
              <w:rPr>
                <w:rFonts w:eastAsia="宋体" w:cs="Times New Roman"/>
                <w:sz w:val="18"/>
                <w:szCs w:val="18"/>
              </w:rPr>
            </w:pPr>
            <w:r>
              <w:rPr>
                <w:rFonts w:eastAsia="宋体" w:cs="Times New Roman" w:hint="eastAsia"/>
                <w:sz w:val="18"/>
                <w:szCs w:val="18"/>
              </w:rPr>
              <w:t>专项应付款</w:t>
            </w:r>
          </w:p>
        </w:tc>
        <w:tc>
          <w:tcPr>
            <w:tcW w:w="1696" w:type="dxa"/>
            <w:vAlign w:val="center"/>
          </w:tcPr>
          <w:p w:rsidR="008B6B1E" w:rsidRPr="00A71D2E" w:rsidRDefault="008731CA">
            <w:pPr>
              <w:ind w:right="105"/>
              <w:jc w:val="right"/>
              <w:rPr>
                <w:rFonts w:eastAsia="宋体" w:cs="Times New Roman"/>
                <w:sz w:val="18"/>
                <w:szCs w:val="18"/>
              </w:rPr>
            </w:pPr>
            <w:r w:rsidRPr="008731CA">
              <w:rPr>
                <w:rFonts w:eastAsia="宋体" w:cs="Times New Roman"/>
                <w:sz w:val="18"/>
                <w:szCs w:val="18"/>
              </w:rPr>
              <w:t>5,000,000.00</w:t>
            </w:r>
          </w:p>
        </w:tc>
        <w:tc>
          <w:tcPr>
            <w:tcW w:w="1697" w:type="dxa"/>
            <w:vAlign w:val="center"/>
          </w:tcPr>
          <w:p w:rsidR="008B6B1E" w:rsidRPr="00A71D2E" w:rsidRDefault="008B6B1E">
            <w:pPr>
              <w:ind w:right="105"/>
              <w:jc w:val="right"/>
              <w:rPr>
                <w:rFonts w:eastAsia="宋体" w:cs="Times New Roman"/>
                <w:sz w:val="18"/>
                <w:szCs w:val="18"/>
              </w:rPr>
            </w:pPr>
            <w:r>
              <w:rPr>
                <w:rFonts w:eastAsia="宋体" w:cs="Times New Roman"/>
                <w:sz w:val="18"/>
                <w:szCs w:val="18"/>
              </w:rPr>
              <w:t>5</w:t>
            </w:r>
            <w:r>
              <w:rPr>
                <w:rFonts w:eastAsia="宋体" w:cs="Times New Roman" w:hint="eastAsia"/>
                <w:sz w:val="18"/>
                <w:szCs w:val="18"/>
              </w:rPr>
              <w:t>,</w:t>
            </w:r>
            <w:r>
              <w:rPr>
                <w:rFonts w:eastAsia="宋体" w:cs="Times New Roman"/>
                <w:sz w:val="18"/>
                <w:szCs w:val="18"/>
              </w:rPr>
              <w:t>000,000.00</w:t>
            </w:r>
          </w:p>
        </w:tc>
      </w:tr>
      <w:tr w:rsidR="001C1826" w:rsidRPr="00A71D2E" w:rsidTr="0027505B">
        <w:trPr>
          <w:trHeight w:val="20"/>
        </w:trPr>
        <w:tc>
          <w:tcPr>
            <w:tcW w:w="6063" w:type="dxa"/>
            <w:tcMar>
              <w:top w:w="0" w:type="dxa"/>
              <w:left w:w="108" w:type="dxa"/>
              <w:bottom w:w="0" w:type="dxa"/>
              <w:right w:w="108" w:type="dxa"/>
            </w:tcMar>
            <w:vAlign w:val="center"/>
          </w:tcPr>
          <w:p w:rsidR="001C1826" w:rsidRDefault="0093304D">
            <w:pPr>
              <w:rPr>
                <w:rFonts w:eastAsia="宋体" w:cs="Times New Roman"/>
                <w:sz w:val="18"/>
                <w:szCs w:val="18"/>
              </w:rPr>
            </w:pPr>
            <w:r w:rsidRPr="0093304D">
              <w:rPr>
                <w:rFonts w:eastAsia="宋体" w:cs="Times New Roman" w:hint="eastAsia"/>
                <w:sz w:val="18"/>
                <w:szCs w:val="18"/>
              </w:rPr>
              <w:t>应付暂收款</w:t>
            </w:r>
          </w:p>
        </w:tc>
        <w:tc>
          <w:tcPr>
            <w:tcW w:w="1696" w:type="dxa"/>
            <w:vAlign w:val="center"/>
          </w:tcPr>
          <w:p w:rsidR="001C1826" w:rsidRPr="008731CA" w:rsidRDefault="00816064">
            <w:pPr>
              <w:ind w:right="105"/>
              <w:jc w:val="right"/>
              <w:rPr>
                <w:rFonts w:eastAsia="宋体" w:cs="Times New Roman"/>
                <w:sz w:val="18"/>
                <w:szCs w:val="18"/>
              </w:rPr>
            </w:pPr>
            <w:r w:rsidRPr="00816064">
              <w:rPr>
                <w:rFonts w:eastAsia="宋体" w:cs="Times New Roman"/>
                <w:sz w:val="18"/>
                <w:szCs w:val="18"/>
              </w:rPr>
              <w:t>3,833,387.20</w:t>
            </w:r>
          </w:p>
        </w:tc>
        <w:tc>
          <w:tcPr>
            <w:tcW w:w="1697" w:type="dxa"/>
            <w:vAlign w:val="center"/>
          </w:tcPr>
          <w:p w:rsidR="001C1826" w:rsidRDefault="008A613C">
            <w:pPr>
              <w:ind w:right="105"/>
              <w:jc w:val="right"/>
              <w:rPr>
                <w:rFonts w:eastAsia="宋体" w:cs="Times New Roman"/>
                <w:sz w:val="18"/>
                <w:szCs w:val="18"/>
              </w:rPr>
            </w:pPr>
            <w:r>
              <w:rPr>
                <w:rFonts w:eastAsia="宋体" w:cs="Times New Roman" w:hint="eastAsia"/>
                <w:sz w:val="18"/>
                <w:szCs w:val="18"/>
              </w:rPr>
              <w:t>-</w:t>
            </w:r>
            <w:r>
              <w:rPr>
                <w:rFonts w:eastAsia="宋体" w:cs="Times New Roman"/>
                <w:sz w:val="18"/>
                <w:szCs w:val="18"/>
              </w:rPr>
              <w:t>    </w:t>
            </w:r>
          </w:p>
        </w:tc>
      </w:tr>
      <w:tr w:rsidR="008B6B1E" w:rsidRPr="00A71D2E" w:rsidTr="0027505B">
        <w:trPr>
          <w:trHeight w:val="20"/>
        </w:trPr>
        <w:tc>
          <w:tcPr>
            <w:tcW w:w="6063" w:type="dxa"/>
            <w:shd w:val="clear" w:color="auto" w:fill="auto"/>
            <w:tcMar>
              <w:top w:w="0" w:type="dxa"/>
              <w:left w:w="108" w:type="dxa"/>
              <w:bottom w:w="0" w:type="dxa"/>
              <w:right w:w="108" w:type="dxa"/>
            </w:tcMar>
            <w:vAlign w:val="center"/>
          </w:tcPr>
          <w:p w:rsidR="008B6B1E" w:rsidRPr="00A71D2E" w:rsidRDefault="008B6B1E">
            <w:pPr>
              <w:rPr>
                <w:rFonts w:eastAsia="宋体" w:cs="Times New Roman"/>
                <w:sz w:val="18"/>
                <w:szCs w:val="18"/>
              </w:rPr>
            </w:pPr>
            <w:r w:rsidRPr="00A71D2E">
              <w:rPr>
                <w:rFonts w:eastAsia="宋体" w:cs="Times New Roman" w:hint="eastAsia"/>
                <w:sz w:val="18"/>
                <w:szCs w:val="18"/>
              </w:rPr>
              <w:t>其他</w:t>
            </w:r>
          </w:p>
        </w:tc>
        <w:tc>
          <w:tcPr>
            <w:tcW w:w="1696" w:type="dxa"/>
            <w:vAlign w:val="center"/>
          </w:tcPr>
          <w:p w:rsidR="008B6B1E" w:rsidRPr="00A71D2E" w:rsidRDefault="00816064">
            <w:pPr>
              <w:ind w:right="105"/>
              <w:jc w:val="right"/>
              <w:rPr>
                <w:rFonts w:eastAsia="宋体" w:cs="Times New Roman"/>
                <w:sz w:val="18"/>
                <w:szCs w:val="18"/>
              </w:rPr>
            </w:pPr>
            <w:r w:rsidRPr="00816064">
              <w:rPr>
                <w:rFonts w:eastAsia="宋体" w:cs="Times New Roman"/>
                <w:sz w:val="18"/>
                <w:szCs w:val="18"/>
              </w:rPr>
              <w:t>7,102,400.81</w:t>
            </w:r>
          </w:p>
        </w:tc>
        <w:tc>
          <w:tcPr>
            <w:tcW w:w="1697" w:type="dxa"/>
            <w:vAlign w:val="center"/>
          </w:tcPr>
          <w:p w:rsidR="008B6B1E" w:rsidRPr="00A71D2E" w:rsidRDefault="008B6B1E">
            <w:pPr>
              <w:ind w:right="105"/>
              <w:jc w:val="right"/>
              <w:rPr>
                <w:rFonts w:eastAsia="宋体" w:cs="Times New Roman"/>
                <w:sz w:val="18"/>
                <w:szCs w:val="18"/>
              </w:rPr>
            </w:pPr>
            <w:r w:rsidRPr="00A71D2E">
              <w:rPr>
                <w:rFonts w:eastAsia="宋体" w:cs="Times New Roman"/>
                <w:sz w:val="18"/>
                <w:szCs w:val="18"/>
              </w:rPr>
              <w:t>5,082,041.05</w:t>
            </w:r>
          </w:p>
        </w:tc>
      </w:tr>
      <w:tr w:rsidR="008B6B1E" w:rsidRPr="00A71D2E" w:rsidTr="0027505B">
        <w:trPr>
          <w:trHeight w:val="20"/>
        </w:trPr>
        <w:tc>
          <w:tcPr>
            <w:tcW w:w="6063" w:type="dxa"/>
            <w:shd w:val="clear" w:color="auto" w:fill="D9D9D9" w:themeFill="background1" w:themeFillShade="D9"/>
            <w:tcMar>
              <w:top w:w="0" w:type="dxa"/>
              <w:left w:w="108" w:type="dxa"/>
              <w:bottom w:w="0" w:type="dxa"/>
              <w:right w:w="108" w:type="dxa"/>
            </w:tcMar>
            <w:vAlign w:val="center"/>
            <w:hideMark/>
          </w:tcPr>
          <w:p w:rsidR="008B6B1E" w:rsidRPr="00A71D2E" w:rsidRDefault="008B6B1E">
            <w:pPr>
              <w:rPr>
                <w:rFonts w:eastAsia="宋体" w:cs="Times New Roman"/>
                <w:sz w:val="18"/>
                <w:szCs w:val="18"/>
              </w:rPr>
            </w:pPr>
            <w:r w:rsidRPr="00A71D2E">
              <w:rPr>
                <w:rFonts w:eastAsia="宋体" w:cs="Times New Roman" w:hint="eastAsia"/>
                <w:sz w:val="18"/>
                <w:szCs w:val="18"/>
              </w:rPr>
              <w:t>合计</w:t>
            </w:r>
          </w:p>
        </w:tc>
        <w:tc>
          <w:tcPr>
            <w:tcW w:w="1696" w:type="dxa"/>
            <w:vAlign w:val="center"/>
          </w:tcPr>
          <w:p w:rsidR="008B6B1E" w:rsidRPr="00A71D2E" w:rsidRDefault="008731CA">
            <w:pPr>
              <w:ind w:right="105"/>
              <w:jc w:val="right"/>
              <w:rPr>
                <w:rFonts w:eastAsia="宋体" w:cs="Times New Roman"/>
                <w:sz w:val="18"/>
                <w:szCs w:val="18"/>
              </w:rPr>
            </w:pPr>
            <w:r w:rsidRPr="008731CA">
              <w:rPr>
                <w:rFonts w:eastAsia="宋体" w:cs="Times New Roman"/>
                <w:sz w:val="18"/>
                <w:szCs w:val="18"/>
              </w:rPr>
              <w:t>148,863,312.52</w:t>
            </w:r>
          </w:p>
        </w:tc>
        <w:tc>
          <w:tcPr>
            <w:tcW w:w="1697" w:type="dxa"/>
            <w:vAlign w:val="center"/>
          </w:tcPr>
          <w:p w:rsidR="008B6B1E" w:rsidRPr="00A71D2E" w:rsidRDefault="008B6B1E">
            <w:pPr>
              <w:ind w:right="105"/>
              <w:jc w:val="right"/>
              <w:rPr>
                <w:rFonts w:eastAsia="宋体" w:cs="Times New Roman"/>
                <w:sz w:val="18"/>
                <w:szCs w:val="18"/>
              </w:rPr>
            </w:pPr>
            <w:r w:rsidRPr="00FA01DC">
              <w:rPr>
                <w:rFonts w:eastAsia="宋体" w:cs="Times New Roman"/>
                <w:sz w:val="18"/>
                <w:szCs w:val="18"/>
              </w:rPr>
              <w:t>118,627,013.56</w:t>
            </w:r>
          </w:p>
        </w:tc>
      </w:tr>
    </w:tbl>
    <w:p w:rsidR="00EB68E7" w:rsidRPr="00A71D2E" w:rsidRDefault="00EB68E7">
      <w:pPr>
        <w:ind w:left="720"/>
        <w:rPr>
          <w:rFonts w:eastAsia="宋体" w:cs="Times New Roman"/>
          <w:szCs w:val="18"/>
        </w:rPr>
      </w:pPr>
    </w:p>
    <w:p w:rsidR="00EB68E7" w:rsidRPr="00A71D2E" w:rsidRDefault="00E77A17">
      <w:pPr>
        <w:pStyle w:val="aff1"/>
        <w:numPr>
          <w:ilvl w:val="0"/>
          <w:numId w:val="16"/>
        </w:numPr>
        <w:ind w:left="1440" w:firstLineChars="0" w:hanging="709"/>
        <w:rPr>
          <w:szCs w:val="21"/>
        </w:rPr>
      </w:pPr>
      <w:r w:rsidRPr="00A71D2E">
        <w:rPr>
          <w:rFonts w:hint="eastAsia"/>
          <w:szCs w:val="21"/>
        </w:rPr>
        <w:t>本年末</w:t>
      </w:r>
      <w:r w:rsidR="00EB68E7" w:rsidRPr="00A71D2E">
        <w:rPr>
          <w:rFonts w:hint="eastAsia"/>
          <w:szCs w:val="21"/>
        </w:rPr>
        <w:t>，本集团无账龄超过一年的重要其他应付款</w:t>
      </w:r>
      <w:r w:rsidR="00692518">
        <w:rPr>
          <w:rFonts w:hint="eastAsia"/>
          <w:szCs w:val="21"/>
        </w:rPr>
        <w:t>。</w:t>
      </w:r>
    </w:p>
    <w:p w:rsidR="0091794F" w:rsidRDefault="0091794F">
      <w:pPr>
        <w:adjustRightInd/>
        <w:snapToGrid/>
        <w:rPr>
          <w:rFonts w:eastAsia="宋体" w:cs="Times New Roman"/>
          <w:szCs w:val="21"/>
        </w:rPr>
      </w:pPr>
      <w:r>
        <w:rPr>
          <w:rFonts w:eastAsia="宋体" w:cs="Times New Roman"/>
          <w:szCs w:val="21"/>
        </w:rPr>
        <w:br w:type="page"/>
      </w:r>
    </w:p>
    <w:p w:rsidR="0091794F" w:rsidRPr="00F66363" w:rsidRDefault="005F14EE" w:rsidP="0091794F">
      <w:pPr>
        <w:rPr>
          <w:rFonts w:eastAsia="宋体" w:cs="Times New Roman"/>
          <w:szCs w:val="21"/>
        </w:rPr>
      </w:pPr>
      <w:r>
        <w:rPr>
          <w:rFonts w:eastAsia="宋体" w:cs="Times New Roman"/>
          <w:b/>
          <w:szCs w:val="21"/>
        </w:rPr>
        <w:t>(</w:t>
      </w:r>
      <w:r w:rsidR="0091794F" w:rsidRPr="00F66363">
        <w:rPr>
          <w:rFonts w:eastAsia="宋体" w:cs="Times New Roman" w:hint="eastAsia"/>
          <w:b/>
          <w:szCs w:val="21"/>
        </w:rPr>
        <w:t>五</w:t>
      </w:r>
      <w:r>
        <w:rPr>
          <w:rFonts w:eastAsia="宋体" w:cs="Times New Roman"/>
          <w:b/>
          <w:szCs w:val="21"/>
        </w:rPr>
        <w:t>)</w:t>
      </w:r>
      <w:r w:rsidR="0091794F" w:rsidRPr="00F66363">
        <w:rPr>
          <w:rFonts w:eastAsia="宋体" w:cs="Times New Roman"/>
          <w:b/>
          <w:szCs w:val="21"/>
        </w:rPr>
        <w:tab/>
      </w:r>
      <w:r w:rsidR="0091794F" w:rsidRPr="00F66363">
        <w:rPr>
          <w:rFonts w:eastAsia="宋体" w:cs="Times New Roman" w:hint="eastAsia"/>
          <w:b/>
          <w:szCs w:val="21"/>
        </w:rPr>
        <w:t>合并财务报表项目注释</w:t>
      </w:r>
      <w:r w:rsidR="0091794F" w:rsidRPr="00F66363">
        <w:rPr>
          <w:rFonts w:eastAsia="宋体" w:cs="Times New Roman"/>
          <w:bCs/>
          <w:szCs w:val="21"/>
        </w:rPr>
        <w:t xml:space="preserve"> </w:t>
      </w:r>
      <w:r w:rsidR="0091794F" w:rsidRPr="00F66363">
        <w:rPr>
          <w:rFonts w:eastAsia="宋体" w:cs="Times New Roman"/>
          <w:szCs w:val="21"/>
        </w:rPr>
        <w:t xml:space="preserve">- </w:t>
      </w:r>
      <w:r w:rsidR="0091794F" w:rsidRPr="00F66363">
        <w:rPr>
          <w:rFonts w:eastAsia="宋体" w:cs="Times New Roman" w:hint="eastAsia"/>
          <w:szCs w:val="21"/>
        </w:rPr>
        <w:t>续</w:t>
      </w:r>
    </w:p>
    <w:p w:rsidR="00EB68E7" w:rsidRPr="0091794F" w:rsidRDefault="00EB68E7">
      <w:pPr>
        <w:ind w:left="731"/>
        <w:rPr>
          <w:rFonts w:eastAsia="宋体" w:cs="Times New Roman"/>
          <w:szCs w:val="21"/>
        </w:rPr>
      </w:pPr>
    </w:p>
    <w:p w:rsidR="00EB68E7" w:rsidRPr="00A71D2E" w:rsidRDefault="00EB68E7">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一年内到期的非流动负债</w:t>
      </w:r>
    </w:p>
    <w:p w:rsidR="00EB68E7" w:rsidRPr="00A71D2E" w:rsidRDefault="00EB68E7">
      <w:pPr>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68"/>
        <w:gridCol w:w="1943"/>
        <w:gridCol w:w="1943"/>
      </w:tblGrid>
      <w:tr w:rsidR="00612A1A" w:rsidRPr="00A71D2E" w:rsidTr="0027505B">
        <w:trPr>
          <w:trHeight w:val="20"/>
        </w:trPr>
        <w:tc>
          <w:tcPr>
            <w:tcW w:w="5568" w:type="dxa"/>
            <w:shd w:val="clear" w:color="auto" w:fill="D9D9D9" w:themeFill="background1" w:themeFillShade="D9"/>
            <w:tcMar>
              <w:top w:w="0" w:type="dxa"/>
              <w:left w:w="108" w:type="dxa"/>
              <w:bottom w:w="0" w:type="dxa"/>
              <w:right w:w="108" w:type="dxa"/>
            </w:tcMar>
            <w:vAlign w:val="center"/>
            <w:hideMark/>
          </w:tcPr>
          <w:p w:rsidR="00612A1A" w:rsidRPr="00A71D2E" w:rsidRDefault="00612A1A">
            <w:pPr>
              <w:jc w:val="center"/>
              <w:rPr>
                <w:rFonts w:eastAsia="宋体" w:cs="Times New Roman"/>
                <w:sz w:val="18"/>
                <w:szCs w:val="18"/>
              </w:rPr>
            </w:pPr>
            <w:r w:rsidRPr="00A71D2E">
              <w:rPr>
                <w:rFonts w:eastAsia="宋体" w:cs="Times New Roman" w:hint="eastAsia"/>
                <w:sz w:val="18"/>
                <w:szCs w:val="18"/>
              </w:rPr>
              <w:t>项目</w:t>
            </w:r>
          </w:p>
        </w:tc>
        <w:tc>
          <w:tcPr>
            <w:tcW w:w="1943" w:type="dxa"/>
            <w:shd w:val="clear" w:color="auto" w:fill="D9D9D9" w:themeFill="background1" w:themeFillShade="D9"/>
            <w:vAlign w:val="center"/>
          </w:tcPr>
          <w:p w:rsidR="00612A1A" w:rsidRPr="00A71D2E" w:rsidRDefault="00612A1A">
            <w:pPr>
              <w:jc w:val="center"/>
              <w:rPr>
                <w:rFonts w:eastAsia="宋体" w:cs="Times New Roman"/>
                <w:sz w:val="18"/>
                <w:szCs w:val="18"/>
              </w:rPr>
            </w:pPr>
            <w:r w:rsidRPr="00A71D2E">
              <w:rPr>
                <w:rFonts w:eastAsia="宋体" w:cs="Times New Roman" w:hint="eastAsia"/>
                <w:sz w:val="18"/>
                <w:szCs w:val="18"/>
              </w:rPr>
              <w:t>年末余额</w:t>
            </w:r>
          </w:p>
        </w:tc>
        <w:tc>
          <w:tcPr>
            <w:tcW w:w="1943" w:type="dxa"/>
            <w:shd w:val="clear" w:color="auto" w:fill="D9D9D9" w:themeFill="background1" w:themeFillShade="D9"/>
            <w:vAlign w:val="center"/>
          </w:tcPr>
          <w:p w:rsidR="00612A1A" w:rsidRPr="00A71D2E" w:rsidRDefault="00612A1A">
            <w:pPr>
              <w:jc w:val="center"/>
              <w:rPr>
                <w:rFonts w:eastAsia="宋体" w:cs="Times New Roman"/>
                <w:sz w:val="18"/>
                <w:szCs w:val="18"/>
              </w:rPr>
            </w:pPr>
            <w:r w:rsidRPr="00A71D2E">
              <w:rPr>
                <w:rFonts w:eastAsia="宋体" w:cs="Times New Roman" w:hint="eastAsia"/>
                <w:sz w:val="18"/>
                <w:szCs w:val="18"/>
              </w:rPr>
              <w:t>年初余额</w:t>
            </w:r>
          </w:p>
        </w:tc>
      </w:tr>
      <w:tr w:rsidR="006465CA" w:rsidRPr="00A71D2E" w:rsidTr="0027505B">
        <w:trPr>
          <w:trHeight w:val="20"/>
        </w:trPr>
        <w:tc>
          <w:tcPr>
            <w:tcW w:w="5568" w:type="dxa"/>
            <w:shd w:val="clear" w:color="auto" w:fill="auto"/>
            <w:tcMar>
              <w:top w:w="0" w:type="dxa"/>
              <w:left w:w="108" w:type="dxa"/>
              <w:bottom w:w="0" w:type="dxa"/>
              <w:right w:w="108" w:type="dxa"/>
            </w:tcMar>
            <w:vAlign w:val="center"/>
          </w:tcPr>
          <w:p w:rsidR="006465CA" w:rsidRPr="00A71D2E" w:rsidRDefault="006465CA" w:rsidP="006465CA">
            <w:pPr>
              <w:rPr>
                <w:rFonts w:eastAsia="宋体" w:cs="Times New Roman"/>
                <w:sz w:val="18"/>
                <w:szCs w:val="18"/>
              </w:rPr>
            </w:pPr>
            <w:r w:rsidRPr="00A71D2E">
              <w:rPr>
                <w:rFonts w:eastAsia="宋体" w:cs="Times New Roman" w:hint="eastAsia"/>
                <w:sz w:val="18"/>
                <w:szCs w:val="18"/>
              </w:rPr>
              <w:t>一年内到期的长期借款</w:t>
            </w:r>
            <w:r w:rsidR="005F14EE">
              <w:rPr>
                <w:rFonts w:eastAsia="宋体" w:cs="Times New Roman"/>
                <w:sz w:val="18"/>
                <w:szCs w:val="18"/>
              </w:rPr>
              <w:t>(</w:t>
            </w:r>
            <w:r w:rsidRPr="00A71D2E">
              <w:rPr>
                <w:rFonts w:eastAsia="宋体" w:cs="Times New Roman" w:hint="eastAsia"/>
                <w:sz w:val="18"/>
                <w:szCs w:val="18"/>
              </w:rPr>
              <w:t>详见附注</w:t>
            </w:r>
            <w:r w:rsidR="005F14EE">
              <w:rPr>
                <w:rFonts w:eastAsia="宋体" w:cs="Times New Roman"/>
                <w:sz w:val="18"/>
                <w:szCs w:val="18"/>
              </w:rPr>
              <w:t>(</w:t>
            </w:r>
            <w:r w:rsidRPr="00A71D2E">
              <w:rPr>
                <w:rFonts w:eastAsia="宋体" w:cs="Times New Roman" w:hint="eastAsia"/>
                <w:sz w:val="18"/>
                <w:szCs w:val="18"/>
              </w:rPr>
              <w:t>五</w:t>
            </w:r>
            <w:r w:rsidR="005F14EE">
              <w:rPr>
                <w:rFonts w:eastAsia="宋体" w:cs="Times New Roman"/>
                <w:sz w:val="18"/>
                <w:szCs w:val="18"/>
              </w:rPr>
              <w:t>)</w:t>
            </w:r>
            <w:r w:rsidRPr="00A71D2E">
              <w:rPr>
                <w:rFonts w:eastAsia="宋体" w:cs="Times New Roman" w:hint="eastAsia"/>
                <w:sz w:val="18"/>
                <w:szCs w:val="18"/>
              </w:rPr>
              <w:t>、</w:t>
            </w:r>
            <w:r w:rsidRPr="00A71D2E">
              <w:rPr>
                <w:rFonts w:eastAsia="宋体" w:cs="Times New Roman"/>
                <w:sz w:val="18"/>
                <w:szCs w:val="18"/>
              </w:rPr>
              <w:t>2</w:t>
            </w:r>
            <w:r w:rsidR="00F61AA2">
              <w:rPr>
                <w:rFonts w:eastAsia="宋体" w:cs="Times New Roman"/>
                <w:sz w:val="18"/>
                <w:szCs w:val="18"/>
              </w:rPr>
              <w:t>8</w:t>
            </w:r>
            <w:r w:rsidR="005F14EE">
              <w:rPr>
                <w:rFonts w:eastAsia="宋体" w:cs="Times New Roman"/>
                <w:sz w:val="18"/>
                <w:szCs w:val="18"/>
              </w:rPr>
              <w:t>)</w:t>
            </w:r>
          </w:p>
        </w:tc>
        <w:tc>
          <w:tcPr>
            <w:tcW w:w="1943" w:type="dxa"/>
            <w:shd w:val="clear" w:color="auto" w:fill="auto"/>
            <w:vAlign w:val="center"/>
          </w:tcPr>
          <w:p w:rsidR="006465CA" w:rsidRPr="00A71D2E" w:rsidRDefault="00AF39F1" w:rsidP="006465CA">
            <w:pPr>
              <w:ind w:right="102"/>
              <w:jc w:val="right"/>
              <w:rPr>
                <w:rFonts w:eastAsia="宋体" w:cs="Times New Roman"/>
                <w:sz w:val="18"/>
                <w:szCs w:val="18"/>
              </w:rPr>
            </w:pPr>
            <w:r w:rsidRPr="00AF39F1">
              <w:rPr>
                <w:rFonts w:eastAsia="宋体" w:cs="Times New Roman"/>
                <w:sz w:val="18"/>
                <w:szCs w:val="18"/>
              </w:rPr>
              <w:t>1,357,264.77</w:t>
            </w:r>
          </w:p>
        </w:tc>
        <w:tc>
          <w:tcPr>
            <w:tcW w:w="1943" w:type="dxa"/>
            <w:vAlign w:val="center"/>
          </w:tcPr>
          <w:p w:rsidR="006465CA" w:rsidRPr="00A71D2E" w:rsidRDefault="006465CA" w:rsidP="006465CA">
            <w:pPr>
              <w:ind w:right="102"/>
              <w:jc w:val="right"/>
              <w:rPr>
                <w:rFonts w:eastAsia="宋体" w:cs="Times New Roman"/>
                <w:sz w:val="18"/>
                <w:szCs w:val="18"/>
              </w:rPr>
            </w:pPr>
            <w:r w:rsidRPr="00A71D2E">
              <w:rPr>
                <w:rFonts w:eastAsia="宋体" w:cs="Times New Roman"/>
                <w:sz w:val="18"/>
                <w:szCs w:val="18"/>
              </w:rPr>
              <w:t>1,258,940.79</w:t>
            </w:r>
          </w:p>
        </w:tc>
      </w:tr>
      <w:tr w:rsidR="006465CA" w:rsidRPr="00A71D2E" w:rsidTr="0027505B">
        <w:trPr>
          <w:trHeight w:val="20"/>
        </w:trPr>
        <w:tc>
          <w:tcPr>
            <w:tcW w:w="5568" w:type="dxa"/>
            <w:shd w:val="clear" w:color="auto" w:fill="auto"/>
            <w:tcMar>
              <w:top w:w="0" w:type="dxa"/>
              <w:left w:w="108" w:type="dxa"/>
              <w:bottom w:w="0" w:type="dxa"/>
              <w:right w:w="108" w:type="dxa"/>
            </w:tcMar>
            <w:vAlign w:val="center"/>
          </w:tcPr>
          <w:p w:rsidR="006465CA" w:rsidRPr="00A71D2E" w:rsidRDefault="006465CA" w:rsidP="006465CA">
            <w:pPr>
              <w:rPr>
                <w:rFonts w:eastAsia="宋体" w:cs="Times New Roman"/>
                <w:sz w:val="18"/>
                <w:szCs w:val="18"/>
              </w:rPr>
            </w:pPr>
            <w:r w:rsidRPr="00A71D2E">
              <w:rPr>
                <w:rFonts w:eastAsia="宋体" w:cs="Times New Roman" w:hint="eastAsia"/>
                <w:sz w:val="18"/>
                <w:szCs w:val="18"/>
              </w:rPr>
              <w:t>一年内到期的租赁负债</w:t>
            </w:r>
            <w:r w:rsidR="005F14EE">
              <w:rPr>
                <w:rFonts w:eastAsia="宋体" w:cs="Times New Roman"/>
                <w:sz w:val="18"/>
                <w:szCs w:val="18"/>
              </w:rPr>
              <w:t>(</w:t>
            </w:r>
            <w:r w:rsidRPr="00A71D2E">
              <w:rPr>
                <w:rFonts w:eastAsia="宋体" w:cs="Times New Roman" w:hint="eastAsia"/>
                <w:sz w:val="18"/>
                <w:szCs w:val="18"/>
              </w:rPr>
              <w:t>详见附注</w:t>
            </w:r>
            <w:r w:rsidR="005F14EE">
              <w:rPr>
                <w:rFonts w:eastAsia="宋体" w:cs="Times New Roman"/>
                <w:sz w:val="18"/>
                <w:szCs w:val="18"/>
              </w:rPr>
              <w:t>(</w:t>
            </w:r>
            <w:r w:rsidRPr="00A71D2E">
              <w:rPr>
                <w:rFonts w:eastAsia="宋体" w:cs="Times New Roman" w:hint="eastAsia"/>
                <w:sz w:val="18"/>
                <w:szCs w:val="18"/>
              </w:rPr>
              <w:t>五</w:t>
            </w:r>
            <w:r w:rsidR="005F14EE">
              <w:rPr>
                <w:rFonts w:eastAsia="宋体" w:cs="Times New Roman"/>
                <w:sz w:val="18"/>
                <w:szCs w:val="18"/>
              </w:rPr>
              <w:t>)</w:t>
            </w:r>
            <w:r w:rsidRPr="00A71D2E">
              <w:rPr>
                <w:rFonts w:eastAsia="宋体" w:cs="Times New Roman" w:hint="eastAsia"/>
                <w:sz w:val="18"/>
                <w:szCs w:val="18"/>
              </w:rPr>
              <w:t>、</w:t>
            </w:r>
            <w:r w:rsidRPr="00A71D2E">
              <w:rPr>
                <w:rFonts w:eastAsia="宋体" w:cs="Times New Roman"/>
                <w:sz w:val="18"/>
                <w:szCs w:val="18"/>
              </w:rPr>
              <w:t>2</w:t>
            </w:r>
            <w:r w:rsidR="00F61AA2">
              <w:rPr>
                <w:rFonts w:eastAsia="宋体" w:cs="Times New Roman"/>
                <w:sz w:val="18"/>
                <w:szCs w:val="18"/>
              </w:rPr>
              <w:t>9</w:t>
            </w:r>
            <w:r w:rsidR="005F14EE">
              <w:rPr>
                <w:rFonts w:eastAsia="宋体" w:cs="Times New Roman"/>
                <w:sz w:val="18"/>
                <w:szCs w:val="18"/>
              </w:rPr>
              <w:t>)</w:t>
            </w:r>
          </w:p>
        </w:tc>
        <w:tc>
          <w:tcPr>
            <w:tcW w:w="1943" w:type="dxa"/>
            <w:shd w:val="clear" w:color="auto" w:fill="auto"/>
            <w:vAlign w:val="center"/>
          </w:tcPr>
          <w:p w:rsidR="006465CA" w:rsidRPr="00A71D2E" w:rsidRDefault="00AF39F1" w:rsidP="006465CA">
            <w:pPr>
              <w:ind w:right="102"/>
              <w:jc w:val="right"/>
              <w:rPr>
                <w:rFonts w:eastAsia="宋体" w:cs="Times New Roman"/>
                <w:sz w:val="18"/>
                <w:szCs w:val="18"/>
              </w:rPr>
            </w:pPr>
            <w:r w:rsidRPr="00AF39F1">
              <w:rPr>
                <w:rFonts w:eastAsia="宋体" w:cs="Times New Roman"/>
                <w:sz w:val="18"/>
                <w:szCs w:val="18"/>
              </w:rPr>
              <w:t>43,846,888.33</w:t>
            </w:r>
          </w:p>
        </w:tc>
        <w:tc>
          <w:tcPr>
            <w:tcW w:w="1943" w:type="dxa"/>
            <w:vAlign w:val="center"/>
          </w:tcPr>
          <w:p w:rsidR="006465CA" w:rsidRPr="00A71D2E" w:rsidRDefault="006465CA" w:rsidP="006465CA">
            <w:pPr>
              <w:ind w:right="102"/>
              <w:jc w:val="right"/>
              <w:rPr>
                <w:rFonts w:eastAsia="宋体" w:cs="Times New Roman"/>
                <w:sz w:val="18"/>
                <w:szCs w:val="18"/>
              </w:rPr>
            </w:pPr>
            <w:r w:rsidRPr="00A71D2E">
              <w:rPr>
                <w:rFonts w:eastAsia="宋体" w:cs="Times New Roman"/>
                <w:sz w:val="18"/>
                <w:szCs w:val="18"/>
              </w:rPr>
              <w:t>51,019,636.23</w:t>
            </w:r>
          </w:p>
        </w:tc>
      </w:tr>
      <w:tr w:rsidR="006465CA" w:rsidRPr="00A71D2E" w:rsidTr="0027505B">
        <w:trPr>
          <w:trHeight w:val="20"/>
        </w:trPr>
        <w:tc>
          <w:tcPr>
            <w:tcW w:w="5568" w:type="dxa"/>
            <w:shd w:val="clear" w:color="auto" w:fill="D9D9D9" w:themeFill="background1" w:themeFillShade="D9"/>
            <w:tcMar>
              <w:top w:w="0" w:type="dxa"/>
              <w:left w:w="108" w:type="dxa"/>
              <w:bottom w:w="0" w:type="dxa"/>
              <w:right w:w="108" w:type="dxa"/>
            </w:tcMar>
            <w:vAlign w:val="center"/>
          </w:tcPr>
          <w:p w:rsidR="006465CA" w:rsidRPr="00A71D2E" w:rsidRDefault="006465CA" w:rsidP="006465CA">
            <w:pPr>
              <w:rPr>
                <w:rFonts w:eastAsia="宋体" w:cs="Times New Roman"/>
                <w:sz w:val="18"/>
                <w:szCs w:val="18"/>
              </w:rPr>
            </w:pPr>
            <w:r w:rsidRPr="00A71D2E">
              <w:rPr>
                <w:rFonts w:eastAsia="宋体" w:cs="Times New Roman" w:hint="eastAsia"/>
                <w:sz w:val="18"/>
                <w:szCs w:val="18"/>
              </w:rPr>
              <w:t>合计</w:t>
            </w:r>
          </w:p>
        </w:tc>
        <w:tc>
          <w:tcPr>
            <w:tcW w:w="1943" w:type="dxa"/>
            <w:vAlign w:val="center"/>
          </w:tcPr>
          <w:p w:rsidR="006465CA" w:rsidRPr="00A71D2E" w:rsidRDefault="00AF39F1" w:rsidP="006465CA">
            <w:pPr>
              <w:ind w:right="102"/>
              <w:jc w:val="right"/>
              <w:rPr>
                <w:rFonts w:eastAsia="宋体" w:cs="Times New Roman"/>
                <w:sz w:val="18"/>
                <w:szCs w:val="18"/>
              </w:rPr>
            </w:pPr>
            <w:r w:rsidRPr="00AF39F1">
              <w:rPr>
                <w:rFonts w:eastAsia="宋体" w:cs="Times New Roman"/>
                <w:sz w:val="18"/>
                <w:szCs w:val="18"/>
              </w:rPr>
              <w:t>45,204,153.10</w:t>
            </w:r>
          </w:p>
        </w:tc>
        <w:tc>
          <w:tcPr>
            <w:tcW w:w="1943" w:type="dxa"/>
            <w:vAlign w:val="center"/>
          </w:tcPr>
          <w:p w:rsidR="006465CA" w:rsidRPr="00A71D2E" w:rsidRDefault="006465CA" w:rsidP="006465CA">
            <w:pPr>
              <w:ind w:right="102"/>
              <w:jc w:val="right"/>
              <w:rPr>
                <w:rFonts w:eastAsia="宋体" w:cs="Times New Roman"/>
                <w:sz w:val="18"/>
                <w:szCs w:val="18"/>
              </w:rPr>
            </w:pPr>
            <w:r w:rsidRPr="00A71D2E">
              <w:rPr>
                <w:rFonts w:eastAsia="宋体" w:cs="Times New Roman"/>
                <w:sz w:val="18"/>
                <w:szCs w:val="18"/>
              </w:rPr>
              <w:t>52,278,577.02</w:t>
            </w:r>
          </w:p>
        </w:tc>
      </w:tr>
    </w:tbl>
    <w:p w:rsidR="00EB68E7" w:rsidRPr="00A71D2E" w:rsidRDefault="00EB68E7">
      <w:pPr>
        <w:ind w:left="720"/>
        <w:rPr>
          <w:rFonts w:eastAsia="宋体" w:cs="Times New Roman"/>
          <w:szCs w:val="18"/>
        </w:rPr>
      </w:pPr>
    </w:p>
    <w:p w:rsidR="008F3DC4" w:rsidRPr="00A71D2E" w:rsidRDefault="008F3DC4">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其他流动负债</w:t>
      </w:r>
    </w:p>
    <w:p w:rsidR="005F6448" w:rsidRPr="00F66363" w:rsidRDefault="005F6448" w:rsidP="005F6448">
      <w:pPr>
        <w:jc w:val="right"/>
        <w:rPr>
          <w:rFonts w:eastAsia="宋体" w:cs="Times New Roman"/>
        </w:rPr>
      </w:pPr>
      <w:r w:rsidRPr="00616E8D">
        <w:rPr>
          <w:rFonts w:eastAsia="宋体" w:cs="Times New Roman" w:hint="eastAsia"/>
        </w:rPr>
        <w:t>单位</w:t>
      </w:r>
      <w:r w:rsidR="005F14EE">
        <w:rPr>
          <w:rFonts w:eastAsia="宋体" w:cs="Times New Roman" w:hint="eastAsia"/>
        </w:rPr>
        <w:t>：</w:t>
      </w:r>
      <w:r w:rsidRPr="00616E8D">
        <w:rPr>
          <w:rFonts w:eastAsia="宋体" w:cs="Times New Roman" w:hint="eastAsia"/>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59"/>
        <w:gridCol w:w="1947"/>
        <w:gridCol w:w="1948"/>
      </w:tblGrid>
      <w:tr w:rsidR="00A331A6" w:rsidRPr="00A71D2E" w:rsidTr="0027505B">
        <w:trPr>
          <w:trHeight w:val="20"/>
        </w:trPr>
        <w:tc>
          <w:tcPr>
            <w:tcW w:w="5559" w:type="dxa"/>
            <w:shd w:val="clear" w:color="auto" w:fill="D9D9D9" w:themeFill="background1" w:themeFillShade="D9"/>
            <w:tcMar>
              <w:top w:w="0" w:type="dxa"/>
              <w:left w:w="108" w:type="dxa"/>
              <w:bottom w:w="0" w:type="dxa"/>
              <w:right w:w="108" w:type="dxa"/>
            </w:tcMar>
            <w:vAlign w:val="center"/>
            <w:hideMark/>
          </w:tcPr>
          <w:p w:rsidR="00A331A6" w:rsidRPr="00A71D2E" w:rsidRDefault="00A331A6">
            <w:pPr>
              <w:jc w:val="center"/>
              <w:rPr>
                <w:rFonts w:eastAsia="宋体" w:cs="Times New Roman"/>
                <w:sz w:val="18"/>
                <w:szCs w:val="18"/>
              </w:rPr>
            </w:pPr>
            <w:r w:rsidRPr="00A71D2E">
              <w:rPr>
                <w:rFonts w:eastAsia="宋体" w:cs="Times New Roman" w:hint="eastAsia"/>
                <w:sz w:val="18"/>
                <w:szCs w:val="18"/>
              </w:rPr>
              <w:t>项目</w:t>
            </w:r>
          </w:p>
        </w:tc>
        <w:tc>
          <w:tcPr>
            <w:tcW w:w="1947" w:type="dxa"/>
            <w:shd w:val="clear" w:color="auto" w:fill="D9D9D9" w:themeFill="background1" w:themeFillShade="D9"/>
            <w:vAlign w:val="center"/>
          </w:tcPr>
          <w:p w:rsidR="00A331A6" w:rsidRPr="00A71D2E" w:rsidRDefault="00A331A6">
            <w:pPr>
              <w:jc w:val="center"/>
              <w:rPr>
                <w:rFonts w:eastAsia="宋体" w:cs="Times New Roman"/>
                <w:sz w:val="18"/>
                <w:szCs w:val="18"/>
              </w:rPr>
            </w:pPr>
            <w:r w:rsidRPr="00A71D2E">
              <w:rPr>
                <w:rFonts w:eastAsia="宋体" w:cs="Times New Roman" w:hint="eastAsia"/>
                <w:sz w:val="18"/>
                <w:szCs w:val="18"/>
              </w:rPr>
              <w:t>年末余额</w:t>
            </w:r>
          </w:p>
        </w:tc>
        <w:tc>
          <w:tcPr>
            <w:tcW w:w="1948" w:type="dxa"/>
            <w:shd w:val="clear" w:color="auto" w:fill="D9D9D9" w:themeFill="background1" w:themeFillShade="D9"/>
            <w:vAlign w:val="center"/>
          </w:tcPr>
          <w:p w:rsidR="00A331A6" w:rsidRPr="00A71D2E" w:rsidRDefault="00A331A6">
            <w:pPr>
              <w:jc w:val="center"/>
              <w:rPr>
                <w:rFonts w:eastAsia="宋体" w:cs="Times New Roman"/>
                <w:sz w:val="18"/>
                <w:szCs w:val="18"/>
              </w:rPr>
            </w:pPr>
            <w:r w:rsidRPr="00A71D2E">
              <w:rPr>
                <w:rFonts w:eastAsia="宋体" w:cs="Times New Roman" w:hint="eastAsia"/>
                <w:sz w:val="18"/>
                <w:szCs w:val="18"/>
              </w:rPr>
              <w:t>年初余额</w:t>
            </w:r>
          </w:p>
        </w:tc>
      </w:tr>
      <w:tr w:rsidR="006465CA" w:rsidRPr="00A71D2E" w:rsidTr="0027505B">
        <w:trPr>
          <w:trHeight w:val="20"/>
        </w:trPr>
        <w:tc>
          <w:tcPr>
            <w:tcW w:w="5559" w:type="dxa"/>
            <w:shd w:val="clear" w:color="auto" w:fill="auto"/>
            <w:tcMar>
              <w:top w:w="0" w:type="dxa"/>
              <w:left w:w="108" w:type="dxa"/>
              <w:bottom w:w="0" w:type="dxa"/>
              <w:right w:w="108" w:type="dxa"/>
            </w:tcMar>
            <w:vAlign w:val="center"/>
          </w:tcPr>
          <w:p w:rsidR="006465CA" w:rsidRPr="00A71D2E" w:rsidRDefault="006465CA" w:rsidP="006465CA">
            <w:pPr>
              <w:rPr>
                <w:rFonts w:eastAsia="宋体" w:cs="Times New Roman"/>
                <w:sz w:val="18"/>
                <w:szCs w:val="18"/>
              </w:rPr>
            </w:pPr>
            <w:r w:rsidRPr="00A71D2E">
              <w:rPr>
                <w:rFonts w:eastAsia="宋体" w:cs="Times New Roman" w:hint="eastAsia"/>
                <w:sz w:val="18"/>
                <w:szCs w:val="18"/>
              </w:rPr>
              <w:t>待</w:t>
            </w:r>
            <w:proofErr w:type="gramStart"/>
            <w:r w:rsidRPr="00A71D2E">
              <w:rPr>
                <w:rFonts w:eastAsia="宋体" w:cs="Times New Roman" w:hint="eastAsia"/>
                <w:sz w:val="18"/>
                <w:szCs w:val="18"/>
              </w:rPr>
              <w:t>转销项税</w:t>
            </w:r>
            <w:proofErr w:type="gramEnd"/>
          </w:p>
        </w:tc>
        <w:tc>
          <w:tcPr>
            <w:tcW w:w="1947" w:type="dxa"/>
            <w:shd w:val="clear" w:color="auto" w:fill="auto"/>
            <w:vAlign w:val="center"/>
          </w:tcPr>
          <w:p w:rsidR="006465CA" w:rsidRPr="00A71D2E" w:rsidRDefault="00AF39F1" w:rsidP="006465CA">
            <w:pPr>
              <w:ind w:right="102"/>
              <w:jc w:val="right"/>
              <w:rPr>
                <w:rFonts w:eastAsia="宋体" w:cs="Times New Roman"/>
                <w:sz w:val="18"/>
                <w:szCs w:val="18"/>
              </w:rPr>
            </w:pPr>
            <w:r w:rsidRPr="00AF39F1">
              <w:rPr>
                <w:rFonts w:eastAsia="宋体" w:cs="Times New Roman"/>
                <w:sz w:val="18"/>
                <w:szCs w:val="18"/>
              </w:rPr>
              <w:t>2,445,583.43</w:t>
            </w:r>
          </w:p>
        </w:tc>
        <w:tc>
          <w:tcPr>
            <w:tcW w:w="1948" w:type="dxa"/>
            <w:vAlign w:val="center"/>
          </w:tcPr>
          <w:p w:rsidR="006465CA" w:rsidRPr="00A71D2E" w:rsidRDefault="006465CA" w:rsidP="006465CA">
            <w:pPr>
              <w:ind w:right="102"/>
              <w:jc w:val="right"/>
              <w:rPr>
                <w:rFonts w:eastAsia="宋体" w:cs="Times New Roman"/>
                <w:sz w:val="18"/>
                <w:szCs w:val="18"/>
              </w:rPr>
            </w:pPr>
            <w:r w:rsidRPr="00A71D2E">
              <w:rPr>
                <w:rFonts w:eastAsia="宋体" w:cs="Times New Roman"/>
                <w:sz w:val="18"/>
                <w:szCs w:val="18"/>
              </w:rPr>
              <w:t>2,100,708.85</w:t>
            </w:r>
          </w:p>
        </w:tc>
      </w:tr>
      <w:tr w:rsidR="006465CA" w:rsidRPr="00A71D2E" w:rsidTr="0027505B">
        <w:trPr>
          <w:trHeight w:val="20"/>
        </w:trPr>
        <w:tc>
          <w:tcPr>
            <w:tcW w:w="5559" w:type="dxa"/>
            <w:shd w:val="clear" w:color="auto" w:fill="D9D9D9" w:themeFill="background1" w:themeFillShade="D9"/>
            <w:tcMar>
              <w:top w:w="0" w:type="dxa"/>
              <w:left w:w="108" w:type="dxa"/>
              <w:bottom w:w="0" w:type="dxa"/>
              <w:right w:w="108" w:type="dxa"/>
            </w:tcMar>
            <w:vAlign w:val="center"/>
          </w:tcPr>
          <w:p w:rsidR="006465CA" w:rsidRPr="00A71D2E" w:rsidRDefault="006465CA" w:rsidP="006465CA">
            <w:pPr>
              <w:rPr>
                <w:rFonts w:eastAsia="宋体" w:cs="Times New Roman"/>
                <w:sz w:val="18"/>
                <w:szCs w:val="18"/>
              </w:rPr>
            </w:pPr>
            <w:r w:rsidRPr="00A71D2E">
              <w:rPr>
                <w:rFonts w:eastAsia="宋体" w:cs="Times New Roman" w:hint="eastAsia"/>
                <w:sz w:val="18"/>
                <w:szCs w:val="18"/>
              </w:rPr>
              <w:t>合计</w:t>
            </w:r>
          </w:p>
        </w:tc>
        <w:tc>
          <w:tcPr>
            <w:tcW w:w="1947" w:type="dxa"/>
            <w:vAlign w:val="center"/>
          </w:tcPr>
          <w:p w:rsidR="006465CA" w:rsidRPr="00A71D2E" w:rsidRDefault="00AF39F1" w:rsidP="006465CA">
            <w:pPr>
              <w:ind w:right="102"/>
              <w:jc w:val="right"/>
              <w:rPr>
                <w:rFonts w:eastAsia="宋体" w:cs="Times New Roman"/>
                <w:sz w:val="18"/>
                <w:szCs w:val="18"/>
              </w:rPr>
            </w:pPr>
            <w:r w:rsidRPr="00AF39F1">
              <w:rPr>
                <w:rFonts w:eastAsia="宋体" w:cs="Times New Roman"/>
                <w:sz w:val="18"/>
                <w:szCs w:val="18"/>
              </w:rPr>
              <w:t>2,445,583.43</w:t>
            </w:r>
          </w:p>
        </w:tc>
        <w:tc>
          <w:tcPr>
            <w:tcW w:w="1948" w:type="dxa"/>
            <w:vAlign w:val="center"/>
          </w:tcPr>
          <w:p w:rsidR="006465CA" w:rsidRPr="00A71D2E" w:rsidRDefault="006465CA" w:rsidP="006465CA">
            <w:pPr>
              <w:ind w:right="102"/>
              <w:jc w:val="right"/>
              <w:rPr>
                <w:rFonts w:eastAsia="宋体" w:cs="Times New Roman"/>
                <w:sz w:val="18"/>
                <w:szCs w:val="18"/>
              </w:rPr>
            </w:pPr>
            <w:r w:rsidRPr="00A71D2E">
              <w:rPr>
                <w:rFonts w:eastAsia="宋体" w:cs="Times New Roman"/>
                <w:sz w:val="18"/>
                <w:szCs w:val="18"/>
              </w:rPr>
              <w:t>2,100,708.85</w:t>
            </w:r>
          </w:p>
        </w:tc>
      </w:tr>
    </w:tbl>
    <w:p w:rsidR="008F3DC4" w:rsidRPr="00A71D2E" w:rsidRDefault="008F3DC4">
      <w:pPr>
        <w:ind w:left="720"/>
        <w:rPr>
          <w:rFonts w:eastAsia="宋体" w:cs="Times New Roman"/>
          <w:szCs w:val="18"/>
        </w:rPr>
      </w:pPr>
    </w:p>
    <w:p w:rsidR="00EB68E7" w:rsidRPr="00A71D2E" w:rsidRDefault="00EB68E7">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长期借款</w:t>
      </w:r>
    </w:p>
    <w:p w:rsidR="005F6448" w:rsidRPr="00F66363" w:rsidRDefault="005F6448" w:rsidP="005F6448">
      <w:pPr>
        <w:jc w:val="right"/>
        <w:rPr>
          <w:rFonts w:eastAsia="宋体" w:cs="Times New Roman"/>
        </w:rPr>
      </w:pPr>
      <w:r w:rsidRPr="0087156C">
        <w:rPr>
          <w:rFonts w:eastAsia="宋体" w:cs="Times New Roman" w:hint="eastAsia"/>
        </w:rPr>
        <w:t>单位</w:t>
      </w:r>
      <w:r w:rsidR="005F14EE">
        <w:rPr>
          <w:rFonts w:eastAsia="宋体" w:cs="Times New Roman" w:hint="eastAsia"/>
        </w:rPr>
        <w:t>：</w:t>
      </w:r>
      <w:r w:rsidRPr="0087156C">
        <w:rPr>
          <w:rFonts w:eastAsia="宋体" w:cs="Times New Roman" w:hint="eastAsia"/>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48"/>
        <w:gridCol w:w="1948"/>
        <w:gridCol w:w="1948"/>
      </w:tblGrid>
      <w:tr w:rsidR="00612A1A" w:rsidRPr="00A71D2E" w:rsidTr="0027505B">
        <w:trPr>
          <w:trHeight w:val="20"/>
        </w:trPr>
        <w:tc>
          <w:tcPr>
            <w:tcW w:w="5548" w:type="dxa"/>
            <w:shd w:val="clear" w:color="auto" w:fill="D9D9D9" w:themeFill="background1" w:themeFillShade="D9"/>
            <w:tcMar>
              <w:top w:w="0" w:type="dxa"/>
              <w:left w:w="108" w:type="dxa"/>
              <w:bottom w:w="0" w:type="dxa"/>
              <w:right w:w="108" w:type="dxa"/>
            </w:tcMar>
            <w:vAlign w:val="center"/>
            <w:hideMark/>
          </w:tcPr>
          <w:p w:rsidR="00612A1A" w:rsidRPr="00F66363" w:rsidRDefault="00612A1A" w:rsidP="0027505B">
            <w:pPr>
              <w:jc w:val="center"/>
              <w:rPr>
                <w:rFonts w:eastAsia="宋体" w:cs="Times New Roman"/>
                <w:sz w:val="18"/>
                <w:szCs w:val="18"/>
              </w:rPr>
            </w:pPr>
          </w:p>
        </w:tc>
        <w:tc>
          <w:tcPr>
            <w:tcW w:w="1948" w:type="dxa"/>
            <w:shd w:val="clear" w:color="auto" w:fill="D9D9D9" w:themeFill="background1" w:themeFillShade="D9"/>
            <w:vAlign w:val="center"/>
          </w:tcPr>
          <w:p w:rsidR="00612A1A" w:rsidRPr="00F66363" w:rsidRDefault="00612A1A">
            <w:pPr>
              <w:jc w:val="center"/>
              <w:rPr>
                <w:rFonts w:eastAsia="宋体" w:cs="Times New Roman"/>
                <w:sz w:val="18"/>
                <w:szCs w:val="18"/>
              </w:rPr>
            </w:pPr>
            <w:r w:rsidRPr="00A71D2E">
              <w:rPr>
                <w:rFonts w:eastAsia="宋体" w:cs="Times New Roman" w:hint="eastAsia"/>
                <w:sz w:val="18"/>
                <w:szCs w:val="18"/>
              </w:rPr>
              <w:t>年末余额</w:t>
            </w:r>
          </w:p>
        </w:tc>
        <w:tc>
          <w:tcPr>
            <w:tcW w:w="1948" w:type="dxa"/>
            <w:shd w:val="clear" w:color="auto" w:fill="D9D9D9" w:themeFill="background1" w:themeFillShade="D9"/>
            <w:vAlign w:val="center"/>
          </w:tcPr>
          <w:p w:rsidR="00612A1A" w:rsidRPr="00F66363" w:rsidRDefault="00612A1A">
            <w:pPr>
              <w:jc w:val="center"/>
              <w:rPr>
                <w:rFonts w:eastAsia="宋体" w:cs="Times New Roman"/>
                <w:sz w:val="18"/>
                <w:szCs w:val="18"/>
              </w:rPr>
            </w:pPr>
            <w:r w:rsidRPr="00A71D2E">
              <w:rPr>
                <w:rFonts w:eastAsia="宋体" w:cs="Times New Roman" w:hint="eastAsia"/>
                <w:sz w:val="18"/>
                <w:szCs w:val="18"/>
              </w:rPr>
              <w:t>年初余额</w:t>
            </w:r>
          </w:p>
        </w:tc>
      </w:tr>
      <w:tr w:rsidR="006465CA" w:rsidRPr="00A71D2E" w:rsidTr="0027505B">
        <w:trPr>
          <w:trHeight w:val="20"/>
        </w:trPr>
        <w:tc>
          <w:tcPr>
            <w:tcW w:w="5548" w:type="dxa"/>
            <w:shd w:val="clear" w:color="auto" w:fill="FFFFFF" w:themeFill="background1"/>
            <w:tcMar>
              <w:top w:w="0" w:type="dxa"/>
              <w:left w:w="108" w:type="dxa"/>
              <w:bottom w:w="0" w:type="dxa"/>
              <w:right w:w="108" w:type="dxa"/>
            </w:tcMar>
            <w:vAlign w:val="center"/>
          </w:tcPr>
          <w:p w:rsidR="006465CA" w:rsidRPr="00F66363" w:rsidRDefault="006465CA" w:rsidP="006465CA">
            <w:pPr>
              <w:rPr>
                <w:rFonts w:eastAsia="宋体" w:cs="Times New Roman"/>
                <w:sz w:val="18"/>
                <w:szCs w:val="18"/>
              </w:rPr>
            </w:pPr>
            <w:r w:rsidRPr="00F66363">
              <w:rPr>
                <w:rFonts w:eastAsia="宋体" w:cs="Times New Roman" w:hint="eastAsia"/>
                <w:sz w:val="18"/>
                <w:szCs w:val="18"/>
              </w:rPr>
              <w:t>抵押借款</w:t>
            </w:r>
            <w:r w:rsidRPr="00F66363">
              <w:rPr>
                <w:rFonts w:eastAsia="宋体" w:cs="Times New Roman"/>
                <w:sz w:val="18"/>
                <w:szCs w:val="18"/>
              </w:rPr>
              <w:t>-</w:t>
            </w:r>
            <w:r w:rsidRPr="00F66363">
              <w:rPr>
                <w:rFonts w:eastAsia="宋体" w:cs="Times New Roman" w:hint="eastAsia"/>
                <w:sz w:val="18"/>
                <w:szCs w:val="18"/>
              </w:rPr>
              <w:t>本金</w:t>
            </w:r>
          </w:p>
        </w:tc>
        <w:tc>
          <w:tcPr>
            <w:tcW w:w="1948" w:type="dxa"/>
            <w:vAlign w:val="center"/>
          </w:tcPr>
          <w:p w:rsidR="006465CA" w:rsidRPr="00F66363" w:rsidRDefault="00E4510A" w:rsidP="006465CA">
            <w:pPr>
              <w:ind w:right="92"/>
              <w:jc w:val="right"/>
              <w:rPr>
                <w:rFonts w:eastAsia="宋体" w:cs="Times New Roman"/>
                <w:sz w:val="18"/>
                <w:szCs w:val="18"/>
              </w:rPr>
            </w:pPr>
            <w:r w:rsidRPr="00E4510A">
              <w:rPr>
                <w:rFonts w:eastAsia="宋体" w:cs="Times New Roman"/>
                <w:sz w:val="18"/>
                <w:szCs w:val="18"/>
              </w:rPr>
              <w:t>320,337,031.25</w:t>
            </w:r>
          </w:p>
        </w:tc>
        <w:tc>
          <w:tcPr>
            <w:tcW w:w="1948" w:type="dxa"/>
            <w:vAlign w:val="center"/>
          </w:tcPr>
          <w:p w:rsidR="006465CA" w:rsidRPr="00F66363" w:rsidRDefault="006465CA" w:rsidP="006465CA">
            <w:pPr>
              <w:ind w:right="117"/>
              <w:jc w:val="right"/>
              <w:rPr>
                <w:rFonts w:eastAsia="宋体" w:cs="Times New Roman"/>
                <w:sz w:val="18"/>
                <w:szCs w:val="18"/>
              </w:rPr>
            </w:pPr>
            <w:r w:rsidRPr="00F66363">
              <w:rPr>
                <w:rFonts w:eastAsia="宋体" w:cs="Times New Roman"/>
                <w:sz w:val="18"/>
                <w:szCs w:val="18"/>
              </w:rPr>
              <w:t>228,811,259.46</w:t>
            </w:r>
          </w:p>
        </w:tc>
      </w:tr>
      <w:tr w:rsidR="006465CA" w:rsidRPr="00A71D2E" w:rsidTr="0027505B">
        <w:trPr>
          <w:trHeight w:val="20"/>
        </w:trPr>
        <w:tc>
          <w:tcPr>
            <w:tcW w:w="5548" w:type="dxa"/>
            <w:shd w:val="clear" w:color="auto" w:fill="FFFFFF" w:themeFill="background1"/>
            <w:tcMar>
              <w:top w:w="0" w:type="dxa"/>
              <w:left w:w="108" w:type="dxa"/>
              <w:bottom w:w="0" w:type="dxa"/>
              <w:right w:w="108" w:type="dxa"/>
            </w:tcMar>
            <w:vAlign w:val="center"/>
          </w:tcPr>
          <w:p w:rsidR="006465CA" w:rsidRPr="00F66363" w:rsidRDefault="006465CA" w:rsidP="006465CA">
            <w:pPr>
              <w:rPr>
                <w:rFonts w:eastAsia="宋体" w:cs="Times New Roman"/>
                <w:sz w:val="18"/>
                <w:szCs w:val="18"/>
              </w:rPr>
            </w:pPr>
            <w:r w:rsidRPr="00F66363">
              <w:rPr>
                <w:rFonts w:eastAsia="宋体" w:cs="Times New Roman" w:hint="eastAsia"/>
                <w:sz w:val="18"/>
                <w:szCs w:val="18"/>
              </w:rPr>
              <w:t>抵押借款</w:t>
            </w:r>
            <w:r w:rsidRPr="00F66363">
              <w:rPr>
                <w:rFonts w:eastAsia="宋体" w:cs="Times New Roman"/>
                <w:sz w:val="18"/>
                <w:szCs w:val="18"/>
              </w:rPr>
              <w:t>-</w:t>
            </w:r>
            <w:r w:rsidRPr="00F66363">
              <w:rPr>
                <w:rFonts w:eastAsia="宋体" w:cs="Times New Roman" w:hint="eastAsia"/>
                <w:sz w:val="18"/>
                <w:szCs w:val="18"/>
              </w:rPr>
              <w:t>利息</w:t>
            </w:r>
          </w:p>
        </w:tc>
        <w:tc>
          <w:tcPr>
            <w:tcW w:w="1948" w:type="dxa"/>
            <w:vAlign w:val="center"/>
          </w:tcPr>
          <w:p w:rsidR="006465CA" w:rsidRPr="00F66363" w:rsidRDefault="00E4510A" w:rsidP="006465CA">
            <w:pPr>
              <w:ind w:right="92"/>
              <w:jc w:val="right"/>
              <w:rPr>
                <w:rFonts w:eastAsia="宋体" w:cs="Times New Roman"/>
                <w:sz w:val="18"/>
                <w:szCs w:val="18"/>
              </w:rPr>
            </w:pPr>
            <w:r w:rsidRPr="00E4510A">
              <w:rPr>
                <w:rFonts w:eastAsia="宋体" w:cs="Times New Roman"/>
                <w:sz w:val="18"/>
                <w:szCs w:val="18"/>
              </w:rPr>
              <w:t>357,264.77</w:t>
            </w:r>
          </w:p>
        </w:tc>
        <w:tc>
          <w:tcPr>
            <w:tcW w:w="1948" w:type="dxa"/>
            <w:vAlign w:val="center"/>
          </w:tcPr>
          <w:p w:rsidR="006465CA" w:rsidRPr="00F66363" w:rsidRDefault="006465CA" w:rsidP="006465CA">
            <w:pPr>
              <w:ind w:right="117"/>
              <w:jc w:val="right"/>
              <w:rPr>
                <w:rFonts w:eastAsia="宋体" w:cs="Times New Roman"/>
                <w:sz w:val="18"/>
                <w:szCs w:val="18"/>
              </w:rPr>
            </w:pPr>
            <w:r w:rsidRPr="00F66363">
              <w:rPr>
                <w:rFonts w:eastAsia="宋体" w:cs="Times New Roman"/>
                <w:sz w:val="18"/>
                <w:szCs w:val="18"/>
              </w:rPr>
              <w:t>258,940.79</w:t>
            </w:r>
          </w:p>
        </w:tc>
      </w:tr>
      <w:tr w:rsidR="006465CA" w:rsidRPr="00A71D2E" w:rsidTr="0027505B">
        <w:trPr>
          <w:trHeight w:val="20"/>
        </w:trPr>
        <w:tc>
          <w:tcPr>
            <w:tcW w:w="5548" w:type="dxa"/>
            <w:shd w:val="clear" w:color="auto" w:fill="FFFFFF" w:themeFill="background1"/>
            <w:tcMar>
              <w:top w:w="0" w:type="dxa"/>
              <w:left w:w="108" w:type="dxa"/>
              <w:bottom w:w="0" w:type="dxa"/>
              <w:right w:w="108" w:type="dxa"/>
            </w:tcMar>
            <w:vAlign w:val="center"/>
          </w:tcPr>
          <w:p w:rsidR="006465CA" w:rsidRPr="00F66363" w:rsidRDefault="006465CA" w:rsidP="006465CA">
            <w:pPr>
              <w:rPr>
                <w:rFonts w:eastAsia="宋体" w:cs="Times New Roman"/>
                <w:sz w:val="18"/>
                <w:szCs w:val="18"/>
              </w:rPr>
            </w:pPr>
            <w:r w:rsidRPr="00F66363">
              <w:rPr>
                <w:rFonts w:eastAsia="宋体" w:cs="Times New Roman" w:hint="eastAsia"/>
                <w:sz w:val="18"/>
                <w:szCs w:val="18"/>
              </w:rPr>
              <w:t>减</w:t>
            </w:r>
            <w:r w:rsidR="005F14EE">
              <w:rPr>
                <w:rFonts w:eastAsia="宋体" w:cs="Times New Roman" w:hint="eastAsia"/>
                <w:sz w:val="18"/>
                <w:szCs w:val="18"/>
              </w:rPr>
              <w:t>：</w:t>
            </w:r>
            <w:r w:rsidRPr="00F66363">
              <w:rPr>
                <w:rFonts w:eastAsia="宋体" w:cs="Times New Roman" w:hint="eastAsia"/>
                <w:sz w:val="18"/>
                <w:szCs w:val="18"/>
              </w:rPr>
              <w:t>计入一年内到期的长期借款</w:t>
            </w:r>
            <w:r w:rsidR="005F14EE">
              <w:rPr>
                <w:rFonts w:eastAsia="宋体" w:cs="Times New Roman"/>
                <w:sz w:val="18"/>
                <w:szCs w:val="18"/>
              </w:rPr>
              <w:t>(</w:t>
            </w:r>
            <w:r w:rsidRPr="00F66363">
              <w:rPr>
                <w:rFonts w:eastAsia="宋体" w:cs="Times New Roman" w:hint="eastAsia"/>
                <w:sz w:val="18"/>
                <w:szCs w:val="18"/>
              </w:rPr>
              <w:t>附注</w:t>
            </w:r>
            <w:r w:rsidR="005F14EE">
              <w:rPr>
                <w:rFonts w:eastAsia="宋体" w:cs="Times New Roman"/>
                <w:sz w:val="18"/>
                <w:szCs w:val="18"/>
              </w:rPr>
              <w:t>(</w:t>
            </w:r>
            <w:r w:rsidRPr="00F66363">
              <w:rPr>
                <w:rFonts w:eastAsia="宋体" w:cs="Times New Roman" w:hint="eastAsia"/>
                <w:sz w:val="18"/>
                <w:szCs w:val="18"/>
              </w:rPr>
              <w:t>五</w:t>
            </w:r>
            <w:r w:rsidR="005F14EE">
              <w:rPr>
                <w:rFonts w:eastAsia="宋体" w:cs="Times New Roman"/>
                <w:sz w:val="18"/>
                <w:szCs w:val="18"/>
              </w:rPr>
              <w:t>)</w:t>
            </w:r>
            <w:r w:rsidRPr="00F66363">
              <w:rPr>
                <w:rFonts w:eastAsia="宋体" w:cs="Times New Roman" w:hint="eastAsia"/>
                <w:sz w:val="18"/>
                <w:szCs w:val="18"/>
              </w:rPr>
              <w:t>、</w:t>
            </w:r>
            <w:r w:rsidRPr="00F66363">
              <w:rPr>
                <w:rFonts w:eastAsia="宋体" w:cs="Times New Roman"/>
                <w:sz w:val="18"/>
                <w:szCs w:val="18"/>
              </w:rPr>
              <w:t>2</w:t>
            </w:r>
            <w:r w:rsidR="00FA1F7B">
              <w:rPr>
                <w:rFonts w:eastAsia="宋体" w:cs="Times New Roman"/>
                <w:sz w:val="18"/>
                <w:szCs w:val="18"/>
              </w:rPr>
              <w:t>6</w:t>
            </w:r>
            <w:r w:rsidR="005F14EE">
              <w:rPr>
                <w:rFonts w:eastAsia="宋体" w:cs="Times New Roman"/>
                <w:sz w:val="18"/>
                <w:szCs w:val="18"/>
              </w:rPr>
              <w:t>)</w:t>
            </w:r>
          </w:p>
        </w:tc>
        <w:tc>
          <w:tcPr>
            <w:tcW w:w="1948" w:type="dxa"/>
            <w:vAlign w:val="center"/>
          </w:tcPr>
          <w:p w:rsidR="006465CA" w:rsidRPr="00F66363" w:rsidRDefault="00E4510A" w:rsidP="006465CA">
            <w:pPr>
              <w:ind w:right="92"/>
              <w:jc w:val="right"/>
              <w:rPr>
                <w:rFonts w:eastAsia="宋体" w:cs="Times New Roman"/>
                <w:sz w:val="18"/>
                <w:szCs w:val="18"/>
              </w:rPr>
            </w:pPr>
            <w:r w:rsidRPr="00E4510A">
              <w:rPr>
                <w:rFonts w:eastAsia="宋体" w:cs="Times New Roman"/>
                <w:sz w:val="18"/>
                <w:szCs w:val="18"/>
              </w:rPr>
              <w:t>1,357,264.77</w:t>
            </w:r>
          </w:p>
        </w:tc>
        <w:tc>
          <w:tcPr>
            <w:tcW w:w="1948" w:type="dxa"/>
            <w:vAlign w:val="center"/>
          </w:tcPr>
          <w:p w:rsidR="006465CA" w:rsidRPr="00F66363" w:rsidRDefault="006465CA" w:rsidP="006465CA">
            <w:pPr>
              <w:ind w:right="117"/>
              <w:jc w:val="right"/>
              <w:rPr>
                <w:rFonts w:eastAsia="宋体" w:cs="Times New Roman"/>
                <w:sz w:val="18"/>
                <w:szCs w:val="18"/>
              </w:rPr>
            </w:pPr>
            <w:r w:rsidRPr="00F66363">
              <w:rPr>
                <w:rFonts w:eastAsia="宋体" w:cs="Times New Roman"/>
                <w:sz w:val="18"/>
                <w:szCs w:val="18"/>
              </w:rPr>
              <w:t>1,258,940.79</w:t>
            </w:r>
          </w:p>
        </w:tc>
      </w:tr>
      <w:tr w:rsidR="006465CA" w:rsidRPr="00A71D2E" w:rsidTr="0027505B">
        <w:trPr>
          <w:trHeight w:val="20"/>
        </w:trPr>
        <w:tc>
          <w:tcPr>
            <w:tcW w:w="5548" w:type="dxa"/>
            <w:shd w:val="clear" w:color="auto" w:fill="D9D9D9" w:themeFill="background1" w:themeFillShade="D9"/>
            <w:tcMar>
              <w:top w:w="0" w:type="dxa"/>
              <w:left w:w="108" w:type="dxa"/>
              <w:bottom w:w="0" w:type="dxa"/>
              <w:right w:w="108" w:type="dxa"/>
            </w:tcMar>
            <w:vAlign w:val="center"/>
          </w:tcPr>
          <w:p w:rsidR="006465CA" w:rsidRPr="00F66363" w:rsidRDefault="006465CA" w:rsidP="006465CA">
            <w:pPr>
              <w:rPr>
                <w:rFonts w:eastAsia="宋体" w:cs="Times New Roman"/>
                <w:sz w:val="18"/>
                <w:szCs w:val="18"/>
              </w:rPr>
            </w:pPr>
            <w:r w:rsidRPr="00F66363">
              <w:rPr>
                <w:rFonts w:eastAsia="宋体" w:cs="Times New Roman" w:hint="eastAsia"/>
                <w:sz w:val="18"/>
                <w:szCs w:val="18"/>
              </w:rPr>
              <w:t>合计</w:t>
            </w:r>
          </w:p>
        </w:tc>
        <w:tc>
          <w:tcPr>
            <w:tcW w:w="1948" w:type="dxa"/>
            <w:vAlign w:val="center"/>
          </w:tcPr>
          <w:p w:rsidR="006465CA" w:rsidRPr="00F66363" w:rsidRDefault="00E4510A" w:rsidP="006465CA">
            <w:pPr>
              <w:ind w:right="92"/>
              <w:jc w:val="right"/>
              <w:rPr>
                <w:rFonts w:eastAsia="宋体" w:cs="Times New Roman"/>
                <w:sz w:val="18"/>
                <w:szCs w:val="18"/>
              </w:rPr>
            </w:pPr>
            <w:r w:rsidRPr="00E4510A">
              <w:rPr>
                <w:rFonts w:eastAsia="宋体" w:cs="Times New Roman"/>
                <w:sz w:val="18"/>
                <w:szCs w:val="18"/>
              </w:rPr>
              <w:t>319,337,031.25</w:t>
            </w:r>
          </w:p>
        </w:tc>
        <w:tc>
          <w:tcPr>
            <w:tcW w:w="1948" w:type="dxa"/>
            <w:vAlign w:val="center"/>
          </w:tcPr>
          <w:p w:rsidR="006465CA" w:rsidRPr="00F66363" w:rsidRDefault="006465CA" w:rsidP="006465CA">
            <w:pPr>
              <w:ind w:right="117"/>
              <w:jc w:val="right"/>
              <w:rPr>
                <w:rFonts w:eastAsia="宋体" w:cs="Times New Roman"/>
                <w:sz w:val="18"/>
                <w:szCs w:val="18"/>
              </w:rPr>
            </w:pPr>
            <w:r w:rsidRPr="00F66363">
              <w:rPr>
                <w:rFonts w:eastAsia="宋体" w:cs="Times New Roman"/>
                <w:sz w:val="18"/>
                <w:szCs w:val="18"/>
              </w:rPr>
              <w:t>227,811,259.46</w:t>
            </w:r>
          </w:p>
        </w:tc>
      </w:tr>
    </w:tbl>
    <w:p w:rsidR="00EB68E7" w:rsidRPr="00A71D2E" w:rsidRDefault="00EB68E7">
      <w:pPr>
        <w:ind w:left="720"/>
        <w:rPr>
          <w:rFonts w:eastAsia="宋体" w:cs="Times New Roman"/>
          <w:szCs w:val="18"/>
        </w:rPr>
      </w:pPr>
    </w:p>
    <w:p w:rsidR="00EB68E7" w:rsidRPr="00A71D2E" w:rsidRDefault="00EB68E7" w:rsidP="0027505B">
      <w:pPr>
        <w:ind w:left="720" w:firstLine="11"/>
        <w:jc w:val="both"/>
        <w:rPr>
          <w:rFonts w:eastAsia="宋体" w:cs="Times New Roman"/>
          <w:szCs w:val="18"/>
        </w:rPr>
      </w:pPr>
      <w:r w:rsidRPr="00A71D2E">
        <w:rPr>
          <w:rFonts w:eastAsia="宋体" w:cs="Times New Roman" w:hint="eastAsia"/>
          <w:szCs w:val="18"/>
        </w:rPr>
        <w:t>于</w:t>
      </w:r>
      <w:r w:rsidRPr="00A71D2E">
        <w:rPr>
          <w:rFonts w:eastAsia="宋体" w:cs="Times New Roman"/>
          <w:szCs w:val="18"/>
        </w:rPr>
        <w:t>2022</w:t>
      </w:r>
      <w:r w:rsidRPr="00A71D2E">
        <w:rPr>
          <w:rFonts w:eastAsia="宋体" w:cs="Times New Roman" w:hint="eastAsia"/>
          <w:szCs w:val="18"/>
        </w:rPr>
        <w:t>年</w:t>
      </w:r>
      <w:r w:rsidRPr="00A71D2E">
        <w:rPr>
          <w:rFonts w:eastAsia="宋体" w:cs="Times New Roman"/>
          <w:szCs w:val="18"/>
        </w:rPr>
        <w:t>1</w:t>
      </w:r>
      <w:r w:rsidRPr="00A71D2E">
        <w:rPr>
          <w:rFonts w:eastAsia="宋体" w:cs="Times New Roman" w:hint="eastAsia"/>
          <w:szCs w:val="18"/>
        </w:rPr>
        <w:t>月</w:t>
      </w:r>
      <w:r w:rsidRPr="00A71D2E">
        <w:rPr>
          <w:rFonts w:eastAsia="宋体" w:cs="Times New Roman"/>
          <w:szCs w:val="18"/>
        </w:rPr>
        <w:t>13</w:t>
      </w:r>
      <w:r w:rsidRPr="00A71D2E">
        <w:rPr>
          <w:rFonts w:eastAsia="宋体" w:cs="Times New Roman" w:hint="eastAsia"/>
          <w:szCs w:val="18"/>
        </w:rPr>
        <w:t>日，本集团与中国建设银行股份有限公司杭州滨江支行签订了固定资产贷款合同，以账面</w:t>
      </w:r>
      <w:r w:rsidR="00B465C4" w:rsidRPr="00A71D2E">
        <w:rPr>
          <w:rFonts w:eastAsia="宋体" w:cs="Times New Roman" w:hint="eastAsia"/>
          <w:szCs w:val="18"/>
        </w:rPr>
        <w:t>原值为</w:t>
      </w:r>
      <w:r w:rsidRPr="00A71D2E">
        <w:rPr>
          <w:rFonts w:eastAsia="宋体" w:cs="Times New Roman" w:hint="eastAsia"/>
          <w:szCs w:val="18"/>
        </w:rPr>
        <w:t>人民币</w:t>
      </w:r>
      <w:r w:rsidR="00786EC4" w:rsidRPr="00A71D2E">
        <w:rPr>
          <w:rFonts w:eastAsia="宋体" w:cs="Times New Roman"/>
          <w:szCs w:val="18"/>
        </w:rPr>
        <w:t>25,430,000.00</w:t>
      </w:r>
      <w:r w:rsidRPr="00A71D2E">
        <w:rPr>
          <w:rFonts w:eastAsia="宋体" w:cs="Times New Roman" w:hint="eastAsia"/>
          <w:szCs w:val="18"/>
        </w:rPr>
        <w:t>元的土地使用权为抵押以获取贷款用于萤石智能家居产品产业化基地项目的开发建设。该贷款总额度为人民币</w:t>
      </w:r>
      <w:r w:rsidRPr="00A71D2E">
        <w:rPr>
          <w:rFonts w:eastAsia="宋体" w:cs="Times New Roman"/>
          <w:szCs w:val="18"/>
        </w:rPr>
        <w:t>650,000,000.00</w:t>
      </w:r>
      <w:r w:rsidRPr="00A71D2E">
        <w:rPr>
          <w:rFonts w:eastAsia="宋体" w:cs="Times New Roman" w:hint="eastAsia"/>
          <w:szCs w:val="18"/>
        </w:rPr>
        <w:t>元，贷款期限为</w:t>
      </w:r>
      <w:r w:rsidRPr="00A71D2E">
        <w:rPr>
          <w:rFonts w:eastAsia="宋体" w:cs="Times New Roman"/>
          <w:szCs w:val="18"/>
        </w:rPr>
        <w:t>55</w:t>
      </w:r>
      <w:r w:rsidRPr="00A71D2E">
        <w:rPr>
          <w:rFonts w:eastAsia="宋体" w:cs="Times New Roman" w:hint="eastAsia"/>
          <w:szCs w:val="18"/>
        </w:rPr>
        <w:t>个月，即自</w:t>
      </w:r>
      <w:r w:rsidRPr="00A71D2E">
        <w:rPr>
          <w:rFonts w:eastAsia="宋体" w:cs="Times New Roman"/>
          <w:szCs w:val="18"/>
        </w:rPr>
        <w:t>2022</w:t>
      </w:r>
      <w:r w:rsidRPr="00A71D2E">
        <w:rPr>
          <w:rFonts w:eastAsia="宋体" w:cs="Times New Roman" w:hint="eastAsia"/>
          <w:szCs w:val="18"/>
        </w:rPr>
        <w:t>年</w:t>
      </w:r>
      <w:r w:rsidRPr="00A71D2E">
        <w:rPr>
          <w:rFonts w:eastAsia="宋体" w:cs="Times New Roman"/>
          <w:szCs w:val="18"/>
        </w:rPr>
        <w:t>1</w:t>
      </w:r>
      <w:r w:rsidRPr="00A71D2E">
        <w:rPr>
          <w:rFonts w:eastAsia="宋体" w:cs="Times New Roman" w:hint="eastAsia"/>
          <w:szCs w:val="18"/>
        </w:rPr>
        <w:t>月</w:t>
      </w:r>
      <w:r w:rsidRPr="00A71D2E">
        <w:rPr>
          <w:rFonts w:eastAsia="宋体" w:cs="Times New Roman"/>
          <w:szCs w:val="18"/>
        </w:rPr>
        <w:t>13</w:t>
      </w:r>
      <w:r w:rsidRPr="00A71D2E">
        <w:rPr>
          <w:rFonts w:eastAsia="宋体" w:cs="Times New Roman" w:hint="eastAsia"/>
          <w:szCs w:val="18"/>
        </w:rPr>
        <w:t>日至</w:t>
      </w:r>
      <w:r w:rsidRPr="00A71D2E">
        <w:rPr>
          <w:rFonts w:eastAsia="宋体" w:cs="Times New Roman"/>
          <w:szCs w:val="18"/>
        </w:rPr>
        <w:t>2026</w:t>
      </w:r>
      <w:r w:rsidRPr="00A71D2E">
        <w:rPr>
          <w:rFonts w:eastAsia="宋体" w:cs="Times New Roman" w:hint="eastAsia"/>
          <w:szCs w:val="18"/>
        </w:rPr>
        <w:t>年</w:t>
      </w:r>
      <w:r w:rsidRPr="00A71D2E">
        <w:rPr>
          <w:rFonts w:eastAsia="宋体" w:cs="Times New Roman"/>
          <w:szCs w:val="18"/>
        </w:rPr>
        <w:t>8</w:t>
      </w:r>
      <w:r w:rsidRPr="00A71D2E">
        <w:rPr>
          <w:rFonts w:eastAsia="宋体" w:cs="Times New Roman" w:hint="eastAsia"/>
          <w:szCs w:val="18"/>
        </w:rPr>
        <w:t>月</w:t>
      </w:r>
      <w:r w:rsidRPr="00A71D2E">
        <w:rPr>
          <w:rFonts w:eastAsia="宋体" w:cs="Times New Roman"/>
          <w:szCs w:val="18"/>
        </w:rPr>
        <w:t>13</w:t>
      </w:r>
      <w:r w:rsidRPr="00A71D2E">
        <w:rPr>
          <w:rFonts w:eastAsia="宋体" w:cs="Times New Roman" w:hint="eastAsia"/>
          <w:szCs w:val="18"/>
        </w:rPr>
        <w:t>日，年利率为</w:t>
      </w:r>
      <w:r w:rsidRPr="00A71D2E">
        <w:rPr>
          <w:rFonts w:eastAsia="宋体" w:cs="Times New Roman"/>
          <w:szCs w:val="18"/>
        </w:rPr>
        <w:t>1</w:t>
      </w:r>
      <w:r w:rsidRPr="00A71D2E">
        <w:rPr>
          <w:rFonts w:eastAsia="宋体" w:cs="Times New Roman" w:hint="eastAsia"/>
          <w:szCs w:val="18"/>
        </w:rPr>
        <w:t>年期</w:t>
      </w:r>
      <w:r w:rsidRPr="00A71D2E">
        <w:rPr>
          <w:rFonts w:eastAsia="宋体" w:cs="Times New Roman"/>
          <w:szCs w:val="18"/>
        </w:rPr>
        <w:t>LPR</w:t>
      </w:r>
      <w:r w:rsidRPr="00A71D2E">
        <w:rPr>
          <w:rFonts w:eastAsia="宋体" w:cs="Times New Roman" w:hint="eastAsia"/>
          <w:szCs w:val="18"/>
        </w:rPr>
        <w:t>利率，每</w:t>
      </w:r>
      <w:r w:rsidRPr="00A71D2E">
        <w:rPr>
          <w:rFonts w:eastAsia="宋体" w:cs="Times New Roman"/>
          <w:szCs w:val="18"/>
        </w:rPr>
        <w:t>12</w:t>
      </w:r>
      <w:r w:rsidRPr="00A71D2E">
        <w:rPr>
          <w:rFonts w:eastAsia="宋体" w:cs="Times New Roman" w:hint="eastAsia"/>
          <w:szCs w:val="18"/>
        </w:rPr>
        <w:t>个月调整一次。</w:t>
      </w:r>
    </w:p>
    <w:p w:rsidR="00EB68E7" w:rsidRPr="002B0ADE" w:rsidRDefault="00EB68E7">
      <w:pPr>
        <w:ind w:left="731"/>
        <w:rPr>
          <w:rFonts w:eastAsia="宋体" w:cs="Times New Roman"/>
          <w:szCs w:val="21"/>
        </w:rPr>
      </w:pPr>
    </w:p>
    <w:p w:rsidR="00EB68E7" w:rsidRPr="00A71D2E" w:rsidRDefault="00EB68E7">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租赁负债</w:t>
      </w:r>
    </w:p>
    <w:p w:rsidR="00EB68E7" w:rsidRPr="00A71D2E" w:rsidRDefault="00EB68E7">
      <w:pPr>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59"/>
        <w:gridCol w:w="1947"/>
        <w:gridCol w:w="1948"/>
      </w:tblGrid>
      <w:tr w:rsidR="00612A1A" w:rsidRPr="00A71D2E" w:rsidTr="0027505B">
        <w:trPr>
          <w:trHeight w:val="20"/>
        </w:trPr>
        <w:tc>
          <w:tcPr>
            <w:tcW w:w="5559" w:type="dxa"/>
            <w:shd w:val="clear" w:color="auto" w:fill="D9D9D9" w:themeFill="background1" w:themeFillShade="D9"/>
            <w:tcMar>
              <w:top w:w="0" w:type="dxa"/>
              <w:left w:w="108" w:type="dxa"/>
              <w:bottom w:w="0" w:type="dxa"/>
              <w:right w:w="108" w:type="dxa"/>
            </w:tcMar>
            <w:vAlign w:val="center"/>
            <w:hideMark/>
          </w:tcPr>
          <w:p w:rsidR="00612A1A" w:rsidRPr="00A71D2E" w:rsidRDefault="00612A1A">
            <w:pPr>
              <w:jc w:val="center"/>
              <w:rPr>
                <w:rFonts w:eastAsia="宋体" w:cs="Times New Roman"/>
                <w:sz w:val="18"/>
                <w:szCs w:val="18"/>
              </w:rPr>
            </w:pPr>
            <w:r w:rsidRPr="00A71D2E">
              <w:rPr>
                <w:rFonts w:eastAsia="宋体" w:cs="Times New Roman" w:hint="eastAsia"/>
                <w:sz w:val="18"/>
                <w:szCs w:val="18"/>
              </w:rPr>
              <w:t>项目</w:t>
            </w:r>
          </w:p>
        </w:tc>
        <w:tc>
          <w:tcPr>
            <w:tcW w:w="1947" w:type="dxa"/>
            <w:shd w:val="clear" w:color="auto" w:fill="D9D9D9" w:themeFill="background1" w:themeFillShade="D9"/>
            <w:vAlign w:val="center"/>
          </w:tcPr>
          <w:p w:rsidR="00612A1A" w:rsidRPr="00A71D2E" w:rsidRDefault="00612A1A">
            <w:pPr>
              <w:jc w:val="center"/>
              <w:rPr>
                <w:rFonts w:eastAsia="宋体" w:cs="Times New Roman"/>
                <w:sz w:val="18"/>
                <w:szCs w:val="18"/>
              </w:rPr>
            </w:pPr>
            <w:r w:rsidRPr="00A71D2E">
              <w:rPr>
                <w:rFonts w:eastAsia="宋体" w:cs="Times New Roman" w:hint="eastAsia"/>
                <w:sz w:val="18"/>
                <w:szCs w:val="18"/>
              </w:rPr>
              <w:t>年末余额</w:t>
            </w:r>
          </w:p>
        </w:tc>
        <w:tc>
          <w:tcPr>
            <w:tcW w:w="1948" w:type="dxa"/>
            <w:shd w:val="clear" w:color="auto" w:fill="D9D9D9" w:themeFill="background1" w:themeFillShade="D9"/>
            <w:vAlign w:val="center"/>
          </w:tcPr>
          <w:p w:rsidR="00612A1A" w:rsidRPr="00A71D2E" w:rsidRDefault="00612A1A">
            <w:pPr>
              <w:jc w:val="center"/>
              <w:rPr>
                <w:rFonts w:eastAsia="宋体" w:cs="Times New Roman"/>
                <w:sz w:val="18"/>
                <w:szCs w:val="18"/>
              </w:rPr>
            </w:pPr>
            <w:r w:rsidRPr="00A71D2E">
              <w:rPr>
                <w:rFonts w:eastAsia="宋体" w:cs="Times New Roman" w:hint="eastAsia"/>
                <w:sz w:val="18"/>
                <w:szCs w:val="18"/>
              </w:rPr>
              <w:t>年初余额</w:t>
            </w:r>
          </w:p>
        </w:tc>
      </w:tr>
      <w:tr w:rsidR="006465CA" w:rsidRPr="00A71D2E" w:rsidTr="0027505B">
        <w:trPr>
          <w:trHeight w:val="20"/>
        </w:trPr>
        <w:tc>
          <w:tcPr>
            <w:tcW w:w="5559" w:type="dxa"/>
            <w:shd w:val="clear" w:color="auto" w:fill="auto"/>
            <w:tcMar>
              <w:top w:w="0" w:type="dxa"/>
              <w:left w:w="108" w:type="dxa"/>
              <w:bottom w:w="0" w:type="dxa"/>
              <w:right w:w="108" w:type="dxa"/>
            </w:tcMar>
            <w:vAlign w:val="center"/>
          </w:tcPr>
          <w:p w:rsidR="006465CA" w:rsidRPr="00A71D2E" w:rsidRDefault="006465CA" w:rsidP="006465CA">
            <w:pPr>
              <w:rPr>
                <w:rFonts w:eastAsia="宋体" w:cs="Times New Roman"/>
                <w:sz w:val="18"/>
                <w:szCs w:val="18"/>
              </w:rPr>
            </w:pPr>
            <w:r w:rsidRPr="00A71D2E">
              <w:rPr>
                <w:rFonts w:eastAsia="宋体" w:cs="Times New Roman" w:hint="eastAsia"/>
                <w:sz w:val="18"/>
                <w:szCs w:val="18"/>
              </w:rPr>
              <w:t>应付租赁款</w:t>
            </w:r>
          </w:p>
        </w:tc>
        <w:tc>
          <w:tcPr>
            <w:tcW w:w="1947" w:type="dxa"/>
            <w:vAlign w:val="center"/>
          </w:tcPr>
          <w:p w:rsidR="006465CA" w:rsidRPr="00A71D2E" w:rsidRDefault="00203F4D" w:rsidP="006465CA">
            <w:pPr>
              <w:ind w:right="102"/>
              <w:jc w:val="right"/>
              <w:rPr>
                <w:rFonts w:eastAsia="宋体" w:cs="Times New Roman"/>
                <w:sz w:val="18"/>
                <w:szCs w:val="18"/>
              </w:rPr>
            </w:pPr>
            <w:r w:rsidRPr="00203F4D">
              <w:rPr>
                <w:rFonts w:eastAsia="宋体" w:cs="Times New Roman"/>
                <w:sz w:val="18"/>
                <w:szCs w:val="18"/>
              </w:rPr>
              <w:t>57,806,580.6</w:t>
            </w:r>
            <w:r>
              <w:rPr>
                <w:rFonts w:eastAsia="宋体" w:cs="Times New Roman"/>
                <w:sz w:val="18"/>
                <w:szCs w:val="18"/>
              </w:rPr>
              <w:t>3</w:t>
            </w:r>
          </w:p>
        </w:tc>
        <w:tc>
          <w:tcPr>
            <w:tcW w:w="1948" w:type="dxa"/>
            <w:vAlign w:val="center"/>
          </w:tcPr>
          <w:p w:rsidR="006465CA" w:rsidRPr="00A71D2E" w:rsidRDefault="006465CA" w:rsidP="006465CA">
            <w:pPr>
              <w:ind w:right="113"/>
              <w:jc w:val="right"/>
              <w:rPr>
                <w:rFonts w:eastAsia="宋体" w:cs="Times New Roman"/>
                <w:sz w:val="18"/>
                <w:szCs w:val="18"/>
              </w:rPr>
            </w:pPr>
            <w:r w:rsidRPr="00A71D2E">
              <w:rPr>
                <w:rFonts w:eastAsia="宋体" w:cs="Times New Roman"/>
                <w:sz w:val="18"/>
                <w:szCs w:val="18"/>
              </w:rPr>
              <w:t>95,114,937.22</w:t>
            </w:r>
          </w:p>
        </w:tc>
      </w:tr>
      <w:tr w:rsidR="006465CA" w:rsidRPr="00A71D2E" w:rsidTr="0027505B">
        <w:trPr>
          <w:trHeight w:val="20"/>
        </w:trPr>
        <w:tc>
          <w:tcPr>
            <w:tcW w:w="5559" w:type="dxa"/>
            <w:shd w:val="clear" w:color="auto" w:fill="auto"/>
            <w:tcMar>
              <w:top w:w="0" w:type="dxa"/>
              <w:left w:w="108" w:type="dxa"/>
              <w:bottom w:w="0" w:type="dxa"/>
              <w:right w:w="108" w:type="dxa"/>
            </w:tcMar>
            <w:vAlign w:val="center"/>
          </w:tcPr>
          <w:p w:rsidR="006465CA" w:rsidRPr="00A71D2E" w:rsidRDefault="006465CA" w:rsidP="006465CA">
            <w:pPr>
              <w:rPr>
                <w:rFonts w:eastAsia="宋体" w:cs="Times New Roman"/>
                <w:sz w:val="18"/>
                <w:szCs w:val="18"/>
              </w:rPr>
            </w:pPr>
            <w:r w:rsidRPr="00A71D2E">
              <w:rPr>
                <w:rFonts w:eastAsia="宋体" w:cs="Times New Roman" w:hint="eastAsia"/>
                <w:sz w:val="18"/>
                <w:szCs w:val="18"/>
              </w:rPr>
              <w:t>减</w:t>
            </w:r>
            <w:r w:rsidR="005F14EE">
              <w:rPr>
                <w:rFonts w:eastAsia="宋体" w:cs="Times New Roman" w:hint="eastAsia"/>
                <w:sz w:val="18"/>
                <w:szCs w:val="18"/>
              </w:rPr>
              <w:t>：</w:t>
            </w:r>
            <w:r w:rsidRPr="00A71D2E">
              <w:rPr>
                <w:rFonts w:eastAsia="宋体" w:cs="Times New Roman" w:hint="eastAsia"/>
                <w:sz w:val="18"/>
                <w:szCs w:val="18"/>
              </w:rPr>
              <w:t>计入一年内到期的</w:t>
            </w:r>
            <w:r w:rsidR="0036578F">
              <w:rPr>
                <w:rFonts w:eastAsia="宋体" w:cs="Times New Roman" w:hint="eastAsia"/>
                <w:sz w:val="18"/>
                <w:szCs w:val="18"/>
              </w:rPr>
              <w:t>非流动负债的</w:t>
            </w:r>
            <w:r w:rsidRPr="00A71D2E">
              <w:rPr>
                <w:rFonts w:eastAsia="宋体" w:cs="Times New Roman" w:hint="eastAsia"/>
                <w:sz w:val="18"/>
                <w:szCs w:val="18"/>
              </w:rPr>
              <w:t>租赁负债</w:t>
            </w:r>
            <w:r w:rsidR="005F14EE">
              <w:rPr>
                <w:rFonts w:eastAsia="宋体" w:cs="Times New Roman"/>
                <w:sz w:val="18"/>
                <w:szCs w:val="18"/>
              </w:rPr>
              <w:t>(</w:t>
            </w:r>
            <w:r w:rsidRPr="00A71D2E">
              <w:rPr>
                <w:rFonts w:eastAsia="宋体" w:cs="Times New Roman" w:hint="eastAsia"/>
                <w:sz w:val="18"/>
                <w:szCs w:val="18"/>
              </w:rPr>
              <w:t>附注</w:t>
            </w:r>
            <w:r w:rsidR="005F14EE">
              <w:rPr>
                <w:rFonts w:eastAsia="宋体" w:cs="Times New Roman"/>
                <w:sz w:val="18"/>
                <w:szCs w:val="18"/>
              </w:rPr>
              <w:t>(</w:t>
            </w:r>
            <w:r w:rsidRPr="00A71D2E">
              <w:rPr>
                <w:rFonts w:eastAsia="宋体" w:cs="Times New Roman" w:hint="eastAsia"/>
                <w:sz w:val="18"/>
                <w:szCs w:val="18"/>
              </w:rPr>
              <w:t>五</w:t>
            </w:r>
            <w:r w:rsidR="005F14EE">
              <w:rPr>
                <w:rFonts w:eastAsia="宋体" w:cs="Times New Roman"/>
                <w:sz w:val="18"/>
                <w:szCs w:val="18"/>
              </w:rPr>
              <w:t>)</w:t>
            </w:r>
            <w:r w:rsidRPr="00A71D2E">
              <w:rPr>
                <w:rFonts w:eastAsia="宋体" w:cs="Times New Roman" w:hint="eastAsia"/>
                <w:sz w:val="18"/>
                <w:szCs w:val="18"/>
              </w:rPr>
              <w:t>、</w:t>
            </w:r>
            <w:r w:rsidRPr="00A71D2E">
              <w:rPr>
                <w:rFonts w:eastAsia="宋体" w:cs="Times New Roman"/>
                <w:sz w:val="18"/>
                <w:szCs w:val="18"/>
              </w:rPr>
              <w:t>2</w:t>
            </w:r>
            <w:r w:rsidR="00FA1F7B">
              <w:rPr>
                <w:rFonts w:eastAsia="宋体" w:cs="Times New Roman"/>
                <w:sz w:val="18"/>
                <w:szCs w:val="18"/>
              </w:rPr>
              <w:t>6</w:t>
            </w:r>
            <w:r w:rsidR="005F14EE">
              <w:rPr>
                <w:rFonts w:eastAsia="宋体" w:cs="Times New Roman"/>
                <w:sz w:val="18"/>
                <w:szCs w:val="18"/>
              </w:rPr>
              <w:t>)</w:t>
            </w:r>
          </w:p>
        </w:tc>
        <w:tc>
          <w:tcPr>
            <w:tcW w:w="1947" w:type="dxa"/>
            <w:vAlign w:val="center"/>
          </w:tcPr>
          <w:p w:rsidR="006465CA" w:rsidRPr="00A71D2E" w:rsidRDefault="00203F4D" w:rsidP="006465CA">
            <w:pPr>
              <w:ind w:right="102"/>
              <w:jc w:val="right"/>
              <w:rPr>
                <w:rFonts w:eastAsia="宋体" w:cs="Times New Roman"/>
                <w:sz w:val="18"/>
                <w:szCs w:val="18"/>
              </w:rPr>
            </w:pPr>
            <w:r w:rsidRPr="00203F4D">
              <w:rPr>
                <w:rFonts w:eastAsia="宋体" w:cs="Times New Roman"/>
                <w:sz w:val="18"/>
                <w:szCs w:val="18"/>
              </w:rPr>
              <w:t>43,846,888.3</w:t>
            </w:r>
            <w:r>
              <w:rPr>
                <w:rFonts w:eastAsia="宋体" w:cs="Times New Roman"/>
                <w:sz w:val="18"/>
                <w:szCs w:val="18"/>
              </w:rPr>
              <w:t>3</w:t>
            </w:r>
          </w:p>
        </w:tc>
        <w:tc>
          <w:tcPr>
            <w:tcW w:w="1948" w:type="dxa"/>
            <w:vAlign w:val="center"/>
          </w:tcPr>
          <w:p w:rsidR="006465CA" w:rsidRPr="00A71D2E" w:rsidRDefault="006465CA" w:rsidP="006465CA">
            <w:pPr>
              <w:ind w:right="113"/>
              <w:jc w:val="right"/>
              <w:rPr>
                <w:rFonts w:eastAsia="宋体" w:cs="Times New Roman"/>
                <w:sz w:val="18"/>
                <w:szCs w:val="18"/>
              </w:rPr>
            </w:pPr>
            <w:r w:rsidRPr="00A71D2E">
              <w:rPr>
                <w:rFonts w:eastAsia="宋体" w:cs="Times New Roman"/>
                <w:sz w:val="18"/>
                <w:szCs w:val="18"/>
              </w:rPr>
              <w:t>51,019,636.23</w:t>
            </w:r>
          </w:p>
        </w:tc>
      </w:tr>
      <w:tr w:rsidR="006465CA" w:rsidRPr="00A71D2E" w:rsidTr="0027505B">
        <w:trPr>
          <w:trHeight w:val="20"/>
        </w:trPr>
        <w:tc>
          <w:tcPr>
            <w:tcW w:w="5559" w:type="dxa"/>
            <w:shd w:val="clear" w:color="auto" w:fill="D9D9D9" w:themeFill="background1" w:themeFillShade="D9"/>
            <w:tcMar>
              <w:top w:w="0" w:type="dxa"/>
              <w:left w:w="108" w:type="dxa"/>
              <w:bottom w:w="0" w:type="dxa"/>
              <w:right w:w="108" w:type="dxa"/>
            </w:tcMar>
            <w:vAlign w:val="center"/>
            <w:hideMark/>
          </w:tcPr>
          <w:p w:rsidR="006465CA" w:rsidRPr="00A71D2E" w:rsidRDefault="006465CA" w:rsidP="006465CA">
            <w:pPr>
              <w:rPr>
                <w:rFonts w:eastAsia="宋体" w:cs="Times New Roman"/>
                <w:sz w:val="18"/>
                <w:szCs w:val="18"/>
              </w:rPr>
            </w:pPr>
            <w:r w:rsidRPr="00A71D2E">
              <w:rPr>
                <w:rFonts w:eastAsia="宋体" w:cs="Times New Roman" w:hint="eastAsia"/>
                <w:sz w:val="18"/>
                <w:szCs w:val="18"/>
              </w:rPr>
              <w:t>净额</w:t>
            </w:r>
          </w:p>
        </w:tc>
        <w:tc>
          <w:tcPr>
            <w:tcW w:w="1947" w:type="dxa"/>
            <w:vAlign w:val="center"/>
          </w:tcPr>
          <w:p w:rsidR="006465CA" w:rsidRPr="00A71D2E" w:rsidRDefault="00203F4D" w:rsidP="006465CA">
            <w:pPr>
              <w:ind w:right="102"/>
              <w:jc w:val="right"/>
              <w:rPr>
                <w:rFonts w:eastAsia="宋体" w:cs="Times New Roman"/>
                <w:sz w:val="18"/>
                <w:szCs w:val="18"/>
              </w:rPr>
            </w:pPr>
            <w:r w:rsidRPr="00203F4D">
              <w:rPr>
                <w:rFonts w:eastAsia="宋体" w:cs="Times New Roman"/>
                <w:sz w:val="18"/>
                <w:szCs w:val="18"/>
              </w:rPr>
              <w:t>13,959,692.30</w:t>
            </w:r>
          </w:p>
        </w:tc>
        <w:tc>
          <w:tcPr>
            <w:tcW w:w="1948" w:type="dxa"/>
            <w:vAlign w:val="center"/>
          </w:tcPr>
          <w:p w:rsidR="006465CA" w:rsidRPr="00A71D2E" w:rsidRDefault="006465CA" w:rsidP="006465CA">
            <w:pPr>
              <w:ind w:right="102"/>
              <w:jc w:val="right"/>
              <w:rPr>
                <w:rFonts w:eastAsia="宋体" w:cs="Times New Roman"/>
                <w:sz w:val="18"/>
                <w:szCs w:val="18"/>
              </w:rPr>
            </w:pPr>
            <w:r w:rsidRPr="00A71D2E">
              <w:rPr>
                <w:rFonts w:eastAsia="宋体" w:cs="Times New Roman"/>
                <w:sz w:val="18"/>
                <w:szCs w:val="18"/>
              </w:rPr>
              <w:t>44,095,300.99</w:t>
            </w:r>
          </w:p>
        </w:tc>
      </w:tr>
    </w:tbl>
    <w:p w:rsidR="00042EC2" w:rsidRDefault="00042EC2" w:rsidP="0027505B">
      <w:pPr>
        <w:ind w:left="709" w:firstLine="11"/>
        <w:jc w:val="both"/>
        <w:rPr>
          <w:rFonts w:eastAsia="宋体" w:cs="Times New Roman"/>
          <w:szCs w:val="18"/>
        </w:rPr>
      </w:pPr>
    </w:p>
    <w:p w:rsidR="00042EC2" w:rsidRDefault="00042EC2" w:rsidP="008E7EF3">
      <w:pPr>
        <w:ind w:leftChars="337" w:left="708" w:firstLine="11"/>
        <w:jc w:val="both"/>
        <w:rPr>
          <w:rFonts w:eastAsia="宋体" w:cs="Times New Roman"/>
          <w:szCs w:val="18"/>
        </w:rPr>
      </w:pPr>
      <w:r w:rsidRPr="00042EC2">
        <w:rPr>
          <w:rFonts w:eastAsia="宋体" w:cs="Times New Roman" w:hint="eastAsia"/>
          <w:szCs w:val="18"/>
        </w:rPr>
        <w:t>本集团的租赁负债按未折现剩余合同义务的到期期限分析如下</w:t>
      </w:r>
      <w:r w:rsidR="005F14EE">
        <w:rPr>
          <w:rFonts w:eastAsia="宋体" w:cs="Times New Roman" w:hint="eastAsia"/>
          <w:szCs w:val="18"/>
        </w:rPr>
        <w:t>：</w:t>
      </w:r>
    </w:p>
    <w:p w:rsidR="00B22E9B" w:rsidRPr="00A71D2E" w:rsidRDefault="00B22E9B" w:rsidP="00B22E9B">
      <w:pPr>
        <w:ind w:leftChars="86" w:left="181"/>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1940"/>
        <w:gridCol w:w="1940"/>
        <w:gridCol w:w="1940"/>
        <w:gridCol w:w="1940"/>
      </w:tblGrid>
      <w:tr w:rsidR="00536536" w:rsidRPr="00A71D2E" w:rsidTr="0027505B">
        <w:trPr>
          <w:trHeight w:val="20"/>
        </w:trPr>
        <w:tc>
          <w:tcPr>
            <w:tcW w:w="1696" w:type="dxa"/>
            <w:shd w:val="clear" w:color="auto" w:fill="D9D9D9" w:themeFill="background1" w:themeFillShade="D9"/>
            <w:tcMar>
              <w:top w:w="0" w:type="dxa"/>
              <w:left w:w="108" w:type="dxa"/>
              <w:bottom w:w="0" w:type="dxa"/>
              <w:right w:w="108" w:type="dxa"/>
            </w:tcMar>
            <w:vAlign w:val="center"/>
            <w:hideMark/>
          </w:tcPr>
          <w:p w:rsidR="00536536" w:rsidRPr="00A71D2E" w:rsidRDefault="00536536" w:rsidP="0027505B">
            <w:pPr>
              <w:jc w:val="center"/>
              <w:rPr>
                <w:rFonts w:eastAsia="宋体" w:cs="Times New Roman"/>
                <w:sz w:val="18"/>
                <w:szCs w:val="18"/>
              </w:rPr>
            </w:pPr>
            <w:r>
              <w:rPr>
                <w:rFonts w:eastAsia="宋体" w:cs="Times New Roman" w:hint="eastAsia"/>
                <w:sz w:val="18"/>
                <w:szCs w:val="18"/>
              </w:rPr>
              <w:t>租赁负债</w:t>
            </w:r>
          </w:p>
        </w:tc>
        <w:tc>
          <w:tcPr>
            <w:tcW w:w="1940" w:type="dxa"/>
            <w:shd w:val="clear" w:color="auto" w:fill="D9D9D9" w:themeFill="background2" w:themeFillShade="D9"/>
            <w:vAlign w:val="center"/>
          </w:tcPr>
          <w:p w:rsidR="00536536" w:rsidRPr="00A71D2E" w:rsidRDefault="00536536" w:rsidP="00D539B1">
            <w:pPr>
              <w:ind w:leftChars="86" w:left="181"/>
              <w:jc w:val="center"/>
              <w:rPr>
                <w:rFonts w:eastAsia="宋体" w:cs="Times New Roman"/>
                <w:sz w:val="18"/>
                <w:szCs w:val="18"/>
              </w:rPr>
            </w:pPr>
            <w:r>
              <w:rPr>
                <w:rFonts w:eastAsia="宋体" w:cs="Times New Roman" w:hint="eastAsia"/>
                <w:sz w:val="18"/>
                <w:szCs w:val="18"/>
              </w:rPr>
              <w:t>1</w:t>
            </w:r>
            <w:r>
              <w:rPr>
                <w:rFonts w:eastAsia="宋体" w:cs="Times New Roman" w:hint="eastAsia"/>
                <w:sz w:val="18"/>
                <w:szCs w:val="18"/>
              </w:rPr>
              <w:t>年以内</w:t>
            </w:r>
          </w:p>
        </w:tc>
        <w:tc>
          <w:tcPr>
            <w:tcW w:w="1940" w:type="dxa"/>
            <w:shd w:val="clear" w:color="auto" w:fill="D9D9D9" w:themeFill="background2" w:themeFillShade="D9"/>
            <w:vAlign w:val="center"/>
          </w:tcPr>
          <w:p w:rsidR="00536536" w:rsidRPr="00A71D2E" w:rsidRDefault="00536536" w:rsidP="00D539B1">
            <w:pPr>
              <w:ind w:leftChars="86" w:left="181"/>
              <w:jc w:val="center"/>
              <w:rPr>
                <w:rFonts w:eastAsia="宋体" w:cs="Times New Roman"/>
                <w:sz w:val="18"/>
                <w:szCs w:val="18"/>
              </w:rPr>
            </w:pPr>
            <w:r>
              <w:rPr>
                <w:rFonts w:eastAsia="宋体" w:cs="Times New Roman" w:hint="eastAsia"/>
                <w:sz w:val="18"/>
                <w:szCs w:val="18"/>
              </w:rPr>
              <w:t>1</w:t>
            </w:r>
            <w:r>
              <w:rPr>
                <w:rFonts w:eastAsia="宋体" w:cs="Times New Roman" w:hint="eastAsia"/>
                <w:sz w:val="18"/>
                <w:szCs w:val="18"/>
              </w:rPr>
              <w:t>至</w:t>
            </w:r>
            <w:r>
              <w:rPr>
                <w:rFonts w:eastAsia="宋体" w:cs="Times New Roman" w:hint="eastAsia"/>
                <w:sz w:val="18"/>
                <w:szCs w:val="18"/>
              </w:rPr>
              <w:t>5</w:t>
            </w:r>
            <w:r>
              <w:rPr>
                <w:rFonts w:eastAsia="宋体" w:cs="Times New Roman" w:hint="eastAsia"/>
                <w:sz w:val="18"/>
                <w:szCs w:val="18"/>
              </w:rPr>
              <w:t>年</w:t>
            </w:r>
          </w:p>
        </w:tc>
        <w:tc>
          <w:tcPr>
            <w:tcW w:w="1940" w:type="dxa"/>
            <w:shd w:val="clear" w:color="auto" w:fill="D9D9D9" w:themeFill="background1" w:themeFillShade="D9"/>
            <w:vAlign w:val="center"/>
          </w:tcPr>
          <w:p w:rsidR="00536536" w:rsidRDefault="00536536" w:rsidP="00D539B1">
            <w:pPr>
              <w:ind w:leftChars="86" w:left="181"/>
              <w:jc w:val="center"/>
              <w:rPr>
                <w:rFonts w:eastAsia="宋体" w:cs="Times New Roman"/>
                <w:sz w:val="18"/>
                <w:szCs w:val="18"/>
              </w:rPr>
            </w:pPr>
            <w:r>
              <w:rPr>
                <w:rFonts w:eastAsia="宋体" w:cs="Times New Roman" w:hint="eastAsia"/>
                <w:sz w:val="18"/>
                <w:szCs w:val="18"/>
              </w:rPr>
              <w:t>5</w:t>
            </w:r>
            <w:r>
              <w:rPr>
                <w:rFonts w:eastAsia="宋体" w:cs="Times New Roman" w:hint="eastAsia"/>
                <w:sz w:val="18"/>
                <w:szCs w:val="18"/>
              </w:rPr>
              <w:t>年以上</w:t>
            </w:r>
          </w:p>
        </w:tc>
        <w:tc>
          <w:tcPr>
            <w:tcW w:w="1940" w:type="dxa"/>
            <w:shd w:val="clear" w:color="auto" w:fill="D9D9D9" w:themeFill="background2" w:themeFillShade="D9"/>
            <w:vAlign w:val="center"/>
          </w:tcPr>
          <w:p w:rsidR="00536536" w:rsidRDefault="00536536" w:rsidP="00D539B1">
            <w:pPr>
              <w:ind w:leftChars="86" w:left="181"/>
              <w:jc w:val="center"/>
              <w:rPr>
                <w:rFonts w:eastAsia="宋体" w:cs="Times New Roman"/>
                <w:sz w:val="18"/>
                <w:szCs w:val="18"/>
              </w:rPr>
            </w:pPr>
            <w:r>
              <w:rPr>
                <w:rFonts w:eastAsia="宋体" w:cs="Times New Roman" w:hint="eastAsia"/>
                <w:sz w:val="18"/>
                <w:szCs w:val="18"/>
              </w:rPr>
              <w:t>合计</w:t>
            </w:r>
          </w:p>
        </w:tc>
      </w:tr>
      <w:tr w:rsidR="00536536" w:rsidRPr="00A71D2E" w:rsidTr="0027505B">
        <w:trPr>
          <w:trHeight w:val="20"/>
        </w:trPr>
        <w:tc>
          <w:tcPr>
            <w:tcW w:w="1696" w:type="dxa"/>
            <w:shd w:val="clear" w:color="auto" w:fill="auto"/>
            <w:tcMar>
              <w:top w:w="0" w:type="dxa"/>
              <w:left w:w="108" w:type="dxa"/>
              <w:bottom w:w="0" w:type="dxa"/>
              <w:right w:w="108" w:type="dxa"/>
            </w:tcMar>
            <w:vAlign w:val="center"/>
          </w:tcPr>
          <w:p w:rsidR="00536536" w:rsidRPr="00A71D2E" w:rsidRDefault="00536536" w:rsidP="00E85A37">
            <w:pPr>
              <w:rPr>
                <w:rFonts w:eastAsia="宋体" w:cs="Times New Roman"/>
                <w:sz w:val="18"/>
                <w:szCs w:val="18"/>
              </w:rPr>
            </w:pPr>
            <w:r>
              <w:rPr>
                <w:rFonts w:eastAsia="宋体" w:cs="Times New Roman" w:hint="eastAsia"/>
                <w:sz w:val="18"/>
                <w:szCs w:val="18"/>
              </w:rPr>
              <w:t>年末余额</w:t>
            </w:r>
          </w:p>
        </w:tc>
        <w:tc>
          <w:tcPr>
            <w:tcW w:w="1940" w:type="dxa"/>
            <w:vAlign w:val="center"/>
          </w:tcPr>
          <w:p w:rsidR="00536536" w:rsidRPr="00A71D2E" w:rsidRDefault="002905C2" w:rsidP="00D539B1">
            <w:pPr>
              <w:ind w:leftChars="86" w:left="181" w:rightChars="49" w:right="103"/>
              <w:jc w:val="right"/>
              <w:rPr>
                <w:rFonts w:eastAsia="宋体" w:cs="Times New Roman"/>
                <w:sz w:val="18"/>
                <w:szCs w:val="18"/>
              </w:rPr>
            </w:pPr>
            <w:r w:rsidRPr="002905C2">
              <w:rPr>
                <w:rFonts w:eastAsia="宋体" w:cs="Times New Roman"/>
                <w:sz w:val="18"/>
                <w:szCs w:val="18"/>
              </w:rPr>
              <w:t>44,997,903.52</w:t>
            </w:r>
          </w:p>
        </w:tc>
        <w:tc>
          <w:tcPr>
            <w:tcW w:w="1940" w:type="dxa"/>
            <w:vAlign w:val="center"/>
          </w:tcPr>
          <w:p w:rsidR="00536536" w:rsidRPr="00A71D2E" w:rsidRDefault="002905C2" w:rsidP="00D539B1">
            <w:pPr>
              <w:ind w:leftChars="86" w:left="181" w:rightChars="54" w:right="113"/>
              <w:jc w:val="right"/>
              <w:rPr>
                <w:rFonts w:eastAsia="宋体" w:cs="Times New Roman"/>
                <w:sz w:val="18"/>
                <w:szCs w:val="18"/>
              </w:rPr>
            </w:pPr>
            <w:r w:rsidRPr="002905C2">
              <w:rPr>
                <w:rFonts w:eastAsia="宋体" w:cs="Times New Roman"/>
                <w:sz w:val="18"/>
                <w:szCs w:val="18"/>
              </w:rPr>
              <w:t>9,940,414.31</w:t>
            </w:r>
          </w:p>
        </w:tc>
        <w:tc>
          <w:tcPr>
            <w:tcW w:w="1940" w:type="dxa"/>
            <w:vAlign w:val="center"/>
          </w:tcPr>
          <w:p w:rsidR="00536536" w:rsidRPr="00A71D2E" w:rsidRDefault="002905C2" w:rsidP="00D539B1">
            <w:pPr>
              <w:ind w:leftChars="86" w:left="181" w:rightChars="54" w:right="113"/>
              <w:jc w:val="right"/>
              <w:rPr>
                <w:rFonts w:eastAsia="宋体" w:cs="Times New Roman"/>
                <w:sz w:val="18"/>
                <w:szCs w:val="18"/>
              </w:rPr>
            </w:pPr>
            <w:r w:rsidRPr="002905C2">
              <w:rPr>
                <w:rFonts w:eastAsia="宋体" w:cs="Times New Roman"/>
                <w:sz w:val="18"/>
                <w:szCs w:val="18"/>
              </w:rPr>
              <w:t>5,106,699.00</w:t>
            </w:r>
          </w:p>
        </w:tc>
        <w:tc>
          <w:tcPr>
            <w:tcW w:w="1940" w:type="dxa"/>
            <w:vAlign w:val="center"/>
          </w:tcPr>
          <w:p w:rsidR="00536536" w:rsidRPr="00A71D2E" w:rsidRDefault="002905C2" w:rsidP="00D539B1">
            <w:pPr>
              <w:ind w:leftChars="86" w:left="181" w:rightChars="54" w:right="113"/>
              <w:jc w:val="right"/>
              <w:rPr>
                <w:rFonts w:eastAsia="宋体" w:cs="Times New Roman"/>
                <w:sz w:val="18"/>
                <w:szCs w:val="18"/>
              </w:rPr>
            </w:pPr>
            <w:r w:rsidRPr="002905C2">
              <w:rPr>
                <w:rFonts w:eastAsia="宋体" w:cs="Times New Roman"/>
                <w:sz w:val="18"/>
                <w:szCs w:val="18"/>
              </w:rPr>
              <w:t>60,045,016.83</w:t>
            </w:r>
          </w:p>
        </w:tc>
      </w:tr>
      <w:tr w:rsidR="00536536" w:rsidRPr="00A71D2E" w:rsidTr="0027505B">
        <w:trPr>
          <w:trHeight w:val="20"/>
        </w:trPr>
        <w:tc>
          <w:tcPr>
            <w:tcW w:w="1696" w:type="dxa"/>
            <w:shd w:val="clear" w:color="auto" w:fill="auto"/>
            <w:tcMar>
              <w:top w:w="0" w:type="dxa"/>
              <w:left w:w="108" w:type="dxa"/>
              <w:bottom w:w="0" w:type="dxa"/>
              <w:right w:w="108" w:type="dxa"/>
            </w:tcMar>
            <w:vAlign w:val="center"/>
          </w:tcPr>
          <w:p w:rsidR="00536536" w:rsidRPr="00A71D2E" w:rsidRDefault="00536536" w:rsidP="00E85A37">
            <w:pPr>
              <w:rPr>
                <w:rFonts w:eastAsia="宋体" w:cs="Times New Roman"/>
                <w:sz w:val="18"/>
                <w:szCs w:val="18"/>
              </w:rPr>
            </w:pPr>
            <w:r>
              <w:rPr>
                <w:rFonts w:eastAsia="宋体" w:cs="Times New Roman" w:hint="eastAsia"/>
                <w:sz w:val="18"/>
                <w:szCs w:val="18"/>
              </w:rPr>
              <w:t>年初余额</w:t>
            </w:r>
          </w:p>
        </w:tc>
        <w:tc>
          <w:tcPr>
            <w:tcW w:w="1940" w:type="dxa"/>
            <w:vAlign w:val="center"/>
          </w:tcPr>
          <w:p w:rsidR="00536536" w:rsidRPr="00A71D2E" w:rsidRDefault="008255CA" w:rsidP="00D539B1">
            <w:pPr>
              <w:ind w:leftChars="86" w:left="181" w:rightChars="49" w:right="103"/>
              <w:jc w:val="right"/>
              <w:rPr>
                <w:rFonts w:eastAsia="宋体" w:cs="Times New Roman"/>
                <w:sz w:val="18"/>
                <w:szCs w:val="18"/>
              </w:rPr>
            </w:pPr>
            <w:r w:rsidRPr="008255CA">
              <w:rPr>
                <w:rFonts w:eastAsia="宋体" w:cs="Times New Roman"/>
                <w:sz w:val="18"/>
                <w:szCs w:val="18"/>
              </w:rPr>
              <w:t>61,772,310.87</w:t>
            </w:r>
          </w:p>
        </w:tc>
        <w:tc>
          <w:tcPr>
            <w:tcW w:w="1940" w:type="dxa"/>
            <w:vAlign w:val="center"/>
          </w:tcPr>
          <w:p w:rsidR="00536536" w:rsidRPr="00A71D2E" w:rsidRDefault="008255CA" w:rsidP="00D539B1">
            <w:pPr>
              <w:ind w:leftChars="86" w:left="181" w:rightChars="54" w:right="113"/>
              <w:jc w:val="right"/>
              <w:rPr>
                <w:rFonts w:eastAsia="宋体" w:cs="Times New Roman"/>
                <w:sz w:val="18"/>
                <w:szCs w:val="18"/>
              </w:rPr>
            </w:pPr>
            <w:r w:rsidRPr="008255CA">
              <w:rPr>
                <w:rFonts w:eastAsia="宋体" w:cs="Times New Roman"/>
                <w:sz w:val="18"/>
                <w:szCs w:val="18"/>
              </w:rPr>
              <w:t>29,902,239.55</w:t>
            </w:r>
          </w:p>
        </w:tc>
        <w:tc>
          <w:tcPr>
            <w:tcW w:w="1940" w:type="dxa"/>
            <w:vAlign w:val="center"/>
          </w:tcPr>
          <w:p w:rsidR="00536536" w:rsidRPr="00A71D2E" w:rsidRDefault="00536536" w:rsidP="00D539B1">
            <w:pPr>
              <w:ind w:leftChars="86" w:left="181" w:rightChars="54" w:right="113"/>
              <w:jc w:val="right"/>
              <w:rPr>
                <w:rFonts w:eastAsia="宋体" w:cs="Times New Roman"/>
                <w:sz w:val="18"/>
                <w:szCs w:val="18"/>
              </w:rPr>
            </w:pPr>
            <w:r w:rsidRPr="00D539B1">
              <w:rPr>
                <w:rFonts w:eastAsia="宋体" w:cs="Times New Roman"/>
                <w:sz w:val="18"/>
                <w:szCs w:val="18"/>
              </w:rPr>
              <w:t>7,376,343.00</w:t>
            </w:r>
          </w:p>
        </w:tc>
        <w:tc>
          <w:tcPr>
            <w:tcW w:w="1940" w:type="dxa"/>
            <w:vAlign w:val="center"/>
          </w:tcPr>
          <w:p w:rsidR="00536536" w:rsidRPr="00A71D2E" w:rsidRDefault="008255CA" w:rsidP="00D539B1">
            <w:pPr>
              <w:ind w:leftChars="86" w:left="181" w:rightChars="54" w:right="113"/>
              <w:jc w:val="right"/>
              <w:rPr>
                <w:rFonts w:eastAsia="宋体" w:cs="Times New Roman"/>
                <w:sz w:val="18"/>
                <w:szCs w:val="18"/>
              </w:rPr>
            </w:pPr>
            <w:r w:rsidRPr="008255CA">
              <w:rPr>
                <w:rFonts w:eastAsia="宋体" w:cs="Times New Roman"/>
                <w:sz w:val="18"/>
                <w:szCs w:val="18"/>
              </w:rPr>
              <w:t>99,050,893.42</w:t>
            </w:r>
          </w:p>
        </w:tc>
      </w:tr>
    </w:tbl>
    <w:p w:rsidR="005F6448" w:rsidRPr="00F66363" w:rsidRDefault="005F6448" w:rsidP="005F6448">
      <w:pPr>
        <w:ind w:left="731"/>
        <w:rPr>
          <w:rFonts w:eastAsia="宋体" w:cs="Times New Roman"/>
          <w:szCs w:val="21"/>
        </w:rPr>
      </w:pPr>
    </w:p>
    <w:p w:rsidR="00EB68E7" w:rsidRPr="00A71D2E" w:rsidRDefault="00EB68E7">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预计负债</w:t>
      </w:r>
    </w:p>
    <w:p w:rsidR="00EB68E7" w:rsidRPr="00A71D2E" w:rsidRDefault="00EB68E7">
      <w:pPr>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68"/>
        <w:gridCol w:w="1944"/>
        <w:gridCol w:w="1944"/>
      </w:tblGrid>
      <w:tr w:rsidR="00612A1A" w:rsidRPr="00A71D2E" w:rsidTr="0027505B">
        <w:trPr>
          <w:trHeight w:val="20"/>
        </w:trPr>
        <w:tc>
          <w:tcPr>
            <w:tcW w:w="5568" w:type="dxa"/>
            <w:shd w:val="clear" w:color="auto" w:fill="D9D9D9" w:themeFill="background1" w:themeFillShade="D9"/>
            <w:tcMar>
              <w:top w:w="0" w:type="dxa"/>
              <w:left w:w="108" w:type="dxa"/>
              <w:bottom w:w="0" w:type="dxa"/>
              <w:right w:w="108" w:type="dxa"/>
            </w:tcMar>
            <w:vAlign w:val="center"/>
            <w:hideMark/>
          </w:tcPr>
          <w:p w:rsidR="00612A1A" w:rsidRPr="00A71D2E" w:rsidRDefault="00612A1A">
            <w:pPr>
              <w:jc w:val="center"/>
              <w:rPr>
                <w:rFonts w:eastAsia="宋体" w:cs="Times New Roman"/>
                <w:sz w:val="18"/>
                <w:szCs w:val="18"/>
              </w:rPr>
            </w:pPr>
            <w:r w:rsidRPr="00A71D2E">
              <w:rPr>
                <w:rFonts w:eastAsia="宋体" w:cs="Times New Roman" w:hint="eastAsia"/>
                <w:sz w:val="18"/>
                <w:szCs w:val="18"/>
              </w:rPr>
              <w:t>项目</w:t>
            </w:r>
          </w:p>
        </w:tc>
        <w:tc>
          <w:tcPr>
            <w:tcW w:w="1944" w:type="dxa"/>
            <w:shd w:val="clear" w:color="auto" w:fill="D9D9D9" w:themeFill="background1" w:themeFillShade="D9"/>
            <w:vAlign w:val="center"/>
          </w:tcPr>
          <w:p w:rsidR="00612A1A" w:rsidRPr="00A71D2E" w:rsidRDefault="00612A1A">
            <w:pPr>
              <w:jc w:val="center"/>
              <w:rPr>
                <w:rFonts w:eastAsia="宋体" w:cs="Times New Roman"/>
                <w:sz w:val="18"/>
                <w:szCs w:val="18"/>
              </w:rPr>
            </w:pPr>
            <w:r w:rsidRPr="00A71D2E">
              <w:rPr>
                <w:rFonts w:eastAsia="宋体" w:cs="Times New Roman" w:hint="eastAsia"/>
                <w:sz w:val="18"/>
                <w:szCs w:val="18"/>
              </w:rPr>
              <w:t>年末余额</w:t>
            </w:r>
          </w:p>
        </w:tc>
        <w:tc>
          <w:tcPr>
            <w:tcW w:w="1944" w:type="dxa"/>
            <w:shd w:val="clear" w:color="auto" w:fill="D9D9D9" w:themeFill="background1" w:themeFillShade="D9"/>
            <w:vAlign w:val="center"/>
          </w:tcPr>
          <w:p w:rsidR="00612A1A" w:rsidRPr="00A71D2E" w:rsidRDefault="00612A1A" w:rsidP="0027505B">
            <w:pPr>
              <w:ind w:right="91"/>
              <w:jc w:val="center"/>
              <w:rPr>
                <w:rFonts w:eastAsia="宋体" w:cs="Times New Roman"/>
                <w:sz w:val="18"/>
                <w:szCs w:val="18"/>
              </w:rPr>
            </w:pPr>
            <w:r w:rsidRPr="00A71D2E">
              <w:rPr>
                <w:rFonts w:eastAsia="宋体" w:cs="Times New Roman" w:hint="eastAsia"/>
                <w:sz w:val="18"/>
                <w:szCs w:val="18"/>
              </w:rPr>
              <w:t>年初余额</w:t>
            </w:r>
          </w:p>
        </w:tc>
      </w:tr>
      <w:tr w:rsidR="00723684" w:rsidRPr="00A71D2E" w:rsidTr="0027505B">
        <w:trPr>
          <w:trHeight w:val="20"/>
        </w:trPr>
        <w:tc>
          <w:tcPr>
            <w:tcW w:w="5568" w:type="dxa"/>
            <w:shd w:val="clear" w:color="auto" w:fill="auto"/>
            <w:tcMar>
              <w:top w:w="0" w:type="dxa"/>
              <w:left w:w="108" w:type="dxa"/>
              <w:bottom w:w="0" w:type="dxa"/>
              <w:right w:w="108" w:type="dxa"/>
            </w:tcMar>
            <w:vAlign w:val="center"/>
            <w:hideMark/>
          </w:tcPr>
          <w:p w:rsidR="00723684" w:rsidRPr="00A71D2E" w:rsidRDefault="00723684" w:rsidP="00723684">
            <w:pPr>
              <w:rPr>
                <w:rFonts w:eastAsia="宋体" w:cs="Times New Roman"/>
                <w:sz w:val="18"/>
                <w:szCs w:val="18"/>
              </w:rPr>
            </w:pPr>
            <w:r w:rsidRPr="00A71D2E">
              <w:rPr>
                <w:rFonts w:eastAsia="宋体" w:cs="Times New Roman" w:hint="eastAsia"/>
                <w:sz w:val="18"/>
                <w:szCs w:val="18"/>
              </w:rPr>
              <w:t>产品质量保证</w:t>
            </w:r>
          </w:p>
        </w:tc>
        <w:tc>
          <w:tcPr>
            <w:tcW w:w="1944" w:type="dxa"/>
            <w:vAlign w:val="center"/>
          </w:tcPr>
          <w:p w:rsidR="00723684" w:rsidRPr="00F66363" w:rsidRDefault="00AF39F1" w:rsidP="00723684">
            <w:pPr>
              <w:ind w:right="117"/>
              <w:jc w:val="right"/>
              <w:rPr>
                <w:rFonts w:eastAsia="宋体" w:cs="Times New Roman"/>
                <w:sz w:val="18"/>
                <w:szCs w:val="18"/>
              </w:rPr>
            </w:pPr>
            <w:r w:rsidRPr="00AF39F1">
              <w:rPr>
                <w:rFonts w:eastAsia="宋体" w:cs="Times New Roman"/>
                <w:sz w:val="18"/>
                <w:szCs w:val="18"/>
              </w:rPr>
              <w:t>3,511,344.29</w:t>
            </w:r>
          </w:p>
        </w:tc>
        <w:tc>
          <w:tcPr>
            <w:tcW w:w="1944" w:type="dxa"/>
            <w:vAlign w:val="center"/>
          </w:tcPr>
          <w:p w:rsidR="00723684" w:rsidRPr="00A71D2E" w:rsidRDefault="00723684" w:rsidP="0027505B">
            <w:pPr>
              <w:ind w:right="91"/>
              <w:jc w:val="right"/>
              <w:rPr>
                <w:rFonts w:eastAsia="宋体" w:cs="Times New Roman"/>
                <w:sz w:val="18"/>
                <w:szCs w:val="18"/>
              </w:rPr>
            </w:pPr>
            <w:r w:rsidRPr="00F66363">
              <w:rPr>
                <w:rFonts w:eastAsia="宋体" w:cs="Times New Roman"/>
                <w:sz w:val="18"/>
                <w:szCs w:val="18"/>
              </w:rPr>
              <w:t>4,244,527.21</w:t>
            </w:r>
          </w:p>
        </w:tc>
      </w:tr>
      <w:tr w:rsidR="00723684" w:rsidRPr="00A71D2E" w:rsidTr="0027505B">
        <w:trPr>
          <w:trHeight w:val="20"/>
        </w:trPr>
        <w:tc>
          <w:tcPr>
            <w:tcW w:w="5568" w:type="dxa"/>
            <w:shd w:val="clear" w:color="auto" w:fill="auto"/>
            <w:tcMar>
              <w:top w:w="0" w:type="dxa"/>
              <w:left w:w="108" w:type="dxa"/>
              <w:bottom w:w="0" w:type="dxa"/>
              <w:right w:w="108" w:type="dxa"/>
            </w:tcMar>
            <w:vAlign w:val="center"/>
          </w:tcPr>
          <w:p w:rsidR="00723684" w:rsidRPr="00A71D2E" w:rsidRDefault="00723684" w:rsidP="00723684">
            <w:pPr>
              <w:rPr>
                <w:rFonts w:eastAsia="宋体" w:cs="Times New Roman"/>
                <w:sz w:val="18"/>
                <w:szCs w:val="18"/>
              </w:rPr>
            </w:pPr>
            <w:r w:rsidRPr="00A71D2E">
              <w:rPr>
                <w:rFonts w:eastAsia="宋体" w:cs="Times New Roman" w:hint="eastAsia"/>
                <w:sz w:val="18"/>
                <w:szCs w:val="18"/>
              </w:rPr>
              <w:t>应付退货款</w:t>
            </w:r>
          </w:p>
        </w:tc>
        <w:tc>
          <w:tcPr>
            <w:tcW w:w="1944" w:type="dxa"/>
            <w:vAlign w:val="center"/>
          </w:tcPr>
          <w:p w:rsidR="00723684" w:rsidRPr="00F66363" w:rsidRDefault="00AF39F1" w:rsidP="00723684">
            <w:pPr>
              <w:ind w:right="117"/>
              <w:jc w:val="right"/>
              <w:rPr>
                <w:rFonts w:eastAsia="宋体" w:cs="Times New Roman"/>
                <w:sz w:val="18"/>
                <w:szCs w:val="18"/>
              </w:rPr>
            </w:pPr>
            <w:r w:rsidRPr="00AF39F1">
              <w:rPr>
                <w:rFonts w:eastAsia="宋体" w:cs="Times New Roman"/>
                <w:sz w:val="18"/>
                <w:szCs w:val="18"/>
              </w:rPr>
              <w:t>8,917,394.06</w:t>
            </w:r>
          </w:p>
        </w:tc>
        <w:tc>
          <w:tcPr>
            <w:tcW w:w="1944" w:type="dxa"/>
            <w:vAlign w:val="center"/>
          </w:tcPr>
          <w:p w:rsidR="00723684" w:rsidRPr="00A71D2E" w:rsidRDefault="00723684" w:rsidP="0027505B">
            <w:pPr>
              <w:ind w:right="91"/>
              <w:jc w:val="right"/>
              <w:rPr>
                <w:rFonts w:eastAsia="宋体" w:cs="Times New Roman"/>
                <w:sz w:val="18"/>
                <w:szCs w:val="18"/>
              </w:rPr>
            </w:pPr>
            <w:r w:rsidRPr="00F66363">
              <w:rPr>
                <w:rFonts w:eastAsia="宋体" w:cs="Times New Roman"/>
                <w:sz w:val="18"/>
                <w:szCs w:val="18"/>
              </w:rPr>
              <w:t>3,604,709.46</w:t>
            </w:r>
          </w:p>
        </w:tc>
      </w:tr>
      <w:tr w:rsidR="00723684" w:rsidRPr="00A71D2E" w:rsidTr="0027505B">
        <w:trPr>
          <w:trHeight w:val="20"/>
        </w:trPr>
        <w:tc>
          <w:tcPr>
            <w:tcW w:w="5568" w:type="dxa"/>
            <w:shd w:val="clear" w:color="auto" w:fill="D9D9D9" w:themeFill="background1" w:themeFillShade="D9"/>
            <w:tcMar>
              <w:top w:w="0" w:type="dxa"/>
              <w:left w:w="108" w:type="dxa"/>
              <w:bottom w:w="0" w:type="dxa"/>
              <w:right w:w="108" w:type="dxa"/>
            </w:tcMar>
            <w:vAlign w:val="center"/>
            <w:hideMark/>
          </w:tcPr>
          <w:p w:rsidR="00723684" w:rsidRPr="00A71D2E" w:rsidRDefault="00723684" w:rsidP="00723684">
            <w:pPr>
              <w:rPr>
                <w:rFonts w:eastAsia="宋体" w:cs="Times New Roman"/>
                <w:sz w:val="18"/>
                <w:szCs w:val="18"/>
              </w:rPr>
            </w:pPr>
            <w:r w:rsidRPr="00A71D2E">
              <w:rPr>
                <w:rFonts w:eastAsia="宋体" w:cs="Times New Roman" w:hint="eastAsia"/>
                <w:bCs/>
                <w:sz w:val="18"/>
                <w:szCs w:val="18"/>
              </w:rPr>
              <w:t>合计</w:t>
            </w:r>
          </w:p>
        </w:tc>
        <w:tc>
          <w:tcPr>
            <w:tcW w:w="1944" w:type="dxa"/>
            <w:vAlign w:val="center"/>
          </w:tcPr>
          <w:p w:rsidR="00723684" w:rsidRPr="00F66363" w:rsidRDefault="00AF39F1" w:rsidP="00723684">
            <w:pPr>
              <w:ind w:right="117"/>
              <w:jc w:val="right"/>
              <w:rPr>
                <w:rFonts w:eastAsia="宋体" w:cs="Times New Roman"/>
                <w:sz w:val="18"/>
                <w:szCs w:val="18"/>
              </w:rPr>
            </w:pPr>
            <w:r w:rsidRPr="00AF39F1">
              <w:rPr>
                <w:rFonts w:eastAsia="宋体" w:cs="Times New Roman"/>
                <w:sz w:val="18"/>
                <w:szCs w:val="18"/>
              </w:rPr>
              <w:t>12,428,738.35</w:t>
            </w:r>
          </w:p>
        </w:tc>
        <w:tc>
          <w:tcPr>
            <w:tcW w:w="1944" w:type="dxa"/>
            <w:vAlign w:val="center"/>
          </w:tcPr>
          <w:p w:rsidR="00723684" w:rsidRPr="00A71D2E" w:rsidRDefault="00723684" w:rsidP="0027505B">
            <w:pPr>
              <w:ind w:right="91"/>
              <w:jc w:val="right"/>
              <w:rPr>
                <w:rFonts w:eastAsia="宋体" w:cs="Times New Roman"/>
                <w:sz w:val="18"/>
                <w:szCs w:val="18"/>
              </w:rPr>
            </w:pPr>
            <w:r w:rsidRPr="00F66363">
              <w:rPr>
                <w:rFonts w:eastAsia="宋体" w:cs="Times New Roman"/>
                <w:sz w:val="18"/>
                <w:szCs w:val="18"/>
              </w:rPr>
              <w:t>7,849,236.67</w:t>
            </w:r>
          </w:p>
        </w:tc>
      </w:tr>
    </w:tbl>
    <w:p w:rsidR="00F2225C" w:rsidRDefault="00F2225C">
      <w:pPr>
        <w:ind w:left="720"/>
        <w:rPr>
          <w:rFonts w:eastAsia="宋体" w:cs="Times New Roman"/>
          <w:szCs w:val="18"/>
        </w:rPr>
      </w:pPr>
    </w:p>
    <w:p w:rsidR="00F2225C" w:rsidRDefault="00F2225C">
      <w:pPr>
        <w:adjustRightInd/>
        <w:snapToGrid/>
        <w:rPr>
          <w:rFonts w:eastAsia="宋体" w:cs="Times New Roman"/>
          <w:szCs w:val="18"/>
        </w:rPr>
      </w:pPr>
      <w:r>
        <w:rPr>
          <w:rFonts w:eastAsia="宋体" w:cs="Times New Roman"/>
          <w:szCs w:val="18"/>
        </w:rPr>
        <w:br w:type="page"/>
      </w:r>
    </w:p>
    <w:p w:rsidR="00F2225C" w:rsidRPr="00F66363" w:rsidRDefault="005F14EE" w:rsidP="00F2225C">
      <w:pPr>
        <w:adjustRightInd/>
        <w:snapToGrid/>
        <w:rPr>
          <w:rFonts w:eastAsia="宋体" w:cs="Times New Roman"/>
          <w:szCs w:val="21"/>
        </w:rPr>
      </w:pPr>
      <w:r>
        <w:rPr>
          <w:rFonts w:eastAsia="宋体" w:cs="Times New Roman"/>
          <w:b/>
          <w:szCs w:val="21"/>
        </w:rPr>
        <w:t>(</w:t>
      </w:r>
      <w:r w:rsidR="00F2225C" w:rsidRPr="00F66363">
        <w:rPr>
          <w:rFonts w:eastAsia="宋体" w:cs="Times New Roman" w:hint="eastAsia"/>
          <w:b/>
          <w:szCs w:val="21"/>
        </w:rPr>
        <w:t>五</w:t>
      </w:r>
      <w:r>
        <w:rPr>
          <w:rFonts w:eastAsia="宋体" w:cs="Times New Roman"/>
          <w:b/>
          <w:szCs w:val="21"/>
        </w:rPr>
        <w:t>)</w:t>
      </w:r>
      <w:r w:rsidR="00F2225C" w:rsidRPr="00F66363">
        <w:rPr>
          <w:rFonts w:eastAsia="宋体" w:cs="Times New Roman"/>
          <w:b/>
          <w:szCs w:val="21"/>
        </w:rPr>
        <w:tab/>
      </w:r>
      <w:r w:rsidR="00F2225C" w:rsidRPr="00F66363">
        <w:rPr>
          <w:rFonts w:eastAsia="宋体" w:cs="Times New Roman" w:hint="eastAsia"/>
          <w:b/>
          <w:szCs w:val="21"/>
        </w:rPr>
        <w:t>合并财务报表项目注释</w:t>
      </w:r>
      <w:r w:rsidR="00F2225C" w:rsidRPr="00F66363">
        <w:rPr>
          <w:rFonts w:eastAsia="宋体" w:cs="Times New Roman"/>
          <w:bCs/>
          <w:szCs w:val="21"/>
        </w:rPr>
        <w:t xml:space="preserve"> </w:t>
      </w:r>
      <w:r w:rsidR="00F2225C" w:rsidRPr="00F66363">
        <w:rPr>
          <w:rFonts w:eastAsia="宋体" w:cs="Times New Roman"/>
          <w:szCs w:val="21"/>
        </w:rPr>
        <w:t xml:space="preserve">- </w:t>
      </w:r>
      <w:r w:rsidR="00F2225C" w:rsidRPr="00F66363">
        <w:rPr>
          <w:rFonts w:eastAsia="宋体" w:cs="Times New Roman" w:hint="eastAsia"/>
          <w:szCs w:val="21"/>
        </w:rPr>
        <w:t>续</w:t>
      </w:r>
    </w:p>
    <w:p w:rsidR="00EB68E7" w:rsidRPr="00F2225C" w:rsidRDefault="00EB68E7">
      <w:pPr>
        <w:ind w:left="720"/>
        <w:rPr>
          <w:rFonts w:eastAsia="宋体" w:cs="Times New Roman"/>
          <w:szCs w:val="18"/>
        </w:rPr>
      </w:pPr>
    </w:p>
    <w:p w:rsidR="00EB68E7" w:rsidRPr="00A71D2E" w:rsidRDefault="00EB68E7">
      <w:pPr>
        <w:pStyle w:val="2"/>
        <w:numPr>
          <w:ilvl w:val="2"/>
          <w:numId w:val="1"/>
        </w:numPr>
        <w:adjustRightInd w:val="0"/>
        <w:snapToGrid w:val="0"/>
        <w:ind w:left="1440" w:hanging="720"/>
        <w:contextualSpacing w:val="0"/>
        <w:rPr>
          <w:rFonts w:ascii="Times New Roman" w:eastAsia="宋体" w:hAnsi="Times New Roman" w:cs="Times New Roman"/>
          <w:szCs w:val="21"/>
        </w:rPr>
      </w:pPr>
      <w:r w:rsidRPr="00A71D2E">
        <w:rPr>
          <w:rFonts w:ascii="Times New Roman" w:eastAsia="宋体" w:hAnsi="Times New Roman" w:cs="Times New Roman" w:hint="eastAsia"/>
          <w:szCs w:val="21"/>
        </w:rPr>
        <w:t>递延收益</w:t>
      </w:r>
    </w:p>
    <w:p w:rsidR="00EB68E7" w:rsidRPr="00A71D2E" w:rsidRDefault="00EB68E7">
      <w:pPr>
        <w:ind w:left="731"/>
        <w:rPr>
          <w:rFonts w:eastAsia="宋体" w:cs="Times New Roman"/>
          <w:szCs w:val="21"/>
        </w:rPr>
      </w:pPr>
    </w:p>
    <w:p w:rsidR="00EB68E7" w:rsidRPr="00A71D2E" w:rsidRDefault="00253207">
      <w:pPr>
        <w:ind w:left="720"/>
        <w:rPr>
          <w:rFonts w:eastAsia="宋体" w:cs="Times New Roman"/>
          <w:szCs w:val="18"/>
        </w:rPr>
      </w:pPr>
      <w:r>
        <w:rPr>
          <w:rFonts w:eastAsia="宋体" w:cs="Times New Roman" w:hint="eastAsia"/>
          <w:szCs w:val="18"/>
        </w:rPr>
        <w:t>递延收益情况</w:t>
      </w:r>
    </w:p>
    <w:p w:rsidR="00EB68E7" w:rsidRPr="00A71D2E" w:rsidRDefault="00EB68E7">
      <w:pPr>
        <w:jc w:val="right"/>
        <w:rPr>
          <w:rFonts w:eastAsia="宋体" w:cs="Times New Roman"/>
        </w:rPr>
      </w:pPr>
      <w:r w:rsidRPr="00A71D2E">
        <w:rPr>
          <w:rFonts w:eastAsia="宋体" w:cs="Times New Roman" w:hint="eastAsia"/>
        </w:rPr>
        <w:t>单位</w:t>
      </w:r>
      <w:r w:rsidR="005F14EE">
        <w:rPr>
          <w:rFonts w:eastAsia="宋体" w:cs="Times New Roman" w:hint="eastAsia"/>
        </w:rPr>
        <w:t>：</w:t>
      </w:r>
      <w:r w:rsidRPr="00A71D2E">
        <w:rPr>
          <w:rFonts w:eastAsia="宋体"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2790"/>
        <w:gridCol w:w="1665"/>
        <w:gridCol w:w="1665"/>
        <w:gridCol w:w="1665"/>
        <w:gridCol w:w="1665"/>
      </w:tblGrid>
      <w:tr w:rsidR="000B3D2A" w:rsidRPr="00A71D2E" w:rsidTr="0027505B">
        <w:trPr>
          <w:trHeight w:val="20"/>
        </w:trPr>
        <w:tc>
          <w:tcPr>
            <w:tcW w:w="2790" w:type="dxa"/>
            <w:shd w:val="clear" w:color="auto" w:fill="D9D9D9"/>
            <w:vAlign w:val="center"/>
            <w:hideMark/>
          </w:tcPr>
          <w:p w:rsidR="000B3D2A" w:rsidRPr="00A71D2E" w:rsidRDefault="000B3D2A" w:rsidP="0027505B">
            <w:pPr>
              <w:ind w:left="60"/>
              <w:jc w:val="center"/>
              <w:rPr>
                <w:rFonts w:eastAsia="宋体" w:cs="Times New Roman"/>
                <w:sz w:val="18"/>
                <w:szCs w:val="18"/>
              </w:rPr>
            </w:pPr>
            <w:r w:rsidRPr="00A71D2E">
              <w:rPr>
                <w:rFonts w:eastAsia="宋体" w:cs="Times New Roman" w:hint="eastAsia"/>
                <w:sz w:val="18"/>
                <w:szCs w:val="18"/>
              </w:rPr>
              <w:t>项目</w:t>
            </w:r>
          </w:p>
        </w:tc>
        <w:tc>
          <w:tcPr>
            <w:tcW w:w="1665" w:type="dxa"/>
            <w:shd w:val="clear" w:color="auto" w:fill="D9D9D9"/>
            <w:vAlign w:val="center"/>
          </w:tcPr>
          <w:p w:rsidR="000B3D2A" w:rsidRPr="00A71D2E" w:rsidRDefault="000B3D2A">
            <w:pPr>
              <w:jc w:val="center"/>
              <w:rPr>
                <w:rFonts w:eastAsia="宋体" w:cs="Times New Roman"/>
                <w:sz w:val="18"/>
                <w:szCs w:val="18"/>
              </w:rPr>
            </w:pPr>
            <w:r w:rsidRPr="00A71D2E">
              <w:rPr>
                <w:rFonts w:eastAsia="宋体" w:cs="Times New Roman" w:hint="eastAsia"/>
                <w:sz w:val="18"/>
                <w:szCs w:val="18"/>
              </w:rPr>
              <w:t>年初余额</w:t>
            </w:r>
          </w:p>
        </w:tc>
        <w:tc>
          <w:tcPr>
            <w:tcW w:w="1665" w:type="dxa"/>
            <w:shd w:val="clear" w:color="auto" w:fill="D9D9D9"/>
            <w:vAlign w:val="center"/>
          </w:tcPr>
          <w:p w:rsidR="000B3D2A" w:rsidRPr="00A71D2E" w:rsidRDefault="000B3D2A">
            <w:pPr>
              <w:jc w:val="center"/>
              <w:rPr>
                <w:rFonts w:eastAsia="宋体" w:cs="Times New Roman"/>
                <w:sz w:val="18"/>
                <w:szCs w:val="18"/>
              </w:rPr>
            </w:pPr>
            <w:r w:rsidRPr="00A71D2E">
              <w:rPr>
                <w:rFonts w:eastAsia="宋体" w:cs="Times New Roman" w:hint="eastAsia"/>
                <w:sz w:val="18"/>
                <w:szCs w:val="18"/>
              </w:rPr>
              <w:t>本年新增</w:t>
            </w:r>
          </w:p>
          <w:p w:rsidR="000B3D2A" w:rsidRPr="00A71D2E" w:rsidRDefault="000B3D2A">
            <w:pPr>
              <w:jc w:val="center"/>
              <w:rPr>
                <w:rFonts w:eastAsia="宋体" w:cs="Times New Roman"/>
                <w:sz w:val="18"/>
                <w:szCs w:val="18"/>
              </w:rPr>
            </w:pPr>
            <w:r w:rsidRPr="00A71D2E">
              <w:rPr>
                <w:rFonts w:eastAsia="宋体" w:cs="Times New Roman" w:hint="eastAsia"/>
                <w:sz w:val="18"/>
                <w:szCs w:val="18"/>
              </w:rPr>
              <w:t>补助金额</w:t>
            </w:r>
          </w:p>
        </w:tc>
        <w:tc>
          <w:tcPr>
            <w:tcW w:w="1665" w:type="dxa"/>
            <w:shd w:val="clear" w:color="auto" w:fill="D9D9D9"/>
            <w:vAlign w:val="center"/>
          </w:tcPr>
          <w:p w:rsidR="000B3D2A" w:rsidRPr="00A71D2E" w:rsidRDefault="000B3D2A">
            <w:pPr>
              <w:jc w:val="center"/>
              <w:rPr>
                <w:rFonts w:eastAsia="宋体" w:cs="Times New Roman"/>
                <w:sz w:val="18"/>
                <w:szCs w:val="18"/>
              </w:rPr>
            </w:pPr>
            <w:r w:rsidRPr="00A71D2E">
              <w:rPr>
                <w:rFonts w:eastAsia="宋体" w:cs="Times New Roman" w:hint="eastAsia"/>
                <w:sz w:val="18"/>
                <w:szCs w:val="18"/>
              </w:rPr>
              <w:t>本年计入其他</w:t>
            </w:r>
          </w:p>
          <w:p w:rsidR="000B3D2A" w:rsidRPr="00A71D2E" w:rsidRDefault="000B3D2A">
            <w:pPr>
              <w:jc w:val="center"/>
              <w:rPr>
                <w:rFonts w:eastAsia="宋体" w:cs="Times New Roman"/>
                <w:sz w:val="18"/>
                <w:szCs w:val="18"/>
              </w:rPr>
            </w:pPr>
            <w:r w:rsidRPr="00A71D2E">
              <w:rPr>
                <w:rFonts w:eastAsia="宋体" w:cs="Times New Roman" w:hint="eastAsia"/>
                <w:sz w:val="18"/>
                <w:szCs w:val="18"/>
              </w:rPr>
              <w:t>收益金额</w:t>
            </w:r>
          </w:p>
        </w:tc>
        <w:tc>
          <w:tcPr>
            <w:tcW w:w="1665" w:type="dxa"/>
            <w:shd w:val="clear" w:color="auto" w:fill="D9D9D9"/>
            <w:vAlign w:val="center"/>
          </w:tcPr>
          <w:p w:rsidR="000B3D2A" w:rsidRPr="00A71D2E" w:rsidRDefault="000B3D2A">
            <w:pPr>
              <w:jc w:val="center"/>
              <w:rPr>
                <w:rFonts w:eastAsia="宋体" w:cs="Times New Roman"/>
                <w:sz w:val="18"/>
                <w:szCs w:val="18"/>
              </w:rPr>
            </w:pPr>
            <w:r w:rsidRPr="00A71D2E">
              <w:rPr>
                <w:rFonts w:eastAsia="宋体" w:cs="Times New Roman" w:hint="eastAsia"/>
                <w:sz w:val="18"/>
                <w:szCs w:val="18"/>
              </w:rPr>
              <w:t>年末余额</w:t>
            </w:r>
          </w:p>
        </w:tc>
      </w:tr>
      <w:tr w:rsidR="000B3D2A" w:rsidRPr="00A71D2E" w:rsidTr="0027505B">
        <w:trPr>
          <w:trHeight w:val="20"/>
        </w:trPr>
        <w:tc>
          <w:tcPr>
            <w:tcW w:w="2790" w:type="dxa"/>
            <w:shd w:val="clear" w:color="auto" w:fill="auto"/>
            <w:vAlign w:val="center"/>
          </w:tcPr>
          <w:p w:rsidR="000B3D2A" w:rsidRPr="00A71D2E" w:rsidRDefault="000B3D2A" w:rsidP="0027505B">
            <w:pPr>
              <w:ind w:left="60"/>
              <w:rPr>
                <w:rFonts w:eastAsia="宋体" w:cs="Times New Roman"/>
                <w:sz w:val="18"/>
                <w:szCs w:val="18"/>
              </w:rPr>
            </w:pPr>
            <w:r>
              <w:rPr>
                <w:rFonts w:eastAsia="宋体" w:cs="Times New Roman" w:hint="eastAsia"/>
                <w:sz w:val="18"/>
                <w:szCs w:val="18"/>
              </w:rPr>
              <w:t>政府补助</w:t>
            </w:r>
          </w:p>
        </w:tc>
        <w:tc>
          <w:tcPr>
            <w:tcW w:w="1665" w:type="dxa"/>
            <w:vAlign w:val="center"/>
          </w:tcPr>
          <w:p w:rsidR="000B3D2A" w:rsidRPr="00A71D2E" w:rsidRDefault="000B3D2A" w:rsidP="000B3D2A">
            <w:pPr>
              <w:ind w:right="63"/>
              <w:jc w:val="right"/>
              <w:rPr>
                <w:rFonts w:eastAsia="宋体" w:cs="Times New Roman"/>
                <w:sz w:val="18"/>
                <w:szCs w:val="18"/>
              </w:rPr>
            </w:pPr>
            <w:r w:rsidRPr="00A71D2E">
              <w:rPr>
                <w:rFonts w:eastAsia="宋体" w:cs="Times New Roman"/>
                <w:sz w:val="18"/>
                <w:szCs w:val="18"/>
              </w:rPr>
              <w:t>169,348,274.05</w:t>
            </w:r>
          </w:p>
        </w:tc>
        <w:tc>
          <w:tcPr>
            <w:tcW w:w="1665" w:type="dxa"/>
            <w:vAlign w:val="center"/>
          </w:tcPr>
          <w:p w:rsidR="000B3D2A" w:rsidRPr="00A71D2E" w:rsidRDefault="000B3D2A" w:rsidP="000B3D2A">
            <w:pPr>
              <w:wordWrap w:val="0"/>
              <w:ind w:right="63"/>
              <w:jc w:val="right"/>
              <w:rPr>
                <w:rFonts w:eastAsia="宋体" w:cs="Times New Roman"/>
                <w:sz w:val="18"/>
                <w:szCs w:val="18"/>
              </w:rPr>
            </w:pPr>
            <w:r w:rsidRPr="00C00FF5">
              <w:rPr>
                <w:rFonts w:eastAsia="宋体" w:cs="Times New Roman"/>
                <w:sz w:val="18"/>
                <w:szCs w:val="18"/>
              </w:rPr>
              <w:t>18,730,000.00</w:t>
            </w:r>
          </w:p>
        </w:tc>
        <w:tc>
          <w:tcPr>
            <w:tcW w:w="1665" w:type="dxa"/>
            <w:vAlign w:val="center"/>
          </w:tcPr>
          <w:p w:rsidR="000B3D2A" w:rsidRPr="00A71D2E" w:rsidRDefault="000B3D2A" w:rsidP="000B3D2A">
            <w:pPr>
              <w:ind w:right="63"/>
              <w:jc w:val="right"/>
              <w:rPr>
                <w:rFonts w:eastAsia="宋体" w:cs="Times New Roman"/>
                <w:sz w:val="18"/>
                <w:szCs w:val="18"/>
              </w:rPr>
            </w:pPr>
            <w:r w:rsidRPr="00C00FF5">
              <w:rPr>
                <w:rFonts w:eastAsia="宋体" w:cs="Times New Roman"/>
                <w:sz w:val="18"/>
                <w:szCs w:val="18"/>
              </w:rPr>
              <w:t>3,800,079.85</w:t>
            </w:r>
          </w:p>
        </w:tc>
        <w:tc>
          <w:tcPr>
            <w:tcW w:w="1665" w:type="dxa"/>
            <w:vAlign w:val="center"/>
          </w:tcPr>
          <w:p w:rsidR="000B3D2A" w:rsidRPr="00A71D2E" w:rsidRDefault="000B3D2A" w:rsidP="000B3D2A">
            <w:pPr>
              <w:ind w:right="63"/>
              <w:jc w:val="right"/>
              <w:rPr>
                <w:rFonts w:eastAsia="宋体" w:cs="Times New Roman"/>
                <w:sz w:val="18"/>
                <w:szCs w:val="18"/>
              </w:rPr>
            </w:pPr>
            <w:r w:rsidRPr="00C00FF5">
              <w:rPr>
                <w:rFonts w:eastAsia="宋体" w:cs="Times New Roman"/>
                <w:sz w:val="18"/>
                <w:szCs w:val="18"/>
              </w:rPr>
              <w:t>184,278,194.20</w:t>
            </w:r>
          </w:p>
        </w:tc>
      </w:tr>
      <w:tr w:rsidR="000B3D2A" w:rsidRPr="00A71D2E" w:rsidTr="0027505B">
        <w:trPr>
          <w:trHeight w:val="20"/>
        </w:trPr>
        <w:tc>
          <w:tcPr>
            <w:tcW w:w="2790" w:type="dxa"/>
            <w:shd w:val="clear" w:color="auto" w:fill="D9D9D9"/>
            <w:vAlign w:val="center"/>
          </w:tcPr>
          <w:p w:rsidR="000B3D2A" w:rsidRPr="00A71D2E" w:rsidRDefault="000B3D2A" w:rsidP="0027505B">
            <w:pPr>
              <w:ind w:left="60"/>
              <w:rPr>
                <w:rFonts w:eastAsia="宋体" w:cs="Times New Roman"/>
                <w:sz w:val="18"/>
                <w:szCs w:val="18"/>
              </w:rPr>
            </w:pPr>
            <w:r w:rsidRPr="00A71D2E">
              <w:rPr>
                <w:rFonts w:eastAsia="宋体" w:cs="Times New Roman" w:hint="eastAsia"/>
                <w:sz w:val="18"/>
                <w:szCs w:val="18"/>
              </w:rPr>
              <w:t>合计</w:t>
            </w:r>
          </w:p>
        </w:tc>
        <w:tc>
          <w:tcPr>
            <w:tcW w:w="1665" w:type="dxa"/>
            <w:vAlign w:val="center"/>
          </w:tcPr>
          <w:p w:rsidR="000B3D2A" w:rsidRPr="00A71D2E" w:rsidRDefault="000B3D2A" w:rsidP="00B51CD7">
            <w:pPr>
              <w:ind w:right="63"/>
              <w:jc w:val="right"/>
              <w:rPr>
                <w:rFonts w:eastAsia="宋体" w:cs="Times New Roman"/>
                <w:sz w:val="18"/>
                <w:szCs w:val="18"/>
              </w:rPr>
            </w:pPr>
            <w:r w:rsidRPr="00A71D2E">
              <w:rPr>
                <w:rFonts w:eastAsia="宋体" w:cs="Times New Roman"/>
                <w:sz w:val="18"/>
                <w:szCs w:val="18"/>
              </w:rPr>
              <w:t>169,348,274.05</w:t>
            </w:r>
          </w:p>
        </w:tc>
        <w:tc>
          <w:tcPr>
            <w:tcW w:w="1665" w:type="dxa"/>
            <w:vAlign w:val="center"/>
          </w:tcPr>
          <w:p w:rsidR="000B3D2A" w:rsidRPr="00A71D2E" w:rsidRDefault="000B3D2A" w:rsidP="00B51CD7">
            <w:pPr>
              <w:ind w:right="63"/>
              <w:jc w:val="right"/>
              <w:rPr>
                <w:rFonts w:eastAsia="宋体" w:cs="Times New Roman"/>
                <w:sz w:val="18"/>
                <w:szCs w:val="18"/>
              </w:rPr>
            </w:pPr>
            <w:r w:rsidRPr="00C00FF5">
              <w:rPr>
                <w:rFonts w:eastAsia="宋体" w:cs="Times New Roman"/>
                <w:sz w:val="18"/>
                <w:szCs w:val="18"/>
              </w:rPr>
              <w:t>18,730,000.00</w:t>
            </w:r>
          </w:p>
        </w:tc>
        <w:tc>
          <w:tcPr>
            <w:tcW w:w="1665" w:type="dxa"/>
            <w:vAlign w:val="center"/>
          </w:tcPr>
          <w:p w:rsidR="000B3D2A" w:rsidRPr="00A71D2E" w:rsidRDefault="000B3D2A" w:rsidP="00B51CD7">
            <w:pPr>
              <w:ind w:right="63"/>
              <w:jc w:val="right"/>
              <w:rPr>
                <w:rFonts w:eastAsia="宋体" w:cs="Times New Roman"/>
                <w:sz w:val="18"/>
                <w:szCs w:val="18"/>
              </w:rPr>
            </w:pPr>
            <w:r w:rsidRPr="00C00FF5">
              <w:rPr>
                <w:rFonts w:eastAsia="宋体" w:cs="Times New Roman"/>
                <w:sz w:val="18"/>
                <w:szCs w:val="18"/>
              </w:rPr>
              <w:t>3,800,079.85</w:t>
            </w:r>
          </w:p>
        </w:tc>
        <w:tc>
          <w:tcPr>
            <w:tcW w:w="1665" w:type="dxa"/>
            <w:vAlign w:val="center"/>
          </w:tcPr>
          <w:p w:rsidR="000B3D2A" w:rsidRPr="00A71D2E" w:rsidRDefault="000B3D2A" w:rsidP="00B51CD7">
            <w:pPr>
              <w:ind w:right="63"/>
              <w:jc w:val="right"/>
              <w:rPr>
                <w:rFonts w:eastAsia="宋体" w:cs="Times New Roman"/>
                <w:sz w:val="18"/>
                <w:szCs w:val="18"/>
              </w:rPr>
            </w:pPr>
            <w:r w:rsidRPr="00C00FF5">
              <w:rPr>
                <w:rFonts w:eastAsia="宋体" w:cs="Times New Roman"/>
                <w:sz w:val="18"/>
                <w:szCs w:val="18"/>
              </w:rPr>
              <w:t>184,278,194.20</w:t>
            </w:r>
          </w:p>
        </w:tc>
      </w:tr>
    </w:tbl>
    <w:p w:rsidR="00203F4D" w:rsidRPr="00203F4D" w:rsidRDefault="00203F4D" w:rsidP="00F66363">
      <w:pPr>
        <w:ind w:left="720"/>
        <w:jc w:val="both"/>
        <w:rPr>
          <w:rFonts w:eastAsia="宋体" w:cs="Times New Roman"/>
          <w:szCs w:val="21"/>
        </w:rPr>
      </w:pPr>
    </w:p>
    <w:p w:rsidR="00EB68E7" w:rsidRPr="00A71D2E" w:rsidRDefault="00EB68E7" w:rsidP="00F66363">
      <w:pPr>
        <w:pStyle w:val="2"/>
        <w:numPr>
          <w:ilvl w:val="2"/>
          <w:numId w:val="1"/>
        </w:numPr>
        <w:adjustRightInd w:val="0"/>
        <w:snapToGrid w:val="0"/>
        <w:ind w:left="1440" w:hanging="720"/>
        <w:contextualSpacing w:val="0"/>
        <w:rPr>
          <w:rFonts w:ascii="Times New Roman" w:eastAsia="宋体" w:hAnsi="Times New Roman" w:cs="Times New Roman"/>
          <w:szCs w:val="21"/>
        </w:rPr>
      </w:pPr>
      <w:r w:rsidRPr="00A71D2E">
        <w:rPr>
          <w:rFonts w:ascii="Times New Roman" w:eastAsia="宋体" w:hAnsi="Times New Roman" w:cs="Times New Roman" w:hint="eastAsia"/>
          <w:szCs w:val="21"/>
        </w:rPr>
        <w:t>其他非流动负债</w:t>
      </w:r>
    </w:p>
    <w:p w:rsidR="002D063F" w:rsidRPr="00F66363" w:rsidRDefault="002D063F" w:rsidP="002D063F">
      <w:pPr>
        <w:jc w:val="right"/>
        <w:rPr>
          <w:rFonts w:eastAsia="宋体" w:cs="Times New Roman"/>
        </w:rPr>
      </w:pPr>
      <w:r w:rsidRPr="003306B2">
        <w:rPr>
          <w:rFonts w:eastAsia="宋体" w:cs="Times New Roman" w:hint="eastAsia"/>
        </w:rPr>
        <w:t>单位</w:t>
      </w:r>
      <w:r w:rsidR="005F14EE">
        <w:rPr>
          <w:rFonts w:eastAsia="宋体" w:cs="Times New Roman" w:hint="eastAsia"/>
        </w:rPr>
        <w:t>：</w:t>
      </w:r>
      <w:r w:rsidRPr="003306B2">
        <w:rPr>
          <w:rFonts w:eastAsia="宋体" w:cs="Times New Roman" w:hint="eastAsia"/>
        </w:rPr>
        <w:t>人民币元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15"/>
        <w:gridCol w:w="1664"/>
        <w:gridCol w:w="1665"/>
      </w:tblGrid>
      <w:tr w:rsidR="002431DC" w:rsidRPr="00A71D2E" w:rsidTr="0027505B">
        <w:trPr>
          <w:trHeight w:val="20"/>
        </w:trPr>
        <w:tc>
          <w:tcPr>
            <w:tcW w:w="6115" w:type="dxa"/>
            <w:shd w:val="clear" w:color="auto" w:fill="D9D9D9" w:themeFill="background1" w:themeFillShade="D9"/>
            <w:tcMar>
              <w:top w:w="0" w:type="dxa"/>
              <w:left w:w="108" w:type="dxa"/>
              <w:bottom w:w="0" w:type="dxa"/>
              <w:right w:w="108" w:type="dxa"/>
            </w:tcMar>
            <w:vAlign w:val="center"/>
            <w:hideMark/>
          </w:tcPr>
          <w:p w:rsidR="002431DC" w:rsidRPr="00A71D2E" w:rsidRDefault="002431DC" w:rsidP="00F66363">
            <w:pPr>
              <w:jc w:val="center"/>
              <w:rPr>
                <w:rFonts w:eastAsia="宋体" w:cs="Times New Roman"/>
                <w:sz w:val="18"/>
                <w:szCs w:val="18"/>
              </w:rPr>
            </w:pPr>
          </w:p>
        </w:tc>
        <w:tc>
          <w:tcPr>
            <w:tcW w:w="1664" w:type="dxa"/>
            <w:shd w:val="clear" w:color="auto" w:fill="D9D9D9" w:themeFill="background1" w:themeFillShade="D9"/>
            <w:vAlign w:val="center"/>
          </w:tcPr>
          <w:p w:rsidR="002431DC" w:rsidRPr="00A71D2E" w:rsidRDefault="002431DC" w:rsidP="00F66363">
            <w:pPr>
              <w:jc w:val="center"/>
              <w:rPr>
                <w:rFonts w:eastAsia="宋体" w:cs="Times New Roman"/>
                <w:sz w:val="18"/>
                <w:szCs w:val="18"/>
              </w:rPr>
            </w:pPr>
            <w:r w:rsidRPr="00A71D2E">
              <w:rPr>
                <w:rFonts w:eastAsia="宋体" w:cs="Times New Roman" w:hint="eastAsia"/>
                <w:sz w:val="18"/>
                <w:szCs w:val="18"/>
              </w:rPr>
              <w:t>年末余额</w:t>
            </w:r>
          </w:p>
        </w:tc>
        <w:tc>
          <w:tcPr>
            <w:tcW w:w="1665" w:type="dxa"/>
            <w:shd w:val="clear" w:color="auto" w:fill="D9D9D9" w:themeFill="background1" w:themeFillShade="D9"/>
            <w:vAlign w:val="center"/>
          </w:tcPr>
          <w:p w:rsidR="002431DC" w:rsidRPr="00A71D2E" w:rsidRDefault="002431DC" w:rsidP="00F66363">
            <w:pPr>
              <w:jc w:val="center"/>
              <w:rPr>
                <w:rFonts w:eastAsia="宋体" w:cs="Times New Roman"/>
                <w:sz w:val="18"/>
                <w:szCs w:val="18"/>
              </w:rPr>
            </w:pPr>
            <w:r w:rsidRPr="00A71D2E">
              <w:rPr>
                <w:rFonts w:eastAsia="宋体" w:cs="Times New Roman" w:hint="eastAsia"/>
                <w:sz w:val="18"/>
                <w:szCs w:val="18"/>
              </w:rPr>
              <w:t>年初余额</w:t>
            </w:r>
          </w:p>
        </w:tc>
      </w:tr>
      <w:tr w:rsidR="00BF59FF" w:rsidRPr="00A71D2E" w:rsidTr="0027505B">
        <w:trPr>
          <w:trHeight w:val="20"/>
        </w:trPr>
        <w:tc>
          <w:tcPr>
            <w:tcW w:w="6115" w:type="dxa"/>
            <w:shd w:val="clear" w:color="auto" w:fill="FFFFFF" w:themeFill="background1"/>
            <w:tcMar>
              <w:top w:w="0" w:type="dxa"/>
              <w:left w:w="108" w:type="dxa"/>
              <w:bottom w:w="0" w:type="dxa"/>
              <w:right w:w="108" w:type="dxa"/>
            </w:tcMar>
            <w:vAlign w:val="center"/>
          </w:tcPr>
          <w:p w:rsidR="00BF59FF" w:rsidRPr="00A71D2E" w:rsidRDefault="00BF59FF" w:rsidP="00BF59FF">
            <w:pPr>
              <w:rPr>
                <w:rFonts w:eastAsia="宋体" w:cs="Times New Roman"/>
                <w:sz w:val="18"/>
                <w:szCs w:val="18"/>
              </w:rPr>
            </w:pPr>
            <w:r w:rsidRPr="00A71D2E">
              <w:rPr>
                <w:rFonts w:eastAsia="宋体" w:cs="Times New Roman" w:hint="eastAsia"/>
                <w:sz w:val="18"/>
                <w:szCs w:val="18"/>
              </w:rPr>
              <w:t>云增值及开放平台服务</w:t>
            </w:r>
            <w:r w:rsidR="005F14EE">
              <w:rPr>
                <w:rFonts w:eastAsia="宋体" w:cs="Times New Roman"/>
                <w:sz w:val="18"/>
                <w:szCs w:val="18"/>
              </w:rPr>
              <w:t>(</w:t>
            </w:r>
            <w:r w:rsidRPr="00A71D2E">
              <w:rPr>
                <w:rFonts w:eastAsia="宋体" w:cs="Times New Roman" w:hint="eastAsia"/>
                <w:sz w:val="18"/>
                <w:szCs w:val="18"/>
              </w:rPr>
              <w:t>附注</w:t>
            </w:r>
            <w:r w:rsidR="005F14EE">
              <w:rPr>
                <w:rFonts w:eastAsia="宋体" w:cs="Times New Roman"/>
                <w:sz w:val="18"/>
                <w:szCs w:val="18"/>
              </w:rPr>
              <w:t>(</w:t>
            </w:r>
            <w:r w:rsidRPr="00A71D2E">
              <w:rPr>
                <w:rFonts w:eastAsia="宋体" w:cs="Times New Roman" w:hint="eastAsia"/>
                <w:sz w:val="18"/>
                <w:szCs w:val="18"/>
              </w:rPr>
              <w:t>五</w:t>
            </w:r>
            <w:r w:rsidR="005F14EE">
              <w:rPr>
                <w:rFonts w:eastAsia="宋体" w:cs="Times New Roman"/>
                <w:sz w:val="18"/>
                <w:szCs w:val="18"/>
              </w:rPr>
              <w:t>)</w:t>
            </w:r>
            <w:r w:rsidRPr="00A71D2E">
              <w:rPr>
                <w:rFonts w:eastAsia="宋体" w:cs="Times New Roman" w:hint="eastAsia"/>
                <w:sz w:val="18"/>
                <w:szCs w:val="18"/>
              </w:rPr>
              <w:t>、</w:t>
            </w:r>
            <w:r w:rsidRPr="00A71D2E">
              <w:rPr>
                <w:rFonts w:eastAsia="宋体" w:cs="Times New Roman"/>
                <w:sz w:val="18"/>
                <w:szCs w:val="18"/>
              </w:rPr>
              <w:t>2</w:t>
            </w:r>
            <w:r w:rsidR="00604917">
              <w:rPr>
                <w:rFonts w:eastAsia="宋体" w:cs="Times New Roman"/>
                <w:sz w:val="18"/>
                <w:szCs w:val="18"/>
              </w:rPr>
              <w:t>2</w:t>
            </w:r>
            <w:r w:rsidR="005F14EE">
              <w:rPr>
                <w:rFonts w:eastAsia="宋体" w:cs="Times New Roman"/>
                <w:sz w:val="18"/>
                <w:szCs w:val="18"/>
              </w:rPr>
              <w:t>)</w:t>
            </w:r>
          </w:p>
        </w:tc>
        <w:tc>
          <w:tcPr>
            <w:tcW w:w="1664" w:type="dxa"/>
            <w:vAlign w:val="center"/>
          </w:tcPr>
          <w:p w:rsidR="00BF59FF" w:rsidRPr="00A71D2E" w:rsidRDefault="00AF39F1" w:rsidP="00BF59FF">
            <w:pPr>
              <w:ind w:right="87"/>
              <w:jc w:val="right"/>
              <w:rPr>
                <w:rFonts w:eastAsia="宋体" w:cs="Times New Roman"/>
                <w:sz w:val="18"/>
                <w:szCs w:val="18"/>
              </w:rPr>
            </w:pPr>
            <w:r w:rsidRPr="00AF39F1">
              <w:rPr>
                <w:rFonts w:eastAsia="宋体" w:cs="Times New Roman"/>
                <w:sz w:val="18"/>
                <w:szCs w:val="18"/>
              </w:rPr>
              <w:t>30,140,767.27</w:t>
            </w:r>
          </w:p>
        </w:tc>
        <w:tc>
          <w:tcPr>
            <w:tcW w:w="1665" w:type="dxa"/>
            <w:vAlign w:val="center"/>
          </w:tcPr>
          <w:p w:rsidR="00BF59FF" w:rsidRPr="00A71D2E" w:rsidRDefault="00BF59FF" w:rsidP="00BF59FF">
            <w:pPr>
              <w:ind w:right="87"/>
              <w:jc w:val="right"/>
              <w:rPr>
                <w:rFonts w:eastAsia="宋体" w:cs="Times New Roman"/>
                <w:sz w:val="18"/>
                <w:szCs w:val="18"/>
              </w:rPr>
            </w:pPr>
            <w:r w:rsidRPr="00A71D2E">
              <w:rPr>
                <w:rFonts w:eastAsia="宋体" w:cs="Times New Roman"/>
                <w:sz w:val="18"/>
                <w:szCs w:val="18"/>
              </w:rPr>
              <w:t>24,939,037.54</w:t>
            </w:r>
          </w:p>
        </w:tc>
      </w:tr>
      <w:tr w:rsidR="00BF59FF" w:rsidRPr="00A71D2E" w:rsidTr="0027505B">
        <w:trPr>
          <w:trHeight w:val="20"/>
        </w:trPr>
        <w:tc>
          <w:tcPr>
            <w:tcW w:w="6115" w:type="dxa"/>
            <w:shd w:val="clear" w:color="auto" w:fill="D9D9D9" w:themeFill="background1" w:themeFillShade="D9"/>
            <w:tcMar>
              <w:top w:w="0" w:type="dxa"/>
              <w:left w:w="108" w:type="dxa"/>
              <w:bottom w:w="0" w:type="dxa"/>
              <w:right w:w="108" w:type="dxa"/>
            </w:tcMar>
            <w:vAlign w:val="center"/>
          </w:tcPr>
          <w:p w:rsidR="00BF59FF" w:rsidRPr="00A71D2E" w:rsidRDefault="00BF59FF" w:rsidP="00BF59FF">
            <w:pPr>
              <w:rPr>
                <w:rFonts w:eastAsia="宋体" w:cs="Times New Roman"/>
                <w:sz w:val="18"/>
                <w:szCs w:val="18"/>
              </w:rPr>
            </w:pPr>
            <w:r w:rsidRPr="00A71D2E">
              <w:rPr>
                <w:rFonts w:eastAsia="宋体" w:cs="Times New Roman" w:hint="eastAsia"/>
                <w:sz w:val="18"/>
                <w:szCs w:val="18"/>
              </w:rPr>
              <w:t>合计</w:t>
            </w:r>
          </w:p>
        </w:tc>
        <w:tc>
          <w:tcPr>
            <w:tcW w:w="1664" w:type="dxa"/>
            <w:vAlign w:val="center"/>
          </w:tcPr>
          <w:p w:rsidR="00BF59FF" w:rsidRPr="00A71D2E" w:rsidRDefault="00AF39F1" w:rsidP="00BF59FF">
            <w:pPr>
              <w:ind w:right="87"/>
              <w:jc w:val="right"/>
              <w:rPr>
                <w:rFonts w:eastAsia="宋体" w:cs="Times New Roman"/>
                <w:sz w:val="18"/>
                <w:szCs w:val="18"/>
              </w:rPr>
            </w:pPr>
            <w:r w:rsidRPr="00AF39F1">
              <w:rPr>
                <w:rFonts w:eastAsia="宋体" w:cs="Times New Roman"/>
                <w:sz w:val="18"/>
                <w:szCs w:val="18"/>
              </w:rPr>
              <w:t>30,140,767.27</w:t>
            </w:r>
          </w:p>
        </w:tc>
        <w:tc>
          <w:tcPr>
            <w:tcW w:w="1665" w:type="dxa"/>
            <w:vAlign w:val="center"/>
          </w:tcPr>
          <w:p w:rsidR="00BF59FF" w:rsidRPr="00A71D2E" w:rsidRDefault="00BF59FF" w:rsidP="00BF59FF">
            <w:pPr>
              <w:ind w:right="87"/>
              <w:jc w:val="right"/>
              <w:rPr>
                <w:rFonts w:eastAsia="宋体" w:cs="Times New Roman"/>
                <w:sz w:val="18"/>
                <w:szCs w:val="18"/>
              </w:rPr>
            </w:pPr>
            <w:r w:rsidRPr="00A71D2E">
              <w:rPr>
                <w:rFonts w:eastAsia="宋体" w:cs="Times New Roman"/>
                <w:sz w:val="18"/>
                <w:szCs w:val="18"/>
              </w:rPr>
              <w:t>24,939,037.54</w:t>
            </w:r>
          </w:p>
        </w:tc>
      </w:tr>
    </w:tbl>
    <w:p w:rsidR="00EB68E7" w:rsidRPr="00A71D2E" w:rsidRDefault="00EB68E7" w:rsidP="00F66363">
      <w:pPr>
        <w:ind w:left="720"/>
        <w:rPr>
          <w:rFonts w:eastAsia="宋体" w:cs="Times New Roman"/>
          <w:szCs w:val="18"/>
        </w:rPr>
      </w:pPr>
    </w:p>
    <w:p w:rsidR="00EB68E7" w:rsidRPr="00A71D2E" w:rsidRDefault="00EB68E7" w:rsidP="00F66363">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股本</w:t>
      </w:r>
    </w:p>
    <w:p w:rsidR="00EB68E7" w:rsidRPr="00A71D2E" w:rsidRDefault="00EB68E7" w:rsidP="00F66363">
      <w:pPr>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6126"/>
        <w:gridCol w:w="1665"/>
        <w:gridCol w:w="1665"/>
      </w:tblGrid>
      <w:tr w:rsidR="00AC4B5F" w:rsidRPr="00A71D2E" w:rsidTr="0027505B">
        <w:trPr>
          <w:cantSplit/>
          <w:trHeight w:val="20"/>
        </w:trPr>
        <w:tc>
          <w:tcPr>
            <w:tcW w:w="6126" w:type="dxa"/>
            <w:shd w:val="clear" w:color="auto" w:fill="D9D9D9" w:themeFill="background1" w:themeFillShade="D9"/>
            <w:vAlign w:val="center"/>
            <w:hideMark/>
          </w:tcPr>
          <w:p w:rsidR="00AC4B5F" w:rsidRPr="00A71D2E" w:rsidRDefault="00AC4B5F" w:rsidP="0027505B">
            <w:pPr>
              <w:ind w:left="60"/>
              <w:jc w:val="center"/>
              <w:rPr>
                <w:rFonts w:eastAsia="宋体" w:cs="Times New Roman"/>
                <w:sz w:val="18"/>
                <w:szCs w:val="18"/>
              </w:rPr>
            </w:pPr>
            <w:r w:rsidRPr="00A71D2E">
              <w:rPr>
                <w:rFonts w:eastAsia="宋体" w:cs="Times New Roman" w:hint="eastAsia"/>
                <w:sz w:val="18"/>
                <w:szCs w:val="18"/>
              </w:rPr>
              <w:t>项目</w:t>
            </w:r>
          </w:p>
        </w:tc>
        <w:tc>
          <w:tcPr>
            <w:tcW w:w="1665" w:type="dxa"/>
            <w:shd w:val="clear" w:color="auto" w:fill="D9D9D9" w:themeFill="background1" w:themeFillShade="D9"/>
            <w:vAlign w:val="center"/>
            <w:hideMark/>
          </w:tcPr>
          <w:p w:rsidR="00AC4B5F" w:rsidRPr="00A71D2E" w:rsidRDefault="00AC4B5F" w:rsidP="00AC4B5F">
            <w:pPr>
              <w:jc w:val="center"/>
              <w:rPr>
                <w:rFonts w:eastAsia="宋体" w:cs="Times New Roman"/>
                <w:sz w:val="18"/>
                <w:szCs w:val="18"/>
              </w:rPr>
            </w:pPr>
            <w:r w:rsidRPr="00A71D2E">
              <w:rPr>
                <w:rFonts w:eastAsia="宋体" w:cs="Times New Roman" w:hint="eastAsia"/>
                <w:sz w:val="18"/>
                <w:szCs w:val="18"/>
              </w:rPr>
              <w:t>年末余额</w:t>
            </w:r>
          </w:p>
        </w:tc>
        <w:tc>
          <w:tcPr>
            <w:tcW w:w="1665" w:type="dxa"/>
            <w:shd w:val="clear" w:color="auto" w:fill="D9D9D9" w:themeFill="background1" w:themeFillShade="D9"/>
            <w:vAlign w:val="center"/>
          </w:tcPr>
          <w:p w:rsidR="00AC4B5F" w:rsidRPr="00A71D2E" w:rsidRDefault="00AC4B5F" w:rsidP="00AC4B5F">
            <w:pPr>
              <w:jc w:val="center"/>
              <w:rPr>
                <w:rFonts w:eastAsia="宋体" w:cs="Times New Roman"/>
                <w:sz w:val="18"/>
                <w:szCs w:val="18"/>
              </w:rPr>
            </w:pPr>
            <w:r w:rsidRPr="00A71D2E">
              <w:rPr>
                <w:rFonts w:eastAsia="宋体" w:cs="Times New Roman" w:hint="eastAsia"/>
                <w:sz w:val="18"/>
                <w:szCs w:val="18"/>
              </w:rPr>
              <w:t>年初余额</w:t>
            </w:r>
          </w:p>
        </w:tc>
      </w:tr>
      <w:tr w:rsidR="00AC4B5F" w:rsidRPr="00A71D2E" w:rsidTr="0027505B">
        <w:trPr>
          <w:cantSplit/>
          <w:trHeight w:val="20"/>
        </w:trPr>
        <w:tc>
          <w:tcPr>
            <w:tcW w:w="6126" w:type="dxa"/>
            <w:shd w:val="clear" w:color="auto" w:fill="D9D9D9" w:themeFill="background1" w:themeFillShade="D9"/>
            <w:vAlign w:val="center"/>
          </w:tcPr>
          <w:p w:rsidR="00AC4B5F" w:rsidRPr="00A71D2E" w:rsidRDefault="00AC4B5F" w:rsidP="0027505B">
            <w:pPr>
              <w:ind w:left="60"/>
              <w:rPr>
                <w:rFonts w:eastAsia="宋体" w:cs="Times New Roman"/>
                <w:sz w:val="18"/>
                <w:szCs w:val="18"/>
              </w:rPr>
            </w:pPr>
            <w:r w:rsidRPr="00A71D2E">
              <w:rPr>
                <w:rFonts w:eastAsia="宋体" w:cs="Times New Roman" w:hint="eastAsia"/>
                <w:sz w:val="18"/>
                <w:szCs w:val="18"/>
              </w:rPr>
              <w:t>一、有限</w:t>
            </w:r>
            <w:proofErr w:type="gramStart"/>
            <w:r w:rsidRPr="00A71D2E">
              <w:rPr>
                <w:rFonts w:eastAsia="宋体" w:cs="Times New Roman" w:hint="eastAsia"/>
                <w:sz w:val="18"/>
                <w:szCs w:val="18"/>
              </w:rPr>
              <w:t>售条件</w:t>
            </w:r>
            <w:proofErr w:type="gramEnd"/>
            <w:r w:rsidRPr="00A71D2E">
              <w:rPr>
                <w:rFonts w:eastAsia="宋体" w:cs="Times New Roman" w:hint="eastAsia"/>
                <w:sz w:val="18"/>
                <w:szCs w:val="18"/>
              </w:rPr>
              <w:t>流通股</w:t>
            </w:r>
          </w:p>
        </w:tc>
        <w:tc>
          <w:tcPr>
            <w:tcW w:w="1665" w:type="dxa"/>
            <w:shd w:val="clear" w:color="auto" w:fill="auto"/>
            <w:vAlign w:val="center"/>
          </w:tcPr>
          <w:p w:rsidR="00AC4B5F" w:rsidRPr="00A71D2E" w:rsidRDefault="00AC4B5F" w:rsidP="00AC4B5F">
            <w:pPr>
              <w:ind w:right="63"/>
              <w:jc w:val="right"/>
              <w:rPr>
                <w:rFonts w:eastAsia="宋体" w:cs="Times New Roman"/>
                <w:sz w:val="18"/>
                <w:szCs w:val="18"/>
              </w:rPr>
            </w:pPr>
            <w:r w:rsidRPr="00A80032">
              <w:rPr>
                <w:rFonts w:eastAsia="宋体" w:cs="Times New Roman"/>
                <w:sz w:val="18"/>
                <w:szCs w:val="18"/>
              </w:rPr>
              <w:t>4</w:t>
            </w:r>
            <w:r w:rsidR="00B019C6">
              <w:rPr>
                <w:rFonts w:eastAsia="宋体" w:cs="Times New Roman"/>
                <w:sz w:val="18"/>
                <w:szCs w:val="18"/>
              </w:rPr>
              <w:t>53</w:t>
            </w:r>
            <w:r w:rsidRPr="00A80032">
              <w:rPr>
                <w:rFonts w:eastAsia="宋体" w:cs="Times New Roman"/>
                <w:sz w:val="18"/>
                <w:szCs w:val="18"/>
              </w:rPr>
              <w:t>,</w:t>
            </w:r>
            <w:r w:rsidR="00B019C6">
              <w:rPr>
                <w:rFonts w:eastAsia="宋体" w:cs="Times New Roman"/>
                <w:sz w:val="18"/>
                <w:szCs w:val="18"/>
              </w:rPr>
              <w:t>090</w:t>
            </w:r>
            <w:r w:rsidRPr="00A80032">
              <w:rPr>
                <w:rFonts w:eastAsia="宋体" w:cs="Times New Roman"/>
                <w:sz w:val="18"/>
                <w:szCs w:val="18"/>
              </w:rPr>
              <w:t>,</w:t>
            </w:r>
            <w:r w:rsidR="00B019C6">
              <w:rPr>
                <w:rFonts w:eastAsia="宋体" w:cs="Times New Roman"/>
                <w:sz w:val="18"/>
                <w:szCs w:val="18"/>
              </w:rPr>
              <w:t>700</w:t>
            </w:r>
            <w:r w:rsidRPr="00A80032">
              <w:rPr>
                <w:rFonts w:eastAsia="宋体" w:cs="Times New Roman"/>
                <w:sz w:val="18"/>
                <w:szCs w:val="18"/>
              </w:rPr>
              <w:t>.00</w:t>
            </w:r>
          </w:p>
        </w:tc>
        <w:tc>
          <w:tcPr>
            <w:tcW w:w="1665" w:type="dxa"/>
            <w:vAlign w:val="center"/>
          </w:tcPr>
          <w:p w:rsidR="00AC4B5F" w:rsidRPr="00A80032" w:rsidRDefault="00AC4B5F" w:rsidP="00AC4B5F">
            <w:pPr>
              <w:ind w:right="63"/>
              <w:jc w:val="right"/>
              <w:rPr>
                <w:rFonts w:eastAsia="宋体" w:cs="Times New Roman"/>
                <w:sz w:val="18"/>
                <w:szCs w:val="18"/>
              </w:rPr>
            </w:pPr>
            <w:r w:rsidRPr="00A80032">
              <w:rPr>
                <w:rFonts w:eastAsia="宋体" w:cs="Times New Roman"/>
                <w:sz w:val="18"/>
                <w:szCs w:val="18"/>
              </w:rPr>
              <w:t>474,311,262.00</w:t>
            </w:r>
          </w:p>
        </w:tc>
      </w:tr>
      <w:tr w:rsidR="00AC4B5F" w:rsidRPr="00A71D2E" w:rsidTr="0027505B">
        <w:trPr>
          <w:cantSplit/>
          <w:trHeight w:val="20"/>
        </w:trPr>
        <w:tc>
          <w:tcPr>
            <w:tcW w:w="6126" w:type="dxa"/>
            <w:shd w:val="clear" w:color="auto" w:fill="D9D9D9" w:themeFill="background1" w:themeFillShade="D9"/>
            <w:vAlign w:val="center"/>
          </w:tcPr>
          <w:p w:rsidR="00AC4B5F" w:rsidRPr="00A71D2E" w:rsidRDefault="00AC4B5F" w:rsidP="0027505B">
            <w:pPr>
              <w:ind w:left="60"/>
              <w:rPr>
                <w:rFonts w:eastAsia="宋体" w:cs="Times New Roman"/>
                <w:sz w:val="18"/>
                <w:szCs w:val="18"/>
              </w:rPr>
            </w:pPr>
            <w:r w:rsidRPr="00A71D2E">
              <w:rPr>
                <w:rFonts w:eastAsia="宋体" w:cs="Times New Roman" w:hint="eastAsia"/>
                <w:sz w:val="18"/>
                <w:szCs w:val="18"/>
              </w:rPr>
              <w:t>二、无限</w:t>
            </w:r>
            <w:proofErr w:type="gramStart"/>
            <w:r w:rsidRPr="00A71D2E">
              <w:rPr>
                <w:rFonts w:eastAsia="宋体" w:cs="Times New Roman" w:hint="eastAsia"/>
                <w:sz w:val="18"/>
                <w:szCs w:val="18"/>
              </w:rPr>
              <w:t>售条件</w:t>
            </w:r>
            <w:proofErr w:type="gramEnd"/>
            <w:r w:rsidRPr="00A71D2E">
              <w:rPr>
                <w:rFonts w:eastAsia="宋体" w:cs="Times New Roman" w:hint="eastAsia"/>
                <w:sz w:val="18"/>
                <w:szCs w:val="18"/>
              </w:rPr>
              <w:t>流通股</w:t>
            </w:r>
          </w:p>
        </w:tc>
        <w:tc>
          <w:tcPr>
            <w:tcW w:w="1665" w:type="dxa"/>
            <w:shd w:val="clear" w:color="auto" w:fill="auto"/>
            <w:vAlign w:val="center"/>
          </w:tcPr>
          <w:p w:rsidR="00AC4B5F" w:rsidRPr="00A71D2E" w:rsidRDefault="00B019C6" w:rsidP="00AC4B5F">
            <w:pPr>
              <w:ind w:right="63"/>
              <w:jc w:val="right"/>
              <w:rPr>
                <w:rFonts w:eastAsia="宋体" w:cs="Times New Roman"/>
                <w:sz w:val="18"/>
                <w:szCs w:val="18"/>
              </w:rPr>
            </w:pPr>
            <w:r>
              <w:rPr>
                <w:rFonts w:eastAsia="宋体" w:cs="Times New Roman"/>
                <w:sz w:val="18"/>
                <w:szCs w:val="18"/>
              </w:rPr>
              <w:t>109</w:t>
            </w:r>
            <w:r w:rsidR="00AC4B5F" w:rsidRPr="00A80032">
              <w:rPr>
                <w:rFonts w:eastAsia="宋体" w:cs="Times New Roman"/>
                <w:sz w:val="18"/>
                <w:szCs w:val="18"/>
              </w:rPr>
              <w:t>,</w:t>
            </w:r>
            <w:r>
              <w:rPr>
                <w:rFonts w:eastAsia="宋体" w:cs="Times New Roman"/>
                <w:sz w:val="18"/>
                <w:szCs w:val="18"/>
              </w:rPr>
              <w:t>409</w:t>
            </w:r>
            <w:r w:rsidR="00AC4B5F" w:rsidRPr="00A80032">
              <w:rPr>
                <w:rFonts w:eastAsia="宋体" w:cs="Times New Roman"/>
                <w:sz w:val="18"/>
                <w:szCs w:val="18"/>
              </w:rPr>
              <w:t>,3</w:t>
            </w:r>
            <w:r>
              <w:rPr>
                <w:rFonts w:eastAsia="宋体" w:cs="Times New Roman"/>
                <w:sz w:val="18"/>
                <w:szCs w:val="18"/>
              </w:rPr>
              <w:t>00</w:t>
            </w:r>
            <w:r w:rsidR="00AC4B5F" w:rsidRPr="00A80032">
              <w:rPr>
                <w:rFonts w:eastAsia="宋体" w:cs="Times New Roman"/>
                <w:sz w:val="18"/>
                <w:szCs w:val="18"/>
              </w:rPr>
              <w:t>.00</w:t>
            </w:r>
          </w:p>
        </w:tc>
        <w:tc>
          <w:tcPr>
            <w:tcW w:w="1665" w:type="dxa"/>
            <w:vAlign w:val="center"/>
          </w:tcPr>
          <w:p w:rsidR="00AC4B5F" w:rsidRPr="00A80032" w:rsidRDefault="00AC4B5F" w:rsidP="00AC4B5F">
            <w:pPr>
              <w:ind w:right="63"/>
              <w:jc w:val="right"/>
              <w:rPr>
                <w:rFonts w:eastAsia="宋体" w:cs="Times New Roman"/>
                <w:sz w:val="18"/>
                <w:szCs w:val="18"/>
              </w:rPr>
            </w:pPr>
            <w:r w:rsidRPr="00A80032">
              <w:rPr>
                <w:rFonts w:eastAsia="宋体" w:cs="Times New Roman"/>
                <w:sz w:val="18"/>
                <w:szCs w:val="18"/>
              </w:rPr>
              <w:t>88,188,738.00</w:t>
            </w:r>
          </w:p>
        </w:tc>
      </w:tr>
      <w:tr w:rsidR="00AC4B5F" w:rsidRPr="00A71D2E" w:rsidTr="0027505B">
        <w:trPr>
          <w:cantSplit/>
          <w:trHeight w:val="20"/>
        </w:trPr>
        <w:tc>
          <w:tcPr>
            <w:tcW w:w="6126" w:type="dxa"/>
            <w:shd w:val="clear" w:color="auto" w:fill="D9D9D9" w:themeFill="background1" w:themeFillShade="D9"/>
            <w:vAlign w:val="center"/>
          </w:tcPr>
          <w:p w:rsidR="00AC4B5F" w:rsidRPr="00A71D2E" w:rsidRDefault="00AC4B5F" w:rsidP="0027505B">
            <w:pPr>
              <w:ind w:left="60"/>
              <w:rPr>
                <w:rFonts w:eastAsia="宋体" w:cs="Times New Roman"/>
                <w:sz w:val="18"/>
                <w:szCs w:val="18"/>
              </w:rPr>
            </w:pPr>
            <w:r w:rsidRPr="00A71D2E">
              <w:rPr>
                <w:rFonts w:eastAsia="宋体" w:cs="Times New Roman" w:hint="eastAsia"/>
                <w:sz w:val="18"/>
                <w:szCs w:val="18"/>
              </w:rPr>
              <w:t>三、股份总数</w:t>
            </w:r>
          </w:p>
        </w:tc>
        <w:tc>
          <w:tcPr>
            <w:tcW w:w="1665" w:type="dxa"/>
            <w:shd w:val="clear" w:color="auto" w:fill="auto"/>
            <w:vAlign w:val="center"/>
          </w:tcPr>
          <w:p w:rsidR="00AC4B5F" w:rsidRPr="00A71D2E" w:rsidRDefault="00AC4B5F" w:rsidP="00AC4B5F">
            <w:pPr>
              <w:ind w:right="63"/>
              <w:jc w:val="right"/>
              <w:rPr>
                <w:rFonts w:eastAsia="宋体" w:cs="Times New Roman"/>
                <w:sz w:val="18"/>
                <w:szCs w:val="18"/>
              </w:rPr>
            </w:pPr>
            <w:r w:rsidRPr="00A71D2E">
              <w:rPr>
                <w:rFonts w:eastAsia="宋体" w:cs="Times New Roman"/>
                <w:sz w:val="18"/>
                <w:szCs w:val="18"/>
              </w:rPr>
              <w:t>562,500,000.00</w:t>
            </w:r>
          </w:p>
        </w:tc>
        <w:tc>
          <w:tcPr>
            <w:tcW w:w="1665" w:type="dxa"/>
            <w:vAlign w:val="center"/>
          </w:tcPr>
          <w:p w:rsidR="00AC4B5F" w:rsidRPr="00A71D2E" w:rsidRDefault="00AC4B5F" w:rsidP="00AC4B5F">
            <w:pPr>
              <w:ind w:right="63"/>
              <w:jc w:val="right"/>
              <w:rPr>
                <w:rFonts w:eastAsia="宋体" w:cs="Times New Roman"/>
                <w:sz w:val="18"/>
                <w:szCs w:val="18"/>
              </w:rPr>
            </w:pPr>
            <w:r w:rsidRPr="00A71D2E">
              <w:rPr>
                <w:rFonts w:eastAsia="宋体" w:cs="Times New Roman"/>
                <w:sz w:val="18"/>
                <w:szCs w:val="18"/>
              </w:rPr>
              <w:t>562,500,000.00</w:t>
            </w:r>
          </w:p>
        </w:tc>
      </w:tr>
    </w:tbl>
    <w:p w:rsidR="00E1084B" w:rsidRPr="0027505B" w:rsidRDefault="00E1084B" w:rsidP="0027505B">
      <w:pPr>
        <w:ind w:left="720"/>
        <w:jc w:val="both"/>
        <w:rPr>
          <w:rFonts w:eastAsia="宋体" w:cs="Times New Roman"/>
          <w:szCs w:val="21"/>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资本公积</w:t>
      </w:r>
    </w:p>
    <w:p w:rsidR="00321FDD" w:rsidRPr="00A71D2E" w:rsidRDefault="00321FDD">
      <w:pPr>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rPr>
        <w:t>人民币</w:t>
      </w:r>
      <w:r w:rsidRPr="00A71D2E">
        <w:rPr>
          <w:rFonts w:eastAsia="宋体" w:cs="Times New Roman" w:hint="eastAsia"/>
          <w:szCs w:val="18"/>
        </w:rPr>
        <w:t>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98"/>
        <w:gridCol w:w="1665"/>
        <w:gridCol w:w="1665"/>
        <w:gridCol w:w="1664"/>
        <w:gridCol w:w="1664"/>
      </w:tblGrid>
      <w:tr w:rsidR="002307B0" w:rsidRPr="00A71D2E" w:rsidTr="0027505B">
        <w:trPr>
          <w:trHeight w:val="20"/>
        </w:trPr>
        <w:tc>
          <w:tcPr>
            <w:tcW w:w="1478" w:type="pct"/>
            <w:shd w:val="clear" w:color="auto" w:fill="D9D9D9" w:themeFill="background1" w:themeFillShade="D9"/>
            <w:tcMar>
              <w:top w:w="0" w:type="dxa"/>
              <w:left w:w="108" w:type="dxa"/>
              <w:bottom w:w="0" w:type="dxa"/>
              <w:right w:w="108" w:type="dxa"/>
            </w:tcMar>
            <w:vAlign w:val="center"/>
            <w:hideMark/>
          </w:tcPr>
          <w:p w:rsidR="006A433F" w:rsidRPr="00F66363" w:rsidRDefault="006A433F">
            <w:pPr>
              <w:jc w:val="center"/>
              <w:rPr>
                <w:rFonts w:eastAsia="宋体" w:cs="Times New Roman"/>
                <w:sz w:val="18"/>
                <w:szCs w:val="18"/>
              </w:rPr>
            </w:pPr>
            <w:r w:rsidRPr="00F66363">
              <w:rPr>
                <w:rFonts w:eastAsia="宋体" w:cs="Times New Roman" w:hint="eastAsia"/>
                <w:sz w:val="18"/>
                <w:szCs w:val="18"/>
              </w:rPr>
              <w:t>项目</w:t>
            </w:r>
          </w:p>
        </w:tc>
        <w:tc>
          <w:tcPr>
            <w:tcW w:w="880" w:type="pct"/>
            <w:shd w:val="clear" w:color="auto" w:fill="D9D9D9" w:themeFill="background1" w:themeFillShade="D9"/>
            <w:tcMar>
              <w:top w:w="0" w:type="dxa"/>
              <w:left w:w="108" w:type="dxa"/>
              <w:bottom w:w="0" w:type="dxa"/>
              <w:right w:w="108" w:type="dxa"/>
            </w:tcMar>
            <w:vAlign w:val="center"/>
            <w:hideMark/>
          </w:tcPr>
          <w:p w:rsidR="006A433F" w:rsidRPr="00F66363" w:rsidRDefault="006A433F">
            <w:pPr>
              <w:jc w:val="center"/>
              <w:rPr>
                <w:rFonts w:eastAsia="宋体" w:cs="Times New Roman"/>
                <w:sz w:val="18"/>
                <w:szCs w:val="18"/>
              </w:rPr>
            </w:pPr>
            <w:r w:rsidRPr="00F66363">
              <w:rPr>
                <w:rFonts w:eastAsia="宋体" w:cs="Times New Roman" w:hint="eastAsia"/>
                <w:sz w:val="18"/>
                <w:szCs w:val="18"/>
              </w:rPr>
              <w:t>年初余额</w:t>
            </w:r>
          </w:p>
        </w:tc>
        <w:tc>
          <w:tcPr>
            <w:tcW w:w="880" w:type="pct"/>
            <w:shd w:val="clear" w:color="auto" w:fill="D9D9D9" w:themeFill="background1" w:themeFillShade="D9"/>
            <w:tcMar>
              <w:top w:w="0" w:type="dxa"/>
              <w:left w:w="108" w:type="dxa"/>
              <w:bottom w:w="0" w:type="dxa"/>
              <w:right w:w="108" w:type="dxa"/>
            </w:tcMar>
            <w:vAlign w:val="center"/>
            <w:hideMark/>
          </w:tcPr>
          <w:p w:rsidR="006A433F" w:rsidRPr="00F66363" w:rsidRDefault="006A433F">
            <w:pPr>
              <w:jc w:val="center"/>
              <w:rPr>
                <w:rFonts w:eastAsia="宋体" w:cs="Times New Roman"/>
                <w:sz w:val="18"/>
                <w:szCs w:val="18"/>
              </w:rPr>
            </w:pPr>
            <w:r w:rsidRPr="00F66363">
              <w:rPr>
                <w:rFonts w:eastAsia="宋体" w:cs="Times New Roman" w:hint="eastAsia"/>
                <w:sz w:val="18"/>
                <w:szCs w:val="18"/>
              </w:rPr>
              <w:t>本年增加</w:t>
            </w:r>
          </w:p>
        </w:tc>
        <w:tc>
          <w:tcPr>
            <w:tcW w:w="880" w:type="pct"/>
            <w:shd w:val="clear" w:color="auto" w:fill="D9D9D9" w:themeFill="background1" w:themeFillShade="D9"/>
            <w:tcMar>
              <w:top w:w="0" w:type="dxa"/>
              <w:left w:w="108" w:type="dxa"/>
              <w:bottom w:w="0" w:type="dxa"/>
              <w:right w:w="108" w:type="dxa"/>
            </w:tcMar>
            <w:vAlign w:val="center"/>
            <w:hideMark/>
          </w:tcPr>
          <w:p w:rsidR="006A433F" w:rsidRPr="00F66363" w:rsidRDefault="006A433F">
            <w:pPr>
              <w:jc w:val="center"/>
              <w:rPr>
                <w:rFonts w:eastAsia="宋体" w:cs="Times New Roman"/>
                <w:sz w:val="18"/>
                <w:szCs w:val="18"/>
              </w:rPr>
            </w:pPr>
            <w:r w:rsidRPr="00F66363">
              <w:rPr>
                <w:rFonts w:eastAsia="宋体" w:cs="Times New Roman" w:hint="eastAsia"/>
                <w:sz w:val="18"/>
                <w:szCs w:val="18"/>
              </w:rPr>
              <w:t>本年减少</w:t>
            </w:r>
          </w:p>
        </w:tc>
        <w:tc>
          <w:tcPr>
            <w:tcW w:w="880" w:type="pct"/>
            <w:shd w:val="clear" w:color="auto" w:fill="D9D9D9" w:themeFill="background1" w:themeFillShade="D9"/>
            <w:tcMar>
              <w:top w:w="0" w:type="dxa"/>
              <w:left w:w="108" w:type="dxa"/>
              <w:bottom w:w="0" w:type="dxa"/>
              <w:right w:w="108" w:type="dxa"/>
            </w:tcMar>
            <w:vAlign w:val="center"/>
            <w:hideMark/>
          </w:tcPr>
          <w:p w:rsidR="006A433F" w:rsidRPr="00F66363" w:rsidRDefault="006A433F">
            <w:pPr>
              <w:jc w:val="center"/>
              <w:rPr>
                <w:rFonts w:eastAsia="宋体" w:cs="Times New Roman"/>
                <w:sz w:val="18"/>
                <w:szCs w:val="18"/>
              </w:rPr>
            </w:pPr>
            <w:r w:rsidRPr="00F66363">
              <w:rPr>
                <w:rFonts w:eastAsia="宋体" w:cs="Times New Roman" w:hint="eastAsia"/>
                <w:sz w:val="18"/>
                <w:szCs w:val="18"/>
              </w:rPr>
              <w:t>年末余额</w:t>
            </w:r>
          </w:p>
        </w:tc>
      </w:tr>
      <w:tr w:rsidR="003F50C0" w:rsidRPr="00A71D2E" w:rsidTr="0027505B">
        <w:trPr>
          <w:trHeight w:val="20"/>
        </w:trPr>
        <w:tc>
          <w:tcPr>
            <w:tcW w:w="1478" w:type="pct"/>
            <w:shd w:val="clear" w:color="auto" w:fill="auto"/>
            <w:tcMar>
              <w:top w:w="0" w:type="dxa"/>
              <w:left w:w="108" w:type="dxa"/>
              <w:bottom w:w="0" w:type="dxa"/>
              <w:right w:w="108" w:type="dxa"/>
            </w:tcMar>
            <w:vAlign w:val="center"/>
          </w:tcPr>
          <w:p w:rsidR="003F50C0" w:rsidRPr="00F66363" w:rsidRDefault="003F50C0" w:rsidP="003F50C0">
            <w:pPr>
              <w:rPr>
                <w:rFonts w:eastAsia="宋体" w:cs="Times New Roman"/>
                <w:sz w:val="18"/>
                <w:szCs w:val="18"/>
              </w:rPr>
            </w:pPr>
            <w:r w:rsidRPr="00F66363">
              <w:rPr>
                <w:rFonts w:eastAsia="宋体" w:cs="Times New Roman" w:hint="eastAsia"/>
                <w:sz w:val="18"/>
                <w:szCs w:val="18"/>
              </w:rPr>
              <w:t>股本溢价</w:t>
            </w:r>
          </w:p>
        </w:tc>
        <w:tc>
          <w:tcPr>
            <w:tcW w:w="880" w:type="pct"/>
            <w:shd w:val="clear" w:color="auto" w:fill="auto"/>
            <w:tcMar>
              <w:top w:w="0" w:type="dxa"/>
              <w:left w:w="108" w:type="dxa"/>
              <w:bottom w:w="0" w:type="dxa"/>
              <w:right w:w="108" w:type="dxa"/>
            </w:tcMar>
            <w:vAlign w:val="center"/>
          </w:tcPr>
          <w:p w:rsidR="003F50C0" w:rsidRPr="00F66363" w:rsidRDefault="003F50C0" w:rsidP="003F50C0">
            <w:pPr>
              <w:jc w:val="right"/>
              <w:rPr>
                <w:rFonts w:eastAsia="宋体" w:cs="Times New Roman"/>
                <w:sz w:val="18"/>
                <w:szCs w:val="18"/>
              </w:rPr>
            </w:pPr>
            <w:r w:rsidRPr="00F66363">
              <w:rPr>
                <w:rFonts w:eastAsia="宋体" w:cs="Times New Roman"/>
                <w:sz w:val="18"/>
                <w:szCs w:val="18"/>
              </w:rPr>
              <w:t>3,312,572,001.48</w:t>
            </w:r>
          </w:p>
        </w:tc>
        <w:tc>
          <w:tcPr>
            <w:tcW w:w="880" w:type="pct"/>
            <w:shd w:val="clear" w:color="auto" w:fill="auto"/>
            <w:tcMar>
              <w:top w:w="0" w:type="dxa"/>
              <w:left w:w="108" w:type="dxa"/>
              <w:bottom w:w="0" w:type="dxa"/>
              <w:right w:w="108" w:type="dxa"/>
            </w:tcMar>
            <w:vAlign w:val="center"/>
          </w:tcPr>
          <w:p w:rsidR="003F50C0" w:rsidRPr="00F66363" w:rsidRDefault="003F50C0" w:rsidP="003F50C0">
            <w:pPr>
              <w:jc w:val="right"/>
              <w:rPr>
                <w:rFonts w:eastAsia="宋体" w:cs="Times New Roman"/>
                <w:sz w:val="18"/>
                <w:szCs w:val="18"/>
              </w:rPr>
            </w:pPr>
            <w:r w:rsidRPr="00923282">
              <w:rPr>
                <w:rFonts w:eastAsia="宋体" w:cs="Times New Roman"/>
                <w:sz w:val="18"/>
                <w:szCs w:val="18"/>
              </w:rPr>
              <w:t>17,487,181.64</w:t>
            </w:r>
          </w:p>
        </w:tc>
        <w:tc>
          <w:tcPr>
            <w:tcW w:w="880" w:type="pct"/>
            <w:shd w:val="clear" w:color="auto" w:fill="auto"/>
            <w:tcMar>
              <w:top w:w="0" w:type="dxa"/>
              <w:left w:w="108" w:type="dxa"/>
              <w:bottom w:w="0" w:type="dxa"/>
              <w:right w:w="108" w:type="dxa"/>
            </w:tcMar>
            <w:vAlign w:val="center"/>
          </w:tcPr>
          <w:p w:rsidR="003F50C0" w:rsidRPr="003F50C0" w:rsidRDefault="003F50C0" w:rsidP="0027505B">
            <w:pPr>
              <w:jc w:val="right"/>
              <w:rPr>
                <w:sz w:val="18"/>
                <w:szCs w:val="18"/>
              </w:rPr>
            </w:pPr>
            <w:r w:rsidRPr="0027505B">
              <w:rPr>
                <w:rFonts w:eastAsia="宋体" w:cs="Times New Roman"/>
                <w:sz w:val="18"/>
                <w:szCs w:val="18"/>
              </w:rPr>
              <w:t>-    </w:t>
            </w:r>
          </w:p>
        </w:tc>
        <w:tc>
          <w:tcPr>
            <w:tcW w:w="880" w:type="pct"/>
            <w:shd w:val="clear" w:color="auto" w:fill="auto"/>
            <w:tcMar>
              <w:top w:w="0" w:type="dxa"/>
              <w:left w:w="108" w:type="dxa"/>
              <w:bottom w:w="0" w:type="dxa"/>
              <w:right w:w="108" w:type="dxa"/>
            </w:tcMar>
            <w:vAlign w:val="center"/>
          </w:tcPr>
          <w:p w:rsidR="003F50C0" w:rsidRPr="00F66363" w:rsidRDefault="003F50C0" w:rsidP="003F50C0">
            <w:pPr>
              <w:jc w:val="right"/>
              <w:rPr>
                <w:rFonts w:eastAsia="宋体" w:cs="Times New Roman"/>
                <w:sz w:val="18"/>
                <w:szCs w:val="18"/>
              </w:rPr>
            </w:pPr>
            <w:r w:rsidRPr="00923282">
              <w:rPr>
                <w:rFonts w:eastAsia="宋体" w:cs="Times New Roman"/>
                <w:sz w:val="18"/>
                <w:szCs w:val="18"/>
              </w:rPr>
              <w:t>3,330,059,183.12</w:t>
            </w:r>
          </w:p>
        </w:tc>
      </w:tr>
      <w:tr w:rsidR="003F50C0" w:rsidRPr="00A71D2E" w:rsidTr="0027505B">
        <w:trPr>
          <w:trHeight w:val="20"/>
        </w:trPr>
        <w:tc>
          <w:tcPr>
            <w:tcW w:w="1478" w:type="pct"/>
            <w:shd w:val="clear" w:color="auto" w:fill="auto"/>
            <w:tcMar>
              <w:top w:w="0" w:type="dxa"/>
              <w:left w:w="108" w:type="dxa"/>
              <w:bottom w:w="0" w:type="dxa"/>
              <w:right w:w="108" w:type="dxa"/>
            </w:tcMar>
            <w:vAlign w:val="center"/>
          </w:tcPr>
          <w:p w:rsidR="003F50C0" w:rsidRPr="00F66363" w:rsidRDefault="003F50C0" w:rsidP="003F50C0">
            <w:pPr>
              <w:rPr>
                <w:rFonts w:eastAsia="宋体" w:cs="Times New Roman"/>
                <w:sz w:val="18"/>
                <w:szCs w:val="18"/>
              </w:rPr>
            </w:pPr>
            <w:r w:rsidRPr="00F66363">
              <w:rPr>
                <w:rFonts w:eastAsia="宋体" w:cs="Times New Roman" w:hint="eastAsia"/>
                <w:sz w:val="18"/>
                <w:szCs w:val="18"/>
              </w:rPr>
              <w:t>其中</w:t>
            </w:r>
            <w:r>
              <w:rPr>
                <w:rFonts w:eastAsia="宋体" w:cs="Times New Roman" w:hint="eastAsia"/>
                <w:sz w:val="18"/>
                <w:szCs w:val="18"/>
              </w:rPr>
              <w:t>：</w:t>
            </w:r>
            <w:r w:rsidRPr="00F66363">
              <w:rPr>
                <w:rFonts w:eastAsia="宋体" w:cs="Times New Roman" w:hint="eastAsia"/>
                <w:sz w:val="18"/>
                <w:szCs w:val="18"/>
              </w:rPr>
              <w:t>投资者投入的资本</w:t>
            </w:r>
            <w:r>
              <w:rPr>
                <w:rFonts w:eastAsia="宋体" w:cs="Times New Roman"/>
                <w:sz w:val="18"/>
                <w:szCs w:val="18"/>
              </w:rPr>
              <w:t>(</w:t>
            </w:r>
            <w:r w:rsidRPr="00F66363">
              <w:rPr>
                <w:rFonts w:eastAsia="宋体" w:cs="Times New Roman" w:hint="eastAsia"/>
                <w:sz w:val="18"/>
                <w:szCs w:val="18"/>
              </w:rPr>
              <w:t>注</w:t>
            </w:r>
            <w:r w:rsidRPr="00F66363">
              <w:rPr>
                <w:rFonts w:eastAsia="宋体" w:cs="Times New Roman"/>
                <w:sz w:val="18"/>
                <w:szCs w:val="18"/>
              </w:rPr>
              <w:t>1</w:t>
            </w:r>
            <w:r>
              <w:rPr>
                <w:rFonts w:eastAsia="宋体" w:cs="Times New Roman"/>
                <w:sz w:val="18"/>
                <w:szCs w:val="18"/>
              </w:rPr>
              <w:t>)</w:t>
            </w:r>
          </w:p>
        </w:tc>
        <w:tc>
          <w:tcPr>
            <w:tcW w:w="880" w:type="pct"/>
            <w:shd w:val="clear" w:color="auto" w:fill="auto"/>
            <w:tcMar>
              <w:top w:w="0" w:type="dxa"/>
              <w:left w:w="108" w:type="dxa"/>
              <w:bottom w:w="0" w:type="dxa"/>
              <w:right w:w="108" w:type="dxa"/>
            </w:tcMar>
            <w:vAlign w:val="center"/>
          </w:tcPr>
          <w:p w:rsidR="003F50C0" w:rsidRPr="00F66363" w:rsidRDefault="003F50C0" w:rsidP="003F50C0">
            <w:pPr>
              <w:jc w:val="right"/>
              <w:rPr>
                <w:rFonts w:eastAsia="宋体" w:cs="Times New Roman"/>
                <w:sz w:val="18"/>
                <w:szCs w:val="18"/>
              </w:rPr>
            </w:pPr>
            <w:r w:rsidRPr="00F66363">
              <w:rPr>
                <w:rFonts w:eastAsia="宋体" w:cs="Times New Roman"/>
                <w:sz w:val="18"/>
                <w:szCs w:val="18"/>
              </w:rPr>
              <w:t>3,312,572,001.48</w:t>
            </w:r>
          </w:p>
        </w:tc>
        <w:tc>
          <w:tcPr>
            <w:tcW w:w="880" w:type="pct"/>
            <w:shd w:val="clear" w:color="auto" w:fill="auto"/>
            <w:tcMar>
              <w:top w:w="0" w:type="dxa"/>
              <w:left w:w="108" w:type="dxa"/>
              <w:bottom w:w="0" w:type="dxa"/>
              <w:right w:w="108" w:type="dxa"/>
            </w:tcMar>
            <w:vAlign w:val="center"/>
          </w:tcPr>
          <w:p w:rsidR="003F50C0" w:rsidRPr="00F66363" w:rsidRDefault="003F50C0" w:rsidP="003F50C0">
            <w:pPr>
              <w:jc w:val="right"/>
              <w:rPr>
                <w:rFonts w:eastAsia="宋体" w:cs="Times New Roman"/>
                <w:sz w:val="18"/>
                <w:szCs w:val="18"/>
              </w:rPr>
            </w:pPr>
            <w:r w:rsidRPr="00923282">
              <w:rPr>
                <w:rFonts w:eastAsia="宋体" w:cs="Times New Roman"/>
                <w:sz w:val="18"/>
                <w:szCs w:val="18"/>
              </w:rPr>
              <w:t>17,487,181.64</w:t>
            </w:r>
          </w:p>
        </w:tc>
        <w:tc>
          <w:tcPr>
            <w:tcW w:w="880" w:type="pct"/>
            <w:shd w:val="clear" w:color="auto" w:fill="auto"/>
            <w:tcMar>
              <w:top w:w="0" w:type="dxa"/>
              <w:left w:w="108" w:type="dxa"/>
              <w:bottom w:w="0" w:type="dxa"/>
              <w:right w:w="108" w:type="dxa"/>
            </w:tcMar>
            <w:vAlign w:val="center"/>
          </w:tcPr>
          <w:p w:rsidR="003F50C0" w:rsidRPr="003F50C0" w:rsidRDefault="003F50C0" w:rsidP="0027505B">
            <w:pPr>
              <w:jc w:val="right"/>
              <w:rPr>
                <w:sz w:val="18"/>
                <w:szCs w:val="18"/>
              </w:rPr>
            </w:pPr>
            <w:r w:rsidRPr="0027505B">
              <w:rPr>
                <w:rFonts w:eastAsia="宋体" w:cs="Times New Roman"/>
                <w:sz w:val="18"/>
                <w:szCs w:val="18"/>
              </w:rPr>
              <w:t>-    </w:t>
            </w:r>
          </w:p>
        </w:tc>
        <w:tc>
          <w:tcPr>
            <w:tcW w:w="880" w:type="pct"/>
            <w:shd w:val="clear" w:color="auto" w:fill="auto"/>
            <w:tcMar>
              <w:top w:w="0" w:type="dxa"/>
              <w:left w:w="108" w:type="dxa"/>
              <w:bottom w:w="0" w:type="dxa"/>
              <w:right w:w="108" w:type="dxa"/>
            </w:tcMar>
            <w:vAlign w:val="center"/>
          </w:tcPr>
          <w:p w:rsidR="003F50C0" w:rsidRPr="00F66363" w:rsidRDefault="003F50C0" w:rsidP="003F50C0">
            <w:pPr>
              <w:jc w:val="right"/>
              <w:rPr>
                <w:rFonts w:eastAsia="宋体" w:cs="Times New Roman"/>
                <w:sz w:val="18"/>
                <w:szCs w:val="18"/>
              </w:rPr>
            </w:pPr>
            <w:r w:rsidRPr="00923282">
              <w:rPr>
                <w:rFonts w:eastAsia="宋体" w:cs="Times New Roman"/>
                <w:sz w:val="18"/>
                <w:szCs w:val="18"/>
              </w:rPr>
              <w:t>3,330,059,183.12</w:t>
            </w:r>
          </w:p>
        </w:tc>
      </w:tr>
      <w:tr w:rsidR="00516696" w:rsidRPr="00A71D2E" w:rsidTr="0027505B">
        <w:trPr>
          <w:trHeight w:val="20"/>
        </w:trPr>
        <w:tc>
          <w:tcPr>
            <w:tcW w:w="1478" w:type="pct"/>
            <w:shd w:val="clear" w:color="auto" w:fill="auto"/>
            <w:tcMar>
              <w:top w:w="0" w:type="dxa"/>
              <w:left w:w="108" w:type="dxa"/>
              <w:bottom w:w="0" w:type="dxa"/>
              <w:right w:w="108" w:type="dxa"/>
            </w:tcMar>
            <w:vAlign w:val="center"/>
          </w:tcPr>
          <w:p w:rsidR="00516696" w:rsidRPr="00F66363" w:rsidRDefault="00516696" w:rsidP="00516696">
            <w:pPr>
              <w:rPr>
                <w:rFonts w:eastAsia="宋体" w:cs="Times New Roman"/>
                <w:sz w:val="18"/>
                <w:szCs w:val="18"/>
              </w:rPr>
            </w:pPr>
            <w:r w:rsidRPr="00F66363">
              <w:rPr>
                <w:rFonts w:eastAsia="宋体" w:cs="Times New Roman" w:hint="eastAsia"/>
                <w:sz w:val="18"/>
                <w:szCs w:val="18"/>
              </w:rPr>
              <w:t>其他资本公积</w:t>
            </w:r>
            <w:r w:rsidRPr="00F66363">
              <w:rPr>
                <w:rFonts w:eastAsia="宋体" w:cs="Times New Roman"/>
                <w:sz w:val="18"/>
                <w:szCs w:val="18"/>
              </w:rPr>
              <w:t>-</w:t>
            </w:r>
            <w:r w:rsidRPr="00F66363">
              <w:rPr>
                <w:rFonts w:eastAsia="宋体" w:cs="Times New Roman" w:hint="eastAsia"/>
                <w:sz w:val="18"/>
                <w:szCs w:val="18"/>
              </w:rPr>
              <w:t>股权激励</w:t>
            </w:r>
            <w:r w:rsidR="005F14EE">
              <w:rPr>
                <w:rFonts w:eastAsia="宋体" w:cs="Times New Roman"/>
                <w:sz w:val="18"/>
                <w:szCs w:val="18"/>
              </w:rPr>
              <w:t>(</w:t>
            </w:r>
            <w:r w:rsidRPr="00F66363">
              <w:rPr>
                <w:rFonts w:eastAsia="宋体" w:cs="Times New Roman" w:hint="eastAsia"/>
                <w:sz w:val="18"/>
                <w:szCs w:val="18"/>
              </w:rPr>
              <w:t>注</w:t>
            </w:r>
            <w:r w:rsidRPr="00F66363">
              <w:rPr>
                <w:rFonts w:eastAsia="宋体" w:cs="Times New Roman"/>
                <w:sz w:val="18"/>
                <w:szCs w:val="18"/>
              </w:rPr>
              <w:t>2</w:t>
            </w:r>
            <w:r w:rsidR="005F14EE">
              <w:rPr>
                <w:rFonts w:eastAsia="宋体" w:cs="Times New Roman"/>
                <w:sz w:val="18"/>
                <w:szCs w:val="18"/>
              </w:rPr>
              <w:t>)</w:t>
            </w:r>
          </w:p>
        </w:tc>
        <w:tc>
          <w:tcPr>
            <w:tcW w:w="880" w:type="pct"/>
            <w:shd w:val="clear" w:color="auto" w:fill="auto"/>
            <w:tcMar>
              <w:top w:w="0" w:type="dxa"/>
              <w:left w:w="108" w:type="dxa"/>
              <w:bottom w:w="0" w:type="dxa"/>
              <w:right w:w="108" w:type="dxa"/>
            </w:tcMar>
            <w:vAlign w:val="center"/>
          </w:tcPr>
          <w:p w:rsidR="00516696" w:rsidRPr="00F66363" w:rsidRDefault="00516696" w:rsidP="00516696">
            <w:pPr>
              <w:jc w:val="right"/>
              <w:rPr>
                <w:rFonts w:eastAsia="宋体" w:cs="Times New Roman"/>
                <w:sz w:val="18"/>
                <w:szCs w:val="18"/>
              </w:rPr>
            </w:pPr>
            <w:r w:rsidRPr="00F66363">
              <w:rPr>
                <w:rFonts w:eastAsia="宋体" w:cs="Times New Roman"/>
                <w:sz w:val="18"/>
                <w:szCs w:val="18"/>
              </w:rPr>
              <w:t>23,673,240.64</w:t>
            </w:r>
          </w:p>
        </w:tc>
        <w:tc>
          <w:tcPr>
            <w:tcW w:w="880" w:type="pct"/>
            <w:shd w:val="clear" w:color="auto" w:fill="auto"/>
            <w:tcMar>
              <w:top w:w="0" w:type="dxa"/>
              <w:left w:w="108" w:type="dxa"/>
              <w:bottom w:w="0" w:type="dxa"/>
              <w:right w:w="108" w:type="dxa"/>
            </w:tcMar>
            <w:vAlign w:val="center"/>
          </w:tcPr>
          <w:p w:rsidR="00516696" w:rsidRPr="00F66363" w:rsidRDefault="00733EC3" w:rsidP="00516696">
            <w:pPr>
              <w:jc w:val="right"/>
              <w:rPr>
                <w:rFonts w:eastAsia="宋体" w:cs="Times New Roman"/>
                <w:sz w:val="18"/>
                <w:szCs w:val="18"/>
              </w:rPr>
            </w:pPr>
            <w:r w:rsidRPr="00733EC3">
              <w:rPr>
                <w:rFonts w:eastAsia="宋体" w:cs="Times New Roman"/>
                <w:sz w:val="18"/>
                <w:szCs w:val="18"/>
              </w:rPr>
              <w:t>10,337,881.29</w:t>
            </w:r>
          </w:p>
        </w:tc>
        <w:tc>
          <w:tcPr>
            <w:tcW w:w="880" w:type="pct"/>
            <w:shd w:val="clear" w:color="auto" w:fill="auto"/>
            <w:tcMar>
              <w:top w:w="0" w:type="dxa"/>
              <w:left w:w="108" w:type="dxa"/>
              <w:bottom w:w="0" w:type="dxa"/>
              <w:right w:w="108" w:type="dxa"/>
            </w:tcMar>
            <w:vAlign w:val="center"/>
          </w:tcPr>
          <w:p w:rsidR="00516696" w:rsidRPr="00F66363" w:rsidRDefault="00733EC3" w:rsidP="00516696">
            <w:pPr>
              <w:jc w:val="right"/>
              <w:rPr>
                <w:rFonts w:eastAsia="宋体" w:cs="Times New Roman"/>
                <w:sz w:val="18"/>
                <w:szCs w:val="18"/>
              </w:rPr>
            </w:pPr>
            <w:r w:rsidRPr="00733EC3">
              <w:rPr>
                <w:rFonts w:eastAsia="宋体" w:cs="Times New Roman"/>
                <w:sz w:val="18"/>
                <w:szCs w:val="18"/>
              </w:rPr>
              <w:t>17,</w:t>
            </w:r>
            <w:r w:rsidR="00923282">
              <w:rPr>
                <w:rFonts w:eastAsia="宋体" w:cs="Times New Roman"/>
                <w:sz w:val="18"/>
                <w:szCs w:val="18"/>
              </w:rPr>
              <w:t>487</w:t>
            </w:r>
            <w:r w:rsidRPr="00733EC3">
              <w:rPr>
                <w:rFonts w:eastAsia="宋体" w:cs="Times New Roman"/>
                <w:sz w:val="18"/>
                <w:szCs w:val="18"/>
              </w:rPr>
              <w:t>,1</w:t>
            </w:r>
            <w:r w:rsidR="00923282">
              <w:rPr>
                <w:rFonts w:eastAsia="宋体" w:cs="Times New Roman"/>
                <w:sz w:val="18"/>
                <w:szCs w:val="18"/>
              </w:rPr>
              <w:t>81</w:t>
            </w:r>
            <w:r w:rsidRPr="00733EC3">
              <w:rPr>
                <w:rFonts w:eastAsia="宋体" w:cs="Times New Roman"/>
                <w:sz w:val="18"/>
                <w:szCs w:val="18"/>
              </w:rPr>
              <w:t>.</w:t>
            </w:r>
            <w:r w:rsidR="00923282">
              <w:rPr>
                <w:rFonts w:eastAsia="宋体" w:cs="Times New Roman"/>
                <w:sz w:val="18"/>
                <w:szCs w:val="18"/>
              </w:rPr>
              <w:t>64</w:t>
            </w:r>
          </w:p>
        </w:tc>
        <w:tc>
          <w:tcPr>
            <w:tcW w:w="880" w:type="pct"/>
            <w:shd w:val="clear" w:color="auto" w:fill="auto"/>
            <w:tcMar>
              <w:top w:w="0" w:type="dxa"/>
              <w:left w:w="108" w:type="dxa"/>
              <w:bottom w:w="0" w:type="dxa"/>
              <w:right w:w="108" w:type="dxa"/>
            </w:tcMar>
            <w:vAlign w:val="center"/>
          </w:tcPr>
          <w:p w:rsidR="00516696" w:rsidRPr="00F66363" w:rsidRDefault="00923282" w:rsidP="00516696">
            <w:pPr>
              <w:jc w:val="right"/>
              <w:rPr>
                <w:rFonts w:eastAsia="宋体" w:cs="Times New Roman"/>
                <w:sz w:val="18"/>
                <w:szCs w:val="18"/>
              </w:rPr>
            </w:pPr>
            <w:r w:rsidRPr="00923282">
              <w:rPr>
                <w:rFonts w:eastAsia="宋体" w:cs="Times New Roman"/>
                <w:sz w:val="18"/>
                <w:szCs w:val="18"/>
              </w:rPr>
              <w:t>16,523,940.29</w:t>
            </w:r>
          </w:p>
        </w:tc>
      </w:tr>
      <w:tr w:rsidR="00516696" w:rsidRPr="00A71D2E" w:rsidTr="0027505B">
        <w:trPr>
          <w:trHeight w:val="20"/>
        </w:trPr>
        <w:tc>
          <w:tcPr>
            <w:tcW w:w="1478" w:type="pct"/>
            <w:shd w:val="clear" w:color="auto" w:fill="D9D9D9" w:themeFill="background1" w:themeFillShade="D9"/>
            <w:tcMar>
              <w:top w:w="0" w:type="dxa"/>
              <w:left w:w="108" w:type="dxa"/>
              <w:bottom w:w="0" w:type="dxa"/>
              <w:right w:w="108" w:type="dxa"/>
            </w:tcMar>
            <w:vAlign w:val="center"/>
          </w:tcPr>
          <w:p w:rsidR="00516696" w:rsidRPr="00F66363" w:rsidRDefault="00516696" w:rsidP="00516696">
            <w:pPr>
              <w:rPr>
                <w:rFonts w:eastAsia="宋体" w:cs="Times New Roman"/>
                <w:sz w:val="18"/>
                <w:szCs w:val="18"/>
              </w:rPr>
            </w:pPr>
            <w:r w:rsidRPr="00F66363">
              <w:rPr>
                <w:rFonts w:eastAsia="宋体" w:cs="Times New Roman" w:hint="eastAsia"/>
                <w:bCs/>
                <w:sz w:val="18"/>
                <w:szCs w:val="18"/>
              </w:rPr>
              <w:t>合计</w:t>
            </w:r>
          </w:p>
        </w:tc>
        <w:tc>
          <w:tcPr>
            <w:tcW w:w="880" w:type="pct"/>
            <w:shd w:val="clear" w:color="auto" w:fill="auto"/>
            <w:tcMar>
              <w:top w:w="0" w:type="dxa"/>
              <w:left w:w="108" w:type="dxa"/>
              <w:bottom w:w="0" w:type="dxa"/>
              <w:right w:w="108" w:type="dxa"/>
            </w:tcMar>
            <w:vAlign w:val="center"/>
          </w:tcPr>
          <w:p w:rsidR="00516696" w:rsidRPr="00F66363" w:rsidRDefault="00516696" w:rsidP="00516696">
            <w:pPr>
              <w:jc w:val="right"/>
              <w:rPr>
                <w:rFonts w:eastAsia="宋体" w:cs="Times New Roman"/>
                <w:sz w:val="18"/>
                <w:szCs w:val="18"/>
              </w:rPr>
            </w:pPr>
            <w:r w:rsidRPr="00F66363">
              <w:rPr>
                <w:rFonts w:eastAsia="宋体" w:cs="Times New Roman"/>
                <w:sz w:val="18"/>
                <w:szCs w:val="18"/>
              </w:rPr>
              <w:t>3,336,245,242.12</w:t>
            </w:r>
          </w:p>
        </w:tc>
        <w:tc>
          <w:tcPr>
            <w:tcW w:w="880" w:type="pct"/>
            <w:shd w:val="clear" w:color="auto" w:fill="auto"/>
            <w:tcMar>
              <w:top w:w="0" w:type="dxa"/>
              <w:left w:w="108" w:type="dxa"/>
              <w:bottom w:w="0" w:type="dxa"/>
              <w:right w:w="108" w:type="dxa"/>
            </w:tcMar>
            <w:vAlign w:val="center"/>
          </w:tcPr>
          <w:p w:rsidR="00516696" w:rsidRPr="00F66363" w:rsidRDefault="00923282" w:rsidP="00516696">
            <w:pPr>
              <w:jc w:val="right"/>
              <w:rPr>
                <w:rFonts w:eastAsia="宋体" w:cs="Times New Roman"/>
                <w:sz w:val="18"/>
                <w:szCs w:val="18"/>
              </w:rPr>
            </w:pPr>
            <w:r w:rsidRPr="00923282">
              <w:rPr>
                <w:rFonts w:eastAsia="宋体" w:cs="Times New Roman"/>
                <w:sz w:val="18"/>
                <w:szCs w:val="18"/>
              </w:rPr>
              <w:t>27,825,062.93</w:t>
            </w:r>
          </w:p>
        </w:tc>
        <w:tc>
          <w:tcPr>
            <w:tcW w:w="880" w:type="pct"/>
            <w:shd w:val="clear" w:color="auto" w:fill="auto"/>
            <w:tcMar>
              <w:top w:w="0" w:type="dxa"/>
              <w:left w:w="108" w:type="dxa"/>
              <w:bottom w:w="0" w:type="dxa"/>
              <w:right w:w="108" w:type="dxa"/>
            </w:tcMar>
            <w:vAlign w:val="center"/>
          </w:tcPr>
          <w:p w:rsidR="00516696" w:rsidRPr="00F66363" w:rsidRDefault="00923282" w:rsidP="00516696">
            <w:pPr>
              <w:jc w:val="right"/>
              <w:rPr>
                <w:rFonts w:eastAsia="宋体" w:cs="Times New Roman"/>
                <w:sz w:val="18"/>
                <w:szCs w:val="18"/>
              </w:rPr>
            </w:pPr>
            <w:r w:rsidRPr="00923282">
              <w:rPr>
                <w:rFonts w:eastAsia="宋体" w:cs="Times New Roman"/>
                <w:sz w:val="18"/>
                <w:szCs w:val="18"/>
              </w:rPr>
              <w:t>17,487,181.64</w:t>
            </w:r>
          </w:p>
        </w:tc>
        <w:tc>
          <w:tcPr>
            <w:tcW w:w="880" w:type="pct"/>
            <w:shd w:val="clear" w:color="auto" w:fill="auto"/>
            <w:tcMar>
              <w:top w:w="0" w:type="dxa"/>
              <w:left w:w="108" w:type="dxa"/>
              <w:bottom w:w="0" w:type="dxa"/>
              <w:right w:w="108" w:type="dxa"/>
            </w:tcMar>
            <w:vAlign w:val="center"/>
          </w:tcPr>
          <w:p w:rsidR="00516696" w:rsidRPr="00F66363" w:rsidRDefault="00733EC3" w:rsidP="00516696">
            <w:pPr>
              <w:jc w:val="right"/>
              <w:rPr>
                <w:rFonts w:eastAsia="宋体" w:cs="Times New Roman"/>
                <w:sz w:val="18"/>
                <w:szCs w:val="18"/>
              </w:rPr>
            </w:pPr>
            <w:r w:rsidRPr="00733EC3">
              <w:rPr>
                <w:rFonts w:eastAsia="宋体" w:cs="Times New Roman"/>
                <w:sz w:val="18"/>
                <w:szCs w:val="18"/>
              </w:rPr>
              <w:t>3,346,583,123.41</w:t>
            </w:r>
          </w:p>
        </w:tc>
      </w:tr>
    </w:tbl>
    <w:p w:rsidR="00DB70E3" w:rsidRDefault="00DB70E3">
      <w:pPr>
        <w:tabs>
          <w:tab w:val="left" w:pos="1418"/>
        </w:tabs>
        <w:ind w:left="1440" w:hanging="720"/>
        <w:jc w:val="both"/>
        <w:rPr>
          <w:rFonts w:eastAsia="宋体" w:cs="Times New Roman"/>
          <w:szCs w:val="21"/>
        </w:rPr>
      </w:pPr>
    </w:p>
    <w:p w:rsidR="00321FDD" w:rsidRPr="00733EC3" w:rsidRDefault="00732EA5" w:rsidP="00733EC3">
      <w:pPr>
        <w:ind w:left="1440" w:hanging="720"/>
        <w:jc w:val="both"/>
        <w:rPr>
          <w:rFonts w:eastAsia="宋体" w:cs="Times New Roman"/>
          <w:szCs w:val="21"/>
        </w:rPr>
      </w:pPr>
      <w:r w:rsidRPr="00733EC3">
        <w:rPr>
          <w:rFonts w:eastAsia="宋体" w:cs="Times New Roman" w:hint="eastAsia"/>
          <w:szCs w:val="21"/>
        </w:rPr>
        <w:t>注</w:t>
      </w:r>
      <w:r w:rsidR="00BB5183" w:rsidRPr="00733EC3">
        <w:rPr>
          <w:rFonts w:eastAsia="宋体" w:cs="Times New Roman"/>
          <w:szCs w:val="21"/>
        </w:rPr>
        <w:t>1</w:t>
      </w:r>
      <w:r w:rsidR="005F14EE">
        <w:rPr>
          <w:rFonts w:eastAsia="宋体" w:cs="Times New Roman" w:hint="eastAsia"/>
          <w:szCs w:val="21"/>
        </w:rPr>
        <w:t>：</w:t>
      </w:r>
      <w:r w:rsidR="006A7861" w:rsidRPr="00733EC3">
        <w:rPr>
          <w:rFonts w:eastAsia="宋体" w:cs="Times New Roman" w:hint="eastAsia"/>
          <w:szCs w:val="21"/>
        </w:rPr>
        <w:t>本年度，本集团</w:t>
      </w:r>
      <w:r w:rsidR="00321FDD" w:rsidRPr="00733EC3">
        <w:rPr>
          <w:rFonts w:eastAsia="宋体" w:cs="Times New Roman" w:hint="eastAsia"/>
          <w:szCs w:val="21"/>
        </w:rPr>
        <w:t>因以权益结算的股份支付行权，将其他资本公积转入股本溢价人民币</w:t>
      </w:r>
      <w:r w:rsidR="00923282" w:rsidRPr="00923282">
        <w:rPr>
          <w:rFonts w:eastAsia="宋体" w:cs="Times New Roman"/>
          <w:szCs w:val="21"/>
        </w:rPr>
        <w:t>17</w:t>
      </w:r>
      <w:r w:rsidR="00923282">
        <w:rPr>
          <w:rFonts w:eastAsia="宋体" w:cs="Times New Roman"/>
          <w:szCs w:val="21"/>
        </w:rPr>
        <w:t>,</w:t>
      </w:r>
      <w:r w:rsidR="00923282" w:rsidRPr="00923282">
        <w:rPr>
          <w:rFonts w:eastAsia="宋体" w:cs="Times New Roman"/>
          <w:szCs w:val="21"/>
        </w:rPr>
        <w:t>487</w:t>
      </w:r>
      <w:r w:rsidR="00923282">
        <w:rPr>
          <w:rFonts w:eastAsia="宋体" w:cs="Times New Roman"/>
          <w:szCs w:val="21"/>
        </w:rPr>
        <w:t>,</w:t>
      </w:r>
      <w:r w:rsidR="00923282" w:rsidRPr="00923282">
        <w:rPr>
          <w:rFonts w:eastAsia="宋体" w:cs="Times New Roman"/>
          <w:szCs w:val="21"/>
        </w:rPr>
        <w:t>181.64</w:t>
      </w:r>
      <w:r w:rsidR="00321FDD" w:rsidRPr="00733EC3">
        <w:rPr>
          <w:rFonts w:eastAsia="宋体" w:cs="Times New Roman" w:hint="eastAsia"/>
          <w:szCs w:val="21"/>
        </w:rPr>
        <w:t>元。</w:t>
      </w:r>
    </w:p>
    <w:p w:rsidR="00321FDD" w:rsidRPr="00A71D2E" w:rsidRDefault="00321FDD">
      <w:pPr>
        <w:ind w:left="1440" w:hanging="720"/>
        <w:jc w:val="both"/>
        <w:rPr>
          <w:rFonts w:eastAsia="宋体" w:cs="Times New Roman"/>
          <w:szCs w:val="21"/>
        </w:rPr>
      </w:pPr>
    </w:p>
    <w:p w:rsidR="00321FDD" w:rsidRPr="00A71D2E" w:rsidRDefault="00321FDD">
      <w:pPr>
        <w:ind w:left="1440" w:hanging="720"/>
        <w:jc w:val="both"/>
        <w:rPr>
          <w:rFonts w:eastAsia="宋体" w:cs="Times New Roman"/>
          <w:szCs w:val="21"/>
        </w:rPr>
      </w:pPr>
      <w:r w:rsidRPr="00A71D2E">
        <w:rPr>
          <w:rFonts w:eastAsia="宋体" w:cs="Times New Roman" w:hint="eastAsia"/>
          <w:szCs w:val="21"/>
        </w:rPr>
        <w:t>注</w:t>
      </w:r>
      <w:r w:rsidR="009753FB" w:rsidRPr="00A71D2E">
        <w:rPr>
          <w:rFonts w:eastAsia="宋体" w:cs="Times New Roman"/>
          <w:szCs w:val="21"/>
        </w:rPr>
        <w:t>2</w:t>
      </w:r>
      <w:r w:rsidR="005F14EE">
        <w:rPr>
          <w:rFonts w:eastAsia="宋体" w:cs="Times New Roman" w:hint="eastAsia"/>
          <w:szCs w:val="21"/>
        </w:rPr>
        <w:t>：</w:t>
      </w:r>
      <w:r w:rsidRPr="00A71D2E">
        <w:rPr>
          <w:rFonts w:eastAsia="宋体" w:cs="Times New Roman"/>
          <w:szCs w:val="21"/>
        </w:rPr>
        <w:tab/>
      </w:r>
      <w:r w:rsidRPr="00A71D2E">
        <w:rPr>
          <w:rFonts w:eastAsia="宋体" w:cs="Times New Roman" w:hint="eastAsia"/>
          <w:szCs w:val="21"/>
        </w:rPr>
        <w:t>其他资本</w:t>
      </w:r>
      <w:proofErr w:type="gramStart"/>
      <w:r w:rsidRPr="00A71D2E">
        <w:rPr>
          <w:rFonts w:eastAsia="宋体" w:cs="Times New Roman" w:hint="eastAsia"/>
          <w:szCs w:val="21"/>
        </w:rPr>
        <w:t>公积系</w:t>
      </w:r>
      <w:r w:rsidRPr="00DC0345">
        <w:rPr>
          <w:rFonts w:eastAsia="宋体" w:cs="Times New Roman" w:hint="eastAsia"/>
          <w:szCs w:val="21"/>
        </w:rPr>
        <w:t>股权</w:t>
      </w:r>
      <w:proofErr w:type="gramEnd"/>
      <w:r w:rsidRPr="00DC0345">
        <w:rPr>
          <w:rFonts w:eastAsia="宋体" w:cs="Times New Roman" w:hint="eastAsia"/>
          <w:szCs w:val="21"/>
        </w:rPr>
        <w:t>投资合伙企业对本集团员工授予的员工</w:t>
      </w:r>
      <w:proofErr w:type="gramStart"/>
      <w:r w:rsidRPr="00DC0345">
        <w:rPr>
          <w:rFonts w:eastAsia="宋体" w:cs="Times New Roman" w:hint="eastAsia"/>
          <w:szCs w:val="21"/>
        </w:rPr>
        <w:t>跟投创新</w:t>
      </w:r>
      <w:proofErr w:type="gramEnd"/>
      <w:r w:rsidRPr="00DC0345">
        <w:rPr>
          <w:rFonts w:eastAsia="宋体" w:cs="Times New Roman" w:hint="eastAsia"/>
          <w:szCs w:val="21"/>
        </w:rPr>
        <w:t>业务计划作为股份支付进行处理，</w:t>
      </w:r>
      <w:r w:rsidR="000B711F" w:rsidRPr="00DC0345">
        <w:rPr>
          <w:rFonts w:eastAsia="宋体" w:cs="Times New Roman" w:hint="eastAsia"/>
          <w:szCs w:val="21"/>
        </w:rPr>
        <w:t>本年</w:t>
      </w:r>
      <w:r w:rsidRPr="00DC0345">
        <w:rPr>
          <w:rFonts w:eastAsia="宋体" w:cs="Times New Roman" w:hint="eastAsia"/>
          <w:szCs w:val="21"/>
        </w:rPr>
        <w:t>依据权益工具授予日的公允价值将当年取得的服务确认股份支付费用人民币</w:t>
      </w:r>
      <w:r w:rsidR="00DC0345" w:rsidRPr="00DC0345">
        <w:rPr>
          <w:rFonts w:eastAsia="宋体" w:cs="Times New Roman"/>
          <w:szCs w:val="21"/>
        </w:rPr>
        <w:t>10,337,881.29</w:t>
      </w:r>
      <w:r w:rsidRPr="00DC0345">
        <w:rPr>
          <w:rFonts w:eastAsia="宋体" w:cs="Times New Roman" w:hint="eastAsia"/>
          <w:szCs w:val="21"/>
        </w:rPr>
        <w:t>元</w:t>
      </w:r>
      <w:r w:rsidR="00ED2CDD" w:rsidRPr="00DC0345">
        <w:rPr>
          <w:rFonts w:eastAsia="宋体" w:cs="Times New Roman" w:hint="eastAsia"/>
          <w:szCs w:val="21"/>
        </w:rPr>
        <w:t>，</w:t>
      </w:r>
      <w:r w:rsidR="00774943" w:rsidRPr="00DC0345">
        <w:rPr>
          <w:rFonts w:eastAsia="宋体" w:cs="Times New Roman" w:hint="eastAsia"/>
          <w:szCs w:val="21"/>
        </w:rPr>
        <w:t>详见附注</w:t>
      </w:r>
      <w:r w:rsidR="005F14EE">
        <w:rPr>
          <w:rFonts w:eastAsia="宋体" w:cs="Times New Roman"/>
          <w:szCs w:val="21"/>
        </w:rPr>
        <w:t>(</w:t>
      </w:r>
      <w:r w:rsidR="00774943" w:rsidRPr="00DC0345">
        <w:rPr>
          <w:rFonts w:eastAsia="宋体" w:cs="Times New Roman" w:hint="eastAsia"/>
          <w:szCs w:val="21"/>
        </w:rPr>
        <w:t>十</w:t>
      </w:r>
      <w:r w:rsidR="006E21FB">
        <w:rPr>
          <w:rFonts w:eastAsia="宋体" w:cs="Times New Roman" w:hint="eastAsia"/>
          <w:szCs w:val="21"/>
        </w:rPr>
        <w:t>一</w:t>
      </w:r>
      <w:r w:rsidR="005F14EE">
        <w:rPr>
          <w:rFonts w:eastAsia="宋体" w:cs="Times New Roman"/>
          <w:szCs w:val="21"/>
        </w:rPr>
        <w:t>)</w:t>
      </w:r>
      <w:r w:rsidR="00774943" w:rsidRPr="00DC0345">
        <w:rPr>
          <w:rFonts w:eastAsia="宋体" w:cs="Times New Roman" w:hint="eastAsia"/>
          <w:szCs w:val="21"/>
        </w:rPr>
        <w:t>。</w:t>
      </w:r>
    </w:p>
    <w:p w:rsidR="00321FDD" w:rsidRPr="00733EC3" w:rsidRDefault="00321FDD" w:rsidP="00F66363">
      <w:pPr>
        <w:ind w:left="1440" w:hanging="720"/>
        <w:jc w:val="both"/>
        <w:rPr>
          <w:rFonts w:eastAsia="宋体" w:cs="Times New Roman"/>
          <w:szCs w:val="21"/>
        </w:rPr>
      </w:pPr>
    </w:p>
    <w:p w:rsidR="00321FDD" w:rsidRPr="00A71D2E" w:rsidRDefault="00321FDD" w:rsidP="00F66363">
      <w:pPr>
        <w:pStyle w:val="2"/>
        <w:numPr>
          <w:ilvl w:val="2"/>
          <w:numId w:val="1"/>
        </w:numPr>
        <w:ind w:left="1440" w:hanging="720"/>
        <w:rPr>
          <w:rFonts w:ascii="Times New Roman" w:eastAsia="宋体" w:hAnsi="Times New Roman" w:cs="Times New Roman"/>
          <w:szCs w:val="21"/>
        </w:rPr>
      </w:pPr>
      <w:r w:rsidRPr="00A71D2E">
        <w:rPr>
          <w:rFonts w:ascii="Times New Roman" w:eastAsia="宋体" w:hAnsi="Times New Roman" w:cs="Times New Roman" w:hint="eastAsia"/>
          <w:szCs w:val="21"/>
        </w:rPr>
        <w:t>其他综合收益</w:t>
      </w:r>
    </w:p>
    <w:p w:rsidR="00321FDD" w:rsidRPr="00A71D2E" w:rsidRDefault="00321FDD" w:rsidP="00F66363">
      <w:pPr>
        <w:ind w:left="1440" w:hanging="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49"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6"/>
        <w:gridCol w:w="1204"/>
        <w:gridCol w:w="1134"/>
        <w:gridCol w:w="1276"/>
        <w:gridCol w:w="850"/>
        <w:gridCol w:w="1134"/>
        <w:gridCol w:w="993"/>
        <w:gridCol w:w="1232"/>
      </w:tblGrid>
      <w:tr w:rsidR="00B80141" w:rsidRPr="00A71D2E" w:rsidTr="0027505B">
        <w:trPr>
          <w:trHeight w:val="20"/>
        </w:trPr>
        <w:tc>
          <w:tcPr>
            <w:tcW w:w="1626" w:type="dxa"/>
            <w:vMerge w:val="restart"/>
            <w:shd w:val="clear" w:color="auto" w:fill="D9D9D9" w:themeFill="background1" w:themeFillShade="D9"/>
            <w:vAlign w:val="center"/>
            <w:hideMark/>
          </w:tcPr>
          <w:p w:rsidR="00321FDD" w:rsidRPr="0055208C" w:rsidRDefault="00321FDD" w:rsidP="0027505B">
            <w:pPr>
              <w:ind w:left="-15"/>
              <w:jc w:val="center"/>
              <w:rPr>
                <w:rFonts w:eastAsia="宋体" w:cs="Times New Roman"/>
                <w:sz w:val="15"/>
                <w:szCs w:val="15"/>
              </w:rPr>
            </w:pPr>
            <w:r w:rsidRPr="0055208C">
              <w:rPr>
                <w:rFonts w:eastAsia="宋体" w:cs="Times New Roman" w:hint="eastAsia"/>
                <w:sz w:val="15"/>
                <w:szCs w:val="15"/>
              </w:rPr>
              <w:t>项目</w:t>
            </w:r>
          </w:p>
        </w:tc>
        <w:tc>
          <w:tcPr>
            <w:tcW w:w="1204" w:type="dxa"/>
            <w:vMerge w:val="restart"/>
            <w:shd w:val="clear" w:color="auto" w:fill="D9D9D9" w:themeFill="background1" w:themeFillShade="D9"/>
            <w:vAlign w:val="center"/>
            <w:hideMark/>
          </w:tcPr>
          <w:p w:rsidR="00321FDD" w:rsidRPr="0055208C" w:rsidRDefault="00321FDD">
            <w:pPr>
              <w:jc w:val="center"/>
              <w:rPr>
                <w:rFonts w:eastAsia="宋体" w:cs="Times New Roman"/>
                <w:sz w:val="15"/>
                <w:szCs w:val="15"/>
              </w:rPr>
            </w:pPr>
            <w:r w:rsidRPr="0055208C">
              <w:rPr>
                <w:rFonts w:eastAsia="宋体" w:cs="Times New Roman" w:hint="eastAsia"/>
                <w:sz w:val="15"/>
                <w:szCs w:val="15"/>
              </w:rPr>
              <w:t>年初余额</w:t>
            </w:r>
          </w:p>
        </w:tc>
        <w:tc>
          <w:tcPr>
            <w:tcW w:w="5387" w:type="dxa"/>
            <w:gridSpan w:val="5"/>
            <w:shd w:val="clear" w:color="auto" w:fill="D9D9D9" w:themeFill="background1" w:themeFillShade="D9"/>
            <w:vAlign w:val="center"/>
          </w:tcPr>
          <w:p w:rsidR="00321FDD" w:rsidRPr="0055208C" w:rsidRDefault="00BF755B">
            <w:pPr>
              <w:jc w:val="center"/>
              <w:rPr>
                <w:rFonts w:eastAsia="宋体" w:cs="Times New Roman"/>
                <w:sz w:val="15"/>
                <w:szCs w:val="15"/>
              </w:rPr>
            </w:pPr>
            <w:r w:rsidRPr="0055208C">
              <w:rPr>
                <w:rFonts w:eastAsia="宋体" w:cs="Times New Roman" w:hint="eastAsia"/>
                <w:sz w:val="15"/>
                <w:szCs w:val="15"/>
              </w:rPr>
              <w:t>本</w:t>
            </w:r>
            <w:r w:rsidR="00321FDD" w:rsidRPr="0055208C">
              <w:rPr>
                <w:rFonts w:eastAsia="宋体" w:cs="Times New Roman" w:hint="eastAsia"/>
                <w:sz w:val="15"/>
                <w:szCs w:val="15"/>
              </w:rPr>
              <w:t>年发生额</w:t>
            </w:r>
          </w:p>
        </w:tc>
        <w:tc>
          <w:tcPr>
            <w:tcW w:w="1232" w:type="dxa"/>
            <w:vMerge w:val="restart"/>
            <w:shd w:val="clear" w:color="auto" w:fill="D9D9D9" w:themeFill="background1" w:themeFillShade="D9"/>
            <w:vAlign w:val="center"/>
            <w:hideMark/>
          </w:tcPr>
          <w:p w:rsidR="00321FDD" w:rsidRPr="0055208C" w:rsidRDefault="00321FDD">
            <w:pPr>
              <w:shd w:val="clear" w:color="auto" w:fill="D9D9D9" w:themeFill="background1" w:themeFillShade="D9"/>
              <w:ind w:right="-74"/>
              <w:jc w:val="center"/>
              <w:rPr>
                <w:rFonts w:eastAsia="宋体" w:cs="Times New Roman"/>
                <w:sz w:val="15"/>
                <w:szCs w:val="15"/>
              </w:rPr>
            </w:pPr>
            <w:r w:rsidRPr="0055208C">
              <w:rPr>
                <w:rFonts w:eastAsia="宋体" w:cs="Times New Roman" w:hint="eastAsia"/>
                <w:sz w:val="15"/>
                <w:szCs w:val="15"/>
              </w:rPr>
              <w:t>年末余额</w:t>
            </w:r>
          </w:p>
        </w:tc>
      </w:tr>
      <w:tr w:rsidR="0055208C" w:rsidRPr="00A71D2E" w:rsidTr="0027505B">
        <w:trPr>
          <w:trHeight w:val="20"/>
        </w:trPr>
        <w:tc>
          <w:tcPr>
            <w:tcW w:w="1626" w:type="dxa"/>
            <w:vMerge/>
            <w:shd w:val="clear" w:color="auto" w:fill="D9D9D9" w:themeFill="background1" w:themeFillShade="D9"/>
            <w:vAlign w:val="center"/>
            <w:hideMark/>
          </w:tcPr>
          <w:p w:rsidR="00321FDD" w:rsidRPr="0055208C" w:rsidRDefault="00321FDD" w:rsidP="0027505B">
            <w:pPr>
              <w:ind w:left="-15"/>
              <w:rPr>
                <w:rFonts w:eastAsia="宋体" w:cs="Times New Roman"/>
                <w:sz w:val="15"/>
                <w:szCs w:val="15"/>
              </w:rPr>
            </w:pPr>
          </w:p>
        </w:tc>
        <w:tc>
          <w:tcPr>
            <w:tcW w:w="1204" w:type="dxa"/>
            <w:vMerge/>
            <w:shd w:val="clear" w:color="auto" w:fill="D9D9D9" w:themeFill="background1" w:themeFillShade="D9"/>
            <w:vAlign w:val="center"/>
            <w:hideMark/>
          </w:tcPr>
          <w:p w:rsidR="00321FDD" w:rsidRPr="0055208C" w:rsidRDefault="00321FDD">
            <w:pPr>
              <w:rPr>
                <w:rFonts w:eastAsia="宋体" w:cs="Times New Roman"/>
                <w:sz w:val="15"/>
                <w:szCs w:val="15"/>
              </w:rPr>
            </w:pPr>
          </w:p>
        </w:tc>
        <w:tc>
          <w:tcPr>
            <w:tcW w:w="1134" w:type="dxa"/>
            <w:shd w:val="clear" w:color="auto" w:fill="D9D9D9" w:themeFill="background1" w:themeFillShade="D9"/>
            <w:vAlign w:val="center"/>
            <w:hideMark/>
          </w:tcPr>
          <w:p w:rsidR="00060DEA" w:rsidRPr="0055208C" w:rsidRDefault="00986161">
            <w:pPr>
              <w:jc w:val="center"/>
              <w:rPr>
                <w:rFonts w:eastAsia="宋体" w:cs="Times New Roman"/>
                <w:sz w:val="15"/>
                <w:szCs w:val="15"/>
              </w:rPr>
            </w:pPr>
            <w:r w:rsidRPr="0055208C">
              <w:rPr>
                <w:rFonts w:eastAsia="宋体" w:cs="Times New Roman" w:hint="eastAsia"/>
                <w:sz w:val="15"/>
                <w:szCs w:val="15"/>
              </w:rPr>
              <w:t>本</w:t>
            </w:r>
            <w:r w:rsidR="00321FDD" w:rsidRPr="0055208C">
              <w:rPr>
                <w:rFonts w:eastAsia="宋体" w:cs="Times New Roman" w:hint="eastAsia"/>
                <w:sz w:val="15"/>
                <w:szCs w:val="15"/>
              </w:rPr>
              <w:t>年所得税</w:t>
            </w:r>
          </w:p>
          <w:p w:rsidR="00321FDD" w:rsidRPr="0055208C" w:rsidRDefault="00321FDD">
            <w:pPr>
              <w:jc w:val="center"/>
              <w:rPr>
                <w:rFonts w:eastAsia="宋体" w:cs="Times New Roman"/>
                <w:sz w:val="15"/>
                <w:szCs w:val="15"/>
              </w:rPr>
            </w:pPr>
            <w:r w:rsidRPr="0055208C">
              <w:rPr>
                <w:rFonts w:eastAsia="宋体" w:cs="Times New Roman" w:hint="eastAsia"/>
                <w:sz w:val="15"/>
                <w:szCs w:val="15"/>
              </w:rPr>
              <w:t>前发生额</w:t>
            </w:r>
          </w:p>
        </w:tc>
        <w:tc>
          <w:tcPr>
            <w:tcW w:w="1276" w:type="dxa"/>
            <w:shd w:val="clear" w:color="auto" w:fill="D9D9D9" w:themeFill="background1" w:themeFillShade="D9"/>
            <w:vAlign w:val="center"/>
            <w:hideMark/>
          </w:tcPr>
          <w:p w:rsidR="00321FDD" w:rsidRPr="0055208C" w:rsidRDefault="00321FDD" w:rsidP="0055208C">
            <w:pPr>
              <w:jc w:val="center"/>
              <w:rPr>
                <w:rFonts w:eastAsia="宋体" w:cs="Times New Roman"/>
                <w:sz w:val="15"/>
                <w:szCs w:val="15"/>
              </w:rPr>
            </w:pPr>
            <w:r w:rsidRPr="0055208C">
              <w:rPr>
                <w:rFonts w:eastAsia="宋体" w:cs="Times New Roman" w:hint="eastAsia"/>
                <w:sz w:val="15"/>
                <w:szCs w:val="15"/>
              </w:rPr>
              <w:t>减</w:t>
            </w:r>
            <w:r w:rsidR="005F14EE">
              <w:rPr>
                <w:rFonts w:eastAsia="宋体" w:cs="Times New Roman" w:hint="eastAsia"/>
                <w:sz w:val="15"/>
                <w:szCs w:val="15"/>
              </w:rPr>
              <w:t>：</w:t>
            </w:r>
            <w:r w:rsidRPr="0055208C">
              <w:rPr>
                <w:rFonts w:eastAsia="宋体" w:cs="Times New Roman" w:hint="eastAsia"/>
                <w:sz w:val="15"/>
                <w:szCs w:val="15"/>
              </w:rPr>
              <w:t>前期计入其他综合收益当期转入损益</w:t>
            </w:r>
          </w:p>
        </w:tc>
        <w:tc>
          <w:tcPr>
            <w:tcW w:w="850" w:type="dxa"/>
            <w:shd w:val="clear" w:color="auto" w:fill="D9D9D9" w:themeFill="background1" w:themeFillShade="D9"/>
            <w:vAlign w:val="center"/>
            <w:hideMark/>
          </w:tcPr>
          <w:p w:rsidR="00321FDD" w:rsidRPr="0055208C" w:rsidRDefault="00321FDD">
            <w:pPr>
              <w:jc w:val="center"/>
              <w:rPr>
                <w:rFonts w:eastAsia="宋体" w:cs="Times New Roman"/>
                <w:sz w:val="15"/>
                <w:szCs w:val="15"/>
              </w:rPr>
            </w:pPr>
            <w:r w:rsidRPr="0055208C">
              <w:rPr>
                <w:rFonts w:eastAsia="宋体" w:cs="Times New Roman" w:hint="eastAsia"/>
                <w:sz w:val="15"/>
                <w:szCs w:val="15"/>
              </w:rPr>
              <w:t>减</w:t>
            </w:r>
            <w:r w:rsidR="005F14EE">
              <w:rPr>
                <w:rFonts w:eastAsia="宋体" w:cs="Times New Roman" w:hint="eastAsia"/>
                <w:sz w:val="15"/>
                <w:szCs w:val="15"/>
              </w:rPr>
              <w:t>：</w:t>
            </w:r>
            <w:r w:rsidRPr="0055208C">
              <w:rPr>
                <w:rFonts w:eastAsia="宋体" w:cs="Times New Roman" w:hint="eastAsia"/>
                <w:sz w:val="15"/>
                <w:szCs w:val="15"/>
              </w:rPr>
              <w:t>所得税费用</w:t>
            </w:r>
          </w:p>
        </w:tc>
        <w:tc>
          <w:tcPr>
            <w:tcW w:w="1134" w:type="dxa"/>
            <w:shd w:val="clear" w:color="auto" w:fill="D9D9D9" w:themeFill="background1" w:themeFillShade="D9"/>
            <w:vAlign w:val="center"/>
          </w:tcPr>
          <w:p w:rsidR="00321FDD" w:rsidRPr="0055208C" w:rsidRDefault="00321FDD" w:rsidP="0055208C">
            <w:pPr>
              <w:jc w:val="center"/>
              <w:rPr>
                <w:rFonts w:eastAsia="宋体" w:cs="Times New Roman"/>
                <w:sz w:val="15"/>
                <w:szCs w:val="15"/>
              </w:rPr>
            </w:pPr>
            <w:r w:rsidRPr="0055208C">
              <w:rPr>
                <w:rFonts w:eastAsia="宋体" w:cs="Times New Roman" w:hint="eastAsia"/>
                <w:sz w:val="15"/>
                <w:szCs w:val="15"/>
              </w:rPr>
              <w:t>税后归属于母公司所有者</w:t>
            </w:r>
          </w:p>
        </w:tc>
        <w:tc>
          <w:tcPr>
            <w:tcW w:w="993" w:type="dxa"/>
            <w:shd w:val="clear" w:color="auto" w:fill="D9D9D9" w:themeFill="background1" w:themeFillShade="D9"/>
            <w:vAlign w:val="center"/>
            <w:hideMark/>
          </w:tcPr>
          <w:p w:rsidR="00321FDD" w:rsidRPr="0055208C" w:rsidRDefault="00321FDD" w:rsidP="0055208C">
            <w:pPr>
              <w:jc w:val="center"/>
              <w:rPr>
                <w:rFonts w:eastAsia="宋体" w:cs="Times New Roman"/>
                <w:sz w:val="15"/>
                <w:szCs w:val="15"/>
              </w:rPr>
            </w:pPr>
            <w:r w:rsidRPr="0055208C">
              <w:rPr>
                <w:rFonts w:eastAsia="宋体" w:cs="Times New Roman" w:hint="eastAsia"/>
                <w:sz w:val="15"/>
                <w:szCs w:val="15"/>
              </w:rPr>
              <w:t>税后归属于少数股东</w:t>
            </w:r>
          </w:p>
        </w:tc>
        <w:tc>
          <w:tcPr>
            <w:tcW w:w="1232" w:type="dxa"/>
            <w:vMerge/>
            <w:shd w:val="clear" w:color="auto" w:fill="D9D9D9" w:themeFill="background1" w:themeFillShade="D9"/>
            <w:vAlign w:val="center"/>
            <w:hideMark/>
          </w:tcPr>
          <w:p w:rsidR="00321FDD" w:rsidRPr="0055208C" w:rsidRDefault="00321FDD">
            <w:pPr>
              <w:rPr>
                <w:rFonts w:eastAsia="宋体" w:cs="Times New Roman"/>
                <w:sz w:val="15"/>
                <w:szCs w:val="15"/>
              </w:rPr>
            </w:pPr>
          </w:p>
        </w:tc>
      </w:tr>
      <w:tr w:rsidR="0055208C" w:rsidRPr="00A71D2E" w:rsidTr="0027505B">
        <w:trPr>
          <w:trHeight w:val="20"/>
        </w:trPr>
        <w:tc>
          <w:tcPr>
            <w:tcW w:w="1626" w:type="dxa"/>
            <w:shd w:val="clear" w:color="auto" w:fill="auto"/>
            <w:vAlign w:val="center"/>
          </w:tcPr>
          <w:p w:rsidR="00446F76" w:rsidRDefault="0055208C" w:rsidP="003F50C0">
            <w:pPr>
              <w:ind w:left="-15"/>
              <w:jc w:val="center"/>
              <w:rPr>
                <w:rFonts w:eastAsia="宋体" w:cs="Times New Roman"/>
                <w:sz w:val="15"/>
                <w:szCs w:val="15"/>
              </w:rPr>
            </w:pPr>
            <w:r w:rsidRPr="0055208C">
              <w:rPr>
                <w:rFonts w:eastAsia="宋体" w:cs="Times New Roman" w:hint="eastAsia"/>
                <w:sz w:val="15"/>
                <w:szCs w:val="15"/>
              </w:rPr>
              <w:t>以后将重分类进损益</w:t>
            </w:r>
          </w:p>
          <w:p w:rsidR="0055208C" w:rsidRPr="0055208C" w:rsidRDefault="00446F76" w:rsidP="0027505B">
            <w:pPr>
              <w:ind w:left="-15"/>
              <w:rPr>
                <w:rFonts w:eastAsia="宋体" w:cs="Times New Roman"/>
                <w:sz w:val="15"/>
                <w:szCs w:val="15"/>
              </w:rPr>
            </w:pPr>
            <w:r>
              <w:rPr>
                <w:rFonts w:eastAsia="宋体" w:cs="Times New Roman" w:hint="eastAsia"/>
                <w:sz w:val="15"/>
                <w:szCs w:val="15"/>
              </w:rPr>
              <w:t xml:space="preserve"> </w:t>
            </w:r>
            <w:r>
              <w:rPr>
                <w:rFonts w:eastAsia="宋体" w:cs="Times New Roman"/>
                <w:sz w:val="15"/>
                <w:szCs w:val="15"/>
              </w:rPr>
              <w:t xml:space="preserve">   </w:t>
            </w:r>
            <w:r w:rsidR="0055208C" w:rsidRPr="0055208C">
              <w:rPr>
                <w:rFonts w:eastAsia="宋体" w:cs="Times New Roman" w:hint="eastAsia"/>
                <w:sz w:val="15"/>
                <w:szCs w:val="15"/>
              </w:rPr>
              <w:t>的其他综合收益</w:t>
            </w:r>
          </w:p>
        </w:tc>
        <w:tc>
          <w:tcPr>
            <w:tcW w:w="1204"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2,595,089.93</w:t>
            </w:r>
            <w:r>
              <w:rPr>
                <w:rFonts w:eastAsia="宋体" w:cs="Times New Roman"/>
                <w:sz w:val="15"/>
                <w:szCs w:val="15"/>
              </w:rPr>
              <w:t>)</w:t>
            </w:r>
          </w:p>
        </w:tc>
        <w:tc>
          <w:tcPr>
            <w:tcW w:w="1134"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536,941.04</w:t>
            </w:r>
            <w:r>
              <w:rPr>
                <w:rFonts w:eastAsia="宋体" w:cs="Times New Roman"/>
                <w:sz w:val="15"/>
                <w:szCs w:val="15"/>
              </w:rPr>
              <w:t>)</w:t>
            </w:r>
          </w:p>
        </w:tc>
        <w:tc>
          <w:tcPr>
            <w:tcW w:w="1276" w:type="dxa"/>
            <w:shd w:val="clear" w:color="auto" w:fill="auto"/>
            <w:vAlign w:val="center"/>
          </w:tcPr>
          <w:p w:rsidR="0055208C" w:rsidRPr="0055208C" w:rsidRDefault="00605C92" w:rsidP="00605C92">
            <w:pPr>
              <w:pStyle w:val="aff1"/>
              <w:wordWrap w:val="0"/>
              <w:ind w:left="360" w:firstLineChars="0" w:firstLine="0"/>
              <w:jc w:val="right"/>
              <w:rPr>
                <w:sz w:val="15"/>
                <w:szCs w:val="15"/>
              </w:rPr>
            </w:pPr>
            <w:r>
              <w:rPr>
                <w:rFonts w:hint="eastAsia"/>
                <w:sz w:val="15"/>
                <w:szCs w:val="15"/>
              </w:rPr>
              <w:t>-</w:t>
            </w:r>
            <w:r>
              <w:rPr>
                <w:sz w:val="15"/>
                <w:szCs w:val="15"/>
              </w:rPr>
              <w:t>    </w:t>
            </w:r>
          </w:p>
        </w:tc>
        <w:tc>
          <w:tcPr>
            <w:tcW w:w="850" w:type="dxa"/>
            <w:shd w:val="clear" w:color="auto" w:fill="auto"/>
            <w:vAlign w:val="center"/>
          </w:tcPr>
          <w:p w:rsidR="0055208C" w:rsidRPr="0055208C" w:rsidRDefault="00605C92" w:rsidP="00605C92">
            <w:pPr>
              <w:pStyle w:val="aff1"/>
              <w:wordWrap w:val="0"/>
              <w:ind w:left="360" w:firstLineChars="0" w:firstLine="0"/>
              <w:jc w:val="right"/>
              <w:rPr>
                <w:sz w:val="15"/>
                <w:szCs w:val="15"/>
              </w:rPr>
            </w:pPr>
            <w:r>
              <w:rPr>
                <w:rFonts w:hint="eastAsia"/>
                <w:sz w:val="15"/>
                <w:szCs w:val="15"/>
              </w:rPr>
              <w:t>-</w:t>
            </w:r>
            <w:r>
              <w:rPr>
                <w:sz w:val="15"/>
                <w:szCs w:val="15"/>
              </w:rPr>
              <w:t>    </w:t>
            </w:r>
          </w:p>
        </w:tc>
        <w:tc>
          <w:tcPr>
            <w:tcW w:w="1134"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536,941.04</w:t>
            </w:r>
            <w:r>
              <w:rPr>
                <w:rFonts w:eastAsia="宋体" w:cs="Times New Roman"/>
                <w:sz w:val="15"/>
                <w:szCs w:val="15"/>
              </w:rPr>
              <w:t>)</w:t>
            </w:r>
          </w:p>
        </w:tc>
        <w:tc>
          <w:tcPr>
            <w:tcW w:w="993" w:type="dxa"/>
            <w:shd w:val="clear" w:color="auto" w:fill="auto"/>
            <w:vAlign w:val="center"/>
          </w:tcPr>
          <w:p w:rsidR="0055208C" w:rsidRPr="0055208C" w:rsidRDefault="00605C92" w:rsidP="00605C92">
            <w:pPr>
              <w:pStyle w:val="aff1"/>
              <w:wordWrap w:val="0"/>
              <w:ind w:left="360" w:firstLineChars="0" w:firstLine="0"/>
              <w:jc w:val="right"/>
              <w:rPr>
                <w:sz w:val="15"/>
                <w:szCs w:val="15"/>
              </w:rPr>
            </w:pPr>
            <w:r>
              <w:rPr>
                <w:rFonts w:hint="eastAsia"/>
                <w:sz w:val="15"/>
                <w:szCs w:val="15"/>
              </w:rPr>
              <w:t>-</w:t>
            </w:r>
            <w:r>
              <w:rPr>
                <w:sz w:val="15"/>
                <w:szCs w:val="15"/>
              </w:rPr>
              <w:t>    </w:t>
            </w:r>
          </w:p>
        </w:tc>
        <w:tc>
          <w:tcPr>
            <w:tcW w:w="1232"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3,132,030.97</w:t>
            </w:r>
            <w:r>
              <w:rPr>
                <w:rFonts w:eastAsia="宋体" w:cs="Times New Roman"/>
                <w:sz w:val="15"/>
                <w:szCs w:val="15"/>
              </w:rPr>
              <w:t>)</w:t>
            </w:r>
          </w:p>
        </w:tc>
      </w:tr>
      <w:tr w:rsidR="0055208C" w:rsidRPr="00A71D2E" w:rsidTr="0027505B">
        <w:trPr>
          <w:trHeight w:val="20"/>
        </w:trPr>
        <w:tc>
          <w:tcPr>
            <w:tcW w:w="1626" w:type="dxa"/>
            <w:shd w:val="clear" w:color="auto" w:fill="auto"/>
            <w:vAlign w:val="center"/>
          </w:tcPr>
          <w:p w:rsidR="00446F76" w:rsidRDefault="0055208C" w:rsidP="003F50C0">
            <w:pPr>
              <w:tabs>
                <w:tab w:val="left" w:pos="459"/>
              </w:tabs>
              <w:ind w:left="-15"/>
              <w:jc w:val="center"/>
              <w:rPr>
                <w:rFonts w:eastAsia="宋体" w:cs="Times New Roman"/>
                <w:sz w:val="15"/>
                <w:szCs w:val="15"/>
              </w:rPr>
            </w:pPr>
            <w:r w:rsidRPr="0055208C">
              <w:rPr>
                <w:rFonts w:eastAsia="宋体" w:cs="Times New Roman" w:hint="eastAsia"/>
                <w:sz w:val="15"/>
                <w:szCs w:val="15"/>
              </w:rPr>
              <w:t>其中</w:t>
            </w:r>
            <w:r w:rsidR="005F14EE">
              <w:rPr>
                <w:rFonts w:eastAsia="宋体" w:cs="Times New Roman" w:hint="eastAsia"/>
                <w:sz w:val="15"/>
                <w:szCs w:val="15"/>
              </w:rPr>
              <w:t>：</w:t>
            </w:r>
            <w:r w:rsidRPr="0055208C">
              <w:rPr>
                <w:rFonts w:eastAsia="宋体" w:cs="Times New Roman" w:hint="eastAsia"/>
                <w:sz w:val="15"/>
                <w:szCs w:val="15"/>
              </w:rPr>
              <w:t>外币财务报表</w:t>
            </w:r>
          </w:p>
          <w:p w:rsidR="0055208C" w:rsidRPr="0055208C" w:rsidRDefault="00446F76" w:rsidP="0027505B">
            <w:pPr>
              <w:ind w:left="453"/>
              <w:rPr>
                <w:rFonts w:eastAsia="宋体" w:cs="Times New Roman"/>
                <w:sz w:val="15"/>
                <w:szCs w:val="15"/>
              </w:rPr>
            </w:pPr>
            <w:r>
              <w:rPr>
                <w:rFonts w:eastAsia="宋体" w:cs="Times New Roman" w:hint="eastAsia"/>
                <w:sz w:val="15"/>
                <w:szCs w:val="15"/>
              </w:rPr>
              <w:t xml:space="preserve"> </w:t>
            </w:r>
            <w:r>
              <w:rPr>
                <w:rFonts w:eastAsia="宋体" w:cs="Times New Roman"/>
                <w:sz w:val="15"/>
                <w:szCs w:val="15"/>
              </w:rPr>
              <w:t xml:space="preserve">   </w:t>
            </w:r>
            <w:r w:rsidR="0055208C" w:rsidRPr="0055208C">
              <w:rPr>
                <w:rFonts w:eastAsia="宋体" w:cs="Times New Roman" w:hint="eastAsia"/>
                <w:sz w:val="15"/>
                <w:szCs w:val="15"/>
              </w:rPr>
              <w:t>折算差额</w:t>
            </w:r>
          </w:p>
        </w:tc>
        <w:tc>
          <w:tcPr>
            <w:tcW w:w="1204"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2,595,089.93</w:t>
            </w:r>
            <w:r>
              <w:rPr>
                <w:rFonts w:eastAsia="宋体" w:cs="Times New Roman"/>
                <w:sz w:val="15"/>
                <w:szCs w:val="15"/>
              </w:rPr>
              <w:t>)</w:t>
            </w:r>
          </w:p>
        </w:tc>
        <w:tc>
          <w:tcPr>
            <w:tcW w:w="1134"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536,941.04</w:t>
            </w:r>
            <w:r>
              <w:rPr>
                <w:rFonts w:eastAsia="宋体" w:cs="Times New Roman"/>
                <w:sz w:val="15"/>
                <w:szCs w:val="15"/>
              </w:rPr>
              <w:t>)</w:t>
            </w:r>
          </w:p>
        </w:tc>
        <w:tc>
          <w:tcPr>
            <w:tcW w:w="1276" w:type="dxa"/>
            <w:shd w:val="clear" w:color="auto" w:fill="auto"/>
            <w:vAlign w:val="center"/>
          </w:tcPr>
          <w:p w:rsidR="0055208C" w:rsidRPr="0055208C" w:rsidRDefault="00605C92" w:rsidP="00605C92">
            <w:pPr>
              <w:pStyle w:val="aff1"/>
              <w:wordWrap w:val="0"/>
              <w:ind w:left="360" w:firstLineChars="0" w:firstLine="0"/>
              <w:jc w:val="right"/>
              <w:rPr>
                <w:sz w:val="15"/>
                <w:szCs w:val="15"/>
              </w:rPr>
            </w:pPr>
            <w:r>
              <w:rPr>
                <w:rFonts w:hint="eastAsia"/>
                <w:sz w:val="15"/>
                <w:szCs w:val="15"/>
              </w:rPr>
              <w:t>-</w:t>
            </w:r>
            <w:r>
              <w:rPr>
                <w:sz w:val="15"/>
                <w:szCs w:val="15"/>
              </w:rPr>
              <w:t>    </w:t>
            </w:r>
          </w:p>
        </w:tc>
        <w:tc>
          <w:tcPr>
            <w:tcW w:w="850" w:type="dxa"/>
            <w:shd w:val="clear" w:color="auto" w:fill="auto"/>
            <w:vAlign w:val="center"/>
          </w:tcPr>
          <w:p w:rsidR="0055208C" w:rsidRPr="0055208C" w:rsidRDefault="00605C92" w:rsidP="00605C92">
            <w:pPr>
              <w:pStyle w:val="aff1"/>
              <w:wordWrap w:val="0"/>
              <w:ind w:left="360" w:firstLineChars="0" w:firstLine="0"/>
              <w:jc w:val="right"/>
              <w:rPr>
                <w:sz w:val="15"/>
                <w:szCs w:val="15"/>
              </w:rPr>
            </w:pPr>
            <w:r>
              <w:rPr>
                <w:rFonts w:hint="eastAsia"/>
                <w:sz w:val="15"/>
                <w:szCs w:val="15"/>
              </w:rPr>
              <w:t>-</w:t>
            </w:r>
            <w:r>
              <w:rPr>
                <w:sz w:val="15"/>
                <w:szCs w:val="15"/>
              </w:rPr>
              <w:t>    </w:t>
            </w:r>
          </w:p>
        </w:tc>
        <w:tc>
          <w:tcPr>
            <w:tcW w:w="1134"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536,941.04</w:t>
            </w:r>
            <w:r>
              <w:rPr>
                <w:rFonts w:eastAsia="宋体" w:cs="Times New Roman"/>
                <w:sz w:val="15"/>
                <w:szCs w:val="15"/>
              </w:rPr>
              <w:t>)</w:t>
            </w:r>
          </w:p>
        </w:tc>
        <w:tc>
          <w:tcPr>
            <w:tcW w:w="993" w:type="dxa"/>
            <w:shd w:val="clear" w:color="auto" w:fill="auto"/>
            <w:vAlign w:val="center"/>
          </w:tcPr>
          <w:p w:rsidR="0055208C" w:rsidRPr="0055208C" w:rsidRDefault="00605C92" w:rsidP="00605C92">
            <w:pPr>
              <w:pStyle w:val="aff1"/>
              <w:wordWrap w:val="0"/>
              <w:ind w:left="360" w:firstLineChars="0" w:firstLine="0"/>
              <w:jc w:val="right"/>
              <w:rPr>
                <w:sz w:val="15"/>
                <w:szCs w:val="15"/>
              </w:rPr>
            </w:pPr>
            <w:r>
              <w:rPr>
                <w:rFonts w:hint="eastAsia"/>
                <w:sz w:val="15"/>
                <w:szCs w:val="15"/>
              </w:rPr>
              <w:t>-</w:t>
            </w:r>
            <w:r>
              <w:rPr>
                <w:sz w:val="15"/>
                <w:szCs w:val="15"/>
              </w:rPr>
              <w:t>    </w:t>
            </w:r>
          </w:p>
        </w:tc>
        <w:tc>
          <w:tcPr>
            <w:tcW w:w="1232"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3,132,030.97</w:t>
            </w:r>
            <w:r>
              <w:rPr>
                <w:rFonts w:eastAsia="宋体" w:cs="Times New Roman"/>
                <w:sz w:val="15"/>
                <w:szCs w:val="15"/>
              </w:rPr>
              <w:t>)</w:t>
            </w:r>
          </w:p>
        </w:tc>
      </w:tr>
      <w:tr w:rsidR="0055208C" w:rsidRPr="00A71D2E" w:rsidTr="0027505B">
        <w:trPr>
          <w:trHeight w:val="20"/>
        </w:trPr>
        <w:tc>
          <w:tcPr>
            <w:tcW w:w="1626" w:type="dxa"/>
            <w:shd w:val="clear" w:color="auto" w:fill="CCCCCC"/>
            <w:vAlign w:val="center"/>
          </w:tcPr>
          <w:p w:rsidR="0055208C" w:rsidRPr="0055208C" w:rsidRDefault="0055208C" w:rsidP="0027505B">
            <w:pPr>
              <w:ind w:left="-15"/>
              <w:rPr>
                <w:rFonts w:eastAsia="宋体" w:cs="Times New Roman"/>
                <w:sz w:val="15"/>
                <w:szCs w:val="15"/>
              </w:rPr>
            </w:pPr>
            <w:r w:rsidRPr="0055208C">
              <w:rPr>
                <w:rFonts w:eastAsia="宋体" w:cs="Times New Roman" w:hint="eastAsia"/>
                <w:sz w:val="15"/>
                <w:szCs w:val="15"/>
              </w:rPr>
              <w:t>其他</w:t>
            </w:r>
            <w:r w:rsidRPr="0055208C">
              <w:rPr>
                <w:rFonts w:eastAsia="宋体" w:cs="Times New Roman" w:hint="eastAsia"/>
                <w:sz w:val="15"/>
                <w:szCs w:val="15"/>
                <w:shd w:val="clear" w:color="auto" w:fill="D9D9D9"/>
              </w:rPr>
              <w:t>综合收益合计</w:t>
            </w:r>
          </w:p>
        </w:tc>
        <w:tc>
          <w:tcPr>
            <w:tcW w:w="1204"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2,595,089.93</w:t>
            </w:r>
            <w:r>
              <w:rPr>
                <w:rFonts w:eastAsia="宋体" w:cs="Times New Roman"/>
                <w:sz w:val="15"/>
                <w:szCs w:val="15"/>
              </w:rPr>
              <w:t>)</w:t>
            </w:r>
          </w:p>
        </w:tc>
        <w:tc>
          <w:tcPr>
            <w:tcW w:w="1134"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536,941.04</w:t>
            </w:r>
            <w:r>
              <w:rPr>
                <w:rFonts w:eastAsia="宋体" w:cs="Times New Roman"/>
                <w:sz w:val="15"/>
                <w:szCs w:val="15"/>
              </w:rPr>
              <w:t>)</w:t>
            </w:r>
          </w:p>
        </w:tc>
        <w:tc>
          <w:tcPr>
            <w:tcW w:w="1276" w:type="dxa"/>
            <w:shd w:val="clear" w:color="auto" w:fill="auto"/>
            <w:vAlign w:val="center"/>
          </w:tcPr>
          <w:p w:rsidR="0055208C" w:rsidRPr="0055208C" w:rsidRDefault="00605C92" w:rsidP="00605C92">
            <w:pPr>
              <w:pStyle w:val="aff1"/>
              <w:wordWrap w:val="0"/>
              <w:ind w:left="360" w:firstLineChars="0" w:firstLine="0"/>
              <w:jc w:val="right"/>
              <w:rPr>
                <w:sz w:val="15"/>
                <w:szCs w:val="15"/>
              </w:rPr>
            </w:pPr>
            <w:r>
              <w:rPr>
                <w:rFonts w:hint="eastAsia"/>
                <w:sz w:val="15"/>
                <w:szCs w:val="15"/>
              </w:rPr>
              <w:t>-</w:t>
            </w:r>
            <w:r>
              <w:rPr>
                <w:sz w:val="15"/>
                <w:szCs w:val="15"/>
              </w:rPr>
              <w:t>    </w:t>
            </w:r>
          </w:p>
        </w:tc>
        <w:tc>
          <w:tcPr>
            <w:tcW w:w="850" w:type="dxa"/>
            <w:shd w:val="clear" w:color="auto" w:fill="auto"/>
            <w:vAlign w:val="center"/>
          </w:tcPr>
          <w:p w:rsidR="0055208C" w:rsidRPr="0055208C" w:rsidRDefault="00605C92" w:rsidP="00605C92">
            <w:pPr>
              <w:pStyle w:val="aff1"/>
              <w:wordWrap w:val="0"/>
              <w:ind w:left="360" w:firstLineChars="0" w:firstLine="0"/>
              <w:jc w:val="right"/>
              <w:rPr>
                <w:sz w:val="15"/>
                <w:szCs w:val="15"/>
              </w:rPr>
            </w:pPr>
            <w:r>
              <w:rPr>
                <w:rFonts w:hint="eastAsia"/>
                <w:sz w:val="15"/>
                <w:szCs w:val="15"/>
              </w:rPr>
              <w:t>-</w:t>
            </w:r>
            <w:r>
              <w:rPr>
                <w:sz w:val="15"/>
                <w:szCs w:val="15"/>
              </w:rPr>
              <w:t>    </w:t>
            </w:r>
          </w:p>
        </w:tc>
        <w:tc>
          <w:tcPr>
            <w:tcW w:w="1134"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536,941.04</w:t>
            </w:r>
            <w:r>
              <w:rPr>
                <w:rFonts w:eastAsia="宋体" w:cs="Times New Roman"/>
                <w:sz w:val="15"/>
                <w:szCs w:val="15"/>
              </w:rPr>
              <w:t>)</w:t>
            </w:r>
          </w:p>
        </w:tc>
        <w:tc>
          <w:tcPr>
            <w:tcW w:w="993" w:type="dxa"/>
            <w:shd w:val="clear" w:color="auto" w:fill="auto"/>
            <w:vAlign w:val="center"/>
          </w:tcPr>
          <w:p w:rsidR="0055208C" w:rsidRPr="0055208C" w:rsidRDefault="00605C92" w:rsidP="00605C92">
            <w:pPr>
              <w:pStyle w:val="aff1"/>
              <w:wordWrap w:val="0"/>
              <w:ind w:left="360" w:firstLineChars="0" w:firstLine="0"/>
              <w:jc w:val="right"/>
              <w:rPr>
                <w:sz w:val="15"/>
                <w:szCs w:val="15"/>
              </w:rPr>
            </w:pPr>
            <w:r>
              <w:rPr>
                <w:rFonts w:hint="eastAsia"/>
                <w:sz w:val="15"/>
                <w:szCs w:val="15"/>
              </w:rPr>
              <w:t>-</w:t>
            </w:r>
            <w:r>
              <w:rPr>
                <w:sz w:val="15"/>
                <w:szCs w:val="15"/>
              </w:rPr>
              <w:t>    </w:t>
            </w:r>
          </w:p>
        </w:tc>
        <w:tc>
          <w:tcPr>
            <w:tcW w:w="1232" w:type="dxa"/>
            <w:shd w:val="clear" w:color="auto" w:fill="auto"/>
            <w:vAlign w:val="center"/>
          </w:tcPr>
          <w:p w:rsidR="0055208C" w:rsidRPr="0055208C" w:rsidRDefault="005F14EE" w:rsidP="0055208C">
            <w:pPr>
              <w:jc w:val="right"/>
              <w:rPr>
                <w:rFonts w:eastAsia="宋体" w:cs="Times New Roman"/>
                <w:sz w:val="15"/>
                <w:szCs w:val="15"/>
              </w:rPr>
            </w:pPr>
            <w:r>
              <w:rPr>
                <w:rFonts w:eastAsia="宋体" w:cs="Times New Roman"/>
                <w:sz w:val="15"/>
                <w:szCs w:val="15"/>
              </w:rPr>
              <w:t>(</w:t>
            </w:r>
            <w:r w:rsidR="0055208C" w:rsidRPr="0055208C">
              <w:rPr>
                <w:rFonts w:eastAsia="宋体" w:cs="Times New Roman"/>
                <w:sz w:val="15"/>
                <w:szCs w:val="15"/>
              </w:rPr>
              <w:t>3,132,030.97</w:t>
            </w:r>
            <w:r>
              <w:rPr>
                <w:rFonts w:eastAsia="宋体" w:cs="Times New Roman"/>
                <w:sz w:val="15"/>
                <w:szCs w:val="15"/>
              </w:rPr>
              <w:t>)</w:t>
            </w:r>
          </w:p>
        </w:tc>
      </w:tr>
    </w:tbl>
    <w:p w:rsidR="00DA1AAC" w:rsidRDefault="00DA1AAC" w:rsidP="00F66363">
      <w:pPr>
        <w:ind w:left="720"/>
        <w:jc w:val="both"/>
        <w:rPr>
          <w:rFonts w:eastAsia="宋体" w:cs="Times New Roman"/>
          <w:szCs w:val="21"/>
        </w:rPr>
      </w:pPr>
    </w:p>
    <w:p w:rsidR="00DA1AAC" w:rsidRDefault="00DA1AAC">
      <w:pPr>
        <w:adjustRightInd/>
        <w:snapToGrid/>
        <w:rPr>
          <w:rFonts w:eastAsia="宋体" w:cs="Times New Roman"/>
          <w:szCs w:val="21"/>
        </w:rPr>
      </w:pPr>
      <w:r>
        <w:rPr>
          <w:rFonts w:eastAsia="宋体" w:cs="Times New Roman"/>
          <w:szCs w:val="21"/>
        </w:rPr>
        <w:br w:type="page"/>
      </w:r>
    </w:p>
    <w:p w:rsidR="00DA1AAC" w:rsidRPr="00F66363" w:rsidRDefault="005F14EE" w:rsidP="00DA1AAC">
      <w:pPr>
        <w:rPr>
          <w:rFonts w:eastAsia="宋体" w:cs="Times New Roman"/>
          <w:szCs w:val="21"/>
        </w:rPr>
      </w:pPr>
      <w:r>
        <w:rPr>
          <w:rFonts w:eastAsia="宋体" w:cs="Times New Roman"/>
          <w:b/>
          <w:szCs w:val="21"/>
        </w:rPr>
        <w:t>(</w:t>
      </w:r>
      <w:r w:rsidR="00DA1AAC" w:rsidRPr="00F66363">
        <w:rPr>
          <w:rFonts w:eastAsia="宋体" w:cs="Times New Roman" w:hint="eastAsia"/>
          <w:b/>
          <w:szCs w:val="21"/>
        </w:rPr>
        <w:t>五</w:t>
      </w:r>
      <w:r>
        <w:rPr>
          <w:rFonts w:eastAsia="宋体" w:cs="Times New Roman"/>
          <w:b/>
          <w:szCs w:val="21"/>
        </w:rPr>
        <w:t>)</w:t>
      </w:r>
      <w:r w:rsidR="00DA1AAC" w:rsidRPr="00F66363">
        <w:rPr>
          <w:rFonts w:eastAsia="宋体" w:cs="Times New Roman"/>
          <w:b/>
          <w:szCs w:val="21"/>
        </w:rPr>
        <w:tab/>
      </w:r>
      <w:r w:rsidR="00DA1AAC" w:rsidRPr="00F66363">
        <w:rPr>
          <w:rFonts w:eastAsia="宋体" w:cs="Times New Roman" w:hint="eastAsia"/>
          <w:b/>
          <w:szCs w:val="21"/>
        </w:rPr>
        <w:t>合并财务报表项目注释</w:t>
      </w:r>
      <w:r w:rsidR="00DA1AAC" w:rsidRPr="00F66363">
        <w:rPr>
          <w:rFonts w:eastAsia="宋体" w:cs="Times New Roman"/>
          <w:bCs/>
          <w:szCs w:val="21"/>
        </w:rPr>
        <w:t xml:space="preserve"> </w:t>
      </w:r>
      <w:r w:rsidR="00DA1AAC" w:rsidRPr="00F66363">
        <w:rPr>
          <w:rFonts w:eastAsia="宋体" w:cs="Times New Roman"/>
          <w:szCs w:val="21"/>
        </w:rPr>
        <w:t xml:space="preserve">- </w:t>
      </w:r>
      <w:r w:rsidR="00DA1AAC" w:rsidRPr="00F66363">
        <w:rPr>
          <w:rFonts w:eastAsia="宋体" w:cs="Times New Roman" w:hint="eastAsia"/>
          <w:szCs w:val="21"/>
        </w:rPr>
        <w:t>续</w:t>
      </w:r>
    </w:p>
    <w:p w:rsidR="00685790" w:rsidRPr="00DA1AAC" w:rsidRDefault="00685790" w:rsidP="00F66363">
      <w:pPr>
        <w:ind w:left="720"/>
        <w:jc w:val="both"/>
        <w:rPr>
          <w:rFonts w:eastAsia="宋体" w:cs="Times New Roman"/>
          <w:szCs w:val="21"/>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盈余公积</w:t>
      </w:r>
    </w:p>
    <w:p w:rsidR="00321FDD" w:rsidRPr="00A71D2E" w:rsidRDefault="00321FDD">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52"/>
        <w:gridCol w:w="1676"/>
        <w:gridCol w:w="1676"/>
        <w:gridCol w:w="1675"/>
        <w:gridCol w:w="1675"/>
      </w:tblGrid>
      <w:tr w:rsidR="00321FDD" w:rsidRPr="00A71D2E" w:rsidTr="0027505B">
        <w:trPr>
          <w:trHeight w:val="20"/>
        </w:trPr>
        <w:tc>
          <w:tcPr>
            <w:tcW w:w="1455" w:type="pct"/>
            <w:shd w:val="clear" w:color="auto" w:fill="D9D9D9" w:themeFill="background1" w:themeFillShade="D9"/>
            <w:tcMar>
              <w:top w:w="0" w:type="dxa"/>
              <w:left w:w="108" w:type="dxa"/>
              <w:bottom w:w="0" w:type="dxa"/>
              <w:right w:w="108" w:type="dxa"/>
            </w:tcMar>
            <w:vAlign w:val="center"/>
            <w:hideMark/>
          </w:tcPr>
          <w:p w:rsidR="00321FDD" w:rsidRPr="00A71D2E" w:rsidRDefault="00321FDD">
            <w:pPr>
              <w:jc w:val="center"/>
              <w:rPr>
                <w:rFonts w:eastAsia="宋体" w:cs="Times New Roman"/>
                <w:sz w:val="18"/>
                <w:szCs w:val="18"/>
              </w:rPr>
            </w:pPr>
            <w:r w:rsidRPr="00A71D2E">
              <w:rPr>
                <w:rFonts w:eastAsia="宋体" w:cs="Times New Roman" w:hint="eastAsia"/>
                <w:sz w:val="18"/>
                <w:szCs w:val="18"/>
              </w:rPr>
              <w:t>项目</w:t>
            </w:r>
          </w:p>
        </w:tc>
        <w:tc>
          <w:tcPr>
            <w:tcW w:w="886" w:type="pct"/>
            <w:shd w:val="clear" w:color="auto" w:fill="D9D9D9" w:themeFill="background1" w:themeFillShade="D9"/>
            <w:tcMar>
              <w:top w:w="0" w:type="dxa"/>
              <w:left w:w="108" w:type="dxa"/>
              <w:bottom w:w="0" w:type="dxa"/>
              <w:right w:w="108" w:type="dxa"/>
            </w:tcMar>
            <w:vAlign w:val="center"/>
            <w:hideMark/>
          </w:tcPr>
          <w:p w:rsidR="00321FDD" w:rsidRPr="00A71D2E" w:rsidRDefault="00321FDD">
            <w:pPr>
              <w:jc w:val="center"/>
              <w:rPr>
                <w:rFonts w:eastAsia="宋体" w:cs="Times New Roman"/>
                <w:sz w:val="18"/>
                <w:szCs w:val="18"/>
              </w:rPr>
            </w:pPr>
            <w:r w:rsidRPr="00A71D2E">
              <w:rPr>
                <w:rFonts w:eastAsia="宋体" w:cs="Times New Roman" w:hint="eastAsia"/>
                <w:sz w:val="18"/>
                <w:szCs w:val="18"/>
              </w:rPr>
              <w:t>年初余额</w:t>
            </w:r>
            <w:r w:rsidR="005F14EE">
              <w:rPr>
                <w:rFonts w:eastAsia="宋体" w:cs="Times New Roman" w:hint="eastAsia"/>
                <w:sz w:val="18"/>
                <w:szCs w:val="18"/>
              </w:rPr>
              <w:t>(</w:t>
            </w:r>
            <w:r w:rsidR="00433E9E">
              <w:rPr>
                <w:rFonts w:eastAsia="宋体" w:cs="Times New Roman" w:hint="eastAsia"/>
                <w:sz w:val="18"/>
                <w:szCs w:val="18"/>
              </w:rPr>
              <w:t>已重述</w:t>
            </w:r>
            <w:r w:rsidR="005F14EE">
              <w:rPr>
                <w:rFonts w:eastAsia="宋体" w:cs="Times New Roman" w:hint="eastAsia"/>
                <w:sz w:val="18"/>
                <w:szCs w:val="18"/>
              </w:rPr>
              <w:t>)</w:t>
            </w:r>
          </w:p>
        </w:tc>
        <w:tc>
          <w:tcPr>
            <w:tcW w:w="886" w:type="pct"/>
            <w:shd w:val="clear" w:color="auto" w:fill="D9D9D9" w:themeFill="background1" w:themeFillShade="D9"/>
            <w:tcMar>
              <w:top w:w="0" w:type="dxa"/>
              <w:left w:w="108" w:type="dxa"/>
              <w:bottom w:w="0" w:type="dxa"/>
              <w:right w:w="108" w:type="dxa"/>
            </w:tcMar>
            <w:vAlign w:val="center"/>
            <w:hideMark/>
          </w:tcPr>
          <w:p w:rsidR="00321FDD" w:rsidRPr="00A71D2E" w:rsidRDefault="00AB6189">
            <w:pPr>
              <w:jc w:val="center"/>
              <w:rPr>
                <w:rFonts w:eastAsia="宋体" w:cs="Times New Roman"/>
                <w:sz w:val="18"/>
                <w:szCs w:val="18"/>
              </w:rPr>
            </w:pPr>
            <w:r w:rsidRPr="00A71D2E">
              <w:rPr>
                <w:rFonts w:eastAsia="宋体" w:cs="Times New Roman" w:hint="eastAsia"/>
                <w:sz w:val="18"/>
                <w:szCs w:val="18"/>
              </w:rPr>
              <w:t>本</w:t>
            </w:r>
            <w:r w:rsidR="00321FDD" w:rsidRPr="00A71D2E">
              <w:rPr>
                <w:rFonts w:eastAsia="宋体" w:cs="Times New Roman" w:hint="eastAsia"/>
                <w:sz w:val="18"/>
                <w:szCs w:val="18"/>
              </w:rPr>
              <w:t>年增加</w:t>
            </w:r>
          </w:p>
        </w:tc>
        <w:tc>
          <w:tcPr>
            <w:tcW w:w="886" w:type="pct"/>
            <w:shd w:val="clear" w:color="auto" w:fill="D9D9D9" w:themeFill="background1" w:themeFillShade="D9"/>
            <w:tcMar>
              <w:top w:w="0" w:type="dxa"/>
              <w:left w:w="108" w:type="dxa"/>
              <w:bottom w:w="0" w:type="dxa"/>
              <w:right w:w="108" w:type="dxa"/>
            </w:tcMar>
            <w:vAlign w:val="center"/>
            <w:hideMark/>
          </w:tcPr>
          <w:p w:rsidR="00321FDD" w:rsidRPr="00A71D2E" w:rsidRDefault="00AB6189">
            <w:pPr>
              <w:jc w:val="center"/>
              <w:rPr>
                <w:rFonts w:eastAsia="宋体" w:cs="Times New Roman"/>
                <w:sz w:val="18"/>
                <w:szCs w:val="18"/>
              </w:rPr>
            </w:pPr>
            <w:r w:rsidRPr="00A71D2E">
              <w:rPr>
                <w:rFonts w:eastAsia="宋体" w:cs="Times New Roman" w:hint="eastAsia"/>
                <w:sz w:val="18"/>
                <w:szCs w:val="18"/>
              </w:rPr>
              <w:t>本</w:t>
            </w:r>
            <w:r w:rsidR="00321FDD" w:rsidRPr="00A71D2E">
              <w:rPr>
                <w:rFonts w:eastAsia="宋体" w:cs="Times New Roman" w:hint="eastAsia"/>
                <w:sz w:val="18"/>
                <w:szCs w:val="18"/>
              </w:rPr>
              <w:t>年减少</w:t>
            </w:r>
          </w:p>
        </w:tc>
        <w:tc>
          <w:tcPr>
            <w:tcW w:w="886" w:type="pct"/>
            <w:shd w:val="clear" w:color="auto" w:fill="D9D9D9" w:themeFill="background1" w:themeFillShade="D9"/>
            <w:tcMar>
              <w:top w:w="0" w:type="dxa"/>
              <w:left w:w="108" w:type="dxa"/>
              <w:bottom w:w="0" w:type="dxa"/>
              <w:right w:w="108" w:type="dxa"/>
            </w:tcMar>
            <w:vAlign w:val="center"/>
            <w:hideMark/>
          </w:tcPr>
          <w:p w:rsidR="00321FDD" w:rsidRPr="00A71D2E" w:rsidRDefault="00321FDD">
            <w:pPr>
              <w:jc w:val="center"/>
              <w:rPr>
                <w:rFonts w:eastAsia="宋体" w:cs="Times New Roman"/>
                <w:sz w:val="18"/>
                <w:szCs w:val="18"/>
              </w:rPr>
            </w:pPr>
            <w:r w:rsidRPr="00A71D2E">
              <w:rPr>
                <w:rFonts w:eastAsia="宋体" w:cs="Times New Roman" w:hint="eastAsia"/>
                <w:sz w:val="18"/>
                <w:szCs w:val="18"/>
              </w:rPr>
              <w:t>年末余额</w:t>
            </w:r>
          </w:p>
        </w:tc>
      </w:tr>
      <w:tr w:rsidR="007640E0" w:rsidRPr="00A71D2E" w:rsidTr="0027505B">
        <w:trPr>
          <w:trHeight w:val="20"/>
        </w:trPr>
        <w:tc>
          <w:tcPr>
            <w:tcW w:w="1455" w:type="pct"/>
            <w:shd w:val="clear" w:color="auto" w:fill="auto"/>
            <w:tcMar>
              <w:top w:w="0" w:type="dxa"/>
              <w:left w:w="108" w:type="dxa"/>
              <w:bottom w:w="0" w:type="dxa"/>
              <w:right w:w="108" w:type="dxa"/>
            </w:tcMar>
            <w:vAlign w:val="center"/>
          </w:tcPr>
          <w:p w:rsidR="007640E0" w:rsidRPr="00A71D2E" w:rsidRDefault="007640E0" w:rsidP="007640E0">
            <w:pPr>
              <w:rPr>
                <w:rFonts w:eastAsia="宋体" w:cs="Times New Roman"/>
                <w:sz w:val="18"/>
                <w:szCs w:val="18"/>
              </w:rPr>
            </w:pPr>
            <w:r w:rsidRPr="00A71D2E">
              <w:rPr>
                <w:rFonts w:eastAsia="宋体" w:cs="Times New Roman" w:hint="eastAsia"/>
                <w:sz w:val="18"/>
                <w:szCs w:val="18"/>
              </w:rPr>
              <w:t>法定盈余公积</w:t>
            </w:r>
          </w:p>
        </w:tc>
        <w:tc>
          <w:tcPr>
            <w:tcW w:w="886" w:type="pct"/>
            <w:shd w:val="clear" w:color="auto" w:fill="auto"/>
            <w:tcMar>
              <w:top w:w="0" w:type="dxa"/>
              <w:left w:w="108" w:type="dxa"/>
              <w:bottom w:w="0" w:type="dxa"/>
              <w:right w:w="108" w:type="dxa"/>
            </w:tcMar>
            <w:vAlign w:val="center"/>
          </w:tcPr>
          <w:p w:rsidR="007640E0" w:rsidRPr="00A71D2E" w:rsidRDefault="00433E9E" w:rsidP="007640E0">
            <w:pPr>
              <w:jc w:val="right"/>
              <w:rPr>
                <w:rFonts w:eastAsia="宋体" w:cs="Times New Roman"/>
                <w:sz w:val="18"/>
                <w:szCs w:val="18"/>
              </w:rPr>
            </w:pPr>
            <w:r w:rsidRPr="005E0042">
              <w:rPr>
                <w:sz w:val="18"/>
                <w:szCs w:val="18"/>
              </w:rPr>
              <w:t>41,121,077.83</w:t>
            </w:r>
          </w:p>
        </w:tc>
        <w:tc>
          <w:tcPr>
            <w:tcW w:w="886" w:type="pct"/>
            <w:shd w:val="clear" w:color="auto" w:fill="auto"/>
            <w:tcMar>
              <w:top w:w="0" w:type="dxa"/>
              <w:left w:w="108" w:type="dxa"/>
              <w:bottom w:w="0" w:type="dxa"/>
              <w:right w:w="108" w:type="dxa"/>
            </w:tcMar>
            <w:vAlign w:val="center"/>
          </w:tcPr>
          <w:p w:rsidR="007640E0" w:rsidRPr="00A71D2E" w:rsidRDefault="008B4FD3" w:rsidP="007640E0">
            <w:pPr>
              <w:jc w:val="right"/>
              <w:rPr>
                <w:rFonts w:eastAsia="宋体" w:cs="Times New Roman"/>
                <w:sz w:val="18"/>
                <w:szCs w:val="18"/>
              </w:rPr>
            </w:pPr>
            <w:r w:rsidRPr="008B4FD3">
              <w:rPr>
                <w:rFonts w:eastAsia="宋体" w:cs="Times New Roman"/>
                <w:sz w:val="18"/>
                <w:szCs w:val="18"/>
              </w:rPr>
              <w:t>60,559,864.86</w:t>
            </w:r>
          </w:p>
        </w:tc>
        <w:tc>
          <w:tcPr>
            <w:tcW w:w="886" w:type="pct"/>
            <w:shd w:val="clear" w:color="auto" w:fill="auto"/>
            <w:tcMar>
              <w:top w:w="0" w:type="dxa"/>
              <w:left w:w="108" w:type="dxa"/>
              <w:bottom w:w="0" w:type="dxa"/>
              <w:right w:w="108" w:type="dxa"/>
            </w:tcMar>
            <w:vAlign w:val="center"/>
          </w:tcPr>
          <w:p w:rsidR="007640E0" w:rsidRPr="008B4FD3" w:rsidRDefault="0005198E" w:rsidP="0005198E">
            <w:pPr>
              <w:pStyle w:val="aff1"/>
              <w:wordWrap w:val="0"/>
              <w:ind w:left="589" w:firstLineChars="0" w:firstLine="0"/>
              <w:jc w:val="right"/>
              <w:rPr>
                <w:sz w:val="18"/>
                <w:szCs w:val="18"/>
              </w:rPr>
            </w:pPr>
            <w:r>
              <w:rPr>
                <w:rFonts w:hint="eastAsia"/>
                <w:sz w:val="18"/>
                <w:szCs w:val="18"/>
              </w:rPr>
              <w:t>-</w:t>
            </w:r>
            <w:r>
              <w:rPr>
                <w:sz w:val="18"/>
                <w:szCs w:val="18"/>
              </w:rPr>
              <w:t>    </w:t>
            </w:r>
          </w:p>
        </w:tc>
        <w:tc>
          <w:tcPr>
            <w:tcW w:w="886" w:type="pct"/>
            <w:shd w:val="clear" w:color="auto" w:fill="auto"/>
            <w:tcMar>
              <w:top w:w="0" w:type="dxa"/>
              <w:left w:w="108" w:type="dxa"/>
              <w:bottom w:w="0" w:type="dxa"/>
              <w:right w:w="108" w:type="dxa"/>
            </w:tcMar>
            <w:vAlign w:val="center"/>
          </w:tcPr>
          <w:p w:rsidR="007640E0" w:rsidRPr="00A71D2E" w:rsidRDefault="008B4FD3" w:rsidP="007640E0">
            <w:pPr>
              <w:jc w:val="right"/>
              <w:rPr>
                <w:rFonts w:eastAsia="宋体" w:cs="Times New Roman"/>
                <w:sz w:val="18"/>
                <w:szCs w:val="18"/>
              </w:rPr>
            </w:pPr>
            <w:r w:rsidRPr="008B4FD3">
              <w:rPr>
                <w:rFonts w:eastAsia="宋体" w:cs="Times New Roman"/>
                <w:sz w:val="18"/>
                <w:szCs w:val="18"/>
              </w:rPr>
              <w:t>101,680,942.69</w:t>
            </w:r>
          </w:p>
        </w:tc>
      </w:tr>
      <w:tr w:rsidR="007640E0" w:rsidRPr="00A71D2E" w:rsidTr="0027505B">
        <w:trPr>
          <w:trHeight w:val="20"/>
        </w:trPr>
        <w:tc>
          <w:tcPr>
            <w:tcW w:w="1455" w:type="pct"/>
            <w:shd w:val="clear" w:color="auto" w:fill="D9D9D9" w:themeFill="background1" w:themeFillShade="D9"/>
            <w:tcMar>
              <w:top w:w="0" w:type="dxa"/>
              <w:left w:w="108" w:type="dxa"/>
              <w:bottom w:w="0" w:type="dxa"/>
              <w:right w:w="108" w:type="dxa"/>
            </w:tcMar>
            <w:vAlign w:val="center"/>
          </w:tcPr>
          <w:p w:rsidR="007640E0" w:rsidRPr="00A71D2E" w:rsidRDefault="007640E0" w:rsidP="007640E0">
            <w:pPr>
              <w:rPr>
                <w:rFonts w:eastAsia="宋体" w:cs="Times New Roman"/>
                <w:sz w:val="18"/>
                <w:szCs w:val="18"/>
              </w:rPr>
            </w:pPr>
            <w:r w:rsidRPr="00A71D2E">
              <w:rPr>
                <w:rFonts w:eastAsia="宋体" w:cs="Times New Roman" w:hint="eastAsia"/>
                <w:bCs/>
                <w:sz w:val="18"/>
                <w:szCs w:val="18"/>
              </w:rPr>
              <w:t>合计</w:t>
            </w:r>
          </w:p>
        </w:tc>
        <w:tc>
          <w:tcPr>
            <w:tcW w:w="886" w:type="pct"/>
            <w:shd w:val="clear" w:color="auto" w:fill="auto"/>
            <w:tcMar>
              <w:top w:w="0" w:type="dxa"/>
              <w:left w:w="108" w:type="dxa"/>
              <w:bottom w:w="0" w:type="dxa"/>
              <w:right w:w="108" w:type="dxa"/>
            </w:tcMar>
            <w:vAlign w:val="center"/>
          </w:tcPr>
          <w:p w:rsidR="007640E0" w:rsidRPr="00A71D2E" w:rsidRDefault="00433E9E" w:rsidP="007640E0">
            <w:pPr>
              <w:jc w:val="right"/>
              <w:rPr>
                <w:rFonts w:eastAsia="宋体" w:cs="Times New Roman"/>
                <w:sz w:val="18"/>
                <w:szCs w:val="18"/>
              </w:rPr>
            </w:pPr>
            <w:r w:rsidRPr="005E0042">
              <w:rPr>
                <w:sz w:val="18"/>
                <w:szCs w:val="18"/>
              </w:rPr>
              <w:t>41,121,077.83</w:t>
            </w:r>
          </w:p>
        </w:tc>
        <w:tc>
          <w:tcPr>
            <w:tcW w:w="886" w:type="pct"/>
            <w:shd w:val="clear" w:color="auto" w:fill="auto"/>
            <w:tcMar>
              <w:top w:w="0" w:type="dxa"/>
              <w:left w:w="108" w:type="dxa"/>
              <w:bottom w:w="0" w:type="dxa"/>
              <w:right w:w="108" w:type="dxa"/>
            </w:tcMar>
            <w:vAlign w:val="center"/>
          </w:tcPr>
          <w:p w:rsidR="007640E0" w:rsidRPr="00A71D2E" w:rsidRDefault="008B4FD3" w:rsidP="007640E0">
            <w:pPr>
              <w:jc w:val="right"/>
              <w:rPr>
                <w:rFonts w:eastAsia="宋体" w:cs="Times New Roman"/>
                <w:sz w:val="18"/>
                <w:szCs w:val="18"/>
              </w:rPr>
            </w:pPr>
            <w:r w:rsidRPr="008B4FD3">
              <w:rPr>
                <w:rFonts w:eastAsia="宋体" w:cs="Times New Roman"/>
                <w:sz w:val="18"/>
                <w:szCs w:val="18"/>
              </w:rPr>
              <w:t>60,559,864.86</w:t>
            </w:r>
          </w:p>
        </w:tc>
        <w:tc>
          <w:tcPr>
            <w:tcW w:w="886" w:type="pct"/>
            <w:shd w:val="clear" w:color="auto" w:fill="auto"/>
            <w:tcMar>
              <w:top w:w="0" w:type="dxa"/>
              <w:left w:w="108" w:type="dxa"/>
              <w:bottom w:w="0" w:type="dxa"/>
              <w:right w:w="108" w:type="dxa"/>
            </w:tcMar>
            <w:vAlign w:val="center"/>
          </w:tcPr>
          <w:p w:rsidR="007640E0" w:rsidRPr="008B4FD3" w:rsidRDefault="0005198E" w:rsidP="0005198E">
            <w:pPr>
              <w:pStyle w:val="aff1"/>
              <w:wordWrap w:val="0"/>
              <w:ind w:left="360" w:firstLineChars="0" w:firstLine="0"/>
              <w:jc w:val="right"/>
              <w:rPr>
                <w:sz w:val="18"/>
                <w:szCs w:val="18"/>
              </w:rPr>
            </w:pPr>
            <w:r>
              <w:rPr>
                <w:rFonts w:hint="eastAsia"/>
                <w:sz w:val="18"/>
                <w:szCs w:val="18"/>
              </w:rPr>
              <w:t>-</w:t>
            </w:r>
            <w:r>
              <w:rPr>
                <w:sz w:val="18"/>
                <w:szCs w:val="18"/>
              </w:rPr>
              <w:t>    </w:t>
            </w:r>
          </w:p>
        </w:tc>
        <w:tc>
          <w:tcPr>
            <w:tcW w:w="886" w:type="pct"/>
            <w:shd w:val="clear" w:color="auto" w:fill="auto"/>
            <w:tcMar>
              <w:top w:w="0" w:type="dxa"/>
              <w:left w:w="108" w:type="dxa"/>
              <w:bottom w:w="0" w:type="dxa"/>
              <w:right w:w="108" w:type="dxa"/>
            </w:tcMar>
            <w:vAlign w:val="center"/>
          </w:tcPr>
          <w:p w:rsidR="007640E0" w:rsidRPr="00A71D2E" w:rsidRDefault="008B4FD3" w:rsidP="007640E0">
            <w:pPr>
              <w:jc w:val="right"/>
              <w:rPr>
                <w:rFonts w:eastAsia="宋体" w:cs="Times New Roman"/>
                <w:sz w:val="18"/>
                <w:szCs w:val="18"/>
              </w:rPr>
            </w:pPr>
            <w:r w:rsidRPr="008B4FD3">
              <w:rPr>
                <w:rFonts w:eastAsia="宋体" w:cs="Times New Roman"/>
                <w:sz w:val="18"/>
                <w:szCs w:val="18"/>
              </w:rPr>
              <w:t>101,680,942.69</w:t>
            </w:r>
          </w:p>
        </w:tc>
      </w:tr>
    </w:tbl>
    <w:p w:rsidR="00321FDD" w:rsidRPr="00A71D2E" w:rsidRDefault="00321FDD">
      <w:pPr>
        <w:ind w:left="720"/>
        <w:jc w:val="both"/>
        <w:rPr>
          <w:rFonts w:eastAsia="宋体" w:cs="Times New Roman"/>
          <w:szCs w:val="21"/>
        </w:rPr>
      </w:pPr>
    </w:p>
    <w:p w:rsidR="00321FDD" w:rsidRPr="00A71D2E" w:rsidRDefault="009F7B82" w:rsidP="0027505B">
      <w:pPr>
        <w:ind w:left="1440" w:hanging="720"/>
        <w:jc w:val="both"/>
        <w:rPr>
          <w:rFonts w:eastAsia="宋体" w:cs="Times New Roman"/>
          <w:szCs w:val="21"/>
        </w:rPr>
      </w:pPr>
      <w:r w:rsidRPr="00A71D2E">
        <w:rPr>
          <w:rFonts w:eastAsia="宋体" w:cs="Times New Roman" w:hint="eastAsia"/>
          <w:szCs w:val="21"/>
        </w:rPr>
        <w:t>注</w:t>
      </w:r>
      <w:r w:rsidR="005F14EE">
        <w:rPr>
          <w:rFonts w:eastAsia="宋体" w:cs="Times New Roman" w:hint="eastAsia"/>
          <w:szCs w:val="21"/>
        </w:rPr>
        <w:t>：</w:t>
      </w:r>
      <w:r w:rsidR="00E7089C" w:rsidRPr="00A71D2E">
        <w:rPr>
          <w:rFonts w:eastAsia="宋体" w:cs="Times New Roman"/>
          <w:szCs w:val="21"/>
        </w:rPr>
        <w:tab/>
      </w:r>
      <w:r w:rsidR="000E5A07" w:rsidRPr="00A71D2E">
        <w:rPr>
          <w:rFonts w:eastAsia="宋体" w:cs="Times New Roman" w:hint="eastAsia"/>
          <w:szCs w:val="21"/>
        </w:rPr>
        <w:t>本公司</w:t>
      </w:r>
      <w:r w:rsidR="00321FDD" w:rsidRPr="00A71D2E">
        <w:rPr>
          <w:rFonts w:eastAsia="宋体" w:cs="Times New Roman" w:hint="eastAsia"/>
          <w:szCs w:val="21"/>
        </w:rPr>
        <w:t>根据《中华人民共和国公司法》及本公司章程的规定提取法定盈余公积金。当本公司法定盈余公积累计金额达本公司注册资本</w:t>
      </w:r>
      <w:r w:rsidR="00321FDD" w:rsidRPr="00A71D2E">
        <w:rPr>
          <w:rFonts w:eastAsia="宋体" w:cs="Times New Roman"/>
          <w:szCs w:val="21"/>
        </w:rPr>
        <w:t>50%</w:t>
      </w:r>
      <w:r w:rsidR="00321FDD" w:rsidRPr="00A71D2E">
        <w:rPr>
          <w:rFonts w:eastAsia="宋体" w:cs="Times New Roman" w:hint="eastAsia"/>
          <w:szCs w:val="21"/>
        </w:rPr>
        <w:t>以上的，可不再提取法定盈余公积。</w:t>
      </w:r>
      <w:r w:rsidR="00CA1AF2" w:rsidRPr="008B4FD3">
        <w:rPr>
          <w:rFonts w:eastAsia="宋体" w:cs="Times New Roman" w:hint="eastAsia"/>
        </w:rPr>
        <w:t>本年度公司计提盈余公积人民币</w:t>
      </w:r>
      <w:r w:rsidR="008B4FD3" w:rsidRPr="008B4FD3">
        <w:rPr>
          <w:rFonts w:eastAsia="宋体" w:cs="Times New Roman"/>
          <w:szCs w:val="21"/>
        </w:rPr>
        <w:t>60,559,864.86</w:t>
      </w:r>
      <w:r w:rsidR="00CA1AF2" w:rsidRPr="008B4FD3">
        <w:rPr>
          <w:rFonts w:eastAsia="宋体" w:cs="Times New Roman" w:hint="eastAsia"/>
        </w:rPr>
        <w:t>元。</w:t>
      </w:r>
      <w:r w:rsidR="00321FDD" w:rsidRPr="008B4FD3">
        <w:rPr>
          <w:rFonts w:eastAsia="宋体" w:cs="Times New Roman" w:hint="eastAsia"/>
          <w:szCs w:val="21"/>
        </w:rPr>
        <w:t>法定盈余公积金经批准后可用于弥补亏损，或</w:t>
      </w:r>
      <w:r w:rsidR="00321FDD" w:rsidRPr="00A71D2E">
        <w:rPr>
          <w:rFonts w:eastAsia="宋体" w:cs="Times New Roman" w:hint="eastAsia"/>
          <w:szCs w:val="21"/>
        </w:rPr>
        <w:t>者增加股本。</w:t>
      </w:r>
    </w:p>
    <w:p w:rsidR="00321FDD" w:rsidRPr="00A71D2E" w:rsidRDefault="00321FDD" w:rsidP="0027505B">
      <w:pPr>
        <w:ind w:left="720"/>
        <w:jc w:val="both"/>
        <w:rPr>
          <w:rFonts w:eastAsia="宋体" w:cs="Times New Roman"/>
          <w:szCs w:val="21"/>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未分配利润</w:t>
      </w:r>
    </w:p>
    <w:p w:rsidR="00321FDD" w:rsidRPr="00A71D2E" w:rsidRDefault="00321FDD">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7"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08"/>
        <w:gridCol w:w="1674"/>
        <w:gridCol w:w="1675"/>
      </w:tblGrid>
      <w:tr w:rsidR="00321FDD" w:rsidRPr="00A71D2E" w:rsidTr="0027505B">
        <w:trPr>
          <w:trHeight w:val="20"/>
        </w:trPr>
        <w:tc>
          <w:tcPr>
            <w:tcW w:w="6108" w:type="dxa"/>
            <w:shd w:val="clear" w:color="auto" w:fill="D9D9D9" w:themeFill="background1" w:themeFillShade="D9"/>
            <w:tcMar>
              <w:top w:w="0" w:type="dxa"/>
              <w:left w:w="108" w:type="dxa"/>
              <w:bottom w:w="0" w:type="dxa"/>
              <w:right w:w="108" w:type="dxa"/>
            </w:tcMar>
            <w:vAlign w:val="center"/>
            <w:hideMark/>
          </w:tcPr>
          <w:p w:rsidR="00321FDD" w:rsidRPr="00A71D2E" w:rsidRDefault="00321FDD">
            <w:pPr>
              <w:jc w:val="center"/>
              <w:rPr>
                <w:rFonts w:eastAsia="宋体" w:cs="Times New Roman"/>
                <w:sz w:val="18"/>
                <w:szCs w:val="18"/>
              </w:rPr>
            </w:pPr>
            <w:r w:rsidRPr="00A71D2E">
              <w:rPr>
                <w:rFonts w:eastAsia="宋体" w:cs="Times New Roman" w:hint="eastAsia"/>
                <w:sz w:val="18"/>
                <w:szCs w:val="18"/>
              </w:rPr>
              <w:t>项目</w:t>
            </w:r>
          </w:p>
        </w:tc>
        <w:tc>
          <w:tcPr>
            <w:tcW w:w="1674" w:type="dxa"/>
            <w:shd w:val="clear" w:color="auto" w:fill="D9D9D9" w:themeFill="background1" w:themeFillShade="D9"/>
            <w:vAlign w:val="center"/>
          </w:tcPr>
          <w:p w:rsidR="00321FDD" w:rsidRPr="00A71D2E" w:rsidRDefault="008C5DA7">
            <w:pPr>
              <w:jc w:val="center"/>
              <w:rPr>
                <w:rFonts w:eastAsia="宋体" w:cs="Times New Roman"/>
                <w:sz w:val="18"/>
                <w:szCs w:val="18"/>
              </w:rPr>
            </w:pPr>
            <w:r w:rsidRPr="00A71D2E">
              <w:rPr>
                <w:rFonts w:eastAsia="宋体" w:cs="Times New Roman" w:hint="eastAsia"/>
                <w:sz w:val="18"/>
                <w:szCs w:val="18"/>
              </w:rPr>
              <w:t>本年</w:t>
            </w:r>
          </w:p>
        </w:tc>
        <w:tc>
          <w:tcPr>
            <w:tcW w:w="1675" w:type="dxa"/>
            <w:shd w:val="clear" w:color="auto" w:fill="D9D9D9" w:themeFill="background1" w:themeFillShade="D9"/>
            <w:vAlign w:val="center"/>
          </w:tcPr>
          <w:p w:rsidR="00321FDD" w:rsidRPr="00A71D2E" w:rsidRDefault="008C5DA7">
            <w:pPr>
              <w:jc w:val="center"/>
              <w:rPr>
                <w:rFonts w:eastAsia="宋体" w:cs="Times New Roman"/>
                <w:sz w:val="18"/>
                <w:szCs w:val="18"/>
              </w:rPr>
            </w:pPr>
            <w:r w:rsidRPr="00A71D2E">
              <w:rPr>
                <w:rFonts w:eastAsia="宋体" w:cs="Times New Roman" w:hint="eastAsia"/>
                <w:sz w:val="18"/>
                <w:szCs w:val="18"/>
              </w:rPr>
              <w:t>上年</w:t>
            </w:r>
            <w:r w:rsidR="005F14EE">
              <w:rPr>
                <w:rFonts w:eastAsia="宋体" w:cs="Times New Roman" w:hint="eastAsia"/>
                <w:sz w:val="18"/>
                <w:szCs w:val="18"/>
              </w:rPr>
              <w:t>(</w:t>
            </w:r>
            <w:r w:rsidR="00951A3C">
              <w:rPr>
                <w:rFonts w:eastAsia="宋体" w:cs="Times New Roman" w:hint="eastAsia"/>
                <w:sz w:val="18"/>
                <w:szCs w:val="18"/>
              </w:rPr>
              <w:t>已重述</w:t>
            </w:r>
            <w:r w:rsidR="005F14EE">
              <w:rPr>
                <w:rFonts w:eastAsia="宋体" w:cs="Times New Roman" w:hint="eastAsia"/>
                <w:sz w:val="18"/>
                <w:szCs w:val="18"/>
              </w:rPr>
              <w:t>)</w:t>
            </w:r>
          </w:p>
        </w:tc>
      </w:tr>
      <w:tr w:rsidR="00236B46" w:rsidRPr="00A71D2E" w:rsidTr="0027505B">
        <w:trPr>
          <w:trHeight w:val="20"/>
        </w:trPr>
        <w:tc>
          <w:tcPr>
            <w:tcW w:w="6108" w:type="dxa"/>
            <w:shd w:val="clear" w:color="auto" w:fill="FFFFFF" w:themeFill="background1"/>
            <w:tcMar>
              <w:top w:w="0" w:type="dxa"/>
              <w:left w:w="108" w:type="dxa"/>
              <w:bottom w:w="0" w:type="dxa"/>
              <w:right w:w="108" w:type="dxa"/>
            </w:tcMar>
            <w:vAlign w:val="center"/>
          </w:tcPr>
          <w:p w:rsidR="00236B46" w:rsidRPr="00A71D2E" w:rsidRDefault="00273199" w:rsidP="00236B46">
            <w:pPr>
              <w:rPr>
                <w:rFonts w:eastAsia="宋体" w:cs="Times New Roman"/>
                <w:sz w:val="18"/>
                <w:szCs w:val="18"/>
              </w:rPr>
            </w:pPr>
            <w:r>
              <w:rPr>
                <w:rFonts w:eastAsia="宋体" w:cs="Times New Roman" w:hint="eastAsia"/>
                <w:sz w:val="18"/>
                <w:szCs w:val="18"/>
              </w:rPr>
              <w:t>调整</w:t>
            </w:r>
            <w:proofErr w:type="gramStart"/>
            <w:r>
              <w:rPr>
                <w:rFonts w:eastAsia="宋体" w:cs="Times New Roman" w:hint="eastAsia"/>
                <w:sz w:val="18"/>
                <w:szCs w:val="18"/>
              </w:rPr>
              <w:t>前</w:t>
            </w:r>
            <w:r w:rsidR="00236B46" w:rsidRPr="00A71D2E">
              <w:rPr>
                <w:rFonts w:eastAsia="宋体" w:cs="Times New Roman" w:hint="eastAsia"/>
                <w:sz w:val="18"/>
                <w:szCs w:val="18"/>
              </w:rPr>
              <w:t>上年</w:t>
            </w:r>
            <w:proofErr w:type="gramEnd"/>
            <w:r w:rsidR="00236B46" w:rsidRPr="00A71D2E">
              <w:rPr>
                <w:rFonts w:eastAsia="宋体" w:cs="Times New Roman" w:hint="eastAsia"/>
                <w:sz w:val="18"/>
                <w:szCs w:val="18"/>
              </w:rPr>
              <w:t>末未分配利润</w:t>
            </w:r>
          </w:p>
        </w:tc>
        <w:tc>
          <w:tcPr>
            <w:tcW w:w="1674" w:type="dxa"/>
            <w:vAlign w:val="center"/>
          </w:tcPr>
          <w:p w:rsidR="00236B46" w:rsidRPr="00A71D2E" w:rsidRDefault="00236B46" w:rsidP="00236B46">
            <w:pPr>
              <w:ind w:right="126"/>
              <w:jc w:val="right"/>
              <w:rPr>
                <w:rFonts w:eastAsia="宋体" w:cs="Times New Roman"/>
                <w:sz w:val="18"/>
                <w:szCs w:val="18"/>
              </w:rPr>
            </w:pPr>
            <w:r w:rsidRPr="00A71D2E">
              <w:rPr>
                <w:rFonts w:eastAsia="宋体" w:cs="Times New Roman"/>
                <w:sz w:val="18"/>
                <w:szCs w:val="18"/>
              </w:rPr>
              <w:t>922,120,835.79</w:t>
            </w:r>
          </w:p>
        </w:tc>
        <w:tc>
          <w:tcPr>
            <w:tcW w:w="1675" w:type="dxa"/>
            <w:vAlign w:val="center"/>
          </w:tcPr>
          <w:p w:rsidR="00236B46" w:rsidRPr="00A71D2E" w:rsidRDefault="00236B46" w:rsidP="00236B46">
            <w:pPr>
              <w:ind w:right="126"/>
              <w:jc w:val="right"/>
              <w:rPr>
                <w:rFonts w:eastAsia="宋体" w:cs="Times New Roman"/>
                <w:sz w:val="18"/>
                <w:szCs w:val="18"/>
              </w:rPr>
            </w:pPr>
            <w:r w:rsidRPr="00A71D2E">
              <w:rPr>
                <w:rFonts w:eastAsia="宋体" w:cs="Times New Roman"/>
                <w:sz w:val="18"/>
                <w:szCs w:val="18"/>
              </w:rPr>
              <w:t>609,566,123.55</w:t>
            </w:r>
          </w:p>
        </w:tc>
      </w:tr>
      <w:tr w:rsidR="00951A3C" w:rsidRPr="00A71D2E" w:rsidTr="0027505B">
        <w:trPr>
          <w:trHeight w:val="20"/>
        </w:trPr>
        <w:tc>
          <w:tcPr>
            <w:tcW w:w="6108" w:type="dxa"/>
            <w:shd w:val="clear" w:color="auto" w:fill="FFFFFF" w:themeFill="background1"/>
            <w:tcMar>
              <w:top w:w="0" w:type="dxa"/>
              <w:left w:w="108" w:type="dxa"/>
              <w:bottom w:w="0" w:type="dxa"/>
              <w:right w:w="108" w:type="dxa"/>
            </w:tcMar>
            <w:vAlign w:val="center"/>
          </w:tcPr>
          <w:p w:rsidR="00951A3C" w:rsidRPr="0078692D" w:rsidRDefault="00951A3C" w:rsidP="00951A3C">
            <w:pPr>
              <w:rPr>
                <w:rFonts w:eastAsia="宋体" w:cs="Times New Roman"/>
                <w:sz w:val="18"/>
                <w:szCs w:val="18"/>
              </w:rPr>
            </w:pPr>
            <w:r>
              <w:rPr>
                <w:rFonts w:eastAsia="宋体" w:cs="Times New Roman" w:hint="eastAsia"/>
                <w:sz w:val="18"/>
                <w:szCs w:val="18"/>
              </w:rPr>
              <w:t>调整期初未分配利润合计数</w:t>
            </w:r>
            <w:r w:rsidR="005F14EE">
              <w:rPr>
                <w:rFonts w:eastAsia="宋体" w:cs="Times New Roman" w:hint="eastAsia"/>
                <w:sz w:val="18"/>
                <w:szCs w:val="18"/>
              </w:rPr>
              <w:t>(</w:t>
            </w:r>
            <w:r w:rsidR="0078692D">
              <w:rPr>
                <w:rFonts w:eastAsia="宋体" w:cs="Times New Roman" w:hint="eastAsia"/>
                <w:sz w:val="18"/>
                <w:szCs w:val="18"/>
              </w:rPr>
              <w:t>附注</w:t>
            </w:r>
            <w:r w:rsidR="005F14EE">
              <w:rPr>
                <w:rFonts w:eastAsia="宋体" w:cs="Times New Roman" w:hint="eastAsia"/>
                <w:sz w:val="18"/>
                <w:szCs w:val="18"/>
              </w:rPr>
              <w:t>(</w:t>
            </w:r>
            <w:r w:rsidR="0078692D">
              <w:rPr>
                <w:rFonts w:eastAsia="宋体" w:cs="Times New Roman" w:hint="eastAsia"/>
                <w:sz w:val="18"/>
                <w:szCs w:val="18"/>
              </w:rPr>
              <w:t>三</w:t>
            </w:r>
            <w:r w:rsidR="005F14EE">
              <w:rPr>
                <w:rFonts w:eastAsia="宋体" w:cs="Times New Roman"/>
                <w:sz w:val="18"/>
                <w:szCs w:val="18"/>
              </w:rPr>
              <w:t>)</w:t>
            </w:r>
            <w:r w:rsidR="0078692D">
              <w:rPr>
                <w:rFonts w:eastAsia="宋体" w:cs="Times New Roman" w:hint="eastAsia"/>
                <w:sz w:val="18"/>
                <w:szCs w:val="18"/>
              </w:rPr>
              <w:t>、</w:t>
            </w:r>
            <w:r w:rsidR="0078692D">
              <w:rPr>
                <w:rFonts w:eastAsia="宋体" w:cs="Times New Roman" w:hint="eastAsia"/>
                <w:sz w:val="18"/>
                <w:szCs w:val="18"/>
              </w:rPr>
              <w:t>3</w:t>
            </w:r>
            <w:r w:rsidR="00E40247">
              <w:rPr>
                <w:rFonts w:eastAsia="宋体" w:cs="Times New Roman"/>
                <w:sz w:val="18"/>
                <w:szCs w:val="18"/>
              </w:rPr>
              <w:t>3</w:t>
            </w:r>
            <w:r w:rsidR="005F14EE">
              <w:rPr>
                <w:rFonts w:eastAsia="宋体" w:cs="Times New Roman" w:hint="eastAsia"/>
                <w:sz w:val="18"/>
                <w:szCs w:val="18"/>
              </w:rPr>
              <w:t>)</w:t>
            </w:r>
          </w:p>
        </w:tc>
        <w:tc>
          <w:tcPr>
            <w:tcW w:w="1674" w:type="dxa"/>
            <w:vAlign w:val="center"/>
          </w:tcPr>
          <w:p w:rsidR="00951A3C" w:rsidRPr="00A71D2E" w:rsidRDefault="00951A3C" w:rsidP="00951A3C">
            <w:pPr>
              <w:ind w:right="126"/>
              <w:jc w:val="right"/>
              <w:rPr>
                <w:rFonts w:eastAsia="宋体" w:cs="Times New Roman"/>
                <w:sz w:val="18"/>
                <w:szCs w:val="18"/>
              </w:rPr>
            </w:pPr>
            <w:r w:rsidRPr="00A14570">
              <w:rPr>
                <w:bCs/>
                <w:sz w:val="18"/>
                <w:szCs w:val="18"/>
              </w:rPr>
              <w:t>1,608,587.31</w:t>
            </w:r>
          </w:p>
        </w:tc>
        <w:tc>
          <w:tcPr>
            <w:tcW w:w="1675" w:type="dxa"/>
            <w:vAlign w:val="center"/>
          </w:tcPr>
          <w:p w:rsidR="00951A3C" w:rsidRPr="00A71D2E" w:rsidRDefault="005805DD" w:rsidP="00951A3C">
            <w:pPr>
              <w:ind w:right="126"/>
              <w:jc w:val="right"/>
              <w:rPr>
                <w:rFonts w:eastAsia="宋体" w:cs="Times New Roman"/>
                <w:sz w:val="18"/>
                <w:szCs w:val="18"/>
              </w:rPr>
            </w:pPr>
            <w:r w:rsidRPr="005805DD">
              <w:rPr>
                <w:bCs/>
                <w:sz w:val="18"/>
                <w:szCs w:val="18"/>
              </w:rPr>
              <w:t>1,282,418.73</w:t>
            </w:r>
          </w:p>
        </w:tc>
      </w:tr>
      <w:tr w:rsidR="00951A3C" w:rsidRPr="00A71D2E" w:rsidTr="0027505B">
        <w:trPr>
          <w:trHeight w:val="20"/>
        </w:trPr>
        <w:tc>
          <w:tcPr>
            <w:tcW w:w="6108" w:type="dxa"/>
            <w:shd w:val="clear" w:color="auto" w:fill="FFFFFF" w:themeFill="background1"/>
            <w:tcMar>
              <w:top w:w="0" w:type="dxa"/>
              <w:left w:w="108" w:type="dxa"/>
              <w:bottom w:w="0" w:type="dxa"/>
              <w:right w:w="108" w:type="dxa"/>
            </w:tcMar>
            <w:vAlign w:val="center"/>
          </w:tcPr>
          <w:p w:rsidR="00951A3C" w:rsidRPr="00A71D2E" w:rsidRDefault="00951A3C" w:rsidP="00951A3C">
            <w:pPr>
              <w:rPr>
                <w:rFonts w:eastAsia="宋体" w:cs="Times New Roman"/>
                <w:sz w:val="18"/>
                <w:szCs w:val="18"/>
              </w:rPr>
            </w:pPr>
            <w:r>
              <w:rPr>
                <w:rFonts w:eastAsia="宋体" w:cs="Times New Roman" w:hint="eastAsia"/>
                <w:sz w:val="18"/>
                <w:szCs w:val="18"/>
              </w:rPr>
              <w:t>调整后</w:t>
            </w:r>
            <w:r w:rsidR="00DD157E">
              <w:rPr>
                <w:rFonts w:eastAsia="宋体" w:cs="Times New Roman" w:hint="eastAsia"/>
                <w:sz w:val="18"/>
                <w:szCs w:val="18"/>
              </w:rPr>
              <w:t>年</w:t>
            </w:r>
            <w:r>
              <w:rPr>
                <w:rFonts w:eastAsia="宋体" w:cs="Times New Roman" w:hint="eastAsia"/>
                <w:sz w:val="18"/>
                <w:szCs w:val="18"/>
              </w:rPr>
              <w:t>初未分配利润</w:t>
            </w:r>
          </w:p>
        </w:tc>
        <w:tc>
          <w:tcPr>
            <w:tcW w:w="1674" w:type="dxa"/>
            <w:vAlign w:val="center"/>
          </w:tcPr>
          <w:p w:rsidR="00951A3C" w:rsidRPr="00A71D2E" w:rsidRDefault="00951A3C" w:rsidP="00951A3C">
            <w:pPr>
              <w:ind w:right="126"/>
              <w:jc w:val="right"/>
              <w:rPr>
                <w:rFonts w:eastAsia="宋体" w:cs="Times New Roman"/>
                <w:sz w:val="18"/>
                <w:szCs w:val="18"/>
              </w:rPr>
            </w:pPr>
            <w:r w:rsidRPr="00A14570">
              <w:rPr>
                <w:bCs/>
                <w:sz w:val="18"/>
                <w:szCs w:val="18"/>
              </w:rPr>
              <w:t>923,729,423.10</w:t>
            </w:r>
          </w:p>
        </w:tc>
        <w:tc>
          <w:tcPr>
            <w:tcW w:w="1675" w:type="dxa"/>
            <w:vAlign w:val="center"/>
          </w:tcPr>
          <w:p w:rsidR="00951A3C" w:rsidRPr="00A71D2E" w:rsidRDefault="005805DD" w:rsidP="00951A3C">
            <w:pPr>
              <w:ind w:right="126"/>
              <w:jc w:val="right"/>
              <w:rPr>
                <w:rFonts w:eastAsia="宋体" w:cs="Times New Roman"/>
                <w:sz w:val="18"/>
                <w:szCs w:val="18"/>
              </w:rPr>
            </w:pPr>
            <w:r w:rsidRPr="005805DD">
              <w:rPr>
                <w:bCs/>
                <w:sz w:val="18"/>
                <w:szCs w:val="18"/>
              </w:rPr>
              <w:t>610,848,542.28</w:t>
            </w:r>
          </w:p>
        </w:tc>
      </w:tr>
      <w:tr w:rsidR="00951A3C" w:rsidRPr="00A71D2E" w:rsidTr="0027505B">
        <w:trPr>
          <w:trHeight w:val="20"/>
        </w:trPr>
        <w:tc>
          <w:tcPr>
            <w:tcW w:w="6108" w:type="dxa"/>
            <w:shd w:val="clear" w:color="auto" w:fill="FFFFFF" w:themeFill="background1"/>
            <w:tcMar>
              <w:top w:w="0" w:type="dxa"/>
              <w:left w:w="108" w:type="dxa"/>
              <w:bottom w:w="0" w:type="dxa"/>
              <w:right w:w="108" w:type="dxa"/>
            </w:tcMar>
            <w:vAlign w:val="center"/>
          </w:tcPr>
          <w:p w:rsidR="00951A3C" w:rsidRPr="00A71D2E" w:rsidRDefault="00951A3C" w:rsidP="00951A3C">
            <w:pPr>
              <w:tabs>
                <w:tab w:val="left" w:pos="332"/>
                <w:tab w:val="left" w:pos="474"/>
                <w:tab w:val="left" w:pos="616"/>
              </w:tabs>
              <w:rPr>
                <w:rFonts w:eastAsia="宋体" w:cs="Times New Roman"/>
                <w:sz w:val="18"/>
                <w:szCs w:val="18"/>
              </w:rPr>
            </w:pPr>
            <w:r w:rsidRPr="00A71D2E">
              <w:rPr>
                <w:rFonts w:eastAsia="宋体" w:cs="Times New Roman" w:hint="eastAsia"/>
                <w:sz w:val="18"/>
                <w:szCs w:val="18"/>
              </w:rPr>
              <w:t>加</w:t>
            </w:r>
            <w:r w:rsidR="005F14EE">
              <w:rPr>
                <w:rFonts w:eastAsia="宋体" w:cs="Times New Roman" w:hint="eastAsia"/>
                <w:sz w:val="18"/>
                <w:szCs w:val="18"/>
              </w:rPr>
              <w:t>：</w:t>
            </w:r>
            <w:r w:rsidRPr="00A71D2E">
              <w:rPr>
                <w:rFonts w:eastAsia="宋体" w:cs="Times New Roman" w:hint="eastAsia"/>
                <w:sz w:val="18"/>
                <w:szCs w:val="18"/>
              </w:rPr>
              <w:t>本年净利润</w:t>
            </w:r>
          </w:p>
        </w:tc>
        <w:tc>
          <w:tcPr>
            <w:tcW w:w="1674" w:type="dxa"/>
            <w:vAlign w:val="center"/>
          </w:tcPr>
          <w:p w:rsidR="00951A3C" w:rsidRPr="00A71D2E" w:rsidRDefault="00951A3C" w:rsidP="00951A3C">
            <w:pPr>
              <w:ind w:right="126"/>
              <w:jc w:val="right"/>
              <w:rPr>
                <w:rFonts w:eastAsia="宋体" w:cs="Times New Roman"/>
                <w:sz w:val="18"/>
                <w:szCs w:val="18"/>
              </w:rPr>
            </w:pPr>
            <w:r w:rsidRPr="001D6DA4">
              <w:rPr>
                <w:sz w:val="18"/>
                <w:szCs w:val="18"/>
              </w:rPr>
              <w:t>562,940,763.10</w:t>
            </w:r>
          </w:p>
        </w:tc>
        <w:tc>
          <w:tcPr>
            <w:tcW w:w="1675" w:type="dxa"/>
            <w:vAlign w:val="center"/>
          </w:tcPr>
          <w:p w:rsidR="00951A3C" w:rsidRPr="00A71D2E" w:rsidRDefault="00951A3C" w:rsidP="00951A3C">
            <w:pPr>
              <w:ind w:right="126"/>
              <w:jc w:val="right"/>
              <w:rPr>
                <w:rFonts w:eastAsia="宋体" w:cs="Times New Roman"/>
                <w:sz w:val="18"/>
                <w:szCs w:val="18"/>
              </w:rPr>
            </w:pPr>
            <w:r w:rsidRPr="00EF0DDD">
              <w:rPr>
                <w:sz w:val="18"/>
                <w:szCs w:val="18"/>
              </w:rPr>
              <w:t>333,489,214.42</w:t>
            </w:r>
          </w:p>
        </w:tc>
      </w:tr>
      <w:tr w:rsidR="00951A3C" w:rsidRPr="00A71D2E" w:rsidTr="0027505B">
        <w:trPr>
          <w:trHeight w:val="20"/>
        </w:trPr>
        <w:tc>
          <w:tcPr>
            <w:tcW w:w="6108" w:type="dxa"/>
            <w:shd w:val="clear" w:color="auto" w:fill="FFFFFF" w:themeFill="background1"/>
            <w:tcMar>
              <w:top w:w="0" w:type="dxa"/>
              <w:left w:w="108" w:type="dxa"/>
              <w:bottom w:w="0" w:type="dxa"/>
              <w:right w:w="108" w:type="dxa"/>
            </w:tcMar>
            <w:vAlign w:val="center"/>
          </w:tcPr>
          <w:p w:rsidR="00951A3C" w:rsidRPr="00A71D2E" w:rsidRDefault="00951A3C" w:rsidP="00951A3C">
            <w:pPr>
              <w:tabs>
                <w:tab w:val="left" w:pos="496"/>
              </w:tabs>
              <w:rPr>
                <w:rFonts w:eastAsia="宋体" w:cs="Times New Roman"/>
                <w:sz w:val="18"/>
                <w:szCs w:val="18"/>
              </w:rPr>
            </w:pPr>
            <w:r w:rsidRPr="00A71D2E">
              <w:rPr>
                <w:rFonts w:eastAsia="宋体" w:cs="Times New Roman" w:hint="eastAsia"/>
                <w:sz w:val="18"/>
                <w:szCs w:val="18"/>
              </w:rPr>
              <w:t>减</w:t>
            </w:r>
            <w:r w:rsidR="005F14EE">
              <w:rPr>
                <w:rFonts w:eastAsia="宋体" w:cs="Times New Roman" w:hint="eastAsia"/>
                <w:sz w:val="18"/>
                <w:szCs w:val="18"/>
              </w:rPr>
              <w:t>：</w:t>
            </w:r>
            <w:r w:rsidRPr="00A71D2E">
              <w:rPr>
                <w:rFonts w:eastAsia="宋体" w:cs="Times New Roman" w:hint="eastAsia"/>
                <w:sz w:val="18"/>
                <w:szCs w:val="18"/>
              </w:rPr>
              <w:t>提取法定盈余公积</w:t>
            </w:r>
            <w:r w:rsidR="005F14EE">
              <w:rPr>
                <w:rFonts w:eastAsia="宋体" w:cs="Times New Roman"/>
                <w:sz w:val="18"/>
                <w:szCs w:val="18"/>
              </w:rPr>
              <w:t>(</w:t>
            </w:r>
            <w:r w:rsidRPr="00A71D2E">
              <w:rPr>
                <w:rFonts w:eastAsia="宋体" w:cs="Times New Roman" w:hint="eastAsia"/>
                <w:sz w:val="18"/>
                <w:szCs w:val="18"/>
              </w:rPr>
              <w:t>附注</w:t>
            </w:r>
            <w:r w:rsidR="005F14EE">
              <w:rPr>
                <w:rFonts w:eastAsia="宋体" w:cs="Times New Roman"/>
                <w:sz w:val="18"/>
                <w:szCs w:val="18"/>
              </w:rPr>
              <w:t>(</w:t>
            </w:r>
            <w:r w:rsidRPr="00A71D2E">
              <w:rPr>
                <w:rFonts w:eastAsia="宋体" w:cs="Times New Roman" w:hint="eastAsia"/>
                <w:sz w:val="18"/>
                <w:szCs w:val="18"/>
              </w:rPr>
              <w:t>五</w:t>
            </w:r>
            <w:r w:rsidR="005F14EE">
              <w:rPr>
                <w:rFonts w:eastAsia="宋体" w:cs="Times New Roman"/>
                <w:sz w:val="18"/>
                <w:szCs w:val="18"/>
              </w:rPr>
              <w:t>)</w:t>
            </w:r>
            <w:r w:rsidRPr="00A71D2E">
              <w:rPr>
                <w:rFonts w:eastAsia="宋体" w:cs="Times New Roman" w:hint="eastAsia"/>
                <w:sz w:val="18"/>
                <w:szCs w:val="18"/>
              </w:rPr>
              <w:t>、</w:t>
            </w:r>
            <w:r w:rsidRPr="00A71D2E">
              <w:rPr>
                <w:rFonts w:eastAsia="宋体" w:cs="Times New Roman"/>
                <w:sz w:val="18"/>
                <w:szCs w:val="18"/>
              </w:rPr>
              <w:t>3</w:t>
            </w:r>
            <w:r w:rsidR="00841190">
              <w:rPr>
                <w:rFonts w:eastAsia="宋体" w:cs="Times New Roman"/>
                <w:sz w:val="18"/>
                <w:szCs w:val="18"/>
              </w:rPr>
              <w:t>6</w:t>
            </w:r>
            <w:r w:rsidR="005F14EE">
              <w:rPr>
                <w:rFonts w:eastAsia="宋体" w:cs="Times New Roman"/>
                <w:sz w:val="18"/>
                <w:szCs w:val="18"/>
              </w:rPr>
              <w:t>)</w:t>
            </w:r>
          </w:p>
        </w:tc>
        <w:tc>
          <w:tcPr>
            <w:tcW w:w="1674" w:type="dxa"/>
            <w:vAlign w:val="center"/>
          </w:tcPr>
          <w:p w:rsidR="00951A3C" w:rsidRPr="00A71D2E" w:rsidRDefault="0078692D" w:rsidP="00951A3C">
            <w:pPr>
              <w:ind w:right="126"/>
              <w:jc w:val="right"/>
              <w:rPr>
                <w:rFonts w:eastAsia="宋体" w:cs="Times New Roman"/>
                <w:sz w:val="18"/>
                <w:szCs w:val="18"/>
              </w:rPr>
            </w:pPr>
            <w:r w:rsidRPr="001D6DA4">
              <w:rPr>
                <w:sz w:val="18"/>
                <w:szCs w:val="18"/>
              </w:rPr>
              <w:t>60,559,864.86</w:t>
            </w:r>
          </w:p>
        </w:tc>
        <w:tc>
          <w:tcPr>
            <w:tcW w:w="1675" w:type="dxa"/>
            <w:vAlign w:val="center"/>
          </w:tcPr>
          <w:p w:rsidR="00951A3C" w:rsidRPr="00A71D2E" w:rsidRDefault="005805DD" w:rsidP="00951A3C">
            <w:pPr>
              <w:ind w:right="126"/>
              <w:jc w:val="right"/>
              <w:rPr>
                <w:rFonts w:eastAsia="宋体" w:cs="Times New Roman"/>
                <w:sz w:val="18"/>
                <w:szCs w:val="18"/>
              </w:rPr>
            </w:pPr>
            <w:r w:rsidRPr="001D5118">
              <w:rPr>
                <w:sz w:val="18"/>
                <w:szCs w:val="18"/>
              </w:rPr>
              <w:t>20,608,333.60</w:t>
            </w:r>
          </w:p>
        </w:tc>
      </w:tr>
      <w:tr w:rsidR="0078692D" w:rsidRPr="00A71D2E" w:rsidTr="0027505B">
        <w:trPr>
          <w:trHeight w:val="20"/>
        </w:trPr>
        <w:tc>
          <w:tcPr>
            <w:tcW w:w="6108" w:type="dxa"/>
            <w:shd w:val="clear" w:color="auto" w:fill="FFFFFF" w:themeFill="background1"/>
            <w:tcMar>
              <w:top w:w="0" w:type="dxa"/>
              <w:left w:w="108" w:type="dxa"/>
              <w:bottom w:w="0" w:type="dxa"/>
              <w:right w:w="108" w:type="dxa"/>
            </w:tcMar>
            <w:vAlign w:val="center"/>
          </w:tcPr>
          <w:p w:rsidR="0078692D" w:rsidRPr="00A71D2E" w:rsidRDefault="00CC46D9" w:rsidP="0078692D">
            <w:pPr>
              <w:ind w:firstLineChars="200" w:firstLine="360"/>
              <w:rPr>
                <w:rFonts w:eastAsia="宋体" w:cs="Times New Roman"/>
                <w:sz w:val="18"/>
                <w:szCs w:val="18"/>
              </w:rPr>
            </w:pPr>
            <w:r>
              <w:rPr>
                <w:rFonts w:eastAsia="宋体" w:cs="Times New Roman" w:hint="eastAsia"/>
                <w:sz w:val="18"/>
                <w:szCs w:val="18"/>
              </w:rPr>
              <w:t>应</w:t>
            </w:r>
            <w:r w:rsidR="0078692D">
              <w:rPr>
                <w:rFonts w:eastAsia="宋体" w:cs="Times New Roman" w:hint="eastAsia"/>
                <w:sz w:val="18"/>
                <w:szCs w:val="18"/>
              </w:rPr>
              <w:t>付普通股股利</w:t>
            </w:r>
            <w:r w:rsidR="005F14EE">
              <w:rPr>
                <w:rFonts w:eastAsia="宋体" w:cs="Times New Roman" w:hint="eastAsia"/>
                <w:sz w:val="18"/>
                <w:szCs w:val="18"/>
              </w:rPr>
              <w:t>(</w:t>
            </w:r>
            <w:r w:rsidR="0078692D">
              <w:rPr>
                <w:rFonts w:eastAsia="宋体" w:cs="Times New Roman" w:hint="eastAsia"/>
                <w:sz w:val="18"/>
                <w:szCs w:val="18"/>
              </w:rPr>
              <w:t>注</w:t>
            </w:r>
            <w:r w:rsidR="005F14EE">
              <w:rPr>
                <w:rFonts w:eastAsia="宋体" w:cs="Times New Roman" w:hint="eastAsia"/>
                <w:sz w:val="18"/>
                <w:szCs w:val="18"/>
              </w:rPr>
              <w:t>)</w:t>
            </w:r>
          </w:p>
        </w:tc>
        <w:tc>
          <w:tcPr>
            <w:tcW w:w="1674" w:type="dxa"/>
            <w:vAlign w:val="center"/>
          </w:tcPr>
          <w:p w:rsidR="0078692D" w:rsidRPr="00A71D2E" w:rsidRDefault="0078692D" w:rsidP="0078692D">
            <w:pPr>
              <w:ind w:right="126"/>
              <w:jc w:val="right"/>
              <w:rPr>
                <w:rFonts w:eastAsia="宋体" w:cs="Times New Roman"/>
                <w:sz w:val="18"/>
                <w:szCs w:val="18"/>
              </w:rPr>
            </w:pPr>
            <w:r w:rsidRPr="001D6DA4">
              <w:rPr>
                <w:sz w:val="18"/>
                <w:szCs w:val="18"/>
              </w:rPr>
              <w:t>168,750,000.00</w:t>
            </w:r>
          </w:p>
        </w:tc>
        <w:tc>
          <w:tcPr>
            <w:tcW w:w="1675" w:type="dxa"/>
            <w:vAlign w:val="center"/>
          </w:tcPr>
          <w:p w:rsidR="0078692D" w:rsidRPr="00A71D2E" w:rsidRDefault="0078692D" w:rsidP="0078692D">
            <w:pPr>
              <w:ind w:right="126"/>
              <w:jc w:val="right"/>
              <w:rPr>
                <w:rFonts w:eastAsia="宋体" w:cs="Times New Roman"/>
                <w:sz w:val="18"/>
                <w:szCs w:val="18"/>
              </w:rPr>
            </w:pPr>
            <w:r w:rsidRPr="00F66363">
              <w:rPr>
                <w:rFonts w:eastAsia="宋体" w:cs="Times New Roman"/>
                <w:sz w:val="18"/>
                <w:szCs w:val="18"/>
              </w:rPr>
              <w:t>-    </w:t>
            </w:r>
          </w:p>
        </w:tc>
      </w:tr>
      <w:tr w:rsidR="0078692D" w:rsidRPr="00A71D2E" w:rsidTr="0027505B">
        <w:trPr>
          <w:trHeight w:val="20"/>
        </w:trPr>
        <w:tc>
          <w:tcPr>
            <w:tcW w:w="6108" w:type="dxa"/>
            <w:shd w:val="clear" w:color="auto" w:fill="D9D9D9" w:themeFill="background1" w:themeFillShade="D9"/>
            <w:tcMar>
              <w:top w:w="0" w:type="dxa"/>
              <w:left w:w="108" w:type="dxa"/>
              <w:bottom w:w="0" w:type="dxa"/>
              <w:right w:w="108" w:type="dxa"/>
            </w:tcMar>
            <w:vAlign w:val="center"/>
          </w:tcPr>
          <w:p w:rsidR="0078692D" w:rsidRPr="00A71D2E" w:rsidRDefault="0078692D" w:rsidP="0078692D">
            <w:pPr>
              <w:rPr>
                <w:rFonts w:eastAsia="宋体" w:cs="Times New Roman"/>
                <w:sz w:val="18"/>
                <w:szCs w:val="18"/>
              </w:rPr>
            </w:pPr>
            <w:r w:rsidRPr="00A71D2E">
              <w:rPr>
                <w:rFonts w:eastAsia="宋体" w:cs="Times New Roman" w:hint="eastAsia"/>
                <w:sz w:val="18"/>
                <w:szCs w:val="18"/>
              </w:rPr>
              <w:t>年末未分配利润</w:t>
            </w:r>
          </w:p>
        </w:tc>
        <w:tc>
          <w:tcPr>
            <w:tcW w:w="1674" w:type="dxa"/>
            <w:vAlign w:val="center"/>
          </w:tcPr>
          <w:p w:rsidR="0078692D" w:rsidRPr="0078692D" w:rsidRDefault="0078692D" w:rsidP="0078692D">
            <w:pPr>
              <w:ind w:right="126"/>
              <w:jc w:val="right"/>
              <w:rPr>
                <w:rFonts w:eastAsia="宋体" w:cs="Times New Roman"/>
                <w:bCs/>
                <w:sz w:val="18"/>
                <w:szCs w:val="18"/>
              </w:rPr>
            </w:pPr>
            <w:r w:rsidRPr="0078692D">
              <w:rPr>
                <w:bCs/>
                <w:sz w:val="18"/>
                <w:szCs w:val="18"/>
              </w:rPr>
              <w:t>1,257,360,321.34</w:t>
            </w:r>
          </w:p>
        </w:tc>
        <w:tc>
          <w:tcPr>
            <w:tcW w:w="1675" w:type="dxa"/>
            <w:vAlign w:val="center"/>
          </w:tcPr>
          <w:p w:rsidR="0078692D" w:rsidRPr="00951A3C" w:rsidRDefault="0078692D" w:rsidP="0078692D">
            <w:pPr>
              <w:ind w:right="126"/>
              <w:jc w:val="right"/>
              <w:rPr>
                <w:rFonts w:eastAsia="宋体" w:cs="Times New Roman"/>
                <w:bCs/>
                <w:sz w:val="18"/>
                <w:szCs w:val="18"/>
              </w:rPr>
            </w:pPr>
            <w:r w:rsidRPr="00951A3C">
              <w:rPr>
                <w:bCs/>
                <w:sz w:val="18"/>
                <w:szCs w:val="18"/>
              </w:rPr>
              <w:t>923,729,423.10</w:t>
            </w:r>
          </w:p>
        </w:tc>
      </w:tr>
    </w:tbl>
    <w:p w:rsidR="007135BF" w:rsidRDefault="007135BF">
      <w:pPr>
        <w:pStyle w:val="af2"/>
        <w:ind w:left="1440" w:hanging="720"/>
        <w:jc w:val="both"/>
        <w:rPr>
          <w:szCs w:val="21"/>
        </w:rPr>
      </w:pPr>
    </w:p>
    <w:p w:rsidR="0005198E" w:rsidRDefault="0078692D" w:rsidP="00F9534F">
      <w:pPr>
        <w:ind w:left="1440" w:hanging="720"/>
        <w:jc w:val="both"/>
        <w:rPr>
          <w:rFonts w:eastAsia="宋体" w:cs="Times New Roman"/>
          <w:kern w:val="2"/>
          <w:szCs w:val="21"/>
        </w:rPr>
      </w:pPr>
      <w:r w:rsidRPr="00F77567">
        <w:rPr>
          <w:rFonts w:eastAsia="宋体" w:cs="Times New Roman" w:hint="eastAsia"/>
          <w:szCs w:val="21"/>
        </w:rPr>
        <w:t>注</w:t>
      </w:r>
      <w:r w:rsidR="005F14EE">
        <w:rPr>
          <w:rFonts w:eastAsia="宋体" w:cs="Times New Roman"/>
          <w:szCs w:val="21"/>
        </w:rPr>
        <w:t>：</w:t>
      </w:r>
      <w:r w:rsidRPr="00F77567">
        <w:rPr>
          <w:rFonts w:eastAsia="宋体" w:cs="Times New Roman"/>
          <w:szCs w:val="21"/>
        </w:rPr>
        <w:tab/>
      </w:r>
      <w:r w:rsidRPr="003C042B">
        <w:rPr>
          <w:rFonts w:eastAsia="宋体" w:cs="Times New Roman" w:hint="eastAsia"/>
          <w:szCs w:val="21"/>
        </w:rPr>
        <w:t>根据公司</w:t>
      </w:r>
      <w:r w:rsidRPr="003C042B">
        <w:rPr>
          <w:rFonts w:eastAsia="宋体" w:cs="Times New Roman" w:hint="eastAsia"/>
          <w:szCs w:val="21"/>
        </w:rPr>
        <w:t>2023</w:t>
      </w:r>
      <w:r w:rsidRPr="003C042B">
        <w:rPr>
          <w:rFonts w:eastAsia="宋体" w:cs="Times New Roman" w:hint="eastAsia"/>
          <w:szCs w:val="21"/>
        </w:rPr>
        <w:t>年</w:t>
      </w:r>
      <w:r w:rsidRPr="00E85A37">
        <w:rPr>
          <w:rFonts w:eastAsia="宋体" w:cs="Times New Roman"/>
          <w:szCs w:val="21"/>
        </w:rPr>
        <w:t>5</w:t>
      </w:r>
      <w:r w:rsidRPr="00E85A37">
        <w:rPr>
          <w:rFonts w:eastAsia="宋体" w:cs="Times New Roman" w:hint="eastAsia"/>
          <w:szCs w:val="21"/>
        </w:rPr>
        <w:t>月</w:t>
      </w:r>
      <w:r w:rsidR="007548E9" w:rsidRPr="00E85A37">
        <w:rPr>
          <w:rFonts w:eastAsia="宋体" w:cs="Times New Roman"/>
          <w:szCs w:val="21"/>
        </w:rPr>
        <w:t>9</w:t>
      </w:r>
      <w:r w:rsidRPr="00E85A37">
        <w:rPr>
          <w:rFonts w:eastAsia="宋体" w:cs="Times New Roman" w:hint="eastAsia"/>
          <w:szCs w:val="21"/>
        </w:rPr>
        <w:t>日召开的</w:t>
      </w:r>
      <w:r w:rsidRPr="00E85A37">
        <w:rPr>
          <w:rFonts w:eastAsia="宋体" w:cs="Times New Roman"/>
          <w:szCs w:val="21"/>
        </w:rPr>
        <w:t>2022</w:t>
      </w:r>
      <w:r w:rsidRPr="00E85A37">
        <w:rPr>
          <w:rFonts w:eastAsia="宋体" w:cs="Times New Roman" w:hint="eastAsia"/>
          <w:szCs w:val="21"/>
        </w:rPr>
        <w:t>年年度股东大会决议</w:t>
      </w:r>
      <w:r w:rsidRPr="007548E9">
        <w:rPr>
          <w:rFonts w:eastAsia="宋体" w:cs="Times New Roman" w:hint="eastAsia"/>
          <w:szCs w:val="21"/>
        </w:rPr>
        <w:t>，公司以权益分派当日公司总股本为基数，向全体股东每</w:t>
      </w:r>
      <w:r w:rsidRPr="007548E9">
        <w:rPr>
          <w:rFonts w:eastAsia="宋体" w:cs="Times New Roman" w:hint="eastAsia"/>
          <w:szCs w:val="21"/>
        </w:rPr>
        <w:t>10</w:t>
      </w:r>
      <w:r w:rsidRPr="007548E9">
        <w:rPr>
          <w:rFonts w:eastAsia="宋体" w:cs="Times New Roman" w:hint="eastAsia"/>
          <w:szCs w:val="21"/>
        </w:rPr>
        <w:t>股派发现金红利人民币</w:t>
      </w:r>
      <w:r w:rsidRPr="007548E9">
        <w:rPr>
          <w:rFonts w:eastAsia="宋体" w:cs="Times New Roman" w:hint="eastAsia"/>
          <w:szCs w:val="21"/>
        </w:rPr>
        <w:t>3</w:t>
      </w:r>
      <w:r w:rsidRPr="007548E9">
        <w:rPr>
          <w:rFonts w:eastAsia="宋体" w:cs="Times New Roman" w:hint="eastAsia"/>
          <w:szCs w:val="21"/>
        </w:rPr>
        <w:t>元</w:t>
      </w:r>
      <w:r w:rsidR="005F14EE">
        <w:rPr>
          <w:rFonts w:eastAsia="宋体" w:cs="Times New Roman" w:hint="eastAsia"/>
          <w:szCs w:val="21"/>
        </w:rPr>
        <w:t>(</w:t>
      </w:r>
      <w:r w:rsidRPr="007548E9">
        <w:rPr>
          <w:rFonts w:eastAsia="宋体" w:cs="Times New Roman" w:hint="eastAsia"/>
          <w:szCs w:val="21"/>
        </w:rPr>
        <w:t>含税</w:t>
      </w:r>
      <w:r w:rsidR="005F14EE">
        <w:rPr>
          <w:rFonts w:eastAsia="宋体" w:cs="Times New Roman" w:hint="eastAsia"/>
          <w:szCs w:val="21"/>
        </w:rPr>
        <w:t>)</w:t>
      </w:r>
      <w:r w:rsidRPr="007548E9">
        <w:rPr>
          <w:rFonts w:eastAsia="宋体" w:cs="Times New Roman" w:hint="eastAsia"/>
          <w:szCs w:val="21"/>
        </w:rPr>
        <w:t>。</w:t>
      </w:r>
    </w:p>
    <w:p w:rsidR="0078692D" w:rsidRPr="00DD203F" w:rsidRDefault="0078692D" w:rsidP="0027505B">
      <w:pPr>
        <w:ind w:left="720"/>
        <w:jc w:val="both"/>
        <w:rPr>
          <w:szCs w:val="21"/>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营业收入</w:t>
      </w:r>
      <w:r w:rsidR="00DB6B91">
        <w:rPr>
          <w:rFonts w:ascii="Times New Roman" w:eastAsia="宋体" w:hAnsi="Times New Roman" w:cs="Times New Roman" w:hint="eastAsia"/>
        </w:rPr>
        <w:t>和</w:t>
      </w:r>
      <w:r w:rsidRPr="00A71D2E">
        <w:rPr>
          <w:rFonts w:ascii="Times New Roman" w:eastAsia="宋体" w:hAnsi="Times New Roman" w:cs="Times New Roman" w:hint="eastAsia"/>
        </w:rPr>
        <w:t>营业成本</w:t>
      </w:r>
    </w:p>
    <w:p w:rsidR="00321FDD" w:rsidRPr="00A71D2E" w:rsidRDefault="00321FDD">
      <w:pPr>
        <w:ind w:left="720"/>
        <w:rPr>
          <w:rFonts w:eastAsia="宋体" w:cs="Times New Roman"/>
          <w:szCs w:val="18"/>
        </w:rPr>
      </w:pPr>
    </w:p>
    <w:p w:rsidR="00321FDD" w:rsidRPr="00A71D2E" w:rsidRDefault="00321FDD">
      <w:pPr>
        <w:pStyle w:val="aff1"/>
        <w:numPr>
          <w:ilvl w:val="0"/>
          <w:numId w:val="9"/>
        </w:numPr>
        <w:ind w:left="1440" w:firstLineChars="0" w:hanging="709"/>
      </w:pPr>
      <w:r w:rsidRPr="00A71D2E">
        <w:rPr>
          <w:rFonts w:hint="eastAsia"/>
        </w:rPr>
        <w:t>营业收入</w:t>
      </w:r>
      <w:r w:rsidR="00DB6B91">
        <w:rPr>
          <w:rFonts w:hint="eastAsia"/>
        </w:rPr>
        <w:t>和</w:t>
      </w:r>
      <w:r w:rsidRPr="00A71D2E">
        <w:rPr>
          <w:rFonts w:hint="eastAsia"/>
        </w:rPr>
        <w:t>营业成本</w:t>
      </w:r>
      <w:r w:rsidR="00DB6B91">
        <w:rPr>
          <w:rFonts w:hint="eastAsia"/>
        </w:rPr>
        <w:t>情况</w:t>
      </w:r>
    </w:p>
    <w:p w:rsidR="00321FDD" w:rsidRPr="00A71D2E" w:rsidRDefault="00321FDD">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51"/>
        <w:gridCol w:w="1676"/>
        <w:gridCol w:w="1676"/>
        <w:gridCol w:w="1676"/>
        <w:gridCol w:w="1677"/>
      </w:tblGrid>
      <w:tr w:rsidR="00321FDD" w:rsidRPr="00A71D2E" w:rsidTr="0027505B">
        <w:trPr>
          <w:trHeight w:val="20"/>
        </w:trPr>
        <w:tc>
          <w:tcPr>
            <w:tcW w:w="2751" w:type="dxa"/>
            <w:vMerge w:val="restart"/>
            <w:shd w:val="clear" w:color="auto" w:fill="D9D9D9" w:themeFill="background1" w:themeFillShade="D9"/>
            <w:tcMar>
              <w:top w:w="0" w:type="dxa"/>
              <w:left w:w="108" w:type="dxa"/>
              <w:bottom w:w="0" w:type="dxa"/>
              <w:right w:w="108" w:type="dxa"/>
            </w:tcMar>
            <w:vAlign w:val="center"/>
            <w:hideMark/>
          </w:tcPr>
          <w:p w:rsidR="00321FDD" w:rsidRPr="00A71D2E" w:rsidRDefault="00321FDD">
            <w:pPr>
              <w:jc w:val="center"/>
              <w:rPr>
                <w:rFonts w:eastAsia="宋体" w:cs="Times New Roman"/>
                <w:sz w:val="18"/>
                <w:szCs w:val="18"/>
              </w:rPr>
            </w:pPr>
            <w:r w:rsidRPr="00A71D2E">
              <w:rPr>
                <w:rFonts w:eastAsia="宋体" w:cs="Times New Roman" w:hint="eastAsia"/>
                <w:sz w:val="18"/>
                <w:szCs w:val="18"/>
              </w:rPr>
              <w:t>项目</w:t>
            </w:r>
          </w:p>
        </w:tc>
        <w:tc>
          <w:tcPr>
            <w:tcW w:w="3352" w:type="dxa"/>
            <w:gridSpan w:val="2"/>
            <w:shd w:val="clear" w:color="auto" w:fill="D9D9D9" w:themeFill="background1" w:themeFillShade="D9"/>
            <w:vAlign w:val="center"/>
          </w:tcPr>
          <w:p w:rsidR="00321FDD" w:rsidRPr="00A71D2E" w:rsidRDefault="00B02FC6">
            <w:pPr>
              <w:ind w:left="-194" w:right="-132"/>
              <w:jc w:val="center"/>
              <w:rPr>
                <w:rFonts w:eastAsia="宋体" w:cs="Times New Roman"/>
                <w:sz w:val="18"/>
                <w:szCs w:val="18"/>
              </w:rPr>
            </w:pPr>
            <w:r w:rsidRPr="00A71D2E">
              <w:rPr>
                <w:rFonts w:eastAsia="宋体" w:cs="Times New Roman" w:hint="eastAsia"/>
                <w:sz w:val="18"/>
                <w:szCs w:val="18"/>
              </w:rPr>
              <w:t>本年发生额</w:t>
            </w:r>
          </w:p>
        </w:tc>
        <w:tc>
          <w:tcPr>
            <w:tcW w:w="3353" w:type="dxa"/>
            <w:gridSpan w:val="2"/>
            <w:shd w:val="clear" w:color="auto" w:fill="D9D9D9" w:themeFill="background1" w:themeFillShade="D9"/>
            <w:tcMar>
              <w:top w:w="0" w:type="dxa"/>
              <w:left w:w="108" w:type="dxa"/>
              <w:bottom w:w="0" w:type="dxa"/>
              <w:right w:w="108" w:type="dxa"/>
            </w:tcMar>
            <w:vAlign w:val="center"/>
            <w:hideMark/>
          </w:tcPr>
          <w:p w:rsidR="00321FDD" w:rsidRPr="00A71D2E" w:rsidRDefault="00B02FC6">
            <w:pPr>
              <w:ind w:left="-194" w:right="-132"/>
              <w:jc w:val="center"/>
              <w:rPr>
                <w:rFonts w:eastAsia="宋体" w:cs="Times New Roman"/>
                <w:sz w:val="18"/>
                <w:szCs w:val="18"/>
              </w:rPr>
            </w:pPr>
            <w:r w:rsidRPr="00A71D2E">
              <w:rPr>
                <w:rFonts w:eastAsia="宋体" w:cs="Times New Roman" w:hint="eastAsia"/>
                <w:sz w:val="18"/>
                <w:szCs w:val="18"/>
              </w:rPr>
              <w:t>上年发生额</w:t>
            </w:r>
          </w:p>
        </w:tc>
      </w:tr>
      <w:tr w:rsidR="00321FDD" w:rsidRPr="00A71D2E" w:rsidTr="0027505B">
        <w:trPr>
          <w:trHeight w:val="20"/>
        </w:trPr>
        <w:tc>
          <w:tcPr>
            <w:tcW w:w="2751" w:type="dxa"/>
            <w:vMerge/>
            <w:shd w:val="clear" w:color="auto" w:fill="D9D9D9" w:themeFill="background1" w:themeFillShade="D9"/>
            <w:tcMar>
              <w:top w:w="0" w:type="dxa"/>
              <w:left w:w="108" w:type="dxa"/>
              <w:bottom w:w="0" w:type="dxa"/>
              <w:right w:w="108" w:type="dxa"/>
            </w:tcMar>
            <w:vAlign w:val="center"/>
          </w:tcPr>
          <w:p w:rsidR="00321FDD" w:rsidRPr="00A71D2E" w:rsidRDefault="00321FDD">
            <w:pPr>
              <w:jc w:val="center"/>
              <w:rPr>
                <w:rFonts w:eastAsia="宋体" w:cs="Times New Roman"/>
                <w:sz w:val="18"/>
                <w:szCs w:val="18"/>
              </w:rPr>
            </w:pPr>
          </w:p>
        </w:tc>
        <w:tc>
          <w:tcPr>
            <w:tcW w:w="1676" w:type="dxa"/>
            <w:shd w:val="clear" w:color="auto" w:fill="D9D9D9" w:themeFill="background1" w:themeFillShade="D9"/>
            <w:vAlign w:val="center"/>
          </w:tcPr>
          <w:p w:rsidR="00321FDD" w:rsidRPr="00A71D2E" w:rsidRDefault="00321FDD">
            <w:pPr>
              <w:jc w:val="center"/>
              <w:rPr>
                <w:rFonts w:eastAsia="宋体" w:cs="Times New Roman"/>
                <w:sz w:val="18"/>
                <w:szCs w:val="18"/>
              </w:rPr>
            </w:pPr>
            <w:r w:rsidRPr="00A71D2E">
              <w:rPr>
                <w:rFonts w:eastAsia="宋体" w:cs="Times New Roman" w:hint="eastAsia"/>
                <w:sz w:val="18"/>
                <w:szCs w:val="18"/>
              </w:rPr>
              <w:t>收入</w:t>
            </w:r>
          </w:p>
        </w:tc>
        <w:tc>
          <w:tcPr>
            <w:tcW w:w="1676" w:type="dxa"/>
            <w:shd w:val="clear" w:color="auto" w:fill="D9D9D9" w:themeFill="background1" w:themeFillShade="D9"/>
            <w:vAlign w:val="center"/>
          </w:tcPr>
          <w:p w:rsidR="00321FDD" w:rsidRPr="00A71D2E" w:rsidRDefault="00321FDD">
            <w:pPr>
              <w:jc w:val="center"/>
              <w:rPr>
                <w:rFonts w:eastAsia="宋体" w:cs="Times New Roman"/>
                <w:sz w:val="18"/>
                <w:szCs w:val="18"/>
              </w:rPr>
            </w:pPr>
            <w:r w:rsidRPr="00A71D2E">
              <w:rPr>
                <w:rFonts w:eastAsia="宋体" w:cs="Times New Roman" w:hint="eastAsia"/>
                <w:sz w:val="18"/>
                <w:szCs w:val="18"/>
              </w:rPr>
              <w:t>成本</w:t>
            </w:r>
          </w:p>
        </w:tc>
        <w:tc>
          <w:tcPr>
            <w:tcW w:w="1676" w:type="dxa"/>
            <w:shd w:val="clear" w:color="auto" w:fill="D9D9D9" w:themeFill="background1" w:themeFillShade="D9"/>
            <w:tcMar>
              <w:top w:w="0" w:type="dxa"/>
              <w:left w:w="108" w:type="dxa"/>
              <w:bottom w:w="0" w:type="dxa"/>
              <w:right w:w="108" w:type="dxa"/>
            </w:tcMar>
            <w:vAlign w:val="center"/>
          </w:tcPr>
          <w:p w:rsidR="00321FDD" w:rsidRPr="00A71D2E" w:rsidRDefault="00321FDD">
            <w:pPr>
              <w:jc w:val="center"/>
              <w:rPr>
                <w:rFonts w:eastAsia="宋体" w:cs="Times New Roman"/>
                <w:sz w:val="18"/>
                <w:szCs w:val="18"/>
              </w:rPr>
            </w:pPr>
            <w:r w:rsidRPr="00A71D2E">
              <w:rPr>
                <w:rFonts w:eastAsia="宋体" w:cs="Times New Roman" w:hint="eastAsia"/>
                <w:sz w:val="18"/>
                <w:szCs w:val="18"/>
              </w:rPr>
              <w:t>收入</w:t>
            </w:r>
          </w:p>
        </w:tc>
        <w:tc>
          <w:tcPr>
            <w:tcW w:w="1677" w:type="dxa"/>
            <w:shd w:val="clear" w:color="auto" w:fill="D9D9D9" w:themeFill="background1" w:themeFillShade="D9"/>
            <w:vAlign w:val="center"/>
          </w:tcPr>
          <w:p w:rsidR="00321FDD" w:rsidRPr="00A71D2E" w:rsidRDefault="00321FDD">
            <w:pPr>
              <w:jc w:val="center"/>
              <w:rPr>
                <w:rFonts w:eastAsia="宋体" w:cs="Times New Roman"/>
                <w:sz w:val="18"/>
                <w:szCs w:val="18"/>
              </w:rPr>
            </w:pPr>
            <w:r w:rsidRPr="00A71D2E">
              <w:rPr>
                <w:rFonts w:eastAsia="宋体" w:cs="Times New Roman" w:hint="eastAsia"/>
                <w:sz w:val="18"/>
                <w:szCs w:val="18"/>
              </w:rPr>
              <w:t>成本</w:t>
            </w:r>
          </w:p>
        </w:tc>
      </w:tr>
      <w:tr w:rsidR="000054E9" w:rsidRPr="00A71D2E" w:rsidTr="0027505B">
        <w:trPr>
          <w:trHeight w:val="20"/>
        </w:trPr>
        <w:tc>
          <w:tcPr>
            <w:tcW w:w="2751" w:type="dxa"/>
            <w:shd w:val="clear" w:color="auto" w:fill="FFFFFF" w:themeFill="background1"/>
            <w:tcMar>
              <w:top w:w="0" w:type="dxa"/>
              <w:left w:w="108" w:type="dxa"/>
              <w:bottom w:w="0" w:type="dxa"/>
              <w:right w:w="108" w:type="dxa"/>
            </w:tcMar>
            <w:vAlign w:val="center"/>
            <w:hideMark/>
          </w:tcPr>
          <w:p w:rsidR="000054E9" w:rsidRPr="00A71D2E" w:rsidRDefault="000054E9" w:rsidP="000054E9">
            <w:pPr>
              <w:rPr>
                <w:rFonts w:eastAsia="宋体" w:cs="Times New Roman"/>
                <w:sz w:val="18"/>
                <w:szCs w:val="18"/>
              </w:rPr>
            </w:pPr>
            <w:r w:rsidRPr="00A71D2E">
              <w:rPr>
                <w:rFonts w:eastAsia="宋体" w:cs="Times New Roman" w:hint="eastAsia"/>
                <w:sz w:val="18"/>
                <w:szCs w:val="18"/>
              </w:rPr>
              <w:t>主营业务</w:t>
            </w:r>
          </w:p>
        </w:tc>
        <w:tc>
          <w:tcPr>
            <w:tcW w:w="1676" w:type="dxa"/>
            <w:vAlign w:val="center"/>
          </w:tcPr>
          <w:p w:rsidR="000054E9" w:rsidRPr="00A71D2E" w:rsidRDefault="00AF39F1" w:rsidP="000054E9">
            <w:pPr>
              <w:ind w:left="-104" w:right="90"/>
              <w:jc w:val="right"/>
              <w:rPr>
                <w:rFonts w:eastAsia="宋体" w:cs="Times New Roman"/>
                <w:sz w:val="18"/>
                <w:szCs w:val="18"/>
              </w:rPr>
            </w:pPr>
            <w:r w:rsidRPr="00AF39F1">
              <w:rPr>
                <w:rFonts w:eastAsia="宋体" w:cs="Times New Roman"/>
                <w:sz w:val="18"/>
                <w:szCs w:val="18"/>
              </w:rPr>
              <w:t>4,816,250,952.77</w:t>
            </w:r>
          </w:p>
        </w:tc>
        <w:tc>
          <w:tcPr>
            <w:tcW w:w="1676" w:type="dxa"/>
            <w:vAlign w:val="center"/>
          </w:tcPr>
          <w:p w:rsidR="000054E9" w:rsidRPr="00A71D2E" w:rsidRDefault="00AF39F1" w:rsidP="000054E9">
            <w:pPr>
              <w:ind w:left="-104" w:right="90"/>
              <w:jc w:val="right"/>
              <w:rPr>
                <w:rFonts w:eastAsia="宋体" w:cs="Times New Roman"/>
                <w:sz w:val="18"/>
                <w:szCs w:val="18"/>
              </w:rPr>
            </w:pPr>
            <w:r w:rsidRPr="00AF39F1">
              <w:rPr>
                <w:rFonts w:eastAsia="宋体" w:cs="Times New Roman"/>
                <w:sz w:val="18"/>
                <w:szCs w:val="18"/>
              </w:rPr>
              <w:t>2,744,462,803.55</w:t>
            </w:r>
          </w:p>
        </w:tc>
        <w:tc>
          <w:tcPr>
            <w:tcW w:w="1676" w:type="dxa"/>
            <w:tcMar>
              <w:top w:w="0" w:type="dxa"/>
              <w:left w:w="108" w:type="dxa"/>
              <w:bottom w:w="0" w:type="dxa"/>
              <w:right w:w="108" w:type="dxa"/>
            </w:tcMar>
            <w:vAlign w:val="center"/>
          </w:tcPr>
          <w:p w:rsidR="000054E9" w:rsidRPr="00A71D2E" w:rsidRDefault="000054E9" w:rsidP="000054E9">
            <w:pPr>
              <w:ind w:left="-104" w:right="-18"/>
              <w:jc w:val="right"/>
              <w:rPr>
                <w:rFonts w:eastAsia="宋体" w:cs="Times New Roman"/>
                <w:sz w:val="18"/>
                <w:szCs w:val="18"/>
              </w:rPr>
            </w:pPr>
            <w:r w:rsidRPr="00A71D2E">
              <w:rPr>
                <w:rFonts w:eastAsia="宋体" w:cs="Times New Roman"/>
                <w:sz w:val="18"/>
                <w:szCs w:val="18"/>
              </w:rPr>
              <w:t>4,267,125,788.84</w:t>
            </w:r>
          </w:p>
        </w:tc>
        <w:tc>
          <w:tcPr>
            <w:tcW w:w="1677" w:type="dxa"/>
            <w:vAlign w:val="center"/>
          </w:tcPr>
          <w:p w:rsidR="000054E9" w:rsidRPr="00A71D2E" w:rsidRDefault="000054E9" w:rsidP="000054E9">
            <w:pPr>
              <w:ind w:left="-104" w:right="90"/>
              <w:jc w:val="right"/>
              <w:rPr>
                <w:rFonts w:eastAsia="宋体" w:cs="Times New Roman"/>
                <w:sz w:val="18"/>
                <w:szCs w:val="18"/>
              </w:rPr>
            </w:pPr>
            <w:r w:rsidRPr="00A71D2E">
              <w:rPr>
                <w:rFonts w:eastAsia="宋体" w:cs="Times New Roman"/>
                <w:sz w:val="18"/>
                <w:szCs w:val="18"/>
              </w:rPr>
              <w:t>2,708,419,727.44</w:t>
            </w:r>
          </w:p>
        </w:tc>
      </w:tr>
      <w:tr w:rsidR="000054E9" w:rsidRPr="00A71D2E" w:rsidTr="0027505B">
        <w:trPr>
          <w:trHeight w:val="20"/>
        </w:trPr>
        <w:tc>
          <w:tcPr>
            <w:tcW w:w="2751" w:type="dxa"/>
            <w:shd w:val="clear" w:color="auto" w:fill="FFFFFF" w:themeFill="background1"/>
            <w:tcMar>
              <w:top w:w="0" w:type="dxa"/>
              <w:left w:w="108" w:type="dxa"/>
              <w:bottom w:w="0" w:type="dxa"/>
              <w:right w:w="108" w:type="dxa"/>
            </w:tcMar>
            <w:vAlign w:val="center"/>
          </w:tcPr>
          <w:p w:rsidR="000054E9" w:rsidRPr="00A71D2E" w:rsidRDefault="000054E9" w:rsidP="000054E9">
            <w:pPr>
              <w:rPr>
                <w:rFonts w:eastAsia="宋体" w:cs="Times New Roman"/>
                <w:sz w:val="18"/>
                <w:szCs w:val="18"/>
              </w:rPr>
            </w:pPr>
            <w:r w:rsidRPr="00A71D2E">
              <w:rPr>
                <w:rFonts w:eastAsia="宋体" w:cs="Times New Roman" w:hint="eastAsia"/>
                <w:sz w:val="18"/>
                <w:szCs w:val="18"/>
              </w:rPr>
              <w:t>其他业务</w:t>
            </w:r>
          </w:p>
        </w:tc>
        <w:tc>
          <w:tcPr>
            <w:tcW w:w="1676" w:type="dxa"/>
            <w:vAlign w:val="center"/>
          </w:tcPr>
          <w:p w:rsidR="000054E9" w:rsidRPr="00A71D2E" w:rsidRDefault="00AF39F1" w:rsidP="000054E9">
            <w:pPr>
              <w:ind w:left="-104" w:right="90"/>
              <w:jc w:val="right"/>
              <w:rPr>
                <w:rFonts w:eastAsia="宋体" w:cs="Times New Roman"/>
                <w:sz w:val="18"/>
                <w:szCs w:val="18"/>
              </w:rPr>
            </w:pPr>
            <w:r w:rsidRPr="00AF39F1">
              <w:rPr>
                <w:rFonts w:eastAsia="宋体" w:cs="Times New Roman"/>
                <w:sz w:val="18"/>
                <w:szCs w:val="18"/>
              </w:rPr>
              <w:t>23,493,912.78</w:t>
            </w:r>
          </w:p>
        </w:tc>
        <w:tc>
          <w:tcPr>
            <w:tcW w:w="1676" w:type="dxa"/>
            <w:vAlign w:val="center"/>
          </w:tcPr>
          <w:p w:rsidR="000054E9" w:rsidRPr="00A71D2E" w:rsidRDefault="00AF39F1" w:rsidP="000054E9">
            <w:pPr>
              <w:ind w:left="-104" w:right="90"/>
              <w:jc w:val="right"/>
              <w:rPr>
                <w:rFonts w:eastAsia="宋体" w:cs="Times New Roman"/>
                <w:sz w:val="18"/>
                <w:szCs w:val="18"/>
              </w:rPr>
            </w:pPr>
            <w:r w:rsidRPr="00AF39F1">
              <w:rPr>
                <w:rFonts w:eastAsia="宋体" w:cs="Times New Roman"/>
                <w:sz w:val="18"/>
                <w:szCs w:val="18"/>
              </w:rPr>
              <w:t>21,348,961.02</w:t>
            </w:r>
          </w:p>
        </w:tc>
        <w:tc>
          <w:tcPr>
            <w:tcW w:w="1676" w:type="dxa"/>
            <w:tcMar>
              <w:top w:w="0" w:type="dxa"/>
              <w:left w:w="108" w:type="dxa"/>
              <w:bottom w:w="0" w:type="dxa"/>
              <w:right w:w="108" w:type="dxa"/>
            </w:tcMar>
            <w:vAlign w:val="center"/>
          </w:tcPr>
          <w:p w:rsidR="000054E9" w:rsidRPr="00A71D2E" w:rsidRDefault="000054E9" w:rsidP="000054E9">
            <w:pPr>
              <w:ind w:left="-104" w:right="-18"/>
              <w:jc w:val="right"/>
              <w:rPr>
                <w:rFonts w:eastAsia="宋体" w:cs="Times New Roman"/>
                <w:sz w:val="18"/>
                <w:szCs w:val="18"/>
              </w:rPr>
            </w:pPr>
            <w:r w:rsidRPr="00A71D2E">
              <w:rPr>
                <w:rFonts w:eastAsia="宋体" w:cs="Times New Roman"/>
                <w:sz w:val="18"/>
                <w:szCs w:val="18"/>
              </w:rPr>
              <w:t>39,187,989.29</w:t>
            </w:r>
          </w:p>
        </w:tc>
        <w:tc>
          <w:tcPr>
            <w:tcW w:w="1677" w:type="dxa"/>
            <w:vAlign w:val="center"/>
          </w:tcPr>
          <w:p w:rsidR="000054E9" w:rsidRPr="00A71D2E" w:rsidRDefault="000054E9" w:rsidP="000054E9">
            <w:pPr>
              <w:ind w:left="-104" w:right="90"/>
              <w:jc w:val="right"/>
              <w:rPr>
                <w:rFonts w:eastAsia="宋体" w:cs="Times New Roman"/>
                <w:sz w:val="18"/>
                <w:szCs w:val="18"/>
              </w:rPr>
            </w:pPr>
            <w:r w:rsidRPr="00A71D2E">
              <w:rPr>
                <w:rFonts w:eastAsia="宋体" w:cs="Times New Roman"/>
                <w:sz w:val="18"/>
                <w:szCs w:val="18"/>
              </w:rPr>
              <w:t>29,671,424.47</w:t>
            </w:r>
          </w:p>
        </w:tc>
      </w:tr>
      <w:tr w:rsidR="000054E9" w:rsidRPr="00A71D2E" w:rsidTr="0027505B">
        <w:trPr>
          <w:trHeight w:val="20"/>
        </w:trPr>
        <w:tc>
          <w:tcPr>
            <w:tcW w:w="2751" w:type="dxa"/>
            <w:shd w:val="clear" w:color="auto" w:fill="D9D9D9" w:themeFill="background1" w:themeFillShade="D9"/>
            <w:tcMar>
              <w:top w:w="0" w:type="dxa"/>
              <w:left w:w="108" w:type="dxa"/>
              <w:bottom w:w="0" w:type="dxa"/>
              <w:right w:w="108" w:type="dxa"/>
            </w:tcMar>
            <w:vAlign w:val="center"/>
            <w:hideMark/>
          </w:tcPr>
          <w:p w:rsidR="000054E9" w:rsidRPr="00A71D2E" w:rsidRDefault="000054E9" w:rsidP="000054E9">
            <w:pPr>
              <w:rPr>
                <w:rFonts w:eastAsia="宋体" w:cs="Times New Roman"/>
                <w:sz w:val="18"/>
                <w:szCs w:val="18"/>
              </w:rPr>
            </w:pPr>
            <w:r w:rsidRPr="00A71D2E">
              <w:rPr>
                <w:rFonts w:eastAsia="宋体" w:cs="Times New Roman" w:hint="eastAsia"/>
                <w:sz w:val="18"/>
                <w:szCs w:val="18"/>
              </w:rPr>
              <w:t>合计</w:t>
            </w:r>
          </w:p>
        </w:tc>
        <w:tc>
          <w:tcPr>
            <w:tcW w:w="1676" w:type="dxa"/>
            <w:vAlign w:val="center"/>
          </w:tcPr>
          <w:p w:rsidR="000054E9" w:rsidRPr="00A71D2E" w:rsidRDefault="00AF39F1" w:rsidP="000054E9">
            <w:pPr>
              <w:ind w:left="-104" w:right="90"/>
              <w:jc w:val="right"/>
              <w:rPr>
                <w:rFonts w:eastAsia="宋体" w:cs="Times New Roman"/>
                <w:sz w:val="18"/>
                <w:szCs w:val="18"/>
              </w:rPr>
            </w:pPr>
            <w:r w:rsidRPr="00AF39F1">
              <w:rPr>
                <w:rFonts w:eastAsia="宋体" w:cs="Times New Roman"/>
                <w:sz w:val="18"/>
                <w:szCs w:val="18"/>
              </w:rPr>
              <w:t>4,839,744,865.55</w:t>
            </w:r>
          </w:p>
        </w:tc>
        <w:tc>
          <w:tcPr>
            <w:tcW w:w="1676" w:type="dxa"/>
            <w:vAlign w:val="center"/>
          </w:tcPr>
          <w:p w:rsidR="000054E9" w:rsidRPr="00A71D2E" w:rsidRDefault="00AF39F1" w:rsidP="000054E9">
            <w:pPr>
              <w:ind w:left="-104" w:right="90"/>
              <w:jc w:val="right"/>
              <w:rPr>
                <w:rFonts w:eastAsia="宋体" w:cs="Times New Roman"/>
                <w:sz w:val="18"/>
                <w:szCs w:val="18"/>
              </w:rPr>
            </w:pPr>
            <w:r w:rsidRPr="00AF39F1">
              <w:rPr>
                <w:rFonts w:eastAsia="宋体" w:cs="Times New Roman"/>
                <w:sz w:val="18"/>
                <w:szCs w:val="18"/>
              </w:rPr>
              <w:t>2,765,811,764.57</w:t>
            </w:r>
          </w:p>
        </w:tc>
        <w:tc>
          <w:tcPr>
            <w:tcW w:w="1676" w:type="dxa"/>
            <w:tcMar>
              <w:top w:w="0" w:type="dxa"/>
              <w:left w:w="108" w:type="dxa"/>
              <w:bottom w:w="0" w:type="dxa"/>
              <w:right w:w="108" w:type="dxa"/>
            </w:tcMar>
            <w:vAlign w:val="center"/>
          </w:tcPr>
          <w:p w:rsidR="000054E9" w:rsidRPr="00A71D2E" w:rsidRDefault="000054E9" w:rsidP="000054E9">
            <w:pPr>
              <w:ind w:left="-104" w:right="-18"/>
              <w:jc w:val="right"/>
              <w:rPr>
                <w:rFonts w:eastAsia="宋体" w:cs="Times New Roman"/>
                <w:sz w:val="18"/>
                <w:szCs w:val="18"/>
              </w:rPr>
            </w:pPr>
            <w:r w:rsidRPr="00A71D2E">
              <w:rPr>
                <w:rFonts w:eastAsia="宋体" w:cs="Times New Roman"/>
                <w:sz w:val="18"/>
                <w:szCs w:val="18"/>
              </w:rPr>
              <w:t>4,306,313,778.13</w:t>
            </w:r>
          </w:p>
        </w:tc>
        <w:tc>
          <w:tcPr>
            <w:tcW w:w="1677" w:type="dxa"/>
            <w:vAlign w:val="center"/>
          </w:tcPr>
          <w:p w:rsidR="000054E9" w:rsidRPr="00A71D2E" w:rsidRDefault="000054E9" w:rsidP="000054E9">
            <w:pPr>
              <w:ind w:left="-104" w:rightChars="20" w:right="42"/>
              <w:jc w:val="right"/>
              <w:rPr>
                <w:rFonts w:eastAsia="宋体" w:cs="Times New Roman"/>
                <w:sz w:val="18"/>
                <w:szCs w:val="18"/>
              </w:rPr>
            </w:pPr>
            <w:r w:rsidRPr="00A71D2E">
              <w:rPr>
                <w:rFonts w:eastAsia="宋体" w:cs="Times New Roman"/>
                <w:sz w:val="18"/>
                <w:szCs w:val="18"/>
              </w:rPr>
              <w:t>2,738,091,151.91</w:t>
            </w:r>
          </w:p>
        </w:tc>
      </w:tr>
    </w:tbl>
    <w:p w:rsidR="0078692D" w:rsidRDefault="0078692D" w:rsidP="00F66363">
      <w:pPr>
        <w:ind w:left="720"/>
        <w:jc w:val="both"/>
        <w:rPr>
          <w:rFonts w:eastAsia="宋体" w:cs="Times New Roman"/>
          <w:szCs w:val="21"/>
        </w:rPr>
      </w:pPr>
    </w:p>
    <w:p w:rsidR="00321FDD" w:rsidRPr="00A71D2E" w:rsidRDefault="00321FDD" w:rsidP="00F66363">
      <w:pPr>
        <w:pStyle w:val="aff1"/>
        <w:numPr>
          <w:ilvl w:val="0"/>
          <w:numId w:val="9"/>
        </w:numPr>
        <w:ind w:left="1440" w:firstLineChars="0" w:hanging="709"/>
      </w:pPr>
      <w:r w:rsidRPr="00A71D2E">
        <w:rPr>
          <w:rFonts w:hint="eastAsia"/>
        </w:rPr>
        <w:t>主营业务</w:t>
      </w:r>
      <w:r w:rsidR="005F14EE">
        <w:t>(</w:t>
      </w:r>
      <w:r w:rsidRPr="00A71D2E">
        <w:rPr>
          <w:rFonts w:hint="eastAsia"/>
        </w:rPr>
        <w:t>按类别</w:t>
      </w:r>
      <w:r w:rsidR="005F14EE">
        <w:t>)</w:t>
      </w:r>
    </w:p>
    <w:p w:rsidR="00321FDD" w:rsidRPr="00A71D2E" w:rsidRDefault="00321FDD" w:rsidP="00F66363">
      <w:pPr>
        <w:ind w:left="720"/>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51"/>
        <w:gridCol w:w="1676"/>
        <w:gridCol w:w="1676"/>
        <w:gridCol w:w="1676"/>
        <w:gridCol w:w="1677"/>
      </w:tblGrid>
      <w:tr w:rsidR="00184DE8" w:rsidRPr="00446F76" w:rsidTr="0027505B">
        <w:trPr>
          <w:trHeight w:val="20"/>
        </w:trPr>
        <w:tc>
          <w:tcPr>
            <w:tcW w:w="1455" w:type="pct"/>
            <w:vMerge w:val="restart"/>
            <w:shd w:val="clear" w:color="auto" w:fill="D9D9D9" w:themeFill="background1" w:themeFillShade="D9"/>
            <w:tcMar>
              <w:top w:w="0" w:type="dxa"/>
              <w:left w:w="108" w:type="dxa"/>
              <w:bottom w:w="0" w:type="dxa"/>
              <w:right w:w="108" w:type="dxa"/>
            </w:tcMar>
            <w:vAlign w:val="center"/>
          </w:tcPr>
          <w:p w:rsidR="00184DE8" w:rsidRPr="00446F76" w:rsidRDefault="00184DE8">
            <w:pPr>
              <w:jc w:val="center"/>
              <w:rPr>
                <w:rFonts w:eastAsia="宋体" w:cs="Times New Roman"/>
                <w:sz w:val="18"/>
                <w:szCs w:val="18"/>
              </w:rPr>
            </w:pPr>
            <w:r w:rsidRPr="00446F76">
              <w:rPr>
                <w:rFonts w:eastAsia="宋体" w:cs="Times New Roman" w:hint="eastAsia"/>
                <w:sz w:val="18"/>
                <w:szCs w:val="18"/>
              </w:rPr>
              <w:t>项目</w:t>
            </w:r>
          </w:p>
        </w:tc>
        <w:tc>
          <w:tcPr>
            <w:tcW w:w="1772" w:type="pct"/>
            <w:gridSpan w:val="2"/>
            <w:shd w:val="clear" w:color="auto" w:fill="D9D9D9" w:themeFill="background1" w:themeFillShade="D9"/>
            <w:vAlign w:val="center"/>
          </w:tcPr>
          <w:p w:rsidR="00184DE8" w:rsidRPr="00446F76" w:rsidRDefault="00184DE8">
            <w:pPr>
              <w:jc w:val="center"/>
              <w:rPr>
                <w:rFonts w:eastAsia="宋体" w:cs="Times New Roman"/>
                <w:sz w:val="18"/>
                <w:szCs w:val="18"/>
              </w:rPr>
            </w:pPr>
            <w:r w:rsidRPr="00446F76">
              <w:rPr>
                <w:rFonts w:eastAsia="宋体" w:cs="Times New Roman" w:hint="eastAsia"/>
                <w:sz w:val="18"/>
                <w:szCs w:val="18"/>
              </w:rPr>
              <w:t>本年发生额</w:t>
            </w:r>
          </w:p>
        </w:tc>
        <w:tc>
          <w:tcPr>
            <w:tcW w:w="1773" w:type="pct"/>
            <w:gridSpan w:val="2"/>
            <w:shd w:val="clear" w:color="auto" w:fill="D9D9D9" w:themeFill="background1" w:themeFillShade="D9"/>
            <w:vAlign w:val="center"/>
          </w:tcPr>
          <w:p w:rsidR="00184DE8" w:rsidRPr="00446F76" w:rsidRDefault="00184DE8">
            <w:pPr>
              <w:jc w:val="center"/>
              <w:rPr>
                <w:rFonts w:eastAsia="宋体" w:cs="Times New Roman"/>
                <w:sz w:val="18"/>
                <w:szCs w:val="18"/>
              </w:rPr>
            </w:pPr>
            <w:r w:rsidRPr="00446F76">
              <w:rPr>
                <w:rFonts w:eastAsia="宋体" w:cs="Times New Roman" w:hint="eastAsia"/>
                <w:sz w:val="18"/>
                <w:szCs w:val="18"/>
              </w:rPr>
              <w:t>上年发生额</w:t>
            </w:r>
          </w:p>
        </w:tc>
      </w:tr>
      <w:tr w:rsidR="00321FDD" w:rsidRPr="00446F76" w:rsidTr="0027505B">
        <w:trPr>
          <w:trHeight w:val="20"/>
        </w:trPr>
        <w:tc>
          <w:tcPr>
            <w:tcW w:w="1455" w:type="pct"/>
            <w:vMerge/>
            <w:shd w:val="clear" w:color="auto" w:fill="D9D9D9" w:themeFill="background1" w:themeFillShade="D9"/>
            <w:tcMar>
              <w:top w:w="0" w:type="dxa"/>
              <w:left w:w="108" w:type="dxa"/>
              <w:bottom w:w="0" w:type="dxa"/>
              <w:right w:w="108" w:type="dxa"/>
            </w:tcMar>
            <w:vAlign w:val="center"/>
            <w:hideMark/>
          </w:tcPr>
          <w:p w:rsidR="00321FDD" w:rsidRPr="00446F76" w:rsidRDefault="00321FDD">
            <w:pPr>
              <w:jc w:val="center"/>
              <w:rPr>
                <w:rFonts w:eastAsia="宋体" w:cs="Times New Roman"/>
                <w:sz w:val="18"/>
                <w:szCs w:val="18"/>
              </w:rPr>
            </w:pPr>
          </w:p>
        </w:tc>
        <w:tc>
          <w:tcPr>
            <w:tcW w:w="886" w:type="pct"/>
            <w:shd w:val="clear" w:color="auto" w:fill="D9D9D9" w:themeFill="background1" w:themeFillShade="D9"/>
            <w:vAlign w:val="center"/>
          </w:tcPr>
          <w:p w:rsidR="00321FDD" w:rsidRPr="00446F76" w:rsidRDefault="00321FDD">
            <w:pPr>
              <w:jc w:val="center"/>
              <w:rPr>
                <w:rFonts w:eastAsia="宋体" w:cs="Times New Roman"/>
                <w:sz w:val="18"/>
                <w:szCs w:val="18"/>
              </w:rPr>
            </w:pPr>
            <w:r w:rsidRPr="00446F76">
              <w:rPr>
                <w:rFonts w:eastAsia="宋体" w:cs="Times New Roman" w:hint="eastAsia"/>
                <w:sz w:val="18"/>
                <w:szCs w:val="18"/>
              </w:rPr>
              <w:t>收入</w:t>
            </w:r>
          </w:p>
        </w:tc>
        <w:tc>
          <w:tcPr>
            <w:tcW w:w="886" w:type="pct"/>
            <w:shd w:val="clear" w:color="auto" w:fill="D9D9D9" w:themeFill="background1" w:themeFillShade="D9"/>
            <w:vAlign w:val="center"/>
          </w:tcPr>
          <w:p w:rsidR="00321FDD" w:rsidRPr="00446F76" w:rsidRDefault="00321FDD">
            <w:pPr>
              <w:jc w:val="center"/>
              <w:rPr>
                <w:rFonts w:eastAsia="宋体" w:cs="Times New Roman"/>
                <w:sz w:val="18"/>
                <w:szCs w:val="18"/>
              </w:rPr>
            </w:pPr>
            <w:r w:rsidRPr="00446F76">
              <w:rPr>
                <w:rFonts w:eastAsia="宋体" w:cs="Times New Roman" w:hint="eastAsia"/>
                <w:sz w:val="18"/>
                <w:szCs w:val="18"/>
              </w:rPr>
              <w:t>成本</w:t>
            </w:r>
          </w:p>
        </w:tc>
        <w:tc>
          <w:tcPr>
            <w:tcW w:w="886" w:type="pct"/>
            <w:shd w:val="clear" w:color="auto" w:fill="D9D9D9" w:themeFill="background1" w:themeFillShade="D9"/>
            <w:vAlign w:val="center"/>
          </w:tcPr>
          <w:p w:rsidR="00321FDD" w:rsidRPr="00446F76" w:rsidRDefault="00321FDD">
            <w:pPr>
              <w:jc w:val="center"/>
              <w:rPr>
                <w:rFonts w:eastAsia="宋体" w:cs="Times New Roman"/>
                <w:sz w:val="18"/>
                <w:szCs w:val="18"/>
              </w:rPr>
            </w:pPr>
            <w:r w:rsidRPr="00446F76">
              <w:rPr>
                <w:rFonts w:eastAsia="宋体" w:cs="Times New Roman" w:hint="eastAsia"/>
                <w:sz w:val="18"/>
                <w:szCs w:val="18"/>
              </w:rPr>
              <w:t>收入</w:t>
            </w:r>
          </w:p>
        </w:tc>
        <w:tc>
          <w:tcPr>
            <w:tcW w:w="887" w:type="pct"/>
            <w:shd w:val="clear" w:color="auto" w:fill="D9D9D9" w:themeFill="background1" w:themeFillShade="D9"/>
            <w:vAlign w:val="center"/>
          </w:tcPr>
          <w:p w:rsidR="00321FDD" w:rsidRPr="00446F76" w:rsidRDefault="00321FDD">
            <w:pPr>
              <w:jc w:val="center"/>
              <w:rPr>
                <w:rFonts w:eastAsia="宋体" w:cs="Times New Roman"/>
                <w:sz w:val="18"/>
                <w:szCs w:val="18"/>
              </w:rPr>
            </w:pPr>
            <w:r w:rsidRPr="00446F76">
              <w:rPr>
                <w:rFonts w:eastAsia="宋体" w:cs="Times New Roman" w:hint="eastAsia"/>
                <w:sz w:val="18"/>
                <w:szCs w:val="18"/>
              </w:rPr>
              <w:t>成本</w:t>
            </w:r>
          </w:p>
        </w:tc>
      </w:tr>
      <w:tr w:rsidR="000054E9" w:rsidRPr="00446F76" w:rsidTr="0027505B">
        <w:trPr>
          <w:trHeight w:val="20"/>
        </w:trPr>
        <w:tc>
          <w:tcPr>
            <w:tcW w:w="1455" w:type="pct"/>
            <w:shd w:val="clear" w:color="auto" w:fill="FFFFFF" w:themeFill="background1"/>
            <w:tcMar>
              <w:top w:w="0" w:type="dxa"/>
              <w:left w:w="108" w:type="dxa"/>
              <w:bottom w:w="0" w:type="dxa"/>
              <w:right w:w="108" w:type="dxa"/>
            </w:tcMar>
            <w:vAlign w:val="center"/>
          </w:tcPr>
          <w:p w:rsidR="000054E9" w:rsidRPr="00446F76" w:rsidRDefault="000054E9" w:rsidP="000054E9">
            <w:pPr>
              <w:rPr>
                <w:rFonts w:eastAsia="宋体" w:cs="Times New Roman"/>
                <w:sz w:val="18"/>
                <w:szCs w:val="18"/>
              </w:rPr>
            </w:pPr>
            <w:r w:rsidRPr="00446F76">
              <w:rPr>
                <w:rFonts w:eastAsia="宋体" w:cs="Times New Roman" w:hint="eastAsia"/>
                <w:sz w:val="18"/>
                <w:szCs w:val="18"/>
              </w:rPr>
              <w:t>智能家居摄像机</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2,989,526,144.62</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1,835,749,047.94</w:t>
            </w:r>
          </w:p>
        </w:tc>
        <w:tc>
          <w:tcPr>
            <w:tcW w:w="886"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2,902,609,958.45</w:t>
            </w:r>
          </w:p>
        </w:tc>
        <w:tc>
          <w:tcPr>
            <w:tcW w:w="887"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2,003,623,950.23</w:t>
            </w:r>
          </w:p>
        </w:tc>
      </w:tr>
      <w:tr w:rsidR="000054E9" w:rsidRPr="00446F76" w:rsidTr="0027505B">
        <w:trPr>
          <w:trHeight w:val="20"/>
        </w:trPr>
        <w:tc>
          <w:tcPr>
            <w:tcW w:w="1455" w:type="pct"/>
            <w:shd w:val="clear" w:color="auto" w:fill="FFFFFF" w:themeFill="background1"/>
            <w:tcMar>
              <w:top w:w="0" w:type="dxa"/>
              <w:left w:w="108" w:type="dxa"/>
              <w:bottom w:w="0" w:type="dxa"/>
              <w:right w:w="108" w:type="dxa"/>
            </w:tcMar>
            <w:vAlign w:val="center"/>
          </w:tcPr>
          <w:p w:rsidR="000054E9" w:rsidRPr="00446F76" w:rsidRDefault="000054E9" w:rsidP="000054E9">
            <w:pPr>
              <w:rPr>
                <w:rFonts w:eastAsia="宋体" w:cs="Times New Roman"/>
                <w:sz w:val="18"/>
                <w:szCs w:val="18"/>
              </w:rPr>
            </w:pPr>
            <w:r w:rsidRPr="00446F76">
              <w:rPr>
                <w:rFonts w:eastAsia="宋体" w:cs="Times New Roman" w:hint="eastAsia"/>
                <w:sz w:val="18"/>
                <w:szCs w:val="18"/>
              </w:rPr>
              <w:t>智能入户</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505,530,649.36</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332,983,527.43</w:t>
            </w:r>
          </w:p>
        </w:tc>
        <w:tc>
          <w:tcPr>
            <w:tcW w:w="886"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338,184,866.84</w:t>
            </w:r>
          </w:p>
        </w:tc>
        <w:tc>
          <w:tcPr>
            <w:tcW w:w="887"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227,920,363.40</w:t>
            </w:r>
          </w:p>
        </w:tc>
      </w:tr>
      <w:tr w:rsidR="000054E9" w:rsidRPr="00446F76" w:rsidTr="0027505B">
        <w:trPr>
          <w:trHeight w:val="20"/>
        </w:trPr>
        <w:tc>
          <w:tcPr>
            <w:tcW w:w="1455" w:type="pct"/>
            <w:shd w:val="clear" w:color="auto" w:fill="FFFFFF" w:themeFill="background1"/>
            <w:tcMar>
              <w:top w:w="0" w:type="dxa"/>
              <w:left w:w="108" w:type="dxa"/>
              <w:bottom w:w="0" w:type="dxa"/>
              <w:right w:w="108" w:type="dxa"/>
            </w:tcMar>
            <w:vAlign w:val="center"/>
          </w:tcPr>
          <w:p w:rsidR="000054E9" w:rsidRPr="00446F76" w:rsidRDefault="000054E9" w:rsidP="000054E9">
            <w:pPr>
              <w:rPr>
                <w:rFonts w:eastAsia="宋体" w:cs="Times New Roman"/>
                <w:sz w:val="18"/>
                <w:szCs w:val="18"/>
              </w:rPr>
            </w:pPr>
            <w:r w:rsidRPr="00446F76">
              <w:rPr>
                <w:rFonts w:eastAsia="宋体" w:cs="Times New Roman" w:hint="eastAsia"/>
                <w:sz w:val="18"/>
                <w:szCs w:val="18"/>
              </w:rPr>
              <w:t>其他智能家居产品</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197,878,416.16</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154,684,796.04</w:t>
            </w:r>
          </w:p>
        </w:tc>
        <w:tc>
          <w:tcPr>
            <w:tcW w:w="886"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130,019,092.08</w:t>
            </w:r>
          </w:p>
        </w:tc>
        <w:tc>
          <w:tcPr>
            <w:tcW w:w="887"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98,501,862.84</w:t>
            </w:r>
          </w:p>
        </w:tc>
      </w:tr>
      <w:tr w:rsidR="000054E9" w:rsidRPr="00446F76" w:rsidTr="0027505B">
        <w:trPr>
          <w:trHeight w:val="20"/>
        </w:trPr>
        <w:tc>
          <w:tcPr>
            <w:tcW w:w="1455" w:type="pct"/>
            <w:shd w:val="clear" w:color="auto" w:fill="FFFFFF" w:themeFill="background1"/>
            <w:tcMar>
              <w:top w:w="0" w:type="dxa"/>
              <w:left w:w="108" w:type="dxa"/>
              <w:bottom w:w="0" w:type="dxa"/>
              <w:right w:w="108" w:type="dxa"/>
            </w:tcMar>
            <w:vAlign w:val="center"/>
          </w:tcPr>
          <w:p w:rsidR="000054E9" w:rsidRPr="00446F76" w:rsidRDefault="000054E9" w:rsidP="000054E9">
            <w:pPr>
              <w:rPr>
                <w:rFonts w:eastAsia="宋体" w:cs="Times New Roman"/>
                <w:sz w:val="18"/>
                <w:szCs w:val="18"/>
              </w:rPr>
            </w:pPr>
            <w:r w:rsidRPr="00446F76">
              <w:rPr>
                <w:rFonts w:eastAsia="宋体" w:cs="Times New Roman" w:hint="eastAsia"/>
                <w:sz w:val="18"/>
                <w:szCs w:val="18"/>
              </w:rPr>
              <w:t>配件产品</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266,968,822.40</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216,290,903.09</w:t>
            </w:r>
          </w:p>
        </w:tc>
        <w:tc>
          <w:tcPr>
            <w:tcW w:w="886"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226,173,260.75</w:t>
            </w:r>
          </w:p>
        </w:tc>
        <w:tc>
          <w:tcPr>
            <w:tcW w:w="887"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193,617,157.52</w:t>
            </w:r>
          </w:p>
        </w:tc>
      </w:tr>
      <w:tr w:rsidR="000054E9" w:rsidRPr="00446F76" w:rsidTr="0027505B">
        <w:trPr>
          <w:trHeight w:val="20"/>
        </w:trPr>
        <w:tc>
          <w:tcPr>
            <w:tcW w:w="1455" w:type="pct"/>
            <w:shd w:val="clear" w:color="auto" w:fill="D9D9D9"/>
            <w:tcMar>
              <w:top w:w="0" w:type="dxa"/>
              <w:left w:w="108" w:type="dxa"/>
              <w:bottom w:w="0" w:type="dxa"/>
              <w:right w:w="108" w:type="dxa"/>
            </w:tcMar>
            <w:vAlign w:val="center"/>
          </w:tcPr>
          <w:p w:rsidR="000054E9" w:rsidRPr="0027505B" w:rsidRDefault="000054E9" w:rsidP="000054E9">
            <w:pPr>
              <w:rPr>
                <w:rFonts w:eastAsia="宋体" w:cs="Times New Roman"/>
                <w:bCs/>
                <w:sz w:val="18"/>
                <w:szCs w:val="18"/>
              </w:rPr>
            </w:pPr>
            <w:r w:rsidRPr="0027505B">
              <w:rPr>
                <w:rFonts w:eastAsia="宋体" w:cs="Times New Roman" w:hint="eastAsia"/>
                <w:bCs/>
                <w:sz w:val="18"/>
                <w:szCs w:val="18"/>
              </w:rPr>
              <w:t>智能家居产品小计</w:t>
            </w:r>
          </w:p>
        </w:tc>
        <w:tc>
          <w:tcPr>
            <w:tcW w:w="886" w:type="pct"/>
            <w:vAlign w:val="center"/>
          </w:tcPr>
          <w:p w:rsidR="000054E9" w:rsidRPr="0027505B" w:rsidRDefault="00AF39F1" w:rsidP="000054E9">
            <w:pPr>
              <w:ind w:right="90"/>
              <w:jc w:val="right"/>
              <w:rPr>
                <w:rFonts w:eastAsia="宋体" w:cs="Times New Roman"/>
                <w:bCs/>
                <w:sz w:val="18"/>
                <w:szCs w:val="18"/>
              </w:rPr>
            </w:pPr>
            <w:r w:rsidRPr="0027505B">
              <w:rPr>
                <w:rFonts w:eastAsia="宋体" w:cs="Times New Roman"/>
                <w:bCs/>
                <w:sz w:val="18"/>
                <w:szCs w:val="18"/>
              </w:rPr>
              <w:t>3,959,904,032.54</w:t>
            </w:r>
          </w:p>
        </w:tc>
        <w:tc>
          <w:tcPr>
            <w:tcW w:w="886" w:type="pct"/>
            <w:vAlign w:val="center"/>
          </w:tcPr>
          <w:p w:rsidR="000054E9" w:rsidRPr="0027505B" w:rsidRDefault="00AF39F1" w:rsidP="000054E9">
            <w:pPr>
              <w:ind w:right="90"/>
              <w:jc w:val="right"/>
              <w:rPr>
                <w:rFonts w:eastAsia="宋体" w:cs="Times New Roman"/>
                <w:bCs/>
                <w:sz w:val="18"/>
                <w:szCs w:val="18"/>
              </w:rPr>
            </w:pPr>
            <w:r w:rsidRPr="0027505B">
              <w:rPr>
                <w:rFonts w:eastAsia="宋体" w:cs="Times New Roman"/>
                <w:bCs/>
                <w:sz w:val="18"/>
                <w:szCs w:val="18"/>
              </w:rPr>
              <w:t>2,539,708,274.50</w:t>
            </w:r>
          </w:p>
        </w:tc>
        <w:tc>
          <w:tcPr>
            <w:tcW w:w="886" w:type="pct"/>
            <w:vAlign w:val="center"/>
          </w:tcPr>
          <w:p w:rsidR="000054E9" w:rsidRPr="0027505B" w:rsidRDefault="000054E9" w:rsidP="000054E9">
            <w:pPr>
              <w:ind w:right="90"/>
              <w:jc w:val="right"/>
              <w:rPr>
                <w:rFonts w:eastAsia="宋体" w:cs="Times New Roman"/>
                <w:bCs/>
                <w:sz w:val="18"/>
                <w:szCs w:val="18"/>
              </w:rPr>
            </w:pPr>
            <w:r w:rsidRPr="0027505B">
              <w:rPr>
                <w:rFonts w:eastAsia="宋体" w:cs="Times New Roman"/>
                <w:bCs/>
                <w:sz w:val="18"/>
                <w:szCs w:val="18"/>
              </w:rPr>
              <w:t>3,596,987,178.12</w:t>
            </w:r>
          </w:p>
        </w:tc>
        <w:tc>
          <w:tcPr>
            <w:tcW w:w="887" w:type="pct"/>
            <w:vAlign w:val="center"/>
          </w:tcPr>
          <w:p w:rsidR="000054E9" w:rsidRPr="0027505B" w:rsidRDefault="000054E9" w:rsidP="000054E9">
            <w:pPr>
              <w:ind w:right="90"/>
              <w:jc w:val="right"/>
              <w:rPr>
                <w:rFonts w:eastAsia="宋体" w:cs="Times New Roman"/>
                <w:bCs/>
                <w:sz w:val="18"/>
                <w:szCs w:val="18"/>
              </w:rPr>
            </w:pPr>
            <w:r w:rsidRPr="0027505B">
              <w:rPr>
                <w:rFonts w:eastAsia="宋体" w:cs="Times New Roman"/>
                <w:bCs/>
                <w:sz w:val="18"/>
                <w:szCs w:val="18"/>
              </w:rPr>
              <w:t>2,523,663,333.99</w:t>
            </w:r>
          </w:p>
        </w:tc>
      </w:tr>
      <w:tr w:rsidR="000054E9" w:rsidRPr="00446F76" w:rsidTr="0027505B">
        <w:trPr>
          <w:trHeight w:val="20"/>
        </w:trPr>
        <w:tc>
          <w:tcPr>
            <w:tcW w:w="1455" w:type="pct"/>
            <w:shd w:val="clear" w:color="auto" w:fill="FFFFFF" w:themeFill="background1"/>
            <w:tcMar>
              <w:top w:w="0" w:type="dxa"/>
              <w:left w:w="108" w:type="dxa"/>
              <w:bottom w:w="0" w:type="dxa"/>
              <w:right w:w="108" w:type="dxa"/>
            </w:tcMar>
            <w:vAlign w:val="center"/>
          </w:tcPr>
          <w:p w:rsidR="000054E9" w:rsidRPr="00DD203F" w:rsidRDefault="000054E9" w:rsidP="000054E9">
            <w:pPr>
              <w:rPr>
                <w:rFonts w:eastAsia="宋体" w:cs="Times New Roman"/>
                <w:bCs/>
                <w:sz w:val="18"/>
                <w:szCs w:val="18"/>
              </w:rPr>
            </w:pPr>
            <w:r w:rsidRPr="00DD203F">
              <w:rPr>
                <w:rFonts w:eastAsia="宋体" w:cs="Times New Roman" w:hint="eastAsia"/>
                <w:bCs/>
                <w:sz w:val="18"/>
                <w:szCs w:val="18"/>
              </w:rPr>
              <w:t>物联网云平台</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856,346,920.23</w:t>
            </w:r>
          </w:p>
        </w:tc>
        <w:tc>
          <w:tcPr>
            <w:tcW w:w="886" w:type="pct"/>
            <w:vAlign w:val="center"/>
          </w:tcPr>
          <w:p w:rsidR="000054E9" w:rsidRPr="00446F76" w:rsidRDefault="00AF39F1" w:rsidP="000054E9">
            <w:pPr>
              <w:ind w:right="90"/>
              <w:jc w:val="right"/>
              <w:rPr>
                <w:rFonts w:eastAsia="宋体" w:cs="Times New Roman"/>
                <w:sz w:val="18"/>
                <w:szCs w:val="18"/>
              </w:rPr>
            </w:pPr>
            <w:r w:rsidRPr="00446F76">
              <w:rPr>
                <w:rFonts w:eastAsia="宋体" w:cs="Times New Roman"/>
                <w:sz w:val="18"/>
                <w:szCs w:val="18"/>
              </w:rPr>
              <w:t>204,754,529.05</w:t>
            </w:r>
          </w:p>
        </w:tc>
        <w:tc>
          <w:tcPr>
            <w:tcW w:w="886"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670,138,610.72</w:t>
            </w:r>
          </w:p>
        </w:tc>
        <w:tc>
          <w:tcPr>
            <w:tcW w:w="887" w:type="pct"/>
            <w:vAlign w:val="center"/>
          </w:tcPr>
          <w:p w:rsidR="000054E9" w:rsidRPr="00446F76" w:rsidRDefault="000054E9" w:rsidP="000054E9">
            <w:pPr>
              <w:ind w:right="90"/>
              <w:jc w:val="right"/>
              <w:rPr>
                <w:rFonts w:eastAsia="宋体" w:cs="Times New Roman"/>
                <w:sz w:val="18"/>
                <w:szCs w:val="18"/>
              </w:rPr>
            </w:pPr>
            <w:r w:rsidRPr="00446F76">
              <w:rPr>
                <w:rFonts w:eastAsia="宋体" w:cs="Times New Roman"/>
                <w:sz w:val="18"/>
                <w:szCs w:val="18"/>
              </w:rPr>
              <w:t>184,756,393.45</w:t>
            </w:r>
          </w:p>
        </w:tc>
      </w:tr>
      <w:tr w:rsidR="000054E9" w:rsidRPr="00446F76" w:rsidTr="0027505B">
        <w:trPr>
          <w:trHeight w:val="20"/>
        </w:trPr>
        <w:tc>
          <w:tcPr>
            <w:tcW w:w="1455" w:type="pct"/>
            <w:shd w:val="clear" w:color="auto" w:fill="D9D9D9"/>
            <w:tcMar>
              <w:top w:w="0" w:type="dxa"/>
              <w:left w:w="108" w:type="dxa"/>
              <w:bottom w:w="0" w:type="dxa"/>
              <w:right w:w="108" w:type="dxa"/>
            </w:tcMar>
            <w:vAlign w:val="center"/>
          </w:tcPr>
          <w:p w:rsidR="000054E9" w:rsidRPr="0027505B" w:rsidRDefault="000054E9" w:rsidP="000054E9">
            <w:pPr>
              <w:rPr>
                <w:rFonts w:eastAsia="宋体" w:cs="Times New Roman"/>
                <w:bCs/>
                <w:sz w:val="18"/>
                <w:szCs w:val="18"/>
              </w:rPr>
            </w:pPr>
            <w:r w:rsidRPr="0027505B">
              <w:rPr>
                <w:rFonts w:eastAsia="宋体" w:cs="Times New Roman" w:hint="eastAsia"/>
                <w:bCs/>
                <w:sz w:val="18"/>
                <w:szCs w:val="18"/>
              </w:rPr>
              <w:t>合计</w:t>
            </w:r>
          </w:p>
        </w:tc>
        <w:tc>
          <w:tcPr>
            <w:tcW w:w="886" w:type="pct"/>
            <w:vAlign w:val="center"/>
          </w:tcPr>
          <w:p w:rsidR="000054E9" w:rsidRPr="0027505B" w:rsidRDefault="00AF39F1" w:rsidP="000054E9">
            <w:pPr>
              <w:ind w:right="90"/>
              <w:jc w:val="right"/>
              <w:rPr>
                <w:rFonts w:eastAsia="宋体" w:cs="Times New Roman"/>
                <w:bCs/>
                <w:sz w:val="18"/>
                <w:szCs w:val="18"/>
              </w:rPr>
            </w:pPr>
            <w:r w:rsidRPr="0027505B">
              <w:rPr>
                <w:rFonts w:eastAsia="宋体" w:cs="Times New Roman"/>
                <w:bCs/>
                <w:sz w:val="18"/>
                <w:szCs w:val="18"/>
              </w:rPr>
              <w:t>4,816,250,952.7</w:t>
            </w:r>
            <w:r w:rsidR="00E30D2D" w:rsidRPr="0027505B">
              <w:rPr>
                <w:rFonts w:eastAsia="宋体" w:cs="Times New Roman"/>
                <w:bCs/>
                <w:sz w:val="18"/>
                <w:szCs w:val="18"/>
              </w:rPr>
              <w:t>7</w:t>
            </w:r>
          </w:p>
        </w:tc>
        <w:tc>
          <w:tcPr>
            <w:tcW w:w="886" w:type="pct"/>
            <w:vAlign w:val="center"/>
          </w:tcPr>
          <w:p w:rsidR="000054E9" w:rsidRPr="0027505B" w:rsidRDefault="00AF39F1" w:rsidP="000054E9">
            <w:pPr>
              <w:ind w:right="90"/>
              <w:jc w:val="right"/>
              <w:rPr>
                <w:rFonts w:eastAsia="宋体" w:cs="Times New Roman"/>
                <w:bCs/>
                <w:sz w:val="18"/>
                <w:szCs w:val="18"/>
              </w:rPr>
            </w:pPr>
            <w:r w:rsidRPr="0027505B">
              <w:rPr>
                <w:rFonts w:eastAsia="宋体" w:cs="Times New Roman"/>
                <w:bCs/>
                <w:sz w:val="18"/>
                <w:szCs w:val="18"/>
              </w:rPr>
              <w:t>2,744,462,803.55</w:t>
            </w:r>
          </w:p>
        </w:tc>
        <w:tc>
          <w:tcPr>
            <w:tcW w:w="886" w:type="pct"/>
            <w:vAlign w:val="center"/>
          </w:tcPr>
          <w:p w:rsidR="000054E9" w:rsidRPr="0027505B" w:rsidRDefault="000054E9" w:rsidP="000054E9">
            <w:pPr>
              <w:ind w:right="90"/>
              <w:jc w:val="right"/>
              <w:rPr>
                <w:rFonts w:eastAsia="宋体" w:cs="Times New Roman"/>
                <w:bCs/>
                <w:sz w:val="18"/>
                <w:szCs w:val="18"/>
              </w:rPr>
            </w:pPr>
            <w:r w:rsidRPr="0027505B">
              <w:rPr>
                <w:rFonts w:eastAsia="宋体" w:cs="Times New Roman"/>
                <w:bCs/>
                <w:sz w:val="18"/>
                <w:szCs w:val="18"/>
              </w:rPr>
              <w:t>4,267,125,788.84</w:t>
            </w:r>
          </w:p>
        </w:tc>
        <w:tc>
          <w:tcPr>
            <w:tcW w:w="887" w:type="pct"/>
            <w:vAlign w:val="center"/>
          </w:tcPr>
          <w:p w:rsidR="000054E9" w:rsidRPr="0027505B" w:rsidRDefault="000054E9" w:rsidP="000054E9">
            <w:pPr>
              <w:ind w:right="90"/>
              <w:jc w:val="right"/>
              <w:rPr>
                <w:rFonts w:eastAsia="宋体" w:cs="Times New Roman"/>
                <w:bCs/>
                <w:sz w:val="18"/>
                <w:szCs w:val="18"/>
              </w:rPr>
            </w:pPr>
            <w:r w:rsidRPr="0027505B">
              <w:rPr>
                <w:rFonts w:eastAsia="宋体" w:cs="Times New Roman"/>
                <w:bCs/>
                <w:sz w:val="18"/>
                <w:szCs w:val="18"/>
              </w:rPr>
              <w:t>2,708,419,727.44</w:t>
            </w:r>
          </w:p>
        </w:tc>
      </w:tr>
    </w:tbl>
    <w:p w:rsidR="00A261EF" w:rsidRDefault="00A261EF" w:rsidP="00F66363">
      <w:pPr>
        <w:ind w:left="720"/>
        <w:jc w:val="both"/>
        <w:rPr>
          <w:rFonts w:eastAsia="宋体" w:cs="Times New Roman"/>
          <w:szCs w:val="21"/>
        </w:rPr>
      </w:pPr>
    </w:p>
    <w:p w:rsidR="00A261EF" w:rsidRDefault="00A261EF">
      <w:pPr>
        <w:adjustRightInd/>
        <w:snapToGrid/>
        <w:rPr>
          <w:rFonts w:eastAsia="宋体" w:cs="Times New Roman"/>
          <w:szCs w:val="21"/>
        </w:rPr>
      </w:pPr>
      <w:r>
        <w:rPr>
          <w:rFonts w:eastAsia="宋体" w:cs="Times New Roman"/>
          <w:szCs w:val="21"/>
        </w:rPr>
        <w:br w:type="page"/>
      </w:r>
    </w:p>
    <w:p w:rsidR="00A261EF" w:rsidRPr="00F66363" w:rsidRDefault="005F14EE" w:rsidP="00A261EF">
      <w:pPr>
        <w:rPr>
          <w:rFonts w:eastAsia="宋体" w:cs="Times New Roman"/>
          <w:szCs w:val="21"/>
        </w:rPr>
      </w:pPr>
      <w:r>
        <w:rPr>
          <w:rFonts w:eastAsia="宋体" w:cs="Times New Roman"/>
          <w:b/>
          <w:szCs w:val="21"/>
        </w:rPr>
        <w:t>(</w:t>
      </w:r>
      <w:r w:rsidR="00A261EF" w:rsidRPr="00F66363">
        <w:rPr>
          <w:rFonts w:eastAsia="宋体" w:cs="Times New Roman" w:hint="eastAsia"/>
          <w:b/>
          <w:szCs w:val="21"/>
        </w:rPr>
        <w:t>五</w:t>
      </w:r>
      <w:r>
        <w:rPr>
          <w:rFonts w:eastAsia="宋体" w:cs="Times New Roman"/>
          <w:b/>
          <w:szCs w:val="21"/>
        </w:rPr>
        <w:t>)</w:t>
      </w:r>
      <w:r w:rsidR="00A261EF" w:rsidRPr="00F66363">
        <w:rPr>
          <w:rFonts w:eastAsia="宋体" w:cs="Times New Roman"/>
          <w:b/>
          <w:szCs w:val="21"/>
        </w:rPr>
        <w:tab/>
      </w:r>
      <w:r w:rsidR="00A261EF" w:rsidRPr="00F66363">
        <w:rPr>
          <w:rFonts w:eastAsia="宋体" w:cs="Times New Roman" w:hint="eastAsia"/>
          <w:b/>
          <w:szCs w:val="21"/>
        </w:rPr>
        <w:t>合并财务报表项目注释</w:t>
      </w:r>
      <w:r w:rsidR="00A261EF" w:rsidRPr="00F66363">
        <w:rPr>
          <w:rFonts w:eastAsia="宋体" w:cs="Times New Roman"/>
          <w:bCs/>
          <w:szCs w:val="21"/>
        </w:rPr>
        <w:t xml:space="preserve"> </w:t>
      </w:r>
      <w:r w:rsidR="00A261EF" w:rsidRPr="00F66363">
        <w:rPr>
          <w:rFonts w:eastAsia="宋体" w:cs="Times New Roman"/>
          <w:szCs w:val="21"/>
        </w:rPr>
        <w:t xml:space="preserve">- </w:t>
      </w:r>
      <w:r w:rsidR="00A261EF" w:rsidRPr="00F66363">
        <w:rPr>
          <w:rFonts w:eastAsia="宋体" w:cs="Times New Roman" w:hint="eastAsia"/>
          <w:szCs w:val="21"/>
        </w:rPr>
        <w:t>续</w:t>
      </w:r>
    </w:p>
    <w:p w:rsidR="00321FDD" w:rsidRDefault="00321FDD" w:rsidP="00F66363">
      <w:pPr>
        <w:ind w:left="720"/>
        <w:jc w:val="both"/>
        <w:rPr>
          <w:rFonts w:eastAsia="宋体" w:cs="Times New Roman"/>
          <w:szCs w:val="21"/>
        </w:rPr>
      </w:pPr>
    </w:p>
    <w:p w:rsidR="00A261EF" w:rsidRPr="00F66363" w:rsidRDefault="00A261EF" w:rsidP="00A261EF">
      <w:pPr>
        <w:ind w:left="720"/>
        <w:rPr>
          <w:rFonts w:eastAsia="宋体" w:cs="Times New Roman"/>
          <w:b/>
          <w:bCs/>
          <w:szCs w:val="21"/>
        </w:rPr>
      </w:pPr>
      <w:r>
        <w:rPr>
          <w:rFonts w:eastAsia="宋体" w:cs="Times New Roman"/>
          <w:b/>
          <w:bCs/>
          <w:szCs w:val="21"/>
        </w:rPr>
        <w:t>38</w:t>
      </w:r>
      <w:r w:rsidRPr="00F66363">
        <w:rPr>
          <w:rFonts w:eastAsia="宋体" w:cs="Times New Roman" w:hint="eastAsia"/>
          <w:b/>
          <w:bCs/>
          <w:szCs w:val="21"/>
        </w:rPr>
        <w:t>、</w:t>
      </w:r>
      <w:r w:rsidRPr="00F66363">
        <w:rPr>
          <w:rFonts w:eastAsia="宋体" w:cs="Times New Roman"/>
          <w:b/>
          <w:bCs/>
          <w:szCs w:val="21"/>
        </w:rPr>
        <w:tab/>
      </w:r>
      <w:r w:rsidRPr="00F66363">
        <w:rPr>
          <w:rFonts w:eastAsia="宋体" w:cs="Times New Roman" w:hint="eastAsia"/>
          <w:b/>
          <w:bCs/>
          <w:szCs w:val="21"/>
        </w:rPr>
        <w:t>营业收入</w:t>
      </w:r>
      <w:r>
        <w:rPr>
          <w:rFonts w:eastAsia="宋体" w:cs="Times New Roman" w:hint="eastAsia"/>
          <w:b/>
          <w:bCs/>
          <w:szCs w:val="21"/>
        </w:rPr>
        <w:t>和</w:t>
      </w:r>
      <w:r w:rsidRPr="00F66363">
        <w:rPr>
          <w:rFonts w:eastAsia="宋体" w:cs="Times New Roman" w:hint="eastAsia"/>
          <w:b/>
          <w:bCs/>
          <w:szCs w:val="21"/>
        </w:rPr>
        <w:t>营业成本</w:t>
      </w:r>
      <w:r w:rsidRPr="00F66363">
        <w:rPr>
          <w:rFonts w:eastAsia="宋体" w:cs="Times New Roman"/>
          <w:szCs w:val="21"/>
        </w:rPr>
        <w:t xml:space="preserve"> - </w:t>
      </w:r>
      <w:r w:rsidRPr="00F66363">
        <w:rPr>
          <w:rFonts w:eastAsia="宋体" w:cs="Times New Roman" w:hint="eastAsia"/>
          <w:szCs w:val="21"/>
        </w:rPr>
        <w:t>续</w:t>
      </w:r>
    </w:p>
    <w:p w:rsidR="00A261EF" w:rsidRPr="00A261EF" w:rsidRDefault="00A261EF" w:rsidP="00F66363">
      <w:pPr>
        <w:ind w:left="720"/>
        <w:jc w:val="both"/>
        <w:rPr>
          <w:rFonts w:eastAsia="宋体" w:cs="Times New Roman"/>
          <w:szCs w:val="21"/>
        </w:rPr>
      </w:pPr>
    </w:p>
    <w:p w:rsidR="00321FDD" w:rsidRPr="00A71D2E" w:rsidRDefault="00321FDD" w:rsidP="00F66363">
      <w:pPr>
        <w:pStyle w:val="aff1"/>
        <w:numPr>
          <w:ilvl w:val="0"/>
          <w:numId w:val="9"/>
        </w:numPr>
        <w:ind w:left="1440" w:firstLineChars="0" w:hanging="709"/>
      </w:pPr>
      <w:r w:rsidRPr="00A71D2E">
        <w:rPr>
          <w:rFonts w:hint="eastAsia"/>
        </w:rPr>
        <w:t>智能家居产品</w:t>
      </w:r>
      <w:r w:rsidR="005F14EE">
        <w:t>(</w:t>
      </w:r>
      <w:proofErr w:type="gramStart"/>
      <w:r w:rsidRPr="00A71D2E">
        <w:rPr>
          <w:rFonts w:hint="eastAsia"/>
        </w:rPr>
        <w:t>按渠道</w:t>
      </w:r>
      <w:proofErr w:type="gramEnd"/>
      <w:r w:rsidR="005F14EE">
        <w:t>)</w:t>
      </w:r>
    </w:p>
    <w:p w:rsidR="00321FDD" w:rsidRPr="00A71D2E" w:rsidRDefault="00321FDD" w:rsidP="00F66363">
      <w:pPr>
        <w:adjustRightInd/>
        <w:snapToGrid/>
        <w:ind w:left="720"/>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95"/>
        <w:gridCol w:w="1514"/>
        <w:gridCol w:w="1515"/>
        <w:gridCol w:w="1515"/>
        <w:gridCol w:w="1515"/>
      </w:tblGrid>
      <w:tr w:rsidR="0082719B" w:rsidRPr="00A71D2E" w:rsidTr="00F66363">
        <w:trPr>
          <w:trHeight w:val="20"/>
        </w:trPr>
        <w:tc>
          <w:tcPr>
            <w:tcW w:w="1796" w:type="pct"/>
            <w:vMerge w:val="restart"/>
            <w:shd w:val="clear" w:color="auto" w:fill="D9D9D9" w:themeFill="background1" w:themeFillShade="D9"/>
            <w:tcMar>
              <w:top w:w="0" w:type="dxa"/>
              <w:left w:w="108" w:type="dxa"/>
              <w:bottom w:w="0" w:type="dxa"/>
              <w:right w:w="108" w:type="dxa"/>
            </w:tcMar>
            <w:vAlign w:val="center"/>
          </w:tcPr>
          <w:p w:rsidR="0082719B" w:rsidRPr="00A71D2E" w:rsidRDefault="0082719B" w:rsidP="00F66363">
            <w:pPr>
              <w:jc w:val="center"/>
              <w:rPr>
                <w:rFonts w:eastAsia="宋体" w:cs="Times New Roman"/>
                <w:sz w:val="18"/>
                <w:szCs w:val="18"/>
              </w:rPr>
            </w:pPr>
            <w:r w:rsidRPr="00A71D2E">
              <w:rPr>
                <w:rFonts w:eastAsia="宋体" w:cs="Times New Roman" w:hint="eastAsia"/>
                <w:sz w:val="18"/>
                <w:szCs w:val="18"/>
              </w:rPr>
              <w:t>项目</w:t>
            </w:r>
          </w:p>
        </w:tc>
        <w:tc>
          <w:tcPr>
            <w:tcW w:w="1602" w:type="pct"/>
            <w:gridSpan w:val="2"/>
            <w:shd w:val="clear" w:color="auto" w:fill="D9D9D9" w:themeFill="background1" w:themeFillShade="D9"/>
            <w:vAlign w:val="center"/>
          </w:tcPr>
          <w:p w:rsidR="0082719B" w:rsidRPr="00A71D2E" w:rsidRDefault="0082719B" w:rsidP="00F66363">
            <w:pPr>
              <w:jc w:val="center"/>
              <w:rPr>
                <w:rFonts w:eastAsia="宋体" w:cs="Times New Roman"/>
                <w:sz w:val="18"/>
                <w:szCs w:val="18"/>
              </w:rPr>
            </w:pPr>
            <w:r w:rsidRPr="00A71D2E">
              <w:rPr>
                <w:rFonts w:eastAsia="宋体" w:cs="Times New Roman" w:hint="eastAsia"/>
                <w:sz w:val="18"/>
                <w:szCs w:val="18"/>
              </w:rPr>
              <w:t>本年发生额</w:t>
            </w:r>
          </w:p>
        </w:tc>
        <w:tc>
          <w:tcPr>
            <w:tcW w:w="1602" w:type="pct"/>
            <w:gridSpan w:val="2"/>
            <w:shd w:val="clear" w:color="auto" w:fill="D9D9D9" w:themeFill="background1" w:themeFillShade="D9"/>
            <w:vAlign w:val="center"/>
          </w:tcPr>
          <w:p w:rsidR="0082719B" w:rsidRPr="00A71D2E" w:rsidRDefault="0082719B" w:rsidP="00F66363">
            <w:pPr>
              <w:jc w:val="center"/>
              <w:rPr>
                <w:rFonts w:eastAsia="宋体" w:cs="Times New Roman"/>
                <w:sz w:val="18"/>
                <w:szCs w:val="18"/>
              </w:rPr>
            </w:pPr>
            <w:r w:rsidRPr="00A71D2E">
              <w:rPr>
                <w:rFonts w:eastAsia="宋体" w:cs="Times New Roman" w:hint="eastAsia"/>
                <w:sz w:val="18"/>
                <w:szCs w:val="18"/>
              </w:rPr>
              <w:t>上年发生额</w:t>
            </w:r>
          </w:p>
        </w:tc>
      </w:tr>
      <w:tr w:rsidR="00321FDD" w:rsidRPr="00A71D2E" w:rsidTr="00F66363">
        <w:trPr>
          <w:trHeight w:val="20"/>
        </w:trPr>
        <w:tc>
          <w:tcPr>
            <w:tcW w:w="1796" w:type="pct"/>
            <w:vMerge/>
            <w:shd w:val="clear" w:color="auto" w:fill="D9D9D9" w:themeFill="background1" w:themeFillShade="D9"/>
            <w:tcMar>
              <w:top w:w="0" w:type="dxa"/>
              <w:left w:w="108" w:type="dxa"/>
              <w:bottom w:w="0" w:type="dxa"/>
              <w:right w:w="108" w:type="dxa"/>
            </w:tcMar>
            <w:vAlign w:val="center"/>
            <w:hideMark/>
          </w:tcPr>
          <w:p w:rsidR="00321FDD" w:rsidRPr="00A71D2E" w:rsidRDefault="00321FDD" w:rsidP="00F66363">
            <w:pPr>
              <w:jc w:val="center"/>
              <w:rPr>
                <w:rFonts w:eastAsia="宋体" w:cs="Times New Roman"/>
                <w:sz w:val="18"/>
                <w:szCs w:val="18"/>
              </w:rPr>
            </w:pPr>
          </w:p>
        </w:tc>
        <w:tc>
          <w:tcPr>
            <w:tcW w:w="801" w:type="pct"/>
            <w:shd w:val="clear" w:color="auto" w:fill="D9D9D9" w:themeFill="background1" w:themeFillShade="D9"/>
            <w:vAlign w:val="center"/>
          </w:tcPr>
          <w:p w:rsidR="00321FDD" w:rsidRPr="00A71D2E" w:rsidRDefault="00321FDD" w:rsidP="00F66363">
            <w:pPr>
              <w:jc w:val="center"/>
              <w:rPr>
                <w:rFonts w:eastAsia="宋体" w:cs="Times New Roman"/>
                <w:sz w:val="18"/>
                <w:szCs w:val="18"/>
              </w:rPr>
            </w:pPr>
            <w:r w:rsidRPr="00A71D2E">
              <w:rPr>
                <w:rFonts w:eastAsia="宋体" w:cs="Times New Roman" w:hint="eastAsia"/>
                <w:sz w:val="18"/>
                <w:szCs w:val="18"/>
              </w:rPr>
              <w:t>收入</w:t>
            </w:r>
          </w:p>
        </w:tc>
        <w:tc>
          <w:tcPr>
            <w:tcW w:w="801" w:type="pct"/>
            <w:shd w:val="clear" w:color="auto" w:fill="D9D9D9" w:themeFill="background1" w:themeFillShade="D9"/>
            <w:vAlign w:val="center"/>
          </w:tcPr>
          <w:p w:rsidR="00321FDD" w:rsidRPr="00A71D2E" w:rsidRDefault="00321FDD" w:rsidP="00F66363">
            <w:pPr>
              <w:jc w:val="center"/>
              <w:rPr>
                <w:rFonts w:eastAsia="宋体" w:cs="Times New Roman"/>
                <w:sz w:val="18"/>
                <w:szCs w:val="18"/>
              </w:rPr>
            </w:pPr>
            <w:r w:rsidRPr="00A71D2E">
              <w:rPr>
                <w:rFonts w:eastAsia="宋体" w:cs="Times New Roman" w:hint="eastAsia"/>
                <w:sz w:val="18"/>
                <w:szCs w:val="18"/>
              </w:rPr>
              <w:t>成本</w:t>
            </w:r>
          </w:p>
        </w:tc>
        <w:tc>
          <w:tcPr>
            <w:tcW w:w="801" w:type="pct"/>
            <w:shd w:val="clear" w:color="auto" w:fill="D9D9D9" w:themeFill="background1" w:themeFillShade="D9"/>
            <w:vAlign w:val="center"/>
          </w:tcPr>
          <w:p w:rsidR="00321FDD" w:rsidRPr="00A71D2E" w:rsidRDefault="00321FDD" w:rsidP="00F66363">
            <w:pPr>
              <w:jc w:val="center"/>
              <w:rPr>
                <w:rFonts w:eastAsia="宋体" w:cs="Times New Roman"/>
                <w:sz w:val="18"/>
                <w:szCs w:val="18"/>
              </w:rPr>
            </w:pPr>
            <w:r w:rsidRPr="00A71D2E">
              <w:rPr>
                <w:rFonts w:eastAsia="宋体" w:cs="Times New Roman" w:hint="eastAsia"/>
                <w:sz w:val="18"/>
                <w:szCs w:val="18"/>
              </w:rPr>
              <w:t>收入</w:t>
            </w:r>
          </w:p>
        </w:tc>
        <w:tc>
          <w:tcPr>
            <w:tcW w:w="801" w:type="pct"/>
            <w:shd w:val="clear" w:color="auto" w:fill="D9D9D9" w:themeFill="background1" w:themeFillShade="D9"/>
            <w:vAlign w:val="center"/>
          </w:tcPr>
          <w:p w:rsidR="00321FDD" w:rsidRPr="00A71D2E" w:rsidRDefault="00321FDD" w:rsidP="00F66363">
            <w:pPr>
              <w:jc w:val="center"/>
              <w:rPr>
                <w:rFonts w:eastAsia="宋体" w:cs="Times New Roman"/>
                <w:sz w:val="18"/>
                <w:szCs w:val="18"/>
              </w:rPr>
            </w:pPr>
            <w:r w:rsidRPr="00A71D2E">
              <w:rPr>
                <w:rFonts w:eastAsia="宋体" w:cs="Times New Roman" w:hint="eastAsia"/>
                <w:sz w:val="18"/>
                <w:szCs w:val="18"/>
              </w:rPr>
              <w:t>成本</w:t>
            </w:r>
          </w:p>
        </w:tc>
      </w:tr>
      <w:tr w:rsidR="000054E9" w:rsidRPr="00A71D2E" w:rsidTr="00F66363">
        <w:trPr>
          <w:trHeight w:val="20"/>
        </w:trPr>
        <w:tc>
          <w:tcPr>
            <w:tcW w:w="1796" w:type="pct"/>
            <w:shd w:val="clear" w:color="auto" w:fill="FFFFFF" w:themeFill="background1"/>
            <w:tcMar>
              <w:top w:w="0" w:type="dxa"/>
              <w:left w:w="108" w:type="dxa"/>
              <w:bottom w:w="0" w:type="dxa"/>
              <w:right w:w="108" w:type="dxa"/>
            </w:tcMar>
            <w:vAlign w:val="center"/>
          </w:tcPr>
          <w:p w:rsidR="000054E9" w:rsidRPr="00A71D2E" w:rsidRDefault="000054E9" w:rsidP="000054E9">
            <w:pPr>
              <w:rPr>
                <w:rFonts w:eastAsia="宋体" w:cs="Times New Roman"/>
                <w:sz w:val="18"/>
                <w:szCs w:val="18"/>
              </w:rPr>
            </w:pPr>
            <w:r w:rsidRPr="00A71D2E">
              <w:rPr>
                <w:rFonts w:eastAsia="宋体" w:cs="Times New Roman" w:hint="eastAsia"/>
                <w:sz w:val="18"/>
                <w:szCs w:val="18"/>
              </w:rPr>
              <w:t>经销商</w:t>
            </w:r>
          </w:p>
        </w:tc>
        <w:tc>
          <w:tcPr>
            <w:tcW w:w="801" w:type="pct"/>
            <w:vAlign w:val="center"/>
          </w:tcPr>
          <w:p w:rsidR="000054E9" w:rsidRPr="00A71D2E" w:rsidRDefault="00AF39F1" w:rsidP="000054E9">
            <w:pPr>
              <w:ind w:right="72"/>
              <w:jc w:val="right"/>
              <w:rPr>
                <w:rFonts w:eastAsia="宋体" w:cs="Times New Roman"/>
                <w:sz w:val="18"/>
                <w:szCs w:val="18"/>
              </w:rPr>
            </w:pPr>
            <w:r w:rsidRPr="00AF39F1">
              <w:rPr>
                <w:rFonts w:eastAsia="宋体" w:cs="Times New Roman"/>
                <w:sz w:val="18"/>
                <w:szCs w:val="18"/>
              </w:rPr>
              <w:t>2,698,725,841.52</w:t>
            </w:r>
          </w:p>
        </w:tc>
        <w:tc>
          <w:tcPr>
            <w:tcW w:w="801" w:type="pct"/>
            <w:vAlign w:val="center"/>
          </w:tcPr>
          <w:p w:rsidR="000054E9" w:rsidRPr="00A71D2E" w:rsidRDefault="00AF39F1" w:rsidP="000054E9">
            <w:pPr>
              <w:ind w:right="93"/>
              <w:jc w:val="right"/>
              <w:rPr>
                <w:rFonts w:eastAsia="宋体" w:cs="Times New Roman"/>
                <w:sz w:val="18"/>
                <w:szCs w:val="18"/>
              </w:rPr>
            </w:pPr>
            <w:r w:rsidRPr="00AF39F1">
              <w:rPr>
                <w:rFonts w:eastAsia="宋体" w:cs="Times New Roman"/>
                <w:sz w:val="18"/>
                <w:szCs w:val="18"/>
              </w:rPr>
              <w:t>1,763,631,280.97</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2,408,168,380.72</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1,681,121,785.82</w:t>
            </w:r>
          </w:p>
        </w:tc>
      </w:tr>
      <w:tr w:rsidR="000054E9" w:rsidRPr="00A71D2E" w:rsidTr="00F66363">
        <w:trPr>
          <w:trHeight w:val="20"/>
        </w:trPr>
        <w:tc>
          <w:tcPr>
            <w:tcW w:w="1796" w:type="pct"/>
            <w:shd w:val="clear" w:color="auto" w:fill="FFFFFF" w:themeFill="background1"/>
            <w:tcMar>
              <w:top w:w="0" w:type="dxa"/>
              <w:left w:w="108" w:type="dxa"/>
              <w:bottom w:w="0" w:type="dxa"/>
              <w:right w:w="108" w:type="dxa"/>
            </w:tcMar>
            <w:vAlign w:val="center"/>
          </w:tcPr>
          <w:p w:rsidR="000054E9" w:rsidRPr="00A71D2E" w:rsidRDefault="000054E9" w:rsidP="000054E9">
            <w:pPr>
              <w:rPr>
                <w:rFonts w:eastAsia="宋体" w:cs="Times New Roman"/>
                <w:sz w:val="18"/>
                <w:szCs w:val="18"/>
              </w:rPr>
            </w:pPr>
            <w:r w:rsidRPr="00A71D2E">
              <w:rPr>
                <w:rFonts w:eastAsia="宋体" w:cs="Times New Roman" w:hint="eastAsia"/>
                <w:sz w:val="18"/>
                <w:szCs w:val="18"/>
              </w:rPr>
              <w:t>专业客户</w:t>
            </w:r>
          </w:p>
        </w:tc>
        <w:tc>
          <w:tcPr>
            <w:tcW w:w="801" w:type="pct"/>
            <w:vAlign w:val="center"/>
          </w:tcPr>
          <w:p w:rsidR="000054E9" w:rsidRPr="00A71D2E" w:rsidRDefault="00915838" w:rsidP="000054E9">
            <w:pPr>
              <w:ind w:right="72"/>
              <w:jc w:val="right"/>
              <w:rPr>
                <w:rFonts w:eastAsia="宋体" w:cs="Times New Roman"/>
                <w:sz w:val="18"/>
                <w:szCs w:val="18"/>
              </w:rPr>
            </w:pPr>
            <w:r w:rsidRPr="00915838">
              <w:rPr>
                <w:rFonts w:eastAsia="宋体" w:cs="Times New Roman"/>
                <w:sz w:val="18"/>
                <w:szCs w:val="18"/>
              </w:rPr>
              <w:t>467,920,702.56</w:t>
            </w:r>
          </w:p>
        </w:tc>
        <w:tc>
          <w:tcPr>
            <w:tcW w:w="801" w:type="pct"/>
            <w:vAlign w:val="center"/>
          </w:tcPr>
          <w:p w:rsidR="000054E9" w:rsidRPr="00A71D2E" w:rsidRDefault="00915838" w:rsidP="000054E9">
            <w:pPr>
              <w:ind w:right="93"/>
              <w:jc w:val="right"/>
              <w:rPr>
                <w:rFonts w:eastAsia="宋体" w:cs="Times New Roman"/>
                <w:sz w:val="18"/>
                <w:szCs w:val="18"/>
              </w:rPr>
            </w:pPr>
            <w:r w:rsidRPr="00915838">
              <w:rPr>
                <w:rFonts w:eastAsia="宋体" w:cs="Times New Roman"/>
                <w:sz w:val="18"/>
                <w:szCs w:val="18"/>
              </w:rPr>
              <w:t>364,768,599.51</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561,723,277.98</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458,088,580.60</w:t>
            </w:r>
          </w:p>
        </w:tc>
      </w:tr>
      <w:tr w:rsidR="000054E9" w:rsidRPr="00A71D2E" w:rsidTr="00F66363">
        <w:trPr>
          <w:trHeight w:val="20"/>
        </w:trPr>
        <w:tc>
          <w:tcPr>
            <w:tcW w:w="1796" w:type="pct"/>
            <w:shd w:val="clear" w:color="auto" w:fill="FFFFFF" w:themeFill="background1"/>
            <w:tcMar>
              <w:top w:w="0" w:type="dxa"/>
              <w:left w:w="108" w:type="dxa"/>
              <w:bottom w:w="0" w:type="dxa"/>
              <w:right w:w="108" w:type="dxa"/>
            </w:tcMar>
            <w:vAlign w:val="center"/>
          </w:tcPr>
          <w:p w:rsidR="000054E9" w:rsidRPr="00A71D2E" w:rsidRDefault="000054E9" w:rsidP="000054E9">
            <w:pPr>
              <w:rPr>
                <w:rFonts w:eastAsia="宋体" w:cs="Times New Roman"/>
                <w:sz w:val="18"/>
                <w:szCs w:val="18"/>
              </w:rPr>
            </w:pPr>
            <w:r w:rsidRPr="00A71D2E">
              <w:rPr>
                <w:rFonts w:eastAsia="宋体" w:cs="Times New Roman" w:hint="eastAsia"/>
                <w:sz w:val="18"/>
                <w:szCs w:val="18"/>
              </w:rPr>
              <w:t>线上</w:t>
            </w:r>
            <w:r w:rsidRPr="00A71D2E">
              <w:rPr>
                <w:rFonts w:eastAsia="宋体" w:cs="Times New Roman"/>
                <w:sz w:val="18"/>
                <w:szCs w:val="18"/>
              </w:rPr>
              <w:t>B2C</w:t>
            </w:r>
          </w:p>
        </w:tc>
        <w:tc>
          <w:tcPr>
            <w:tcW w:w="801" w:type="pct"/>
            <w:vAlign w:val="center"/>
          </w:tcPr>
          <w:p w:rsidR="000054E9" w:rsidRPr="00A71D2E" w:rsidRDefault="00915838" w:rsidP="000054E9">
            <w:pPr>
              <w:ind w:right="72"/>
              <w:jc w:val="right"/>
              <w:rPr>
                <w:rFonts w:eastAsia="宋体" w:cs="Times New Roman"/>
                <w:sz w:val="18"/>
                <w:szCs w:val="18"/>
              </w:rPr>
            </w:pPr>
            <w:r w:rsidRPr="00915838">
              <w:rPr>
                <w:rFonts w:eastAsia="宋体" w:cs="Times New Roman"/>
                <w:sz w:val="18"/>
                <w:szCs w:val="18"/>
              </w:rPr>
              <w:t>542,937,636.90</w:t>
            </w:r>
          </w:p>
        </w:tc>
        <w:tc>
          <w:tcPr>
            <w:tcW w:w="801" w:type="pct"/>
            <w:vAlign w:val="center"/>
          </w:tcPr>
          <w:p w:rsidR="000054E9" w:rsidRPr="00A71D2E" w:rsidRDefault="00915838" w:rsidP="000054E9">
            <w:pPr>
              <w:ind w:right="93"/>
              <w:jc w:val="right"/>
              <w:rPr>
                <w:rFonts w:eastAsia="宋体" w:cs="Times New Roman"/>
                <w:sz w:val="18"/>
                <w:szCs w:val="18"/>
              </w:rPr>
            </w:pPr>
            <w:r w:rsidRPr="00915838">
              <w:rPr>
                <w:rFonts w:eastAsia="宋体" w:cs="Times New Roman"/>
                <w:sz w:val="18"/>
                <w:szCs w:val="18"/>
              </w:rPr>
              <w:t>266,494,556.52</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414,505,199.32</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246,469,502.29</w:t>
            </w:r>
          </w:p>
        </w:tc>
      </w:tr>
      <w:tr w:rsidR="000054E9" w:rsidRPr="00A71D2E" w:rsidTr="00F66363">
        <w:trPr>
          <w:trHeight w:val="20"/>
        </w:trPr>
        <w:tc>
          <w:tcPr>
            <w:tcW w:w="1796" w:type="pct"/>
            <w:shd w:val="clear" w:color="auto" w:fill="FFFFFF" w:themeFill="background1"/>
            <w:tcMar>
              <w:top w:w="0" w:type="dxa"/>
              <w:left w:w="108" w:type="dxa"/>
              <w:bottom w:w="0" w:type="dxa"/>
              <w:right w:w="108" w:type="dxa"/>
            </w:tcMar>
            <w:vAlign w:val="center"/>
          </w:tcPr>
          <w:p w:rsidR="000054E9" w:rsidRPr="00A71D2E" w:rsidRDefault="000054E9" w:rsidP="000054E9">
            <w:pPr>
              <w:rPr>
                <w:rFonts w:eastAsia="宋体" w:cs="Times New Roman"/>
                <w:sz w:val="18"/>
                <w:szCs w:val="18"/>
              </w:rPr>
            </w:pPr>
            <w:r w:rsidRPr="00A71D2E">
              <w:rPr>
                <w:rFonts w:eastAsia="宋体" w:cs="Times New Roman" w:hint="eastAsia"/>
                <w:sz w:val="18"/>
                <w:szCs w:val="18"/>
              </w:rPr>
              <w:t>电商自营平台</w:t>
            </w:r>
          </w:p>
        </w:tc>
        <w:tc>
          <w:tcPr>
            <w:tcW w:w="801" w:type="pct"/>
            <w:vAlign w:val="center"/>
          </w:tcPr>
          <w:p w:rsidR="000054E9" w:rsidRPr="00A71D2E" w:rsidRDefault="00AF39F1" w:rsidP="000054E9">
            <w:pPr>
              <w:ind w:right="72"/>
              <w:jc w:val="right"/>
              <w:rPr>
                <w:rFonts w:eastAsia="宋体" w:cs="Times New Roman"/>
                <w:sz w:val="18"/>
                <w:szCs w:val="18"/>
              </w:rPr>
            </w:pPr>
            <w:r w:rsidRPr="00AF39F1">
              <w:rPr>
                <w:rFonts w:eastAsia="宋体" w:cs="Times New Roman"/>
                <w:sz w:val="18"/>
                <w:szCs w:val="18"/>
              </w:rPr>
              <w:t>243,157,626.46</w:t>
            </w:r>
          </w:p>
        </w:tc>
        <w:tc>
          <w:tcPr>
            <w:tcW w:w="801" w:type="pct"/>
            <w:vAlign w:val="center"/>
          </w:tcPr>
          <w:p w:rsidR="000054E9" w:rsidRPr="00A71D2E" w:rsidRDefault="00AF39F1" w:rsidP="000054E9">
            <w:pPr>
              <w:ind w:right="93"/>
              <w:jc w:val="right"/>
              <w:rPr>
                <w:rFonts w:eastAsia="宋体" w:cs="Times New Roman"/>
                <w:sz w:val="18"/>
                <w:szCs w:val="18"/>
              </w:rPr>
            </w:pPr>
            <w:r w:rsidRPr="00AF39F1">
              <w:rPr>
                <w:rFonts w:eastAsia="宋体" w:cs="Times New Roman"/>
                <w:sz w:val="18"/>
                <w:szCs w:val="18"/>
              </w:rPr>
              <w:t>142,487,119.96</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210,055,968.77</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136,792,628.51</w:t>
            </w:r>
          </w:p>
        </w:tc>
      </w:tr>
      <w:tr w:rsidR="000054E9" w:rsidRPr="00A71D2E" w:rsidTr="00F66363">
        <w:trPr>
          <w:trHeight w:val="20"/>
        </w:trPr>
        <w:tc>
          <w:tcPr>
            <w:tcW w:w="1796" w:type="pct"/>
            <w:shd w:val="clear" w:color="auto" w:fill="FFFFFF" w:themeFill="background1"/>
            <w:tcMar>
              <w:top w:w="0" w:type="dxa"/>
              <w:left w:w="108" w:type="dxa"/>
              <w:bottom w:w="0" w:type="dxa"/>
              <w:right w:w="108" w:type="dxa"/>
            </w:tcMar>
            <w:vAlign w:val="center"/>
          </w:tcPr>
          <w:p w:rsidR="000054E9" w:rsidRPr="00A71D2E" w:rsidRDefault="000054E9" w:rsidP="000054E9">
            <w:pPr>
              <w:rPr>
                <w:rFonts w:eastAsia="宋体" w:cs="Times New Roman"/>
                <w:sz w:val="18"/>
                <w:szCs w:val="18"/>
              </w:rPr>
            </w:pPr>
            <w:r w:rsidRPr="00A71D2E">
              <w:rPr>
                <w:rFonts w:eastAsia="宋体" w:cs="Times New Roman" w:hint="eastAsia"/>
                <w:sz w:val="18"/>
                <w:szCs w:val="18"/>
              </w:rPr>
              <w:t>直营店</w:t>
            </w:r>
          </w:p>
        </w:tc>
        <w:tc>
          <w:tcPr>
            <w:tcW w:w="801" w:type="pct"/>
            <w:vAlign w:val="center"/>
          </w:tcPr>
          <w:p w:rsidR="000054E9" w:rsidRPr="00A71D2E" w:rsidRDefault="002F2872" w:rsidP="000054E9">
            <w:pPr>
              <w:ind w:right="72"/>
              <w:jc w:val="right"/>
              <w:rPr>
                <w:rFonts w:eastAsia="宋体" w:cs="Times New Roman"/>
                <w:sz w:val="18"/>
                <w:szCs w:val="18"/>
              </w:rPr>
            </w:pPr>
            <w:r w:rsidRPr="002F2872">
              <w:rPr>
                <w:rFonts w:eastAsia="宋体" w:cs="Times New Roman"/>
                <w:sz w:val="18"/>
                <w:szCs w:val="18"/>
              </w:rPr>
              <w:t>7,162,225.10</w:t>
            </w:r>
          </w:p>
        </w:tc>
        <w:tc>
          <w:tcPr>
            <w:tcW w:w="801" w:type="pct"/>
            <w:vAlign w:val="center"/>
          </w:tcPr>
          <w:p w:rsidR="000054E9" w:rsidRPr="00A71D2E" w:rsidRDefault="002F2872" w:rsidP="000054E9">
            <w:pPr>
              <w:ind w:right="93"/>
              <w:jc w:val="right"/>
              <w:rPr>
                <w:rFonts w:eastAsia="宋体" w:cs="Times New Roman"/>
                <w:sz w:val="18"/>
                <w:szCs w:val="18"/>
              </w:rPr>
            </w:pPr>
            <w:r w:rsidRPr="002F2872">
              <w:rPr>
                <w:rFonts w:eastAsia="宋体" w:cs="Times New Roman"/>
                <w:sz w:val="18"/>
                <w:szCs w:val="18"/>
              </w:rPr>
              <w:t>2,326,717.54</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2,534,351.33</w:t>
            </w:r>
          </w:p>
        </w:tc>
        <w:tc>
          <w:tcPr>
            <w:tcW w:w="801" w:type="pct"/>
            <w:vAlign w:val="center"/>
          </w:tcPr>
          <w:p w:rsidR="000054E9" w:rsidRPr="00A71D2E" w:rsidRDefault="000054E9" w:rsidP="000054E9">
            <w:pPr>
              <w:ind w:right="93"/>
              <w:jc w:val="right"/>
              <w:rPr>
                <w:rFonts w:eastAsia="宋体" w:cs="Times New Roman"/>
                <w:sz w:val="18"/>
                <w:szCs w:val="18"/>
              </w:rPr>
            </w:pPr>
            <w:r w:rsidRPr="00A71D2E">
              <w:rPr>
                <w:rFonts w:eastAsia="宋体" w:cs="Times New Roman"/>
                <w:sz w:val="18"/>
                <w:szCs w:val="18"/>
              </w:rPr>
              <w:t>1,190,836.77</w:t>
            </w:r>
          </w:p>
        </w:tc>
      </w:tr>
      <w:tr w:rsidR="000054E9" w:rsidRPr="00A71D2E" w:rsidTr="00F66363">
        <w:trPr>
          <w:trHeight w:val="20"/>
        </w:trPr>
        <w:tc>
          <w:tcPr>
            <w:tcW w:w="1796" w:type="pct"/>
            <w:shd w:val="clear" w:color="auto" w:fill="D9D9D9"/>
            <w:tcMar>
              <w:top w:w="0" w:type="dxa"/>
              <w:left w:w="108" w:type="dxa"/>
              <w:bottom w:w="0" w:type="dxa"/>
              <w:right w:w="108" w:type="dxa"/>
            </w:tcMar>
            <w:vAlign w:val="center"/>
          </w:tcPr>
          <w:p w:rsidR="000054E9" w:rsidRPr="0027505B" w:rsidRDefault="000054E9" w:rsidP="000054E9">
            <w:pPr>
              <w:rPr>
                <w:rFonts w:eastAsia="宋体" w:cs="Times New Roman"/>
                <w:bCs/>
                <w:sz w:val="18"/>
                <w:szCs w:val="18"/>
              </w:rPr>
            </w:pPr>
            <w:r w:rsidRPr="0027505B">
              <w:rPr>
                <w:rFonts w:eastAsia="宋体" w:cs="Times New Roman" w:hint="eastAsia"/>
                <w:bCs/>
                <w:sz w:val="18"/>
                <w:szCs w:val="18"/>
              </w:rPr>
              <w:t>合计</w:t>
            </w:r>
          </w:p>
        </w:tc>
        <w:tc>
          <w:tcPr>
            <w:tcW w:w="801" w:type="pct"/>
            <w:vAlign w:val="center"/>
          </w:tcPr>
          <w:p w:rsidR="000054E9" w:rsidRPr="0027505B" w:rsidRDefault="00AF39F1" w:rsidP="000054E9">
            <w:pPr>
              <w:ind w:right="72"/>
              <w:jc w:val="right"/>
              <w:rPr>
                <w:rFonts w:eastAsia="宋体" w:cs="Times New Roman"/>
                <w:bCs/>
                <w:sz w:val="18"/>
                <w:szCs w:val="18"/>
              </w:rPr>
            </w:pPr>
            <w:r w:rsidRPr="0027505B">
              <w:rPr>
                <w:rFonts w:eastAsia="宋体" w:cs="Times New Roman"/>
                <w:bCs/>
                <w:sz w:val="18"/>
                <w:szCs w:val="18"/>
              </w:rPr>
              <w:t>3,959,904,032.54</w:t>
            </w:r>
          </w:p>
        </w:tc>
        <w:tc>
          <w:tcPr>
            <w:tcW w:w="801" w:type="pct"/>
            <w:vAlign w:val="center"/>
          </w:tcPr>
          <w:p w:rsidR="000054E9" w:rsidRPr="0027505B" w:rsidRDefault="00AF39F1" w:rsidP="000054E9">
            <w:pPr>
              <w:ind w:right="93"/>
              <w:jc w:val="right"/>
              <w:rPr>
                <w:rFonts w:eastAsia="宋体" w:cs="Times New Roman"/>
                <w:bCs/>
                <w:sz w:val="18"/>
                <w:szCs w:val="18"/>
              </w:rPr>
            </w:pPr>
            <w:r w:rsidRPr="0027505B">
              <w:rPr>
                <w:rFonts w:eastAsia="宋体" w:cs="Times New Roman"/>
                <w:bCs/>
                <w:sz w:val="18"/>
                <w:szCs w:val="18"/>
              </w:rPr>
              <w:t>2,539,708,274.50</w:t>
            </w:r>
          </w:p>
        </w:tc>
        <w:tc>
          <w:tcPr>
            <w:tcW w:w="801" w:type="pct"/>
            <w:vAlign w:val="center"/>
          </w:tcPr>
          <w:p w:rsidR="000054E9" w:rsidRPr="0027505B" w:rsidRDefault="000054E9" w:rsidP="000054E9">
            <w:pPr>
              <w:ind w:right="93"/>
              <w:jc w:val="right"/>
              <w:rPr>
                <w:rFonts w:eastAsia="宋体" w:cs="Times New Roman"/>
                <w:bCs/>
                <w:sz w:val="18"/>
                <w:szCs w:val="18"/>
              </w:rPr>
            </w:pPr>
            <w:r w:rsidRPr="0027505B">
              <w:rPr>
                <w:rFonts w:eastAsia="宋体" w:cs="Times New Roman"/>
                <w:bCs/>
                <w:sz w:val="18"/>
                <w:szCs w:val="18"/>
              </w:rPr>
              <w:t>3,596,987,178.12</w:t>
            </w:r>
          </w:p>
        </w:tc>
        <w:tc>
          <w:tcPr>
            <w:tcW w:w="801" w:type="pct"/>
            <w:vAlign w:val="center"/>
          </w:tcPr>
          <w:p w:rsidR="000054E9" w:rsidRPr="00DD203F" w:rsidRDefault="000054E9" w:rsidP="000054E9">
            <w:pPr>
              <w:ind w:right="93"/>
              <w:jc w:val="right"/>
              <w:rPr>
                <w:rFonts w:eastAsia="宋体" w:cs="Times New Roman"/>
                <w:bCs/>
                <w:sz w:val="18"/>
                <w:szCs w:val="18"/>
              </w:rPr>
            </w:pPr>
            <w:r w:rsidRPr="0027505B">
              <w:rPr>
                <w:rFonts w:eastAsia="宋体" w:cs="Times New Roman"/>
                <w:bCs/>
                <w:sz w:val="18"/>
                <w:szCs w:val="18"/>
              </w:rPr>
              <w:t>2,523,663,333.99</w:t>
            </w:r>
          </w:p>
        </w:tc>
      </w:tr>
    </w:tbl>
    <w:p w:rsidR="00321FDD" w:rsidRPr="00A71D2E" w:rsidRDefault="00321FDD" w:rsidP="00F66363">
      <w:pPr>
        <w:ind w:left="720"/>
        <w:jc w:val="both"/>
        <w:rPr>
          <w:rFonts w:eastAsia="宋体" w:cs="Times New Roman"/>
          <w:szCs w:val="21"/>
        </w:rPr>
      </w:pPr>
    </w:p>
    <w:p w:rsidR="00321FDD" w:rsidRPr="00A71D2E" w:rsidRDefault="00321FDD">
      <w:pPr>
        <w:ind w:left="720"/>
        <w:jc w:val="both"/>
        <w:rPr>
          <w:rFonts w:eastAsia="宋体" w:cs="Times New Roman"/>
          <w:szCs w:val="21"/>
        </w:rPr>
      </w:pPr>
      <w:r w:rsidRPr="00A71D2E">
        <w:rPr>
          <w:rFonts w:eastAsia="宋体" w:cs="Times New Roman" w:hint="eastAsia"/>
          <w:szCs w:val="21"/>
        </w:rPr>
        <w:t>履约义务的说明</w:t>
      </w:r>
      <w:r w:rsidR="005F14EE">
        <w:rPr>
          <w:rFonts w:eastAsia="宋体" w:cs="Times New Roman" w:hint="eastAsia"/>
          <w:szCs w:val="21"/>
        </w:rPr>
        <w:t>：</w:t>
      </w:r>
    </w:p>
    <w:p w:rsidR="00321FDD" w:rsidRPr="00A71D2E" w:rsidRDefault="00321FDD">
      <w:pPr>
        <w:ind w:left="720"/>
        <w:jc w:val="both"/>
        <w:rPr>
          <w:rFonts w:eastAsia="宋体" w:cs="Times New Roman"/>
          <w:szCs w:val="21"/>
        </w:rPr>
      </w:pPr>
    </w:p>
    <w:p w:rsidR="00321FDD" w:rsidRPr="00A71D2E" w:rsidRDefault="00321FDD">
      <w:pPr>
        <w:ind w:left="720"/>
        <w:jc w:val="both"/>
        <w:rPr>
          <w:rFonts w:eastAsia="宋体" w:cs="Times New Roman"/>
          <w:szCs w:val="21"/>
        </w:rPr>
      </w:pPr>
      <w:r w:rsidRPr="00A71D2E">
        <w:rPr>
          <w:rFonts w:eastAsia="宋体" w:cs="Times New Roman" w:hint="eastAsia"/>
          <w:szCs w:val="21"/>
        </w:rPr>
        <w:t>本集团出售智能家居产品并提供物联网云平台服务，同时销售给经销商和专业客户，以及通过线上</w:t>
      </w:r>
      <w:r w:rsidRPr="00A71D2E">
        <w:rPr>
          <w:rFonts w:eastAsia="宋体" w:cs="Times New Roman"/>
          <w:szCs w:val="21"/>
        </w:rPr>
        <w:t>B2C</w:t>
      </w:r>
      <w:r w:rsidRPr="00A71D2E">
        <w:rPr>
          <w:rFonts w:eastAsia="宋体" w:cs="Times New Roman" w:hint="eastAsia"/>
          <w:szCs w:val="21"/>
        </w:rPr>
        <w:t>及电商自营平台渠道等向客户销售。</w:t>
      </w:r>
    </w:p>
    <w:p w:rsidR="00321FDD" w:rsidRPr="00A71D2E" w:rsidRDefault="00321FDD">
      <w:pPr>
        <w:ind w:left="720"/>
        <w:jc w:val="both"/>
        <w:rPr>
          <w:rFonts w:eastAsia="宋体" w:cs="Times New Roman"/>
          <w:szCs w:val="21"/>
        </w:rPr>
      </w:pPr>
    </w:p>
    <w:p w:rsidR="00321FDD" w:rsidRPr="00A71D2E" w:rsidRDefault="00321FDD">
      <w:pPr>
        <w:ind w:left="720"/>
        <w:jc w:val="both"/>
        <w:rPr>
          <w:rFonts w:eastAsia="宋体" w:cs="Times New Roman"/>
          <w:szCs w:val="21"/>
        </w:rPr>
      </w:pPr>
      <w:r w:rsidRPr="00A71D2E">
        <w:rPr>
          <w:rFonts w:eastAsia="宋体" w:cs="Times New Roman" w:hint="eastAsia"/>
          <w:szCs w:val="21"/>
        </w:rPr>
        <w:t>对于向经销商销售的商品，本集团在商品的控制权转移时，即商品运送至对方的指定地点并经对方签收时或交给对方指定的承运人时确认收入。在交付后，经销商有决定商品分销方式以及销售价格的自主权，对商品的滞销风险以及销售盈亏承担主要责任。由于商品交付给经销商代表了取得无条件收取合同对价的权利，款项的到期仅取决于时间流逝，故本集团在商品交付给经销商时确认一项应收款。当存在经销商预付货款时，本集团将收到的交易金额确认为一项合同负债，直至商品被交付予客户时确认收入。</w:t>
      </w:r>
    </w:p>
    <w:p w:rsidR="002307B0" w:rsidRPr="00F66363" w:rsidRDefault="002307B0" w:rsidP="0027505B">
      <w:pPr>
        <w:adjustRightInd/>
        <w:snapToGrid/>
        <w:ind w:left="720"/>
        <w:jc w:val="both"/>
        <w:rPr>
          <w:rFonts w:eastAsia="宋体" w:cs="Times New Roman"/>
          <w:szCs w:val="21"/>
        </w:rPr>
      </w:pPr>
    </w:p>
    <w:p w:rsidR="00321FDD" w:rsidRDefault="00321FDD">
      <w:pPr>
        <w:ind w:left="720"/>
        <w:jc w:val="both"/>
        <w:rPr>
          <w:rFonts w:eastAsia="宋体" w:cs="Times New Roman"/>
          <w:szCs w:val="21"/>
        </w:rPr>
      </w:pPr>
      <w:r w:rsidRPr="00A71D2E">
        <w:rPr>
          <w:rFonts w:eastAsia="宋体" w:cs="Times New Roman" w:hint="eastAsia"/>
          <w:szCs w:val="21"/>
        </w:rPr>
        <w:t>对于向专业客户销售的商品，本集团在商品的控制权转移时，即商品运送至对方的指定地点并经对方签收时或交给对方指定的承运人时确认收入。由于商品交付给专业客户代表了取得无条件收取合同对价的权利，款项的到期仅取决于时间流逝，故本集团在商品交付给专业客户时确认一项应收款。当客户预付货款时，本集团将收到的交易金额确认为一项合同负债，直至商品被交付予客户时确认收入。</w:t>
      </w:r>
    </w:p>
    <w:p w:rsidR="00FB767D" w:rsidRPr="00FB767D" w:rsidRDefault="00FB767D" w:rsidP="0027505B">
      <w:pPr>
        <w:ind w:left="720"/>
        <w:jc w:val="both"/>
        <w:rPr>
          <w:rFonts w:eastAsia="宋体" w:cs="Times New Roman"/>
          <w:szCs w:val="21"/>
        </w:rPr>
      </w:pPr>
    </w:p>
    <w:p w:rsidR="00FB0F80" w:rsidRDefault="00FB0F80">
      <w:pPr>
        <w:ind w:left="720"/>
        <w:jc w:val="both"/>
        <w:rPr>
          <w:rFonts w:eastAsia="宋体" w:cs="Times New Roman"/>
          <w:szCs w:val="21"/>
        </w:rPr>
      </w:pPr>
      <w:r w:rsidRPr="00A71D2E">
        <w:rPr>
          <w:rFonts w:eastAsia="宋体" w:cs="Times New Roman" w:hint="eastAsia"/>
          <w:szCs w:val="21"/>
        </w:rPr>
        <w:t>对于通过线上</w:t>
      </w:r>
      <w:r w:rsidRPr="00A71D2E">
        <w:rPr>
          <w:rFonts w:eastAsia="宋体" w:cs="Times New Roman"/>
          <w:szCs w:val="21"/>
        </w:rPr>
        <w:t>B2C</w:t>
      </w:r>
      <w:r w:rsidRPr="00A71D2E">
        <w:rPr>
          <w:rFonts w:eastAsia="宋体" w:cs="Times New Roman" w:hint="eastAsia"/>
          <w:szCs w:val="21"/>
        </w:rPr>
        <w:t>渠道向客户销售的商品，本集团在商品的控制权转移时，即商品运送至对方的指定地点并经对方签收时或交给对方指定的承运人时确认销售收入。当客户在本集团自有的官网上购买时，本集团将收到的交易价款确认为合同负债，直至商品运送至对方的指定地点并经对方签收时或交给对方指定的承运人时确认收入。</w:t>
      </w:r>
    </w:p>
    <w:p w:rsidR="000E7BA6" w:rsidRDefault="000E7BA6" w:rsidP="0027505B">
      <w:pPr>
        <w:ind w:left="720"/>
        <w:jc w:val="both"/>
        <w:rPr>
          <w:rFonts w:eastAsia="宋体" w:cs="Times New Roman"/>
          <w:szCs w:val="21"/>
        </w:rPr>
      </w:pPr>
    </w:p>
    <w:p w:rsidR="000E7BA6" w:rsidRPr="00A71D2E" w:rsidRDefault="000E7BA6">
      <w:pPr>
        <w:ind w:left="720"/>
        <w:jc w:val="both"/>
        <w:rPr>
          <w:rFonts w:eastAsia="宋体" w:cs="Times New Roman"/>
          <w:szCs w:val="21"/>
        </w:rPr>
      </w:pPr>
      <w:r>
        <w:rPr>
          <w:rFonts w:eastAsia="宋体" w:cs="Times New Roman" w:hint="eastAsia"/>
          <w:szCs w:val="21"/>
        </w:rPr>
        <w:t>对于通过电商自营平台渠道销售的商品</w:t>
      </w:r>
      <w:r w:rsidRPr="00A71D2E">
        <w:rPr>
          <w:rFonts w:eastAsia="宋体" w:cs="Times New Roman" w:hint="eastAsia"/>
          <w:szCs w:val="21"/>
        </w:rPr>
        <w:t>，本集团在商品运送至电商平台的指定地点并经对方签收</w:t>
      </w:r>
      <w:r>
        <w:rPr>
          <w:rFonts w:eastAsia="宋体" w:cs="Times New Roman" w:hint="eastAsia"/>
          <w:szCs w:val="21"/>
        </w:rPr>
        <w:t>结算</w:t>
      </w:r>
      <w:r w:rsidRPr="00A71D2E">
        <w:rPr>
          <w:rFonts w:eastAsia="宋体" w:cs="Times New Roman" w:hint="eastAsia"/>
          <w:szCs w:val="21"/>
        </w:rPr>
        <w:t>时确认收入。</w:t>
      </w:r>
    </w:p>
    <w:p w:rsidR="00DF5DDC" w:rsidRDefault="00DF5DDC" w:rsidP="0027505B">
      <w:pPr>
        <w:ind w:left="720"/>
        <w:jc w:val="both"/>
        <w:rPr>
          <w:rFonts w:eastAsia="宋体" w:cs="Times New Roman"/>
          <w:szCs w:val="21"/>
        </w:rPr>
      </w:pPr>
    </w:p>
    <w:p w:rsidR="00321FDD" w:rsidRPr="00A71D2E" w:rsidRDefault="00321FDD">
      <w:pPr>
        <w:ind w:left="720"/>
        <w:jc w:val="both"/>
        <w:rPr>
          <w:rFonts w:eastAsia="宋体" w:cs="Times New Roman"/>
          <w:szCs w:val="21"/>
        </w:rPr>
      </w:pPr>
      <w:r w:rsidRPr="00A71D2E">
        <w:rPr>
          <w:rFonts w:eastAsia="宋体" w:cs="Times New Roman" w:hint="eastAsia"/>
          <w:szCs w:val="21"/>
        </w:rPr>
        <w:t>本集团的</w:t>
      </w:r>
      <w:proofErr w:type="gramStart"/>
      <w:r w:rsidRPr="00A71D2E">
        <w:rPr>
          <w:rFonts w:eastAsia="宋体" w:cs="Times New Roman" w:hint="eastAsia"/>
          <w:szCs w:val="21"/>
        </w:rPr>
        <w:t>销售返点主要</w:t>
      </w:r>
      <w:proofErr w:type="gramEnd"/>
      <w:r w:rsidRPr="00A71D2E">
        <w:rPr>
          <w:rFonts w:eastAsia="宋体" w:cs="Times New Roman" w:hint="eastAsia"/>
          <w:szCs w:val="21"/>
        </w:rPr>
        <w:t>为月度、季度及年度的销售返点。当经销商完成目标销售额时，本集团按实际销售额的一定比例发放返点，由经销商用于抵扣未来采购货款。</w:t>
      </w:r>
      <w:proofErr w:type="gramStart"/>
      <w:r w:rsidRPr="00A71D2E">
        <w:rPr>
          <w:rFonts w:eastAsia="宋体" w:cs="Times New Roman" w:hint="eastAsia"/>
          <w:szCs w:val="21"/>
        </w:rPr>
        <w:t>销售返点向</w:t>
      </w:r>
      <w:proofErr w:type="gramEnd"/>
      <w:r w:rsidRPr="00A71D2E">
        <w:rPr>
          <w:rFonts w:eastAsia="宋体" w:cs="Times New Roman" w:hint="eastAsia"/>
          <w:szCs w:val="21"/>
        </w:rPr>
        <w:t>经销商提供了其在未来采购可行使的重大权利，因此向经销商提供该未来</w:t>
      </w:r>
      <w:proofErr w:type="gramStart"/>
      <w:r w:rsidRPr="00A71D2E">
        <w:rPr>
          <w:rFonts w:eastAsia="宋体" w:cs="Times New Roman" w:hint="eastAsia"/>
          <w:szCs w:val="21"/>
        </w:rPr>
        <w:t>采购款</w:t>
      </w:r>
      <w:proofErr w:type="gramEnd"/>
      <w:r w:rsidRPr="00A71D2E">
        <w:rPr>
          <w:rFonts w:eastAsia="宋体" w:cs="Times New Roman" w:hint="eastAsia"/>
          <w:szCs w:val="21"/>
        </w:rPr>
        <w:t>的抵扣承诺是一项单独的履约义务，本集团在销售交易发生时确认一项合同负债，在经销商使用</w:t>
      </w:r>
      <w:proofErr w:type="gramStart"/>
      <w:r w:rsidRPr="00A71D2E">
        <w:rPr>
          <w:rFonts w:eastAsia="宋体" w:cs="Times New Roman" w:hint="eastAsia"/>
          <w:szCs w:val="21"/>
        </w:rPr>
        <w:t>销售返点时</w:t>
      </w:r>
      <w:proofErr w:type="gramEnd"/>
      <w:r w:rsidRPr="00A71D2E">
        <w:rPr>
          <w:rFonts w:eastAsia="宋体" w:cs="Times New Roman" w:hint="eastAsia"/>
          <w:szCs w:val="21"/>
        </w:rPr>
        <w:t>确认收入。</w:t>
      </w:r>
    </w:p>
    <w:p w:rsidR="00321FDD" w:rsidRDefault="00321FDD" w:rsidP="00F66363">
      <w:pPr>
        <w:ind w:left="720"/>
        <w:jc w:val="both"/>
        <w:rPr>
          <w:rFonts w:eastAsia="宋体" w:cs="Times New Roman"/>
          <w:szCs w:val="21"/>
        </w:rPr>
      </w:pPr>
    </w:p>
    <w:p w:rsidR="00E66E9F" w:rsidRPr="00A71D2E" w:rsidRDefault="00E66E9F" w:rsidP="0077039B">
      <w:pPr>
        <w:ind w:leftChars="337" w:left="708"/>
        <w:jc w:val="both"/>
        <w:rPr>
          <w:rFonts w:eastAsia="宋体" w:cs="Times New Roman"/>
          <w:szCs w:val="21"/>
        </w:rPr>
      </w:pPr>
      <w:r w:rsidRPr="00BB06E1">
        <w:rPr>
          <w:rFonts w:eastAsia="宋体" w:cs="Times New Roman" w:hint="eastAsia"/>
          <w:szCs w:val="21"/>
        </w:rPr>
        <w:t>通过线上</w:t>
      </w:r>
      <w:r w:rsidRPr="00BB06E1">
        <w:rPr>
          <w:rFonts w:eastAsia="宋体" w:cs="Times New Roman"/>
          <w:szCs w:val="21"/>
        </w:rPr>
        <w:t>B2C</w:t>
      </w:r>
      <w:r w:rsidRPr="00BB06E1">
        <w:rPr>
          <w:rFonts w:eastAsia="宋体" w:cs="Times New Roman" w:hint="eastAsia"/>
          <w:szCs w:val="21"/>
        </w:rPr>
        <w:t>渠道销售附有</w:t>
      </w:r>
      <w:r w:rsidRPr="00BB06E1">
        <w:rPr>
          <w:rFonts w:eastAsia="宋体" w:cs="Times New Roman"/>
          <w:szCs w:val="21"/>
        </w:rPr>
        <w:t>7</w:t>
      </w:r>
      <w:r w:rsidRPr="00BB06E1">
        <w:rPr>
          <w:rFonts w:eastAsia="宋体" w:cs="Times New Roman" w:hint="eastAsia"/>
          <w:szCs w:val="21"/>
        </w:rPr>
        <w:t>天或</w:t>
      </w:r>
      <w:r w:rsidRPr="00BB06E1">
        <w:rPr>
          <w:rFonts w:eastAsia="宋体" w:cs="Times New Roman"/>
          <w:szCs w:val="21"/>
        </w:rPr>
        <w:t>30</w:t>
      </w:r>
      <w:r w:rsidRPr="00BB06E1">
        <w:rPr>
          <w:rFonts w:eastAsia="宋体" w:cs="Times New Roman" w:hint="eastAsia"/>
          <w:szCs w:val="21"/>
        </w:rPr>
        <w:t>天的退货权，</w:t>
      </w:r>
      <w:r w:rsidR="00122AB2" w:rsidRPr="00BB06E1">
        <w:rPr>
          <w:rFonts w:eastAsia="宋体" w:cs="Times New Roman" w:hint="eastAsia"/>
          <w:szCs w:val="21"/>
        </w:rPr>
        <w:t>通过电商自营平台渠道销售附有</w:t>
      </w:r>
      <w:r w:rsidR="00122AB2" w:rsidRPr="00BB06E1">
        <w:rPr>
          <w:rFonts w:eastAsia="宋体" w:cs="Times New Roman"/>
          <w:szCs w:val="21"/>
        </w:rPr>
        <w:t>40</w:t>
      </w:r>
      <w:r w:rsidR="00122AB2" w:rsidRPr="00BB06E1">
        <w:rPr>
          <w:rFonts w:eastAsia="宋体" w:cs="Times New Roman" w:hint="eastAsia"/>
          <w:szCs w:val="21"/>
        </w:rPr>
        <w:t>天的退货权</w:t>
      </w:r>
      <w:r w:rsidR="005A5D37" w:rsidRPr="00BB06E1">
        <w:rPr>
          <w:rFonts w:eastAsia="宋体" w:cs="Times New Roman" w:hint="eastAsia"/>
          <w:szCs w:val="21"/>
        </w:rPr>
        <w:t>，</w:t>
      </w:r>
      <w:r w:rsidRPr="00BB06E1">
        <w:rPr>
          <w:rFonts w:eastAsia="宋体" w:cs="Times New Roman" w:hint="eastAsia"/>
          <w:szCs w:val="21"/>
        </w:rPr>
        <w:t>在收入确认的时点，针对预期将退回的商品按照预期因销售退回将退还的金额确认一项应付退货款</w:t>
      </w:r>
      <w:r w:rsidR="005F14EE">
        <w:rPr>
          <w:rFonts w:eastAsia="宋体" w:cs="Times New Roman" w:hint="eastAsia"/>
          <w:szCs w:val="21"/>
        </w:rPr>
        <w:t>；</w:t>
      </w:r>
      <w:r w:rsidRPr="00BB06E1">
        <w:rPr>
          <w:rFonts w:eastAsia="宋体" w:cs="Times New Roman" w:hint="eastAsia"/>
          <w:szCs w:val="21"/>
        </w:rPr>
        <w:t>同时，按照预期将退回商品转让时的账面价值，扣除收回该商品预计发生的成本后的余额，确认为一项应收退货成本，按照所转让商品转让时的账面价值，扣除上述资产成本的净额结转成本。本集团运用历史经验，采用期望值法在组合层面估计退货的数量。鉴于以前年度稳定的退货率，已确认的累计</w:t>
      </w:r>
      <w:proofErr w:type="gramStart"/>
      <w:r w:rsidRPr="00BB06E1">
        <w:rPr>
          <w:rFonts w:eastAsia="宋体" w:cs="Times New Roman" w:hint="eastAsia"/>
          <w:szCs w:val="21"/>
        </w:rPr>
        <w:t>收入极</w:t>
      </w:r>
      <w:proofErr w:type="gramEnd"/>
      <w:r w:rsidRPr="00BB06E1">
        <w:rPr>
          <w:rFonts w:eastAsia="宋体" w:cs="Times New Roman" w:hint="eastAsia"/>
          <w:szCs w:val="21"/>
        </w:rPr>
        <w:t>可能不会发生重大转回。</w:t>
      </w:r>
    </w:p>
    <w:p w:rsidR="00A261EF" w:rsidRDefault="00A261EF">
      <w:pPr>
        <w:adjustRightInd/>
        <w:snapToGrid/>
        <w:rPr>
          <w:rFonts w:eastAsia="宋体" w:cs="Times New Roman"/>
          <w:szCs w:val="21"/>
        </w:rPr>
      </w:pPr>
      <w:r>
        <w:rPr>
          <w:rFonts w:eastAsia="宋体" w:cs="Times New Roman"/>
          <w:szCs w:val="21"/>
        </w:rPr>
        <w:br w:type="page"/>
      </w:r>
    </w:p>
    <w:p w:rsidR="00A261EF" w:rsidRPr="00F66363" w:rsidRDefault="005F14EE" w:rsidP="00A261EF">
      <w:pPr>
        <w:rPr>
          <w:rFonts w:eastAsia="宋体" w:cs="Times New Roman"/>
        </w:rPr>
      </w:pPr>
      <w:r>
        <w:rPr>
          <w:rFonts w:eastAsia="宋体" w:cs="Times New Roman"/>
          <w:b/>
          <w:szCs w:val="21"/>
        </w:rPr>
        <w:t>(</w:t>
      </w:r>
      <w:r w:rsidR="00A261EF" w:rsidRPr="00F66363">
        <w:rPr>
          <w:rFonts w:eastAsia="宋体" w:cs="Times New Roman" w:hint="eastAsia"/>
          <w:b/>
          <w:szCs w:val="21"/>
        </w:rPr>
        <w:t>五</w:t>
      </w:r>
      <w:r>
        <w:rPr>
          <w:rFonts w:eastAsia="宋体" w:cs="Times New Roman"/>
          <w:b/>
          <w:szCs w:val="21"/>
        </w:rPr>
        <w:t>)</w:t>
      </w:r>
      <w:r w:rsidR="00A261EF" w:rsidRPr="00F66363">
        <w:rPr>
          <w:rFonts w:eastAsia="宋体" w:cs="Times New Roman"/>
          <w:b/>
          <w:szCs w:val="21"/>
        </w:rPr>
        <w:tab/>
      </w:r>
      <w:r w:rsidR="00A261EF" w:rsidRPr="00F66363">
        <w:rPr>
          <w:rFonts w:eastAsia="宋体" w:cs="Times New Roman" w:hint="eastAsia"/>
          <w:b/>
          <w:szCs w:val="21"/>
        </w:rPr>
        <w:t>合并财务报表项目注释</w:t>
      </w:r>
      <w:r w:rsidR="00A261EF" w:rsidRPr="00F66363">
        <w:rPr>
          <w:rFonts w:eastAsia="宋体" w:cs="Times New Roman"/>
          <w:bCs/>
          <w:szCs w:val="21"/>
        </w:rPr>
        <w:t xml:space="preserve"> </w:t>
      </w:r>
      <w:r w:rsidR="00A261EF" w:rsidRPr="00F66363">
        <w:rPr>
          <w:rFonts w:eastAsia="宋体" w:cs="Times New Roman"/>
          <w:szCs w:val="21"/>
        </w:rPr>
        <w:t xml:space="preserve">- </w:t>
      </w:r>
      <w:r w:rsidR="00A261EF" w:rsidRPr="00F66363">
        <w:rPr>
          <w:rFonts w:eastAsia="宋体" w:cs="Times New Roman" w:hint="eastAsia"/>
          <w:szCs w:val="21"/>
        </w:rPr>
        <w:t>续</w:t>
      </w:r>
    </w:p>
    <w:p w:rsidR="00A261EF" w:rsidRPr="00F66363" w:rsidRDefault="00A261EF" w:rsidP="00A261EF">
      <w:pPr>
        <w:ind w:left="720"/>
        <w:jc w:val="both"/>
        <w:rPr>
          <w:rFonts w:eastAsia="宋体" w:cs="Times New Roman"/>
          <w:szCs w:val="21"/>
        </w:rPr>
      </w:pPr>
    </w:p>
    <w:p w:rsidR="00A261EF" w:rsidRPr="00F66363" w:rsidRDefault="00A261EF" w:rsidP="00A261EF">
      <w:pPr>
        <w:ind w:left="720"/>
        <w:rPr>
          <w:rFonts w:eastAsia="宋体" w:cs="Times New Roman"/>
          <w:b/>
          <w:bCs/>
          <w:szCs w:val="21"/>
        </w:rPr>
      </w:pPr>
      <w:r>
        <w:rPr>
          <w:rFonts w:eastAsia="宋体" w:cs="Times New Roman"/>
          <w:b/>
          <w:bCs/>
          <w:szCs w:val="21"/>
        </w:rPr>
        <w:t>38</w:t>
      </w:r>
      <w:r w:rsidRPr="00F66363">
        <w:rPr>
          <w:rFonts w:eastAsia="宋体" w:cs="Times New Roman" w:hint="eastAsia"/>
          <w:b/>
          <w:bCs/>
          <w:szCs w:val="21"/>
        </w:rPr>
        <w:t>、</w:t>
      </w:r>
      <w:r w:rsidRPr="00F66363">
        <w:rPr>
          <w:rFonts w:eastAsia="宋体" w:cs="Times New Roman"/>
          <w:b/>
          <w:bCs/>
          <w:szCs w:val="21"/>
        </w:rPr>
        <w:tab/>
      </w:r>
      <w:r w:rsidRPr="00F66363">
        <w:rPr>
          <w:rFonts w:eastAsia="宋体" w:cs="Times New Roman" w:hint="eastAsia"/>
          <w:b/>
          <w:bCs/>
          <w:szCs w:val="21"/>
        </w:rPr>
        <w:t>营业收入</w:t>
      </w:r>
      <w:r>
        <w:rPr>
          <w:rFonts w:eastAsia="宋体" w:cs="Times New Roman" w:hint="eastAsia"/>
          <w:b/>
          <w:bCs/>
          <w:szCs w:val="21"/>
        </w:rPr>
        <w:t>和</w:t>
      </w:r>
      <w:r w:rsidRPr="00F66363">
        <w:rPr>
          <w:rFonts w:eastAsia="宋体" w:cs="Times New Roman" w:hint="eastAsia"/>
          <w:b/>
          <w:bCs/>
          <w:szCs w:val="21"/>
        </w:rPr>
        <w:t>营业成本</w:t>
      </w:r>
      <w:r w:rsidRPr="00F66363">
        <w:rPr>
          <w:rFonts w:eastAsia="宋体" w:cs="Times New Roman"/>
          <w:szCs w:val="21"/>
        </w:rPr>
        <w:t xml:space="preserve"> - </w:t>
      </w:r>
      <w:r w:rsidRPr="00F66363">
        <w:rPr>
          <w:rFonts w:eastAsia="宋体" w:cs="Times New Roman" w:hint="eastAsia"/>
          <w:szCs w:val="21"/>
        </w:rPr>
        <w:t>续</w:t>
      </w:r>
    </w:p>
    <w:p w:rsidR="00A261EF" w:rsidRDefault="00A261EF" w:rsidP="001E7C0F">
      <w:pPr>
        <w:ind w:left="720"/>
        <w:jc w:val="both"/>
        <w:rPr>
          <w:rFonts w:eastAsia="宋体" w:cs="Times New Roman"/>
          <w:szCs w:val="21"/>
        </w:rPr>
      </w:pPr>
    </w:p>
    <w:p w:rsidR="001E7C0F" w:rsidRDefault="001E7C0F" w:rsidP="001E7C0F">
      <w:pPr>
        <w:ind w:left="720"/>
        <w:jc w:val="both"/>
        <w:rPr>
          <w:rFonts w:eastAsia="宋体" w:cs="Times New Roman"/>
          <w:szCs w:val="21"/>
        </w:rPr>
      </w:pPr>
      <w:r w:rsidRPr="001E7C0F">
        <w:rPr>
          <w:rFonts w:eastAsia="宋体" w:cs="Times New Roman" w:hint="eastAsia"/>
          <w:szCs w:val="21"/>
        </w:rPr>
        <w:t>(3)</w:t>
      </w:r>
      <w:r w:rsidRPr="001E7C0F">
        <w:rPr>
          <w:rFonts w:eastAsia="宋体" w:cs="Times New Roman" w:hint="eastAsia"/>
          <w:szCs w:val="21"/>
        </w:rPr>
        <w:tab/>
      </w:r>
      <w:r w:rsidRPr="001E7C0F">
        <w:rPr>
          <w:rFonts w:eastAsia="宋体" w:cs="Times New Roman" w:hint="eastAsia"/>
          <w:szCs w:val="21"/>
        </w:rPr>
        <w:t>智能家居产品</w:t>
      </w:r>
      <w:r w:rsidRPr="001E7C0F">
        <w:rPr>
          <w:rFonts w:eastAsia="宋体" w:cs="Times New Roman" w:hint="eastAsia"/>
          <w:szCs w:val="21"/>
        </w:rPr>
        <w:t>(</w:t>
      </w:r>
      <w:proofErr w:type="gramStart"/>
      <w:r w:rsidRPr="001E7C0F">
        <w:rPr>
          <w:rFonts w:eastAsia="宋体" w:cs="Times New Roman" w:hint="eastAsia"/>
          <w:szCs w:val="21"/>
        </w:rPr>
        <w:t>按渠道</w:t>
      </w:r>
      <w:proofErr w:type="gramEnd"/>
      <w:r w:rsidRPr="001E7C0F">
        <w:rPr>
          <w:rFonts w:eastAsia="宋体" w:cs="Times New Roman" w:hint="eastAsia"/>
          <w:szCs w:val="21"/>
        </w:rPr>
        <w:t>)</w:t>
      </w:r>
      <w:r w:rsidRPr="00F66363">
        <w:rPr>
          <w:rFonts w:eastAsia="宋体" w:cs="Times New Roman"/>
          <w:szCs w:val="21"/>
        </w:rPr>
        <w:t xml:space="preserve"> - </w:t>
      </w:r>
      <w:r w:rsidRPr="00F66363">
        <w:rPr>
          <w:rFonts w:eastAsia="宋体" w:cs="Times New Roman" w:hint="eastAsia"/>
          <w:szCs w:val="21"/>
        </w:rPr>
        <w:t>续</w:t>
      </w:r>
    </w:p>
    <w:p w:rsidR="001E7C0F" w:rsidRDefault="001E7C0F" w:rsidP="0027505B">
      <w:pPr>
        <w:ind w:left="720"/>
        <w:jc w:val="both"/>
        <w:rPr>
          <w:rFonts w:eastAsia="宋体" w:cs="Times New Roman"/>
          <w:szCs w:val="21"/>
        </w:rPr>
      </w:pPr>
    </w:p>
    <w:p w:rsidR="00A261EF" w:rsidRPr="00A71D2E" w:rsidRDefault="00A261EF" w:rsidP="00A261EF">
      <w:pPr>
        <w:ind w:left="720"/>
        <w:jc w:val="both"/>
        <w:rPr>
          <w:rFonts w:eastAsia="宋体" w:cs="Times New Roman"/>
          <w:szCs w:val="21"/>
        </w:rPr>
      </w:pPr>
      <w:r w:rsidRPr="00A71D2E">
        <w:rPr>
          <w:rFonts w:eastAsia="宋体" w:cs="Times New Roman" w:hint="eastAsia"/>
          <w:szCs w:val="21"/>
        </w:rPr>
        <w:t>履约义务的说明</w:t>
      </w:r>
      <w:r w:rsidR="005F14EE">
        <w:rPr>
          <w:rFonts w:eastAsia="宋体" w:cs="Times New Roman" w:hint="eastAsia"/>
          <w:szCs w:val="21"/>
        </w:rPr>
        <w:t>：</w:t>
      </w:r>
      <w:r>
        <w:rPr>
          <w:rFonts w:eastAsia="宋体" w:cs="Times New Roman" w:hint="eastAsia"/>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E66E9F" w:rsidRPr="00A261EF" w:rsidRDefault="00E66E9F" w:rsidP="00F66363">
      <w:pPr>
        <w:ind w:left="720"/>
        <w:jc w:val="both"/>
        <w:rPr>
          <w:rFonts w:eastAsia="宋体" w:cs="Times New Roman"/>
          <w:szCs w:val="21"/>
        </w:rPr>
      </w:pPr>
    </w:p>
    <w:p w:rsidR="00321FDD" w:rsidRPr="00A71D2E" w:rsidRDefault="00321FDD" w:rsidP="00F66363">
      <w:pPr>
        <w:ind w:left="720"/>
        <w:jc w:val="both"/>
        <w:rPr>
          <w:rFonts w:eastAsia="宋体" w:cs="Times New Roman"/>
          <w:szCs w:val="21"/>
        </w:rPr>
      </w:pPr>
      <w:r w:rsidRPr="00A71D2E">
        <w:rPr>
          <w:rFonts w:eastAsia="宋体" w:cs="Times New Roman" w:hint="eastAsia"/>
          <w:szCs w:val="21"/>
        </w:rPr>
        <w:t>与本集团销售产品相关的质量保证不能单独购买，是向客户保证所销售的商品符合既定标准，因此本集团按照《企业会计准则第</w:t>
      </w:r>
      <w:r w:rsidRPr="00A71D2E">
        <w:rPr>
          <w:rFonts w:eastAsia="宋体" w:cs="Times New Roman"/>
          <w:szCs w:val="21"/>
        </w:rPr>
        <w:t>13</w:t>
      </w:r>
      <w:r w:rsidRPr="00A71D2E">
        <w:rPr>
          <w:rFonts w:eastAsia="宋体" w:cs="Times New Roman" w:hint="eastAsia"/>
          <w:szCs w:val="21"/>
        </w:rPr>
        <w:t>号</w:t>
      </w:r>
      <w:r w:rsidRPr="00A71D2E">
        <w:rPr>
          <w:rFonts w:eastAsia="宋体" w:cs="Times New Roman"/>
          <w:szCs w:val="21"/>
        </w:rPr>
        <w:t>——</w:t>
      </w:r>
      <w:r w:rsidRPr="00A71D2E">
        <w:rPr>
          <w:rFonts w:eastAsia="宋体" w:cs="Times New Roman" w:hint="eastAsia"/>
          <w:szCs w:val="21"/>
        </w:rPr>
        <w:t>或有事项》的规定进行会计处理</w:t>
      </w:r>
      <w:r w:rsidR="005F14EE">
        <w:rPr>
          <w:rFonts w:eastAsia="宋体" w:cs="Times New Roman"/>
          <w:szCs w:val="21"/>
        </w:rPr>
        <w:t>(</w:t>
      </w:r>
      <w:r w:rsidRPr="00A71D2E">
        <w:rPr>
          <w:rFonts w:eastAsia="宋体" w:cs="Times New Roman" w:hint="eastAsia"/>
          <w:szCs w:val="21"/>
        </w:rPr>
        <w:t>详见附注</w:t>
      </w:r>
      <w:r w:rsidR="005F14EE">
        <w:rPr>
          <w:rFonts w:eastAsia="宋体" w:cs="Times New Roman"/>
          <w:szCs w:val="21"/>
        </w:rPr>
        <w:t>(</w:t>
      </w:r>
      <w:r w:rsidRPr="00A71D2E">
        <w:rPr>
          <w:rFonts w:eastAsia="宋体" w:cs="Times New Roman" w:hint="eastAsia"/>
          <w:szCs w:val="21"/>
        </w:rPr>
        <w:t>五</w:t>
      </w:r>
      <w:r w:rsidR="005F14EE">
        <w:rPr>
          <w:rFonts w:eastAsia="宋体" w:cs="Times New Roman"/>
          <w:szCs w:val="21"/>
        </w:rPr>
        <w:t>)</w:t>
      </w:r>
      <w:r w:rsidRPr="00A71D2E">
        <w:rPr>
          <w:rFonts w:eastAsia="宋体" w:cs="Times New Roman" w:hint="eastAsia"/>
          <w:szCs w:val="21"/>
        </w:rPr>
        <w:t>、</w:t>
      </w:r>
      <w:r w:rsidR="00B019C6">
        <w:rPr>
          <w:rFonts w:eastAsia="宋体" w:cs="Times New Roman"/>
          <w:szCs w:val="21"/>
        </w:rPr>
        <w:t>25</w:t>
      </w:r>
      <w:r w:rsidR="005F14EE">
        <w:rPr>
          <w:rFonts w:eastAsia="宋体" w:cs="Times New Roman"/>
          <w:szCs w:val="21"/>
        </w:rPr>
        <w:t>)</w:t>
      </w:r>
      <w:r w:rsidRPr="00A71D2E">
        <w:rPr>
          <w:rFonts w:eastAsia="宋体" w:cs="Times New Roman" w:hint="eastAsia"/>
          <w:szCs w:val="21"/>
        </w:rPr>
        <w:t>。</w:t>
      </w:r>
    </w:p>
    <w:p w:rsidR="00B3462C" w:rsidRPr="00A71D2E" w:rsidRDefault="00B3462C" w:rsidP="00F66363">
      <w:pPr>
        <w:ind w:left="720"/>
        <w:jc w:val="both"/>
        <w:rPr>
          <w:rFonts w:eastAsia="宋体" w:cs="Times New Roman"/>
          <w:szCs w:val="21"/>
        </w:rPr>
      </w:pPr>
    </w:p>
    <w:p w:rsidR="00321FDD" w:rsidRDefault="00321FDD" w:rsidP="00F66363">
      <w:pPr>
        <w:ind w:left="720"/>
        <w:jc w:val="both"/>
        <w:rPr>
          <w:rFonts w:eastAsia="宋体" w:cs="Times New Roman"/>
          <w:szCs w:val="21"/>
        </w:rPr>
      </w:pPr>
      <w:r w:rsidRPr="00A71D2E">
        <w:rPr>
          <w:rFonts w:eastAsia="宋体" w:cs="Times New Roman" w:hint="eastAsia"/>
          <w:szCs w:val="21"/>
        </w:rPr>
        <w:t>本集团向使用萤石云平台的用户提供设备接入及运</w:t>
      </w:r>
      <w:proofErr w:type="gramStart"/>
      <w:r w:rsidRPr="00A71D2E">
        <w:rPr>
          <w:rFonts w:eastAsia="宋体" w:cs="Times New Roman" w:hint="eastAsia"/>
          <w:szCs w:val="21"/>
        </w:rPr>
        <w:t>维支持</w:t>
      </w:r>
      <w:proofErr w:type="gramEnd"/>
      <w:r w:rsidRPr="00A71D2E">
        <w:rPr>
          <w:rFonts w:eastAsia="宋体" w:cs="Times New Roman" w:hint="eastAsia"/>
          <w:szCs w:val="21"/>
        </w:rPr>
        <w:t>服务、云增值及开放平台服务、广告推广服务等。其中设备接入服务，本集团在完成相关设备接入时确认收入。运</w:t>
      </w:r>
      <w:proofErr w:type="gramStart"/>
      <w:r w:rsidRPr="00A71D2E">
        <w:rPr>
          <w:rFonts w:eastAsia="宋体" w:cs="Times New Roman" w:hint="eastAsia"/>
          <w:szCs w:val="21"/>
        </w:rPr>
        <w:t>维支持</w:t>
      </w:r>
      <w:proofErr w:type="gramEnd"/>
      <w:r w:rsidRPr="00A71D2E">
        <w:rPr>
          <w:rFonts w:eastAsia="宋体" w:cs="Times New Roman" w:hint="eastAsia"/>
          <w:szCs w:val="21"/>
        </w:rPr>
        <w:t>服务、云增值及开放平台服务、广告推广服务等为一段时间内履行的履约义务，在提供服务的期限内按照履约进度确认收入。本集团在收到客户预先支付的</w:t>
      </w:r>
      <w:proofErr w:type="gramStart"/>
      <w:r w:rsidRPr="00A71D2E">
        <w:rPr>
          <w:rFonts w:eastAsia="宋体" w:cs="Times New Roman" w:hint="eastAsia"/>
          <w:szCs w:val="21"/>
        </w:rPr>
        <w:t>云服务款</w:t>
      </w:r>
      <w:proofErr w:type="gramEnd"/>
      <w:r w:rsidRPr="00A71D2E">
        <w:rPr>
          <w:rFonts w:eastAsia="宋体" w:cs="Times New Roman" w:hint="eastAsia"/>
          <w:szCs w:val="21"/>
        </w:rPr>
        <w:t>确认一项合同负债，并在提供服务的期间内按照履约进度确认收入。</w:t>
      </w:r>
    </w:p>
    <w:p w:rsidR="00606A5C" w:rsidRDefault="00606A5C" w:rsidP="00F66363">
      <w:pPr>
        <w:ind w:left="720"/>
        <w:jc w:val="both"/>
        <w:rPr>
          <w:rFonts w:eastAsia="宋体" w:cs="Times New Roman"/>
          <w:szCs w:val="21"/>
        </w:rPr>
      </w:pPr>
    </w:p>
    <w:p w:rsidR="00606A5C" w:rsidRPr="00606A5C" w:rsidRDefault="00606A5C" w:rsidP="00606A5C">
      <w:pPr>
        <w:ind w:left="720"/>
        <w:jc w:val="both"/>
        <w:rPr>
          <w:rFonts w:eastAsia="宋体" w:cs="Times New Roman"/>
          <w:szCs w:val="21"/>
        </w:rPr>
      </w:pPr>
      <w:r w:rsidRPr="00606A5C">
        <w:rPr>
          <w:rFonts w:eastAsia="宋体" w:cs="Times New Roman" w:hint="eastAsia"/>
          <w:szCs w:val="21"/>
        </w:rPr>
        <w:t>分摊至剩余履约义务的说明</w:t>
      </w:r>
      <w:r w:rsidR="005F14EE">
        <w:rPr>
          <w:rFonts w:eastAsia="宋体" w:cs="Times New Roman" w:hint="eastAsia"/>
          <w:szCs w:val="21"/>
        </w:rPr>
        <w:t>：</w:t>
      </w:r>
    </w:p>
    <w:p w:rsidR="00606A5C" w:rsidRPr="00606A5C" w:rsidRDefault="00606A5C" w:rsidP="00606A5C">
      <w:pPr>
        <w:ind w:left="720"/>
        <w:jc w:val="both"/>
        <w:rPr>
          <w:rFonts w:eastAsia="宋体" w:cs="Times New Roman"/>
          <w:szCs w:val="21"/>
        </w:rPr>
      </w:pPr>
    </w:p>
    <w:p w:rsidR="00606A5C" w:rsidRPr="00A71D2E" w:rsidRDefault="00606A5C" w:rsidP="00606A5C">
      <w:pPr>
        <w:ind w:left="720"/>
        <w:jc w:val="both"/>
        <w:rPr>
          <w:rFonts w:eastAsia="宋体" w:cs="Times New Roman"/>
          <w:szCs w:val="21"/>
        </w:rPr>
      </w:pPr>
      <w:r w:rsidRPr="008B4FD3">
        <w:rPr>
          <w:rFonts w:eastAsia="宋体" w:cs="Times New Roman" w:hint="eastAsia"/>
          <w:szCs w:val="21"/>
        </w:rPr>
        <w:t>截</w:t>
      </w:r>
      <w:r w:rsidR="00B7311C" w:rsidRPr="008B4FD3">
        <w:rPr>
          <w:rFonts w:eastAsia="宋体" w:cs="Times New Roman"/>
          <w:szCs w:val="21"/>
        </w:rPr>
        <w:t>至</w:t>
      </w:r>
      <w:r w:rsidRPr="008B4FD3">
        <w:rPr>
          <w:rFonts w:eastAsia="宋体" w:cs="Times New Roman" w:hint="eastAsia"/>
          <w:szCs w:val="21"/>
        </w:rPr>
        <w:t>202</w:t>
      </w:r>
      <w:r w:rsidR="00AF39F1" w:rsidRPr="008B4FD3">
        <w:rPr>
          <w:rFonts w:eastAsia="宋体" w:cs="Times New Roman"/>
          <w:szCs w:val="21"/>
        </w:rPr>
        <w:t>3</w:t>
      </w:r>
      <w:r w:rsidRPr="008B4FD3">
        <w:rPr>
          <w:rFonts w:eastAsia="宋体" w:cs="Times New Roman" w:hint="eastAsia"/>
          <w:szCs w:val="21"/>
        </w:rPr>
        <w:t>年</w:t>
      </w:r>
      <w:r w:rsidRPr="008B4FD3">
        <w:rPr>
          <w:rFonts w:eastAsia="宋体" w:cs="Times New Roman" w:hint="eastAsia"/>
          <w:szCs w:val="21"/>
        </w:rPr>
        <w:t>12</w:t>
      </w:r>
      <w:r w:rsidRPr="008B4FD3">
        <w:rPr>
          <w:rFonts w:eastAsia="宋体" w:cs="Times New Roman" w:hint="eastAsia"/>
          <w:szCs w:val="21"/>
        </w:rPr>
        <w:t>月</w:t>
      </w:r>
      <w:r w:rsidRPr="008B4FD3">
        <w:rPr>
          <w:rFonts w:eastAsia="宋体" w:cs="Times New Roman" w:hint="eastAsia"/>
          <w:szCs w:val="21"/>
        </w:rPr>
        <w:t>31</w:t>
      </w:r>
      <w:r w:rsidRPr="008B4FD3">
        <w:rPr>
          <w:rFonts w:eastAsia="宋体" w:cs="Times New Roman" w:hint="eastAsia"/>
          <w:szCs w:val="21"/>
        </w:rPr>
        <w:t>日</w:t>
      </w:r>
      <w:r w:rsidR="00B7311C" w:rsidRPr="008B4FD3">
        <w:rPr>
          <w:rFonts w:eastAsia="宋体" w:cs="Times New Roman" w:hint="eastAsia"/>
          <w:szCs w:val="21"/>
        </w:rPr>
        <w:t>止</w:t>
      </w:r>
      <w:r w:rsidRPr="008B4FD3">
        <w:rPr>
          <w:rFonts w:eastAsia="宋体" w:cs="Times New Roman" w:hint="eastAsia"/>
          <w:szCs w:val="21"/>
        </w:rPr>
        <w:t>，</w:t>
      </w:r>
      <w:r w:rsidRPr="00606A5C">
        <w:rPr>
          <w:rFonts w:eastAsia="宋体" w:cs="Times New Roman" w:hint="eastAsia"/>
          <w:szCs w:val="21"/>
        </w:rPr>
        <w:t>已签订合同、但尚未履行或尚未履行完毕的履约义务所对应的收入金额均为原预计合同期限不超过一年的合同中的一部分，预计将于未来一年内确认收入。</w:t>
      </w:r>
    </w:p>
    <w:p w:rsidR="00321FDD" w:rsidRPr="00A71D2E" w:rsidRDefault="00321FDD" w:rsidP="00F66363">
      <w:pPr>
        <w:ind w:left="720"/>
        <w:jc w:val="both"/>
        <w:rPr>
          <w:rFonts w:eastAsia="宋体" w:cs="Times New Roman"/>
          <w:szCs w:val="21"/>
        </w:rPr>
      </w:pPr>
    </w:p>
    <w:p w:rsidR="00321FDD" w:rsidRPr="00A71D2E" w:rsidRDefault="00321FDD" w:rsidP="00F66363">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税金及附加</w:t>
      </w:r>
    </w:p>
    <w:p w:rsidR="00321FDD" w:rsidRPr="00A71D2E" w:rsidRDefault="00321FDD" w:rsidP="00F66363">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7"/>
        <w:gridCol w:w="2024"/>
        <w:gridCol w:w="2025"/>
      </w:tblGrid>
      <w:tr w:rsidR="00727DF8"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727DF8" w:rsidRPr="00A71D2E" w:rsidRDefault="00727DF8" w:rsidP="00F66363">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themeFill="background1" w:themeFillShade="D9"/>
            <w:vAlign w:val="center"/>
          </w:tcPr>
          <w:p w:rsidR="00727DF8" w:rsidRPr="00A71D2E" w:rsidRDefault="00D91148" w:rsidP="00F66363">
            <w:pPr>
              <w:jc w:val="center"/>
              <w:rPr>
                <w:rFonts w:eastAsia="宋体" w:cs="Times New Roman"/>
                <w:sz w:val="18"/>
                <w:szCs w:val="18"/>
              </w:rPr>
            </w:pPr>
            <w:r w:rsidRPr="00A71D2E">
              <w:rPr>
                <w:rFonts w:eastAsia="宋体" w:cs="Times New Roman" w:hint="eastAsia"/>
                <w:sz w:val="18"/>
                <w:szCs w:val="18"/>
              </w:rPr>
              <w:t>本年发生额</w:t>
            </w:r>
          </w:p>
        </w:tc>
        <w:tc>
          <w:tcPr>
            <w:tcW w:w="1071" w:type="pct"/>
            <w:shd w:val="clear" w:color="auto" w:fill="D9D9D9" w:themeFill="background1" w:themeFillShade="D9"/>
            <w:vAlign w:val="center"/>
          </w:tcPr>
          <w:p w:rsidR="00727DF8" w:rsidRPr="00A71D2E" w:rsidRDefault="00D91148" w:rsidP="00F66363">
            <w:pPr>
              <w:jc w:val="center"/>
              <w:rPr>
                <w:rFonts w:eastAsia="宋体" w:cs="Times New Roman"/>
                <w:sz w:val="18"/>
                <w:szCs w:val="18"/>
              </w:rPr>
            </w:pPr>
            <w:r w:rsidRPr="00A71D2E">
              <w:rPr>
                <w:rFonts w:eastAsia="宋体" w:cs="Times New Roman" w:hint="eastAsia"/>
                <w:sz w:val="18"/>
                <w:szCs w:val="18"/>
              </w:rPr>
              <w:t>上年发生额</w:t>
            </w:r>
          </w:p>
        </w:tc>
      </w:tr>
      <w:tr w:rsidR="00660BFC"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660BFC" w:rsidRPr="00A71D2E" w:rsidRDefault="00660BFC" w:rsidP="00660BFC">
            <w:pPr>
              <w:rPr>
                <w:rFonts w:eastAsia="宋体" w:cs="Times New Roman"/>
                <w:sz w:val="18"/>
                <w:szCs w:val="18"/>
              </w:rPr>
            </w:pPr>
            <w:r w:rsidRPr="00A71D2E">
              <w:rPr>
                <w:rFonts w:eastAsia="宋体" w:cs="Times New Roman" w:hint="eastAsia"/>
                <w:sz w:val="18"/>
                <w:szCs w:val="18"/>
              </w:rPr>
              <w:t>城建税</w:t>
            </w:r>
          </w:p>
        </w:tc>
        <w:tc>
          <w:tcPr>
            <w:tcW w:w="1070" w:type="pct"/>
            <w:vAlign w:val="center"/>
          </w:tcPr>
          <w:p w:rsidR="00660BFC" w:rsidRPr="00A71D2E" w:rsidRDefault="006351A9" w:rsidP="00660BFC">
            <w:pPr>
              <w:ind w:right="90"/>
              <w:jc w:val="right"/>
              <w:rPr>
                <w:rFonts w:eastAsia="宋体" w:cs="Times New Roman"/>
                <w:sz w:val="18"/>
                <w:szCs w:val="18"/>
              </w:rPr>
            </w:pPr>
            <w:r w:rsidRPr="006351A9">
              <w:rPr>
                <w:rFonts w:eastAsia="宋体" w:cs="Times New Roman"/>
                <w:sz w:val="18"/>
                <w:szCs w:val="18"/>
              </w:rPr>
              <w:t>12,165,701.86</w:t>
            </w:r>
          </w:p>
        </w:tc>
        <w:tc>
          <w:tcPr>
            <w:tcW w:w="1071" w:type="pct"/>
            <w:vAlign w:val="center"/>
          </w:tcPr>
          <w:p w:rsidR="00660BFC" w:rsidRPr="00A71D2E" w:rsidRDefault="00660BFC" w:rsidP="00660BFC">
            <w:pPr>
              <w:ind w:right="90"/>
              <w:jc w:val="right"/>
              <w:rPr>
                <w:rFonts w:eastAsia="宋体" w:cs="Times New Roman"/>
                <w:sz w:val="18"/>
                <w:szCs w:val="18"/>
              </w:rPr>
            </w:pPr>
            <w:r w:rsidRPr="00A71D2E">
              <w:rPr>
                <w:rFonts w:eastAsia="宋体" w:cs="Times New Roman"/>
                <w:sz w:val="18"/>
                <w:szCs w:val="18"/>
              </w:rPr>
              <w:t>7,740,147.08</w:t>
            </w:r>
          </w:p>
        </w:tc>
      </w:tr>
      <w:tr w:rsidR="00660BFC"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660BFC" w:rsidRPr="00A71D2E" w:rsidRDefault="00660BFC" w:rsidP="00660BFC">
            <w:pPr>
              <w:rPr>
                <w:rFonts w:eastAsia="宋体" w:cs="Times New Roman"/>
                <w:sz w:val="18"/>
                <w:szCs w:val="18"/>
              </w:rPr>
            </w:pPr>
            <w:r w:rsidRPr="00A71D2E">
              <w:rPr>
                <w:rFonts w:eastAsia="宋体" w:cs="Times New Roman" w:hint="eastAsia"/>
                <w:sz w:val="18"/>
                <w:szCs w:val="18"/>
              </w:rPr>
              <w:t>教育费附加</w:t>
            </w:r>
          </w:p>
        </w:tc>
        <w:tc>
          <w:tcPr>
            <w:tcW w:w="1070" w:type="pct"/>
            <w:vAlign w:val="center"/>
          </w:tcPr>
          <w:p w:rsidR="00660BFC" w:rsidRPr="00A71D2E" w:rsidRDefault="006351A9" w:rsidP="00660BFC">
            <w:pPr>
              <w:ind w:right="90"/>
              <w:jc w:val="right"/>
              <w:rPr>
                <w:rFonts w:eastAsia="宋体" w:cs="Times New Roman"/>
                <w:sz w:val="18"/>
                <w:szCs w:val="18"/>
              </w:rPr>
            </w:pPr>
            <w:r w:rsidRPr="006351A9">
              <w:rPr>
                <w:rFonts w:eastAsia="宋体" w:cs="Times New Roman"/>
                <w:sz w:val="18"/>
                <w:szCs w:val="18"/>
              </w:rPr>
              <w:t>5,335,644.65</w:t>
            </w:r>
          </w:p>
        </w:tc>
        <w:tc>
          <w:tcPr>
            <w:tcW w:w="1071" w:type="pct"/>
            <w:vAlign w:val="center"/>
          </w:tcPr>
          <w:p w:rsidR="00660BFC" w:rsidRPr="00A71D2E" w:rsidRDefault="00660BFC" w:rsidP="00660BFC">
            <w:pPr>
              <w:ind w:right="90"/>
              <w:jc w:val="right"/>
              <w:rPr>
                <w:rFonts w:eastAsia="宋体" w:cs="Times New Roman"/>
                <w:sz w:val="18"/>
                <w:szCs w:val="18"/>
              </w:rPr>
            </w:pPr>
            <w:r w:rsidRPr="00A71D2E">
              <w:rPr>
                <w:rFonts w:eastAsia="宋体" w:cs="Times New Roman"/>
                <w:sz w:val="18"/>
                <w:szCs w:val="18"/>
              </w:rPr>
              <w:t>3,460,991.86</w:t>
            </w:r>
          </w:p>
        </w:tc>
      </w:tr>
      <w:tr w:rsidR="00660BFC"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60BFC" w:rsidRPr="00A71D2E" w:rsidRDefault="00660BFC" w:rsidP="00660BFC">
            <w:pPr>
              <w:rPr>
                <w:rFonts w:eastAsia="宋体" w:cs="Times New Roman"/>
                <w:sz w:val="18"/>
                <w:szCs w:val="18"/>
              </w:rPr>
            </w:pPr>
            <w:r w:rsidRPr="00A71D2E">
              <w:rPr>
                <w:rFonts w:eastAsia="宋体" w:cs="Times New Roman" w:hint="eastAsia"/>
                <w:sz w:val="18"/>
                <w:szCs w:val="18"/>
              </w:rPr>
              <w:t>地方教育费附加</w:t>
            </w:r>
          </w:p>
        </w:tc>
        <w:tc>
          <w:tcPr>
            <w:tcW w:w="1070" w:type="pct"/>
            <w:vAlign w:val="center"/>
          </w:tcPr>
          <w:p w:rsidR="00660BFC" w:rsidRPr="00A71D2E" w:rsidRDefault="006351A9" w:rsidP="00660BFC">
            <w:pPr>
              <w:ind w:right="90"/>
              <w:jc w:val="right"/>
              <w:rPr>
                <w:rFonts w:eastAsia="宋体" w:cs="Times New Roman"/>
                <w:sz w:val="18"/>
                <w:szCs w:val="18"/>
              </w:rPr>
            </w:pPr>
            <w:r w:rsidRPr="006351A9">
              <w:rPr>
                <w:rFonts w:eastAsia="宋体" w:cs="Times New Roman"/>
                <w:sz w:val="18"/>
                <w:szCs w:val="18"/>
              </w:rPr>
              <w:t>3,557,096.43</w:t>
            </w:r>
          </w:p>
        </w:tc>
        <w:tc>
          <w:tcPr>
            <w:tcW w:w="1071" w:type="pct"/>
            <w:vAlign w:val="center"/>
          </w:tcPr>
          <w:p w:rsidR="00660BFC" w:rsidRPr="00A71D2E" w:rsidRDefault="00660BFC" w:rsidP="00660BFC">
            <w:pPr>
              <w:ind w:right="90"/>
              <w:jc w:val="right"/>
              <w:rPr>
                <w:rFonts w:eastAsia="宋体" w:cs="Times New Roman"/>
                <w:sz w:val="18"/>
                <w:szCs w:val="18"/>
              </w:rPr>
            </w:pPr>
            <w:r w:rsidRPr="00A71D2E">
              <w:rPr>
                <w:rFonts w:eastAsia="宋体" w:cs="Times New Roman"/>
                <w:sz w:val="18"/>
                <w:szCs w:val="18"/>
              </w:rPr>
              <w:t>2,307,327.94</w:t>
            </w:r>
          </w:p>
        </w:tc>
      </w:tr>
      <w:tr w:rsidR="00660BFC"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60BFC" w:rsidRPr="00A71D2E" w:rsidRDefault="00660BFC" w:rsidP="00660BFC">
            <w:pPr>
              <w:rPr>
                <w:rFonts w:eastAsia="宋体" w:cs="Times New Roman"/>
                <w:sz w:val="18"/>
                <w:szCs w:val="18"/>
              </w:rPr>
            </w:pPr>
            <w:r w:rsidRPr="00A71D2E">
              <w:rPr>
                <w:rFonts w:eastAsia="宋体" w:cs="Times New Roman" w:hint="eastAsia"/>
                <w:sz w:val="18"/>
                <w:szCs w:val="18"/>
              </w:rPr>
              <w:t>印花税</w:t>
            </w:r>
          </w:p>
        </w:tc>
        <w:tc>
          <w:tcPr>
            <w:tcW w:w="1070" w:type="pct"/>
            <w:vAlign w:val="center"/>
          </w:tcPr>
          <w:p w:rsidR="00660BFC" w:rsidRPr="00A71D2E" w:rsidRDefault="006351A9" w:rsidP="00660BFC">
            <w:pPr>
              <w:ind w:right="90"/>
              <w:jc w:val="right"/>
              <w:rPr>
                <w:rFonts w:eastAsia="宋体" w:cs="Times New Roman"/>
                <w:sz w:val="18"/>
                <w:szCs w:val="18"/>
              </w:rPr>
            </w:pPr>
            <w:r w:rsidRPr="006351A9">
              <w:rPr>
                <w:rFonts w:eastAsia="宋体" w:cs="Times New Roman"/>
                <w:sz w:val="18"/>
                <w:szCs w:val="18"/>
              </w:rPr>
              <w:t>3,393,396.82</w:t>
            </w:r>
          </w:p>
        </w:tc>
        <w:tc>
          <w:tcPr>
            <w:tcW w:w="1071" w:type="pct"/>
            <w:vAlign w:val="center"/>
          </w:tcPr>
          <w:p w:rsidR="00660BFC" w:rsidRPr="00A71D2E" w:rsidRDefault="00660BFC" w:rsidP="00660BFC">
            <w:pPr>
              <w:ind w:right="90"/>
              <w:jc w:val="right"/>
              <w:rPr>
                <w:rFonts w:eastAsia="宋体" w:cs="Times New Roman"/>
                <w:sz w:val="18"/>
                <w:szCs w:val="18"/>
              </w:rPr>
            </w:pPr>
            <w:r w:rsidRPr="00A71D2E">
              <w:rPr>
                <w:rFonts w:eastAsia="宋体" w:cs="Times New Roman"/>
                <w:sz w:val="18"/>
                <w:szCs w:val="18"/>
              </w:rPr>
              <w:t>3,259,916.91</w:t>
            </w:r>
          </w:p>
        </w:tc>
      </w:tr>
      <w:tr w:rsidR="00660BFC"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60BFC" w:rsidRPr="00A71D2E" w:rsidRDefault="00660BFC" w:rsidP="00660BFC">
            <w:pPr>
              <w:rPr>
                <w:rFonts w:eastAsia="宋体" w:cs="Times New Roman"/>
                <w:sz w:val="18"/>
                <w:szCs w:val="18"/>
              </w:rPr>
            </w:pPr>
            <w:r w:rsidRPr="00A71D2E">
              <w:rPr>
                <w:rFonts w:eastAsia="宋体" w:cs="Times New Roman" w:hint="eastAsia"/>
                <w:sz w:val="18"/>
                <w:szCs w:val="18"/>
              </w:rPr>
              <w:t>土地使用税</w:t>
            </w:r>
          </w:p>
        </w:tc>
        <w:tc>
          <w:tcPr>
            <w:tcW w:w="1070" w:type="pct"/>
            <w:vAlign w:val="center"/>
          </w:tcPr>
          <w:p w:rsidR="00660BFC" w:rsidRPr="00A71D2E" w:rsidRDefault="006351A9" w:rsidP="00660BFC">
            <w:pPr>
              <w:ind w:right="90"/>
              <w:jc w:val="right"/>
              <w:rPr>
                <w:rFonts w:eastAsia="宋体" w:cs="Times New Roman"/>
                <w:sz w:val="18"/>
                <w:szCs w:val="18"/>
              </w:rPr>
            </w:pPr>
            <w:r w:rsidRPr="006351A9">
              <w:rPr>
                <w:rFonts w:eastAsia="宋体" w:cs="Times New Roman"/>
                <w:sz w:val="18"/>
                <w:szCs w:val="18"/>
              </w:rPr>
              <w:t>2,321,667.04</w:t>
            </w:r>
          </w:p>
        </w:tc>
        <w:tc>
          <w:tcPr>
            <w:tcW w:w="1071" w:type="pct"/>
            <w:vAlign w:val="center"/>
          </w:tcPr>
          <w:p w:rsidR="00660BFC" w:rsidRPr="00A71D2E" w:rsidRDefault="00660BFC" w:rsidP="00660BFC">
            <w:pPr>
              <w:ind w:right="90"/>
              <w:jc w:val="right"/>
              <w:rPr>
                <w:rFonts w:eastAsia="宋体" w:cs="Times New Roman"/>
                <w:sz w:val="18"/>
                <w:szCs w:val="18"/>
              </w:rPr>
            </w:pPr>
            <w:r w:rsidRPr="00A71D2E">
              <w:rPr>
                <w:rFonts w:eastAsia="宋体" w:cs="Times New Roman"/>
                <w:sz w:val="18"/>
                <w:szCs w:val="18"/>
              </w:rPr>
              <w:t>2,106,427.00</w:t>
            </w:r>
          </w:p>
        </w:tc>
      </w:tr>
      <w:tr w:rsidR="00660BFC"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60BFC" w:rsidRPr="00A71D2E" w:rsidRDefault="00660BFC" w:rsidP="00660BFC">
            <w:pPr>
              <w:rPr>
                <w:rFonts w:eastAsia="宋体" w:cs="Times New Roman"/>
                <w:sz w:val="18"/>
                <w:szCs w:val="18"/>
              </w:rPr>
            </w:pPr>
            <w:r w:rsidRPr="00A71D2E">
              <w:rPr>
                <w:rFonts w:eastAsia="宋体" w:cs="Times New Roman" w:hint="eastAsia"/>
                <w:sz w:val="18"/>
                <w:szCs w:val="18"/>
              </w:rPr>
              <w:t>文化建设事业费</w:t>
            </w:r>
          </w:p>
        </w:tc>
        <w:tc>
          <w:tcPr>
            <w:tcW w:w="1070" w:type="pct"/>
            <w:vAlign w:val="center"/>
          </w:tcPr>
          <w:p w:rsidR="00660BFC" w:rsidRPr="00A71D2E" w:rsidRDefault="006351A9" w:rsidP="00660BFC">
            <w:pPr>
              <w:ind w:right="90"/>
              <w:jc w:val="right"/>
              <w:rPr>
                <w:rFonts w:eastAsia="宋体" w:cs="Times New Roman"/>
                <w:sz w:val="18"/>
                <w:szCs w:val="18"/>
              </w:rPr>
            </w:pPr>
            <w:r w:rsidRPr="006351A9">
              <w:rPr>
                <w:rFonts w:eastAsia="宋体" w:cs="Times New Roman"/>
                <w:sz w:val="18"/>
                <w:szCs w:val="18"/>
              </w:rPr>
              <w:t>2,801,587.99</w:t>
            </w:r>
          </w:p>
        </w:tc>
        <w:tc>
          <w:tcPr>
            <w:tcW w:w="1071" w:type="pct"/>
            <w:vAlign w:val="center"/>
          </w:tcPr>
          <w:p w:rsidR="00660BFC" w:rsidRPr="00A71D2E" w:rsidRDefault="00660BFC" w:rsidP="00660BFC">
            <w:pPr>
              <w:ind w:right="90"/>
              <w:jc w:val="right"/>
              <w:rPr>
                <w:rFonts w:eastAsia="宋体" w:cs="Times New Roman"/>
                <w:sz w:val="18"/>
                <w:szCs w:val="18"/>
              </w:rPr>
            </w:pPr>
            <w:r w:rsidRPr="00A71D2E">
              <w:rPr>
                <w:rFonts w:eastAsia="宋体" w:cs="Times New Roman"/>
                <w:sz w:val="18"/>
                <w:szCs w:val="18"/>
              </w:rPr>
              <w:t>1,448,766.81</w:t>
            </w:r>
          </w:p>
        </w:tc>
      </w:tr>
      <w:tr w:rsidR="00660BFC"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660BFC" w:rsidRPr="00A71D2E" w:rsidRDefault="00660BFC" w:rsidP="00660BFC">
            <w:pPr>
              <w:rPr>
                <w:rFonts w:eastAsia="宋体" w:cs="Times New Roman"/>
                <w:sz w:val="18"/>
                <w:szCs w:val="18"/>
              </w:rPr>
            </w:pPr>
            <w:r w:rsidRPr="00A71D2E">
              <w:rPr>
                <w:rFonts w:eastAsia="宋体" w:cs="Times New Roman" w:hint="eastAsia"/>
                <w:bCs/>
                <w:sz w:val="18"/>
                <w:szCs w:val="18"/>
              </w:rPr>
              <w:t>合计</w:t>
            </w:r>
          </w:p>
        </w:tc>
        <w:tc>
          <w:tcPr>
            <w:tcW w:w="1070" w:type="pct"/>
            <w:vAlign w:val="center"/>
          </w:tcPr>
          <w:p w:rsidR="00660BFC" w:rsidRPr="00A71D2E" w:rsidRDefault="006351A9" w:rsidP="00660BFC">
            <w:pPr>
              <w:ind w:right="90"/>
              <w:jc w:val="right"/>
              <w:rPr>
                <w:rFonts w:eastAsia="宋体" w:cs="Times New Roman"/>
                <w:sz w:val="18"/>
                <w:szCs w:val="18"/>
              </w:rPr>
            </w:pPr>
            <w:r w:rsidRPr="006351A9">
              <w:rPr>
                <w:rFonts w:eastAsia="宋体" w:cs="Times New Roman"/>
                <w:sz w:val="18"/>
                <w:szCs w:val="18"/>
              </w:rPr>
              <w:t>29,575,094.79</w:t>
            </w:r>
          </w:p>
        </w:tc>
        <w:tc>
          <w:tcPr>
            <w:tcW w:w="1071" w:type="pct"/>
            <w:vAlign w:val="center"/>
          </w:tcPr>
          <w:p w:rsidR="00660BFC" w:rsidRPr="00A71D2E" w:rsidRDefault="00660BFC" w:rsidP="00660BFC">
            <w:pPr>
              <w:ind w:right="90"/>
              <w:jc w:val="right"/>
              <w:rPr>
                <w:rFonts w:eastAsia="宋体" w:cs="Times New Roman"/>
                <w:sz w:val="18"/>
                <w:szCs w:val="18"/>
              </w:rPr>
            </w:pPr>
            <w:r w:rsidRPr="00A71D2E">
              <w:rPr>
                <w:rFonts w:eastAsia="宋体" w:cs="Times New Roman"/>
                <w:sz w:val="18"/>
                <w:szCs w:val="18"/>
              </w:rPr>
              <w:t>20,323,577.60</w:t>
            </w:r>
          </w:p>
        </w:tc>
      </w:tr>
    </w:tbl>
    <w:p w:rsidR="00495C8B" w:rsidRPr="00F66363" w:rsidRDefault="00495C8B" w:rsidP="00495C8B">
      <w:pPr>
        <w:ind w:left="720"/>
        <w:jc w:val="both"/>
        <w:rPr>
          <w:rFonts w:eastAsia="宋体" w:cs="Times New Roman"/>
          <w:szCs w:val="21"/>
        </w:rPr>
      </w:pPr>
    </w:p>
    <w:p w:rsidR="00321FDD" w:rsidRPr="00A71D2E" w:rsidRDefault="00321FDD" w:rsidP="00F66363">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销售费用</w:t>
      </w:r>
    </w:p>
    <w:p w:rsidR="00321FDD" w:rsidRPr="00A71D2E" w:rsidRDefault="00321FDD" w:rsidP="00F66363">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5408"/>
        <w:gridCol w:w="2023"/>
        <w:gridCol w:w="2023"/>
      </w:tblGrid>
      <w:tr w:rsidR="00EE0717" w:rsidRPr="001E7C0F" w:rsidTr="0027505B">
        <w:trPr>
          <w:trHeight w:val="20"/>
        </w:trPr>
        <w:tc>
          <w:tcPr>
            <w:tcW w:w="2859" w:type="pct"/>
            <w:shd w:val="clear" w:color="auto" w:fill="D9D9D9"/>
            <w:tcMar>
              <w:top w:w="0" w:type="dxa"/>
              <w:left w:w="108" w:type="dxa"/>
              <w:bottom w:w="0" w:type="dxa"/>
              <w:right w:w="108" w:type="dxa"/>
            </w:tcMar>
            <w:vAlign w:val="center"/>
            <w:hideMark/>
          </w:tcPr>
          <w:p w:rsidR="00EE0717" w:rsidRPr="001E7C0F" w:rsidRDefault="00EE0717" w:rsidP="00F66363">
            <w:pPr>
              <w:jc w:val="center"/>
              <w:rPr>
                <w:rFonts w:eastAsia="宋体" w:cs="Times New Roman"/>
                <w:sz w:val="18"/>
                <w:szCs w:val="18"/>
              </w:rPr>
            </w:pPr>
            <w:r w:rsidRPr="001E7C0F">
              <w:rPr>
                <w:rFonts w:eastAsia="宋体" w:cs="Times New Roman" w:hint="eastAsia"/>
                <w:sz w:val="18"/>
                <w:szCs w:val="18"/>
              </w:rPr>
              <w:t>项目</w:t>
            </w:r>
          </w:p>
        </w:tc>
        <w:tc>
          <w:tcPr>
            <w:tcW w:w="1070" w:type="pct"/>
            <w:shd w:val="clear" w:color="auto" w:fill="D9D9D9"/>
            <w:vAlign w:val="center"/>
          </w:tcPr>
          <w:p w:rsidR="00EE0717" w:rsidRPr="001E7C0F" w:rsidRDefault="00EE0717" w:rsidP="00F66363">
            <w:pPr>
              <w:jc w:val="center"/>
              <w:rPr>
                <w:rFonts w:eastAsia="宋体" w:cs="Times New Roman"/>
                <w:sz w:val="18"/>
                <w:szCs w:val="18"/>
              </w:rPr>
            </w:pPr>
            <w:r w:rsidRPr="001E7C0F">
              <w:rPr>
                <w:rFonts w:eastAsia="宋体" w:cs="Times New Roman" w:hint="eastAsia"/>
                <w:sz w:val="18"/>
                <w:szCs w:val="18"/>
              </w:rPr>
              <w:t>本年发生额</w:t>
            </w:r>
          </w:p>
        </w:tc>
        <w:tc>
          <w:tcPr>
            <w:tcW w:w="1070" w:type="pct"/>
            <w:shd w:val="clear" w:color="auto" w:fill="D9D9D9"/>
            <w:vAlign w:val="center"/>
          </w:tcPr>
          <w:p w:rsidR="00EE0717" w:rsidRPr="001E7C0F" w:rsidRDefault="00EE0717" w:rsidP="00F66363">
            <w:pPr>
              <w:jc w:val="center"/>
              <w:rPr>
                <w:rFonts w:eastAsia="宋体" w:cs="Times New Roman"/>
                <w:sz w:val="18"/>
                <w:szCs w:val="18"/>
              </w:rPr>
            </w:pPr>
            <w:r w:rsidRPr="001E7C0F">
              <w:rPr>
                <w:rFonts w:eastAsia="宋体" w:cs="Times New Roman" w:hint="eastAsia"/>
                <w:sz w:val="18"/>
                <w:szCs w:val="18"/>
              </w:rPr>
              <w:t>上年发生额</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职工薪酬</w:t>
            </w:r>
          </w:p>
        </w:tc>
        <w:tc>
          <w:tcPr>
            <w:tcW w:w="1070" w:type="pct"/>
            <w:vAlign w:val="center"/>
          </w:tcPr>
          <w:p w:rsidR="006779EA" w:rsidRPr="001E7C0F" w:rsidRDefault="0013578D" w:rsidP="006779EA">
            <w:pPr>
              <w:ind w:right="102"/>
              <w:jc w:val="right"/>
              <w:rPr>
                <w:rFonts w:eastAsia="宋体" w:cs="Times New Roman"/>
                <w:sz w:val="18"/>
                <w:szCs w:val="18"/>
              </w:rPr>
            </w:pPr>
            <w:r w:rsidRPr="001E7C0F">
              <w:rPr>
                <w:rFonts w:eastAsia="宋体" w:cs="Times New Roman"/>
                <w:sz w:val="18"/>
                <w:szCs w:val="18"/>
              </w:rPr>
              <w:t>232,634,116.37</w:t>
            </w:r>
          </w:p>
        </w:tc>
        <w:tc>
          <w:tcPr>
            <w:tcW w:w="1070" w:type="pct"/>
            <w:vAlign w:val="center"/>
          </w:tcPr>
          <w:p w:rsidR="006779EA" w:rsidRPr="001E7C0F" w:rsidRDefault="0013578D" w:rsidP="006779EA">
            <w:pPr>
              <w:ind w:right="102"/>
              <w:jc w:val="right"/>
              <w:rPr>
                <w:rFonts w:eastAsia="宋体" w:cs="Times New Roman"/>
                <w:sz w:val="18"/>
                <w:szCs w:val="18"/>
              </w:rPr>
            </w:pPr>
            <w:r w:rsidRPr="001E7C0F">
              <w:rPr>
                <w:rFonts w:eastAsia="宋体" w:cs="Times New Roman"/>
                <w:sz w:val="18"/>
                <w:szCs w:val="18"/>
              </w:rPr>
              <w:t>205,369,672.39</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业务宣传费</w:t>
            </w:r>
          </w:p>
        </w:tc>
        <w:tc>
          <w:tcPr>
            <w:tcW w:w="1070" w:type="pct"/>
            <w:vAlign w:val="center"/>
          </w:tcPr>
          <w:p w:rsidR="006779EA" w:rsidRPr="001E7C0F" w:rsidRDefault="006351A9" w:rsidP="006779EA">
            <w:pPr>
              <w:ind w:right="102"/>
              <w:jc w:val="right"/>
              <w:rPr>
                <w:rFonts w:eastAsia="宋体" w:cs="Times New Roman"/>
                <w:sz w:val="18"/>
                <w:szCs w:val="18"/>
              </w:rPr>
            </w:pPr>
            <w:r w:rsidRPr="001E7C0F">
              <w:rPr>
                <w:rFonts w:eastAsia="宋体" w:cs="Times New Roman"/>
                <w:sz w:val="18"/>
                <w:szCs w:val="18"/>
              </w:rPr>
              <w:t>196,223,617.94</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128,044,431.28</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销售服务费</w:t>
            </w:r>
          </w:p>
        </w:tc>
        <w:tc>
          <w:tcPr>
            <w:tcW w:w="1070" w:type="pct"/>
            <w:vAlign w:val="center"/>
          </w:tcPr>
          <w:p w:rsidR="006779EA" w:rsidRPr="001E7C0F" w:rsidRDefault="006351A9" w:rsidP="006779EA">
            <w:pPr>
              <w:ind w:right="102"/>
              <w:jc w:val="right"/>
              <w:rPr>
                <w:rFonts w:eastAsia="宋体" w:cs="Times New Roman"/>
                <w:sz w:val="18"/>
                <w:szCs w:val="18"/>
              </w:rPr>
            </w:pPr>
            <w:r w:rsidRPr="001E7C0F">
              <w:rPr>
                <w:rFonts w:eastAsia="宋体" w:cs="Times New Roman"/>
                <w:sz w:val="18"/>
                <w:szCs w:val="18"/>
              </w:rPr>
              <w:t>131,103,165.37</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107,741,938.62</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运营服务费</w:t>
            </w:r>
          </w:p>
        </w:tc>
        <w:tc>
          <w:tcPr>
            <w:tcW w:w="1070" w:type="pct"/>
            <w:vAlign w:val="center"/>
          </w:tcPr>
          <w:p w:rsidR="006779EA" w:rsidRPr="001E7C0F" w:rsidRDefault="007F1E97" w:rsidP="006779EA">
            <w:pPr>
              <w:ind w:right="102"/>
              <w:jc w:val="right"/>
              <w:rPr>
                <w:rFonts w:eastAsia="宋体" w:cs="Times New Roman"/>
                <w:sz w:val="18"/>
                <w:szCs w:val="18"/>
              </w:rPr>
            </w:pPr>
            <w:r w:rsidRPr="001E7C0F">
              <w:rPr>
                <w:rFonts w:eastAsia="宋体" w:cs="Times New Roman"/>
                <w:sz w:val="18"/>
                <w:szCs w:val="18"/>
              </w:rPr>
              <w:t>46,379,885.18</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33,447,231.43</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办公及差旅费</w:t>
            </w:r>
          </w:p>
        </w:tc>
        <w:tc>
          <w:tcPr>
            <w:tcW w:w="1070" w:type="pct"/>
            <w:vAlign w:val="center"/>
          </w:tcPr>
          <w:p w:rsidR="006779EA" w:rsidRPr="001E7C0F" w:rsidRDefault="007F1E97" w:rsidP="006779EA">
            <w:pPr>
              <w:ind w:right="102"/>
              <w:jc w:val="right"/>
              <w:rPr>
                <w:rFonts w:eastAsia="宋体" w:cs="Times New Roman"/>
                <w:sz w:val="18"/>
                <w:szCs w:val="18"/>
              </w:rPr>
            </w:pPr>
            <w:r w:rsidRPr="001E7C0F">
              <w:rPr>
                <w:rFonts w:eastAsia="宋体" w:cs="Times New Roman"/>
                <w:sz w:val="18"/>
                <w:szCs w:val="18"/>
              </w:rPr>
              <w:t>45,677,239.58</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33,361,806.16</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折旧与摊销</w:t>
            </w:r>
          </w:p>
        </w:tc>
        <w:tc>
          <w:tcPr>
            <w:tcW w:w="1070" w:type="pct"/>
            <w:vAlign w:val="center"/>
          </w:tcPr>
          <w:p w:rsidR="006779EA" w:rsidRPr="001E7C0F" w:rsidRDefault="007F1E97" w:rsidP="006779EA">
            <w:pPr>
              <w:ind w:right="102"/>
              <w:jc w:val="right"/>
              <w:rPr>
                <w:rFonts w:eastAsia="宋体" w:cs="Times New Roman"/>
                <w:sz w:val="18"/>
                <w:szCs w:val="18"/>
              </w:rPr>
            </w:pPr>
            <w:r w:rsidRPr="001E7C0F">
              <w:rPr>
                <w:rFonts w:eastAsia="宋体" w:cs="Times New Roman"/>
                <w:sz w:val="18"/>
                <w:szCs w:val="18"/>
              </w:rPr>
              <w:t>10,702,477.10</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9,440,101.43</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运输、交通、车辆杂费</w:t>
            </w:r>
          </w:p>
        </w:tc>
        <w:tc>
          <w:tcPr>
            <w:tcW w:w="1070" w:type="pct"/>
            <w:vAlign w:val="center"/>
          </w:tcPr>
          <w:p w:rsidR="006779EA" w:rsidRPr="001E7C0F" w:rsidRDefault="007F1E97" w:rsidP="006779EA">
            <w:pPr>
              <w:ind w:right="102"/>
              <w:jc w:val="right"/>
              <w:rPr>
                <w:rFonts w:eastAsia="宋体" w:cs="Times New Roman"/>
                <w:sz w:val="18"/>
                <w:szCs w:val="18"/>
              </w:rPr>
            </w:pPr>
            <w:r w:rsidRPr="001E7C0F">
              <w:rPr>
                <w:rFonts w:eastAsia="宋体" w:cs="Times New Roman"/>
                <w:sz w:val="18"/>
                <w:szCs w:val="18"/>
              </w:rPr>
              <w:t>5,111,022.41</w:t>
            </w:r>
          </w:p>
        </w:tc>
        <w:tc>
          <w:tcPr>
            <w:tcW w:w="1070" w:type="pct"/>
            <w:vAlign w:val="center"/>
          </w:tcPr>
          <w:p w:rsidR="006779EA" w:rsidRPr="001E7C0F" w:rsidRDefault="00CE0CC4" w:rsidP="006779EA">
            <w:pPr>
              <w:ind w:right="102"/>
              <w:jc w:val="right"/>
              <w:rPr>
                <w:rFonts w:eastAsia="宋体" w:cs="Times New Roman"/>
                <w:sz w:val="18"/>
                <w:szCs w:val="18"/>
              </w:rPr>
            </w:pPr>
            <w:r w:rsidRPr="001E7C0F">
              <w:rPr>
                <w:rFonts w:eastAsia="宋体" w:cs="Times New Roman"/>
                <w:sz w:val="18"/>
                <w:szCs w:val="18"/>
              </w:rPr>
              <w:t xml:space="preserve">4,634,581.59 </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租赁费</w:t>
            </w:r>
          </w:p>
        </w:tc>
        <w:tc>
          <w:tcPr>
            <w:tcW w:w="1070" w:type="pct"/>
            <w:vAlign w:val="center"/>
          </w:tcPr>
          <w:p w:rsidR="006779EA" w:rsidRPr="001E7C0F" w:rsidRDefault="007F1E97" w:rsidP="006779EA">
            <w:pPr>
              <w:ind w:right="102"/>
              <w:jc w:val="right"/>
              <w:rPr>
                <w:rFonts w:eastAsia="宋体" w:cs="Times New Roman"/>
                <w:sz w:val="18"/>
                <w:szCs w:val="18"/>
              </w:rPr>
            </w:pPr>
            <w:r w:rsidRPr="001E7C0F">
              <w:rPr>
                <w:rFonts w:eastAsia="宋体" w:cs="Times New Roman"/>
                <w:sz w:val="18"/>
                <w:szCs w:val="18"/>
              </w:rPr>
              <w:t>4,439,636.50</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4,653,364.17</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业务招待费</w:t>
            </w:r>
          </w:p>
        </w:tc>
        <w:tc>
          <w:tcPr>
            <w:tcW w:w="1070" w:type="pct"/>
            <w:vAlign w:val="center"/>
          </w:tcPr>
          <w:p w:rsidR="006779EA" w:rsidRPr="001E7C0F" w:rsidRDefault="007F1E97" w:rsidP="006779EA">
            <w:pPr>
              <w:ind w:right="102"/>
              <w:jc w:val="right"/>
              <w:rPr>
                <w:rFonts w:eastAsia="宋体" w:cs="Times New Roman"/>
                <w:sz w:val="18"/>
                <w:szCs w:val="18"/>
              </w:rPr>
            </w:pPr>
            <w:r w:rsidRPr="001E7C0F">
              <w:rPr>
                <w:rFonts w:eastAsia="宋体" w:cs="Times New Roman"/>
                <w:sz w:val="18"/>
                <w:szCs w:val="18"/>
              </w:rPr>
              <w:t>5,365,574.85</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4,043,677.63</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rPr>
                <w:rFonts w:eastAsia="宋体" w:cs="Times New Roman"/>
                <w:sz w:val="18"/>
                <w:szCs w:val="18"/>
              </w:rPr>
            </w:pPr>
            <w:r w:rsidRPr="001E7C0F">
              <w:rPr>
                <w:rFonts w:eastAsia="宋体" w:cs="Times New Roman" w:hint="eastAsia"/>
                <w:sz w:val="18"/>
                <w:szCs w:val="18"/>
              </w:rPr>
              <w:t>中介费</w:t>
            </w:r>
          </w:p>
        </w:tc>
        <w:tc>
          <w:tcPr>
            <w:tcW w:w="1070" w:type="pct"/>
            <w:vAlign w:val="center"/>
          </w:tcPr>
          <w:p w:rsidR="006779EA" w:rsidRPr="001E7C0F" w:rsidRDefault="007F1E97" w:rsidP="006779EA">
            <w:pPr>
              <w:ind w:right="102"/>
              <w:jc w:val="right"/>
              <w:rPr>
                <w:rFonts w:eastAsia="宋体" w:cs="Times New Roman"/>
                <w:sz w:val="18"/>
                <w:szCs w:val="18"/>
              </w:rPr>
            </w:pPr>
            <w:r w:rsidRPr="001E7C0F">
              <w:rPr>
                <w:rFonts w:eastAsia="宋体" w:cs="Times New Roman"/>
                <w:sz w:val="18"/>
                <w:szCs w:val="18"/>
              </w:rPr>
              <w:t>4,574,485.86</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926,189.86</w:t>
            </w:r>
          </w:p>
        </w:tc>
      </w:tr>
      <w:tr w:rsidR="009B67EF"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9B67EF" w:rsidRPr="001E7C0F" w:rsidRDefault="009B67EF" w:rsidP="006779EA">
            <w:pPr>
              <w:jc w:val="both"/>
              <w:rPr>
                <w:rFonts w:eastAsia="宋体" w:cs="Times New Roman"/>
                <w:sz w:val="18"/>
                <w:szCs w:val="18"/>
              </w:rPr>
            </w:pPr>
            <w:r w:rsidRPr="001E7C0F">
              <w:rPr>
                <w:rFonts w:eastAsia="宋体" w:cs="Times New Roman" w:hint="eastAsia"/>
                <w:sz w:val="18"/>
                <w:szCs w:val="18"/>
              </w:rPr>
              <w:t>保险费</w:t>
            </w:r>
          </w:p>
        </w:tc>
        <w:tc>
          <w:tcPr>
            <w:tcW w:w="1070" w:type="pct"/>
            <w:vAlign w:val="center"/>
          </w:tcPr>
          <w:p w:rsidR="009B67EF" w:rsidRPr="001E7C0F" w:rsidRDefault="009B67EF" w:rsidP="006779EA">
            <w:pPr>
              <w:ind w:right="102"/>
              <w:jc w:val="right"/>
              <w:rPr>
                <w:rFonts w:eastAsia="宋体" w:cs="Times New Roman"/>
                <w:sz w:val="18"/>
                <w:szCs w:val="18"/>
              </w:rPr>
            </w:pPr>
            <w:r w:rsidRPr="001E7C0F">
              <w:rPr>
                <w:rFonts w:eastAsia="宋体" w:cs="Times New Roman"/>
                <w:sz w:val="18"/>
                <w:szCs w:val="18"/>
              </w:rPr>
              <w:t>3,437,451.21</w:t>
            </w:r>
          </w:p>
        </w:tc>
        <w:tc>
          <w:tcPr>
            <w:tcW w:w="1070" w:type="pct"/>
            <w:vAlign w:val="center"/>
          </w:tcPr>
          <w:p w:rsidR="009B67EF" w:rsidRPr="001E7C0F" w:rsidRDefault="00CE0CC4" w:rsidP="006779EA">
            <w:pPr>
              <w:ind w:right="102"/>
              <w:jc w:val="right"/>
              <w:rPr>
                <w:rFonts w:eastAsia="宋体" w:cs="Times New Roman"/>
                <w:sz w:val="18"/>
                <w:szCs w:val="18"/>
              </w:rPr>
            </w:pPr>
            <w:r w:rsidRPr="001E7C0F">
              <w:rPr>
                <w:rFonts w:eastAsia="宋体" w:cs="Times New Roman"/>
                <w:sz w:val="18"/>
                <w:szCs w:val="18"/>
              </w:rPr>
              <w:t>3,241,457.06</w:t>
            </w:r>
            <w:r w:rsidR="008E6ECD" w:rsidRPr="001E7C0F">
              <w:rPr>
                <w:rFonts w:eastAsia="宋体" w:cs="Times New Roman"/>
                <w:sz w:val="18"/>
                <w:szCs w:val="18"/>
              </w:rPr>
              <w:t> </w:t>
            </w:r>
          </w:p>
        </w:tc>
      </w:tr>
      <w:tr w:rsidR="006779EA" w:rsidRPr="001E7C0F"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1E7C0F" w:rsidRDefault="006779EA" w:rsidP="006779EA">
            <w:pPr>
              <w:jc w:val="both"/>
              <w:rPr>
                <w:rFonts w:eastAsia="宋体" w:cs="Times New Roman"/>
                <w:sz w:val="18"/>
                <w:szCs w:val="18"/>
              </w:rPr>
            </w:pPr>
            <w:r w:rsidRPr="001E7C0F">
              <w:rPr>
                <w:rFonts w:eastAsia="宋体" w:cs="Times New Roman" w:hint="eastAsia"/>
                <w:sz w:val="18"/>
                <w:szCs w:val="18"/>
              </w:rPr>
              <w:t>其他</w:t>
            </w:r>
          </w:p>
        </w:tc>
        <w:tc>
          <w:tcPr>
            <w:tcW w:w="1070" w:type="pct"/>
            <w:vAlign w:val="center"/>
          </w:tcPr>
          <w:p w:rsidR="006779EA" w:rsidRPr="001E7C0F" w:rsidRDefault="009B67EF" w:rsidP="006779EA">
            <w:pPr>
              <w:ind w:right="102"/>
              <w:jc w:val="right"/>
              <w:rPr>
                <w:rFonts w:eastAsia="宋体" w:cs="Times New Roman"/>
                <w:sz w:val="18"/>
                <w:szCs w:val="18"/>
              </w:rPr>
            </w:pPr>
            <w:r w:rsidRPr="001E7C0F">
              <w:rPr>
                <w:rFonts w:eastAsia="宋体" w:cs="Times New Roman"/>
                <w:sz w:val="18"/>
                <w:szCs w:val="18"/>
              </w:rPr>
              <w:t>11,079,323.52</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7,650,276.86</w:t>
            </w:r>
          </w:p>
        </w:tc>
      </w:tr>
      <w:tr w:rsidR="006779EA" w:rsidRPr="001E7C0F"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6779EA" w:rsidRPr="001E7C0F" w:rsidRDefault="006779EA" w:rsidP="006779EA">
            <w:pPr>
              <w:rPr>
                <w:rFonts w:eastAsia="宋体" w:cs="Times New Roman"/>
                <w:sz w:val="18"/>
                <w:szCs w:val="18"/>
              </w:rPr>
            </w:pPr>
            <w:r w:rsidRPr="001E7C0F">
              <w:rPr>
                <w:rFonts w:eastAsia="宋体" w:cs="Times New Roman" w:hint="eastAsia"/>
                <w:bCs/>
                <w:sz w:val="18"/>
                <w:szCs w:val="18"/>
              </w:rPr>
              <w:t>合计</w:t>
            </w:r>
          </w:p>
        </w:tc>
        <w:tc>
          <w:tcPr>
            <w:tcW w:w="1070" w:type="pct"/>
            <w:vAlign w:val="center"/>
          </w:tcPr>
          <w:p w:rsidR="006779EA" w:rsidRPr="001E7C0F" w:rsidRDefault="00AF39F1" w:rsidP="006779EA">
            <w:pPr>
              <w:ind w:right="102"/>
              <w:jc w:val="right"/>
              <w:rPr>
                <w:rFonts w:eastAsia="宋体" w:cs="Times New Roman"/>
                <w:sz w:val="18"/>
                <w:szCs w:val="18"/>
              </w:rPr>
            </w:pPr>
            <w:r w:rsidRPr="001E7C0F">
              <w:rPr>
                <w:rFonts w:eastAsia="宋体" w:cs="Times New Roman"/>
                <w:sz w:val="18"/>
                <w:szCs w:val="18"/>
              </w:rPr>
              <w:t>696,727,995.89</w:t>
            </w:r>
          </w:p>
        </w:tc>
        <w:tc>
          <w:tcPr>
            <w:tcW w:w="1070" w:type="pct"/>
            <w:vAlign w:val="center"/>
          </w:tcPr>
          <w:p w:rsidR="006779EA" w:rsidRPr="001E7C0F" w:rsidRDefault="006779EA" w:rsidP="006779EA">
            <w:pPr>
              <w:ind w:right="102"/>
              <w:jc w:val="right"/>
              <w:rPr>
                <w:rFonts w:eastAsia="宋体" w:cs="Times New Roman"/>
                <w:sz w:val="18"/>
                <w:szCs w:val="18"/>
              </w:rPr>
            </w:pPr>
            <w:r w:rsidRPr="001E7C0F">
              <w:rPr>
                <w:rFonts w:eastAsia="宋体" w:cs="Times New Roman"/>
                <w:sz w:val="18"/>
                <w:szCs w:val="18"/>
              </w:rPr>
              <w:t>542,554,728.48</w:t>
            </w:r>
          </w:p>
        </w:tc>
      </w:tr>
    </w:tbl>
    <w:p w:rsidR="00E5524A" w:rsidRDefault="00E5524A">
      <w:pPr>
        <w:ind w:left="720"/>
        <w:jc w:val="both"/>
        <w:rPr>
          <w:rFonts w:eastAsia="宋体" w:cs="Times New Roman"/>
          <w:szCs w:val="21"/>
        </w:rPr>
      </w:pPr>
    </w:p>
    <w:p w:rsidR="00E5524A" w:rsidRDefault="00E5524A">
      <w:pPr>
        <w:adjustRightInd/>
        <w:snapToGrid/>
        <w:rPr>
          <w:rFonts w:eastAsia="宋体" w:cs="Times New Roman"/>
          <w:szCs w:val="21"/>
        </w:rPr>
      </w:pPr>
      <w:r>
        <w:rPr>
          <w:rFonts w:eastAsia="宋体" w:cs="Times New Roman"/>
          <w:szCs w:val="21"/>
        </w:rPr>
        <w:br w:type="page"/>
      </w:r>
    </w:p>
    <w:p w:rsidR="00E5524A" w:rsidRPr="00F66363" w:rsidRDefault="005F14EE" w:rsidP="00E5524A">
      <w:pPr>
        <w:rPr>
          <w:rFonts w:eastAsia="宋体" w:cs="Times New Roman"/>
        </w:rPr>
      </w:pPr>
      <w:r>
        <w:rPr>
          <w:rFonts w:eastAsia="宋体" w:cs="Times New Roman"/>
          <w:b/>
          <w:szCs w:val="21"/>
        </w:rPr>
        <w:t>(</w:t>
      </w:r>
      <w:r w:rsidR="00E5524A" w:rsidRPr="00F66363">
        <w:rPr>
          <w:rFonts w:eastAsia="宋体" w:cs="Times New Roman" w:hint="eastAsia"/>
          <w:b/>
          <w:szCs w:val="21"/>
        </w:rPr>
        <w:t>五</w:t>
      </w:r>
      <w:r>
        <w:rPr>
          <w:rFonts w:eastAsia="宋体" w:cs="Times New Roman"/>
          <w:b/>
          <w:szCs w:val="21"/>
        </w:rPr>
        <w:t>)</w:t>
      </w:r>
      <w:r w:rsidR="00E5524A" w:rsidRPr="00F66363">
        <w:rPr>
          <w:rFonts w:eastAsia="宋体" w:cs="Times New Roman"/>
          <w:b/>
          <w:szCs w:val="21"/>
        </w:rPr>
        <w:tab/>
      </w:r>
      <w:r w:rsidR="00E5524A" w:rsidRPr="00F66363">
        <w:rPr>
          <w:rFonts w:eastAsia="宋体" w:cs="Times New Roman" w:hint="eastAsia"/>
          <w:b/>
          <w:szCs w:val="21"/>
        </w:rPr>
        <w:t>合并财务报表项目注释</w:t>
      </w:r>
      <w:r w:rsidR="00E5524A" w:rsidRPr="00F66363">
        <w:rPr>
          <w:rFonts w:eastAsia="宋体" w:cs="Times New Roman"/>
          <w:bCs/>
          <w:szCs w:val="21"/>
        </w:rPr>
        <w:t xml:space="preserve"> </w:t>
      </w:r>
      <w:r w:rsidR="00E5524A" w:rsidRPr="00F66363">
        <w:rPr>
          <w:rFonts w:eastAsia="宋体" w:cs="Times New Roman"/>
          <w:szCs w:val="21"/>
        </w:rPr>
        <w:t xml:space="preserve">- </w:t>
      </w:r>
      <w:r w:rsidR="00E5524A" w:rsidRPr="00F66363">
        <w:rPr>
          <w:rFonts w:eastAsia="宋体" w:cs="Times New Roman" w:hint="eastAsia"/>
          <w:szCs w:val="21"/>
        </w:rPr>
        <w:t>续</w:t>
      </w:r>
    </w:p>
    <w:p w:rsidR="00321FDD" w:rsidRPr="00A71D2E" w:rsidRDefault="00321FDD">
      <w:pPr>
        <w:ind w:left="720"/>
        <w:jc w:val="both"/>
        <w:rPr>
          <w:rFonts w:eastAsia="宋体" w:cs="Times New Roman"/>
          <w:szCs w:val="21"/>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管理费用</w:t>
      </w:r>
    </w:p>
    <w:p w:rsidR="00321FDD" w:rsidRPr="00A71D2E" w:rsidRDefault="00321FDD">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8"/>
        <w:gridCol w:w="2023"/>
        <w:gridCol w:w="2023"/>
      </w:tblGrid>
      <w:tr w:rsidR="00EE0717" w:rsidRPr="00A71D2E" w:rsidTr="0027505B">
        <w:trPr>
          <w:trHeight w:val="20"/>
        </w:trPr>
        <w:tc>
          <w:tcPr>
            <w:tcW w:w="2859" w:type="pct"/>
            <w:shd w:val="clear" w:color="auto" w:fill="D9D9D9"/>
            <w:tcMar>
              <w:top w:w="0" w:type="dxa"/>
              <w:left w:w="108" w:type="dxa"/>
              <w:bottom w:w="0" w:type="dxa"/>
              <w:right w:w="108" w:type="dxa"/>
            </w:tcMar>
            <w:vAlign w:val="center"/>
            <w:hideMark/>
          </w:tcPr>
          <w:p w:rsidR="00EE0717" w:rsidRPr="00A71D2E" w:rsidRDefault="00EE0717">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vAlign w:val="center"/>
          </w:tcPr>
          <w:p w:rsidR="00EE0717" w:rsidRPr="00A71D2E" w:rsidRDefault="00EE0717">
            <w:pPr>
              <w:jc w:val="center"/>
              <w:rPr>
                <w:rFonts w:eastAsia="宋体" w:cs="Times New Roman"/>
                <w:sz w:val="18"/>
                <w:szCs w:val="18"/>
              </w:rPr>
            </w:pPr>
            <w:r w:rsidRPr="00A71D2E">
              <w:rPr>
                <w:rFonts w:eastAsia="宋体" w:cs="Times New Roman" w:hint="eastAsia"/>
                <w:sz w:val="18"/>
                <w:szCs w:val="18"/>
              </w:rPr>
              <w:t>本年发生额</w:t>
            </w:r>
          </w:p>
        </w:tc>
        <w:tc>
          <w:tcPr>
            <w:tcW w:w="1070" w:type="pct"/>
            <w:shd w:val="clear" w:color="auto" w:fill="D9D9D9"/>
            <w:vAlign w:val="center"/>
          </w:tcPr>
          <w:p w:rsidR="00EE0717" w:rsidRPr="00A71D2E" w:rsidRDefault="00EE0717">
            <w:pPr>
              <w:jc w:val="center"/>
              <w:rPr>
                <w:rFonts w:eastAsia="宋体" w:cs="Times New Roman"/>
                <w:sz w:val="18"/>
                <w:szCs w:val="18"/>
              </w:rPr>
            </w:pPr>
            <w:r w:rsidRPr="00A71D2E">
              <w:rPr>
                <w:rFonts w:eastAsia="宋体" w:cs="Times New Roman" w:hint="eastAsia"/>
                <w:sz w:val="18"/>
                <w:szCs w:val="18"/>
              </w:rPr>
              <w:t>上年发生额</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6779EA" w:rsidRPr="00A71D2E" w:rsidRDefault="006779EA" w:rsidP="006779EA">
            <w:pPr>
              <w:rPr>
                <w:rFonts w:eastAsia="宋体" w:cs="Times New Roman"/>
                <w:sz w:val="18"/>
                <w:szCs w:val="18"/>
              </w:rPr>
            </w:pPr>
            <w:r w:rsidRPr="00A71D2E">
              <w:rPr>
                <w:rFonts w:eastAsia="宋体" w:cs="Times New Roman" w:hint="eastAsia"/>
                <w:sz w:val="18"/>
                <w:szCs w:val="18"/>
              </w:rPr>
              <w:t>职工薪酬</w:t>
            </w:r>
          </w:p>
        </w:tc>
        <w:tc>
          <w:tcPr>
            <w:tcW w:w="1070" w:type="pct"/>
            <w:vAlign w:val="center"/>
          </w:tcPr>
          <w:p w:rsidR="006779EA" w:rsidRPr="00A71D2E" w:rsidRDefault="0013578D" w:rsidP="006779EA">
            <w:pPr>
              <w:ind w:right="90"/>
              <w:jc w:val="right"/>
              <w:rPr>
                <w:rFonts w:eastAsia="宋体" w:cs="Times New Roman"/>
                <w:sz w:val="18"/>
                <w:szCs w:val="18"/>
              </w:rPr>
            </w:pPr>
            <w:r w:rsidRPr="0013578D">
              <w:rPr>
                <w:rFonts w:eastAsia="宋体" w:cs="Times New Roman"/>
                <w:sz w:val="18"/>
                <w:szCs w:val="18"/>
              </w:rPr>
              <w:t>109,639,457.61</w:t>
            </w:r>
          </w:p>
        </w:tc>
        <w:tc>
          <w:tcPr>
            <w:tcW w:w="1070" w:type="pct"/>
            <w:vAlign w:val="center"/>
          </w:tcPr>
          <w:p w:rsidR="006779EA" w:rsidRPr="00A71D2E" w:rsidRDefault="0013578D" w:rsidP="006779EA">
            <w:pPr>
              <w:ind w:right="90"/>
              <w:jc w:val="right"/>
              <w:rPr>
                <w:rFonts w:eastAsia="宋体" w:cs="Times New Roman"/>
                <w:sz w:val="18"/>
                <w:szCs w:val="18"/>
              </w:rPr>
            </w:pPr>
            <w:r w:rsidRPr="0013578D">
              <w:rPr>
                <w:rFonts w:eastAsia="宋体" w:cs="Times New Roman"/>
                <w:sz w:val="18"/>
                <w:szCs w:val="18"/>
              </w:rPr>
              <w:t>110,168,948.31</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办公及差旅费</w:t>
            </w:r>
          </w:p>
        </w:tc>
        <w:tc>
          <w:tcPr>
            <w:tcW w:w="1070" w:type="pct"/>
            <w:vAlign w:val="center"/>
          </w:tcPr>
          <w:p w:rsidR="006779EA" w:rsidRPr="00A71D2E" w:rsidRDefault="007F1E97" w:rsidP="006779EA">
            <w:pPr>
              <w:ind w:right="90"/>
              <w:jc w:val="right"/>
              <w:rPr>
                <w:rFonts w:eastAsia="宋体" w:cs="Times New Roman"/>
                <w:sz w:val="18"/>
                <w:szCs w:val="18"/>
              </w:rPr>
            </w:pPr>
            <w:r w:rsidRPr="007F1E97">
              <w:rPr>
                <w:rFonts w:eastAsia="宋体" w:cs="Times New Roman"/>
                <w:sz w:val="18"/>
                <w:szCs w:val="18"/>
              </w:rPr>
              <w:t>21,072,310.84</w:t>
            </w:r>
          </w:p>
        </w:tc>
        <w:tc>
          <w:tcPr>
            <w:tcW w:w="1070" w:type="pct"/>
            <w:vAlign w:val="center"/>
          </w:tcPr>
          <w:p w:rsidR="006779EA" w:rsidRPr="00A71D2E" w:rsidRDefault="006779EA" w:rsidP="006779EA">
            <w:pPr>
              <w:ind w:right="90"/>
              <w:jc w:val="right"/>
              <w:rPr>
                <w:rFonts w:eastAsia="宋体" w:cs="Times New Roman"/>
                <w:sz w:val="18"/>
                <w:szCs w:val="18"/>
              </w:rPr>
            </w:pPr>
            <w:r w:rsidRPr="005173AC">
              <w:rPr>
                <w:rFonts w:eastAsia="宋体" w:cs="Times New Roman"/>
                <w:sz w:val="18"/>
                <w:szCs w:val="18"/>
              </w:rPr>
              <w:t>11,546,238.33</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折旧与摊销</w:t>
            </w:r>
          </w:p>
        </w:tc>
        <w:tc>
          <w:tcPr>
            <w:tcW w:w="1070" w:type="pct"/>
            <w:vAlign w:val="center"/>
          </w:tcPr>
          <w:p w:rsidR="006779EA" w:rsidRPr="00A71D2E" w:rsidRDefault="007F1E97" w:rsidP="006779EA">
            <w:pPr>
              <w:ind w:right="90"/>
              <w:jc w:val="right"/>
              <w:rPr>
                <w:rFonts w:eastAsia="宋体" w:cs="Times New Roman"/>
                <w:sz w:val="18"/>
                <w:szCs w:val="18"/>
              </w:rPr>
            </w:pPr>
            <w:r w:rsidRPr="007F1E97">
              <w:rPr>
                <w:rFonts w:eastAsia="宋体" w:cs="Times New Roman"/>
                <w:sz w:val="18"/>
                <w:szCs w:val="18"/>
              </w:rPr>
              <w:t>6,096,404.44</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9,336,764.56</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中介费</w:t>
            </w:r>
          </w:p>
        </w:tc>
        <w:tc>
          <w:tcPr>
            <w:tcW w:w="1070" w:type="pct"/>
            <w:vAlign w:val="center"/>
          </w:tcPr>
          <w:p w:rsidR="006779EA" w:rsidRPr="00A71D2E" w:rsidRDefault="007F1E97" w:rsidP="006779EA">
            <w:pPr>
              <w:ind w:right="90"/>
              <w:jc w:val="right"/>
              <w:rPr>
                <w:rFonts w:eastAsia="宋体" w:cs="Times New Roman"/>
                <w:sz w:val="18"/>
                <w:szCs w:val="18"/>
              </w:rPr>
            </w:pPr>
            <w:r w:rsidRPr="007F1E97">
              <w:rPr>
                <w:rFonts w:eastAsia="宋体" w:cs="Times New Roman"/>
                <w:sz w:val="18"/>
                <w:szCs w:val="18"/>
              </w:rPr>
              <w:t>7,437,303.08</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5,630,009.08</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Pr>
                <w:rFonts w:eastAsia="宋体" w:cs="Times New Roman" w:hint="eastAsia"/>
                <w:sz w:val="18"/>
                <w:szCs w:val="18"/>
              </w:rPr>
              <w:t>残疾人保障金</w:t>
            </w:r>
          </w:p>
        </w:tc>
        <w:tc>
          <w:tcPr>
            <w:tcW w:w="1070" w:type="pct"/>
            <w:vAlign w:val="center"/>
          </w:tcPr>
          <w:p w:rsidR="006779EA" w:rsidRPr="00A71D2E" w:rsidRDefault="007F1E97" w:rsidP="006779EA">
            <w:pPr>
              <w:ind w:right="90"/>
              <w:jc w:val="right"/>
              <w:rPr>
                <w:rFonts w:eastAsia="宋体" w:cs="Times New Roman"/>
                <w:sz w:val="18"/>
                <w:szCs w:val="18"/>
              </w:rPr>
            </w:pPr>
            <w:r w:rsidRPr="007F1E97">
              <w:rPr>
                <w:rFonts w:eastAsia="宋体" w:cs="Times New Roman"/>
                <w:sz w:val="18"/>
                <w:szCs w:val="18"/>
              </w:rPr>
              <w:t>4,719,868.37</w:t>
            </w:r>
          </w:p>
        </w:tc>
        <w:tc>
          <w:tcPr>
            <w:tcW w:w="1070" w:type="pct"/>
            <w:vAlign w:val="center"/>
          </w:tcPr>
          <w:p w:rsidR="006779EA" w:rsidRPr="00A71D2E" w:rsidRDefault="006779EA" w:rsidP="006779EA">
            <w:pPr>
              <w:ind w:right="90"/>
              <w:jc w:val="right"/>
              <w:rPr>
                <w:rFonts w:eastAsia="宋体" w:cs="Times New Roman"/>
                <w:sz w:val="18"/>
                <w:szCs w:val="18"/>
              </w:rPr>
            </w:pPr>
            <w:r w:rsidRPr="000C7506">
              <w:rPr>
                <w:rFonts w:eastAsia="宋体" w:cs="Times New Roman"/>
                <w:sz w:val="18"/>
                <w:szCs w:val="18"/>
              </w:rPr>
              <w:t>3,911,505.04</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运杂费</w:t>
            </w:r>
          </w:p>
        </w:tc>
        <w:tc>
          <w:tcPr>
            <w:tcW w:w="1070" w:type="pct"/>
            <w:vAlign w:val="center"/>
          </w:tcPr>
          <w:p w:rsidR="006779EA" w:rsidRPr="00A71D2E" w:rsidRDefault="007F1E97" w:rsidP="006779EA">
            <w:pPr>
              <w:ind w:right="90"/>
              <w:jc w:val="right"/>
              <w:rPr>
                <w:rFonts w:eastAsia="宋体" w:cs="Times New Roman"/>
                <w:sz w:val="18"/>
                <w:szCs w:val="18"/>
              </w:rPr>
            </w:pPr>
            <w:r w:rsidRPr="007F1E97">
              <w:rPr>
                <w:rFonts w:eastAsia="宋体" w:cs="Times New Roman"/>
                <w:sz w:val="18"/>
                <w:szCs w:val="18"/>
              </w:rPr>
              <w:t>3,541,865.63</w:t>
            </w:r>
          </w:p>
        </w:tc>
        <w:tc>
          <w:tcPr>
            <w:tcW w:w="1070" w:type="pct"/>
            <w:vAlign w:val="center"/>
          </w:tcPr>
          <w:p w:rsidR="006779EA" w:rsidRPr="00A71D2E" w:rsidRDefault="00CE0CC4" w:rsidP="006779EA">
            <w:pPr>
              <w:ind w:right="90"/>
              <w:jc w:val="right"/>
              <w:rPr>
                <w:rFonts w:eastAsia="宋体" w:cs="Times New Roman"/>
                <w:sz w:val="18"/>
                <w:szCs w:val="18"/>
              </w:rPr>
            </w:pPr>
            <w:r w:rsidRPr="00CE0CC4">
              <w:rPr>
                <w:rFonts w:eastAsia="宋体" w:cs="Times New Roman"/>
                <w:sz w:val="18"/>
                <w:szCs w:val="18"/>
              </w:rPr>
              <w:t xml:space="preserve">2,068,379.62 </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租赁费</w:t>
            </w:r>
          </w:p>
        </w:tc>
        <w:tc>
          <w:tcPr>
            <w:tcW w:w="1070" w:type="pct"/>
            <w:vAlign w:val="center"/>
          </w:tcPr>
          <w:p w:rsidR="006779EA" w:rsidRPr="00A71D2E" w:rsidRDefault="007F1E97" w:rsidP="006779EA">
            <w:pPr>
              <w:ind w:right="90"/>
              <w:jc w:val="right"/>
              <w:rPr>
                <w:rFonts w:eastAsia="宋体" w:cs="Times New Roman"/>
                <w:sz w:val="18"/>
                <w:szCs w:val="18"/>
              </w:rPr>
            </w:pPr>
            <w:r w:rsidRPr="007F1E97">
              <w:rPr>
                <w:rFonts w:eastAsia="宋体" w:cs="Times New Roman"/>
                <w:sz w:val="18"/>
                <w:szCs w:val="18"/>
              </w:rPr>
              <w:t>1,452,355.40</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646,945.69</w:t>
            </w:r>
          </w:p>
        </w:tc>
      </w:tr>
      <w:tr w:rsidR="009B67EF"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9B67EF" w:rsidRPr="00A71D2E" w:rsidRDefault="009B67EF" w:rsidP="006779EA">
            <w:pPr>
              <w:rPr>
                <w:rFonts w:eastAsia="宋体" w:cs="Times New Roman"/>
                <w:sz w:val="18"/>
                <w:szCs w:val="18"/>
              </w:rPr>
            </w:pPr>
            <w:r>
              <w:rPr>
                <w:rFonts w:eastAsia="宋体" w:cs="Times New Roman" w:hint="eastAsia"/>
                <w:sz w:val="18"/>
                <w:szCs w:val="18"/>
              </w:rPr>
              <w:t>保险费</w:t>
            </w:r>
          </w:p>
        </w:tc>
        <w:tc>
          <w:tcPr>
            <w:tcW w:w="1070" w:type="pct"/>
            <w:vAlign w:val="center"/>
          </w:tcPr>
          <w:p w:rsidR="009B67EF" w:rsidRPr="007F1E97" w:rsidRDefault="009B67EF" w:rsidP="006779EA">
            <w:pPr>
              <w:ind w:right="90"/>
              <w:jc w:val="right"/>
              <w:rPr>
                <w:rFonts w:eastAsia="宋体" w:cs="Times New Roman"/>
                <w:sz w:val="18"/>
                <w:szCs w:val="18"/>
              </w:rPr>
            </w:pPr>
            <w:r w:rsidRPr="009B67EF">
              <w:rPr>
                <w:rFonts w:eastAsia="宋体" w:cs="Times New Roman"/>
                <w:sz w:val="18"/>
                <w:szCs w:val="18"/>
              </w:rPr>
              <w:t>403,879.19</w:t>
            </w:r>
          </w:p>
        </w:tc>
        <w:tc>
          <w:tcPr>
            <w:tcW w:w="1070" w:type="pct"/>
            <w:vAlign w:val="center"/>
          </w:tcPr>
          <w:p w:rsidR="009B67EF" w:rsidRPr="00A71D2E" w:rsidRDefault="00CE0CC4" w:rsidP="006779EA">
            <w:pPr>
              <w:ind w:right="90"/>
              <w:jc w:val="right"/>
              <w:rPr>
                <w:rFonts w:eastAsia="宋体" w:cs="Times New Roman"/>
                <w:sz w:val="18"/>
                <w:szCs w:val="18"/>
              </w:rPr>
            </w:pPr>
            <w:r w:rsidRPr="00CE0CC4">
              <w:rPr>
                <w:rFonts w:eastAsia="宋体" w:cs="Times New Roman"/>
                <w:sz w:val="18"/>
                <w:szCs w:val="18"/>
              </w:rPr>
              <w:t xml:space="preserve">830,627.33 </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其他</w:t>
            </w:r>
          </w:p>
        </w:tc>
        <w:tc>
          <w:tcPr>
            <w:tcW w:w="1070" w:type="pct"/>
            <w:vAlign w:val="center"/>
          </w:tcPr>
          <w:p w:rsidR="006779EA" w:rsidRPr="00A71D2E" w:rsidRDefault="009B67EF" w:rsidP="006779EA">
            <w:pPr>
              <w:ind w:right="90"/>
              <w:jc w:val="right"/>
              <w:rPr>
                <w:rFonts w:eastAsia="宋体" w:cs="Times New Roman"/>
                <w:sz w:val="18"/>
                <w:szCs w:val="18"/>
              </w:rPr>
            </w:pPr>
            <w:r w:rsidRPr="009B67EF">
              <w:rPr>
                <w:rFonts w:eastAsia="宋体" w:cs="Times New Roman"/>
                <w:sz w:val="18"/>
                <w:szCs w:val="18"/>
              </w:rPr>
              <w:t>6,598,209.47</w:t>
            </w:r>
          </w:p>
        </w:tc>
        <w:tc>
          <w:tcPr>
            <w:tcW w:w="1070" w:type="pct"/>
            <w:vAlign w:val="center"/>
          </w:tcPr>
          <w:p w:rsidR="006779EA" w:rsidRPr="00A71D2E" w:rsidRDefault="006779EA" w:rsidP="006779EA">
            <w:pPr>
              <w:ind w:right="90"/>
              <w:jc w:val="right"/>
              <w:rPr>
                <w:rFonts w:eastAsia="宋体" w:cs="Times New Roman"/>
                <w:sz w:val="18"/>
                <w:szCs w:val="18"/>
              </w:rPr>
            </w:pPr>
            <w:r w:rsidRPr="000C7506">
              <w:rPr>
                <w:rFonts w:eastAsia="宋体" w:cs="Times New Roman"/>
                <w:sz w:val="18"/>
                <w:szCs w:val="18"/>
              </w:rPr>
              <w:t>3,064,563.09</w:t>
            </w:r>
          </w:p>
        </w:tc>
      </w:tr>
      <w:tr w:rsidR="006779EA"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6779EA" w:rsidRPr="00A71D2E" w:rsidRDefault="006779EA" w:rsidP="006779EA">
            <w:pPr>
              <w:rPr>
                <w:rFonts w:eastAsia="宋体" w:cs="Times New Roman"/>
                <w:sz w:val="18"/>
                <w:szCs w:val="18"/>
              </w:rPr>
            </w:pPr>
            <w:r w:rsidRPr="00A71D2E">
              <w:rPr>
                <w:rFonts w:eastAsia="宋体" w:cs="Times New Roman" w:hint="eastAsia"/>
                <w:bCs/>
                <w:sz w:val="18"/>
                <w:szCs w:val="18"/>
              </w:rPr>
              <w:t>合计</w:t>
            </w:r>
          </w:p>
        </w:tc>
        <w:tc>
          <w:tcPr>
            <w:tcW w:w="1070" w:type="pct"/>
            <w:vAlign w:val="center"/>
          </w:tcPr>
          <w:p w:rsidR="006779EA" w:rsidRPr="00A71D2E" w:rsidRDefault="007F1E97" w:rsidP="006779EA">
            <w:pPr>
              <w:ind w:right="90"/>
              <w:jc w:val="right"/>
              <w:rPr>
                <w:rFonts w:eastAsia="宋体" w:cs="Times New Roman"/>
                <w:sz w:val="18"/>
                <w:szCs w:val="18"/>
              </w:rPr>
            </w:pPr>
            <w:r w:rsidRPr="007F1E97">
              <w:rPr>
                <w:rFonts w:eastAsia="宋体" w:cs="Times New Roman"/>
                <w:sz w:val="18"/>
                <w:szCs w:val="18"/>
              </w:rPr>
              <w:t>160,961,654.03</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147,203,981.05</w:t>
            </w:r>
          </w:p>
        </w:tc>
      </w:tr>
    </w:tbl>
    <w:p w:rsidR="00EE0717" w:rsidRPr="00A71D2E" w:rsidRDefault="00EE0717">
      <w:pPr>
        <w:ind w:left="720"/>
        <w:jc w:val="both"/>
        <w:rPr>
          <w:rFonts w:eastAsia="宋体" w:cs="Times New Roman"/>
          <w:szCs w:val="21"/>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研发费用</w:t>
      </w:r>
    </w:p>
    <w:p w:rsidR="00321FDD" w:rsidRPr="00A71D2E" w:rsidRDefault="00321FDD">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8"/>
        <w:gridCol w:w="2023"/>
        <w:gridCol w:w="2023"/>
      </w:tblGrid>
      <w:tr w:rsidR="00EE0717" w:rsidRPr="00A71D2E" w:rsidTr="0027505B">
        <w:trPr>
          <w:trHeight w:val="20"/>
        </w:trPr>
        <w:tc>
          <w:tcPr>
            <w:tcW w:w="2859" w:type="pct"/>
            <w:shd w:val="clear" w:color="auto" w:fill="D9D9D9"/>
            <w:tcMar>
              <w:top w:w="0" w:type="dxa"/>
              <w:left w:w="108" w:type="dxa"/>
              <w:bottom w:w="0" w:type="dxa"/>
              <w:right w:w="108" w:type="dxa"/>
            </w:tcMar>
            <w:vAlign w:val="center"/>
            <w:hideMark/>
          </w:tcPr>
          <w:p w:rsidR="00EE0717" w:rsidRPr="00A71D2E" w:rsidRDefault="00EE0717">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vAlign w:val="center"/>
          </w:tcPr>
          <w:p w:rsidR="00EE0717" w:rsidRPr="00A71D2E" w:rsidRDefault="00EE0717">
            <w:pPr>
              <w:jc w:val="center"/>
              <w:rPr>
                <w:rFonts w:eastAsia="宋体" w:cs="Times New Roman"/>
                <w:sz w:val="18"/>
                <w:szCs w:val="18"/>
              </w:rPr>
            </w:pPr>
            <w:r w:rsidRPr="00A71D2E">
              <w:rPr>
                <w:rFonts w:eastAsia="宋体" w:cs="Times New Roman" w:hint="eastAsia"/>
                <w:sz w:val="18"/>
                <w:szCs w:val="18"/>
              </w:rPr>
              <w:t>本年发生额</w:t>
            </w:r>
          </w:p>
        </w:tc>
        <w:tc>
          <w:tcPr>
            <w:tcW w:w="1070" w:type="pct"/>
            <w:shd w:val="clear" w:color="auto" w:fill="D9D9D9"/>
            <w:vAlign w:val="center"/>
          </w:tcPr>
          <w:p w:rsidR="00EE0717" w:rsidRPr="00A71D2E" w:rsidRDefault="00EE0717">
            <w:pPr>
              <w:jc w:val="center"/>
              <w:rPr>
                <w:rFonts w:eastAsia="宋体" w:cs="Times New Roman"/>
                <w:sz w:val="18"/>
                <w:szCs w:val="18"/>
              </w:rPr>
            </w:pPr>
            <w:r w:rsidRPr="00A71D2E">
              <w:rPr>
                <w:rFonts w:eastAsia="宋体" w:cs="Times New Roman" w:hint="eastAsia"/>
                <w:sz w:val="18"/>
                <w:szCs w:val="18"/>
              </w:rPr>
              <w:t>上年发生额</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6779EA" w:rsidRPr="00A71D2E" w:rsidRDefault="006779EA" w:rsidP="006779EA">
            <w:pPr>
              <w:rPr>
                <w:rFonts w:eastAsia="宋体" w:cs="Times New Roman"/>
                <w:sz w:val="18"/>
                <w:szCs w:val="18"/>
              </w:rPr>
            </w:pPr>
            <w:r w:rsidRPr="00A71D2E">
              <w:rPr>
                <w:rFonts w:eastAsia="宋体" w:cs="Times New Roman" w:hint="eastAsia"/>
                <w:sz w:val="18"/>
                <w:szCs w:val="18"/>
              </w:rPr>
              <w:t>职工薪酬</w:t>
            </w:r>
          </w:p>
        </w:tc>
        <w:tc>
          <w:tcPr>
            <w:tcW w:w="1070" w:type="pct"/>
            <w:vAlign w:val="center"/>
          </w:tcPr>
          <w:p w:rsidR="006779EA" w:rsidRPr="00A71D2E" w:rsidRDefault="00164256" w:rsidP="006779EA">
            <w:pPr>
              <w:ind w:right="90"/>
              <w:jc w:val="right"/>
              <w:rPr>
                <w:rFonts w:eastAsia="宋体" w:cs="Times New Roman"/>
                <w:sz w:val="18"/>
                <w:szCs w:val="18"/>
              </w:rPr>
            </w:pPr>
            <w:r w:rsidRPr="00164256">
              <w:rPr>
                <w:rFonts w:eastAsia="宋体" w:cs="Times New Roman"/>
                <w:sz w:val="18"/>
                <w:szCs w:val="18"/>
              </w:rPr>
              <w:t>572,772,126.12</w:t>
            </w:r>
          </w:p>
        </w:tc>
        <w:tc>
          <w:tcPr>
            <w:tcW w:w="1070" w:type="pct"/>
            <w:vAlign w:val="center"/>
          </w:tcPr>
          <w:p w:rsidR="006779EA" w:rsidRPr="00A71D2E" w:rsidRDefault="00164256" w:rsidP="006779EA">
            <w:pPr>
              <w:ind w:right="90"/>
              <w:jc w:val="right"/>
              <w:rPr>
                <w:rFonts w:eastAsia="宋体" w:cs="Times New Roman"/>
                <w:sz w:val="18"/>
                <w:szCs w:val="18"/>
              </w:rPr>
            </w:pPr>
            <w:r w:rsidRPr="00164256">
              <w:rPr>
                <w:rFonts w:eastAsia="宋体" w:cs="Times New Roman"/>
                <w:sz w:val="18"/>
                <w:szCs w:val="18"/>
              </w:rPr>
              <w:t>485,739,421.86</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中间试验费</w:t>
            </w:r>
          </w:p>
        </w:tc>
        <w:tc>
          <w:tcPr>
            <w:tcW w:w="1070" w:type="pct"/>
            <w:vAlign w:val="center"/>
          </w:tcPr>
          <w:p w:rsidR="006779EA" w:rsidRPr="00A71D2E" w:rsidRDefault="00B41CAF" w:rsidP="006779EA">
            <w:pPr>
              <w:ind w:right="90"/>
              <w:jc w:val="right"/>
              <w:rPr>
                <w:rFonts w:eastAsia="宋体" w:cs="Times New Roman"/>
                <w:sz w:val="18"/>
                <w:szCs w:val="18"/>
              </w:rPr>
            </w:pPr>
            <w:r w:rsidRPr="00B41CAF">
              <w:rPr>
                <w:rFonts w:eastAsia="宋体" w:cs="Times New Roman"/>
                <w:sz w:val="18"/>
                <w:szCs w:val="18"/>
              </w:rPr>
              <w:t>46,313,836.77</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42,391,888.78</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耗材及服务费</w:t>
            </w:r>
          </w:p>
        </w:tc>
        <w:tc>
          <w:tcPr>
            <w:tcW w:w="1070" w:type="pct"/>
            <w:vAlign w:val="center"/>
          </w:tcPr>
          <w:p w:rsidR="006779EA" w:rsidRPr="00A71D2E" w:rsidRDefault="00164256" w:rsidP="006779EA">
            <w:pPr>
              <w:ind w:right="90"/>
              <w:jc w:val="right"/>
              <w:rPr>
                <w:rFonts w:eastAsia="宋体" w:cs="Times New Roman"/>
                <w:sz w:val="18"/>
                <w:szCs w:val="18"/>
              </w:rPr>
            </w:pPr>
            <w:r w:rsidRPr="00164256">
              <w:rPr>
                <w:rFonts w:eastAsia="宋体" w:cs="Times New Roman"/>
                <w:sz w:val="18"/>
                <w:szCs w:val="18"/>
              </w:rPr>
              <w:t>38,915,996.67</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34,331,881.07</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折旧与摊销</w:t>
            </w:r>
          </w:p>
        </w:tc>
        <w:tc>
          <w:tcPr>
            <w:tcW w:w="1070" w:type="pct"/>
            <w:vAlign w:val="center"/>
          </w:tcPr>
          <w:p w:rsidR="006779EA" w:rsidRPr="00A71D2E" w:rsidRDefault="00B41CAF" w:rsidP="006779EA">
            <w:pPr>
              <w:ind w:right="90"/>
              <w:jc w:val="right"/>
              <w:rPr>
                <w:rFonts w:eastAsia="宋体" w:cs="Times New Roman"/>
                <w:sz w:val="18"/>
                <w:szCs w:val="18"/>
              </w:rPr>
            </w:pPr>
            <w:r w:rsidRPr="00B41CAF">
              <w:rPr>
                <w:rFonts w:eastAsia="宋体" w:cs="Times New Roman"/>
                <w:sz w:val="18"/>
                <w:szCs w:val="18"/>
              </w:rPr>
              <w:t>18,958,217.86</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16,942,299.46</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办公及差旅费</w:t>
            </w:r>
          </w:p>
        </w:tc>
        <w:tc>
          <w:tcPr>
            <w:tcW w:w="1070" w:type="pct"/>
            <w:vAlign w:val="center"/>
          </w:tcPr>
          <w:p w:rsidR="006779EA" w:rsidRPr="00A71D2E" w:rsidRDefault="00B41CAF" w:rsidP="006779EA">
            <w:pPr>
              <w:ind w:right="90"/>
              <w:jc w:val="right"/>
              <w:rPr>
                <w:rFonts w:eastAsia="宋体" w:cs="Times New Roman"/>
                <w:sz w:val="18"/>
                <w:szCs w:val="18"/>
              </w:rPr>
            </w:pPr>
            <w:r w:rsidRPr="00B41CAF">
              <w:rPr>
                <w:rFonts w:eastAsia="宋体" w:cs="Times New Roman"/>
                <w:sz w:val="18"/>
                <w:szCs w:val="18"/>
              </w:rPr>
              <w:t>18,427,669.37</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14,677,524.72</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租赁费</w:t>
            </w:r>
          </w:p>
        </w:tc>
        <w:tc>
          <w:tcPr>
            <w:tcW w:w="1070" w:type="pct"/>
            <w:vAlign w:val="center"/>
          </w:tcPr>
          <w:p w:rsidR="006779EA" w:rsidRPr="00A71D2E" w:rsidRDefault="00B41CAF" w:rsidP="006779EA">
            <w:pPr>
              <w:ind w:right="90"/>
              <w:jc w:val="right"/>
              <w:rPr>
                <w:rFonts w:eastAsia="宋体" w:cs="Times New Roman"/>
                <w:sz w:val="18"/>
                <w:szCs w:val="18"/>
              </w:rPr>
            </w:pPr>
            <w:r w:rsidRPr="00B41CAF">
              <w:rPr>
                <w:rFonts w:eastAsia="宋体" w:cs="Times New Roman"/>
                <w:sz w:val="18"/>
                <w:szCs w:val="18"/>
              </w:rPr>
              <w:t>417,620.84</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371,162.77</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779EA" w:rsidRPr="00A71D2E" w:rsidRDefault="006779EA" w:rsidP="006779EA">
            <w:pPr>
              <w:rPr>
                <w:rFonts w:eastAsia="宋体" w:cs="Times New Roman"/>
                <w:sz w:val="18"/>
                <w:szCs w:val="18"/>
              </w:rPr>
            </w:pPr>
            <w:r w:rsidRPr="00A71D2E">
              <w:rPr>
                <w:rFonts w:eastAsia="宋体" w:cs="Times New Roman" w:hint="eastAsia"/>
                <w:sz w:val="18"/>
                <w:szCs w:val="18"/>
              </w:rPr>
              <w:t>新产品设计费</w:t>
            </w:r>
          </w:p>
        </w:tc>
        <w:tc>
          <w:tcPr>
            <w:tcW w:w="1070" w:type="pct"/>
            <w:vAlign w:val="center"/>
          </w:tcPr>
          <w:p w:rsidR="006779EA" w:rsidRPr="00A71D2E" w:rsidRDefault="00B41CAF" w:rsidP="006779EA">
            <w:pPr>
              <w:ind w:right="90"/>
              <w:jc w:val="right"/>
              <w:rPr>
                <w:rFonts w:eastAsia="宋体" w:cs="Times New Roman"/>
                <w:sz w:val="18"/>
                <w:szCs w:val="18"/>
              </w:rPr>
            </w:pPr>
            <w:r w:rsidRPr="00B41CAF">
              <w:rPr>
                <w:rFonts w:eastAsia="宋体" w:cs="Times New Roman"/>
                <w:sz w:val="18"/>
                <w:szCs w:val="18"/>
              </w:rPr>
              <w:t>24,159,325.92</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327,946.93</w:t>
            </w:r>
          </w:p>
        </w:tc>
      </w:tr>
      <w:tr w:rsidR="006779EA"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6779EA" w:rsidRPr="00A71D2E" w:rsidRDefault="006779EA" w:rsidP="006779EA">
            <w:pPr>
              <w:rPr>
                <w:rFonts w:eastAsia="宋体" w:cs="Times New Roman"/>
                <w:sz w:val="18"/>
                <w:szCs w:val="18"/>
              </w:rPr>
            </w:pPr>
            <w:r w:rsidRPr="00A71D2E">
              <w:rPr>
                <w:rFonts w:eastAsia="宋体" w:cs="Times New Roman" w:hint="eastAsia"/>
                <w:sz w:val="18"/>
                <w:szCs w:val="18"/>
              </w:rPr>
              <w:t>其他</w:t>
            </w:r>
          </w:p>
        </w:tc>
        <w:tc>
          <w:tcPr>
            <w:tcW w:w="1070" w:type="pct"/>
            <w:vAlign w:val="center"/>
          </w:tcPr>
          <w:p w:rsidR="006779EA" w:rsidRPr="00A71D2E" w:rsidRDefault="00164256" w:rsidP="006779EA">
            <w:pPr>
              <w:ind w:right="90"/>
              <w:jc w:val="right"/>
              <w:rPr>
                <w:rFonts w:eastAsia="宋体" w:cs="Times New Roman"/>
                <w:sz w:val="18"/>
                <w:szCs w:val="18"/>
              </w:rPr>
            </w:pPr>
            <w:r w:rsidRPr="00164256">
              <w:rPr>
                <w:rFonts w:eastAsia="宋体" w:cs="Times New Roman"/>
                <w:sz w:val="18"/>
                <w:szCs w:val="18"/>
              </w:rPr>
              <w:t>10,747,189.55</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8,192,079.87</w:t>
            </w:r>
          </w:p>
        </w:tc>
      </w:tr>
      <w:tr w:rsidR="006779EA"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6779EA" w:rsidRPr="00A71D2E" w:rsidRDefault="006779EA" w:rsidP="006779EA">
            <w:pPr>
              <w:rPr>
                <w:rFonts w:eastAsia="宋体" w:cs="Times New Roman"/>
                <w:sz w:val="18"/>
                <w:szCs w:val="18"/>
              </w:rPr>
            </w:pPr>
            <w:r w:rsidRPr="00A71D2E">
              <w:rPr>
                <w:rFonts w:eastAsia="宋体" w:cs="Times New Roman" w:hint="eastAsia"/>
                <w:sz w:val="18"/>
                <w:szCs w:val="18"/>
              </w:rPr>
              <w:t>合计</w:t>
            </w:r>
          </w:p>
        </w:tc>
        <w:tc>
          <w:tcPr>
            <w:tcW w:w="1070" w:type="pct"/>
            <w:vAlign w:val="center"/>
          </w:tcPr>
          <w:p w:rsidR="006779EA" w:rsidRPr="00A71D2E" w:rsidRDefault="00B41CAF" w:rsidP="006779EA">
            <w:pPr>
              <w:ind w:right="90"/>
              <w:jc w:val="right"/>
              <w:rPr>
                <w:rFonts w:eastAsia="宋体" w:cs="Times New Roman"/>
                <w:sz w:val="18"/>
                <w:szCs w:val="18"/>
              </w:rPr>
            </w:pPr>
            <w:r w:rsidRPr="00B41CAF">
              <w:rPr>
                <w:rFonts w:eastAsia="宋体" w:cs="Times New Roman"/>
                <w:sz w:val="18"/>
                <w:szCs w:val="18"/>
              </w:rPr>
              <w:t>730,711,983.10</w:t>
            </w:r>
          </w:p>
        </w:tc>
        <w:tc>
          <w:tcPr>
            <w:tcW w:w="1070" w:type="pct"/>
            <w:vAlign w:val="center"/>
          </w:tcPr>
          <w:p w:rsidR="006779EA" w:rsidRPr="00A71D2E" w:rsidRDefault="006779EA" w:rsidP="006779EA">
            <w:pPr>
              <w:ind w:right="90"/>
              <w:jc w:val="right"/>
              <w:rPr>
                <w:rFonts w:eastAsia="宋体" w:cs="Times New Roman"/>
                <w:sz w:val="18"/>
                <w:szCs w:val="18"/>
              </w:rPr>
            </w:pPr>
            <w:r w:rsidRPr="00A71D2E">
              <w:rPr>
                <w:rFonts w:eastAsia="宋体" w:cs="Times New Roman"/>
                <w:sz w:val="18"/>
                <w:szCs w:val="18"/>
              </w:rPr>
              <w:t>602,974,205.46</w:t>
            </w:r>
          </w:p>
        </w:tc>
      </w:tr>
    </w:tbl>
    <w:p w:rsidR="00F7148F" w:rsidRDefault="00F7148F">
      <w:pPr>
        <w:ind w:left="720"/>
        <w:jc w:val="both"/>
        <w:rPr>
          <w:rFonts w:eastAsia="宋体" w:cs="Times New Roman"/>
          <w:szCs w:val="21"/>
        </w:rPr>
      </w:pPr>
    </w:p>
    <w:p w:rsidR="00C229A6" w:rsidRPr="00C229A6" w:rsidRDefault="00C229A6" w:rsidP="00FE2C30">
      <w:pPr>
        <w:ind w:left="720"/>
        <w:rPr>
          <w:rFonts w:eastAsia="宋体" w:cs="Times New Roman"/>
          <w:szCs w:val="21"/>
        </w:rPr>
      </w:pPr>
      <w:r w:rsidRPr="00CF75D0">
        <w:rPr>
          <w:rFonts w:eastAsia="宋体" w:cs="Times New Roman"/>
          <w:szCs w:val="21"/>
        </w:rPr>
        <w:t>于</w:t>
      </w:r>
      <w:r w:rsidRPr="00CF75D0">
        <w:rPr>
          <w:rFonts w:eastAsia="宋体" w:cs="Times New Roman"/>
          <w:szCs w:val="21"/>
        </w:rPr>
        <w:t>2023</w:t>
      </w:r>
      <w:r w:rsidRPr="00CF75D0">
        <w:rPr>
          <w:rFonts w:eastAsia="宋体" w:cs="Times New Roman"/>
          <w:szCs w:val="21"/>
        </w:rPr>
        <w:t>年度</w:t>
      </w:r>
      <w:r>
        <w:rPr>
          <w:rFonts w:eastAsia="宋体" w:cs="Times New Roman" w:hint="eastAsia"/>
          <w:szCs w:val="21"/>
        </w:rPr>
        <w:t>及</w:t>
      </w:r>
      <w:r w:rsidRPr="00CF75D0">
        <w:rPr>
          <w:rFonts w:eastAsia="宋体" w:cs="Times New Roman"/>
          <w:szCs w:val="21"/>
        </w:rPr>
        <w:t>2022</w:t>
      </w:r>
      <w:r w:rsidRPr="00CF75D0">
        <w:rPr>
          <w:rFonts w:eastAsia="宋体" w:cs="Times New Roman"/>
          <w:szCs w:val="21"/>
        </w:rPr>
        <w:t>年度，</w:t>
      </w:r>
      <w:r w:rsidRPr="00C508D1">
        <w:rPr>
          <w:rFonts w:eastAsia="宋体" w:cs="Times New Roman" w:hint="eastAsia"/>
          <w:szCs w:val="21"/>
        </w:rPr>
        <w:t>本集团</w:t>
      </w:r>
      <w:r>
        <w:rPr>
          <w:rFonts w:eastAsia="宋体" w:cs="Times New Roman" w:hint="eastAsia"/>
          <w:szCs w:val="21"/>
        </w:rPr>
        <w:t>不存在</w:t>
      </w:r>
      <w:r w:rsidRPr="00C508D1">
        <w:rPr>
          <w:rFonts w:eastAsia="宋体" w:cs="Times New Roman" w:hint="eastAsia"/>
          <w:szCs w:val="21"/>
        </w:rPr>
        <w:t>研发支出</w:t>
      </w:r>
      <w:r>
        <w:rPr>
          <w:rFonts w:eastAsia="宋体" w:cs="Times New Roman" w:hint="eastAsia"/>
          <w:szCs w:val="21"/>
        </w:rPr>
        <w:t>资本化的情况，不存在重要的外购在</w:t>
      </w:r>
      <w:proofErr w:type="gramStart"/>
      <w:r>
        <w:rPr>
          <w:rFonts w:eastAsia="宋体" w:cs="Times New Roman" w:hint="eastAsia"/>
          <w:szCs w:val="21"/>
        </w:rPr>
        <w:t>研</w:t>
      </w:r>
      <w:proofErr w:type="gramEnd"/>
      <w:r>
        <w:rPr>
          <w:rFonts w:eastAsia="宋体" w:cs="Times New Roman" w:hint="eastAsia"/>
          <w:szCs w:val="21"/>
        </w:rPr>
        <w:t>项目</w:t>
      </w:r>
      <w:r w:rsidRPr="00C508D1">
        <w:rPr>
          <w:rFonts w:eastAsia="宋体" w:cs="Times New Roman" w:hint="eastAsia"/>
          <w:szCs w:val="21"/>
        </w:rPr>
        <w:t>。</w:t>
      </w:r>
    </w:p>
    <w:p w:rsidR="00D83A7C" w:rsidRPr="00F66363" w:rsidRDefault="00D83A7C">
      <w:pPr>
        <w:ind w:left="720"/>
        <w:jc w:val="both"/>
        <w:rPr>
          <w:rFonts w:eastAsia="宋体" w:cs="Times New Roman"/>
          <w:szCs w:val="21"/>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财务费用</w:t>
      </w:r>
    </w:p>
    <w:p w:rsidR="00321FDD" w:rsidRPr="00A71D2E" w:rsidRDefault="00321FDD">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8"/>
        <w:gridCol w:w="2023"/>
        <w:gridCol w:w="2023"/>
      </w:tblGrid>
      <w:tr w:rsidR="00EE0717"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EE0717" w:rsidRPr="00A71D2E" w:rsidRDefault="00EE0717">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themeFill="background1" w:themeFillShade="D9"/>
            <w:vAlign w:val="center"/>
          </w:tcPr>
          <w:p w:rsidR="00EE0717" w:rsidRPr="00A71D2E" w:rsidRDefault="00EE0717">
            <w:pPr>
              <w:jc w:val="center"/>
              <w:rPr>
                <w:rFonts w:eastAsia="宋体" w:cs="Times New Roman"/>
                <w:sz w:val="18"/>
                <w:szCs w:val="18"/>
              </w:rPr>
            </w:pPr>
            <w:r w:rsidRPr="00A71D2E">
              <w:rPr>
                <w:rFonts w:eastAsia="宋体" w:cs="Times New Roman" w:hint="eastAsia"/>
                <w:sz w:val="18"/>
                <w:szCs w:val="18"/>
              </w:rPr>
              <w:t>本年发生额</w:t>
            </w:r>
          </w:p>
        </w:tc>
        <w:tc>
          <w:tcPr>
            <w:tcW w:w="1070" w:type="pct"/>
            <w:shd w:val="clear" w:color="auto" w:fill="D9D9D9" w:themeFill="background1" w:themeFillShade="D9"/>
            <w:vAlign w:val="center"/>
          </w:tcPr>
          <w:p w:rsidR="00EE0717" w:rsidRPr="00A71D2E" w:rsidRDefault="00EE0717">
            <w:pPr>
              <w:jc w:val="center"/>
              <w:rPr>
                <w:rFonts w:eastAsia="宋体" w:cs="Times New Roman"/>
                <w:sz w:val="18"/>
                <w:szCs w:val="18"/>
              </w:rPr>
            </w:pPr>
            <w:r w:rsidRPr="00A71D2E">
              <w:rPr>
                <w:rFonts w:eastAsia="宋体" w:cs="Times New Roman" w:hint="eastAsia"/>
                <w:sz w:val="18"/>
                <w:szCs w:val="18"/>
              </w:rPr>
              <w:t>上年发生额</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利息支出</w:t>
            </w:r>
          </w:p>
        </w:tc>
        <w:tc>
          <w:tcPr>
            <w:tcW w:w="1070" w:type="pct"/>
            <w:vAlign w:val="center"/>
          </w:tcPr>
          <w:p w:rsidR="00FC3246" w:rsidRPr="00A71D2E" w:rsidRDefault="00696719" w:rsidP="00FC3246">
            <w:pPr>
              <w:ind w:right="117"/>
              <w:jc w:val="right"/>
              <w:rPr>
                <w:rFonts w:eastAsia="宋体" w:cs="Times New Roman"/>
                <w:sz w:val="18"/>
                <w:szCs w:val="18"/>
              </w:rPr>
            </w:pPr>
            <w:r w:rsidRPr="00696719">
              <w:rPr>
                <w:rFonts w:eastAsia="宋体" w:cs="Times New Roman"/>
                <w:sz w:val="18"/>
                <w:szCs w:val="18"/>
              </w:rPr>
              <w:t>13,778,374.03</w:t>
            </w:r>
          </w:p>
        </w:tc>
        <w:tc>
          <w:tcPr>
            <w:tcW w:w="1070" w:type="pct"/>
            <w:vAlign w:val="center"/>
          </w:tcPr>
          <w:p w:rsidR="00FC3246" w:rsidRPr="00A71D2E" w:rsidRDefault="00696719" w:rsidP="00FC3246">
            <w:pPr>
              <w:ind w:right="117"/>
              <w:jc w:val="right"/>
              <w:rPr>
                <w:rFonts w:eastAsia="宋体" w:cs="Times New Roman"/>
                <w:sz w:val="18"/>
                <w:szCs w:val="18"/>
              </w:rPr>
            </w:pPr>
            <w:r w:rsidRPr="00696719">
              <w:rPr>
                <w:rFonts w:eastAsia="宋体" w:cs="Times New Roman"/>
                <w:sz w:val="18"/>
                <w:szCs w:val="18"/>
              </w:rPr>
              <w:t>16,991,561.18</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sz w:val="18"/>
                <w:szCs w:val="18"/>
              </w:rPr>
              <w:t>    </w:t>
            </w:r>
            <w:r w:rsidRPr="00A71D2E">
              <w:rPr>
                <w:rFonts w:eastAsia="宋体" w:cs="Times New Roman" w:hint="eastAsia"/>
                <w:sz w:val="18"/>
                <w:szCs w:val="18"/>
              </w:rPr>
              <w:t>其中</w:t>
            </w:r>
            <w:r w:rsidR="005F14EE">
              <w:rPr>
                <w:rFonts w:eastAsia="宋体" w:cs="Times New Roman" w:hint="eastAsia"/>
                <w:sz w:val="18"/>
                <w:szCs w:val="18"/>
              </w:rPr>
              <w:t>：</w:t>
            </w:r>
            <w:r w:rsidRPr="00A71D2E">
              <w:rPr>
                <w:rFonts w:eastAsia="宋体" w:cs="Times New Roman" w:hint="eastAsia"/>
                <w:sz w:val="18"/>
                <w:szCs w:val="18"/>
              </w:rPr>
              <w:t>租赁负债利息支出</w:t>
            </w:r>
          </w:p>
        </w:tc>
        <w:tc>
          <w:tcPr>
            <w:tcW w:w="1070" w:type="pct"/>
            <w:vAlign w:val="center"/>
          </w:tcPr>
          <w:p w:rsidR="00FC3246" w:rsidRPr="00A71D2E" w:rsidRDefault="008C1B68" w:rsidP="00FC3246">
            <w:pPr>
              <w:ind w:right="117"/>
              <w:jc w:val="right"/>
              <w:rPr>
                <w:rFonts w:eastAsia="宋体" w:cs="Times New Roman"/>
                <w:sz w:val="18"/>
                <w:szCs w:val="18"/>
              </w:rPr>
            </w:pPr>
            <w:r w:rsidRPr="008C1B68">
              <w:rPr>
                <w:rFonts w:eastAsia="宋体" w:cs="Times New Roman"/>
                <w:sz w:val="18"/>
                <w:szCs w:val="18"/>
              </w:rPr>
              <w:t>1,803,359.18</w:t>
            </w:r>
          </w:p>
        </w:tc>
        <w:tc>
          <w:tcPr>
            <w:tcW w:w="1070" w:type="pct"/>
            <w:vAlign w:val="center"/>
          </w:tcPr>
          <w:p w:rsidR="00FC3246" w:rsidRPr="00A71D2E" w:rsidRDefault="00FC3246" w:rsidP="00FC3246">
            <w:pPr>
              <w:ind w:right="117"/>
              <w:jc w:val="right"/>
              <w:rPr>
                <w:rFonts w:eastAsia="宋体" w:cs="Times New Roman"/>
                <w:sz w:val="18"/>
                <w:szCs w:val="18"/>
              </w:rPr>
            </w:pPr>
            <w:r w:rsidRPr="00A71D2E">
              <w:rPr>
                <w:rFonts w:eastAsia="宋体" w:cs="Times New Roman"/>
                <w:sz w:val="18"/>
                <w:szCs w:val="18"/>
              </w:rPr>
              <w:t>2,396,851.46</w:t>
            </w:r>
          </w:p>
        </w:tc>
      </w:tr>
      <w:tr w:rsidR="00696719"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696719" w:rsidRPr="00A71D2E" w:rsidRDefault="00696719" w:rsidP="00FC3246">
            <w:pPr>
              <w:rPr>
                <w:rFonts w:eastAsia="宋体" w:cs="Times New Roman"/>
                <w:sz w:val="18"/>
                <w:szCs w:val="18"/>
              </w:rPr>
            </w:pPr>
            <w:r>
              <w:rPr>
                <w:rFonts w:eastAsia="宋体" w:cs="Times New Roman" w:hint="eastAsia"/>
                <w:sz w:val="18"/>
                <w:szCs w:val="18"/>
              </w:rPr>
              <w:t>减</w:t>
            </w:r>
            <w:r w:rsidR="005F14EE">
              <w:rPr>
                <w:rFonts w:eastAsia="宋体" w:cs="Times New Roman" w:hint="eastAsia"/>
                <w:sz w:val="18"/>
                <w:szCs w:val="18"/>
              </w:rPr>
              <w:t>：</w:t>
            </w:r>
            <w:proofErr w:type="gramStart"/>
            <w:r>
              <w:rPr>
                <w:rFonts w:eastAsia="宋体" w:cs="Times New Roman" w:hint="eastAsia"/>
                <w:sz w:val="18"/>
                <w:szCs w:val="18"/>
              </w:rPr>
              <w:t>已资本</w:t>
            </w:r>
            <w:proofErr w:type="gramEnd"/>
            <w:r>
              <w:rPr>
                <w:rFonts w:eastAsia="宋体" w:cs="Times New Roman" w:hint="eastAsia"/>
                <w:sz w:val="18"/>
                <w:szCs w:val="18"/>
              </w:rPr>
              <w:t>化的专门借款利息</w:t>
            </w:r>
          </w:p>
        </w:tc>
        <w:tc>
          <w:tcPr>
            <w:tcW w:w="1070" w:type="pct"/>
            <w:vAlign w:val="center"/>
          </w:tcPr>
          <w:p w:rsidR="00696719" w:rsidRPr="008C1B68" w:rsidRDefault="00696719" w:rsidP="00FC3246">
            <w:pPr>
              <w:ind w:right="117"/>
              <w:jc w:val="right"/>
              <w:rPr>
                <w:rFonts w:eastAsia="宋体" w:cs="Times New Roman"/>
                <w:sz w:val="18"/>
                <w:szCs w:val="18"/>
              </w:rPr>
            </w:pPr>
            <w:r w:rsidRPr="00696719">
              <w:rPr>
                <w:rFonts w:eastAsia="宋体" w:cs="Times New Roman"/>
                <w:sz w:val="18"/>
                <w:szCs w:val="18"/>
              </w:rPr>
              <w:t>6,354,148.62</w:t>
            </w:r>
          </w:p>
        </w:tc>
        <w:tc>
          <w:tcPr>
            <w:tcW w:w="1070" w:type="pct"/>
            <w:vAlign w:val="center"/>
          </w:tcPr>
          <w:p w:rsidR="00696719" w:rsidRPr="00A71D2E" w:rsidRDefault="00696719" w:rsidP="00FC3246">
            <w:pPr>
              <w:ind w:right="117"/>
              <w:jc w:val="right"/>
              <w:rPr>
                <w:rFonts w:eastAsia="宋体" w:cs="Times New Roman"/>
                <w:sz w:val="18"/>
                <w:szCs w:val="18"/>
              </w:rPr>
            </w:pPr>
            <w:r w:rsidRPr="00696719">
              <w:rPr>
                <w:rFonts w:eastAsia="宋体" w:cs="Times New Roman"/>
                <w:sz w:val="18"/>
                <w:szCs w:val="18"/>
              </w:rPr>
              <w:t>3,833,236.08</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减</w:t>
            </w:r>
            <w:r w:rsidR="005F14EE">
              <w:rPr>
                <w:rFonts w:eastAsia="宋体" w:cs="Times New Roman" w:hint="eastAsia"/>
                <w:sz w:val="18"/>
                <w:szCs w:val="18"/>
              </w:rPr>
              <w:t>：</w:t>
            </w:r>
            <w:r w:rsidRPr="00A71D2E">
              <w:rPr>
                <w:rFonts w:eastAsia="宋体" w:cs="Times New Roman" w:hint="eastAsia"/>
                <w:sz w:val="18"/>
                <w:szCs w:val="18"/>
              </w:rPr>
              <w:t>利息收入</w:t>
            </w:r>
          </w:p>
        </w:tc>
        <w:tc>
          <w:tcPr>
            <w:tcW w:w="1070" w:type="pct"/>
            <w:vAlign w:val="center"/>
          </w:tcPr>
          <w:p w:rsidR="00FC3246" w:rsidRPr="00A71D2E" w:rsidRDefault="008C1B68" w:rsidP="00FC3246">
            <w:pPr>
              <w:ind w:right="117"/>
              <w:jc w:val="right"/>
              <w:rPr>
                <w:rFonts w:eastAsia="宋体" w:cs="Times New Roman"/>
                <w:sz w:val="18"/>
                <w:szCs w:val="18"/>
              </w:rPr>
            </w:pPr>
            <w:r w:rsidRPr="008C1B68">
              <w:rPr>
                <w:rFonts w:eastAsia="宋体" w:cs="Times New Roman"/>
                <w:sz w:val="18"/>
                <w:szCs w:val="18"/>
              </w:rPr>
              <w:t>70,553,851.93</w:t>
            </w:r>
          </w:p>
        </w:tc>
        <w:tc>
          <w:tcPr>
            <w:tcW w:w="1070" w:type="pct"/>
            <w:vAlign w:val="center"/>
          </w:tcPr>
          <w:p w:rsidR="00FC3246" w:rsidRPr="00A71D2E" w:rsidRDefault="00FC3246" w:rsidP="00FC3246">
            <w:pPr>
              <w:ind w:right="117"/>
              <w:jc w:val="right"/>
              <w:rPr>
                <w:rFonts w:eastAsia="宋体" w:cs="Times New Roman"/>
                <w:sz w:val="18"/>
                <w:szCs w:val="18"/>
              </w:rPr>
            </w:pPr>
            <w:r w:rsidRPr="00A71D2E">
              <w:rPr>
                <w:rFonts w:eastAsia="宋体" w:cs="Times New Roman"/>
                <w:sz w:val="18"/>
                <w:szCs w:val="18"/>
              </w:rPr>
              <w:t>34,833,182.29</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汇兑差额</w:t>
            </w:r>
          </w:p>
        </w:tc>
        <w:tc>
          <w:tcPr>
            <w:tcW w:w="1070" w:type="pct"/>
            <w:vAlign w:val="center"/>
          </w:tcPr>
          <w:p w:rsidR="00FC3246" w:rsidRPr="00A71D2E" w:rsidRDefault="005F14EE" w:rsidP="00FC3246">
            <w:pPr>
              <w:ind w:right="117"/>
              <w:jc w:val="right"/>
              <w:rPr>
                <w:rFonts w:eastAsia="宋体" w:cs="Times New Roman"/>
                <w:sz w:val="18"/>
                <w:szCs w:val="18"/>
              </w:rPr>
            </w:pPr>
            <w:r>
              <w:rPr>
                <w:rFonts w:eastAsia="宋体" w:cs="Times New Roman"/>
                <w:sz w:val="18"/>
                <w:szCs w:val="18"/>
              </w:rPr>
              <w:t>(</w:t>
            </w:r>
            <w:r w:rsidR="008C1B68" w:rsidRPr="008C1B68">
              <w:rPr>
                <w:rFonts w:eastAsia="宋体" w:cs="Times New Roman"/>
                <w:sz w:val="18"/>
                <w:szCs w:val="18"/>
              </w:rPr>
              <w:t>15,600,900.64</w:t>
            </w:r>
            <w:r>
              <w:rPr>
                <w:rFonts w:eastAsia="宋体" w:cs="Times New Roman"/>
                <w:sz w:val="18"/>
                <w:szCs w:val="18"/>
              </w:rPr>
              <w:t>)</w:t>
            </w:r>
          </w:p>
        </w:tc>
        <w:tc>
          <w:tcPr>
            <w:tcW w:w="1070" w:type="pct"/>
            <w:vAlign w:val="center"/>
          </w:tcPr>
          <w:p w:rsidR="00FC3246" w:rsidRPr="00A71D2E" w:rsidDel="00A74236" w:rsidRDefault="005F14EE" w:rsidP="00FC3246">
            <w:pPr>
              <w:ind w:right="117"/>
              <w:jc w:val="right"/>
              <w:rPr>
                <w:rFonts w:eastAsia="宋体" w:cs="Times New Roman"/>
                <w:sz w:val="18"/>
                <w:szCs w:val="18"/>
              </w:rPr>
            </w:pPr>
            <w:r>
              <w:rPr>
                <w:rFonts w:eastAsia="宋体" w:cs="Times New Roman"/>
                <w:sz w:val="18"/>
                <w:szCs w:val="18"/>
              </w:rPr>
              <w:t>(</w:t>
            </w:r>
            <w:r w:rsidR="00FC3246" w:rsidRPr="00A71D2E">
              <w:rPr>
                <w:rFonts w:eastAsia="宋体" w:cs="Times New Roman"/>
                <w:sz w:val="18"/>
                <w:szCs w:val="18"/>
              </w:rPr>
              <w:t>20,503,631.96</w:t>
            </w:r>
            <w:r>
              <w:rPr>
                <w:rFonts w:eastAsia="宋体" w:cs="Times New Roman"/>
                <w:sz w:val="18"/>
                <w:szCs w:val="18"/>
              </w:rPr>
              <w:t>)</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手续费及其他</w:t>
            </w:r>
          </w:p>
        </w:tc>
        <w:tc>
          <w:tcPr>
            <w:tcW w:w="1070" w:type="pct"/>
            <w:vAlign w:val="center"/>
          </w:tcPr>
          <w:p w:rsidR="00FC3246" w:rsidRPr="00A71D2E" w:rsidRDefault="008C1B68" w:rsidP="00FC3246">
            <w:pPr>
              <w:ind w:right="117"/>
              <w:jc w:val="right"/>
              <w:rPr>
                <w:rFonts w:eastAsia="宋体" w:cs="Times New Roman"/>
                <w:sz w:val="18"/>
                <w:szCs w:val="18"/>
              </w:rPr>
            </w:pPr>
            <w:r w:rsidRPr="008C1B68">
              <w:rPr>
                <w:rFonts w:eastAsia="宋体" w:cs="Times New Roman"/>
                <w:sz w:val="18"/>
                <w:szCs w:val="18"/>
              </w:rPr>
              <w:t>17,256,734.37</w:t>
            </w:r>
          </w:p>
        </w:tc>
        <w:tc>
          <w:tcPr>
            <w:tcW w:w="1070" w:type="pct"/>
            <w:vAlign w:val="center"/>
          </w:tcPr>
          <w:p w:rsidR="00FC3246" w:rsidRPr="00A71D2E" w:rsidDel="00A74236" w:rsidRDefault="00FC3246" w:rsidP="00FC3246">
            <w:pPr>
              <w:ind w:right="117"/>
              <w:jc w:val="right"/>
              <w:rPr>
                <w:rFonts w:eastAsia="宋体" w:cs="Times New Roman"/>
                <w:sz w:val="18"/>
                <w:szCs w:val="18"/>
              </w:rPr>
            </w:pPr>
            <w:r w:rsidRPr="00A71D2E">
              <w:rPr>
                <w:rFonts w:eastAsia="宋体" w:cs="Times New Roman"/>
                <w:sz w:val="18"/>
                <w:szCs w:val="18"/>
              </w:rPr>
              <w:t>12,967,509.10</w:t>
            </w:r>
          </w:p>
        </w:tc>
      </w:tr>
      <w:tr w:rsidR="00FC3246"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合计</w:t>
            </w:r>
          </w:p>
        </w:tc>
        <w:tc>
          <w:tcPr>
            <w:tcW w:w="1070" w:type="pct"/>
            <w:vAlign w:val="center"/>
          </w:tcPr>
          <w:p w:rsidR="00FC3246" w:rsidRPr="00A71D2E" w:rsidRDefault="005F14EE" w:rsidP="00FC3246">
            <w:pPr>
              <w:ind w:right="117"/>
              <w:jc w:val="right"/>
              <w:rPr>
                <w:rFonts w:eastAsia="宋体" w:cs="Times New Roman"/>
                <w:sz w:val="18"/>
                <w:szCs w:val="18"/>
              </w:rPr>
            </w:pPr>
            <w:r>
              <w:rPr>
                <w:rFonts w:eastAsia="宋体" w:cs="Times New Roman"/>
                <w:sz w:val="18"/>
                <w:szCs w:val="18"/>
              </w:rPr>
              <w:t>(</w:t>
            </w:r>
            <w:r w:rsidR="008C1B68" w:rsidRPr="008C1B68">
              <w:rPr>
                <w:rFonts w:eastAsia="宋体" w:cs="Times New Roman"/>
                <w:sz w:val="18"/>
                <w:szCs w:val="18"/>
              </w:rPr>
              <w:t>61,473,792.79</w:t>
            </w:r>
            <w:r>
              <w:rPr>
                <w:rFonts w:eastAsia="宋体" w:cs="Times New Roman"/>
                <w:sz w:val="18"/>
                <w:szCs w:val="18"/>
              </w:rPr>
              <w:t>)</w:t>
            </w:r>
          </w:p>
        </w:tc>
        <w:tc>
          <w:tcPr>
            <w:tcW w:w="1070" w:type="pct"/>
            <w:vAlign w:val="center"/>
          </w:tcPr>
          <w:p w:rsidR="00FC3246" w:rsidRPr="00A71D2E" w:rsidDel="00A74236" w:rsidRDefault="005F14EE" w:rsidP="00FC3246">
            <w:pPr>
              <w:ind w:right="117"/>
              <w:jc w:val="right"/>
              <w:rPr>
                <w:rFonts w:eastAsia="宋体" w:cs="Times New Roman"/>
                <w:sz w:val="18"/>
                <w:szCs w:val="18"/>
              </w:rPr>
            </w:pPr>
            <w:r>
              <w:rPr>
                <w:rFonts w:eastAsia="宋体" w:cs="Times New Roman"/>
                <w:sz w:val="18"/>
                <w:szCs w:val="18"/>
              </w:rPr>
              <w:t>(</w:t>
            </w:r>
            <w:r w:rsidR="00FC3246" w:rsidRPr="00A71D2E">
              <w:rPr>
                <w:rFonts w:eastAsia="宋体" w:cs="Times New Roman"/>
                <w:sz w:val="18"/>
                <w:szCs w:val="18"/>
              </w:rPr>
              <w:t>29,210,980.05</w:t>
            </w:r>
            <w:r>
              <w:rPr>
                <w:rFonts w:eastAsia="宋体" w:cs="Times New Roman"/>
                <w:sz w:val="18"/>
                <w:szCs w:val="18"/>
              </w:rPr>
              <w:t>)</w:t>
            </w:r>
          </w:p>
        </w:tc>
      </w:tr>
    </w:tbl>
    <w:p w:rsidR="00321FDD" w:rsidRPr="00A71D2E" w:rsidRDefault="00321FDD">
      <w:pPr>
        <w:adjustRightInd/>
        <w:snapToGrid/>
        <w:ind w:left="720"/>
        <w:rPr>
          <w:rFonts w:eastAsia="宋体" w:cs="Times New Roman"/>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其他收益</w:t>
      </w:r>
    </w:p>
    <w:p w:rsidR="00321FDD" w:rsidRPr="00A71D2E" w:rsidRDefault="00321FDD">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6"/>
        <w:gridCol w:w="2024"/>
        <w:gridCol w:w="2024"/>
      </w:tblGrid>
      <w:tr w:rsidR="00EE0717" w:rsidRPr="00A71D2E" w:rsidTr="0027505B">
        <w:trPr>
          <w:trHeight w:val="20"/>
        </w:trPr>
        <w:tc>
          <w:tcPr>
            <w:tcW w:w="5406" w:type="dxa"/>
            <w:shd w:val="clear" w:color="auto" w:fill="D9D9D9" w:themeFill="background1" w:themeFillShade="D9"/>
            <w:tcMar>
              <w:top w:w="0" w:type="dxa"/>
              <w:left w:w="108" w:type="dxa"/>
              <w:bottom w:w="0" w:type="dxa"/>
              <w:right w:w="108" w:type="dxa"/>
            </w:tcMar>
            <w:vAlign w:val="center"/>
            <w:hideMark/>
          </w:tcPr>
          <w:p w:rsidR="00EE0717" w:rsidRPr="00A71D2E" w:rsidRDefault="00253207">
            <w:pPr>
              <w:jc w:val="center"/>
              <w:rPr>
                <w:rFonts w:eastAsia="宋体" w:cs="Times New Roman"/>
                <w:sz w:val="18"/>
                <w:szCs w:val="18"/>
              </w:rPr>
            </w:pPr>
            <w:r>
              <w:rPr>
                <w:rFonts w:eastAsia="宋体" w:cs="Times New Roman" w:hint="eastAsia"/>
                <w:sz w:val="18"/>
                <w:szCs w:val="18"/>
              </w:rPr>
              <w:t>按性质分类</w:t>
            </w:r>
          </w:p>
        </w:tc>
        <w:tc>
          <w:tcPr>
            <w:tcW w:w="2024" w:type="dxa"/>
            <w:shd w:val="clear" w:color="auto" w:fill="D9D9D9" w:themeFill="background1" w:themeFillShade="D9"/>
            <w:vAlign w:val="center"/>
          </w:tcPr>
          <w:p w:rsidR="00EE0717" w:rsidRPr="00A71D2E" w:rsidRDefault="00EE0717">
            <w:pPr>
              <w:jc w:val="center"/>
              <w:rPr>
                <w:rFonts w:eastAsia="宋体" w:cs="Times New Roman"/>
                <w:sz w:val="18"/>
                <w:szCs w:val="18"/>
              </w:rPr>
            </w:pPr>
            <w:r w:rsidRPr="00A71D2E">
              <w:rPr>
                <w:rFonts w:eastAsia="宋体" w:cs="Times New Roman" w:hint="eastAsia"/>
                <w:sz w:val="18"/>
                <w:szCs w:val="18"/>
              </w:rPr>
              <w:t>本年发生额</w:t>
            </w:r>
          </w:p>
        </w:tc>
        <w:tc>
          <w:tcPr>
            <w:tcW w:w="2024" w:type="dxa"/>
            <w:shd w:val="clear" w:color="auto" w:fill="D9D9D9" w:themeFill="background1" w:themeFillShade="D9"/>
            <w:vAlign w:val="center"/>
          </w:tcPr>
          <w:p w:rsidR="00EE0717" w:rsidRPr="00A71D2E" w:rsidRDefault="00EE0717">
            <w:pPr>
              <w:jc w:val="center"/>
              <w:rPr>
                <w:rFonts w:eastAsia="宋体" w:cs="Times New Roman"/>
                <w:sz w:val="18"/>
                <w:szCs w:val="18"/>
              </w:rPr>
            </w:pPr>
            <w:r w:rsidRPr="00A71D2E">
              <w:rPr>
                <w:rFonts w:eastAsia="宋体" w:cs="Times New Roman" w:hint="eastAsia"/>
                <w:sz w:val="18"/>
                <w:szCs w:val="18"/>
              </w:rPr>
              <w:t>上年发生额</w:t>
            </w:r>
          </w:p>
        </w:tc>
      </w:tr>
      <w:tr w:rsidR="00FC3246" w:rsidRPr="00A71D2E" w:rsidTr="0027505B">
        <w:trPr>
          <w:trHeight w:val="20"/>
        </w:trPr>
        <w:tc>
          <w:tcPr>
            <w:tcW w:w="5406" w:type="dxa"/>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增值税即征即退</w:t>
            </w:r>
          </w:p>
        </w:tc>
        <w:tc>
          <w:tcPr>
            <w:tcW w:w="2024" w:type="dxa"/>
            <w:vAlign w:val="center"/>
          </w:tcPr>
          <w:p w:rsidR="00FC3246" w:rsidRPr="00A71D2E" w:rsidRDefault="00032319" w:rsidP="00FC3246">
            <w:pPr>
              <w:ind w:right="93"/>
              <w:jc w:val="right"/>
              <w:rPr>
                <w:rFonts w:eastAsia="宋体" w:cs="Times New Roman"/>
                <w:sz w:val="18"/>
                <w:szCs w:val="18"/>
              </w:rPr>
            </w:pPr>
            <w:r w:rsidRPr="00032319">
              <w:rPr>
                <w:rFonts w:eastAsia="宋体" w:cs="Times New Roman"/>
                <w:sz w:val="18"/>
                <w:szCs w:val="18"/>
              </w:rPr>
              <w:t>47,756,675.04</w:t>
            </w:r>
          </w:p>
        </w:tc>
        <w:tc>
          <w:tcPr>
            <w:tcW w:w="2024" w:type="dxa"/>
            <w:vAlign w:val="center"/>
          </w:tcPr>
          <w:p w:rsidR="00FC3246" w:rsidRPr="00A71D2E" w:rsidRDefault="00FC3246" w:rsidP="00FC3246">
            <w:pPr>
              <w:ind w:right="93"/>
              <w:jc w:val="right"/>
              <w:rPr>
                <w:rFonts w:eastAsia="宋体" w:cs="Times New Roman"/>
                <w:sz w:val="18"/>
                <w:szCs w:val="18"/>
              </w:rPr>
            </w:pPr>
            <w:r w:rsidRPr="00A71D2E">
              <w:rPr>
                <w:rFonts w:eastAsia="宋体" w:cs="Times New Roman"/>
                <w:sz w:val="18"/>
                <w:szCs w:val="18"/>
              </w:rPr>
              <w:t>35,415,418.22</w:t>
            </w:r>
          </w:p>
        </w:tc>
      </w:tr>
      <w:tr w:rsidR="00FC3246" w:rsidRPr="00A71D2E" w:rsidTr="0027505B">
        <w:trPr>
          <w:trHeight w:val="20"/>
        </w:trPr>
        <w:tc>
          <w:tcPr>
            <w:tcW w:w="5406" w:type="dxa"/>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专项补助款</w:t>
            </w:r>
          </w:p>
        </w:tc>
        <w:tc>
          <w:tcPr>
            <w:tcW w:w="2024" w:type="dxa"/>
            <w:vAlign w:val="center"/>
          </w:tcPr>
          <w:p w:rsidR="00FC3246" w:rsidRPr="00A71D2E" w:rsidRDefault="00032319" w:rsidP="00FC3246">
            <w:pPr>
              <w:ind w:right="93"/>
              <w:jc w:val="right"/>
              <w:rPr>
                <w:rFonts w:eastAsia="宋体" w:cs="Times New Roman"/>
                <w:sz w:val="18"/>
                <w:szCs w:val="18"/>
              </w:rPr>
            </w:pPr>
            <w:r w:rsidRPr="00032319">
              <w:rPr>
                <w:rFonts w:eastAsia="宋体" w:cs="Times New Roman"/>
                <w:sz w:val="18"/>
                <w:szCs w:val="18"/>
              </w:rPr>
              <w:t>19,860,125.45</w:t>
            </w:r>
          </w:p>
        </w:tc>
        <w:tc>
          <w:tcPr>
            <w:tcW w:w="2024" w:type="dxa"/>
            <w:vAlign w:val="center"/>
          </w:tcPr>
          <w:p w:rsidR="00FC3246" w:rsidRPr="00A71D2E" w:rsidRDefault="00FC3246" w:rsidP="00FC3246">
            <w:pPr>
              <w:ind w:right="93"/>
              <w:jc w:val="right"/>
              <w:rPr>
                <w:rFonts w:eastAsia="宋体" w:cs="Times New Roman"/>
                <w:sz w:val="18"/>
                <w:szCs w:val="18"/>
              </w:rPr>
            </w:pPr>
            <w:r w:rsidRPr="00C81B25">
              <w:rPr>
                <w:rFonts w:eastAsia="宋体" w:cs="Times New Roman"/>
                <w:sz w:val="18"/>
                <w:szCs w:val="18"/>
              </w:rPr>
              <w:t>44,046,484.21</w:t>
            </w:r>
          </w:p>
        </w:tc>
      </w:tr>
      <w:tr w:rsidR="00FC3246" w:rsidRPr="00A71D2E" w:rsidTr="0027505B">
        <w:trPr>
          <w:trHeight w:val="20"/>
        </w:trPr>
        <w:tc>
          <w:tcPr>
            <w:tcW w:w="5406" w:type="dxa"/>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Pr>
                <w:rFonts w:eastAsia="宋体" w:cs="Times New Roman" w:hint="eastAsia"/>
                <w:sz w:val="18"/>
                <w:szCs w:val="18"/>
              </w:rPr>
              <w:t>其他</w:t>
            </w:r>
          </w:p>
        </w:tc>
        <w:tc>
          <w:tcPr>
            <w:tcW w:w="2024" w:type="dxa"/>
            <w:vAlign w:val="center"/>
          </w:tcPr>
          <w:p w:rsidR="00FC3246" w:rsidRPr="00A71D2E" w:rsidRDefault="00032319" w:rsidP="00FC3246">
            <w:pPr>
              <w:ind w:right="93"/>
              <w:jc w:val="right"/>
              <w:rPr>
                <w:rFonts w:eastAsia="宋体" w:cs="Times New Roman"/>
                <w:sz w:val="18"/>
                <w:szCs w:val="18"/>
              </w:rPr>
            </w:pPr>
            <w:r w:rsidRPr="00032319">
              <w:rPr>
                <w:rFonts w:eastAsia="宋体" w:cs="Times New Roman"/>
                <w:sz w:val="18"/>
                <w:szCs w:val="18"/>
              </w:rPr>
              <w:t>790,813.30</w:t>
            </w:r>
          </w:p>
        </w:tc>
        <w:tc>
          <w:tcPr>
            <w:tcW w:w="2024" w:type="dxa"/>
            <w:vAlign w:val="center"/>
          </w:tcPr>
          <w:p w:rsidR="00FC3246" w:rsidRPr="00A71D2E" w:rsidRDefault="00FC3246" w:rsidP="00FC3246">
            <w:pPr>
              <w:ind w:right="93"/>
              <w:jc w:val="right"/>
              <w:rPr>
                <w:rFonts w:eastAsia="宋体" w:cs="Times New Roman"/>
                <w:sz w:val="18"/>
                <w:szCs w:val="18"/>
              </w:rPr>
            </w:pPr>
            <w:r w:rsidRPr="00C81B25">
              <w:rPr>
                <w:rFonts w:eastAsia="宋体" w:cs="Times New Roman"/>
                <w:sz w:val="18"/>
                <w:szCs w:val="18"/>
              </w:rPr>
              <w:t>553,535.48</w:t>
            </w:r>
          </w:p>
        </w:tc>
      </w:tr>
      <w:tr w:rsidR="00FC3246" w:rsidRPr="00A71D2E" w:rsidTr="0027505B">
        <w:trPr>
          <w:trHeight w:val="20"/>
        </w:trPr>
        <w:tc>
          <w:tcPr>
            <w:tcW w:w="5406" w:type="dxa"/>
            <w:shd w:val="clear" w:color="auto" w:fill="D9D9D9" w:themeFill="background1" w:themeFillShade="D9"/>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合计</w:t>
            </w:r>
          </w:p>
        </w:tc>
        <w:tc>
          <w:tcPr>
            <w:tcW w:w="2024" w:type="dxa"/>
            <w:vAlign w:val="center"/>
          </w:tcPr>
          <w:p w:rsidR="00FC3246" w:rsidRPr="00A71D2E" w:rsidRDefault="00032319" w:rsidP="00FC3246">
            <w:pPr>
              <w:ind w:right="93"/>
              <w:jc w:val="right"/>
              <w:rPr>
                <w:rFonts w:eastAsia="宋体" w:cs="Times New Roman"/>
                <w:sz w:val="18"/>
                <w:szCs w:val="18"/>
              </w:rPr>
            </w:pPr>
            <w:r w:rsidRPr="00032319">
              <w:rPr>
                <w:rFonts w:eastAsia="宋体" w:cs="Times New Roman"/>
                <w:sz w:val="18"/>
                <w:szCs w:val="18"/>
              </w:rPr>
              <w:t>68,407,613.79</w:t>
            </w:r>
          </w:p>
        </w:tc>
        <w:tc>
          <w:tcPr>
            <w:tcW w:w="2024" w:type="dxa"/>
            <w:vAlign w:val="center"/>
          </w:tcPr>
          <w:p w:rsidR="00FC3246" w:rsidRPr="00A71D2E" w:rsidRDefault="00FC3246" w:rsidP="00FC3246">
            <w:pPr>
              <w:ind w:right="93"/>
              <w:jc w:val="right"/>
              <w:rPr>
                <w:rFonts w:eastAsia="宋体" w:cs="Times New Roman"/>
                <w:sz w:val="18"/>
                <w:szCs w:val="18"/>
              </w:rPr>
            </w:pPr>
            <w:r w:rsidRPr="00A71D2E">
              <w:rPr>
                <w:rFonts w:eastAsia="宋体" w:cs="Times New Roman"/>
                <w:sz w:val="18"/>
                <w:szCs w:val="18"/>
              </w:rPr>
              <w:t>80,015,437.91</w:t>
            </w:r>
          </w:p>
        </w:tc>
      </w:tr>
    </w:tbl>
    <w:p w:rsidR="00321FDD" w:rsidRDefault="00321FDD">
      <w:pPr>
        <w:ind w:left="720"/>
        <w:jc w:val="both"/>
        <w:rPr>
          <w:rFonts w:eastAsia="宋体" w:cs="Times New Roman"/>
          <w:szCs w:val="21"/>
        </w:rPr>
      </w:pPr>
    </w:p>
    <w:p w:rsidR="00C229A6" w:rsidRDefault="00C229A6">
      <w:pPr>
        <w:adjustRightInd/>
        <w:snapToGrid/>
        <w:rPr>
          <w:rFonts w:eastAsia="宋体" w:cs="Times New Roman"/>
          <w:szCs w:val="21"/>
        </w:rPr>
      </w:pPr>
      <w:r>
        <w:rPr>
          <w:rFonts w:eastAsia="宋体" w:cs="Times New Roman"/>
          <w:szCs w:val="21"/>
        </w:rPr>
        <w:br w:type="page"/>
      </w:r>
    </w:p>
    <w:p w:rsidR="00C229A6" w:rsidRPr="00F66363" w:rsidRDefault="005F14EE" w:rsidP="00C229A6">
      <w:pPr>
        <w:rPr>
          <w:rFonts w:eastAsia="宋体" w:cs="Times New Roman"/>
        </w:rPr>
      </w:pPr>
      <w:r>
        <w:rPr>
          <w:rFonts w:eastAsia="宋体" w:cs="Times New Roman"/>
          <w:b/>
          <w:szCs w:val="21"/>
        </w:rPr>
        <w:t>(</w:t>
      </w:r>
      <w:r w:rsidR="00C229A6" w:rsidRPr="00F66363">
        <w:rPr>
          <w:rFonts w:eastAsia="宋体" w:cs="Times New Roman" w:hint="eastAsia"/>
          <w:b/>
          <w:szCs w:val="21"/>
        </w:rPr>
        <w:t>五</w:t>
      </w:r>
      <w:r>
        <w:rPr>
          <w:rFonts w:eastAsia="宋体" w:cs="Times New Roman"/>
          <w:b/>
          <w:szCs w:val="21"/>
        </w:rPr>
        <w:t>)</w:t>
      </w:r>
      <w:r w:rsidR="00C229A6" w:rsidRPr="00F66363">
        <w:rPr>
          <w:rFonts w:eastAsia="宋体" w:cs="Times New Roman"/>
          <w:b/>
          <w:szCs w:val="21"/>
        </w:rPr>
        <w:tab/>
      </w:r>
      <w:r w:rsidR="00C229A6" w:rsidRPr="00F66363">
        <w:rPr>
          <w:rFonts w:eastAsia="宋体" w:cs="Times New Roman" w:hint="eastAsia"/>
          <w:b/>
          <w:szCs w:val="21"/>
        </w:rPr>
        <w:t>合并财务报表项目注释</w:t>
      </w:r>
      <w:r w:rsidR="00C229A6" w:rsidRPr="00F66363">
        <w:rPr>
          <w:rFonts w:eastAsia="宋体" w:cs="Times New Roman"/>
          <w:bCs/>
          <w:szCs w:val="21"/>
        </w:rPr>
        <w:t xml:space="preserve"> </w:t>
      </w:r>
      <w:r w:rsidR="00C229A6" w:rsidRPr="00F66363">
        <w:rPr>
          <w:rFonts w:eastAsia="宋体" w:cs="Times New Roman"/>
          <w:szCs w:val="21"/>
        </w:rPr>
        <w:t xml:space="preserve">- </w:t>
      </w:r>
      <w:r w:rsidR="00C229A6" w:rsidRPr="00F66363">
        <w:rPr>
          <w:rFonts w:eastAsia="宋体" w:cs="Times New Roman" w:hint="eastAsia"/>
          <w:szCs w:val="21"/>
        </w:rPr>
        <w:t>续</w:t>
      </w:r>
    </w:p>
    <w:p w:rsidR="00C229A6" w:rsidRPr="00C229A6" w:rsidRDefault="00C229A6">
      <w:pPr>
        <w:ind w:left="720"/>
        <w:jc w:val="both"/>
        <w:rPr>
          <w:rFonts w:eastAsia="宋体" w:cs="Times New Roman"/>
          <w:szCs w:val="21"/>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信用减值利得</w:t>
      </w:r>
      <w:r w:rsidR="005F14EE">
        <w:rPr>
          <w:rFonts w:ascii="Times New Roman" w:eastAsia="宋体" w:hAnsi="Times New Roman" w:cs="Times New Roman"/>
        </w:rPr>
        <w:t>(</w:t>
      </w:r>
      <w:r w:rsidRPr="00A71D2E">
        <w:rPr>
          <w:rFonts w:ascii="Times New Roman" w:eastAsia="宋体" w:hAnsi="Times New Roman" w:cs="Times New Roman" w:hint="eastAsia"/>
        </w:rPr>
        <w:t>损失</w:t>
      </w:r>
      <w:r w:rsidR="005F14EE">
        <w:rPr>
          <w:rFonts w:ascii="Times New Roman" w:eastAsia="宋体" w:hAnsi="Times New Roman" w:cs="Times New Roman"/>
        </w:rPr>
        <w:t>)</w:t>
      </w:r>
    </w:p>
    <w:p w:rsidR="00321FDD" w:rsidRPr="00F66363" w:rsidRDefault="00321FDD">
      <w:pPr>
        <w:adjustRightInd/>
        <w:snapToGrid/>
        <w:ind w:left="720"/>
        <w:jc w:val="right"/>
        <w:rPr>
          <w:rFonts w:eastAsia="宋体" w:cs="Times New Roman"/>
          <w:b/>
          <w:szCs w:val="21"/>
        </w:rPr>
      </w:pPr>
      <w:r w:rsidRPr="00F66363">
        <w:rPr>
          <w:rFonts w:eastAsia="宋体" w:cs="Times New Roman" w:hint="eastAsia"/>
          <w:szCs w:val="21"/>
        </w:rPr>
        <w:t>单位</w:t>
      </w:r>
      <w:r w:rsidR="005F14EE">
        <w:rPr>
          <w:rFonts w:eastAsia="宋体" w:cs="Times New Roman" w:hint="eastAsia"/>
          <w:szCs w:val="21"/>
        </w:rPr>
        <w:t>：</w:t>
      </w:r>
      <w:r w:rsidRPr="00F66363">
        <w:rPr>
          <w:rFonts w:eastAsia="宋体" w:cs="Times New Roman" w:hint="eastAsia"/>
          <w:szCs w:val="21"/>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8"/>
        <w:gridCol w:w="2023"/>
        <w:gridCol w:w="2023"/>
      </w:tblGrid>
      <w:tr w:rsidR="00562343"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562343" w:rsidRPr="00A71D2E" w:rsidRDefault="00562343">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themeFill="background1" w:themeFillShade="D9"/>
            <w:vAlign w:val="center"/>
          </w:tcPr>
          <w:p w:rsidR="00562343" w:rsidRPr="00A71D2E" w:rsidRDefault="00562343">
            <w:pPr>
              <w:jc w:val="center"/>
              <w:rPr>
                <w:rFonts w:eastAsia="宋体" w:cs="Times New Roman"/>
                <w:sz w:val="18"/>
                <w:szCs w:val="18"/>
              </w:rPr>
            </w:pPr>
            <w:r w:rsidRPr="00A71D2E">
              <w:rPr>
                <w:rFonts w:eastAsia="宋体" w:cs="Times New Roman" w:hint="eastAsia"/>
                <w:sz w:val="18"/>
                <w:szCs w:val="18"/>
              </w:rPr>
              <w:t>本年发生额</w:t>
            </w:r>
          </w:p>
        </w:tc>
        <w:tc>
          <w:tcPr>
            <w:tcW w:w="1070" w:type="pct"/>
            <w:shd w:val="clear" w:color="auto" w:fill="D9D9D9" w:themeFill="background1" w:themeFillShade="D9"/>
            <w:vAlign w:val="center"/>
          </w:tcPr>
          <w:p w:rsidR="00562343" w:rsidRPr="00A71D2E" w:rsidRDefault="00562343">
            <w:pPr>
              <w:jc w:val="center"/>
              <w:rPr>
                <w:rFonts w:eastAsia="宋体" w:cs="Times New Roman"/>
                <w:sz w:val="18"/>
                <w:szCs w:val="18"/>
              </w:rPr>
            </w:pPr>
            <w:r w:rsidRPr="00A71D2E">
              <w:rPr>
                <w:rFonts w:eastAsia="宋体" w:cs="Times New Roman" w:hint="eastAsia"/>
                <w:sz w:val="18"/>
                <w:szCs w:val="18"/>
              </w:rPr>
              <w:t>上年发生额</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应收账款信用减值利得</w:t>
            </w:r>
            <w:r w:rsidR="005F14EE">
              <w:rPr>
                <w:rFonts w:eastAsia="宋体" w:cs="Times New Roman"/>
                <w:sz w:val="18"/>
                <w:szCs w:val="18"/>
              </w:rPr>
              <w:t>(</w:t>
            </w:r>
            <w:r w:rsidRPr="00A71D2E">
              <w:rPr>
                <w:rFonts w:eastAsia="宋体" w:cs="Times New Roman" w:hint="eastAsia"/>
                <w:snapToGrid w:val="0"/>
                <w:sz w:val="18"/>
                <w:szCs w:val="18"/>
                <w:lang w:val="en-GB"/>
              </w:rPr>
              <w:t>损失</w:t>
            </w:r>
            <w:r w:rsidR="005F14EE">
              <w:rPr>
                <w:rFonts w:eastAsia="宋体" w:cs="Times New Roman"/>
                <w:sz w:val="18"/>
                <w:szCs w:val="18"/>
              </w:rPr>
              <w:t>)</w:t>
            </w:r>
          </w:p>
        </w:tc>
        <w:tc>
          <w:tcPr>
            <w:tcW w:w="1070" w:type="pct"/>
            <w:vAlign w:val="center"/>
          </w:tcPr>
          <w:p w:rsidR="00FC3246" w:rsidRPr="00A71D2E" w:rsidRDefault="005F14EE" w:rsidP="00FC3246">
            <w:pPr>
              <w:ind w:right="90"/>
              <w:jc w:val="right"/>
              <w:rPr>
                <w:rFonts w:eastAsia="宋体" w:cs="Times New Roman"/>
                <w:sz w:val="18"/>
                <w:szCs w:val="18"/>
              </w:rPr>
            </w:pPr>
            <w:r>
              <w:rPr>
                <w:rFonts w:eastAsia="宋体" w:cs="Times New Roman"/>
                <w:sz w:val="18"/>
                <w:szCs w:val="18"/>
              </w:rPr>
              <w:t>(</w:t>
            </w:r>
            <w:r w:rsidR="00C1711A" w:rsidRPr="00C1711A">
              <w:rPr>
                <w:rFonts w:eastAsia="宋体" w:cs="Times New Roman"/>
                <w:sz w:val="18"/>
                <w:szCs w:val="18"/>
              </w:rPr>
              <w:t>3,032,508.82</w:t>
            </w:r>
            <w:r>
              <w:rPr>
                <w:rFonts w:eastAsia="宋体" w:cs="Times New Roman"/>
                <w:sz w:val="18"/>
                <w:szCs w:val="18"/>
              </w:rPr>
              <w:t>)</w:t>
            </w:r>
          </w:p>
        </w:tc>
        <w:tc>
          <w:tcPr>
            <w:tcW w:w="1070" w:type="pct"/>
            <w:vAlign w:val="center"/>
          </w:tcPr>
          <w:p w:rsidR="00FC3246" w:rsidRPr="00A71D2E" w:rsidDel="00A74236" w:rsidRDefault="005F14EE" w:rsidP="00FC3246">
            <w:pPr>
              <w:ind w:right="90"/>
              <w:jc w:val="right"/>
              <w:rPr>
                <w:rFonts w:eastAsia="宋体" w:cs="Times New Roman"/>
                <w:sz w:val="18"/>
                <w:szCs w:val="18"/>
              </w:rPr>
            </w:pPr>
            <w:r>
              <w:rPr>
                <w:rFonts w:eastAsia="宋体" w:cs="Times New Roman"/>
                <w:sz w:val="18"/>
                <w:szCs w:val="18"/>
              </w:rPr>
              <w:t>(</w:t>
            </w:r>
            <w:r w:rsidR="00FC3246" w:rsidRPr="00A71D2E">
              <w:rPr>
                <w:rFonts w:eastAsia="宋体" w:cs="Times New Roman"/>
                <w:sz w:val="18"/>
                <w:szCs w:val="18"/>
              </w:rPr>
              <w:t>3,090,293.28</w:t>
            </w:r>
            <w:r>
              <w:rPr>
                <w:rFonts w:eastAsia="宋体" w:cs="Times New Roman"/>
                <w:sz w:val="18"/>
                <w:szCs w:val="18"/>
              </w:rPr>
              <w:t>)</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其他应收款信用减值利得</w:t>
            </w:r>
            <w:r w:rsidR="005F14EE">
              <w:rPr>
                <w:rFonts w:eastAsia="宋体" w:cs="Times New Roman"/>
                <w:sz w:val="18"/>
                <w:szCs w:val="18"/>
              </w:rPr>
              <w:t>(</w:t>
            </w:r>
            <w:r w:rsidRPr="00A71D2E">
              <w:rPr>
                <w:rFonts w:eastAsia="宋体" w:cs="Times New Roman" w:hint="eastAsia"/>
                <w:snapToGrid w:val="0"/>
                <w:sz w:val="18"/>
                <w:szCs w:val="18"/>
                <w:lang w:val="en-GB"/>
              </w:rPr>
              <w:t>损失</w:t>
            </w:r>
            <w:r w:rsidR="005F14EE">
              <w:rPr>
                <w:rFonts w:eastAsia="宋体" w:cs="Times New Roman"/>
                <w:sz w:val="18"/>
                <w:szCs w:val="18"/>
              </w:rPr>
              <w:t>)</w:t>
            </w:r>
          </w:p>
        </w:tc>
        <w:tc>
          <w:tcPr>
            <w:tcW w:w="1070" w:type="pct"/>
            <w:vAlign w:val="center"/>
          </w:tcPr>
          <w:p w:rsidR="00FC3246" w:rsidRPr="00A71D2E" w:rsidRDefault="005F14EE" w:rsidP="00FC3246">
            <w:pPr>
              <w:ind w:right="90"/>
              <w:jc w:val="right"/>
              <w:rPr>
                <w:rFonts w:eastAsia="宋体" w:cs="Times New Roman"/>
                <w:sz w:val="18"/>
                <w:szCs w:val="18"/>
              </w:rPr>
            </w:pPr>
            <w:r>
              <w:rPr>
                <w:rFonts w:eastAsia="宋体" w:cs="Times New Roman"/>
                <w:sz w:val="18"/>
                <w:szCs w:val="18"/>
              </w:rPr>
              <w:t>(</w:t>
            </w:r>
            <w:r w:rsidR="00C1711A" w:rsidRPr="00C1711A">
              <w:rPr>
                <w:rFonts w:eastAsia="宋体" w:cs="Times New Roman"/>
                <w:sz w:val="18"/>
                <w:szCs w:val="18"/>
              </w:rPr>
              <w:t>234,212.30</w:t>
            </w:r>
            <w:r>
              <w:rPr>
                <w:rFonts w:eastAsia="宋体" w:cs="Times New Roman"/>
                <w:sz w:val="18"/>
                <w:szCs w:val="18"/>
              </w:rPr>
              <w:t>)</w:t>
            </w:r>
          </w:p>
        </w:tc>
        <w:tc>
          <w:tcPr>
            <w:tcW w:w="1070" w:type="pct"/>
            <w:vAlign w:val="center"/>
          </w:tcPr>
          <w:p w:rsidR="00FC3246" w:rsidRPr="00A71D2E" w:rsidRDefault="00FC3246" w:rsidP="00FC3246">
            <w:pPr>
              <w:ind w:right="90"/>
              <w:jc w:val="right"/>
              <w:rPr>
                <w:rFonts w:eastAsia="宋体" w:cs="Times New Roman"/>
                <w:sz w:val="18"/>
                <w:szCs w:val="18"/>
              </w:rPr>
            </w:pPr>
            <w:r w:rsidRPr="00A71D2E">
              <w:rPr>
                <w:rFonts w:eastAsia="宋体" w:cs="Times New Roman"/>
                <w:sz w:val="18"/>
                <w:szCs w:val="18"/>
              </w:rPr>
              <w:t>57,543.57</w:t>
            </w:r>
          </w:p>
        </w:tc>
      </w:tr>
      <w:tr w:rsidR="00FC3246"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合计</w:t>
            </w:r>
          </w:p>
        </w:tc>
        <w:tc>
          <w:tcPr>
            <w:tcW w:w="1070" w:type="pct"/>
            <w:vAlign w:val="center"/>
          </w:tcPr>
          <w:p w:rsidR="00FC3246" w:rsidRPr="00A71D2E" w:rsidRDefault="005F14EE" w:rsidP="00FC3246">
            <w:pPr>
              <w:ind w:right="90"/>
              <w:jc w:val="right"/>
              <w:rPr>
                <w:rFonts w:eastAsia="宋体" w:cs="Times New Roman"/>
                <w:sz w:val="18"/>
                <w:szCs w:val="18"/>
              </w:rPr>
            </w:pPr>
            <w:r>
              <w:rPr>
                <w:rFonts w:eastAsia="宋体" w:cs="Times New Roman"/>
                <w:sz w:val="18"/>
                <w:szCs w:val="18"/>
              </w:rPr>
              <w:t>(</w:t>
            </w:r>
            <w:r w:rsidR="00C1711A" w:rsidRPr="00C1711A">
              <w:rPr>
                <w:rFonts w:eastAsia="宋体" w:cs="Times New Roman"/>
                <w:sz w:val="18"/>
                <w:szCs w:val="18"/>
              </w:rPr>
              <w:t>3,266,721.12</w:t>
            </w:r>
            <w:r>
              <w:rPr>
                <w:rFonts w:eastAsia="宋体" w:cs="Times New Roman"/>
                <w:sz w:val="18"/>
                <w:szCs w:val="18"/>
              </w:rPr>
              <w:t>)</w:t>
            </w:r>
          </w:p>
        </w:tc>
        <w:tc>
          <w:tcPr>
            <w:tcW w:w="1070" w:type="pct"/>
            <w:vAlign w:val="center"/>
          </w:tcPr>
          <w:p w:rsidR="00FC3246" w:rsidRPr="00A71D2E" w:rsidDel="00A74236" w:rsidRDefault="005F14EE" w:rsidP="00FC3246">
            <w:pPr>
              <w:ind w:right="90"/>
              <w:jc w:val="right"/>
              <w:rPr>
                <w:rFonts w:eastAsia="宋体" w:cs="Times New Roman"/>
                <w:sz w:val="18"/>
                <w:szCs w:val="18"/>
              </w:rPr>
            </w:pPr>
            <w:r>
              <w:rPr>
                <w:rFonts w:eastAsia="宋体" w:cs="Times New Roman"/>
                <w:sz w:val="18"/>
                <w:szCs w:val="18"/>
              </w:rPr>
              <w:t>(</w:t>
            </w:r>
            <w:r w:rsidR="00FC3246" w:rsidRPr="00A71D2E">
              <w:rPr>
                <w:rFonts w:eastAsia="宋体" w:cs="Times New Roman"/>
                <w:sz w:val="18"/>
                <w:szCs w:val="18"/>
              </w:rPr>
              <w:t>3,032,749.71</w:t>
            </w:r>
            <w:r>
              <w:rPr>
                <w:rFonts w:eastAsia="宋体" w:cs="Times New Roman"/>
                <w:sz w:val="18"/>
                <w:szCs w:val="18"/>
              </w:rPr>
              <w:t>)</w:t>
            </w:r>
          </w:p>
        </w:tc>
      </w:tr>
    </w:tbl>
    <w:p w:rsidR="00ED513E" w:rsidRPr="00561FD4" w:rsidRDefault="00ED513E">
      <w:pPr>
        <w:adjustRightInd/>
        <w:snapToGrid/>
        <w:ind w:left="720"/>
        <w:rPr>
          <w:rFonts w:eastAsia="宋体" w:cs="Times New Roman"/>
        </w:rPr>
      </w:pPr>
    </w:p>
    <w:p w:rsidR="00321FDD" w:rsidRPr="00A71D2E" w:rsidRDefault="000E0972">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资产减值</w:t>
      </w:r>
      <w:r w:rsidR="00F328BE" w:rsidRPr="00A71D2E">
        <w:rPr>
          <w:rFonts w:ascii="Times New Roman" w:eastAsia="宋体" w:hAnsi="Times New Roman" w:cs="Times New Roman" w:hint="eastAsia"/>
        </w:rPr>
        <w:t>利得</w:t>
      </w:r>
      <w:r w:rsidR="005F14EE">
        <w:rPr>
          <w:rFonts w:ascii="Times New Roman" w:eastAsia="宋体" w:hAnsi="Times New Roman" w:cs="Times New Roman"/>
        </w:rPr>
        <w:t>(</w:t>
      </w:r>
      <w:r w:rsidR="00321FDD" w:rsidRPr="00A71D2E">
        <w:rPr>
          <w:rFonts w:ascii="Times New Roman" w:eastAsia="宋体" w:hAnsi="Times New Roman" w:cs="Times New Roman" w:hint="eastAsia"/>
        </w:rPr>
        <w:t>损失</w:t>
      </w:r>
      <w:r w:rsidR="005F14EE">
        <w:rPr>
          <w:rFonts w:ascii="Times New Roman" w:eastAsia="宋体" w:hAnsi="Times New Roman" w:cs="Times New Roman"/>
        </w:rPr>
        <w:t>)</w:t>
      </w:r>
    </w:p>
    <w:p w:rsidR="00321FDD" w:rsidRPr="00A71D2E" w:rsidRDefault="00321FDD">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8"/>
        <w:gridCol w:w="2023"/>
        <w:gridCol w:w="2023"/>
      </w:tblGrid>
      <w:tr w:rsidR="00562343"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562343" w:rsidRPr="00A71D2E" w:rsidRDefault="00562343">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themeFill="background1" w:themeFillShade="D9"/>
            <w:vAlign w:val="center"/>
          </w:tcPr>
          <w:p w:rsidR="00562343" w:rsidRPr="00A71D2E" w:rsidRDefault="00562343">
            <w:pPr>
              <w:jc w:val="center"/>
              <w:rPr>
                <w:rFonts w:eastAsia="宋体" w:cs="Times New Roman"/>
                <w:sz w:val="18"/>
                <w:szCs w:val="18"/>
              </w:rPr>
            </w:pPr>
            <w:r w:rsidRPr="00A71D2E">
              <w:rPr>
                <w:rFonts w:eastAsia="宋体" w:cs="Times New Roman" w:hint="eastAsia"/>
                <w:sz w:val="18"/>
                <w:szCs w:val="18"/>
              </w:rPr>
              <w:t>本年发生额</w:t>
            </w:r>
          </w:p>
        </w:tc>
        <w:tc>
          <w:tcPr>
            <w:tcW w:w="1070" w:type="pct"/>
            <w:shd w:val="clear" w:color="auto" w:fill="D9D9D9" w:themeFill="background1" w:themeFillShade="D9"/>
            <w:vAlign w:val="center"/>
          </w:tcPr>
          <w:p w:rsidR="00562343" w:rsidRPr="00A71D2E" w:rsidRDefault="00562343">
            <w:pPr>
              <w:jc w:val="center"/>
              <w:rPr>
                <w:rFonts w:eastAsia="宋体" w:cs="Times New Roman"/>
                <w:sz w:val="18"/>
                <w:szCs w:val="18"/>
              </w:rPr>
            </w:pPr>
            <w:r w:rsidRPr="00A71D2E">
              <w:rPr>
                <w:rFonts w:eastAsia="宋体" w:cs="Times New Roman" w:hint="eastAsia"/>
                <w:sz w:val="18"/>
                <w:szCs w:val="18"/>
              </w:rPr>
              <w:t>上年发生额</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存货跌价损失</w:t>
            </w:r>
          </w:p>
        </w:tc>
        <w:tc>
          <w:tcPr>
            <w:tcW w:w="1070" w:type="pct"/>
            <w:vAlign w:val="center"/>
          </w:tcPr>
          <w:p w:rsidR="00FC3246" w:rsidRPr="00A71D2E" w:rsidDel="00A74236" w:rsidRDefault="005F14EE" w:rsidP="00FC3246">
            <w:pPr>
              <w:ind w:right="108"/>
              <w:jc w:val="right"/>
              <w:rPr>
                <w:rFonts w:eastAsia="宋体" w:cs="Times New Roman"/>
                <w:sz w:val="18"/>
                <w:szCs w:val="18"/>
              </w:rPr>
            </w:pPr>
            <w:r>
              <w:rPr>
                <w:rFonts w:eastAsia="宋体" w:cs="Times New Roman"/>
                <w:sz w:val="18"/>
                <w:szCs w:val="18"/>
              </w:rPr>
              <w:t>(</w:t>
            </w:r>
            <w:r w:rsidR="00560BD7" w:rsidRPr="00560BD7">
              <w:rPr>
                <w:rFonts w:eastAsia="宋体" w:cs="Times New Roman"/>
                <w:sz w:val="18"/>
                <w:szCs w:val="18"/>
              </w:rPr>
              <w:t>10,963,112.45</w:t>
            </w:r>
            <w:r>
              <w:rPr>
                <w:rFonts w:eastAsia="宋体" w:cs="Times New Roman"/>
                <w:sz w:val="18"/>
                <w:szCs w:val="18"/>
              </w:rPr>
              <w:t>)</w:t>
            </w:r>
          </w:p>
        </w:tc>
        <w:tc>
          <w:tcPr>
            <w:tcW w:w="1070" w:type="pct"/>
            <w:vAlign w:val="center"/>
          </w:tcPr>
          <w:p w:rsidR="00FC3246" w:rsidRPr="00A71D2E" w:rsidRDefault="005F14EE" w:rsidP="00FC3246">
            <w:pPr>
              <w:ind w:right="108"/>
              <w:jc w:val="right"/>
              <w:rPr>
                <w:rFonts w:eastAsia="宋体" w:cs="Times New Roman"/>
                <w:sz w:val="18"/>
                <w:szCs w:val="18"/>
              </w:rPr>
            </w:pPr>
            <w:r>
              <w:rPr>
                <w:rFonts w:eastAsia="宋体" w:cs="Times New Roman"/>
                <w:sz w:val="18"/>
                <w:szCs w:val="18"/>
              </w:rPr>
              <w:t>(</w:t>
            </w:r>
            <w:r w:rsidR="00FC3246" w:rsidRPr="00A71D2E">
              <w:rPr>
                <w:rFonts w:eastAsia="宋体" w:cs="Times New Roman"/>
                <w:sz w:val="18"/>
                <w:szCs w:val="18"/>
              </w:rPr>
              <w:t>30,409,292.05</w:t>
            </w:r>
            <w:r>
              <w:rPr>
                <w:rFonts w:eastAsia="宋体" w:cs="Times New Roman"/>
                <w:sz w:val="18"/>
                <w:szCs w:val="18"/>
              </w:rPr>
              <w:t>)</w:t>
            </w:r>
          </w:p>
        </w:tc>
      </w:tr>
      <w:tr w:rsidR="00FC3246"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FC3246" w:rsidRPr="00A71D2E" w:rsidRDefault="00FC3246" w:rsidP="00FC3246">
            <w:pPr>
              <w:rPr>
                <w:rFonts w:eastAsia="宋体" w:cs="Times New Roman"/>
                <w:sz w:val="18"/>
                <w:szCs w:val="18"/>
              </w:rPr>
            </w:pPr>
            <w:r w:rsidRPr="00A71D2E">
              <w:rPr>
                <w:rFonts w:eastAsia="宋体" w:cs="Times New Roman" w:hint="eastAsia"/>
                <w:bCs/>
                <w:sz w:val="18"/>
                <w:szCs w:val="18"/>
              </w:rPr>
              <w:t>合计</w:t>
            </w:r>
          </w:p>
        </w:tc>
        <w:tc>
          <w:tcPr>
            <w:tcW w:w="1070" w:type="pct"/>
            <w:vAlign w:val="center"/>
          </w:tcPr>
          <w:p w:rsidR="00FC3246" w:rsidRPr="00A71D2E" w:rsidDel="00A74236" w:rsidRDefault="005F14EE" w:rsidP="00FC3246">
            <w:pPr>
              <w:ind w:right="108"/>
              <w:jc w:val="right"/>
              <w:rPr>
                <w:rFonts w:eastAsia="宋体" w:cs="Times New Roman"/>
                <w:sz w:val="18"/>
                <w:szCs w:val="18"/>
              </w:rPr>
            </w:pPr>
            <w:r>
              <w:rPr>
                <w:rFonts w:eastAsia="宋体" w:cs="Times New Roman"/>
                <w:sz w:val="18"/>
                <w:szCs w:val="18"/>
              </w:rPr>
              <w:t>(</w:t>
            </w:r>
            <w:r w:rsidR="00560BD7" w:rsidRPr="00560BD7">
              <w:rPr>
                <w:rFonts w:eastAsia="宋体" w:cs="Times New Roman"/>
                <w:sz w:val="18"/>
                <w:szCs w:val="18"/>
              </w:rPr>
              <w:t>10,963,112.45</w:t>
            </w:r>
            <w:r>
              <w:rPr>
                <w:rFonts w:eastAsia="宋体" w:cs="Times New Roman"/>
                <w:sz w:val="18"/>
                <w:szCs w:val="18"/>
              </w:rPr>
              <w:t>)</w:t>
            </w:r>
          </w:p>
        </w:tc>
        <w:tc>
          <w:tcPr>
            <w:tcW w:w="1070" w:type="pct"/>
            <w:vAlign w:val="center"/>
          </w:tcPr>
          <w:p w:rsidR="00FC3246" w:rsidRPr="00A71D2E" w:rsidRDefault="005F14EE" w:rsidP="00FC3246">
            <w:pPr>
              <w:ind w:right="108"/>
              <w:jc w:val="right"/>
              <w:rPr>
                <w:rFonts w:eastAsia="宋体" w:cs="Times New Roman"/>
                <w:sz w:val="18"/>
                <w:szCs w:val="18"/>
              </w:rPr>
            </w:pPr>
            <w:r>
              <w:rPr>
                <w:rFonts w:eastAsia="宋体" w:cs="Times New Roman"/>
                <w:sz w:val="18"/>
                <w:szCs w:val="18"/>
              </w:rPr>
              <w:t>(</w:t>
            </w:r>
            <w:r w:rsidR="00FC3246" w:rsidRPr="00A71D2E">
              <w:rPr>
                <w:rFonts w:eastAsia="宋体" w:cs="Times New Roman"/>
                <w:sz w:val="18"/>
                <w:szCs w:val="18"/>
              </w:rPr>
              <w:t>30,409,292.05</w:t>
            </w:r>
            <w:r>
              <w:rPr>
                <w:rFonts w:eastAsia="宋体" w:cs="Times New Roman"/>
                <w:sz w:val="18"/>
                <w:szCs w:val="18"/>
              </w:rPr>
              <w:t>)</w:t>
            </w:r>
          </w:p>
        </w:tc>
      </w:tr>
    </w:tbl>
    <w:p w:rsidR="00321FDD" w:rsidRPr="00DD203F" w:rsidRDefault="00321FDD" w:rsidP="0027505B">
      <w:pPr>
        <w:ind w:left="720"/>
        <w:jc w:val="both"/>
        <w:rPr>
          <w:rFonts w:eastAsia="宋体" w:cs="Times New Roman"/>
          <w:szCs w:val="21"/>
        </w:rPr>
      </w:pPr>
    </w:p>
    <w:p w:rsidR="00321FDD" w:rsidRPr="00A71D2E" w:rsidRDefault="00321FDD">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营业外收入</w:t>
      </w:r>
    </w:p>
    <w:p w:rsidR="00321FDD" w:rsidRPr="00A71D2E" w:rsidRDefault="00321FDD">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8"/>
        <w:gridCol w:w="2023"/>
        <w:gridCol w:w="2023"/>
      </w:tblGrid>
      <w:tr w:rsidR="00924C8B"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924C8B" w:rsidRPr="00A71D2E" w:rsidRDefault="00924C8B">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themeFill="background1" w:themeFillShade="D9"/>
            <w:vAlign w:val="center"/>
          </w:tcPr>
          <w:p w:rsidR="00924C8B" w:rsidRPr="00A71D2E" w:rsidRDefault="00924C8B">
            <w:pPr>
              <w:jc w:val="center"/>
              <w:rPr>
                <w:rFonts w:eastAsia="宋体" w:cs="Times New Roman"/>
                <w:sz w:val="18"/>
                <w:szCs w:val="18"/>
              </w:rPr>
            </w:pPr>
            <w:r w:rsidRPr="00A71D2E">
              <w:rPr>
                <w:rFonts w:eastAsia="宋体" w:cs="Times New Roman" w:hint="eastAsia"/>
                <w:sz w:val="18"/>
                <w:szCs w:val="18"/>
              </w:rPr>
              <w:t>本年发生额</w:t>
            </w:r>
          </w:p>
        </w:tc>
        <w:tc>
          <w:tcPr>
            <w:tcW w:w="1070" w:type="pct"/>
            <w:shd w:val="clear" w:color="auto" w:fill="D9D9D9" w:themeFill="background1" w:themeFillShade="D9"/>
            <w:vAlign w:val="center"/>
          </w:tcPr>
          <w:p w:rsidR="00924C8B" w:rsidRPr="00A71D2E" w:rsidRDefault="00924C8B">
            <w:pPr>
              <w:jc w:val="center"/>
              <w:rPr>
                <w:rFonts w:eastAsia="宋体" w:cs="Times New Roman"/>
                <w:sz w:val="18"/>
                <w:szCs w:val="18"/>
              </w:rPr>
            </w:pPr>
            <w:r w:rsidRPr="00A71D2E">
              <w:rPr>
                <w:rFonts w:eastAsia="宋体" w:cs="Times New Roman" w:hint="eastAsia"/>
                <w:sz w:val="18"/>
                <w:szCs w:val="18"/>
              </w:rPr>
              <w:t>上年发生额</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赔偿收入</w:t>
            </w:r>
          </w:p>
        </w:tc>
        <w:tc>
          <w:tcPr>
            <w:tcW w:w="1070" w:type="pct"/>
            <w:vAlign w:val="center"/>
          </w:tcPr>
          <w:p w:rsidR="00FC3246" w:rsidRPr="00A71D2E" w:rsidRDefault="00576FDF" w:rsidP="00FC3246">
            <w:pPr>
              <w:ind w:right="78"/>
              <w:jc w:val="right"/>
              <w:rPr>
                <w:rFonts w:eastAsia="宋体" w:cs="Times New Roman"/>
                <w:sz w:val="18"/>
                <w:szCs w:val="18"/>
              </w:rPr>
            </w:pPr>
            <w:r w:rsidRPr="00576FDF">
              <w:rPr>
                <w:rFonts w:eastAsia="宋体" w:cs="Times New Roman"/>
                <w:sz w:val="18"/>
                <w:szCs w:val="18"/>
              </w:rPr>
              <w:t>929,028.98</w:t>
            </w:r>
          </w:p>
        </w:tc>
        <w:tc>
          <w:tcPr>
            <w:tcW w:w="1070" w:type="pct"/>
            <w:vAlign w:val="center"/>
          </w:tcPr>
          <w:p w:rsidR="00FC3246" w:rsidRPr="00A71D2E" w:rsidRDefault="00FC3246" w:rsidP="00FC3246">
            <w:pPr>
              <w:ind w:right="78"/>
              <w:jc w:val="right"/>
              <w:rPr>
                <w:rFonts w:eastAsia="宋体" w:cs="Times New Roman"/>
                <w:sz w:val="18"/>
                <w:szCs w:val="18"/>
              </w:rPr>
            </w:pPr>
            <w:r w:rsidRPr="00A71D2E">
              <w:rPr>
                <w:rFonts w:eastAsia="宋体" w:cs="Times New Roman"/>
                <w:sz w:val="18"/>
                <w:szCs w:val="18"/>
              </w:rPr>
              <w:t>737,255.73</w:t>
            </w:r>
          </w:p>
        </w:tc>
      </w:tr>
      <w:tr w:rsidR="00FC3246"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其他</w:t>
            </w:r>
          </w:p>
        </w:tc>
        <w:tc>
          <w:tcPr>
            <w:tcW w:w="1070" w:type="pct"/>
            <w:vAlign w:val="center"/>
          </w:tcPr>
          <w:p w:rsidR="00FC3246" w:rsidRPr="00A71D2E" w:rsidRDefault="00576FDF" w:rsidP="00FC3246">
            <w:pPr>
              <w:ind w:right="78"/>
              <w:jc w:val="right"/>
              <w:rPr>
                <w:rFonts w:eastAsia="宋体" w:cs="Times New Roman"/>
                <w:sz w:val="18"/>
                <w:szCs w:val="18"/>
              </w:rPr>
            </w:pPr>
            <w:r w:rsidRPr="00576FDF">
              <w:rPr>
                <w:rFonts w:eastAsia="宋体" w:cs="Times New Roman"/>
                <w:sz w:val="18"/>
                <w:szCs w:val="18"/>
              </w:rPr>
              <w:t>84,062.75</w:t>
            </w:r>
          </w:p>
        </w:tc>
        <w:tc>
          <w:tcPr>
            <w:tcW w:w="1070" w:type="pct"/>
            <w:vAlign w:val="center"/>
          </w:tcPr>
          <w:p w:rsidR="00FC3246" w:rsidRPr="00A71D2E" w:rsidRDefault="00FC3246" w:rsidP="00FC3246">
            <w:pPr>
              <w:ind w:right="78"/>
              <w:jc w:val="right"/>
              <w:rPr>
                <w:rFonts w:eastAsia="宋体" w:cs="Times New Roman"/>
                <w:sz w:val="18"/>
                <w:szCs w:val="18"/>
              </w:rPr>
            </w:pPr>
            <w:r w:rsidRPr="00A71D2E">
              <w:rPr>
                <w:rFonts w:eastAsia="宋体" w:cs="Times New Roman"/>
                <w:sz w:val="18"/>
                <w:szCs w:val="18"/>
              </w:rPr>
              <w:t>244,995.71</w:t>
            </w:r>
          </w:p>
        </w:tc>
      </w:tr>
      <w:tr w:rsidR="00FC3246"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tcPr>
          <w:p w:rsidR="00FC3246" w:rsidRPr="00A71D2E" w:rsidRDefault="00FC3246" w:rsidP="00FC3246">
            <w:pPr>
              <w:rPr>
                <w:rFonts w:eastAsia="宋体" w:cs="Times New Roman"/>
                <w:sz w:val="18"/>
                <w:szCs w:val="18"/>
              </w:rPr>
            </w:pPr>
            <w:r w:rsidRPr="00A71D2E">
              <w:rPr>
                <w:rFonts w:eastAsia="宋体" w:cs="Times New Roman" w:hint="eastAsia"/>
                <w:sz w:val="18"/>
                <w:szCs w:val="18"/>
              </w:rPr>
              <w:t>合计</w:t>
            </w:r>
          </w:p>
        </w:tc>
        <w:tc>
          <w:tcPr>
            <w:tcW w:w="1070" w:type="pct"/>
            <w:vAlign w:val="center"/>
          </w:tcPr>
          <w:p w:rsidR="00FC3246" w:rsidRPr="00A71D2E" w:rsidRDefault="00576FDF" w:rsidP="00FC3246">
            <w:pPr>
              <w:ind w:right="78"/>
              <w:jc w:val="right"/>
              <w:rPr>
                <w:rFonts w:eastAsia="宋体" w:cs="Times New Roman"/>
                <w:sz w:val="18"/>
                <w:szCs w:val="18"/>
              </w:rPr>
            </w:pPr>
            <w:r w:rsidRPr="00576FDF">
              <w:rPr>
                <w:rFonts w:eastAsia="宋体" w:cs="Times New Roman"/>
                <w:sz w:val="18"/>
                <w:szCs w:val="18"/>
              </w:rPr>
              <w:t>1,013,091.73</w:t>
            </w:r>
          </w:p>
        </w:tc>
        <w:tc>
          <w:tcPr>
            <w:tcW w:w="1070" w:type="pct"/>
            <w:vAlign w:val="center"/>
          </w:tcPr>
          <w:p w:rsidR="00FC3246" w:rsidRPr="00A71D2E" w:rsidRDefault="00FC3246" w:rsidP="00FC3246">
            <w:pPr>
              <w:ind w:right="78"/>
              <w:jc w:val="right"/>
              <w:rPr>
                <w:rFonts w:eastAsia="宋体" w:cs="Times New Roman"/>
                <w:sz w:val="18"/>
                <w:szCs w:val="18"/>
              </w:rPr>
            </w:pPr>
            <w:r w:rsidRPr="00A71D2E">
              <w:rPr>
                <w:rFonts w:eastAsia="宋体" w:cs="Times New Roman"/>
                <w:sz w:val="18"/>
                <w:szCs w:val="18"/>
              </w:rPr>
              <w:t>982,251.44</w:t>
            </w:r>
          </w:p>
        </w:tc>
      </w:tr>
    </w:tbl>
    <w:p w:rsidR="0041519D" w:rsidRPr="00FF16C0" w:rsidRDefault="0041519D" w:rsidP="0027505B">
      <w:pPr>
        <w:ind w:left="720"/>
        <w:jc w:val="both"/>
        <w:rPr>
          <w:rFonts w:eastAsia="宋体" w:cs="Times New Roman"/>
          <w:szCs w:val="21"/>
        </w:rPr>
      </w:pPr>
    </w:p>
    <w:p w:rsidR="00AA2164" w:rsidRPr="00A71D2E" w:rsidRDefault="00AA2164">
      <w:pPr>
        <w:pStyle w:val="2"/>
        <w:numPr>
          <w:ilvl w:val="2"/>
          <w:numId w:val="1"/>
        </w:numPr>
        <w:ind w:left="1440" w:hanging="720"/>
        <w:rPr>
          <w:rFonts w:ascii="Times New Roman" w:eastAsia="宋体" w:hAnsi="Times New Roman" w:cs="Times New Roman"/>
        </w:rPr>
      </w:pPr>
      <w:r w:rsidRPr="00A71D2E">
        <w:rPr>
          <w:rFonts w:ascii="Times New Roman" w:eastAsia="宋体" w:hAnsi="Times New Roman" w:cs="Times New Roman" w:hint="eastAsia"/>
        </w:rPr>
        <w:t>营业外支出</w:t>
      </w:r>
    </w:p>
    <w:p w:rsidR="00AA2164" w:rsidRPr="00A71D2E" w:rsidRDefault="00AA2164">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8"/>
        <w:gridCol w:w="2023"/>
        <w:gridCol w:w="2023"/>
      </w:tblGrid>
      <w:tr w:rsidR="00924C8B"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924C8B" w:rsidRPr="00A71D2E" w:rsidRDefault="00924C8B">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themeFill="background1" w:themeFillShade="D9"/>
            <w:vAlign w:val="center"/>
          </w:tcPr>
          <w:p w:rsidR="00924C8B" w:rsidRPr="00A71D2E" w:rsidRDefault="00924C8B">
            <w:pPr>
              <w:jc w:val="center"/>
              <w:rPr>
                <w:rFonts w:eastAsia="宋体" w:cs="Times New Roman"/>
                <w:sz w:val="18"/>
                <w:szCs w:val="18"/>
              </w:rPr>
            </w:pPr>
            <w:r w:rsidRPr="00A71D2E">
              <w:rPr>
                <w:rFonts w:eastAsia="宋体" w:cs="Times New Roman" w:hint="eastAsia"/>
                <w:sz w:val="18"/>
                <w:szCs w:val="18"/>
              </w:rPr>
              <w:t>本年发生额</w:t>
            </w:r>
          </w:p>
        </w:tc>
        <w:tc>
          <w:tcPr>
            <w:tcW w:w="1070" w:type="pct"/>
            <w:shd w:val="clear" w:color="auto" w:fill="D9D9D9" w:themeFill="background1" w:themeFillShade="D9"/>
            <w:vAlign w:val="center"/>
          </w:tcPr>
          <w:p w:rsidR="00924C8B" w:rsidRPr="00A71D2E" w:rsidRDefault="00924C8B">
            <w:pPr>
              <w:jc w:val="center"/>
              <w:rPr>
                <w:rFonts w:eastAsia="宋体" w:cs="Times New Roman"/>
                <w:sz w:val="18"/>
                <w:szCs w:val="18"/>
              </w:rPr>
            </w:pPr>
            <w:r w:rsidRPr="00A71D2E">
              <w:rPr>
                <w:rFonts w:eastAsia="宋体" w:cs="Times New Roman" w:hint="eastAsia"/>
                <w:sz w:val="18"/>
                <w:szCs w:val="18"/>
              </w:rPr>
              <w:t>上年发生额</w:t>
            </w:r>
          </w:p>
        </w:tc>
      </w:tr>
      <w:tr w:rsidR="00817043" w:rsidRPr="00A71D2E" w:rsidTr="0027505B">
        <w:trPr>
          <w:trHeight w:val="20"/>
        </w:trPr>
        <w:tc>
          <w:tcPr>
            <w:tcW w:w="2859" w:type="pct"/>
            <w:shd w:val="clear" w:color="auto" w:fill="auto"/>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非流动资产报废损失</w:t>
            </w:r>
          </w:p>
        </w:tc>
        <w:tc>
          <w:tcPr>
            <w:tcW w:w="1070" w:type="pct"/>
            <w:vAlign w:val="center"/>
          </w:tcPr>
          <w:p w:rsidR="00817043" w:rsidRPr="00A71D2E" w:rsidRDefault="00576FDF" w:rsidP="00817043">
            <w:pPr>
              <w:ind w:right="105"/>
              <w:jc w:val="right"/>
              <w:rPr>
                <w:rFonts w:eastAsia="宋体" w:cs="Times New Roman"/>
                <w:sz w:val="18"/>
                <w:szCs w:val="18"/>
              </w:rPr>
            </w:pPr>
            <w:r w:rsidRPr="00576FDF">
              <w:rPr>
                <w:rFonts w:eastAsia="宋体" w:cs="Times New Roman"/>
                <w:sz w:val="18"/>
                <w:szCs w:val="18"/>
              </w:rPr>
              <w:t>4,830,388.94</w:t>
            </w:r>
          </w:p>
        </w:tc>
        <w:tc>
          <w:tcPr>
            <w:tcW w:w="1070" w:type="pct"/>
            <w:shd w:val="clear" w:color="auto" w:fill="auto"/>
            <w:vAlign w:val="center"/>
          </w:tcPr>
          <w:p w:rsidR="00817043" w:rsidRPr="00A71D2E" w:rsidRDefault="00817043" w:rsidP="00817043">
            <w:pPr>
              <w:ind w:right="105"/>
              <w:jc w:val="right"/>
              <w:rPr>
                <w:rFonts w:eastAsia="宋体" w:cs="Times New Roman"/>
                <w:sz w:val="18"/>
                <w:szCs w:val="18"/>
              </w:rPr>
            </w:pPr>
            <w:r w:rsidRPr="00A71D2E">
              <w:rPr>
                <w:rFonts w:eastAsia="宋体" w:cs="Times New Roman"/>
                <w:sz w:val="18"/>
                <w:szCs w:val="18"/>
              </w:rPr>
              <w:t>362,106.63</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817043" w:rsidRPr="00A71D2E" w:rsidRDefault="00817043" w:rsidP="00817043">
            <w:pPr>
              <w:rPr>
                <w:rFonts w:eastAsia="宋体" w:cs="Times New Roman"/>
                <w:sz w:val="18"/>
                <w:szCs w:val="18"/>
              </w:rPr>
            </w:pPr>
            <w:r w:rsidRPr="00A71D2E">
              <w:rPr>
                <w:rFonts w:eastAsia="宋体" w:cs="Times New Roman" w:hint="eastAsia"/>
                <w:sz w:val="18"/>
                <w:szCs w:val="18"/>
              </w:rPr>
              <w:t>其他</w:t>
            </w:r>
          </w:p>
        </w:tc>
        <w:tc>
          <w:tcPr>
            <w:tcW w:w="1070" w:type="pct"/>
            <w:vAlign w:val="center"/>
          </w:tcPr>
          <w:p w:rsidR="00817043" w:rsidRPr="00A71D2E" w:rsidRDefault="00576FDF" w:rsidP="00817043">
            <w:pPr>
              <w:ind w:right="105"/>
              <w:jc w:val="right"/>
              <w:rPr>
                <w:rFonts w:eastAsia="宋体" w:cs="Times New Roman"/>
                <w:sz w:val="18"/>
                <w:szCs w:val="18"/>
              </w:rPr>
            </w:pPr>
            <w:r w:rsidRPr="00576FDF">
              <w:rPr>
                <w:rFonts w:eastAsia="宋体" w:cs="Times New Roman"/>
                <w:sz w:val="18"/>
                <w:szCs w:val="18"/>
              </w:rPr>
              <w:t>406,952.42</w:t>
            </w:r>
          </w:p>
        </w:tc>
        <w:tc>
          <w:tcPr>
            <w:tcW w:w="1070" w:type="pct"/>
            <w:vAlign w:val="center"/>
          </w:tcPr>
          <w:p w:rsidR="00817043" w:rsidRPr="00A71D2E" w:rsidRDefault="00817043" w:rsidP="00817043">
            <w:pPr>
              <w:ind w:right="105"/>
              <w:jc w:val="right"/>
              <w:rPr>
                <w:rFonts w:eastAsia="宋体" w:cs="Times New Roman"/>
                <w:sz w:val="18"/>
                <w:szCs w:val="18"/>
              </w:rPr>
            </w:pPr>
            <w:r w:rsidRPr="00A71D2E">
              <w:rPr>
                <w:rFonts w:eastAsia="宋体" w:cs="Times New Roman"/>
                <w:sz w:val="18"/>
                <w:szCs w:val="18"/>
              </w:rPr>
              <w:t>103,456.07</w:t>
            </w:r>
          </w:p>
        </w:tc>
      </w:tr>
      <w:tr w:rsidR="00817043"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817043" w:rsidRPr="00A71D2E" w:rsidRDefault="00817043" w:rsidP="00817043">
            <w:pPr>
              <w:rPr>
                <w:rFonts w:eastAsia="宋体" w:cs="Times New Roman"/>
                <w:sz w:val="18"/>
                <w:szCs w:val="18"/>
              </w:rPr>
            </w:pPr>
            <w:r w:rsidRPr="00A71D2E">
              <w:rPr>
                <w:rFonts w:eastAsia="宋体" w:cs="Times New Roman" w:hint="eastAsia"/>
                <w:bCs/>
                <w:sz w:val="18"/>
                <w:szCs w:val="18"/>
              </w:rPr>
              <w:t>合计</w:t>
            </w:r>
          </w:p>
        </w:tc>
        <w:tc>
          <w:tcPr>
            <w:tcW w:w="1070" w:type="pct"/>
            <w:vAlign w:val="center"/>
          </w:tcPr>
          <w:p w:rsidR="00817043" w:rsidRPr="00A71D2E" w:rsidRDefault="00576FDF" w:rsidP="00817043">
            <w:pPr>
              <w:ind w:right="105"/>
              <w:jc w:val="right"/>
              <w:rPr>
                <w:rFonts w:eastAsia="宋体" w:cs="Times New Roman"/>
                <w:sz w:val="18"/>
                <w:szCs w:val="18"/>
              </w:rPr>
            </w:pPr>
            <w:r w:rsidRPr="00576FDF">
              <w:rPr>
                <w:rFonts w:eastAsia="宋体" w:cs="Times New Roman"/>
                <w:sz w:val="18"/>
                <w:szCs w:val="18"/>
              </w:rPr>
              <w:t>5,237,341.36</w:t>
            </w:r>
          </w:p>
        </w:tc>
        <w:tc>
          <w:tcPr>
            <w:tcW w:w="1070" w:type="pct"/>
            <w:vAlign w:val="center"/>
          </w:tcPr>
          <w:p w:rsidR="00817043" w:rsidRPr="00A71D2E" w:rsidRDefault="00817043" w:rsidP="00817043">
            <w:pPr>
              <w:ind w:right="105"/>
              <w:jc w:val="right"/>
              <w:rPr>
                <w:rFonts w:eastAsia="宋体" w:cs="Times New Roman"/>
                <w:sz w:val="18"/>
                <w:szCs w:val="18"/>
              </w:rPr>
            </w:pPr>
            <w:r w:rsidRPr="00A71D2E">
              <w:rPr>
                <w:rFonts w:eastAsia="宋体" w:cs="Times New Roman"/>
                <w:sz w:val="18"/>
                <w:szCs w:val="18"/>
              </w:rPr>
              <w:t>465,562.70</w:t>
            </w:r>
          </w:p>
        </w:tc>
      </w:tr>
    </w:tbl>
    <w:p w:rsidR="00AA2164" w:rsidRPr="00BE4A1F" w:rsidRDefault="00AA2164">
      <w:pPr>
        <w:adjustRightInd/>
        <w:snapToGrid/>
        <w:ind w:left="720"/>
        <w:rPr>
          <w:rFonts w:eastAsia="宋体" w:cs="Times New Roman"/>
        </w:rPr>
      </w:pPr>
    </w:p>
    <w:p w:rsidR="00AA2164" w:rsidRPr="00A71D2E" w:rsidRDefault="00AA2164">
      <w:pPr>
        <w:pStyle w:val="2"/>
        <w:numPr>
          <w:ilvl w:val="2"/>
          <w:numId w:val="1"/>
        </w:numPr>
        <w:ind w:left="1440" w:hanging="720"/>
        <w:rPr>
          <w:rFonts w:ascii="Times New Roman" w:eastAsia="宋体" w:hAnsi="Times New Roman" w:cs="Times New Roman"/>
        </w:rPr>
      </w:pPr>
      <w:r w:rsidRPr="00A71D2E">
        <w:rPr>
          <w:rFonts w:ascii="Times New Roman" w:eastAsia="宋体" w:hAnsi="Times New Roman" w:cs="Times New Roman" w:hint="eastAsia"/>
        </w:rPr>
        <w:t>所得税费用</w:t>
      </w:r>
    </w:p>
    <w:p w:rsidR="00AA2164" w:rsidRPr="00A71D2E" w:rsidRDefault="00AA2164">
      <w:pPr>
        <w:ind w:left="1400" w:hanging="658"/>
        <w:jc w:val="both"/>
        <w:rPr>
          <w:rFonts w:eastAsia="宋体" w:cs="Times New Roman"/>
        </w:rPr>
      </w:pPr>
    </w:p>
    <w:p w:rsidR="00AA2164" w:rsidRPr="00A71D2E" w:rsidRDefault="00AA2164">
      <w:pPr>
        <w:pStyle w:val="aff1"/>
        <w:widowControl w:val="0"/>
        <w:numPr>
          <w:ilvl w:val="0"/>
          <w:numId w:val="17"/>
        </w:numPr>
        <w:ind w:left="1440" w:firstLineChars="0" w:hanging="720"/>
        <w:contextualSpacing/>
      </w:pPr>
      <w:r w:rsidRPr="00A71D2E">
        <w:rPr>
          <w:rFonts w:hint="eastAsia"/>
        </w:rPr>
        <w:t>所得税费用表</w:t>
      </w:r>
    </w:p>
    <w:p w:rsidR="00AA2164" w:rsidRPr="00A71D2E" w:rsidRDefault="00AA2164">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8"/>
        <w:gridCol w:w="2023"/>
        <w:gridCol w:w="2023"/>
      </w:tblGrid>
      <w:tr w:rsidR="009B5B77"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9B5B77" w:rsidRPr="00A71D2E" w:rsidRDefault="009B5B77">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themeFill="background1" w:themeFillShade="D9"/>
            <w:vAlign w:val="center"/>
          </w:tcPr>
          <w:p w:rsidR="009B5B77" w:rsidRPr="00A71D2E" w:rsidRDefault="009B5B77">
            <w:pPr>
              <w:jc w:val="center"/>
              <w:rPr>
                <w:rFonts w:eastAsia="宋体" w:cs="Times New Roman"/>
                <w:sz w:val="18"/>
                <w:szCs w:val="18"/>
              </w:rPr>
            </w:pPr>
            <w:r w:rsidRPr="00A71D2E">
              <w:rPr>
                <w:rFonts w:eastAsia="宋体" w:cs="Times New Roman" w:hint="eastAsia"/>
                <w:sz w:val="18"/>
                <w:szCs w:val="18"/>
              </w:rPr>
              <w:t>本年发生额</w:t>
            </w:r>
          </w:p>
        </w:tc>
        <w:tc>
          <w:tcPr>
            <w:tcW w:w="1070" w:type="pct"/>
            <w:shd w:val="clear" w:color="auto" w:fill="D9D9D9" w:themeFill="background1" w:themeFillShade="D9"/>
            <w:vAlign w:val="center"/>
          </w:tcPr>
          <w:p w:rsidR="009B5B77" w:rsidRPr="00A71D2E" w:rsidRDefault="009B5B77">
            <w:pPr>
              <w:jc w:val="center"/>
              <w:rPr>
                <w:rFonts w:eastAsia="宋体" w:cs="Times New Roman"/>
                <w:sz w:val="18"/>
                <w:szCs w:val="18"/>
              </w:rPr>
            </w:pPr>
            <w:r w:rsidRPr="00A71D2E">
              <w:rPr>
                <w:rFonts w:eastAsia="宋体" w:cs="Times New Roman" w:hint="eastAsia"/>
                <w:sz w:val="18"/>
                <w:szCs w:val="18"/>
              </w:rPr>
              <w:t>上年发生额</w:t>
            </w:r>
            <w:r w:rsidR="005F14EE">
              <w:rPr>
                <w:rFonts w:eastAsia="宋体" w:cs="Times New Roman" w:hint="eastAsia"/>
                <w:sz w:val="18"/>
                <w:szCs w:val="18"/>
              </w:rPr>
              <w:t>(</w:t>
            </w:r>
            <w:r w:rsidR="00BE4A1F">
              <w:rPr>
                <w:rFonts w:eastAsia="宋体" w:cs="Times New Roman" w:hint="eastAsia"/>
                <w:sz w:val="18"/>
                <w:szCs w:val="18"/>
              </w:rPr>
              <w:t>已重述</w:t>
            </w:r>
            <w:r w:rsidR="005F14EE">
              <w:rPr>
                <w:rFonts w:eastAsia="宋体" w:cs="Times New Roman" w:hint="eastAsia"/>
                <w:sz w:val="18"/>
                <w:szCs w:val="18"/>
              </w:rPr>
              <w:t>)</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817043" w:rsidRPr="00A71D2E" w:rsidRDefault="00817043" w:rsidP="00817043">
            <w:pPr>
              <w:rPr>
                <w:rFonts w:eastAsia="宋体" w:cs="Times New Roman"/>
                <w:sz w:val="18"/>
                <w:szCs w:val="18"/>
              </w:rPr>
            </w:pPr>
            <w:r w:rsidRPr="00A71D2E">
              <w:rPr>
                <w:rFonts w:eastAsia="宋体" w:cs="Times New Roman" w:hint="eastAsia"/>
                <w:sz w:val="18"/>
                <w:szCs w:val="18"/>
              </w:rPr>
              <w:t>当期所得税费用</w:t>
            </w:r>
          </w:p>
        </w:tc>
        <w:tc>
          <w:tcPr>
            <w:tcW w:w="1070" w:type="pct"/>
            <w:vAlign w:val="center"/>
          </w:tcPr>
          <w:p w:rsidR="00817043" w:rsidRPr="00A71D2E" w:rsidRDefault="000471B9" w:rsidP="00817043">
            <w:pPr>
              <w:ind w:right="102"/>
              <w:jc w:val="right"/>
              <w:rPr>
                <w:rFonts w:eastAsia="宋体" w:cs="Times New Roman"/>
                <w:sz w:val="18"/>
                <w:szCs w:val="18"/>
              </w:rPr>
            </w:pPr>
            <w:r w:rsidRPr="000471B9">
              <w:rPr>
                <w:rFonts w:eastAsia="宋体" w:cs="Times New Roman"/>
                <w:sz w:val="18"/>
                <w:szCs w:val="18"/>
              </w:rPr>
              <w:t>44,716,137.14</w:t>
            </w:r>
          </w:p>
        </w:tc>
        <w:tc>
          <w:tcPr>
            <w:tcW w:w="1070" w:type="pct"/>
            <w:vAlign w:val="center"/>
          </w:tcPr>
          <w:p w:rsidR="00817043" w:rsidRPr="00A71D2E" w:rsidRDefault="00817043" w:rsidP="00817043">
            <w:pPr>
              <w:ind w:right="102"/>
              <w:jc w:val="right"/>
              <w:rPr>
                <w:rFonts w:eastAsia="宋体" w:cs="Times New Roman"/>
                <w:sz w:val="18"/>
                <w:szCs w:val="18"/>
              </w:rPr>
            </w:pPr>
            <w:r w:rsidRPr="00A71D2E">
              <w:rPr>
                <w:rFonts w:eastAsia="宋体" w:cs="Times New Roman"/>
                <w:sz w:val="18"/>
                <w:szCs w:val="18"/>
              </w:rPr>
              <w:t>35,592,896.23</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817043" w:rsidRPr="00A71D2E" w:rsidRDefault="00817043" w:rsidP="00817043">
            <w:pPr>
              <w:rPr>
                <w:rFonts w:eastAsia="宋体" w:cs="Times New Roman"/>
                <w:sz w:val="18"/>
                <w:szCs w:val="18"/>
              </w:rPr>
            </w:pPr>
            <w:r w:rsidRPr="00A71D2E">
              <w:rPr>
                <w:rFonts w:eastAsia="宋体" w:cs="Times New Roman" w:hint="eastAsia"/>
                <w:sz w:val="18"/>
                <w:szCs w:val="18"/>
              </w:rPr>
              <w:t>递延所得税费用</w:t>
            </w:r>
          </w:p>
        </w:tc>
        <w:tc>
          <w:tcPr>
            <w:tcW w:w="1070" w:type="pct"/>
            <w:vAlign w:val="center"/>
          </w:tcPr>
          <w:p w:rsidR="00817043" w:rsidRPr="00A71D2E" w:rsidRDefault="005F14EE" w:rsidP="00817043">
            <w:pPr>
              <w:ind w:right="102"/>
              <w:jc w:val="right"/>
              <w:rPr>
                <w:rFonts w:eastAsia="宋体" w:cs="Times New Roman"/>
                <w:sz w:val="18"/>
                <w:szCs w:val="18"/>
              </w:rPr>
            </w:pPr>
            <w:r>
              <w:rPr>
                <w:rFonts w:eastAsia="宋体" w:cs="Times New Roman"/>
                <w:sz w:val="18"/>
                <w:szCs w:val="18"/>
              </w:rPr>
              <w:t>(</w:t>
            </w:r>
            <w:r w:rsidR="00BE4A1F" w:rsidRPr="00BE4A1F">
              <w:rPr>
                <w:rFonts w:eastAsia="宋体" w:cs="Times New Roman"/>
                <w:sz w:val="18"/>
                <w:szCs w:val="18"/>
              </w:rPr>
              <w:t>30,111,257.54</w:t>
            </w:r>
            <w:r>
              <w:rPr>
                <w:rFonts w:eastAsia="宋体" w:cs="Times New Roman"/>
                <w:sz w:val="18"/>
                <w:szCs w:val="18"/>
              </w:rPr>
              <w:t>)</w:t>
            </w:r>
          </w:p>
        </w:tc>
        <w:tc>
          <w:tcPr>
            <w:tcW w:w="1070" w:type="pct"/>
            <w:vAlign w:val="center"/>
          </w:tcPr>
          <w:p w:rsidR="00817043" w:rsidRPr="00A71D2E" w:rsidDel="00A74236" w:rsidRDefault="005F14EE" w:rsidP="00817043">
            <w:pPr>
              <w:ind w:right="102"/>
              <w:jc w:val="right"/>
              <w:rPr>
                <w:rFonts w:eastAsia="宋体" w:cs="Times New Roman"/>
                <w:sz w:val="18"/>
                <w:szCs w:val="18"/>
              </w:rPr>
            </w:pPr>
            <w:r>
              <w:rPr>
                <w:rFonts w:eastAsia="宋体" w:cs="Times New Roman"/>
                <w:sz w:val="18"/>
                <w:szCs w:val="18"/>
              </w:rPr>
              <w:t>(</w:t>
            </w:r>
            <w:r w:rsidR="00BE4A1F" w:rsidRPr="00BE4A1F">
              <w:rPr>
                <w:rFonts w:eastAsia="宋体" w:cs="Times New Roman"/>
                <w:sz w:val="18"/>
                <w:szCs w:val="18"/>
              </w:rPr>
              <w:t>37,995,369.05</w:t>
            </w:r>
            <w:r>
              <w:rPr>
                <w:rFonts w:eastAsia="宋体" w:cs="Times New Roman"/>
                <w:sz w:val="18"/>
                <w:szCs w:val="18"/>
              </w:rPr>
              <w:t>)</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817043" w:rsidRPr="00A71D2E" w:rsidRDefault="00817043" w:rsidP="00817043">
            <w:pPr>
              <w:ind w:right="-30"/>
              <w:rPr>
                <w:rFonts w:eastAsia="宋体" w:cs="Times New Roman"/>
                <w:sz w:val="18"/>
                <w:szCs w:val="18"/>
              </w:rPr>
            </w:pPr>
            <w:r w:rsidRPr="00A71D2E">
              <w:rPr>
                <w:rFonts w:eastAsia="宋体" w:cs="Times New Roman" w:hint="eastAsia"/>
                <w:sz w:val="18"/>
                <w:szCs w:val="18"/>
              </w:rPr>
              <w:t>以前年度所得税汇算清缴差异</w:t>
            </w:r>
          </w:p>
        </w:tc>
        <w:tc>
          <w:tcPr>
            <w:tcW w:w="1070" w:type="pct"/>
            <w:vAlign w:val="center"/>
          </w:tcPr>
          <w:p w:rsidR="00817043" w:rsidRPr="00A71D2E" w:rsidRDefault="005F14EE" w:rsidP="00817043">
            <w:pPr>
              <w:ind w:right="102"/>
              <w:jc w:val="right"/>
              <w:rPr>
                <w:rFonts w:eastAsia="宋体" w:cs="Times New Roman"/>
                <w:sz w:val="18"/>
                <w:szCs w:val="18"/>
              </w:rPr>
            </w:pPr>
            <w:r>
              <w:rPr>
                <w:rFonts w:eastAsia="宋体" w:cs="Times New Roman"/>
                <w:sz w:val="18"/>
                <w:szCs w:val="18"/>
              </w:rPr>
              <w:t>(</w:t>
            </w:r>
            <w:r w:rsidR="000471B9" w:rsidRPr="000471B9">
              <w:rPr>
                <w:rFonts w:eastAsia="宋体" w:cs="Times New Roman"/>
                <w:sz w:val="18"/>
                <w:szCs w:val="18"/>
              </w:rPr>
              <w:t>9,976,442.26</w:t>
            </w:r>
            <w:r>
              <w:rPr>
                <w:rFonts w:eastAsia="宋体" w:cs="Times New Roman"/>
                <w:sz w:val="18"/>
                <w:szCs w:val="18"/>
              </w:rPr>
              <w:t>)</w:t>
            </w:r>
          </w:p>
        </w:tc>
        <w:tc>
          <w:tcPr>
            <w:tcW w:w="1070" w:type="pct"/>
            <w:vAlign w:val="center"/>
          </w:tcPr>
          <w:p w:rsidR="00817043" w:rsidRPr="00A71D2E" w:rsidDel="00A74236" w:rsidRDefault="00817043" w:rsidP="00817043">
            <w:pPr>
              <w:ind w:right="102"/>
              <w:jc w:val="right"/>
              <w:rPr>
                <w:rFonts w:eastAsia="宋体" w:cs="Times New Roman"/>
                <w:sz w:val="18"/>
                <w:szCs w:val="18"/>
              </w:rPr>
            </w:pPr>
            <w:r w:rsidRPr="00A71D2E">
              <w:rPr>
                <w:rFonts w:eastAsia="宋体" w:cs="Times New Roman"/>
                <w:sz w:val="18"/>
                <w:szCs w:val="18"/>
              </w:rPr>
              <w:t>362,253.55</w:t>
            </w:r>
          </w:p>
        </w:tc>
      </w:tr>
      <w:tr w:rsidR="00817043"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合计</w:t>
            </w:r>
          </w:p>
        </w:tc>
        <w:tc>
          <w:tcPr>
            <w:tcW w:w="1070" w:type="pct"/>
            <w:vAlign w:val="center"/>
          </w:tcPr>
          <w:p w:rsidR="00817043" w:rsidRPr="00A71D2E" w:rsidRDefault="00BE4A1F" w:rsidP="00817043">
            <w:pPr>
              <w:ind w:right="102"/>
              <w:jc w:val="right"/>
              <w:rPr>
                <w:rFonts w:eastAsia="宋体" w:cs="Times New Roman"/>
                <w:sz w:val="18"/>
                <w:szCs w:val="18"/>
              </w:rPr>
            </w:pPr>
            <w:r w:rsidRPr="00BE4A1F">
              <w:rPr>
                <w:rFonts w:eastAsia="宋体" w:cs="Times New Roman"/>
                <w:sz w:val="18"/>
                <w:szCs w:val="18"/>
              </w:rPr>
              <w:t>4,628,437.34</w:t>
            </w:r>
          </w:p>
        </w:tc>
        <w:tc>
          <w:tcPr>
            <w:tcW w:w="1070" w:type="pct"/>
            <w:vAlign w:val="center"/>
          </w:tcPr>
          <w:p w:rsidR="00817043" w:rsidRPr="00A71D2E" w:rsidRDefault="005F14EE" w:rsidP="00817043">
            <w:pPr>
              <w:ind w:right="102"/>
              <w:jc w:val="right"/>
              <w:rPr>
                <w:rFonts w:eastAsia="宋体" w:cs="Times New Roman"/>
                <w:sz w:val="18"/>
                <w:szCs w:val="18"/>
              </w:rPr>
            </w:pPr>
            <w:r>
              <w:rPr>
                <w:rFonts w:eastAsia="宋体" w:cs="Times New Roman"/>
                <w:sz w:val="18"/>
                <w:szCs w:val="18"/>
              </w:rPr>
              <w:t>(</w:t>
            </w:r>
            <w:r w:rsidR="00BE4A1F" w:rsidRPr="00BE4A1F">
              <w:rPr>
                <w:rFonts w:eastAsia="宋体" w:cs="Times New Roman"/>
                <w:sz w:val="18"/>
                <w:szCs w:val="18"/>
              </w:rPr>
              <w:t>2,040,219.27</w:t>
            </w:r>
            <w:r>
              <w:rPr>
                <w:rFonts w:eastAsia="宋体" w:cs="Times New Roman"/>
                <w:sz w:val="18"/>
                <w:szCs w:val="18"/>
              </w:rPr>
              <w:t>)</w:t>
            </w:r>
          </w:p>
        </w:tc>
      </w:tr>
    </w:tbl>
    <w:p w:rsidR="00AA2164" w:rsidRPr="00A71D2E" w:rsidRDefault="00AA2164" w:rsidP="00F66363">
      <w:pPr>
        <w:ind w:left="720"/>
        <w:jc w:val="both"/>
        <w:rPr>
          <w:rFonts w:eastAsia="宋体" w:cs="Times New Roman"/>
        </w:rPr>
      </w:pPr>
    </w:p>
    <w:p w:rsidR="00AA2164" w:rsidRPr="00A71D2E" w:rsidRDefault="00AA2164">
      <w:pPr>
        <w:pStyle w:val="aff1"/>
        <w:numPr>
          <w:ilvl w:val="0"/>
          <w:numId w:val="17"/>
        </w:numPr>
        <w:ind w:left="1418" w:firstLineChars="0" w:hanging="698"/>
        <w:jc w:val="both"/>
      </w:pPr>
      <w:r w:rsidRPr="00A71D2E">
        <w:rPr>
          <w:rFonts w:hint="eastAsia"/>
        </w:rPr>
        <w:t>会计利润与所得税费用调整过程</w:t>
      </w:r>
    </w:p>
    <w:p w:rsidR="00AA2164" w:rsidRPr="00A71D2E" w:rsidRDefault="00AA2164">
      <w:pPr>
        <w:adjustRightInd/>
        <w:snapToGrid/>
        <w:ind w:left="72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18"/>
        </w:rPr>
        <w:t>人民币</w:t>
      </w:r>
      <w:r w:rsidRPr="00A71D2E">
        <w:rPr>
          <w:rFonts w:eastAsia="宋体" w:cs="Times New Roman" w:hint="eastAsia"/>
          <w:szCs w:val="21"/>
        </w:rPr>
        <w:t>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8"/>
        <w:gridCol w:w="2023"/>
        <w:gridCol w:w="2023"/>
      </w:tblGrid>
      <w:tr w:rsidR="009B5B77"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9B5B77" w:rsidRPr="00A71D2E" w:rsidRDefault="009B5B77">
            <w:pPr>
              <w:jc w:val="center"/>
              <w:rPr>
                <w:rFonts w:eastAsia="宋体" w:cs="Times New Roman"/>
                <w:sz w:val="18"/>
                <w:szCs w:val="18"/>
              </w:rPr>
            </w:pPr>
            <w:r w:rsidRPr="00A71D2E">
              <w:rPr>
                <w:rFonts w:eastAsia="宋体" w:cs="Times New Roman" w:hint="eastAsia"/>
                <w:sz w:val="18"/>
                <w:szCs w:val="18"/>
              </w:rPr>
              <w:t>项目</w:t>
            </w:r>
          </w:p>
        </w:tc>
        <w:tc>
          <w:tcPr>
            <w:tcW w:w="1070" w:type="pct"/>
            <w:shd w:val="clear" w:color="auto" w:fill="D9D9D9" w:themeFill="background1" w:themeFillShade="D9"/>
            <w:vAlign w:val="center"/>
          </w:tcPr>
          <w:p w:rsidR="009B5B77" w:rsidRPr="00A71D2E" w:rsidRDefault="009B5B77">
            <w:pPr>
              <w:jc w:val="center"/>
              <w:rPr>
                <w:rFonts w:eastAsia="宋体" w:cs="Times New Roman"/>
                <w:sz w:val="18"/>
                <w:szCs w:val="18"/>
              </w:rPr>
            </w:pPr>
            <w:r w:rsidRPr="00A71D2E">
              <w:rPr>
                <w:rFonts w:eastAsia="宋体" w:cs="Times New Roman" w:hint="eastAsia"/>
                <w:sz w:val="18"/>
                <w:szCs w:val="18"/>
              </w:rPr>
              <w:t>本年发生额</w:t>
            </w:r>
          </w:p>
        </w:tc>
        <w:tc>
          <w:tcPr>
            <w:tcW w:w="1070" w:type="pct"/>
            <w:shd w:val="clear" w:color="auto" w:fill="D9D9D9" w:themeFill="background1" w:themeFillShade="D9"/>
            <w:vAlign w:val="center"/>
          </w:tcPr>
          <w:p w:rsidR="009B5B77" w:rsidRPr="00A71D2E" w:rsidRDefault="009B5B77">
            <w:pPr>
              <w:jc w:val="center"/>
              <w:rPr>
                <w:rFonts w:eastAsia="宋体" w:cs="Times New Roman"/>
                <w:sz w:val="18"/>
                <w:szCs w:val="18"/>
              </w:rPr>
            </w:pPr>
            <w:r w:rsidRPr="00A71D2E">
              <w:rPr>
                <w:rFonts w:eastAsia="宋体" w:cs="Times New Roman" w:hint="eastAsia"/>
                <w:sz w:val="18"/>
                <w:szCs w:val="18"/>
              </w:rPr>
              <w:t>上年发生额</w:t>
            </w:r>
            <w:r w:rsidR="005F14EE">
              <w:rPr>
                <w:rFonts w:eastAsia="宋体" w:cs="Times New Roman" w:hint="eastAsia"/>
                <w:sz w:val="18"/>
                <w:szCs w:val="18"/>
              </w:rPr>
              <w:t>(</w:t>
            </w:r>
            <w:r w:rsidR="00BE4A1F">
              <w:rPr>
                <w:rFonts w:eastAsia="宋体" w:cs="Times New Roman" w:hint="eastAsia"/>
                <w:sz w:val="18"/>
                <w:szCs w:val="18"/>
              </w:rPr>
              <w:t>已重述</w:t>
            </w:r>
            <w:r w:rsidR="005F14EE">
              <w:rPr>
                <w:rFonts w:eastAsia="宋体" w:cs="Times New Roman" w:hint="eastAsia"/>
                <w:sz w:val="18"/>
                <w:szCs w:val="18"/>
              </w:rPr>
              <w:t>)</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hideMark/>
          </w:tcPr>
          <w:p w:rsidR="00817043" w:rsidRPr="00A71D2E" w:rsidRDefault="00817043" w:rsidP="00817043">
            <w:pPr>
              <w:rPr>
                <w:rFonts w:eastAsia="宋体" w:cs="Times New Roman"/>
                <w:sz w:val="18"/>
                <w:szCs w:val="18"/>
              </w:rPr>
            </w:pPr>
            <w:r w:rsidRPr="00A71D2E">
              <w:rPr>
                <w:rFonts w:eastAsia="宋体" w:cs="Times New Roman" w:hint="eastAsia"/>
                <w:sz w:val="18"/>
                <w:szCs w:val="18"/>
              </w:rPr>
              <w:t>会计利润</w:t>
            </w:r>
          </w:p>
        </w:tc>
        <w:tc>
          <w:tcPr>
            <w:tcW w:w="1070" w:type="pct"/>
            <w:vAlign w:val="center"/>
          </w:tcPr>
          <w:p w:rsidR="00817043" w:rsidRPr="00A71D2E" w:rsidRDefault="00BE4A1F" w:rsidP="00817043">
            <w:pPr>
              <w:ind w:right="78"/>
              <w:jc w:val="right"/>
              <w:rPr>
                <w:rFonts w:eastAsia="宋体" w:cs="Times New Roman"/>
                <w:sz w:val="18"/>
                <w:szCs w:val="18"/>
              </w:rPr>
            </w:pPr>
            <w:r w:rsidRPr="00BE4A1F">
              <w:rPr>
                <w:rFonts w:eastAsia="宋体" w:cs="Times New Roman"/>
                <w:sz w:val="18"/>
                <w:szCs w:val="18"/>
              </w:rPr>
              <w:t>567,569,200.44</w:t>
            </w:r>
          </w:p>
        </w:tc>
        <w:tc>
          <w:tcPr>
            <w:tcW w:w="1070" w:type="pct"/>
            <w:vAlign w:val="center"/>
          </w:tcPr>
          <w:p w:rsidR="00817043" w:rsidRPr="00A71D2E" w:rsidRDefault="00817043" w:rsidP="00817043">
            <w:pPr>
              <w:ind w:right="78"/>
              <w:jc w:val="right"/>
              <w:rPr>
                <w:rFonts w:eastAsia="宋体" w:cs="Times New Roman"/>
                <w:sz w:val="18"/>
                <w:szCs w:val="18"/>
              </w:rPr>
            </w:pPr>
            <w:r w:rsidRPr="00A71D2E">
              <w:rPr>
                <w:rFonts w:eastAsia="宋体" w:cs="Times New Roman"/>
                <w:sz w:val="18"/>
                <w:szCs w:val="18"/>
              </w:rPr>
              <w:t>331,448,995.15</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817043" w:rsidRPr="00A71D2E" w:rsidRDefault="00817043" w:rsidP="00817043">
            <w:pPr>
              <w:ind w:right="-120"/>
              <w:rPr>
                <w:rFonts w:eastAsia="宋体" w:cs="Times New Roman"/>
                <w:sz w:val="18"/>
                <w:szCs w:val="18"/>
              </w:rPr>
            </w:pPr>
            <w:r w:rsidRPr="00A71D2E">
              <w:rPr>
                <w:rFonts w:eastAsia="宋体" w:cs="Times New Roman" w:hint="eastAsia"/>
                <w:sz w:val="18"/>
                <w:szCs w:val="18"/>
              </w:rPr>
              <w:t>按</w:t>
            </w:r>
            <w:r w:rsidRPr="00A71D2E">
              <w:rPr>
                <w:rFonts w:eastAsia="宋体" w:cs="Times New Roman"/>
                <w:sz w:val="18"/>
                <w:szCs w:val="18"/>
              </w:rPr>
              <w:t>25%</w:t>
            </w:r>
            <w:r w:rsidRPr="00A71D2E">
              <w:rPr>
                <w:rFonts w:eastAsia="宋体" w:cs="Times New Roman" w:hint="eastAsia"/>
                <w:sz w:val="18"/>
                <w:szCs w:val="18"/>
              </w:rPr>
              <w:t>的税率计算的所得税费用</w:t>
            </w:r>
          </w:p>
        </w:tc>
        <w:tc>
          <w:tcPr>
            <w:tcW w:w="1070" w:type="pct"/>
            <w:vAlign w:val="center"/>
          </w:tcPr>
          <w:p w:rsidR="00817043" w:rsidRPr="00A71D2E" w:rsidRDefault="00BE4A1F" w:rsidP="00817043">
            <w:pPr>
              <w:ind w:right="78"/>
              <w:jc w:val="right"/>
              <w:rPr>
                <w:rFonts w:eastAsia="宋体" w:cs="Times New Roman"/>
                <w:sz w:val="18"/>
                <w:szCs w:val="18"/>
              </w:rPr>
            </w:pPr>
            <w:r w:rsidRPr="00BE4A1F">
              <w:rPr>
                <w:rFonts w:eastAsia="宋体" w:cs="Times New Roman"/>
                <w:sz w:val="18"/>
                <w:szCs w:val="18"/>
              </w:rPr>
              <w:t>141,892,300.1</w:t>
            </w:r>
            <w:r>
              <w:rPr>
                <w:rFonts w:eastAsia="宋体" w:cs="Times New Roman"/>
                <w:sz w:val="18"/>
                <w:szCs w:val="18"/>
              </w:rPr>
              <w:t>1</w:t>
            </w:r>
          </w:p>
        </w:tc>
        <w:tc>
          <w:tcPr>
            <w:tcW w:w="1070" w:type="pct"/>
            <w:vAlign w:val="center"/>
          </w:tcPr>
          <w:p w:rsidR="00817043" w:rsidRPr="00A71D2E" w:rsidRDefault="00817043" w:rsidP="00817043">
            <w:pPr>
              <w:ind w:right="78"/>
              <w:jc w:val="right"/>
              <w:rPr>
                <w:rFonts w:eastAsia="宋体" w:cs="Times New Roman"/>
                <w:sz w:val="18"/>
                <w:szCs w:val="18"/>
              </w:rPr>
            </w:pPr>
            <w:r w:rsidRPr="00A71D2E">
              <w:rPr>
                <w:rFonts w:eastAsia="宋体" w:cs="Times New Roman"/>
                <w:sz w:val="18"/>
                <w:szCs w:val="18"/>
              </w:rPr>
              <w:t>82,862,248.79</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不可抵扣费用的纳税影响</w:t>
            </w:r>
          </w:p>
        </w:tc>
        <w:tc>
          <w:tcPr>
            <w:tcW w:w="1070" w:type="pct"/>
            <w:vAlign w:val="center"/>
          </w:tcPr>
          <w:p w:rsidR="00817043" w:rsidRPr="00A71D2E" w:rsidRDefault="00BE4A1F" w:rsidP="00817043">
            <w:pPr>
              <w:ind w:right="78"/>
              <w:jc w:val="right"/>
              <w:rPr>
                <w:rFonts w:eastAsia="宋体" w:cs="Times New Roman"/>
                <w:sz w:val="18"/>
                <w:szCs w:val="18"/>
              </w:rPr>
            </w:pPr>
            <w:r w:rsidRPr="00BE4A1F">
              <w:rPr>
                <w:rFonts w:eastAsia="宋体" w:cs="Times New Roman"/>
                <w:sz w:val="18"/>
                <w:szCs w:val="18"/>
              </w:rPr>
              <w:t>5,990,603.37</w:t>
            </w:r>
          </w:p>
        </w:tc>
        <w:tc>
          <w:tcPr>
            <w:tcW w:w="1070" w:type="pct"/>
            <w:vAlign w:val="center"/>
          </w:tcPr>
          <w:p w:rsidR="00817043" w:rsidRPr="00A71D2E" w:rsidRDefault="00817043" w:rsidP="00817043">
            <w:pPr>
              <w:ind w:right="78"/>
              <w:jc w:val="right"/>
              <w:rPr>
                <w:rFonts w:eastAsia="宋体" w:cs="Times New Roman"/>
                <w:sz w:val="18"/>
                <w:szCs w:val="18"/>
              </w:rPr>
            </w:pPr>
            <w:r w:rsidRPr="00A71D2E">
              <w:rPr>
                <w:rFonts w:eastAsia="宋体" w:cs="Times New Roman"/>
                <w:sz w:val="18"/>
                <w:szCs w:val="18"/>
              </w:rPr>
              <w:t>5,880,857.77</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817043" w:rsidRPr="00A71D2E" w:rsidRDefault="00817043" w:rsidP="00770A98">
            <w:pPr>
              <w:ind w:right="32"/>
              <w:rPr>
                <w:rFonts w:eastAsia="宋体" w:cs="Times New Roman"/>
                <w:sz w:val="18"/>
                <w:szCs w:val="18"/>
              </w:rPr>
            </w:pPr>
            <w:r w:rsidRPr="00A71D2E">
              <w:rPr>
                <w:rFonts w:eastAsia="宋体" w:cs="Times New Roman" w:hint="eastAsia"/>
                <w:sz w:val="18"/>
                <w:szCs w:val="18"/>
              </w:rPr>
              <w:t>利用以前年度未确认可抵扣亏损和抵扣暂时性差异的纳税影响</w:t>
            </w:r>
          </w:p>
        </w:tc>
        <w:tc>
          <w:tcPr>
            <w:tcW w:w="1070" w:type="pct"/>
            <w:vAlign w:val="center"/>
          </w:tcPr>
          <w:p w:rsidR="00817043" w:rsidRPr="00A71D2E" w:rsidRDefault="005F14EE" w:rsidP="00817043">
            <w:pPr>
              <w:ind w:right="78"/>
              <w:jc w:val="right"/>
              <w:rPr>
                <w:rFonts w:eastAsia="宋体" w:cs="Times New Roman"/>
                <w:sz w:val="18"/>
                <w:szCs w:val="18"/>
              </w:rPr>
            </w:pPr>
            <w:r>
              <w:rPr>
                <w:rFonts w:eastAsia="宋体" w:cs="Times New Roman"/>
                <w:sz w:val="18"/>
                <w:szCs w:val="18"/>
              </w:rPr>
              <w:t>(</w:t>
            </w:r>
            <w:r w:rsidR="000471B9" w:rsidRPr="000471B9">
              <w:rPr>
                <w:rFonts w:eastAsia="宋体" w:cs="Times New Roman"/>
                <w:sz w:val="18"/>
                <w:szCs w:val="18"/>
              </w:rPr>
              <w:t>3,751,239.81</w:t>
            </w:r>
            <w:r>
              <w:rPr>
                <w:rFonts w:eastAsia="宋体" w:cs="Times New Roman"/>
                <w:sz w:val="18"/>
                <w:szCs w:val="18"/>
              </w:rPr>
              <w:t>)</w:t>
            </w:r>
          </w:p>
        </w:tc>
        <w:tc>
          <w:tcPr>
            <w:tcW w:w="1070" w:type="pct"/>
            <w:vAlign w:val="center"/>
          </w:tcPr>
          <w:p w:rsidR="00817043" w:rsidRPr="00A71D2E" w:rsidRDefault="005F14EE" w:rsidP="00817043">
            <w:pPr>
              <w:ind w:right="78"/>
              <w:jc w:val="right"/>
              <w:rPr>
                <w:rFonts w:eastAsia="宋体" w:cs="Times New Roman"/>
                <w:sz w:val="18"/>
                <w:szCs w:val="18"/>
              </w:rPr>
            </w:pPr>
            <w:r>
              <w:rPr>
                <w:rFonts w:eastAsia="宋体" w:cs="Times New Roman"/>
                <w:sz w:val="18"/>
                <w:szCs w:val="18"/>
              </w:rPr>
              <w:t>(</w:t>
            </w:r>
            <w:r w:rsidR="00BE4A1F" w:rsidRPr="00BE4A1F">
              <w:rPr>
                <w:rFonts w:eastAsia="宋体" w:cs="Times New Roman"/>
                <w:sz w:val="18"/>
                <w:szCs w:val="18"/>
              </w:rPr>
              <w:t>11,670,350.69</w:t>
            </w:r>
            <w:r>
              <w:rPr>
                <w:rFonts w:eastAsia="宋体" w:cs="Times New Roman"/>
                <w:sz w:val="18"/>
                <w:szCs w:val="18"/>
              </w:rPr>
              <w:t>)</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研发费用加计扣除</w:t>
            </w:r>
          </w:p>
        </w:tc>
        <w:tc>
          <w:tcPr>
            <w:tcW w:w="1070" w:type="pct"/>
            <w:vAlign w:val="center"/>
          </w:tcPr>
          <w:p w:rsidR="00817043" w:rsidRPr="00A71D2E" w:rsidRDefault="005F14EE" w:rsidP="00817043">
            <w:pPr>
              <w:ind w:right="78"/>
              <w:jc w:val="right"/>
              <w:rPr>
                <w:rFonts w:eastAsia="宋体" w:cs="Times New Roman"/>
                <w:sz w:val="18"/>
                <w:szCs w:val="18"/>
              </w:rPr>
            </w:pPr>
            <w:r>
              <w:rPr>
                <w:rFonts w:eastAsia="宋体" w:cs="Times New Roman"/>
                <w:sz w:val="18"/>
                <w:szCs w:val="18"/>
              </w:rPr>
              <w:t>(</w:t>
            </w:r>
            <w:r w:rsidR="00BE4A1F" w:rsidRPr="00BE4A1F">
              <w:rPr>
                <w:rFonts w:eastAsia="宋体" w:cs="Times New Roman"/>
                <w:sz w:val="18"/>
                <w:szCs w:val="18"/>
              </w:rPr>
              <w:t>151,929,241.58</w:t>
            </w:r>
            <w:r>
              <w:rPr>
                <w:rFonts w:eastAsia="宋体" w:cs="Times New Roman"/>
                <w:sz w:val="18"/>
                <w:szCs w:val="18"/>
              </w:rPr>
              <w:t>)</w:t>
            </w:r>
          </w:p>
        </w:tc>
        <w:tc>
          <w:tcPr>
            <w:tcW w:w="1070" w:type="pct"/>
            <w:vAlign w:val="center"/>
          </w:tcPr>
          <w:p w:rsidR="00817043" w:rsidRPr="00A71D2E" w:rsidRDefault="005F14EE" w:rsidP="00817043">
            <w:pPr>
              <w:ind w:right="78"/>
              <w:jc w:val="right"/>
              <w:rPr>
                <w:rFonts w:eastAsia="宋体" w:cs="Times New Roman"/>
                <w:sz w:val="18"/>
                <w:szCs w:val="18"/>
              </w:rPr>
            </w:pPr>
            <w:r>
              <w:rPr>
                <w:rFonts w:eastAsia="宋体" w:cs="Times New Roman"/>
                <w:sz w:val="18"/>
                <w:szCs w:val="18"/>
              </w:rPr>
              <w:t>(</w:t>
            </w:r>
            <w:r w:rsidR="00817043" w:rsidRPr="00A71D2E">
              <w:rPr>
                <w:rFonts w:eastAsia="宋体" w:cs="Times New Roman"/>
                <w:sz w:val="18"/>
                <w:szCs w:val="18"/>
              </w:rPr>
              <w:t>112,767,617.77</w:t>
            </w:r>
            <w:r>
              <w:rPr>
                <w:rFonts w:eastAsia="宋体" w:cs="Times New Roman"/>
                <w:sz w:val="18"/>
                <w:szCs w:val="18"/>
              </w:rPr>
              <w:t>)</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所得税汇算清缴差异</w:t>
            </w:r>
          </w:p>
        </w:tc>
        <w:tc>
          <w:tcPr>
            <w:tcW w:w="1070" w:type="pct"/>
            <w:vAlign w:val="center"/>
          </w:tcPr>
          <w:p w:rsidR="00817043" w:rsidRPr="00A71D2E" w:rsidRDefault="005F14EE" w:rsidP="00817043">
            <w:pPr>
              <w:ind w:right="78"/>
              <w:jc w:val="right"/>
              <w:rPr>
                <w:rFonts w:eastAsia="宋体" w:cs="Times New Roman"/>
                <w:sz w:val="18"/>
                <w:szCs w:val="18"/>
              </w:rPr>
            </w:pPr>
            <w:r>
              <w:rPr>
                <w:rFonts w:eastAsia="宋体" w:cs="Times New Roman"/>
                <w:sz w:val="18"/>
                <w:szCs w:val="18"/>
              </w:rPr>
              <w:t>(</w:t>
            </w:r>
            <w:r w:rsidR="000471B9" w:rsidRPr="000471B9">
              <w:rPr>
                <w:rFonts w:eastAsia="宋体" w:cs="Times New Roman"/>
                <w:sz w:val="18"/>
                <w:szCs w:val="18"/>
              </w:rPr>
              <w:t>9,976,442.26</w:t>
            </w:r>
            <w:r>
              <w:rPr>
                <w:rFonts w:eastAsia="宋体" w:cs="Times New Roman"/>
                <w:sz w:val="18"/>
                <w:szCs w:val="18"/>
              </w:rPr>
              <w:t>)</w:t>
            </w:r>
          </w:p>
        </w:tc>
        <w:tc>
          <w:tcPr>
            <w:tcW w:w="1070" w:type="pct"/>
            <w:vAlign w:val="center"/>
          </w:tcPr>
          <w:p w:rsidR="00817043" w:rsidRPr="00A71D2E" w:rsidRDefault="00817043" w:rsidP="00817043">
            <w:pPr>
              <w:ind w:right="78"/>
              <w:jc w:val="right"/>
              <w:rPr>
                <w:rFonts w:eastAsia="宋体" w:cs="Times New Roman"/>
                <w:sz w:val="18"/>
                <w:szCs w:val="18"/>
              </w:rPr>
            </w:pPr>
            <w:r w:rsidRPr="00A71D2E">
              <w:rPr>
                <w:rFonts w:eastAsia="宋体" w:cs="Times New Roman"/>
                <w:sz w:val="18"/>
                <w:szCs w:val="18"/>
              </w:rPr>
              <w:t>362,253.55</w:t>
            </w:r>
          </w:p>
        </w:tc>
      </w:tr>
      <w:tr w:rsidR="00817043" w:rsidRPr="00A71D2E" w:rsidTr="0027505B">
        <w:trPr>
          <w:trHeight w:val="20"/>
        </w:trPr>
        <w:tc>
          <w:tcPr>
            <w:tcW w:w="2859" w:type="pct"/>
            <w:shd w:val="clear" w:color="auto" w:fill="FFFFFF" w:themeFill="background1"/>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子公司税率不一致影响</w:t>
            </w:r>
          </w:p>
        </w:tc>
        <w:tc>
          <w:tcPr>
            <w:tcW w:w="1070" w:type="pct"/>
            <w:vAlign w:val="center"/>
          </w:tcPr>
          <w:p w:rsidR="00817043" w:rsidRPr="00A71D2E" w:rsidRDefault="00BE4A1F" w:rsidP="00817043">
            <w:pPr>
              <w:ind w:right="78"/>
              <w:jc w:val="right"/>
              <w:rPr>
                <w:rFonts w:eastAsia="宋体" w:cs="Times New Roman"/>
                <w:sz w:val="18"/>
                <w:szCs w:val="18"/>
              </w:rPr>
            </w:pPr>
            <w:r w:rsidRPr="00BE4A1F">
              <w:rPr>
                <w:rFonts w:eastAsia="宋体" w:cs="Times New Roman"/>
                <w:sz w:val="18"/>
                <w:szCs w:val="18"/>
              </w:rPr>
              <w:t>22,402,457.51</w:t>
            </w:r>
          </w:p>
        </w:tc>
        <w:tc>
          <w:tcPr>
            <w:tcW w:w="1070" w:type="pct"/>
            <w:vAlign w:val="center"/>
          </w:tcPr>
          <w:p w:rsidR="00817043" w:rsidRPr="00A71D2E" w:rsidRDefault="00BE4A1F" w:rsidP="00817043">
            <w:pPr>
              <w:ind w:right="78"/>
              <w:jc w:val="right"/>
              <w:rPr>
                <w:rFonts w:eastAsia="宋体" w:cs="Times New Roman"/>
                <w:sz w:val="18"/>
                <w:szCs w:val="18"/>
              </w:rPr>
            </w:pPr>
            <w:r w:rsidRPr="00BE4A1F">
              <w:rPr>
                <w:rFonts w:eastAsia="宋体" w:cs="Times New Roman"/>
                <w:sz w:val="18"/>
                <w:szCs w:val="18"/>
              </w:rPr>
              <w:t>33,292,389.08</w:t>
            </w:r>
          </w:p>
        </w:tc>
      </w:tr>
      <w:tr w:rsidR="00817043" w:rsidRPr="00A71D2E" w:rsidTr="0027505B">
        <w:trPr>
          <w:trHeight w:val="20"/>
        </w:trPr>
        <w:tc>
          <w:tcPr>
            <w:tcW w:w="2859" w:type="pct"/>
            <w:shd w:val="clear" w:color="auto" w:fill="D9D9D9" w:themeFill="background1" w:themeFillShade="D9"/>
            <w:tcMar>
              <w:top w:w="0" w:type="dxa"/>
              <w:left w:w="108" w:type="dxa"/>
              <w:bottom w:w="0" w:type="dxa"/>
              <w:right w:w="108" w:type="dxa"/>
            </w:tcMar>
            <w:vAlign w:val="center"/>
            <w:hideMark/>
          </w:tcPr>
          <w:p w:rsidR="00817043" w:rsidRPr="00A71D2E" w:rsidRDefault="00817043" w:rsidP="00817043">
            <w:pPr>
              <w:rPr>
                <w:rFonts w:eastAsia="宋体" w:cs="Times New Roman"/>
                <w:sz w:val="18"/>
                <w:szCs w:val="18"/>
              </w:rPr>
            </w:pPr>
            <w:r w:rsidRPr="00A71D2E">
              <w:rPr>
                <w:rFonts w:eastAsia="宋体" w:cs="Times New Roman" w:hint="eastAsia"/>
                <w:sz w:val="18"/>
                <w:szCs w:val="18"/>
              </w:rPr>
              <w:t>所得税费用</w:t>
            </w:r>
          </w:p>
        </w:tc>
        <w:tc>
          <w:tcPr>
            <w:tcW w:w="1070" w:type="pct"/>
            <w:vAlign w:val="center"/>
          </w:tcPr>
          <w:p w:rsidR="00817043" w:rsidRPr="00A71D2E" w:rsidRDefault="00BE4A1F" w:rsidP="00817043">
            <w:pPr>
              <w:ind w:right="78"/>
              <w:jc w:val="right"/>
              <w:rPr>
                <w:rFonts w:eastAsia="宋体" w:cs="Times New Roman"/>
                <w:sz w:val="18"/>
                <w:szCs w:val="18"/>
              </w:rPr>
            </w:pPr>
            <w:r w:rsidRPr="00BE4A1F">
              <w:rPr>
                <w:rFonts w:eastAsia="宋体" w:cs="Times New Roman"/>
                <w:sz w:val="18"/>
                <w:szCs w:val="18"/>
              </w:rPr>
              <w:t>4,628,437.34</w:t>
            </w:r>
          </w:p>
        </w:tc>
        <w:tc>
          <w:tcPr>
            <w:tcW w:w="1070" w:type="pct"/>
            <w:vAlign w:val="center"/>
          </w:tcPr>
          <w:p w:rsidR="00817043" w:rsidRPr="00A71D2E" w:rsidRDefault="005F14EE" w:rsidP="00817043">
            <w:pPr>
              <w:ind w:right="78"/>
              <w:jc w:val="right"/>
              <w:rPr>
                <w:rFonts w:eastAsia="宋体" w:cs="Times New Roman"/>
                <w:sz w:val="18"/>
                <w:szCs w:val="18"/>
              </w:rPr>
            </w:pPr>
            <w:r>
              <w:rPr>
                <w:rFonts w:eastAsia="宋体" w:cs="Times New Roman"/>
                <w:sz w:val="18"/>
                <w:szCs w:val="18"/>
              </w:rPr>
              <w:t>(</w:t>
            </w:r>
            <w:r w:rsidR="00BE4A1F" w:rsidRPr="00BE4A1F">
              <w:rPr>
                <w:rFonts w:eastAsia="宋体" w:cs="Times New Roman"/>
                <w:sz w:val="18"/>
                <w:szCs w:val="18"/>
              </w:rPr>
              <w:t>2,040,219.27</w:t>
            </w:r>
            <w:r>
              <w:rPr>
                <w:rFonts w:eastAsia="宋体" w:cs="Times New Roman"/>
                <w:sz w:val="18"/>
                <w:szCs w:val="18"/>
              </w:rPr>
              <w:t>)</w:t>
            </w:r>
          </w:p>
        </w:tc>
      </w:tr>
    </w:tbl>
    <w:p w:rsidR="00B137E1" w:rsidRDefault="00B137E1" w:rsidP="00F66363">
      <w:pPr>
        <w:adjustRightInd/>
        <w:snapToGrid/>
        <w:ind w:left="720"/>
        <w:rPr>
          <w:rFonts w:eastAsia="宋体" w:cs="Times New Roman"/>
        </w:rPr>
      </w:pPr>
    </w:p>
    <w:p w:rsidR="00B137E1" w:rsidRDefault="00B137E1">
      <w:pPr>
        <w:adjustRightInd/>
        <w:snapToGrid/>
        <w:rPr>
          <w:rFonts w:eastAsia="宋体" w:cs="Times New Roman"/>
        </w:rPr>
      </w:pPr>
      <w:r>
        <w:rPr>
          <w:rFonts w:eastAsia="宋体" w:cs="Times New Roman"/>
        </w:rPr>
        <w:br w:type="page"/>
      </w:r>
    </w:p>
    <w:p w:rsidR="00B137E1" w:rsidRPr="00F66363" w:rsidRDefault="005F14EE" w:rsidP="00B137E1">
      <w:pPr>
        <w:rPr>
          <w:rFonts w:eastAsia="宋体" w:cs="Times New Roman"/>
        </w:rPr>
      </w:pPr>
      <w:r>
        <w:rPr>
          <w:rFonts w:eastAsia="宋体" w:cs="Times New Roman"/>
          <w:b/>
          <w:szCs w:val="21"/>
        </w:rPr>
        <w:t>(</w:t>
      </w:r>
      <w:r w:rsidR="00B137E1" w:rsidRPr="00F66363">
        <w:rPr>
          <w:rFonts w:eastAsia="宋体" w:cs="Times New Roman" w:hint="eastAsia"/>
          <w:b/>
          <w:szCs w:val="21"/>
        </w:rPr>
        <w:t>五</w:t>
      </w:r>
      <w:r>
        <w:rPr>
          <w:rFonts w:eastAsia="宋体" w:cs="Times New Roman"/>
          <w:b/>
          <w:szCs w:val="21"/>
        </w:rPr>
        <w:t>)</w:t>
      </w:r>
      <w:r w:rsidR="00B137E1" w:rsidRPr="00F66363">
        <w:rPr>
          <w:rFonts w:eastAsia="宋体" w:cs="Times New Roman"/>
          <w:b/>
          <w:szCs w:val="21"/>
        </w:rPr>
        <w:tab/>
      </w:r>
      <w:r w:rsidR="00B137E1" w:rsidRPr="00F66363">
        <w:rPr>
          <w:rFonts w:eastAsia="宋体" w:cs="Times New Roman" w:hint="eastAsia"/>
          <w:b/>
          <w:szCs w:val="21"/>
        </w:rPr>
        <w:t>合并财务报表项目注释</w:t>
      </w:r>
      <w:r w:rsidR="00B137E1" w:rsidRPr="00F66363">
        <w:rPr>
          <w:rFonts w:eastAsia="宋体" w:cs="Times New Roman"/>
          <w:bCs/>
          <w:szCs w:val="21"/>
        </w:rPr>
        <w:t xml:space="preserve"> </w:t>
      </w:r>
      <w:r w:rsidR="00B137E1" w:rsidRPr="00F66363">
        <w:rPr>
          <w:rFonts w:eastAsia="宋体" w:cs="Times New Roman"/>
          <w:szCs w:val="21"/>
        </w:rPr>
        <w:t xml:space="preserve">- </w:t>
      </w:r>
      <w:r w:rsidR="00B137E1" w:rsidRPr="00F66363">
        <w:rPr>
          <w:rFonts w:eastAsia="宋体" w:cs="Times New Roman" w:hint="eastAsia"/>
          <w:szCs w:val="21"/>
        </w:rPr>
        <w:t>续</w:t>
      </w:r>
    </w:p>
    <w:p w:rsidR="00AA2164" w:rsidRPr="00B137E1" w:rsidRDefault="00AA2164" w:rsidP="00F66363">
      <w:pPr>
        <w:adjustRightInd/>
        <w:snapToGrid/>
        <w:ind w:left="720"/>
        <w:rPr>
          <w:rFonts w:eastAsia="宋体" w:cs="Times New Roman"/>
        </w:rPr>
      </w:pPr>
    </w:p>
    <w:p w:rsidR="00AA2164" w:rsidRPr="00A71D2E" w:rsidRDefault="00AA2164" w:rsidP="00F66363">
      <w:pPr>
        <w:pStyle w:val="2"/>
        <w:numPr>
          <w:ilvl w:val="2"/>
          <w:numId w:val="1"/>
        </w:numPr>
        <w:ind w:left="1440" w:hanging="720"/>
        <w:rPr>
          <w:rFonts w:ascii="Times New Roman" w:eastAsia="宋体" w:hAnsi="Times New Roman" w:cs="Times New Roman"/>
        </w:rPr>
      </w:pPr>
      <w:r w:rsidRPr="00A71D2E">
        <w:rPr>
          <w:rFonts w:ascii="Times New Roman" w:eastAsia="宋体" w:hAnsi="Times New Roman" w:cs="Times New Roman" w:hint="eastAsia"/>
        </w:rPr>
        <w:t>现金流量表项目</w:t>
      </w:r>
    </w:p>
    <w:p w:rsidR="00AA2164" w:rsidRPr="00A71D2E" w:rsidRDefault="00AA2164" w:rsidP="00F66363">
      <w:pPr>
        <w:adjustRightInd/>
        <w:snapToGrid/>
        <w:ind w:left="720"/>
        <w:rPr>
          <w:rFonts w:eastAsia="宋体" w:cs="Times New Roman"/>
        </w:rPr>
      </w:pPr>
    </w:p>
    <w:p w:rsidR="00AA2164" w:rsidRDefault="00AA2164">
      <w:pPr>
        <w:pStyle w:val="aff1"/>
        <w:widowControl w:val="0"/>
        <w:numPr>
          <w:ilvl w:val="0"/>
          <w:numId w:val="18"/>
        </w:numPr>
        <w:ind w:left="1440" w:firstLineChars="0" w:hanging="720"/>
        <w:contextualSpacing/>
        <w:rPr>
          <w:szCs w:val="21"/>
        </w:rPr>
      </w:pPr>
      <w:r w:rsidRPr="00A71D2E">
        <w:rPr>
          <w:rFonts w:hint="eastAsia"/>
          <w:szCs w:val="21"/>
        </w:rPr>
        <w:t>与经营活动有关的现金</w:t>
      </w:r>
    </w:p>
    <w:p w:rsidR="00D853D2" w:rsidRDefault="00D853D2" w:rsidP="00D853D2">
      <w:pPr>
        <w:widowControl w:val="0"/>
        <w:ind w:left="720"/>
        <w:contextualSpacing/>
        <w:rPr>
          <w:szCs w:val="21"/>
        </w:rPr>
      </w:pPr>
    </w:p>
    <w:p w:rsidR="00D853D2" w:rsidRDefault="00D853D2" w:rsidP="00D853D2">
      <w:pPr>
        <w:widowControl w:val="0"/>
        <w:ind w:left="720"/>
        <w:contextualSpacing/>
        <w:rPr>
          <w:szCs w:val="21"/>
        </w:rPr>
      </w:pPr>
      <w:r>
        <w:rPr>
          <w:rFonts w:hint="eastAsia"/>
          <w:szCs w:val="21"/>
        </w:rPr>
        <w:t>收到其他与经营活动有关的现金</w:t>
      </w:r>
    </w:p>
    <w:p w:rsidR="00AA2164" w:rsidRPr="00A71D2E" w:rsidRDefault="00AA2164" w:rsidP="00F66363">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6"/>
        <w:gridCol w:w="2025"/>
        <w:gridCol w:w="2025"/>
      </w:tblGrid>
      <w:tr w:rsidR="009B5B77" w:rsidRPr="00A71D2E" w:rsidTr="0027505B">
        <w:trPr>
          <w:trHeight w:val="20"/>
        </w:trPr>
        <w:tc>
          <w:tcPr>
            <w:tcW w:w="5406" w:type="dxa"/>
            <w:shd w:val="clear" w:color="auto" w:fill="D9D9D9" w:themeFill="background1" w:themeFillShade="D9"/>
            <w:tcMar>
              <w:top w:w="0" w:type="dxa"/>
              <w:left w:w="108" w:type="dxa"/>
              <w:bottom w:w="0" w:type="dxa"/>
              <w:right w:w="108" w:type="dxa"/>
            </w:tcMar>
            <w:vAlign w:val="center"/>
            <w:hideMark/>
          </w:tcPr>
          <w:p w:rsidR="009B5B77" w:rsidRPr="00A71D2E" w:rsidRDefault="009B5B77" w:rsidP="00F66363">
            <w:pPr>
              <w:jc w:val="center"/>
              <w:rPr>
                <w:rFonts w:eastAsia="宋体" w:cs="Times New Roman"/>
                <w:sz w:val="18"/>
                <w:szCs w:val="18"/>
              </w:rPr>
            </w:pPr>
            <w:r w:rsidRPr="00A71D2E">
              <w:rPr>
                <w:rFonts w:eastAsia="宋体" w:cs="Times New Roman" w:hint="eastAsia"/>
                <w:sz w:val="18"/>
                <w:szCs w:val="18"/>
              </w:rPr>
              <w:t>项目</w:t>
            </w:r>
          </w:p>
        </w:tc>
        <w:tc>
          <w:tcPr>
            <w:tcW w:w="2025" w:type="dxa"/>
            <w:shd w:val="clear" w:color="auto" w:fill="D9D9D9" w:themeFill="background1" w:themeFillShade="D9"/>
            <w:vAlign w:val="center"/>
          </w:tcPr>
          <w:p w:rsidR="009B5B77" w:rsidRPr="00A71D2E" w:rsidRDefault="009B5B77" w:rsidP="00F66363">
            <w:pPr>
              <w:jc w:val="center"/>
              <w:rPr>
                <w:rFonts w:eastAsia="宋体" w:cs="Times New Roman"/>
                <w:sz w:val="18"/>
                <w:szCs w:val="18"/>
              </w:rPr>
            </w:pPr>
            <w:r w:rsidRPr="00A71D2E">
              <w:rPr>
                <w:rFonts w:eastAsia="宋体" w:cs="Times New Roman" w:hint="eastAsia"/>
                <w:sz w:val="18"/>
                <w:szCs w:val="18"/>
              </w:rPr>
              <w:t>本年发生额</w:t>
            </w:r>
          </w:p>
        </w:tc>
        <w:tc>
          <w:tcPr>
            <w:tcW w:w="2025" w:type="dxa"/>
            <w:shd w:val="clear" w:color="auto" w:fill="D9D9D9" w:themeFill="background1" w:themeFillShade="D9"/>
            <w:vAlign w:val="center"/>
          </w:tcPr>
          <w:p w:rsidR="009B5B77" w:rsidRPr="00A71D2E" w:rsidRDefault="009B5B77" w:rsidP="00F66363">
            <w:pPr>
              <w:jc w:val="center"/>
              <w:rPr>
                <w:rFonts w:eastAsia="宋体" w:cs="Times New Roman"/>
                <w:sz w:val="18"/>
                <w:szCs w:val="18"/>
              </w:rPr>
            </w:pPr>
            <w:r w:rsidRPr="00A71D2E">
              <w:rPr>
                <w:rFonts w:eastAsia="宋体" w:cs="Times New Roman" w:hint="eastAsia"/>
                <w:sz w:val="18"/>
                <w:szCs w:val="18"/>
              </w:rPr>
              <w:t>上年发生额</w:t>
            </w:r>
          </w:p>
        </w:tc>
      </w:tr>
      <w:tr w:rsidR="00817043" w:rsidRPr="00A71D2E" w:rsidTr="0027505B">
        <w:trPr>
          <w:trHeight w:val="20"/>
        </w:trPr>
        <w:tc>
          <w:tcPr>
            <w:tcW w:w="5406" w:type="dxa"/>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政府补助</w:t>
            </w:r>
          </w:p>
        </w:tc>
        <w:tc>
          <w:tcPr>
            <w:tcW w:w="2025" w:type="dxa"/>
            <w:vAlign w:val="center"/>
          </w:tcPr>
          <w:p w:rsidR="00817043" w:rsidRPr="00A71D2E" w:rsidRDefault="006C546B" w:rsidP="00817043">
            <w:pPr>
              <w:ind w:right="105"/>
              <w:jc w:val="right"/>
              <w:rPr>
                <w:rFonts w:eastAsia="宋体" w:cs="Times New Roman"/>
                <w:sz w:val="18"/>
                <w:szCs w:val="18"/>
              </w:rPr>
            </w:pPr>
            <w:r w:rsidRPr="006C546B">
              <w:rPr>
                <w:rFonts w:eastAsia="宋体" w:cs="Times New Roman"/>
                <w:sz w:val="18"/>
                <w:szCs w:val="18"/>
              </w:rPr>
              <w:t>39,075,145.60</w:t>
            </w:r>
          </w:p>
        </w:tc>
        <w:tc>
          <w:tcPr>
            <w:tcW w:w="2025" w:type="dxa"/>
            <w:vAlign w:val="center"/>
          </w:tcPr>
          <w:p w:rsidR="00817043" w:rsidRPr="00A71D2E" w:rsidRDefault="00817043" w:rsidP="00817043">
            <w:pPr>
              <w:ind w:right="105"/>
              <w:jc w:val="right"/>
              <w:rPr>
                <w:rFonts w:eastAsia="宋体" w:cs="Times New Roman"/>
                <w:sz w:val="18"/>
                <w:szCs w:val="18"/>
              </w:rPr>
            </w:pPr>
            <w:r w:rsidRPr="00A71D2E">
              <w:rPr>
                <w:rFonts w:eastAsia="宋体" w:cs="Times New Roman"/>
                <w:sz w:val="18"/>
                <w:szCs w:val="18"/>
              </w:rPr>
              <w:t>51,159,473.38</w:t>
            </w:r>
          </w:p>
        </w:tc>
      </w:tr>
      <w:tr w:rsidR="00817043" w:rsidRPr="00A71D2E" w:rsidTr="0027505B">
        <w:trPr>
          <w:trHeight w:val="20"/>
        </w:trPr>
        <w:tc>
          <w:tcPr>
            <w:tcW w:w="5406" w:type="dxa"/>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利息收入</w:t>
            </w:r>
          </w:p>
        </w:tc>
        <w:tc>
          <w:tcPr>
            <w:tcW w:w="2025" w:type="dxa"/>
            <w:vAlign w:val="center"/>
          </w:tcPr>
          <w:p w:rsidR="00817043" w:rsidRPr="00A71D2E" w:rsidRDefault="00B862EC" w:rsidP="00817043">
            <w:pPr>
              <w:ind w:right="105"/>
              <w:jc w:val="right"/>
              <w:rPr>
                <w:rFonts w:eastAsia="宋体" w:cs="Times New Roman"/>
                <w:sz w:val="18"/>
                <w:szCs w:val="18"/>
              </w:rPr>
            </w:pPr>
            <w:r w:rsidRPr="00B862EC">
              <w:rPr>
                <w:rFonts w:eastAsia="宋体" w:cs="Times New Roman"/>
                <w:sz w:val="18"/>
                <w:szCs w:val="18"/>
              </w:rPr>
              <w:t>70,553,851.93</w:t>
            </w:r>
          </w:p>
        </w:tc>
        <w:tc>
          <w:tcPr>
            <w:tcW w:w="2025" w:type="dxa"/>
            <w:vAlign w:val="center"/>
          </w:tcPr>
          <w:p w:rsidR="00817043" w:rsidRPr="00A71D2E" w:rsidRDefault="00817043" w:rsidP="00817043">
            <w:pPr>
              <w:ind w:right="105"/>
              <w:jc w:val="right"/>
              <w:rPr>
                <w:rFonts w:eastAsia="宋体" w:cs="Times New Roman"/>
                <w:sz w:val="18"/>
                <w:szCs w:val="18"/>
              </w:rPr>
            </w:pPr>
            <w:r w:rsidRPr="00A71D2E">
              <w:rPr>
                <w:rFonts w:eastAsia="宋体" w:cs="Times New Roman"/>
                <w:sz w:val="18"/>
                <w:szCs w:val="18"/>
              </w:rPr>
              <w:t>34,833,182.29</w:t>
            </w:r>
          </w:p>
        </w:tc>
      </w:tr>
      <w:tr w:rsidR="00817043" w:rsidRPr="00A71D2E" w:rsidTr="0027505B">
        <w:trPr>
          <w:trHeight w:val="20"/>
        </w:trPr>
        <w:tc>
          <w:tcPr>
            <w:tcW w:w="5406" w:type="dxa"/>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赔偿收入</w:t>
            </w:r>
          </w:p>
        </w:tc>
        <w:tc>
          <w:tcPr>
            <w:tcW w:w="2025" w:type="dxa"/>
            <w:vAlign w:val="center"/>
          </w:tcPr>
          <w:p w:rsidR="00817043" w:rsidRPr="00A71D2E" w:rsidRDefault="00B862EC" w:rsidP="00817043">
            <w:pPr>
              <w:ind w:right="105"/>
              <w:jc w:val="right"/>
              <w:rPr>
                <w:rFonts w:eastAsia="宋体" w:cs="Times New Roman"/>
                <w:sz w:val="18"/>
                <w:szCs w:val="18"/>
              </w:rPr>
            </w:pPr>
            <w:r w:rsidRPr="00B862EC">
              <w:rPr>
                <w:rFonts w:eastAsia="宋体" w:cs="Times New Roman"/>
                <w:sz w:val="18"/>
                <w:szCs w:val="18"/>
              </w:rPr>
              <w:t>5,795,503.86</w:t>
            </w:r>
          </w:p>
        </w:tc>
        <w:tc>
          <w:tcPr>
            <w:tcW w:w="2025" w:type="dxa"/>
            <w:vAlign w:val="center"/>
          </w:tcPr>
          <w:p w:rsidR="00817043" w:rsidRPr="00A71D2E" w:rsidRDefault="00817043" w:rsidP="00817043">
            <w:pPr>
              <w:ind w:right="105"/>
              <w:jc w:val="right"/>
              <w:rPr>
                <w:rFonts w:eastAsia="宋体" w:cs="Times New Roman"/>
                <w:sz w:val="18"/>
                <w:szCs w:val="18"/>
              </w:rPr>
            </w:pPr>
            <w:r w:rsidRPr="00A71D2E">
              <w:rPr>
                <w:rFonts w:eastAsia="宋体" w:cs="Times New Roman"/>
                <w:sz w:val="18"/>
                <w:szCs w:val="18"/>
              </w:rPr>
              <w:t>4,506,657.10</w:t>
            </w:r>
          </w:p>
        </w:tc>
      </w:tr>
      <w:tr w:rsidR="00817043" w:rsidRPr="00A71D2E" w:rsidTr="0027505B">
        <w:trPr>
          <w:trHeight w:val="20"/>
        </w:trPr>
        <w:tc>
          <w:tcPr>
            <w:tcW w:w="5406" w:type="dxa"/>
            <w:tcMar>
              <w:top w:w="0" w:type="dxa"/>
              <w:left w:w="108" w:type="dxa"/>
              <w:bottom w:w="0" w:type="dxa"/>
              <w:right w:w="108" w:type="dxa"/>
            </w:tcMar>
            <w:vAlign w:val="center"/>
          </w:tcPr>
          <w:p w:rsidR="00817043" w:rsidRPr="00A71D2E" w:rsidRDefault="00817043" w:rsidP="00817043">
            <w:pPr>
              <w:rPr>
                <w:rFonts w:eastAsia="宋体" w:cs="Times New Roman"/>
                <w:sz w:val="18"/>
                <w:szCs w:val="18"/>
              </w:rPr>
            </w:pPr>
            <w:r w:rsidRPr="00A71D2E">
              <w:rPr>
                <w:rFonts w:eastAsia="宋体" w:cs="Times New Roman" w:hint="eastAsia"/>
                <w:sz w:val="18"/>
                <w:szCs w:val="18"/>
              </w:rPr>
              <w:t>受限资金的减少</w:t>
            </w:r>
          </w:p>
        </w:tc>
        <w:tc>
          <w:tcPr>
            <w:tcW w:w="2025" w:type="dxa"/>
            <w:vAlign w:val="center"/>
          </w:tcPr>
          <w:p w:rsidR="00817043" w:rsidRPr="00890B3D" w:rsidRDefault="00890B3D" w:rsidP="0007569E">
            <w:pPr>
              <w:ind w:right="105"/>
              <w:jc w:val="right"/>
              <w:rPr>
                <w:sz w:val="18"/>
                <w:szCs w:val="18"/>
              </w:rPr>
            </w:pPr>
            <w:r w:rsidRPr="00890B3D">
              <w:rPr>
                <w:rFonts w:eastAsia="宋体" w:cs="Times New Roman"/>
                <w:sz w:val="18"/>
                <w:szCs w:val="18"/>
              </w:rPr>
              <w:t>1,600,000.00</w:t>
            </w:r>
          </w:p>
        </w:tc>
        <w:tc>
          <w:tcPr>
            <w:tcW w:w="2025" w:type="dxa"/>
            <w:vAlign w:val="center"/>
          </w:tcPr>
          <w:p w:rsidR="00817043" w:rsidRPr="00A71D2E" w:rsidRDefault="00817043" w:rsidP="00817043">
            <w:pPr>
              <w:ind w:right="105"/>
              <w:jc w:val="right"/>
              <w:rPr>
                <w:rFonts w:eastAsia="宋体" w:cs="Times New Roman"/>
                <w:sz w:val="18"/>
                <w:szCs w:val="18"/>
              </w:rPr>
            </w:pPr>
            <w:r w:rsidRPr="00A71D2E">
              <w:rPr>
                <w:rFonts w:eastAsia="宋体" w:cs="Times New Roman"/>
                <w:sz w:val="18"/>
                <w:szCs w:val="18"/>
              </w:rPr>
              <w:t>400,000.00</w:t>
            </w:r>
          </w:p>
        </w:tc>
      </w:tr>
      <w:tr w:rsidR="00CE473D" w:rsidRPr="00A71D2E" w:rsidTr="0027505B">
        <w:trPr>
          <w:trHeight w:val="20"/>
        </w:trPr>
        <w:tc>
          <w:tcPr>
            <w:tcW w:w="5406" w:type="dxa"/>
            <w:tcMar>
              <w:top w:w="0" w:type="dxa"/>
              <w:left w:w="108" w:type="dxa"/>
              <w:bottom w:w="0" w:type="dxa"/>
              <w:right w:w="108" w:type="dxa"/>
            </w:tcMar>
            <w:vAlign w:val="center"/>
          </w:tcPr>
          <w:p w:rsidR="00CE473D" w:rsidRPr="00A71D2E" w:rsidRDefault="00CE473D" w:rsidP="00817043">
            <w:pPr>
              <w:rPr>
                <w:rFonts w:eastAsia="宋体" w:cs="Times New Roman"/>
                <w:sz w:val="18"/>
                <w:szCs w:val="18"/>
              </w:rPr>
            </w:pPr>
            <w:r>
              <w:rPr>
                <w:rFonts w:eastAsia="宋体" w:cs="Times New Roman" w:hint="eastAsia"/>
                <w:sz w:val="18"/>
                <w:szCs w:val="18"/>
              </w:rPr>
              <w:t>员工住房借款收回</w:t>
            </w:r>
          </w:p>
        </w:tc>
        <w:tc>
          <w:tcPr>
            <w:tcW w:w="2025" w:type="dxa"/>
            <w:vAlign w:val="center"/>
          </w:tcPr>
          <w:p w:rsidR="00CE473D" w:rsidRPr="00890B3D" w:rsidRDefault="00CE473D" w:rsidP="0007569E">
            <w:pPr>
              <w:ind w:right="105"/>
              <w:jc w:val="right"/>
              <w:rPr>
                <w:rFonts w:eastAsia="宋体" w:cs="Times New Roman"/>
                <w:sz w:val="18"/>
                <w:szCs w:val="18"/>
              </w:rPr>
            </w:pPr>
            <w:r w:rsidRPr="00CE473D">
              <w:rPr>
                <w:rFonts w:eastAsia="宋体" w:cs="Times New Roman"/>
                <w:sz w:val="18"/>
                <w:szCs w:val="18"/>
              </w:rPr>
              <w:t>8,093,467.65</w:t>
            </w:r>
          </w:p>
        </w:tc>
        <w:tc>
          <w:tcPr>
            <w:tcW w:w="2025" w:type="dxa"/>
            <w:vAlign w:val="center"/>
          </w:tcPr>
          <w:p w:rsidR="00CE473D" w:rsidRPr="00A71D2E" w:rsidRDefault="00CE473D" w:rsidP="00817043">
            <w:pPr>
              <w:ind w:right="105"/>
              <w:jc w:val="right"/>
              <w:rPr>
                <w:rFonts w:eastAsia="宋体" w:cs="Times New Roman"/>
                <w:sz w:val="18"/>
                <w:szCs w:val="18"/>
              </w:rPr>
            </w:pPr>
            <w:r w:rsidRPr="00A71D2E">
              <w:rPr>
                <w:rFonts w:eastAsia="宋体" w:cs="Times New Roman"/>
                <w:sz w:val="18"/>
                <w:szCs w:val="18"/>
              </w:rPr>
              <w:t>-    </w:t>
            </w:r>
          </w:p>
        </w:tc>
      </w:tr>
      <w:tr w:rsidR="00817043" w:rsidRPr="00A71D2E" w:rsidTr="0027505B">
        <w:trPr>
          <w:trHeight w:val="20"/>
        </w:trPr>
        <w:tc>
          <w:tcPr>
            <w:tcW w:w="5406" w:type="dxa"/>
            <w:tcMar>
              <w:top w:w="0" w:type="dxa"/>
              <w:left w:w="108" w:type="dxa"/>
              <w:bottom w:w="0" w:type="dxa"/>
              <w:right w:w="108" w:type="dxa"/>
            </w:tcMar>
            <w:vAlign w:val="center"/>
          </w:tcPr>
          <w:p w:rsidR="00817043" w:rsidRPr="00A71D2E" w:rsidRDefault="00B862EC" w:rsidP="00817043">
            <w:pPr>
              <w:rPr>
                <w:rFonts w:eastAsia="宋体" w:cs="Times New Roman"/>
                <w:sz w:val="18"/>
                <w:szCs w:val="18"/>
              </w:rPr>
            </w:pPr>
            <w:r>
              <w:rPr>
                <w:rFonts w:eastAsia="宋体" w:cs="Times New Roman" w:hint="eastAsia"/>
                <w:sz w:val="18"/>
                <w:szCs w:val="18"/>
              </w:rPr>
              <w:t>其</w:t>
            </w:r>
            <w:r w:rsidR="00817043" w:rsidRPr="00A71D2E">
              <w:rPr>
                <w:rFonts w:eastAsia="宋体" w:cs="Times New Roman" w:hint="eastAsia"/>
                <w:sz w:val="18"/>
                <w:szCs w:val="18"/>
              </w:rPr>
              <w:t>他</w:t>
            </w:r>
          </w:p>
        </w:tc>
        <w:tc>
          <w:tcPr>
            <w:tcW w:w="2025" w:type="dxa"/>
            <w:vAlign w:val="center"/>
          </w:tcPr>
          <w:p w:rsidR="00817043" w:rsidRPr="00A71D2E" w:rsidRDefault="00696719" w:rsidP="00817043">
            <w:pPr>
              <w:ind w:right="105"/>
              <w:jc w:val="right"/>
              <w:rPr>
                <w:rFonts w:eastAsia="宋体" w:cs="Times New Roman"/>
                <w:sz w:val="18"/>
                <w:szCs w:val="18"/>
              </w:rPr>
            </w:pPr>
            <w:r w:rsidRPr="00696719">
              <w:rPr>
                <w:rFonts w:eastAsia="宋体" w:cs="Times New Roman"/>
                <w:sz w:val="18"/>
                <w:szCs w:val="18"/>
              </w:rPr>
              <w:t>84,934.26</w:t>
            </w:r>
          </w:p>
        </w:tc>
        <w:tc>
          <w:tcPr>
            <w:tcW w:w="2025" w:type="dxa"/>
            <w:vAlign w:val="center"/>
          </w:tcPr>
          <w:p w:rsidR="00817043" w:rsidRPr="00A71D2E" w:rsidRDefault="00817043" w:rsidP="00817043">
            <w:pPr>
              <w:ind w:right="105"/>
              <w:jc w:val="right"/>
              <w:rPr>
                <w:rFonts w:eastAsia="宋体" w:cs="Times New Roman"/>
                <w:sz w:val="18"/>
                <w:szCs w:val="18"/>
              </w:rPr>
            </w:pPr>
            <w:r w:rsidRPr="00A71D2E">
              <w:rPr>
                <w:rFonts w:eastAsia="宋体" w:cs="Times New Roman"/>
                <w:sz w:val="18"/>
                <w:szCs w:val="18"/>
              </w:rPr>
              <w:t>-    </w:t>
            </w:r>
          </w:p>
        </w:tc>
      </w:tr>
      <w:tr w:rsidR="00817043" w:rsidRPr="00A71D2E" w:rsidTr="0027505B">
        <w:trPr>
          <w:trHeight w:val="20"/>
        </w:trPr>
        <w:tc>
          <w:tcPr>
            <w:tcW w:w="5406" w:type="dxa"/>
            <w:shd w:val="clear" w:color="auto" w:fill="D9D9D9" w:themeFill="background1" w:themeFillShade="D9"/>
            <w:tcMar>
              <w:top w:w="0" w:type="dxa"/>
              <w:left w:w="108" w:type="dxa"/>
              <w:bottom w:w="0" w:type="dxa"/>
              <w:right w:w="108" w:type="dxa"/>
            </w:tcMar>
            <w:vAlign w:val="center"/>
            <w:hideMark/>
          </w:tcPr>
          <w:p w:rsidR="00817043" w:rsidRPr="00A71D2E" w:rsidRDefault="00817043" w:rsidP="00817043">
            <w:pPr>
              <w:rPr>
                <w:rFonts w:eastAsia="宋体" w:cs="Times New Roman"/>
                <w:sz w:val="18"/>
                <w:szCs w:val="18"/>
              </w:rPr>
            </w:pPr>
            <w:r w:rsidRPr="00A71D2E">
              <w:rPr>
                <w:rFonts w:eastAsia="宋体" w:cs="Times New Roman" w:hint="eastAsia"/>
                <w:bCs/>
                <w:sz w:val="18"/>
                <w:szCs w:val="18"/>
              </w:rPr>
              <w:t>合计</w:t>
            </w:r>
          </w:p>
        </w:tc>
        <w:tc>
          <w:tcPr>
            <w:tcW w:w="2025" w:type="dxa"/>
            <w:vAlign w:val="center"/>
          </w:tcPr>
          <w:p w:rsidR="00817043" w:rsidRPr="00A71D2E" w:rsidRDefault="00CE473D" w:rsidP="00817043">
            <w:pPr>
              <w:ind w:right="105"/>
              <w:jc w:val="right"/>
              <w:rPr>
                <w:rFonts w:eastAsia="宋体" w:cs="Times New Roman"/>
                <w:sz w:val="18"/>
                <w:szCs w:val="18"/>
              </w:rPr>
            </w:pPr>
            <w:r w:rsidRPr="00CE473D">
              <w:rPr>
                <w:rFonts w:eastAsia="宋体" w:cs="Times New Roman"/>
                <w:sz w:val="18"/>
                <w:szCs w:val="18"/>
              </w:rPr>
              <w:t>125,202,903.30</w:t>
            </w:r>
          </w:p>
        </w:tc>
        <w:tc>
          <w:tcPr>
            <w:tcW w:w="2025" w:type="dxa"/>
            <w:vAlign w:val="center"/>
          </w:tcPr>
          <w:p w:rsidR="00817043" w:rsidRPr="00A71D2E" w:rsidRDefault="00817043" w:rsidP="00817043">
            <w:pPr>
              <w:ind w:right="105"/>
              <w:jc w:val="right"/>
              <w:rPr>
                <w:rFonts w:eastAsia="宋体" w:cs="Times New Roman"/>
                <w:sz w:val="18"/>
                <w:szCs w:val="18"/>
              </w:rPr>
            </w:pPr>
            <w:r w:rsidRPr="00A71D2E">
              <w:rPr>
                <w:rFonts w:eastAsia="宋体" w:cs="Times New Roman"/>
                <w:sz w:val="18"/>
                <w:szCs w:val="18"/>
              </w:rPr>
              <w:t>90,899,312.77</w:t>
            </w:r>
          </w:p>
        </w:tc>
      </w:tr>
    </w:tbl>
    <w:p w:rsidR="0038519B" w:rsidRPr="0027505B" w:rsidRDefault="0038519B" w:rsidP="0027505B">
      <w:pPr>
        <w:widowControl w:val="0"/>
        <w:ind w:left="720"/>
        <w:contextualSpacing/>
        <w:rPr>
          <w:szCs w:val="21"/>
        </w:rPr>
      </w:pPr>
    </w:p>
    <w:p w:rsidR="0038519B" w:rsidRPr="00D853D2" w:rsidRDefault="0038519B" w:rsidP="0027505B">
      <w:pPr>
        <w:widowControl w:val="0"/>
        <w:ind w:left="720"/>
        <w:contextualSpacing/>
        <w:rPr>
          <w:szCs w:val="21"/>
        </w:rPr>
      </w:pPr>
      <w:r w:rsidRPr="00D853D2">
        <w:rPr>
          <w:rFonts w:hint="eastAsia"/>
          <w:szCs w:val="21"/>
        </w:rPr>
        <w:t>支付其他与经营活动有关的现金</w:t>
      </w:r>
    </w:p>
    <w:p w:rsidR="0038519B" w:rsidRPr="00A71D2E" w:rsidRDefault="0038519B" w:rsidP="0038519B">
      <w:pPr>
        <w:adjustRightInd/>
        <w:snapToGrid/>
        <w:ind w:leftChars="429" w:left="901"/>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6"/>
        <w:gridCol w:w="2025"/>
        <w:gridCol w:w="2025"/>
      </w:tblGrid>
      <w:tr w:rsidR="0038519B" w:rsidRPr="00B11E71" w:rsidTr="0027505B">
        <w:trPr>
          <w:trHeight w:val="20"/>
        </w:trPr>
        <w:tc>
          <w:tcPr>
            <w:tcW w:w="5406" w:type="dxa"/>
            <w:shd w:val="clear" w:color="auto" w:fill="D9D9D9" w:themeFill="background1" w:themeFillShade="D9"/>
            <w:tcMar>
              <w:top w:w="0" w:type="dxa"/>
              <w:left w:w="108" w:type="dxa"/>
              <w:bottom w:w="0" w:type="dxa"/>
              <w:right w:w="108" w:type="dxa"/>
            </w:tcMar>
            <w:vAlign w:val="center"/>
            <w:hideMark/>
          </w:tcPr>
          <w:p w:rsidR="0038519B" w:rsidRPr="00B11E71" w:rsidRDefault="0038519B" w:rsidP="0027505B">
            <w:pPr>
              <w:ind w:leftChars="-7" w:left="-15"/>
              <w:jc w:val="center"/>
              <w:rPr>
                <w:rFonts w:eastAsia="宋体" w:cs="Times New Roman"/>
                <w:sz w:val="18"/>
                <w:szCs w:val="18"/>
              </w:rPr>
            </w:pPr>
            <w:r w:rsidRPr="00B11E71">
              <w:rPr>
                <w:rFonts w:eastAsia="宋体" w:cs="Times New Roman" w:hint="eastAsia"/>
                <w:sz w:val="18"/>
                <w:szCs w:val="18"/>
              </w:rPr>
              <w:t>项目</w:t>
            </w:r>
          </w:p>
        </w:tc>
        <w:tc>
          <w:tcPr>
            <w:tcW w:w="2025" w:type="dxa"/>
            <w:shd w:val="clear" w:color="auto" w:fill="D9D9D9" w:themeFill="background1" w:themeFillShade="D9"/>
            <w:vAlign w:val="center"/>
          </w:tcPr>
          <w:p w:rsidR="0038519B" w:rsidRPr="00B11E71" w:rsidRDefault="0038519B" w:rsidP="00E456AF">
            <w:pPr>
              <w:ind w:leftChars="86" w:left="181"/>
              <w:jc w:val="center"/>
              <w:rPr>
                <w:rFonts w:eastAsia="宋体" w:cs="Times New Roman"/>
                <w:sz w:val="18"/>
                <w:szCs w:val="18"/>
              </w:rPr>
            </w:pPr>
            <w:r w:rsidRPr="00B11E71">
              <w:rPr>
                <w:rFonts w:eastAsia="宋体" w:cs="Times New Roman" w:hint="eastAsia"/>
                <w:sz w:val="18"/>
                <w:szCs w:val="18"/>
              </w:rPr>
              <w:t>本年发生额</w:t>
            </w:r>
          </w:p>
        </w:tc>
        <w:tc>
          <w:tcPr>
            <w:tcW w:w="2025" w:type="dxa"/>
            <w:shd w:val="clear" w:color="auto" w:fill="D9D9D9" w:themeFill="background1" w:themeFillShade="D9"/>
            <w:vAlign w:val="center"/>
          </w:tcPr>
          <w:p w:rsidR="0038519B" w:rsidRPr="00B11E71" w:rsidRDefault="0038519B" w:rsidP="00E456AF">
            <w:pPr>
              <w:ind w:leftChars="86" w:left="181"/>
              <w:jc w:val="center"/>
              <w:rPr>
                <w:rFonts w:eastAsia="宋体" w:cs="Times New Roman"/>
                <w:sz w:val="18"/>
                <w:szCs w:val="18"/>
              </w:rPr>
            </w:pPr>
            <w:r w:rsidRPr="00B11E71">
              <w:rPr>
                <w:rFonts w:eastAsia="宋体" w:cs="Times New Roman" w:hint="eastAsia"/>
                <w:sz w:val="18"/>
                <w:szCs w:val="18"/>
              </w:rPr>
              <w:t>上年发生额</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销售及运营服务费</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177,483,050.55</w:t>
            </w:r>
          </w:p>
        </w:tc>
        <w:tc>
          <w:tcPr>
            <w:tcW w:w="2025" w:type="dxa"/>
            <w:vAlign w:val="center"/>
          </w:tcPr>
          <w:p w:rsidR="0038519B" w:rsidRPr="00B11E71" w:rsidRDefault="000471B9" w:rsidP="00E456AF">
            <w:pPr>
              <w:ind w:leftChars="86" w:left="181" w:rightChars="50" w:right="105"/>
              <w:jc w:val="right"/>
              <w:rPr>
                <w:rFonts w:eastAsia="宋体" w:cs="Times New Roman"/>
                <w:sz w:val="18"/>
                <w:szCs w:val="18"/>
              </w:rPr>
            </w:pPr>
            <w:r w:rsidRPr="00B11E71">
              <w:rPr>
                <w:rFonts w:eastAsia="宋体" w:cs="Times New Roman"/>
                <w:sz w:val="18"/>
                <w:szCs w:val="18"/>
              </w:rPr>
              <w:t>202,039,497.75</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研发耗材及服务费</w:t>
            </w:r>
          </w:p>
        </w:tc>
        <w:tc>
          <w:tcPr>
            <w:tcW w:w="2025" w:type="dxa"/>
            <w:vAlign w:val="center"/>
          </w:tcPr>
          <w:p w:rsidR="0038519B" w:rsidRPr="00B11E71" w:rsidRDefault="007D6753" w:rsidP="00E456AF">
            <w:pPr>
              <w:ind w:leftChars="86" w:left="181" w:rightChars="50" w:right="105"/>
              <w:jc w:val="right"/>
              <w:rPr>
                <w:rFonts w:eastAsia="宋体" w:cs="Times New Roman"/>
                <w:sz w:val="18"/>
                <w:szCs w:val="18"/>
              </w:rPr>
            </w:pPr>
            <w:r w:rsidRPr="00B11E71">
              <w:rPr>
                <w:rFonts w:eastAsia="宋体" w:cs="Times New Roman"/>
                <w:sz w:val="18"/>
                <w:szCs w:val="18"/>
              </w:rPr>
              <w:t>109,389,159.36</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78,135,376.55</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交通、车辆杂费</w:t>
            </w:r>
          </w:p>
        </w:tc>
        <w:tc>
          <w:tcPr>
            <w:tcW w:w="2025" w:type="dxa"/>
            <w:vAlign w:val="center"/>
          </w:tcPr>
          <w:p w:rsidR="0038519B" w:rsidRPr="00B11E71" w:rsidRDefault="000471B9" w:rsidP="00E456AF">
            <w:pPr>
              <w:ind w:leftChars="86" w:left="181" w:rightChars="50" w:right="105"/>
              <w:jc w:val="right"/>
              <w:rPr>
                <w:rFonts w:eastAsia="宋体" w:cs="Times New Roman"/>
                <w:sz w:val="18"/>
                <w:szCs w:val="18"/>
              </w:rPr>
            </w:pPr>
            <w:r w:rsidRPr="00B11E71">
              <w:rPr>
                <w:rFonts w:eastAsia="宋体" w:cs="Times New Roman"/>
                <w:sz w:val="18"/>
                <w:szCs w:val="18"/>
              </w:rPr>
              <w:t>8,652,888.04</w:t>
            </w:r>
          </w:p>
        </w:tc>
        <w:tc>
          <w:tcPr>
            <w:tcW w:w="2025" w:type="dxa"/>
            <w:vAlign w:val="center"/>
          </w:tcPr>
          <w:p w:rsidR="0038519B" w:rsidRPr="00B11E71" w:rsidRDefault="000471B9" w:rsidP="00E456AF">
            <w:pPr>
              <w:ind w:leftChars="86" w:left="181" w:rightChars="50" w:right="105"/>
              <w:jc w:val="right"/>
              <w:rPr>
                <w:rFonts w:eastAsia="宋体" w:cs="Times New Roman"/>
                <w:sz w:val="18"/>
                <w:szCs w:val="18"/>
              </w:rPr>
            </w:pPr>
            <w:r w:rsidRPr="00B11E71">
              <w:rPr>
                <w:rFonts w:eastAsia="宋体" w:cs="Times New Roman"/>
                <w:sz w:val="18"/>
                <w:szCs w:val="18"/>
              </w:rPr>
              <w:t>6,702,961.21</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业务宣传及赠品费</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196,716,368.83</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128,074,122.37</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办公及差旅费</w:t>
            </w:r>
          </w:p>
        </w:tc>
        <w:tc>
          <w:tcPr>
            <w:tcW w:w="2025" w:type="dxa"/>
            <w:vAlign w:val="center"/>
          </w:tcPr>
          <w:p w:rsidR="0038519B" w:rsidRPr="00B11E71" w:rsidRDefault="00696719" w:rsidP="00E456AF">
            <w:pPr>
              <w:ind w:leftChars="86" w:left="181" w:rightChars="50" w:right="105"/>
              <w:jc w:val="right"/>
              <w:rPr>
                <w:rFonts w:eastAsia="宋体" w:cs="Times New Roman"/>
                <w:sz w:val="18"/>
                <w:szCs w:val="18"/>
              </w:rPr>
            </w:pPr>
            <w:r w:rsidRPr="00B11E71">
              <w:rPr>
                <w:rFonts w:eastAsia="宋体" w:cs="Times New Roman"/>
                <w:sz w:val="18"/>
                <w:szCs w:val="18"/>
              </w:rPr>
              <w:t>85,347,791.35</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60,393,334.00</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color w:val="000000"/>
                <w:sz w:val="18"/>
                <w:szCs w:val="18"/>
              </w:rPr>
            </w:pPr>
            <w:r w:rsidRPr="00B11E71">
              <w:rPr>
                <w:rFonts w:eastAsia="宋体" w:cs="Times New Roman" w:hint="eastAsia"/>
                <w:color w:val="000000"/>
                <w:sz w:val="18"/>
                <w:szCs w:val="18"/>
              </w:rPr>
              <w:t>平台手续费</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17,256,734.37</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12,967,509.10</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租赁费</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6,309,612.74</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5,671,472.63</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业务招待费</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5,793,923.99</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5,202,109.91</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员工借款支出</w:t>
            </w:r>
          </w:p>
        </w:tc>
        <w:tc>
          <w:tcPr>
            <w:tcW w:w="2025" w:type="dxa"/>
            <w:vAlign w:val="center"/>
          </w:tcPr>
          <w:p w:rsidR="0038519B" w:rsidRPr="00B11E71" w:rsidRDefault="00CE473D" w:rsidP="00FE2C30">
            <w:pPr>
              <w:pStyle w:val="aff1"/>
              <w:wordWrap w:val="0"/>
              <w:ind w:left="541" w:rightChars="50" w:right="105" w:firstLineChars="0" w:firstLine="0"/>
              <w:jc w:val="right"/>
              <w:rPr>
                <w:sz w:val="18"/>
                <w:szCs w:val="18"/>
              </w:rPr>
            </w:pPr>
            <w:r w:rsidRPr="00B11E71">
              <w:rPr>
                <w:sz w:val="18"/>
                <w:szCs w:val="18"/>
              </w:rPr>
              <w:t>6,300,000.00</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1,283,836.26</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受限资金的增加</w:t>
            </w:r>
          </w:p>
        </w:tc>
        <w:tc>
          <w:tcPr>
            <w:tcW w:w="2025" w:type="dxa"/>
            <w:vAlign w:val="center"/>
          </w:tcPr>
          <w:p w:rsidR="0038519B" w:rsidRPr="00B11E71" w:rsidRDefault="00CE473D" w:rsidP="00E456AF">
            <w:pPr>
              <w:ind w:leftChars="86" w:left="181" w:rightChars="50" w:right="105"/>
              <w:jc w:val="right"/>
              <w:rPr>
                <w:rFonts w:eastAsia="宋体" w:cs="Times New Roman"/>
                <w:sz w:val="18"/>
                <w:szCs w:val="18"/>
              </w:rPr>
            </w:pPr>
            <w:r w:rsidRPr="00B11E71">
              <w:rPr>
                <w:rFonts w:eastAsia="宋体" w:cs="Times New Roman"/>
                <w:sz w:val="18"/>
                <w:szCs w:val="18"/>
              </w:rPr>
              <w:t>19,687,501.25</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800,000.00</w:t>
            </w:r>
          </w:p>
        </w:tc>
      </w:tr>
      <w:tr w:rsidR="006C546B" w:rsidRPr="00B11E71" w:rsidTr="0027505B">
        <w:trPr>
          <w:trHeight w:val="20"/>
        </w:trPr>
        <w:tc>
          <w:tcPr>
            <w:tcW w:w="5406" w:type="dxa"/>
            <w:tcMar>
              <w:top w:w="0" w:type="dxa"/>
              <w:left w:w="108" w:type="dxa"/>
              <w:bottom w:w="0" w:type="dxa"/>
              <w:right w:w="108" w:type="dxa"/>
            </w:tcMar>
            <w:vAlign w:val="center"/>
          </w:tcPr>
          <w:p w:rsidR="006C546B" w:rsidRPr="00B11E71" w:rsidRDefault="006C546B" w:rsidP="0027505B">
            <w:pPr>
              <w:ind w:leftChars="-7" w:left="-15"/>
              <w:rPr>
                <w:rFonts w:eastAsia="宋体" w:cs="Times New Roman"/>
                <w:color w:val="000000"/>
                <w:sz w:val="18"/>
                <w:szCs w:val="18"/>
              </w:rPr>
            </w:pPr>
            <w:r w:rsidRPr="00B11E71">
              <w:rPr>
                <w:rFonts w:eastAsia="宋体" w:cs="Times New Roman" w:hint="eastAsia"/>
                <w:color w:val="000000"/>
                <w:sz w:val="18"/>
                <w:szCs w:val="18"/>
              </w:rPr>
              <w:t>保险费</w:t>
            </w:r>
          </w:p>
        </w:tc>
        <w:tc>
          <w:tcPr>
            <w:tcW w:w="2025" w:type="dxa"/>
            <w:vAlign w:val="center"/>
          </w:tcPr>
          <w:p w:rsidR="006C546B" w:rsidRPr="00B11E71" w:rsidRDefault="006C546B" w:rsidP="00E456AF">
            <w:pPr>
              <w:ind w:leftChars="86" w:left="181" w:rightChars="50" w:right="105"/>
              <w:jc w:val="right"/>
              <w:rPr>
                <w:rFonts w:eastAsia="宋体" w:cs="Times New Roman"/>
                <w:sz w:val="18"/>
                <w:szCs w:val="18"/>
              </w:rPr>
            </w:pPr>
            <w:r w:rsidRPr="00B11E71">
              <w:rPr>
                <w:rFonts w:eastAsia="宋体" w:cs="Times New Roman"/>
                <w:sz w:val="18"/>
                <w:szCs w:val="18"/>
              </w:rPr>
              <w:t>3,841,330.40</w:t>
            </w:r>
          </w:p>
        </w:tc>
        <w:tc>
          <w:tcPr>
            <w:tcW w:w="2025" w:type="dxa"/>
            <w:vAlign w:val="center"/>
          </w:tcPr>
          <w:p w:rsidR="006C546B" w:rsidRPr="00B11E71" w:rsidRDefault="0015360C" w:rsidP="007E034A">
            <w:pPr>
              <w:pStyle w:val="aff1"/>
              <w:wordWrap w:val="0"/>
              <w:ind w:left="360" w:rightChars="50" w:right="105" w:firstLineChars="0" w:firstLine="0"/>
              <w:jc w:val="right"/>
              <w:rPr>
                <w:sz w:val="18"/>
                <w:szCs w:val="18"/>
              </w:rPr>
            </w:pPr>
            <w:r w:rsidRPr="00B11E71">
              <w:rPr>
                <w:sz w:val="18"/>
                <w:szCs w:val="18"/>
              </w:rPr>
              <w:t>4,072,084.39</w:t>
            </w:r>
          </w:p>
        </w:tc>
      </w:tr>
      <w:tr w:rsidR="0038519B" w:rsidRPr="00B11E71" w:rsidTr="0027505B">
        <w:trPr>
          <w:trHeight w:val="20"/>
        </w:trPr>
        <w:tc>
          <w:tcPr>
            <w:tcW w:w="5406" w:type="dxa"/>
            <w:tcMar>
              <w:top w:w="0" w:type="dxa"/>
              <w:left w:w="108" w:type="dxa"/>
              <w:bottom w:w="0" w:type="dxa"/>
              <w:right w:w="108" w:type="dxa"/>
            </w:tcMar>
            <w:vAlign w:val="center"/>
          </w:tcPr>
          <w:p w:rsidR="0038519B" w:rsidRPr="00B11E71" w:rsidRDefault="0038519B" w:rsidP="0027505B">
            <w:pPr>
              <w:ind w:leftChars="-7" w:left="-15"/>
              <w:rPr>
                <w:rFonts w:eastAsia="宋体" w:cs="Times New Roman"/>
                <w:sz w:val="18"/>
                <w:szCs w:val="18"/>
              </w:rPr>
            </w:pPr>
            <w:r w:rsidRPr="00B11E71">
              <w:rPr>
                <w:rFonts w:eastAsia="宋体" w:cs="Times New Roman" w:hint="eastAsia"/>
                <w:color w:val="000000"/>
                <w:sz w:val="18"/>
                <w:szCs w:val="18"/>
              </w:rPr>
              <w:t>其他</w:t>
            </w:r>
          </w:p>
        </w:tc>
        <w:tc>
          <w:tcPr>
            <w:tcW w:w="2025" w:type="dxa"/>
            <w:vAlign w:val="center"/>
          </w:tcPr>
          <w:p w:rsidR="0038519B" w:rsidRPr="00B11E71" w:rsidRDefault="00696719" w:rsidP="00E456AF">
            <w:pPr>
              <w:ind w:leftChars="86" w:left="181" w:rightChars="50" w:right="105"/>
              <w:jc w:val="right"/>
              <w:rPr>
                <w:rFonts w:eastAsia="宋体" w:cs="Times New Roman"/>
                <w:sz w:val="18"/>
                <w:szCs w:val="18"/>
              </w:rPr>
            </w:pPr>
            <w:r w:rsidRPr="00B11E71">
              <w:rPr>
                <w:rFonts w:eastAsia="宋体" w:cs="Times New Roman"/>
                <w:sz w:val="18"/>
                <w:szCs w:val="18"/>
              </w:rPr>
              <w:t>5,669,124.24</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2,707,740.74</w:t>
            </w:r>
          </w:p>
        </w:tc>
      </w:tr>
      <w:tr w:rsidR="0038519B" w:rsidRPr="00B11E71" w:rsidTr="0027505B">
        <w:trPr>
          <w:trHeight w:val="20"/>
        </w:trPr>
        <w:tc>
          <w:tcPr>
            <w:tcW w:w="5406" w:type="dxa"/>
            <w:shd w:val="clear" w:color="auto" w:fill="D9D9D9" w:themeFill="background1" w:themeFillShade="D9"/>
            <w:tcMar>
              <w:top w:w="0" w:type="dxa"/>
              <w:left w:w="108" w:type="dxa"/>
              <w:bottom w:w="0" w:type="dxa"/>
              <w:right w:w="108" w:type="dxa"/>
            </w:tcMar>
            <w:vAlign w:val="center"/>
            <w:hideMark/>
          </w:tcPr>
          <w:p w:rsidR="0038519B" w:rsidRPr="00B11E71" w:rsidRDefault="0038519B" w:rsidP="0027505B">
            <w:pPr>
              <w:ind w:leftChars="-7" w:left="-15"/>
              <w:rPr>
                <w:rFonts w:eastAsia="宋体" w:cs="Times New Roman"/>
                <w:sz w:val="18"/>
                <w:szCs w:val="18"/>
              </w:rPr>
            </w:pPr>
            <w:r w:rsidRPr="00B11E71">
              <w:rPr>
                <w:rFonts w:eastAsia="宋体" w:cs="Times New Roman" w:hint="eastAsia"/>
                <w:bCs/>
                <w:sz w:val="18"/>
                <w:szCs w:val="18"/>
              </w:rPr>
              <w:t>合计</w:t>
            </w:r>
          </w:p>
        </w:tc>
        <w:tc>
          <w:tcPr>
            <w:tcW w:w="2025" w:type="dxa"/>
            <w:vAlign w:val="center"/>
          </w:tcPr>
          <w:p w:rsidR="0038519B" w:rsidRPr="00B11E71" w:rsidRDefault="00696719" w:rsidP="00E456AF">
            <w:pPr>
              <w:ind w:leftChars="86" w:left="181" w:rightChars="50" w:right="105"/>
              <w:jc w:val="right"/>
              <w:rPr>
                <w:rFonts w:eastAsia="宋体" w:cs="Times New Roman"/>
                <w:sz w:val="18"/>
                <w:szCs w:val="18"/>
              </w:rPr>
            </w:pPr>
            <w:r w:rsidRPr="00B11E71">
              <w:rPr>
                <w:rFonts w:eastAsia="宋体" w:cs="Times New Roman"/>
                <w:sz w:val="18"/>
                <w:szCs w:val="18"/>
              </w:rPr>
              <w:t>642,447,485.12</w:t>
            </w:r>
          </w:p>
        </w:tc>
        <w:tc>
          <w:tcPr>
            <w:tcW w:w="2025" w:type="dxa"/>
            <w:vAlign w:val="center"/>
          </w:tcPr>
          <w:p w:rsidR="0038519B" w:rsidRPr="00B11E71" w:rsidRDefault="0038519B" w:rsidP="00E456AF">
            <w:pPr>
              <w:ind w:leftChars="86" w:left="181" w:rightChars="50" w:right="105"/>
              <w:jc w:val="right"/>
              <w:rPr>
                <w:rFonts w:eastAsia="宋体" w:cs="Times New Roman"/>
                <w:sz w:val="18"/>
                <w:szCs w:val="18"/>
              </w:rPr>
            </w:pPr>
            <w:r w:rsidRPr="00B11E71">
              <w:rPr>
                <w:rFonts w:eastAsia="宋体" w:cs="Times New Roman"/>
                <w:sz w:val="18"/>
                <w:szCs w:val="18"/>
              </w:rPr>
              <w:t>508,050,044.91</w:t>
            </w:r>
          </w:p>
        </w:tc>
      </w:tr>
    </w:tbl>
    <w:p w:rsidR="00451844" w:rsidRPr="00F66363" w:rsidRDefault="00451844" w:rsidP="00C81B25">
      <w:pPr>
        <w:ind w:left="720"/>
        <w:jc w:val="both"/>
        <w:rPr>
          <w:rFonts w:eastAsia="宋体" w:cs="Times New Roman"/>
          <w:b/>
          <w:bCs/>
          <w:szCs w:val="21"/>
        </w:rPr>
      </w:pPr>
    </w:p>
    <w:p w:rsidR="00AA2164" w:rsidRDefault="00AA2164">
      <w:pPr>
        <w:pStyle w:val="aff1"/>
        <w:widowControl w:val="0"/>
        <w:numPr>
          <w:ilvl w:val="0"/>
          <w:numId w:val="18"/>
        </w:numPr>
        <w:ind w:left="1440" w:firstLineChars="0" w:hanging="720"/>
        <w:rPr>
          <w:szCs w:val="21"/>
        </w:rPr>
      </w:pPr>
      <w:r w:rsidRPr="00A71D2E">
        <w:rPr>
          <w:rFonts w:hint="eastAsia"/>
          <w:szCs w:val="21"/>
        </w:rPr>
        <w:t>与筹资活动有关的现金</w:t>
      </w:r>
    </w:p>
    <w:p w:rsidR="00D853D2" w:rsidRDefault="00D853D2" w:rsidP="00D853D2">
      <w:pPr>
        <w:widowControl w:val="0"/>
        <w:ind w:left="720"/>
        <w:rPr>
          <w:szCs w:val="21"/>
        </w:rPr>
      </w:pPr>
    </w:p>
    <w:p w:rsidR="006C546B" w:rsidRDefault="006C546B" w:rsidP="006C546B">
      <w:pPr>
        <w:widowControl w:val="0"/>
        <w:ind w:left="720"/>
        <w:contextualSpacing/>
        <w:rPr>
          <w:szCs w:val="21"/>
        </w:rPr>
      </w:pPr>
      <w:r>
        <w:rPr>
          <w:rFonts w:hint="eastAsia"/>
          <w:szCs w:val="21"/>
        </w:rPr>
        <w:t>收到其他与筹资活动有关的现金</w:t>
      </w:r>
    </w:p>
    <w:p w:rsidR="006C546B" w:rsidRPr="00A71D2E" w:rsidRDefault="006C546B" w:rsidP="006C546B">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6"/>
        <w:gridCol w:w="2025"/>
        <w:gridCol w:w="2025"/>
      </w:tblGrid>
      <w:tr w:rsidR="006C546B" w:rsidRPr="00A71D2E" w:rsidTr="0027505B">
        <w:trPr>
          <w:trHeight w:val="20"/>
        </w:trPr>
        <w:tc>
          <w:tcPr>
            <w:tcW w:w="5406" w:type="dxa"/>
            <w:shd w:val="clear" w:color="auto" w:fill="D9D9D9" w:themeFill="background1" w:themeFillShade="D9"/>
            <w:tcMar>
              <w:top w:w="0" w:type="dxa"/>
              <w:left w:w="108" w:type="dxa"/>
              <w:bottom w:w="0" w:type="dxa"/>
              <w:right w:w="108" w:type="dxa"/>
            </w:tcMar>
            <w:vAlign w:val="center"/>
            <w:hideMark/>
          </w:tcPr>
          <w:p w:rsidR="006C546B" w:rsidRPr="00A71D2E" w:rsidRDefault="006C546B" w:rsidP="00E456AF">
            <w:pPr>
              <w:jc w:val="center"/>
              <w:rPr>
                <w:rFonts w:eastAsia="宋体" w:cs="Times New Roman"/>
                <w:sz w:val="18"/>
                <w:szCs w:val="18"/>
              </w:rPr>
            </w:pPr>
            <w:r w:rsidRPr="00A71D2E">
              <w:rPr>
                <w:rFonts w:eastAsia="宋体" w:cs="Times New Roman" w:hint="eastAsia"/>
                <w:sz w:val="18"/>
                <w:szCs w:val="18"/>
              </w:rPr>
              <w:t>项目</w:t>
            </w:r>
          </w:p>
        </w:tc>
        <w:tc>
          <w:tcPr>
            <w:tcW w:w="2025" w:type="dxa"/>
            <w:shd w:val="clear" w:color="auto" w:fill="D9D9D9" w:themeFill="background1" w:themeFillShade="D9"/>
            <w:vAlign w:val="center"/>
          </w:tcPr>
          <w:p w:rsidR="006C546B" w:rsidRPr="00A71D2E" w:rsidRDefault="006C546B" w:rsidP="00E456AF">
            <w:pPr>
              <w:jc w:val="center"/>
              <w:rPr>
                <w:rFonts w:eastAsia="宋体" w:cs="Times New Roman"/>
                <w:sz w:val="18"/>
                <w:szCs w:val="18"/>
              </w:rPr>
            </w:pPr>
            <w:r w:rsidRPr="00A71D2E">
              <w:rPr>
                <w:rFonts w:eastAsia="宋体" w:cs="Times New Roman" w:hint="eastAsia"/>
                <w:sz w:val="18"/>
                <w:szCs w:val="18"/>
              </w:rPr>
              <w:t>本年发生额</w:t>
            </w:r>
          </w:p>
        </w:tc>
        <w:tc>
          <w:tcPr>
            <w:tcW w:w="2025" w:type="dxa"/>
            <w:shd w:val="clear" w:color="auto" w:fill="D9D9D9" w:themeFill="background1" w:themeFillShade="D9"/>
            <w:vAlign w:val="center"/>
          </w:tcPr>
          <w:p w:rsidR="006C546B" w:rsidRPr="00A71D2E" w:rsidRDefault="006C546B" w:rsidP="00E456AF">
            <w:pPr>
              <w:jc w:val="center"/>
              <w:rPr>
                <w:rFonts w:eastAsia="宋体" w:cs="Times New Roman"/>
                <w:sz w:val="18"/>
                <w:szCs w:val="18"/>
              </w:rPr>
            </w:pPr>
            <w:r w:rsidRPr="00A71D2E">
              <w:rPr>
                <w:rFonts w:eastAsia="宋体" w:cs="Times New Roman" w:hint="eastAsia"/>
                <w:sz w:val="18"/>
                <w:szCs w:val="18"/>
              </w:rPr>
              <w:t>上年发生额</w:t>
            </w:r>
          </w:p>
        </w:tc>
      </w:tr>
      <w:tr w:rsidR="006C546B" w:rsidRPr="00A71D2E" w:rsidTr="0027505B">
        <w:trPr>
          <w:trHeight w:val="20"/>
        </w:trPr>
        <w:tc>
          <w:tcPr>
            <w:tcW w:w="5406" w:type="dxa"/>
            <w:tcMar>
              <w:top w:w="0" w:type="dxa"/>
              <w:left w:w="108" w:type="dxa"/>
              <w:bottom w:w="0" w:type="dxa"/>
              <w:right w:w="108" w:type="dxa"/>
            </w:tcMar>
            <w:vAlign w:val="center"/>
          </w:tcPr>
          <w:p w:rsidR="006C546B" w:rsidRPr="00A71D2E" w:rsidRDefault="006C546B" w:rsidP="00E456AF">
            <w:pPr>
              <w:rPr>
                <w:rFonts w:eastAsia="宋体" w:cs="Times New Roman"/>
                <w:sz w:val="18"/>
                <w:szCs w:val="18"/>
              </w:rPr>
            </w:pPr>
            <w:r>
              <w:rPr>
                <w:rFonts w:eastAsia="宋体" w:cs="Times New Roman" w:hint="eastAsia"/>
                <w:sz w:val="18"/>
                <w:szCs w:val="18"/>
              </w:rPr>
              <w:t>房屋租赁押金</w:t>
            </w:r>
          </w:p>
        </w:tc>
        <w:tc>
          <w:tcPr>
            <w:tcW w:w="2025" w:type="dxa"/>
            <w:vAlign w:val="center"/>
          </w:tcPr>
          <w:p w:rsidR="006C546B" w:rsidRPr="00A71D2E" w:rsidRDefault="006C546B" w:rsidP="00E456AF">
            <w:pPr>
              <w:ind w:right="105"/>
              <w:jc w:val="right"/>
              <w:rPr>
                <w:rFonts w:eastAsia="宋体" w:cs="Times New Roman"/>
                <w:sz w:val="18"/>
                <w:szCs w:val="18"/>
              </w:rPr>
            </w:pPr>
            <w:r w:rsidRPr="006C546B">
              <w:rPr>
                <w:rFonts w:eastAsia="宋体" w:cs="Times New Roman"/>
                <w:sz w:val="18"/>
                <w:szCs w:val="18"/>
              </w:rPr>
              <w:t>491,573.65</w:t>
            </w:r>
          </w:p>
        </w:tc>
        <w:tc>
          <w:tcPr>
            <w:tcW w:w="2025" w:type="dxa"/>
            <w:vAlign w:val="center"/>
          </w:tcPr>
          <w:p w:rsidR="006C546B" w:rsidRPr="00A71D2E" w:rsidRDefault="006C546B" w:rsidP="00E456AF">
            <w:pPr>
              <w:ind w:right="105"/>
              <w:jc w:val="right"/>
              <w:rPr>
                <w:rFonts w:eastAsia="宋体" w:cs="Times New Roman"/>
                <w:sz w:val="18"/>
                <w:szCs w:val="18"/>
              </w:rPr>
            </w:pPr>
            <w:r w:rsidRPr="00F6648E">
              <w:rPr>
                <w:sz w:val="18"/>
                <w:szCs w:val="18"/>
              </w:rPr>
              <w:t>305,980.80</w:t>
            </w:r>
          </w:p>
        </w:tc>
      </w:tr>
      <w:tr w:rsidR="006C546B" w:rsidRPr="00A71D2E" w:rsidTr="0027505B">
        <w:trPr>
          <w:trHeight w:val="20"/>
        </w:trPr>
        <w:tc>
          <w:tcPr>
            <w:tcW w:w="5406" w:type="dxa"/>
            <w:shd w:val="clear" w:color="auto" w:fill="D9D9D9" w:themeFill="background1" w:themeFillShade="D9"/>
            <w:tcMar>
              <w:top w:w="0" w:type="dxa"/>
              <w:left w:w="108" w:type="dxa"/>
              <w:bottom w:w="0" w:type="dxa"/>
              <w:right w:w="108" w:type="dxa"/>
            </w:tcMar>
            <w:vAlign w:val="center"/>
            <w:hideMark/>
          </w:tcPr>
          <w:p w:rsidR="006C546B" w:rsidRPr="00A71D2E" w:rsidRDefault="006C546B" w:rsidP="00E456AF">
            <w:pPr>
              <w:rPr>
                <w:rFonts w:eastAsia="宋体" w:cs="Times New Roman"/>
                <w:sz w:val="18"/>
                <w:szCs w:val="18"/>
              </w:rPr>
            </w:pPr>
            <w:r w:rsidRPr="00A71D2E">
              <w:rPr>
                <w:rFonts w:eastAsia="宋体" w:cs="Times New Roman" w:hint="eastAsia"/>
                <w:bCs/>
                <w:sz w:val="18"/>
                <w:szCs w:val="18"/>
              </w:rPr>
              <w:t>合计</w:t>
            </w:r>
          </w:p>
        </w:tc>
        <w:tc>
          <w:tcPr>
            <w:tcW w:w="2025" w:type="dxa"/>
            <w:vAlign w:val="center"/>
          </w:tcPr>
          <w:p w:rsidR="006C546B" w:rsidRPr="00A71D2E" w:rsidRDefault="006C546B" w:rsidP="00E456AF">
            <w:pPr>
              <w:ind w:right="105"/>
              <w:jc w:val="right"/>
              <w:rPr>
                <w:rFonts w:eastAsia="宋体" w:cs="Times New Roman"/>
                <w:sz w:val="18"/>
                <w:szCs w:val="18"/>
              </w:rPr>
            </w:pPr>
            <w:r w:rsidRPr="006C546B">
              <w:rPr>
                <w:rFonts w:eastAsia="宋体" w:cs="Times New Roman"/>
                <w:sz w:val="18"/>
                <w:szCs w:val="18"/>
              </w:rPr>
              <w:t>491,573.65</w:t>
            </w:r>
          </w:p>
        </w:tc>
        <w:tc>
          <w:tcPr>
            <w:tcW w:w="2025" w:type="dxa"/>
            <w:vAlign w:val="center"/>
          </w:tcPr>
          <w:p w:rsidR="006C546B" w:rsidRPr="00A71D2E" w:rsidRDefault="006C546B" w:rsidP="00E456AF">
            <w:pPr>
              <w:ind w:right="105"/>
              <w:jc w:val="right"/>
              <w:rPr>
                <w:rFonts w:eastAsia="宋体" w:cs="Times New Roman"/>
                <w:sz w:val="18"/>
                <w:szCs w:val="18"/>
              </w:rPr>
            </w:pPr>
            <w:r w:rsidRPr="00F6648E">
              <w:rPr>
                <w:sz w:val="18"/>
                <w:szCs w:val="18"/>
              </w:rPr>
              <w:t>305,980.80</w:t>
            </w:r>
          </w:p>
        </w:tc>
      </w:tr>
    </w:tbl>
    <w:p w:rsidR="006C546B" w:rsidRDefault="006C546B" w:rsidP="006C546B">
      <w:pPr>
        <w:adjustRightInd/>
        <w:snapToGrid/>
        <w:ind w:leftChars="337" w:left="708"/>
        <w:rPr>
          <w:rFonts w:eastAsia="宋体" w:cs="Times New Roman"/>
          <w:szCs w:val="21"/>
        </w:rPr>
      </w:pPr>
    </w:p>
    <w:p w:rsidR="00D853D2" w:rsidRPr="00D853D2" w:rsidRDefault="00D853D2" w:rsidP="00D853D2">
      <w:pPr>
        <w:widowControl w:val="0"/>
        <w:ind w:left="720"/>
        <w:rPr>
          <w:szCs w:val="21"/>
        </w:rPr>
      </w:pPr>
      <w:r>
        <w:rPr>
          <w:rFonts w:hint="eastAsia"/>
          <w:szCs w:val="21"/>
        </w:rPr>
        <w:t>支付其他与筹资活动有关的现金</w:t>
      </w:r>
    </w:p>
    <w:p w:rsidR="00AA2164" w:rsidRPr="00A71D2E" w:rsidRDefault="00AA2164">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06"/>
        <w:gridCol w:w="2025"/>
        <w:gridCol w:w="2025"/>
      </w:tblGrid>
      <w:tr w:rsidR="00FB51C5" w:rsidRPr="00A71D2E" w:rsidTr="0027505B">
        <w:trPr>
          <w:trHeight w:val="20"/>
        </w:trPr>
        <w:tc>
          <w:tcPr>
            <w:tcW w:w="5406" w:type="dxa"/>
            <w:shd w:val="clear" w:color="auto" w:fill="D9D9D9" w:themeFill="background1" w:themeFillShade="D9"/>
            <w:tcMar>
              <w:top w:w="0" w:type="dxa"/>
              <w:left w:w="108" w:type="dxa"/>
              <w:bottom w:w="0" w:type="dxa"/>
              <w:right w:w="108" w:type="dxa"/>
            </w:tcMar>
            <w:vAlign w:val="center"/>
            <w:hideMark/>
          </w:tcPr>
          <w:p w:rsidR="00FB51C5" w:rsidRPr="00A71D2E" w:rsidRDefault="00FB51C5">
            <w:pPr>
              <w:jc w:val="center"/>
              <w:rPr>
                <w:rFonts w:eastAsia="宋体" w:cs="Times New Roman"/>
                <w:sz w:val="18"/>
                <w:szCs w:val="18"/>
              </w:rPr>
            </w:pPr>
            <w:r w:rsidRPr="00A71D2E">
              <w:rPr>
                <w:rFonts w:eastAsia="宋体" w:cs="Times New Roman" w:hint="eastAsia"/>
                <w:sz w:val="18"/>
                <w:szCs w:val="18"/>
              </w:rPr>
              <w:t>项目</w:t>
            </w:r>
          </w:p>
        </w:tc>
        <w:tc>
          <w:tcPr>
            <w:tcW w:w="2025" w:type="dxa"/>
            <w:shd w:val="clear" w:color="auto" w:fill="D9D9D9" w:themeFill="background1" w:themeFillShade="D9"/>
            <w:vAlign w:val="center"/>
          </w:tcPr>
          <w:p w:rsidR="00FB51C5" w:rsidRPr="00A71D2E" w:rsidRDefault="00FB51C5">
            <w:pPr>
              <w:jc w:val="center"/>
              <w:rPr>
                <w:rFonts w:eastAsia="宋体" w:cs="Times New Roman"/>
                <w:sz w:val="18"/>
                <w:szCs w:val="18"/>
              </w:rPr>
            </w:pPr>
            <w:r w:rsidRPr="00A71D2E">
              <w:rPr>
                <w:rFonts w:eastAsia="宋体" w:cs="Times New Roman" w:hint="eastAsia"/>
                <w:sz w:val="18"/>
                <w:szCs w:val="18"/>
              </w:rPr>
              <w:t>本年发生额</w:t>
            </w:r>
          </w:p>
        </w:tc>
        <w:tc>
          <w:tcPr>
            <w:tcW w:w="2025" w:type="dxa"/>
            <w:shd w:val="clear" w:color="auto" w:fill="D9D9D9" w:themeFill="background1" w:themeFillShade="D9"/>
            <w:vAlign w:val="center"/>
          </w:tcPr>
          <w:p w:rsidR="00FB51C5" w:rsidRPr="00A71D2E" w:rsidRDefault="00FB51C5">
            <w:pPr>
              <w:jc w:val="center"/>
              <w:rPr>
                <w:rFonts w:eastAsia="宋体" w:cs="Times New Roman"/>
                <w:sz w:val="18"/>
                <w:szCs w:val="18"/>
              </w:rPr>
            </w:pPr>
            <w:r w:rsidRPr="00A71D2E">
              <w:rPr>
                <w:rFonts w:eastAsia="宋体" w:cs="Times New Roman" w:hint="eastAsia"/>
                <w:sz w:val="18"/>
                <w:szCs w:val="18"/>
              </w:rPr>
              <w:t>上年发生额</w:t>
            </w:r>
          </w:p>
        </w:tc>
      </w:tr>
      <w:tr w:rsidR="00351CC7" w:rsidRPr="00A71D2E" w:rsidTr="0027505B">
        <w:trPr>
          <w:trHeight w:val="20"/>
        </w:trPr>
        <w:tc>
          <w:tcPr>
            <w:tcW w:w="5406" w:type="dxa"/>
            <w:tcMar>
              <w:top w:w="0" w:type="dxa"/>
              <w:left w:w="108" w:type="dxa"/>
              <w:bottom w:w="0" w:type="dxa"/>
              <w:right w:w="108" w:type="dxa"/>
            </w:tcMar>
            <w:vAlign w:val="center"/>
          </w:tcPr>
          <w:p w:rsidR="00351CC7" w:rsidRPr="00A71D2E" w:rsidRDefault="00351CC7" w:rsidP="00351CC7">
            <w:pPr>
              <w:rPr>
                <w:rFonts w:eastAsia="宋体" w:cs="Times New Roman"/>
                <w:sz w:val="18"/>
                <w:szCs w:val="18"/>
              </w:rPr>
            </w:pPr>
            <w:r w:rsidRPr="00A71D2E">
              <w:rPr>
                <w:rFonts w:eastAsia="宋体" w:cs="Times New Roman" w:hint="eastAsia"/>
                <w:sz w:val="18"/>
                <w:szCs w:val="18"/>
              </w:rPr>
              <w:t>租赁负债支付</w:t>
            </w:r>
          </w:p>
        </w:tc>
        <w:tc>
          <w:tcPr>
            <w:tcW w:w="2025" w:type="dxa"/>
            <w:vAlign w:val="center"/>
          </w:tcPr>
          <w:p w:rsidR="00351CC7" w:rsidRPr="00A71D2E" w:rsidRDefault="00451844" w:rsidP="00351CC7">
            <w:pPr>
              <w:ind w:right="105"/>
              <w:jc w:val="right"/>
              <w:rPr>
                <w:rFonts w:eastAsia="宋体" w:cs="Times New Roman"/>
                <w:sz w:val="18"/>
                <w:szCs w:val="18"/>
              </w:rPr>
            </w:pPr>
            <w:r w:rsidRPr="00451844">
              <w:rPr>
                <w:rFonts w:eastAsia="宋体" w:cs="Times New Roman"/>
                <w:sz w:val="18"/>
                <w:szCs w:val="18"/>
              </w:rPr>
              <w:t>46,641,625.87</w:t>
            </w:r>
          </w:p>
        </w:tc>
        <w:tc>
          <w:tcPr>
            <w:tcW w:w="2025" w:type="dxa"/>
            <w:vAlign w:val="center"/>
          </w:tcPr>
          <w:p w:rsidR="00351CC7" w:rsidRPr="00A71D2E" w:rsidRDefault="00351CC7" w:rsidP="00351CC7">
            <w:pPr>
              <w:ind w:right="105"/>
              <w:jc w:val="right"/>
              <w:rPr>
                <w:rFonts w:eastAsia="宋体" w:cs="Times New Roman"/>
                <w:sz w:val="18"/>
                <w:szCs w:val="18"/>
              </w:rPr>
            </w:pPr>
            <w:r w:rsidRPr="00A71D2E">
              <w:rPr>
                <w:rFonts w:eastAsia="宋体" w:cs="Times New Roman"/>
                <w:sz w:val="18"/>
                <w:szCs w:val="18"/>
              </w:rPr>
              <w:t>36,670,835.94</w:t>
            </w:r>
          </w:p>
        </w:tc>
      </w:tr>
      <w:tr w:rsidR="00351CC7" w:rsidRPr="00A71D2E" w:rsidTr="0027505B">
        <w:trPr>
          <w:trHeight w:val="20"/>
        </w:trPr>
        <w:tc>
          <w:tcPr>
            <w:tcW w:w="5406" w:type="dxa"/>
            <w:tcMar>
              <w:top w:w="0" w:type="dxa"/>
              <w:left w:w="108" w:type="dxa"/>
              <w:bottom w:w="0" w:type="dxa"/>
              <w:right w:w="108" w:type="dxa"/>
            </w:tcMar>
            <w:vAlign w:val="center"/>
          </w:tcPr>
          <w:p w:rsidR="00351CC7" w:rsidRPr="00A71D2E" w:rsidRDefault="00351CC7" w:rsidP="00351CC7">
            <w:pPr>
              <w:rPr>
                <w:rFonts w:eastAsia="宋体" w:cs="Times New Roman"/>
                <w:sz w:val="18"/>
                <w:szCs w:val="18"/>
              </w:rPr>
            </w:pPr>
            <w:r>
              <w:rPr>
                <w:rFonts w:eastAsia="宋体" w:cs="Times New Roman" w:hint="eastAsia"/>
                <w:sz w:val="18"/>
                <w:szCs w:val="18"/>
              </w:rPr>
              <w:t>其他</w:t>
            </w:r>
          </w:p>
        </w:tc>
        <w:tc>
          <w:tcPr>
            <w:tcW w:w="2025" w:type="dxa"/>
            <w:vAlign w:val="center"/>
          </w:tcPr>
          <w:p w:rsidR="00351CC7" w:rsidRPr="00FA01DC" w:rsidRDefault="00696719" w:rsidP="00351CC7">
            <w:pPr>
              <w:ind w:right="105"/>
              <w:jc w:val="right"/>
              <w:rPr>
                <w:rFonts w:eastAsia="宋体" w:cs="Times New Roman"/>
                <w:sz w:val="18"/>
                <w:szCs w:val="18"/>
              </w:rPr>
            </w:pPr>
            <w:r>
              <w:rPr>
                <w:rFonts w:eastAsia="宋体" w:cs="Times New Roman"/>
                <w:sz w:val="18"/>
                <w:szCs w:val="18"/>
              </w:rPr>
              <w:t>12</w:t>
            </w:r>
            <w:r>
              <w:rPr>
                <w:rFonts w:eastAsia="宋体" w:cs="Times New Roman" w:hint="eastAsia"/>
                <w:sz w:val="18"/>
                <w:szCs w:val="18"/>
              </w:rPr>
              <w:t>,</w:t>
            </w:r>
            <w:r>
              <w:rPr>
                <w:rFonts w:eastAsia="宋体" w:cs="Times New Roman"/>
                <w:sz w:val="18"/>
                <w:szCs w:val="18"/>
              </w:rPr>
              <w:t>99</w:t>
            </w:r>
            <w:r w:rsidR="00451844" w:rsidRPr="00451844">
              <w:rPr>
                <w:rFonts w:eastAsia="宋体" w:cs="Times New Roman"/>
                <w:sz w:val="18"/>
                <w:szCs w:val="18"/>
              </w:rPr>
              <w:t>2,</w:t>
            </w:r>
            <w:r>
              <w:rPr>
                <w:rFonts w:eastAsia="宋体" w:cs="Times New Roman"/>
                <w:sz w:val="18"/>
                <w:szCs w:val="18"/>
              </w:rPr>
              <w:t>02</w:t>
            </w:r>
            <w:r w:rsidR="00451844" w:rsidRPr="00451844">
              <w:rPr>
                <w:rFonts w:eastAsia="宋体" w:cs="Times New Roman"/>
                <w:sz w:val="18"/>
                <w:szCs w:val="18"/>
              </w:rPr>
              <w:t>2.</w:t>
            </w:r>
            <w:r>
              <w:rPr>
                <w:rFonts w:eastAsia="宋体" w:cs="Times New Roman"/>
                <w:sz w:val="18"/>
                <w:szCs w:val="18"/>
              </w:rPr>
              <w:t>24</w:t>
            </w:r>
          </w:p>
        </w:tc>
        <w:tc>
          <w:tcPr>
            <w:tcW w:w="2025" w:type="dxa"/>
            <w:vAlign w:val="center"/>
          </w:tcPr>
          <w:p w:rsidR="00351CC7" w:rsidRPr="00A71D2E" w:rsidRDefault="00351CC7" w:rsidP="00351CC7">
            <w:pPr>
              <w:ind w:right="105"/>
              <w:jc w:val="right"/>
              <w:rPr>
                <w:rFonts w:eastAsia="宋体" w:cs="Times New Roman"/>
                <w:sz w:val="18"/>
                <w:szCs w:val="18"/>
              </w:rPr>
            </w:pPr>
            <w:r w:rsidRPr="001D2A7D">
              <w:rPr>
                <w:rFonts w:eastAsia="宋体" w:cs="Times New Roman"/>
                <w:sz w:val="18"/>
                <w:szCs w:val="18"/>
              </w:rPr>
              <w:t>8,708,933.04</w:t>
            </w:r>
          </w:p>
        </w:tc>
      </w:tr>
      <w:tr w:rsidR="00351CC7" w:rsidRPr="00A71D2E" w:rsidTr="0027505B">
        <w:trPr>
          <w:trHeight w:val="20"/>
        </w:trPr>
        <w:tc>
          <w:tcPr>
            <w:tcW w:w="5406" w:type="dxa"/>
            <w:shd w:val="clear" w:color="auto" w:fill="D9D9D9" w:themeFill="background1" w:themeFillShade="D9"/>
            <w:tcMar>
              <w:top w:w="0" w:type="dxa"/>
              <w:left w:w="108" w:type="dxa"/>
              <w:bottom w:w="0" w:type="dxa"/>
              <w:right w:w="108" w:type="dxa"/>
            </w:tcMar>
            <w:vAlign w:val="center"/>
            <w:hideMark/>
          </w:tcPr>
          <w:p w:rsidR="00351CC7" w:rsidRPr="00A71D2E" w:rsidRDefault="00351CC7" w:rsidP="00351CC7">
            <w:pPr>
              <w:rPr>
                <w:rFonts w:eastAsia="宋体" w:cs="Times New Roman"/>
                <w:sz w:val="18"/>
                <w:szCs w:val="18"/>
              </w:rPr>
            </w:pPr>
            <w:r w:rsidRPr="00A71D2E">
              <w:rPr>
                <w:rFonts w:eastAsia="宋体" w:cs="Times New Roman" w:hint="eastAsia"/>
                <w:sz w:val="18"/>
                <w:szCs w:val="18"/>
              </w:rPr>
              <w:t>合计</w:t>
            </w:r>
          </w:p>
        </w:tc>
        <w:tc>
          <w:tcPr>
            <w:tcW w:w="2025" w:type="dxa"/>
            <w:vAlign w:val="center"/>
          </w:tcPr>
          <w:p w:rsidR="00351CC7" w:rsidRPr="00A71D2E" w:rsidRDefault="00696719" w:rsidP="00351CC7">
            <w:pPr>
              <w:ind w:right="105"/>
              <w:jc w:val="right"/>
              <w:rPr>
                <w:rFonts w:eastAsia="宋体" w:cs="Times New Roman"/>
                <w:sz w:val="18"/>
                <w:szCs w:val="18"/>
              </w:rPr>
            </w:pPr>
            <w:r w:rsidRPr="00696719">
              <w:rPr>
                <w:rFonts w:eastAsia="宋体" w:cs="Times New Roman"/>
                <w:sz w:val="18"/>
                <w:szCs w:val="18"/>
              </w:rPr>
              <w:t>59,633,648.11</w:t>
            </w:r>
          </w:p>
        </w:tc>
        <w:tc>
          <w:tcPr>
            <w:tcW w:w="2025" w:type="dxa"/>
            <w:vAlign w:val="center"/>
          </w:tcPr>
          <w:p w:rsidR="00351CC7" w:rsidRPr="00A71D2E" w:rsidRDefault="00351CC7" w:rsidP="00351CC7">
            <w:pPr>
              <w:ind w:right="105"/>
              <w:jc w:val="right"/>
              <w:rPr>
                <w:rFonts w:eastAsia="宋体" w:cs="Times New Roman"/>
                <w:sz w:val="18"/>
                <w:szCs w:val="18"/>
              </w:rPr>
            </w:pPr>
            <w:r w:rsidRPr="00FA01DC">
              <w:rPr>
                <w:rFonts w:eastAsia="宋体" w:cs="Times New Roman"/>
                <w:sz w:val="18"/>
                <w:szCs w:val="18"/>
              </w:rPr>
              <w:t>45,379,768.98</w:t>
            </w:r>
          </w:p>
        </w:tc>
      </w:tr>
    </w:tbl>
    <w:p w:rsidR="00F36C35" w:rsidRDefault="00F36C35" w:rsidP="0041519D">
      <w:pPr>
        <w:ind w:left="720"/>
        <w:jc w:val="both"/>
        <w:rPr>
          <w:rFonts w:eastAsia="宋体" w:cs="Times New Roman"/>
          <w:szCs w:val="21"/>
        </w:rPr>
      </w:pPr>
    </w:p>
    <w:p w:rsidR="00F36C35" w:rsidRDefault="00F36C35">
      <w:pPr>
        <w:adjustRightInd/>
        <w:snapToGrid/>
        <w:rPr>
          <w:rFonts w:eastAsia="宋体" w:cs="Times New Roman"/>
          <w:szCs w:val="21"/>
        </w:rPr>
      </w:pPr>
      <w:r>
        <w:rPr>
          <w:rFonts w:eastAsia="宋体" w:cs="Times New Roman"/>
          <w:szCs w:val="21"/>
        </w:rPr>
        <w:br w:type="page"/>
      </w:r>
    </w:p>
    <w:p w:rsidR="00F36C35" w:rsidRPr="00F66363" w:rsidRDefault="005F14EE" w:rsidP="0027505B">
      <w:pPr>
        <w:adjustRightInd/>
        <w:snapToGrid/>
        <w:rPr>
          <w:rFonts w:eastAsia="宋体" w:cs="Times New Roman"/>
        </w:rPr>
      </w:pPr>
      <w:r>
        <w:rPr>
          <w:rFonts w:eastAsia="宋体" w:cs="Times New Roman"/>
          <w:b/>
          <w:szCs w:val="21"/>
        </w:rPr>
        <w:t>(</w:t>
      </w:r>
      <w:r w:rsidR="00F36C35" w:rsidRPr="00F66363">
        <w:rPr>
          <w:rFonts w:eastAsia="宋体" w:cs="Times New Roman" w:hint="eastAsia"/>
          <w:b/>
          <w:szCs w:val="21"/>
        </w:rPr>
        <w:t>五</w:t>
      </w:r>
      <w:r>
        <w:rPr>
          <w:rFonts w:eastAsia="宋体" w:cs="Times New Roman"/>
          <w:b/>
          <w:szCs w:val="21"/>
        </w:rPr>
        <w:t>)</w:t>
      </w:r>
      <w:r w:rsidR="00F36C35" w:rsidRPr="00F66363">
        <w:rPr>
          <w:rFonts w:eastAsia="宋体" w:cs="Times New Roman"/>
          <w:b/>
          <w:szCs w:val="21"/>
        </w:rPr>
        <w:tab/>
      </w:r>
      <w:r w:rsidR="00F36C35" w:rsidRPr="00F66363">
        <w:rPr>
          <w:rFonts w:eastAsia="宋体" w:cs="Times New Roman" w:hint="eastAsia"/>
          <w:b/>
          <w:szCs w:val="21"/>
        </w:rPr>
        <w:t>合并财务报表项目注释</w:t>
      </w:r>
      <w:r w:rsidR="00F36C35" w:rsidRPr="00F66363">
        <w:rPr>
          <w:rFonts w:eastAsia="宋体" w:cs="Times New Roman"/>
          <w:bCs/>
          <w:szCs w:val="21"/>
        </w:rPr>
        <w:t xml:space="preserve"> </w:t>
      </w:r>
      <w:r w:rsidR="00F36C35" w:rsidRPr="00F66363">
        <w:rPr>
          <w:rFonts w:eastAsia="宋体" w:cs="Times New Roman"/>
          <w:szCs w:val="21"/>
        </w:rPr>
        <w:t xml:space="preserve">- </w:t>
      </w:r>
      <w:r w:rsidR="00F36C35" w:rsidRPr="00F66363">
        <w:rPr>
          <w:rFonts w:eastAsia="宋体" w:cs="Times New Roman" w:hint="eastAsia"/>
          <w:szCs w:val="21"/>
        </w:rPr>
        <w:t>续</w:t>
      </w:r>
    </w:p>
    <w:p w:rsidR="00F36C35" w:rsidRPr="0027505B" w:rsidRDefault="00F36C35" w:rsidP="0027505B">
      <w:pPr>
        <w:ind w:leftChars="342" w:left="718"/>
        <w:jc w:val="both"/>
        <w:rPr>
          <w:rFonts w:eastAsia="宋体" w:cs="Times New Roman"/>
          <w:szCs w:val="21"/>
        </w:rPr>
      </w:pPr>
    </w:p>
    <w:p w:rsidR="00F36C35" w:rsidRDefault="00F36C35" w:rsidP="0027505B">
      <w:pPr>
        <w:ind w:leftChars="342" w:left="718"/>
        <w:jc w:val="both"/>
        <w:rPr>
          <w:rFonts w:eastAsia="宋体" w:cs="Times New Roman"/>
          <w:szCs w:val="21"/>
        </w:rPr>
      </w:pPr>
      <w:r>
        <w:rPr>
          <w:rFonts w:eastAsia="宋体" w:cs="Times New Roman"/>
          <w:b/>
          <w:bCs/>
          <w:szCs w:val="21"/>
        </w:rPr>
        <w:t>50</w:t>
      </w:r>
      <w:r w:rsidRPr="00F66363">
        <w:rPr>
          <w:rFonts w:eastAsia="宋体" w:cs="Times New Roman" w:hint="eastAsia"/>
          <w:b/>
          <w:bCs/>
          <w:szCs w:val="21"/>
        </w:rPr>
        <w:t>、</w:t>
      </w:r>
      <w:r w:rsidRPr="00F66363">
        <w:rPr>
          <w:rFonts w:eastAsia="宋体" w:cs="Times New Roman"/>
          <w:b/>
          <w:bCs/>
          <w:szCs w:val="21"/>
        </w:rPr>
        <w:tab/>
      </w:r>
      <w:r w:rsidRPr="00F66363">
        <w:rPr>
          <w:rFonts w:eastAsia="宋体" w:cs="Times New Roman" w:hint="eastAsia"/>
          <w:b/>
          <w:bCs/>
          <w:szCs w:val="21"/>
        </w:rPr>
        <w:t>现金流量表项目</w:t>
      </w:r>
      <w:r w:rsidRPr="00F66363">
        <w:rPr>
          <w:rFonts w:eastAsia="宋体" w:cs="Times New Roman"/>
          <w:szCs w:val="21"/>
        </w:rPr>
        <w:t xml:space="preserve"> - </w:t>
      </w:r>
      <w:r w:rsidRPr="00F66363">
        <w:rPr>
          <w:rFonts w:eastAsia="宋体" w:cs="Times New Roman" w:hint="eastAsia"/>
          <w:szCs w:val="21"/>
        </w:rPr>
        <w:t>续</w:t>
      </w:r>
    </w:p>
    <w:p w:rsidR="00F36C35" w:rsidRDefault="00F36C35" w:rsidP="0027505B">
      <w:pPr>
        <w:ind w:leftChars="342" w:left="718"/>
        <w:jc w:val="both"/>
        <w:rPr>
          <w:rFonts w:eastAsia="宋体" w:cs="Times New Roman"/>
          <w:szCs w:val="21"/>
        </w:rPr>
      </w:pPr>
    </w:p>
    <w:p w:rsidR="00F36C35" w:rsidRDefault="005F14EE" w:rsidP="0027505B">
      <w:pPr>
        <w:adjustRightInd/>
        <w:snapToGrid/>
        <w:ind w:leftChars="342" w:left="718"/>
        <w:rPr>
          <w:rFonts w:eastAsia="宋体" w:cs="Times New Roman"/>
          <w:szCs w:val="21"/>
        </w:rPr>
      </w:pPr>
      <w:r>
        <w:rPr>
          <w:rFonts w:eastAsia="宋体" w:cs="Times New Roman" w:hint="eastAsia"/>
          <w:szCs w:val="21"/>
        </w:rPr>
        <w:t>(</w:t>
      </w:r>
      <w:r w:rsidR="00F36C35">
        <w:rPr>
          <w:rFonts w:eastAsia="宋体" w:cs="Times New Roman"/>
          <w:szCs w:val="21"/>
        </w:rPr>
        <w:t>2</w:t>
      </w:r>
      <w:r>
        <w:rPr>
          <w:rFonts w:eastAsia="宋体" w:cs="Times New Roman" w:hint="eastAsia"/>
          <w:szCs w:val="21"/>
        </w:rPr>
        <w:t>)</w:t>
      </w:r>
      <w:r w:rsidR="00F36C35" w:rsidRPr="00AD414D">
        <w:rPr>
          <w:rFonts w:eastAsia="宋体" w:cs="Times New Roman" w:hint="eastAsia"/>
          <w:szCs w:val="21"/>
        </w:rPr>
        <w:tab/>
      </w:r>
      <w:r w:rsidR="00F36C35" w:rsidRPr="00A71D2E">
        <w:rPr>
          <w:rFonts w:hint="eastAsia"/>
          <w:szCs w:val="21"/>
        </w:rPr>
        <w:t>与筹资活动有关的现金</w:t>
      </w:r>
      <w:r w:rsidR="00F36C35">
        <w:rPr>
          <w:rFonts w:eastAsia="宋体" w:cs="Times New Roman" w:hint="eastAsia"/>
          <w:szCs w:val="21"/>
        </w:rPr>
        <w:t xml:space="preserve"> </w:t>
      </w:r>
      <w:r w:rsidR="00F36C35" w:rsidRPr="00F66363">
        <w:rPr>
          <w:rFonts w:eastAsia="宋体" w:cs="Times New Roman"/>
          <w:szCs w:val="21"/>
        </w:rPr>
        <w:t xml:space="preserve">- </w:t>
      </w:r>
      <w:r w:rsidR="00F36C35" w:rsidRPr="00F66363">
        <w:rPr>
          <w:rFonts w:eastAsia="宋体" w:cs="Times New Roman" w:hint="eastAsia"/>
          <w:szCs w:val="21"/>
        </w:rPr>
        <w:t>续</w:t>
      </w:r>
    </w:p>
    <w:p w:rsidR="00216834" w:rsidRDefault="00216834" w:rsidP="0027505B">
      <w:pPr>
        <w:ind w:leftChars="342" w:left="718"/>
        <w:jc w:val="both"/>
        <w:rPr>
          <w:rFonts w:eastAsia="宋体" w:cs="Times New Roman"/>
          <w:szCs w:val="21"/>
        </w:rPr>
      </w:pPr>
    </w:p>
    <w:p w:rsidR="00676DC7" w:rsidRDefault="00676DC7" w:rsidP="0027505B">
      <w:pPr>
        <w:ind w:leftChars="342" w:left="718"/>
        <w:jc w:val="both"/>
        <w:rPr>
          <w:rFonts w:eastAsia="宋体" w:cs="Times New Roman"/>
          <w:szCs w:val="21"/>
        </w:rPr>
      </w:pPr>
      <w:r w:rsidRPr="00241042">
        <w:rPr>
          <w:rFonts w:eastAsia="宋体" w:cs="Times New Roman" w:hint="eastAsia"/>
          <w:szCs w:val="21"/>
        </w:rPr>
        <w:t>筹资活动产生的各项负债变动情况</w:t>
      </w:r>
    </w:p>
    <w:p w:rsidR="00676DC7" w:rsidRPr="00F701A7" w:rsidRDefault="00676DC7" w:rsidP="00F701A7">
      <w:pPr>
        <w:ind w:leftChars="429" w:left="901"/>
        <w:jc w:val="right"/>
        <w:rPr>
          <w:rFonts w:eastAsia="宋体" w:cs="Times New Roman"/>
          <w:szCs w:val="18"/>
        </w:rPr>
      </w:pPr>
      <w:r w:rsidRPr="00F701A7">
        <w:rPr>
          <w:rFonts w:eastAsia="宋体" w:cs="Times New Roman" w:hint="eastAsia"/>
          <w:szCs w:val="18"/>
        </w:rPr>
        <w:t>单位</w:t>
      </w:r>
      <w:r w:rsidR="005F14EE">
        <w:rPr>
          <w:rFonts w:eastAsia="宋体" w:cs="Times New Roman" w:hint="eastAsia"/>
          <w:szCs w:val="18"/>
        </w:rPr>
        <w:t>：</w:t>
      </w:r>
      <w:r w:rsidRPr="00F701A7">
        <w:rPr>
          <w:rFonts w:eastAsia="宋体" w:cs="Times New Roman"/>
          <w:szCs w:val="18"/>
        </w:rPr>
        <w:t>人民币元</w:t>
      </w:r>
    </w:p>
    <w:tbl>
      <w:tblPr>
        <w:tblStyle w:val="TableGrid"/>
        <w:tblW w:w="9450" w:type="dxa"/>
        <w:tblInd w:w="715" w:type="dxa"/>
        <w:tblLayout w:type="fixed"/>
        <w:tblCellMar>
          <w:top w:w="12" w:type="dxa"/>
          <w:left w:w="110" w:type="dxa"/>
          <w:right w:w="58" w:type="dxa"/>
        </w:tblCellMar>
        <w:tblLook w:val="04A0" w:firstRow="1" w:lastRow="0" w:firstColumn="1" w:lastColumn="0" w:noHBand="0" w:noVBand="1"/>
      </w:tblPr>
      <w:tblGrid>
        <w:gridCol w:w="1890"/>
        <w:gridCol w:w="1218"/>
        <w:gridCol w:w="1275"/>
        <w:gridCol w:w="1276"/>
        <w:gridCol w:w="1276"/>
        <w:gridCol w:w="1276"/>
        <w:gridCol w:w="1239"/>
      </w:tblGrid>
      <w:tr w:rsidR="00D3339A" w:rsidRPr="00B11E71" w:rsidTr="0027505B">
        <w:trPr>
          <w:trHeight w:val="20"/>
        </w:trPr>
        <w:tc>
          <w:tcPr>
            <w:tcW w:w="1890"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DD7949">
            <w:pPr>
              <w:ind w:rightChars="-7" w:right="-15"/>
              <w:jc w:val="center"/>
              <w:rPr>
                <w:rFonts w:ascii="宋体" w:eastAsia="宋体" w:hAnsi="宋体" w:cs="Times New Roman"/>
                <w:sz w:val="15"/>
                <w:szCs w:val="15"/>
              </w:rPr>
            </w:pPr>
            <w:r w:rsidRPr="00B11E71">
              <w:rPr>
                <w:rFonts w:ascii="宋体" w:eastAsia="宋体" w:hAnsi="宋体" w:cs="Times New Roman" w:hint="eastAsia"/>
                <w:sz w:val="15"/>
                <w:szCs w:val="15"/>
              </w:rPr>
              <w:t>项目</w:t>
            </w:r>
          </w:p>
        </w:tc>
        <w:tc>
          <w:tcPr>
            <w:tcW w:w="121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E00966" w:rsidP="0027505B">
            <w:pPr>
              <w:ind w:leftChars="32" w:left="68" w:rightChars="27" w:right="57" w:hangingChars="1" w:hanging="1"/>
              <w:jc w:val="center"/>
              <w:rPr>
                <w:rFonts w:ascii="宋体" w:eastAsia="宋体" w:hAnsi="宋体" w:cs="Times New Roman"/>
                <w:sz w:val="15"/>
                <w:szCs w:val="15"/>
              </w:rPr>
            </w:pPr>
            <w:r w:rsidRPr="00B11E71">
              <w:rPr>
                <w:rFonts w:ascii="宋体" w:eastAsia="宋体" w:hAnsi="宋体" w:hint="eastAsia"/>
                <w:sz w:val="15"/>
                <w:szCs w:val="15"/>
              </w:rPr>
              <w:t>年初</w:t>
            </w:r>
            <w:r w:rsidR="00676DC7" w:rsidRPr="00B11E71">
              <w:rPr>
                <w:rFonts w:ascii="宋体" w:eastAsia="宋体" w:hAnsi="宋体" w:cs="Times New Roman" w:hint="eastAsia"/>
                <w:sz w:val="15"/>
                <w:szCs w:val="15"/>
              </w:rPr>
              <w:t>余额</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E00966" w:rsidP="0027505B">
            <w:pPr>
              <w:ind w:leftChars="120" w:left="252" w:rightChars="27" w:right="57" w:firstLine="17"/>
              <w:jc w:val="center"/>
              <w:rPr>
                <w:rFonts w:ascii="宋体" w:eastAsia="宋体" w:hAnsi="宋体" w:cs="Times New Roman"/>
                <w:sz w:val="15"/>
                <w:szCs w:val="15"/>
              </w:rPr>
            </w:pPr>
            <w:r w:rsidRPr="00B11E71">
              <w:rPr>
                <w:rFonts w:ascii="宋体" w:eastAsia="宋体" w:hAnsi="宋体" w:hint="eastAsia"/>
                <w:sz w:val="15"/>
                <w:szCs w:val="15"/>
              </w:rPr>
              <w:t>本年增加</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E00966" w:rsidP="0027505B">
            <w:pPr>
              <w:ind w:leftChars="120" w:left="252" w:rightChars="27" w:right="57" w:firstLine="17"/>
              <w:jc w:val="center"/>
              <w:rPr>
                <w:rFonts w:ascii="宋体" w:eastAsia="宋体" w:hAnsi="宋体" w:cs="Times New Roman"/>
                <w:sz w:val="15"/>
                <w:szCs w:val="15"/>
              </w:rPr>
            </w:pPr>
            <w:r w:rsidRPr="00B11E71">
              <w:rPr>
                <w:rFonts w:ascii="宋体" w:eastAsia="宋体" w:hAnsi="宋体" w:hint="eastAsia"/>
                <w:sz w:val="15"/>
                <w:szCs w:val="15"/>
              </w:rPr>
              <w:t>本年</w:t>
            </w:r>
            <w:r w:rsidR="00676DC7" w:rsidRPr="00B11E71">
              <w:rPr>
                <w:rFonts w:ascii="宋体" w:eastAsia="宋体" w:hAnsi="宋体" w:cs="Times New Roman" w:hint="eastAsia"/>
                <w:sz w:val="15"/>
                <w:szCs w:val="15"/>
              </w:rPr>
              <w:t>减少</w:t>
            </w:r>
          </w:p>
        </w:tc>
        <w:tc>
          <w:tcPr>
            <w:tcW w:w="1239"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E00966" w:rsidP="0027505B">
            <w:pPr>
              <w:ind w:left="1" w:rightChars="14" w:right="29"/>
              <w:jc w:val="center"/>
              <w:rPr>
                <w:rFonts w:ascii="宋体" w:eastAsia="宋体" w:hAnsi="宋体" w:cs="Times New Roman"/>
                <w:sz w:val="15"/>
                <w:szCs w:val="15"/>
              </w:rPr>
            </w:pPr>
            <w:r w:rsidRPr="00B11E71">
              <w:rPr>
                <w:rFonts w:ascii="宋体" w:eastAsia="宋体" w:hAnsi="宋体" w:hint="eastAsia"/>
                <w:sz w:val="15"/>
                <w:szCs w:val="15"/>
              </w:rPr>
              <w:t>年末</w:t>
            </w:r>
            <w:r w:rsidR="00676DC7" w:rsidRPr="00B11E71">
              <w:rPr>
                <w:rFonts w:ascii="宋体" w:eastAsia="宋体" w:hAnsi="宋体" w:cs="Times New Roman" w:hint="eastAsia"/>
                <w:sz w:val="15"/>
                <w:szCs w:val="15"/>
              </w:rPr>
              <w:t>余额</w:t>
            </w:r>
          </w:p>
        </w:tc>
      </w:tr>
      <w:tr w:rsidR="00075152" w:rsidRPr="00B11E71" w:rsidTr="0027505B">
        <w:trPr>
          <w:trHeight w:val="20"/>
        </w:trPr>
        <w:tc>
          <w:tcPr>
            <w:tcW w:w="1890" w:type="dxa"/>
            <w:vMerge/>
            <w:tcBorders>
              <w:top w:val="nil"/>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E456AF">
            <w:pPr>
              <w:ind w:leftChars="120" w:left="252" w:rightChars="-7" w:right="-15"/>
              <w:jc w:val="center"/>
              <w:rPr>
                <w:rFonts w:ascii="宋体" w:eastAsia="宋体" w:hAnsi="宋体" w:cs="Times New Roman"/>
                <w:sz w:val="15"/>
                <w:szCs w:val="15"/>
              </w:rPr>
            </w:pPr>
          </w:p>
        </w:tc>
        <w:tc>
          <w:tcPr>
            <w:tcW w:w="1218" w:type="dxa"/>
            <w:vMerge/>
            <w:tcBorders>
              <w:top w:val="nil"/>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27505B">
            <w:pPr>
              <w:ind w:leftChars="120" w:left="252" w:rightChars="27" w:right="57" w:firstLine="17"/>
              <w:jc w:val="center"/>
              <w:rPr>
                <w:rFonts w:ascii="宋体" w:eastAsia="宋体" w:hAnsi="宋体" w:cs="Times New Roman"/>
                <w:sz w:val="15"/>
                <w:szCs w:val="15"/>
              </w:rPr>
            </w:pP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27505B">
            <w:pPr>
              <w:ind w:leftChars="31" w:left="161" w:rightChars="27" w:right="57" w:hangingChars="64" w:hanging="96"/>
              <w:jc w:val="center"/>
              <w:rPr>
                <w:rFonts w:ascii="宋体" w:eastAsia="宋体" w:hAnsi="宋体" w:cs="Times New Roman"/>
                <w:sz w:val="15"/>
                <w:szCs w:val="15"/>
              </w:rPr>
            </w:pPr>
            <w:r w:rsidRPr="00B11E71">
              <w:rPr>
                <w:rFonts w:ascii="宋体" w:eastAsia="宋体" w:hAnsi="宋体" w:cs="Times New Roman" w:hint="eastAsia"/>
                <w:sz w:val="15"/>
                <w:szCs w:val="15"/>
              </w:rPr>
              <w:t>现金变动</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27505B">
            <w:pPr>
              <w:ind w:leftChars="31" w:left="161" w:rightChars="27" w:right="57" w:hangingChars="64" w:hanging="96"/>
              <w:jc w:val="center"/>
              <w:rPr>
                <w:rFonts w:ascii="宋体" w:eastAsia="宋体" w:hAnsi="宋体" w:cs="Times New Roman"/>
                <w:sz w:val="15"/>
                <w:szCs w:val="15"/>
              </w:rPr>
            </w:pPr>
            <w:r w:rsidRPr="00B11E71">
              <w:rPr>
                <w:rFonts w:ascii="宋体" w:eastAsia="宋体" w:hAnsi="宋体" w:cs="Times New Roman" w:hint="eastAsia"/>
                <w:sz w:val="15"/>
                <w:szCs w:val="15"/>
              </w:rPr>
              <w:t>非现金变动</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27505B">
            <w:pPr>
              <w:ind w:leftChars="31" w:left="161" w:rightChars="27" w:right="57" w:hangingChars="64" w:hanging="96"/>
              <w:jc w:val="center"/>
              <w:rPr>
                <w:rFonts w:ascii="宋体" w:eastAsia="宋体" w:hAnsi="宋体" w:cs="Times New Roman"/>
                <w:sz w:val="15"/>
                <w:szCs w:val="15"/>
              </w:rPr>
            </w:pPr>
            <w:r w:rsidRPr="00B11E71">
              <w:rPr>
                <w:rFonts w:ascii="宋体" w:eastAsia="宋体" w:hAnsi="宋体" w:cs="Times New Roman" w:hint="eastAsia"/>
                <w:sz w:val="15"/>
                <w:szCs w:val="15"/>
              </w:rPr>
              <w:t>现金变动</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27505B">
            <w:pPr>
              <w:ind w:leftChars="31" w:left="161" w:rightChars="27" w:right="57" w:hangingChars="64" w:hanging="96"/>
              <w:jc w:val="center"/>
              <w:rPr>
                <w:rFonts w:ascii="宋体" w:eastAsia="宋体" w:hAnsi="宋体" w:cs="Times New Roman"/>
                <w:sz w:val="15"/>
                <w:szCs w:val="15"/>
              </w:rPr>
            </w:pPr>
            <w:r w:rsidRPr="00B11E71">
              <w:rPr>
                <w:rFonts w:ascii="宋体" w:eastAsia="宋体" w:hAnsi="宋体" w:cs="Times New Roman" w:hint="eastAsia"/>
                <w:sz w:val="15"/>
                <w:szCs w:val="15"/>
              </w:rPr>
              <w:t>非现金变动</w:t>
            </w:r>
          </w:p>
        </w:tc>
        <w:tc>
          <w:tcPr>
            <w:tcW w:w="1239" w:type="dxa"/>
            <w:vMerge/>
            <w:tcBorders>
              <w:top w:val="nil"/>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E456AF">
            <w:pPr>
              <w:ind w:left="72" w:right="-15"/>
              <w:jc w:val="center"/>
              <w:rPr>
                <w:rFonts w:ascii="宋体" w:eastAsia="宋体" w:hAnsi="宋体" w:cs="Times New Roman"/>
                <w:sz w:val="15"/>
                <w:szCs w:val="15"/>
              </w:rPr>
            </w:pPr>
          </w:p>
        </w:tc>
      </w:tr>
      <w:tr w:rsidR="00646C5E" w:rsidRPr="00B11E71" w:rsidTr="0027505B">
        <w:trPr>
          <w:trHeight w:val="20"/>
        </w:trPr>
        <w:tc>
          <w:tcPr>
            <w:tcW w:w="1890" w:type="dxa"/>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B11E71" w:rsidRPr="0027505B" w:rsidRDefault="00676DC7" w:rsidP="00F701A7">
            <w:pPr>
              <w:rPr>
                <w:rFonts w:eastAsia="宋体" w:cs="Times New Roman"/>
                <w:sz w:val="15"/>
                <w:szCs w:val="15"/>
              </w:rPr>
            </w:pPr>
            <w:r w:rsidRPr="0027505B">
              <w:rPr>
                <w:rFonts w:eastAsia="宋体" w:cs="Times New Roman" w:hint="eastAsia"/>
                <w:sz w:val="15"/>
                <w:szCs w:val="15"/>
              </w:rPr>
              <w:t>租赁负债</w:t>
            </w:r>
            <w:r w:rsidR="005F14EE" w:rsidRPr="0027505B">
              <w:rPr>
                <w:rFonts w:eastAsia="宋体" w:cs="Times New Roman"/>
                <w:sz w:val="15"/>
                <w:szCs w:val="15"/>
              </w:rPr>
              <w:t>(</w:t>
            </w:r>
            <w:r w:rsidRPr="0027505B">
              <w:rPr>
                <w:rFonts w:eastAsia="宋体" w:cs="Times New Roman" w:hint="eastAsia"/>
                <w:sz w:val="15"/>
                <w:szCs w:val="15"/>
              </w:rPr>
              <w:t>含一年内</w:t>
            </w:r>
          </w:p>
          <w:p w:rsidR="00676DC7" w:rsidRPr="0027505B" w:rsidRDefault="00B11E71" w:rsidP="00F701A7">
            <w:pPr>
              <w:rPr>
                <w:rFonts w:eastAsia="宋体" w:cs="Times New Roman"/>
                <w:sz w:val="15"/>
                <w:szCs w:val="15"/>
              </w:rPr>
            </w:pPr>
            <w:r w:rsidRPr="0027505B">
              <w:rPr>
                <w:rFonts w:eastAsia="宋体" w:cs="Times New Roman"/>
                <w:sz w:val="15"/>
                <w:szCs w:val="15"/>
              </w:rPr>
              <w:t xml:space="preserve">    </w:t>
            </w:r>
            <w:r w:rsidR="00676DC7" w:rsidRPr="0027505B">
              <w:rPr>
                <w:rFonts w:eastAsia="宋体" w:cs="Times New Roman" w:hint="eastAsia"/>
                <w:sz w:val="15"/>
                <w:szCs w:val="15"/>
              </w:rPr>
              <w:t>到期的租赁负债</w:t>
            </w:r>
            <w:r w:rsidR="005F14EE" w:rsidRPr="0027505B">
              <w:rPr>
                <w:rFonts w:eastAsia="宋体" w:cs="Times New Roman"/>
                <w:sz w:val="15"/>
                <w:szCs w:val="15"/>
              </w:rPr>
              <w:t>)</w:t>
            </w:r>
          </w:p>
        </w:tc>
        <w:tc>
          <w:tcPr>
            <w:tcW w:w="1218"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E8505B" w:rsidP="0027505B">
            <w:pPr>
              <w:ind w:left="-17" w:rightChars="27" w:right="57" w:firstLine="17"/>
              <w:jc w:val="right"/>
              <w:rPr>
                <w:rFonts w:eastAsia="宋体" w:cs="Times New Roman"/>
                <w:sz w:val="15"/>
                <w:szCs w:val="15"/>
              </w:rPr>
            </w:pPr>
            <w:r w:rsidRPr="0027505B">
              <w:rPr>
                <w:rFonts w:eastAsia="宋体" w:cs="Times New Roman"/>
                <w:sz w:val="15"/>
                <w:szCs w:val="15"/>
              </w:rPr>
              <w:t>95,114,937.22</w:t>
            </w:r>
          </w:p>
        </w:tc>
        <w:tc>
          <w:tcPr>
            <w:tcW w:w="1275"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5A46A0" w:rsidP="0027505B">
            <w:pPr>
              <w:pStyle w:val="aff1"/>
              <w:wordWrap w:val="0"/>
              <w:ind w:left="-17" w:rightChars="27" w:right="57" w:firstLineChars="0" w:firstLine="17"/>
              <w:jc w:val="right"/>
              <w:rPr>
                <w:sz w:val="15"/>
                <w:szCs w:val="15"/>
              </w:rPr>
            </w:pPr>
            <w:r w:rsidRPr="0027505B">
              <w:rPr>
                <w:sz w:val="15"/>
                <w:szCs w:val="15"/>
              </w:rPr>
              <w:t>-    </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CC60BB" w:rsidP="0027505B">
            <w:pPr>
              <w:ind w:left="-17" w:rightChars="27" w:right="57" w:firstLine="17"/>
              <w:jc w:val="right"/>
              <w:rPr>
                <w:rFonts w:eastAsia="宋体" w:cs="Times New Roman"/>
                <w:sz w:val="15"/>
                <w:szCs w:val="15"/>
              </w:rPr>
            </w:pPr>
            <w:r w:rsidRPr="0027505B">
              <w:rPr>
                <w:rFonts w:eastAsia="宋体" w:cs="Times New Roman"/>
                <w:sz w:val="15"/>
                <w:szCs w:val="15"/>
              </w:rPr>
              <w:t>23,863,562.11</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6C546B" w:rsidP="0027505B">
            <w:pPr>
              <w:ind w:left="-17" w:rightChars="27" w:right="57" w:firstLine="17"/>
              <w:jc w:val="right"/>
              <w:rPr>
                <w:rFonts w:eastAsia="宋体" w:cs="Times New Roman"/>
                <w:sz w:val="15"/>
                <w:szCs w:val="15"/>
              </w:rPr>
            </w:pPr>
            <w:r w:rsidRPr="0027505B">
              <w:rPr>
                <w:rFonts w:eastAsia="宋体" w:cs="Times New Roman"/>
                <w:sz w:val="15"/>
                <w:szCs w:val="15"/>
              </w:rPr>
              <w:t>46,641,625.87</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CC60BB" w:rsidP="0027505B">
            <w:pPr>
              <w:ind w:left="-17" w:rightChars="27" w:right="57" w:firstLine="17"/>
              <w:jc w:val="right"/>
              <w:rPr>
                <w:rFonts w:eastAsia="宋体" w:cs="Times New Roman"/>
                <w:sz w:val="15"/>
                <w:szCs w:val="15"/>
              </w:rPr>
            </w:pPr>
            <w:r w:rsidRPr="0027505B">
              <w:rPr>
                <w:rFonts w:eastAsia="宋体" w:cs="Times New Roman"/>
                <w:sz w:val="15"/>
                <w:szCs w:val="15"/>
              </w:rPr>
              <w:t>14,530,292.83</w:t>
            </w:r>
          </w:p>
        </w:tc>
        <w:tc>
          <w:tcPr>
            <w:tcW w:w="1239"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E8505B">
            <w:pPr>
              <w:ind w:right="25"/>
              <w:jc w:val="right"/>
              <w:rPr>
                <w:rFonts w:eastAsia="宋体" w:cs="Times New Roman"/>
                <w:sz w:val="15"/>
                <w:szCs w:val="15"/>
              </w:rPr>
            </w:pPr>
            <w:r w:rsidRPr="0027505B">
              <w:rPr>
                <w:rFonts w:eastAsia="宋体" w:cs="Times New Roman"/>
                <w:sz w:val="15"/>
                <w:szCs w:val="15"/>
              </w:rPr>
              <w:t>57,806,580.63</w:t>
            </w:r>
          </w:p>
        </w:tc>
      </w:tr>
      <w:tr w:rsidR="00646C5E" w:rsidRPr="00B11E71" w:rsidTr="0027505B">
        <w:trPr>
          <w:trHeight w:val="20"/>
        </w:trPr>
        <w:tc>
          <w:tcPr>
            <w:tcW w:w="1890" w:type="dxa"/>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B11E71" w:rsidRPr="0027505B" w:rsidRDefault="00F145D3" w:rsidP="00F701A7">
            <w:pPr>
              <w:rPr>
                <w:rFonts w:eastAsia="宋体" w:cs="Times New Roman"/>
                <w:sz w:val="15"/>
                <w:szCs w:val="15"/>
              </w:rPr>
            </w:pPr>
            <w:r w:rsidRPr="0027505B">
              <w:rPr>
                <w:rFonts w:eastAsia="宋体" w:cs="Times New Roman" w:hint="eastAsia"/>
                <w:sz w:val="15"/>
                <w:szCs w:val="15"/>
              </w:rPr>
              <w:t>长期</w:t>
            </w:r>
            <w:r w:rsidR="00676DC7" w:rsidRPr="0027505B">
              <w:rPr>
                <w:rFonts w:eastAsia="宋体" w:cs="Times New Roman" w:hint="eastAsia"/>
                <w:sz w:val="15"/>
                <w:szCs w:val="15"/>
              </w:rPr>
              <w:t>借款</w:t>
            </w:r>
            <w:r w:rsidR="005F14EE" w:rsidRPr="0027505B">
              <w:rPr>
                <w:rFonts w:eastAsia="宋体" w:cs="Times New Roman"/>
                <w:sz w:val="15"/>
                <w:szCs w:val="15"/>
              </w:rPr>
              <w:t>(</w:t>
            </w:r>
            <w:r w:rsidR="00676DC7" w:rsidRPr="0027505B">
              <w:rPr>
                <w:rFonts w:eastAsia="宋体" w:cs="Times New Roman" w:hint="eastAsia"/>
                <w:sz w:val="15"/>
                <w:szCs w:val="15"/>
              </w:rPr>
              <w:t>含一年内</w:t>
            </w:r>
          </w:p>
          <w:p w:rsidR="00676DC7" w:rsidRPr="0027505B" w:rsidRDefault="00B11E71" w:rsidP="00F701A7">
            <w:pPr>
              <w:rPr>
                <w:rFonts w:eastAsia="宋体" w:cs="Times New Roman"/>
                <w:sz w:val="15"/>
                <w:szCs w:val="15"/>
              </w:rPr>
            </w:pPr>
            <w:r w:rsidRPr="0027505B">
              <w:rPr>
                <w:rFonts w:eastAsia="宋体" w:cs="Times New Roman"/>
                <w:sz w:val="15"/>
                <w:szCs w:val="15"/>
              </w:rPr>
              <w:t xml:space="preserve">    </w:t>
            </w:r>
            <w:r w:rsidR="00676DC7" w:rsidRPr="0027505B">
              <w:rPr>
                <w:rFonts w:eastAsia="宋体" w:cs="Times New Roman" w:hint="eastAsia"/>
                <w:sz w:val="15"/>
                <w:szCs w:val="15"/>
              </w:rPr>
              <w:t>到期的长期借款</w:t>
            </w:r>
            <w:r w:rsidR="005F14EE" w:rsidRPr="0027505B">
              <w:rPr>
                <w:rFonts w:eastAsia="宋体" w:cs="Times New Roman"/>
                <w:sz w:val="15"/>
                <w:szCs w:val="15"/>
              </w:rPr>
              <w:t>)</w:t>
            </w:r>
          </w:p>
        </w:tc>
        <w:tc>
          <w:tcPr>
            <w:tcW w:w="1218"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CC60BB" w:rsidP="0027505B">
            <w:pPr>
              <w:ind w:left="-17" w:rightChars="27" w:right="57" w:firstLine="17"/>
              <w:jc w:val="right"/>
              <w:rPr>
                <w:rFonts w:eastAsia="宋体" w:cs="Times New Roman"/>
                <w:sz w:val="15"/>
                <w:szCs w:val="15"/>
              </w:rPr>
            </w:pPr>
            <w:r w:rsidRPr="0027505B">
              <w:rPr>
                <w:rFonts w:eastAsia="宋体" w:cs="Times New Roman"/>
                <w:sz w:val="15"/>
                <w:szCs w:val="15"/>
              </w:rPr>
              <w:t>229,070,200.25</w:t>
            </w:r>
          </w:p>
        </w:tc>
        <w:tc>
          <w:tcPr>
            <w:tcW w:w="1275"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CC60BB" w:rsidP="0027505B">
            <w:pPr>
              <w:ind w:left="-17" w:rightChars="27" w:right="57" w:firstLine="17"/>
              <w:jc w:val="right"/>
              <w:rPr>
                <w:rFonts w:eastAsia="宋体" w:cs="Times New Roman"/>
                <w:sz w:val="15"/>
                <w:szCs w:val="15"/>
              </w:rPr>
            </w:pPr>
            <w:r w:rsidRPr="0027505B">
              <w:rPr>
                <w:rFonts w:eastAsia="宋体" w:cs="Times New Roman"/>
                <w:sz w:val="15"/>
                <w:szCs w:val="15"/>
              </w:rPr>
              <w:t>92,525,771.79</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ind w:left="-17" w:rightChars="27" w:right="57" w:firstLine="17"/>
              <w:jc w:val="right"/>
              <w:rPr>
                <w:rFonts w:eastAsia="宋体" w:cs="Times New Roman"/>
                <w:sz w:val="15"/>
                <w:szCs w:val="15"/>
              </w:rPr>
            </w:pPr>
            <w:r w:rsidRPr="0027505B">
              <w:rPr>
                <w:rFonts w:eastAsia="宋体" w:cs="Times New Roman"/>
                <w:sz w:val="15"/>
                <w:szCs w:val="15"/>
              </w:rPr>
              <w:t>9,908,945.76</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ind w:left="-17" w:rightChars="27" w:right="57" w:firstLine="17"/>
              <w:jc w:val="right"/>
              <w:rPr>
                <w:rFonts w:eastAsia="宋体" w:cs="Times New Roman"/>
                <w:sz w:val="15"/>
                <w:szCs w:val="15"/>
              </w:rPr>
            </w:pPr>
            <w:r w:rsidRPr="0027505B">
              <w:rPr>
                <w:rFonts w:eastAsia="宋体" w:cs="Times New Roman"/>
                <w:sz w:val="15"/>
                <w:szCs w:val="15"/>
              </w:rPr>
              <w:t>10,810,621.78</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7623AA" w:rsidP="0027505B">
            <w:pPr>
              <w:pStyle w:val="aff1"/>
              <w:wordWrap w:val="0"/>
              <w:ind w:left="-17" w:rightChars="27" w:right="57" w:firstLineChars="0" w:firstLine="17"/>
              <w:jc w:val="right"/>
              <w:rPr>
                <w:sz w:val="15"/>
                <w:szCs w:val="15"/>
              </w:rPr>
            </w:pPr>
            <w:r w:rsidRPr="0027505B">
              <w:rPr>
                <w:sz w:val="15"/>
                <w:szCs w:val="15"/>
              </w:rPr>
              <w:t>-    </w:t>
            </w:r>
          </w:p>
        </w:tc>
        <w:tc>
          <w:tcPr>
            <w:tcW w:w="1239"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CC60BB">
            <w:pPr>
              <w:ind w:right="25"/>
              <w:jc w:val="right"/>
              <w:rPr>
                <w:rFonts w:eastAsia="宋体" w:cs="Times New Roman"/>
                <w:sz w:val="15"/>
                <w:szCs w:val="15"/>
              </w:rPr>
            </w:pPr>
            <w:r w:rsidRPr="0027505B">
              <w:rPr>
                <w:rFonts w:eastAsia="宋体" w:cs="Times New Roman"/>
                <w:sz w:val="15"/>
                <w:szCs w:val="15"/>
              </w:rPr>
              <w:t>320,694,296.02</w:t>
            </w:r>
          </w:p>
        </w:tc>
      </w:tr>
      <w:tr w:rsidR="00646C5E" w:rsidRPr="00B11E71" w:rsidTr="0027505B">
        <w:trPr>
          <w:trHeight w:val="20"/>
        </w:trPr>
        <w:tc>
          <w:tcPr>
            <w:tcW w:w="1890" w:type="dxa"/>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D3339A">
            <w:pPr>
              <w:rPr>
                <w:rFonts w:ascii="宋体" w:eastAsia="宋体" w:hAnsi="宋体" w:cs="Times New Roman"/>
                <w:sz w:val="15"/>
                <w:szCs w:val="15"/>
              </w:rPr>
            </w:pPr>
            <w:r w:rsidRPr="00B11E71">
              <w:rPr>
                <w:rFonts w:ascii="宋体" w:eastAsia="宋体" w:hAnsi="宋体" w:cs="Times New Roman" w:hint="eastAsia"/>
                <w:sz w:val="15"/>
                <w:szCs w:val="15"/>
              </w:rPr>
              <w:t>短期借款</w:t>
            </w:r>
          </w:p>
        </w:tc>
        <w:tc>
          <w:tcPr>
            <w:tcW w:w="1218"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ind w:left="-17" w:rightChars="27" w:right="57" w:firstLine="17"/>
              <w:jc w:val="right"/>
              <w:rPr>
                <w:rFonts w:eastAsia="宋体" w:cs="Times New Roman"/>
                <w:sz w:val="15"/>
                <w:szCs w:val="15"/>
              </w:rPr>
            </w:pPr>
            <w:r w:rsidRPr="0027505B">
              <w:rPr>
                <w:rFonts w:eastAsia="宋体" w:cs="Times New Roman"/>
                <w:sz w:val="15"/>
                <w:szCs w:val="15"/>
              </w:rPr>
              <w:t>200,165,000.00</w:t>
            </w:r>
          </w:p>
        </w:tc>
        <w:tc>
          <w:tcPr>
            <w:tcW w:w="1275"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7623AA" w:rsidP="0027505B">
            <w:pPr>
              <w:pStyle w:val="aff1"/>
              <w:wordWrap w:val="0"/>
              <w:ind w:left="-17" w:rightChars="27" w:right="57" w:firstLineChars="0" w:firstLine="17"/>
              <w:jc w:val="right"/>
              <w:rPr>
                <w:sz w:val="15"/>
                <w:szCs w:val="15"/>
              </w:rPr>
            </w:pPr>
            <w:r w:rsidRPr="0027505B">
              <w:rPr>
                <w:sz w:val="15"/>
                <w:szCs w:val="15"/>
              </w:rPr>
              <w:t>-    </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wordWrap w:val="0"/>
              <w:ind w:left="-17" w:rightChars="27" w:right="57" w:firstLine="17"/>
              <w:jc w:val="right"/>
              <w:rPr>
                <w:rFonts w:eastAsia="宋体" w:cs="Times New Roman"/>
                <w:sz w:val="15"/>
                <w:szCs w:val="15"/>
              </w:rPr>
            </w:pPr>
            <w:r w:rsidRPr="0027505B">
              <w:rPr>
                <w:rFonts w:eastAsia="宋体" w:cs="Times New Roman"/>
                <w:sz w:val="15"/>
                <w:szCs w:val="15"/>
              </w:rPr>
              <w:t>5,220,000.00</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ind w:left="-17" w:rightChars="27" w:right="57" w:firstLine="17"/>
              <w:jc w:val="right"/>
              <w:rPr>
                <w:rFonts w:eastAsia="宋体" w:cs="Times New Roman"/>
                <w:sz w:val="15"/>
                <w:szCs w:val="15"/>
              </w:rPr>
            </w:pPr>
            <w:r w:rsidRPr="0027505B">
              <w:rPr>
                <w:rFonts w:eastAsia="宋体" w:cs="Times New Roman"/>
                <w:sz w:val="15"/>
                <w:szCs w:val="15"/>
              </w:rPr>
              <w:t>205,385,000.00</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7623AA" w:rsidP="0027505B">
            <w:pPr>
              <w:pStyle w:val="aff1"/>
              <w:wordWrap w:val="0"/>
              <w:ind w:left="-17" w:rightChars="27" w:right="57" w:firstLineChars="0" w:firstLine="17"/>
              <w:jc w:val="right"/>
              <w:rPr>
                <w:sz w:val="15"/>
                <w:szCs w:val="15"/>
              </w:rPr>
            </w:pPr>
            <w:r w:rsidRPr="0027505B">
              <w:rPr>
                <w:sz w:val="15"/>
                <w:szCs w:val="15"/>
              </w:rPr>
              <w:t>-    </w:t>
            </w:r>
          </w:p>
        </w:tc>
        <w:tc>
          <w:tcPr>
            <w:tcW w:w="1239"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7623AA" w:rsidP="0027505B">
            <w:pPr>
              <w:pStyle w:val="aff1"/>
              <w:wordWrap w:val="0"/>
              <w:ind w:right="25" w:firstLineChars="0" w:firstLine="0"/>
              <w:jc w:val="right"/>
              <w:rPr>
                <w:sz w:val="15"/>
                <w:szCs w:val="15"/>
              </w:rPr>
            </w:pPr>
            <w:r w:rsidRPr="0027505B">
              <w:rPr>
                <w:sz w:val="15"/>
                <w:szCs w:val="15"/>
              </w:rPr>
              <w:t>-    </w:t>
            </w:r>
          </w:p>
        </w:tc>
      </w:tr>
      <w:tr w:rsidR="00646C5E" w:rsidRPr="00B11E71" w:rsidTr="0027505B">
        <w:trPr>
          <w:trHeight w:val="20"/>
        </w:trPr>
        <w:tc>
          <w:tcPr>
            <w:tcW w:w="1890" w:type="dxa"/>
            <w:tcBorders>
              <w:top w:val="single" w:sz="4" w:space="0" w:color="000000"/>
              <w:left w:val="single" w:sz="4" w:space="0" w:color="000000"/>
              <w:bottom w:val="single" w:sz="4" w:space="0" w:color="000000"/>
              <w:right w:val="single" w:sz="4" w:space="0" w:color="000000"/>
            </w:tcBorders>
            <w:shd w:val="clear" w:color="auto" w:fill="D9D9D9" w:themeFill="background2" w:themeFillShade="D9"/>
            <w:vAlign w:val="center"/>
          </w:tcPr>
          <w:p w:rsidR="00676DC7" w:rsidRPr="00B11E71" w:rsidRDefault="00676DC7" w:rsidP="00F701A7">
            <w:pPr>
              <w:rPr>
                <w:rFonts w:ascii="宋体" w:eastAsia="宋体" w:hAnsi="宋体" w:cs="Times New Roman"/>
                <w:sz w:val="15"/>
                <w:szCs w:val="15"/>
              </w:rPr>
            </w:pPr>
            <w:r w:rsidRPr="00B11E71">
              <w:rPr>
                <w:rFonts w:ascii="宋体" w:eastAsia="宋体" w:hAnsi="宋体" w:cs="Times New Roman" w:hint="eastAsia"/>
                <w:sz w:val="15"/>
                <w:szCs w:val="15"/>
              </w:rPr>
              <w:t>合计</w:t>
            </w:r>
          </w:p>
        </w:tc>
        <w:tc>
          <w:tcPr>
            <w:tcW w:w="1218"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ind w:left="-17" w:rightChars="27" w:right="57" w:firstLine="17"/>
              <w:jc w:val="right"/>
              <w:rPr>
                <w:rFonts w:eastAsia="宋体" w:cs="Times New Roman"/>
                <w:sz w:val="15"/>
                <w:szCs w:val="15"/>
              </w:rPr>
            </w:pPr>
            <w:r w:rsidRPr="0027505B">
              <w:rPr>
                <w:rFonts w:eastAsia="宋体" w:cs="Times New Roman"/>
                <w:sz w:val="15"/>
                <w:szCs w:val="15"/>
              </w:rPr>
              <w:t>524,350,137.47</w:t>
            </w:r>
          </w:p>
        </w:tc>
        <w:tc>
          <w:tcPr>
            <w:tcW w:w="1275"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ind w:left="-17" w:rightChars="27" w:right="57" w:firstLine="17"/>
              <w:jc w:val="right"/>
              <w:rPr>
                <w:rFonts w:eastAsia="宋体" w:cs="Times New Roman"/>
                <w:sz w:val="15"/>
                <w:szCs w:val="15"/>
              </w:rPr>
            </w:pPr>
            <w:r w:rsidRPr="0027505B">
              <w:rPr>
                <w:rFonts w:eastAsia="宋体" w:cs="Times New Roman"/>
                <w:sz w:val="15"/>
                <w:szCs w:val="15"/>
              </w:rPr>
              <w:t>92,525,771.79</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ind w:left="-17" w:rightChars="27" w:right="57" w:firstLine="17"/>
              <w:jc w:val="right"/>
              <w:rPr>
                <w:rFonts w:eastAsia="宋体" w:cs="Times New Roman"/>
                <w:sz w:val="15"/>
                <w:szCs w:val="15"/>
              </w:rPr>
            </w:pPr>
            <w:r w:rsidRPr="0027505B">
              <w:rPr>
                <w:rFonts w:eastAsia="宋体" w:cs="Times New Roman"/>
                <w:sz w:val="15"/>
                <w:szCs w:val="15"/>
              </w:rPr>
              <w:t>38,992,507.87</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ind w:left="-17" w:rightChars="27" w:right="57" w:firstLine="17"/>
              <w:jc w:val="right"/>
              <w:rPr>
                <w:rFonts w:eastAsia="宋体" w:cs="Times New Roman"/>
                <w:sz w:val="15"/>
                <w:szCs w:val="15"/>
              </w:rPr>
            </w:pPr>
            <w:r w:rsidRPr="0027505B">
              <w:rPr>
                <w:rFonts w:eastAsia="宋体" w:cs="Times New Roman"/>
                <w:sz w:val="15"/>
                <w:szCs w:val="15"/>
              </w:rPr>
              <w:t>262,837,247.65</w:t>
            </w:r>
          </w:p>
        </w:tc>
        <w:tc>
          <w:tcPr>
            <w:tcW w:w="1276"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rsidP="0027505B">
            <w:pPr>
              <w:ind w:left="-17" w:rightChars="27" w:right="57" w:firstLine="17"/>
              <w:jc w:val="right"/>
              <w:rPr>
                <w:rFonts w:eastAsia="宋体" w:cs="Times New Roman"/>
                <w:sz w:val="15"/>
                <w:szCs w:val="15"/>
              </w:rPr>
            </w:pPr>
            <w:r w:rsidRPr="0027505B">
              <w:rPr>
                <w:rFonts w:eastAsia="宋体" w:cs="Times New Roman"/>
                <w:sz w:val="15"/>
                <w:szCs w:val="15"/>
              </w:rPr>
              <w:t>14,530,292.83</w:t>
            </w:r>
          </w:p>
        </w:tc>
        <w:tc>
          <w:tcPr>
            <w:tcW w:w="1239" w:type="dxa"/>
            <w:tcBorders>
              <w:top w:val="single" w:sz="4" w:space="0" w:color="000000"/>
              <w:left w:val="single" w:sz="4" w:space="0" w:color="000000"/>
              <w:bottom w:val="single" w:sz="4" w:space="0" w:color="000000"/>
              <w:right w:val="single" w:sz="4" w:space="0" w:color="000000"/>
            </w:tcBorders>
            <w:vAlign w:val="center"/>
          </w:tcPr>
          <w:p w:rsidR="00676DC7" w:rsidRPr="0027505B" w:rsidRDefault="0023712C">
            <w:pPr>
              <w:ind w:right="25"/>
              <w:jc w:val="right"/>
              <w:rPr>
                <w:rFonts w:eastAsia="宋体" w:cs="Times New Roman"/>
                <w:sz w:val="15"/>
                <w:szCs w:val="15"/>
              </w:rPr>
            </w:pPr>
            <w:r w:rsidRPr="0027505B">
              <w:rPr>
                <w:rFonts w:eastAsia="宋体" w:cs="Times New Roman"/>
                <w:sz w:val="15"/>
                <w:szCs w:val="15"/>
              </w:rPr>
              <w:t>378,500,876.65</w:t>
            </w:r>
          </w:p>
        </w:tc>
      </w:tr>
    </w:tbl>
    <w:p w:rsidR="00664799" w:rsidRDefault="00664799" w:rsidP="0027505B">
      <w:pPr>
        <w:ind w:leftChars="342" w:left="718"/>
        <w:jc w:val="both"/>
        <w:rPr>
          <w:rFonts w:eastAsia="宋体" w:cs="Times New Roman"/>
          <w:szCs w:val="21"/>
        </w:rPr>
      </w:pPr>
    </w:p>
    <w:p w:rsidR="00664799" w:rsidRPr="0023712C" w:rsidRDefault="00664799" w:rsidP="00664799">
      <w:pPr>
        <w:pStyle w:val="aff1"/>
        <w:widowControl w:val="0"/>
        <w:numPr>
          <w:ilvl w:val="0"/>
          <w:numId w:val="18"/>
        </w:numPr>
        <w:ind w:left="1440" w:firstLineChars="0" w:hanging="720"/>
        <w:rPr>
          <w:szCs w:val="21"/>
        </w:rPr>
      </w:pPr>
      <w:r>
        <w:rPr>
          <w:rFonts w:hint="eastAsia"/>
          <w:szCs w:val="21"/>
        </w:rPr>
        <w:t>本年末</w:t>
      </w:r>
      <w:r w:rsidRPr="00E92B26">
        <w:rPr>
          <w:rFonts w:hint="eastAsia"/>
          <w:szCs w:val="21"/>
        </w:rPr>
        <w:t>，本集团不存在</w:t>
      </w:r>
      <w:proofErr w:type="gramStart"/>
      <w:r w:rsidRPr="00E92B26">
        <w:rPr>
          <w:rFonts w:hint="eastAsia"/>
          <w:szCs w:val="21"/>
        </w:rPr>
        <w:t>重大以</w:t>
      </w:r>
      <w:proofErr w:type="gramEnd"/>
      <w:r w:rsidRPr="00E92B26">
        <w:rPr>
          <w:rFonts w:hint="eastAsia"/>
          <w:szCs w:val="21"/>
        </w:rPr>
        <w:t>净额列报的现金流量</w:t>
      </w:r>
      <w:r>
        <w:rPr>
          <w:rFonts w:hint="eastAsia"/>
          <w:szCs w:val="21"/>
        </w:rPr>
        <w:t>。</w:t>
      </w:r>
    </w:p>
    <w:p w:rsidR="0023712C" w:rsidRPr="0027505B" w:rsidRDefault="0023712C" w:rsidP="0027505B">
      <w:pPr>
        <w:ind w:leftChars="342" w:left="718"/>
        <w:jc w:val="both"/>
        <w:rPr>
          <w:rFonts w:eastAsia="宋体" w:cs="Times New Roman"/>
          <w:szCs w:val="21"/>
        </w:rPr>
      </w:pPr>
    </w:p>
    <w:p w:rsidR="00AA2164" w:rsidRPr="00A71D2E" w:rsidRDefault="00AA2164">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现金流量表补充资料</w:t>
      </w:r>
    </w:p>
    <w:p w:rsidR="00AA2164" w:rsidRPr="00A71D2E" w:rsidRDefault="00AA2164">
      <w:pPr>
        <w:ind w:left="720"/>
        <w:rPr>
          <w:rFonts w:eastAsia="宋体" w:cs="Times New Roman"/>
        </w:rPr>
      </w:pPr>
    </w:p>
    <w:p w:rsidR="00AA2164" w:rsidRPr="00A71D2E" w:rsidRDefault="00AA2164" w:rsidP="00F66363">
      <w:pPr>
        <w:pStyle w:val="aff1"/>
        <w:widowControl w:val="0"/>
        <w:numPr>
          <w:ilvl w:val="0"/>
          <w:numId w:val="6"/>
        </w:numPr>
        <w:ind w:left="1440" w:firstLineChars="0" w:hanging="720"/>
        <w:rPr>
          <w:lang w:val="x-none" w:eastAsia="x-none"/>
        </w:rPr>
      </w:pPr>
      <w:r w:rsidRPr="00A71D2E">
        <w:rPr>
          <w:rFonts w:hint="eastAsia"/>
        </w:rPr>
        <w:t>现金流量表补充资料</w:t>
      </w:r>
    </w:p>
    <w:p w:rsidR="00AA2164" w:rsidRPr="00A71D2E" w:rsidRDefault="00AA2164">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38"/>
        <w:gridCol w:w="2108"/>
        <w:gridCol w:w="2108"/>
      </w:tblGrid>
      <w:tr w:rsidR="00FB51C5" w:rsidRPr="00B11E71" w:rsidTr="0027505B">
        <w:trPr>
          <w:trHeight w:val="20"/>
        </w:trPr>
        <w:tc>
          <w:tcPr>
            <w:tcW w:w="2770" w:type="pct"/>
            <w:shd w:val="clear" w:color="auto" w:fill="D9D9D9" w:themeFill="background1" w:themeFillShade="D9"/>
            <w:tcMar>
              <w:top w:w="0" w:type="dxa"/>
              <w:left w:w="108" w:type="dxa"/>
              <w:bottom w:w="0" w:type="dxa"/>
              <w:right w:w="108" w:type="dxa"/>
            </w:tcMar>
            <w:vAlign w:val="center"/>
            <w:hideMark/>
          </w:tcPr>
          <w:p w:rsidR="00FB51C5" w:rsidRPr="00B11E71" w:rsidRDefault="00FB51C5">
            <w:pPr>
              <w:jc w:val="center"/>
              <w:rPr>
                <w:rFonts w:eastAsia="宋体" w:cs="Times New Roman"/>
                <w:sz w:val="18"/>
                <w:szCs w:val="18"/>
              </w:rPr>
            </w:pPr>
            <w:r w:rsidRPr="00B11E71">
              <w:rPr>
                <w:rFonts w:eastAsia="宋体" w:cs="Times New Roman" w:hint="eastAsia"/>
                <w:sz w:val="18"/>
                <w:szCs w:val="18"/>
              </w:rPr>
              <w:t>补充资料</w:t>
            </w:r>
          </w:p>
        </w:tc>
        <w:tc>
          <w:tcPr>
            <w:tcW w:w="1115" w:type="pct"/>
            <w:shd w:val="clear" w:color="auto" w:fill="D9D9D9" w:themeFill="background1" w:themeFillShade="D9"/>
            <w:vAlign w:val="center"/>
          </w:tcPr>
          <w:p w:rsidR="00FB51C5" w:rsidRPr="00B11E71" w:rsidRDefault="00FB51C5" w:rsidP="0027505B">
            <w:pPr>
              <w:ind w:left="76" w:right="108"/>
              <w:jc w:val="center"/>
              <w:rPr>
                <w:rFonts w:eastAsia="宋体" w:cs="Times New Roman"/>
                <w:sz w:val="18"/>
                <w:szCs w:val="18"/>
              </w:rPr>
            </w:pPr>
            <w:r w:rsidRPr="00B11E71">
              <w:rPr>
                <w:rFonts w:eastAsia="宋体" w:cs="Times New Roman" w:hint="eastAsia"/>
                <w:sz w:val="18"/>
                <w:szCs w:val="18"/>
              </w:rPr>
              <w:t>本年发生额</w:t>
            </w:r>
          </w:p>
        </w:tc>
        <w:tc>
          <w:tcPr>
            <w:tcW w:w="1115" w:type="pct"/>
            <w:shd w:val="clear" w:color="auto" w:fill="D9D9D9" w:themeFill="background1" w:themeFillShade="D9"/>
            <w:vAlign w:val="center"/>
          </w:tcPr>
          <w:p w:rsidR="00FB51C5" w:rsidRPr="00B11E71" w:rsidRDefault="00FB51C5" w:rsidP="0027505B">
            <w:pPr>
              <w:ind w:left="76" w:right="108"/>
              <w:jc w:val="center"/>
              <w:rPr>
                <w:rFonts w:eastAsia="宋体" w:cs="Times New Roman"/>
                <w:sz w:val="18"/>
                <w:szCs w:val="18"/>
              </w:rPr>
            </w:pPr>
            <w:r w:rsidRPr="00B11E71">
              <w:rPr>
                <w:rFonts w:eastAsia="宋体" w:cs="Times New Roman" w:hint="eastAsia"/>
                <w:sz w:val="18"/>
                <w:szCs w:val="18"/>
              </w:rPr>
              <w:t>上年发生额</w:t>
            </w:r>
            <w:r w:rsidR="005F14EE" w:rsidRPr="00B11E71">
              <w:rPr>
                <w:rFonts w:eastAsia="宋体" w:cs="Times New Roman"/>
                <w:sz w:val="18"/>
                <w:szCs w:val="18"/>
              </w:rPr>
              <w:t>(</w:t>
            </w:r>
            <w:r w:rsidR="00451844" w:rsidRPr="00B11E71">
              <w:rPr>
                <w:rFonts w:eastAsia="宋体" w:cs="Times New Roman" w:hint="eastAsia"/>
                <w:sz w:val="18"/>
                <w:szCs w:val="18"/>
              </w:rPr>
              <w:t>已重述</w:t>
            </w:r>
            <w:r w:rsidR="005F14EE" w:rsidRPr="00B11E71">
              <w:rPr>
                <w:rFonts w:eastAsia="宋体" w:cs="Times New Roman"/>
                <w:sz w:val="18"/>
                <w:szCs w:val="18"/>
              </w:rPr>
              <w:t>)</w:t>
            </w:r>
          </w:p>
        </w:tc>
      </w:tr>
      <w:tr w:rsidR="00AA2164" w:rsidRPr="00B11E71" w:rsidTr="0027505B">
        <w:trPr>
          <w:trHeight w:val="20"/>
        </w:trPr>
        <w:tc>
          <w:tcPr>
            <w:tcW w:w="2770" w:type="pct"/>
            <w:shd w:val="clear" w:color="auto" w:fill="D9D9D9" w:themeFill="background1" w:themeFillShade="D9"/>
            <w:tcMar>
              <w:top w:w="0" w:type="dxa"/>
              <w:left w:w="108" w:type="dxa"/>
              <w:bottom w:w="0" w:type="dxa"/>
              <w:right w:w="108" w:type="dxa"/>
            </w:tcMar>
            <w:vAlign w:val="center"/>
            <w:hideMark/>
          </w:tcPr>
          <w:p w:rsidR="00AA2164" w:rsidRPr="00B11E71" w:rsidRDefault="00AA2164">
            <w:pPr>
              <w:tabs>
                <w:tab w:val="left" w:pos="176"/>
              </w:tabs>
              <w:rPr>
                <w:rFonts w:eastAsia="宋体" w:cs="Times New Roman"/>
                <w:sz w:val="18"/>
                <w:szCs w:val="18"/>
              </w:rPr>
            </w:pPr>
            <w:r w:rsidRPr="00B11E71">
              <w:rPr>
                <w:rFonts w:eastAsia="宋体" w:cs="Times New Roman"/>
                <w:bCs/>
                <w:sz w:val="18"/>
                <w:szCs w:val="18"/>
              </w:rPr>
              <w:t>1.</w:t>
            </w:r>
            <w:r w:rsidRPr="00B11E71">
              <w:rPr>
                <w:rFonts w:eastAsia="宋体" w:cs="Times New Roman" w:hint="eastAsia"/>
                <w:bCs/>
                <w:sz w:val="18"/>
                <w:szCs w:val="18"/>
              </w:rPr>
              <w:t>将净利润调节为经营活动的现金流量</w:t>
            </w:r>
            <w:r w:rsidR="005F14EE" w:rsidRPr="00B11E71">
              <w:rPr>
                <w:rFonts w:eastAsia="宋体" w:cs="Times New Roman" w:hint="eastAsia"/>
                <w:bCs/>
                <w:sz w:val="18"/>
                <w:szCs w:val="18"/>
              </w:rPr>
              <w:t>：</w:t>
            </w:r>
          </w:p>
        </w:tc>
        <w:tc>
          <w:tcPr>
            <w:tcW w:w="1115" w:type="pct"/>
            <w:vAlign w:val="center"/>
          </w:tcPr>
          <w:p w:rsidR="00AA2164" w:rsidRPr="00B11E71" w:rsidRDefault="00AA2164" w:rsidP="0027505B">
            <w:pPr>
              <w:ind w:left="76" w:right="108"/>
              <w:jc w:val="right"/>
              <w:rPr>
                <w:rFonts w:eastAsia="宋体" w:cs="Times New Roman"/>
                <w:sz w:val="18"/>
                <w:szCs w:val="18"/>
              </w:rPr>
            </w:pPr>
          </w:p>
        </w:tc>
        <w:tc>
          <w:tcPr>
            <w:tcW w:w="1115" w:type="pct"/>
            <w:vAlign w:val="center"/>
          </w:tcPr>
          <w:p w:rsidR="00AA2164" w:rsidRPr="00B11E71" w:rsidRDefault="00AA2164" w:rsidP="0027505B">
            <w:pPr>
              <w:ind w:left="76" w:right="108"/>
              <w:jc w:val="right"/>
              <w:rPr>
                <w:rFonts w:eastAsia="宋体" w:cs="Times New Roman"/>
                <w:sz w:val="18"/>
                <w:szCs w:val="18"/>
              </w:rPr>
            </w:pP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hideMark/>
          </w:tcPr>
          <w:p w:rsidR="00F54B5D" w:rsidRPr="00B11E71" w:rsidRDefault="00F54B5D" w:rsidP="00F54B5D">
            <w:pPr>
              <w:tabs>
                <w:tab w:val="left" w:pos="13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净利润</w:t>
            </w:r>
          </w:p>
        </w:tc>
        <w:tc>
          <w:tcPr>
            <w:tcW w:w="1115" w:type="pct"/>
            <w:vAlign w:val="center"/>
          </w:tcPr>
          <w:p w:rsidR="00F54B5D" w:rsidRPr="00B11E71" w:rsidRDefault="00451844" w:rsidP="0027505B">
            <w:pPr>
              <w:ind w:left="76" w:right="108"/>
              <w:jc w:val="right"/>
              <w:rPr>
                <w:rFonts w:eastAsia="宋体" w:cs="Times New Roman"/>
                <w:sz w:val="18"/>
                <w:szCs w:val="18"/>
              </w:rPr>
            </w:pPr>
            <w:r w:rsidRPr="00B11E71">
              <w:rPr>
                <w:rFonts w:eastAsia="宋体" w:cs="Times New Roman"/>
                <w:sz w:val="18"/>
                <w:szCs w:val="18"/>
              </w:rPr>
              <w:t>562,940,763.10</w:t>
            </w:r>
          </w:p>
        </w:tc>
        <w:tc>
          <w:tcPr>
            <w:tcW w:w="1115" w:type="pct"/>
            <w:vAlign w:val="center"/>
          </w:tcPr>
          <w:p w:rsidR="00F54B5D" w:rsidRPr="00B11E71" w:rsidRDefault="00451844" w:rsidP="0027505B">
            <w:pPr>
              <w:ind w:left="76" w:right="108"/>
              <w:jc w:val="right"/>
              <w:rPr>
                <w:rFonts w:eastAsia="宋体" w:cs="Times New Roman"/>
                <w:sz w:val="18"/>
                <w:szCs w:val="18"/>
              </w:rPr>
            </w:pPr>
            <w:r w:rsidRPr="00B11E71">
              <w:rPr>
                <w:rFonts w:eastAsia="宋体" w:cs="Times New Roman"/>
                <w:sz w:val="18"/>
                <w:szCs w:val="18"/>
              </w:rPr>
              <w:t>333,489,214.42</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hideMark/>
          </w:tcPr>
          <w:p w:rsidR="00F54B5D" w:rsidRPr="00B11E71" w:rsidRDefault="00F54B5D" w:rsidP="00F54B5D">
            <w:pPr>
              <w:tabs>
                <w:tab w:val="left" w:pos="13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加</w:t>
            </w:r>
            <w:r w:rsidR="005F14EE" w:rsidRPr="00B11E71">
              <w:rPr>
                <w:rFonts w:eastAsia="宋体" w:cs="Times New Roman" w:hint="eastAsia"/>
                <w:sz w:val="18"/>
                <w:szCs w:val="18"/>
              </w:rPr>
              <w:t>：</w:t>
            </w:r>
            <w:r w:rsidRPr="00B11E71">
              <w:rPr>
                <w:rFonts w:eastAsia="宋体" w:cs="Times New Roman" w:hint="eastAsia"/>
                <w:sz w:val="18"/>
                <w:szCs w:val="18"/>
              </w:rPr>
              <w:t>资产减值损失</w:t>
            </w:r>
          </w:p>
        </w:tc>
        <w:tc>
          <w:tcPr>
            <w:tcW w:w="1115" w:type="pct"/>
            <w:vAlign w:val="center"/>
          </w:tcPr>
          <w:p w:rsidR="00F54B5D" w:rsidRPr="00B11E71" w:rsidRDefault="00451844" w:rsidP="0027505B">
            <w:pPr>
              <w:ind w:left="76" w:right="108"/>
              <w:jc w:val="right"/>
              <w:rPr>
                <w:rFonts w:eastAsia="宋体" w:cs="Times New Roman"/>
                <w:sz w:val="18"/>
                <w:szCs w:val="18"/>
              </w:rPr>
            </w:pPr>
            <w:r w:rsidRPr="00B11E71">
              <w:rPr>
                <w:rFonts w:eastAsia="宋体" w:cs="Times New Roman"/>
                <w:sz w:val="18"/>
                <w:szCs w:val="18"/>
              </w:rPr>
              <w:t>10,963,112.45</w:t>
            </w:r>
          </w:p>
        </w:tc>
        <w:tc>
          <w:tcPr>
            <w:tcW w:w="1115" w:type="pct"/>
            <w:vAlign w:val="center"/>
          </w:tcPr>
          <w:p w:rsidR="00F54B5D" w:rsidRPr="00B11E71" w:rsidRDefault="00F54B5D" w:rsidP="0027505B">
            <w:pPr>
              <w:ind w:left="76" w:right="108"/>
              <w:jc w:val="right"/>
              <w:rPr>
                <w:rFonts w:eastAsia="宋体" w:cs="Times New Roman"/>
                <w:sz w:val="18"/>
                <w:szCs w:val="18"/>
              </w:rPr>
            </w:pPr>
            <w:r w:rsidRPr="00B11E71">
              <w:rPr>
                <w:rFonts w:eastAsia="宋体" w:cs="Times New Roman"/>
                <w:sz w:val="18"/>
                <w:szCs w:val="18"/>
              </w:rPr>
              <w:t>30,409,292.05</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信用减值损失</w:t>
            </w:r>
          </w:p>
        </w:tc>
        <w:tc>
          <w:tcPr>
            <w:tcW w:w="1115" w:type="pct"/>
            <w:vAlign w:val="center"/>
          </w:tcPr>
          <w:p w:rsidR="00F54B5D" w:rsidRPr="00B11E71" w:rsidRDefault="00451844" w:rsidP="0027505B">
            <w:pPr>
              <w:ind w:left="76" w:right="108"/>
              <w:jc w:val="right"/>
              <w:rPr>
                <w:rFonts w:eastAsia="宋体" w:cs="Times New Roman"/>
                <w:sz w:val="18"/>
                <w:szCs w:val="18"/>
              </w:rPr>
            </w:pPr>
            <w:r w:rsidRPr="00B11E71">
              <w:rPr>
                <w:rFonts w:eastAsia="宋体" w:cs="Times New Roman"/>
                <w:sz w:val="18"/>
                <w:szCs w:val="18"/>
              </w:rPr>
              <w:t>3,266,721.12</w:t>
            </w:r>
          </w:p>
        </w:tc>
        <w:tc>
          <w:tcPr>
            <w:tcW w:w="1115" w:type="pct"/>
            <w:vAlign w:val="center"/>
          </w:tcPr>
          <w:p w:rsidR="00F54B5D" w:rsidRPr="00B11E71" w:rsidRDefault="00F54B5D" w:rsidP="0027505B">
            <w:pPr>
              <w:ind w:left="76" w:right="108"/>
              <w:jc w:val="right"/>
              <w:rPr>
                <w:rFonts w:eastAsia="宋体" w:cs="Times New Roman"/>
                <w:sz w:val="18"/>
                <w:szCs w:val="18"/>
              </w:rPr>
            </w:pPr>
            <w:r w:rsidRPr="00B11E71">
              <w:rPr>
                <w:rFonts w:eastAsia="宋体" w:cs="Times New Roman"/>
                <w:sz w:val="18"/>
                <w:szCs w:val="18"/>
              </w:rPr>
              <w:t>3,032,749.71</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hideMark/>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固定资产折旧</w:t>
            </w:r>
          </w:p>
        </w:tc>
        <w:tc>
          <w:tcPr>
            <w:tcW w:w="1115" w:type="pct"/>
            <w:vAlign w:val="center"/>
          </w:tcPr>
          <w:p w:rsidR="00F54B5D" w:rsidRPr="00B11E71" w:rsidRDefault="0023712C" w:rsidP="0027505B">
            <w:pPr>
              <w:ind w:left="76" w:right="108"/>
              <w:jc w:val="right"/>
              <w:rPr>
                <w:rFonts w:eastAsia="宋体" w:cs="Times New Roman"/>
                <w:sz w:val="18"/>
                <w:szCs w:val="18"/>
              </w:rPr>
            </w:pPr>
            <w:r w:rsidRPr="00B11E71">
              <w:rPr>
                <w:rFonts w:eastAsia="宋体" w:cs="Times New Roman"/>
                <w:sz w:val="18"/>
                <w:szCs w:val="18"/>
              </w:rPr>
              <w:t>48,722,766.61</w:t>
            </w:r>
          </w:p>
        </w:tc>
        <w:tc>
          <w:tcPr>
            <w:tcW w:w="1115" w:type="pct"/>
            <w:vAlign w:val="center"/>
          </w:tcPr>
          <w:p w:rsidR="00F54B5D" w:rsidRPr="00B11E71" w:rsidRDefault="00F54B5D" w:rsidP="0027505B">
            <w:pPr>
              <w:ind w:left="76" w:right="108"/>
              <w:jc w:val="right"/>
              <w:rPr>
                <w:rFonts w:eastAsia="宋体" w:cs="Times New Roman"/>
                <w:sz w:val="18"/>
                <w:szCs w:val="18"/>
              </w:rPr>
            </w:pPr>
            <w:r w:rsidRPr="00B11E71">
              <w:rPr>
                <w:rFonts w:eastAsia="宋体" w:cs="Times New Roman"/>
                <w:sz w:val="18"/>
                <w:szCs w:val="18"/>
              </w:rPr>
              <w:t>40,373,225.67</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hideMark/>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无形资产摊销</w:t>
            </w:r>
          </w:p>
        </w:tc>
        <w:tc>
          <w:tcPr>
            <w:tcW w:w="1115" w:type="pct"/>
            <w:vAlign w:val="center"/>
          </w:tcPr>
          <w:p w:rsidR="00F54B5D" w:rsidRPr="00B11E71" w:rsidRDefault="00451844" w:rsidP="0027505B">
            <w:pPr>
              <w:ind w:left="76" w:right="108"/>
              <w:jc w:val="right"/>
              <w:rPr>
                <w:rFonts w:eastAsia="宋体" w:cs="Times New Roman"/>
                <w:sz w:val="18"/>
                <w:szCs w:val="18"/>
              </w:rPr>
            </w:pPr>
            <w:r w:rsidRPr="00B11E71">
              <w:rPr>
                <w:rFonts w:eastAsia="宋体" w:cs="Times New Roman"/>
                <w:sz w:val="18"/>
                <w:szCs w:val="18"/>
              </w:rPr>
              <w:t>2,930,385.74</w:t>
            </w:r>
          </w:p>
        </w:tc>
        <w:tc>
          <w:tcPr>
            <w:tcW w:w="1115" w:type="pct"/>
            <w:vAlign w:val="center"/>
          </w:tcPr>
          <w:p w:rsidR="00F54B5D" w:rsidRPr="00B11E71" w:rsidRDefault="00F54B5D" w:rsidP="0027505B">
            <w:pPr>
              <w:ind w:left="76" w:right="108"/>
              <w:jc w:val="right"/>
              <w:rPr>
                <w:rFonts w:eastAsia="宋体" w:cs="Times New Roman"/>
                <w:sz w:val="18"/>
                <w:szCs w:val="18"/>
              </w:rPr>
            </w:pPr>
            <w:r w:rsidRPr="00B11E71">
              <w:rPr>
                <w:rFonts w:eastAsia="宋体" w:cs="Times New Roman"/>
                <w:sz w:val="18"/>
                <w:szCs w:val="18"/>
              </w:rPr>
              <w:t>4,648,765.99</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长期待摊费用摊销</w:t>
            </w:r>
          </w:p>
        </w:tc>
        <w:tc>
          <w:tcPr>
            <w:tcW w:w="1115" w:type="pct"/>
            <w:vAlign w:val="center"/>
          </w:tcPr>
          <w:p w:rsidR="00F54B5D" w:rsidRPr="00B11E71" w:rsidRDefault="00451844" w:rsidP="0027505B">
            <w:pPr>
              <w:ind w:left="76" w:right="108"/>
              <w:jc w:val="right"/>
              <w:rPr>
                <w:rFonts w:eastAsia="宋体" w:cs="Times New Roman"/>
                <w:sz w:val="18"/>
                <w:szCs w:val="18"/>
              </w:rPr>
            </w:pPr>
            <w:r w:rsidRPr="00B11E71">
              <w:rPr>
                <w:rFonts w:eastAsia="宋体" w:cs="Times New Roman"/>
                <w:sz w:val="18"/>
                <w:szCs w:val="18"/>
              </w:rPr>
              <w:t>6,023,669.66</w:t>
            </w:r>
          </w:p>
        </w:tc>
        <w:tc>
          <w:tcPr>
            <w:tcW w:w="1115" w:type="pct"/>
            <w:vAlign w:val="center"/>
          </w:tcPr>
          <w:p w:rsidR="00F54B5D" w:rsidRPr="00B11E71" w:rsidRDefault="00F54B5D" w:rsidP="0027505B">
            <w:pPr>
              <w:ind w:left="76" w:right="108"/>
              <w:jc w:val="right"/>
              <w:rPr>
                <w:rFonts w:eastAsia="宋体" w:cs="Times New Roman"/>
                <w:sz w:val="18"/>
                <w:szCs w:val="18"/>
              </w:rPr>
            </w:pPr>
            <w:r w:rsidRPr="00B11E71">
              <w:rPr>
                <w:rFonts w:eastAsia="宋体" w:cs="Times New Roman"/>
                <w:sz w:val="18"/>
                <w:szCs w:val="18"/>
              </w:rPr>
              <w:t>1,662,166.59</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使用权资产折旧</w:t>
            </w:r>
          </w:p>
        </w:tc>
        <w:tc>
          <w:tcPr>
            <w:tcW w:w="1115" w:type="pct"/>
            <w:vAlign w:val="center"/>
          </w:tcPr>
          <w:p w:rsidR="00F54B5D" w:rsidRPr="00B11E71" w:rsidRDefault="00451844" w:rsidP="0027505B">
            <w:pPr>
              <w:ind w:left="76" w:right="108"/>
              <w:jc w:val="right"/>
              <w:rPr>
                <w:rFonts w:eastAsia="宋体" w:cs="Times New Roman"/>
                <w:sz w:val="18"/>
                <w:szCs w:val="18"/>
              </w:rPr>
            </w:pPr>
            <w:r w:rsidRPr="00B11E71">
              <w:rPr>
                <w:rFonts w:eastAsia="宋体" w:cs="Times New Roman"/>
                <w:sz w:val="18"/>
                <w:szCs w:val="18"/>
              </w:rPr>
              <w:t>41,806,834.67</w:t>
            </w:r>
          </w:p>
        </w:tc>
        <w:tc>
          <w:tcPr>
            <w:tcW w:w="1115" w:type="pct"/>
            <w:vAlign w:val="center"/>
          </w:tcPr>
          <w:p w:rsidR="00F54B5D" w:rsidRPr="00B11E71" w:rsidRDefault="00F54B5D" w:rsidP="0027505B">
            <w:pPr>
              <w:ind w:left="76" w:right="108"/>
              <w:jc w:val="right"/>
              <w:rPr>
                <w:rFonts w:eastAsia="宋体" w:cs="Times New Roman"/>
                <w:sz w:val="18"/>
                <w:szCs w:val="18"/>
              </w:rPr>
            </w:pPr>
            <w:r w:rsidRPr="00B11E71">
              <w:rPr>
                <w:rFonts w:eastAsia="宋体" w:cs="Times New Roman"/>
                <w:sz w:val="18"/>
                <w:szCs w:val="18"/>
              </w:rPr>
              <w:t>38,805,032.39</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处置固定资产、无形资产和其他长期资产的损失</w:t>
            </w:r>
            <w:r w:rsidR="005F14EE" w:rsidRPr="00B11E71">
              <w:rPr>
                <w:rFonts w:eastAsia="宋体" w:cs="Times New Roman"/>
                <w:sz w:val="18"/>
                <w:szCs w:val="18"/>
              </w:rPr>
              <w:t>(</w:t>
            </w:r>
            <w:r w:rsidR="009D1A7B" w:rsidRPr="00B11E71">
              <w:rPr>
                <w:rFonts w:eastAsia="宋体" w:cs="Times New Roman" w:hint="eastAsia"/>
                <w:sz w:val="18"/>
                <w:szCs w:val="18"/>
              </w:rPr>
              <w:t>收益</w:t>
            </w:r>
            <w:r w:rsidR="005F14EE" w:rsidRPr="00B11E71">
              <w:rPr>
                <w:rFonts w:eastAsia="宋体" w:cs="Times New Roman"/>
                <w:sz w:val="18"/>
                <w:szCs w:val="18"/>
              </w:rPr>
              <w:t>)</w:t>
            </w:r>
          </w:p>
        </w:tc>
        <w:tc>
          <w:tcPr>
            <w:tcW w:w="1115" w:type="pct"/>
            <w:vAlign w:val="center"/>
          </w:tcPr>
          <w:p w:rsidR="00F54B5D" w:rsidRPr="00B11E71" w:rsidRDefault="005F14EE" w:rsidP="0027505B">
            <w:pPr>
              <w:ind w:left="76" w:right="108"/>
              <w:jc w:val="right"/>
              <w:rPr>
                <w:rFonts w:eastAsia="宋体" w:cs="Times New Roman"/>
                <w:sz w:val="18"/>
                <w:szCs w:val="18"/>
              </w:rPr>
            </w:pPr>
            <w:r w:rsidRPr="00B11E71">
              <w:rPr>
                <w:rFonts w:eastAsia="宋体" w:cs="Times New Roman"/>
                <w:sz w:val="18"/>
                <w:szCs w:val="18"/>
              </w:rPr>
              <w:t>(</w:t>
            </w:r>
            <w:r w:rsidR="00451844" w:rsidRPr="00B11E71">
              <w:rPr>
                <w:rFonts w:eastAsia="宋体" w:cs="Times New Roman"/>
                <w:sz w:val="18"/>
                <w:szCs w:val="18"/>
              </w:rPr>
              <w:t>185,503.89</w:t>
            </w:r>
            <w:r w:rsidRPr="00B11E71">
              <w:rPr>
                <w:rFonts w:eastAsia="宋体" w:cs="Times New Roman"/>
                <w:sz w:val="18"/>
                <w:szCs w:val="18"/>
              </w:rPr>
              <w:t>)</w:t>
            </w:r>
          </w:p>
        </w:tc>
        <w:tc>
          <w:tcPr>
            <w:tcW w:w="1115" w:type="pct"/>
            <w:vAlign w:val="center"/>
          </w:tcPr>
          <w:p w:rsidR="00F54B5D" w:rsidRPr="00B11E71" w:rsidRDefault="00F54B5D" w:rsidP="0027505B">
            <w:pPr>
              <w:ind w:left="76" w:right="108"/>
              <w:jc w:val="right"/>
              <w:rPr>
                <w:rFonts w:eastAsia="宋体" w:cs="Times New Roman"/>
                <w:sz w:val="18"/>
                <w:szCs w:val="18"/>
              </w:rPr>
            </w:pPr>
            <w:r w:rsidRPr="00B11E71">
              <w:rPr>
                <w:rFonts w:eastAsia="宋体" w:cs="Times New Roman"/>
                <w:sz w:val="18"/>
                <w:szCs w:val="18"/>
              </w:rPr>
              <w:t>18,203.42</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hideMark/>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固定资产报废损失</w:t>
            </w:r>
          </w:p>
        </w:tc>
        <w:tc>
          <w:tcPr>
            <w:tcW w:w="1115" w:type="pct"/>
            <w:vAlign w:val="center"/>
          </w:tcPr>
          <w:p w:rsidR="00F54B5D" w:rsidRPr="00B11E71" w:rsidRDefault="00451844" w:rsidP="0027505B">
            <w:pPr>
              <w:ind w:left="76" w:right="108"/>
              <w:jc w:val="right"/>
              <w:rPr>
                <w:rFonts w:eastAsia="宋体" w:cs="Times New Roman"/>
                <w:sz w:val="18"/>
                <w:szCs w:val="18"/>
              </w:rPr>
            </w:pPr>
            <w:r w:rsidRPr="00B11E71">
              <w:rPr>
                <w:rFonts w:eastAsia="宋体" w:cs="Times New Roman"/>
                <w:sz w:val="18"/>
                <w:szCs w:val="18"/>
              </w:rPr>
              <w:t>4,830,388.94</w:t>
            </w:r>
          </w:p>
        </w:tc>
        <w:tc>
          <w:tcPr>
            <w:tcW w:w="1115" w:type="pct"/>
            <w:vAlign w:val="center"/>
          </w:tcPr>
          <w:p w:rsidR="00F54B5D" w:rsidRPr="00B11E71" w:rsidDel="00A74236" w:rsidRDefault="00F54B5D" w:rsidP="0027505B">
            <w:pPr>
              <w:ind w:left="76" w:right="108"/>
              <w:jc w:val="right"/>
              <w:rPr>
                <w:rFonts w:eastAsia="宋体" w:cs="Times New Roman"/>
                <w:sz w:val="18"/>
                <w:szCs w:val="18"/>
              </w:rPr>
            </w:pPr>
            <w:r w:rsidRPr="00B11E71">
              <w:rPr>
                <w:rFonts w:eastAsia="宋体" w:cs="Times New Roman"/>
                <w:sz w:val="18"/>
                <w:szCs w:val="18"/>
              </w:rPr>
              <w:t>362,106.63</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hideMark/>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财务费用</w:t>
            </w:r>
          </w:p>
        </w:tc>
        <w:tc>
          <w:tcPr>
            <w:tcW w:w="1115" w:type="pct"/>
            <w:vAlign w:val="center"/>
          </w:tcPr>
          <w:p w:rsidR="00F54B5D" w:rsidRPr="00B11E71" w:rsidRDefault="00451844" w:rsidP="0027505B">
            <w:pPr>
              <w:ind w:left="76" w:right="108"/>
              <w:jc w:val="right"/>
              <w:rPr>
                <w:rFonts w:eastAsia="宋体" w:cs="Times New Roman"/>
                <w:sz w:val="18"/>
                <w:szCs w:val="18"/>
              </w:rPr>
            </w:pPr>
            <w:r w:rsidRPr="00B11E71">
              <w:rPr>
                <w:rFonts w:eastAsia="宋体" w:cs="Times New Roman"/>
                <w:sz w:val="18"/>
                <w:szCs w:val="18"/>
              </w:rPr>
              <w:t>4,602,841.53</w:t>
            </w:r>
          </w:p>
        </w:tc>
        <w:tc>
          <w:tcPr>
            <w:tcW w:w="1115" w:type="pct"/>
            <w:vAlign w:val="center"/>
          </w:tcPr>
          <w:p w:rsidR="00F54B5D" w:rsidRPr="00B11E71" w:rsidRDefault="00F54B5D" w:rsidP="0027505B">
            <w:pPr>
              <w:ind w:left="76" w:right="108"/>
              <w:jc w:val="right"/>
              <w:rPr>
                <w:rFonts w:eastAsia="宋体" w:cs="Times New Roman"/>
                <w:sz w:val="18"/>
                <w:szCs w:val="18"/>
              </w:rPr>
            </w:pPr>
            <w:r w:rsidRPr="00B11E71">
              <w:rPr>
                <w:rFonts w:eastAsia="宋体" w:cs="Times New Roman"/>
                <w:sz w:val="18"/>
                <w:szCs w:val="18"/>
              </w:rPr>
              <w:t>4,771,021.24</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hideMark/>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存货的减少</w:t>
            </w:r>
            <w:r w:rsidR="005F14EE" w:rsidRPr="00B11E71">
              <w:rPr>
                <w:rFonts w:eastAsia="宋体" w:cs="Times New Roman"/>
                <w:sz w:val="18"/>
                <w:szCs w:val="18"/>
              </w:rPr>
              <w:t>(</w:t>
            </w:r>
            <w:r w:rsidRPr="00B11E71">
              <w:rPr>
                <w:rFonts w:eastAsia="宋体" w:cs="Times New Roman" w:hint="eastAsia"/>
                <w:sz w:val="18"/>
                <w:szCs w:val="18"/>
              </w:rPr>
              <w:t>增加</w:t>
            </w:r>
            <w:r w:rsidR="005F14EE" w:rsidRPr="00B11E71">
              <w:rPr>
                <w:rFonts w:eastAsia="宋体" w:cs="Times New Roman"/>
                <w:sz w:val="18"/>
                <w:szCs w:val="18"/>
              </w:rPr>
              <w:t>)</w:t>
            </w:r>
          </w:p>
        </w:tc>
        <w:tc>
          <w:tcPr>
            <w:tcW w:w="1115" w:type="pct"/>
            <w:vAlign w:val="center"/>
          </w:tcPr>
          <w:p w:rsidR="00F54B5D" w:rsidRPr="00B11E71" w:rsidRDefault="005F14EE" w:rsidP="0027505B">
            <w:pPr>
              <w:ind w:left="76" w:right="108"/>
              <w:jc w:val="right"/>
              <w:rPr>
                <w:rFonts w:eastAsia="宋体" w:cs="Times New Roman"/>
                <w:sz w:val="18"/>
                <w:szCs w:val="18"/>
              </w:rPr>
            </w:pPr>
            <w:r w:rsidRPr="00B11E71">
              <w:rPr>
                <w:rFonts w:eastAsia="宋体" w:cs="Times New Roman"/>
                <w:sz w:val="18"/>
                <w:szCs w:val="18"/>
              </w:rPr>
              <w:t>(</w:t>
            </w:r>
            <w:r w:rsidR="00451844" w:rsidRPr="00B11E71">
              <w:rPr>
                <w:rFonts w:eastAsia="宋体" w:cs="Times New Roman"/>
                <w:sz w:val="18"/>
                <w:szCs w:val="18"/>
              </w:rPr>
              <w:t>115,654,729.30</w:t>
            </w:r>
            <w:r w:rsidRPr="00B11E71">
              <w:rPr>
                <w:rFonts w:eastAsia="宋体" w:cs="Times New Roman"/>
                <w:sz w:val="18"/>
                <w:szCs w:val="18"/>
              </w:rPr>
              <w:t>)</w:t>
            </w:r>
          </w:p>
        </w:tc>
        <w:tc>
          <w:tcPr>
            <w:tcW w:w="1115" w:type="pct"/>
            <w:vAlign w:val="center"/>
          </w:tcPr>
          <w:p w:rsidR="00F54B5D" w:rsidRPr="00B11E71" w:rsidDel="00A74236" w:rsidRDefault="00F54B5D" w:rsidP="0027505B">
            <w:pPr>
              <w:ind w:left="76" w:right="108"/>
              <w:jc w:val="right"/>
              <w:rPr>
                <w:rFonts w:eastAsia="宋体" w:cs="Times New Roman"/>
                <w:sz w:val="18"/>
                <w:szCs w:val="18"/>
              </w:rPr>
            </w:pPr>
            <w:r w:rsidRPr="00B11E71">
              <w:rPr>
                <w:rFonts w:eastAsia="宋体" w:cs="Times New Roman"/>
                <w:sz w:val="18"/>
                <w:szCs w:val="18"/>
              </w:rPr>
              <w:t>400,350,133.21</w:t>
            </w:r>
          </w:p>
        </w:tc>
      </w:tr>
      <w:tr w:rsidR="00F54B5D"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F54B5D" w:rsidRPr="00B11E71" w:rsidRDefault="00F54B5D" w:rsidP="00F54B5D">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递延所得税资产的增加</w:t>
            </w:r>
          </w:p>
        </w:tc>
        <w:tc>
          <w:tcPr>
            <w:tcW w:w="1115" w:type="pct"/>
            <w:vAlign w:val="center"/>
          </w:tcPr>
          <w:p w:rsidR="00F54B5D" w:rsidRPr="00B11E71" w:rsidRDefault="005F14EE" w:rsidP="0027505B">
            <w:pPr>
              <w:ind w:left="76" w:right="108"/>
              <w:jc w:val="right"/>
              <w:rPr>
                <w:rFonts w:eastAsia="宋体" w:cs="Times New Roman"/>
                <w:sz w:val="18"/>
                <w:szCs w:val="18"/>
              </w:rPr>
            </w:pPr>
            <w:r w:rsidRPr="00B11E71">
              <w:rPr>
                <w:rFonts w:eastAsia="宋体" w:cs="Times New Roman"/>
                <w:sz w:val="18"/>
                <w:szCs w:val="18"/>
              </w:rPr>
              <w:t>(</w:t>
            </w:r>
            <w:r w:rsidR="00451844" w:rsidRPr="00B11E71">
              <w:rPr>
                <w:rFonts w:eastAsia="宋体" w:cs="Times New Roman"/>
                <w:sz w:val="18"/>
                <w:szCs w:val="18"/>
              </w:rPr>
              <w:t>30,111,257.54</w:t>
            </w:r>
            <w:r w:rsidRPr="00B11E71">
              <w:rPr>
                <w:rFonts w:eastAsia="宋体" w:cs="Times New Roman"/>
                <w:sz w:val="18"/>
                <w:szCs w:val="18"/>
              </w:rPr>
              <w:t>)</w:t>
            </w:r>
          </w:p>
        </w:tc>
        <w:tc>
          <w:tcPr>
            <w:tcW w:w="1115" w:type="pct"/>
            <w:vAlign w:val="center"/>
          </w:tcPr>
          <w:p w:rsidR="00F54B5D" w:rsidRPr="00B11E71" w:rsidRDefault="005F14EE" w:rsidP="0027505B">
            <w:pPr>
              <w:ind w:left="76" w:right="108"/>
              <w:jc w:val="right"/>
              <w:rPr>
                <w:rFonts w:eastAsia="宋体" w:cs="Times New Roman"/>
                <w:sz w:val="18"/>
                <w:szCs w:val="18"/>
              </w:rPr>
            </w:pPr>
            <w:r w:rsidRPr="00B11E71">
              <w:rPr>
                <w:rFonts w:eastAsia="宋体" w:cs="Times New Roman"/>
                <w:sz w:val="18"/>
                <w:szCs w:val="18"/>
              </w:rPr>
              <w:t>(</w:t>
            </w:r>
            <w:r w:rsidR="00451844" w:rsidRPr="00B11E71">
              <w:rPr>
                <w:rFonts w:eastAsia="宋体" w:cs="Times New Roman"/>
                <w:sz w:val="18"/>
                <w:szCs w:val="18"/>
              </w:rPr>
              <w:t>33,235,635.82</w:t>
            </w:r>
            <w:r w:rsidRPr="00B11E71">
              <w:rPr>
                <w:rFonts w:eastAsia="宋体" w:cs="Times New Roman"/>
                <w:sz w:val="18"/>
                <w:szCs w:val="18"/>
              </w:rPr>
              <w:t>)</w:t>
            </w:r>
          </w:p>
        </w:tc>
      </w:tr>
      <w:tr w:rsidR="00B11E71"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B11E71" w:rsidRPr="00B11E71" w:rsidRDefault="00B11E71" w:rsidP="00B11E71">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递延所得税负债的减少</w:t>
            </w:r>
          </w:p>
        </w:tc>
        <w:tc>
          <w:tcPr>
            <w:tcW w:w="1115" w:type="pct"/>
            <w:vAlign w:val="center"/>
          </w:tcPr>
          <w:p w:rsidR="00B11E71" w:rsidRPr="00B11E71" w:rsidRDefault="00B11E71" w:rsidP="0027505B">
            <w:pPr>
              <w:ind w:left="76" w:right="108"/>
              <w:jc w:val="right"/>
              <w:rPr>
                <w:sz w:val="18"/>
                <w:szCs w:val="18"/>
              </w:rPr>
            </w:pPr>
            <w:r w:rsidRPr="0027505B">
              <w:rPr>
                <w:rFonts w:eastAsia="宋体" w:cs="Times New Roman"/>
                <w:sz w:val="18"/>
                <w:szCs w:val="18"/>
              </w:rPr>
              <w:t>-    </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(815,027.83)</w:t>
            </w:r>
          </w:p>
        </w:tc>
      </w:tr>
      <w:tr w:rsidR="00B11E71"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B11E71" w:rsidRPr="00B11E71" w:rsidRDefault="00B11E71" w:rsidP="00B11E71">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合同负债的增加</w:t>
            </w:r>
            <w:r w:rsidRPr="00B11E71">
              <w:rPr>
                <w:rFonts w:eastAsia="宋体" w:cs="Times New Roman"/>
                <w:sz w:val="18"/>
                <w:szCs w:val="18"/>
              </w:rPr>
              <w:t>(</w:t>
            </w:r>
            <w:r w:rsidRPr="00B11E71">
              <w:rPr>
                <w:rFonts w:eastAsia="宋体" w:cs="Times New Roman" w:hint="eastAsia"/>
                <w:sz w:val="18"/>
                <w:szCs w:val="18"/>
              </w:rPr>
              <w:t>减少</w:t>
            </w:r>
            <w:r w:rsidRPr="00B11E71">
              <w:rPr>
                <w:rFonts w:eastAsia="宋体" w:cs="Times New Roman"/>
                <w:sz w:val="18"/>
                <w:szCs w:val="18"/>
              </w:rPr>
              <w:t>)</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91,243,865.77</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(1,702,986.13)</w:t>
            </w:r>
          </w:p>
        </w:tc>
      </w:tr>
      <w:tr w:rsidR="00B11E71"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B11E71" w:rsidRPr="00B11E71" w:rsidRDefault="00B11E71" w:rsidP="00B11E71">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递延收益的增加</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14,929,920.15</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1,559,453.69</w:t>
            </w:r>
          </w:p>
        </w:tc>
      </w:tr>
      <w:tr w:rsidR="00B11E71"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B11E71" w:rsidRPr="00B11E71" w:rsidRDefault="00B11E71" w:rsidP="00B11E71">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经营性应收项目的减少</w:t>
            </w:r>
            <w:r w:rsidRPr="00B11E71">
              <w:rPr>
                <w:rFonts w:eastAsia="宋体" w:cs="Times New Roman"/>
                <w:sz w:val="18"/>
                <w:szCs w:val="18"/>
              </w:rPr>
              <w:t>(</w:t>
            </w:r>
            <w:r w:rsidRPr="00B11E71">
              <w:rPr>
                <w:rFonts w:eastAsia="宋体" w:cs="Times New Roman" w:hint="eastAsia"/>
                <w:sz w:val="18"/>
                <w:szCs w:val="18"/>
              </w:rPr>
              <w:t>增加</w:t>
            </w:r>
            <w:r w:rsidRPr="00B11E71">
              <w:rPr>
                <w:rFonts w:eastAsia="宋体" w:cs="Times New Roman"/>
                <w:sz w:val="18"/>
                <w:szCs w:val="18"/>
              </w:rPr>
              <w:t>)</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(182,278,988.94)</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43,053,911.36</w:t>
            </w:r>
          </w:p>
        </w:tc>
      </w:tr>
      <w:tr w:rsidR="00B11E71"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B11E71" w:rsidRPr="00B11E71" w:rsidRDefault="00B11E71" w:rsidP="00B11E71">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经营性应付项目的增加</w:t>
            </w:r>
            <w:r w:rsidRPr="00B11E71">
              <w:rPr>
                <w:rFonts w:eastAsia="宋体" w:cs="Times New Roman"/>
                <w:sz w:val="18"/>
                <w:szCs w:val="18"/>
              </w:rPr>
              <w:t>(</w:t>
            </w:r>
            <w:r w:rsidRPr="00B11E71">
              <w:rPr>
                <w:rFonts w:eastAsia="宋体" w:cs="Times New Roman" w:hint="eastAsia"/>
                <w:sz w:val="18"/>
                <w:szCs w:val="18"/>
              </w:rPr>
              <w:t>减少</w:t>
            </w:r>
            <w:r w:rsidRPr="00B11E71">
              <w:rPr>
                <w:rFonts w:eastAsia="宋体" w:cs="Times New Roman"/>
                <w:sz w:val="18"/>
                <w:szCs w:val="18"/>
              </w:rPr>
              <w:t>)</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496,197,518.33</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(136,797,819.06)</w:t>
            </w:r>
          </w:p>
        </w:tc>
      </w:tr>
      <w:tr w:rsidR="00B11E71" w:rsidRPr="00B11E71" w:rsidTr="0027505B">
        <w:trPr>
          <w:trHeight w:val="20"/>
        </w:trPr>
        <w:tc>
          <w:tcPr>
            <w:tcW w:w="2770" w:type="pct"/>
            <w:shd w:val="clear" w:color="auto" w:fill="FFFFFF" w:themeFill="background1"/>
            <w:tcMar>
              <w:top w:w="0" w:type="dxa"/>
              <w:left w:w="108" w:type="dxa"/>
              <w:bottom w:w="0" w:type="dxa"/>
              <w:right w:w="108" w:type="dxa"/>
            </w:tcMar>
            <w:vAlign w:val="center"/>
          </w:tcPr>
          <w:p w:rsidR="00B11E71" w:rsidRPr="00B11E71" w:rsidRDefault="00B11E71" w:rsidP="00B11E71">
            <w:pPr>
              <w:tabs>
                <w:tab w:val="left" w:pos="49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以权益结算的股份支付金额</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10,337,881.29</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5,574,235.92</w:t>
            </w:r>
          </w:p>
        </w:tc>
      </w:tr>
      <w:tr w:rsidR="00B11E71" w:rsidRPr="00242A3C" w:rsidTr="0027505B">
        <w:trPr>
          <w:trHeight w:val="20"/>
        </w:trPr>
        <w:tc>
          <w:tcPr>
            <w:tcW w:w="2770" w:type="pct"/>
            <w:shd w:val="clear" w:color="auto" w:fill="D9D9D9" w:themeFill="background1" w:themeFillShade="D9"/>
            <w:tcMar>
              <w:top w:w="0" w:type="dxa"/>
              <w:left w:w="108" w:type="dxa"/>
              <w:bottom w:w="0" w:type="dxa"/>
              <w:right w:w="108" w:type="dxa"/>
            </w:tcMar>
            <w:vAlign w:val="center"/>
            <w:hideMark/>
          </w:tcPr>
          <w:p w:rsidR="00B11E71" w:rsidRPr="0027505B" w:rsidRDefault="00B11E71" w:rsidP="00B11E71">
            <w:pPr>
              <w:tabs>
                <w:tab w:val="left" w:pos="124"/>
              </w:tabs>
              <w:rPr>
                <w:rFonts w:eastAsia="宋体" w:cs="Times New Roman"/>
                <w:sz w:val="18"/>
                <w:szCs w:val="18"/>
              </w:rPr>
            </w:pPr>
            <w:r w:rsidRPr="0027505B">
              <w:rPr>
                <w:rFonts w:eastAsia="宋体" w:cs="Times New Roman"/>
                <w:sz w:val="18"/>
                <w:szCs w:val="18"/>
              </w:rPr>
              <w:tab/>
            </w:r>
            <w:r w:rsidRPr="0027505B">
              <w:rPr>
                <w:rFonts w:eastAsia="宋体" w:cs="Times New Roman" w:hint="eastAsia"/>
                <w:sz w:val="18"/>
                <w:szCs w:val="18"/>
              </w:rPr>
              <w:t>经营活动产生的现金流量净额</w:t>
            </w:r>
          </w:p>
        </w:tc>
        <w:tc>
          <w:tcPr>
            <w:tcW w:w="1115" w:type="pct"/>
            <w:vAlign w:val="center"/>
          </w:tcPr>
          <w:p w:rsidR="00B11E71" w:rsidRPr="0027505B" w:rsidRDefault="00B11E71" w:rsidP="0027505B">
            <w:pPr>
              <w:ind w:left="76" w:right="108"/>
              <w:jc w:val="right"/>
              <w:rPr>
                <w:rFonts w:eastAsia="宋体" w:cs="Times New Roman"/>
                <w:sz w:val="18"/>
                <w:szCs w:val="18"/>
              </w:rPr>
            </w:pPr>
            <w:r w:rsidRPr="0027505B">
              <w:rPr>
                <w:rFonts w:eastAsia="宋体" w:cs="Times New Roman"/>
                <w:sz w:val="18"/>
                <w:szCs w:val="18"/>
              </w:rPr>
              <w:t>970,566,189.69</w:t>
            </w:r>
          </w:p>
        </w:tc>
        <w:tc>
          <w:tcPr>
            <w:tcW w:w="1115" w:type="pct"/>
            <w:vAlign w:val="center"/>
          </w:tcPr>
          <w:p w:rsidR="00B11E71" w:rsidRPr="0027505B" w:rsidRDefault="00B11E71" w:rsidP="0027505B">
            <w:pPr>
              <w:ind w:left="76" w:right="108"/>
              <w:jc w:val="right"/>
              <w:rPr>
                <w:rFonts w:eastAsia="宋体" w:cs="Times New Roman"/>
                <w:sz w:val="18"/>
                <w:szCs w:val="18"/>
              </w:rPr>
            </w:pPr>
            <w:r w:rsidRPr="0027505B">
              <w:rPr>
                <w:rFonts w:eastAsia="宋体" w:cs="Times New Roman"/>
                <w:sz w:val="18"/>
                <w:szCs w:val="18"/>
              </w:rPr>
              <w:t>735,558,043.45</w:t>
            </w:r>
          </w:p>
        </w:tc>
      </w:tr>
      <w:tr w:rsidR="00B11E71" w:rsidRPr="00B11E71" w:rsidTr="0027505B">
        <w:trPr>
          <w:trHeight w:val="20"/>
        </w:trPr>
        <w:tc>
          <w:tcPr>
            <w:tcW w:w="2770" w:type="pct"/>
            <w:shd w:val="clear" w:color="auto" w:fill="D9D9D9" w:themeFill="background1" w:themeFillShade="D9"/>
            <w:tcMar>
              <w:top w:w="0" w:type="dxa"/>
              <w:left w:w="108" w:type="dxa"/>
              <w:bottom w:w="0" w:type="dxa"/>
              <w:right w:w="108" w:type="dxa"/>
            </w:tcMar>
            <w:vAlign w:val="center"/>
            <w:hideMark/>
          </w:tcPr>
          <w:p w:rsidR="00B11E71" w:rsidRPr="00B11E71" w:rsidRDefault="00B11E71" w:rsidP="00B11E71">
            <w:pPr>
              <w:ind w:right="-150"/>
              <w:rPr>
                <w:rFonts w:eastAsia="宋体" w:cs="Times New Roman"/>
                <w:sz w:val="18"/>
                <w:szCs w:val="18"/>
              </w:rPr>
            </w:pPr>
            <w:r w:rsidRPr="00B11E71">
              <w:rPr>
                <w:rFonts w:eastAsia="宋体" w:cs="Times New Roman"/>
                <w:bCs/>
                <w:sz w:val="18"/>
                <w:szCs w:val="18"/>
              </w:rPr>
              <w:t>2.</w:t>
            </w:r>
            <w:r w:rsidRPr="00B11E71">
              <w:rPr>
                <w:rFonts w:eastAsia="宋体" w:cs="Times New Roman" w:hint="eastAsia"/>
                <w:bCs/>
                <w:sz w:val="18"/>
                <w:szCs w:val="18"/>
              </w:rPr>
              <w:t>不涉及现金收支的重大投资和筹资活动：</w:t>
            </w:r>
          </w:p>
        </w:tc>
        <w:tc>
          <w:tcPr>
            <w:tcW w:w="1115" w:type="pct"/>
            <w:vAlign w:val="center"/>
          </w:tcPr>
          <w:p w:rsidR="00B11E71" w:rsidRPr="00B11E71" w:rsidRDefault="00B11E71" w:rsidP="0027505B">
            <w:pPr>
              <w:ind w:left="76" w:right="108"/>
              <w:jc w:val="right"/>
              <w:rPr>
                <w:rFonts w:eastAsia="宋体" w:cs="Times New Roman"/>
                <w:sz w:val="18"/>
                <w:szCs w:val="18"/>
              </w:rPr>
            </w:pPr>
          </w:p>
        </w:tc>
        <w:tc>
          <w:tcPr>
            <w:tcW w:w="1115" w:type="pct"/>
            <w:vAlign w:val="center"/>
          </w:tcPr>
          <w:p w:rsidR="00B11E71" w:rsidRPr="00B11E71" w:rsidRDefault="00B11E71" w:rsidP="0027505B">
            <w:pPr>
              <w:ind w:left="76" w:right="108"/>
              <w:jc w:val="right"/>
              <w:rPr>
                <w:rFonts w:eastAsia="宋体" w:cs="Times New Roman"/>
                <w:sz w:val="18"/>
                <w:szCs w:val="18"/>
              </w:rPr>
            </w:pPr>
          </w:p>
        </w:tc>
      </w:tr>
      <w:tr w:rsidR="00B11E71" w:rsidRPr="00B11E71" w:rsidTr="0027505B">
        <w:trPr>
          <w:trHeight w:val="20"/>
        </w:trPr>
        <w:tc>
          <w:tcPr>
            <w:tcW w:w="2770" w:type="pct"/>
            <w:shd w:val="clear" w:color="auto" w:fill="auto"/>
            <w:tcMar>
              <w:top w:w="0" w:type="dxa"/>
              <w:left w:w="108" w:type="dxa"/>
              <w:bottom w:w="0" w:type="dxa"/>
              <w:right w:w="108" w:type="dxa"/>
            </w:tcMar>
            <w:vAlign w:val="center"/>
          </w:tcPr>
          <w:p w:rsidR="00B11E71" w:rsidRPr="00B11E71" w:rsidRDefault="00B11E71" w:rsidP="00B11E71">
            <w:pPr>
              <w:tabs>
                <w:tab w:val="left" w:pos="138"/>
              </w:tabs>
              <w:rPr>
                <w:rFonts w:eastAsia="宋体" w:cs="Times New Roman"/>
                <w:bCs/>
                <w:sz w:val="18"/>
                <w:szCs w:val="18"/>
              </w:rPr>
            </w:pPr>
            <w:r w:rsidRPr="00B11E71">
              <w:rPr>
                <w:rFonts w:eastAsia="宋体" w:cs="Times New Roman"/>
                <w:bCs/>
                <w:sz w:val="18"/>
                <w:szCs w:val="18"/>
              </w:rPr>
              <w:tab/>
            </w:r>
            <w:r w:rsidRPr="00B11E71">
              <w:rPr>
                <w:rFonts w:eastAsia="宋体" w:cs="Times New Roman" w:hint="eastAsia"/>
                <w:bCs/>
                <w:sz w:val="18"/>
                <w:szCs w:val="18"/>
              </w:rPr>
              <w:t>以债务购置固定资产</w:t>
            </w:r>
          </w:p>
        </w:tc>
        <w:tc>
          <w:tcPr>
            <w:tcW w:w="1115" w:type="pct"/>
            <w:vAlign w:val="center"/>
          </w:tcPr>
          <w:p w:rsidR="00B11E71" w:rsidRPr="00B11E71" w:rsidRDefault="00B11E71" w:rsidP="0027505B">
            <w:pPr>
              <w:ind w:left="76" w:right="108"/>
              <w:jc w:val="right"/>
              <w:rPr>
                <w:rFonts w:eastAsia="宋体" w:cs="Times New Roman"/>
                <w:sz w:val="18"/>
                <w:szCs w:val="18"/>
                <w:highlight w:val="yellow"/>
              </w:rPr>
            </w:pPr>
            <w:r w:rsidRPr="00B11E71">
              <w:rPr>
                <w:rFonts w:eastAsia="宋体" w:cs="Times New Roman"/>
                <w:sz w:val="18"/>
                <w:szCs w:val="18"/>
              </w:rPr>
              <w:t>209,526,516.37</w:t>
            </w:r>
          </w:p>
        </w:tc>
        <w:tc>
          <w:tcPr>
            <w:tcW w:w="1115" w:type="pct"/>
            <w:shd w:val="clear" w:color="auto" w:fill="auto"/>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28,139,456.84</w:t>
            </w:r>
          </w:p>
        </w:tc>
      </w:tr>
      <w:tr w:rsidR="00B11E71" w:rsidRPr="00B11E71" w:rsidTr="0027505B">
        <w:trPr>
          <w:trHeight w:val="20"/>
        </w:trPr>
        <w:tc>
          <w:tcPr>
            <w:tcW w:w="2770" w:type="pct"/>
            <w:shd w:val="clear" w:color="auto" w:fill="auto"/>
            <w:tcMar>
              <w:top w:w="0" w:type="dxa"/>
              <w:left w:w="108" w:type="dxa"/>
              <w:bottom w:w="0" w:type="dxa"/>
              <w:right w:w="108" w:type="dxa"/>
            </w:tcMar>
            <w:vAlign w:val="center"/>
          </w:tcPr>
          <w:p w:rsidR="00B11E71" w:rsidRPr="00B11E71" w:rsidRDefault="00B11E71" w:rsidP="00B11E71">
            <w:pPr>
              <w:tabs>
                <w:tab w:val="left" w:pos="138"/>
              </w:tabs>
              <w:rPr>
                <w:rFonts w:eastAsia="宋体" w:cs="Times New Roman"/>
                <w:bCs/>
                <w:sz w:val="18"/>
                <w:szCs w:val="18"/>
              </w:rPr>
            </w:pPr>
            <w:r w:rsidRPr="00B11E71">
              <w:rPr>
                <w:rFonts w:eastAsia="宋体" w:cs="Times New Roman"/>
                <w:bCs/>
                <w:sz w:val="18"/>
                <w:szCs w:val="18"/>
              </w:rPr>
              <w:t xml:space="preserve">   </w:t>
            </w:r>
            <w:r w:rsidRPr="00B11E71">
              <w:rPr>
                <w:rFonts w:eastAsia="宋体" w:cs="Times New Roman" w:hint="eastAsia"/>
                <w:bCs/>
                <w:sz w:val="18"/>
                <w:szCs w:val="18"/>
              </w:rPr>
              <w:t>使用权资产的增加</w:t>
            </w:r>
          </w:p>
        </w:tc>
        <w:tc>
          <w:tcPr>
            <w:tcW w:w="1115" w:type="pct"/>
            <w:vAlign w:val="center"/>
          </w:tcPr>
          <w:p w:rsidR="00B11E71" w:rsidRPr="00B11E71" w:rsidRDefault="00B11E71" w:rsidP="0027505B">
            <w:pPr>
              <w:ind w:left="76" w:right="108"/>
              <w:jc w:val="right"/>
              <w:rPr>
                <w:rFonts w:eastAsia="宋体" w:cs="Times New Roman"/>
                <w:sz w:val="18"/>
                <w:szCs w:val="18"/>
                <w:highlight w:val="yellow"/>
              </w:rPr>
            </w:pPr>
            <w:r w:rsidRPr="00B11E71">
              <w:rPr>
                <w:rFonts w:eastAsia="宋体" w:cs="Times New Roman"/>
                <w:sz w:val="18"/>
                <w:szCs w:val="18"/>
              </w:rPr>
              <w:t>18,535,102.38</w:t>
            </w:r>
          </w:p>
        </w:tc>
        <w:tc>
          <w:tcPr>
            <w:tcW w:w="1115" w:type="pct"/>
            <w:shd w:val="clear" w:color="auto" w:fill="auto"/>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54,577,598.45</w:t>
            </w:r>
          </w:p>
        </w:tc>
      </w:tr>
      <w:tr w:rsidR="00B11E71" w:rsidRPr="00B11E71" w:rsidTr="0027505B">
        <w:trPr>
          <w:trHeight w:val="20"/>
        </w:trPr>
        <w:tc>
          <w:tcPr>
            <w:tcW w:w="2770" w:type="pct"/>
            <w:shd w:val="clear" w:color="auto" w:fill="D9D9D9" w:themeFill="background1" w:themeFillShade="D9"/>
            <w:tcMar>
              <w:top w:w="0" w:type="dxa"/>
              <w:left w:w="108" w:type="dxa"/>
              <w:bottom w:w="0" w:type="dxa"/>
              <w:right w:w="108" w:type="dxa"/>
            </w:tcMar>
            <w:vAlign w:val="center"/>
            <w:hideMark/>
          </w:tcPr>
          <w:p w:rsidR="00B11E71" w:rsidRPr="00B11E71" w:rsidRDefault="00B11E71" w:rsidP="00B11E71">
            <w:pPr>
              <w:rPr>
                <w:rFonts w:eastAsia="宋体" w:cs="Times New Roman"/>
                <w:sz w:val="18"/>
                <w:szCs w:val="18"/>
              </w:rPr>
            </w:pPr>
            <w:r w:rsidRPr="00B11E71">
              <w:rPr>
                <w:rFonts w:eastAsia="宋体" w:cs="Times New Roman"/>
                <w:bCs/>
                <w:sz w:val="18"/>
                <w:szCs w:val="18"/>
              </w:rPr>
              <w:t>3.</w:t>
            </w:r>
            <w:r w:rsidRPr="00B11E71">
              <w:rPr>
                <w:rFonts w:eastAsia="宋体" w:cs="Times New Roman" w:hint="eastAsia"/>
                <w:bCs/>
                <w:sz w:val="18"/>
                <w:szCs w:val="18"/>
              </w:rPr>
              <w:t>现金及现金等价物净变动情况：</w:t>
            </w:r>
          </w:p>
        </w:tc>
        <w:tc>
          <w:tcPr>
            <w:tcW w:w="1115" w:type="pct"/>
            <w:vAlign w:val="center"/>
          </w:tcPr>
          <w:p w:rsidR="00B11E71" w:rsidRPr="00B11E71" w:rsidRDefault="00B11E71" w:rsidP="0027505B">
            <w:pPr>
              <w:ind w:left="76" w:right="108"/>
              <w:jc w:val="right"/>
              <w:rPr>
                <w:rFonts w:eastAsia="宋体" w:cs="Times New Roman"/>
                <w:sz w:val="18"/>
                <w:szCs w:val="18"/>
              </w:rPr>
            </w:pPr>
          </w:p>
        </w:tc>
        <w:tc>
          <w:tcPr>
            <w:tcW w:w="1115" w:type="pct"/>
            <w:vAlign w:val="center"/>
          </w:tcPr>
          <w:p w:rsidR="00B11E71" w:rsidRPr="00B11E71" w:rsidRDefault="00B11E71" w:rsidP="0027505B">
            <w:pPr>
              <w:ind w:left="76" w:right="108"/>
              <w:jc w:val="right"/>
              <w:rPr>
                <w:rFonts w:eastAsia="宋体" w:cs="Times New Roman"/>
                <w:sz w:val="18"/>
                <w:szCs w:val="18"/>
              </w:rPr>
            </w:pPr>
          </w:p>
        </w:tc>
      </w:tr>
      <w:tr w:rsidR="00B11E71" w:rsidRPr="00B11E71" w:rsidTr="0027505B">
        <w:trPr>
          <w:trHeight w:val="20"/>
        </w:trPr>
        <w:tc>
          <w:tcPr>
            <w:tcW w:w="2770" w:type="pct"/>
            <w:shd w:val="clear" w:color="auto" w:fill="FFFFFF" w:themeFill="background1"/>
            <w:tcMar>
              <w:top w:w="0" w:type="dxa"/>
              <w:left w:w="108" w:type="dxa"/>
              <w:bottom w:w="0" w:type="dxa"/>
              <w:right w:w="108" w:type="dxa"/>
            </w:tcMar>
            <w:vAlign w:val="center"/>
            <w:hideMark/>
          </w:tcPr>
          <w:p w:rsidR="00B11E71" w:rsidRPr="00B11E71" w:rsidRDefault="00B11E71" w:rsidP="00B11E71">
            <w:pPr>
              <w:tabs>
                <w:tab w:val="left" w:pos="13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现金的年末余额</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4,636,111,145.95</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4,804,766,681.46</w:t>
            </w:r>
          </w:p>
        </w:tc>
      </w:tr>
      <w:tr w:rsidR="00B11E71" w:rsidRPr="00B11E71" w:rsidTr="0027505B">
        <w:trPr>
          <w:trHeight w:val="20"/>
        </w:trPr>
        <w:tc>
          <w:tcPr>
            <w:tcW w:w="2770" w:type="pct"/>
            <w:shd w:val="clear" w:color="auto" w:fill="FFFFFF" w:themeFill="background1"/>
            <w:tcMar>
              <w:top w:w="0" w:type="dxa"/>
              <w:left w:w="108" w:type="dxa"/>
              <w:bottom w:w="0" w:type="dxa"/>
              <w:right w:w="108" w:type="dxa"/>
            </w:tcMar>
            <w:vAlign w:val="center"/>
            <w:hideMark/>
          </w:tcPr>
          <w:p w:rsidR="00B11E71" w:rsidRPr="00B11E71" w:rsidRDefault="00B11E71" w:rsidP="00B11E71">
            <w:pPr>
              <w:tabs>
                <w:tab w:val="left" w:pos="138"/>
              </w:tabs>
              <w:rPr>
                <w:rFonts w:eastAsia="宋体" w:cs="Times New Roman"/>
                <w:sz w:val="18"/>
                <w:szCs w:val="18"/>
              </w:rPr>
            </w:pPr>
            <w:r w:rsidRPr="00B11E71">
              <w:rPr>
                <w:rFonts w:eastAsia="宋体" w:cs="Times New Roman"/>
                <w:sz w:val="18"/>
                <w:szCs w:val="18"/>
              </w:rPr>
              <w:tab/>
            </w:r>
            <w:r w:rsidRPr="00B11E71">
              <w:rPr>
                <w:rFonts w:eastAsia="宋体" w:cs="Times New Roman" w:hint="eastAsia"/>
                <w:sz w:val="18"/>
                <w:szCs w:val="18"/>
              </w:rPr>
              <w:t>减：现金的年初余额</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4,804,766,681.46</w:t>
            </w:r>
          </w:p>
        </w:tc>
        <w:tc>
          <w:tcPr>
            <w:tcW w:w="1115" w:type="pct"/>
            <w:vAlign w:val="center"/>
          </w:tcPr>
          <w:p w:rsidR="00B11E71" w:rsidRPr="00B11E71" w:rsidRDefault="00B11E71" w:rsidP="0027505B">
            <w:pPr>
              <w:ind w:left="76" w:right="108"/>
              <w:jc w:val="right"/>
              <w:rPr>
                <w:rFonts w:eastAsia="宋体" w:cs="Times New Roman"/>
                <w:sz w:val="18"/>
                <w:szCs w:val="18"/>
              </w:rPr>
            </w:pPr>
            <w:r w:rsidRPr="00B11E71">
              <w:rPr>
                <w:rFonts w:eastAsia="宋体" w:cs="Times New Roman"/>
                <w:sz w:val="18"/>
                <w:szCs w:val="18"/>
              </w:rPr>
              <w:t>1,230,886,279.23</w:t>
            </w:r>
          </w:p>
        </w:tc>
      </w:tr>
      <w:tr w:rsidR="00B11E71" w:rsidRPr="00242A3C" w:rsidTr="0027505B">
        <w:trPr>
          <w:trHeight w:val="20"/>
        </w:trPr>
        <w:tc>
          <w:tcPr>
            <w:tcW w:w="2770" w:type="pct"/>
            <w:shd w:val="clear" w:color="auto" w:fill="D9D9D9" w:themeFill="background1" w:themeFillShade="D9"/>
            <w:tcMar>
              <w:top w:w="0" w:type="dxa"/>
              <w:left w:w="108" w:type="dxa"/>
              <w:bottom w:w="0" w:type="dxa"/>
              <w:right w:w="108" w:type="dxa"/>
            </w:tcMar>
            <w:vAlign w:val="center"/>
            <w:hideMark/>
          </w:tcPr>
          <w:p w:rsidR="00B11E71" w:rsidRPr="0027505B" w:rsidRDefault="00B11E71" w:rsidP="00B11E71">
            <w:pPr>
              <w:tabs>
                <w:tab w:val="left" w:pos="124"/>
              </w:tabs>
              <w:rPr>
                <w:rFonts w:eastAsia="宋体" w:cs="Times New Roman"/>
                <w:sz w:val="18"/>
                <w:szCs w:val="18"/>
              </w:rPr>
            </w:pPr>
            <w:r w:rsidRPr="0027505B">
              <w:rPr>
                <w:rFonts w:eastAsia="宋体" w:cs="Times New Roman"/>
                <w:sz w:val="18"/>
                <w:szCs w:val="18"/>
              </w:rPr>
              <w:tab/>
            </w:r>
            <w:r w:rsidRPr="0027505B">
              <w:rPr>
                <w:rFonts w:eastAsia="宋体" w:cs="Times New Roman" w:hint="eastAsia"/>
                <w:sz w:val="18"/>
                <w:szCs w:val="18"/>
              </w:rPr>
              <w:t>现金及现金等价物的净增加</w:t>
            </w:r>
            <w:r w:rsidRPr="0027505B">
              <w:rPr>
                <w:rFonts w:eastAsia="宋体" w:cs="Times New Roman"/>
                <w:sz w:val="18"/>
                <w:szCs w:val="18"/>
              </w:rPr>
              <w:t>(</w:t>
            </w:r>
            <w:r w:rsidRPr="0027505B">
              <w:rPr>
                <w:rFonts w:eastAsia="宋体" w:cs="Times New Roman" w:hint="eastAsia"/>
                <w:sz w:val="18"/>
                <w:szCs w:val="18"/>
              </w:rPr>
              <w:t>减少</w:t>
            </w:r>
            <w:r w:rsidRPr="0027505B">
              <w:rPr>
                <w:rFonts w:eastAsia="宋体" w:cs="Times New Roman"/>
                <w:sz w:val="18"/>
                <w:szCs w:val="18"/>
              </w:rPr>
              <w:t>)</w:t>
            </w:r>
            <w:r w:rsidRPr="0027505B">
              <w:rPr>
                <w:rFonts w:eastAsia="宋体" w:cs="Times New Roman" w:hint="eastAsia"/>
                <w:sz w:val="18"/>
                <w:szCs w:val="18"/>
              </w:rPr>
              <w:t>额</w:t>
            </w:r>
          </w:p>
        </w:tc>
        <w:tc>
          <w:tcPr>
            <w:tcW w:w="1115" w:type="pct"/>
            <w:vAlign w:val="center"/>
          </w:tcPr>
          <w:p w:rsidR="00B11E71" w:rsidRPr="0027505B" w:rsidRDefault="00B11E71" w:rsidP="0027505B">
            <w:pPr>
              <w:ind w:left="76" w:right="108"/>
              <w:jc w:val="right"/>
              <w:rPr>
                <w:rFonts w:eastAsia="宋体" w:cs="Times New Roman"/>
                <w:sz w:val="18"/>
                <w:szCs w:val="18"/>
              </w:rPr>
            </w:pPr>
            <w:r w:rsidRPr="0027505B">
              <w:rPr>
                <w:rFonts w:eastAsia="宋体" w:cs="Times New Roman"/>
                <w:sz w:val="18"/>
                <w:szCs w:val="18"/>
              </w:rPr>
              <w:t>(168,655,535.51)</w:t>
            </w:r>
          </w:p>
        </w:tc>
        <w:tc>
          <w:tcPr>
            <w:tcW w:w="1115" w:type="pct"/>
            <w:vAlign w:val="center"/>
          </w:tcPr>
          <w:p w:rsidR="00B11E71" w:rsidRPr="0027505B" w:rsidRDefault="00B11E71" w:rsidP="0027505B">
            <w:pPr>
              <w:ind w:left="76" w:right="108"/>
              <w:jc w:val="right"/>
              <w:rPr>
                <w:rFonts w:eastAsia="宋体" w:cs="Times New Roman"/>
                <w:sz w:val="18"/>
                <w:szCs w:val="18"/>
              </w:rPr>
            </w:pPr>
            <w:r w:rsidRPr="0027505B">
              <w:rPr>
                <w:rFonts w:eastAsia="宋体" w:cs="Times New Roman"/>
                <w:sz w:val="18"/>
                <w:szCs w:val="18"/>
              </w:rPr>
              <w:t>3,573,880,402.23</w:t>
            </w:r>
          </w:p>
        </w:tc>
      </w:tr>
    </w:tbl>
    <w:p w:rsidR="00485C66" w:rsidRDefault="00485C66">
      <w:pPr>
        <w:adjustRightInd/>
        <w:snapToGrid/>
        <w:ind w:left="720"/>
        <w:rPr>
          <w:rFonts w:eastAsia="宋体" w:cs="Times New Roman"/>
        </w:rPr>
      </w:pPr>
    </w:p>
    <w:p w:rsidR="00485C66" w:rsidRDefault="00485C66">
      <w:pPr>
        <w:adjustRightInd/>
        <w:snapToGrid/>
        <w:rPr>
          <w:rFonts w:eastAsia="宋体" w:cs="Times New Roman"/>
        </w:rPr>
      </w:pPr>
      <w:r>
        <w:rPr>
          <w:rFonts w:eastAsia="宋体" w:cs="Times New Roman"/>
        </w:rPr>
        <w:br w:type="page"/>
      </w:r>
    </w:p>
    <w:p w:rsidR="00485C66" w:rsidRPr="00F66363" w:rsidRDefault="005F14EE" w:rsidP="0027505B">
      <w:pPr>
        <w:adjustRightInd/>
        <w:snapToGrid/>
        <w:rPr>
          <w:rFonts w:eastAsia="宋体" w:cs="Times New Roman"/>
        </w:rPr>
      </w:pPr>
      <w:r>
        <w:rPr>
          <w:rFonts w:eastAsia="宋体" w:cs="Times New Roman"/>
          <w:b/>
          <w:szCs w:val="21"/>
        </w:rPr>
        <w:t>(</w:t>
      </w:r>
      <w:r w:rsidR="00485C66" w:rsidRPr="00F66363">
        <w:rPr>
          <w:rFonts w:eastAsia="宋体" w:cs="Times New Roman" w:hint="eastAsia"/>
          <w:b/>
          <w:szCs w:val="21"/>
        </w:rPr>
        <w:t>五</w:t>
      </w:r>
      <w:r>
        <w:rPr>
          <w:rFonts w:eastAsia="宋体" w:cs="Times New Roman"/>
          <w:b/>
          <w:szCs w:val="21"/>
        </w:rPr>
        <w:t>)</w:t>
      </w:r>
      <w:r w:rsidR="00485C66" w:rsidRPr="00F66363">
        <w:rPr>
          <w:rFonts w:eastAsia="宋体" w:cs="Times New Roman"/>
          <w:b/>
          <w:szCs w:val="21"/>
        </w:rPr>
        <w:tab/>
      </w:r>
      <w:r w:rsidR="00485C66" w:rsidRPr="00F66363">
        <w:rPr>
          <w:rFonts w:eastAsia="宋体" w:cs="Times New Roman" w:hint="eastAsia"/>
          <w:b/>
          <w:szCs w:val="21"/>
        </w:rPr>
        <w:t>合并财务报表项目注释</w:t>
      </w:r>
      <w:r w:rsidR="00485C66" w:rsidRPr="00F66363">
        <w:rPr>
          <w:rFonts w:eastAsia="宋体" w:cs="Times New Roman"/>
          <w:bCs/>
          <w:szCs w:val="21"/>
        </w:rPr>
        <w:t xml:space="preserve"> </w:t>
      </w:r>
      <w:r w:rsidR="00485C66" w:rsidRPr="00F66363">
        <w:rPr>
          <w:rFonts w:eastAsia="宋体" w:cs="Times New Roman"/>
          <w:szCs w:val="21"/>
        </w:rPr>
        <w:t xml:space="preserve">- </w:t>
      </w:r>
      <w:r w:rsidR="00485C66" w:rsidRPr="00F66363">
        <w:rPr>
          <w:rFonts w:eastAsia="宋体" w:cs="Times New Roman" w:hint="eastAsia"/>
          <w:szCs w:val="21"/>
        </w:rPr>
        <w:t>续</w:t>
      </w:r>
    </w:p>
    <w:p w:rsidR="00B00FAF" w:rsidRDefault="00B00FAF">
      <w:pPr>
        <w:adjustRightInd/>
        <w:snapToGrid/>
        <w:ind w:left="720"/>
        <w:rPr>
          <w:rFonts w:eastAsia="宋体" w:cs="Times New Roman"/>
        </w:rPr>
      </w:pPr>
    </w:p>
    <w:p w:rsidR="00E50CBD" w:rsidRDefault="00E50CBD">
      <w:pPr>
        <w:adjustRightInd/>
        <w:snapToGrid/>
        <w:ind w:left="720"/>
        <w:rPr>
          <w:rFonts w:eastAsia="宋体" w:cs="Times New Roman"/>
        </w:rPr>
      </w:pPr>
      <w:r w:rsidRPr="00FE2C30">
        <w:rPr>
          <w:rFonts w:eastAsia="宋体" w:cs="Times New Roman"/>
          <w:b/>
          <w:bCs/>
        </w:rPr>
        <w:t>5</w:t>
      </w:r>
      <w:r>
        <w:rPr>
          <w:rFonts w:eastAsia="宋体" w:cs="Times New Roman"/>
          <w:b/>
          <w:bCs/>
        </w:rPr>
        <w:t>1</w:t>
      </w:r>
      <w:r w:rsidRPr="00FE2C30">
        <w:rPr>
          <w:rFonts w:eastAsia="宋体" w:cs="Times New Roman" w:hint="eastAsia"/>
          <w:b/>
          <w:bCs/>
        </w:rPr>
        <w:t>、</w:t>
      </w:r>
      <w:r w:rsidRPr="00FE2C30">
        <w:rPr>
          <w:rFonts w:eastAsia="宋体" w:cs="Times New Roman"/>
          <w:b/>
          <w:bCs/>
        </w:rPr>
        <w:tab/>
      </w:r>
      <w:r w:rsidRPr="00FE2C30">
        <w:rPr>
          <w:rFonts w:eastAsia="宋体" w:cs="Times New Roman" w:hint="eastAsia"/>
          <w:b/>
          <w:bCs/>
        </w:rPr>
        <w:t>现金流量表</w:t>
      </w:r>
      <w:r>
        <w:rPr>
          <w:rFonts w:eastAsia="宋体" w:cs="Times New Roman" w:hint="eastAsia"/>
          <w:b/>
          <w:bCs/>
        </w:rPr>
        <w:t>补充资料</w:t>
      </w:r>
      <w:r w:rsidRPr="00E50CBD">
        <w:rPr>
          <w:rFonts w:eastAsia="宋体" w:cs="Times New Roman" w:hint="eastAsia"/>
        </w:rPr>
        <w:t xml:space="preserve"> - </w:t>
      </w:r>
      <w:r w:rsidRPr="00E50CBD">
        <w:rPr>
          <w:rFonts w:eastAsia="宋体" w:cs="Times New Roman" w:hint="eastAsia"/>
        </w:rPr>
        <w:t>续</w:t>
      </w:r>
    </w:p>
    <w:p w:rsidR="00E50CBD" w:rsidRPr="00485C66" w:rsidRDefault="00E50CBD">
      <w:pPr>
        <w:adjustRightInd/>
        <w:snapToGrid/>
        <w:ind w:left="720"/>
        <w:rPr>
          <w:rFonts w:eastAsia="宋体" w:cs="Times New Roman"/>
        </w:rPr>
      </w:pPr>
    </w:p>
    <w:p w:rsidR="00AA2164" w:rsidRPr="00A71D2E" w:rsidRDefault="00AA2164" w:rsidP="00F66363">
      <w:pPr>
        <w:pStyle w:val="aff1"/>
        <w:widowControl w:val="0"/>
        <w:numPr>
          <w:ilvl w:val="0"/>
          <w:numId w:val="6"/>
        </w:numPr>
        <w:ind w:left="1440" w:firstLineChars="0" w:hanging="720"/>
      </w:pPr>
      <w:r w:rsidRPr="00A71D2E">
        <w:rPr>
          <w:rFonts w:hint="eastAsia"/>
        </w:rPr>
        <w:t>现金及现金等价物的构成</w:t>
      </w:r>
    </w:p>
    <w:p w:rsidR="00AA2164" w:rsidRPr="00A71D2E" w:rsidRDefault="00AA2164">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40"/>
        <w:gridCol w:w="2126"/>
        <w:gridCol w:w="2090"/>
      </w:tblGrid>
      <w:tr w:rsidR="003415F9" w:rsidRPr="00A71D2E" w:rsidTr="0027505B">
        <w:trPr>
          <w:trHeight w:val="20"/>
        </w:trPr>
        <w:tc>
          <w:tcPr>
            <w:tcW w:w="5240" w:type="dxa"/>
            <w:shd w:val="clear" w:color="auto" w:fill="D9D9D9" w:themeFill="background1" w:themeFillShade="D9"/>
            <w:tcMar>
              <w:top w:w="0" w:type="dxa"/>
              <w:left w:w="108" w:type="dxa"/>
              <w:bottom w:w="0" w:type="dxa"/>
              <w:right w:w="108" w:type="dxa"/>
            </w:tcMar>
            <w:vAlign w:val="center"/>
            <w:hideMark/>
          </w:tcPr>
          <w:p w:rsidR="00AA2164" w:rsidRPr="00A71D2E" w:rsidRDefault="00AA2164">
            <w:pPr>
              <w:jc w:val="center"/>
              <w:rPr>
                <w:rFonts w:eastAsia="宋体" w:cs="Times New Roman"/>
                <w:sz w:val="18"/>
                <w:szCs w:val="18"/>
              </w:rPr>
            </w:pPr>
            <w:r w:rsidRPr="00A71D2E">
              <w:rPr>
                <w:rFonts w:eastAsia="宋体" w:cs="Times New Roman" w:hint="eastAsia"/>
                <w:sz w:val="18"/>
                <w:szCs w:val="18"/>
              </w:rPr>
              <w:t>项目</w:t>
            </w:r>
          </w:p>
        </w:tc>
        <w:tc>
          <w:tcPr>
            <w:tcW w:w="2126" w:type="dxa"/>
            <w:shd w:val="clear" w:color="auto" w:fill="D9D9D9" w:themeFill="background1" w:themeFillShade="D9"/>
            <w:vAlign w:val="center"/>
          </w:tcPr>
          <w:p w:rsidR="00AA2164" w:rsidRPr="00A71D2E" w:rsidRDefault="0035180B">
            <w:pPr>
              <w:jc w:val="center"/>
              <w:rPr>
                <w:rFonts w:eastAsia="宋体" w:cs="Times New Roman"/>
                <w:sz w:val="18"/>
                <w:szCs w:val="18"/>
              </w:rPr>
            </w:pPr>
            <w:r w:rsidRPr="00A71D2E">
              <w:rPr>
                <w:rFonts w:eastAsia="宋体" w:cs="Times New Roman" w:hint="eastAsia"/>
                <w:sz w:val="18"/>
                <w:szCs w:val="18"/>
              </w:rPr>
              <w:t>年末余额</w:t>
            </w:r>
          </w:p>
        </w:tc>
        <w:tc>
          <w:tcPr>
            <w:tcW w:w="2090" w:type="dxa"/>
            <w:shd w:val="clear" w:color="auto" w:fill="D9D9D9" w:themeFill="background1" w:themeFillShade="D9"/>
            <w:vAlign w:val="center"/>
          </w:tcPr>
          <w:p w:rsidR="00AA2164" w:rsidRPr="00A71D2E" w:rsidRDefault="0035180B">
            <w:pPr>
              <w:jc w:val="center"/>
              <w:rPr>
                <w:rFonts w:eastAsia="宋体" w:cs="Times New Roman"/>
                <w:sz w:val="18"/>
                <w:szCs w:val="18"/>
              </w:rPr>
            </w:pPr>
            <w:r w:rsidRPr="00A71D2E">
              <w:rPr>
                <w:rFonts w:eastAsia="宋体" w:cs="Times New Roman" w:hint="eastAsia"/>
                <w:sz w:val="18"/>
                <w:szCs w:val="18"/>
              </w:rPr>
              <w:t>年初余额</w:t>
            </w:r>
          </w:p>
        </w:tc>
      </w:tr>
      <w:tr w:rsidR="001471F0" w:rsidRPr="00A71D2E" w:rsidTr="0027505B">
        <w:trPr>
          <w:trHeight w:val="20"/>
        </w:trPr>
        <w:tc>
          <w:tcPr>
            <w:tcW w:w="5240" w:type="dxa"/>
            <w:shd w:val="clear" w:color="auto" w:fill="D9D9D9" w:themeFill="background1" w:themeFillShade="D9"/>
            <w:tcMar>
              <w:top w:w="0" w:type="dxa"/>
              <w:left w:w="108" w:type="dxa"/>
              <w:bottom w:w="0" w:type="dxa"/>
              <w:right w:w="108" w:type="dxa"/>
            </w:tcMar>
            <w:vAlign w:val="center"/>
            <w:hideMark/>
          </w:tcPr>
          <w:p w:rsidR="001471F0" w:rsidRPr="00A71D2E" w:rsidRDefault="001471F0" w:rsidP="001471F0">
            <w:pPr>
              <w:rPr>
                <w:rFonts w:eastAsia="宋体" w:cs="Times New Roman"/>
                <w:sz w:val="18"/>
                <w:szCs w:val="18"/>
              </w:rPr>
            </w:pPr>
            <w:r w:rsidRPr="00A71D2E">
              <w:rPr>
                <w:rFonts w:eastAsia="宋体" w:cs="Times New Roman" w:hint="eastAsia"/>
                <w:sz w:val="18"/>
                <w:szCs w:val="18"/>
              </w:rPr>
              <w:t>一、现金</w:t>
            </w:r>
          </w:p>
        </w:tc>
        <w:tc>
          <w:tcPr>
            <w:tcW w:w="2126" w:type="dxa"/>
            <w:vAlign w:val="center"/>
          </w:tcPr>
          <w:p w:rsidR="001471F0" w:rsidRPr="00A71D2E" w:rsidRDefault="0000383B" w:rsidP="001471F0">
            <w:pPr>
              <w:ind w:right="108"/>
              <w:jc w:val="right"/>
              <w:rPr>
                <w:rFonts w:eastAsia="宋体" w:cs="Times New Roman"/>
                <w:sz w:val="18"/>
                <w:szCs w:val="18"/>
              </w:rPr>
            </w:pPr>
            <w:r w:rsidRPr="0000383B">
              <w:rPr>
                <w:rFonts w:eastAsia="宋体" w:cs="Times New Roman"/>
                <w:sz w:val="18"/>
                <w:szCs w:val="18"/>
              </w:rPr>
              <w:t>4,636,111,145.95</w:t>
            </w:r>
          </w:p>
        </w:tc>
        <w:tc>
          <w:tcPr>
            <w:tcW w:w="2090" w:type="dxa"/>
            <w:vAlign w:val="center"/>
          </w:tcPr>
          <w:p w:rsidR="001471F0" w:rsidRPr="00A71D2E" w:rsidRDefault="001471F0" w:rsidP="001471F0">
            <w:pPr>
              <w:ind w:right="108"/>
              <w:jc w:val="right"/>
              <w:rPr>
                <w:rFonts w:eastAsia="宋体" w:cs="Times New Roman"/>
                <w:sz w:val="18"/>
                <w:szCs w:val="18"/>
              </w:rPr>
            </w:pPr>
            <w:r w:rsidRPr="00A71D2E">
              <w:rPr>
                <w:rFonts w:eastAsia="宋体" w:cs="Times New Roman"/>
                <w:sz w:val="18"/>
                <w:szCs w:val="18"/>
              </w:rPr>
              <w:t>4,804,766,681.46</w:t>
            </w:r>
          </w:p>
        </w:tc>
      </w:tr>
      <w:tr w:rsidR="001471F0" w:rsidRPr="00A71D2E" w:rsidTr="0027505B">
        <w:trPr>
          <w:trHeight w:val="20"/>
        </w:trPr>
        <w:tc>
          <w:tcPr>
            <w:tcW w:w="5240" w:type="dxa"/>
            <w:shd w:val="clear" w:color="auto" w:fill="FFFFFF" w:themeFill="background1"/>
            <w:tcMar>
              <w:top w:w="0" w:type="dxa"/>
              <w:left w:w="108" w:type="dxa"/>
              <w:bottom w:w="0" w:type="dxa"/>
              <w:right w:w="108" w:type="dxa"/>
            </w:tcMar>
            <w:vAlign w:val="center"/>
            <w:hideMark/>
          </w:tcPr>
          <w:p w:rsidR="001471F0" w:rsidRPr="00A71D2E" w:rsidRDefault="001471F0" w:rsidP="009B33FB">
            <w:pPr>
              <w:tabs>
                <w:tab w:val="left" w:pos="345"/>
              </w:tabs>
              <w:rPr>
                <w:rFonts w:eastAsia="宋体" w:cs="Times New Roman"/>
                <w:sz w:val="18"/>
                <w:szCs w:val="18"/>
              </w:rPr>
            </w:pPr>
            <w:r w:rsidRPr="00A71D2E">
              <w:rPr>
                <w:rFonts w:eastAsia="宋体" w:cs="Times New Roman"/>
                <w:sz w:val="18"/>
                <w:szCs w:val="18"/>
              </w:rPr>
              <w:tab/>
            </w:r>
            <w:r w:rsidR="009B33FB" w:rsidRPr="00A71D2E">
              <w:rPr>
                <w:rFonts w:eastAsia="宋体" w:cs="Times New Roman" w:hint="eastAsia"/>
                <w:sz w:val="18"/>
                <w:szCs w:val="18"/>
              </w:rPr>
              <w:t>其中</w:t>
            </w:r>
            <w:r w:rsidR="005F14EE">
              <w:rPr>
                <w:rFonts w:eastAsia="宋体" w:cs="Times New Roman" w:hint="eastAsia"/>
                <w:sz w:val="18"/>
                <w:szCs w:val="18"/>
              </w:rPr>
              <w:t>：</w:t>
            </w:r>
            <w:r w:rsidRPr="00A71D2E">
              <w:rPr>
                <w:rFonts w:eastAsia="宋体" w:cs="Times New Roman" w:hint="eastAsia"/>
                <w:sz w:val="18"/>
                <w:szCs w:val="18"/>
              </w:rPr>
              <w:t>可随时用于支付的银行存款</w:t>
            </w:r>
          </w:p>
        </w:tc>
        <w:tc>
          <w:tcPr>
            <w:tcW w:w="2126" w:type="dxa"/>
            <w:vAlign w:val="center"/>
          </w:tcPr>
          <w:p w:rsidR="001471F0" w:rsidRPr="009B33FB" w:rsidRDefault="00CE473D" w:rsidP="001471F0">
            <w:pPr>
              <w:ind w:right="108"/>
              <w:jc w:val="right"/>
              <w:rPr>
                <w:rFonts w:eastAsia="宋体" w:cs="Times New Roman"/>
                <w:sz w:val="18"/>
                <w:szCs w:val="18"/>
              </w:rPr>
            </w:pPr>
            <w:r w:rsidRPr="00CE473D">
              <w:rPr>
                <w:rFonts w:eastAsia="宋体" w:cs="Times New Roman"/>
                <w:sz w:val="18"/>
                <w:szCs w:val="18"/>
              </w:rPr>
              <w:t>4,619,365,444.71</w:t>
            </w:r>
          </w:p>
        </w:tc>
        <w:tc>
          <w:tcPr>
            <w:tcW w:w="2090" w:type="dxa"/>
            <w:vAlign w:val="center"/>
          </w:tcPr>
          <w:p w:rsidR="001471F0" w:rsidRPr="00A71D2E" w:rsidRDefault="001471F0" w:rsidP="001471F0">
            <w:pPr>
              <w:ind w:right="108"/>
              <w:jc w:val="right"/>
              <w:rPr>
                <w:rFonts w:eastAsia="宋体" w:cs="Times New Roman"/>
                <w:sz w:val="18"/>
                <w:szCs w:val="18"/>
              </w:rPr>
            </w:pPr>
            <w:r w:rsidRPr="00486D1A">
              <w:rPr>
                <w:rFonts w:eastAsia="宋体" w:cs="Times New Roman"/>
                <w:sz w:val="18"/>
                <w:szCs w:val="18"/>
              </w:rPr>
              <w:t>4,791,319,658.38</w:t>
            </w:r>
          </w:p>
        </w:tc>
      </w:tr>
      <w:tr w:rsidR="001471F0" w:rsidRPr="00A71D2E" w:rsidTr="0027505B">
        <w:trPr>
          <w:trHeight w:val="20"/>
        </w:trPr>
        <w:tc>
          <w:tcPr>
            <w:tcW w:w="5240" w:type="dxa"/>
            <w:shd w:val="clear" w:color="auto" w:fill="FFFFFF" w:themeFill="background1"/>
            <w:tcMar>
              <w:top w:w="0" w:type="dxa"/>
              <w:left w:w="108" w:type="dxa"/>
              <w:bottom w:w="0" w:type="dxa"/>
              <w:right w:w="108" w:type="dxa"/>
            </w:tcMar>
            <w:vAlign w:val="center"/>
            <w:hideMark/>
          </w:tcPr>
          <w:p w:rsidR="001471F0" w:rsidRPr="00A71D2E" w:rsidRDefault="001471F0" w:rsidP="001471F0">
            <w:pPr>
              <w:tabs>
                <w:tab w:val="left" w:pos="885"/>
              </w:tabs>
              <w:rPr>
                <w:rFonts w:eastAsia="宋体" w:cs="Times New Roman"/>
                <w:sz w:val="18"/>
                <w:szCs w:val="18"/>
              </w:rPr>
            </w:pPr>
            <w:r w:rsidRPr="00A71D2E">
              <w:rPr>
                <w:rFonts w:eastAsia="宋体" w:cs="Times New Roman"/>
                <w:sz w:val="18"/>
                <w:szCs w:val="18"/>
              </w:rPr>
              <w:tab/>
            </w:r>
            <w:r w:rsidRPr="00A71D2E">
              <w:rPr>
                <w:rFonts w:eastAsia="宋体" w:cs="Times New Roman" w:hint="eastAsia"/>
                <w:sz w:val="18"/>
                <w:szCs w:val="18"/>
              </w:rPr>
              <w:t>可随时用于支付的其他货币资金</w:t>
            </w:r>
          </w:p>
        </w:tc>
        <w:tc>
          <w:tcPr>
            <w:tcW w:w="2126" w:type="dxa"/>
            <w:vAlign w:val="center"/>
          </w:tcPr>
          <w:p w:rsidR="001471F0" w:rsidRPr="009B33FB" w:rsidRDefault="00CE473D" w:rsidP="001471F0">
            <w:pPr>
              <w:ind w:right="108"/>
              <w:jc w:val="right"/>
              <w:rPr>
                <w:rFonts w:eastAsia="宋体" w:cs="Times New Roman"/>
                <w:sz w:val="18"/>
                <w:szCs w:val="18"/>
              </w:rPr>
            </w:pPr>
            <w:r w:rsidRPr="00FE2C30">
              <w:rPr>
                <w:rFonts w:eastAsia="宋体" w:cs="Times New Roman"/>
                <w:sz w:val="18"/>
                <w:szCs w:val="18"/>
              </w:rPr>
              <w:t>16,745,701.2</w:t>
            </w:r>
            <w:r w:rsidR="0000383B">
              <w:rPr>
                <w:rFonts w:eastAsia="宋体" w:cs="Times New Roman"/>
                <w:sz w:val="18"/>
                <w:szCs w:val="18"/>
              </w:rPr>
              <w:t>4</w:t>
            </w:r>
          </w:p>
        </w:tc>
        <w:tc>
          <w:tcPr>
            <w:tcW w:w="2090" w:type="dxa"/>
            <w:vAlign w:val="center"/>
          </w:tcPr>
          <w:p w:rsidR="001471F0" w:rsidRPr="00A71D2E" w:rsidRDefault="001471F0" w:rsidP="001471F0">
            <w:pPr>
              <w:ind w:right="108"/>
              <w:jc w:val="right"/>
              <w:rPr>
                <w:rFonts w:eastAsia="宋体" w:cs="Times New Roman"/>
                <w:sz w:val="18"/>
                <w:szCs w:val="18"/>
              </w:rPr>
            </w:pPr>
            <w:r w:rsidRPr="00486D1A">
              <w:rPr>
                <w:rFonts w:eastAsia="宋体" w:cs="Times New Roman"/>
                <w:sz w:val="18"/>
                <w:szCs w:val="18"/>
              </w:rPr>
              <w:t>13,447,023.08</w:t>
            </w:r>
          </w:p>
        </w:tc>
      </w:tr>
      <w:tr w:rsidR="001471F0" w:rsidRPr="00A71D2E" w:rsidTr="0027505B">
        <w:trPr>
          <w:trHeight w:val="20"/>
        </w:trPr>
        <w:tc>
          <w:tcPr>
            <w:tcW w:w="5240" w:type="dxa"/>
            <w:shd w:val="clear" w:color="auto" w:fill="D9D9D9" w:themeFill="background1" w:themeFillShade="D9"/>
            <w:tcMar>
              <w:top w:w="0" w:type="dxa"/>
              <w:left w:w="108" w:type="dxa"/>
              <w:bottom w:w="0" w:type="dxa"/>
              <w:right w:w="108" w:type="dxa"/>
            </w:tcMar>
            <w:vAlign w:val="center"/>
            <w:hideMark/>
          </w:tcPr>
          <w:p w:rsidR="001471F0" w:rsidRPr="00A71D2E" w:rsidRDefault="001471F0" w:rsidP="001471F0">
            <w:pPr>
              <w:rPr>
                <w:rFonts w:eastAsia="宋体" w:cs="Times New Roman"/>
                <w:sz w:val="18"/>
                <w:szCs w:val="18"/>
              </w:rPr>
            </w:pPr>
            <w:r w:rsidRPr="00A71D2E">
              <w:rPr>
                <w:rFonts w:eastAsia="宋体" w:cs="Times New Roman" w:hint="eastAsia"/>
                <w:sz w:val="18"/>
                <w:szCs w:val="18"/>
              </w:rPr>
              <w:t>二、现金等价物</w:t>
            </w:r>
          </w:p>
        </w:tc>
        <w:tc>
          <w:tcPr>
            <w:tcW w:w="2126" w:type="dxa"/>
            <w:vAlign w:val="center"/>
          </w:tcPr>
          <w:p w:rsidR="001471F0" w:rsidRPr="00A71D2E" w:rsidRDefault="00B11E71" w:rsidP="009B33FB">
            <w:pPr>
              <w:wordWrap w:val="0"/>
              <w:ind w:right="108"/>
              <w:jc w:val="right"/>
              <w:rPr>
                <w:rFonts w:eastAsia="宋体" w:cs="Times New Roman"/>
                <w:sz w:val="18"/>
                <w:szCs w:val="18"/>
              </w:rPr>
            </w:pPr>
            <w:r w:rsidRPr="00A71D2E">
              <w:rPr>
                <w:rFonts w:eastAsia="宋体" w:cs="Times New Roman"/>
                <w:sz w:val="18"/>
                <w:szCs w:val="18"/>
              </w:rPr>
              <w:t>-    </w:t>
            </w:r>
          </w:p>
        </w:tc>
        <w:tc>
          <w:tcPr>
            <w:tcW w:w="2090" w:type="dxa"/>
            <w:vAlign w:val="center"/>
          </w:tcPr>
          <w:p w:rsidR="001471F0" w:rsidRPr="00A71D2E" w:rsidRDefault="001471F0" w:rsidP="001471F0">
            <w:pPr>
              <w:ind w:right="108"/>
              <w:jc w:val="right"/>
              <w:rPr>
                <w:rFonts w:eastAsia="宋体" w:cs="Times New Roman"/>
                <w:sz w:val="18"/>
                <w:szCs w:val="18"/>
              </w:rPr>
            </w:pPr>
            <w:r w:rsidRPr="00A71D2E">
              <w:rPr>
                <w:rFonts w:eastAsia="宋体" w:cs="Times New Roman"/>
                <w:sz w:val="18"/>
                <w:szCs w:val="18"/>
              </w:rPr>
              <w:t>-    </w:t>
            </w:r>
          </w:p>
        </w:tc>
      </w:tr>
      <w:tr w:rsidR="001471F0" w:rsidRPr="00A71D2E" w:rsidTr="0027505B">
        <w:trPr>
          <w:trHeight w:val="20"/>
        </w:trPr>
        <w:tc>
          <w:tcPr>
            <w:tcW w:w="5240" w:type="dxa"/>
            <w:shd w:val="clear" w:color="auto" w:fill="D9D9D9" w:themeFill="background1" w:themeFillShade="D9"/>
            <w:tcMar>
              <w:top w:w="0" w:type="dxa"/>
              <w:left w:w="108" w:type="dxa"/>
              <w:bottom w:w="0" w:type="dxa"/>
              <w:right w:w="108" w:type="dxa"/>
            </w:tcMar>
            <w:vAlign w:val="center"/>
            <w:hideMark/>
          </w:tcPr>
          <w:p w:rsidR="001471F0" w:rsidRPr="00A71D2E" w:rsidRDefault="001471F0" w:rsidP="001471F0">
            <w:pPr>
              <w:rPr>
                <w:rFonts w:eastAsia="宋体" w:cs="Times New Roman"/>
                <w:sz w:val="18"/>
                <w:szCs w:val="18"/>
              </w:rPr>
            </w:pPr>
            <w:r w:rsidRPr="00A71D2E">
              <w:rPr>
                <w:rFonts w:eastAsia="宋体" w:cs="Times New Roman" w:hint="eastAsia"/>
                <w:bCs/>
                <w:sz w:val="18"/>
                <w:szCs w:val="18"/>
              </w:rPr>
              <w:t>三、年末现金及现金等价物余额</w:t>
            </w:r>
          </w:p>
        </w:tc>
        <w:tc>
          <w:tcPr>
            <w:tcW w:w="2126" w:type="dxa"/>
            <w:vAlign w:val="center"/>
          </w:tcPr>
          <w:p w:rsidR="001471F0" w:rsidRPr="00A71D2E" w:rsidRDefault="00F3441E" w:rsidP="001471F0">
            <w:pPr>
              <w:ind w:right="80"/>
              <w:jc w:val="right"/>
              <w:rPr>
                <w:rFonts w:eastAsia="宋体" w:cs="Times New Roman"/>
                <w:sz w:val="18"/>
                <w:szCs w:val="18"/>
              </w:rPr>
            </w:pPr>
            <w:r w:rsidRPr="00F3441E">
              <w:rPr>
                <w:rFonts w:eastAsia="宋体" w:cs="Times New Roman"/>
                <w:sz w:val="18"/>
                <w:szCs w:val="18"/>
              </w:rPr>
              <w:t>4,636,</w:t>
            </w:r>
            <w:r w:rsidR="002C1D38" w:rsidRPr="0000383B">
              <w:rPr>
                <w:rFonts w:eastAsia="宋体" w:cs="Times New Roman"/>
                <w:sz w:val="18"/>
                <w:szCs w:val="18"/>
              </w:rPr>
              <w:t>111,145.95</w:t>
            </w:r>
          </w:p>
        </w:tc>
        <w:tc>
          <w:tcPr>
            <w:tcW w:w="2090" w:type="dxa"/>
            <w:vAlign w:val="center"/>
          </w:tcPr>
          <w:p w:rsidR="001471F0" w:rsidRPr="00A71D2E" w:rsidRDefault="001471F0" w:rsidP="001471F0">
            <w:pPr>
              <w:ind w:right="80"/>
              <w:jc w:val="right"/>
              <w:rPr>
                <w:rFonts w:eastAsia="宋体" w:cs="Times New Roman"/>
                <w:sz w:val="18"/>
                <w:szCs w:val="18"/>
              </w:rPr>
            </w:pPr>
            <w:r w:rsidRPr="00A71D2E">
              <w:rPr>
                <w:rFonts w:eastAsia="宋体" w:cs="Times New Roman"/>
                <w:sz w:val="18"/>
                <w:szCs w:val="18"/>
              </w:rPr>
              <w:t>4,804,766,681.46</w:t>
            </w:r>
          </w:p>
        </w:tc>
      </w:tr>
    </w:tbl>
    <w:p w:rsidR="00C12BA8" w:rsidRPr="00C12BA8" w:rsidRDefault="00C12BA8">
      <w:pPr>
        <w:adjustRightInd/>
        <w:snapToGrid/>
        <w:ind w:left="720"/>
        <w:rPr>
          <w:rFonts w:eastAsia="宋体" w:cs="Times New Roman"/>
        </w:rPr>
      </w:pPr>
    </w:p>
    <w:p w:rsidR="00D853D2" w:rsidRPr="00D853D2" w:rsidRDefault="005B5517" w:rsidP="00D853D2">
      <w:pPr>
        <w:pStyle w:val="aff1"/>
        <w:widowControl w:val="0"/>
        <w:numPr>
          <w:ilvl w:val="0"/>
          <w:numId w:val="6"/>
        </w:numPr>
        <w:ind w:left="1418" w:firstLineChars="0" w:hanging="698"/>
      </w:pPr>
      <w:r>
        <w:rPr>
          <w:rFonts w:hint="eastAsia"/>
        </w:rPr>
        <w:t>不属于现金及现金等价物的货币资金</w:t>
      </w:r>
    </w:p>
    <w:p w:rsidR="00AA2164" w:rsidRPr="00A71D2E" w:rsidRDefault="00AA2164">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53"/>
        <w:gridCol w:w="2101"/>
        <w:gridCol w:w="2102"/>
      </w:tblGrid>
      <w:tr w:rsidR="00D853D2" w:rsidRPr="00A71D2E" w:rsidTr="0027505B">
        <w:trPr>
          <w:trHeight w:val="20"/>
        </w:trPr>
        <w:tc>
          <w:tcPr>
            <w:tcW w:w="5253" w:type="dxa"/>
            <w:shd w:val="clear" w:color="auto" w:fill="D9D9D9" w:themeFill="background1" w:themeFillShade="D9"/>
            <w:tcMar>
              <w:top w:w="0" w:type="dxa"/>
              <w:left w:w="108" w:type="dxa"/>
              <w:bottom w:w="0" w:type="dxa"/>
              <w:right w:w="108" w:type="dxa"/>
            </w:tcMar>
            <w:vAlign w:val="center"/>
            <w:hideMark/>
          </w:tcPr>
          <w:p w:rsidR="00D853D2" w:rsidRPr="00A71D2E" w:rsidRDefault="00D853D2">
            <w:pPr>
              <w:jc w:val="center"/>
              <w:rPr>
                <w:rFonts w:eastAsia="宋体" w:cs="Times New Roman"/>
                <w:sz w:val="18"/>
                <w:szCs w:val="18"/>
              </w:rPr>
            </w:pPr>
            <w:r w:rsidRPr="00A71D2E">
              <w:rPr>
                <w:rFonts w:eastAsia="宋体" w:cs="Times New Roman" w:hint="eastAsia"/>
                <w:sz w:val="18"/>
                <w:szCs w:val="18"/>
              </w:rPr>
              <w:t>项目</w:t>
            </w:r>
          </w:p>
        </w:tc>
        <w:tc>
          <w:tcPr>
            <w:tcW w:w="2101" w:type="dxa"/>
            <w:shd w:val="clear" w:color="auto" w:fill="D9D9D9" w:themeFill="background1" w:themeFillShade="D9"/>
            <w:vAlign w:val="center"/>
          </w:tcPr>
          <w:p w:rsidR="00D853D2" w:rsidRPr="00A71D2E" w:rsidRDefault="00D853D2">
            <w:pPr>
              <w:jc w:val="center"/>
              <w:rPr>
                <w:rFonts w:eastAsia="宋体" w:cs="Times New Roman"/>
                <w:sz w:val="18"/>
                <w:szCs w:val="18"/>
              </w:rPr>
            </w:pPr>
            <w:r>
              <w:rPr>
                <w:rFonts w:eastAsia="宋体" w:cs="Times New Roman" w:hint="eastAsia"/>
                <w:sz w:val="18"/>
                <w:szCs w:val="18"/>
              </w:rPr>
              <w:t>本</w:t>
            </w:r>
            <w:r w:rsidR="00C07C03">
              <w:rPr>
                <w:rFonts w:eastAsia="宋体" w:cs="Times New Roman" w:hint="eastAsia"/>
                <w:sz w:val="18"/>
                <w:szCs w:val="18"/>
              </w:rPr>
              <w:t>年</w:t>
            </w:r>
            <w:r>
              <w:rPr>
                <w:rFonts w:eastAsia="宋体" w:cs="Times New Roman" w:hint="eastAsia"/>
                <w:sz w:val="18"/>
                <w:szCs w:val="18"/>
              </w:rPr>
              <w:t>金额</w:t>
            </w:r>
          </w:p>
        </w:tc>
        <w:tc>
          <w:tcPr>
            <w:tcW w:w="2102" w:type="dxa"/>
            <w:shd w:val="clear" w:color="auto" w:fill="D9D9D9" w:themeFill="background1" w:themeFillShade="D9"/>
            <w:vAlign w:val="center"/>
          </w:tcPr>
          <w:p w:rsidR="00D853D2" w:rsidRPr="00A71D2E" w:rsidRDefault="00D853D2">
            <w:pPr>
              <w:jc w:val="center"/>
              <w:rPr>
                <w:rFonts w:eastAsia="宋体" w:cs="Times New Roman"/>
                <w:sz w:val="18"/>
                <w:szCs w:val="18"/>
              </w:rPr>
            </w:pPr>
            <w:r>
              <w:rPr>
                <w:rFonts w:eastAsia="宋体" w:cs="Times New Roman" w:hint="eastAsia"/>
                <w:sz w:val="18"/>
                <w:szCs w:val="18"/>
              </w:rPr>
              <w:t>理由</w:t>
            </w:r>
          </w:p>
        </w:tc>
      </w:tr>
      <w:tr w:rsidR="00D853D2" w:rsidRPr="00A71D2E" w:rsidTr="0027505B">
        <w:trPr>
          <w:trHeight w:val="20"/>
        </w:trPr>
        <w:tc>
          <w:tcPr>
            <w:tcW w:w="5253" w:type="dxa"/>
            <w:shd w:val="clear" w:color="auto" w:fill="auto"/>
            <w:tcMar>
              <w:top w:w="0" w:type="dxa"/>
              <w:left w:w="108" w:type="dxa"/>
              <w:bottom w:w="0" w:type="dxa"/>
              <w:right w:w="108" w:type="dxa"/>
            </w:tcMar>
            <w:vAlign w:val="center"/>
            <w:hideMark/>
          </w:tcPr>
          <w:p w:rsidR="00D853D2" w:rsidRPr="00A71D2E" w:rsidRDefault="009678A8" w:rsidP="001471F0">
            <w:pPr>
              <w:rPr>
                <w:rFonts w:eastAsia="宋体" w:cs="Times New Roman"/>
                <w:sz w:val="18"/>
                <w:szCs w:val="18"/>
              </w:rPr>
            </w:pPr>
            <w:r w:rsidRPr="00A71D2E">
              <w:rPr>
                <w:rFonts w:eastAsia="宋体" w:cs="Times New Roman" w:hint="eastAsia"/>
                <w:sz w:val="18"/>
                <w:szCs w:val="18"/>
              </w:rPr>
              <w:t>海关保函</w:t>
            </w:r>
            <w:r w:rsidR="002B7C58">
              <w:rPr>
                <w:rFonts w:eastAsia="宋体" w:cs="Times New Roman" w:hint="eastAsia"/>
                <w:sz w:val="18"/>
                <w:szCs w:val="18"/>
              </w:rPr>
              <w:t>、履约保函及银行承兑汇票保证金</w:t>
            </w:r>
            <w:r w:rsidR="005F14EE">
              <w:rPr>
                <w:rFonts w:eastAsia="宋体" w:cs="Times New Roman"/>
                <w:sz w:val="18"/>
                <w:szCs w:val="18"/>
              </w:rPr>
              <w:t>(</w:t>
            </w:r>
            <w:r w:rsidR="00D853D2" w:rsidRPr="00A71D2E">
              <w:rPr>
                <w:rFonts w:eastAsia="宋体" w:cs="Times New Roman" w:hint="eastAsia"/>
                <w:sz w:val="18"/>
                <w:szCs w:val="18"/>
              </w:rPr>
              <w:t>附注</w:t>
            </w:r>
            <w:r w:rsidR="005F14EE">
              <w:rPr>
                <w:rFonts w:eastAsia="宋体" w:cs="Times New Roman"/>
                <w:sz w:val="18"/>
                <w:szCs w:val="18"/>
              </w:rPr>
              <w:t>(</w:t>
            </w:r>
            <w:r w:rsidR="00D853D2" w:rsidRPr="00A71D2E">
              <w:rPr>
                <w:rFonts w:eastAsia="宋体" w:cs="Times New Roman" w:hint="eastAsia"/>
                <w:sz w:val="18"/>
                <w:szCs w:val="18"/>
              </w:rPr>
              <w:t>五</w:t>
            </w:r>
            <w:r w:rsidR="005F14EE">
              <w:rPr>
                <w:rFonts w:eastAsia="宋体" w:cs="Times New Roman"/>
                <w:sz w:val="18"/>
                <w:szCs w:val="18"/>
              </w:rPr>
              <w:t>)</w:t>
            </w:r>
            <w:r w:rsidR="00D853D2" w:rsidRPr="00A71D2E">
              <w:rPr>
                <w:rFonts w:eastAsia="宋体" w:cs="Times New Roman" w:hint="eastAsia"/>
                <w:sz w:val="18"/>
                <w:szCs w:val="18"/>
              </w:rPr>
              <w:t>、</w:t>
            </w:r>
            <w:r w:rsidR="00D853D2" w:rsidRPr="00A71D2E">
              <w:rPr>
                <w:rFonts w:eastAsia="宋体" w:cs="Times New Roman"/>
                <w:sz w:val="18"/>
                <w:szCs w:val="18"/>
              </w:rPr>
              <w:t>1</w:t>
            </w:r>
            <w:r w:rsidR="005F14EE">
              <w:rPr>
                <w:rFonts w:eastAsia="宋体" w:cs="Times New Roman"/>
                <w:sz w:val="18"/>
                <w:szCs w:val="18"/>
              </w:rPr>
              <w:t>)</w:t>
            </w:r>
          </w:p>
        </w:tc>
        <w:tc>
          <w:tcPr>
            <w:tcW w:w="2101" w:type="dxa"/>
            <w:vAlign w:val="center"/>
          </w:tcPr>
          <w:p w:rsidR="00D853D2" w:rsidRPr="00F3441E" w:rsidRDefault="00CE473D" w:rsidP="001471F0">
            <w:pPr>
              <w:ind w:right="108"/>
              <w:jc w:val="right"/>
              <w:rPr>
                <w:rFonts w:eastAsia="宋体" w:cs="Times New Roman"/>
                <w:sz w:val="18"/>
                <w:szCs w:val="18"/>
              </w:rPr>
            </w:pPr>
            <w:r w:rsidRPr="00DD3FDA">
              <w:rPr>
                <w:rFonts w:eastAsia="宋体" w:cs="Times New Roman"/>
                <w:sz w:val="18"/>
                <w:szCs w:val="18"/>
              </w:rPr>
              <w:t>19,687,501.25</w:t>
            </w:r>
          </w:p>
        </w:tc>
        <w:tc>
          <w:tcPr>
            <w:tcW w:w="2102" w:type="dxa"/>
            <w:vAlign w:val="center"/>
          </w:tcPr>
          <w:p w:rsidR="00D853D2" w:rsidRPr="00A71D2E" w:rsidRDefault="009678A8" w:rsidP="001471F0">
            <w:pPr>
              <w:ind w:right="108"/>
              <w:jc w:val="center"/>
              <w:rPr>
                <w:rFonts w:eastAsia="宋体" w:cs="Times New Roman"/>
                <w:sz w:val="18"/>
                <w:szCs w:val="18"/>
              </w:rPr>
            </w:pPr>
            <w:r>
              <w:rPr>
                <w:rFonts w:eastAsia="宋体" w:cs="Times New Roman" w:hint="eastAsia"/>
                <w:sz w:val="18"/>
                <w:szCs w:val="18"/>
              </w:rPr>
              <w:t>不可随时支取</w:t>
            </w:r>
          </w:p>
        </w:tc>
      </w:tr>
      <w:tr w:rsidR="00D853D2" w:rsidRPr="00A71D2E" w:rsidTr="0027505B">
        <w:trPr>
          <w:trHeight w:val="20"/>
        </w:trPr>
        <w:tc>
          <w:tcPr>
            <w:tcW w:w="5253" w:type="dxa"/>
            <w:shd w:val="clear" w:color="auto" w:fill="D9D9D9" w:themeFill="background1" w:themeFillShade="D9"/>
            <w:tcMar>
              <w:top w:w="0" w:type="dxa"/>
              <w:left w:w="108" w:type="dxa"/>
              <w:bottom w:w="0" w:type="dxa"/>
              <w:right w:w="108" w:type="dxa"/>
            </w:tcMar>
            <w:vAlign w:val="center"/>
            <w:hideMark/>
          </w:tcPr>
          <w:p w:rsidR="00D853D2" w:rsidRPr="00A71D2E" w:rsidRDefault="00D853D2" w:rsidP="001471F0">
            <w:pPr>
              <w:rPr>
                <w:rFonts w:eastAsia="宋体" w:cs="Times New Roman"/>
                <w:sz w:val="18"/>
                <w:szCs w:val="18"/>
              </w:rPr>
            </w:pPr>
            <w:r w:rsidRPr="00A71D2E">
              <w:rPr>
                <w:rFonts w:eastAsia="宋体" w:cs="Times New Roman" w:hint="eastAsia"/>
                <w:sz w:val="18"/>
                <w:szCs w:val="18"/>
              </w:rPr>
              <w:t>合计</w:t>
            </w:r>
          </w:p>
        </w:tc>
        <w:tc>
          <w:tcPr>
            <w:tcW w:w="2101" w:type="dxa"/>
            <w:vAlign w:val="center"/>
          </w:tcPr>
          <w:p w:rsidR="00D853D2" w:rsidRPr="00A71D2E" w:rsidRDefault="00F3441E" w:rsidP="001471F0">
            <w:pPr>
              <w:ind w:right="108"/>
              <w:jc w:val="right"/>
              <w:rPr>
                <w:rFonts w:eastAsia="宋体" w:cs="Times New Roman"/>
                <w:sz w:val="18"/>
                <w:szCs w:val="18"/>
              </w:rPr>
            </w:pPr>
            <w:r w:rsidRPr="00F3441E">
              <w:rPr>
                <w:rFonts w:eastAsia="宋体" w:cs="Times New Roman"/>
                <w:sz w:val="18"/>
                <w:szCs w:val="18"/>
              </w:rPr>
              <w:t>19,</w:t>
            </w:r>
            <w:r w:rsidR="00CE473D">
              <w:rPr>
                <w:rFonts w:eastAsia="宋体" w:cs="Times New Roman"/>
                <w:sz w:val="18"/>
                <w:szCs w:val="18"/>
              </w:rPr>
              <w:t>687</w:t>
            </w:r>
            <w:r w:rsidRPr="00F3441E">
              <w:rPr>
                <w:rFonts w:eastAsia="宋体" w:cs="Times New Roman"/>
                <w:sz w:val="18"/>
                <w:szCs w:val="18"/>
              </w:rPr>
              <w:t>,</w:t>
            </w:r>
            <w:r w:rsidR="00CE473D">
              <w:rPr>
                <w:rFonts w:eastAsia="宋体" w:cs="Times New Roman"/>
                <w:sz w:val="18"/>
                <w:szCs w:val="18"/>
              </w:rPr>
              <w:t>501</w:t>
            </w:r>
            <w:r w:rsidRPr="00F3441E">
              <w:rPr>
                <w:rFonts w:eastAsia="宋体" w:cs="Times New Roman"/>
                <w:sz w:val="18"/>
                <w:szCs w:val="18"/>
              </w:rPr>
              <w:t>.2</w:t>
            </w:r>
            <w:r w:rsidR="00CE473D">
              <w:rPr>
                <w:rFonts w:eastAsia="宋体" w:cs="Times New Roman"/>
                <w:sz w:val="18"/>
                <w:szCs w:val="18"/>
              </w:rPr>
              <w:t>5</w:t>
            </w:r>
          </w:p>
        </w:tc>
        <w:tc>
          <w:tcPr>
            <w:tcW w:w="2102" w:type="dxa"/>
            <w:vAlign w:val="center"/>
          </w:tcPr>
          <w:p w:rsidR="00D853D2" w:rsidRPr="00A71D2E" w:rsidRDefault="00F3441E" w:rsidP="00F3441E">
            <w:pPr>
              <w:ind w:right="108"/>
              <w:jc w:val="center"/>
              <w:rPr>
                <w:rFonts w:eastAsia="宋体" w:cs="Times New Roman"/>
                <w:sz w:val="18"/>
                <w:szCs w:val="18"/>
              </w:rPr>
            </w:pPr>
            <w:r>
              <w:rPr>
                <w:rFonts w:eastAsia="宋体" w:cs="Times New Roman" w:hint="eastAsia"/>
                <w:sz w:val="18"/>
                <w:szCs w:val="18"/>
              </w:rPr>
              <w:t>/</w:t>
            </w:r>
          </w:p>
        </w:tc>
      </w:tr>
    </w:tbl>
    <w:p w:rsidR="0041519D" w:rsidRPr="00F66363" w:rsidRDefault="0041519D">
      <w:pPr>
        <w:adjustRightInd/>
        <w:snapToGrid/>
        <w:rPr>
          <w:rFonts w:eastAsia="宋体" w:cs="Times New Roman"/>
          <w:szCs w:val="21"/>
        </w:rPr>
      </w:pPr>
      <w:r w:rsidRPr="00F66363">
        <w:rPr>
          <w:rFonts w:eastAsia="宋体" w:cs="Times New Roman"/>
          <w:szCs w:val="21"/>
        </w:rPr>
        <w:br w:type="page"/>
      </w:r>
    </w:p>
    <w:p w:rsidR="0041519D" w:rsidRPr="00F66363" w:rsidRDefault="005F14EE" w:rsidP="0041519D">
      <w:pPr>
        <w:rPr>
          <w:rFonts w:eastAsia="宋体" w:cs="Times New Roman"/>
        </w:rPr>
      </w:pPr>
      <w:r>
        <w:rPr>
          <w:rFonts w:eastAsia="宋体" w:cs="Times New Roman"/>
          <w:b/>
          <w:szCs w:val="21"/>
        </w:rPr>
        <w:t>(</w:t>
      </w:r>
      <w:r w:rsidR="0041519D" w:rsidRPr="00F66363">
        <w:rPr>
          <w:rFonts w:eastAsia="宋体" w:cs="Times New Roman" w:hint="eastAsia"/>
          <w:b/>
          <w:szCs w:val="21"/>
        </w:rPr>
        <w:t>五</w:t>
      </w:r>
      <w:r>
        <w:rPr>
          <w:rFonts w:eastAsia="宋体" w:cs="Times New Roman"/>
          <w:b/>
          <w:szCs w:val="21"/>
        </w:rPr>
        <w:t>)</w:t>
      </w:r>
      <w:r w:rsidR="0041519D" w:rsidRPr="00F66363">
        <w:rPr>
          <w:rFonts w:eastAsia="宋体" w:cs="Times New Roman"/>
          <w:b/>
          <w:szCs w:val="21"/>
        </w:rPr>
        <w:tab/>
      </w:r>
      <w:r w:rsidR="0041519D" w:rsidRPr="00F66363">
        <w:rPr>
          <w:rFonts w:eastAsia="宋体" w:cs="Times New Roman" w:hint="eastAsia"/>
          <w:b/>
          <w:szCs w:val="21"/>
        </w:rPr>
        <w:t>合并财务报表项目注释</w:t>
      </w:r>
      <w:r w:rsidR="0041519D" w:rsidRPr="00F66363">
        <w:rPr>
          <w:rFonts w:eastAsia="宋体" w:cs="Times New Roman"/>
          <w:bCs/>
          <w:szCs w:val="21"/>
        </w:rPr>
        <w:t xml:space="preserve"> </w:t>
      </w:r>
      <w:r w:rsidR="0041519D" w:rsidRPr="00F66363">
        <w:rPr>
          <w:rFonts w:eastAsia="宋体" w:cs="Times New Roman"/>
          <w:szCs w:val="21"/>
        </w:rPr>
        <w:t xml:space="preserve">- </w:t>
      </w:r>
      <w:r w:rsidR="0041519D" w:rsidRPr="00F66363">
        <w:rPr>
          <w:rFonts w:eastAsia="宋体" w:cs="Times New Roman" w:hint="eastAsia"/>
          <w:szCs w:val="21"/>
        </w:rPr>
        <w:t>续</w:t>
      </w:r>
    </w:p>
    <w:p w:rsidR="0041519D" w:rsidRPr="00F66363" w:rsidRDefault="0041519D" w:rsidP="0041519D">
      <w:pPr>
        <w:ind w:left="720"/>
        <w:jc w:val="both"/>
        <w:rPr>
          <w:rFonts w:eastAsia="宋体" w:cs="Times New Roman"/>
          <w:szCs w:val="21"/>
        </w:rPr>
      </w:pPr>
    </w:p>
    <w:p w:rsidR="00AA2164" w:rsidRPr="00A71D2E" w:rsidRDefault="00AA2164">
      <w:pPr>
        <w:pStyle w:val="2"/>
        <w:numPr>
          <w:ilvl w:val="2"/>
          <w:numId w:val="1"/>
        </w:numPr>
        <w:adjustRightInd w:val="0"/>
        <w:snapToGrid w:val="0"/>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szCs w:val="21"/>
        </w:rPr>
        <w:t>外币货币性项目</w:t>
      </w:r>
    </w:p>
    <w:p w:rsidR="00AA2164" w:rsidRPr="00A71D2E" w:rsidRDefault="00AA2164">
      <w:pPr>
        <w:ind w:left="720"/>
        <w:rPr>
          <w:rFonts w:eastAsia="宋体" w:cs="Times New Roman"/>
          <w:szCs w:val="21"/>
        </w:rPr>
      </w:pPr>
    </w:p>
    <w:p w:rsidR="00AA2164" w:rsidRPr="00A71D2E" w:rsidRDefault="00AA2164">
      <w:pPr>
        <w:pStyle w:val="aff1"/>
        <w:widowControl w:val="0"/>
        <w:numPr>
          <w:ilvl w:val="0"/>
          <w:numId w:val="30"/>
        </w:numPr>
        <w:ind w:left="1440" w:firstLineChars="0" w:hanging="720"/>
        <w:rPr>
          <w:szCs w:val="21"/>
        </w:rPr>
      </w:pPr>
      <w:r w:rsidRPr="00A71D2E">
        <w:rPr>
          <w:rFonts w:hint="eastAsia"/>
          <w:szCs w:val="21"/>
        </w:rPr>
        <w:t>外币货币性项目</w:t>
      </w:r>
    </w:p>
    <w:p w:rsidR="00AA2164" w:rsidRPr="00A71D2E" w:rsidRDefault="00AA2164">
      <w:pPr>
        <w:adjustRightInd/>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4"/>
        <w:gridCol w:w="2267"/>
        <w:gridCol w:w="2267"/>
        <w:gridCol w:w="2268"/>
      </w:tblGrid>
      <w:tr w:rsidR="00AA2164" w:rsidRPr="00B11E71" w:rsidTr="0027505B">
        <w:trPr>
          <w:trHeight w:val="20"/>
        </w:trPr>
        <w:tc>
          <w:tcPr>
            <w:tcW w:w="2654" w:type="dxa"/>
            <w:shd w:val="clear" w:color="auto" w:fill="D9D9D9" w:themeFill="background1" w:themeFillShade="D9"/>
            <w:vAlign w:val="center"/>
          </w:tcPr>
          <w:p w:rsidR="00AA2164" w:rsidRPr="00B11E71" w:rsidRDefault="00AA2164">
            <w:pPr>
              <w:jc w:val="center"/>
              <w:rPr>
                <w:rFonts w:eastAsia="宋体" w:cs="Times New Roman"/>
                <w:sz w:val="18"/>
                <w:szCs w:val="18"/>
              </w:rPr>
            </w:pPr>
            <w:r w:rsidRPr="00B11E71">
              <w:rPr>
                <w:rFonts w:eastAsia="宋体" w:cs="Times New Roman" w:hint="eastAsia"/>
                <w:sz w:val="18"/>
                <w:szCs w:val="18"/>
              </w:rPr>
              <w:t>项目</w:t>
            </w:r>
          </w:p>
        </w:tc>
        <w:tc>
          <w:tcPr>
            <w:tcW w:w="2267" w:type="dxa"/>
            <w:shd w:val="clear" w:color="auto" w:fill="D9D9D9" w:themeFill="background1" w:themeFillShade="D9"/>
            <w:vAlign w:val="center"/>
          </w:tcPr>
          <w:p w:rsidR="00AA2164" w:rsidRPr="00B11E71" w:rsidRDefault="00670A05">
            <w:pPr>
              <w:jc w:val="center"/>
              <w:rPr>
                <w:rFonts w:eastAsia="宋体" w:cs="Times New Roman"/>
                <w:sz w:val="18"/>
                <w:szCs w:val="18"/>
              </w:rPr>
            </w:pPr>
            <w:r w:rsidRPr="00B11E71">
              <w:rPr>
                <w:rFonts w:eastAsia="宋体" w:cs="Times New Roman" w:hint="eastAsia"/>
                <w:sz w:val="18"/>
                <w:szCs w:val="18"/>
              </w:rPr>
              <w:t>年末</w:t>
            </w:r>
            <w:r w:rsidR="00AA2164" w:rsidRPr="00B11E71">
              <w:rPr>
                <w:rFonts w:eastAsia="宋体" w:cs="Times New Roman" w:hint="eastAsia"/>
                <w:sz w:val="18"/>
                <w:szCs w:val="18"/>
              </w:rPr>
              <w:t>外币余额</w:t>
            </w:r>
          </w:p>
        </w:tc>
        <w:tc>
          <w:tcPr>
            <w:tcW w:w="2267" w:type="dxa"/>
            <w:shd w:val="clear" w:color="auto" w:fill="D9D9D9" w:themeFill="background1" w:themeFillShade="D9"/>
            <w:vAlign w:val="center"/>
          </w:tcPr>
          <w:p w:rsidR="00AA2164" w:rsidRPr="00B11E71" w:rsidRDefault="00AA2164">
            <w:pPr>
              <w:jc w:val="center"/>
              <w:rPr>
                <w:rFonts w:eastAsia="宋体" w:cs="Times New Roman"/>
                <w:sz w:val="18"/>
                <w:szCs w:val="18"/>
              </w:rPr>
            </w:pPr>
            <w:r w:rsidRPr="00B11E71">
              <w:rPr>
                <w:rFonts w:eastAsia="宋体" w:cs="Times New Roman" w:hint="eastAsia"/>
                <w:sz w:val="18"/>
                <w:szCs w:val="18"/>
              </w:rPr>
              <w:t>折算汇率</w:t>
            </w:r>
          </w:p>
        </w:tc>
        <w:tc>
          <w:tcPr>
            <w:tcW w:w="2268" w:type="dxa"/>
            <w:shd w:val="clear" w:color="auto" w:fill="D9D9D9" w:themeFill="background1" w:themeFillShade="D9"/>
            <w:vAlign w:val="center"/>
          </w:tcPr>
          <w:p w:rsidR="00AA2164" w:rsidRPr="00B11E71" w:rsidRDefault="00670A05">
            <w:pPr>
              <w:jc w:val="center"/>
              <w:rPr>
                <w:rFonts w:eastAsia="宋体" w:cs="Times New Roman"/>
                <w:sz w:val="18"/>
                <w:szCs w:val="18"/>
              </w:rPr>
            </w:pPr>
            <w:r w:rsidRPr="00B11E71">
              <w:rPr>
                <w:rFonts w:eastAsia="宋体" w:cs="Times New Roman" w:hint="eastAsia"/>
                <w:sz w:val="18"/>
                <w:szCs w:val="18"/>
              </w:rPr>
              <w:t>年末</w:t>
            </w:r>
            <w:r w:rsidR="00AA2164" w:rsidRPr="00B11E71">
              <w:rPr>
                <w:rFonts w:eastAsia="宋体" w:cs="Times New Roman" w:hint="eastAsia"/>
                <w:sz w:val="18"/>
                <w:szCs w:val="18"/>
              </w:rPr>
              <w:t>折算人民币余额</w:t>
            </w:r>
          </w:p>
        </w:tc>
      </w:tr>
      <w:tr w:rsidR="00AA2164" w:rsidRPr="00B11E71" w:rsidTr="0027505B">
        <w:trPr>
          <w:trHeight w:val="20"/>
        </w:trPr>
        <w:tc>
          <w:tcPr>
            <w:tcW w:w="2654" w:type="dxa"/>
            <w:shd w:val="clear" w:color="auto" w:fill="D9D9D9" w:themeFill="background1" w:themeFillShade="D9"/>
            <w:vAlign w:val="center"/>
          </w:tcPr>
          <w:p w:rsidR="00AA2164" w:rsidRPr="00B11E71" w:rsidRDefault="00AA2164">
            <w:pPr>
              <w:rPr>
                <w:rFonts w:eastAsia="宋体" w:cs="Times New Roman"/>
                <w:sz w:val="18"/>
                <w:szCs w:val="18"/>
              </w:rPr>
            </w:pPr>
            <w:r w:rsidRPr="00B11E71">
              <w:rPr>
                <w:rFonts w:eastAsia="宋体" w:cs="Times New Roman" w:hint="eastAsia"/>
                <w:sz w:val="18"/>
                <w:szCs w:val="18"/>
              </w:rPr>
              <w:t>货币资金</w:t>
            </w:r>
          </w:p>
        </w:tc>
        <w:tc>
          <w:tcPr>
            <w:tcW w:w="2267" w:type="dxa"/>
            <w:vAlign w:val="center"/>
          </w:tcPr>
          <w:p w:rsidR="00AA2164" w:rsidRPr="00B11E71" w:rsidRDefault="00AA2164">
            <w:pPr>
              <w:jc w:val="center"/>
              <w:rPr>
                <w:rFonts w:eastAsia="宋体" w:cs="Times New Roman"/>
                <w:sz w:val="18"/>
                <w:szCs w:val="18"/>
              </w:rPr>
            </w:pPr>
          </w:p>
        </w:tc>
        <w:tc>
          <w:tcPr>
            <w:tcW w:w="2267" w:type="dxa"/>
            <w:vAlign w:val="center"/>
          </w:tcPr>
          <w:p w:rsidR="00AA2164" w:rsidRPr="00B11E71" w:rsidRDefault="00AA2164">
            <w:pPr>
              <w:jc w:val="center"/>
              <w:rPr>
                <w:rFonts w:eastAsia="宋体" w:cs="Times New Roman"/>
                <w:sz w:val="18"/>
                <w:szCs w:val="18"/>
              </w:rPr>
            </w:pPr>
          </w:p>
        </w:tc>
        <w:tc>
          <w:tcPr>
            <w:tcW w:w="2268" w:type="dxa"/>
            <w:vAlign w:val="center"/>
          </w:tcPr>
          <w:p w:rsidR="00AA2164" w:rsidRPr="00B11E71" w:rsidRDefault="00AA2164">
            <w:pPr>
              <w:jc w:val="center"/>
              <w:rPr>
                <w:rFonts w:eastAsia="宋体" w:cs="Times New Roman"/>
                <w:sz w:val="18"/>
                <w:szCs w:val="18"/>
              </w:rPr>
            </w:pPr>
          </w:p>
        </w:tc>
      </w:tr>
      <w:tr w:rsidR="00E32647" w:rsidRPr="00B11E71" w:rsidTr="0027505B">
        <w:trPr>
          <w:trHeight w:val="20"/>
        </w:trPr>
        <w:tc>
          <w:tcPr>
            <w:tcW w:w="2654" w:type="dxa"/>
            <w:shd w:val="clear" w:color="auto" w:fill="FFFFFF" w:themeFill="background1"/>
            <w:vAlign w:val="center"/>
          </w:tcPr>
          <w:p w:rsidR="00E32647" w:rsidRPr="00B11E71" w:rsidRDefault="00E32647">
            <w:pPr>
              <w:tabs>
                <w:tab w:val="left" w:pos="558"/>
              </w:tabs>
              <w:rPr>
                <w:rFonts w:eastAsia="宋体" w:cs="Times New Roman"/>
                <w:sz w:val="18"/>
                <w:szCs w:val="18"/>
              </w:rPr>
            </w:pPr>
            <w:r w:rsidRPr="00B11E71">
              <w:rPr>
                <w:rFonts w:eastAsia="宋体" w:cs="Times New Roman" w:hint="eastAsia"/>
                <w:sz w:val="18"/>
                <w:szCs w:val="18"/>
              </w:rPr>
              <w:t>其中</w:t>
            </w:r>
            <w:r w:rsidR="005F14EE" w:rsidRPr="00B11E71">
              <w:rPr>
                <w:rFonts w:eastAsia="宋体" w:cs="Times New Roman" w:hint="eastAsia"/>
                <w:sz w:val="18"/>
                <w:szCs w:val="18"/>
              </w:rPr>
              <w:t>：</w:t>
            </w:r>
            <w:r w:rsidRPr="00B11E71">
              <w:rPr>
                <w:rFonts w:eastAsia="宋体" w:cs="Times New Roman" w:hint="eastAsia"/>
                <w:sz w:val="18"/>
                <w:szCs w:val="18"/>
              </w:rPr>
              <w:t>美元</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7,653,718.78</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7.0827</w:t>
            </w:r>
          </w:p>
        </w:tc>
        <w:tc>
          <w:tcPr>
            <w:tcW w:w="2268"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54,208,828.10</w:t>
            </w:r>
          </w:p>
        </w:tc>
      </w:tr>
      <w:tr w:rsidR="00E32647" w:rsidRPr="00B11E71" w:rsidTr="0027505B">
        <w:trPr>
          <w:trHeight w:val="20"/>
        </w:trPr>
        <w:tc>
          <w:tcPr>
            <w:tcW w:w="2654" w:type="dxa"/>
            <w:shd w:val="clear" w:color="auto" w:fill="FFFFFF" w:themeFill="background1"/>
            <w:vAlign w:val="center"/>
          </w:tcPr>
          <w:p w:rsidR="00E32647" w:rsidRPr="00B11E71" w:rsidRDefault="00E32647">
            <w:pPr>
              <w:ind w:leftChars="265" w:left="556"/>
              <w:rPr>
                <w:rFonts w:eastAsia="宋体" w:cs="Times New Roman"/>
                <w:sz w:val="18"/>
                <w:szCs w:val="18"/>
              </w:rPr>
            </w:pPr>
            <w:r w:rsidRPr="00B11E71">
              <w:rPr>
                <w:rFonts w:eastAsia="宋体" w:cs="Times New Roman" w:hint="eastAsia"/>
                <w:sz w:val="18"/>
                <w:szCs w:val="18"/>
              </w:rPr>
              <w:t>欧元</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1,837,860.78</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7.8591</w:t>
            </w:r>
          </w:p>
        </w:tc>
        <w:tc>
          <w:tcPr>
            <w:tcW w:w="2268" w:type="dxa"/>
            <w:vAlign w:val="center"/>
          </w:tcPr>
          <w:p w:rsidR="00E32647" w:rsidRPr="00B11E71" w:rsidRDefault="003645BE">
            <w:pPr>
              <w:jc w:val="right"/>
              <w:rPr>
                <w:rFonts w:eastAsia="宋体" w:cs="Times New Roman"/>
                <w:sz w:val="18"/>
                <w:szCs w:val="18"/>
              </w:rPr>
            </w:pPr>
            <w:r w:rsidRPr="00B11E71">
              <w:rPr>
                <w:rFonts w:eastAsia="宋体" w:cs="Times New Roman"/>
                <w:sz w:val="18"/>
                <w:szCs w:val="18"/>
              </w:rPr>
              <w:t>14,443,843.20</w:t>
            </w:r>
          </w:p>
        </w:tc>
      </w:tr>
      <w:tr w:rsidR="00E32647" w:rsidRPr="00B11E71" w:rsidTr="0027505B">
        <w:trPr>
          <w:trHeight w:val="20"/>
        </w:trPr>
        <w:tc>
          <w:tcPr>
            <w:tcW w:w="2654" w:type="dxa"/>
            <w:shd w:val="clear" w:color="auto" w:fill="FFFFFF" w:themeFill="background1"/>
            <w:vAlign w:val="center"/>
          </w:tcPr>
          <w:p w:rsidR="00E32647" w:rsidRPr="00B11E71" w:rsidRDefault="00E32647">
            <w:pPr>
              <w:ind w:leftChars="265" w:left="556"/>
              <w:rPr>
                <w:rFonts w:eastAsia="宋体" w:cs="Times New Roman"/>
                <w:sz w:val="18"/>
                <w:szCs w:val="18"/>
              </w:rPr>
            </w:pPr>
            <w:r w:rsidRPr="00B11E71">
              <w:rPr>
                <w:rFonts w:eastAsia="宋体" w:cs="Times New Roman" w:hint="eastAsia"/>
                <w:sz w:val="18"/>
                <w:szCs w:val="18"/>
              </w:rPr>
              <w:t>英镑</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475,020.96</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9.0414</w:t>
            </w:r>
          </w:p>
        </w:tc>
        <w:tc>
          <w:tcPr>
            <w:tcW w:w="2268" w:type="dxa"/>
            <w:vAlign w:val="center"/>
          </w:tcPr>
          <w:p w:rsidR="00E32647" w:rsidRPr="00B11E71" w:rsidRDefault="003645BE">
            <w:pPr>
              <w:jc w:val="right"/>
              <w:rPr>
                <w:rFonts w:eastAsia="宋体" w:cs="Times New Roman"/>
                <w:sz w:val="18"/>
                <w:szCs w:val="18"/>
              </w:rPr>
            </w:pPr>
            <w:r w:rsidRPr="00B11E71">
              <w:rPr>
                <w:rFonts w:eastAsia="宋体" w:cs="Times New Roman"/>
                <w:sz w:val="18"/>
                <w:szCs w:val="18"/>
              </w:rPr>
              <w:t>4,294,859.86</w:t>
            </w:r>
          </w:p>
        </w:tc>
      </w:tr>
      <w:tr w:rsidR="00E32647" w:rsidRPr="00B11E71" w:rsidTr="0027505B">
        <w:trPr>
          <w:trHeight w:val="20"/>
        </w:trPr>
        <w:tc>
          <w:tcPr>
            <w:tcW w:w="2654" w:type="dxa"/>
            <w:shd w:val="clear" w:color="auto" w:fill="FFFFFF" w:themeFill="background1"/>
            <w:vAlign w:val="center"/>
          </w:tcPr>
          <w:p w:rsidR="00E32647" w:rsidRPr="00B11E71" w:rsidRDefault="00E32647">
            <w:pPr>
              <w:ind w:leftChars="265" w:left="556"/>
              <w:rPr>
                <w:rFonts w:eastAsia="宋体" w:cs="Times New Roman"/>
                <w:sz w:val="18"/>
                <w:szCs w:val="18"/>
              </w:rPr>
            </w:pPr>
            <w:r w:rsidRPr="00B11E71">
              <w:rPr>
                <w:rFonts w:eastAsia="宋体" w:cs="Times New Roman" w:hint="eastAsia"/>
                <w:sz w:val="18"/>
                <w:szCs w:val="18"/>
              </w:rPr>
              <w:t>港币</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1,029,510.51</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0.9062</w:t>
            </w:r>
          </w:p>
        </w:tc>
        <w:tc>
          <w:tcPr>
            <w:tcW w:w="2268"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932,963.02</w:t>
            </w:r>
          </w:p>
        </w:tc>
      </w:tr>
      <w:tr w:rsidR="00E32647" w:rsidRPr="00B11E71" w:rsidTr="0027505B">
        <w:trPr>
          <w:trHeight w:val="20"/>
        </w:trPr>
        <w:tc>
          <w:tcPr>
            <w:tcW w:w="2654" w:type="dxa"/>
            <w:shd w:val="clear" w:color="auto" w:fill="FFFFFF" w:themeFill="background1"/>
            <w:vAlign w:val="center"/>
          </w:tcPr>
          <w:p w:rsidR="00E32647" w:rsidRPr="00B11E71" w:rsidRDefault="00E32647">
            <w:pPr>
              <w:ind w:leftChars="265" w:left="556"/>
              <w:rPr>
                <w:rFonts w:eastAsia="宋体" w:cs="Times New Roman"/>
                <w:sz w:val="18"/>
                <w:szCs w:val="18"/>
              </w:rPr>
            </w:pPr>
            <w:r w:rsidRPr="00B11E71">
              <w:rPr>
                <w:rFonts w:eastAsia="宋体" w:cs="Times New Roman" w:hint="eastAsia"/>
                <w:sz w:val="18"/>
                <w:szCs w:val="18"/>
              </w:rPr>
              <w:t>澳元</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112,077.74</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4.8484</w:t>
            </w:r>
          </w:p>
        </w:tc>
        <w:tc>
          <w:tcPr>
            <w:tcW w:w="2268"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543,397.71</w:t>
            </w:r>
          </w:p>
        </w:tc>
      </w:tr>
      <w:tr w:rsidR="00E32647" w:rsidRPr="00B11E71" w:rsidTr="0027505B">
        <w:trPr>
          <w:trHeight w:val="20"/>
        </w:trPr>
        <w:tc>
          <w:tcPr>
            <w:tcW w:w="2654" w:type="dxa"/>
            <w:shd w:val="clear" w:color="auto" w:fill="FFFFFF" w:themeFill="background1"/>
            <w:vAlign w:val="center"/>
          </w:tcPr>
          <w:p w:rsidR="00E32647" w:rsidRPr="00B11E71" w:rsidRDefault="00E32647">
            <w:pPr>
              <w:ind w:leftChars="265" w:left="556"/>
              <w:rPr>
                <w:rFonts w:eastAsia="宋体" w:cs="Times New Roman"/>
                <w:sz w:val="18"/>
                <w:szCs w:val="18"/>
              </w:rPr>
            </w:pPr>
            <w:r w:rsidRPr="00B11E71">
              <w:rPr>
                <w:rFonts w:eastAsia="宋体" w:cs="Times New Roman" w:hint="eastAsia"/>
                <w:sz w:val="18"/>
                <w:szCs w:val="18"/>
              </w:rPr>
              <w:t>新加坡元</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25,429.45</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5.3772</w:t>
            </w:r>
          </w:p>
        </w:tc>
        <w:tc>
          <w:tcPr>
            <w:tcW w:w="2268"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136,739.24</w:t>
            </w:r>
          </w:p>
        </w:tc>
      </w:tr>
      <w:tr w:rsidR="00E32647" w:rsidRPr="00B11E71" w:rsidTr="0027505B">
        <w:trPr>
          <w:trHeight w:val="20"/>
        </w:trPr>
        <w:tc>
          <w:tcPr>
            <w:tcW w:w="2654" w:type="dxa"/>
            <w:shd w:val="clear" w:color="auto" w:fill="FFFFFF" w:themeFill="background1"/>
            <w:vAlign w:val="center"/>
          </w:tcPr>
          <w:p w:rsidR="00E32647" w:rsidRPr="00B11E71" w:rsidRDefault="00E32647">
            <w:pPr>
              <w:ind w:leftChars="265" w:left="556"/>
              <w:rPr>
                <w:rFonts w:eastAsia="宋体" w:cs="Times New Roman"/>
                <w:sz w:val="18"/>
                <w:szCs w:val="18"/>
              </w:rPr>
            </w:pPr>
            <w:r w:rsidRPr="00B11E71">
              <w:rPr>
                <w:rFonts w:eastAsia="宋体" w:cs="Times New Roman" w:hint="eastAsia"/>
                <w:sz w:val="18"/>
                <w:szCs w:val="18"/>
              </w:rPr>
              <w:t>日元</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4,582,183.00</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0.0502</w:t>
            </w:r>
          </w:p>
        </w:tc>
        <w:tc>
          <w:tcPr>
            <w:tcW w:w="2268"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230,085.15</w:t>
            </w:r>
          </w:p>
        </w:tc>
      </w:tr>
      <w:tr w:rsidR="00E32647" w:rsidRPr="00B11E71" w:rsidTr="0027505B">
        <w:trPr>
          <w:trHeight w:val="20"/>
        </w:trPr>
        <w:tc>
          <w:tcPr>
            <w:tcW w:w="2654" w:type="dxa"/>
            <w:shd w:val="clear" w:color="auto" w:fill="FFFFFF" w:themeFill="background1"/>
            <w:vAlign w:val="center"/>
          </w:tcPr>
          <w:p w:rsidR="00E32647" w:rsidRPr="00B11E71" w:rsidRDefault="002C2F39">
            <w:pPr>
              <w:ind w:leftChars="265" w:left="556"/>
              <w:rPr>
                <w:rFonts w:eastAsia="宋体" w:cs="Times New Roman"/>
                <w:sz w:val="18"/>
                <w:szCs w:val="18"/>
              </w:rPr>
            </w:pPr>
            <w:r w:rsidRPr="00B11E71">
              <w:rPr>
                <w:rFonts w:eastAsia="宋体" w:cs="Times New Roman" w:hint="eastAsia"/>
                <w:sz w:val="18"/>
                <w:szCs w:val="18"/>
              </w:rPr>
              <w:t>外币</w:t>
            </w:r>
            <w:r w:rsidR="007A074A" w:rsidRPr="00B11E71">
              <w:rPr>
                <w:rFonts w:eastAsia="宋体" w:cs="Times New Roman" w:hint="eastAsia"/>
                <w:sz w:val="18"/>
                <w:szCs w:val="18"/>
              </w:rPr>
              <w:t>人民币</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287.13</w:t>
            </w:r>
          </w:p>
        </w:tc>
        <w:tc>
          <w:tcPr>
            <w:tcW w:w="2267"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1.0000</w:t>
            </w:r>
          </w:p>
        </w:tc>
        <w:tc>
          <w:tcPr>
            <w:tcW w:w="2268" w:type="dxa"/>
            <w:vAlign w:val="center"/>
          </w:tcPr>
          <w:p w:rsidR="00E32647" w:rsidRPr="00B11E71" w:rsidRDefault="002C2F39">
            <w:pPr>
              <w:jc w:val="right"/>
              <w:rPr>
                <w:rFonts w:eastAsia="宋体" w:cs="Times New Roman"/>
                <w:sz w:val="18"/>
                <w:szCs w:val="18"/>
              </w:rPr>
            </w:pPr>
            <w:r w:rsidRPr="00B11E71">
              <w:rPr>
                <w:rFonts w:eastAsia="宋体" w:cs="Times New Roman"/>
                <w:sz w:val="18"/>
                <w:szCs w:val="18"/>
              </w:rPr>
              <w:t>287.13</w:t>
            </w:r>
          </w:p>
        </w:tc>
      </w:tr>
      <w:tr w:rsidR="002C2F39" w:rsidRPr="00B11E71" w:rsidTr="0027505B">
        <w:trPr>
          <w:trHeight w:val="20"/>
        </w:trPr>
        <w:tc>
          <w:tcPr>
            <w:tcW w:w="2654" w:type="dxa"/>
            <w:shd w:val="clear" w:color="auto" w:fill="FFFFFF" w:themeFill="background1"/>
            <w:vAlign w:val="center"/>
          </w:tcPr>
          <w:p w:rsidR="002C2F39" w:rsidRPr="00B11E71" w:rsidRDefault="002C2F39">
            <w:pPr>
              <w:ind w:leftChars="265" w:left="556"/>
              <w:rPr>
                <w:rFonts w:eastAsia="宋体" w:cs="Times New Roman"/>
                <w:sz w:val="18"/>
                <w:szCs w:val="18"/>
              </w:rPr>
            </w:pPr>
            <w:r w:rsidRPr="00B11E71">
              <w:rPr>
                <w:rFonts w:eastAsia="宋体" w:cs="Times New Roman" w:hint="eastAsia"/>
                <w:sz w:val="18"/>
                <w:szCs w:val="18"/>
              </w:rPr>
              <w:t>越南盾</w:t>
            </w:r>
          </w:p>
        </w:tc>
        <w:tc>
          <w:tcPr>
            <w:tcW w:w="2267" w:type="dxa"/>
            <w:vAlign w:val="center"/>
          </w:tcPr>
          <w:p w:rsidR="002C2F39" w:rsidRPr="00B11E71" w:rsidRDefault="002C2F39">
            <w:pPr>
              <w:jc w:val="right"/>
              <w:rPr>
                <w:rFonts w:eastAsia="宋体" w:cs="Times New Roman"/>
                <w:sz w:val="18"/>
                <w:szCs w:val="18"/>
              </w:rPr>
            </w:pPr>
            <w:r w:rsidRPr="00B11E71">
              <w:rPr>
                <w:rFonts w:eastAsia="宋体" w:cs="Times New Roman"/>
                <w:sz w:val="18"/>
                <w:szCs w:val="18"/>
              </w:rPr>
              <w:t>1,249,190,786.00</w:t>
            </w:r>
          </w:p>
        </w:tc>
        <w:tc>
          <w:tcPr>
            <w:tcW w:w="2267" w:type="dxa"/>
            <w:vAlign w:val="center"/>
          </w:tcPr>
          <w:p w:rsidR="002C2F39" w:rsidRPr="00B11E71" w:rsidRDefault="002C2F39">
            <w:pPr>
              <w:jc w:val="right"/>
              <w:rPr>
                <w:rFonts w:eastAsia="宋体" w:cs="Times New Roman"/>
                <w:sz w:val="18"/>
                <w:szCs w:val="18"/>
              </w:rPr>
            </w:pPr>
            <w:r w:rsidRPr="00B11E71">
              <w:rPr>
                <w:rFonts w:eastAsia="宋体" w:cs="Times New Roman"/>
                <w:sz w:val="18"/>
                <w:szCs w:val="18"/>
              </w:rPr>
              <w:t>0.0003</w:t>
            </w:r>
          </w:p>
        </w:tc>
        <w:tc>
          <w:tcPr>
            <w:tcW w:w="2268" w:type="dxa"/>
            <w:vAlign w:val="center"/>
          </w:tcPr>
          <w:p w:rsidR="002C2F39" w:rsidRPr="00B11E71" w:rsidRDefault="002C2F39">
            <w:pPr>
              <w:jc w:val="right"/>
              <w:rPr>
                <w:rFonts w:eastAsia="宋体" w:cs="Times New Roman"/>
                <w:sz w:val="18"/>
                <w:szCs w:val="18"/>
              </w:rPr>
            </w:pPr>
            <w:r w:rsidRPr="00B11E71">
              <w:rPr>
                <w:rFonts w:eastAsia="宋体" w:cs="Times New Roman"/>
                <w:sz w:val="18"/>
                <w:szCs w:val="18"/>
              </w:rPr>
              <w:t>365,438.27</w:t>
            </w:r>
          </w:p>
        </w:tc>
      </w:tr>
      <w:tr w:rsidR="00AA2164" w:rsidRPr="00B11E71" w:rsidTr="0027505B">
        <w:trPr>
          <w:trHeight w:val="20"/>
        </w:trPr>
        <w:tc>
          <w:tcPr>
            <w:tcW w:w="2654" w:type="dxa"/>
            <w:shd w:val="clear" w:color="auto" w:fill="FFFFFF" w:themeFill="background1"/>
            <w:vAlign w:val="center"/>
          </w:tcPr>
          <w:p w:rsidR="00AA2164" w:rsidRPr="00B11E71" w:rsidRDefault="00AA2164">
            <w:pPr>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8" w:type="dxa"/>
            <w:vAlign w:val="center"/>
          </w:tcPr>
          <w:p w:rsidR="00AA2164" w:rsidRPr="00B11E71" w:rsidRDefault="00AA2164">
            <w:pPr>
              <w:jc w:val="right"/>
              <w:rPr>
                <w:rFonts w:eastAsia="宋体" w:cs="Times New Roman"/>
                <w:sz w:val="18"/>
                <w:szCs w:val="18"/>
              </w:rPr>
            </w:pPr>
          </w:p>
        </w:tc>
      </w:tr>
      <w:tr w:rsidR="00AA2164" w:rsidRPr="00B11E71" w:rsidTr="0027505B">
        <w:trPr>
          <w:trHeight w:val="20"/>
        </w:trPr>
        <w:tc>
          <w:tcPr>
            <w:tcW w:w="2654" w:type="dxa"/>
            <w:shd w:val="clear" w:color="auto" w:fill="D9D9D9" w:themeFill="background1" w:themeFillShade="D9"/>
            <w:vAlign w:val="center"/>
          </w:tcPr>
          <w:p w:rsidR="00AA2164" w:rsidRPr="00B11E71" w:rsidRDefault="00AA2164">
            <w:pPr>
              <w:rPr>
                <w:rFonts w:eastAsia="宋体" w:cs="Times New Roman"/>
                <w:sz w:val="18"/>
                <w:szCs w:val="18"/>
              </w:rPr>
            </w:pPr>
            <w:r w:rsidRPr="00B11E71">
              <w:rPr>
                <w:rFonts w:eastAsia="宋体" w:cs="Times New Roman" w:hint="eastAsia"/>
                <w:sz w:val="18"/>
                <w:szCs w:val="18"/>
              </w:rPr>
              <w:t>应收账款</w:t>
            </w:r>
          </w:p>
        </w:tc>
        <w:tc>
          <w:tcPr>
            <w:tcW w:w="2267" w:type="dxa"/>
            <w:vAlign w:val="center"/>
          </w:tcPr>
          <w:p w:rsidR="00AA2164" w:rsidRPr="00B11E71" w:rsidRDefault="00AA2164">
            <w:pPr>
              <w:jc w:val="right"/>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8" w:type="dxa"/>
            <w:vAlign w:val="center"/>
          </w:tcPr>
          <w:p w:rsidR="00AA2164" w:rsidRPr="00B11E71" w:rsidRDefault="00AA2164">
            <w:pPr>
              <w:jc w:val="right"/>
              <w:rPr>
                <w:rFonts w:eastAsia="宋体" w:cs="Times New Roman"/>
                <w:sz w:val="18"/>
                <w:szCs w:val="18"/>
              </w:rPr>
            </w:pPr>
          </w:p>
        </w:tc>
      </w:tr>
      <w:tr w:rsidR="009D56C6" w:rsidRPr="00B11E71" w:rsidTr="0027505B">
        <w:trPr>
          <w:trHeight w:val="20"/>
        </w:trPr>
        <w:tc>
          <w:tcPr>
            <w:tcW w:w="2654" w:type="dxa"/>
            <w:shd w:val="clear" w:color="auto" w:fill="FFFFFF" w:themeFill="background1"/>
            <w:vAlign w:val="center"/>
          </w:tcPr>
          <w:p w:rsidR="009D56C6" w:rsidRPr="00B11E71" w:rsidRDefault="009D56C6">
            <w:pPr>
              <w:rPr>
                <w:rFonts w:eastAsia="宋体" w:cs="Times New Roman"/>
                <w:sz w:val="18"/>
                <w:szCs w:val="18"/>
              </w:rPr>
            </w:pPr>
            <w:r w:rsidRPr="00B11E71">
              <w:rPr>
                <w:rFonts w:eastAsia="宋体" w:cs="Times New Roman" w:hint="eastAsia"/>
                <w:sz w:val="18"/>
                <w:szCs w:val="18"/>
              </w:rPr>
              <w:t>其中</w:t>
            </w:r>
            <w:r w:rsidR="005F14EE" w:rsidRPr="00B11E71">
              <w:rPr>
                <w:rFonts w:eastAsia="宋体" w:cs="Times New Roman" w:hint="eastAsia"/>
                <w:sz w:val="18"/>
                <w:szCs w:val="18"/>
              </w:rPr>
              <w:t>：</w:t>
            </w:r>
            <w:r w:rsidRPr="00B11E71">
              <w:rPr>
                <w:rFonts w:eastAsia="宋体" w:cs="Times New Roman" w:hint="eastAsia"/>
                <w:sz w:val="18"/>
                <w:szCs w:val="18"/>
              </w:rPr>
              <w:t>美元</w:t>
            </w:r>
          </w:p>
        </w:tc>
        <w:tc>
          <w:tcPr>
            <w:tcW w:w="2267"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25,786,994.15</w:t>
            </w:r>
          </w:p>
        </w:tc>
        <w:tc>
          <w:tcPr>
            <w:tcW w:w="2267"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7.0827</w:t>
            </w:r>
          </w:p>
        </w:tc>
        <w:tc>
          <w:tcPr>
            <w:tcW w:w="2268"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182,641,173.20</w:t>
            </w:r>
          </w:p>
        </w:tc>
      </w:tr>
      <w:tr w:rsidR="009D56C6" w:rsidRPr="00B11E71" w:rsidTr="0027505B">
        <w:trPr>
          <w:trHeight w:val="20"/>
        </w:trPr>
        <w:tc>
          <w:tcPr>
            <w:tcW w:w="2654" w:type="dxa"/>
            <w:shd w:val="clear" w:color="auto" w:fill="FFFFFF" w:themeFill="background1"/>
            <w:vAlign w:val="center"/>
          </w:tcPr>
          <w:p w:rsidR="009D56C6" w:rsidRPr="00B11E71" w:rsidRDefault="009D56C6">
            <w:pPr>
              <w:ind w:leftChars="265" w:left="556"/>
              <w:rPr>
                <w:rFonts w:eastAsia="宋体" w:cs="Times New Roman"/>
                <w:sz w:val="18"/>
                <w:szCs w:val="18"/>
              </w:rPr>
            </w:pPr>
            <w:r w:rsidRPr="00B11E71">
              <w:rPr>
                <w:rFonts w:eastAsia="宋体" w:cs="Times New Roman" w:hint="eastAsia"/>
                <w:sz w:val="18"/>
                <w:szCs w:val="18"/>
              </w:rPr>
              <w:t>欧元</w:t>
            </w:r>
          </w:p>
        </w:tc>
        <w:tc>
          <w:tcPr>
            <w:tcW w:w="2267" w:type="dxa"/>
            <w:vAlign w:val="center"/>
          </w:tcPr>
          <w:p w:rsidR="009D56C6" w:rsidRPr="00B11E71" w:rsidRDefault="00E56232">
            <w:pPr>
              <w:jc w:val="right"/>
              <w:rPr>
                <w:rFonts w:eastAsia="宋体" w:cs="Times New Roman"/>
                <w:sz w:val="18"/>
                <w:szCs w:val="18"/>
              </w:rPr>
            </w:pPr>
            <w:r w:rsidRPr="00B11E71">
              <w:rPr>
                <w:rFonts w:eastAsia="宋体" w:cs="Times New Roman"/>
                <w:sz w:val="18"/>
                <w:szCs w:val="18"/>
              </w:rPr>
              <w:t>9,887,575.06</w:t>
            </w:r>
          </w:p>
        </w:tc>
        <w:tc>
          <w:tcPr>
            <w:tcW w:w="2267" w:type="dxa"/>
            <w:vAlign w:val="center"/>
          </w:tcPr>
          <w:p w:rsidR="009D56C6" w:rsidRPr="00B11E71" w:rsidRDefault="00E56232">
            <w:pPr>
              <w:jc w:val="right"/>
              <w:rPr>
                <w:rFonts w:eastAsia="宋体" w:cs="Times New Roman"/>
                <w:sz w:val="18"/>
                <w:szCs w:val="18"/>
              </w:rPr>
            </w:pPr>
            <w:r w:rsidRPr="00B11E71">
              <w:rPr>
                <w:rFonts w:eastAsia="宋体" w:cs="Times New Roman"/>
                <w:sz w:val="18"/>
                <w:szCs w:val="18"/>
              </w:rPr>
              <w:t>7.8591</w:t>
            </w:r>
          </w:p>
        </w:tc>
        <w:tc>
          <w:tcPr>
            <w:tcW w:w="2268"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77,707,441.14</w:t>
            </w:r>
          </w:p>
        </w:tc>
      </w:tr>
      <w:tr w:rsidR="009D56C6" w:rsidRPr="00B11E71" w:rsidTr="0027505B">
        <w:trPr>
          <w:trHeight w:val="20"/>
        </w:trPr>
        <w:tc>
          <w:tcPr>
            <w:tcW w:w="2654" w:type="dxa"/>
            <w:shd w:val="clear" w:color="auto" w:fill="FFFFFF" w:themeFill="background1"/>
            <w:vAlign w:val="center"/>
          </w:tcPr>
          <w:p w:rsidR="009D56C6" w:rsidRPr="00B11E71" w:rsidRDefault="009D56C6">
            <w:pPr>
              <w:ind w:leftChars="265" w:left="556"/>
              <w:rPr>
                <w:rFonts w:eastAsia="宋体" w:cs="Times New Roman"/>
                <w:sz w:val="18"/>
                <w:szCs w:val="18"/>
              </w:rPr>
            </w:pPr>
            <w:r w:rsidRPr="00B11E71">
              <w:rPr>
                <w:rFonts w:eastAsia="宋体" w:cs="Times New Roman" w:hint="eastAsia"/>
                <w:sz w:val="18"/>
                <w:szCs w:val="18"/>
              </w:rPr>
              <w:t>英镑</w:t>
            </w:r>
          </w:p>
        </w:tc>
        <w:tc>
          <w:tcPr>
            <w:tcW w:w="2267" w:type="dxa"/>
            <w:vAlign w:val="center"/>
          </w:tcPr>
          <w:p w:rsidR="009D56C6" w:rsidRPr="00B11E71" w:rsidRDefault="00E56232">
            <w:pPr>
              <w:jc w:val="right"/>
              <w:rPr>
                <w:rFonts w:eastAsia="宋体" w:cs="Times New Roman"/>
                <w:sz w:val="18"/>
                <w:szCs w:val="18"/>
              </w:rPr>
            </w:pPr>
            <w:r w:rsidRPr="00B11E71">
              <w:rPr>
                <w:rFonts w:eastAsia="宋体" w:cs="Times New Roman"/>
                <w:sz w:val="18"/>
                <w:szCs w:val="18"/>
              </w:rPr>
              <w:t>442,400.28</w:t>
            </w:r>
          </w:p>
        </w:tc>
        <w:tc>
          <w:tcPr>
            <w:tcW w:w="2267" w:type="dxa"/>
            <w:vAlign w:val="center"/>
          </w:tcPr>
          <w:p w:rsidR="009D56C6" w:rsidRPr="00B11E71" w:rsidRDefault="00E56232">
            <w:pPr>
              <w:jc w:val="right"/>
              <w:rPr>
                <w:rFonts w:eastAsia="宋体" w:cs="Times New Roman"/>
                <w:sz w:val="18"/>
                <w:szCs w:val="18"/>
              </w:rPr>
            </w:pPr>
            <w:r w:rsidRPr="00B11E71">
              <w:rPr>
                <w:rFonts w:eastAsia="宋体" w:cs="Times New Roman"/>
                <w:sz w:val="18"/>
                <w:szCs w:val="18"/>
              </w:rPr>
              <w:t>9.0414</w:t>
            </w:r>
          </w:p>
        </w:tc>
        <w:tc>
          <w:tcPr>
            <w:tcW w:w="2268"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3,999,917.92</w:t>
            </w:r>
          </w:p>
        </w:tc>
      </w:tr>
      <w:tr w:rsidR="009D56C6" w:rsidRPr="00B11E71" w:rsidTr="0027505B">
        <w:trPr>
          <w:trHeight w:val="20"/>
        </w:trPr>
        <w:tc>
          <w:tcPr>
            <w:tcW w:w="2654" w:type="dxa"/>
            <w:shd w:val="clear" w:color="auto" w:fill="FFFFFF" w:themeFill="background1"/>
            <w:vAlign w:val="center"/>
          </w:tcPr>
          <w:p w:rsidR="009D56C6" w:rsidRPr="00B11E71" w:rsidRDefault="009D56C6">
            <w:pPr>
              <w:ind w:leftChars="265" w:left="556"/>
              <w:rPr>
                <w:rFonts w:eastAsia="宋体" w:cs="Times New Roman"/>
                <w:sz w:val="18"/>
                <w:szCs w:val="18"/>
              </w:rPr>
            </w:pPr>
            <w:r w:rsidRPr="00B11E71">
              <w:rPr>
                <w:rFonts w:eastAsia="宋体" w:cs="Times New Roman" w:hint="eastAsia"/>
                <w:sz w:val="18"/>
                <w:szCs w:val="18"/>
              </w:rPr>
              <w:t>澳元</w:t>
            </w:r>
          </w:p>
        </w:tc>
        <w:tc>
          <w:tcPr>
            <w:tcW w:w="2267" w:type="dxa"/>
            <w:vAlign w:val="center"/>
          </w:tcPr>
          <w:p w:rsidR="009D56C6" w:rsidRPr="00B11E71" w:rsidRDefault="00E56232">
            <w:pPr>
              <w:jc w:val="right"/>
              <w:rPr>
                <w:rFonts w:eastAsia="宋体" w:cs="Times New Roman"/>
                <w:sz w:val="18"/>
                <w:szCs w:val="18"/>
              </w:rPr>
            </w:pPr>
            <w:r w:rsidRPr="00B11E71">
              <w:rPr>
                <w:rFonts w:eastAsia="宋体" w:cs="Times New Roman"/>
                <w:sz w:val="18"/>
                <w:szCs w:val="18"/>
              </w:rPr>
              <w:t>487,784.74</w:t>
            </w:r>
          </w:p>
        </w:tc>
        <w:tc>
          <w:tcPr>
            <w:tcW w:w="2267"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4.8484</w:t>
            </w:r>
          </w:p>
        </w:tc>
        <w:tc>
          <w:tcPr>
            <w:tcW w:w="2268"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2,364,969.58</w:t>
            </w:r>
          </w:p>
        </w:tc>
      </w:tr>
      <w:tr w:rsidR="009D56C6" w:rsidRPr="00B11E71" w:rsidTr="0027505B">
        <w:trPr>
          <w:trHeight w:val="20"/>
        </w:trPr>
        <w:tc>
          <w:tcPr>
            <w:tcW w:w="2654" w:type="dxa"/>
            <w:shd w:val="clear" w:color="auto" w:fill="FFFFFF" w:themeFill="background1"/>
            <w:vAlign w:val="center"/>
          </w:tcPr>
          <w:p w:rsidR="009D56C6" w:rsidRPr="00B11E71" w:rsidRDefault="009D56C6">
            <w:pPr>
              <w:ind w:leftChars="265" w:left="556"/>
              <w:rPr>
                <w:rFonts w:eastAsia="宋体" w:cs="Times New Roman"/>
                <w:sz w:val="18"/>
                <w:szCs w:val="18"/>
              </w:rPr>
            </w:pPr>
            <w:r w:rsidRPr="00B11E71">
              <w:rPr>
                <w:rFonts w:eastAsia="宋体" w:cs="Times New Roman" w:hint="eastAsia"/>
                <w:sz w:val="18"/>
                <w:szCs w:val="18"/>
              </w:rPr>
              <w:t>新加坡元</w:t>
            </w:r>
          </w:p>
        </w:tc>
        <w:tc>
          <w:tcPr>
            <w:tcW w:w="2267" w:type="dxa"/>
            <w:vAlign w:val="center"/>
          </w:tcPr>
          <w:p w:rsidR="009D56C6" w:rsidRPr="00B11E71" w:rsidRDefault="00E56232">
            <w:pPr>
              <w:jc w:val="right"/>
              <w:rPr>
                <w:rFonts w:eastAsia="宋体" w:cs="Times New Roman"/>
                <w:sz w:val="18"/>
                <w:szCs w:val="18"/>
              </w:rPr>
            </w:pPr>
            <w:r w:rsidRPr="00B11E71">
              <w:rPr>
                <w:rFonts w:eastAsia="宋体" w:cs="Times New Roman"/>
                <w:sz w:val="18"/>
                <w:szCs w:val="18"/>
              </w:rPr>
              <w:t>11,054.86</w:t>
            </w:r>
          </w:p>
        </w:tc>
        <w:tc>
          <w:tcPr>
            <w:tcW w:w="2267"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5.3772</w:t>
            </w:r>
          </w:p>
        </w:tc>
        <w:tc>
          <w:tcPr>
            <w:tcW w:w="2268"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59,444.19</w:t>
            </w:r>
          </w:p>
        </w:tc>
      </w:tr>
      <w:tr w:rsidR="009D56C6" w:rsidRPr="00B11E71" w:rsidTr="0027505B">
        <w:trPr>
          <w:trHeight w:val="20"/>
        </w:trPr>
        <w:tc>
          <w:tcPr>
            <w:tcW w:w="2654" w:type="dxa"/>
            <w:shd w:val="clear" w:color="auto" w:fill="FFFFFF" w:themeFill="background1"/>
            <w:vAlign w:val="center"/>
          </w:tcPr>
          <w:p w:rsidR="009D56C6" w:rsidRPr="00B11E71" w:rsidRDefault="009D56C6">
            <w:pPr>
              <w:ind w:leftChars="265" w:left="556"/>
              <w:rPr>
                <w:rFonts w:eastAsia="宋体" w:cs="Times New Roman"/>
                <w:sz w:val="18"/>
                <w:szCs w:val="18"/>
              </w:rPr>
            </w:pPr>
            <w:r w:rsidRPr="00B11E71">
              <w:rPr>
                <w:rFonts w:eastAsia="宋体" w:cs="Times New Roman" w:hint="eastAsia"/>
                <w:sz w:val="18"/>
                <w:szCs w:val="18"/>
              </w:rPr>
              <w:t>日元</w:t>
            </w:r>
          </w:p>
        </w:tc>
        <w:tc>
          <w:tcPr>
            <w:tcW w:w="2267" w:type="dxa"/>
            <w:vAlign w:val="center"/>
          </w:tcPr>
          <w:p w:rsidR="009D56C6" w:rsidRPr="00B11E71" w:rsidRDefault="00E56232">
            <w:pPr>
              <w:jc w:val="right"/>
              <w:rPr>
                <w:rFonts w:eastAsia="宋体" w:cs="Times New Roman"/>
                <w:sz w:val="18"/>
                <w:szCs w:val="18"/>
              </w:rPr>
            </w:pPr>
            <w:r w:rsidRPr="00B11E71">
              <w:rPr>
                <w:rFonts w:eastAsia="宋体" w:cs="Times New Roman"/>
                <w:sz w:val="18"/>
                <w:szCs w:val="18"/>
              </w:rPr>
              <w:t>21,878,274.00</w:t>
            </w:r>
          </w:p>
        </w:tc>
        <w:tc>
          <w:tcPr>
            <w:tcW w:w="2267"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0.0502</w:t>
            </w:r>
          </w:p>
        </w:tc>
        <w:tc>
          <w:tcPr>
            <w:tcW w:w="2268"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1,098,573.77</w:t>
            </w:r>
          </w:p>
        </w:tc>
      </w:tr>
      <w:tr w:rsidR="009D56C6" w:rsidRPr="00B11E71" w:rsidTr="0027505B">
        <w:trPr>
          <w:trHeight w:val="20"/>
        </w:trPr>
        <w:tc>
          <w:tcPr>
            <w:tcW w:w="2654" w:type="dxa"/>
            <w:shd w:val="clear" w:color="auto" w:fill="FFFFFF" w:themeFill="background1"/>
            <w:vAlign w:val="center"/>
          </w:tcPr>
          <w:p w:rsidR="009D56C6" w:rsidRPr="00B11E71" w:rsidRDefault="009D56C6">
            <w:pPr>
              <w:ind w:leftChars="265" w:left="556"/>
              <w:rPr>
                <w:rFonts w:eastAsia="宋体" w:cs="Times New Roman"/>
                <w:sz w:val="18"/>
                <w:szCs w:val="18"/>
              </w:rPr>
            </w:pPr>
            <w:r w:rsidRPr="00B11E71">
              <w:rPr>
                <w:rFonts w:eastAsia="宋体" w:cs="Times New Roman" w:hint="eastAsia"/>
                <w:sz w:val="18"/>
                <w:szCs w:val="18"/>
              </w:rPr>
              <w:t>波兰兹罗提</w:t>
            </w:r>
          </w:p>
        </w:tc>
        <w:tc>
          <w:tcPr>
            <w:tcW w:w="2267"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9,499.44</w:t>
            </w:r>
          </w:p>
        </w:tc>
        <w:tc>
          <w:tcPr>
            <w:tcW w:w="2267"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1.8107</w:t>
            </w:r>
          </w:p>
        </w:tc>
        <w:tc>
          <w:tcPr>
            <w:tcW w:w="2268"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17,200.74</w:t>
            </w:r>
          </w:p>
        </w:tc>
      </w:tr>
      <w:tr w:rsidR="009D56C6" w:rsidRPr="00B11E71" w:rsidTr="0027505B">
        <w:trPr>
          <w:trHeight w:val="20"/>
        </w:trPr>
        <w:tc>
          <w:tcPr>
            <w:tcW w:w="2654" w:type="dxa"/>
            <w:shd w:val="clear" w:color="auto" w:fill="FFFFFF" w:themeFill="background1"/>
            <w:vAlign w:val="center"/>
          </w:tcPr>
          <w:p w:rsidR="009D56C6" w:rsidRPr="00B11E71" w:rsidRDefault="009D56C6">
            <w:pPr>
              <w:ind w:leftChars="265" w:left="556"/>
              <w:rPr>
                <w:rFonts w:eastAsia="宋体" w:cs="Times New Roman"/>
                <w:sz w:val="18"/>
                <w:szCs w:val="18"/>
              </w:rPr>
            </w:pPr>
            <w:r w:rsidRPr="00B11E71">
              <w:rPr>
                <w:rFonts w:eastAsia="宋体" w:cs="Times New Roman" w:hint="eastAsia"/>
                <w:sz w:val="18"/>
                <w:szCs w:val="18"/>
              </w:rPr>
              <w:t>瑞典克朗</w:t>
            </w:r>
          </w:p>
        </w:tc>
        <w:tc>
          <w:tcPr>
            <w:tcW w:w="2267"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39,890.16</w:t>
            </w:r>
          </w:p>
        </w:tc>
        <w:tc>
          <w:tcPr>
            <w:tcW w:w="2267"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0.7110</w:t>
            </w:r>
          </w:p>
        </w:tc>
        <w:tc>
          <w:tcPr>
            <w:tcW w:w="2268" w:type="dxa"/>
            <w:vAlign w:val="center"/>
          </w:tcPr>
          <w:p w:rsidR="009D56C6" w:rsidRPr="00B11E71" w:rsidRDefault="00C1711A">
            <w:pPr>
              <w:jc w:val="right"/>
              <w:rPr>
                <w:rFonts w:eastAsia="宋体" w:cs="Times New Roman"/>
                <w:sz w:val="18"/>
                <w:szCs w:val="18"/>
              </w:rPr>
            </w:pPr>
            <w:r w:rsidRPr="00B11E71">
              <w:rPr>
                <w:rFonts w:eastAsia="宋体" w:cs="Times New Roman"/>
                <w:sz w:val="18"/>
                <w:szCs w:val="18"/>
              </w:rPr>
              <w:t>28,360.98</w:t>
            </w:r>
          </w:p>
        </w:tc>
      </w:tr>
      <w:tr w:rsidR="00AA2164" w:rsidRPr="00B11E71" w:rsidTr="0027505B">
        <w:trPr>
          <w:trHeight w:val="20"/>
        </w:trPr>
        <w:tc>
          <w:tcPr>
            <w:tcW w:w="2654" w:type="dxa"/>
            <w:shd w:val="clear" w:color="auto" w:fill="FFFFFF" w:themeFill="background1"/>
            <w:vAlign w:val="center"/>
          </w:tcPr>
          <w:p w:rsidR="00AA2164" w:rsidRPr="00B11E71" w:rsidRDefault="00AA2164">
            <w:pPr>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8" w:type="dxa"/>
            <w:vAlign w:val="center"/>
          </w:tcPr>
          <w:p w:rsidR="00AA2164" w:rsidRPr="00B11E71" w:rsidRDefault="00AA2164">
            <w:pPr>
              <w:jc w:val="right"/>
              <w:rPr>
                <w:rFonts w:eastAsia="宋体" w:cs="Times New Roman"/>
                <w:sz w:val="18"/>
                <w:szCs w:val="18"/>
              </w:rPr>
            </w:pPr>
          </w:p>
        </w:tc>
      </w:tr>
      <w:tr w:rsidR="00AA2164" w:rsidRPr="00B11E71" w:rsidTr="0027505B">
        <w:trPr>
          <w:trHeight w:val="20"/>
        </w:trPr>
        <w:tc>
          <w:tcPr>
            <w:tcW w:w="2654" w:type="dxa"/>
            <w:shd w:val="clear" w:color="auto" w:fill="D9D9D9" w:themeFill="background1" w:themeFillShade="D9"/>
            <w:vAlign w:val="center"/>
          </w:tcPr>
          <w:p w:rsidR="00AA2164" w:rsidRPr="00B11E71" w:rsidRDefault="00AA2164">
            <w:pPr>
              <w:rPr>
                <w:rFonts w:eastAsia="宋体" w:cs="Times New Roman"/>
                <w:sz w:val="18"/>
                <w:szCs w:val="18"/>
              </w:rPr>
            </w:pPr>
            <w:r w:rsidRPr="00B11E71">
              <w:rPr>
                <w:rFonts w:eastAsia="宋体" w:cs="Times New Roman" w:hint="eastAsia"/>
                <w:sz w:val="18"/>
                <w:szCs w:val="18"/>
              </w:rPr>
              <w:t>其他应收款</w:t>
            </w:r>
          </w:p>
        </w:tc>
        <w:tc>
          <w:tcPr>
            <w:tcW w:w="2267" w:type="dxa"/>
            <w:vAlign w:val="center"/>
          </w:tcPr>
          <w:p w:rsidR="00AA2164" w:rsidRPr="00B11E71" w:rsidRDefault="00AA2164">
            <w:pPr>
              <w:jc w:val="right"/>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8" w:type="dxa"/>
            <w:vAlign w:val="center"/>
          </w:tcPr>
          <w:p w:rsidR="00AA2164" w:rsidRPr="00B11E71" w:rsidRDefault="00AA2164">
            <w:pPr>
              <w:jc w:val="right"/>
              <w:rPr>
                <w:rFonts w:eastAsia="宋体" w:cs="Times New Roman"/>
                <w:sz w:val="18"/>
                <w:szCs w:val="18"/>
              </w:rPr>
            </w:pPr>
          </w:p>
        </w:tc>
      </w:tr>
      <w:tr w:rsidR="004675B7" w:rsidRPr="00B11E71" w:rsidTr="0027505B">
        <w:trPr>
          <w:trHeight w:val="20"/>
        </w:trPr>
        <w:tc>
          <w:tcPr>
            <w:tcW w:w="2654" w:type="dxa"/>
            <w:shd w:val="clear" w:color="auto" w:fill="FFFFFF" w:themeFill="background1"/>
            <w:vAlign w:val="center"/>
          </w:tcPr>
          <w:p w:rsidR="004675B7" w:rsidRPr="00B11E71" w:rsidRDefault="004675B7">
            <w:pPr>
              <w:rPr>
                <w:rFonts w:eastAsia="宋体" w:cs="Times New Roman"/>
                <w:sz w:val="18"/>
                <w:szCs w:val="18"/>
              </w:rPr>
            </w:pPr>
            <w:r w:rsidRPr="00B11E71">
              <w:rPr>
                <w:rFonts w:eastAsia="宋体" w:cs="Times New Roman" w:hint="eastAsia"/>
                <w:sz w:val="18"/>
                <w:szCs w:val="18"/>
              </w:rPr>
              <w:t>其中</w:t>
            </w:r>
            <w:r w:rsidR="005F14EE" w:rsidRPr="00B11E71">
              <w:rPr>
                <w:rFonts w:eastAsia="宋体" w:cs="Times New Roman" w:hint="eastAsia"/>
                <w:sz w:val="18"/>
                <w:szCs w:val="18"/>
              </w:rPr>
              <w:t>：</w:t>
            </w:r>
            <w:r w:rsidRPr="00B11E71">
              <w:rPr>
                <w:rFonts w:eastAsia="宋体" w:cs="Times New Roman" w:hint="eastAsia"/>
                <w:sz w:val="18"/>
                <w:szCs w:val="18"/>
              </w:rPr>
              <w:t>美元</w:t>
            </w:r>
          </w:p>
        </w:tc>
        <w:tc>
          <w:tcPr>
            <w:tcW w:w="2267" w:type="dxa"/>
            <w:shd w:val="clear" w:color="auto" w:fill="FFFFFF" w:themeFill="background1"/>
            <w:vAlign w:val="center"/>
          </w:tcPr>
          <w:p w:rsidR="004675B7" w:rsidRPr="00B11E71" w:rsidRDefault="00264DF0">
            <w:pPr>
              <w:jc w:val="right"/>
              <w:rPr>
                <w:rFonts w:eastAsia="宋体" w:cs="Times New Roman"/>
                <w:sz w:val="18"/>
                <w:szCs w:val="18"/>
              </w:rPr>
            </w:pPr>
            <w:r w:rsidRPr="00B11E71">
              <w:rPr>
                <w:rFonts w:eastAsia="宋体" w:cs="Times New Roman"/>
                <w:sz w:val="18"/>
                <w:szCs w:val="18"/>
              </w:rPr>
              <w:t>128,507.94</w:t>
            </w:r>
          </w:p>
        </w:tc>
        <w:tc>
          <w:tcPr>
            <w:tcW w:w="2267" w:type="dxa"/>
            <w:vAlign w:val="center"/>
          </w:tcPr>
          <w:p w:rsidR="004675B7" w:rsidRPr="00B11E71" w:rsidRDefault="00E56232">
            <w:pPr>
              <w:jc w:val="right"/>
              <w:rPr>
                <w:rFonts w:eastAsia="宋体" w:cs="Times New Roman"/>
                <w:sz w:val="18"/>
                <w:szCs w:val="18"/>
              </w:rPr>
            </w:pPr>
            <w:r w:rsidRPr="00B11E71">
              <w:rPr>
                <w:rFonts w:eastAsia="宋体" w:cs="Times New Roman"/>
                <w:sz w:val="18"/>
                <w:szCs w:val="18"/>
              </w:rPr>
              <w:t>7.0827</w:t>
            </w:r>
          </w:p>
        </w:tc>
        <w:tc>
          <w:tcPr>
            <w:tcW w:w="2268" w:type="dxa"/>
            <w:vAlign w:val="center"/>
          </w:tcPr>
          <w:p w:rsidR="004675B7" w:rsidRPr="00B11E71" w:rsidRDefault="00264DF0">
            <w:pPr>
              <w:jc w:val="right"/>
              <w:rPr>
                <w:rFonts w:eastAsia="宋体" w:cs="Times New Roman"/>
                <w:sz w:val="18"/>
                <w:szCs w:val="18"/>
              </w:rPr>
            </w:pPr>
            <w:r w:rsidRPr="00B11E71">
              <w:rPr>
                <w:rFonts w:eastAsia="宋体" w:cs="Times New Roman"/>
                <w:sz w:val="18"/>
                <w:szCs w:val="18"/>
              </w:rPr>
              <w:t>910,183.19</w:t>
            </w:r>
          </w:p>
        </w:tc>
      </w:tr>
      <w:tr w:rsidR="004675B7" w:rsidRPr="00B11E71" w:rsidTr="0027505B">
        <w:trPr>
          <w:trHeight w:val="20"/>
        </w:trPr>
        <w:tc>
          <w:tcPr>
            <w:tcW w:w="2654" w:type="dxa"/>
            <w:shd w:val="clear" w:color="auto" w:fill="FFFFFF" w:themeFill="background1"/>
            <w:vAlign w:val="center"/>
          </w:tcPr>
          <w:p w:rsidR="004675B7" w:rsidRPr="00B11E71" w:rsidRDefault="004675B7">
            <w:pPr>
              <w:ind w:leftChars="265" w:left="556"/>
              <w:rPr>
                <w:rFonts w:eastAsia="宋体" w:cs="Times New Roman"/>
                <w:sz w:val="18"/>
                <w:szCs w:val="18"/>
              </w:rPr>
            </w:pPr>
            <w:r w:rsidRPr="00B11E71">
              <w:rPr>
                <w:rFonts w:eastAsia="宋体" w:cs="Times New Roman" w:hint="eastAsia"/>
                <w:sz w:val="18"/>
                <w:szCs w:val="18"/>
              </w:rPr>
              <w:t>越南盾</w:t>
            </w:r>
          </w:p>
        </w:tc>
        <w:tc>
          <w:tcPr>
            <w:tcW w:w="2267" w:type="dxa"/>
            <w:vAlign w:val="center"/>
          </w:tcPr>
          <w:p w:rsidR="004675B7" w:rsidRPr="00B11E71" w:rsidRDefault="00C1711A">
            <w:pPr>
              <w:jc w:val="right"/>
              <w:rPr>
                <w:rFonts w:eastAsia="宋体" w:cs="Times New Roman"/>
                <w:sz w:val="18"/>
                <w:szCs w:val="18"/>
              </w:rPr>
            </w:pPr>
            <w:r w:rsidRPr="00B11E71">
              <w:rPr>
                <w:rFonts w:eastAsia="宋体" w:cs="Times New Roman"/>
                <w:sz w:val="18"/>
                <w:szCs w:val="18"/>
              </w:rPr>
              <w:t>1,734,926,320.00</w:t>
            </w:r>
          </w:p>
        </w:tc>
        <w:tc>
          <w:tcPr>
            <w:tcW w:w="2267" w:type="dxa"/>
            <w:vAlign w:val="center"/>
          </w:tcPr>
          <w:p w:rsidR="004675B7" w:rsidRPr="00B11E71" w:rsidRDefault="00C1711A">
            <w:pPr>
              <w:jc w:val="right"/>
              <w:rPr>
                <w:rFonts w:eastAsia="宋体" w:cs="Times New Roman"/>
                <w:sz w:val="18"/>
                <w:szCs w:val="18"/>
              </w:rPr>
            </w:pPr>
            <w:r w:rsidRPr="00B11E71">
              <w:rPr>
                <w:rFonts w:eastAsia="宋体" w:cs="Times New Roman"/>
                <w:sz w:val="18"/>
                <w:szCs w:val="18"/>
              </w:rPr>
              <w:t>0.0003</w:t>
            </w:r>
          </w:p>
        </w:tc>
        <w:tc>
          <w:tcPr>
            <w:tcW w:w="2268" w:type="dxa"/>
            <w:vAlign w:val="center"/>
          </w:tcPr>
          <w:p w:rsidR="004675B7" w:rsidRPr="00B11E71" w:rsidRDefault="00C1711A">
            <w:pPr>
              <w:jc w:val="right"/>
              <w:rPr>
                <w:rFonts w:eastAsia="宋体" w:cs="Times New Roman"/>
                <w:sz w:val="18"/>
                <w:szCs w:val="18"/>
              </w:rPr>
            </w:pPr>
            <w:r w:rsidRPr="00B11E71">
              <w:rPr>
                <w:rFonts w:eastAsia="宋体" w:cs="Times New Roman"/>
                <w:sz w:val="18"/>
                <w:szCs w:val="18"/>
              </w:rPr>
              <w:t>507,496.80</w:t>
            </w:r>
          </w:p>
        </w:tc>
      </w:tr>
      <w:tr w:rsidR="00AA2164" w:rsidRPr="00B11E71" w:rsidTr="0027505B">
        <w:trPr>
          <w:trHeight w:val="20"/>
        </w:trPr>
        <w:tc>
          <w:tcPr>
            <w:tcW w:w="2654" w:type="dxa"/>
            <w:shd w:val="clear" w:color="auto" w:fill="FFFFFF" w:themeFill="background1"/>
            <w:vAlign w:val="center"/>
          </w:tcPr>
          <w:p w:rsidR="00AA2164" w:rsidRPr="00B11E71" w:rsidRDefault="00AA2164">
            <w:pPr>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8" w:type="dxa"/>
            <w:vAlign w:val="center"/>
          </w:tcPr>
          <w:p w:rsidR="00AA2164" w:rsidRPr="00B11E71" w:rsidRDefault="00AA2164">
            <w:pPr>
              <w:jc w:val="right"/>
              <w:rPr>
                <w:rFonts w:eastAsia="宋体" w:cs="Times New Roman"/>
                <w:color w:val="000000"/>
                <w:sz w:val="18"/>
                <w:szCs w:val="18"/>
              </w:rPr>
            </w:pPr>
          </w:p>
        </w:tc>
      </w:tr>
      <w:tr w:rsidR="00AA2164" w:rsidRPr="00B11E71" w:rsidTr="0027505B">
        <w:trPr>
          <w:trHeight w:val="20"/>
        </w:trPr>
        <w:tc>
          <w:tcPr>
            <w:tcW w:w="2654" w:type="dxa"/>
            <w:shd w:val="clear" w:color="auto" w:fill="D9D9D9" w:themeFill="background2" w:themeFillShade="D9"/>
            <w:vAlign w:val="center"/>
          </w:tcPr>
          <w:p w:rsidR="00AA2164" w:rsidRPr="00B11E71" w:rsidRDefault="00AA2164">
            <w:pPr>
              <w:rPr>
                <w:rFonts w:eastAsia="宋体" w:cs="Times New Roman"/>
                <w:sz w:val="18"/>
                <w:szCs w:val="18"/>
              </w:rPr>
            </w:pPr>
            <w:r w:rsidRPr="00B11E71">
              <w:rPr>
                <w:rFonts w:eastAsia="宋体" w:cs="Times New Roman" w:hint="eastAsia"/>
                <w:sz w:val="18"/>
                <w:szCs w:val="18"/>
              </w:rPr>
              <w:t>应付账款</w:t>
            </w:r>
          </w:p>
        </w:tc>
        <w:tc>
          <w:tcPr>
            <w:tcW w:w="2267" w:type="dxa"/>
            <w:vAlign w:val="center"/>
          </w:tcPr>
          <w:p w:rsidR="00AA2164" w:rsidRPr="00B11E71" w:rsidRDefault="00AA2164">
            <w:pPr>
              <w:jc w:val="right"/>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8" w:type="dxa"/>
            <w:vAlign w:val="center"/>
          </w:tcPr>
          <w:p w:rsidR="00AA2164" w:rsidRPr="00B11E71" w:rsidRDefault="00AA2164">
            <w:pPr>
              <w:jc w:val="right"/>
              <w:rPr>
                <w:rFonts w:eastAsia="宋体" w:cs="Times New Roman"/>
                <w:sz w:val="18"/>
                <w:szCs w:val="18"/>
              </w:rPr>
            </w:pP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rPr>
                <w:rFonts w:eastAsia="宋体" w:cs="Times New Roman"/>
                <w:sz w:val="18"/>
                <w:szCs w:val="18"/>
              </w:rPr>
            </w:pPr>
            <w:r w:rsidRPr="00B11E71">
              <w:rPr>
                <w:rFonts w:eastAsia="宋体" w:cs="Times New Roman" w:hint="eastAsia"/>
                <w:sz w:val="18"/>
                <w:szCs w:val="18"/>
              </w:rPr>
              <w:t>其中</w:t>
            </w:r>
            <w:r w:rsidR="005F14EE" w:rsidRPr="00B11E71">
              <w:rPr>
                <w:rFonts w:eastAsia="宋体" w:cs="Times New Roman" w:hint="eastAsia"/>
                <w:sz w:val="18"/>
                <w:szCs w:val="18"/>
              </w:rPr>
              <w:t>：</w:t>
            </w:r>
            <w:r w:rsidRPr="00B11E71">
              <w:rPr>
                <w:rFonts w:eastAsia="宋体" w:cs="Times New Roman" w:hint="eastAsia"/>
                <w:sz w:val="18"/>
                <w:szCs w:val="18"/>
              </w:rPr>
              <w:t>港币</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75,324,722.9</w:t>
            </w:r>
            <w:r w:rsidR="0093725D" w:rsidRPr="00B11E71">
              <w:rPr>
                <w:rFonts w:eastAsia="宋体" w:cs="Times New Roman"/>
                <w:sz w:val="18"/>
                <w:szCs w:val="18"/>
              </w:rPr>
              <w:t>2</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0.9062</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68,259,263.91</w:t>
            </w: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rPr>
                <w:rFonts w:eastAsia="宋体" w:cs="Times New Roman"/>
                <w:sz w:val="18"/>
                <w:szCs w:val="18"/>
              </w:rPr>
            </w:pPr>
            <w:r w:rsidRPr="00B11E71">
              <w:rPr>
                <w:rFonts w:eastAsia="宋体" w:cs="Times New Roman"/>
                <w:sz w:val="18"/>
                <w:szCs w:val="18"/>
              </w:rPr>
              <w:t xml:space="preserve">            </w:t>
            </w:r>
            <w:r w:rsidRPr="00B11E71">
              <w:rPr>
                <w:rFonts w:eastAsia="宋体" w:cs="Times New Roman" w:hint="eastAsia"/>
                <w:sz w:val="18"/>
                <w:szCs w:val="18"/>
              </w:rPr>
              <w:t>美元</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2,239,607.26</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7.0827</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15,862,466.36</w:t>
            </w: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rPr>
                <w:rFonts w:eastAsia="宋体" w:cs="Times New Roman"/>
                <w:sz w:val="18"/>
                <w:szCs w:val="18"/>
              </w:rPr>
            </w:pPr>
            <w:r w:rsidRPr="00B11E71">
              <w:rPr>
                <w:rFonts w:eastAsia="宋体" w:cs="Times New Roman"/>
                <w:sz w:val="18"/>
                <w:szCs w:val="18"/>
              </w:rPr>
              <w:t xml:space="preserve">            </w:t>
            </w:r>
            <w:r w:rsidRPr="00B11E71">
              <w:rPr>
                <w:rFonts w:eastAsia="宋体" w:cs="Times New Roman" w:hint="eastAsia"/>
                <w:sz w:val="18"/>
                <w:szCs w:val="18"/>
              </w:rPr>
              <w:t>日元</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10,202,641.43</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0.0502</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512,172.60</w:t>
            </w: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ind w:leftChars="265" w:left="556"/>
              <w:rPr>
                <w:rFonts w:eastAsia="宋体" w:cs="Times New Roman"/>
                <w:sz w:val="18"/>
                <w:szCs w:val="18"/>
              </w:rPr>
            </w:pPr>
            <w:r w:rsidRPr="00B11E71">
              <w:rPr>
                <w:rFonts w:eastAsia="宋体" w:cs="Times New Roman" w:hint="eastAsia"/>
                <w:sz w:val="18"/>
                <w:szCs w:val="18"/>
              </w:rPr>
              <w:t>欧元</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62,413.93</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7.8591</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490,517.34</w:t>
            </w: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ind w:leftChars="265" w:left="556"/>
              <w:rPr>
                <w:rFonts w:eastAsia="宋体" w:cs="Times New Roman"/>
                <w:sz w:val="18"/>
                <w:szCs w:val="18"/>
              </w:rPr>
            </w:pPr>
            <w:r w:rsidRPr="00B11E71">
              <w:rPr>
                <w:rFonts w:eastAsia="宋体" w:cs="Times New Roman" w:hint="eastAsia"/>
                <w:sz w:val="18"/>
                <w:szCs w:val="18"/>
              </w:rPr>
              <w:t>越南盾</w:t>
            </w:r>
          </w:p>
        </w:tc>
        <w:tc>
          <w:tcPr>
            <w:tcW w:w="2267"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851,132,605.00</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0.0003</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248,894.97</w:t>
            </w: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ind w:leftChars="265" w:left="556"/>
              <w:rPr>
                <w:rFonts w:eastAsia="宋体" w:cs="Times New Roman"/>
                <w:sz w:val="18"/>
                <w:szCs w:val="18"/>
              </w:rPr>
            </w:pPr>
            <w:r w:rsidRPr="00B11E71">
              <w:rPr>
                <w:rFonts w:eastAsia="宋体" w:cs="Times New Roman" w:hint="eastAsia"/>
                <w:sz w:val="18"/>
                <w:szCs w:val="18"/>
              </w:rPr>
              <w:t>加拿大元</w:t>
            </w:r>
            <w:r w:rsidRPr="00B11E71">
              <w:rPr>
                <w:rFonts w:eastAsia="宋体" w:cs="Times New Roman"/>
                <w:sz w:val="18"/>
                <w:szCs w:val="18"/>
              </w:rPr>
              <w:t xml:space="preserve"> </w:t>
            </w:r>
          </w:p>
        </w:tc>
        <w:tc>
          <w:tcPr>
            <w:tcW w:w="2267"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44,762.68</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5.2483</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234,927.07</w:t>
            </w: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ind w:leftChars="265" w:left="556"/>
              <w:rPr>
                <w:rFonts w:eastAsia="宋体" w:cs="Times New Roman"/>
                <w:sz w:val="18"/>
                <w:szCs w:val="18"/>
              </w:rPr>
            </w:pPr>
            <w:r w:rsidRPr="00B11E71">
              <w:rPr>
                <w:rFonts w:eastAsia="宋体" w:cs="Times New Roman" w:hint="eastAsia"/>
                <w:sz w:val="18"/>
                <w:szCs w:val="18"/>
              </w:rPr>
              <w:t>泰铢</w:t>
            </w:r>
          </w:p>
        </w:tc>
        <w:tc>
          <w:tcPr>
            <w:tcW w:w="2267"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646,410.70</w:t>
            </w:r>
          </w:p>
        </w:tc>
        <w:tc>
          <w:tcPr>
            <w:tcW w:w="2267"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0.2074 </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134,039.72</w:t>
            </w: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ind w:leftChars="265" w:left="556"/>
              <w:rPr>
                <w:rFonts w:eastAsia="宋体" w:cs="Times New Roman"/>
                <w:sz w:val="18"/>
                <w:szCs w:val="18"/>
              </w:rPr>
            </w:pPr>
            <w:r w:rsidRPr="00B11E71">
              <w:rPr>
                <w:rFonts w:eastAsia="宋体" w:cs="Times New Roman" w:hint="eastAsia"/>
                <w:sz w:val="18"/>
                <w:szCs w:val="18"/>
              </w:rPr>
              <w:t>新加坡元</w:t>
            </w:r>
          </w:p>
        </w:tc>
        <w:tc>
          <w:tcPr>
            <w:tcW w:w="2267"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2,200.00</w:t>
            </w:r>
          </w:p>
        </w:tc>
        <w:tc>
          <w:tcPr>
            <w:tcW w:w="2267"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5.3772 </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11,829.84</w:t>
            </w: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ind w:leftChars="265" w:left="556"/>
              <w:rPr>
                <w:rFonts w:eastAsia="宋体" w:cs="Times New Roman"/>
                <w:sz w:val="18"/>
                <w:szCs w:val="18"/>
              </w:rPr>
            </w:pPr>
            <w:r w:rsidRPr="00B11E71">
              <w:rPr>
                <w:rFonts w:eastAsia="宋体" w:cs="Times New Roman" w:hint="eastAsia"/>
                <w:sz w:val="18"/>
                <w:szCs w:val="18"/>
              </w:rPr>
              <w:t>英镑</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752.67</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9.0414</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6,805.20</w:t>
            </w:r>
          </w:p>
        </w:tc>
      </w:tr>
      <w:tr w:rsidR="00F65DEF" w:rsidRPr="00B11E71" w:rsidTr="0027505B">
        <w:trPr>
          <w:trHeight w:val="20"/>
        </w:trPr>
        <w:tc>
          <w:tcPr>
            <w:tcW w:w="2654" w:type="dxa"/>
            <w:shd w:val="clear" w:color="auto" w:fill="FFFFFF" w:themeFill="background1"/>
            <w:vAlign w:val="center"/>
          </w:tcPr>
          <w:p w:rsidR="00F65DEF" w:rsidRPr="00B11E71" w:rsidRDefault="00F65DEF" w:rsidP="00F65DEF">
            <w:pPr>
              <w:ind w:leftChars="265" w:left="556"/>
              <w:rPr>
                <w:rFonts w:eastAsia="宋体" w:cs="Times New Roman"/>
                <w:sz w:val="18"/>
                <w:szCs w:val="18"/>
              </w:rPr>
            </w:pPr>
            <w:r w:rsidRPr="00B11E71">
              <w:rPr>
                <w:rFonts w:eastAsia="宋体" w:cs="Times New Roman" w:hint="eastAsia"/>
                <w:sz w:val="18"/>
                <w:szCs w:val="18"/>
              </w:rPr>
              <w:t>澳元</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140.70</w:t>
            </w:r>
          </w:p>
        </w:tc>
        <w:tc>
          <w:tcPr>
            <w:tcW w:w="2267" w:type="dxa"/>
            <w:vAlign w:val="center"/>
          </w:tcPr>
          <w:p w:rsidR="00F65DEF" w:rsidRPr="00B11E71" w:rsidRDefault="00E56232" w:rsidP="00F65DEF">
            <w:pPr>
              <w:jc w:val="right"/>
              <w:rPr>
                <w:rFonts w:eastAsia="宋体" w:cs="Times New Roman"/>
                <w:sz w:val="18"/>
                <w:szCs w:val="18"/>
              </w:rPr>
            </w:pPr>
            <w:r w:rsidRPr="00B11E71">
              <w:rPr>
                <w:rFonts w:eastAsia="宋体" w:cs="Times New Roman"/>
                <w:sz w:val="18"/>
                <w:szCs w:val="18"/>
              </w:rPr>
              <w:t>4.8484</w:t>
            </w:r>
          </w:p>
        </w:tc>
        <w:tc>
          <w:tcPr>
            <w:tcW w:w="2268" w:type="dxa"/>
            <w:vAlign w:val="center"/>
          </w:tcPr>
          <w:p w:rsidR="00F65DEF" w:rsidRPr="00B11E71" w:rsidRDefault="00F65DEF" w:rsidP="00F65DEF">
            <w:pPr>
              <w:jc w:val="right"/>
              <w:rPr>
                <w:rFonts w:eastAsia="宋体" w:cs="Times New Roman"/>
                <w:sz w:val="18"/>
                <w:szCs w:val="18"/>
              </w:rPr>
            </w:pPr>
            <w:r w:rsidRPr="00B11E71">
              <w:rPr>
                <w:rFonts w:eastAsia="宋体" w:cs="Times New Roman"/>
                <w:sz w:val="18"/>
                <w:szCs w:val="18"/>
              </w:rPr>
              <w:t xml:space="preserve"> 682.16</w:t>
            </w:r>
          </w:p>
        </w:tc>
      </w:tr>
      <w:tr w:rsidR="004675B7" w:rsidRPr="00B11E71" w:rsidTr="0027505B">
        <w:trPr>
          <w:trHeight w:val="20"/>
        </w:trPr>
        <w:tc>
          <w:tcPr>
            <w:tcW w:w="2654" w:type="dxa"/>
            <w:shd w:val="clear" w:color="auto" w:fill="FFFFFF" w:themeFill="background1"/>
            <w:vAlign w:val="center"/>
          </w:tcPr>
          <w:p w:rsidR="004675B7" w:rsidRPr="00B11E71" w:rsidRDefault="004675B7">
            <w:pPr>
              <w:rPr>
                <w:rFonts w:eastAsia="宋体" w:cs="Times New Roman"/>
                <w:sz w:val="18"/>
                <w:szCs w:val="18"/>
              </w:rPr>
            </w:pPr>
          </w:p>
        </w:tc>
        <w:tc>
          <w:tcPr>
            <w:tcW w:w="2267" w:type="dxa"/>
            <w:vAlign w:val="center"/>
          </w:tcPr>
          <w:p w:rsidR="004675B7" w:rsidRPr="00B11E71" w:rsidRDefault="004675B7">
            <w:pPr>
              <w:jc w:val="right"/>
              <w:rPr>
                <w:rFonts w:eastAsia="宋体" w:cs="Times New Roman"/>
                <w:sz w:val="18"/>
                <w:szCs w:val="18"/>
              </w:rPr>
            </w:pPr>
          </w:p>
        </w:tc>
        <w:tc>
          <w:tcPr>
            <w:tcW w:w="2267" w:type="dxa"/>
            <w:vAlign w:val="center"/>
          </w:tcPr>
          <w:p w:rsidR="004675B7" w:rsidRPr="00B11E71" w:rsidRDefault="004675B7">
            <w:pPr>
              <w:jc w:val="right"/>
              <w:rPr>
                <w:rFonts w:eastAsia="宋体" w:cs="Times New Roman"/>
                <w:color w:val="000000"/>
                <w:sz w:val="18"/>
                <w:szCs w:val="18"/>
              </w:rPr>
            </w:pPr>
          </w:p>
        </w:tc>
        <w:tc>
          <w:tcPr>
            <w:tcW w:w="2268" w:type="dxa"/>
            <w:vAlign w:val="center"/>
          </w:tcPr>
          <w:p w:rsidR="004675B7" w:rsidRPr="00B11E71" w:rsidRDefault="004675B7">
            <w:pPr>
              <w:jc w:val="right"/>
              <w:rPr>
                <w:rFonts w:eastAsia="宋体" w:cs="Times New Roman"/>
                <w:sz w:val="18"/>
                <w:szCs w:val="18"/>
              </w:rPr>
            </w:pPr>
          </w:p>
        </w:tc>
      </w:tr>
      <w:tr w:rsidR="00AA2164" w:rsidRPr="00B11E71" w:rsidTr="0027505B">
        <w:trPr>
          <w:trHeight w:val="20"/>
        </w:trPr>
        <w:tc>
          <w:tcPr>
            <w:tcW w:w="2654" w:type="dxa"/>
            <w:shd w:val="clear" w:color="auto" w:fill="D9D9D9" w:themeFill="background2" w:themeFillShade="D9"/>
            <w:vAlign w:val="center"/>
          </w:tcPr>
          <w:p w:rsidR="00AA2164" w:rsidRPr="00B11E71" w:rsidRDefault="00AA2164">
            <w:pPr>
              <w:rPr>
                <w:rFonts w:eastAsia="宋体" w:cs="Times New Roman"/>
                <w:sz w:val="18"/>
                <w:szCs w:val="18"/>
              </w:rPr>
            </w:pPr>
            <w:r w:rsidRPr="00B11E71">
              <w:rPr>
                <w:rFonts w:eastAsia="宋体" w:cs="Times New Roman" w:hint="eastAsia"/>
                <w:sz w:val="18"/>
                <w:szCs w:val="18"/>
              </w:rPr>
              <w:t>其他应付款</w:t>
            </w:r>
          </w:p>
        </w:tc>
        <w:tc>
          <w:tcPr>
            <w:tcW w:w="2267" w:type="dxa"/>
            <w:vAlign w:val="center"/>
          </w:tcPr>
          <w:p w:rsidR="00AA2164" w:rsidRPr="00B11E71" w:rsidRDefault="00AA2164">
            <w:pPr>
              <w:jc w:val="right"/>
              <w:rPr>
                <w:rFonts w:eastAsia="宋体" w:cs="Times New Roman"/>
                <w:sz w:val="18"/>
                <w:szCs w:val="18"/>
              </w:rPr>
            </w:pPr>
          </w:p>
        </w:tc>
        <w:tc>
          <w:tcPr>
            <w:tcW w:w="2267" w:type="dxa"/>
            <w:vAlign w:val="center"/>
          </w:tcPr>
          <w:p w:rsidR="00AA2164" w:rsidRPr="00B11E71" w:rsidRDefault="00AA2164">
            <w:pPr>
              <w:jc w:val="right"/>
              <w:rPr>
                <w:rFonts w:eastAsia="宋体" w:cs="Times New Roman"/>
                <w:sz w:val="18"/>
                <w:szCs w:val="18"/>
              </w:rPr>
            </w:pPr>
          </w:p>
        </w:tc>
        <w:tc>
          <w:tcPr>
            <w:tcW w:w="2268" w:type="dxa"/>
            <w:vAlign w:val="center"/>
          </w:tcPr>
          <w:p w:rsidR="00AA2164" w:rsidRPr="00B11E71" w:rsidRDefault="00AA2164">
            <w:pPr>
              <w:jc w:val="right"/>
              <w:rPr>
                <w:rFonts w:eastAsia="宋体" w:cs="Times New Roman"/>
                <w:sz w:val="18"/>
                <w:szCs w:val="18"/>
              </w:rPr>
            </w:pPr>
          </w:p>
        </w:tc>
      </w:tr>
      <w:tr w:rsidR="009545F1" w:rsidRPr="00B11E71" w:rsidTr="0027505B">
        <w:trPr>
          <w:trHeight w:val="20"/>
        </w:trPr>
        <w:tc>
          <w:tcPr>
            <w:tcW w:w="2654" w:type="dxa"/>
            <w:shd w:val="clear" w:color="auto" w:fill="FFFFFF" w:themeFill="background1"/>
            <w:vAlign w:val="center"/>
          </w:tcPr>
          <w:p w:rsidR="009545F1" w:rsidRPr="00B11E71" w:rsidRDefault="009545F1" w:rsidP="009545F1">
            <w:pPr>
              <w:rPr>
                <w:rFonts w:eastAsia="宋体" w:cs="Times New Roman"/>
                <w:sz w:val="18"/>
                <w:szCs w:val="18"/>
              </w:rPr>
            </w:pPr>
            <w:r w:rsidRPr="00B11E71">
              <w:rPr>
                <w:rFonts w:eastAsia="宋体" w:cs="Times New Roman" w:hint="eastAsia"/>
                <w:sz w:val="18"/>
                <w:szCs w:val="18"/>
              </w:rPr>
              <w:t>其中</w:t>
            </w:r>
            <w:r w:rsidR="005F14EE" w:rsidRPr="00B11E71">
              <w:rPr>
                <w:rFonts w:eastAsia="宋体" w:cs="Times New Roman" w:hint="eastAsia"/>
                <w:sz w:val="18"/>
                <w:szCs w:val="18"/>
              </w:rPr>
              <w:t>：</w:t>
            </w:r>
            <w:r w:rsidRPr="00B11E71">
              <w:rPr>
                <w:rFonts w:eastAsia="宋体" w:cs="Times New Roman" w:hint="eastAsia"/>
                <w:sz w:val="18"/>
                <w:szCs w:val="18"/>
              </w:rPr>
              <w:t>美元</w:t>
            </w:r>
          </w:p>
        </w:tc>
        <w:tc>
          <w:tcPr>
            <w:tcW w:w="2267" w:type="dxa"/>
            <w:vAlign w:val="center"/>
          </w:tcPr>
          <w:p w:rsidR="009545F1" w:rsidRPr="00B11E71" w:rsidRDefault="00E56232" w:rsidP="009545F1">
            <w:pPr>
              <w:jc w:val="right"/>
              <w:rPr>
                <w:rFonts w:eastAsia="宋体" w:cs="Times New Roman"/>
                <w:sz w:val="18"/>
                <w:szCs w:val="18"/>
              </w:rPr>
            </w:pPr>
            <w:r w:rsidRPr="00B11E71">
              <w:rPr>
                <w:rFonts w:eastAsia="宋体" w:cs="Times New Roman"/>
                <w:sz w:val="18"/>
                <w:szCs w:val="18"/>
              </w:rPr>
              <w:t>5,621,945.73</w:t>
            </w:r>
          </w:p>
        </w:tc>
        <w:tc>
          <w:tcPr>
            <w:tcW w:w="2267" w:type="dxa"/>
            <w:vAlign w:val="center"/>
          </w:tcPr>
          <w:p w:rsidR="009545F1" w:rsidRPr="00B11E71" w:rsidRDefault="00E56232" w:rsidP="009545F1">
            <w:pPr>
              <w:jc w:val="right"/>
              <w:rPr>
                <w:rFonts w:eastAsia="宋体" w:cs="Times New Roman"/>
                <w:sz w:val="18"/>
                <w:szCs w:val="18"/>
              </w:rPr>
            </w:pPr>
            <w:r w:rsidRPr="00B11E71">
              <w:rPr>
                <w:rFonts w:eastAsia="宋体" w:cs="Times New Roman"/>
                <w:sz w:val="18"/>
                <w:szCs w:val="18"/>
              </w:rPr>
              <w:t>7.0827</w:t>
            </w:r>
          </w:p>
        </w:tc>
        <w:tc>
          <w:tcPr>
            <w:tcW w:w="2268" w:type="dxa"/>
            <w:vAlign w:val="center"/>
          </w:tcPr>
          <w:p w:rsidR="009545F1" w:rsidRPr="00B11E71" w:rsidRDefault="000059C5" w:rsidP="009545F1">
            <w:pPr>
              <w:jc w:val="right"/>
              <w:rPr>
                <w:rFonts w:eastAsia="宋体" w:cs="Times New Roman"/>
                <w:sz w:val="18"/>
                <w:szCs w:val="18"/>
              </w:rPr>
            </w:pPr>
            <w:r w:rsidRPr="00B11E71">
              <w:rPr>
                <w:rFonts w:eastAsia="宋体" w:cs="Times New Roman"/>
                <w:sz w:val="18"/>
                <w:szCs w:val="18"/>
              </w:rPr>
              <w:t>39,818,554.99</w:t>
            </w:r>
          </w:p>
        </w:tc>
      </w:tr>
      <w:tr w:rsidR="009545F1" w:rsidRPr="00B11E71" w:rsidTr="0027505B">
        <w:trPr>
          <w:trHeight w:val="20"/>
        </w:trPr>
        <w:tc>
          <w:tcPr>
            <w:tcW w:w="2654" w:type="dxa"/>
            <w:shd w:val="clear" w:color="auto" w:fill="FFFFFF" w:themeFill="background1"/>
            <w:vAlign w:val="center"/>
          </w:tcPr>
          <w:p w:rsidR="009545F1" w:rsidRPr="00B11E71" w:rsidRDefault="009545F1" w:rsidP="009545F1">
            <w:pPr>
              <w:ind w:leftChars="265" w:left="556"/>
              <w:rPr>
                <w:rFonts w:eastAsia="宋体" w:cs="Times New Roman"/>
                <w:sz w:val="18"/>
                <w:szCs w:val="18"/>
              </w:rPr>
            </w:pPr>
            <w:r w:rsidRPr="00B11E71">
              <w:rPr>
                <w:rFonts w:eastAsia="宋体" w:cs="Times New Roman" w:hint="eastAsia"/>
                <w:sz w:val="18"/>
                <w:szCs w:val="18"/>
              </w:rPr>
              <w:t>越南盾</w:t>
            </w:r>
          </w:p>
        </w:tc>
        <w:tc>
          <w:tcPr>
            <w:tcW w:w="2267" w:type="dxa"/>
            <w:vAlign w:val="center"/>
          </w:tcPr>
          <w:p w:rsidR="009545F1" w:rsidRPr="00B11E71" w:rsidRDefault="009545F1" w:rsidP="009545F1">
            <w:pPr>
              <w:jc w:val="right"/>
              <w:rPr>
                <w:rFonts w:eastAsia="宋体" w:cs="Times New Roman"/>
                <w:sz w:val="18"/>
                <w:szCs w:val="18"/>
              </w:rPr>
            </w:pPr>
            <w:r w:rsidRPr="00B11E71">
              <w:rPr>
                <w:rFonts w:eastAsia="宋体" w:cs="Times New Roman"/>
                <w:sz w:val="18"/>
                <w:szCs w:val="18"/>
              </w:rPr>
              <w:t xml:space="preserve"> 11,381,918,668.00</w:t>
            </w:r>
          </w:p>
        </w:tc>
        <w:tc>
          <w:tcPr>
            <w:tcW w:w="2267" w:type="dxa"/>
            <w:vAlign w:val="center"/>
          </w:tcPr>
          <w:p w:rsidR="009545F1" w:rsidRPr="00B11E71" w:rsidRDefault="009545F1" w:rsidP="009545F1">
            <w:pPr>
              <w:jc w:val="right"/>
              <w:rPr>
                <w:rFonts w:eastAsia="宋体" w:cs="Times New Roman"/>
                <w:sz w:val="18"/>
                <w:szCs w:val="18"/>
              </w:rPr>
            </w:pPr>
            <w:r w:rsidRPr="00B11E71">
              <w:rPr>
                <w:rFonts w:eastAsia="宋体" w:cs="Times New Roman"/>
                <w:sz w:val="18"/>
                <w:szCs w:val="18"/>
              </w:rPr>
              <w:t xml:space="preserve"> 0.0003 </w:t>
            </w:r>
          </w:p>
        </w:tc>
        <w:tc>
          <w:tcPr>
            <w:tcW w:w="2268" w:type="dxa"/>
            <w:vAlign w:val="center"/>
          </w:tcPr>
          <w:p w:rsidR="009545F1" w:rsidRPr="00B11E71" w:rsidRDefault="000059C5" w:rsidP="009545F1">
            <w:pPr>
              <w:jc w:val="right"/>
              <w:rPr>
                <w:rFonts w:eastAsia="宋体" w:cs="Times New Roman"/>
                <w:sz w:val="18"/>
                <w:szCs w:val="18"/>
              </w:rPr>
            </w:pPr>
            <w:r w:rsidRPr="00B11E71">
              <w:rPr>
                <w:rFonts w:eastAsia="宋体" w:cs="Times New Roman"/>
                <w:sz w:val="18"/>
                <w:szCs w:val="18"/>
              </w:rPr>
              <w:t>3,329,666.48</w:t>
            </w:r>
          </w:p>
        </w:tc>
      </w:tr>
      <w:tr w:rsidR="009545F1" w:rsidRPr="00B11E71" w:rsidTr="0027505B">
        <w:trPr>
          <w:trHeight w:val="20"/>
        </w:trPr>
        <w:tc>
          <w:tcPr>
            <w:tcW w:w="2654" w:type="dxa"/>
            <w:shd w:val="clear" w:color="auto" w:fill="FFFFFF" w:themeFill="background1"/>
            <w:vAlign w:val="center"/>
          </w:tcPr>
          <w:p w:rsidR="009545F1" w:rsidRPr="00B11E71" w:rsidRDefault="009545F1" w:rsidP="009545F1">
            <w:pPr>
              <w:ind w:leftChars="265" w:left="556"/>
              <w:rPr>
                <w:rFonts w:eastAsia="宋体" w:cs="Times New Roman"/>
                <w:sz w:val="18"/>
                <w:szCs w:val="18"/>
              </w:rPr>
            </w:pPr>
            <w:r w:rsidRPr="00B11E71">
              <w:rPr>
                <w:rFonts w:eastAsia="宋体" w:cs="Times New Roman" w:hint="eastAsia"/>
                <w:sz w:val="18"/>
                <w:szCs w:val="18"/>
              </w:rPr>
              <w:t>港币</w:t>
            </w:r>
          </w:p>
        </w:tc>
        <w:tc>
          <w:tcPr>
            <w:tcW w:w="2267" w:type="dxa"/>
            <w:vAlign w:val="center"/>
          </w:tcPr>
          <w:p w:rsidR="009545F1" w:rsidRPr="00B11E71" w:rsidRDefault="009545F1" w:rsidP="009545F1">
            <w:pPr>
              <w:jc w:val="right"/>
              <w:rPr>
                <w:rFonts w:eastAsia="宋体" w:cs="Times New Roman"/>
                <w:sz w:val="18"/>
                <w:szCs w:val="18"/>
              </w:rPr>
            </w:pPr>
            <w:r w:rsidRPr="00B11E71">
              <w:rPr>
                <w:rFonts w:eastAsia="宋体" w:cs="Times New Roman"/>
                <w:sz w:val="18"/>
                <w:szCs w:val="18"/>
              </w:rPr>
              <w:t xml:space="preserve"> 312,488.23</w:t>
            </w:r>
          </w:p>
        </w:tc>
        <w:tc>
          <w:tcPr>
            <w:tcW w:w="2267" w:type="dxa"/>
            <w:vAlign w:val="center"/>
          </w:tcPr>
          <w:p w:rsidR="009545F1" w:rsidRPr="00B11E71" w:rsidRDefault="009545F1" w:rsidP="009545F1">
            <w:pPr>
              <w:jc w:val="right"/>
              <w:rPr>
                <w:rFonts w:eastAsia="宋体" w:cs="Times New Roman"/>
                <w:sz w:val="18"/>
                <w:szCs w:val="18"/>
              </w:rPr>
            </w:pPr>
            <w:r w:rsidRPr="00B11E71">
              <w:rPr>
                <w:rFonts w:eastAsia="宋体" w:cs="Times New Roman"/>
                <w:sz w:val="18"/>
                <w:szCs w:val="18"/>
              </w:rPr>
              <w:t xml:space="preserve"> 0.9062 </w:t>
            </w:r>
          </w:p>
        </w:tc>
        <w:tc>
          <w:tcPr>
            <w:tcW w:w="2268" w:type="dxa"/>
            <w:vAlign w:val="center"/>
          </w:tcPr>
          <w:p w:rsidR="009545F1" w:rsidRPr="00B11E71" w:rsidRDefault="000059C5" w:rsidP="009545F1">
            <w:pPr>
              <w:jc w:val="right"/>
              <w:rPr>
                <w:rFonts w:eastAsia="宋体" w:cs="Times New Roman"/>
                <w:sz w:val="18"/>
                <w:szCs w:val="18"/>
              </w:rPr>
            </w:pPr>
            <w:r w:rsidRPr="00B11E71">
              <w:rPr>
                <w:rFonts w:eastAsia="宋体" w:cs="Times New Roman"/>
                <w:sz w:val="18"/>
                <w:szCs w:val="18"/>
              </w:rPr>
              <w:t>283,183.09</w:t>
            </w:r>
          </w:p>
        </w:tc>
      </w:tr>
      <w:tr w:rsidR="009545F1" w:rsidRPr="00B11E71" w:rsidTr="0027505B">
        <w:trPr>
          <w:trHeight w:val="20"/>
        </w:trPr>
        <w:tc>
          <w:tcPr>
            <w:tcW w:w="2654" w:type="dxa"/>
            <w:shd w:val="clear" w:color="auto" w:fill="FFFFFF" w:themeFill="background1"/>
            <w:vAlign w:val="center"/>
          </w:tcPr>
          <w:p w:rsidR="009545F1" w:rsidRPr="00B11E71" w:rsidRDefault="009545F1" w:rsidP="009545F1">
            <w:pPr>
              <w:ind w:leftChars="265" w:left="556"/>
              <w:rPr>
                <w:rFonts w:eastAsia="宋体" w:cs="Times New Roman"/>
                <w:sz w:val="18"/>
                <w:szCs w:val="18"/>
              </w:rPr>
            </w:pPr>
            <w:r w:rsidRPr="00B11E71">
              <w:rPr>
                <w:rFonts w:eastAsia="宋体" w:cs="Times New Roman" w:hint="eastAsia"/>
                <w:sz w:val="18"/>
                <w:szCs w:val="18"/>
              </w:rPr>
              <w:t>欧元</w:t>
            </w:r>
          </w:p>
        </w:tc>
        <w:tc>
          <w:tcPr>
            <w:tcW w:w="2267" w:type="dxa"/>
            <w:vAlign w:val="center"/>
          </w:tcPr>
          <w:p w:rsidR="009545F1" w:rsidRPr="00B11E71" w:rsidRDefault="00E56232" w:rsidP="009545F1">
            <w:pPr>
              <w:jc w:val="right"/>
              <w:rPr>
                <w:rFonts w:eastAsia="宋体" w:cs="Times New Roman"/>
                <w:sz w:val="18"/>
                <w:szCs w:val="18"/>
              </w:rPr>
            </w:pPr>
            <w:r w:rsidRPr="00B11E71">
              <w:rPr>
                <w:rFonts w:eastAsia="宋体" w:cs="Times New Roman"/>
                <w:sz w:val="18"/>
                <w:szCs w:val="18"/>
              </w:rPr>
              <w:t>5,654.35</w:t>
            </w:r>
          </w:p>
        </w:tc>
        <w:tc>
          <w:tcPr>
            <w:tcW w:w="2267" w:type="dxa"/>
            <w:vAlign w:val="center"/>
          </w:tcPr>
          <w:p w:rsidR="009545F1" w:rsidRPr="00B11E71" w:rsidRDefault="00E56232" w:rsidP="009545F1">
            <w:pPr>
              <w:jc w:val="right"/>
              <w:rPr>
                <w:rFonts w:eastAsia="宋体" w:cs="Times New Roman"/>
                <w:sz w:val="18"/>
                <w:szCs w:val="18"/>
              </w:rPr>
            </w:pPr>
            <w:r w:rsidRPr="00B11E71">
              <w:rPr>
                <w:rFonts w:eastAsia="宋体" w:cs="Times New Roman"/>
                <w:sz w:val="18"/>
                <w:szCs w:val="18"/>
              </w:rPr>
              <w:t>7.8591</w:t>
            </w:r>
          </w:p>
        </w:tc>
        <w:tc>
          <w:tcPr>
            <w:tcW w:w="2268" w:type="dxa"/>
            <w:vAlign w:val="center"/>
          </w:tcPr>
          <w:p w:rsidR="009545F1" w:rsidRPr="00B11E71" w:rsidRDefault="000059C5" w:rsidP="009545F1">
            <w:pPr>
              <w:jc w:val="right"/>
              <w:rPr>
                <w:rFonts w:eastAsia="宋体" w:cs="Times New Roman"/>
                <w:sz w:val="18"/>
                <w:szCs w:val="18"/>
              </w:rPr>
            </w:pPr>
            <w:r w:rsidRPr="00B11E71">
              <w:rPr>
                <w:rFonts w:eastAsia="宋体" w:cs="Times New Roman"/>
                <w:sz w:val="18"/>
                <w:szCs w:val="18"/>
              </w:rPr>
              <w:t>44,438.14</w:t>
            </w:r>
          </w:p>
        </w:tc>
      </w:tr>
      <w:tr w:rsidR="009545F1" w:rsidRPr="00B11E71" w:rsidTr="0027505B">
        <w:trPr>
          <w:trHeight w:val="20"/>
        </w:trPr>
        <w:tc>
          <w:tcPr>
            <w:tcW w:w="2654" w:type="dxa"/>
            <w:shd w:val="clear" w:color="auto" w:fill="FFFFFF" w:themeFill="background1"/>
            <w:vAlign w:val="center"/>
          </w:tcPr>
          <w:p w:rsidR="009545F1" w:rsidRPr="00B11E71" w:rsidRDefault="009545F1" w:rsidP="009545F1">
            <w:pPr>
              <w:ind w:leftChars="265" w:left="556"/>
              <w:rPr>
                <w:rFonts w:eastAsia="宋体" w:cs="Times New Roman"/>
                <w:sz w:val="18"/>
                <w:szCs w:val="18"/>
              </w:rPr>
            </w:pPr>
            <w:r w:rsidRPr="00B11E71">
              <w:rPr>
                <w:rFonts w:eastAsia="宋体" w:cs="Times New Roman" w:hint="eastAsia"/>
                <w:sz w:val="18"/>
                <w:szCs w:val="18"/>
              </w:rPr>
              <w:t>英镑</w:t>
            </w:r>
          </w:p>
        </w:tc>
        <w:tc>
          <w:tcPr>
            <w:tcW w:w="2267" w:type="dxa"/>
            <w:vAlign w:val="center"/>
          </w:tcPr>
          <w:p w:rsidR="009545F1" w:rsidRPr="00B11E71" w:rsidRDefault="00E56232" w:rsidP="009545F1">
            <w:pPr>
              <w:jc w:val="right"/>
              <w:rPr>
                <w:rFonts w:eastAsia="宋体" w:cs="Times New Roman"/>
                <w:sz w:val="18"/>
                <w:szCs w:val="18"/>
              </w:rPr>
            </w:pPr>
            <w:r w:rsidRPr="00B11E71">
              <w:rPr>
                <w:rFonts w:eastAsia="宋体" w:cs="Times New Roman"/>
                <w:sz w:val="18"/>
                <w:szCs w:val="18"/>
              </w:rPr>
              <w:t>501.79</w:t>
            </w:r>
          </w:p>
        </w:tc>
        <w:tc>
          <w:tcPr>
            <w:tcW w:w="2267" w:type="dxa"/>
            <w:vAlign w:val="center"/>
          </w:tcPr>
          <w:p w:rsidR="009545F1" w:rsidRPr="00B11E71" w:rsidRDefault="00E56232" w:rsidP="009545F1">
            <w:pPr>
              <w:jc w:val="right"/>
              <w:rPr>
                <w:rFonts w:eastAsia="宋体" w:cs="Times New Roman"/>
                <w:sz w:val="18"/>
                <w:szCs w:val="18"/>
              </w:rPr>
            </w:pPr>
            <w:r w:rsidRPr="00B11E71">
              <w:rPr>
                <w:rFonts w:eastAsia="宋体" w:cs="Times New Roman"/>
                <w:sz w:val="18"/>
                <w:szCs w:val="18"/>
              </w:rPr>
              <w:t>9.0414</w:t>
            </w:r>
          </w:p>
        </w:tc>
        <w:tc>
          <w:tcPr>
            <w:tcW w:w="2268" w:type="dxa"/>
            <w:vAlign w:val="center"/>
          </w:tcPr>
          <w:p w:rsidR="009545F1" w:rsidRPr="00B11E71" w:rsidRDefault="000059C5" w:rsidP="000059C5">
            <w:pPr>
              <w:jc w:val="right"/>
              <w:rPr>
                <w:rFonts w:eastAsia="宋体" w:cs="Times New Roman"/>
                <w:sz w:val="18"/>
                <w:szCs w:val="18"/>
              </w:rPr>
            </w:pPr>
            <w:r w:rsidRPr="00B11E71">
              <w:rPr>
                <w:rFonts w:eastAsia="宋体" w:cs="Times New Roman"/>
                <w:sz w:val="18"/>
                <w:szCs w:val="18"/>
              </w:rPr>
              <w:t>4,536.89</w:t>
            </w:r>
          </w:p>
        </w:tc>
      </w:tr>
      <w:tr w:rsidR="009545F1" w:rsidRPr="00B11E71" w:rsidTr="0027505B">
        <w:trPr>
          <w:trHeight w:val="20"/>
        </w:trPr>
        <w:tc>
          <w:tcPr>
            <w:tcW w:w="2654" w:type="dxa"/>
            <w:shd w:val="clear" w:color="auto" w:fill="FFFFFF" w:themeFill="background1"/>
            <w:vAlign w:val="center"/>
          </w:tcPr>
          <w:p w:rsidR="009545F1" w:rsidRPr="00B11E71" w:rsidRDefault="009545F1" w:rsidP="009545F1">
            <w:pPr>
              <w:ind w:leftChars="265" w:left="556"/>
              <w:rPr>
                <w:rFonts w:eastAsia="宋体" w:cs="Times New Roman"/>
                <w:sz w:val="18"/>
                <w:szCs w:val="18"/>
              </w:rPr>
            </w:pPr>
            <w:r w:rsidRPr="00B11E71">
              <w:rPr>
                <w:rFonts w:eastAsia="宋体" w:cs="Times New Roman" w:hint="eastAsia"/>
                <w:sz w:val="18"/>
                <w:szCs w:val="18"/>
              </w:rPr>
              <w:t>泰铢</w:t>
            </w:r>
          </w:p>
        </w:tc>
        <w:tc>
          <w:tcPr>
            <w:tcW w:w="2267" w:type="dxa"/>
            <w:vAlign w:val="center"/>
          </w:tcPr>
          <w:p w:rsidR="009545F1" w:rsidRPr="00B11E71" w:rsidRDefault="00E56232" w:rsidP="009545F1">
            <w:pPr>
              <w:jc w:val="right"/>
              <w:rPr>
                <w:rFonts w:eastAsia="宋体" w:cs="Times New Roman"/>
                <w:sz w:val="18"/>
                <w:szCs w:val="18"/>
              </w:rPr>
            </w:pPr>
            <w:r w:rsidRPr="00B11E71">
              <w:rPr>
                <w:rFonts w:eastAsia="宋体" w:cs="Times New Roman"/>
                <w:sz w:val="18"/>
                <w:szCs w:val="18"/>
              </w:rPr>
              <w:t>4,843.75</w:t>
            </w:r>
          </w:p>
        </w:tc>
        <w:tc>
          <w:tcPr>
            <w:tcW w:w="2267" w:type="dxa"/>
            <w:vAlign w:val="center"/>
          </w:tcPr>
          <w:p w:rsidR="009545F1" w:rsidRPr="00B11E71" w:rsidRDefault="00E56232" w:rsidP="009545F1">
            <w:pPr>
              <w:jc w:val="right"/>
              <w:rPr>
                <w:rFonts w:eastAsia="宋体" w:cs="Times New Roman"/>
                <w:sz w:val="18"/>
                <w:szCs w:val="18"/>
              </w:rPr>
            </w:pPr>
            <w:r w:rsidRPr="00B11E71">
              <w:rPr>
                <w:rFonts w:eastAsia="宋体" w:cs="Times New Roman"/>
                <w:sz w:val="18"/>
                <w:szCs w:val="18"/>
              </w:rPr>
              <w:t>0.2074</w:t>
            </w:r>
          </w:p>
        </w:tc>
        <w:tc>
          <w:tcPr>
            <w:tcW w:w="2268" w:type="dxa"/>
            <w:vAlign w:val="center"/>
          </w:tcPr>
          <w:p w:rsidR="009545F1" w:rsidRPr="00B11E71" w:rsidRDefault="000059C5" w:rsidP="009545F1">
            <w:pPr>
              <w:jc w:val="right"/>
              <w:rPr>
                <w:rFonts w:eastAsia="宋体" w:cs="Times New Roman"/>
                <w:sz w:val="18"/>
                <w:szCs w:val="18"/>
              </w:rPr>
            </w:pPr>
            <w:r w:rsidRPr="00B11E71">
              <w:rPr>
                <w:rFonts w:eastAsia="宋体" w:cs="Times New Roman"/>
                <w:sz w:val="18"/>
                <w:szCs w:val="18"/>
              </w:rPr>
              <w:t>1,004.40</w:t>
            </w:r>
          </w:p>
        </w:tc>
      </w:tr>
    </w:tbl>
    <w:p w:rsidR="00F3441E" w:rsidRDefault="00F3441E" w:rsidP="00F66363">
      <w:pPr>
        <w:ind w:left="720"/>
        <w:jc w:val="both"/>
        <w:rPr>
          <w:rFonts w:eastAsia="宋体" w:cs="Times New Roman"/>
          <w:szCs w:val="21"/>
        </w:rPr>
      </w:pPr>
    </w:p>
    <w:p w:rsidR="00F3441E" w:rsidRDefault="00F3441E">
      <w:pPr>
        <w:adjustRightInd/>
        <w:snapToGrid/>
        <w:rPr>
          <w:rFonts w:eastAsia="宋体" w:cs="Times New Roman"/>
          <w:szCs w:val="21"/>
        </w:rPr>
      </w:pPr>
      <w:r>
        <w:rPr>
          <w:rFonts w:eastAsia="宋体" w:cs="Times New Roman"/>
          <w:szCs w:val="21"/>
        </w:rPr>
        <w:br w:type="page"/>
      </w:r>
    </w:p>
    <w:p w:rsidR="00F3441E" w:rsidRPr="00F66363" w:rsidRDefault="005F14EE" w:rsidP="00F3441E">
      <w:pPr>
        <w:rPr>
          <w:rFonts w:eastAsia="宋体" w:cs="Times New Roman"/>
        </w:rPr>
      </w:pPr>
      <w:r>
        <w:rPr>
          <w:rFonts w:eastAsia="宋体" w:cs="Times New Roman"/>
          <w:b/>
          <w:szCs w:val="21"/>
        </w:rPr>
        <w:t>(</w:t>
      </w:r>
      <w:r w:rsidR="00F3441E" w:rsidRPr="00F66363">
        <w:rPr>
          <w:rFonts w:eastAsia="宋体" w:cs="Times New Roman" w:hint="eastAsia"/>
          <w:b/>
          <w:szCs w:val="21"/>
        </w:rPr>
        <w:t>五</w:t>
      </w:r>
      <w:r>
        <w:rPr>
          <w:rFonts w:eastAsia="宋体" w:cs="Times New Roman"/>
          <w:b/>
          <w:szCs w:val="21"/>
        </w:rPr>
        <w:t>)</w:t>
      </w:r>
      <w:r w:rsidR="00F3441E" w:rsidRPr="00F66363">
        <w:rPr>
          <w:rFonts w:eastAsia="宋体" w:cs="Times New Roman"/>
          <w:b/>
          <w:szCs w:val="21"/>
        </w:rPr>
        <w:tab/>
      </w:r>
      <w:r w:rsidR="00F3441E" w:rsidRPr="00F66363">
        <w:rPr>
          <w:rFonts w:eastAsia="宋体" w:cs="Times New Roman" w:hint="eastAsia"/>
          <w:b/>
          <w:szCs w:val="21"/>
        </w:rPr>
        <w:t>合并财务报表项目注释</w:t>
      </w:r>
      <w:r w:rsidR="00F3441E" w:rsidRPr="00F66363">
        <w:rPr>
          <w:rFonts w:eastAsia="宋体" w:cs="Times New Roman"/>
          <w:bCs/>
          <w:szCs w:val="21"/>
        </w:rPr>
        <w:t xml:space="preserve"> </w:t>
      </w:r>
      <w:r w:rsidR="00F3441E" w:rsidRPr="00F66363">
        <w:rPr>
          <w:rFonts w:eastAsia="宋体" w:cs="Times New Roman"/>
          <w:szCs w:val="21"/>
        </w:rPr>
        <w:t xml:space="preserve">- </w:t>
      </w:r>
      <w:r w:rsidR="00F3441E" w:rsidRPr="00F66363">
        <w:rPr>
          <w:rFonts w:eastAsia="宋体" w:cs="Times New Roman" w:hint="eastAsia"/>
          <w:szCs w:val="21"/>
        </w:rPr>
        <w:t>续</w:t>
      </w:r>
    </w:p>
    <w:p w:rsidR="00F3441E" w:rsidRDefault="00F3441E" w:rsidP="00F3441E">
      <w:pPr>
        <w:ind w:left="720"/>
        <w:jc w:val="both"/>
        <w:rPr>
          <w:rFonts w:eastAsia="宋体" w:cs="Times New Roman"/>
          <w:b/>
          <w:bCs/>
          <w:szCs w:val="21"/>
        </w:rPr>
      </w:pPr>
    </w:p>
    <w:p w:rsidR="00F3441E" w:rsidRDefault="00F3441E" w:rsidP="00F3441E">
      <w:pPr>
        <w:ind w:left="720"/>
        <w:jc w:val="both"/>
        <w:rPr>
          <w:rFonts w:eastAsia="宋体" w:cs="Times New Roman"/>
          <w:szCs w:val="21"/>
        </w:rPr>
      </w:pPr>
      <w:r>
        <w:rPr>
          <w:rFonts w:eastAsia="宋体" w:cs="Times New Roman"/>
          <w:b/>
          <w:bCs/>
          <w:szCs w:val="21"/>
        </w:rPr>
        <w:t>5</w:t>
      </w:r>
      <w:r w:rsidR="007A7BBB">
        <w:rPr>
          <w:rFonts w:eastAsia="宋体" w:cs="Times New Roman"/>
          <w:b/>
          <w:bCs/>
          <w:szCs w:val="21"/>
        </w:rPr>
        <w:t>2</w:t>
      </w:r>
      <w:r w:rsidRPr="00F66363">
        <w:rPr>
          <w:rFonts w:eastAsia="宋体" w:cs="Times New Roman" w:hint="eastAsia"/>
          <w:b/>
          <w:bCs/>
          <w:szCs w:val="21"/>
        </w:rPr>
        <w:t>、</w:t>
      </w:r>
      <w:r w:rsidRPr="00F66363">
        <w:rPr>
          <w:rFonts w:eastAsia="宋体" w:cs="Times New Roman"/>
          <w:b/>
          <w:bCs/>
          <w:szCs w:val="21"/>
        </w:rPr>
        <w:tab/>
      </w:r>
      <w:r>
        <w:rPr>
          <w:rFonts w:eastAsia="宋体" w:cs="Times New Roman" w:hint="eastAsia"/>
          <w:b/>
          <w:bCs/>
          <w:szCs w:val="21"/>
        </w:rPr>
        <w:t>外币货币性</w:t>
      </w:r>
      <w:r w:rsidRPr="00F66363">
        <w:rPr>
          <w:rFonts w:eastAsia="宋体" w:cs="Times New Roman" w:hint="eastAsia"/>
          <w:b/>
          <w:bCs/>
          <w:szCs w:val="21"/>
        </w:rPr>
        <w:t>项目</w:t>
      </w:r>
      <w:r w:rsidRPr="00F66363">
        <w:rPr>
          <w:rFonts w:eastAsia="宋体" w:cs="Times New Roman"/>
          <w:szCs w:val="21"/>
        </w:rPr>
        <w:t xml:space="preserve"> - </w:t>
      </w:r>
      <w:r w:rsidRPr="00F66363">
        <w:rPr>
          <w:rFonts w:eastAsia="宋体" w:cs="Times New Roman" w:hint="eastAsia"/>
          <w:szCs w:val="21"/>
        </w:rPr>
        <w:t>续</w:t>
      </w:r>
    </w:p>
    <w:p w:rsidR="00AA2164" w:rsidRPr="00A71D2E" w:rsidRDefault="00AA2164" w:rsidP="00F66363">
      <w:pPr>
        <w:ind w:left="720"/>
        <w:jc w:val="both"/>
        <w:rPr>
          <w:rFonts w:eastAsia="宋体" w:cs="Times New Roman"/>
          <w:szCs w:val="21"/>
        </w:rPr>
      </w:pPr>
    </w:p>
    <w:p w:rsidR="00AA2164" w:rsidRPr="00A71D2E" w:rsidRDefault="00AA2164">
      <w:pPr>
        <w:pStyle w:val="aff1"/>
        <w:numPr>
          <w:ilvl w:val="0"/>
          <w:numId w:val="30"/>
        </w:numPr>
        <w:ind w:left="1440" w:firstLineChars="0" w:hanging="720"/>
      </w:pPr>
      <w:r w:rsidRPr="00A71D2E">
        <w:rPr>
          <w:rFonts w:hint="eastAsia"/>
        </w:rPr>
        <w:t>境外经营实体说明</w:t>
      </w:r>
    </w:p>
    <w:p w:rsidR="00AA2164" w:rsidRPr="00A71D2E" w:rsidRDefault="00AA2164">
      <w:pPr>
        <w:ind w:left="709"/>
        <w:jc w:val="right"/>
        <w:rPr>
          <w:rFonts w:eastAsia="宋体" w:cs="Times New Roman"/>
          <w:szCs w:val="18"/>
        </w:rPr>
      </w:pP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60"/>
        <w:gridCol w:w="2275"/>
        <w:gridCol w:w="2275"/>
        <w:gridCol w:w="2244"/>
      </w:tblGrid>
      <w:tr w:rsidR="00AA2164" w:rsidRPr="00A71D2E" w:rsidTr="0027505B">
        <w:trPr>
          <w:trHeight w:val="20"/>
        </w:trPr>
        <w:tc>
          <w:tcPr>
            <w:tcW w:w="1407" w:type="pct"/>
            <w:shd w:val="clear" w:color="auto" w:fill="D9D9D9" w:themeFill="background1" w:themeFillShade="D9"/>
            <w:tcMar>
              <w:top w:w="0" w:type="dxa"/>
              <w:left w:w="108" w:type="dxa"/>
              <w:bottom w:w="0" w:type="dxa"/>
              <w:right w:w="108" w:type="dxa"/>
            </w:tcMar>
            <w:vAlign w:val="center"/>
            <w:hideMark/>
          </w:tcPr>
          <w:p w:rsidR="00AA2164" w:rsidRPr="00A71D2E" w:rsidRDefault="00AA2164">
            <w:pPr>
              <w:jc w:val="center"/>
              <w:rPr>
                <w:rFonts w:eastAsia="宋体" w:cs="Times New Roman"/>
                <w:sz w:val="18"/>
                <w:szCs w:val="18"/>
              </w:rPr>
            </w:pPr>
            <w:r w:rsidRPr="00A71D2E">
              <w:rPr>
                <w:rFonts w:eastAsia="宋体" w:cs="Times New Roman" w:hint="eastAsia"/>
                <w:sz w:val="18"/>
                <w:szCs w:val="18"/>
              </w:rPr>
              <w:t>种类</w:t>
            </w:r>
          </w:p>
        </w:tc>
        <w:tc>
          <w:tcPr>
            <w:tcW w:w="1203" w:type="pct"/>
            <w:shd w:val="clear" w:color="auto" w:fill="D9D9D9" w:themeFill="background1" w:themeFillShade="D9"/>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境外主要经营地</w:t>
            </w:r>
          </w:p>
        </w:tc>
        <w:tc>
          <w:tcPr>
            <w:tcW w:w="1203" w:type="pct"/>
            <w:shd w:val="clear" w:color="auto" w:fill="D9D9D9" w:themeFill="background1" w:themeFillShade="D9"/>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记账本位币</w:t>
            </w:r>
          </w:p>
        </w:tc>
        <w:tc>
          <w:tcPr>
            <w:tcW w:w="1187" w:type="pct"/>
            <w:shd w:val="clear" w:color="auto" w:fill="D9D9D9" w:themeFill="background1" w:themeFillShade="D9"/>
            <w:tcMar>
              <w:top w:w="0" w:type="dxa"/>
              <w:left w:w="108" w:type="dxa"/>
              <w:bottom w:w="0" w:type="dxa"/>
              <w:right w:w="108" w:type="dxa"/>
            </w:tcMar>
            <w:vAlign w:val="center"/>
            <w:hideMark/>
          </w:tcPr>
          <w:p w:rsidR="00AA2164" w:rsidRPr="00A71D2E" w:rsidRDefault="00AA2164">
            <w:pPr>
              <w:jc w:val="center"/>
              <w:rPr>
                <w:rFonts w:eastAsia="宋体" w:cs="Times New Roman"/>
                <w:sz w:val="18"/>
                <w:szCs w:val="18"/>
              </w:rPr>
            </w:pPr>
            <w:r w:rsidRPr="00A71D2E">
              <w:rPr>
                <w:rFonts w:eastAsia="宋体" w:cs="Times New Roman" w:hint="eastAsia"/>
                <w:sz w:val="18"/>
                <w:szCs w:val="18"/>
              </w:rPr>
              <w:t>选择依据</w:t>
            </w:r>
          </w:p>
        </w:tc>
      </w:tr>
      <w:tr w:rsidR="00AA2164" w:rsidRPr="00A71D2E" w:rsidTr="0027505B">
        <w:trPr>
          <w:trHeight w:val="20"/>
        </w:trPr>
        <w:tc>
          <w:tcPr>
            <w:tcW w:w="1407" w:type="pct"/>
            <w:tcMar>
              <w:top w:w="0" w:type="dxa"/>
              <w:left w:w="108" w:type="dxa"/>
              <w:bottom w:w="0" w:type="dxa"/>
              <w:right w:w="108" w:type="dxa"/>
            </w:tcMar>
            <w:vAlign w:val="center"/>
          </w:tcPr>
          <w:p w:rsidR="00AA2164" w:rsidRPr="00A71D2E" w:rsidRDefault="00AA2164">
            <w:pPr>
              <w:rPr>
                <w:rFonts w:eastAsia="宋体" w:cs="Times New Roman"/>
                <w:sz w:val="18"/>
                <w:szCs w:val="18"/>
              </w:rPr>
            </w:pPr>
            <w:r w:rsidRPr="00A71D2E">
              <w:rPr>
                <w:rFonts w:eastAsia="宋体" w:cs="Times New Roman" w:hint="eastAsia"/>
                <w:sz w:val="18"/>
                <w:szCs w:val="18"/>
              </w:rPr>
              <w:t>美国萤石</w:t>
            </w:r>
          </w:p>
        </w:tc>
        <w:tc>
          <w:tcPr>
            <w:tcW w:w="1203" w:type="pct"/>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美国</w:t>
            </w:r>
          </w:p>
        </w:tc>
        <w:tc>
          <w:tcPr>
            <w:tcW w:w="1203" w:type="pct"/>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美元</w:t>
            </w:r>
          </w:p>
        </w:tc>
        <w:tc>
          <w:tcPr>
            <w:tcW w:w="1187" w:type="pct"/>
            <w:tcMar>
              <w:top w:w="0" w:type="dxa"/>
              <w:left w:w="108" w:type="dxa"/>
              <w:bottom w:w="0" w:type="dxa"/>
              <w:right w:w="108" w:type="dxa"/>
            </w:tcMar>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根据所处经济环境决定</w:t>
            </w:r>
          </w:p>
        </w:tc>
      </w:tr>
      <w:tr w:rsidR="00AA2164" w:rsidRPr="00A71D2E" w:rsidTr="0027505B">
        <w:trPr>
          <w:trHeight w:val="20"/>
        </w:trPr>
        <w:tc>
          <w:tcPr>
            <w:tcW w:w="1407" w:type="pct"/>
            <w:tcMar>
              <w:top w:w="0" w:type="dxa"/>
              <w:left w:w="108" w:type="dxa"/>
              <w:bottom w:w="0" w:type="dxa"/>
              <w:right w:w="108" w:type="dxa"/>
            </w:tcMar>
            <w:vAlign w:val="center"/>
          </w:tcPr>
          <w:p w:rsidR="00AA2164" w:rsidRPr="00A71D2E" w:rsidRDefault="00AA2164">
            <w:pPr>
              <w:rPr>
                <w:rFonts w:eastAsia="宋体" w:cs="Times New Roman"/>
                <w:sz w:val="18"/>
                <w:szCs w:val="18"/>
              </w:rPr>
            </w:pPr>
            <w:r w:rsidRPr="00A71D2E">
              <w:rPr>
                <w:rFonts w:eastAsia="宋体" w:cs="Times New Roman" w:hint="eastAsia"/>
                <w:sz w:val="18"/>
                <w:szCs w:val="18"/>
              </w:rPr>
              <w:t>香港萤石</w:t>
            </w:r>
          </w:p>
        </w:tc>
        <w:tc>
          <w:tcPr>
            <w:tcW w:w="1203" w:type="pct"/>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中国香港</w:t>
            </w:r>
          </w:p>
        </w:tc>
        <w:tc>
          <w:tcPr>
            <w:tcW w:w="1203" w:type="pct"/>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港币</w:t>
            </w:r>
          </w:p>
        </w:tc>
        <w:tc>
          <w:tcPr>
            <w:tcW w:w="1187" w:type="pct"/>
            <w:tcMar>
              <w:top w:w="0" w:type="dxa"/>
              <w:left w:w="108" w:type="dxa"/>
              <w:bottom w:w="0" w:type="dxa"/>
              <w:right w:w="108" w:type="dxa"/>
            </w:tcMar>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根据所处经济环境决定</w:t>
            </w:r>
          </w:p>
        </w:tc>
      </w:tr>
      <w:tr w:rsidR="00AA2164" w:rsidRPr="00A71D2E" w:rsidTr="0027505B">
        <w:trPr>
          <w:trHeight w:val="20"/>
        </w:trPr>
        <w:tc>
          <w:tcPr>
            <w:tcW w:w="1407" w:type="pct"/>
            <w:tcMar>
              <w:top w:w="0" w:type="dxa"/>
              <w:left w:w="108" w:type="dxa"/>
              <w:bottom w:w="0" w:type="dxa"/>
              <w:right w:w="108" w:type="dxa"/>
            </w:tcMar>
            <w:vAlign w:val="center"/>
          </w:tcPr>
          <w:p w:rsidR="00AA2164" w:rsidRPr="00A71D2E" w:rsidRDefault="00AA2164">
            <w:pPr>
              <w:rPr>
                <w:rFonts w:eastAsia="宋体" w:cs="Times New Roman"/>
                <w:sz w:val="18"/>
                <w:szCs w:val="18"/>
              </w:rPr>
            </w:pPr>
            <w:r w:rsidRPr="00A71D2E">
              <w:rPr>
                <w:rFonts w:eastAsia="宋体" w:cs="Times New Roman" w:hint="eastAsia"/>
                <w:sz w:val="18"/>
                <w:szCs w:val="18"/>
              </w:rPr>
              <w:t>欧洲萤石</w:t>
            </w:r>
          </w:p>
        </w:tc>
        <w:tc>
          <w:tcPr>
            <w:tcW w:w="1203" w:type="pct"/>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欧洲</w:t>
            </w:r>
          </w:p>
        </w:tc>
        <w:tc>
          <w:tcPr>
            <w:tcW w:w="1203" w:type="pct"/>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欧元</w:t>
            </w:r>
          </w:p>
        </w:tc>
        <w:tc>
          <w:tcPr>
            <w:tcW w:w="1187" w:type="pct"/>
            <w:tcMar>
              <w:top w:w="0" w:type="dxa"/>
              <w:left w:w="108" w:type="dxa"/>
              <w:bottom w:w="0" w:type="dxa"/>
              <w:right w:w="108" w:type="dxa"/>
            </w:tcMar>
            <w:vAlign w:val="center"/>
          </w:tcPr>
          <w:p w:rsidR="00AA2164" w:rsidRPr="00A71D2E" w:rsidRDefault="00AA2164">
            <w:pPr>
              <w:jc w:val="center"/>
              <w:rPr>
                <w:rFonts w:eastAsia="宋体" w:cs="Times New Roman"/>
                <w:sz w:val="18"/>
                <w:szCs w:val="18"/>
              </w:rPr>
            </w:pPr>
            <w:r w:rsidRPr="00A71D2E">
              <w:rPr>
                <w:rFonts w:eastAsia="宋体" w:cs="Times New Roman" w:hint="eastAsia"/>
                <w:sz w:val="18"/>
                <w:szCs w:val="18"/>
              </w:rPr>
              <w:t>根据所处经济环境决定</w:t>
            </w:r>
          </w:p>
        </w:tc>
      </w:tr>
    </w:tbl>
    <w:p w:rsidR="00AA2164" w:rsidRPr="00A71D2E" w:rsidRDefault="00AA2164" w:rsidP="00F66363">
      <w:pPr>
        <w:ind w:left="720"/>
        <w:jc w:val="both"/>
        <w:rPr>
          <w:rFonts w:eastAsia="宋体" w:cs="Times New Roman"/>
          <w:szCs w:val="21"/>
        </w:rPr>
      </w:pPr>
    </w:p>
    <w:p w:rsidR="00AA2164" w:rsidRDefault="001A1270">
      <w:pPr>
        <w:pStyle w:val="2"/>
        <w:numPr>
          <w:ilvl w:val="2"/>
          <w:numId w:val="1"/>
        </w:numPr>
        <w:ind w:left="1440" w:hanging="720"/>
        <w:rPr>
          <w:rFonts w:ascii="Times New Roman" w:eastAsia="宋体" w:hAnsi="Times New Roman" w:cs="Times New Roman"/>
        </w:rPr>
      </w:pPr>
      <w:r>
        <w:rPr>
          <w:rFonts w:ascii="Times New Roman" w:eastAsia="宋体" w:hAnsi="Times New Roman" w:cs="Times New Roman" w:hint="eastAsia"/>
        </w:rPr>
        <w:t>租赁</w:t>
      </w:r>
    </w:p>
    <w:p w:rsidR="001A1270" w:rsidRDefault="001A1270" w:rsidP="001A1270">
      <w:pPr>
        <w:ind w:firstLineChars="337" w:firstLine="708"/>
      </w:pPr>
    </w:p>
    <w:p w:rsidR="001A1270" w:rsidRPr="001A1270" w:rsidRDefault="001A1270" w:rsidP="001A1270">
      <w:pPr>
        <w:pStyle w:val="aff1"/>
        <w:widowControl w:val="0"/>
        <w:numPr>
          <w:ilvl w:val="0"/>
          <w:numId w:val="20"/>
        </w:numPr>
        <w:ind w:left="1440" w:firstLineChars="0" w:hanging="720"/>
        <w:contextualSpacing/>
      </w:pPr>
      <w:r w:rsidRPr="001A1270">
        <w:rPr>
          <w:rFonts w:hint="eastAsia"/>
        </w:rPr>
        <w:t>作为承租人</w:t>
      </w:r>
    </w:p>
    <w:p w:rsidR="001A1270" w:rsidRDefault="001A1270" w:rsidP="0027505B">
      <w:pPr>
        <w:ind w:leftChars="337" w:left="708" w:firstLine="1"/>
        <w:jc w:val="both"/>
      </w:pPr>
    </w:p>
    <w:p w:rsidR="001A1270" w:rsidRDefault="001A1270" w:rsidP="0027505B">
      <w:pPr>
        <w:ind w:leftChars="337" w:left="708" w:firstLine="1"/>
        <w:jc w:val="both"/>
      </w:pPr>
      <w:r>
        <w:rPr>
          <w:rFonts w:hint="eastAsia"/>
        </w:rPr>
        <w:t>本集团租赁了多项资产，包括</w:t>
      </w:r>
      <w:r w:rsidR="001F49B4" w:rsidRPr="001F49B4">
        <w:rPr>
          <w:rFonts w:hint="eastAsia"/>
        </w:rPr>
        <w:t>生产经营及办公场所、设备及员工宿舍</w:t>
      </w:r>
      <w:r>
        <w:rPr>
          <w:rFonts w:hint="eastAsia"/>
        </w:rPr>
        <w:t>，租赁期为</w:t>
      </w:r>
      <w:r w:rsidR="00B46356">
        <w:rPr>
          <w:rFonts w:hint="eastAsia"/>
        </w:rPr>
        <w:t>1</w:t>
      </w:r>
      <w:r w:rsidR="00B46356">
        <w:rPr>
          <w:rFonts w:hint="eastAsia"/>
        </w:rPr>
        <w:t>年至</w:t>
      </w:r>
      <w:r w:rsidR="00B46356">
        <w:rPr>
          <w:rFonts w:hint="eastAsia"/>
        </w:rPr>
        <w:t>1</w:t>
      </w:r>
      <w:r w:rsidR="00B46356">
        <w:t>0</w:t>
      </w:r>
      <w:r w:rsidR="00B46356">
        <w:rPr>
          <w:rFonts w:hint="eastAsia"/>
        </w:rPr>
        <w:t>年</w:t>
      </w:r>
      <w:r>
        <w:rPr>
          <w:rFonts w:hint="eastAsia"/>
        </w:rPr>
        <w:t>。上述使用权资产无法用于借款抵押、担保等目的。</w:t>
      </w:r>
    </w:p>
    <w:p w:rsidR="001A1270" w:rsidRDefault="001A1270" w:rsidP="0027505B">
      <w:pPr>
        <w:ind w:leftChars="337" w:left="708" w:firstLine="1"/>
        <w:jc w:val="both"/>
      </w:pPr>
    </w:p>
    <w:p w:rsidR="00C75CFF" w:rsidRDefault="00C75CFF" w:rsidP="0027505B">
      <w:pPr>
        <w:ind w:leftChars="337" w:left="708" w:firstLine="1"/>
        <w:jc w:val="both"/>
      </w:pPr>
      <w:r>
        <w:rPr>
          <w:rFonts w:hint="eastAsia"/>
        </w:rPr>
        <w:t>本年末</w:t>
      </w:r>
      <w:r w:rsidRPr="00C75CFF">
        <w:rPr>
          <w:rFonts w:hint="eastAsia"/>
        </w:rPr>
        <w:t>，本集团作为承租人不存在未纳入租赁负债计量的可变租赁付款额。</w:t>
      </w:r>
    </w:p>
    <w:p w:rsidR="00B46356" w:rsidRDefault="00B46356" w:rsidP="0027505B">
      <w:pPr>
        <w:ind w:leftChars="337" w:left="708" w:firstLine="1"/>
        <w:jc w:val="both"/>
      </w:pPr>
    </w:p>
    <w:p w:rsidR="001A1270" w:rsidRDefault="00B46356" w:rsidP="0027505B">
      <w:pPr>
        <w:ind w:leftChars="337" w:left="708" w:firstLine="1"/>
        <w:jc w:val="both"/>
      </w:pPr>
      <w:r w:rsidRPr="0027505B">
        <w:rPr>
          <w:rFonts w:hint="eastAsia"/>
        </w:rPr>
        <w:t>本年度</w:t>
      </w:r>
      <w:r w:rsidR="00E52848" w:rsidRPr="0027505B">
        <w:rPr>
          <w:rFonts w:hint="eastAsia"/>
        </w:rPr>
        <w:t>，本集团</w:t>
      </w:r>
      <w:r w:rsidRPr="0027505B">
        <w:rPr>
          <w:rFonts w:hint="eastAsia"/>
        </w:rPr>
        <w:t>计入当期损益的简化处理的短期租赁费用合计金额</w:t>
      </w:r>
      <w:r w:rsidR="001A1270">
        <w:rPr>
          <w:rFonts w:hint="eastAsia"/>
        </w:rPr>
        <w:t>为人民币</w:t>
      </w:r>
      <w:r w:rsidRPr="00B46356">
        <w:t>6,309,612.74</w:t>
      </w:r>
      <w:r w:rsidR="001A1270">
        <w:rPr>
          <w:rFonts w:hint="eastAsia"/>
        </w:rPr>
        <w:t>元</w:t>
      </w:r>
      <w:r w:rsidR="005F14EE">
        <w:rPr>
          <w:rFonts w:hint="eastAsia"/>
        </w:rPr>
        <w:t>(</w:t>
      </w:r>
      <w:r w:rsidR="001A1270">
        <w:rPr>
          <w:rFonts w:hint="eastAsia"/>
        </w:rPr>
        <w:t>上年度</w:t>
      </w:r>
      <w:r w:rsidR="005F14EE">
        <w:rPr>
          <w:rFonts w:hint="eastAsia"/>
        </w:rPr>
        <w:t>：</w:t>
      </w:r>
      <w:r w:rsidR="001A1270">
        <w:rPr>
          <w:rFonts w:hint="eastAsia"/>
        </w:rPr>
        <w:t>人民币</w:t>
      </w:r>
      <w:r w:rsidRPr="00B46356">
        <w:t>5,671,472.63</w:t>
      </w:r>
      <w:r>
        <w:rPr>
          <w:rFonts w:hint="eastAsia"/>
        </w:rPr>
        <w:t>元</w:t>
      </w:r>
      <w:r w:rsidR="005F14EE">
        <w:rPr>
          <w:rFonts w:hint="eastAsia"/>
        </w:rPr>
        <w:t>)</w:t>
      </w:r>
      <w:r w:rsidR="001A1270">
        <w:rPr>
          <w:rFonts w:hint="eastAsia"/>
        </w:rPr>
        <w:t>。</w:t>
      </w:r>
    </w:p>
    <w:p w:rsidR="00AD2284" w:rsidRDefault="00AD2284" w:rsidP="0027505B">
      <w:pPr>
        <w:ind w:leftChars="337" w:left="708" w:firstLine="1"/>
        <w:jc w:val="both"/>
      </w:pPr>
    </w:p>
    <w:p w:rsidR="001A1270" w:rsidRDefault="001A1270" w:rsidP="0027505B">
      <w:pPr>
        <w:ind w:leftChars="337" w:left="708" w:firstLine="1"/>
        <w:jc w:val="both"/>
      </w:pPr>
      <w:r w:rsidRPr="001A1270">
        <w:rPr>
          <w:rFonts w:hint="eastAsia"/>
        </w:rPr>
        <w:t>本年度与租赁相关的现金流出总额为人民币</w:t>
      </w:r>
      <w:r w:rsidR="00011505" w:rsidRPr="00011505">
        <w:t xml:space="preserve">52,951,238.61 </w:t>
      </w:r>
      <w:r w:rsidRPr="001A1270">
        <w:rPr>
          <w:rFonts w:hint="eastAsia"/>
        </w:rPr>
        <w:t>元</w:t>
      </w:r>
      <w:r w:rsidR="005F14EE">
        <w:rPr>
          <w:rFonts w:hint="eastAsia"/>
        </w:rPr>
        <w:t>(</w:t>
      </w:r>
      <w:r w:rsidRPr="001A1270">
        <w:rPr>
          <w:rFonts w:hint="eastAsia"/>
        </w:rPr>
        <w:t>上年度</w:t>
      </w:r>
      <w:r w:rsidR="005F14EE">
        <w:rPr>
          <w:rFonts w:hint="eastAsia"/>
        </w:rPr>
        <w:t>：</w:t>
      </w:r>
      <w:r w:rsidRPr="001A1270">
        <w:rPr>
          <w:rFonts w:hint="eastAsia"/>
        </w:rPr>
        <w:t>人民币</w:t>
      </w:r>
      <w:r w:rsidR="000D5ABF" w:rsidRPr="0027505B">
        <w:t>42,342,308.57</w:t>
      </w:r>
      <w:r w:rsidRPr="001A1270">
        <w:rPr>
          <w:rFonts w:hint="eastAsia"/>
        </w:rPr>
        <w:t>元</w:t>
      </w:r>
      <w:r w:rsidR="005F14EE">
        <w:rPr>
          <w:rFonts w:hint="eastAsia"/>
        </w:rPr>
        <w:t>)</w:t>
      </w:r>
      <w:r w:rsidRPr="001A1270">
        <w:rPr>
          <w:rFonts w:hint="eastAsia"/>
        </w:rPr>
        <w:t>。</w:t>
      </w:r>
    </w:p>
    <w:p w:rsidR="001A1270" w:rsidRDefault="001A1270" w:rsidP="0027505B">
      <w:pPr>
        <w:ind w:leftChars="337" w:left="708" w:firstLine="1"/>
        <w:jc w:val="both"/>
      </w:pPr>
    </w:p>
    <w:p w:rsidR="00AD2284" w:rsidRPr="00AD2284" w:rsidRDefault="00AD2284" w:rsidP="0027505B">
      <w:pPr>
        <w:ind w:leftChars="337" w:left="708" w:firstLine="1"/>
        <w:jc w:val="both"/>
      </w:pPr>
      <w:r>
        <w:rPr>
          <w:rFonts w:hint="eastAsia"/>
        </w:rPr>
        <w:t>本年末，本集团</w:t>
      </w:r>
      <w:r w:rsidRPr="00AD2284">
        <w:rPr>
          <w:rFonts w:hint="eastAsia"/>
        </w:rPr>
        <w:t>短期租赁的租赁承诺为人民币</w:t>
      </w:r>
      <w:r w:rsidR="007548E9">
        <w:rPr>
          <w:rFonts w:hint="eastAsia"/>
        </w:rPr>
        <w:t>9</w:t>
      </w:r>
      <w:r w:rsidR="007548E9">
        <w:t>65</w:t>
      </w:r>
      <w:r w:rsidR="007548E9">
        <w:rPr>
          <w:rFonts w:hint="eastAsia"/>
        </w:rPr>
        <w:t>,</w:t>
      </w:r>
      <w:r w:rsidR="007548E9">
        <w:t>545.02</w:t>
      </w:r>
      <w:r w:rsidRPr="00AD2284">
        <w:rPr>
          <w:rFonts w:hint="eastAsia"/>
        </w:rPr>
        <w:t>元</w:t>
      </w:r>
      <w:r w:rsidR="005F14EE">
        <w:rPr>
          <w:rFonts w:hint="eastAsia"/>
        </w:rPr>
        <w:t>(</w:t>
      </w:r>
      <w:r w:rsidRPr="00AD2284">
        <w:rPr>
          <w:rFonts w:hint="eastAsia"/>
        </w:rPr>
        <w:t>上年</w:t>
      </w:r>
      <w:r>
        <w:rPr>
          <w:rFonts w:hint="eastAsia"/>
        </w:rPr>
        <w:t>末</w:t>
      </w:r>
      <w:r w:rsidR="005F14EE">
        <w:rPr>
          <w:rFonts w:hint="eastAsia"/>
        </w:rPr>
        <w:t>：</w:t>
      </w:r>
      <w:r w:rsidRPr="00AD2284">
        <w:rPr>
          <w:rFonts w:hint="eastAsia"/>
        </w:rPr>
        <w:t>人民币</w:t>
      </w:r>
      <w:r w:rsidR="007548E9">
        <w:rPr>
          <w:rFonts w:hint="eastAsia"/>
        </w:rPr>
        <w:t>6</w:t>
      </w:r>
      <w:r w:rsidR="007548E9">
        <w:t>90,347.88</w:t>
      </w:r>
      <w:r w:rsidRPr="00AD2284">
        <w:rPr>
          <w:rFonts w:hint="eastAsia"/>
        </w:rPr>
        <w:t>元</w:t>
      </w:r>
      <w:r w:rsidR="005F14EE">
        <w:rPr>
          <w:rFonts w:hint="eastAsia"/>
        </w:rPr>
        <w:t>)</w:t>
      </w:r>
      <w:r w:rsidRPr="00AD2284">
        <w:rPr>
          <w:rFonts w:hint="eastAsia"/>
        </w:rPr>
        <w:t>。</w:t>
      </w:r>
    </w:p>
    <w:p w:rsidR="00F34737" w:rsidRDefault="00F34737" w:rsidP="00F66363">
      <w:pPr>
        <w:jc w:val="both"/>
        <w:rPr>
          <w:rFonts w:eastAsia="宋体" w:cs="Times New Roman"/>
          <w:szCs w:val="21"/>
        </w:rPr>
      </w:pPr>
    </w:p>
    <w:p w:rsidR="00AD2284" w:rsidRPr="00AD2284" w:rsidRDefault="00AD2284" w:rsidP="00F66363">
      <w:pPr>
        <w:jc w:val="both"/>
        <w:rPr>
          <w:rFonts w:eastAsia="宋体" w:cs="Times New Roman"/>
          <w:szCs w:val="21"/>
        </w:rPr>
      </w:pPr>
    </w:p>
    <w:p w:rsidR="001A1270" w:rsidRPr="001A1270" w:rsidRDefault="001A1270" w:rsidP="001A1270">
      <w:pPr>
        <w:pStyle w:val="1"/>
        <w:keepNext w:val="0"/>
        <w:keepLines w:val="0"/>
        <w:adjustRightInd w:val="0"/>
        <w:snapToGrid w:val="0"/>
        <w:ind w:left="720" w:hanging="720"/>
        <w:contextualSpacing w:val="0"/>
        <w:jc w:val="both"/>
        <w:rPr>
          <w:rFonts w:ascii="Times New Roman" w:hAnsi="Times New Roman" w:cs="Times New Roman"/>
          <w:szCs w:val="21"/>
        </w:rPr>
      </w:pPr>
      <w:r w:rsidRPr="00A71D2E">
        <w:rPr>
          <w:rFonts w:ascii="Times New Roman" w:hAnsi="Times New Roman" w:cs="Times New Roman" w:hint="eastAsia"/>
          <w:szCs w:val="21"/>
        </w:rPr>
        <w:t>在其他主体中的权益</w:t>
      </w:r>
    </w:p>
    <w:p w:rsidR="00F34737" w:rsidRPr="00A71D2E" w:rsidRDefault="00F34737" w:rsidP="00F66363">
      <w:pPr>
        <w:ind w:left="720"/>
        <w:jc w:val="both"/>
        <w:rPr>
          <w:rFonts w:eastAsia="宋体" w:cs="Times New Roman"/>
          <w:szCs w:val="21"/>
        </w:rPr>
      </w:pPr>
    </w:p>
    <w:p w:rsidR="00F34737" w:rsidRPr="00A71D2E" w:rsidRDefault="00F34737" w:rsidP="00F66363">
      <w:pPr>
        <w:pStyle w:val="2"/>
        <w:numPr>
          <w:ilvl w:val="2"/>
          <w:numId w:val="1"/>
        </w:numPr>
        <w:adjustRightInd w:val="0"/>
        <w:snapToGrid w:val="0"/>
        <w:ind w:left="1440" w:hanging="720"/>
        <w:contextualSpacing w:val="0"/>
        <w:rPr>
          <w:rFonts w:ascii="Times New Roman" w:eastAsia="宋体" w:hAnsi="Times New Roman" w:cs="Times New Roman"/>
          <w:bCs/>
          <w:szCs w:val="21"/>
          <w:lang w:val="x-none" w:eastAsia="x-none"/>
        </w:rPr>
      </w:pPr>
      <w:r w:rsidRPr="00A71D2E">
        <w:rPr>
          <w:rFonts w:ascii="Times New Roman" w:eastAsia="宋体" w:hAnsi="Times New Roman" w:cs="Times New Roman" w:hint="eastAsia"/>
          <w:szCs w:val="21"/>
        </w:rPr>
        <w:t>在子公司中的权益</w:t>
      </w:r>
    </w:p>
    <w:p w:rsidR="00F34737" w:rsidRPr="00A71D2E" w:rsidRDefault="00F34737" w:rsidP="00F66363">
      <w:pPr>
        <w:ind w:left="720"/>
        <w:jc w:val="both"/>
        <w:rPr>
          <w:rFonts w:eastAsia="宋体" w:cs="Times New Roman"/>
          <w:szCs w:val="21"/>
        </w:rPr>
      </w:pPr>
    </w:p>
    <w:p w:rsidR="00F34737" w:rsidRPr="00A71D2E" w:rsidRDefault="00F34737">
      <w:pPr>
        <w:pStyle w:val="aff1"/>
        <w:widowControl w:val="0"/>
        <w:numPr>
          <w:ilvl w:val="0"/>
          <w:numId w:val="21"/>
        </w:numPr>
        <w:ind w:left="1440" w:firstLineChars="0" w:hanging="720"/>
        <w:rPr>
          <w:szCs w:val="21"/>
        </w:rPr>
      </w:pPr>
      <w:r w:rsidRPr="00A71D2E">
        <w:rPr>
          <w:rFonts w:hint="eastAsia"/>
          <w:szCs w:val="21"/>
        </w:rPr>
        <w:t>企业集团的构成</w:t>
      </w:r>
    </w:p>
    <w:p w:rsidR="00F34737" w:rsidRPr="00A71D2E" w:rsidRDefault="00F34737" w:rsidP="00F66363">
      <w:pPr>
        <w:ind w:left="720"/>
        <w:jc w:val="both"/>
        <w:rPr>
          <w:rFonts w:eastAsia="宋体" w:cs="Times New Roman"/>
          <w:szCs w:val="21"/>
        </w:rPr>
      </w:pP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1134"/>
        <w:gridCol w:w="992"/>
        <w:gridCol w:w="993"/>
        <w:gridCol w:w="1701"/>
        <w:gridCol w:w="17"/>
        <w:gridCol w:w="1719"/>
        <w:gridCol w:w="1771"/>
      </w:tblGrid>
      <w:tr w:rsidR="0006438C" w:rsidRPr="00217928" w:rsidTr="0027505B">
        <w:trPr>
          <w:trHeight w:val="20"/>
        </w:trPr>
        <w:tc>
          <w:tcPr>
            <w:tcW w:w="1123" w:type="dxa"/>
            <w:vMerge w:val="restart"/>
            <w:shd w:val="clear" w:color="auto" w:fill="D9D9D9" w:themeFill="background1" w:themeFillShade="D9"/>
            <w:vAlign w:val="center"/>
            <w:hideMark/>
          </w:tcPr>
          <w:p w:rsidR="0006438C" w:rsidRPr="0027505B" w:rsidRDefault="00D21423" w:rsidP="0027505B">
            <w:pPr>
              <w:jc w:val="center"/>
              <w:rPr>
                <w:rFonts w:eastAsia="宋体" w:cs="Times New Roman"/>
                <w:sz w:val="16"/>
                <w:szCs w:val="16"/>
              </w:rPr>
            </w:pPr>
            <w:r w:rsidRPr="0027505B">
              <w:rPr>
                <w:rFonts w:eastAsia="宋体" w:cs="Times New Roman" w:hint="eastAsia"/>
                <w:sz w:val="16"/>
                <w:szCs w:val="16"/>
              </w:rPr>
              <w:t>子公司名称</w:t>
            </w:r>
          </w:p>
        </w:tc>
        <w:tc>
          <w:tcPr>
            <w:tcW w:w="1134" w:type="dxa"/>
            <w:vMerge w:val="restart"/>
            <w:shd w:val="clear" w:color="auto" w:fill="D9D9D9" w:themeFill="background1" w:themeFillShade="D9"/>
            <w:vAlign w:val="center"/>
            <w:hideMark/>
          </w:tcPr>
          <w:p w:rsidR="0006438C" w:rsidRPr="0027505B" w:rsidRDefault="00D21423" w:rsidP="0027505B">
            <w:pPr>
              <w:jc w:val="center"/>
              <w:rPr>
                <w:rFonts w:eastAsia="宋体" w:cs="Times New Roman"/>
                <w:sz w:val="16"/>
                <w:szCs w:val="16"/>
              </w:rPr>
            </w:pPr>
            <w:r w:rsidRPr="0027505B">
              <w:rPr>
                <w:rFonts w:eastAsia="宋体" w:cs="Times New Roman" w:hint="eastAsia"/>
                <w:sz w:val="16"/>
                <w:szCs w:val="16"/>
              </w:rPr>
              <w:t>主要经营地</w:t>
            </w:r>
          </w:p>
        </w:tc>
        <w:tc>
          <w:tcPr>
            <w:tcW w:w="992" w:type="dxa"/>
            <w:vMerge w:val="restart"/>
            <w:shd w:val="clear" w:color="auto" w:fill="D9D9D9" w:themeFill="background1" w:themeFillShade="D9"/>
            <w:vAlign w:val="center"/>
            <w:hideMark/>
          </w:tcPr>
          <w:p w:rsidR="0006438C" w:rsidRPr="0027505B" w:rsidRDefault="00D21423" w:rsidP="0027505B">
            <w:pPr>
              <w:jc w:val="center"/>
              <w:rPr>
                <w:rFonts w:eastAsia="宋体" w:cs="Times New Roman"/>
                <w:sz w:val="16"/>
                <w:szCs w:val="16"/>
              </w:rPr>
            </w:pPr>
            <w:r w:rsidRPr="0027505B">
              <w:rPr>
                <w:rFonts w:eastAsia="宋体" w:cs="Times New Roman" w:hint="eastAsia"/>
                <w:sz w:val="16"/>
                <w:szCs w:val="16"/>
              </w:rPr>
              <w:t>注册地</w:t>
            </w:r>
          </w:p>
        </w:tc>
        <w:tc>
          <w:tcPr>
            <w:tcW w:w="993" w:type="dxa"/>
            <w:vMerge w:val="restart"/>
            <w:shd w:val="clear" w:color="auto" w:fill="D9D9D9" w:themeFill="background1" w:themeFillShade="D9"/>
            <w:vAlign w:val="center"/>
            <w:hideMark/>
          </w:tcPr>
          <w:p w:rsidR="0006438C" w:rsidRPr="0027505B" w:rsidRDefault="00D21423" w:rsidP="0027505B">
            <w:pPr>
              <w:jc w:val="center"/>
              <w:rPr>
                <w:rFonts w:eastAsia="宋体" w:cs="Times New Roman"/>
                <w:sz w:val="16"/>
                <w:szCs w:val="16"/>
              </w:rPr>
            </w:pPr>
            <w:r w:rsidRPr="0027505B">
              <w:rPr>
                <w:rFonts w:eastAsia="宋体" w:cs="Times New Roman" w:hint="eastAsia"/>
                <w:sz w:val="16"/>
                <w:szCs w:val="16"/>
              </w:rPr>
              <w:t>业务性质</w:t>
            </w:r>
          </w:p>
        </w:tc>
        <w:tc>
          <w:tcPr>
            <w:tcW w:w="1718" w:type="dxa"/>
            <w:gridSpan w:val="2"/>
            <w:shd w:val="clear" w:color="auto" w:fill="D9D9D9" w:themeFill="background1" w:themeFillShade="D9"/>
            <w:vAlign w:val="center"/>
          </w:tcPr>
          <w:p w:rsidR="0006438C" w:rsidRPr="0027505B" w:rsidDel="00EB6B51" w:rsidRDefault="0006438C">
            <w:pPr>
              <w:jc w:val="center"/>
              <w:rPr>
                <w:rFonts w:eastAsia="宋体" w:cs="Times New Roman"/>
                <w:sz w:val="16"/>
                <w:szCs w:val="16"/>
                <w:lang w:val="en-GB"/>
              </w:rPr>
            </w:pPr>
            <w:r w:rsidRPr="0027505B">
              <w:rPr>
                <w:rFonts w:eastAsia="宋体" w:cs="Times New Roman"/>
                <w:sz w:val="16"/>
                <w:szCs w:val="16"/>
                <w:lang w:val="en-GB"/>
              </w:rPr>
              <w:t>202</w:t>
            </w:r>
            <w:r w:rsidR="00E10CD6" w:rsidRPr="0027505B">
              <w:rPr>
                <w:rFonts w:eastAsia="宋体" w:cs="Times New Roman"/>
                <w:sz w:val="16"/>
                <w:szCs w:val="16"/>
                <w:lang w:val="en-GB"/>
              </w:rPr>
              <w:t>3</w:t>
            </w:r>
            <w:r w:rsidRPr="0027505B">
              <w:rPr>
                <w:rFonts w:eastAsia="宋体" w:cs="Times New Roman" w:hint="eastAsia"/>
                <w:sz w:val="16"/>
                <w:szCs w:val="16"/>
                <w:lang w:val="en-GB"/>
              </w:rPr>
              <w:t>年</w:t>
            </w:r>
            <w:r w:rsidRPr="0027505B">
              <w:rPr>
                <w:rFonts w:eastAsia="宋体" w:cs="Times New Roman"/>
                <w:sz w:val="16"/>
                <w:szCs w:val="16"/>
                <w:lang w:val="en-GB"/>
              </w:rPr>
              <w:t>12</w:t>
            </w:r>
            <w:r w:rsidRPr="0027505B">
              <w:rPr>
                <w:rFonts w:eastAsia="宋体" w:cs="Times New Roman" w:hint="eastAsia"/>
                <w:sz w:val="16"/>
                <w:szCs w:val="16"/>
                <w:lang w:val="en-GB"/>
              </w:rPr>
              <w:t>月</w:t>
            </w:r>
            <w:r w:rsidRPr="0027505B">
              <w:rPr>
                <w:rFonts w:eastAsia="宋体" w:cs="Times New Roman"/>
                <w:sz w:val="16"/>
                <w:szCs w:val="16"/>
                <w:lang w:val="en-GB"/>
              </w:rPr>
              <w:t>31</w:t>
            </w:r>
            <w:r w:rsidRPr="0027505B">
              <w:rPr>
                <w:rFonts w:eastAsia="宋体" w:cs="Times New Roman" w:hint="eastAsia"/>
                <w:sz w:val="16"/>
                <w:szCs w:val="16"/>
                <w:lang w:val="en-GB"/>
              </w:rPr>
              <w:t>日</w:t>
            </w:r>
          </w:p>
        </w:tc>
        <w:tc>
          <w:tcPr>
            <w:tcW w:w="1719" w:type="dxa"/>
            <w:shd w:val="clear" w:color="auto" w:fill="D9D9D9" w:themeFill="background1" w:themeFillShade="D9"/>
            <w:vAlign w:val="center"/>
          </w:tcPr>
          <w:p w:rsidR="0006438C" w:rsidRPr="0027505B" w:rsidRDefault="0006438C">
            <w:pPr>
              <w:jc w:val="center"/>
              <w:rPr>
                <w:rFonts w:eastAsia="宋体" w:cs="Times New Roman"/>
                <w:sz w:val="16"/>
                <w:szCs w:val="16"/>
                <w:lang w:val="en-GB"/>
              </w:rPr>
            </w:pPr>
            <w:r w:rsidRPr="0027505B">
              <w:rPr>
                <w:rFonts w:eastAsia="宋体" w:cs="Times New Roman"/>
                <w:sz w:val="16"/>
                <w:szCs w:val="16"/>
                <w:lang w:val="en-GB"/>
              </w:rPr>
              <w:t>202</w:t>
            </w:r>
            <w:r w:rsidR="00E10CD6" w:rsidRPr="0027505B">
              <w:rPr>
                <w:rFonts w:eastAsia="宋体" w:cs="Times New Roman"/>
                <w:sz w:val="16"/>
                <w:szCs w:val="16"/>
                <w:lang w:val="en-GB"/>
              </w:rPr>
              <w:t>2</w:t>
            </w:r>
            <w:r w:rsidRPr="0027505B">
              <w:rPr>
                <w:rFonts w:eastAsia="宋体" w:cs="Times New Roman" w:hint="eastAsia"/>
                <w:sz w:val="16"/>
                <w:szCs w:val="16"/>
                <w:lang w:val="en-GB"/>
              </w:rPr>
              <w:t>年</w:t>
            </w:r>
            <w:r w:rsidRPr="0027505B">
              <w:rPr>
                <w:rFonts w:eastAsia="宋体" w:cs="Times New Roman"/>
                <w:sz w:val="16"/>
                <w:szCs w:val="16"/>
                <w:lang w:val="en-GB"/>
              </w:rPr>
              <w:t>12</w:t>
            </w:r>
            <w:r w:rsidRPr="0027505B">
              <w:rPr>
                <w:rFonts w:eastAsia="宋体" w:cs="Times New Roman" w:hint="eastAsia"/>
                <w:sz w:val="16"/>
                <w:szCs w:val="16"/>
                <w:lang w:val="en-GB"/>
              </w:rPr>
              <w:t>月</w:t>
            </w:r>
            <w:r w:rsidRPr="0027505B">
              <w:rPr>
                <w:rFonts w:eastAsia="宋体" w:cs="Times New Roman"/>
                <w:sz w:val="16"/>
                <w:szCs w:val="16"/>
                <w:lang w:val="en-GB"/>
              </w:rPr>
              <w:t>31</w:t>
            </w:r>
            <w:r w:rsidRPr="0027505B">
              <w:rPr>
                <w:rFonts w:eastAsia="宋体" w:cs="Times New Roman" w:hint="eastAsia"/>
                <w:sz w:val="16"/>
                <w:szCs w:val="16"/>
                <w:lang w:val="en-GB"/>
              </w:rPr>
              <w:t>日</w:t>
            </w:r>
          </w:p>
        </w:tc>
        <w:tc>
          <w:tcPr>
            <w:tcW w:w="1771" w:type="dxa"/>
            <w:vMerge w:val="restart"/>
            <w:shd w:val="clear" w:color="auto" w:fill="D9D9D9" w:themeFill="background1" w:themeFillShade="D9"/>
            <w:vAlign w:val="center"/>
            <w:hideMark/>
          </w:tcPr>
          <w:p w:rsidR="0006438C" w:rsidRPr="0027505B" w:rsidRDefault="00D21423">
            <w:pPr>
              <w:jc w:val="center"/>
              <w:rPr>
                <w:rFonts w:eastAsia="宋体" w:cs="Times New Roman"/>
                <w:sz w:val="16"/>
                <w:szCs w:val="16"/>
                <w:lang w:val="en-GB"/>
              </w:rPr>
            </w:pPr>
            <w:r w:rsidRPr="0027505B">
              <w:rPr>
                <w:rFonts w:eastAsia="宋体" w:cs="Times New Roman" w:hint="eastAsia"/>
                <w:sz w:val="16"/>
                <w:szCs w:val="16"/>
                <w:lang w:val="en-GB"/>
              </w:rPr>
              <w:t>取得方式</w:t>
            </w:r>
          </w:p>
        </w:tc>
      </w:tr>
      <w:tr w:rsidR="0006438C" w:rsidRPr="00217928" w:rsidTr="0027505B">
        <w:trPr>
          <w:trHeight w:val="20"/>
        </w:trPr>
        <w:tc>
          <w:tcPr>
            <w:tcW w:w="1123" w:type="dxa"/>
            <w:vMerge/>
            <w:vAlign w:val="center"/>
          </w:tcPr>
          <w:p w:rsidR="0006438C" w:rsidRPr="0027505B" w:rsidRDefault="0006438C">
            <w:pPr>
              <w:rPr>
                <w:rFonts w:eastAsia="宋体" w:cs="Times New Roman"/>
                <w:sz w:val="16"/>
                <w:szCs w:val="16"/>
              </w:rPr>
            </w:pPr>
          </w:p>
        </w:tc>
        <w:tc>
          <w:tcPr>
            <w:tcW w:w="1134" w:type="dxa"/>
            <w:vMerge/>
            <w:vAlign w:val="center"/>
          </w:tcPr>
          <w:p w:rsidR="0006438C" w:rsidRPr="0027505B" w:rsidRDefault="0006438C" w:rsidP="0027505B">
            <w:pPr>
              <w:rPr>
                <w:rFonts w:eastAsia="宋体" w:cs="Times New Roman"/>
                <w:sz w:val="16"/>
                <w:szCs w:val="16"/>
              </w:rPr>
            </w:pPr>
          </w:p>
        </w:tc>
        <w:tc>
          <w:tcPr>
            <w:tcW w:w="992" w:type="dxa"/>
            <w:vMerge/>
            <w:vAlign w:val="center"/>
          </w:tcPr>
          <w:p w:rsidR="0006438C" w:rsidRPr="0027505B" w:rsidRDefault="0006438C" w:rsidP="0027505B">
            <w:pPr>
              <w:rPr>
                <w:rFonts w:eastAsia="宋体" w:cs="Times New Roman"/>
                <w:sz w:val="16"/>
                <w:szCs w:val="16"/>
              </w:rPr>
            </w:pPr>
          </w:p>
        </w:tc>
        <w:tc>
          <w:tcPr>
            <w:tcW w:w="993" w:type="dxa"/>
            <w:vMerge/>
            <w:vAlign w:val="center"/>
          </w:tcPr>
          <w:p w:rsidR="0006438C" w:rsidRPr="0027505B" w:rsidRDefault="0006438C">
            <w:pPr>
              <w:rPr>
                <w:rFonts w:eastAsia="宋体" w:cs="Times New Roman"/>
                <w:sz w:val="16"/>
                <w:szCs w:val="16"/>
              </w:rPr>
            </w:pPr>
          </w:p>
        </w:tc>
        <w:tc>
          <w:tcPr>
            <w:tcW w:w="3437" w:type="dxa"/>
            <w:gridSpan w:val="3"/>
            <w:shd w:val="clear" w:color="auto" w:fill="D9D9D9" w:themeFill="background1" w:themeFillShade="D9"/>
            <w:vAlign w:val="center"/>
          </w:tcPr>
          <w:p w:rsidR="0006438C" w:rsidRPr="0027505B" w:rsidRDefault="0006438C">
            <w:pPr>
              <w:jc w:val="center"/>
              <w:rPr>
                <w:rFonts w:eastAsia="宋体" w:cs="Times New Roman"/>
                <w:sz w:val="16"/>
                <w:szCs w:val="16"/>
                <w:lang w:val="en-GB"/>
              </w:rPr>
            </w:pPr>
            <w:r w:rsidRPr="0027505B">
              <w:rPr>
                <w:rFonts w:eastAsia="宋体" w:cs="Times New Roman" w:hint="eastAsia"/>
                <w:sz w:val="16"/>
                <w:szCs w:val="16"/>
                <w:lang w:val="en-GB"/>
              </w:rPr>
              <w:t>直接</w:t>
            </w:r>
            <w:r w:rsidR="00D21423" w:rsidRPr="0027505B">
              <w:rPr>
                <w:rFonts w:eastAsia="宋体" w:cs="Times New Roman" w:hint="eastAsia"/>
                <w:sz w:val="16"/>
                <w:szCs w:val="16"/>
                <w:lang w:val="en-GB"/>
              </w:rPr>
              <w:t>持股比例</w:t>
            </w:r>
            <w:r w:rsidR="005F14EE" w:rsidRPr="0027505B">
              <w:rPr>
                <w:rFonts w:eastAsia="宋体" w:cs="Times New Roman"/>
                <w:sz w:val="16"/>
                <w:szCs w:val="16"/>
              </w:rPr>
              <w:t>(</w:t>
            </w:r>
            <w:r w:rsidR="00D21423" w:rsidRPr="0027505B">
              <w:rPr>
                <w:rFonts w:eastAsia="宋体" w:cs="Times New Roman"/>
                <w:sz w:val="16"/>
                <w:szCs w:val="16"/>
              </w:rPr>
              <w:t>%</w:t>
            </w:r>
            <w:r w:rsidR="005F14EE" w:rsidRPr="0027505B">
              <w:rPr>
                <w:rFonts w:eastAsia="宋体" w:cs="Times New Roman"/>
                <w:sz w:val="16"/>
                <w:szCs w:val="16"/>
              </w:rPr>
              <w:t>)</w:t>
            </w:r>
          </w:p>
        </w:tc>
        <w:tc>
          <w:tcPr>
            <w:tcW w:w="1771" w:type="dxa"/>
            <w:vMerge/>
            <w:vAlign w:val="center"/>
          </w:tcPr>
          <w:p w:rsidR="0006438C" w:rsidRPr="0027505B" w:rsidRDefault="0006438C">
            <w:pPr>
              <w:jc w:val="center"/>
              <w:rPr>
                <w:rFonts w:eastAsia="宋体" w:cs="Times New Roman"/>
                <w:sz w:val="16"/>
                <w:szCs w:val="16"/>
                <w:lang w:val="en-GB"/>
              </w:rPr>
            </w:pPr>
          </w:p>
        </w:tc>
      </w:tr>
      <w:tr w:rsidR="00E10CD6" w:rsidRPr="00217928" w:rsidTr="0027505B">
        <w:trPr>
          <w:trHeight w:val="20"/>
        </w:trPr>
        <w:tc>
          <w:tcPr>
            <w:tcW w:w="1123" w:type="dxa"/>
            <w:vAlign w:val="center"/>
          </w:tcPr>
          <w:p w:rsidR="00E10CD6" w:rsidRPr="0027505B" w:rsidRDefault="00E10CD6" w:rsidP="0027505B">
            <w:pPr>
              <w:rPr>
                <w:rFonts w:eastAsia="宋体" w:cs="Times New Roman"/>
                <w:sz w:val="16"/>
                <w:szCs w:val="16"/>
              </w:rPr>
            </w:pPr>
            <w:r w:rsidRPr="0027505B">
              <w:rPr>
                <w:rFonts w:eastAsia="宋体" w:cs="Times New Roman" w:hint="eastAsia"/>
                <w:sz w:val="16"/>
                <w:szCs w:val="16"/>
              </w:rPr>
              <w:t>萤石软件</w:t>
            </w:r>
          </w:p>
        </w:tc>
        <w:tc>
          <w:tcPr>
            <w:tcW w:w="1134"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浙江杭州</w:t>
            </w:r>
          </w:p>
        </w:tc>
        <w:tc>
          <w:tcPr>
            <w:tcW w:w="992"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浙江杭州</w:t>
            </w:r>
          </w:p>
        </w:tc>
        <w:tc>
          <w:tcPr>
            <w:tcW w:w="993"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技术研发</w:t>
            </w:r>
          </w:p>
        </w:tc>
        <w:tc>
          <w:tcPr>
            <w:tcW w:w="1701" w:type="dxa"/>
            <w:vAlign w:val="center"/>
          </w:tcPr>
          <w:p w:rsidR="00E10CD6" w:rsidRPr="0027505B" w:rsidRDefault="007548E9" w:rsidP="0027505B">
            <w:pPr>
              <w:jc w:val="right"/>
              <w:rPr>
                <w:rFonts w:eastAsia="宋体" w:cs="Times New Roman"/>
                <w:sz w:val="16"/>
                <w:szCs w:val="16"/>
              </w:rPr>
            </w:pPr>
            <w:r w:rsidRPr="0027505B">
              <w:rPr>
                <w:rFonts w:eastAsia="宋体" w:cs="Times New Roman"/>
                <w:sz w:val="16"/>
                <w:szCs w:val="16"/>
              </w:rPr>
              <w:t>100.00</w:t>
            </w:r>
          </w:p>
        </w:tc>
        <w:tc>
          <w:tcPr>
            <w:tcW w:w="1736" w:type="dxa"/>
            <w:gridSpan w:val="2"/>
            <w:vAlign w:val="center"/>
          </w:tcPr>
          <w:p w:rsidR="00E10CD6" w:rsidRPr="0027505B" w:rsidRDefault="00E10CD6" w:rsidP="0027505B">
            <w:pPr>
              <w:jc w:val="right"/>
              <w:rPr>
                <w:rFonts w:eastAsia="宋体" w:cs="Times New Roman"/>
                <w:sz w:val="16"/>
                <w:szCs w:val="16"/>
              </w:rPr>
            </w:pPr>
            <w:r w:rsidRPr="0027505B">
              <w:rPr>
                <w:rFonts w:eastAsia="宋体" w:cs="Times New Roman"/>
                <w:sz w:val="16"/>
                <w:szCs w:val="16"/>
              </w:rPr>
              <w:t>100.00</w:t>
            </w:r>
          </w:p>
        </w:tc>
        <w:tc>
          <w:tcPr>
            <w:tcW w:w="1771"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投资设立</w:t>
            </w:r>
          </w:p>
        </w:tc>
      </w:tr>
      <w:tr w:rsidR="00E10CD6" w:rsidRPr="00217928" w:rsidTr="0027505B">
        <w:trPr>
          <w:trHeight w:val="20"/>
        </w:trPr>
        <w:tc>
          <w:tcPr>
            <w:tcW w:w="1123" w:type="dxa"/>
            <w:vAlign w:val="center"/>
          </w:tcPr>
          <w:p w:rsidR="00E10CD6" w:rsidRPr="0027505B" w:rsidRDefault="00E10CD6" w:rsidP="0027505B">
            <w:pPr>
              <w:rPr>
                <w:rFonts w:eastAsia="宋体" w:cs="Times New Roman"/>
                <w:sz w:val="16"/>
                <w:szCs w:val="16"/>
              </w:rPr>
            </w:pPr>
            <w:r w:rsidRPr="0027505B">
              <w:rPr>
                <w:rFonts w:eastAsia="宋体" w:cs="Times New Roman" w:hint="eastAsia"/>
                <w:sz w:val="16"/>
                <w:szCs w:val="16"/>
              </w:rPr>
              <w:t>美国萤石</w:t>
            </w:r>
          </w:p>
        </w:tc>
        <w:tc>
          <w:tcPr>
            <w:tcW w:w="1134"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美国</w:t>
            </w:r>
          </w:p>
        </w:tc>
        <w:tc>
          <w:tcPr>
            <w:tcW w:w="992"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美国</w:t>
            </w:r>
          </w:p>
        </w:tc>
        <w:tc>
          <w:tcPr>
            <w:tcW w:w="993"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销售</w:t>
            </w:r>
          </w:p>
        </w:tc>
        <w:tc>
          <w:tcPr>
            <w:tcW w:w="1701" w:type="dxa"/>
            <w:vAlign w:val="center"/>
          </w:tcPr>
          <w:p w:rsidR="00E10CD6" w:rsidRPr="0027505B" w:rsidRDefault="007548E9" w:rsidP="0027505B">
            <w:pPr>
              <w:jc w:val="right"/>
              <w:rPr>
                <w:rFonts w:eastAsia="宋体" w:cs="Times New Roman"/>
                <w:sz w:val="16"/>
                <w:szCs w:val="16"/>
              </w:rPr>
            </w:pPr>
            <w:r w:rsidRPr="0027505B">
              <w:rPr>
                <w:rFonts w:eastAsia="宋体" w:cs="Times New Roman"/>
                <w:sz w:val="16"/>
                <w:szCs w:val="16"/>
              </w:rPr>
              <w:t>100.00</w:t>
            </w:r>
          </w:p>
        </w:tc>
        <w:tc>
          <w:tcPr>
            <w:tcW w:w="1736" w:type="dxa"/>
            <w:gridSpan w:val="2"/>
            <w:vAlign w:val="center"/>
          </w:tcPr>
          <w:p w:rsidR="00E10CD6" w:rsidRPr="0027505B" w:rsidRDefault="00E10CD6" w:rsidP="0027505B">
            <w:pPr>
              <w:jc w:val="right"/>
              <w:rPr>
                <w:rFonts w:eastAsia="宋体" w:cs="Times New Roman"/>
                <w:sz w:val="16"/>
                <w:szCs w:val="16"/>
              </w:rPr>
            </w:pPr>
            <w:r w:rsidRPr="0027505B">
              <w:rPr>
                <w:rFonts w:eastAsia="宋体" w:cs="Times New Roman"/>
                <w:sz w:val="16"/>
                <w:szCs w:val="16"/>
              </w:rPr>
              <w:t>100.00</w:t>
            </w:r>
          </w:p>
        </w:tc>
        <w:tc>
          <w:tcPr>
            <w:tcW w:w="1771"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同</w:t>
            </w:r>
            <w:proofErr w:type="gramStart"/>
            <w:r w:rsidRPr="0027505B">
              <w:rPr>
                <w:rFonts w:eastAsia="宋体" w:cs="Times New Roman" w:hint="eastAsia"/>
                <w:sz w:val="16"/>
                <w:szCs w:val="16"/>
              </w:rPr>
              <w:t>一控制</w:t>
            </w:r>
            <w:proofErr w:type="gramEnd"/>
            <w:r w:rsidRPr="0027505B">
              <w:rPr>
                <w:rFonts w:eastAsia="宋体" w:cs="Times New Roman" w:hint="eastAsia"/>
                <w:sz w:val="16"/>
                <w:szCs w:val="16"/>
              </w:rPr>
              <w:t>下企业合并</w:t>
            </w:r>
          </w:p>
        </w:tc>
      </w:tr>
      <w:tr w:rsidR="00E10CD6" w:rsidRPr="00217928" w:rsidTr="0027505B">
        <w:trPr>
          <w:trHeight w:val="20"/>
        </w:trPr>
        <w:tc>
          <w:tcPr>
            <w:tcW w:w="1123" w:type="dxa"/>
            <w:vAlign w:val="center"/>
          </w:tcPr>
          <w:p w:rsidR="00E10CD6" w:rsidRPr="0027505B" w:rsidRDefault="00E10CD6" w:rsidP="0027505B">
            <w:pPr>
              <w:rPr>
                <w:rFonts w:eastAsia="宋体" w:cs="Times New Roman"/>
                <w:sz w:val="16"/>
                <w:szCs w:val="16"/>
              </w:rPr>
            </w:pPr>
            <w:r w:rsidRPr="0027505B">
              <w:rPr>
                <w:rFonts w:eastAsia="宋体" w:cs="Times New Roman" w:hint="eastAsia"/>
                <w:sz w:val="16"/>
                <w:szCs w:val="16"/>
              </w:rPr>
              <w:t>香港萤石</w:t>
            </w:r>
            <w:r w:rsidRPr="0027505B">
              <w:rPr>
                <w:rFonts w:eastAsia="宋体" w:cs="Times New Roman"/>
                <w:sz w:val="16"/>
                <w:szCs w:val="16"/>
              </w:rPr>
              <w:t xml:space="preserve"> </w:t>
            </w:r>
          </w:p>
        </w:tc>
        <w:tc>
          <w:tcPr>
            <w:tcW w:w="1134"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中国香港</w:t>
            </w:r>
          </w:p>
        </w:tc>
        <w:tc>
          <w:tcPr>
            <w:tcW w:w="992"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中国香港</w:t>
            </w:r>
          </w:p>
        </w:tc>
        <w:tc>
          <w:tcPr>
            <w:tcW w:w="993"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销售</w:t>
            </w:r>
          </w:p>
        </w:tc>
        <w:tc>
          <w:tcPr>
            <w:tcW w:w="1701" w:type="dxa"/>
            <w:vAlign w:val="center"/>
          </w:tcPr>
          <w:p w:rsidR="00E10CD6" w:rsidRPr="0027505B" w:rsidRDefault="007548E9" w:rsidP="0027505B">
            <w:pPr>
              <w:jc w:val="right"/>
              <w:rPr>
                <w:rFonts w:eastAsia="宋体" w:cs="Times New Roman"/>
                <w:sz w:val="16"/>
                <w:szCs w:val="16"/>
              </w:rPr>
            </w:pPr>
            <w:r w:rsidRPr="0027505B">
              <w:rPr>
                <w:rFonts w:eastAsia="宋体" w:cs="Times New Roman"/>
                <w:sz w:val="16"/>
                <w:szCs w:val="16"/>
              </w:rPr>
              <w:t>100.00</w:t>
            </w:r>
          </w:p>
        </w:tc>
        <w:tc>
          <w:tcPr>
            <w:tcW w:w="1736" w:type="dxa"/>
            <w:gridSpan w:val="2"/>
            <w:vAlign w:val="center"/>
          </w:tcPr>
          <w:p w:rsidR="00E10CD6" w:rsidRPr="0027505B" w:rsidRDefault="00E10CD6" w:rsidP="0027505B">
            <w:pPr>
              <w:jc w:val="right"/>
              <w:rPr>
                <w:rFonts w:eastAsia="宋体" w:cs="Times New Roman"/>
                <w:sz w:val="16"/>
                <w:szCs w:val="16"/>
              </w:rPr>
            </w:pPr>
            <w:r w:rsidRPr="0027505B">
              <w:rPr>
                <w:rFonts w:eastAsia="宋体" w:cs="Times New Roman"/>
                <w:sz w:val="16"/>
                <w:szCs w:val="16"/>
              </w:rPr>
              <w:t>100.00</w:t>
            </w:r>
          </w:p>
        </w:tc>
        <w:tc>
          <w:tcPr>
            <w:tcW w:w="1771"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投资设立</w:t>
            </w:r>
          </w:p>
        </w:tc>
      </w:tr>
      <w:tr w:rsidR="00E10CD6" w:rsidRPr="00217928" w:rsidTr="0027505B">
        <w:trPr>
          <w:trHeight w:val="20"/>
        </w:trPr>
        <w:tc>
          <w:tcPr>
            <w:tcW w:w="1123" w:type="dxa"/>
            <w:vAlign w:val="center"/>
          </w:tcPr>
          <w:p w:rsidR="00E10CD6" w:rsidRPr="0027505B" w:rsidRDefault="00E10CD6" w:rsidP="0027505B">
            <w:pPr>
              <w:rPr>
                <w:rFonts w:eastAsia="宋体" w:cs="Times New Roman"/>
                <w:sz w:val="16"/>
                <w:szCs w:val="16"/>
              </w:rPr>
            </w:pPr>
            <w:r w:rsidRPr="0027505B">
              <w:rPr>
                <w:rFonts w:eastAsia="宋体" w:cs="Times New Roman" w:hint="eastAsia"/>
                <w:sz w:val="16"/>
                <w:szCs w:val="16"/>
              </w:rPr>
              <w:t>欧洲萤石</w:t>
            </w:r>
          </w:p>
        </w:tc>
        <w:tc>
          <w:tcPr>
            <w:tcW w:w="1134"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欧洲</w:t>
            </w:r>
          </w:p>
        </w:tc>
        <w:tc>
          <w:tcPr>
            <w:tcW w:w="992"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欧洲</w:t>
            </w:r>
          </w:p>
        </w:tc>
        <w:tc>
          <w:tcPr>
            <w:tcW w:w="993"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销售</w:t>
            </w:r>
          </w:p>
        </w:tc>
        <w:tc>
          <w:tcPr>
            <w:tcW w:w="1701" w:type="dxa"/>
            <w:vAlign w:val="center"/>
          </w:tcPr>
          <w:p w:rsidR="00E10CD6" w:rsidRPr="0027505B" w:rsidRDefault="007548E9" w:rsidP="0027505B">
            <w:pPr>
              <w:jc w:val="right"/>
              <w:rPr>
                <w:rFonts w:eastAsia="宋体" w:cs="Times New Roman"/>
                <w:sz w:val="16"/>
                <w:szCs w:val="16"/>
              </w:rPr>
            </w:pPr>
            <w:r w:rsidRPr="0027505B">
              <w:rPr>
                <w:rFonts w:eastAsia="宋体" w:cs="Times New Roman"/>
                <w:sz w:val="16"/>
                <w:szCs w:val="16"/>
              </w:rPr>
              <w:t>100.00</w:t>
            </w:r>
          </w:p>
        </w:tc>
        <w:tc>
          <w:tcPr>
            <w:tcW w:w="1736" w:type="dxa"/>
            <w:gridSpan w:val="2"/>
            <w:vAlign w:val="center"/>
          </w:tcPr>
          <w:p w:rsidR="00E10CD6" w:rsidRPr="0027505B" w:rsidRDefault="00E10CD6" w:rsidP="0027505B">
            <w:pPr>
              <w:jc w:val="right"/>
              <w:rPr>
                <w:rFonts w:eastAsia="宋体" w:cs="Times New Roman"/>
                <w:sz w:val="16"/>
                <w:szCs w:val="16"/>
              </w:rPr>
            </w:pPr>
            <w:r w:rsidRPr="0027505B">
              <w:rPr>
                <w:rFonts w:eastAsia="宋体" w:cs="Times New Roman"/>
                <w:sz w:val="16"/>
                <w:szCs w:val="16"/>
              </w:rPr>
              <w:t>100.00</w:t>
            </w:r>
          </w:p>
        </w:tc>
        <w:tc>
          <w:tcPr>
            <w:tcW w:w="1771"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投资设立</w:t>
            </w:r>
          </w:p>
        </w:tc>
      </w:tr>
      <w:tr w:rsidR="00E10CD6" w:rsidRPr="00217928" w:rsidTr="0027505B">
        <w:trPr>
          <w:trHeight w:val="20"/>
        </w:trPr>
        <w:tc>
          <w:tcPr>
            <w:tcW w:w="1123" w:type="dxa"/>
            <w:vAlign w:val="center"/>
          </w:tcPr>
          <w:p w:rsidR="00E10CD6" w:rsidRPr="0027505B" w:rsidRDefault="00E10CD6" w:rsidP="0027505B">
            <w:pPr>
              <w:rPr>
                <w:rFonts w:eastAsia="宋体" w:cs="Times New Roman"/>
                <w:sz w:val="16"/>
                <w:szCs w:val="16"/>
              </w:rPr>
            </w:pPr>
            <w:r w:rsidRPr="0027505B">
              <w:rPr>
                <w:rFonts w:eastAsia="宋体" w:cs="Times New Roman" w:hint="eastAsia"/>
                <w:sz w:val="16"/>
                <w:szCs w:val="16"/>
              </w:rPr>
              <w:t>重庆萤石</w:t>
            </w:r>
          </w:p>
        </w:tc>
        <w:tc>
          <w:tcPr>
            <w:tcW w:w="1134"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重庆</w:t>
            </w:r>
          </w:p>
        </w:tc>
        <w:tc>
          <w:tcPr>
            <w:tcW w:w="992"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重庆</w:t>
            </w:r>
          </w:p>
        </w:tc>
        <w:tc>
          <w:tcPr>
            <w:tcW w:w="993"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生产</w:t>
            </w:r>
          </w:p>
        </w:tc>
        <w:tc>
          <w:tcPr>
            <w:tcW w:w="1701" w:type="dxa"/>
            <w:vAlign w:val="center"/>
          </w:tcPr>
          <w:p w:rsidR="00E10CD6" w:rsidRPr="0027505B" w:rsidRDefault="007548E9" w:rsidP="0027505B">
            <w:pPr>
              <w:jc w:val="right"/>
              <w:rPr>
                <w:rFonts w:eastAsia="宋体" w:cs="Times New Roman"/>
                <w:sz w:val="16"/>
                <w:szCs w:val="16"/>
              </w:rPr>
            </w:pPr>
            <w:r w:rsidRPr="0027505B">
              <w:rPr>
                <w:rFonts w:eastAsia="宋体" w:cs="Times New Roman"/>
                <w:sz w:val="16"/>
                <w:szCs w:val="16"/>
              </w:rPr>
              <w:t>100.00</w:t>
            </w:r>
          </w:p>
        </w:tc>
        <w:tc>
          <w:tcPr>
            <w:tcW w:w="1736" w:type="dxa"/>
            <w:gridSpan w:val="2"/>
            <w:vAlign w:val="center"/>
          </w:tcPr>
          <w:p w:rsidR="00E10CD6" w:rsidRPr="0027505B" w:rsidRDefault="00E10CD6" w:rsidP="0027505B">
            <w:pPr>
              <w:jc w:val="right"/>
              <w:rPr>
                <w:rFonts w:eastAsia="宋体" w:cs="Times New Roman"/>
                <w:sz w:val="16"/>
                <w:szCs w:val="16"/>
              </w:rPr>
            </w:pPr>
            <w:r w:rsidRPr="0027505B">
              <w:rPr>
                <w:rFonts w:eastAsia="宋体" w:cs="Times New Roman"/>
                <w:sz w:val="16"/>
                <w:szCs w:val="16"/>
              </w:rPr>
              <w:t>100.00</w:t>
            </w:r>
          </w:p>
        </w:tc>
        <w:tc>
          <w:tcPr>
            <w:tcW w:w="1771" w:type="dxa"/>
            <w:vAlign w:val="center"/>
          </w:tcPr>
          <w:p w:rsidR="00E10CD6" w:rsidRPr="0027505B" w:rsidRDefault="00E10CD6" w:rsidP="0027505B">
            <w:pPr>
              <w:jc w:val="center"/>
              <w:rPr>
                <w:rFonts w:eastAsia="宋体" w:cs="Times New Roman"/>
                <w:sz w:val="16"/>
                <w:szCs w:val="16"/>
              </w:rPr>
            </w:pPr>
            <w:r w:rsidRPr="0027505B">
              <w:rPr>
                <w:rFonts w:eastAsia="宋体" w:cs="Times New Roman" w:hint="eastAsia"/>
                <w:sz w:val="16"/>
                <w:szCs w:val="16"/>
              </w:rPr>
              <w:t>投资设立</w:t>
            </w:r>
          </w:p>
        </w:tc>
      </w:tr>
    </w:tbl>
    <w:p w:rsidR="00C229A6" w:rsidRDefault="00C229A6">
      <w:pPr>
        <w:adjustRightInd/>
        <w:snapToGrid/>
        <w:rPr>
          <w:rFonts w:eastAsia="宋体" w:cs="Times New Roman"/>
          <w:szCs w:val="21"/>
          <w:lang w:val="en-GB"/>
        </w:rPr>
      </w:pPr>
    </w:p>
    <w:p w:rsidR="00217928" w:rsidRDefault="00217928">
      <w:pPr>
        <w:adjustRightInd/>
        <w:snapToGrid/>
        <w:rPr>
          <w:rFonts w:eastAsia="宋体" w:cs="Times New Roman"/>
          <w:szCs w:val="21"/>
          <w:lang w:val="en-GB"/>
        </w:rPr>
      </w:pPr>
    </w:p>
    <w:p w:rsidR="004D05EE" w:rsidRPr="004D05EE" w:rsidRDefault="004D05EE" w:rsidP="004D05EE">
      <w:pPr>
        <w:pStyle w:val="1"/>
        <w:keepNext w:val="0"/>
        <w:keepLines w:val="0"/>
        <w:adjustRightInd w:val="0"/>
        <w:snapToGrid w:val="0"/>
        <w:ind w:left="720" w:hanging="720"/>
        <w:contextualSpacing w:val="0"/>
        <w:jc w:val="both"/>
        <w:rPr>
          <w:rFonts w:ascii="Times New Roman" w:hAnsi="Times New Roman" w:cs="Times New Roman"/>
        </w:rPr>
      </w:pPr>
      <w:r>
        <w:rPr>
          <w:rFonts w:ascii="Times New Roman" w:hAnsi="Times New Roman" w:cs="Times New Roman" w:hint="eastAsia"/>
        </w:rPr>
        <w:t>政府补助</w:t>
      </w:r>
    </w:p>
    <w:p w:rsidR="00F34737" w:rsidRDefault="00F34737" w:rsidP="00F66363">
      <w:pPr>
        <w:ind w:left="1440" w:hanging="720"/>
        <w:jc w:val="both"/>
        <w:rPr>
          <w:rFonts w:eastAsia="宋体" w:cs="Times New Roman"/>
          <w:szCs w:val="21"/>
          <w:lang w:val="en-GB"/>
        </w:rPr>
      </w:pPr>
    </w:p>
    <w:p w:rsidR="004D05EE" w:rsidRPr="00A71D2E" w:rsidRDefault="004D05EE" w:rsidP="0027505B">
      <w:pPr>
        <w:pStyle w:val="2"/>
        <w:numPr>
          <w:ilvl w:val="0"/>
          <w:numId w:val="22"/>
        </w:numPr>
        <w:adjustRightInd w:val="0"/>
        <w:snapToGrid w:val="0"/>
        <w:ind w:leftChars="343" w:left="1439" w:hangingChars="341" w:hanging="719"/>
        <w:contextualSpacing w:val="0"/>
        <w:jc w:val="both"/>
        <w:rPr>
          <w:rFonts w:ascii="Times New Roman" w:eastAsia="宋体" w:hAnsi="Times New Roman" w:cs="Times New Roman"/>
          <w:szCs w:val="21"/>
        </w:rPr>
      </w:pPr>
      <w:r>
        <w:rPr>
          <w:rFonts w:ascii="Times New Roman" w:eastAsia="宋体" w:hAnsi="Times New Roman" w:cs="Times New Roman" w:hint="eastAsia"/>
        </w:rPr>
        <w:t>涉及政府补助的负债项目</w:t>
      </w:r>
    </w:p>
    <w:p w:rsidR="004D05EE" w:rsidRDefault="004D05EE" w:rsidP="0027505B">
      <w:pPr>
        <w:ind w:left="1440" w:rightChars="3" w:right="6" w:hanging="720"/>
        <w:jc w:val="right"/>
        <w:rPr>
          <w:rFonts w:eastAsia="宋体" w:cs="Times New Roman"/>
          <w:szCs w:val="21"/>
          <w:lang w:val="en-GB"/>
        </w:rPr>
      </w:pPr>
      <w:r>
        <w:rPr>
          <w:rFonts w:eastAsia="宋体" w:cs="Times New Roman" w:hint="eastAsia"/>
          <w:szCs w:val="21"/>
          <w:lang w:val="en-GB"/>
        </w:rPr>
        <w:t>单位</w:t>
      </w:r>
      <w:r w:rsidR="005F14EE">
        <w:rPr>
          <w:rFonts w:eastAsia="宋体" w:cs="Times New Roman" w:hint="eastAsia"/>
          <w:szCs w:val="21"/>
          <w:lang w:val="en-GB"/>
        </w:rPr>
        <w:t>：</w:t>
      </w:r>
      <w:r>
        <w:rPr>
          <w:rFonts w:eastAsia="宋体" w:cs="Times New Roman" w:hint="eastAsia"/>
          <w:szCs w:val="21"/>
          <w:lang w:val="en-GB"/>
        </w:rPr>
        <w:t>人民币元</w:t>
      </w:r>
    </w:p>
    <w:tbl>
      <w:tblPr>
        <w:tblStyle w:val="aff5"/>
        <w:tblW w:w="9450" w:type="dxa"/>
        <w:tblInd w:w="715" w:type="dxa"/>
        <w:tblLayout w:type="fixed"/>
        <w:tblLook w:val="04A0" w:firstRow="1" w:lastRow="0" w:firstColumn="1" w:lastColumn="0" w:noHBand="0" w:noVBand="1"/>
      </w:tblPr>
      <w:tblGrid>
        <w:gridCol w:w="1930"/>
        <w:gridCol w:w="1403"/>
        <w:gridCol w:w="1404"/>
        <w:gridCol w:w="1403"/>
        <w:gridCol w:w="1404"/>
        <w:gridCol w:w="1906"/>
      </w:tblGrid>
      <w:tr w:rsidR="004B184F" w:rsidRPr="00217928" w:rsidTr="0027505B">
        <w:trPr>
          <w:trHeight w:val="20"/>
        </w:trPr>
        <w:tc>
          <w:tcPr>
            <w:tcW w:w="1930" w:type="dxa"/>
            <w:shd w:val="clear" w:color="auto" w:fill="D9D9D9" w:themeFill="background1" w:themeFillShade="D9"/>
            <w:vAlign w:val="center"/>
          </w:tcPr>
          <w:p w:rsidR="004B184F" w:rsidRPr="0027505B" w:rsidRDefault="004B184F" w:rsidP="004B184F">
            <w:pPr>
              <w:jc w:val="center"/>
              <w:rPr>
                <w:sz w:val="18"/>
                <w:szCs w:val="18"/>
                <w:lang w:val="en-GB"/>
              </w:rPr>
            </w:pPr>
            <w:r w:rsidRPr="0027505B">
              <w:rPr>
                <w:rFonts w:hint="eastAsia"/>
                <w:sz w:val="18"/>
                <w:szCs w:val="18"/>
                <w:lang w:val="en-GB"/>
              </w:rPr>
              <w:t>负债项目</w:t>
            </w:r>
          </w:p>
        </w:tc>
        <w:tc>
          <w:tcPr>
            <w:tcW w:w="1403" w:type="dxa"/>
            <w:shd w:val="clear" w:color="auto" w:fill="D9D9D9" w:themeFill="background1" w:themeFillShade="D9"/>
            <w:vAlign w:val="center"/>
          </w:tcPr>
          <w:p w:rsidR="004B184F" w:rsidRPr="0027505B" w:rsidRDefault="004B184F" w:rsidP="004B184F">
            <w:pPr>
              <w:jc w:val="center"/>
              <w:rPr>
                <w:sz w:val="18"/>
                <w:szCs w:val="18"/>
                <w:lang w:val="en-GB"/>
              </w:rPr>
            </w:pPr>
            <w:r w:rsidRPr="0027505B">
              <w:rPr>
                <w:rFonts w:hint="eastAsia"/>
                <w:sz w:val="18"/>
                <w:szCs w:val="18"/>
                <w:lang w:val="en-GB"/>
              </w:rPr>
              <w:t>年初</w:t>
            </w:r>
          </w:p>
          <w:p w:rsidR="004B184F" w:rsidRPr="0027505B" w:rsidRDefault="004B184F" w:rsidP="004B184F">
            <w:pPr>
              <w:jc w:val="center"/>
              <w:rPr>
                <w:sz w:val="18"/>
                <w:szCs w:val="18"/>
                <w:lang w:val="en-GB"/>
              </w:rPr>
            </w:pPr>
            <w:r w:rsidRPr="0027505B">
              <w:rPr>
                <w:rFonts w:hint="eastAsia"/>
                <w:sz w:val="18"/>
                <w:szCs w:val="18"/>
                <w:lang w:val="en-GB"/>
              </w:rPr>
              <w:t>余额</w:t>
            </w:r>
          </w:p>
        </w:tc>
        <w:tc>
          <w:tcPr>
            <w:tcW w:w="1404" w:type="dxa"/>
            <w:shd w:val="clear" w:color="auto" w:fill="D9D9D9" w:themeFill="background1" w:themeFillShade="D9"/>
            <w:vAlign w:val="center"/>
          </w:tcPr>
          <w:p w:rsidR="004B184F" w:rsidRPr="0027505B" w:rsidRDefault="004B184F" w:rsidP="004B184F">
            <w:pPr>
              <w:jc w:val="center"/>
              <w:rPr>
                <w:sz w:val="18"/>
                <w:szCs w:val="18"/>
                <w:lang w:val="en-GB"/>
              </w:rPr>
            </w:pPr>
            <w:r w:rsidRPr="0027505B">
              <w:rPr>
                <w:rFonts w:hint="eastAsia"/>
                <w:sz w:val="18"/>
                <w:szCs w:val="18"/>
                <w:lang w:val="en-GB"/>
              </w:rPr>
              <w:t>本年新增</w:t>
            </w:r>
          </w:p>
          <w:p w:rsidR="004B184F" w:rsidRPr="0027505B" w:rsidRDefault="004B184F" w:rsidP="004B184F">
            <w:pPr>
              <w:jc w:val="center"/>
              <w:rPr>
                <w:sz w:val="18"/>
                <w:szCs w:val="18"/>
                <w:lang w:val="en-GB"/>
              </w:rPr>
            </w:pPr>
            <w:r w:rsidRPr="0027505B">
              <w:rPr>
                <w:rFonts w:hint="eastAsia"/>
                <w:sz w:val="18"/>
                <w:szCs w:val="18"/>
                <w:lang w:val="en-GB"/>
              </w:rPr>
              <w:t>补助金额</w:t>
            </w:r>
          </w:p>
        </w:tc>
        <w:tc>
          <w:tcPr>
            <w:tcW w:w="1403" w:type="dxa"/>
            <w:shd w:val="clear" w:color="auto" w:fill="D9D9D9" w:themeFill="background1" w:themeFillShade="D9"/>
            <w:vAlign w:val="center"/>
          </w:tcPr>
          <w:p w:rsidR="004B184F" w:rsidRPr="0027505B" w:rsidRDefault="004B184F" w:rsidP="004B184F">
            <w:pPr>
              <w:jc w:val="center"/>
              <w:rPr>
                <w:sz w:val="18"/>
                <w:szCs w:val="18"/>
                <w:lang w:val="en-GB"/>
              </w:rPr>
            </w:pPr>
            <w:r w:rsidRPr="0027505B">
              <w:rPr>
                <w:rFonts w:hint="eastAsia"/>
                <w:sz w:val="18"/>
                <w:szCs w:val="18"/>
                <w:lang w:val="en-GB"/>
              </w:rPr>
              <w:t>本年计入其</w:t>
            </w:r>
          </w:p>
          <w:p w:rsidR="004B184F" w:rsidRPr="0027505B" w:rsidRDefault="004B184F" w:rsidP="004B184F">
            <w:pPr>
              <w:jc w:val="center"/>
              <w:rPr>
                <w:sz w:val="18"/>
                <w:szCs w:val="18"/>
                <w:lang w:val="en-GB"/>
              </w:rPr>
            </w:pPr>
            <w:proofErr w:type="gramStart"/>
            <w:r w:rsidRPr="0027505B">
              <w:rPr>
                <w:rFonts w:hint="eastAsia"/>
                <w:sz w:val="18"/>
                <w:szCs w:val="18"/>
                <w:lang w:val="en-GB"/>
              </w:rPr>
              <w:t>他收益</w:t>
            </w:r>
            <w:proofErr w:type="gramEnd"/>
            <w:r w:rsidRPr="0027505B">
              <w:rPr>
                <w:rFonts w:hint="eastAsia"/>
                <w:sz w:val="18"/>
                <w:szCs w:val="18"/>
                <w:lang w:val="en-GB"/>
              </w:rPr>
              <w:t>金额</w:t>
            </w:r>
          </w:p>
        </w:tc>
        <w:tc>
          <w:tcPr>
            <w:tcW w:w="1404" w:type="dxa"/>
            <w:shd w:val="clear" w:color="auto" w:fill="D9D9D9" w:themeFill="background1" w:themeFillShade="D9"/>
            <w:vAlign w:val="center"/>
          </w:tcPr>
          <w:p w:rsidR="004B184F" w:rsidRPr="0027505B" w:rsidRDefault="004B184F" w:rsidP="004B184F">
            <w:pPr>
              <w:jc w:val="center"/>
              <w:rPr>
                <w:sz w:val="18"/>
                <w:szCs w:val="18"/>
                <w:lang w:val="en-GB"/>
              </w:rPr>
            </w:pPr>
            <w:r w:rsidRPr="0027505B">
              <w:rPr>
                <w:rFonts w:hint="eastAsia"/>
                <w:sz w:val="18"/>
                <w:szCs w:val="18"/>
                <w:lang w:val="en-GB"/>
              </w:rPr>
              <w:t>年末</w:t>
            </w:r>
          </w:p>
          <w:p w:rsidR="004B184F" w:rsidRPr="0027505B" w:rsidRDefault="004B184F" w:rsidP="004B184F">
            <w:pPr>
              <w:jc w:val="center"/>
              <w:rPr>
                <w:sz w:val="18"/>
                <w:szCs w:val="18"/>
                <w:lang w:val="en-GB"/>
              </w:rPr>
            </w:pPr>
            <w:r w:rsidRPr="0027505B">
              <w:rPr>
                <w:rFonts w:hint="eastAsia"/>
                <w:sz w:val="18"/>
                <w:szCs w:val="18"/>
                <w:lang w:val="en-GB"/>
              </w:rPr>
              <w:t>余额</w:t>
            </w:r>
          </w:p>
        </w:tc>
        <w:tc>
          <w:tcPr>
            <w:tcW w:w="1906" w:type="dxa"/>
            <w:shd w:val="clear" w:color="auto" w:fill="D9D9D9" w:themeFill="background1" w:themeFillShade="D9"/>
            <w:vAlign w:val="center"/>
          </w:tcPr>
          <w:p w:rsidR="004B184F" w:rsidRPr="0027505B" w:rsidRDefault="004B184F" w:rsidP="004B184F">
            <w:pPr>
              <w:jc w:val="center"/>
              <w:rPr>
                <w:sz w:val="18"/>
                <w:szCs w:val="18"/>
                <w:lang w:val="en-GB"/>
              </w:rPr>
            </w:pPr>
            <w:r w:rsidRPr="0027505B">
              <w:rPr>
                <w:rFonts w:hint="eastAsia"/>
                <w:sz w:val="18"/>
                <w:szCs w:val="18"/>
                <w:lang w:val="en-GB"/>
              </w:rPr>
              <w:t>与资产相关</w:t>
            </w:r>
          </w:p>
          <w:p w:rsidR="004B184F" w:rsidRPr="0027505B" w:rsidRDefault="004B184F" w:rsidP="004B184F">
            <w:pPr>
              <w:jc w:val="center"/>
              <w:rPr>
                <w:sz w:val="18"/>
                <w:szCs w:val="18"/>
                <w:lang w:val="en-GB"/>
              </w:rPr>
            </w:pPr>
            <w:r w:rsidRPr="0027505B">
              <w:rPr>
                <w:sz w:val="18"/>
                <w:szCs w:val="18"/>
                <w:lang w:val="en-GB"/>
              </w:rPr>
              <w:t>/</w:t>
            </w:r>
            <w:r w:rsidRPr="0027505B">
              <w:rPr>
                <w:rFonts w:hint="eastAsia"/>
                <w:sz w:val="18"/>
                <w:szCs w:val="18"/>
                <w:lang w:val="en-GB"/>
              </w:rPr>
              <w:t>与收益相关</w:t>
            </w:r>
          </w:p>
        </w:tc>
      </w:tr>
      <w:tr w:rsidR="0076236E" w:rsidRPr="00217928" w:rsidTr="0027505B">
        <w:trPr>
          <w:trHeight w:val="20"/>
        </w:trPr>
        <w:tc>
          <w:tcPr>
            <w:tcW w:w="1930" w:type="dxa"/>
            <w:vAlign w:val="center"/>
          </w:tcPr>
          <w:p w:rsidR="0076236E" w:rsidRPr="00217928" w:rsidRDefault="0076236E" w:rsidP="0076236E">
            <w:pPr>
              <w:rPr>
                <w:sz w:val="18"/>
                <w:szCs w:val="18"/>
              </w:rPr>
            </w:pPr>
            <w:r w:rsidRPr="00217928">
              <w:rPr>
                <w:rFonts w:hint="eastAsia"/>
                <w:sz w:val="18"/>
                <w:szCs w:val="18"/>
              </w:rPr>
              <w:t>专项补助</w:t>
            </w:r>
          </w:p>
        </w:tc>
        <w:tc>
          <w:tcPr>
            <w:tcW w:w="1403" w:type="dxa"/>
            <w:vAlign w:val="center"/>
          </w:tcPr>
          <w:p w:rsidR="0076236E" w:rsidRPr="00217928" w:rsidRDefault="0076236E" w:rsidP="0076236E">
            <w:pPr>
              <w:jc w:val="right"/>
              <w:rPr>
                <w:sz w:val="18"/>
                <w:szCs w:val="18"/>
              </w:rPr>
            </w:pPr>
            <w:r w:rsidRPr="00217928">
              <w:rPr>
                <w:sz w:val="18"/>
                <w:szCs w:val="18"/>
              </w:rPr>
              <w:t xml:space="preserve">173,532,203.51 </w:t>
            </w:r>
          </w:p>
        </w:tc>
        <w:tc>
          <w:tcPr>
            <w:tcW w:w="1404" w:type="dxa"/>
            <w:vAlign w:val="center"/>
          </w:tcPr>
          <w:p w:rsidR="0076236E" w:rsidRPr="00217928" w:rsidRDefault="0076236E" w:rsidP="0076236E">
            <w:pPr>
              <w:jc w:val="right"/>
              <w:rPr>
                <w:sz w:val="18"/>
                <w:szCs w:val="18"/>
              </w:rPr>
            </w:pPr>
            <w:r w:rsidRPr="00217928">
              <w:rPr>
                <w:sz w:val="18"/>
                <w:szCs w:val="18"/>
              </w:rPr>
              <w:t xml:space="preserve">18,730,000.00 </w:t>
            </w:r>
          </w:p>
        </w:tc>
        <w:tc>
          <w:tcPr>
            <w:tcW w:w="1403" w:type="dxa"/>
            <w:vAlign w:val="center"/>
          </w:tcPr>
          <w:p w:rsidR="0076236E" w:rsidRPr="00217928" w:rsidRDefault="0076236E" w:rsidP="0076236E">
            <w:pPr>
              <w:jc w:val="right"/>
              <w:rPr>
                <w:sz w:val="18"/>
                <w:szCs w:val="18"/>
              </w:rPr>
            </w:pPr>
            <w:r w:rsidRPr="00217928">
              <w:rPr>
                <w:sz w:val="18"/>
                <w:szCs w:val="18"/>
              </w:rPr>
              <w:t xml:space="preserve">3,572,339.24 </w:t>
            </w:r>
          </w:p>
        </w:tc>
        <w:tc>
          <w:tcPr>
            <w:tcW w:w="1404" w:type="dxa"/>
            <w:vAlign w:val="center"/>
          </w:tcPr>
          <w:p w:rsidR="0076236E" w:rsidRPr="00217928" w:rsidRDefault="0076236E" w:rsidP="0076236E">
            <w:pPr>
              <w:jc w:val="right"/>
              <w:rPr>
                <w:sz w:val="18"/>
                <w:szCs w:val="18"/>
              </w:rPr>
            </w:pPr>
            <w:r w:rsidRPr="00217928">
              <w:rPr>
                <w:sz w:val="18"/>
                <w:szCs w:val="18"/>
              </w:rPr>
              <w:t xml:space="preserve">188,689,864.27 </w:t>
            </w:r>
          </w:p>
        </w:tc>
        <w:tc>
          <w:tcPr>
            <w:tcW w:w="1906" w:type="dxa"/>
            <w:vAlign w:val="center"/>
          </w:tcPr>
          <w:p w:rsidR="0076236E" w:rsidRPr="00217928" w:rsidRDefault="0076236E" w:rsidP="0076236E">
            <w:pPr>
              <w:jc w:val="center"/>
              <w:rPr>
                <w:sz w:val="18"/>
                <w:szCs w:val="18"/>
              </w:rPr>
            </w:pPr>
            <w:r w:rsidRPr="00217928">
              <w:rPr>
                <w:rFonts w:hint="eastAsia"/>
                <w:sz w:val="18"/>
                <w:szCs w:val="18"/>
              </w:rPr>
              <w:t>与资产相关</w:t>
            </w:r>
          </w:p>
        </w:tc>
      </w:tr>
      <w:tr w:rsidR="005201E6" w:rsidRPr="00217928" w:rsidTr="0027505B">
        <w:trPr>
          <w:trHeight w:val="20"/>
        </w:trPr>
        <w:tc>
          <w:tcPr>
            <w:tcW w:w="1930" w:type="dxa"/>
            <w:vAlign w:val="center"/>
          </w:tcPr>
          <w:p w:rsidR="005201E6" w:rsidRPr="00217928" w:rsidRDefault="0076236E" w:rsidP="00F66363">
            <w:pPr>
              <w:rPr>
                <w:sz w:val="18"/>
                <w:szCs w:val="18"/>
              </w:rPr>
            </w:pPr>
            <w:r w:rsidRPr="00217928">
              <w:rPr>
                <w:rFonts w:hint="eastAsia"/>
                <w:sz w:val="18"/>
                <w:szCs w:val="18"/>
              </w:rPr>
              <w:t>专项补助</w:t>
            </w:r>
          </w:p>
        </w:tc>
        <w:tc>
          <w:tcPr>
            <w:tcW w:w="1403" w:type="dxa"/>
            <w:vAlign w:val="center"/>
          </w:tcPr>
          <w:p w:rsidR="005201E6" w:rsidRPr="00217928" w:rsidRDefault="005201E6" w:rsidP="005201E6">
            <w:pPr>
              <w:jc w:val="right"/>
              <w:rPr>
                <w:sz w:val="18"/>
                <w:szCs w:val="18"/>
              </w:rPr>
            </w:pPr>
            <w:r w:rsidRPr="00217928">
              <w:rPr>
                <w:sz w:val="18"/>
                <w:szCs w:val="18"/>
              </w:rPr>
              <w:t>816,070.54</w:t>
            </w:r>
          </w:p>
        </w:tc>
        <w:tc>
          <w:tcPr>
            <w:tcW w:w="1404" w:type="dxa"/>
            <w:vAlign w:val="center"/>
          </w:tcPr>
          <w:p w:rsidR="005201E6" w:rsidRPr="00217928" w:rsidRDefault="00217928" w:rsidP="00B46356">
            <w:pPr>
              <w:wordWrap w:val="0"/>
              <w:jc w:val="right"/>
              <w:rPr>
                <w:sz w:val="18"/>
                <w:szCs w:val="18"/>
              </w:rPr>
            </w:pPr>
            <w:r w:rsidRPr="00217928">
              <w:rPr>
                <w:sz w:val="18"/>
                <w:szCs w:val="18"/>
              </w:rPr>
              <w:t>-    </w:t>
            </w:r>
          </w:p>
        </w:tc>
        <w:tc>
          <w:tcPr>
            <w:tcW w:w="1403" w:type="dxa"/>
            <w:vAlign w:val="center"/>
          </w:tcPr>
          <w:p w:rsidR="005201E6" w:rsidRPr="00217928" w:rsidRDefault="005201E6" w:rsidP="005201E6">
            <w:pPr>
              <w:jc w:val="right"/>
              <w:rPr>
                <w:sz w:val="18"/>
                <w:szCs w:val="18"/>
              </w:rPr>
            </w:pPr>
            <w:r w:rsidRPr="00217928">
              <w:rPr>
                <w:sz w:val="18"/>
                <w:szCs w:val="18"/>
              </w:rPr>
              <w:t>227,740.61</w:t>
            </w:r>
          </w:p>
        </w:tc>
        <w:tc>
          <w:tcPr>
            <w:tcW w:w="1404" w:type="dxa"/>
            <w:vAlign w:val="center"/>
          </w:tcPr>
          <w:p w:rsidR="005201E6" w:rsidRPr="00217928" w:rsidRDefault="005201E6" w:rsidP="005201E6">
            <w:pPr>
              <w:jc w:val="right"/>
              <w:rPr>
                <w:sz w:val="18"/>
                <w:szCs w:val="18"/>
              </w:rPr>
            </w:pPr>
            <w:r w:rsidRPr="00217928">
              <w:rPr>
                <w:sz w:val="18"/>
                <w:szCs w:val="18"/>
              </w:rPr>
              <w:t>588,329.93</w:t>
            </w:r>
          </w:p>
        </w:tc>
        <w:tc>
          <w:tcPr>
            <w:tcW w:w="1906" w:type="dxa"/>
            <w:vAlign w:val="center"/>
          </w:tcPr>
          <w:p w:rsidR="005201E6" w:rsidRPr="00217928" w:rsidRDefault="005201E6" w:rsidP="005201E6">
            <w:pPr>
              <w:jc w:val="center"/>
              <w:rPr>
                <w:sz w:val="18"/>
                <w:szCs w:val="18"/>
              </w:rPr>
            </w:pPr>
            <w:r w:rsidRPr="00217928">
              <w:rPr>
                <w:rFonts w:hint="eastAsia"/>
                <w:sz w:val="18"/>
                <w:szCs w:val="18"/>
              </w:rPr>
              <w:t>与收益相关</w:t>
            </w:r>
          </w:p>
        </w:tc>
      </w:tr>
      <w:tr w:rsidR="00B46356" w:rsidRPr="00217928" w:rsidTr="0027505B">
        <w:trPr>
          <w:trHeight w:val="20"/>
        </w:trPr>
        <w:tc>
          <w:tcPr>
            <w:tcW w:w="1930" w:type="dxa"/>
            <w:shd w:val="clear" w:color="auto" w:fill="D9D9D9" w:themeFill="background1" w:themeFillShade="D9"/>
            <w:vAlign w:val="center"/>
          </w:tcPr>
          <w:p w:rsidR="00B46356" w:rsidRPr="0027505B" w:rsidRDefault="00B46356" w:rsidP="00B46356">
            <w:pPr>
              <w:rPr>
                <w:sz w:val="18"/>
                <w:szCs w:val="18"/>
                <w:lang w:val="en-GB"/>
              </w:rPr>
            </w:pPr>
            <w:r w:rsidRPr="0027505B">
              <w:rPr>
                <w:rFonts w:hint="eastAsia"/>
                <w:sz w:val="18"/>
                <w:szCs w:val="18"/>
                <w:lang w:val="en-GB"/>
              </w:rPr>
              <w:t>合计</w:t>
            </w:r>
          </w:p>
        </w:tc>
        <w:tc>
          <w:tcPr>
            <w:tcW w:w="1403" w:type="dxa"/>
            <w:vAlign w:val="center"/>
          </w:tcPr>
          <w:p w:rsidR="00B46356" w:rsidRPr="00217928" w:rsidRDefault="00C8710C" w:rsidP="00C8710C">
            <w:pPr>
              <w:jc w:val="right"/>
              <w:rPr>
                <w:sz w:val="18"/>
                <w:szCs w:val="18"/>
                <w:lang w:val="en-GB"/>
              </w:rPr>
            </w:pPr>
            <w:r w:rsidRPr="00217928">
              <w:rPr>
                <w:sz w:val="18"/>
                <w:szCs w:val="18"/>
                <w:lang w:val="en-GB"/>
              </w:rPr>
              <w:t>174,348,274.05</w:t>
            </w:r>
          </w:p>
        </w:tc>
        <w:tc>
          <w:tcPr>
            <w:tcW w:w="1404" w:type="dxa"/>
            <w:vAlign w:val="center"/>
          </w:tcPr>
          <w:p w:rsidR="00B46356" w:rsidRPr="00217928" w:rsidRDefault="00C8710C" w:rsidP="00C8710C">
            <w:pPr>
              <w:jc w:val="right"/>
              <w:rPr>
                <w:sz w:val="18"/>
                <w:szCs w:val="18"/>
                <w:lang w:val="en-GB"/>
              </w:rPr>
            </w:pPr>
            <w:r w:rsidRPr="00217928">
              <w:rPr>
                <w:sz w:val="18"/>
                <w:szCs w:val="18"/>
                <w:lang w:val="en-GB"/>
              </w:rPr>
              <w:t>18,730,000.00</w:t>
            </w:r>
          </w:p>
        </w:tc>
        <w:tc>
          <w:tcPr>
            <w:tcW w:w="1403" w:type="dxa"/>
            <w:vAlign w:val="center"/>
          </w:tcPr>
          <w:p w:rsidR="00B46356" w:rsidRPr="00217928" w:rsidRDefault="00C8710C" w:rsidP="00C8710C">
            <w:pPr>
              <w:jc w:val="right"/>
              <w:rPr>
                <w:sz w:val="18"/>
                <w:szCs w:val="18"/>
                <w:lang w:val="en-GB"/>
              </w:rPr>
            </w:pPr>
            <w:r w:rsidRPr="00217928">
              <w:rPr>
                <w:sz w:val="18"/>
                <w:szCs w:val="18"/>
                <w:lang w:val="en-GB"/>
              </w:rPr>
              <w:t>3,800,079.85</w:t>
            </w:r>
          </w:p>
        </w:tc>
        <w:tc>
          <w:tcPr>
            <w:tcW w:w="1404" w:type="dxa"/>
            <w:vAlign w:val="center"/>
          </w:tcPr>
          <w:p w:rsidR="00B46356" w:rsidRPr="00217928" w:rsidRDefault="00C8710C" w:rsidP="00C8710C">
            <w:pPr>
              <w:jc w:val="right"/>
              <w:rPr>
                <w:sz w:val="18"/>
                <w:szCs w:val="18"/>
                <w:lang w:val="en-GB"/>
              </w:rPr>
            </w:pPr>
            <w:r w:rsidRPr="00217928">
              <w:rPr>
                <w:sz w:val="18"/>
                <w:szCs w:val="18"/>
                <w:lang w:val="en-GB"/>
              </w:rPr>
              <w:t>189,278,194.20</w:t>
            </w:r>
          </w:p>
        </w:tc>
        <w:tc>
          <w:tcPr>
            <w:tcW w:w="1906" w:type="dxa"/>
            <w:vAlign w:val="center"/>
          </w:tcPr>
          <w:p w:rsidR="00B46356" w:rsidRPr="0027505B" w:rsidRDefault="00B46356" w:rsidP="00B46356">
            <w:pPr>
              <w:jc w:val="center"/>
              <w:rPr>
                <w:sz w:val="18"/>
                <w:szCs w:val="18"/>
                <w:lang w:val="en-GB"/>
              </w:rPr>
            </w:pPr>
            <w:r w:rsidRPr="0027505B">
              <w:rPr>
                <w:sz w:val="18"/>
                <w:szCs w:val="18"/>
                <w:lang w:val="en-GB"/>
              </w:rPr>
              <w:t>/</w:t>
            </w:r>
          </w:p>
        </w:tc>
      </w:tr>
    </w:tbl>
    <w:p w:rsidR="00217928" w:rsidRDefault="00217928" w:rsidP="00F66363">
      <w:pPr>
        <w:ind w:left="1440" w:hanging="720"/>
        <w:jc w:val="both"/>
        <w:rPr>
          <w:rFonts w:eastAsia="宋体" w:cs="Times New Roman"/>
          <w:szCs w:val="21"/>
          <w:lang w:val="en-GB"/>
        </w:rPr>
      </w:pPr>
    </w:p>
    <w:p w:rsidR="00217928" w:rsidRDefault="00217928">
      <w:pPr>
        <w:adjustRightInd/>
        <w:snapToGrid/>
        <w:rPr>
          <w:rFonts w:eastAsia="宋体" w:cs="Times New Roman"/>
          <w:szCs w:val="21"/>
          <w:lang w:val="en-GB"/>
        </w:rPr>
      </w:pPr>
      <w:r>
        <w:rPr>
          <w:rFonts w:eastAsia="宋体" w:cs="Times New Roman"/>
          <w:szCs w:val="21"/>
          <w:lang w:val="en-GB"/>
        </w:rPr>
        <w:br w:type="page"/>
      </w:r>
    </w:p>
    <w:p w:rsidR="004D05EE" w:rsidRDefault="00217928" w:rsidP="0027505B">
      <w:pPr>
        <w:jc w:val="both"/>
        <w:rPr>
          <w:rFonts w:eastAsia="宋体" w:cs="Times New Roman"/>
          <w:szCs w:val="21"/>
          <w:lang w:val="en-GB"/>
        </w:rPr>
      </w:pPr>
      <w:r w:rsidRPr="0027505B">
        <w:rPr>
          <w:rFonts w:eastAsia="宋体" w:cs="Times New Roman"/>
          <w:b/>
          <w:bCs/>
          <w:szCs w:val="21"/>
          <w:lang w:val="en-GB"/>
        </w:rPr>
        <w:t>(</w:t>
      </w:r>
      <w:r w:rsidRPr="0027505B">
        <w:rPr>
          <w:rFonts w:eastAsia="宋体" w:cs="Times New Roman" w:hint="eastAsia"/>
          <w:b/>
          <w:bCs/>
          <w:szCs w:val="21"/>
          <w:lang w:val="en-GB"/>
        </w:rPr>
        <w:t>七</w:t>
      </w:r>
      <w:r w:rsidRPr="0027505B">
        <w:rPr>
          <w:rFonts w:eastAsia="宋体" w:cs="Times New Roman"/>
          <w:b/>
          <w:bCs/>
          <w:szCs w:val="21"/>
          <w:lang w:val="en-GB"/>
        </w:rPr>
        <w:t>)</w:t>
      </w:r>
      <w:r w:rsidRPr="0027505B">
        <w:rPr>
          <w:rFonts w:eastAsia="宋体" w:cs="Times New Roman"/>
          <w:b/>
          <w:bCs/>
          <w:szCs w:val="21"/>
          <w:lang w:val="en-GB"/>
        </w:rPr>
        <w:tab/>
      </w:r>
      <w:r w:rsidRPr="0027505B">
        <w:rPr>
          <w:rFonts w:eastAsia="宋体" w:cs="Times New Roman" w:hint="eastAsia"/>
          <w:b/>
          <w:bCs/>
          <w:szCs w:val="21"/>
          <w:lang w:val="en-GB"/>
        </w:rPr>
        <w:t>政府补助</w:t>
      </w:r>
      <w:r>
        <w:rPr>
          <w:rFonts w:eastAsia="宋体" w:cs="Times New Roman" w:hint="eastAsia"/>
          <w:szCs w:val="21"/>
          <w:lang w:val="en-GB"/>
        </w:rPr>
        <w:t xml:space="preserve"> </w:t>
      </w:r>
      <w:r>
        <w:rPr>
          <w:rFonts w:eastAsia="宋体" w:cs="Times New Roman"/>
          <w:szCs w:val="21"/>
          <w:lang w:val="en-GB"/>
        </w:rPr>
        <w:t xml:space="preserve">- </w:t>
      </w:r>
      <w:r>
        <w:rPr>
          <w:rFonts w:eastAsia="宋体" w:cs="Times New Roman" w:hint="eastAsia"/>
          <w:szCs w:val="21"/>
          <w:lang w:val="en-GB"/>
        </w:rPr>
        <w:t>续</w:t>
      </w:r>
    </w:p>
    <w:p w:rsidR="00217928" w:rsidRDefault="00217928" w:rsidP="00F66363">
      <w:pPr>
        <w:ind w:left="1440" w:hanging="720"/>
        <w:jc w:val="both"/>
        <w:rPr>
          <w:rFonts w:eastAsia="宋体" w:cs="Times New Roman"/>
          <w:szCs w:val="21"/>
          <w:lang w:val="en-GB"/>
        </w:rPr>
      </w:pPr>
    </w:p>
    <w:p w:rsidR="004B184F" w:rsidRPr="00A71D2E" w:rsidRDefault="004B184F" w:rsidP="0027505B">
      <w:pPr>
        <w:pStyle w:val="2"/>
        <w:numPr>
          <w:ilvl w:val="0"/>
          <w:numId w:val="22"/>
        </w:numPr>
        <w:adjustRightInd w:val="0"/>
        <w:snapToGrid w:val="0"/>
        <w:ind w:left="1440" w:hanging="720"/>
        <w:contextualSpacing w:val="0"/>
        <w:jc w:val="both"/>
        <w:rPr>
          <w:rFonts w:ascii="Times New Roman" w:eastAsia="宋体" w:hAnsi="Times New Roman" w:cs="Times New Roman"/>
          <w:szCs w:val="21"/>
        </w:rPr>
      </w:pPr>
      <w:r>
        <w:rPr>
          <w:rFonts w:ascii="Times New Roman" w:eastAsia="宋体" w:hAnsi="Times New Roman" w:cs="Times New Roman" w:hint="eastAsia"/>
        </w:rPr>
        <w:t>计入当期损益的政府补助</w:t>
      </w:r>
    </w:p>
    <w:p w:rsidR="004B184F" w:rsidRPr="004B184F" w:rsidRDefault="004B184F" w:rsidP="004B184F">
      <w:pPr>
        <w:pStyle w:val="aff1"/>
        <w:ind w:left="720" w:rightChars="-13" w:right="-27" w:firstLineChars="0" w:firstLine="0"/>
        <w:jc w:val="right"/>
        <w:rPr>
          <w:szCs w:val="21"/>
          <w:lang w:val="en-GB"/>
        </w:rPr>
      </w:pPr>
      <w:r w:rsidRPr="004B184F">
        <w:rPr>
          <w:rFonts w:hint="eastAsia"/>
          <w:szCs w:val="21"/>
          <w:lang w:val="en-GB"/>
        </w:rPr>
        <w:t>单位</w:t>
      </w:r>
      <w:r w:rsidR="005F14EE">
        <w:rPr>
          <w:rFonts w:hint="eastAsia"/>
          <w:szCs w:val="21"/>
          <w:lang w:val="en-GB"/>
        </w:rPr>
        <w:t>：</w:t>
      </w:r>
      <w:r w:rsidRPr="004B184F">
        <w:rPr>
          <w:rFonts w:hint="eastAsia"/>
          <w:szCs w:val="21"/>
          <w:lang w:val="en-GB"/>
        </w:rPr>
        <w:t>人民币元</w:t>
      </w:r>
    </w:p>
    <w:tbl>
      <w:tblPr>
        <w:tblStyle w:val="aff5"/>
        <w:tblW w:w="0" w:type="auto"/>
        <w:tblInd w:w="715" w:type="dxa"/>
        <w:tblLayout w:type="fixed"/>
        <w:tblLook w:val="04A0" w:firstRow="1" w:lastRow="0" w:firstColumn="1" w:lastColumn="0" w:noHBand="0" w:noVBand="1"/>
      </w:tblPr>
      <w:tblGrid>
        <w:gridCol w:w="5490"/>
        <w:gridCol w:w="1981"/>
        <w:gridCol w:w="1982"/>
      </w:tblGrid>
      <w:tr w:rsidR="004B184F" w:rsidRPr="00217928" w:rsidTr="0027505B">
        <w:trPr>
          <w:trHeight w:val="20"/>
        </w:trPr>
        <w:tc>
          <w:tcPr>
            <w:tcW w:w="5490" w:type="dxa"/>
            <w:shd w:val="clear" w:color="auto" w:fill="D9D9D9" w:themeFill="background1" w:themeFillShade="D9"/>
            <w:vAlign w:val="center"/>
          </w:tcPr>
          <w:p w:rsidR="004B184F" w:rsidRPr="0027505B" w:rsidRDefault="004B184F" w:rsidP="004B184F">
            <w:pPr>
              <w:jc w:val="center"/>
              <w:rPr>
                <w:sz w:val="18"/>
                <w:szCs w:val="18"/>
              </w:rPr>
            </w:pPr>
            <w:r w:rsidRPr="0027505B">
              <w:rPr>
                <w:rFonts w:hint="eastAsia"/>
                <w:sz w:val="18"/>
                <w:szCs w:val="18"/>
              </w:rPr>
              <w:t>补助项目</w:t>
            </w:r>
          </w:p>
        </w:tc>
        <w:tc>
          <w:tcPr>
            <w:tcW w:w="1981" w:type="dxa"/>
            <w:shd w:val="clear" w:color="auto" w:fill="D9D9D9" w:themeFill="background1" w:themeFillShade="D9"/>
            <w:vAlign w:val="center"/>
          </w:tcPr>
          <w:p w:rsidR="004B184F" w:rsidRPr="0027505B" w:rsidRDefault="004B184F" w:rsidP="004B184F">
            <w:pPr>
              <w:jc w:val="center"/>
              <w:rPr>
                <w:sz w:val="18"/>
                <w:szCs w:val="18"/>
              </w:rPr>
            </w:pPr>
            <w:r w:rsidRPr="0027505B">
              <w:rPr>
                <w:rFonts w:hint="eastAsia"/>
                <w:sz w:val="18"/>
                <w:szCs w:val="18"/>
              </w:rPr>
              <w:t>本年发生额</w:t>
            </w:r>
          </w:p>
        </w:tc>
        <w:tc>
          <w:tcPr>
            <w:tcW w:w="1982" w:type="dxa"/>
            <w:shd w:val="clear" w:color="auto" w:fill="D9D9D9" w:themeFill="background1" w:themeFillShade="D9"/>
            <w:vAlign w:val="center"/>
          </w:tcPr>
          <w:p w:rsidR="004B184F" w:rsidRPr="0027505B" w:rsidRDefault="004B184F" w:rsidP="004B184F">
            <w:pPr>
              <w:jc w:val="center"/>
              <w:rPr>
                <w:sz w:val="18"/>
                <w:szCs w:val="18"/>
              </w:rPr>
            </w:pPr>
            <w:r w:rsidRPr="0027505B">
              <w:rPr>
                <w:rFonts w:hint="eastAsia"/>
                <w:sz w:val="18"/>
                <w:szCs w:val="18"/>
              </w:rPr>
              <w:t>上年发生额</w:t>
            </w:r>
          </w:p>
        </w:tc>
      </w:tr>
      <w:tr w:rsidR="004B184F" w:rsidRPr="00217928" w:rsidTr="0027505B">
        <w:trPr>
          <w:trHeight w:val="20"/>
        </w:trPr>
        <w:tc>
          <w:tcPr>
            <w:tcW w:w="5490" w:type="dxa"/>
            <w:vAlign w:val="center"/>
          </w:tcPr>
          <w:p w:rsidR="004B184F" w:rsidRPr="00217928" w:rsidRDefault="005201E6" w:rsidP="00F66363">
            <w:pPr>
              <w:rPr>
                <w:sz w:val="18"/>
                <w:szCs w:val="18"/>
              </w:rPr>
            </w:pPr>
            <w:r w:rsidRPr="00217928">
              <w:rPr>
                <w:rFonts w:hint="eastAsia"/>
                <w:sz w:val="18"/>
                <w:szCs w:val="18"/>
              </w:rPr>
              <w:t>增值税</w:t>
            </w:r>
            <w:r w:rsidR="00C15227" w:rsidRPr="00217928">
              <w:rPr>
                <w:rFonts w:hint="eastAsia"/>
                <w:sz w:val="18"/>
                <w:szCs w:val="18"/>
              </w:rPr>
              <w:t>即征即退</w:t>
            </w:r>
          </w:p>
        </w:tc>
        <w:tc>
          <w:tcPr>
            <w:tcW w:w="1981" w:type="dxa"/>
            <w:vAlign w:val="center"/>
          </w:tcPr>
          <w:p w:rsidR="004B184F" w:rsidRPr="00217928" w:rsidRDefault="005201E6" w:rsidP="005201E6">
            <w:pPr>
              <w:jc w:val="right"/>
              <w:rPr>
                <w:sz w:val="18"/>
                <w:szCs w:val="18"/>
              </w:rPr>
            </w:pPr>
            <w:r w:rsidRPr="00217928">
              <w:rPr>
                <w:sz w:val="18"/>
                <w:szCs w:val="18"/>
              </w:rPr>
              <w:t>47,756,675.04</w:t>
            </w:r>
          </w:p>
        </w:tc>
        <w:tc>
          <w:tcPr>
            <w:tcW w:w="1982" w:type="dxa"/>
            <w:vAlign w:val="center"/>
          </w:tcPr>
          <w:p w:rsidR="004B184F" w:rsidRPr="00217928" w:rsidRDefault="005201E6" w:rsidP="005201E6">
            <w:pPr>
              <w:jc w:val="right"/>
              <w:rPr>
                <w:sz w:val="18"/>
                <w:szCs w:val="18"/>
              </w:rPr>
            </w:pPr>
            <w:r w:rsidRPr="00217928">
              <w:rPr>
                <w:sz w:val="18"/>
                <w:szCs w:val="18"/>
              </w:rPr>
              <w:t>35,415,418.22</w:t>
            </w:r>
          </w:p>
        </w:tc>
      </w:tr>
      <w:tr w:rsidR="005201E6" w:rsidRPr="00217928" w:rsidTr="0027505B">
        <w:trPr>
          <w:trHeight w:val="20"/>
        </w:trPr>
        <w:tc>
          <w:tcPr>
            <w:tcW w:w="5490" w:type="dxa"/>
            <w:vAlign w:val="center"/>
          </w:tcPr>
          <w:p w:rsidR="005201E6" w:rsidRPr="00217928" w:rsidRDefault="005201E6" w:rsidP="00F66363">
            <w:pPr>
              <w:rPr>
                <w:sz w:val="18"/>
                <w:szCs w:val="18"/>
              </w:rPr>
            </w:pPr>
            <w:r w:rsidRPr="00217928">
              <w:rPr>
                <w:rFonts w:hint="eastAsia"/>
                <w:sz w:val="18"/>
                <w:szCs w:val="18"/>
              </w:rPr>
              <w:t>专项补助款</w:t>
            </w:r>
          </w:p>
        </w:tc>
        <w:tc>
          <w:tcPr>
            <w:tcW w:w="1981" w:type="dxa"/>
            <w:vAlign w:val="center"/>
          </w:tcPr>
          <w:p w:rsidR="005201E6" w:rsidRPr="00217928" w:rsidRDefault="005201E6" w:rsidP="005201E6">
            <w:pPr>
              <w:jc w:val="right"/>
              <w:rPr>
                <w:sz w:val="18"/>
                <w:szCs w:val="18"/>
              </w:rPr>
            </w:pPr>
            <w:r w:rsidRPr="00217928">
              <w:rPr>
                <w:sz w:val="18"/>
                <w:szCs w:val="18"/>
              </w:rPr>
              <w:t>19,860,125.45</w:t>
            </w:r>
          </w:p>
        </w:tc>
        <w:tc>
          <w:tcPr>
            <w:tcW w:w="1982" w:type="dxa"/>
            <w:vAlign w:val="center"/>
          </w:tcPr>
          <w:p w:rsidR="005201E6" w:rsidRPr="00217928" w:rsidRDefault="005201E6" w:rsidP="005201E6">
            <w:pPr>
              <w:jc w:val="right"/>
              <w:rPr>
                <w:sz w:val="18"/>
                <w:szCs w:val="18"/>
              </w:rPr>
            </w:pPr>
            <w:r w:rsidRPr="00217928">
              <w:rPr>
                <w:sz w:val="18"/>
                <w:szCs w:val="18"/>
              </w:rPr>
              <w:t>44,046,484.21</w:t>
            </w:r>
          </w:p>
        </w:tc>
      </w:tr>
      <w:tr w:rsidR="004B184F" w:rsidRPr="00217928" w:rsidTr="0027505B">
        <w:trPr>
          <w:trHeight w:val="20"/>
        </w:trPr>
        <w:tc>
          <w:tcPr>
            <w:tcW w:w="5490" w:type="dxa"/>
            <w:shd w:val="clear" w:color="auto" w:fill="D9D9D9" w:themeFill="background1" w:themeFillShade="D9"/>
            <w:vAlign w:val="center"/>
          </w:tcPr>
          <w:p w:rsidR="004B184F" w:rsidRPr="0027505B" w:rsidRDefault="004B184F" w:rsidP="00F66363">
            <w:pPr>
              <w:rPr>
                <w:sz w:val="18"/>
                <w:szCs w:val="18"/>
              </w:rPr>
            </w:pPr>
            <w:r w:rsidRPr="0027505B">
              <w:rPr>
                <w:rFonts w:hint="eastAsia"/>
                <w:sz w:val="18"/>
                <w:szCs w:val="18"/>
              </w:rPr>
              <w:t>合计</w:t>
            </w:r>
          </w:p>
        </w:tc>
        <w:tc>
          <w:tcPr>
            <w:tcW w:w="1981" w:type="dxa"/>
            <w:vAlign w:val="center"/>
          </w:tcPr>
          <w:p w:rsidR="004B184F" w:rsidRPr="00217928" w:rsidRDefault="0027200C" w:rsidP="0027200C">
            <w:pPr>
              <w:jc w:val="right"/>
              <w:rPr>
                <w:sz w:val="18"/>
                <w:szCs w:val="18"/>
              </w:rPr>
            </w:pPr>
            <w:r w:rsidRPr="00217928">
              <w:rPr>
                <w:sz w:val="18"/>
                <w:szCs w:val="18"/>
              </w:rPr>
              <w:t>67,616,800.49</w:t>
            </w:r>
          </w:p>
        </w:tc>
        <w:tc>
          <w:tcPr>
            <w:tcW w:w="1982" w:type="dxa"/>
            <w:vAlign w:val="center"/>
          </w:tcPr>
          <w:p w:rsidR="004B184F" w:rsidRPr="00217928" w:rsidRDefault="0027200C" w:rsidP="0027200C">
            <w:pPr>
              <w:jc w:val="right"/>
              <w:rPr>
                <w:sz w:val="18"/>
                <w:szCs w:val="18"/>
              </w:rPr>
            </w:pPr>
            <w:r w:rsidRPr="00217928">
              <w:rPr>
                <w:sz w:val="18"/>
                <w:szCs w:val="18"/>
              </w:rPr>
              <w:t>79,461,902.43</w:t>
            </w:r>
          </w:p>
        </w:tc>
      </w:tr>
    </w:tbl>
    <w:p w:rsidR="004B184F" w:rsidRDefault="004B184F" w:rsidP="00F66363">
      <w:pPr>
        <w:ind w:left="1440" w:hanging="720"/>
        <w:jc w:val="both"/>
        <w:rPr>
          <w:rFonts w:eastAsia="宋体" w:cs="Times New Roman"/>
          <w:szCs w:val="21"/>
        </w:rPr>
      </w:pPr>
    </w:p>
    <w:p w:rsidR="00C8710C" w:rsidRDefault="00C8710C" w:rsidP="00FE2C30">
      <w:pPr>
        <w:adjustRightInd/>
        <w:snapToGrid/>
        <w:ind w:leftChars="337" w:left="708"/>
        <w:rPr>
          <w:rFonts w:eastAsia="宋体" w:cs="Times New Roman"/>
          <w:szCs w:val="21"/>
        </w:rPr>
      </w:pPr>
    </w:p>
    <w:p w:rsidR="004D05EE" w:rsidRPr="004D05EE" w:rsidRDefault="004D05EE" w:rsidP="004D05EE">
      <w:pPr>
        <w:pStyle w:val="1"/>
        <w:keepNext w:val="0"/>
        <w:keepLines w:val="0"/>
        <w:adjustRightInd w:val="0"/>
        <w:snapToGrid w:val="0"/>
        <w:ind w:left="720" w:hanging="720"/>
        <w:contextualSpacing w:val="0"/>
        <w:jc w:val="both"/>
        <w:rPr>
          <w:rFonts w:ascii="Times New Roman" w:hAnsi="Times New Roman" w:cs="Times New Roman"/>
        </w:rPr>
      </w:pPr>
      <w:r w:rsidRPr="00A71D2E">
        <w:rPr>
          <w:rFonts w:ascii="Times New Roman" w:hAnsi="Times New Roman" w:cs="Times New Roman" w:hint="eastAsia"/>
        </w:rPr>
        <w:t>与金融工具相关的风险</w:t>
      </w:r>
    </w:p>
    <w:p w:rsidR="004D05EE" w:rsidRPr="00A71D2E" w:rsidRDefault="004D05EE" w:rsidP="004D05EE">
      <w:pPr>
        <w:jc w:val="both"/>
        <w:rPr>
          <w:rFonts w:eastAsia="宋体" w:cs="Times New Roman"/>
          <w:szCs w:val="21"/>
          <w:lang w:val="en-GB"/>
        </w:rPr>
      </w:pPr>
    </w:p>
    <w:p w:rsidR="00F34737" w:rsidRPr="00A71D2E" w:rsidRDefault="00071C7F" w:rsidP="0027505B">
      <w:pPr>
        <w:tabs>
          <w:tab w:val="left" w:pos="720"/>
        </w:tabs>
        <w:ind w:left="720"/>
        <w:jc w:val="both"/>
        <w:rPr>
          <w:rFonts w:eastAsia="宋体" w:cs="Times New Roman"/>
          <w:szCs w:val="21"/>
        </w:rPr>
      </w:pPr>
      <w:r w:rsidRPr="00A71D2E">
        <w:rPr>
          <w:rFonts w:eastAsia="宋体" w:cs="Times New Roman" w:hint="eastAsia"/>
          <w:szCs w:val="21"/>
        </w:rPr>
        <w:t>本集团的主要金融工具包括货币资金</w:t>
      </w:r>
      <w:r w:rsidR="00F34737" w:rsidRPr="00A71D2E">
        <w:rPr>
          <w:rFonts w:eastAsia="宋体" w:cs="Times New Roman" w:hint="eastAsia"/>
          <w:szCs w:val="21"/>
        </w:rPr>
        <w:t>、应收票据、应收账款、应收款项融资、其他应收款、长期应收款</w:t>
      </w:r>
      <w:r w:rsidR="00D52CC5">
        <w:rPr>
          <w:rFonts w:eastAsia="宋体" w:cs="Times New Roman" w:hint="eastAsia"/>
          <w:szCs w:val="21"/>
        </w:rPr>
        <w:t>、短期借款、应付票据、应付账款、其他应付款及</w:t>
      </w:r>
      <w:r w:rsidR="006B59AA" w:rsidRPr="00A71D2E">
        <w:rPr>
          <w:rFonts w:eastAsia="宋体" w:cs="Times New Roman" w:hint="eastAsia"/>
          <w:szCs w:val="21"/>
        </w:rPr>
        <w:t>长期借款</w:t>
      </w:r>
      <w:r w:rsidR="00F34737" w:rsidRPr="00A71D2E">
        <w:rPr>
          <w:rFonts w:eastAsia="宋体" w:cs="Times New Roman" w:hint="eastAsia"/>
          <w:szCs w:val="21"/>
        </w:rPr>
        <w:t>等，各项金融工具的详细情况说明见附注</w:t>
      </w:r>
      <w:r w:rsidR="005F14EE">
        <w:rPr>
          <w:rFonts w:eastAsia="宋体" w:cs="Times New Roman"/>
          <w:szCs w:val="21"/>
        </w:rPr>
        <w:t>(</w:t>
      </w:r>
      <w:r w:rsidR="00F34737" w:rsidRPr="00A71D2E">
        <w:rPr>
          <w:rFonts w:eastAsia="宋体" w:cs="Times New Roman" w:hint="eastAsia"/>
          <w:szCs w:val="21"/>
        </w:rPr>
        <w:t>五</w:t>
      </w:r>
      <w:r w:rsidR="005F14EE">
        <w:rPr>
          <w:rFonts w:eastAsia="宋体" w:cs="Times New Roman"/>
          <w:szCs w:val="21"/>
        </w:rPr>
        <w:t>)</w:t>
      </w:r>
      <w:r w:rsidR="00F34737" w:rsidRPr="00A71D2E">
        <w:rPr>
          <w:rFonts w:eastAsia="宋体" w:cs="Times New Roman" w:hint="eastAsia"/>
          <w:szCs w:val="21"/>
        </w:rPr>
        <w:t>。与这些金融工具有关的风险，以及本集团为降低这些风险所采取的风险管理政策如下所述。本集团管理层对这些风险敞口进行管理和监控以确保将上述风险控制在限定的范围之内。</w:t>
      </w:r>
    </w:p>
    <w:p w:rsidR="00F34737" w:rsidRPr="00A71D2E" w:rsidRDefault="00F34737" w:rsidP="00F66363">
      <w:pPr>
        <w:ind w:left="5040" w:right="9"/>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496"/>
        <w:gridCol w:w="1980"/>
        <w:gridCol w:w="1980"/>
      </w:tblGrid>
      <w:tr w:rsidR="00F34737" w:rsidRPr="002A1F49" w:rsidTr="0027505B">
        <w:trPr>
          <w:trHeight w:val="20"/>
        </w:trPr>
        <w:tc>
          <w:tcPr>
            <w:tcW w:w="5496" w:type="dxa"/>
            <w:shd w:val="clear" w:color="auto" w:fill="D9D9D9" w:themeFill="background1" w:themeFillShade="D9"/>
            <w:vAlign w:val="center"/>
          </w:tcPr>
          <w:p w:rsidR="00F34737" w:rsidRPr="002A1F49" w:rsidRDefault="00F34737" w:rsidP="0027505B">
            <w:pPr>
              <w:ind w:left="60"/>
              <w:jc w:val="center"/>
              <w:rPr>
                <w:rFonts w:eastAsia="宋体" w:cs="Times New Roman"/>
                <w:sz w:val="18"/>
                <w:szCs w:val="18"/>
              </w:rPr>
            </w:pPr>
            <w:r w:rsidRPr="002A1F49">
              <w:rPr>
                <w:rFonts w:eastAsia="宋体" w:cs="Times New Roman" w:hint="eastAsia"/>
                <w:sz w:val="18"/>
                <w:szCs w:val="18"/>
              </w:rPr>
              <w:t>项目</w:t>
            </w:r>
          </w:p>
        </w:tc>
        <w:tc>
          <w:tcPr>
            <w:tcW w:w="1980" w:type="dxa"/>
            <w:shd w:val="clear" w:color="auto" w:fill="D9D9D9" w:themeFill="background1" w:themeFillShade="D9"/>
            <w:vAlign w:val="center"/>
          </w:tcPr>
          <w:p w:rsidR="00F34737" w:rsidRPr="002A1F49" w:rsidRDefault="00E9377F" w:rsidP="00F66363">
            <w:pPr>
              <w:jc w:val="center"/>
              <w:rPr>
                <w:rFonts w:eastAsia="宋体" w:cs="Times New Roman"/>
                <w:sz w:val="18"/>
                <w:szCs w:val="18"/>
              </w:rPr>
            </w:pPr>
            <w:r w:rsidRPr="002A1F49">
              <w:rPr>
                <w:rFonts w:eastAsia="宋体" w:cs="Times New Roman" w:hint="eastAsia"/>
                <w:sz w:val="18"/>
                <w:szCs w:val="18"/>
              </w:rPr>
              <w:t>年末余额</w:t>
            </w:r>
          </w:p>
        </w:tc>
        <w:tc>
          <w:tcPr>
            <w:tcW w:w="1980" w:type="dxa"/>
            <w:shd w:val="clear" w:color="auto" w:fill="D9D9D9" w:themeFill="background1" w:themeFillShade="D9"/>
            <w:vAlign w:val="center"/>
          </w:tcPr>
          <w:p w:rsidR="00F34737" w:rsidRPr="002A1F49" w:rsidRDefault="00E9377F" w:rsidP="00F66363">
            <w:pPr>
              <w:jc w:val="center"/>
              <w:rPr>
                <w:rFonts w:eastAsia="宋体" w:cs="Times New Roman"/>
                <w:sz w:val="18"/>
                <w:szCs w:val="18"/>
              </w:rPr>
            </w:pPr>
            <w:r w:rsidRPr="002A1F49">
              <w:rPr>
                <w:rFonts w:eastAsia="宋体" w:cs="Times New Roman" w:hint="eastAsia"/>
                <w:sz w:val="18"/>
                <w:szCs w:val="18"/>
              </w:rPr>
              <w:t>年初余额</w:t>
            </w:r>
          </w:p>
        </w:tc>
      </w:tr>
      <w:tr w:rsidR="00F34737" w:rsidRPr="002A1F49" w:rsidTr="0027505B">
        <w:trPr>
          <w:trHeight w:val="20"/>
        </w:trPr>
        <w:tc>
          <w:tcPr>
            <w:tcW w:w="5496" w:type="dxa"/>
            <w:shd w:val="clear" w:color="auto" w:fill="D9D9D9" w:themeFill="background1" w:themeFillShade="D9"/>
            <w:vAlign w:val="center"/>
          </w:tcPr>
          <w:p w:rsidR="00F34737" w:rsidRPr="002A1F49" w:rsidRDefault="00F34737">
            <w:pPr>
              <w:ind w:left="60"/>
              <w:rPr>
                <w:rFonts w:eastAsia="宋体" w:cs="Times New Roman"/>
                <w:b/>
                <w:sz w:val="18"/>
                <w:szCs w:val="18"/>
              </w:rPr>
            </w:pPr>
            <w:r w:rsidRPr="002A1F49">
              <w:rPr>
                <w:rFonts w:eastAsia="宋体" w:cs="Times New Roman" w:hint="eastAsia"/>
                <w:b/>
                <w:sz w:val="18"/>
                <w:szCs w:val="18"/>
              </w:rPr>
              <w:t>金融资产</w:t>
            </w:r>
            <w:r w:rsidR="005F14EE" w:rsidRPr="002A1F49">
              <w:rPr>
                <w:rFonts w:eastAsia="宋体" w:cs="Times New Roman" w:hint="eastAsia"/>
                <w:b/>
                <w:sz w:val="18"/>
                <w:szCs w:val="18"/>
              </w:rPr>
              <w:t>：</w:t>
            </w:r>
          </w:p>
        </w:tc>
        <w:tc>
          <w:tcPr>
            <w:tcW w:w="1980" w:type="dxa"/>
            <w:vAlign w:val="center"/>
          </w:tcPr>
          <w:p w:rsidR="00F34737" w:rsidRPr="002A1F49" w:rsidRDefault="00F34737" w:rsidP="00F66363">
            <w:pPr>
              <w:ind w:right="78"/>
              <w:jc w:val="right"/>
              <w:rPr>
                <w:rFonts w:eastAsia="宋体" w:cs="Times New Roman"/>
                <w:sz w:val="18"/>
                <w:szCs w:val="18"/>
              </w:rPr>
            </w:pPr>
          </w:p>
        </w:tc>
        <w:tc>
          <w:tcPr>
            <w:tcW w:w="1980" w:type="dxa"/>
            <w:vAlign w:val="center"/>
          </w:tcPr>
          <w:p w:rsidR="00F34737" w:rsidRPr="002A1F49" w:rsidRDefault="00F34737" w:rsidP="00F66363">
            <w:pPr>
              <w:ind w:right="78"/>
              <w:jc w:val="right"/>
              <w:rPr>
                <w:rFonts w:eastAsia="宋体" w:cs="Times New Roman"/>
                <w:sz w:val="18"/>
                <w:szCs w:val="18"/>
              </w:rPr>
            </w:pPr>
          </w:p>
        </w:tc>
      </w:tr>
      <w:tr w:rsidR="00F34737" w:rsidRPr="002A1F49" w:rsidTr="0027505B">
        <w:trPr>
          <w:trHeight w:val="20"/>
        </w:trPr>
        <w:tc>
          <w:tcPr>
            <w:tcW w:w="5496" w:type="dxa"/>
            <w:shd w:val="clear" w:color="auto" w:fill="D9D9D9" w:themeFill="background1" w:themeFillShade="D9"/>
            <w:vAlign w:val="center"/>
          </w:tcPr>
          <w:p w:rsidR="00F34737" w:rsidRPr="002A1F49" w:rsidRDefault="00F34737">
            <w:pPr>
              <w:ind w:left="60"/>
              <w:rPr>
                <w:rFonts w:eastAsia="宋体" w:cs="Times New Roman"/>
                <w:sz w:val="18"/>
                <w:szCs w:val="18"/>
              </w:rPr>
            </w:pPr>
            <w:r w:rsidRPr="002A1F49">
              <w:rPr>
                <w:rFonts w:eastAsia="宋体" w:cs="Times New Roman" w:hint="eastAsia"/>
                <w:b/>
                <w:sz w:val="18"/>
                <w:szCs w:val="18"/>
              </w:rPr>
              <w:t>以公允价值计量且其变动计入其他综合收益</w:t>
            </w:r>
          </w:p>
        </w:tc>
        <w:tc>
          <w:tcPr>
            <w:tcW w:w="1980" w:type="dxa"/>
            <w:vAlign w:val="center"/>
          </w:tcPr>
          <w:p w:rsidR="00F34737" w:rsidRPr="002A1F49" w:rsidRDefault="00F34737" w:rsidP="00F66363">
            <w:pPr>
              <w:ind w:right="78"/>
              <w:jc w:val="right"/>
              <w:rPr>
                <w:rFonts w:eastAsia="宋体" w:cs="Times New Roman"/>
                <w:sz w:val="18"/>
                <w:szCs w:val="18"/>
              </w:rPr>
            </w:pPr>
          </w:p>
        </w:tc>
        <w:tc>
          <w:tcPr>
            <w:tcW w:w="1980" w:type="dxa"/>
            <w:vAlign w:val="center"/>
          </w:tcPr>
          <w:p w:rsidR="00F34737" w:rsidRPr="002A1F49" w:rsidRDefault="00F34737" w:rsidP="00F66363">
            <w:pPr>
              <w:ind w:right="78"/>
              <w:jc w:val="right"/>
              <w:rPr>
                <w:rFonts w:eastAsia="宋体" w:cs="Times New Roman"/>
                <w:sz w:val="18"/>
                <w:szCs w:val="18"/>
              </w:rPr>
            </w:pP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应收款项融资</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21,276,850.44</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2,290,950.59</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b/>
                <w:sz w:val="18"/>
                <w:szCs w:val="18"/>
              </w:rPr>
            </w:pPr>
          </w:p>
        </w:tc>
        <w:tc>
          <w:tcPr>
            <w:tcW w:w="1980" w:type="dxa"/>
            <w:vAlign w:val="center"/>
          </w:tcPr>
          <w:p w:rsidR="00DA221F" w:rsidRPr="002A1F49" w:rsidRDefault="00DA221F" w:rsidP="00DA221F">
            <w:pPr>
              <w:ind w:right="78"/>
              <w:jc w:val="right"/>
              <w:rPr>
                <w:rFonts w:eastAsia="宋体" w:cs="Times New Roman"/>
                <w:sz w:val="18"/>
                <w:szCs w:val="18"/>
              </w:rPr>
            </w:pPr>
          </w:p>
        </w:tc>
        <w:tc>
          <w:tcPr>
            <w:tcW w:w="1980" w:type="dxa"/>
            <w:vAlign w:val="center"/>
          </w:tcPr>
          <w:p w:rsidR="00DA221F" w:rsidRPr="002A1F49" w:rsidRDefault="00DA221F" w:rsidP="00DA221F">
            <w:pPr>
              <w:ind w:right="78"/>
              <w:jc w:val="right"/>
              <w:rPr>
                <w:rFonts w:eastAsia="宋体" w:cs="Times New Roman"/>
                <w:sz w:val="18"/>
                <w:szCs w:val="18"/>
              </w:rPr>
            </w:pP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b/>
                <w:sz w:val="18"/>
                <w:szCs w:val="18"/>
              </w:rPr>
            </w:pPr>
            <w:r w:rsidRPr="002A1F49">
              <w:rPr>
                <w:rFonts w:eastAsia="宋体" w:cs="Times New Roman" w:hint="eastAsia"/>
                <w:b/>
                <w:sz w:val="18"/>
                <w:szCs w:val="18"/>
              </w:rPr>
              <w:t>以摊</w:t>
            </w:r>
            <w:proofErr w:type="gramStart"/>
            <w:r w:rsidRPr="002A1F49">
              <w:rPr>
                <w:rFonts w:eastAsia="宋体" w:cs="Times New Roman" w:hint="eastAsia"/>
                <w:b/>
                <w:sz w:val="18"/>
                <w:szCs w:val="18"/>
              </w:rPr>
              <w:t>余成本</w:t>
            </w:r>
            <w:proofErr w:type="gramEnd"/>
            <w:r w:rsidRPr="002A1F49">
              <w:rPr>
                <w:rFonts w:eastAsia="宋体" w:cs="Times New Roman" w:hint="eastAsia"/>
                <w:b/>
                <w:sz w:val="18"/>
                <w:szCs w:val="18"/>
              </w:rPr>
              <w:t>计量</w:t>
            </w:r>
          </w:p>
        </w:tc>
        <w:tc>
          <w:tcPr>
            <w:tcW w:w="1980" w:type="dxa"/>
            <w:vAlign w:val="center"/>
          </w:tcPr>
          <w:p w:rsidR="00DA221F" w:rsidRPr="002A1F49" w:rsidRDefault="00DA221F" w:rsidP="00DA221F">
            <w:pPr>
              <w:ind w:right="78"/>
              <w:jc w:val="right"/>
              <w:rPr>
                <w:rFonts w:eastAsia="宋体" w:cs="Times New Roman"/>
                <w:sz w:val="18"/>
                <w:szCs w:val="18"/>
              </w:rPr>
            </w:pPr>
          </w:p>
        </w:tc>
        <w:tc>
          <w:tcPr>
            <w:tcW w:w="1980" w:type="dxa"/>
            <w:vAlign w:val="center"/>
          </w:tcPr>
          <w:p w:rsidR="00DA221F" w:rsidRPr="002A1F49" w:rsidRDefault="00DA221F" w:rsidP="00DA221F">
            <w:pPr>
              <w:ind w:right="78"/>
              <w:jc w:val="right"/>
              <w:rPr>
                <w:rFonts w:eastAsia="宋体" w:cs="Times New Roman"/>
                <w:sz w:val="18"/>
                <w:szCs w:val="18"/>
              </w:rPr>
            </w:pP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货币资金</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4,655,798,647.20</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4,806,366,681.46</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应收票据</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5,919,220.40</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209,587.60</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应收账款</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860,351,858.04</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716,296,512.50</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其他应收款</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23,816,037.03</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8,666,574.99</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一年内到期的非流动资产</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8,681,589.12</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8,945,100.00</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长期应收款</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15,859,781.71</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18,423,598.98</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其他非流动资产</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2,017,718.89</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2,181,057.96</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p>
        </w:tc>
        <w:tc>
          <w:tcPr>
            <w:tcW w:w="1980" w:type="dxa"/>
            <w:vAlign w:val="center"/>
          </w:tcPr>
          <w:p w:rsidR="00DA221F" w:rsidRPr="002A1F49" w:rsidRDefault="00DA221F" w:rsidP="00DA221F">
            <w:pPr>
              <w:ind w:right="78"/>
              <w:jc w:val="right"/>
              <w:rPr>
                <w:rFonts w:eastAsia="宋体" w:cs="Times New Roman"/>
                <w:sz w:val="18"/>
                <w:szCs w:val="18"/>
              </w:rPr>
            </w:pPr>
          </w:p>
        </w:tc>
        <w:tc>
          <w:tcPr>
            <w:tcW w:w="1980" w:type="dxa"/>
            <w:vAlign w:val="center"/>
          </w:tcPr>
          <w:p w:rsidR="00DA221F" w:rsidRPr="002A1F49" w:rsidRDefault="00DA221F" w:rsidP="00DA221F">
            <w:pPr>
              <w:ind w:right="78"/>
              <w:jc w:val="right"/>
              <w:rPr>
                <w:rFonts w:eastAsia="宋体" w:cs="Times New Roman"/>
                <w:sz w:val="18"/>
                <w:szCs w:val="18"/>
              </w:rPr>
            </w:pP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b/>
                <w:sz w:val="18"/>
                <w:szCs w:val="18"/>
              </w:rPr>
            </w:pPr>
            <w:r w:rsidRPr="002A1F49">
              <w:rPr>
                <w:rFonts w:eastAsia="宋体" w:cs="Times New Roman" w:hint="eastAsia"/>
                <w:b/>
                <w:sz w:val="18"/>
                <w:szCs w:val="18"/>
              </w:rPr>
              <w:t>金融负债</w:t>
            </w:r>
            <w:r w:rsidR="005F14EE" w:rsidRPr="002A1F49">
              <w:rPr>
                <w:rFonts w:eastAsia="宋体" w:cs="Times New Roman" w:hint="eastAsia"/>
                <w:b/>
                <w:sz w:val="18"/>
                <w:szCs w:val="18"/>
              </w:rPr>
              <w:t>：</w:t>
            </w:r>
          </w:p>
        </w:tc>
        <w:tc>
          <w:tcPr>
            <w:tcW w:w="1980" w:type="dxa"/>
            <w:vAlign w:val="center"/>
          </w:tcPr>
          <w:p w:rsidR="00DA221F" w:rsidRPr="002A1F49" w:rsidRDefault="00DA221F" w:rsidP="00DA221F">
            <w:pPr>
              <w:ind w:right="78"/>
              <w:jc w:val="right"/>
              <w:rPr>
                <w:rFonts w:eastAsia="宋体" w:cs="Times New Roman"/>
                <w:sz w:val="18"/>
                <w:szCs w:val="18"/>
              </w:rPr>
            </w:pPr>
          </w:p>
        </w:tc>
        <w:tc>
          <w:tcPr>
            <w:tcW w:w="1980" w:type="dxa"/>
            <w:vAlign w:val="center"/>
          </w:tcPr>
          <w:p w:rsidR="00DA221F" w:rsidRPr="002A1F49" w:rsidRDefault="00DA221F" w:rsidP="00DA221F">
            <w:pPr>
              <w:ind w:right="78"/>
              <w:jc w:val="right"/>
              <w:rPr>
                <w:rFonts w:eastAsia="宋体" w:cs="Times New Roman"/>
                <w:sz w:val="18"/>
                <w:szCs w:val="18"/>
              </w:rPr>
            </w:pP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b/>
                <w:sz w:val="18"/>
                <w:szCs w:val="18"/>
              </w:rPr>
              <w:t>以摊</w:t>
            </w:r>
            <w:proofErr w:type="gramStart"/>
            <w:r w:rsidRPr="002A1F49">
              <w:rPr>
                <w:rFonts w:eastAsia="宋体" w:cs="Times New Roman" w:hint="eastAsia"/>
                <w:b/>
                <w:sz w:val="18"/>
                <w:szCs w:val="18"/>
              </w:rPr>
              <w:t>余成本</w:t>
            </w:r>
            <w:proofErr w:type="gramEnd"/>
            <w:r w:rsidRPr="002A1F49">
              <w:rPr>
                <w:rFonts w:eastAsia="宋体" w:cs="Times New Roman" w:hint="eastAsia"/>
                <w:b/>
                <w:sz w:val="18"/>
                <w:szCs w:val="18"/>
              </w:rPr>
              <w:t>计量</w:t>
            </w:r>
          </w:p>
        </w:tc>
        <w:tc>
          <w:tcPr>
            <w:tcW w:w="1980" w:type="dxa"/>
            <w:vAlign w:val="center"/>
          </w:tcPr>
          <w:p w:rsidR="00DA221F" w:rsidRPr="002A1F49" w:rsidRDefault="00DA221F" w:rsidP="00DA221F">
            <w:pPr>
              <w:ind w:right="78"/>
              <w:jc w:val="right"/>
              <w:rPr>
                <w:rFonts w:eastAsia="宋体" w:cs="Times New Roman"/>
                <w:sz w:val="18"/>
                <w:szCs w:val="18"/>
              </w:rPr>
            </w:pPr>
          </w:p>
        </w:tc>
        <w:tc>
          <w:tcPr>
            <w:tcW w:w="1980" w:type="dxa"/>
            <w:vAlign w:val="center"/>
          </w:tcPr>
          <w:p w:rsidR="00DA221F" w:rsidRPr="002A1F49" w:rsidRDefault="00DA221F" w:rsidP="00DA221F">
            <w:pPr>
              <w:ind w:right="78"/>
              <w:jc w:val="right"/>
              <w:rPr>
                <w:rFonts w:eastAsia="宋体" w:cs="Times New Roman"/>
                <w:sz w:val="18"/>
                <w:szCs w:val="18"/>
              </w:rPr>
            </w:pPr>
          </w:p>
        </w:tc>
      </w:tr>
      <w:tr w:rsidR="002A1F49" w:rsidRPr="002A1F49" w:rsidTr="0027505B">
        <w:trPr>
          <w:trHeight w:val="20"/>
        </w:trPr>
        <w:tc>
          <w:tcPr>
            <w:tcW w:w="5496" w:type="dxa"/>
            <w:shd w:val="clear" w:color="auto" w:fill="D9D9D9" w:themeFill="background1" w:themeFillShade="D9"/>
            <w:vAlign w:val="center"/>
          </w:tcPr>
          <w:p w:rsidR="002A1F49" w:rsidRPr="002A1F49" w:rsidRDefault="002A1F49">
            <w:pPr>
              <w:ind w:left="60"/>
              <w:rPr>
                <w:rFonts w:eastAsia="宋体" w:cs="Times New Roman"/>
                <w:b/>
                <w:sz w:val="18"/>
                <w:szCs w:val="18"/>
              </w:rPr>
            </w:pPr>
            <w:r w:rsidRPr="002A1F49">
              <w:rPr>
                <w:rFonts w:eastAsia="宋体" w:cs="Times New Roman" w:hint="eastAsia"/>
                <w:sz w:val="18"/>
                <w:szCs w:val="18"/>
              </w:rPr>
              <w:t>短期借款</w:t>
            </w:r>
          </w:p>
        </w:tc>
        <w:tc>
          <w:tcPr>
            <w:tcW w:w="1980" w:type="dxa"/>
            <w:vAlign w:val="center"/>
          </w:tcPr>
          <w:p w:rsidR="002A1F49" w:rsidRPr="00DD203F" w:rsidRDefault="002A1F49" w:rsidP="0027505B">
            <w:pPr>
              <w:ind w:right="78"/>
              <w:jc w:val="right"/>
              <w:rPr>
                <w:sz w:val="18"/>
                <w:szCs w:val="18"/>
              </w:rPr>
            </w:pPr>
            <w:r w:rsidRPr="002A1F49">
              <w:rPr>
                <w:rFonts w:eastAsia="宋体" w:cs="Times New Roman"/>
                <w:sz w:val="18"/>
                <w:szCs w:val="18"/>
              </w:rPr>
              <w:t>-    </w:t>
            </w:r>
          </w:p>
        </w:tc>
        <w:tc>
          <w:tcPr>
            <w:tcW w:w="1980" w:type="dxa"/>
            <w:vAlign w:val="center"/>
          </w:tcPr>
          <w:p w:rsidR="002A1F49" w:rsidRPr="002A1F49" w:rsidRDefault="002A1F49" w:rsidP="002A1F49">
            <w:pPr>
              <w:ind w:right="78"/>
              <w:jc w:val="right"/>
              <w:rPr>
                <w:rFonts w:eastAsia="宋体" w:cs="Times New Roman"/>
                <w:sz w:val="18"/>
                <w:szCs w:val="18"/>
              </w:rPr>
            </w:pPr>
            <w:r w:rsidRPr="002A1F49">
              <w:rPr>
                <w:rFonts w:eastAsia="宋体" w:cs="Times New Roman"/>
                <w:sz w:val="18"/>
                <w:szCs w:val="18"/>
              </w:rPr>
              <w:t>200,165,000.00</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b/>
                <w:sz w:val="18"/>
                <w:szCs w:val="18"/>
              </w:rPr>
            </w:pPr>
            <w:r w:rsidRPr="002A1F49">
              <w:rPr>
                <w:rFonts w:eastAsia="宋体" w:cs="Times New Roman" w:hint="eastAsia"/>
                <w:sz w:val="18"/>
                <w:szCs w:val="18"/>
              </w:rPr>
              <w:t>应付票据</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179,892,364.61</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143,496,422.45</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应付账款</w:t>
            </w:r>
          </w:p>
        </w:tc>
        <w:tc>
          <w:tcPr>
            <w:tcW w:w="1980" w:type="dxa"/>
            <w:vAlign w:val="center"/>
          </w:tcPr>
          <w:p w:rsidR="00DA221F" w:rsidRPr="002A1F49" w:rsidRDefault="00141DA0" w:rsidP="00DA221F">
            <w:pPr>
              <w:ind w:right="78"/>
              <w:jc w:val="right"/>
              <w:rPr>
                <w:rFonts w:eastAsia="宋体" w:cs="Times New Roman"/>
                <w:sz w:val="18"/>
                <w:szCs w:val="18"/>
              </w:rPr>
            </w:pPr>
            <w:r w:rsidRPr="002A1F49">
              <w:rPr>
                <w:sz w:val="18"/>
                <w:szCs w:val="18"/>
              </w:rPr>
              <w:t>1,307,459,168.11</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781,687,259.59</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其他应付款</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148,863,312.52</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118,627,013.56</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一年内到期的长期借款</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1,357,264.77</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1,258,940.79</w:t>
            </w:r>
          </w:p>
        </w:tc>
      </w:tr>
      <w:tr w:rsidR="00DA221F" w:rsidRPr="002A1F49" w:rsidTr="0027505B">
        <w:trPr>
          <w:trHeight w:val="20"/>
        </w:trPr>
        <w:tc>
          <w:tcPr>
            <w:tcW w:w="5496" w:type="dxa"/>
            <w:shd w:val="clear" w:color="auto" w:fill="D9D9D9" w:themeFill="background1" w:themeFillShade="D9"/>
            <w:vAlign w:val="center"/>
          </w:tcPr>
          <w:p w:rsidR="00DA221F" w:rsidRPr="002A1F49" w:rsidRDefault="00DA221F">
            <w:pPr>
              <w:ind w:left="60"/>
              <w:rPr>
                <w:rFonts w:eastAsia="宋体" w:cs="Times New Roman"/>
                <w:sz w:val="18"/>
                <w:szCs w:val="18"/>
              </w:rPr>
            </w:pPr>
            <w:r w:rsidRPr="002A1F49">
              <w:rPr>
                <w:rFonts w:eastAsia="宋体" w:cs="Times New Roman" w:hint="eastAsia"/>
                <w:sz w:val="18"/>
                <w:szCs w:val="18"/>
              </w:rPr>
              <w:t>长期借款</w:t>
            </w:r>
          </w:p>
        </w:tc>
        <w:tc>
          <w:tcPr>
            <w:tcW w:w="1980" w:type="dxa"/>
            <w:vAlign w:val="center"/>
          </w:tcPr>
          <w:p w:rsidR="00DA221F" w:rsidRPr="002A1F49" w:rsidRDefault="00C8710C" w:rsidP="00DA221F">
            <w:pPr>
              <w:ind w:right="78"/>
              <w:jc w:val="right"/>
              <w:rPr>
                <w:rFonts w:eastAsia="宋体" w:cs="Times New Roman"/>
                <w:sz w:val="18"/>
                <w:szCs w:val="18"/>
              </w:rPr>
            </w:pPr>
            <w:r w:rsidRPr="002A1F49">
              <w:rPr>
                <w:rFonts w:eastAsia="宋体" w:cs="Times New Roman"/>
                <w:sz w:val="18"/>
                <w:szCs w:val="18"/>
              </w:rPr>
              <w:t>319,337,031.25</w:t>
            </w:r>
          </w:p>
        </w:tc>
        <w:tc>
          <w:tcPr>
            <w:tcW w:w="1980" w:type="dxa"/>
            <w:vAlign w:val="center"/>
          </w:tcPr>
          <w:p w:rsidR="00DA221F" w:rsidRPr="002A1F49" w:rsidRDefault="00DA221F" w:rsidP="00DA221F">
            <w:pPr>
              <w:ind w:right="78"/>
              <w:jc w:val="right"/>
              <w:rPr>
                <w:rFonts w:eastAsia="宋体" w:cs="Times New Roman"/>
                <w:sz w:val="18"/>
                <w:szCs w:val="18"/>
              </w:rPr>
            </w:pPr>
            <w:r w:rsidRPr="002A1F49">
              <w:rPr>
                <w:rFonts w:eastAsia="宋体" w:cs="Times New Roman"/>
                <w:sz w:val="18"/>
                <w:szCs w:val="18"/>
              </w:rPr>
              <w:t>227,811,259.46</w:t>
            </w:r>
          </w:p>
        </w:tc>
      </w:tr>
    </w:tbl>
    <w:p w:rsidR="00F34737" w:rsidRPr="00A71D2E" w:rsidRDefault="00F34737" w:rsidP="00F66363">
      <w:pPr>
        <w:pStyle w:val="aff1"/>
        <w:ind w:left="1440" w:firstLineChars="0" w:hanging="720"/>
        <w:contextualSpacing/>
        <w:jc w:val="both"/>
      </w:pPr>
    </w:p>
    <w:p w:rsidR="00F34737" w:rsidRPr="00A71D2E" w:rsidRDefault="00F34737" w:rsidP="00F66363">
      <w:pPr>
        <w:ind w:left="720"/>
        <w:jc w:val="both"/>
        <w:rPr>
          <w:rFonts w:eastAsia="宋体" w:cs="Times New Roman"/>
          <w:szCs w:val="21"/>
        </w:rPr>
      </w:pPr>
      <w:r w:rsidRPr="00A71D2E">
        <w:rPr>
          <w:rFonts w:eastAsia="宋体" w:cs="Times New Roman" w:hint="eastAsia"/>
          <w:szCs w:val="21"/>
        </w:rPr>
        <w:t>本集团采用敏感性分析技术分析风险变量的合理、可能变化对当期损益和股东权益可能产生的影响。由于任何风险变量很少孤立地发生变化，而变量之间存在的相关性对某一风险变量的变化的最终影响金额将产生重大作用，因此下述内容是在假设每一变量的变化是在独立的情况下进行的。</w:t>
      </w:r>
    </w:p>
    <w:p w:rsidR="00F34737" w:rsidRPr="00C229A6" w:rsidRDefault="00F34737" w:rsidP="00F66363">
      <w:pPr>
        <w:ind w:left="720"/>
        <w:jc w:val="both"/>
        <w:rPr>
          <w:rFonts w:eastAsia="宋体" w:cs="Times New Roman"/>
          <w:szCs w:val="21"/>
        </w:rPr>
      </w:pPr>
    </w:p>
    <w:p w:rsidR="00F34737" w:rsidRPr="00C76406" w:rsidRDefault="00F34737" w:rsidP="0027505B">
      <w:pPr>
        <w:pStyle w:val="2"/>
        <w:numPr>
          <w:ilvl w:val="0"/>
          <w:numId w:val="41"/>
        </w:numPr>
        <w:adjustRightInd w:val="0"/>
        <w:snapToGrid w:val="0"/>
        <w:ind w:left="1440" w:hanging="709"/>
        <w:contextualSpacing w:val="0"/>
        <w:jc w:val="both"/>
        <w:rPr>
          <w:rFonts w:ascii="Times New Roman" w:eastAsia="宋体" w:hAnsi="Times New Roman" w:cs="Times New Roman"/>
        </w:rPr>
      </w:pPr>
      <w:r w:rsidRPr="00C76406">
        <w:rPr>
          <w:rFonts w:ascii="Times New Roman" w:eastAsia="宋体" w:hAnsi="Times New Roman" w:cs="Times New Roman" w:hint="eastAsia"/>
        </w:rPr>
        <w:t>风险管理目标</w:t>
      </w:r>
      <w:r w:rsidR="004B184F" w:rsidRPr="00C76406">
        <w:rPr>
          <w:rFonts w:ascii="Times New Roman" w:eastAsia="宋体" w:hAnsi="Times New Roman" w:cs="Times New Roman" w:hint="eastAsia"/>
        </w:rPr>
        <w:t>、</w:t>
      </w:r>
      <w:r w:rsidRPr="00C76406">
        <w:rPr>
          <w:rFonts w:ascii="Times New Roman" w:eastAsia="宋体" w:hAnsi="Times New Roman" w:cs="Times New Roman" w:hint="eastAsia"/>
        </w:rPr>
        <w:t>政策</w:t>
      </w:r>
      <w:r w:rsidR="004B184F" w:rsidRPr="00C76406">
        <w:rPr>
          <w:rFonts w:ascii="Times New Roman" w:eastAsia="宋体" w:hAnsi="Times New Roman" w:cs="Times New Roman" w:hint="eastAsia"/>
        </w:rPr>
        <w:t>和程序，以及本年发生的变化</w:t>
      </w:r>
    </w:p>
    <w:p w:rsidR="00F34737" w:rsidRPr="00A71D2E" w:rsidRDefault="00F34737" w:rsidP="00F66363">
      <w:pPr>
        <w:ind w:left="720"/>
        <w:jc w:val="both"/>
        <w:rPr>
          <w:rFonts w:eastAsia="宋体" w:cs="Times New Roman"/>
          <w:szCs w:val="21"/>
        </w:rPr>
      </w:pPr>
    </w:p>
    <w:p w:rsidR="00300FDB" w:rsidRPr="00A71D2E" w:rsidRDefault="00F34737" w:rsidP="00F66363">
      <w:pPr>
        <w:ind w:left="720"/>
        <w:jc w:val="both"/>
        <w:rPr>
          <w:rFonts w:eastAsia="宋体" w:cs="Times New Roman"/>
          <w:szCs w:val="21"/>
        </w:rPr>
      </w:pPr>
      <w:r w:rsidRPr="00A71D2E">
        <w:rPr>
          <w:rFonts w:eastAsia="宋体" w:cs="Times New Roman" w:hint="eastAsia"/>
          <w:szCs w:val="21"/>
        </w:rPr>
        <w:t>本集团从事风险管理的目标是在风险和收益之间取得适当的平衡，将风险对本集团经营业绩的负面影响降低到最低水平，使股东及其他权益投资者的利益最大化。基于该风险管理目标，本集团风险管理的基本策略是确定和分析本集团所面临的各种风险，建立适当的风险承受底线和进行风险管理，并及时可靠地对各种风险进行监督，将风险控制在限定的范围之内。</w:t>
      </w:r>
    </w:p>
    <w:p w:rsidR="00217928" w:rsidRDefault="00217928">
      <w:pPr>
        <w:adjustRightInd/>
        <w:snapToGrid/>
        <w:rPr>
          <w:rFonts w:eastAsia="宋体" w:cs="Times New Roman"/>
          <w:b/>
          <w:bCs/>
          <w:szCs w:val="24"/>
        </w:rPr>
      </w:pPr>
      <w:r>
        <w:rPr>
          <w:b/>
          <w:bCs/>
        </w:rPr>
        <w:br w:type="page"/>
      </w:r>
    </w:p>
    <w:p w:rsidR="00217928" w:rsidRPr="00A71D2E" w:rsidRDefault="00217928" w:rsidP="00217928">
      <w:pPr>
        <w:ind w:left="720" w:hanging="720"/>
        <w:rPr>
          <w:rFonts w:eastAsia="宋体" w:cs="Times New Roman"/>
          <w:b/>
          <w:szCs w:val="21"/>
        </w:rPr>
      </w:pPr>
      <w:r>
        <w:rPr>
          <w:rFonts w:eastAsia="宋体" w:cs="Times New Roman"/>
          <w:b/>
          <w:szCs w:val="21"/>
        </w:rPr>
        <w:t>(</w:t>
      </w:r>
      <w:r>
        <w:rPr>
          <w:rFonts w:eastAsia="宋体" w:cs="Times New Roman" w:hint="eastAsia"/>
          <w:b/>
          <w:szCs w:val="21"/>
        </w:rPr>
        <w:t>八</w:t>
      </w:r>
      <w:r>
        <w:rPr>
          <w:rFonts w:eastAsia="宋体" w:cs="Times New Roman"/>
          <w:b/>
          <w:szCs w:val="21"/>
        </w:rPr>
        <w:t>)</w:t>
      </w:r>
      <w:r w:rsidRPr="00A71D2E">
        <w:rPr>
          <w:rFonts w:eastAsia="宋体" w:cs="Times New Roman"/>
          <w:b/>
          <w:szCs w:val="21"/>
        </w:rPr>
        <w:tab/>
      </w:r>
      <w:r w:rsidRPr="00A71D2E">
        <w:rPr>
          <w:rFonts w:eastAsia="宋体" w:cs="Times New Roman" w:hint="eastAsia"/>
          <w:b/>
          <w:szCs w:val="21"/>
        </w:rPr>
        <w:t>与金融工具相关的风险</w:t>
      </w:r>
      <w:r w:rsidRPr="00A71D2E">
        <w:rPr>
          <w:rFonts w:eastAsia="宋体" w:cs="Times New Roman"/>
          <w:szCs w:val="21"/>
        </w:rPr>
        <w:t xml:space="preserve"> - </w:t>
      </w:r>
      <w:r w:rsidRPr="00A71D2E">
        <w:rPr>
          <w:rFonts w:eastAsia="宋体" w:cs="Times New Roman" w:hint="eastAsia"/>
          <w:szCs w:val="21"/>
        </w:rPr>
        <w:t>续</w:t>
      </w:r>
    </w:p>
    <w:p w:rsidR="00F34737" w:rsidRPr="0027505B" w:rsidRDefault="00F34737" w:rsidP="00F66363">
      <w:pPr>
        <w:pStyle w:val="aff1"/>
        <w:widowControl w:val="0"/>
        <w:ind w:left="1440" w:firstLineChars="0" w:hanging="720"/>
        <w:contextualSpacing/>
        <w:jc w:val="both"/>
      </w:pPr>
    </w:p>
    <w:p w:rsidR="00217928" w:rsidRPr="00A71D2E" w:rsidRDefault="00217928" w:rsidP="00217928">
      <w:pPr>
        <w:pStyle w:val="aff1"/>
        <w:widowControl w:val="0"/>
        <w:ind w:left="1440" w:firstLineChars="0" w:hanging="720"/>
        <w:contextualSpacing/>
        <w:rPr>
          <w:b/>
          <w:bCs/>
        </w:rPr>
      </w:pPr>
      <w:r w:rsidRPr="00C76406">
        <w:rPr>
          <w:b/>
          <w:bCs/>
        </w:rPr>
        <w:t>1</w:t>
      </w:r>
      <w:r w:rsidRPr="00C76406">
        <w:rPr>
          <w:rFonts w:hint="eastAsia"/>
          <w:b/>
          <w:bCs/>
        </w:rPr>
        <w:t>、</w:t>
      </w:r>
      <w:r w:rsidRPr="00C76406">
        <w:rPr>
          <w:b/>
          <w:bCs/>
        </w:rPr>
        <w:tab/>
      </w:r>
      <w:r w:rsidRPr="00C76406">
        <w:rPr>
          <w:rFonts w:hint="eastAsia"/>
          <w:b/>
          <w:bCs/>
        </w:rPr>
        <w:t>风险管理目标</w:t>
      </w:r>
      <w:r w:rsidR="0027505B" w:rsidRPr="00C76406">
        <w:rPr>
          <w:rFonts w:hint="eastAsia"/>
          <w:b/>
          <w:bCs/>
        </w:rPr>
        <w:t>、</w:t>
      </w:r>
      <w:r w:rsidRPr="00C76406">
        <w:rPr>
          <w:rFonts w:hint="eastAsia"/>
          <w:b/>
          <w:bCs/>
        </w:rPr>
        <w:t>政策</w:t>
      </w:r>
      <w:r w:rsidR="0027505B" w:rsidRPr="00C76406">
        <w:rPr>
          <w:rFonts w:hint="eastAsia"/>
          <w:b/>
          <w:bCs/>
        </w:rPr>
        <w:t>和程序，以及本年发生的变化</w:t>
      </w:r>
      <w:r w:rsidRPr="00C76406">
        <w:rPr>
          <w:bCs/>
        </w:rPr>
        <w:t xml:space="preserve"> </w:t>
      </w:r>
      <w:r w:rsidRPr="00C76406">
        <w:rPr>
          <w:szCs w:val="21"/>
        </w:rPr>
        <w:t xml:space="preserve">- </w:t>
      </w:r>
      <w:r w:rsidRPr="00C76406">
        <w:rPr>
          <w:rFonts w:hint="eastAsia"/>
          <w:szCs w:val="21"/>
        </w:rPr>
        <w:t>续</w:t>
      </w:r>
    </w:p>
    <w:p w:rsidR="00217928" w:rsidRPr="0027505B" w:rsidRDefault="00217928" w:rsidP="00F66363">
      <w:pPr>
        <w:pStyle w:val="aff1"/>
        <w:widowControl w:val="0"/>
        <w:ind w:left="1440" w:firstLineChars="0" w:hanging="720"/>
        <w:contextualSpacing/>
        <w:jc w:val="both"/>
      </w:pPr>
    </w:p>
    <w:p w:rsidR="00F34737" w:rsidRPr="00A71D2E" w:rsidRDefault="004B184F">
      <w:pPr>
        <w:ind w:left="720"/>
        <w:jc w:val="both"/>
        <w:rPr>
          <w:rFonts w:eastAsia="宋体" w:cs="Times New Roman"/>
          <w:szCs w:val="21"/>
          <w:u w:val="single"/>
        </w:rPr>
      </w:pPr>
      <w:r>
        <w:rPr>
          <w:rFonts w:eastAsia="宋体" w:cs="Times New Roman"/>
          <w:szCs w:val="21"/>
          <w:u w:val="single"/>
        </w:rPr>
        <w:t>1</w:t>
      </w:r>
      <w:r w:rsidR="00F34737" w:rsidRPr="00A71D2E">
        <w:rPr>
          <w:rFonts w:eastAsia="宋体" w:cs="Times New Roman"/>
          <w:szCs w:val="21"/>
          <w:u w:val="single"/>
        </w:rPr>
        <w:t>.1</w:t>
      </w:r>
      <w:r w:rsidR="00217928">
        <w:rPr>
          <w:rFonts w:eastAsia="宋体" w:cs="Times New Roman"/>
          <w:szCs w:val="21"/>
          <w:u w:val="single"/>
        </w:rPr>
        <w:t>.</w:t>
      </w:r>
      <w:r w:rsidR="00F34737" w:rsidRPr="00A71D2E">
        <w:rPr>
          <w:rFonts w:eastAsia="宋体" w:cs="Times New Roman"/>
          <w:szCs w:val="21"/>
          <w:u w:val="single"/>
        </w:rPr>
        <w:tab/>
      </w:r>
      <w:r w:rsidR="00F34737" w:rsidRPr="00A71D2E">
        <w:rPr>
          <w:rFonts w:eastAsia="宋体" w:cs="Times New Roman" w:hint="eastAsia"/>
          <w:szCs w:val="21"/>
          <w:u w:val="single"/>
        </w:rPr>
        <w:t>市场风险</w:t>
      </w:r>
    </w:p>
    <w:p w:rsidR="00F34737" w:rsidRPr="00A71D2E" w:rsidRDefault="00F34737">
      <w:pPr>
        <w:ind w:left="720"/>
        <w:jc w:val="both"/>
        <w:rPr>
          <w:rFonts w:eastAsia="宋体" w:cs="Times New Roman"/>
          <w:i/>
          <w:iCs/>
          <w:szCs w:val="21"/>
          <w:u w:val="single"/>
        </w:rPr>
      </w:pPr>
    </w:p>
    <w:p w:rsidR="00F34737" w:rsidRPr="00A71D2E" w:rsidRDefault="004B184F">
      <w:pPr>
        <w:ind w:left="720"/>
        <w:jc w:val="both"/>
        <w:rPr>
          <w:rFonts w:eastAsia="宋体" w:cs="Times New Roman"/>
          <w:i/>
          <w:szCs w:val="21"/>
          <w:u w:val="single"/>
        </w:rPr>
      </w:pPr>
      <w:r>
        <w:rPr>
          <w:rFonts w:eastAsia="宋体" w:cs="Times New Roman"/>
          <w:i/>
          <w:szCs w:val="21"/>
          <w:u w:val="single"/>
        </w:rPr>
        <w:t>1</w:t>
      </w:r>
      <w:r w:rsidR="00F34737" w:rsidRPr="00A71D2E">
        <w:rPr>
          <w:rFonts w:eastAsia="宋体" w:cs="Times New Roman"/>
          <w:i/>
          <w:szCs w:val="21"/>
          <w:u w:val="single"/>
        </w:rPr>
        <w:t>.1.1.</w:t>
      </w:r>
      <w:r w:rsidR="00F34737" w:rsidRPr="00A71D2E">
        <w:rPr>
          <w:rFonts w:eastAsia="宋体" w:cs="Times New Roman"/>
          <w:i/>
          <w:szCs w:val="21"/>
          <w:u w:val="single"/>
        </w:rPr>
        <w:tab/>
      </w:r>
      <w:r w:rsidR="00F34737" w:rsidRPr="00A71D2E">
        <w:rPr>
          <w:rFonts w:eastAsia="宋体" w:cs="Times New Roman" w:hint="eastAsia"/>
          <w:i/>
          <w:szCs w:val="21"/>
          <w:u w:val="single"/>
        </w:rPr>
        <w:t>外汇风险</w:t>
      </w:r>
    </w:p>
    <w:p w:rsidR="00F34737" w:rsidRPr="00A71D2E" w:rsidRDefault="00F34737">
      <w:pPr>
        <w:ind w:left="720"/>
        <w:jc w:val="both"/>
        <w:rPr>
          <w:rFonts w:eastAsia="宋体" w:cs="Times New Roman"/>
          <w:szCs w:val="21"/>
        </w:rPr>
      </w:pPr>
    </w:p>
    <w:p w:rsidR="00F34737" w:rsidRPr="00A71D2E" w:rsidRDefault="00F34737">
      <w:pPr>
        <w:ind w:left="720"/>
        <w:jc w:val="both"/>
        <w:rPr>
          <w:rFonts w:eastAsia="宋体" w:cs="Times New Roman"/>
          <w:szCs w:val="21"/>
        </w:rPr>
      </w:pPr>
      <w:r w:rsidRPr="00A71D2E">
        <w:rPr>
          <w:rFonts w:eastAsia="宋体" w:cs="Times New Roman" w:hint="eastAsia"/>
          <w:szCs w:val="21"/>
        </w:rPr>
        <w:t>外汇风险指因汇率变动产生损失的风险。本集团承受外汇风险主要与美元和欧元有关。除本集团位于中国大陆境内的公司的部分进口采购和出口销售主要以美元或欧元结算，以及本集团位于香港和境外的子公司主要以当地货币进行采购、销售及其他主要业务活动外，本集团其他主要活动以人民币计价结算。</w:t>
      </w:r>
    </w:p>
    <w:p w:rsidR="00513832" w:rsidRPr="00A71D2E" w:rsidRDefault="00513832">
      <w:pPr>
        <w:pStyle w:val="aff1"/>
        <w:widowControl w:val="0"/>
        <w:ind w:left="1440" w:firstLineChars="0" w:hanging="720"/>
        <w:contextualSpacing/>
        <w:rPr>
          <w:b/>
          <w:bCs/>
        </w:rPr>
      </w:pPr>
    </w:p>
    <w:p w:rsidR="00F34737" w:rsidRPr="00A71D2E" w:rsidRDefault="00F34737">
      <w:pPr>
        <w:ind w:left="720"/>
        <w:jc w:val="both"/>
        <w:rPr>
          <w:rFonts w:eastAsia="宋体" w:cs="Times New Roman"/>
          <w:szCs w:val="21"/>
        </w:rPr>
      </w:pPr>
      <w:r w:rsidRPr="00A71D2E">
        <w:rPr>
          <w:rFonts w:eastAsia="宋体" w:cs="Times New Roman" w:hint="eastAsia"/>
          <w:szCs w:val="21"/>
        </w:rPr>
        <w:t>于</w:t>
      </w:r>
      <w:r w:rsidRPr="00A71D2E">
        <w:rPr>
          <w:rFonts w:eastAsia="宋体" w:cs="Times New Roman"/>
          <w:szCs w:val="21"/>
        </w:rPr>
        <w:t>202</w:t>
      </w:r>
      <w:r w:rsidR="00326A4E">
        <w:rPr>
          <w:rFonts w:eastAsia="宋体" w:cs="Times New Roman"/>
          <w:szCs w:val="21"/>
        </w:rPr>
        <w:t>3</w:t>
      </w:r>
      <w:r w:rsidRPr="00A71D2E">
        <w:rPr>
          <w:rFonts w:eastAsia="宋体" w:cs="Times New Roman" w:hint="eastAsia"/>
          <w:szCs w:val="21"/>
        </w:rPr>
        <w:t>年</w:t>
      </w:r>
      <w:r w:rsidRPr="00A71D2E">
        <w:rPr>
          <w:rFonts w:eastAsia="宋体" w:cs="Times New Roman"/>
          <w:szCs w:val="21"/>
        </w:rPr>
        <w:t>12</w:t>
      </w:r>
      <w:r w:rsidRPr="00A71D2E">
        <w:rPr>
          <w:rFonts w:eastAsia="宋体" w:cs="Times New Roman" w:hint="eastAsia"/>
          <w:szCs w:val="21"/>
        </w:rPr>
        <w:t>月</w:t>
      </w:r>
      <w:r w:rsidRPr="00A71D2E">
        <w:rPr>
          <w:rFonts w:eastAsia="宋体" w:cs="Times New Roman"/>
          <w:szCs w:val="21"/>
        </w:rPr>
        <w:t>31</w:t>
      </w:r>
      <w:r w:rsidRPr="00A71D2E">
        <w:rPr>
          <w:rFonts w:eastAsia="宋体" w:cs="Times New Roman" w:hint="eastAsia"/>
          <w:szCs w:val="21"/>
        </w:rPr>
        <w:t>日，除附注</w:t>
      </w:r>
      <w:r w:rsidR="005F14EE">
        <w:rPr>
          <w:rFonts w:eastAsia="宋体" w:cs="Times New Roman"/>
          <w:szCs w:val="21"/>
        </w:rPr>
        <w:t>(</w:t>
      </w:r>
      <w:r w:rsidRPr="00A71D2E">
        <w:rPr>
          <w:rFonts w:eastAsia="宋体" w:cs="Times New Roman" w:hint="eastAsia"/>
          <w:szCs w:val="21"/>
        </w:rPr>
        <w:t>五</w:t>
      </w:r>
      <w:r w:rsidR="005F14EE">
        <w:rPr>
          <w:rFonts w:eastAsia="宋体" w:cs="Times New Roman"/>
          <w:szCs w:val="21"/>
        </w:rPr>
        <w:t>)</w:t>
      </w:r>
      <w:r w:rsidRPr="00A71D2E">
        <w:rPr>
          <w:rFonts w:eastAsia="宋体" w:cs="Times New Roman" w:hint="eastAsia"/>
          <w:szCs w:val="21"/>
        </w:rPr>
        <w:t>、</w:t>
      </w:r>
      <w:r w:rsidR="00C4595C" w:rsidRPr="00A71D2E">
        <w:rPr>
          <w:rFonts w:eastAsia="宋体" w:cs="Times New Roman"/>
          <w:szCs w:val="21"/>
        </w:rPr>
        <w:t>5</w:t>
      </w:r>
      <w:r w:rsidR="0036095E">
        <w:rPr>
          <w:rFonts w:eastAsia="宋体" w:cs="Times New Roman"/>
          <w:szCs w:val="21"/>
        </w:rPr>
        <w:t>2</w:t>
      </w:r>
      <w:r w:rsidRPr="00A71D2E">
        <w:rPr>
          <w:rFonts w:eastAsia="宋体" w:cs="Times New Roman" w:hint="eastAsia"/>
          <w:szCs w:val="21"/>
        </w:rPr>
        <w:t>所述外币货币性项目外，本集团的资产及负债主要为以各子公司的记账本位币计价结算。在外币货币性项目中，下表所述美元和欧元余额</w:t>
      </w:r>
      <w:r w:rsidR="005F14EE">
        <w:rPr>
          <w:rFonts w:eastAsia="宋体" w:cs="Times New Roman"/>
          <w:szCs w:val="21"/>
        </w:rPr>
        <w:t>(</w:t>
      </w:r>
      <w:r w:rsidRPr="00A71D2E">
        <w:rPr>
          <w:rFonts w:eastAsia="宋体" w:cs="Times New Roman" w:hint="eastAsia"/>
          <w:szCs w:val="21"/>
        </w:rPr>
        <w:t>已折算为人民币</w:t>
      </w:r>
      <w:r w:rsidR="005F14EE">
        <w:rPr>
          <w:rFonts w:eastAsia="宋体" w:cs="Times New Roman"/>
          <w:szCs w:val="21"/>
        </w:rPr>
        <w:t>)</w:t>
      </w:r>
      <w:r w:rsidRPr="00A71D2E">
        <w:rPr>
          <w:rFonts w:eastAsia="宋体" w:cs="Times New Roman" w:hint="eastAsia"/>
          <w:szCs w:val="21"/>
        </w:rPr>
        <w:t>产生的外汇风险可能对本集团的经营业绩产生影响。</w:t>
      </w:r>
    </w:p>
    <w:p w:rsidR="00F34737" w:rsidRPr="00A71D2E" w:rsidRDefault="00F34737">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Style w:val="aff5"/>
        <w:tblW w:w="9456" w:type="dxa"/>
        <w:tblInd w:w="709" w:type="dxa"/>
        <w:tblLayout w:type="fixed"/>
        <w:tblLook w:val="04A0" w:firstRow="1" w:lastRow="0" w:firstColumn="1" w:lastColumn="0" w:noHBand="0" w:noVBand="1"/>
      </w:tblPr>
      <w:tblGrid>
        <w:gridCol w:w="2346"/>
        <w:gridCol w:w="1777"/>
        <w:gridCol w:w="1778"/>
        <w:gridCol w:w="1777"/>
        <w:gridCol w:w="1778"/>
      </w:tblGrid>
      <w:tr w:rsidR="00727DF8" w:rsidRPr="00A71D2E" w:rsidTr="0027505B">
        <w:trPr>
          <w:trHeight w:val="20"/>
        </w:trPr>
        <w:tc>
          <w:tcPr>
            <w:tcW w:w="2346" w:type="dxa"/>
            <w:vMerge w:val="restart"/>
            <w:shd w:val="clear" w:color="auto" w:fill="D9D9D9" w:themeFill="background1" w:themeFillShade="D9"/>
            <w:vAlign w:val="center"/>
          </w:tcPr>
          <w:p w:rsidR="00727DF8" w:rsidRPr="00A71D2E" w:rsidRDefault="00727DF8">
            <w:pPr>
              <w:jc w:val="center"/>
              <w:rPr>
                <w:sz w:val="18"/>
                <w:szCs w:val="18"/>
              </w:rPr>
            </w:pPr>
            <w:r w:rsidRPr="00A71D2E">
              <w:rPr>
                <w:rFonts w:hint="eastAsia"/>
                <w:sz w:val="18"/>
                <w:szCs w:val="18"/>
              </w:rPr>
              <w:t>币种</w:t>
            </w:r>
          </w:p>
        </w:tc>
        <w:tc>
          <w:tcPr>
            <w:tcW w:w="3555" w:type="dxa"/>
            <w:gridSpan w:val="2"/>
            <w:shd w:val="clear" w:color="auto" w:fill="D9D9D9" w:themeFill="background1" w:themeFillShade="D9"/>
            <w:vAlign w:val="center"/>
          </w:tcPr>
          <w:p w:rsidR="00727DF8" w:rsidRPr="00A71D2E" w:rsidRDefault="00727DF8">
            <w:pPr>
              <w:jc w:val="center"/>
              <w:rPr>
                <w:sz w:val="18"/>
                <w:szCs w:val="18"/>
              </w:rPr>
            </w:pPr>
            <w:r w:rsidRPr="00A71D2E">
              <w:rPr>
                <w:rFonts w:hint="eastAsia"/>
                <w:sz w:val="18"/>
                <w:szCs w:val="18"/>
              </w:rPr>
              <w:t>资产</w:t>
            </w:r>
          </w:p>
        </w:tc>
        <w:tc>
          <w:tcPr>
            <w:tcW w:w="3555" w:type="dxa"/>
            <w:gridSpan w:val="2"/>
            <w:shd w:val="clear" w:color="auto" w:fill="D9D9D9" w:themeFill="background1" w:themeFillShade="D9"/>
            <w:vAlign w:val="center"/>
          </w:tcPr>
          <w:p w:rsidR="00727DF8" w:rsidRPr="00A71D2E" w:rsidRDefault="00727DF8">
            <w:pPr>
              <w:jc w:val="center"/>
              <w:rPr>
                <w:sz w:val="18"/>
                <w:szCs w:val="18"/>
              </w:rPr>
            </w:pPr>
            <w:r w:rsidRPr="00A71D2E">
              <w:rPr>
                <w:rFonts w:hint="eastAsia"/>
                <w:sz w:val="18"/>
                <w:szCs w:val="18"/>
              </w:rPr>
              <w:t>负债</w:t>
            </w:r>
          </w:p>
        </w:tc>
      </w:tr>
      <w:tr w:rsidR="00E1219C" w:rsidRPr="00A71D2E" w:rsidTr="0027505B">
        <w:trPr>
          <w:trHeight w:val="20"/>
        </w:trPr>
        <w:tc>
          <w:tcPr>
            <w:tcW w:w="2346" w:type="dxa"/>
            <w:vMerge/>
            <w:shd w:val="clear" w:color="auto" w:fill="D9D9D9" w:themeFill="background1" w:themeFillShade="D9"/>
            <w:vAlign w:val="center"/>
          </w:tcPr>
          <w:p w:rsidR="00E1219C" w:rsidRPr="00A71D2E" w:rsidRDefault="00E1219C">
            <w:pPr>
              <w:rPr>
                <w:sz w:val="18"/>
                <w:szCs w:val="18"/>
              </w:rPr>
            </w:pPr>
          </w:p>
        </w:tc>
        <w:tc>
          <w:tcPr>
            <w:tcW w:w="1777" w:type="dxa"/>
            <w:shd w:val="clear" w:color="auto" w:fill="D9D9D9" w:themeFill="background1" w:themeFillShade="D9"/>
            <w:vAlign w:val="center"/>
          </w:tcPr>
          <w:p w:rsidR="00E1219C" w:rsidRPr="00A71D2E" w:rsidRDefault="00E1219C">
            <w:pPr>
              <w:jc w:val="center"/>
              <w:rPr>
                <w:sz w:val="18"/>
                <w:szCs w:val="18"/>
              </w:rPr>
            </w:pPr>
            <w:r w:rsidRPr="00A71D2E">
              <w:rPr>
                <w:rFonts w:hint="eastAsia"/>
                <w:sz w:val="18"/>
                <w:szCs w:val="18"/>
              </w:rPr>
              <w:t>年末余额</w:t>
            </w:r>
          </w:p>
        </w:tc>
        <w:tc>
          <w:tcPr>
            <w:tcW w:w="1778" w:type="dxa"/>
            <w:shd w:val="clear" w:color="auto" w:fill="D9D9D9" w:themeFill="background1" w:themeFillShade="D9"/>
            <w:vAlign w:val="center"/>
          </w:tcPr>
          <w:p w:rsidR="00E1219C" w:rsidRPr="00A71D2E" w:rsidRDefault="00E1219C">
            <w:pPr>
              <w:jc w:val="center"/>
              <w:rPr>
                <w:sz w:val="18"/>
                <w:szCs w:val="18"/>
              </w:rPr>
            </w:pPr>
            <w:r w:rsidRPr="00A71D2E">
              <w:rPr>
                <w:rFonts w:hint="eastAsia"/>
                <w:sz w:val="18"/>
                <w:szCs w:val="18"/>
              </w:rPr>
              <w:t>年初余额</w:t>
            </w:r>
          </w:p>
        </w:tc>
        <w:tc>
          <w:tcPr>
            <w:tcW w:w="1777" w:type="dxa"/>
            <w:shd w:val="clear" w:color="auto" w:fill="D9D9D9" w:themeFill="background1" w:themeFillShade="D9"/>
            <w:vAlign w:val="center"/>
          </w:tcPr>
          <w:p w:rsidR="00E1219C" w:rsidRPr="00A71D2E" w:rsidRDefault="00E1219C">
            <w:pPr>
              <w:jc w:val="center"/>
              <w:rPr>
                <w:sz w:val="18"/>
                <w:szCs w:val="18"/>
              </w:rPr>
            </w:pPr>
            <w:r w:rsidRPr="00A71D2E">
              <w:rPr>
                <w:rFonts w:hint="eastAsia"/>
                <w:sz w:val="18"/>
                <w:szCs w:val="18"/>
              </w:rPr>
              <w:t>年末余额</w:t>
            </w:r>
          </w:p>
        </w:tc>
        <w:tc>
          <w:tcPr>
            <w:tcW w:w="1778" w:type="dxa"/>
            <w:shd w:val="clear" w:color="auto" w:fill="D9D9D9" w:themeFill="background1" w:themeFillShade="D9"/>
            <w:vAlign w:val="center"/>
          </w:tcPr>
          <w:p w:rsidR="00E1219C" w:rsidRPr="00A71D2E" w:rsidRDefault="00E1219C">
            <w:pPr>
              <w:jc w:val="center"/>
              <w:rPr>
                <w:sz w:val="18"/>
                <w:szCs w:val="18"/>
              </w:rPr>
            </w:pPr>
            <w:r w:rsidRPr="00A71D2E">
              <w:rPr>
                <w:rFonts w:hint="eastAsia"/>
                <w:sz w:val="18"/>
                <w:szCs w:val="18"/>
              </w:rPr>
              <w:t>年初余额</w:t>
            </w:r>
          </w:p>
        </w:tc>
      </w:tr>
      <w:tr w:rsidR="00651985" w:rsidRPr="00A71D2E" w:rsidTr="0027505B">
        <w:trPr>
          <w:trHeight w:val="20"/>
        </w:trPr>
        <w:tc>
          <w:tcPr>
            <w:tcW w:w="2346" w:type="dxa"/>
            <w:vAlign w:val="center"/>
          </w:tcPr>
          <w:p w:rsidR="00651985" w:rsidRPr="00A71D2E" w:rsidRDefault="00651985" w:rsidP="00651985">
            <w:pPr>
              <w:rPr>
                <w:sz w:val="18"/>
                <w:szCs w:val="18"/>
              </w:rPr>
            </w:pPr>
            <w:r w:rsidRPr="00A71D2E">
              <w:rPr>
                <w:rFonts w:hint="eastAsia"/>
                <w:sz w:val="18"/>
                <w:szCs w:val="18"/>
              </w:rPr>
              <w:t>美元</w:t>
            </w:r>
          </w:p>
        </w:tc>
        <w:tc>
          <w:tcPr>
            <w:tcW w:w="1777" w:type="dxa"/>
            <w:vAlign w:val="center"/>
          </w:tcPr>
          <w:p w:rsidR="00651985" w:rsidRPr="00A71D2E" w:rsidRDefault="00264DF0" w:rsidP="00651985">
            <w:pPr>
              <w:jc w:val="right"/>
              <w:rPr>
                <w:sz w:val="18"/>
                <w:szCs w:val="18"/>
              </w:rPr>
            </w:pPr>
            <w:r w:rsidRPr="00264DF0">
              <w:rPr>
                <w:sz w:val="18"/>
                <w:szCs w:val="18"/>
              </w:rPr>
              <w:t>237,760,184.4</w:t>
            </w:r>
            <w:r w:rsidR="00C76DAD">
              <w:rPr>
                <w:sz w:val="18"/>
                <w:szCs w:val="18"/>
              </w:rPr>
              <w:t>9</w:t>
            </w:r>
          </w:p>
        </w:tc>
        <w:tc>
          <w:tcPr>
            <w:tcW w:w="1778" w:type="dxa"/>
            <w:vAlign w:val="center"/>
          </w:tcPr>
          <w:p w:rsidR="00651985" w:rsidRPr="00A71D2E" w:rsidRDefault="00651985" w:rsidP="00651985">
            <w:pPr>
              <w:jc w:val="right"/>
              <w:rPr>
                <w:sz w:val="18"/>
                <w:szCs w:val="18"/>
              </w:rPr>
            </w:pPr>
            <w:r w:rsidRPr="00A71D2E">
              <w:rPr>
                <w:sz w:val="18"/>
                <w:szCs w:val="18"/>
              </w:rPr>
              <w:t>184,866,203.01</w:t>
            </w:r>
          </w:p>
        </w:tc>
        <w:tc>
          <w:tcPr>
            <w:tcW w:w="1777" w:type="dxa"/>
            <w:vAlign w:val="center"/>
          </w:tcPr>
          <w:p w:rsidR="00651985" w:rsidRPr="00A71D2E" w:rsidRDefault="002C2F39" w:rsidP="00651985">
            <w:pPr>
              <w:jc w:val="right"/>
              <w:rPr>
                <w:sz w:val="18"/>
                <w:szCs w:val="18"/>
              </w:rPr>
            </w:pPr>
            <w:r w:rsidRPr="002C2F39">
              <w:rPr>
                <w:sz w:val="18"/>
                <w:szCs w:val="18"/>
              </w:rPr>
              <w:t>55,681,021.35</w:t>
            </w:r>
          </w:p>
        </w:tc>
        <w:tc>
          <w:tcPr>
            <w:tcW w:w="1778" w:type="dxa"/>
            <w:vAlign w:val="center"/>
          </w:tcPr>
          <w:p w:rsidR="00651985" w:rsidRPr="00A71D2E" w:rsidRDefault="00651985" w:rsidP="00651985">
            <w:pPr>
              <w:jc w:val="right"/>
              <w:rPr>
                <w:sz w:val="18"/>
                <w:szCs w:val="18"/>
              </w:rPr>
            </w:pPr>
            <w:r w:rsidRPr="00A71D2E">
              <w:rPr>
                <w:sz w:val="18"/>
                <w:szCs w:val="18"/>
              </w:rPr>
              <w:t>29,020,252.33</w:t>
            </w:r>
          </w:p>
        </w:tc>
      </w:tr>
      <w:tr w:rsidR="00651985" w:rsidRPr="00A71D2E" w:rsidTr="0027505B">
        <w:trPr>
          <w:trHeight w:val="20"/>
        </w:trPr>
        <w:tc>
          <w:tcPr>
            <w:tcW w:w="2346" w:type="dxa"/>
            <w:vAlign w:val="center"/>
          </w:tcPr>
          <w:p w:rsidR="00651985" w:rsidRPr="00A71D2E" w:rsidRDefault="00651985" w:rsidP="00651985">
            <w:pPr>
              <w:rPr>
                <w:sz w:val="18"/>
                <w:szCs w:val="18"/>
              </w:rPr>
            </w:pPr>
            <w:r w:rsidRPr="00A71D2E">
              <w:rPr>
                <w:rFonts w:hint="eastAsia"/>
                <w:sz w:val="18"/>
                <w:szCs w:val="18"/>
              </w:rPr>
              <w:t>欧元</w:t>
            </w:r>
          </w:p>
        </w:tc>
        <w:tc>
          <w:tcPr>
            <w:tcW w:w="1777" w:type="dxa"/>
            <w:vAlign w:val="center"/>
          </w:tcPr>
          <w:p w:rsidR="00651985" w:rsidRPr="00A71D2E" w:rsidRDefault="003645BE" w:rsidP="00651985">
            <w:pPr>
              <w:jc w:val="right"/>
              <w:rPr>
                <w:sz w:val="18"/>
                <w:szCs w:val="18"/>
              </w:rPr>
            </w:pPr>
            <w:r w:rsidRPr="003645BE">
              <w:rPr>
                <w:sz w:val="18"/>
                <w:szCs w:val="18"/>
              </w:rPr>
              <w:t>92,151,284.34</w:t>
            </w:r>
          </w:p>
        </w:tc>
        <w:tc>
          <w:tcPr>
            <w:tcW w:w="1778" w:type="dxa"/>
            <w:vAlign w:val="center"/>
          </w:tcPr>
          <w:p w:rsidR="00651985" w:rsidRPr="00A71D2E" w:rsidRDefault="00651985" w:rsidP="00651985">
            <w:pPr>
              <w:jc w:val="right"/>
              <w:rPr>
                <w:sz w:val="18"/>
                <w:szCs w:val="18"/>
              </w:rPr>
            </w:pPr>
            <w:r w:rsidRPr="00A71D2E">
              <w:rPr>
                <w:sz w:val="18"/>
                <w:szCs w:val="18"/>
              </w:rPr>
              <w:t>224,696,401.15</w:t>
            </w:r>
          </w:p>
        </w:tc>
        <w:tc>
          <w:tcPr>
            <w:tcW w:w="1777" w:type="dxa"/>
            <w:vAlign w:val="center"/>
          </w:tcPr>
          <w:p w:rsidR="00651985" w:rsidRPr="00A71D2E" w:rsidRDefault="002C2F39" w:rsidP="00651985">
            <w:pPr>
              <w:jc w:val="right"/>
              <w:rPr>
                <w:sz w:val="18"/>
                <w:szCs w:val="18"/>
              </w:rPr>
            </w:pPr>
            <w:r w:rsidRPr="002C2F39">
              <w:rPr>
                <w:sz w:val="18"/>
                <w:szCs w:val="18"/>
              </w:rPr>
              <w:t>534,955.48</w:t>
            </w:r>
          </w:p>
        </w:tc>
        <w:tc>
          <w:tcPr>
            <w:tcW w:w="1778" w:type="dxa"/>
            <w:vAlign w:val="center"/>
          </w:tcPr>
          <w:p w:rsidR="00651985" w:rsidRPr="00A71D2E" w:rsidRDefault="00651985" w:rsidP="00651985">
            <w:pPr>
              <w:jc w:val="right"/>
              <w:rPr>
                <w:sz w:val="18"/>
                <w:szCs w:val="18"/>
              </w:rPr>
            </w:pPr>
            <w:r w:rsidRPr="00A71D2E">
              <w:rPr>
                <w:sz w:val="18"/>
                <w:szCs w:val="18"/>
              </w:rPr>
              <w:t>3,099,986.31</w:t>
            </w:r>
          </w:p>
        </w:tc>
      </w:tr>
    </w:tbl>
    <w:p w:rsidR="00F34737" w:rsidRPr="00A71D2E" w:rsidRDefault="00F34737" w:rsidP="00F66363">
      <w:pPr>
        <w:ind w:left="720"/>
        <w:jc w:val="both"/>
        <w:rPr>
          <w:rFonts w:eastAsia="宋体" w:cs="Times New Roman"/>
          <w:szCs w:val="21"/>
        </w:rPr>
      </w:pPr>
    </w:p>
    <w:p w:rsidR="00F34737" w:rsidRDefault="00F34737" w:rsidP="00F66363">
      <w:pPr>
        <w:ind w:left="720"/>
        <w:jc w:val="both"/>
        <w:rPr>
          <w:rFonts w:eastAsia="宋体" w:cs="Times New Roman"/>
          <w:szCs w:val="21"/>
        </w:rPr>
      </w:pPr>
      <w:r w:rsidRPr="00A71D2E">
        <w:rPr>
          <w:rFonts w:eastAsia="宋体" w:cs="Times New Roman" w:hint="eastAsia"/>
          <w:szCs w:val="21"/>
        </w:rPr>
        <w:t>本集团总部财务部门负责监控集团外币交易和外币资产及负债的规模，以最大程度降低面临的外汇风险。</w:t>
      </w:r>
    </w:p>
    <w:p w:rsidR="00F34737" w:rsidRPr="00A71D2E" w:rsidRDefault="00F34737" w:rsidP="00F66363">
      <w:pPr>
        <w:ind w:left="720"/>
        <w:jc w:val="both"/>
        <w:rPr>
          <w:rFonts w:eastAsia="宋体" w:cs="Times New Roman"/>
          <w:szCs w:val="21"/>
        </w:rPr>
      </w:pPr>
    </w:p>
    <w:p w:rsidR="00F34737" w:rsidRPr="00A71D2E" w:rsidRDefault="00F34737" w:rsidP="00F66363">
      <w:pPr>
        <w:ind w:left="742"/>
        <w:jc w:val="both"/>
        <w:rPr>
          <w:rFonts w:eastAsia="宋体" w:cs="Times New Roman"/>
          <w:i/>
          <w:szCs w:val="21"/>
          <w:u w:val="single"/>
        </w:rPr>
      </w:pPr>
      <w:r w:rsidRPr="00A71D2E">
        <w:rPr>
          <w:rFonts w:eastAsia="宋体" w:cs="Times New Roman" w:hint="eastAsia"/>
          <w:i/>
          <w:szCs w:val="21"/>
          <w:u w:val="single"/>
        </w:rPr>
        <w:t>外汇风险敏感性分析</w:t>
      </w:r>
    </w:p>
    <w:p w:rsidR="00F34737" w:rsidRPr="00A71D2E" w:rsidRDefault="00F34737" w:rsidP="00F66363">
      <w:pPr>
        <w:ind w:left="720"/>
        <w:jc w:val="both"/>
        <w:rPr>
          <w:rFonts w:eastAsia="宋体" w:cs="Times New Roman"/>
          <w:szCs w:val="21"/>
        </w:rPr>
      </w:pPr>
    </w:p>
    <w:p w:rsidR="00F34737" w:rsidRPr="00F66363" w:rsidRDefault="00F34737">
      <w:pPr>
        <w:ind w:left="742"/>
        <w:jc w:val="both"/>
        <w:rPr>
          <w:rFonts w:eastAsia="宋体" w:cs="Times New Roman"/>
          <w:szCs w:val="21"/>
        </w:rPr>
      </w:pPr>
      <w:r w:rsidRPr="00A71D2E">
        <w:rPr>
          <w:rFonts w:eastAsia="宋体" w:cs="Times New Roman" w:hint="eastAsia"/>
          <w:szCs w:val="21"/>
        </w:rPr>
        <w:t>在其他变量不变的情况下，汇率可能发生的合理变动对当期损益和股东权益的税前影响如下</w:t>
      </w:r>
      <w:r w:rsidR="005F14EE">
        <w:rPr>
          <w:rFonts w:eastAsia="宋体" w:cs="Times New Roman" w:hint="eastAsia"/>
          <w:szCs w:val="21"/>
        </w:rPr>
        <w:t>：</w:t>
      </w:r>
    </w:p>
    <w:p w:rsidR="0041519D" w:rsidRPr="00A71D2E" w:rsidRDefault="0041519D" w:rsidP="00F66363">
      <w:pPr>
        <w:ind w:left="742"/>
        <w:jc w:val="both"/>
        <w:rPr>
          <w:rFonts w:eastAsia="宋体" w:cs="Times New Roman"/>
          <w:szCs w:val="21"/>
        </w:rPr>
      </w:pPr>
    </w:p>
    <w:p w:rsidR="00F34737" w:rsidRPr="00A71D2E" w:rsidRDefault="00F34737">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40"/>
        <w:gridCol w:w="1777"/>
        <w:gridCol w:w="1778"/>
        <w:gridCol w:w="1777"/>
        <w:gridCol w:w="1778"/>
      </w:tblGrid>
      <w:tr w:rsidR="00F34737" w:rsidRPr="00A71D2E" w:rsidTr="0027505B">
        <w:trPr>
          <w:trHeight w:val="20"/>
        </w:trPr>
        <w:tc>
          <w:tcPr>
            <w:tcW w:w="2340" w:type="dxa"/>
            <w:vMerge w:val="restart"/>
            <w:shd w:val="clear" w:color="auto" w:fill="D9D9D9" w:themeFill="background1" w:themeFillShade="D9"/>
            <w:vAlign w:val="center"/>
          </w:tcPr>
          <w:p w:rsidR="00F34737" w:rsidRPr="00A71D2E" w:rsidRDefault="00F34737">
            <w:pPr>
              <w:jc w:val="center"/>
              <w:rPr>
                <w:rFonts w:eastAsia="宋体" w:cs="Times New Roman"/>
                <w:sz w:val="18"/>
                <w:szCs w:val="18"/>
              </w:rPr>
            </w:pPr>
            <w:proofErr w:type="gramStart"/>
            <w:r w:rsidRPr="00A71D2E">
              <w:rPr>
                <w:rFonts w:eastAsia="宋体" w:cs="Times New Roman" w:hint="eastAsia"/>
                <w:spacing w:val="2"/>
                <w:sz w:val="18"/>
                <w:szCs w:val="18"/>
              </w:rPr>
              <w:t>项目汇率</w:t>
            </w:r>
            <w:proofErr w:type="gramEnd"/>
            <w:r w:rsidRPr="00A71D2E">
              <w:rPr>
                <w:rFonts w:eastAsia="宋体" w:cs="Times New Roman" w:hint="eastAsia"/>
                <w:spacing w:val="2"/>
                <w:sz w:val="18"/>
                <w:szCs w:val="18"/>
              </w:rPr>
              <w:t>变动</w:t>
            </w:r>
          </w:p>
        </w:tc>
        <w:tc>
          <w:tcPr>
            <w:tcW w:w="3555" w:type="dxa"/>
            <w:gridSpan w:val="2"/>
            <w:shd w:val="clear" w:color="auto" w:fill="D9D9D9" w:themeFill="background1" w:themeFillShade="D9"/>
            <w:vAlign w:val="center"/>
          </w:tcPr>
          <w:p w:rsidR="00F34737" w:rsidRPr="00A71D2E" w:rsidRDefault="00513832">
            <w:pPr>
              <w:jc w:val="center"/>
              <w:rPr>
                <w:rFonts w:eastAsia="宋体" w:cs="Times New Roman"/>
                <w:sz w:val="18"/>
                <w:szCs w:val="18"/>
              </w:rPr>
            </w:pPr>
            <w:r w:rsidRPr="00A71D2E">
              <w:rPr>
                <w:rFonts w:eastAsia="宋体" w:cs="Times New Roman" w:hint="eastAsia"/>
                <w:sz w:val="18"/>
                <w:szCs w:val="18"/>
              </w:rPr>
              <w:t>本年</w:t>
            </w:r>
          </w:p>
        </w:tc>
        <w:tc>
          <w:tcPr>
            <w:tcW w:w="3555" w:type="dxa"/>
            <w:gridSpan w:val="2"/>
            <w:shd w:val="clear" w:color="auto" w:fill="D9D9D9" w:themeFill="background1" w:themeFillShade="D9"/>
            <w:vAlign w:val="center"/>
          </w:tcPr>
          <w:p w:rsidR="00F34737" w:rsidRPr="00A71D2E" w:rsidRDefault="00A27CE5">
            <w:pPr>
              <w:jc w:val="center"/>
              <w:rPr>
                <w:rFonts w:eastAsia="宋体" w:cs="Times New Roman"/>
                <w:sz w:val="18"/>
                <w:szCs w:val="18"/>
              </w:rPr>
            </w:pPr>
            <w:r w:rsidRPr="00A71D2E">
              <w:rPr>
                <w:rFonts w:eastAsia="宋体" w:cs="Times New Roman" w:hint="eastAsia"/>
                <w:sz w:val="18"/>
                <w:szCs w:val="18"/>
              </w:rPr>
              <w:t>上年</w:t>
            </w:r>
          </w:p>
        </w:tc>
      </w:tr>
      <w:tr w:rsidR="003415F9" w:rsidRPr="00A71D2E" w:rsidTr="0027505B">
        <w:trPr>
          <w:trHeight w:val="20"/>
        </w:trPr>
        <w:tc>
          <w:tcPr>
            <w:tcW w:w="2340" w:type="dxa"/>
            <w:vMerge/>
            <w:shd w:val="clear" w:color="auto" w:fill="D9D9D9" w:themeFill="background1" w:themeFillShade="D9"/>
            <w:vAlign w:val="center"/>
          </w:tcPr>
          <w:p w:rsidR="00F34737" w:rsidRPr="00A71D2E" w:rsidRDefault="00F34737">
            <w:pPr>
              <w:rPr>
                <w:rFonts w:eastAsia="宋体" w:cs="Times New Roman"/>
                <w:sz w:val="18"/>
                <w:szCs w:val="18"/>
              </w:rPr>
            </w:pPr>
          </w:p>
        </w:tc>
        <w:tc>
          <w:tcPr>
            <w:tcW w:w="1777" w:type="dxa"/>
            <w:shd w:val="clear" w:color="auto" w:fill="D9D9D9" w:themeFill="background1" w:themeFillShade="D9"/>
            <w:vAlign w:val="center"/>
          </w:tcPr>
          <w:p w:rsidR="00F34737" w:rsidRPr="00A71D2E" w:rsidRDefault="00F34737">
            <w:pPr>
              <w:pStyle w:val="TableParagraph"/>
              <w:spacing w:line="240" w:lineRule="auto"/>
              <w:ind w:left="0"/>
              <w:jc w:val="center"/>
              <w:rPr>
                <w:rFonts w:ascii="Times New Roman" w:hAnsi="Times New Roman" w:cs="Times New Roman"/>
                <w:sz w:val="18"/>
                <w:szCs w:val="18"/>
                <w:lang w:eastAsia="zh-CN"/>
              </w:rPr>
            </w:pPr>
            <w:r w:rsidRPr="00A71D2E">
              <w:rPr>
                <w:rFonts w:ascii="Times New Roman" w:hAnsi="Times New Roman" w:cs="Times New Roman" w:hint="eastAsia"/>
                <w:sz w:val="18"/>
                <w:szCs w:val="18"/>
                <w:lang w:eastAsia="zh-CN"/>
              </w:rPr>
              <w:t>对利润的影响</w:t>
            </w:r>
          </w:p>
        </w:tc>
        <w:tc>
          <w:tcPr>
            <w:tcW w:w="1778" w:type="dxa"/>
            <w:shd w:val="clear" w:color="auto" w:fill="D9D9D9" w:themeFill="background1" w:themeFillShade="D9"/>
            <w:vAlign w:val="center"/>
          </w:tcPr>
          <w:p w:rsidR="00F34737" w:rsidRPr="00A71D2E" w:rsidRDefault="00F34737">
            <w:pPr>
              <w:pStyle w:val="TableParagraph"/>
              <w:spacing w:line="240" w:lineRule="auto"/>
              <w:ind w:left="0"/>
              <w:jc w:val="center"/>
              <w:rPr>
                <w:rFonts w:ascii="Times New Roman" w:hAnsi="Times New Roman" w:cs="Times New Roman"/>
                <w:sz w:val="18"/>
                <w:szCs w:val="18"/>
                <w:lang w:eastAsia="zh-CN"/>
              </w:rPr>
            </w:pPr>
            <w:r w:rsidRPr="00A71D2E">
              <w:rPr>
                <w:rFonts w:ascii="Times New Roman" w:hAnsi="Times New Roman" w:cs="Times New Roman" w:hint="eastAsia"/>
                <w:sz w:val="18"/>
                <w:szCs w:val="18"/>
                <w:lang w:eastAsia="zh-CN"/>
              </w:rPr>
              <w:t>对股东权益的影响</w:t>
            </w:r>
          </w:p>
        </w:tc>
        <w:tc>
          <w:tcPr>
            <w:tcW w:w="1777" w:type="dxa"/>
            <w:shd w:val="clear" w:color="auto" w:fill="D9D9D9" w:themeFill="background1" w:themeFillShade="D9"/>
            <w:vAlign w:val="center"/>
          </w:tcPr>
          <w:p w:rsidR="00F34737" w:rsidRPr="00A71D2E" w:rsidRDefault="00F34737">
            <w:pPr>
              <w:pStyle w:val="TableParagraph"/>
              <w:spacing w:line="240" w:lineRule="auto"/>
              <w:ind w:left="0"/>
              <w:jc w:val="center"/>
              <w:rPr>
                <w:rFonts w:ascii="Times New Roman" w:hAnsi="Times New Roman" w:cs="Times New Roman"/>
                <w:sz w:val="18"/>
                <w:szCs w:val="18"/>
              </w:rPr>
            </w:pPr>
            <w:r w:rsidRPr="00A71D2E">
              <w:rPr>
                <w:rFonts w:ascii="Times New Roman" w:hAnsi="Times New Roman" w:cs="Times New Roman" w:hint="eastAsia"/>
                <w:sz w:val="18"/>
                <w:szCs w:val="18"/>
                <w:lang w:eastAsia="zh-CN"/>
              </w:rPr>
              <w:t>对利润的影响</w:t>
            </w:r>
          </w:p>
        </w:tc>
        <w:tc>
          <w:tcPr>
            <w:tcW w:w="1778" w:type="dxa"/>
            <w:shd w:val="clear" w:color="auto" w:fill="D9D9D9" w:themeFill="background1" w:themeFillShade="D9"/>
            <w:vAlign w:val="center"/>
          </w:tcPr>
          <w:p w:rsidR="00F34737" w:rsidRPr="00A71D2E" w:rsidRDefault="00F34737">
            <w:pPr>
              <w:pStyle w:val="TableParagraph"/>
              <w:spacing w:line="240" w:lineRule="auto"/>
              <w:ind w:left="0"/>
              <w:jc w:val="center"/>
              <w:rPr>
                <w:rFonts w:ascii="Times New Roman" w:hAnsi="Times New Roman" w:cs="Times New Roman"/>
                <w:sz w:val="18"/>
                <w:szCs w:val="18"/>
              </w:rPr>
            </w:pPr>
            <w:r w:rsidRPr="00A71D2E">
              <w:rPr>
                <w:rFonts w:ascii="Times New Roman" w:hAnsi="Times New Roman" w:cs="Times New Roman" w:hint="eastAsia"/>
                <w:sz w:val="18"/>
                <w:szCs w:val="18"/>
                <w:lang w:eastAsia="zh-CN"/>
              </w:rPr>
              <w:t>对股东权益的影响</w:t>
            </w:r>
          </w:p>
        </w:tc>
      </w:tr>
      <w:tr w:rsidR="00771D58" w:rsidRPr="00A71D2E" w:rsidTr="0027505B">
        <w:trPr>
          <w:trHeight w:val="20"/>
        </w:trPr>
        <w:tc>
          <w:tcPr>
            <w:tcW w:w="2340" w:type="dxa"/>
            <w:vAlign w:val="center"/>
          </w:tcPr>
          <w:p w:rsidR="00771D58" w:rsidRPr="00A71D2E" w:rsidRDefault="00771D58" w:rsidP="00771D58">
            <w:pPr>
              <w:widowControl w:val="0"/>
              <w:ind w:left="90"/>
              <w:jc w:val="both"/>
              <w:rPr>
                <w:rFonts w:eastAsia="宋体" w:cs="Times New Roman"/>
                <w:sz w:val="18"/>
                <w:szCs w:val="18"/>
              </w:rPr>
            </w:pPr>
            <w:r w:rsidRPr="00A71D2E">
              <w:rPr>
                <w:rFonts w:eastAsia="宋体" w:cs="Times New Roman" w:hint="eastAsia"/>
                <w:sz w:val="18"/>
                <w:szCs w:val="18"/>
              </w:rPr>
              <w:t>美金对记账本位币升值</w:t>
            </w:r>
            <w:r w:rsidRPr="00A71D2E">
              <w:rPr>
                <w:rFonts w:eastAsia="宋体" w:cs="Times New Roman"/>
                <w:sz w:val="18"/>
                <w:szCs w:val="18"/>
              </w:rPr>
              <w:t>5%</w:t>
            </w:r>
          </w:p>
        </w:tc>
        <w:tc>
          <w:tcPr>
            <w:tcW w:w="1777" w:type="dxa"/>
            <w:vAlign w:val="center"/>
          </w:tcPr>
          <w:p w:rsidR="00771D58" w:rsidRPr="00A71D2E" w:rsidRDefault="00264DF0" w:rsidP="00771D58">
            <w:pPr>
              <w:ind w:right="93"/>
              <w:jc w:val="right"/>
              <w:rPr>
                <w:rFonts w:eastAsia="宋体" w:cs="Times New Roman"/>
                <w:sz w:val="18"/>
                <w:szCs w:val="18"/>
              </w:rPr>
            </w:pPr>
            <w:r w:rsidRPr="00264DF0">
              <w:rPr>
                <w:rFonts w:eastAsia="宋体" w:cs="Times New Roman"/>
                <w:sz w:val="18"/>
                <w:szCs w:val="18"/>
              </w:rPr>
              <w:t>9,103,958.16</w:t>
            </w:r>
          </w:p>
        </w:tc>
        <w:tc>
          <w:tcPr>
            <w:tcW w:w="1778" w:type="dxa"/>
            <w:vAlign w:val="center"/>
          </w:tcPr>
          <w:p w:rsidR="00771D58" w:rsidRPr="00A71D2E" w:rsidRDefault="00264DF0" w:rsidP="00771D58">
            <w:pPr>
              <w:ind w:right="93"/>
              <w:jc w:val="right"/>
              <w:rPr>
                <w:rFonts w:eastAsia="宋体" w:cs="Times New Roman"/>
                <w:sz w:val="18"/>
                <w:szCs w:val="18"/>
              </w:rPr>
            </w:pPr>
            <w:r w:rsidRPr="00264DF0">
              <w:rPr>
                <w:rFonts w:eastAsia="宋体" w:cs="Times New Roman"/>
                <w:sz w:val="18"/>
                <w:szCs w:val="18"/>
              </w:rPr>
              <w:t>9,103,958.16</w:t>
            </w:r>
          </w:p>
        </w:tc>
        <w:tc>
          <w:tcPr>
            <w:tcW w:w="1777" w:type="dxa"/>
            <w:vAlign w:val="center"/>
          </w:tcPr>
          <w:p w:rsidR="00771D58" w:rsidRPr="00A71D2E" w:rsidRDefault="00771D58" w:rsidP="00771D58">
            <w:pPr>
              <w:ind w:right="93"/>
              <w:jc w:val="right"/>
              <w:rPr>
                <w:rFonts w:eastAsia="宋体" w:cs="Times New Roman"/>
                <w:sz w:val="18"/>
                <w:szCs w:val="18"/>
              </w:rPr>
            </w:pPr>
            <w:r w:rsidRPr="00A71D2E">
              <w:rPr>
                <w:rFonts w:eastAsia="宋体" w:cs="Times New Roman"/>
                <w:sz w:val="18"/>
                <w:szCs w:val="18"/>
              </w:rPr>
              <w:t>7,792,297.53</w:t>
            </w:r>
          </w:p>
        </w:tc>
        <w:tc>
          <w:tcPr>
            <w:tcW w:w="1778" w:type="dxa"/>
            <w:vAlign w:val="center"/>
          </w:tcPr>
          <w:p w:rsidR="00771D58" w:rsidRPr="00A71D2E" w:rsidRDefault="00771D58" w:rsidP="00771D58">
            <w:pPr>
              <w:ind w:right="93"/>
              <w:jc w:val="right"/>
              <w:rPr>
                <w:rFonts w:eastAsia="宋体" w:cs="Times New Roman"/>
                <w:sz w:val="18"/>
                <w:szCs w:val="18"/>
              </w:rPr>
            </w:pPr>
            <w:r w:rsidRPr="00A71D2E">
              <w:rPr>
                <w:rFonts w:eastAsia="宋体" w:cs="Times New Roman"/>
                <w:sz w:val="18"/>
                <w:szCs w:val="18"/>
              </w:rPr>
              <w:t>7,792,297.53</w:t>
            </w:r>
          </w:p>
        </w:tc>
      </w:tr>
      <w:tr w:rsidR="00771D58" w:rsidRPr="00A71D2E" w:rsidTr="0027505B">
        <w:trPr>
          <w:trHeight w:val="20"/>
        </w:trPr>
        <w:tc>
          <w:tcPr>
            <w:tcW w:w="2340" w:type="dxa"/>
            <w:vAlign w:val="center"/>
          </w:tcPr>
          <w:p w:rsidR="00771D58" w:rsidRPr="00A71D2E" w:rsidRDefault="00771D58" w:rsidP="00771D58">
            <w:pPr>
              <w:pStyle w:val="TableParagraph"/>
              <w:spacing w:line="240" w:lineRule="auto"/>
              <w:ind w:left="90"/>
              <w:rPr>
                <w:rFonts w:ascii="Times New Roman" w:hAnsi="Times New Roman" w:cs="Times New Roman"/>
                <w:sz w:val="18"/>
                <w:szCs w:val="18"/>
                <w:lang w:eastAsia="zh-CN"/>
              </w:rPr>
            </w:pPr>
            <w:r w:rsidRPr="00A71D2E">
              <w:rPr>
                <w:rFonts w:ascii="Times New Roman" w:hAnsi="Times New Roman" w:cs="Times New Roman" w:hint="eastAsia"/>
                <w:sz w:val="18"/>
                <w:szCs w:val="18"/>
                <w:lang w:eastAsia="zh-CN"/>
              </w:rPr>
              <w:t>美金对记账本位币贬值</w:t>
            </w:r>
            <w:r w:rsidRPr="00A71D2E">
              <w:rPr>
                <w:rFonts w:ascii="Times New Roman" w:hAnsi="Times New Roman" w:cs="Times New Roman"/>
                <w:sz w:val="18"/>
                <w:szCs w:val="18"/>
                <w:lang w:eastAsia="zh-CN"/>
              </w:rPr>
              <w:t>5%</w:t>
            </w:r>
          </w:p>
        </w:tc>
        <w:tc>
          <w:tcPr>
            <w:tcW w:w="1777" w:type="dxa"/>
            <w:vAlign w:val="center"/>
          </w:tcPr>
          <w:p w:rsidR="00771D58" w:rsidRPr="00A71D2E" w:rsidRDefault="005F14EE" w:rsidP="00771D58">
            <w:pPr>
              <w:ind w:right="93"/>
              <w:jc w:val="right"/>
              <w:rPr>
                <w:rFonts w:eastAsia="宋体" w:cs="Times New Roman"/>
                <w:sz w:val="18"/>
                <w:szCs w:val="18"/>
              </w:rPr>
            </w:pPr>
            <w:r>
              <w:rPr>
                <w:rFonts w:eastAsia="宋体" w:cs="Times New Roman"/>
                <w:sz w:val="18"/>
                <w:szCs w:val="18"/>
              </w:rPr>
              <w:t>(</w:t>
            </w:r>
            <w:r w:rsidR="00264DF0" w:rsidRPr="00264DF0">
              <w:rPr>
                <w:rFonts w:eastAsia="宋体" w:cs="Times New Roman"/>
                <w:sz w:val="18"/>
                <w:szCs w:val="18"/>
              </w:rPr>
              <w:t>9,103,958.16</w:t>
            </w:r>
            <w:r>
              <w:rPr>
                <w:rFonts w:eastAsia="宋体" w:cs="Times New Roman"/>
                <w:sz w:val="18"/>
                <w:szCs w:val="18"/>
              </w:rPr>
              <w:t>)</w:t>
            </w:r>
          </w:p>
        </w:tc>
        <w:tc>
          <w:tcPr>
            <w:tcW w:w="1778" w:type="dxa"/>
            <w:vAlign w:val="center"/>
          </w:tcPr>
          <w:p w:rsidR="00771D58" w:rsidRPr="00A71D2E" w:rsidRDefault="005F14EE" w:rsidP="00771D58">
            <w:pPr>
              <w:ind w:right="93"/>
              <w:jc w:val="right"/>
              <w:rPr>
                <w:rFonts w:eastAsia="宋体" w:cs="Times New Roman"/>
                <w:sz w:val="18"/>
                <w:szCs w:val="18"/>
              </w:rPr>
            </w:pPr>
            <w:r>
              <w:rPr>
                <w:rFonts w:eastAsia="宋体" w:cs="Times New Roman"/>
                <w:sz w:val="18"/>
                <w:szCs w:val="18"/>
              </w:rPr>
              <w:t>(</w:t>
            </w:r>
            <w:r w:rsidR="00264DF0" w:rsidRPr="00264DF0">
              <w:rPr>
                <w:rFonts w:eastAsia="宋体" w:cs="Times New Roman"/>
                <w:sz w:val="18"/>
                <w:szCs w:val="18"/>
              </w:rPr>
              <w:t>9,103,958.16</w:t>
            </w:r>
            <w:r>
              <w:rPr>
                <w:rFonts w:eastAsia="宋体" w:cs="Times New Roman"/>
                <w:sz w:val="18"/>
                <w:szCs w:val="18"/>
              </w:rPr>
              <w:t>)</w:t>
            </w:r>
          </w:p>
        </w:tc>
        <w:tc>
          <w:tcPr>
            <w:tcW w:w="1777" w:type="dxa"/>
            <w:vAlign w:val="center"/>
          </w:tcPr>
          <w:p w:rsidR="00771D58" w:rsidRPr="00A71D2E" w:rsidRDefault="005F14EE" w:rsidP="00771D58">
            <w:pPr>
              <w:ind w:right="93"/>
              <w:jc w:val="right"/>
              <w:rPr>
                <w:rFonts w:eastAsia="宋体" w:cs="Times New Roman"/>
                <w:sz w:val="18"/>
                <w:szCs w:val="18"/>
              </w:rPr>
            </w:pPr>
            <w:r>
              <w:rPr>
                <w:rFonts w:eastAsia="宋体" w:cs="Times New Roman"/>
                <w:sz w:val="18"/>
                <w:szCs w:val="18"/>
              </w:rPr>
              <w:t>(</w:t>
            </w:r>
            <w:r w:rsidR="00771D58" w:rsidRPr="00A71D2E">
              <w:rPr>
                <w:rFonts w:eastAsia="宋体" w:cs="Times New Roman"/>
                <w:sz w:val="18"/>
                <w:szCs w:val="18"/>
              </w:rPr>
              <w:t>7,792,297.53</w:t>
            </w:r>
            <w:r>
              <w:rPr>
                <w:rFonts w:eastAsia="宋体" w:cs="Times New Roman"/>
                <w:sz w:val="18"/>
                <w:szCs w:val="18"/>
              </w:rPr>
              <w:t>)</w:t>
            </w:r>
          </w:p>
        </w:tc>
        <w:tc>
          <w:tcPr>
            <w:tcW w:w="1778" w:type="dxa"/>
            <w:vAlign w:val="center"/>
          </w:tcPr>
          <w:p w:rsidR="00771D58" w:rsidRPr="00A71D2E" w:rsidRDefault="005F14EE" w:rsidP="00771D58">
            <w:pPr>
              <w:ind w:right="93"/>
              <w:jc w:val="right"/>
              <w:rPr>
                <w:rFonts w:eastAsia="宋体" w:cs="Times New Roman"/>
                <w:sz w:val="18"/>
                <w:szCs w:val="18"/>
              </w:rPr>
            </w:pPr>
            <w:r>
              <w:rPr>
                <w:rFonts w:eastAsia="宋体" w:cs="Times New Roman"/>
                <w:sz w:val="18"/>
                <w:szCs w:val="18"/>
              </w:rPr>
              <w:t>(</w:t>
            </w:r>
            <w:r w:rsidR="00771D58" w:rsidRPr="00A71D2E">
              <w:rPr>
                <w:rFonts w:eastAsia="宋体" w:cs="Times New Roman"/>
                <w:sz w:val="18"/>
                <w:szCs w:val="18"/>
              </w:rPr>
              <w:t>7,792,297.53</w:t>
            </w:r>
            <w:r>
              <w:rPr>
                <w:rFonts w:eastAsia="宋体" w:cs="Times New Roman"/>
                <w:sz w:val="18"/>
                <w:szCs w:val="18"/>
              </w:rPr>
              <w:t>)</w:t>
            </w:r>
          </w:p>
        </w:tc>
      </w:tr>
      <w:tr w:rsidR="00771D58" w:rsidRPr="00A71D2E" w:rsidTr="0027505B">
        <w:trPr>
          <w:trHeight w:val="20"/>
        </w:trPr>
        <w:tc>
          <w:tcPr>
            <w:tcW w:w="2340" w:type="dxa"/>
            <w:vAlign w:val="center"/>
          </w:tcPr>
          <w:p w:rsidR="00771D58" w:rsidRPr="00A71D2E" w:rsidRDefault="00771D58" w:rsidP="00771D58">
            <w:pPr>
              <w:pStyle w:val="TableParagraph"/>
              <w:spacing w:line="240" w:lineRule="auto"/>
              <w:ind w:left="90"/>
              <w:rPr>
                <w:rFonts w:ascii="Times New Roman" w:hAnsi="Times New Roman" w:cs="Times New Roman"/>
                <w:sz w:val="18"/>
                <w:szCs w:val="18"/>
                <w:lang w:eastAsia="zh-CN"/>
              </w:rPr>
            </w:pPr>
            <w:r w:rsidRPr="00A71D2E">
              <w:rPr>
                <w:rFonts w:ascii="Times New Roman" w:hAnsi="Times New Roman" w:cs="Times New Roman" w:hint="eastAsia"/>
                <w:sz w:val="18"/>
                <w:szCs w:val="18"/>
                <w:lang w:eastAsia="zh-CN"/>
              </w:rPr>
              <w:t>欧元对记账本位币升值</w:t>
            </w:r>
            <w:r w:rsidRPr="00A71D2E">
              <w:rPr>
                <w:rFonts w:ascii="Times New Roman" w:hAnsi="Times New Roman" w:cs="Times New Roman"/>
                <w:sz w:val="18"/>
                <w:szCs w:val="18"/>
                <w:lang w:eastAsia="zh-CN"/>
              </w:rPr>
              <w:t>5%</w:t>
            </w:r>
          </w:p>
        </w:tc>
        <w:tc>
          <w:tcPr>
            <w:tcW w:w="1777" w:type="dxa"/>
            <w:vAlign w:val="center"/>
          </w:tcPr>
          <w:p w:rsidR="00771D58" w:rsidRPr="00A71D2E" w:rsidRDefault="003645BE" w:rsidP="00771D58">
            <w:pPr>
              <w:ind w:right="93"/>
              <w:jc w:val="right"/>
              <w:rPr>
                <w:rFonts w:eastAsia="宋体" w:cs="Times New Roman"/>
                <w:sz w:val="18"/>
                <w:szCs w:val="18"/>
              </w:rPr>
            </w:pPr>
            <w:r w:rsidRPr="003645BE">
              <w:rPr>
                <w:rFonts w:eastAsia="宋体" w:cs="Times New Roman"/>
                <w:sz w:val="18"/>
                <w:szCs w:val="18"/>
              </w:rPr>
              <w:t>4,580,816.44</w:t>
            </w:r>
          </w:p>
        </w:tc>
        <w:tc>
          <w:tcPr>
            <w:tcW w:w="1778" w:type="dxa"/>
            <w:vAlign w:val="center"/>
          </w:tcPr>
          <w:p w:rsidR="00771D58" w:rsidRPr="00A71D2E" w:rsidRDefault="00CB5BFB" w:rsidP="00771D58">
            <w:pPr>
              <w:ind w:right="93"/>
              <w:jc w:val="right"/>
              <w:rPr>
                <w:rFonts w:eastAsia="宋体" w:cs="Times New Roman"/>
                <w:sz w:val="18"/>
                <w:szCs w:val="18"/>
              </w:rPr>
            </w:pPr>
            <w:r w:rsidRPr="00CB5BFB">
              <w:rPr>
                <w:rFonts w:eastAsia="宋体" w:cs="Times New Roman"/>
                <w:sz w:val="18"/>
                <w:szCs w:val="18"/>
              </w:rPr>
              <w:t>4,580,816.44</w:t>
            </w:r>
          </w:p>
        </w:tc>
        <w:tc>
          <w:tcPr>
            <w:tcW w:w="1777" w:type="dxa"/>
            <w:vAlign w:val="center"/>
          </w:tcPr>
          <w:p w:rsidR="00771D58" w:rsidRPr="00A71D2E" w:rsidRDefault="00771D58" w:rsidP="00771D58">
            <w:pPr>
              <w:ind w:right="93"/>
              <w:jc w:val="right"/>
              <w:rPr>
                <w:rFonts w:eastAsia="宋体" w:cs="Times New Roman"/>
                <w:sz w:val="18"/>
                <w:szCs w:val="18"/>
              </w:rPr>
            </w:pPr>
            <w:r w:rsidRPr="00A71D2E">
              <w:rPr>
                <w:rFonts w:eastAsia="宋体" w:cs="Times New Roman"/>
                <w:sz w:val="18"/>
                <w:szCs w:val="18"/>
              </w:rPr>
              <w:t>11,079,820.74</w:t>
            </w:r>
          </w:p>
        </w:tc>
        <w:tc>
          <w:tcPr>
            <w:tcW w:w="1778" w:type="dxa"/>
            <w:vAlign w:val="center"/>
          </w:tcPr>
          <w:p w:rsidR="00771D58" w:rsidRPr="00A71D2E" w:rsidRDefault="00771D58" w:rsidP="00771D58">
            <w:pPr>
              <w:ind w:right="93"/>
              <w:jc w:val="right"/>
              <w:rPr>
                <w:rFonts w:eastAsia="宋体" w:cs="Times New Roman"/>
                <w:sz w:val="18"/>
                <w:szCs w:val="18"/>
              </w:rPr>
            </w:pPr>
            <w:r w:rsidRPr="00A71D2E">
              <w:rPr>
                <w:rFonts w:eastAsia="宋体" w:cs="Times New Roman"/>
                <w:sz w:val="18"/>
                <w:szCs w:val="18"/>
              </w:rPr>
              <w:t>11,079,820.74</w:t>
            </w:r>
          </w:p>
        </w:tc>
      </w:tr>
      <w:tr w:rsidR="00771D58" w:rsidRPr="00A71D2E" w:rsidTr="0027505B">
        <w:trPr>
          <w:trHeight w:val="20"/>
        </w:trPr>
        <w:tc>
          <w:tcPr>
            <w:tcW w:w="2340" w:type="dxa"/>
            <w:vAlign w:val="center"/>
          </w:tcPr>
          <w:p w:rsidR="00771D58" w:rsidRPr="00A71D2E" w:rsidRDefault="00771D58" w:rsidP="00771D58">
            <w:pPr>
              <w:pStyle w:val="TableParagraph"/>
              <w:spacing w:line="240" w:lineRule="auto"/>
              <w:ind w:left="90"/>
              <w:rPr>
                <w:rFonts w:ascii="Times New Roman" w:hAnsi="Times New Roman" w:cs="Times New Roman"/>
                <w:sz w:val="18"/>
                <w:szCs w:val="18"/>
                <w:lang w:eastAsia="zh-CN"/>
              </w:rPr>
            </w:pPr>
            <w:r w:rsidRPr="00A71D2E">
              <w:rPr>
                <w:rFonts w:ascii="Times New Roman" w:hAnsi="Times New Roman" w:cs="Times New Roman" w:hint="eastAsia"/>
                <w:sz w:val="18"/>
                <w:szCs w:val="18"/>
                <w:lang w:eastAsia="zh-CN"/>
              </w:rPr>
              <w:t>欧元对记账本位币贬值</w:t>
            </w:r>
            <w:r w:rsidRPr="00A71D2E">
              <w:rPr>
                <w:rFonts w:ascii="Times New Roman" w:hAnsi="Times New Roman" w:cs="Times New Roman"/>
                <w:sz w:val="18"/>
                <w:szCs w:val="18"/>
                <w:lang w:eastAsia="zh-CN"/>
              </w:rPr>
              <w:t>5%</w:t>
            </w:r>
          </w:p>
        </w:tc>
        <w:tc>
          <w:tcPr>
            <w:tcW w:w="1777" w:type="dxa"/>
            <w:vAlign w:val="center"/>
          </w:tcPr>
          <w:p w:rsidR="00771D58" w:rsidRPr="00A71D2E" w:rsidRDefault="005F14EE" w:rsidP="00771D58">
            <w:pPr>
              <w:ind w:right="93"/>
              <w:jc w:val="right"/>
              <w:rPr>
                <w:rFonts w:eastAsia="宋体" w:cs="Times New Roman"/>
                <w:sz w:val="18"/>
                <w:szCs w:val="18"/>
              </w:rPr>
            </w:pPr>
            <w:r>
              <w:rPr>
                <w:rFonts w:eastAsia="宋体" w:cs="Times New Roman"/>
                <w:sz w:val="18"/>
                <w:szCs w:val="18"/>
              </w:rPr>
              <w:t>(</w:t>
            </w:r>
            <w:r w:rsidR="003645BE" w:rsidRPr="003645BE">
              <w:rPr>
                <w:rFonts w:eastAsia="宋体" w:cs="Times New Roman"/>
                <w:sz w:val="18"/>
                <w:szCs w:val="18"/>
              </w:rPr>
              <w:t>4,580,816.44</w:t>
            </w:r>
            <w:r>
              <w:rPr>
                <w:rFonts w:eastAsia="宋体" w:cs="Times New Roman"/>
                <w:sz w:val="18"/>
                <w:szCs w:val="18"/>
              </w:rPr>
              <w:t>)</w:t>
            </w:r>
          </w:p>
        </w:tc>
        <w:tc>
          <w:tcPr>
            <w:tcW w:w="1778" w:type="dxa"/>
            <w:vAlign w:val="center"/>
          </w:tcPr>
          <w:p w:rsidR="00771D58" w:rsidRPr="00A71D2E" w:rsidRDefault="005F14EE" w:rsidP="00771D58">
            <w:pPr>
              <w:ind w:right="93"/>
              <w:jc w:val="right"/>
              <w:rPr>
                <w:rFonts w:eastAsia="宋体" w:cs="Times New Roman"/>
                <w:sz w:val="18"/>
                <w:szCs w:val="18"/>
              </w:rPr>
            </w:pPr>
            <w:r>
              <w:rPr>
                <w:rFonts w:eastAsia="宋体" w:cs="Times New Roman"/>
                <w:sz w:val="18"/>
                <w:szCs w:val="18"/>
              </w:rPr>
              <w:t>(</w:t>
            </w:r>
            <w:r w:rsidR="00CB5BFB" w:rsidRPr="00CB5BFB">
              <w:rPr>
                <w:rFonts w:eastAsia="宋体" w:cs="Times New Roman"/>
                <w:sz w:val="18"/>
                <w:szCs w:val="18"/>
              </w:rPr>
              <w:t>4,580,816.44</w:t>
            </w:r>
            <w:r>
              <w:rPr>
                <w:rFonts w:eastAsia="宋体" w:cs="Times New Roman"/>
                <w:sz w:val="18"/>
                <w:szCs w:val="18"/>
              </w:rPr>
              <w:t>)</w:t>
            </w:r>
          </w:p>
        </w:tc>
        <w:tc>
          <w:tcPr>
            <w:tcW w:w="1777" w:type="dxa"/>
            <w:vAlign w:val="center"/>
          </w:tcPr>
          <w:p w:rsidR="00771D58" w:rsidRPr="00A71D2E" w:rsidRDefault="005F14EE" w:rsidP="00771D58">
            <w:pPr>
              <w:ind w:right="93"/>
              <w:jc w:val="right"/>
              <w:rPr>
                <w:rFonts w:eastAsia="宋体" w:cs="Times New Roman"/>
                <w:sz w:val="18"/>
                <w:szCs w:val="18"/>
              </w:rPr>
            </w:pPr>
            <w:r>
              <w:rPr>
                <w:rFonts w:eastAsia="宋体" w:cs="Times New Roman"/>
                <w:sz w:val="18"/>
                <w:szCs w:val="18"/>
              </w:rPr>
              <w:t>(</w:t>
            </w:r>
            <w:r w:rsidR="00771D58" w:rsidRPr="00A71D2E">
              <w:rPr>
                <w:rFonts w:eastAsia="宋体" w:cs="Times New Roman"/>
                <w:sz w:val="18"/>
                <w:szCs w:val="18"/>
              </w:rPr>
              <w:t>11,079,820.74</w:t>
            </w:r>
            <w:r>
              <w:rPr>
                <w:rFonts w:eastAsia="宋体" w:cs="Times New Roman"/>
                <w:sz w:val="18"/>
                <w:szCs w:val="18"/>
              </w:rPr>
              <w:t>)</w:t>
            </w:r>
          </w:p>
        </w:tc>
        <w:tc>
          <w:tcPr>
            <w:tcW w:w="1778" w:type="dxa"/>
            <w:vAlign w:val="center"/>
          </w:tcPr>
          <w:p w:rsidR="00771D58" w:rsidRPr="00A71D2E" w:rsidRDefault="005F14EE" w:rsidP="00771D58">
            <w:pPr>
              <w:ind w:right="93"/>
              <w:jc w:val="right"/>
              <w:rPr>
                <w:rFonts w:eastAsia="宋体" w:cs="Times New Roman"/>
                <w:sz w:val="18"/>
                <w:szCs w:val="18"/>
              </w:rPr>
            </w:pPr>
            <w:r>
              <w:rPr>
                <w:rFonts w:eastAsia="宋体" w:cs="Times New Roman"/>
                <w:sz w:val="18"/>
                <w:szCs w:val="18"/>
              </w:rPr>
              <w:t>(</w:t>
            </w:r>
            <w:r w:rsidR="00771D58" w:rsidRPr="00A71D2E">
              <w:rPr>
                <w:rFonts w:eastAsia="宋体" w:cs="Times New Roman"/>
                <w:sz w:val="18"/>
                <w:szCs w:val="18"/>
              </w:rPr>
              <w:t>11,079,820.74</w:t>
            </w:r>
            <w:r>
              <w:rPr>
                <w:rFonts w:eastAsia="宋体" w:cs="Times New Roman"/>
                <w:sz w:val="18"/>
                <w:szCs w:val="18"/>
              </w:rPr>
              <w:t>)</w:t>
            </w:r>
          </w:p>
        </w:tc>
      </w:tr>
    </w:tbl>
    <w:p w:rsidR="00F34737" w:rsidRPr="00A71D2E" w:rsidRDefault="00F34737" w:rsidP="00F66363">
      <w:pPr>
        <w:pStyle w:val="aff1"/>
        <w:ind w:left="1440" w:firstLineChars="0" w:hanging="720"/>
        <w:contextualSpacing/>
        <w:jc w:val="both"/>
        <w:rPr>
          <w:b/>
          <w:bCs/>
        </w:rPr>
      </w:pPr>
    </w:p>
    <w:p w:rsidR="00F34737" w:rsidRPr="00A71D2E" w:rsidRDefault="004B184F" w:rsidP="00F66363">
      <w:pPr>
        <w:ind w:left="1400" w:hanging="658"/>
        <w:jc w:val="both"/>
        <w:rPr>
          <w:rFonts w:eastAsia="宋体" w:cs="Times New Roman"/>
          <w:i/>
          <w:szCs w:val="21"/>
          <w:u w:val="single"/>
        </w:rPr>
      </w:pPr>
      <w:r>
        <w:rPr>
          <w:rFonts w:eastAsia="宋体" w:cs="Times New Roman"/>
          <w:i/>
          <w:szCs w:val="21"/>
          <w:u w:val="single"/>
        </w:rPr>
        <w:t>1</w:t>
      </w:r>
      <w:r w:rsidR="00F34737" w:rsidRPr="00A71D2E">
        <w:rPr>
          <w:rFonts w:eastAsia="宋体" w:cs="Times New Roman"/>
          <w:i/>
          <w:szCs w:val="21"/>
          <w:u w:val="single"/>
        </w:rPr>
        <w:t>.1.2.</w:t>
      </w:r>
      <w:r w:rsidR="00F34737" w:rsidRPr="00A71D2E">
        <w:rPr>
          <w:rFonts w:eastAsia="宋体" w:cs="Times New Roman"/>
          <w:i/>
          <w:szCs w:val="21"/>
          <w:u w:val="single"/>
        </w:rPr>
        <w:tab/>
      </w:r>
      <w:r w:rsidR="00F34737" w:rsidRPr="00A71D2E">
        <w:rPr>
          <w:rFonts w:eastAsia="宋体" w:cs="Times New Roman" w:hint="eastAsia"/>
          <w:i/>
          <w:szCs w:val="21"/>
          <w:u w:val="single"/>
        </w:rPr>
        <w:t>利率风险</w:t>
      </w:r>
    </w:p>
    <w:p w:rsidR="00F34737" w:rsidRPr="00A71D2E" w:rsidRDefault="00F34737" w:rsidP="00F66363">
      <w:pPr>
        <w:ind w:left="720"/>
        <w:jc w:val="both"/>
        <w:rPr>
          <w:rFonts w:eastAsia="宋体" w:cs="Times New Roman"/>
          <w:szCs w:val="21"/>
        </w:rPr>
      </w:pPr>
    </w:p>
    <w:p w:rsidR="00F34737" w:rsidRPr="00A71D2E" w:rsidRDefault="00F34737" w:rsidP="00F66363">
      <w:pPr>
        <w:ind w:left="720"/>
        <w:jc w:val="both"/>
        <w:rPr>
          <w:rFonts w:eastAsia="宋体" w:cs="Times New Roman"/>
          <w:szCs w:val="21"/>
        </w:rPr>
      </w:pPr>
      <w:r w:rsidRPr="00A71D2E">
        <w:rPr>
          <w:rFonts w:eastAsia="宋体" w:cs="Times New Roman" w:hint="eastAsia"/>
          <w:szCs w:val="21"/>
        </w:rPr>
        <w:t>利率风险，是指金融工具的公允价值或未来现金流量因市场利率变动而发生波动的风险。本集团因利率变动引起金融工具公允价值变动的风险主要与固定利率银行借款</w:t>
      </w:r>
      <w:r w:rsidR="005F14EE">
        <w:rPr>
          <w:rFonts w:eastAsia="宋体" w:cs="Times New Roman"/>
          <w:szCs w:val="21"/>
        </w:rPr>
        <w:t>(</w:t>
      </w:r>
      <w:r w:rsidRPr="00A71D2E">
        <w:rPr>
          <w:rFonts w:eastAsia="宋体" w:cs="Times New Roman" w:hint="eastAsia"/>
          <w:szCs w:val="21"/>
        </w:rPr>
        <w:t>详见附注五、</w:t>
      </w:r>
      <w:r w:rsidRPr="00A71D2E">
        <w:rPr>
          <w:rFonts w:eastAsia="宋体" w:cs="Times New Roman"/>
          <w:szCs w:val="21"/>
        </w:rPr>
        <w:t>1</w:t>
      </w:r>
      <w:r w:rsidR="0036095E">
        <w:rPr>
          <w:rFonts w:eastAsia="宋体" w:cs="Times New Roman"/>
          <w:szCs w:val="21"/>
        </w:rPr>
        <w:t>9</w:t>
      </w:r>
      <w:r w:rsidR="005F14EE">
        <w:rPr>
          <w:rFonts w:eastAsia="宋体" w:cs="Times New Roman"/>
          <w:szCs w:val="21"/>
        </w:rPr>
        <w:t>)</w:t>
      </w:r>
      <w:r w:rsidRPr="00A71D2E">
        <w:rPr>
          <w:rFonts w:eastAsia="宋体" w:cs="Times New Roman" w:hint="eastAsia"/>
          <w:szCs w:val="21"/>
        </w:rPr>
        <w:t>有关。本集</w:t>
      </w:r>
      <w:r w:rsidR="00DA120E" w:rsidRPr="00A71D2E">
        <w:rPr>
          <w:rFonts w:eastAsia="宋体" w:cs="Times New Roman" w:hint="eastAsia"/>
          <w:szCs w:val="21"/>
        </w:rPr>
        <w:t>团因利率变动引起金融工具现金流量变动的风险主要与浮动利率银行借款</w:t>
      </w:r>
      <w:r w:rsidR="005F14EE">
        <w:rPr>
          <w:rFonts w:eastAsia="宋体" w:cs="Times New Roman"/>
          <w:szCs w:val="21"/>
        </w:rPr>
        <w:t>(</w:t>
      </w:r>
      <w:r w:rsidRPr="00A71D2E">
        <w:rPr>
          <w:rFonts w:eastAsia="宋体" w:cs="Times New Roman" w:hint="eastAsia"/>
          <w:szCs w:val="21"/>
        </w:rPr>
        <w:t>详见附注五、</w:t>
      </w:r>
      <w:r w:rsidR="00DA120E" w:rsidRPr="00A71D2E">
        <w:rPr>
          <w:rFonts w:eastAsia="宋体" w:cs="Times New Roman"/>
          <w:szCs w:val="21"/>
        </w:rPr>
        <w:t>2</w:t>
      </w:r>
      <w:r w:rsidR="0036095E">
        <w:rPr>
          <w:rFonts w:eastAsia="宋体" w:cs="Times New Roman"/>
          <w:szCs w:val="21"/>
        </w:rPr>
        <w:t>8</w:t>
      </w:r>
      <w:r w:rsidR="005F14EE">
        <w:rPr>
          <w:rFonts w:eastAsia="宋体" w:cs="Times New Roman"/>
          <w:szCs w:val="21"/>
        </w:rPr>
        <w:t>)</w:t>
      </w:r>
      <w:r w:rsidRPr="00A71D2E">
        <w:rPr>
          <w:rFonts w:eastAsia="宋体" w:cs="Times New Roman" w:hint="eastAsia"/>
          <w:szCs w:val="21"/>
        </w:rPr>
        <w:t>有关。</w:t>
      </w:r>
    </w:p>
    <w:p w:rsidR="00F34737" w:rsidRPr="00A71D2E" w:rsidRDefault="00F34737" w:rsidP="00F66363">
      <w:pPr>
        <w:ind w:left="720"/>
        <w:jc w:val="both"/>
        <w:rPr>
          <w:rFonts w:eastAsia="宋体" w:cs="Times New Roman"/>
          <w:szCs w:val="21"/>
        </w:rPr>
      </w:pPr>
    </w:p>
    <w:p w:rsidR="00F34737" w:rsidRPr="00A71D2E" w:rsidRDefault="00F34737" w:rsidP="00F66363">
      <w:pPr>
        <w:ind w:left="720"/>
        <w:jc w:val="both"/>
        <w:rPr>
          <w:rFonts w:eastAsia="宋体" w:cs="Times New Roman"/>
          <w:szCs w:val="21"/>
        </w:rPr>
      </w:pPr>
      <w:r w:rsidRPr="00A71D2E">
        <w:rPr>
          <w:rFonts w:eastAsia="宋体" w:cs="Times New Roman" w:hint="eastAsia"/>
          <w:szCs w:val="21"/>
        </w:rPr>
        <w:t>本集团根据当时的市场环境来决定固定利率及浮动利率借款合同的相对比例。</w:t>
      </w:r>
    </w:p>
    <w:p w:rsidR="00647791" w:rsidRPr="00A71D2E" w:rsidRDefault="00647791">
      <w:pPr>
        <w:ind w:left="720"/>
        <w:jc w:val="both"/>
        <w:rPr>
          <w:rFonts w:eastAsia="宋体" w:cs="Times New Roman"/>
          <w:szCs w:val="21"/>
        </w:rPr>
      </w:pPr>
    </w:p>
    <w:p w:rsidR="00F34737" w:rsidRPr="00A71D2E" w:rsidRDefault="004B184F">
      <w:pPr>
        <w:ind w:left="1440" w:hanging="720"/>
        <w:jc w:val="both"/>
        <w:rPr>
          <w:rFonts w:eastAsia="宋体" w:cs="Times New Roman"/>
          <w:szCs w:val="21"/>
          <w:u w:val="single"/>
        </w:rPr>
      </w:pPr>
      <w:r>
        <w:rPr>
          <w:rFonts w:eastAsia="宋体" w:cs="Times New Roman"/>
          <w:szCs w:val="21"/>
          <w:u w:val="single"/>
        </w:rPr>
        <w:t>1</w:t>
      </w:r>
      <w:r w:rsidR="00F34737" w:rsidRPr="00A71D2E">
        <w:rPr>
          <w:rFonts w:eastAsia="宋体" w:cs="Times New Roman"/>
          <w:szCs w:val="21"/>
          <w:u w:val="single"/>
        </w:rPr>
        <w:t>.2.</w:t>
      </w:r>
      <w:r w:rsidR="00F34737" w:rsidRPr="00A71D2E">
        <w:rPr>
          <w:rFonts w:eastAsia="宋体" w:cs="Times New Roman"/>
          <w:szCs w:val="21"/>
          <w:u w:val="single"/>
        </w:rPr>
        <w:tab/>
      </w:r>
      <w:r w:rsidR="00F34737" w:rsidRPr="00A71D2E">
        <w:rPr>
          <w:rFonts w:eastAsia="宋体" w:cs="Times New Roman" w:hint="eastAsia"/>
          <w:szCs w:val="21"/>
          <w:u w:val="single"/>
        </w:rPr>
        <w:t>信用风险</w:t>
      </w:r>
    </w:p>
    <w:p w:rsidR="00F34737" w:rsidRPr="00A71D2E" w:rsidRDefault="00F34737">
      <w:pPr>
        <w:ind w:left="720"/>
        <w:jc w:val="both"/>
        <w:rPr>
          <w:rFonts w:eastAsia="宋体" w:cs="Times New Roman"/>
          <w:szCs w:val="21"/>
        </w:rPr>
      </w:pPr>
    </w:p>
    <w:p w:rsidR="00F34737" w:rsidRDefault="00F34737">
      <w:pPr>
        <w:ind w:left="720"/>
        <w:jc w:val="both"/>
        <w:rPr>
          <w:rFonts w:eastAsia="宋体" w:cs="Times New Roman"/>
          <w:szCs w:val="21"/>
        </w:rPr>
      </w:pPr>
      <w:r w:rsidRPr="00C8710C">
        <w:rPr>
          <w:rFonts w:eastAsia="宋体" w:cs="Times New Roman" w:hint="eastAsia"/>
          <w:szCs w:val="21"/>
        </w:rPr>
        <w:t>于</w:t>
      </w:r>
      <w:r w:rsidRPr="00C8710C">
        <w:rPr>
          <w:rFonts w:eastAsia="宋体" w:cs="Times New Roman"/>
          <w:szCs w:val="21"/>
        </w:rPr>
        <w:t>202</w:t>
      </w:r>
      <w:r w:rsidR="00C8710C">
        <w:rPr>
          <w:rFonts w:eastAsia="宋体" w:cs="Times New Roman"/>
          <w:szCs w:val="21"/>
        </w:rPr>
        <w:t>3</w:t>
      </w:r>
      <w:r w:rsidRPr="00C8710C">
        <w:rPr>
          <w:rFonts w:eastAsia="宋体" w:cs="Times New Roman" w:hint="eastAsia"/>
          <w:szCs w:val="21"/>
        </w:rPr>
        <w:t>年</w:t>
      </w:r>
      <w:r w:rsidRPr="00C8710C">
        <w:rPr>
          <w:rFonts w:eastAsia="宋体" w:cs="Times New Roman"/>
          <w:szCs w:val="21"/>
        </w:rPr>
        <w:t>12</w:t>
      </w:r>
      <w:r w:rsidRPr="00C8710C">
        <w:rPr>
          <w:rFonts w:eastAsia="宋体" w:cs="Times New Roman" w:hint="eastAsia"/>
          <w:szCs w:val="21"/>
        </w:rPr>
        <w:t>月</w:t>
      </w:r>
      <w:r w:rsidRPr="00C8710C">
        <w:rPr>
          <w:rFonts w:eastAsia="宋体" w:cs="Times New Roman"/>
          <w:szCs w:val="21"/>
        </w:rPr>
        <w:t>31</w:t>
      </w:r>
      <w:r w:rsidRPr="00C8710C">
        <w:rPr>
          <w:rFonts w:eastAsia="宋体" w:cs="Times New Roman" w:hint="eastAsia"/>
          <w:szCs w:val="21"/>
        </w:rPr>
        <w:t>日</w:t>
      </w:r>
      <w:r w:rsidRPr="00A71D2E">
        <w:rPr>
          <w:rFonts w:eastAsia="宋体" w:cs="Times New Roman" w:hint="eastAsia"/>
          <w:szCs w:val="21"/>
        </w:rPr>
        <w:t>，可能引起本集团信用损失的最大信用风险敞口主要来自于合同另一方未能履行义务而导致本集团金融资产产生的损失，具体包括</w:t>
      </w:r>
      <w:r w:rsidR="005F14EE">
        <w:rPr>
          <w:rFonts w:eastAsia="宋体" w:cs="Times New Roman" w:hint="eastAsia"/>
          <w:szCs w:val="21"/>
        </w:rPr>
        <w:t>：</w:t>
      </w:r>
      <w:r w:rsidRPr="00A71D2E">
        <w:rPr>
          <w:rFonts w:eastAsia="宋体" w:cs="Times New Roman" w:hint="eastAsia"/>
          <w:szCs w:val="21"/>
        </w:rPr>
        <w:t>货币资金</w:t>
      </w:r>
      <w:r w:rsidR="005F14EE">
        <w:rPr>
          <w:rFonts w:eastAsia="宋体" w:cs="Times New Roman"/>
          <w:szCs w:val="21"/>
        </w:rPr>
        <w:t>(</w:t>
      </w:r>
      <w:r w:rsidRPr="00A71D2E">
        <w:rPr>
          <w:rFonts w:eastAsia="宋体" w:cs="Times New Roman" w:hint="eastAsia"/>
          <w:szCs w:val="21"/>
        </w:rPr>
        <w:t>附注</w:t>
      </w:r>
      <w:r w:rsidR="005F14EE">
        <w:rPr>
          <w:rFonts w:eastAsia="宋体" w:cs="Times New Roman"/>
          <w:szCs w:val="21"/>
        </w:rPr>
        <w:t>(</w:t>
      </w:r>
      <w:r w:rsidRPr="00A71D2E">
        <w:rPr>
          <w:rFonts w:eastAsia="宋体" w:cs="Times New Roman" w:hint="eastAsia"/>
          <w:szCs w:val="21"/>
        </w:rPr>
        <w:t>五</w:t>
      </w:r>
      <w:r w:rsidR="005F14EE">
        <w:rPr>
          <w:rFonts w:eastAsia="宋体" w:cs="Times New Roman"/>
          <w:szCs w:val="21"/>
        </w:rPr>
        <w:t>)</w:t>
      </w:r>
      <w:r w:rsidRPr="00A71D2E">
        <w:rPr>
          <w:rFonts w:eastAsia="宋体" w:cs="Times New Roman" w:hint="eastAsia"/>
          <w:szCs w:val="21"/>
        </w:rPr>
        <w:t>、</w:t>
      </w:r>
      <w:r w:rsidRPr="00A71D2E">
        <w:rPr>
          <w:rFonts w:eastAsia="宋体" w:cs="Times New Roman"/>
          <w:szCs w:val="21"/>
        </w:rPr>
        <w:t>1</w:t>
      </w:r>
      <w:r w:rsidR="005F14EE">
        <w:rPr>
          <w:rFonts w:eastAsia="宋体" w:cs="Times New Roman"/>
          <w:szCs w:val="21"/>
        </w:rPr>
        <w:t>)</w:t>
      </w:r>
      <w:r w:rsidRPr="00A71D2E">
        <w:rPr>
          <w:rFonts w:eastAsia="宋体" w:cs="Times New Roman" w:hint="eastAsia"/>
          <w:szCs w:val="21"/>
        </w:rPr>
        <w:t>、应收票据</w:t>
      </w:r>
      <w:r w:rsidR="005F14EE">
        <w:rPr>
          <w:rFonts w:eastAsia="宋体" w:cs="Times New Roman"/>
          <w:szCs w:val="21"/>
        </w:rPr>
        <w:t>(</w:t>
      </w:r>
      <w:r w:rsidRPr="00A71D2E">
        <w:rPr>
          <w:rFonts w:eastAsia="宋体" w:cs="Times New Roman" w:hint="eastAsia"/>
          <w:szCs w:val="21"/>
        </w:rPr>
        <w:t>附注</w:t>
      </w:r>
      <w:r w:rsidR="005F14EE">
        <w:rPr>
          <w:rFonts w:eastAsia="宋体" w:cs="Times New Roman"/>
          <w:szCs w:val="21"/>
        </w:rPr>
        <w:t>(</w:t>
      </w:r>
      <w:r w:rsidRPr="00A71D2E">
        <w:rPr>
          <w:rFonts w:eastAsia="宋体" w:cs="Times New Roman" w:hint="eastAsia"/>
          <w:szCs w:val="21"/>
        </w:rPr>
        <w:t>五</w:t>
      </w:r>
      <w:r w:rsidR="005F14EE">
        <w:rPr>
          <w:rFonts w:eastAsia="宋体" w:cs="Times New Roman"/>
          <w:szCs w:val="21"/>
        </w:rPr>
        <w:t>)</w:t>
      </w:r>
      <w:r w:rsidRPr="00A71D2E">
        <w:rPr>
          <w:rFonts w:eastAsia="宋体" w:cs="Times New Roman" w:hint="eastAsia"/>
          <w:szCs w:val="21"/>
        </w:rPr>
        <w:t>、</w:t>
      </w:r>
      <w:r w:rsidR="002E1BF7" w:rsidRPr="00A71D2E">
        <w:rPr>
          <w:rFonts w:eastAsia="宋体" w:cs="Times New Roman"/>
          <w:szCs w:val="21"/>
        </w:rPr>
        <w:t>2</w:t>
      </w:r>
      <w:r w:rsidR="005F14EE">
        <w:rPr>
          <w:rFonts w:eastAsia="宋体" w:cs="Times New Roman"/>
          <w:szCs w:val="21"/>
        </w:rPr>
        <w:t>)</w:t>
      </w:r>
      <w:r w:rsidRPr="00A71D2E">
        <w:rPr>
          <w:rFonts w:eastAsia="宋体" w:cs="Times New Roman" w:hint="eastAsia"/>
          <w:szCs w:val="21"/>
        </w:rPr>
        <w:t>、应收账款</w:t>
      </w:r>
      <w:r w:rsidR="005F14EE">
        <w:rPr>
          <w:rFonts w:eastAsia="宋体" w:cs="Times New Roman"/>
          <w:szCs w:val="21"/>
        </w:rPr>
        <w:t>(</w:t>
      </w:r>
      <w:r w:rsidRPr="00A71D2E">
        <w:rPr>
          <w:rFonts w:eastAsia="宋体" w:cs="Times New Roman" w:hint="eastAsia"/>
          <w:szCs w:val="21"/>
        </w:rPr>
        <w:t>附注</w:t>
      </w:r>
      <w:r w:rsidR="005F14EE">
        <w:rPr>
          <w:rFonts w:eastAsia="宋体" w:cs="Times New Roman"/>
          <w:szCs w:val="21"/>
        </w:rPr>
        <w:t>(</w:t>
      </w:r>
      <w:r w:rsidRPr="00A71D2E">
        <w:rPr>
          <w:rFonts w:eastAsia="宋体" w:cs="Times New Roman" w:hint="eastAsia"/>
          <w:szCs w:val="21"/>
        </w:rPr>
        <w:t>五</w:t>
      </w:r>
      <w:r w:rsidR="005F14EE">
        <w:rPr>
          <w:rFonts w:eastAsia="宋体" w:cs="Times New Roman"/>
          <w:szCs w:val="21"/>
        </w:rPr>
        <w:t>)</w:t>
      </w:r>
      <w:r w:rsidRPr="00A71D2E">
        <w:rPr>
          <w:rFonts w:eastAsia="宋体" w:cs="Times New Roman" w:hint="eastAsia"/>
          <w:szCs w:val="21"/>
        </w:rPr>
        <w:t>、</w:t>
      </w:r>
      <w:r w:rsidR="002E1BF7" w:rsidRPr="00A71D2E">
        <w:rPr>
          <w:rFonts w:eastAsia="宋体" w:cs="Times New Roman"/>
          <w:szCs w:val="21"/>
        </w:rPr>
        <w:t>3</w:t>
      </w:r>
      <w:r w:rsidR="005F14EE">
        <w:rPr>
          <w:rFonts w:eastAsia="宋体" w:cs="Times New Roman"/>
          <w:szCs w:val="21"/>
        </w:rPr>
        <w:t>)</w:t>
      </w:r>
      <w:r w:rsidRPr="00A71D2E">
        <w:rPr>
          <w:rFonts w:eastAsia="宋体" w:cs="Times New Roman" w:hint="eastAsia"/>
          <w:szCs w:val="21"/>
        </w:rPr>
        <w:t>、应收款项融资</w:t>
      </w:r>
      <w:r w:rsidR="005F14EE">
        <w:rPr>
          <w:rFonts w:eastAsia="宋体" w:cs="Times New Roman"/>
          <w:szCs w:val="21"/>
        </w:rPr>
        <w:t>(</w:t>
      </w:r>
      <w:r w:rsidRPr="00A71D2E">
        <w:rPr>
          <w:rFonts w:eastAsia="宋体" w:cs="Times New Roman" w:hint="eastAsia"/>
          <w:szCs w:val="21"/>
        </w:rPr>
        <w:t>附注</w:t>
      </w:r>
      <w:r w:rsidR="005F14EE">
        <w:rPr>
          <w:rFonts w:eastAsia="宋体" w:cs="Times New Roman"/>
          <w:szCs w:val="21"/>
        </w:rPr>
        <w:t>(</w:t>
      </w:r>
      <w:r w:rsidRPr="00A71D2E">
        <w:rPr>
          <w:rFonts w:eastAsia="宋体" w:cs="Times New Roman" w:hint="eastAsia"/>
          <w:szCs w:val="21"/>
        </w:rPr>
        <w:t>五</w:t>
      </w:r>
      <w:r w:rsidR="005F14EE">
        <w:rPr>
          <w:rFonts w:eastAsia="宋体" w:cs="Times New Roman"/>
          <w:szCs w:val="21"/>
        </w:rPr>
        <w:t>)</w:t>
      </w:r>
      <w:r w:rsidRPr="00A71D2E">
        <w:rPr>
          <w:rFonts w:eastAsia="宋体" w:cs="Times New Roman" w:hint="eastAsia"/>
          <w:szCs w:val="21"/>
        </w:rPr>
        <w:t>、</w:t>
      </w:r>
      <w:r w:rsidR="002E1BF7" w:rsidRPr="00A71D2E">
        <w:rPr>
          <w:rFonts w:eastAsia="宋体" w:cs="Times New Roman"/>
          <w:szCs w:val="21"/>
        </w:rPr>
        <w:t>4</w:t>
      </w:r>
      <w:r w:rsidR="005F14EE">
        <w:rPr>
          <w:rFonts w:eastAsia="宋体" w:cs="Times New Roman"/>
          <w:szCs w:val="21"/>
        </w:rPr>
        <w:t>)</w:t>
      </w:r>
      <w:r w:rsidRPr="00A71D2E">
        <w:rPr>
          <w:rFonts w:eastAsia="宋体" w:cs="Times New Roman" w:hint="eastAsia"/>
          <w:szCs w:val="21"/>
        </w:rPr>
        <w:t>、其他应收款</w:t>
      </w:r>
      <w:r w:rsidR="005F14EE">
        <w:rPr>
          <w:rFonts w:eastAsia="宋体" w:cs="Times New Roman"/>
          <w:szCs w:val="21"/>
        </w:rPr>
        <w:t>(</w:t>
      </w:r>
      <w:r w:rsidRPr="00A71D2E">
        <w:rPr>
          <w:rFonts w:eastAsia="宋体" w:cs="Times New Roman" w:hint="eastAsia"/>
          <w:szCs w:val="21"/>
        </w:rPr>
        <w:t>附注</w:t>
      </w:r>
      <w:r w:rsidR="005F14EE">
        <w:rPr>
          <w:rFonts w:eastAsia="宋体" w:cs="Times New Roman"/>
          <w:szCs w:val="21"/>
        </w:rPr>
        <w:t>(</w:t>
      </w:r>
      <w:r w:rsidRPr="00A71D2E">
        <w:rPr>
          <w:rFonts w:eastAsia="宋体" w:cs="Times New Roman" w:hint="eastAsia"/>
          <w:szCs w:val="21"/>
        </w:rPr>
        <w:t>五</w:t>
      </w:r>
      <w:r w:rsidR="005F14EE">
        <w:rPr>
          <w:rFonts w:eastAsia="宋体" w:cs="Times New Roman"/>
          <w:szCs w:val="21"/>
        </w:rPr>
        <w:t>)</w:t>
      </w:r>
      <w:r w:rsidRPr="00A71D2E">
        <w:rPr>
          <w:rFonts w:eastAsia="宋体" w:cs="Times New Roman" w:hint="eastAsia"/>
          <w:szCs w:val="21"/>
        </w:rPr>
        <w:t>、</w:t>
      </w:r>
      <w:r w:rsidR="002E1BF7" w:rsidRPr="00A71D2E">
        <w:rPr>
          <w:rFonts w:eastAsia="宋体" w:cs="Times New Roman"/>
          <w:szCs w:val="21"/>
        </w:rPr>
        <w:t>6</w:t>
      </w:r>
      <w:r w:rsidR="005F14EE">
        <w:rPr>
          <w:rFonts w:eastAsia="宋体" w:cs="Times New Roman"/>
          <w:szCs w:val="21"/>
        </w:rPr>
        <w:t>)</w:t>
      </w:r>
      <w:r w:rsidR="005E62EF" w:rsidRPr="00A71D2E">
        <w:rPr>
          <w:rFonts w:eastAsia="宋体" w:cs="Times New Roman" w:hint="eastAsia"/>
          <w:szCs w:val="21"/>
        </w:rPr>
        <w:t>及</w:t>
      </w:r>
      <w:r w:rsidRPr="00A71D2E">
        <w:rPr>
          <w:rFonts w:eastAsia="宋体" w:cs="Times New Roman" w:hint="eastAsia"/>
          <w:szCs w:val="21"/>
        </w:rPr>
        <w:t>长期应收款</w:t>
      </w:r>
      <w:r w:rsidR="005F14EE">
        <w:rPr>
          <w:rFonts w:eastAsia="宋体" w:cs="Times New Roman"/>
          <w:szCs w:val="21"/>
        </w:rPr>
        <w:t>(</w:t>
      </w:r>
      <w:r w:rsidRPr="00A71D2E">
        <w:rPr>
          <w:rFonts w:eastAsia="宋体" w:cs="Times New Roman" w:hint="eastAsia"/>
          <w:szCs w:val="21"/>
        </w:rPr>
        <w:t>附注</w:t>
      </w:r>
      <w:r w:rsidR="005F14EE">
        <w:rPr>
          <w:rFonts w:eastAsia="宋体" w:cs="Times New Roman"/>
          <w:szCs w:val="21"/>
        </w:rPr>
        <w:t>(</w:t>
      </w:r>
      <w:r w:rsidRPr="00A71D2E">
        <w:rPr>
          <w:rFonts w:eastAsia="宋体" w:cs="Times New Roman" w:hint="eastAsia"/>
          <w:szCs w:val="21"/>
        </w:rPr>
        <w:t>五</w:t>
      </w:r>
      <w:r w:rsidR="005F14EE">
        <w:rPr>
          <w:rFonts w:eastAsia="宋体" w:cs="Times New Roman"/>
          <w:szCs w:val="21"/>
        </w:rPr>
        <w:t>)</w:t>
      </w:r>
      <w:r w:rsidRPr="00A71D2E">
        <w:rPr>
          <w:rFonts w:eastAsia="宋体" w:cs="Times New Roman" w:hint="eastAsia"/>
          <w:szCs w:val="21"/>
        </w:rPr>
        <w:t>、</w:t>
      </w:r>
      <w:r w:rsidR="00203840" w:rsidRPr="00A71D2E">
        <w:rPr>
          <w:rFonts w:eastAsia="宋体" w:cs="Times New Roman"/>
          <w:szCs w:val="21"/>
        </w:rPr>
        <w:t>10</w:t>
      </w:r>
      <w:r w:rsidR="005F14EE">
        <w:rPr>
          <w:rFonts w:eastAsia="宋体" w:cs="Times New Roman"/>
          <w:szCs w:val="21"/>
        </w:rPr>
        <w:t>)</w:t>
      </w:r>
      <w:r w:rsidRPr="00A71D2E">
        <w:rPr>
          <w:rFonts w:eastAsia="宋体" w:cs="Times New Roman" w:hint="eastAsia"/>
          <w:szCs w:val="21"/>
        </w:rPr>
        <w:t>。于资产负债表日，本集团金融资产的账面价值已代表其最大信用风险敞口。</w:t>
      </w:r>
    </w:p>
    <w:p w:rsidR="00217928" w:rsidRDefault="00217928">
      <w:pPr>
        <w:adjustRightInd/>
        <w:snapToGrid/>
        <w:rPr>
          <w:rFonts w:eastAsia="宋体" w:cs="Times New Roman"/>
          <w:szCs w:val="21"/>
        </w:rPr>
      </w:pPr>
      <w:r>
        <w:rPr>
          <w:rFonts w:eastAsia="宋体" w:cs="Times New Roman"/>
          <w:szCs w:val="21"/>
        </w:rPr>
        <w:br w:type="page"/>
      </w:r>
    </w:p>
    <w:p w:rsidR="00217928" w:rsidRPr="00A71D2E" w:rsidRDefault="00217928" w:rsidP="00217928">
      <w:pPr>
        <w:ind w:left="720" w:hanging="720"/>
        <w:rPr>
          <w:rFonts w:eastAsia="宋体" w:cs="Times New Roman"/>
          <w:b/>
          <w:szCs w:val="21"/>
        </w:rPr>
      </w:pPr>
      <w:r>
        <w:rPr>
          <w:rFonts w:eastAsia="宋体" w:cs="Times New Roman"/>
          <w:b/>
          <w:szCs w:val="21"/>
        </w:rPr>
        <w:t>(</w:t>
      </w:r>
      <w:r>
        <w:rPr>
          <w:rFonts w:eastAsia="宋体" w:cs="Times New Roman" w:hint="eastAsia"/>
          <w:b/>
          <w:szCs w:val="21"/>
        </w:rPr>
        <w:t>八</w:t>
      </w:r>
      <w:r>
        <w:rPr>
          <w:rFonts w:eastAsia="宋体" w:cs="Times New Roman"/>
          <w:b/>
          <w:szCs w:val="21"/>
        </w:rPr>
        <w:t>)</w:t>
      </w:r>
      <w:r w:rsidRPr="00A71D2E">
        <w:rPr>
          <w:rFonts w:eastAsia="宋体" w:cs="Times New Roman"/>
          <w:b/>
          <w:szCs w:val="21"/>
        </w:rPr>
        <w:tab/>
      </w:r>
      <w:r w:rsidRPr="00A71D2E">
        <w:rPr>
          <w:rFonts w:eastAsia="宋体" w:cs="Times New Roman" w:hint="eastAsia"/>
          <w:b/>
          <w:szCs w:val="21"/>
        </w:rPr>
        <w:t>与金融工具相关的风险</w:t>
      </w:r>
      <w:r w:rsidRPr="00A71D2E">
        <w:rPr>
          <w:rFonts w:eastAsia="宋体" w:cs="Times New Roman"/>
          <w:szCs w:val="21"/>
        </w:rPr>
        <w:t xml:space="preserve"> - </w:t>
      </w:r>
      <w:r w:rsidRPr="00A71D2E">
        <w:rPr>
          <w:rFonts w:eastAsia="宋体" w:cs="Times New Roman" w:hint="eastAsia"/>
          <w:szCs w:val="21"/>
        </w:rPr>
        <w:t>续</w:t>
      </w:r>
    </w:p>
    <w:p w:rsidR="00217928" w:rsidRPr="00A71D2E" w:rsidRDefault="00217928" w:rsidP="00217928">
      <w:pPr>
        <w:pStyle w:val="aff1"/>
        <w:widowControl w:val="0"/>
        <w:ind w:left="1440" w:firstLineChars="0" w:hanging="720"/>
        <w:contextualSpacing/>
        <w:rPr>
          <w:b/>
          <w:bCs/>
        </w:rPr>
      </w:pPr>
    </w:p>
    <w:p w:rsidR="00217928" w:rsidRPr="00A71D2E" w:rsidRDefault="00217928" w:rsidP="00217928">
      <w:pPr>
        <w:pStyle w:val="aff1"/>
        <w:widowControl w:val="0"/>
        <w:ind w:left="1440" w:firstLineChars="0" w:hanging="720"/>
        <w:contextualSpacing/>
        <w:rPr>
          <w:b/>
          <w:bCs/>
        </w:rPr>
      </w:pPr>
      <w:r>
        <w:rPr>
          <w:b/>
          <w:bCs/>
        </w:rPr>
        <w:t>1</w:t>
      </w:r>
      <w:r w:rsidRPr="00A71D2E">
        <w:rPr>
          <w:rFonts w:hint="eastAsia"/>
          <w:b/>
          <w:bCs/>
        </w:rPr>
        <w:t>、</w:t>
      </w:r>
      <w:r w:rsidRPr="00A71D2E">
        <w:rPr>
          <w:b/>
          <w:bCs/>
        </w:rPr>
        <w:tab/>
      </w:r>
      <w:r w:rsidRPr="00A71D2E">
        <w:rPr>
          <w:rFonts w:hint="eastAsia"/>
          <w:b/>
          <w:bCs/>
        </w:rPr>
        <w:t>风险管理目标</w:t>
      </w:r>
      <w:r w:rsidR="0027505B">
        <w:rPr>
          <w:rFonts w:hint="eastAsia"/>
          <w:b/>
          <w:bCs/>
        </w:rPr>
        <w:t>、</w:t>
      </w:r>
      <w:r w:rsidRPr="00A71D2E">
        <w:rPr>
          <w:rFonts w:hint="eastAsia"/>
          <w:b/>
          <w:bCs/>
        </w:rPr>
        <w:t>政策</w:t>
      </w:r>
      <w:r w:rsidR="0027505B">
        <w:rPr>
          <w:rFonts w:hint="eastAsia"/>
          <w:b/>
          <w:bCs/>
        </w:rPr>
        <w:t>和程序，以及本年发生的变化</w:t>
      </w:r>
      <w:r w:rsidRPr="00A71D2E">
        <w:rPr>
          <w:bCs/>
        </w:rPr>
        <w:t xml:space="preserve"> </w:t>
      </w:r>
      <w:r w:rsidRPr="00A71D2E">
        <w:rPr>
          <w:szCs w:val="21"/>
        </w:rPr>
        <w:t xml:space="preserve">- </w:t>
      </w:r>
      <w:r w:rsidRPr="00A71D2E">
        <w:rPr>
          <w:rFonts w:hint="eastAsia"/>
          <w:szCs w:val="21"/>
        </w:rPr>
        <w:t>续</w:t>
      </w:r>
    </w:p>
    <w:p w:rsidR="00C8710C" w:rsidRDefault="00C8710C">
      <w:pPr>
        <w:ind w:left="720"/>
        <w:jc w:val="both"/>
        <w:rPr>
          <w:rFonts w:eastAsia="宋体" w:cs="Times New Roman"/>
          <w:szCs w:val="21"/>
        </w:rPr>
      </w:pPr>
    </w:p>
    <w:p w:rsidR="00217928" w:rsidRPr="00A71D2E" w:rsidRDefault="00217928" w:rsidP="00217928">
      <w:pPr>
        <w:ind w:left="1440" w:hanging="720"/>
        <w:jc w:val="both"/>
        <w:rPr>
          <w:rFonts w:eastAsia="宋体" w:cs="Times New Roman"/>
          <w:szCs w:val="21"/>
          <w:u w:val="single"/>
        </w:rPr>
      </w:pPr>
      <w:r>
        <w:rPr>
          <w:rFonts w:eastAsia="宋体" w:cs="Times New Roman"/>
          <w:szCs w:val="21"/>
          <w:u w:val="single"/>
        </w:rPr>
        <w:t>1</w:t>
      </w:r>
      <w:r w:rsidRPr="00A71D2E">
        <w:rPr>
          <w:rFonts w:eastAsia="宋体" w:cs="Times New Roman"/>
          <w:szCs w:val="21"/>
          <w:u w:val="single"/>
        </w:rPr>
        <w:t>.2.</w:t>
      </w:r>
      <w:r w:rsidRPr="00A71D2E">
        <w:rPr>
          <w:rFonts w:eastAsia="宋体" w:cs="Times New Roman"/>
          <w:szCs w:val="21"/>
          <w:u w:val="single"/>
        </w:rPr>
        <w:tab/>
      </w:r>
      <w:r w:rsidRPr="00A71D2E">
        <w:rPr>
          <w:rFonts w:eastAsia="宋体" w:cs="Times New Roman" w:hint="eastAsia"/>
          <w:szCs w:val="21"/>
          <w:u w:val="single"/>
        </w:rPr>
        <w:t>信用风险</w:t>
      </w:r>
      <w:r w:rsidRPr="0027505B">
        <w:rPr>
          <w:rFonts w:eastAsia="宋体" w:cs="Times New Roman"/>
          <w:szCs w:val="21"/>
        </w:rPr>
        <w:t xml:space="preserve"> </w:t>
      </w:r>
      <w:r w:rsidRPr="00A71D2E">
        <w:rPr>
          <w:szCs w:val="21"/>
        </w:rPr>
        <w:t xml:space="preserve">- </w:t>
      </w:r>
      <w:r w:rsidRPr="00A71D2E">
        <w:rPr>
          <w:rFonts w:hint="eastAsia"/>
          <w:szCs w:val="21"/>
        </w:rPr>
        <w:t>续</w:t>
      </w:r>
    </w:p>
    <w:p w:rsidR="00217928" w:rsidRDefault="00217928">
      <w:pPr>
        <w:ind w:left="720"/>
        <w:jc w:val="both"/>
        <w:rPr>
          <w:rFonts w:eastAsia="宋体" w:cs="Times New Roman"/>
          <w:szCs w:val="21"/>
        </w:rPr>
      </w:pPr>
    </w:p>
    <w:p w:rsidR="00C8710C" w:rsidRPr="00A71D2E" w:rsidRDefault="00C8710C" w:rsidP="00C8710C">
      <w:pPr>
        <w:ind w:left="720"/>
        <w:jc w:val="both"/>
        <w:rPr>
          <w:rFonts w:eastAsia="宋体" w:cs="Times New Roman"/>
          <w:szCs w:val="21"/>
        </w:rPr>
      </w:pPr>
      <w:r w:rsidRPr="00A71D2E">
        <w:rPr>
          <w:rFonts w:eastAsia="宋体" w:cs="Times New Roman" w:hint="eastAsia"/>
          <w:szCs w:val="21"/>
        </w:rPr>
        <w:t>本集团仅与经认可的、信誉良好的交易方进行交易。按照本集团的政策，需对所有要求采用信用方式进行交易的客户进行信用审核，并执行其他监控程序以确保采取必要的措施回收逾期债务。此外，本集团于每个资产负债表日审核金融资产的回收情况，以确保对相关金融资产计提了充分的信用损失准备。因此，本集团管理层认为本集团所承担的信用风险已经大为降低。</w:t>
      </w:r>
    </w:p>
    <w:p w:rsidR="00F34737" w:rsidRPr="00A71D2E" w:rsidRDefault="00F34737">
      <w:pPr>
        <w:ind w:left="720"/>
        <w:jc w:val="both"/>
        <w:rPr>
          <w:rFonts w:eastAsia="宋体" w:cs="Times New Roman"/>
          <w:szCs w:val="21"/>
        </w:rPr>
      </w:pPr>
    </w:p>
    <w:p w:rsidR="00F34737" w:rsidRPr="00A71D2E" w:rsidRDefault="00F34737">
      <w:pPr>
        <w:ind w:left="720"/>
        <w:jc w:val="both"/>
        <w:rPr>
          <w:rFonts w:eastAsia="宋体" w:cs="Times New Roman"/>
          <w:szCs w:val="21"/>
        </w:rPr>
      </w:pPr>
      <w:r w:rsidRPr="00A71D2E">
        <w:rPr>
          <w:rFonts w:eastAsia="宋体" w:cs="Times New Roman" w:hint="eastAsia"/>
          <w:szCs w:val="21"/>
        </w:rPr>
        <w:t>本集团的货币资金存放在信用评级较高的银行，</w:t>
      </w:r>
      <w:proofErr w:type="gramStart"/>
      <w:r w:rsidRPr="00A71D2E">
        <w:rPr>
          <w:rFonts w:eastAsia="宋体" w:cs="Times New Roman" w:hint="eastAsia"/>
          <w:szCs w:val="21"/>
        </w:rPr>
        <w:t>故货币</w:t>
      </w:r>
      <w:proofErr w:type="gramEnd"/>
      <w:r w:rsidRPr="00A71D2E">
        <w:rPr>
          <w:rFonts w:eastAsia="宋体" w:cs="Times New Roman" w:hint="eastAsia"/>
          <w:szCs w:val="21"/>
        </w:rPr>
        <w:t>资金的信用风险较低。</w:t>
      </w:r>
    </w:p>
    <w:p w:rsidR="00F34737" w:rsidRPr="00A71D2E" w:rsidRDefault="00F34737">
      <w:pPr>
        <w:ind w:left="720"/>
        <w:jc w:val="both"/>
        <w:rPr>
          <w:rFonts w:eastAsia="宋体" w:cs="Times New Roman"/>
          <w:szCs w:val="21"/>
        </w:rPr>
      </w:pPr>
    </w:p>
    <w:p w:rsidR="00F34737" w:rsidRPr="00A71D2E" w:rsidRDefault="00F34737">
      <w:pPr>
        <w:ind w:left="720"/>
        <w:jc w:val="both"/>
        <w:rPr>
          <w:rFonts w:eastAsia="宋体" w:cs="Times New Roman"/>
          <w:szCs w:val="21"/>
        </w:rPr>
      </w:pPr>
      <w:r w:rsidRPr="00A71D2E">
        <w:rPr>
          <w:rFonts w:eastAsia="宋体" w:cs="Times New Roman" w:hint="eastAsia"/>
          <w:szCs w:val="21"/>
        </w:rPr>
        <w:t>对于应收账款，本集团设定相关政策以控制信用风险敞口。本集团基于对客户的财务状况、从第三方获取担保的可能性、信用记录及其他因素诸如目前市场状况等评估客户的信用资质并设置相应信用期。本集团会定期对客户的信用记录进行监控，以确保本集团的整体信用风险在可控的范围内。对于应收账款，本集团按照简化方法，即按照相当于整个存续期内预期信用损失的金额计量损失准备，相关预期信用损失计量详见</w:t>
      </w:r>
      <w:r w:rsidR="005F14EE">
        <w:rPr>
          <w:rFonts w:eastAsia="宋体" w:cs="Times New Roman"/>
          <w:szCs w:val="21"/>
        </w:rPr>
        <w:t>(</w:t>
      </w:r>
      <w:r w:rsidRPr="00A71D2E">
        <w:rPr>
          <w:rFonts w:eastAsia="宋体" w:cs="Times New Roman" w:hint="eastAsia"/>
          <w:szCs w:val="21"/>
        </w:rPr>
        <w:t>附注</w:t>
      </w:r>
      <w:r w:rsidR="005F14EE">
        <w:rPr>
          <w:rFonts w:eastAsia="宋体" w:cs="Times New Roman"/>
          <w:szCs w:val="21"/>
        </w:rPr>
        <w:t>(</w:t>
      </w:r>
      <w:r w:rsidRPr="00A71D2E">
        <w:rPr>
          <w:rFonts w:eastAsia="宋体" w:cs="Times New Roman" w:hint="eastAsia"/>
          <w:szCs w:val="21"/>
        </w:rPr>
        <w:t>五</w:t>
      </w:r>
      <w:r w:rsidR="005F14EE">
        <w:rPr>
          <w:rFonts w:eastAsia="宋体" w:cs="Times New Roman"/>
          <w:szCs w:val="21"/>
        </w:rPr>
        <w:t>)</w:t>
      </w:r>
      <w:r w:rsidRPr="00A71D2E">
        <w:rPr>
          <w:rFonts w:eastAsia="宋体" w:cs="Times New Roman" w:hint="eastAsia"/>
          <w:szCs w:val="21"/>
        </w:rPr>
        <w:t>、</w:t>
      </w:r>
      <w:r w:rsidR="0084496A" w:rsidRPr="00A71D2E">
        <w:rPr>
          <w:rFonts w:eastAsia="宋体" w:cs="Times New Roman"/>
          <w:szCs w:val="21"/>
        </w:rPr>
        <w:t>3</w:t>
      </w:r>
      <w:r w:rsidR="005F14EE">
        <w:rPr>
          <w:rFonts w:eastAsia="宋体" w:cs="Times New Roman"/>
          <w:szCs w:val="21"/>
        </w:rPr>
        <w:t>)</w:t>
      </w:r>
      <w:r w:rsidRPr="00A71D2E">
        <w:rPr>
          <w:rFonts w:eastAsia="宋体" w:cs="Times New Roman" w:hint="eastAsia"/>
          <w:szCs w:val="21"/>
        </w:rPr>
        <w:t>。</w:t>
      </w:r>
    </w:p>
    <w:p w:rsidR="00F34737" w:rsidRPr="00A71D2E" w:rsidRDefault="00F34737">
      <w:pPr>
        <w:ind w:left="720"/>
        <w:jc w:val="both"/>
        <w:rPr>
          <w:rFonts w:eastAsia="宋体" w:cs="Times New Roman"/>
          <w:szCs w:val="21"/>
        </w:rPr>
      </w:pPr>
    </w:p>
    <w:p w:rsidR="00F34737" w:rsidRPr="00A71D2E" w:rsidRDefault="00F34737">
      <w:pPr>
        <w:ind w:left="720"/>
        <w:jc w:val="both"/>
        <w:rPr>
          <w:rFonts w:eastAsia="宋体" w:cs="Times New Roman"/>
          <w:szCs w:val="21"/>
        </w:rPr>
      </w:pPr>
      <w:r w:rsidRPr="00A71D2E">
        <w:rPr>
          <w:rFonts w:eastAsia="宋体" w:cs="Times New Roman" w:hint="eastAsia"/>
          <w:szCs w:val="21"/>
        </w:rPr>
        <w:t>应收票据和应收款项融资主要为持有的银行承兑汇票，本集团认为所持有的银行承兑汇票的承兑方信用评级较高，不存在重大的信用风险，不会产生因对方单位违约而导致的任何重大损失。</w:t>
      </w:r>
    </w:p>
    <w:p w:rsidR="00F34737" w:rsidRPr="00A71D2E" w:rsidRDefault="00F34737">
      <w:pPr>
        <w:ind w:left="720"/>
        <w:jc w:val="both"/>
        <w:rPr>
          <w:rFonts w:eastAsia="宋体" w:cs="Times New Roman"/>
          <w:szCs w:val="21"/>
        </w:rPr>
      </w:pPr>
    </w:p>
    <w:p w:rsidR="00F34737" w:rsidRPr="00A71D2E" w:rsidRDefault="00F34737">
      <w:pPr>
        <w:ind w:left="720"/>
        <w:jc w:val="both"/>
        <w:rPr>
          <w:rFonts w:eastAsia="宋体" w:cs="Times New Roman"/>
          <w:szCs w:val="21"/>
        </w:rPr>
      </w:pPr>
      <w:r w:rsidRPr="00A71D2E">
        <w:rPr>
          <w:rFonts w:eastAsia="宋体" w:cs="Times New Roman" w:hint="eastAsia"/>
          <w:szCs w:val="21"/>
        </w:rPr>
        <w:t>对于其他应收款，本集团会定期对债务人信用记录进行监控，以确保本集团的整体信用风险在可控的范围内。对于其他应收款，本集团根据违约风险敞口按整个存续期内预期信用损失的金额计量损失准备。</w:t>
      </w:r>
    </w:p>
    <w:p w:rsidR="00F34737" w:rsidRPr="00A71D2E" w:rsidRDefault="00F34737">
      <w:pPr>
        <w:ind w:left="720"/>
        <w:jc w:val="both"/>
        <w:rPr>
          <w:rFonts w:eastAsia="宋体" w:cs="Times New Roman"/>
          <w:szCs w:val="21"/>
        </w:rPr>
      </w:pPr>
    </w:p>
    <w:p w:rsidR="00F34737" w:rsidRPr="00A71D2E" w:rsidRDefault="00F34737">
      <w:pPr>
        <w:ind w:left="720"/>
        <w:jc w:val="both"/>
        <w:rPr>
          <w:rFonts w:eastAsia="宋体" w:cs="Times New Roman"/>
          <w:szCs w:val="21"/>
        </w:rPr>
      </w:pPr>
      <w:r w:rsidRPr="00A71D2E">
        <w:rPr>
          <w:rFonts w:eastAsia="宋体" w:cs="Times New Roman" w:hint="eastAsia"/>
          <w:szCs w:val="21"/>
        </w:rPr>
        <w:t>对于长期应收款及一年内到期的非流动资产主要为</w:t>
      </w:r>
      <w:proofErr w:type="gramStart"/>
      <w:r w:rsidRPr="00A71D2E">
        <w:rPr>
          <w:rFonts w:eastAsia="宋体" w:cs="Times New Roman" w:hint="eastAsia"/>
          <w:szCs w:val="21"/>
        </w:rPr>
        <w:t>应收员工</w:t>
      </w:r>
      <w:proofErr w:type="gramEnd"/>
      <w:r w:rsidRPr="00A71D2E">
        <w:rPr>
          <w:rFonts w:eastAsia="宋体" w:cs="Times New Roman" w:hint="eastAsia"/>
          <w:szCs w:val="21"/>
        </w:rPr>
        <w:t>住房借款，相关员工与本集团存在劳务关系且本集团评估相关债务人信用记录均良好，本集团认为其不存在重大的信用风险，不会产生因对方违约而导致的任何重大损失。</w:t>
      </w:r>
    </w:p>
    <w:p w:rsidR="00F34737" w:rsidRPr="00A71D2E" w:rsidRDefault="00F34737">
      <w:pPr>
        <w:pStyle w:val="aff1"/>
        <w:widowControl w:val="0"/>
        <w:ind w:left="1440" w:firstLineChars="0" w:hanging="720"/>
        <w:rPr>
          <w:b/>
          <w:bCs/>
        </w:rPr>
      </w:pPr>
    </w:p>
    <w:p w:rsidR="00F34737" w:rsidRPr="00A71D2E" w:rsidRDefault="00F34737">
      <w:pPr>
        <w:ind w:left="720"/>
        <w:jc w:val="both"/>
        <w:rPr>
          <w:rFonts w:eastAsia="宋体" w:cs="Times New Roman"/>
          <w:szCs w:val="21"/>
        </w:rPr>
      </w:pPr>
      <w:r w:rsidRPr="00C8710C">
        <w:rPr>
          <w:rFonts w:eastAsia="宋体" w:cs="Times New Roman" w:hint="eastAsia"/>
          <w:szCs w:val="21"/>
          <w:lang w:val="en-GB"/>
        </w:rPr>
        <w:t>于</w:t>
      </w:r>
      <w:r w:rsidRPr="00C8710C">
        <w:rPr>
          <w:rFonts w:eastAsia="宋体" w:cs="Times New Roman"/>
          <w:szCs w:val="21"/>
        </w:rPr>
        <w:t>202</w:t>
      </w:r>
      <w:r w:rsidR="00C8710C" w:rsidRPr="00C8710C">
        <w:rPr>
          <w:rFonts w:eastAsia="宋体" w:cs="Times New Roman"/>
          <w:szCs w:val="21"/>
        </w:rPr>
        <w:t>3</w:t>
      </w:r>
      <w:r w:rsidRPr="00C8710C">
        <w:rPr>
          <w:rFonts w:eastAsia="宋体" w:cs="Times New Roman" w:hint="eastAsia"/>
          <w:szCs w:val="21"/>
        </w:rPr>
        <w:t>年</w:t>
      </w:r>
      <w:r w:rsidRPr="00C8710C">
        <w:rPr>
          <w:rFonts w:eastAsia="宋体" w:cs="Times New Roman"/>
          <w:szCs w:val="21"/>
        </w:rPr>
        <w:t>12</w:t>
      </w:r>
      <w:r w:rsidRPr="00C8710C">
        <w:rPr>
          <w:rFonts w:eastAsia="宋体" w:cs="Times New Roman" w:hint="eastAsia"/>
          <w:szCs w:val="21"/>
        </w:rPr>
        <w:t>月</w:t>
      </w:r>
      <w:r w:rsidRPr="00C8710C">
        <w:rPr>
          <w:rFonts w:eastAsia="宋体" w:cs="Times New Roman"/>
          <w:szCs w:val="21"/>
        </w:rPr>
        <w:t>31</w:t>
      </w:r>
      <w:r w:rsidRPr="00C8710C">
        <w:rPr>
          <w:rFonts w:eastAsia="宋体" w:cs="Times New Roman" w:hint="eastAsia"/>
          <w:szCs w:val="21"/>
        </w:rPr>
        <w:t>日</w:t>
      </w:r>
      <w:r w:rsidR="002463BF" w:rsidRPr="00C8710C">
        <w:rPr>
          <w:rFonts w:eastAsia="宋体" w:cs="Times New Roman" w:hint="eastAsia"/>
          <w:szCs w:val="21"/>
          <w:lang w:val="en-GB"/>
        </w:rPr>
        <w:t>，</w:t>
      </w:r>
      <w:r w:rsidR="002463BF" w:rsidRPr="00A71D2E">
        <w:rPr>
          <w:rFonts w:eastAsia="宋体" w:cs="Times New Roman" w:hint="eastAsia"/>
          <w:szCs w:val="21"/>
          <w:lang w:val="en-GB"/>
        </w:rPr>
        <w:t>按欠款方归集的年末集团前五名的应收账款余额</w:t>
      </w:r>
      <w:r w:rsidRPr="00A71D2E">
        <w:rPr>
          <w:rFonts w:eastAsia="宋体" w:cs="Times New Roman" w:hint="eastAsia"/>
          <w:szCs w:val="21"/>
          <w:lang w:val="en-GB"/>
        </w:rPr>
        <w:t>为</w:t>
      </w:r>
      <w:proofErr w:type="gramStart"/>
      <w:r w:rsidRPr="00A71D2E">
        <w:rPr>
          <w:rFonts w:eastAsia="宋体" w:cs="Times New Roman" w:hint="eastAsia"/>
          <w:szCs w:val="21"/>
          <w:lang w:val="en-GB"/>
        </w:rPr>
        <w:t>人民币人民币</w:t>
      </w:r>
      <w:proofErr w:type="gramEnd"/>
      <w:r w:rsidR="000041AB" w:rsidRPr="000041AB">
        <w:rPr>
          <w:rFonts w:eastAsia="宋体" w:cs="Times New Roman"/>
          <w:szCs w:val="21"/>
          <w:lang w:val="en-GB"/>
        </w:rPr>
        <w:t>439,180,028.72</w:t>
      </w:r>
      <w:r w:rsidR="00BB0BD1">
        <w:rPr>
          <w:rFonts w:eastAsia="宋体" w:cs="Times New Roman" w:hint="eastAsia"/>
          <w:szCs w:val="21"/>
          <w:lang w:val="en-GB"/>
        </w:rPr>
        <w:t>元</w:t>
      </w:r>
      <w:r w:rsidRPr="00A71D2E">
        <w:rPr>
          <w:rFonts w:eastAsia="宋体" w:cs="Times New Roman" w:hint="eastAsia"/>
          <w:szCs w:val="21"/>
          <w:lang w:val="en-GB"/>
        </w:rPr>
        <w:t>，占应收</w:t>
      </w:r>
      <w:proofErr w:type="gramStart"/>
      <w:r w:rsidRPr="00A71D2E">
        <w:rPr>
          <w:rFonts w:eastAsia="宋体" w:cs="Times New Roman" w:hint="eastAsia"/>
          <w:szCs w:val="21"/>
          <w:lang w:val="en-GB"/>
        </w:rPr>
        <w:t>账款总</w:t>
      </w:r>
      <w:proofErr w:type="gramEnd"/>
      <w:r w:rsidRPr="00A71D2E">
        <w:rPr>
          <w:rFonts w:eastAsia="宋体" w:cs="Times New Roman" w:hint="eastAsia"/>
          <w:szCs w:val="21"/>
          <w:lang w:val="en-GB"/>
        </w:rPr>
        <w:t>余额的比例为</w:t>
      </w:r>
      <w:r w:rsidR="00F82F54" w:rsidRPr="00F82F54">
        <w:rPr>
          <w:rFonts w:eastAsia="宋体" w:cs="Times New Roman"/>
          <w:szCs w:val="21"/>
          <w:lang w:val="en-GB"/>
        </w:rPr>
        <w:t>49.05</w:t>
      </w:r>
      <w:r w:rsidRPr="00A71D2E">
        <w:rPr>
          <w:rFonts w:eastAsia="宋体" w:cs="Times New Roman"/>
          <w:szCs w:val="21"/>
          <w:lang w:val="en-GB"/>
        </w:rPr>
        <w:t>%</w:t>
      </w:r>
      <w:r w:rsidRPr="00A71D2E">
        <w:rPr>
          <w:rFonts w:eastAsia="宋体" w:cs="Times New Roman" w:hint="eastAsia"/>
          <w:szCs w:val="21"/>
          <w:lang w:val="en-GB"/>
        </w:rPr>
        <w:t>。</w:t>
      </w:r>
      <w:r w:rsidRPr="00A71D2E">
        <w:rPr>
          <w:rFonts w:eastAsia="宋体" w:cs="Times New Roman" w:hint="eastAsia"/>
          <w:szCs w:val="21"/>
        </w:rPr>
        <w:t>本</w:t>
      </w:r>
      <w:r w:rsidR="00D9680E" w:rsidRPr="00A71D2E">
        <w:rPr>
          <w:rFonts w:eastAsia="宋体" w:cs="Times New Roman" w:hint="eastAsia"/>
          <w:szCs w:val="21"/>
        </w:rPr>
        <w:t>集团</w:t>
      </w:r>
      <w:r w:rsidRPr="00A71D2E">
        <w:rPr>
          <w:rFonts w:eastAsia="宋体" w:cs="Times New Roman" w:hint="eastAsia"/>
          <w:szCs w:val="21"/>
        </w:rPr>
        <w:t>管理层认为上述客户具有可靠及良好的信誉，因此本</w:t>
      </w:r>
      <w:r w:rsidR="005827CE" w:rsidRPr="00A71D2E">
        <w:rPr>
          <w:rFonts w:eastAsia="宋体" w:cs="Times New Roman" w:hint="eastAsia"/>
          <w:szCs w:val="21"/>
        </w:rPr>
        <w:t>集团</w:t>
      </w:r>
      <w:r w:rsidRPr="00A71D2E">
        <w:rPr>
          <w:rFonts w:eastAsia="宋体" w:cs="Times New Roman" w:hint="eastAsia"/>
          <w:szCs w:val="21"/>
        </w:rPr>
        <w:t>对该客户的应收款项并无重大信用风险。除上述客户外，本集团无其他重大信用集中风险。</w:t>
      </w:r>
    </w:p>
    <w:p w:rsidR="00F34737" w:rsidRPr="00A71D2E" w:rsidRDefault="00F34737">
      <w:pPr>
        <w:ind w:left="720"/>
        <w:jc w:val="both"/>
        <w:rPr>
          <w:rFonts w:eastAsia="宋体" w:cs="Times New Roman"/>
          <w:szCs w:val="21"/>
          <w:lang w:val="en-GB"/>
        </w:rPr>
      </w:pPr>
    </w:p>
    <w:p w:rsidR="00F34737" w:rsidRPr="00A71D2E" w:rsidRDefault="004B184F">
      <w:pPr>
        <w:tabs>
          <w:tab w:val="left" w:pos="6946"/>
        </w:tabs>
        <w:ind w:left="1440" w:hanging="720"/>
        <w:jc w:val="both"/>
        <w:rPr>
          <w:rFonts w:eastAsia="宋体" w:cs="Times New Roman"/>
          <w:szCs w:val="21"/>
          <w:u w:val="single"/>
        </w:rPr>
      </w:pPr>
      <w:r>
        <w:rPr>
          <w:rFonts w:eastAsia="宋体" w:cs="Times New Roman"/>
          <w:u w:val="single"/>
        </w:rPr>
        <w:t>1</w:t>
      </w:r>
      <w:r w:rsidR="00F34737" w:rsidRPr="00A71D2E">
        <w:rPr>
          <w:rFonts w:eastAsia="宋体" w:cs="Times New Roman"/>
          <w:szCs w:val="21"/>
          <w:u w:val="single"/>
        </w:rPr>
        <w:t>.3.</w:t>
      </w:r>
      <w:r w:rsidR="00F34737" w:rsidRPr="00A71D2E">
        <w:rPr>
          <w:rFonts w:eastAsia="宋体" w:cs="Times New Roman"/>
          <w:szCs w:val="21"/>
          <w:u w:val="single"/>
        </w:rPr>
        <w:tab/>
      </w:r>
      <w:r w:rsidR="00F34737" w:rsidRPr="00A71D2E">
        <w:rPr>
          <w:rFonts w:eastAsia="宋体" w:cs="Times New Roman" w:hint="eastAsia"/>
          <w:szCs w:val="21"/>
          <w:u w:val="single"/>
        </w:rPr>
        <w:t>流动</w:t>
      </w:r>
      <w:r>
        <w:rPr>
          <w:rFonts w:eastAsia="宋体" w:cs="Times New Roman" w:hint="eastAsia"/>
          <w:szCs w:val="21"/>
          <w:u w:val="single"/>
        </w:rPr>
        <w:t>性</w:t>
      </w:r>
      <w:r w:rsidR="00F34737" w:rsidRPr="00A71D2E">
        <w:rPr>
          <w:rFonts w:eastAsia="宋体" w:cs="Times New Roman" w:hint="eastAsia"/>
          <w:szCs w:val="21"/>
          <w:u w:val="single"/>
        </w:rPr>
        <w:t>风险</w:t>
      </w:r>
    </w:p>
    <w:p w:rsidR="00F34737" w:rsidRPr="00A71D2E" w:rsidRDefault="00F34737">
      <w:pPr>
        <w:ind w:left="742"/>
        <w:jc w:val="both"/>
        <w:rPr>
          <w:rFonts w:eastAsia="宋体" w:cs="Times New Roman"/>
          <w:szCs w:val="21"/>
        </w:rPr>
      </w:pPr>
    </w:p>
    <w:p w:rsidR="00F34737" w:rsidRPr="00A71D2E" w:rsidRDefault="00F34737">
      <w:pPr>
        <w:ind w:left="720"/>
        <w:jc w:val="both"/>
        <w:rPr>
          <w:rFonts w:eastAsia="宋体" w:cs="Times New Roman"/>
          <w:szCs w:val="21"/>
          <w:lang w:val="en-GB"/>
        </w:rPr>
      </w:pPr>
      <w:r w:rsidRPr="00A71D2E">
        <w:rPr>
          <w:rFonts w:eastAsia="宋体" w:cs="Times New Roman" w:hint="eastAsia"/>
          <w:szCs w:val="21"/>
          <w:lang w:val="en-GB"/>
        </w:rPr>
        <w:t>管理流动</w:t>
      </w:r>
      <w:r w:rsidR="004B184F">
        <w:rPr>
          <w:rFonts w:eastAsia="宋体" w:cs="Times New Roman" w:hint="eastAsia"/>
          <w:szCs w:val="21"/>
          <w:lang w:val="en-GB"/>
        </w:rPr>
        <w:t>性</w:t>
      </w:r>
      <w:r w:rsidRPr="00A71D2E">
        <w:rPr>
          <w:rFonts w:eastAsia="宋体" w:cs="Times New Roman" w:hint="eastAsia"/>
          <w:szCs w:val="21"/>
          <w:lang w:val="en-GB"/>
        </w:rPr>
        <w:t>风险时，本集团保持管理层认为充分的现金及现金等价物并对其进行监控，以满足本集团经营需要，并降低现金流量波动的影响。</w:t>
      </w:r>
    </w:p>
    <w:p w:rsidR="00F34737" w:rsidRPr="00A71D2E" w:rsidRDefault="00F34737" w:rsidP="00F66363">
      <w:pPr>
        <w:adjustRightInd/>
        <w:snapToGrid/>
        <w:ind w:left="720"/>
        <w:rPr>
          <w:rFonts w:eastAsia="宋体" w:cs="Times New Roman"/>
          <w:szCs w:val="21"/>
          <w:lang w:val="en-GB"/>
        </w:rPr>
      </w:pPr>
    </w:p>
    <w:p w:rsidR="00F34737" w:rsidRPr="00A71D2E" w:rsidRDefault="00F34737">
      <w:pPr>
        <w:ind w:left="720"/>
        <w:jc w:val="both"/>
        <w:rPr>
          <w:rFonts w:eastAsia="宋体" w:cs="Times New Roman"/>
          <w:szCs w:val="21"/>
          <w:lang w:val="en-GB"/>
        </w:rPr>
      </w:pPr>
      <w:r w:rsidRPr="00A71D2E">
        <w:rPr>
          <w:rFonts w:eastAsia="宋体" w:cs="Times New Roman" w:hint="eastAsia"/>
          <w:szCs w:val="21"/>
          <w:lang w:val="en-GB"/>
        </w:rPr>
        <w:t>本集团持有金融负债按未折现剩余合同义务的到期年限分析如下</w:t>
      </w:r>
      <w:r w:rsidR="005F14EE">
        <w:rPr>
          <w:rFonts w:eastAsia="宋体" w:cs="Times New Roman" w:hint="eastAsia"/>
          <w:szCs w:val="21"/>
          <w:lang w:val="en-GB"/>
        </w:rPr>
        <w:t>：</w:t>
      </w:r>
    </w:p>
    <w:p w:rsidR="00F34737" w:rsidRPr="00A71D2E" w:rsidRDefault="00F34737">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86"/>
        <w:gridCol w:w="1642"/>
        <w:gridCol w:w="1642"/>
        <w:gridCol w:w="1642"/>
        <w:gridCol w:w="1643"/>
      </w:tblGrid>
      <w:tr w:rsidR="0041519D" w:rsidRPr="00A71D2E" w:rsidTr="0027505B">
        <w:trPr>
          <w:cantSplit/>
          <w:trHeight w:val="20"/>
        </w:trPr>
        <w:tc>
          <w:tcPr>
            <w:tcW w:w="2886" w:type="dxa"/>
            <w:vMerge w:val="restart"/>
            <w:shd w:val="clear" w:color="auto" w:fill="D9D9D9" w:themeFill="background1" w:themeFillShade="D9"/>
            <w:tcMar>
              <w:top w:w="0" w:type="dxa"/>
              <w:left w:w="108" w:type="dxa"/>
              <w:bottom w:w="0" w:type="dxa"/>
              <w:right w:w="108" w:type="dxa"/>
            </w:tcMar>
            <w:vAlign w:val="center"/>
          </w:tcPr>
          <w:p w:rsidR="0041519D" w:rsidRPr="00F66363" w:rsidRDefault="0041519D" w:rsidP="00F66363">
            <w:pPr>
              <w:ind w:left="-15" w:right="-89"/>
              <w:jc w:val="center"/>
              <w:rPr>
                <w:rFonts w:eastAsia="宋体" w:cs="Times New Roman"/>
                <w:sz w:val="18"/>
                <w:szCs w:val="18"/>
              </w:rPr>
            </w:pPr>
          </w:p>
        </w:tc>
        <w:tc>
          <w:tcPr>
            <w:tcW w:w="6569" w:type="dxa"/>
            <w:gridSpan w:val="4"/>
            <w:shd w:val="clear" w:color="auto" w:fill="D9D9D9" w:themeFill="background1" w:themeFillShade="D9"/>
            <w:vAlign w:val="center"/>
          </w:tcPr>
          <w:p w:rsidR="0041519D" w:rsidRPr="00A71D2E" w:rsidRDefault="0041519D">
            <w:pPr>
              <w:ind w:left="-108" w:right="-89"/>
              <w:jc w:val="center"/>
              <w:rPr>
                <w:rFonts w:eastAsia="宋体" w:cs="Times New Roman"/>
                <w:sz w:val="18"/>
                <w:szCs w:val="18"/>
              </w:rPr>
            </w:pPr>
            <w:r w:rsidRPr="00F66363">
              <w:rPr>
                <w:rFonts w:eastAsia="宋体" w:cs="Times New Roman"/>
                <w:sz w:val="18"/>
                <w:szCs w:val="18"/>
              </w:rPr>
              <w:t>202</w:t>
            </w:r>
            <w:r w:rsidR="007A27B7">
              <w:rPr>
                <w:rFonts w:eastAsia="宋体" w:cs="Times New Roman"/>
                <w:sz w:val="18"/>
                <w:szCs w:val="18"/>
              </w:rPr>
              <w:t>3</w:t>
            </w:r>
            <w:r w:rsidRPr="00F66363">
              <w:rPr>
                <w:rFonts w:eastAsia="宋体" w:cs="Times New Roman" w:hint="eastAsia"/>
                <w:sz w:val="18"/>
                <w:szCs w:val="18"/>
              </w:rPr>
              <w:t>年</w:t>
            </w:r>
            <w:r w:rsidRPr="00F66363">
              <w:rPr>
                <w:rFonts w:eastAsia="宋体" w:cs="Times New Roman"/>
                <w:sz w:val="18"/>
                <w:szCs w:val="18"/>
              </w:rPr>
              <w:t>12</w:t>
            </w:r>
            <w:r w:rsidRPr="00F66363">
              <w:rPr>
                <w:rFonts w:eastAsia="宋体" w:cs="Times New Roman" w:hint="eastAsia"/>
                <w:sz w:val="18"/>
                <w:szCs w:val="18"/>
              </w:rPr>
              <w:t>月</w:t>
            </w:r>
            <w:r w:rsidRPr="00F66363">
              <w:rPr>
                <w:rFonts w:eastAsia="宋体" w:cs="Times New Roman"/>
                <w:sz w:val="18"/>
                <w:szCs w:val="18"/>
              </w:rPr>
              <w:t>31</w:t>
            </w:r>
            <w:r w:rsidRPr="00F66363">
              <w:rPr>
                <w:rFonts w:eastAsia="宋体" w:cs="Times New Roman" w:hint="eastAsia"/>
                <w:sz w:val="18"/>
                <w:szCs w:val="18"/>
              </w:rPr>
              <w:t>日</w:t>
            </w:r>
          </w:p>
        </w:tc>
      </w:tr>
      <w:tr w:rsidR="0041519D" w:rsidRPr="00A71D2E" w:rsidTr="0027505B">
        <w:trPr>
          <w:cantSplit/>
          <w:trHeight w:val="20"/>
        </w:trPr>
        <w:tc>
          <w:tcPr>
            <w:tcW w:w="2886" w:type="dxa"/>
            <w:vMerge/>
            <w:shd w:val="clear" w:color="auto" w:fill="D9D9D9" w:themeFill="background1" w:themeFillShade="D9"/>
            <w:tcMar>
              <w:top w:w="0" w:type="dxa"/>
              <w:left w:w="108" w:type="dxa"/>
              <w:bottom w:w="0" w:type="dxa"/>
              <w:right w:w="108" w:type="dxa"/>
            </w:tcMar>
            <w:vAlign w:val="center"/>
          </w:tcPr>
          <w:p w:rsidR="0041519D" w:rsidRPr="00A71D2E" w:rsidRDefault="0041519D" w:rsidP="00F66363">
            <w:pPr>
              <w:ind w:left="-15"/>
              <w:jc w:val="center"/>
              <w:rPr>
                <w:rFonts w:eastAsia="宋体" w:cs="Times New Roman"/>
                <w:sz w:val="18"/>
                <w:szCs w:val="18"/>
              </w:rPr>
            </w:pPr>
          </w:p>
        </w:tc>
        <w:tc>
          <w:tcPr>
            <w:tcW w:w="1642" w:type="dxa"/>
            <w:shd w:val="clear" w:color="auto" w:fill="D9D9D9" w:themeFill="background1" w:themeFillShade="D9"/>
            <w:tcMar>
              <w:top w:w="0" w:type="dxa"/>
              <w:left w:w="108" w:type="dxa"/>
              <w:bottom w:w="0" w:type="dxa"/>
              <w:right w:w="108" w:type="dxa"/>
            </w:tcMar>
            <w:vAlign w:val="center"/>
          </w:tcPr>
          <w:p w:rsidR="0041519D" w:rsidRPr="00A71D2E" w:rsidRDefault="0041519D">
            <w:pPr>
              <w:ind w:left="-108"/>
              <w:jc w:val="center"/>
              <w:rPr>
                <w:rFonts w:eastAsia="宋体" w:cs="Times New Roman"/>
                <w:sz w:val="18"/>
                <w:szCs w:val="18"/>
              </w:rPr>
            </w:pPr>
            <w:r w:rsidRPr="00A71D2E">
              <w:rPr>
                <w:rFonts w:eastAsia="宋体" w:cs="Times New Roman"/>
                <w:sz w:val="18"/>
                <w:szCs w:val="18"/>
              </w:rPr>
              <w:t>1</w:t>
            </w:r>
            <w:r w:rsidRPr="00A71D2E">
              <w:rPr>
                <w:rFonts w:eastAsia="宋体" w:cs="Times New Roman" w:hint="eastAsia"/>
                <w:sz w:val="18"/>
                <w:szCs w:val="18"/>
              </w:rPr>
              <w:t>年以内</w:t>
            </w:r>
          </w:p>
        </w:tc>
        <w:tc>
          <w:tcPr>
            <w:tcW w:w="1642" w:type="dxa"/>
            <w:shd w:val="clear" w:color="auto" w:fill="D9D9D9" w:themeFill="background1" w:themeFillShade="D9"/>
            <w:tcMar>
              <w:top w:w="0" w:type="dxa"/>
              <w:left w:w="108" w:type="dxa"/>
              <w:bottom w:w="0" w:type="dxa"/>
              <w:right w:w="108" w:type="dxa"/>
            </w:tcMar>
            <w:vAlign w:val="center"/>
          </w:tcPr>
          <w:p w:rsidR="0041519D" w:rsidRPr="00A71D2E" w:rsidRDefault="0041519D">
            <w:pPr>
              <w:ind w:left="-108"/>
              <w:jc w:val="center"/>
              <w:rPr>
                <w:rFonts w:eastAsia="宋体" w:cs="Times New Roman"/>
                <w:sz w:val="18"/>
                <w:szCs w:val="18"/>
              </w:rPr>
            </w:pPr>
            <w:r w:rsidRPr="00A71D2E">
              <w:rPr>
                <w:rFonts w:eastAsia="宋体" w:cs="Times New Roman"/>
                <w:sz w:val="18"/>
                <w:szCs w:val="18"/>
              </w:rPr>
              <w:t>1-5</w:t>
            </w:r>
            <w:r w:rsidRPr="00A71D2E">
              <w:rPr>
                <w:rFonts w:eastAsia="宋体" w:cs="Times New Roman" w:hint="eastAsia"/>
                <w:sz w:val="18"/>
                <w:szCs w:val="18"/>
              </w:rPr>
              <w:t>年</w:t>
            </w:r>
          </w:p>
        </w:tc>
        <w:tc>
          <w:tcPr>
            <w:tcW w:w="1642" w:type="dxa"/>
            <w:shd w:val="clear" w:color="auto" w:fill="D9D9D9" w:themeFill="background1" w:themeFillShade="D9"/>
            <w:tcMar>
              <w:top w:w="0" w:type="dxa"/>
              <w:left w:w="108" w:type="dxa"/>
              <w:bottom w:w="0" w:type="dxa"/>
              <w:right w:w="108" w:type="dxa"/>
            </w:tcMar>
            <w:vAlign w:val="center"/>
          </w:tcPr>
          <w:p w:rsidR="0041519D" w:rsidRPr="00A71D2E" w:rsidRDefault="0041519D">
            <w:pPr>
              <w:ind w:left="-108"/>
              <w:jc w:val="center"/>
              <w:rPr>
                <w:rFonts w:eastAsia="宋体" w:cs="Times New Roman"/>
                <w:sz w:val="18"/>
                <w:szCs w:val="18"/>
              </w:rPr>
            </w:pPr>
            <w:r w:rsidRPr="00A71D2E">
              <w:rPr>
                <w:rFonts w:eastAsia="宋体" w:cs="Times New Roman"/>
                <w:sz w:val="18"/>
                <w:szCs w:val="18"/>
              </w:rPr>
              <w:t>5</w:t>
            </w:r>
            <w:r w:rsidRPr="00A71D2E">
              <w:rPr>
                <w:rFonts w:eastAsia="宋体" w:cs="Times New Roman" w:hint="eastAsia"/>
                <w:sz w:val="18"/>
                <w:szCs w:val="18"/>
              </w:rPr>
              <w:t>年以上</w:t>
            </w:r>
          </w:p>
        </w:tc>
        <w:tc>
          <w:tcPr>
            <w:tcW w:w="1643" w:type="dxa"/>
            <w:shd w:val="clear" w:color="auto" w:fill="D9D9D9" w:themeFill="background1" w:themeFillShade="D9"/>
            <w:tcMar>
              <w:top w:w="0" w:type="dxa"/>
              <w:left w:w="108" w:type="dxa"/>
              <w:bottom w:w="0" w:type="dxa"/>
              <w:right w:w="108" w:type="dxa"/>
            </w:tcMar>
            <w:vAlign w:val="center"/>
          </w:tcPr>
          <w:p w:rsidR="0041519D" w:rsidRPr="00A71D2E" w:rsidRDefault="0041519D">
            <w:pPr>
              <w:ind w:left="-108" w:right="-59"/>
              <w:jc w:val="center"/>
              <w:rPr>
                <w:rFonts w:eastAsia="宋体" w:cs="Times New Roman"/>
                <w:sz w:val="18"/>
                <w:szCs w:val="18"/>
              </w:rPr>
            </w:pPr>
            <w:r w:rsidRPr="00A71D2E">
              <w:rPr>
                <w:rFonts w:eastAsia="宋体" w:cs="Times New Roman" w:hint="eastAsia"/>
                <w:sz w:val="18"/>
                <w:szCs w:val="18"/>
              </w:rPr>
              <w:t>合计</w:t>
            </w:r>
          </w:p>
        </w:tc>
      </w:tr>
      <w:tr w:rsidR="00C055E9" w:rsidRPr="00A71D2E" w:rsidTr="0027505B">
        <w:trPr>
          <w:cantSplit/>
          <w:trHeight w:val="20"/>
        </w:trPr>
        <w:tc>
          <w:tcPr>
            <w:tcW w:w="2886" w:type="dxa"/>
            <w:shd w:val="clear" w:color="auto" w:fill="D9D9D9" w:themeFill="background1" w:themeFillShade="D9"/>
            <w:tcMar>
              <w:top w:w="0" w:type="dxa"/>
              <w:left w:w="108" w:type="dxa"/>
              <w:bottom w:w="0" w:type="dxa"/>
              <w:right w:w="108" w:type="dxa"/>
            </w:tcMar>
            <w:vAlign w:val="center"/>
          </w:tcPr>
          <w:p w:rsidR="00C055E9" w:rsidRPr="00A71D2E" w:rsidRDefault="00C055E9" w:rsidP="00F66363">
            <w:pPr>
              <w:ind w:left="-15"/>
              <w:rPr>
                <w:rFonts w:eastAsia="宋体" w:cs="Times New Roman"/>
                <w:sz w:val="18"/>
                <w:szCs w:val="18"/>
              </w:rPr>
            </w:pPr>
            <w:r w:rsidRPr="00A71D2E">
              <w:rPr>
                <w:rFonts w:eastAsia="宋体" w:cs="Times New Roman" w:hint="eastAsia"/>
                <w:sz w:val="18"/>
                <w:szCs w:val="18"/>
              </w:rPr>
              <w:t>应付票据</w:t>
            </w:r>
          </w:p>
        </w:tc>
        <w:tc>
          <w:tcPr>
            <w:tcW w:w="1642" w:type="dxa"/>
            <w:tcMar>
              <w:top w:w="0" w:type="dxa"/>
              <w:left w:w="108" w:type="dxa"/>
              <w:bottom w:w="0" w:type="dxa"/>
              <w:right w:w="108" w:type="dxa"/>
            </w:tcMar>
            <w:vAlign w:val="center"/>
          </w:tcPr>
          <w:p w:rsidR="00C055E9" w:rsidRPr="00A71D2E" w:rsidRDefault="00716FC4">
            <w:pPr>
              <w:ind w:left="-108"/>
              <w:jc w:val="right"/>
              <w:rPr>
                <w:rFonts w:eastAsia="宋体" w:cs="Times New Roman"/>
                <w:sz w:val="18"/>
                <w:szCs w:val="18"/>
              </w:rPr>
            </w:pPr>
            <w:r w:rsidRPr="00716FC4">
              <w:rPr>
                <w:rFonts w:eastAsia="宋体" w:cs="Times New Roman"/>
                <w:sz w:val="18"/>
                <w:szCs w:val="18"/>
              </w:rPr>
              <w:t>179,892,364.61</w:t>
            </w:r>
          </w:p>
        </w:tc>
        <w:tc>
          <w:tcPr>
            <w:tcW w:w="1642" w:type="dxa"/>
            <w:tcMar>
              <w:top w:w="0" w:type="dxa"/>
              <w:left w:w="108" w:type="dxa"/>
              <w:bottom w:w="0" w:type="dxa"/>
              <w:right w:w="108" w:type="dxa"/>
            </w:tcMar>
            <w:vAlign w:val="center"/>
          </w:tcPr>
          <w:p w:rsidR="00C055E9" w:rsidRPr="00A71D2E" w:rsidRDefault="00716FC4" w:rsidP="00716FC4">
            <w:pPr>
              <w:wordWrap w:val="0"/>
              <w:ind w:left="-108"/>
              <w:jc w:val="right"/>
              <w:rPr>
                <w:rFonts w:eastAsia="宋体" w:cs="Times New Roman"/>
                <w:sz w:val="18"/>
                <w:szCs w:val="18"/>
              </w:rPr>
            </w:pPr>
            <w:r>
              <w:rPr>
                <w:rFonts w:eastAsia="宋体" w:cs="Times New Roman" w:hint="eastAsia"/>
                <w:sz w:val="18"/>
                <w:szCs w:val="18"/>
              </w:rPr>
              <w:t>-</w:t>
            </w:r>
            <w:r w:rsidR="00DD7949">
              <w:rPr>
                <w:rFonts w:eastAsia="宋体" w:cs="Times New Roman"/>
                <w:sz w:val="18"/>
                <w:szCs w:val="18"/>
              </w:rPr>
              <w:t>    </w:t>
            </w:r>
          </w:p>
        </w:tc>
        <w:tc>
          <w:tcPr>
            <w:tcW w:w="1642" w:type="dxa"/>
            <w:tcMar>
              <w:top w:w="0" w:type="dxa"/>
              <w:left w:w="108" w:type="dxa"/>
              <w:bottom w:w="0" w:type="dxa"/>
              <w:right w:w="108" w:type="dxa"/>
            </w:tcMar>
            <w:vAlign w:val="center"/>
          </w:tcPr>
          <w:p w:rsidR="00C055E9" w:rsidRPr="00A71D2E" w:rsidRDefault="00716FC4" w:rsidP="00716FC4">
            <w:pPr>
              <w:wordWrap w:val="0"/>
              <w:ind w:left="-108"/>
              <w:jc w:val="right"/>
              <w:rPr>
                <w:rFonts w:eastAsia="宋体" w:cs="Times New Roman"/>
                <w:sz w:val="18"/>
                <w:szCs w:val="18"/>
              </w:rPr>
            </w:pPr>
            <w:r>
              <w:rPr>
                <w:rFonts w:eastAsia="宋体" w:cs="Times New Roman" w:hint="eastAsia"/>
                <w:sz w:val="18"/>
                <w:szCs w:val="18"/>
              </w:rPr>
              <w:t>-</w:t>
            </w:r>
            <w:r w:rsidR="00DD7949">
              <w:rPr>
                <w:rFonts w:eastAsia="宋体" w:cs="Times New Roman"/>
                <w:sz w:val="18"/>
                <w:szCs w:val="18"/>
              </w:rPr>
              <w:t>    </w:t>
            </w:r>
          </w:p>
        </w:tc>
        <w:tc>
          <w:tcPr>
            <w:tcW w:w="1643" w:type="dxa"/>
            <w:tcMar>
              <w:top w:w="0" w:type="dxa"/>
              <w:left w:w="108" w:type="dxa"/>
              <w:bottom w:w="0" w:type="dxa"/>
              <w:right w:w="108" w:type="dxa"/>
            </w:tcMar>
            <w:vAlign w:val="center"/>
          </w:tcPr>
          <w:p w:rsidR="00C055E9" w:rsidRPr="00A71D2E" w:rsidRDefault="00716FC4">
            <w:pPr>
              <w:ind w:left="-108"/>
              <w:jc w:val="right"/>
              <w:rPr>
                <w:rFonts w:eastAsia="宋体" w:cs="Times New Roman"/>
                <w:sz w:val="18"/>
                <w:szCs w:val="18"/>
              </w:rPr>
            </w:pPr>
            <w:r w:rsidRPr="00716FC4">
              <w:rPr>
                <w:rFonts w:eastAsia="宋体" w:cs="Times New Roman"/>
                <w:sz w:val="18"/>
                <w:szCs w:val="18"/>
              </w:rPr>
              <w:t>179,892,364.61</w:t>
            </w:r>
          </w:p>
        </w:tc>
      </w:tr>
      <w:tr w:rsidR="0071428C" w:rsidRPr="00A71D2E" w:rsidTr="0027505B">
        <w:trPr>
          <w:cantSplit/>
          <w:trHeight w:val="20"/>
        </w:trPr>
        <w:tc>
          <w:tcPr>
            <w:tcW w:w="2886" w:type="dxa"/>
            <w:shd w:val="clear" w:color="auto" w:fill="D9D9D9" w:themeFill="background1" w:themeFillShade="D9"/>
            <w:tcMar>
              <w:top w:w="0" w:type="dxa"/>
              <w:left w:w="108" w:type="dxa"/>
              <w:bottom w:w="0" w:type="dxa"/>
              <w:right w:w="108" w:type="dxa"/>
            </w:tcMar>
            <w:vAlign w:val="center"/>
          </w:tcPr>
          <w:p w:rsidR="0071428C" w:rsidRPr="00A71D2E" w:rsidRDefault="0071428C" w:rsidP="0071428C">
            <w:pPr>
              <w:ind w:left="-15"/>
              <w:rPr>
                <w:rFonts w:eastAsia="宋体" w:cs="Times New Roman"/>
                <w:sz w:val="18"/>
                <w:szCs w:val="18"/>
              </w:rPr>
            </w:pPr>
            <w:r w:rsidRPr="00A71D2E">
              <w:rPr>
                <w:rFonts w:eastAsia="宋体" w:cs="Times New Roman" w:hint="eastAsia"/>
                <w:sz w:val="18"/>
                <w:szCs w:val="18"/>
              </w:rPr>
              <w:t>应付账款</w:t>
            </w:r>
          </w:p>
        </w:tc>
        <w:tc>
          <w:tcPr>
            <w:tcW w:w="1642" w:type="dxa"/>
            <w:tcMar>
              <w:top w:w="0" w:type="dxa"/>
              <w:left w:w="108" w:type="dxa"/>
              <w:bottom w:w="0" w:type="dxa"/>
              <w:right w:w="108" w:type="dxa"/>
            </w:tcMar>
            <w:vAlign w:val="center"/>
          </w:tcPr>
          <w:p w:rsidR="0071428C" w:rsidRPr="00A71D2E" w:rsidRDefault="00120045" w:rsidP="0071428C">
            <w:pPr>
              <w:ind w:left="-108"/>
              <w:jc w:val="right"/>
              <w:rPr>
                <w:rFonts w:eastAsia="宋体" w:cs="Times New Roman"/>
                <w:sz w:val="18"/>
                <w:szCs w:val="18"/>
              </w:rPr>
            </w:pPr>
            <w:r w:rsidRPr="00120045">
              <w:rPr>
                <w:rFonts w:eastAsia="宋体" w:cs="Times New Roman"/>
                <w:sz w:val="18"/>
                <w:szCs w:val="18"/>
              </w:rPr>
              <w:t>1,307,459,168.11</w:t>
            </w:r>
          </w:p>
        </w:tc>
        <w:tc>
          <w:tcPr>
            <w:tcW w:w="1642"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Pr>
                <w:rFonts w:eastAsia="宋体" w:cs="Times New Roman" w:hint="eastAsia"/>
                <w:sz w:val="18"/>
                <w:szCs w:val="18"/>
              </w:rPr>
              <w:t>-</w:t>
            </w:r>
            <w:r w:rsidR="00DD7949">
              <w:rPr>
                <w:rFonts w:eastAsia="宋体" w:cs="Times New Roman"/>
                <w:sz w:val="18"/>
                <w:szCs w:val="18"/>
              </w:rPr>
              <w:t>    </w:t>
            </w:r>
            <w:r>
              <w:rPr>
                <w:rFonts w:eastAsia="宋体" w:cs="Times New Roman"/>
                <w:sz w:val="18"/>
                <w:szCs w:val="18"/>
              </w:rPr>
              <w:t xml:space="preserve"> </w:t>
            </w:r>
          </w:p>
        </w:tc>
        <w:tc>
          <w:tcPr>
            <w:tcW w:w="1642"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Pr>
                <w:rFonts w:eastAsia="宋体" w:cs="Times New Roman" w:hint="eastAsia"/>
                <w:sz w:val="18"/>
                <w:szCs w:val="18"/>
              </w:rPr>
              <w:t>-</w:t>
            </w:r>
            <w:r w:rsidR="00DD7949">
              <w:rPr>
                <w:rFonts w:eastAsia="宋体" w:cs="Times New Roman"/>
                <w:sz w:val="18"/>
                <w:szCs w:val="18"/>
              </w:rPr>
              <w:t>    </w:t>
            </w:r>
          </w:p>
        </w:tc>
        <w:tc>
          <w:tcPr>
            <w:tcW w:w="1643" w:type="dxa"/>
            <w:tcMar>
              <w:top w:w="0" w:type="dxa"/>
              <w:left w:w="108" w:type="dxa"/>
              <w:bottom w:w="0" w:type="dxa"/>
              <w:right w:w="108" w:type="dxa"/>
            </w:tcMar>
            <w:vAlign w:val="center"/>
          </w:tcPr>
          <w:p w:rsidR="0071428C" w:rsidRPr="00A71D2E" w:rsidRDefault="00120045" w:rsidP="0071428C">
            <w:pPr>
              <w:ind w:left="-108"/>
              <w:jc w:val="right"/>
              <w:rPr>
                <w:rFonts w:eastAsia="宋体" w:cs="Times New Roman"/>
                <w:sz w:val="18"/>
                <w:szCs w:val="18"/>
              </w:rPr>
            </w:pPr>
            <w:r w:rsidRPr="00120045">
              <w:rPr>
                <w:rFonts w:eastAsia="宋体" w:cs="Times New Roman"/>
                <w:sz w:val="18"/>
                <w:szCs w:val="18"/>
              </w:rPr>
              <w:t>1,307,459,168.11</w:t>
            </w:r>
          </w:p>
        </w:tc>
      </w:tr>
      <w:tr w:rsidR="0071428C" w:rsidRPr="00A71D2E" w:rsidTr="0027505B">
        <w:trPr>
          <w:cantSplit/>
          <w:trHeight w:val="20"/>
        </w:trPr>
        <w:tc>
          <w:tcPr>
            <w:tcW w:w="2886" w:type="dxa"/>
            <w:shd w:val="clear" w:color="auto" w:fill="D9D9D9" w:themeFill="background1" w:themeFillShade="D9"/>
            <w:tcMar>
              <w:top w:w="0" w:type="dxa"/>
              <w:left w:w="108" w:type="dxa"/>
              <w:bottom w:w="0" w:type="dxa"/>
              <w:right w:w="108" w:type="dxa"/>
            </w:tcMar>
            <w:vAlign w:val="center"/>
          </w:tcPr>
          <w:p w:rsidR="0071428C" w:rsidRPr="00A71D2E" w:rsidRDefault="0071428C" w:rsidP="0071428C">
            <w:pPr>
              <w:ind w:left="-15"/>
              <w:rPr>
                <w:rFonts w:eastAsia="宋体" w:cs="Times New Roman"/>
                <w:sz w:val="18"/>
                <w:szCs w:val="18"/>
              </w:rPr>
            </w:pPr>
            <w:r w:rsidRPr="00A71D2E">
              <w:rPr>
                <w:rFonts w:eastAsia="宋体" w:cs="Times New Roman" w:hint="eastAsia"/>
                <w:sz w:val="18"/>
                <w:szCs w:val="18"/>
              </w:rPr>
              <w:t>其他应付款</w:t>
            </w:r>
          </w:p>
        </w:tc>
        <w:tc>
          <w:tcPr>
            <w:tcW w:w="1642"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sidRPr="0071428C">
              <w:rPr>
                <w:rFonts w:eastAsia="宋体" w:cs="Times New Roman"/>
                <w:sz w:val="18"/>
                <w:szCs w:val="18"/>
              </w:rPr>
              <w:t>148,863,312.52</w:t>
            </w:r>
          </w:p>
        </w:tc>
        <w:tc>
          <w:tcPr>
            <w:tcW w:w="1642"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Pr>
                <w:rFonts w:eastAsia="宋体" w:cs="Times New Roman" w:hint="eastAsia"/>
                <w:sz w:val="18"/>
                <w:szCs w:val="18"/>
              </w:rPr>
              <w:t>-</w:t>
            </w:r>
            <w:r w:rsidR="00DD7949">
              <w:rPr>
                <w:rFonts w:eastAsia="宋体" w:cs="Times New Roman"/>
                <w:sz w:val="18"/>
                <w:szCs w:val="18"/>
              </w:rPr>
              <w:t>    </w:t>
            </w:r>
            <w:r>
              <w:rPr>
                <w:rFonts w:eastAsia="宋体" w:cs="Times New Roman"/>
                <w:sz w:val="18"/>
                <w:szCs w:val="18"/>
              </w:rPr>
              <w:t xml:space="preserve"> </w:t>
            </w:r>
          </w:p>
        </w:tc>
        <w:tc>
          <w:tcPr>
            <w:tcW w:w="1642"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Pr>
                <w:rFonts w:eastAsia="宋体" w:cs="Times New Roman" w:hint="eastAsia"/>
                <w:sz w:val="18"/>
                <w:szCs w:val="18"/>
              </w:rPr>
              <w:t>-</w:t>
            </w:r>
            <w:r w:rsidR="00DD7949">
              <w:rPr>
                <w:rFonts w:eastAsia="宋体" w:cs="Times New Roman"/>
                <w:sz w:val="18"/>
                <w:szCs w:val="18"/>
              </w:rPr>
              <w:t>    </w:t>
            </w:r>
          </w:p>
        </w:tc>
        <w:tc>
          <w:tcPr>
            <w:tcW w:w="1643"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sidRPr="0071428C">
              <w:rPr>
                <w:rFonts w:eastAsia="宋体" w:cs="Times New Roman"/>
                <w:sz w:val="18"/>
                <w:szCs w:val="18"/>
              </w:rPr>
              <w:t>148,863,312.52</w:t>
            </w:r>
          </w:p>
        </w:tc>
      </w:tr>
      <w:tr w:rsidR="0071428C" w:rsidRPr="00A71D2E" w:rsidTr="0027505B">
        <w:trPr>
          <w:cantSplit/>
          <w:trHeight w:val="20"/>
        </w:trPr>
        <w:tc>
          <w:tcPr>
            <w:tcW w:w="2886" w:type="dxa"/>
            <w:shd w:val="clear" w:color="auto" w:fill="D9D9D9" w:themeFill="background1" w:themeFillShade="D9"/>
            <w:tcMar>
              <w:top w:w="0" w:type="dxa"/>
              <w:left w:w="108" w:type="dxa"/>
              <w:bottom w:w="0" w:type="dxa"/>
              <w:right w:w="108" w:type="dxa"/>
            </w:tcMar>
            <w:vAlign w:val="center"/>
          </w:tcPr>
          <w:p w:rsidR="0071428C" w:rsidRPr="00A71D2E" w:rsidRDefault="0071428C" w:rsidP="0071428C">
            <w:pPr>
              <w:ind w:left="-15" w:right="-105"/>
              <w:rPr>
                <w:rFonts w:eastAsia="宋体" w:cs="Times New Roman"/>
                <w:sz w:val="18"/>
                <w:szCs w:val="18"/>
              </w:rPr>
            </w:pPr>
            <w:r w:rsidRPr="00A71D2E">
              <w:rPr>
                <w:rFonts w:eastAsia="宋体" w:cs="Times New Roman" w:hint="eastAsia"/>
                <w:sz w:val="18"/>
                <w:szCs w:val="18"/>
              </w:rPr>
              <w:t>长期借款</w:t>
            </w:r>
            <w:r w:rsidR="005F14EE">
              <w:rPr>
                <w:rFonts w:eastAsia="宋体" w:cs="Times New Roman"/>
                <w:sz w:val="18"/>
                <w:szCs w:val="18"/>
              </w:rPr>
              <w:t>(</w:t>
            </w:r>
            <w:r w:rsidRPr="00A71D2E">
              <w:rPr>
                <w:rFonts w:eastAsia="宋体" w:cs="Times New Roman" w:hint="eastAsia"/>
                <w:sz w:val="18"/>
                <w:szCs w:val="18"/>
              </w:rPr>
              <w:t>含一年以内</w:t>
            </w:r>
            <w:r w:rsidR="005F14EE">
              <w:rPr>
                <w:rFonts w:eastAsia="宋体" w:cs="Times New Roman"/>
                <w:sz w:val="18"/>
                <w:szCs w:val="18"/>
              </w:rPr>
              <w:t>)</w:t>
            </w:r>
          </w:p>
        </w:tc>
        <w:tc>
          <w:tcPr>
            <w:tcW w:w="1642"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sidRPr="0071428C">
              <w:rPr>
                <w:rFonts w:eastAsia="宋体" w:cs="Times New Roman"/>
                <w:sz w:val="18"/>
                <w:szCs w:val="18"/>
              </w:rPr>
              <w:t>13,040,366.41</w:t>
            </w:r>
          </w:p>
        </w:tc>
        <w:tc>
          <w:tcPr>
            <w:tcW w:w="1642"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sidRPr="0071428C">
              <w:rPr>
                <w:rFonts w:eastAsia="宋体" w:cs="Times New Roman"/>
                <w:sz w:val="18"/>
                <w:szCs w:val="18"/>
              </w:rPr>
              <w:t>338,144,016.09</w:t>
            </w:r>
          </w:p>
        </w:tc>
        <w:tc>
          <w:tcPr>
            <w:tcW w:w="1642"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Pr>
                <w:rFonts w:eastAsia="宋体" w:cs="Times New Roman" w:hint="eastAsia"/>
                <w:sz w:val="18"/>
                <w:szCs w:val="18"/>
              </w:rPr>
              <w:t>-</w:t>
            </w:r>
            <w:r w:rsidR="00DD7949">
              <w:rPr>
                <w:rFonts w:eastAsia="宋体" w:cs="Times New Roman"/>
                <w:sz w:val="18"/>
                <w:szCs w:val="18"/>
              </w:rPr>
              <w:t>    </w:t>
            </w:r>
          </w:p>
        </w:tc>
        <w:tc>
          <w:tcPr>
            <w:tcW w:w="1643" w:type="dxa"/>
            <w:tcMar>
              <w:top w:w="0" w:type="dxa"/>
              <w:left w:w="108" w:type="dxa"/>
              <w:bottom w:w="0" w:type="dxa"/>
              <w:right w:w="108" w:type="dxa"/>
            </w:tcMar>
            <w:vAlign w:val="center"/>
          </w:tcPr>
          <w:p w:rsidR="0071428C" w:rsidRPr="00A71D2E" w:rsidRDefault="0071428C" w:rsidP="0071428C">
            <w:pPr>
              <w:ind w:left="-108"/>
              <w:jc w:val="right"/>
              <w:rPr>
                <w:rFonts w:eastAsia="宋体" w:cs="Times New Roman"/>
                <w:sz w:val="18"/>
                <w:szCs w:val="18"/>
              </w:rPr>
            </w:pPr>
            <w:r w:rsidRPr="0071428C">
              <w:rPr>
                <w:rFonts w:eastAsia="宋体" w:cs="Times New Roman"/>
                <w:sz w:val="18"/>
                <w:szCs w:val="18"/>
              </w:rPr>
              <w:t>351,184,382.50</w:t>
            </w:r>
          </w:p>
        </w:tc>
      </w:tr>
    </w:tbl>
    <w:p w:rsidR="00F433A9" w:rsidRPr="00A71D2E" w:rsidRDefault="00F433A9">
      <w:pPr>
        <w:adjustRightInd/>
        <w:snapToGrid/>
        <w:rPr>
          <w:rFonts w:eastAsia="宋体" w:cs="Times New Roman"/>
          <w:b/>
          <w:bCs/>
          <w:szCs w:val="24"/>
        </w:rPr>
      </w:pPr>
      <w:r w:rsidRPr="00F66363">
        <w:rPr>
          <w:rFonts w:eastAsia="宋体" w:cs="Times New Roman"/>
          <w:b/>
          <w:bCs/>
        </w:rPr>
        <w:br w:type="page"/>
      </w:r>
    </w:p>
    <w:p w:rsidR="00F34737" w:rsidRPr="00A71D2E" w:rsidRDefault="00F34737" w:rsidP="00F66363">
      <w:pPr>
        <w:pStyle w:val="1"/>
        <w:keepNext w:val="0"/>
        <w:keepLines w:val="0"/>
        <w:adjustRightInd w:val="0"/>
        <w:snapToGrid w:val="0"/>
        <w:ind w:left="720" w:hanging="720"/>
        <w:contextualSpacing w:val="0"/>
        <w:jc w:val="both"/>
        <w:rPr>
          <w:rFonts w:ascii="Times New Roman" w:hAnsi="Times New Roman" w:cs="Times New Roman"/>
        </w:rPr>
      </w:pPr>
      <w:r w:rsidRPr="00A71D2E">
        <w:rPr>
          <w:rFonts w:ascii="Times New Roman" w:hAnsi="Times New Roman" w:cs="Times New Roman" w:hint="eastAsia"/>
        </w:rPr>
        <w:t>公允价值的披露</w:t>
      </w:r>
    </w:p>
    <w:p w:rsidR="00F34737" w:rsidRPr="00A71D2E" w:rsidRDefault="00F34737">
      <w:pPr>
        <w:ind w:left="720"/>
        <w:jc w:val="both"/>
        <w:rPr>
          <w:rFonts w:eastAsia="宋体" w:cs="Times New Roman"/>
          <w:szCs w:val="21"/>
          <w:lang w:val="en-GB"/>
        </w:rPr>
      </w:pPr>
    </w:p>
    <w:p w:rsidR="00F34737" w:rsidRPr="00A71D2E" w:rsidRDefault="005E721B">
      <w:pPr>
        <w:pStyle w:val="2"/>
        <w:numPr>
          <w:ilvl w:val="0"/>
          <w:numId w:val="23"/>
        </w:numPr>
        <w:adjustRightInd w:val="0"/>
        <w:snapToGrid w:val="0"/>
        <w:ind w:left="1440" w:hanging="720"/>
        <w:contextualSpacing w:val="0"/>
        <w:jc w:val="both"/>
        <w:rPr>
          <w:rFonts w:ascii="Times New Roman" w:eastAsia="宋体" w:hAnsi="Times New Roman" w:cs="Times New Roman"/>
          <w:b w:val="0"/>
          <w:szCs w:val="21"/>
        </w:rPr>
      </w:pPr>
      <w:r w:rsidRPr="00A71D2E">
        <w:rPr>
          <w:rFonts w:ascii="Times New Roman" w:eastAsia="宋体" w:hAnsi="Times New Roman" w:cs="Times New Roman" w:hint="eastAsia"/>
          <w:szCs w:val="21"/>
        </w:rPr>
        <w:t>以公允价值计量的资产和负债的年末</w:t>
      </w:r>
      <w:r w:rsidR="00F34737" w:rsidRPr="00A71D2E">
        <w:rPr>
          <w:rFonts w:ascii="Times New Roman" w:eastAsia="宋体" w:hAnsi="Times New Roman" w:cs="Times New Roman" w:hint="eastAsia"/>
          <w:szCs w:val="21"/>
        </w:rPr>
        <w:t>公允价值</w:t>
      </w:r>
    </w:p>
    <w:p w:rsidR="00F34737" w:rsidRPr="00A71D2E" w:rsidRDefault="00F34737">
      <w:pPr>
        <w:ind w:left="5040"/>
        <w:jc w:val="right"/>
        <w:rPr>
          <w:rFonts w:eastAsia="宋体" w:cs="Times New Roman"/>
          <w:szCs w:val="21"/>
        </w:rPr>
      </w:pPr>
      <w:r w:rsidRPr="00A71D2E">
        <w:rPr>
          <w:rFonts w:eastAsia="宋体" w:cs="Times New Roman"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0"/>
        <w:gridCol w:w="1665"/>
        <w:gridCol w:w="1665"/>
        <w:gridCol w:w="1665"/>
        <w:gridCol w:w="1665"/>
      </w:tblGrid>
      <w:tr w:rsidR="003415F9" w:rsidRPr="00A71D2E" w:rsidTr="0027505B">
        <w:trPr>
          <w:trHeight w:val="20"/>
        </w:trPr>
        <w:tc>
          <w:tcPr>
            <w:tcW w:w="2790" w:type="dxa"/>
            <w:vMerge w:val="restart"/>
            <w:shd w:val="clear" w:color="auto" w:fill="D9D9D9"/>
            <w:vAlign w:val="center"/>
          </w:tcPr>
          <w:p w:rsidR="00F34737" w:rsidRPr="00A71D2E" w:rsidRDefault="00F34737">
            <w:pPr>
              <w:tabs>
                <w:tab w:val="num" w:pos="360"/>
              </w:tabs>
              <w:ind w:left="360" w:hanging="360"/>
              <w:jc w:val="center"/>
              <w:rPr>
                <w:rFonts w:eastAsia="宋体" w:cs="Times New Roman"/>
                <w:sz w:val="18"/>
                <w:szCs w:val="18"/>
              </w:rPr>
            </w:pPr>
          </w:p>
        </w:tc>
        <w:tc>
          <w:tcPr>
            <w:tcW w:w="6660" w:type="dxa"/>
            <w:gridSpan w:val="4"/>
            <w:shd w:val="clear" w:color="auto" w:fill="D9D9D9"/>
            <w:vAlign w:val="center"/>
            <w:hideMark/>
          </w:tcPr>
          <w:p w:rsidR="00F34737" w:rsidRPr="00A71D2E" w:rsidRDefault="00CA5976">
            <w:pPr>
              <w:ind w:left="-149"/>
              <w:jc w:val="center"/>
              <w:rPr>
                <w:rFonts w:eastAsia="宋体" w:cs="Times New Roman"/>
                <w:sz w:val="18"/>
                <w:szCs w:val="18"/>
              </w:rPr>
            </w:pPr>
            <w:r w:rsidRPr="00A71D2E">
              <w:rPr>
                <w:rFonts w:eastAsia="宋体" w:cs="Times New Roman" w:hint="eastAsia"/>
                <w:sz w:val="18"/>
                <w:szCs w:val="18"/>
              </w:rPr>
              <w:t>年末</w:t>
            </w:r>
            <w:r w:rsidR="00F34737" w:rsidRPr="00A71D2E">
              <w:rPr>
                <w:rFonts w:eastAsia="宋体" w:cs="Times New Roman" w:hint="eastAsia"/>
                <w:sz w:val="18"/>
                <w:szCs w:val="18"/>
              </w:rPr>
              <w:t>公允价值</w:t>
            </w:r>
          </w:p>
        </w:tc>
      </w:tr>
      <w:tr w:rsidR="00F34737" w:rsidRPr="00A71D2E" w:rsidTr="0027505B">
        <w:trPr>
          <w:trHeight w:val="20"/>
        </w:trPr>
        <w:tc>
          <w:tcPr>
            <w:tcW w:w="2790" w:type="dxa"/>
            <w:vMerge/>
            <w:shd w:val="clear" w:color="auto" w:fill="D9D9D9"/>
            <w:vAlign w:val="center"/>
            <w:hideMark/>
          </w:tcPr>
          <w:p w:rsidR="00F34737" w:rsidRPr="00A71D2E" w:rsidRDefault="00F34737">
            <w:pPr>
              <w:ind w:hanging="360"/>
              <w:rPr>
                <w:rFonts w:eastAsia="宋体" w:cs="Times New Roman"/>
                <w:sz w:val="18"/>
                <w:szCs w:val="18"/>
              </w:rPr>
            </w:pPr>
          </w:p>
        </w:tc>
        <w:tc>
          <w:tcPr>
            <w:tcW w:w="1665" w:type="dxa"/>
            <w:shd w:val="clear" w:color="auto" w:fill="D9D9D9"/>
            <w:vAlign w:val="center"/>
            <w:hideMark/>
          </w:tcPr>
          <w:p w:rsidR="00F34737" w:rsidRPr="00A71D2E" w:rsidRDefault="00F34737">
            <w:pPr>
              <w:tabs>
                <w:tab w:val="num" w:pos="360"/>
              </w:tabs>
              <w:ind w:left="360" w:hanging="360"/>
              <w:jc w:val="center"/>
              <w:rPr>
                <w:rFonts w:eastAsia="宋体" w:cs="Times New Roman"/>
                <w:sz w:val="18"/>
                <w:szCs w:val="18"/>
              </w:rPr>
            </w:pPr>
            <w:r w:rsidRPr="00A71D2E">
              <w:rPr>
                <w:rFonts w:eastAsia="宋体" w:cs="Times New Roman" w:hint="eastAsia"/>
                <w:sz w:val="18"/>
                <w:szCs w:val="18"/>
              </w:rPr>
              <w:t>第一层次</w:t>
            </w:r>
          </w:p>
          <w:p w:rsidR="00F34737" w:rsidRPr="00A71D2E" w:rsidRDefault="00F34737">
            <w:pPr>
              <w:tabs>
                <w:tab w:val="num" w:pos="360"/>
              </w:tabs>
              <w:ind w:left="360" w:hanging="360"/>
              <w:jc w:val="center"/>
              <w:rPr>
                <w:rFonts w:eastAsia="宋体" w:cs="Times New Roman"/>
                <w:sz w:val="18"/>
                <w:szCs w:val="18"/>
              </w:rPr>
            </w:pPr>
            <w:r w:rsidRPr="00A71D2E">
              <w:rPr>
                <w:rFonts w:eastAsia="宋体" w:cs="Times New Roman" w:hint="eastAsia"/>
                <w:sz w:val="18"/>
                <w:szCs w:val="18"/>
              </w:rPr>
              <w:t>公允价值计量</w:t>
            </w:r>
          </w:p>
        </w:tc>
        <w:tc>
          <w:tcPr>
            <w:tcW w:w="1665" w:type="dxa"/>
            <w:shd w:val="clear" w:color="auto" w:fill="D9D9D9"/>
            <w:vAlign w:val="center"/>
            <w:hideMark/>
          </w:tcPr>
          <w:p w:rsidR="00F34737" w:rsidRPr="00A71D2E" w:rsidRDefault="00F34737">
            <w:pPr>
              <w:ind w:left="-164" w:right="-45"/>
              <w:jc w:val="center"/>
              <w:rPr>
                <w:rFonts w:eastAsia="宋体" w:cs="Times New Roman"/>
                <w:sz w:val="18"/>
                <w:szCs w:val="18"/>
              </w:rPr>
            </w:pPr>
            <w:r w:rsidRPr="00A71D2E">
              <w:rPr>
                <w:rFonts w:eastAsia="宋体" w:cs="Times New Roman" w:hint="eastAsia"/>
                <w:sz w:val="18"/>
                <w:szCs w:val="18"/>
              </w:rPr>
              <w:t>第二层次</w:t>
            </w:r>
          </w:p>
          <w:p w:rsidR="00F34737" w:rsidRPr="00A71D2E" w:rsidRDefault="00F34737">
            <w:pPr>
              <w:ind w:left="-101" w:right="-45"/>
              <w:jc w:val="center"/>
              <w:rPr>
                <w:rFonts w:eastAsia="宋体" w:cs="Times New Roman"/>
                <w:sz w:val="18"/>
                <w:szCs w:val="18"/>
              </w:rPr>
            </w:pPr>
            <w:r w:rsidRPr="00A71D2E">
              <w:rPr>
                <w:rFonts w:eastAsia="宋体" w:cs="Times New Roman" w:hint="eastAsia"/>
                <w:sz w:val="18"/>
                <w:szCs w:val="18"/>
              </w:rPr>
              <w:t>公允价值计量</w:t>
            </w:r>
          </w:p>
        </w:tc>
        <w:tc>
          <w:tcPr>
            <w:tcW w:w="1665" w:type="dxa"/>
            <w:shd w:val="clear" w:color="auto" w:fill="D9D9D9"/>
            <w:vAlign w:val="center"/>
            <w:hideMark/>
          </w:tcPr>
          <w:p w:rsidR="00F34737" w:rsidRPr="00A71D2E" w:rsidRDefault="00F34737">
            <w:pPr>
              <w:ind w:left="-164" w:right="-45"/>
              <w:jc w:val="center"/>
              <w:rPr>
                <w:rFonts w:eastAsia="宋体" w:cs="Times New Roman"/>
                <w:sz w:val="18"/>
                <w:szCs w:val="18"/>
              </w:rPr>
            </w:pPr>
            <w:r w:rsidRPr="00A71D2E">
              <w:rPr>
                <w:rFonts w:eastAsia="宋体" w:cs="Times New Roman" w:hint="eastAsia"/>
                <w:sz w:val="18"/>
                <w:szCs w:val="18"/>
              </w:rPr>
              <w:t>第三层次</w:t>
            </w:r>
          </w:p>
          <w:p w:rsidR="00F34737" w:rsidRPr="00A71D2E" w:rsidRDefault="00F34737">
            <w:pPr>
              <w:ind w:left="-164" w:right="-45"/>
              <w:jc w:val="center"/>
              <w:rPr>
                <w:rFonts w:eastAsia="宋体" w:cs="Times New Roman"/>
                <w:sz w:val="18"/>
                <w:szCs w:val="18"/>
              </w:rPr>
            </w:pPr>
            <w:r w:rsidRPr="00A71D2E">
              <w:rPr>
                <w:rFonts w:eastAsia="宋体" w:cs="Times New Roman" w:hint="eastAsia"/>
                <w:sz w:val="18"/>
                <w:szCs w:val="18"/>
              </w:rPr>
              <w:t>公允价值计量</w:t>
            </w:r>
          </w:p>
        </w:tc>
        <w:tc>
          <w:tcPr>
            <w:tcW w:w="1665" w:type="dxa"/>
            <w:shd w:val="clear" w:color="auto" w:fill="D9D9D9"/>
            <w:vAlign w:val="center"/>
            <w:hideMark/>
          </w:tcPr>
          <w:p w:rsidR="00F34737" w:rsidRPr="00A71D2E" w:rsidRDefault="00F34737">
            <w:pPr>
              <w:ind w:left="-164" w:right="-45"/>
              <w:jc w:val="center"/>
              <w:rPr>
                <w:rFonts w:eastAsia="宋体" w:cs="Times New Roman"/>
                <w:sz w:val="18"/>
                <w:szCs w:val="18"/>
              </w:rPr>
            </w:pPr>
            <w:r w:rsidRPr="00A71D2E">
              <w:rPr>
                <w:rFonts w:eastAsia="宋体" w:cs="Times New Roman" w:hint="eastAsia"/>
                <w:sz w:val="18"/>
                <w:szCs w:val="18"/>
              </w:rPr>
              <w:t>合计</w:t>
            </w:r>
          </w:p>
        </w:tc>
      </w:tr>
      <w:tr w:rsidR="003415F9" w:rsidRPr="00A71D2E" w:rsidTr="0027505B">
        <w:trPr>
          <w:trHeight w:val="20"/>
        </w:trPr>
        <w:tc>
          <w:tcPr>
            <w:tcW w:w="2790" w:type="dxa"/>
            <w:shd w:val="clear" w:color="auto" w:fill="D9D9D9"/>
            <w:vAlign w:val="center"/>
            <w:hideMark/>
          </w:tcPr>
          <w:p w:rsidR="00F34737" w:rsidRPr="00A71D2E" w:rsidRDefault="00F34737">
            <w:pPr>
              <w:tabs>
                <w:tab w:val="num" w:pos="360"/>
              </w:tabs>
              <w:ind w:left="360" w:hanging="360"/>
              <w:rPr>
                <w:rFonts w:eastAsia="宋体" w:cs="Times New Roman"/>
                <w:sz w:val="18"/>
                <w:szCs w:val="18"/>
              </w:rPr>
            </w:pPr>
            <w:r w:rsidRPr="00A71D2E">
              <w:rPr>
                <w:rFonts w:eastAsia="宋体" w:cs="Times New Roman" w:hint="eastAsia"/>
                <w:sz w:val="18"/>
                <w:szCs w:val="18"/>
              </w:rPr>
              <w:t>持续的公允价值计量</w:t>
            </w:r>
          </w:p>
        </w:tc>
        <w:tc>
          <w:tcPr>
            <w:tcW w:w="1665" w:type="dxa"/>
            <w:vAlign w:val="center"/>
          </w:tcPr>
          <w:p w:rsidR="00F34737" w:rsidRPr="00A71D2E" w:rsidRDefault="00F34737">
            <w:pPr>
              <w:tabs>
                <w:tab w:val="num" w:pos="360"/>
              </w:tabs>
              <w:ind w:left="360" w:hanging="360"/>
              <w:jc w:val="right"/>
              <w:rPr>
                <w:rFonts w:eastAsia="宋体" w:cs="Times New Roman"/>
                <w:sz w:val="18"/>
                <w:szCs w:val="18"/>
              </w:rPr>
            </w:pPr>
          </w:p>
        </w:tc>
        <w:tc>
          <w:tcPr>
            <w:tcW w:w="1665" w:type="dxa"/>
            <w:vAlign w:val="center"/>
          </w:tcPr>
          <w:p w:rsidR="00F34737" w:rsidRPr="00A71D2E" w:rsidRDefault="00F34737">
            <w:pPr>
              <w:tabs>
                <w:tab w:val="num" w:pos="360"/>
              </w:tabs>
              <w:ind w:left="360" w:hanging="360"/>
              <w:jc w:val="right"/>
              <w:rPr>
                <w:rFonts w:eastAsia="宋体" w:cs="Times New Roman"/>
                <w:sz w:val="18"/>
                <w:szCs w:val="18"/>
              </w:rPr>
            </w:pPr>
          </w:p>
        </w:tc>
        <w:tc>
          <w:tcPr>
            <w:tcW w:w="1665" w:type="dxa"/>
            <w:vAlign w:val="center"/>
          </w:tcPr>
          <w:p w:rsidR="00F34737" w:rsidRPr="00A71D2E" w:rsidRDefault="00F34737">
            <w:pPr>
              <w:tabs>
                <w:tab w:val="num" w:pos="360"/>
              </w:tabs>
              <w:ind w:left="360" w:hanging="360"/>
              <w:jc w:val="right"/>
              <w:rPr>
                <w:rFonts w:eastAsia="宋体" w:cs="Times New Roman"/>
                <w:sz w:val="18"/>
                <w:szCs w:val="18"/>
              </w:rPr>
            </w:pPr>
          </w:p>
        </w:tc>
        <w:tc>
          <w:tcPr>
            <w:tcW w:w="1665" w:type="dxa"/>
            <w:vAlign w:val="center"/>
          </w:tcPr>
          <w:p w:rsidR="00F34737" w:rsidRPr="00A71D2E" w:rsidRDefault="00F34737">
            <w:pPr>
              <w:tabs>
                <w:tab w:val="num" w:pos="360"/>
              </w:tabs>
              <w:ind w:left="360" w:hanging="360"/>
              <w:jc w:val="right"/>
              <w:rPr>
                <w:rFonts w:eastAsia="宋体" w:cs="Times New Roman"/>
                <w:sz w:val="18"/>
                <w:szCs w:val="18"/>
              </w:rPr>
            </w:pPr>
          </w:p>
        </w:tc>
      </w:tr>
      <w:tr w:rsidR="00D71971" w:rsidRPr="00A71D2E" w:rsidTr="0027505B">
        <w:trPr>
          <w:trHeight w:val="20"/>
        </w:trPr>
        <w:tc>
          <w:tcPr>
            <w:tcW w:w="2790" w:type="dxa"/>
            <w:shd w:val="clear" w:color="auto" w:fill="D9D9D9"/>
            <w:vAlign w:val="center"/>
          </w:tcPr>
          <w:p w:rsidR="00D71971" w:rsidRPr="00A71D2E" w:rsidRDefault="005F14EE" w:rsidP="00D71971">
            <w:pPr>
              <w:tabs>
                <w:tab w:val="num" w:pos="360"/>
              </w:tabs>
              <w:ind w:left="360" w:hanging="360"/>
              <w:rPr>
                <w:rFonts w:eastAsia="宋体" w:cs="Times New Roman"/>
                <w:sz w:val="18"/>
                <w:szCs w:val="18"/>
              </w:rPr>
            </w:pPr>
            <w:r>
              <w:rPr>
                <w:rFonts w:eastAsia="宋体" w:cs="Times New Roman"/>
                <w:sz w:val="18"/>
                <w:szCs w:val="18"/>
              </w:rPr>
              <w:t>(</w:t>
            </w:r>
            <w:proofErr w:type="gramStart"/>
            <w:r w:rsidR="00D71971" w:rsidRPr="00A71D2E">
              <w:rPr>
                <w:rFonts w:eastAsia="宋体" w:cs="Times New Roman" w:hint="eastAsia"/>
                <w:sz w:val="18"/>
                <w:szCs w:val="18"/>
              </w:rPr>
              <w:t>一</w:t>
            </w:r>
            <w:proofErr w:type="gramEnd"/>
            <w:r>
              <w:rPr>
                <w:rFonts w:eastAsia="宋体" w:cs="Times New Roman"/>
                <w:sz w:val="18"/>
                <w:szCs w:val="18"/>
              </w:rPr>
              <w:t>)</w:t>
            </w:r>
            <w:r w:rsidR="00D71971" w:rsidRPr="00A71D2E">
              <w:rPr>
                <w:rFonts w:eastAsia="宋体" w:cs="Times New Roman"/>
                <w:sz w:val="18"/>
                <w:szCs w:val="18"/>
              </w:rPr>
              <w:t xml:space="preserve"> </w:t>
            </w:r>
            <w:r w:rsidR="00D71971" w:rsidRPr="00A71D2E">
              <w:rPr>
                <w:rFonts w:eastAsia="宋体" w:cs="Times New Roman" w:hint="eastAsia"/>
                <w:sz w:val="18"/>
                <w:szCs w:val="18"/>
              </w:rPr>
              <w:t>应收款项融资</w:t>
            </w:r>
          </w:p>
        </w:tc>
        <w:tc>
          <w:tcPr>
            <w:tcW w:w="1665" w:type="dxa"/>
            <w:vAlign w:val="center"/>
          </w:tcPr>
          <w:p w:rsidR="00D71971" w:rsidRPr="00A71D2E" w:rsidRDefault="00D71971" w:rsidP="00D71971">
            <w:pPr>
              <w:tabs>
                <w:tab w:val="num" w:pos="360"/>
              </w:tabs>
              <w:wordWrap w:val="0"/>
              <w:ind w:left="360" w:hanging="360"/>
              <w:jc w:val="right"/>
              <w:rPr>
                <w:rFonts w:eastAsia="宋体" w:cs="Times New Roman"/>
                <w:sz w:val="18"/>
                <w:szCs w:val="18"/>
              </w:rPr>
            </w:pPr>
            <w:r>
              <w:rPr>
                <w:rFonts w:eastAsia="宋体" w:cs="Times New Roman" w:hint="eastAsia"/>
                <w:sz w:val="18"/>
                <w:szCs w:val="18"/>
              </w:rPr>
              <w:t>-</w:t>
            </w:r>
            <w:r w:rsidR="00DD7949">
              <w:rPr>
                <w:rFonts w:eastAsia="宋体" w:cs="Times New Roman"/>
                <w:sz w:val="18"/>
                <w:szCs w:val="18"/>
              </w:rPr>
              <w:t>    </w:t>
            </w:r>
          </w:p>
        </w:tc>
        <w:tc>
          <w:tcPr>
            <w:tcW w:w="1665" w:type="dxa"/>
            <w:vAlign w:val="center"/>
          </w:tcPr>
          <w:p w:rsidR="00D71971" w:rsidRPr="00A71D2E" w:rsidRDefault="00D71971" w:rsidP="00D71971">
            <w:pPr>
              <w:tabs>
                <w:tab w:val="num" w:pos="360"/>
              </w:tabs>
              <w:ind w:left="360" w:hanging="360"/>
              <w:jc w:val="right"/>
              <w:rPr>
                <w:rFonts w:eastAsia="宋体" w:cs="Times New Roman"/>
                <w:sz w:val="18"/>
                <w:szCs w:val="18"/>
              </w:rPr>
            </w:pPr>
            <w:r w:rsidRPr="00D71971">
              <w:rPr>
                <w:rFonts w:eastAsia="宋体" w:cs="Times New Roman"/>
                <w:sz w:val="18"/>
                <w:szCs w:val="18"/>
              </w:rPr>
              <w:t>21,276,850.44</w:t>
            </w:r>
          </w:p>
        </w:tc>
        <w:tc>
          <w:tcPr>
            <w:tcW w:w="1665" w:type="dxa"/>
            <w:vAlign w:val="center"/>
          </w:tcPr>
          <w:p w:rsidR="00D71971" w:rsidRPr="00D71971" w:rsidRDefault="00DD7949" w:rsidP="00DD7949">
            <w:pPr>
              <w:pStyle w:val="aff1"/>
              <w:wordWrap w:val="0"/>
              <w:ind w:left="360" w:firstLineChars="0" w:firstLine="0"/>
              <w:jc w:val="right"/>
              <w:rPr>
                <w:sz w:val="18"/>
                <w:szCs w:val="18"/>
              </w:rPr>
            </w:pPr>
            <w:r>
              <w:rPr>
                <w:rFonts w:hint="eastAsia"/>
                <w:sz w:val="18"/>
                <w:szCs w:val="18"/>
              </w:rPr>
              <w:t>-</w:t>
            </w:r>
            <w:r>
              <w:rPr>
                <w:sz w:val="18"/>
                <w:szCs w:val="18"/>
              </w:rPr>
              <w:t>    </w:t>
            </w:r>
          </w:p>
        </w:tc>
        <w:tc>
          <w:tcPr>
            <w:tcW w:w="1665" w:type="dxa"/>
            <w:vAlign w:val="center"/>
          </w:tcPr>
          <w:p w:rsidR="00D71971" w:rsidRPr="00A71D2E" w:rsidRDefault="00D71971" w:rsidP="00D71971">
            <w:pPr>
              <w:tabs>
                <w:tab w:val="num" w:pos="360"/>
              </w:tabs>
              <w:ind w:left="360" w:hanging="360"/>
              <w:jc w:val="right"/>
              <w:rPr>
                <w:rFonts w:eastAsia="宋体" w:cs="Times New Roman"/>
                <w:sz w:val="18"/>
                <w:szCs w:val="18"/>
              </w:rPr>
            </w:pPr>
            <w:r w:rsidRPr="00D71971">
              <w:rPr>
                <w:rFonts w:eastAsia="宋体" w:cs="Times New Roman"/>
                <w:sz w:val="18"/>
                <w:szCs w:val="18"/>
              </w:rPr>
              <w:t>21,276,850.44</w:t>
            </w:r>
          </w:p>
        </w:tc>
      </w:tr>
      <w:tr w:rsidR="00D71971" w:rsidRPr="00A71D2E" w:rsidTr="0027505B">
        <w:trPr>
          <w:trHeight w:val="20"/>
        </w:trPr>
        <w:tc>
          <w:tcPr>
            <w:tcW w:w="2790" w:type="dxa"/>
            <w:shd w:val="clear" w:color="auto" w:fill="D9D9D9"/>
            <w:vAlign w:val="center"/>
          </w:tcPr>
          <w:p w:rsidR="00D71971" w:rsidRPr="00A71D2E" w:rsidRDefault="00D71971" w:rsidP="00D71971">
            <w:pPr>
              <w:tabs>
                <w:tab w:val="num" w:pos="360"/>
              </w:tabs>
              <w:ind w:left="360" w:hanging="360"/>
              <w:rPr>
                <w:rFonts w:eastAsia="宋体" w:cs="Times New Roman"/>
                <w:sz w:val="18"/>
                <w:szCs w:val="18"/>
              </w:rPr>
            </w:pPr>
            <w:r w:rsidRPr="00A71D2E">
              <w:rPr>
                <w:rFonts w:eastAsia="宋体" w:cs="Times New Roman" w:hint="eastAsia"/>
                <w:sz w:val="18"/>
                <w:szCs w:val="18"/>
              </w:rPr>
              <w:t>持续以公允价值计量的资产总额</w:t>
            </w:r>
          </w:p>
        </w:tc>
        <w:tc>
          <w:tcPr>
            <w:tcW w:w="1665" w:type="dxa"/>
            <w:vAlign w:val="center"/>
          </w:tcPr>
          <w:p w:rsidR="00D71971" w:rsidRPr="00D71971" w:rsidRDefault="00DD7949" w:rsidP="00DD7949">
            <w:pPr>
              <w:pStyle w:val="aff1"/>
              <w:wordWrap w:val="0"/>
              <w:ind w:left="360" w:firstLineChars="0" w:firstLine="0"/>
              <w:jc w:val="right"/>
              <w:rPr>
                <w:sz w:val="18"/>
                <w:szCs w:val="18"/>
              </w:rPr>
            </w:pPr>
            <w:r>
              <w:rPr>
                <w:rFonts w:hint="eastAsia"/>
                <w:sz w:val="18"/>
                <w:szCs w:val="18"/>
              </w:rPr>
              <w:t>-</w:t>
            </w:r>
            <w:r>
              <w:rPr>
                <w:sz w:val="18"/>
                <w:szCs w:val="18"/>
              </w:rPr>
              <w:t>    </w:t>
            </w:r>
          </w:p>
        </w:tc>
        <w:tc>
          <w:tcPr>
            <w:tcW w:w="1665" w:type="dxa"/>
            <w:vAlign w:val="center"/>
          </w:tcPr>
          <w:p w:rsidR="00D71971" w:rsidRPr="00A71D2E" w:rsidRDefault="00D71971" w:rsidP="00D71971">
            <w:pPr>
              <w:tabs>
                <w:tab w:val="num" w:pos="360"/>
              </w:tabs>
              <w:ind w:left="360" w:hanging="360"/>
              <w:jc w:val="right"/>
              <w:rPr>
                <w:rFonts w:eastAsia="宋体" w:cs="Times New Roman"/>
                <w:sz w:val="18"/>
                <w:szCs w:val="18"/>
              </w:rPr>
            </w:pPr>
            <w:r w:rsidRPr="00D71971">
              <w:rPr>
                <w:rFonts w:eastAsia="宋体" w:cs="Times New Roman"/>
                <w:sz w:val="18"/>
                <w:szCs w:val="18"/>
              </w:rPr>
              <w:t>21,276,850.44</w:t>
            </w:r>
          </w:p>
        </w:tc>
        <w:tc>
          <w:tcPr>
            <w:tcW w:w="1665" w:type="dxa"/>
            <w:vAlign w:val="center"/>
          </w:tcPr>
          <w:p w:rsidR="00D71971" w:rsidRPr="00D71971" w:rsidRDefault="00DD7949" w:rsidP="00DD7949">
            <w:pPr>
              <w:pStyle w:val="aff1"/>
              <w:wordWrap w:val="0"/>
              <w:ind w:left="360" w:firstLineChars="0" w:firstLine="0"/>
              <w:jc w:val="right"/>
              <w:rPr>
                <w:sz w:val="18"/>
                <w:szCs w:val="18"/>
              </w:rPr>
            </w:pPr>
            <w:r>
              <w:rPr>
                <w:rFonts w:hint="eastAsia"/>
                <w:sz w:val="18"/>
                <w:szCs w:val="18"/>
              </w:rPr>
              <w:t>-</w:t>
            </w:r>
            <w:r>
              <w:rPr>
                <w:sz w:val="18"/>
                <w:szCs w:val="18"/>
              </w:rPr>
              <w:t>    </w:t>
            </w:r>
          </w:p>
        </w:tc>
        <w:tc>
          <w:tcPr>
            <w:tcW w:w="1665" w:type="dxa"/>
            <w:vAlign w:val="center"/>
          </w:tcPr>
          <w:p w:rsidR="00D71971" w:rsidRPr="00A71D2E" w:rsidRDefault="00D71971" w:rsidP="00D71971">
            <w:pPr>
              <w:tabs>
                <w:tab w:val="num" w:pos="360"/>
              </w:tabs>
              <w:ind w:left="360" w:hanging="360"/>
              <w:jc w:val="right"/>
              <w:rPr>
                <w:rFonts w:eastAsia="宋体" w:cs="Times New Roman"/>
                <w:sz w:val="18"/>
                <w:szCs w:val="18"/>
              </w:rPr>
            </w:pPr>
            <w:r w:rsidRPr="00D71971">
              <w:rPr>
                <w:rFonts w:eastAsia="宋体" w:cs="Times New Roman"/>
                <w:sz w:val="18"/>
                <w:szCs w:val="18"/>
              </w:rPr>
              <w:t>21,276,850.44</w:t>
            </w:r>
          </w:p>
        </w:tc>
      </w:tr>
    </w:tbl>
    <w:p w:rsidR="00F34737" w:rsidRPr="00A71D2E" w:rsidRDefault="00F34737" w:rsidP="00F66363">
      <w:pPr>
        <w:ind w:left="720"/>
        <w:jc w:val="both"/>
        <w:rPr>
          <w:rFonts w:eastAsia="宋体" w:cs="Times New Roman"/>
          <w:szCs w:val="21"/>
        </w:rPr>
      </w:pPr>
    </w:p>
    <w:p w:rsidR="00F34737" w:rsidRPr="00A71D2E" w:rsidRDefault="00F34737">
      <w:pPr>
        <w:pStyle w:val="2"/>
        <w:numPr>
          <w:ilvl w:val="0"/>
          <w:numId w:val="23"/>
        </w:numPr>
        <w:adjustRightInd w:val="0"/>
        <w:snapToGrid w:val="0"/>
        <w:ind w:left="1440" w:hanging="720"/>
        <w:contextualSpacing w:val="0"/>
        <w:jc w:val="both"/>
        <w:rPr>
          <w:rFonts w:ascii="Times New Roman" w:eastAsia="宋体" w:hAnsi="Times New Roman" w:cs="Times New Roman"/>
          <w:bCs/>
          <w:szCs w:val="21"/>
        </w:rPr>
      </w:pPr>
      <w:r w:rsidRPr="00A71D2E">
        <w:rPr>
          <w:rFonts w:ascii="Times New Roman" w:eastAsia="宋体" w:hAnsi="Times New Roman" w:cs="Times New Roman" w:hint="eastAsia"/>
          <w:bCs/>
          <w:szCs w:val="21"/>
        </w:rPr>
        <w:t>持续第二层次公允价值计量项目，采用的估值技术和重要参数的信息</w:t>
      </w:r>
    </w:p>
    <w:p w:rsidR="00F34737" w:rsidRPr="00A71D2E" w:rsidRDefault="00F34737">
      <w:pPr>
        <w:ind w:left="720"/>
        <w:jc w:val="both"/>
        <w:rPr>
          <w:rFonts w:eastAsia="宋体" w:cs="Times New Roman"/>
          <w:szCs w:val="21"/>
          <w:lang w:val="en-GB"/>
        </w:rPr>
      </w:pPr>
    </w:p>
    <w:p w:rsidR="00F34737" w:rsidRPr="00A71D2E" w:rsidRDefault="00F34737">
      <w:pPr>
        <w:ind w:left="720"/>
        <w:jc w:val="both"/>
        <w:rPr>
          <w:rFonts w:eastAsia="宋体" w:cs="Times New Roman"/>
          <w:szCs w:val="21"/>
          <w:lang w:val="en-GB"/>
        </w:rPr>
      </w:pPr>
      <w:r w:rsidRPr="00A71D2E">
        <w:rPr>
          <w:rFonts w:eastAsia="宋体" w:cs="Times New Roman" w:hint="eastAsia"/>
          <w:szCs w:val="21"/>
          <w:lang w:val="en-GB"/>
        </w:rPr>
        <w:t>本集团持有的按第二层次公允价值计量的项目如下</w:t>
      </w:r>
      <w:r w:rsidR="005F14EE">
        <w:rPr>
          <w:rFonts w:eastAsia="宋体" w:cs="Times New Roman" w:hint="eastAsia"/>
          <w:szCs w:val="21"/>
          <w:lang w:val="en-GB"/>
        </w:rPr>
        <w:t>：</w:t>
      </w:r>
    </w:p>
    <w:p w:rsidR="00F34737" w:rsidRPr="00A71D2E" w:rsidRDefault="00F34737">
      <w:pPr>
        <w:ind w:left="5040"/>
        <w:jc w:val="right"/>
        <w:rPr>
          <w:rFonts w:eastAsia="宋体" w:cs="Times New Roman"/>
          <w:szCs w:val="21"/>
        </w:rPr>
      </w:pPr>
      <w:r w:rsidRPr="00A71D2E">
        <w:rPr>
          <w:rFonts w:eastAsia="宋体" w:cs="Times New Roman"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0"/>
        <w:gridCol w:w="1665"/>
        <w:gridCol w:w="1665"/>
        <w:gridCol w:w="3330"/>
      </w:tblGrid>
      <w:tr w:rsidR="004675E0" w:rsidRPr="00495F4B" w:rsidTr="0027505B">
        <w:trPr>
          <w:trHeight w:val="20"/>
        </w:trPr>
        <w:tc>
          <w:tcPr>
            <w:tcW w:w="2790" w:type="dxa"/>
            <w:shd w:val="clear" w:color="auto" w:fill="D9D9D9"/>
            <w:vAlign w:val="center"/>
          </w:tcPr>
          <w:p w:rsidR="004675E0" w:rsidRPr="0027505B" w:rsidRDefault="004675E0">
            <w:pPr>
              <w:jc w:val="center"/>
              <w:rPr>
                <w:rFonts w:eastAsia="宋体" w:cs="Times New Roman"/>
                <w:sz w:val="17"/>
                <w:szCs w:val="17"/>
              </w:rPr>
            </w:pPr>
          </w:p>
        </w:tc>
        <w:tc>
          <w:tcPr>
            <w:tcW w:w="1665" w:type="dxa"/>
            <w:shd w:val="clear" w:color="auto" w:fill="D9D9D9"/>
            <w:vAlign w:val="center"/>
          </w:tcPr>
          <w:p w:rsidR="004675E0" w:rsidRPr="0027505B" w:rsidRDefault="004675E0">
            <w:pPr>
              <w:jc w:val="center"/>
              <w:rPr>
                <w:rFonts w:eastAsia="宋体" w:cs="Times New Roman"/>
                <w:sz w:val="17"/>
                <w:szCs w:val="17"/>
              </w:rPr>
            </w:pPr>
            <w:r w:rsidRPr="0027505B">
              <w:rPr>
                <w:rFonts w:eastAsia="宋体" w:cs="Times New Roman"/>
                <w:sz w:val="17"/>
                <w:szCs w:val="17"/>
              </w:rPr>
              <w:t>202</w:t>
            </w:r>
            <w:r w:rsidR="00727705" w:rsidRPr="0027505B">
              <w:rPr>
                <w:rFonts w:eastAsia="宋体" w:cs="Times New Roman"/>
                <w:sz w:val="17"/>
                <w:szCs w:val="17"/>
              </w:rPr>
              <w:t>3</w:t>
            </w:r>
            <w:r w:rsidRPr="0027505B">
              <w:rPr>
                <w:rFonts w:eastAsia="宋体" w:cs="Times New Roman" w:hint="eastAsia"/>
                <w:sz w:val="17"/>
                <w:szCs w:val="17"/>
              </w:rPr>
              <w:t>年</w:t>
            </w:r>
            <w:r w:rsidRPr="0027505B">
              <w:rPr>
                <w:rFonts w:eastAsia="宋体" w:cs="Times New Roman"/>
                <w:sz w:val="17"/>
                <w:szCs w:val="17"/>
              </w:rPr>
              <w:t>12</w:t>
            </w:r>
            <w:r w:rsidRPr="0027505B">
              <w:rPr>
                <w:rFonts w:eastAsia="宋体" w:cs="Times New Roman" w:hint="eastAsia"/>
                <w:sz w:val="17"/>
                <w:szCs w:val="17"/>
              </w:rPr>
              <w:t>月</w:t>
            </w:r>
            <w:r w:rsidRPr="0027505B">
              <w:rPr>
                <w:rFonts w:eastAsia="宋体" w:cs="Times New Roman"/>
                <w:sz w:val="17"/>
                <w:szCs w:val="17"/>
              </w:rPr>
              <w:t>31</w:t>
            </w:r>
            <w:r w:rsidRPr="0027505B">
              <w:rPr>
                <w:rFonts w:eastAsia="宋体" w:cs="Times New Roman" w:hint="eastAsia"/>
                <w:sz w:val="17"/>
                <w:szCs w:val="17"/>
              </w:rPr>
              <w:t>日</w:t>
            </w:r>
          </w:p>
          <w:p w:rsidR="004675E0" w:rsidRPr="0027505B" w:rsidRDefault="004675E0">
            <w:pPr>
              <w:jc w:val="center"/>
              <w:rPr>
                <w:rFonts w:eastAsia="宋体" w:cs="Times New Roman"/>
                <w:sz w:val="17"/>
                <w:szCs w:val="17"/>
              </w:rPr>
            </w:pPr>
            <w:r w:rsidRPr="0027505B">
              <w:rPr>
                <w:rFonts w:eastAsia="宋体" w:cs="Times New Roman" w:hint="eastAsia"/>
                <w:sz w:val="17"/>
                <w:szCs w:val="17"/>
              </w:rPr>
              <w:t>的公允价值</w:t>
            </w:r>
          </w:p>
        </w:tc>
        <w:tc>
          <w:tcPr>
            <w:tcW w:w="1665" w:type="dxa"/>
            <w:shd w:val="clear" w:color="auto" w:fill="D9D9D9"/>
            <w:vAlign w:val="center"/>
            <w:hideMark/>
          </w:tcPr>
          <w:p w:rsidR="004675E0" w:rsidRPr="0027505B" w:rsidRDefault="004675E0">
            <w:pPr>
              <w:jc w:val="center"/>
              <w:rPr>
                <w:rFonts w:eastAsia="宋体" w:cs="Times New Roman"/>
                <w:sz w:val="17"/>
                <w:szCs w:val="17"/>
              </w:rPr>
            </w:pPr>
            <w:r w:rsidRPr="0027505B">
              <w:rPr>
                <w:rFonts w:eastAsia="宋体" w:cs="Times New Roman" w:hint="eastAsia"/>
                <w:sz w:val="17"/>
                <w:szCs w:val="17"/>
              </w:rPr>
              <w:t>估值技术</w:t>
            </w:r>
          </w:p>
        </w:tc>
        <w:tc>
          <w:tcPr>
            <w:tcW w:w="3330" w:type="dxa"/>
            <w:shd w:val="clear" w:color="auto" w:fill="D9D9D9"/>
            <w:vAlign w:val="center"/>
            <w:hideMark/>
          </w:tcPr>
          <w:p w:rsidR="004675E0" w:rsidRPr="0027505B" w:rsidRDefault="004675E0">
            <w:pPr>
              <w:jc w:val="center"/>
              <w:rPr>
                <w:rFonts w:eastAsia="宋体" w:cs="Times New Roman"/>
                <w:sz w:val="17"/>
                <w:szCs w:val="17"/>
              </w:rPr>
            </w:pPr>
            <w:r w:rsidRPr="0027505B">
              <w:rPr>
                <w:rFonts w:eastAsia="宋体" w:cs="Times New Roman" w:hint="eastAsia"/>
                <w:sz w:val="17"/>
                <w:szCs w:val="17"/>
              </w:rPr>
              <w:t>输入值</w:t>
            </w:r>
          </w:p>
        </w:tc>
      </w:tr>
      <w:tr w:rsidR="004675E0" w:rsidRPr="00495F4B" w:rsidTr="0027505B">
        <w:trPr>
          <w:trHeight w:val="20"/>
        </w:trPr>
        <w:tc>
          <w:tcPr>
            <w:tcW w:w="2790" w:type="dxa"/>
            <w:shd w:val="clear" w:color="auto" w:fill="D9D9D9"/>
            <w:vAlign w:val="center"/>
          </w:tcPr>
          <w:p w:rsidR="004675E0" w:rsidRPr="0027505B" w:rsidRDefault="004675E0">
            <w:pPr>
              <w:rPr>
                <w:rFonts w:eastAsia="宋体" w:cs="Times New Roman"/>
                <w:sz w:val="17"/>
                <w:szCs w:val="17"/>
              </w:rPr>
            </w:pPr>
            <w:r w:rsidRPr="0027505B">
              <w:rPr>
                <w:rFonts w:eastAsia="宋体" w:cs="Times New Roman" w:hint="eastAsia"/>
                <w:sz w:val="17"/>
                <w:szCs w:val="17"/>
              </w:rPr>
              <w:t>应收款项融资</w:t>
            </w:r>
          </w:p>
        </w:tc>
        <w:tc>
          <w:tcPr>
            <w:tcW w:w="1665" w:type="dxa"/>
            <w:vAlign w:val="center"/>
          </w:tcPr>
          <w:p w:rsidR="004675E0" w:rsidRPr="0027505B" w:rsidRDefault="00D71971">
            <w:pPr>
              <w:jc w:val="right"/>
              <w:rPr>
                <w:rFonts w:eastAsia="宋体" w:cs="Times New Roman"/>
                <w:color w:val="000000"/>
                <w:sz w:val="17"/>
                <w:szCs w:val="17"/>
              </w:rPr>
            </w:pPr>
            <w:r w:rsidRPr="0027505B">
              <w:rPr>
                <w:rFonts w:eastAsia="宋体" w:cs="Times New Roman"/>
                <w:color w:val="000000"/>
                <w:sz w:val="17"/>
                <w:szCs w:val="17"/>
              </w:rPr>
              <w:t>21,276,850.44</w:t>
            </w:r>
          </w:p>
        </w:tc>
        <w:tc>
          <w:tcPr>
            <w:tcW w:w="1665" w:type="dxa"/>
            <w:vAlign w:val="center"/>
          </w:tcPr>
          <w:p w:rsidR="004675E0" w:rsidRPr="0027505B" w:rsidRDefault="004675E0">
            <w:pPr>
              <w:jc w:val="center"/>
              <w:rPr>
                <w:rFonts w:eastAsia="宋体" w:cs="Times New Roman"/>
                <w:sz w:val="17"/>
                <w:szCs w:val="17"/>
              </w:rPr>
            </w:pPr>
            <w:r w:rsidRPr="0027505B">
              <w:rPr>
                <w:rFonts w:eastAsia="宋体" w:cs="Times New Roman" w:hint="eastAsia"/>
                <w:sz w:val="17"/>
                <w:szCs w:val="17"/>
              </w:rPr>
              <w:t>现金流量折现法</w:t>
            </w:r>
          </w:p>
        </w:tc>
        <w:tc>
          <w:tcPr>
            <w:tcW w:w="3330" w:type="dxa"/>
            <w:vAlign w:val="center"/>
          </w:tcPr>
          <w:p w:rsidR="004675E0" w:rsidRPr="0027505B" w:rsidRDefault="004675E0">
            <w:pPr>
              <w:jc w:val="center"/>
              <w:rPr>
                <w:rFonts w:eastAsia="宋体" w:cs="Times New Roman"/>
                <w:sz w:val="17"/>
                <w:szCs w:val="17"/>
              </w:rPr>
            </w:pPr>
            <w:r w:rsidRPr="0027505B">
              <w:rPr>
                <w:rFonts w:eastAsia="宋体" w:cs="Times New Roman" w:hint="eastAsia"/>
                <w:sz w:val="17"/>
                <w:szCs w:val="17"/>
              </w:rPr>
              <w:t>反映交易对手信用风险的折现率</w:t>
            </w:r>
          </w:p>
        </w:tc>
      </w:tr>
    </w:tbl>
    <w:p w:rsidR="00F34737" w:rsidRPr="00A71D2E" w:rsidRDefault="00F34737">
      <w:pPr>
        <w:ind w:left="720"/>
        <w:jc w:val="both"/>
        <w:rPr>
          <w:rFonts w:eastAsia="宋体" w:cs="Times New Roman"/>
          <w:szCs w:val="21"/>
          <w:lang w:val="en-GB"/>
        </w:rPr>
      </w:pPr>
    </w:p>
    <w:p w:rsidR="00F34737" w:rsidRPr="00A71D2E" w:rsidRDefault="00A1146B">
      <w:pPr>
        <w:pStyle w:val="2"/>
        <w:numPr>
          <w:ilvl w:val="0"/>
          <w:numId w:val="23"/>
        </w:numPr>
        <w:adjustRightInd w:val="0"/>
        <w:snapToGrid w:val="0"/>
        <w:ind w:left="1440" w:hanging="720"/>
        <w:contextualSpacing w:val="0"/>
        <w:jc w:val="both"/>
        <w:rPr>
          <w:rFonts w:ascii="Times New Roman" w:eastAsia="宋体" w:hAnsi="Times New Roman" w:cs="Times New Roman"/>
          <w:bCs/>
          <w:szCs w:val="21"/>
          <w:lang w:val="x-none"/>
        </w:rPr>
      </w:pPr>
      <w:r>
        <w:rPr>
          <w:rFonts w:ascii="Times New Roman" w:eastAsia="宋体" w:hAnsi="Times New Roman" w:cs="Times New Roman" w:hint="eastAsia"/>
          <w:bCs/>
          <w:szCs w:val="21"/>
          <w:lang w:val="x-none"/>
        </w:rPr>
        <w:t>未</w:t>
      </w:r>
      <w:r w:rsidR="00F34737" w:rsidRPr="00A71D2E">
        <w:rPr>
          <w:rFonts w:ascii="Times New Roman" w:eastAsia="宋体" w:hAnsi="Times New Roman" w:cs="Times New Roman" w:hint="eastAsia"/>
          <w:bCs/>
          <w:szCs w:val="21"/>
          <w:lang w:val="x-none"/>
        </w:rPr>
        <w:t>以公允价值计量的金融资产和负债的公允价值情况</w:t>
      </w:r>
    </w:p>
    <w:p w:rsidR="00F34737" w:rsidRPr="00A71D2E" w:rsidRDefault="00F34737">
      <w:pPr>
        <w:ind w:left="720"/>
        <w:jc w:val="both"/>
        <w:rPr>
          <w:rFonts w:eastAsia="宋体" w:cs="Times New Roman"/>
          <w:szCs w:val="21"/>
          <w:lang w:val="en-GB"/>
        </w:rPr>
      </w:pPr>
    </w:p>
    <w:p w:rsidR="00F34737" w:rsidRPr="00A71D2E" w:rsidRDefault="00F34737">
      <w:pPr>
        <w:ind w:left="720"/>
        <w:jc w:val="both"/>
        <w:rPr>
          <w:rFonts w:eastAsia="宋体" w:cs="Times New Roman"/>
          <w:szCs w:val="21"/>
          <w:lang w:val="en-GB"/>
        </w:rPr>
      </w:pPr>
      <w:r w:rsidRPr="00A71D2E">
        <w:rPr>
          <w:rFonts w:eastAsia="宋体" w:cs="Times New Roman" w:hint="eastAsia"/>
          <w:szCs w:val="21"/>
          <w:lang w:val="en-GB"/>
        </w:rPr>
        <w:t>本集团以摊</w:t>
      </w:r>
      <w:proofErr w:type="gramStart"/>
      <w:r w:rsidRPr="00A71D2E">
        <w:rPr>
          <w:rFonts w:eastAsia="宋体" w:cs="Times New Roman" w:hint="eastAsia"/>
          <w:szCs w:val="21"/>
          <w:lang w:val="en-GB"/>
        </w:rPr>
        <w:t>余成本</w:t>
      </w:r>
      <w:proofErr w:type="gramEnd"/>
      <w:r w:rsidRPr="00A71D2E">
        <w:rPr>
          <w:rFonts w:eastAsia="宋体" w:cs="Times New Roman" w:hint="eastAsia"/>
          <w:szCs w:val="21"/>
          <w:lang w:val="en-GB"/>
        </w:rPr>
        <w:t>计量的金融资产及金融负债主要包括</w:t>
      </w:r>
      <w:r w:rsidR="005F14EE">
        <w:rPr>
          <w:rFonts w:eastAsia="宋体" w:cs="Times New Roman" w:hint="eastAsia"/>
          <w:szCs w:val="21"/>
          <w:lang w:val="en-GB"/>
        </w:rPr>
        <w:t>：</w:t>
      </w:r>
      <w:r w:rsidRPr="00A71D2E">
        <w:rPr>
          <w:rFonts w:eastAsia="宋体" w:cs="Times New Roman" w:hint="eastAsia"/>
          <w:szCs w:val="21"/>
          <w:lang w:val="en-GB"/>
        </w:rPr>
        <w:t>货币资金、应收票据、应收账款、其他应收款、一年内到期的非流动资产、长期应收款、短期借款、应付票据、</w:t>
      </w:r>
      <w:r w:rsidR="00B975CB" w:rsidRPr="00A71D2E">
        <w:rPr>
          <w:rFonts w:eastAsia="宋体" w:cs="Times New Roman" w:hint="eastAsia"/>
          <w:szCs w:val="21"/>
          <w:lang w:val="en-GB"/>
        </w:rPr>
        <w:t>应付账款、其他应付款、一年内到期的非流动负债、长期借款及租赁负债</w:t>
      </w:r>
      <w:r w:rsidRPr="00A71D2E">
        <w:rPr>
          <w:rFonts w:eastAsia="宋体" w:cs="Times New Roman" w:hint="eastAsia"/>
          <w:szCs w:val="21"/>
          <w:lang w:val="en-GB"/>
        </w:rPr>
        <w:t>等。</w:t>
      </w:r>
    </w:p>
    <w:p w:rsidR="00F34737" w:rsidRPr="00A71D2E" w:rsidRDefault="00F34737">
      <w:pPr>
        <w:ind w:left="720"/>
        <w:jc w:val="both"/>
        <w:rPr>
          <w:rFonts w:eastAsia="宋体" w:cs="Times New Roman"/>
          <w:szCs w:val="21"/>
          <w:lang w:val="en-GB"/>
        </w:rPr>
      </w:pPr>
    </w:p>
    <w:p w:rsidR="00F34737" w:rsidRPr="00A71D2E" w:rsidRDefault="00F34737">
      <w:pPr>
        <w:ind w:left="720"/>
        <w:jc w:val="both"/>
        <w:rPr>
          <w:rFonts w:eastAsia="宋体" w:cs="Times New Roman"/>
          <w:szCs w:val="21"/>
          <w:lang w:val="en-GB"/>
        </w:rPr>
      </w:pPr>
      <w:r w:rsidRPr="00A71D2E">
        <w:rPr>
          <w:rFonts w:eastAsia="宋体" w:cs="Times New Roman" w:hint="eastAsia"/>
          <w:szCs w:val="21"/>
          <w:lang w:val="en-GB"/>
        </w:rPr>
        <w:t>本集团管理层认为，财务报表中</w:t>
      </w:r>
      <w:proofErr w:type="gramStart"/>
      <w:r w:rsidRPr="00A71D2E">
        <w:rPr>
          <w:rFonts w:eastAsia="宋体" w:cs="Times New Roman" w:hint="eastAsia"/>
          <w:szCs w:val="21"/>
          <w:lang w:val="en-GB"/>
        </w:rPr>
        <w:t>按摊余成本</w:t>
      </w:r>
      <w:proofErr w:type="gramEnd"/>
      <w:r w:rsidRPr="00A71D2E">
        <w:rPr>
          <w:rFonts w:eastAsia="宋体" w:cs="Times New Roman" w:hint="eastAsia"/>
          <w:szCs w:val="21"/>
          <w:lang w:val="en-GB"/>
        </w:rPr>
        <w:t>计量的金融资产及金融负债，其账面价值接近该等资产及负债的公允价值。</w:t>
      </w:r>
    </w:p>
    <w:p w:rsidR="00272B9C" w:rsidRPr="00A71D2E" w:rsidRDefault="00272B9C">
      <w:pPr>
        <w:ind w:left="720"/>
        <w:jc w:val="both"/>
        <w:rPr>
          <w:rFonts w:eastAsia="宋体" w:cs="Times New Roman"/>
          <w:szCs w:val="21"/>
          <w:lang w:val="en-GB"/>
        </w:rPr>
      </w:pPr>
    </w:p>
    <w:p w:rsidR="00FB5DEA" w:rsidRPr="00A71D2E" w:rsidRDefault="00FB5DEA" w:rsidP="00F66363">
      <w:pPr>
        <w:ind w:left="720"/>
        <w:jc w:val="both"/>
        <w:rPr>
          <w:rFonts w:eastAsia="宋体" w:cs="Times New Roman"/>
          <w:szCs w:val="21"/>
          <w:lang w:val="en-GB"/>
        </w:rPr>
      </w:pPr>
    </w:p>
    <w:p w:rsidR="00F34737" w:rsidRPr="00A71D2E" w:rsidRDefault="00F34737" w:rsidP="00F66363">
      <w:pPr>
        <w:pStyle w:val="1"/>
        <w:keepNext w:val="0"/>
        <w:keepLines w:val="0"/>
        <w:adjustRightInd w:val="0"/>
        <w:snapToGrid w:val="0"/>
        <w:ind w:left="720" w:hanging="720"/>
        <w:contextualSpacing w:val="0"/>
        <w:jc w:val="both"/>
        <w:rPr>
          <w:rFonts w:ascii="Times New Roman" w:hAnsi="Times New Roman" w:cs="Times New Roman"/>
        </w:rPr>
      </w:pPr>
      <w:r w:rsidRPr="00A71D2E">
        <w:rPr>
          <w:rFonts w:ascii="Times New Roman" w:hAnsi="Times New Roman" w:cs="Times New Roman" w:hint="eastAsia"/>
        </w:rPr>
        <w:t>关联方及关联方交易</w:t>
      </w:r>
    </w:p>
    <w:p w:rsidR="00F34737" w:rsidRPr="00A71D2E" w:rsidRDefault="00F34737">
      <w:pPr>
        <w:ind w:left="720"/>
        <w:jc w:val="both"/>
        <w:rPr>
          <w:rFonts w:eastAsia="宋体" w:cs="Times New Roman"/>
          <w:szCs w:val="21"/>
          <w:lang w:val="en-GB"/>
        </w:rPr>
      </w:pPr>
    </w:p>
    <w:p w:rsidR="00F34737" w:rsidRPr="00A71D2E" w:rsidRDefault="00A1146B">
      <w:pPr>
        <w:pStyle w:val="2"/>
        <w:numPr>
          <w:ilvl w:val="2"/>
          <w:numId w:val="1"/>
        </w:numPr>
        <w:adjustRightInd w:val="0"/>
        <w:snapToGrid w:val="0"/>
        <w:ind w:left="1440" w:hanging="720"/>
        <w:contextualSpacing w:val="0"/>
        <w:rPr>
          <w:rFonts w:ascii="Times New Roman" w:eastAsia="宋体" w:hAnsi="Times New Roman" w:cs="Times New Roman"/>
          <w:bCs/>
          <w:szCs w:val="21"/>
          <w:lang w:val="x-none" w:eastAsia="x-none"/>
        </w:rPr>
      </w:pPr>
      <w:r>
        <w:rPr>
          <w:rFonts w:ascii="Times New Roman" w:eastAsia="宋体" w:hAnsi="Times New Roman" w:cs="Times New Roman" w:hint="eastAsia"/>
          <w:bCs/>
          <w:szCs w:val="21"/>
          <w:lang w:val="x-none"/>
        </w:rPr>
        <w:t>本公司的母公司情况</w:t>
      </w:r>
    </w:p>
    <w:p w:rsidR="00F34737" w:rsidRPr="00A71D2E" w:rsidRDefault="00F34737">
      <w:pPr>
        <w:ind w:left="720"/>
        <w:jc w:val="both"/>
        <w:rPr>
          <w:rFonts w:eastAsia="宋体" w:cs="Times New Roman"/>
          <w:szCs w:val="21"/>
          <w:lang w:val="en-GB"/>
        </w:rPr>
      </w:pPr>
    </w:p>
    <w:tbl>
      <w:tblPr>
        <w:tblW w:w="4646"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1"/>
        <w:gridCol w:w="852"/>
        <w:gridCol w:w="1985"/>
        <w:gridCol w:w="1562"/>
        <w:gridCol w:w="1679"/>
        <w:gridCol w:w="1679"/>
      </w:tblGrid>
      <w:tr w:rsidR="00F34737" w:rsidRPr="00A71D2E" w:rsidTr="0027505B">
        <w:trPr>
          <w:trHeight w:val="20"/>
        </w:trPr>
        <w:tc>
          <w:tcPr>
            <w:tcW w:w="1692" w:type="dxa"/>
            <w:shd w:val="clear" w:color="auto" w:fill="D9D9D9" w:themeFill="background1" w:themeFillShade="D9"/>
            <w:tcMar>
              <w:top w:w="0" w:type="dxa"/>
              <w:left w:w="108" w:type="dxa"/>
              <w:bottom w:w="0" w:type="dxa"/>
              <w:right w:w="108" w:type="dxa"/>
            </w:tcMar>
            <w:vAlign w:val="center"/>
            <w:hideMark/>
          </w:tcPr>
          <w:p w:rsidR="00F34737" w:rsidRPr="00A71D2E" w:rsidRDefault="00F34737">
            <w:pPr>
              <w:jc w:val="center"/>
              <w:rPr>
                <w:rFonts w:eastAsia="宋体" w:cs="Times New Roman"/>
                <w:sz w:val="18"/>
                <w:szCs w:val="18"/>
              </w:rPr>
            </w:pPr>
            <w:r w:rsidRPr="00A71D2E">
              <w:rPr>
                <w:rFonts w:eastAsia="宋体" w:cs="Times New Roman" w:hint="eastAsia"/>
                <w:sz w:val="18"/>
                <w:szCs w:val="18"/>
              </w:rPr>
              <w:t>母公司名称</w:t>
            </w:r>
          </w:p>
        </w:tc>
        <w:tc>
          <w:tcPr>
            <w:tcW w:w="852" w:type="dxa"/>
            <w:shd w:val="clear" w:color="auto" w:fill="D9D9D9" w:themeFill="background1" w:themeFillShade="D9"/>
            <w:tcMar>
              <w:top w:w="0" w:type="dxa"/>
              <w:left w:w="108" w:type="dxa"/>
              <w:bottom w:w="0" w:type="dxa"/>
              <w:right w:w="108" w:type="dxa"/>
            </w:tcMar>
            <w:vAlign w:val="center"/>
            <w:hideMark/>
          </w:tcPr>
          <w:p w:rsidR="00F34737" w:rsidRPr="00A71D2E" w:rsidRDefault="00F34737">
            <w:pPr>
              <w:jc w:val="center"/>
              <w:rPr>
                <w:rFonts w:eastAsia="宋体" w:cs="Times New Roman"/>
                <w:sz w:val="18"/>
                <w:szCs w:val="18"/>
              </w:rPr>
            </w:pPr>
            <w:r w:rsidRPr="00A71D2E">
              <w:rPr>
                <w:rFonts w:eastAsia="宋体" w:cs="Times New Roman" w:hint="eastAsia"/>
                <w:sz w:val="18"/>
                <w:szCs w:val="18"/>
              </w:rPr>
              <w:t>注册地</w:t>
            </w:r>
          </w:p>
        </w:tc>
        <w:tc>
          <w:tcPr>
            <w:tcW w:w="1985" w:type="dxa"/>
            <w:shd w:val="clear" w:color="auto" w:fill="D9D9D9" w:themeFill="background1" w:themeFillShade="D9"/>
            <w:tcMar>
              <w:top w:w="0" w:type="dxa"/>
              <w:left w:w="108" w:type="dxa"/>
              <w:bottom w:w="0" w:type="dxa"/>
              <w:right w:w="108" w:type="dxa"/>
            </w:tcMar>
            <w:vAlign w:val="center"/>
            <w:hideMark/>
          </w:tcPr>
          <w:p w:rsidR="00F34737" w:rsidRPr="00A71D2E" w:rsidRDefault="00F34737">
            <w:pPr>
              <w:jc w:val="center"/>
              <w:rPr>
                <w:rFonts w:eastAsia="宋体" w:cs="Times New Roman"/>
                <w:sz w:val="18"/>
                <w:szCs w:val="18"/>
              </w:rPr>
            </w:pPr>
            <w:r w:rsidRPr="00A71D2E">
              <w:rPr>
                <w:rFonts w:eastAsia="宋体" w:cs="Times New Roman" w:hint="eastAsia"/>
                <w:sz w:val="18"/>
                <w:szCs w:val="18"/>
              </w:rPr>
              <w:t>业务性质</w:t>
            </w:r>
          </w:p>
        </w:tc>
        <w:tc>
          <w:tcPr>
            <w:tcW w:w="1562" w:type="dxa"/>
            <w:shd w:val="clear" w:color="auto" w:fill="D9D9D9" w:themeFill="background1" w:themeFillShade="D9"/>
            <w:tcMar>
              <w:top w:w="0" w:type="dxa"/>
              <w:left w:w="108" w:type="dxa"/>
              <w:bottom w:w="0" w:type="dxa"/>
              <w:right w:w="108" w:type="dxa"/>
            </w:tcMar>
            <w:vAlign w:val="center"/>
            <w:hideMark/>
          </w:tcPr>
          <w:p w:rsidR="00F34737" w:rsidRPr="00A71D2E" w:rsidRDefault="00F34737">
            <w:pPr>
              <w:jc w:val="center"/>
              <w:rPr>
                <w:rFonts w:eastAsia="宋体" w:cs="Times New Roman"/>
                <w:sz w:val="18"/>
                <w:szCs w:val="18"/>
              </w:rPr>
            </w:pPr>
            <w:r w:rsidRPr="00A71D2E">
              <w:rPr>
                <w:rFonts w:eastAsia="宋体" w:cs="Times New Roman" w:hint="eastAsia"/>
                <w:sz w:val="18"/>
                <w:szCs w:val="18"/>
              </w:rPr>
              <w:t>注册资本</w:t>
            </w:r>
          </w:p>
        </w:tc>
        <w:tc>
          <w:tcPr>
            <w:tcW w:w="1679" w:type="dxa"/>
            <w:shd w:val="clear" w:color="auto" w:fill="D9D9D9" w:themeFill="background1" w:themeFillShade="D9"/>
            <w:tcMar>
              <w:top w:w="0" w:type="dxa"/>
              <w:left w:w="108" w:type="dxa"/>
              <w:bottom w:w="0" w:type="dxa"/>
              <w:right w:w="108" w:type="dxa"/>
            </w:tcMar>
            <w:vAlign w:val="center"/>
            <w:hideMark/>
          </w:tcPr>
          <w:p w:rsidR="006A6CDA" w:rsidRPr="00A71D2E" w:rsidRDefault="00F34737">
            <w:pPr>
              <w:jc w:val="center"/>
              <w:rPr>
                <w:rFonts w:eastAsia="宋体" w:cs="Times New Roman"/>
                <w:sz w:val="18"/>
                <w:szCs w:val="18"/>
              </w:rPr>
            </w:pPr>
            <w:r w:rsidRPr="00A71D2E">
              <w:rPr>
                <w:rFonts w:eastAsia="宋体" w:cs="Times New Roman" w:hint="eastAsia"/>
                <w:sz w:val="18"/>
                <w:szCs w:val="18"/>
              </w:rPr>
              <w:t>母公司对本公司</w:t>
            </w:r>
          </w:p>
          <w:p w:rsidR="00F34737" w:rsidRPr="00A71D2E" w:rsidRDefault="00F34737">
            <w:pPr>
              <w:jc w:val="center"/>
              <w:rPr>
                <w:rFonts w:eastAsia="宋体" w:cs="Times New Roman"/>
                <w:sz w:val="18"/>
                <w:szCs w:val="18"/>
              </w:rPr>
            </w:pPr>
            <w:r w:rsidRPr="00A71D2E">
              <w:rPr>
                <w:rFonts w:eastAsia="宋体" w:cs="Times New Roman" w:hint="eastAsia"/>
                <w:sz w:val="18"/>
                <w:szCs w:val="18"/>
              </w:rPr>
              <w:t>的持股比例</w:t>
            </w:r>
            <w:r w:rsidR="005F14EE">
              <w:rPr>
                <w:rFonts w:eastAsia="宋体" w:cs="Times New Roman"/>
                <w:sz w:val="18"/>
                <w:szCs w:val="18"/>
              </w:rPr>
              <w:t>(</w:t>
            </w:r>
            <w:r w:rsidRPr="00A71D2E">
              <w:rPr>
                <w:rFonts w:eastAsia="宋体" w:cs="Times New Roman"/>
                <w:sz w:val="18"/>
                <w:szCs w:val="18"/>
              </w:rPr>
              <w:t>%</w:t>
            </w:r>
            <w:r w:rsidR="005F14EE">
              <w:rPr>
                <w:rFonts w:eastAsia="宋体" w:cs="Times New Roman"/>
                <w:sz w:val="18"/>
                <w:szCs w:val="18"/>
              </w:rPr>
              <w:t>)</w:t>
            </w:r>
          </w:p>
        </w:tc>
        <w:tc>
          <w:tcPr>
            <w:tcW w:w="1679" w:type="dxa"/>
            <w:shd w:val="clear" w:color="auto" w:fill="D9D9D9" w:themeFill="background1" w:themeFillShade="D9"/>
            <w:tcMar>
              <w:top w:w="0" w:type="dxa"/>
              <w:left w:w="108" w:type="dxa"/>
              <w:bottom w:w="0" w:type="dxa"/>
              <w:right w:w="108" w:type="dxa"/>
            </w:tcMar>
            <w:vAlign w:val="center"/>
            <w:hideMark/>
          </w:tcPr>
          <w:p w:rsidR="006A6CDA" w:rsidRPr="00A71D2E" w:rsidRDefault="00F34737">
            <w:pPr>
              <w:jc w:val="center"/>
              <w:rPr>
                <w:rFonts w:eastAsia="宋体" w:cs="Times New Roman"/>
                <w:sz w:val="18"/>
                <w:szCs w:val="18"/>
              </w:rPr>
            </w:pPr>
            <w:r w:rsidRPr="00A71D2E">
              <w:rPr>
                <w:rFonts w:eastAsia="宋体" w:cs="Times New Roman" w:hint="eastAsia"/>
                <w:sz w:val="18"/>
                <w:szCs w:val="18"/>
              </w:rPr>
              <w:t>母公司对本公司</w:t>
            </w:r>
          </w:p>
          <w:p w:rsidR="00F34737" w:rsidRPr="00A71D2E" w:rsidRDefault="00F34737">
            <w:pPr>
              <w:jc w:val="center"/>
              <w:rPr>
                <w:rFonts w:eastAsia="宋体" w:cs="Times New Roman"/>
                <w:sz w:val="18"/>
                <w:szCs w:val="18"/>
              </w:rPr>
            </w:pPr>
            <w:r w:rsidRPr="00A71D2E">
              <w:rPr>
                <w:rFonts w:eastAsia="宋体" w:cs="Times New Roman" w:hint="eastAsia"/>
                <w:sz w:val="18"/>
                <w:szCs w:val="18"/>
              </w:rPr>
              <w:t>的表决权比例</w:t>
            </w:r>
            <w:r w:rsidR="005F14EE">
              <w:rPr>
                <w:rFonts w:eastAsia="宋体" w:cs="Times New Roman"/>
                <w:sz w:val="18"/>
                <w:szCs w:val="18"/>
              </w:rPr>
              <w:t>(</w:t>
            </w:r>
            <w:r w:rsidRPr="00A71D2E">
              <w:rPr>
                <w:rFonts w:eastAsia="宋体" w:cs="Times New Roman"/>
                <w:sz w:val="18"/>
                <w:szCs w:val="18"/>
              </w:rPr>
              <w:t>%</w:t>
            </w:r>
            <w:r w:rsidR="005F14EE">
              <w:rPr>
                <w:rFonts w:eastAsia="宋体" w:cs="Times New Roman"/>
                <w:sz w:val="18"/>
                <w:szCs w:val="18"/>
              </w:rPr>
              <w:t>)</w:t>
            </w:r>
          </w:p>
        </w:tc>
      </w:tr>
      <w:tr w:rsidR="00F34737" w:rsidRPr="00A71D2E" w:rsidTr="0027505B">
        <w:trPr>
          <w:trHeight w:val="20"/>
        </w:trPr>
        <w:tc>
          <w:tcPr>
            <w:tcW w:w="1692" w:type="dxa"/>
            <w:shd w:val="clear" w:color="auto" w:fill="auto"/>
            <w:tcMar>
              <w:top w:w="0" w:type="dxa"/>
              <w:left w:w="108" w:type="dxa"/>
              <w:bottom w:w="0" w:type="dxa"/>
              <w:right w:w="108" w:type="dxa"/>
            </w:tcMar>
            <w:vAlign w:val="center"/>
            <w:hideMark/>
          </w:tcPr>
          <w:p w:rsidR="00F34737" w:rsidRPr="00A71D2E" w:rsidRDefault="00F34737">
            <w:pPr>
              <w:jc w:val="center"/>
              <w:rPr>
                <w:rFonts w:eastAsia="宋体" w:cs="Times New Roman"/>
                <w:sz w:val="18"/>
                <w:szCs w:val="18"/>
              </w:rPr>
            </w:pPr>
            <w:proofErr w:type="gramStart"/>
            <w:r w:rsidRPr="00A71D2E">
              <w:rPr>
                <w:rFonts w:eastAsia="宋体" w:cs="Times New Roman" w:hint="eastAsia"/>
                <w:sz w:val="18"/>
                <w:szCs w:val="18"/>
              </w:rPr>
              <w:t>海康威视股份公司</w:t>
            </w:r>
            <w:proofErr w:type="gramEnd"/>
          </w:p>
        </w:tc>
        <w:tc>
          <w:tcPr>
            <w:tcW w:w="852" w:type="dxa"/>
            <w:tcMar>
              <w:top w:w="0" w:type="dxa"/>
              <w:left w:w="108" w:type="dxa"/>
              <w:bottom w:w="0" w:type="dxa"/>
              <w:right w:w="108" w:type="dxa"/>
            </w:tcMar>
            <w:vAlign w:val="center"/>
            <w:hideMark/>
          </w:tcPr>
          <w:p w:rsidR="00F34737" w:rsidRPr="00A71D2E" w:rsidRDefault="00F34737">
            <w:pPr>
              <w:jc w:val="center"/>
              <w:rPr>
                <w:rFonts w:eastAsia="宋体" w:cs="Times New Roman"/>
                <w:sz w:val="18"/>
                <w:szCs w:val="18"/>
              </w:rPr>
            </w:pPr>
            <w:r w:rsidRPr="00A71D2E">
              <w:rPr>
                <w:rFonts w:eastAsia="宋体" w:cs="Times New Roman" w:hint="eastAsia"/>
                <w:sz w:val="18"/>
                <w:szCs w:val="18"/>
              </w:rPr>
              <w:t>杭州</w:t>
            </w:r>
          </w:p>
        </w:tc>
        <w:tc>
          <w:tcPr>
            <w:tcW w:w="1985" w:type="dxa"/>
            <w:tcMar>
              <w:top w:w="0" w:type="dxa"/>
              <w:left w:w="108" w:type="dxa"/>
              <w:bottom w:w="0" w:type="dxa"/>
              <w:right w:w="108" w:type="dxa"/>
            </w:tcMar>
            <w:vAlign w:val="center"/>
            <w:hideMark/>
          </w:tcPr>
          <w:p w:rsidR="00F34737" w:rsidRPr="00A71D2E" w:rsidRDefault="00F34737">
            <w:pPr>
              <w:jc w:val="center"/>
              <w:rPr>
                <w:rFonts w:eastAsia="宋体" w:cs="Times New Roman"/>
                <w:sz w:val="18"/>
                <w:szCs w:val="18"/>
              </w:rPr>
            </w:pPr>
            <w:r w:rsidRPr="00A71D2E">
              <w:rPr>
                <w:rFonts w:eastAsia="宋体" w:cs="Times New Roman" w:hint="eastAsia"/>
                <w:sz w:val="18"/>
                <w:szCs w:val="18"/>
              </w:rPr>
              <w:t>安防产品、工程</w:t>
            </w:r>
          </w:p>
          <w:p w:rsidR="00F34737" w:rsidRPr="00A71D2E" w:rsidRDefault="00F34737">
            <w:pPr>
              <w:jc w:val="center"/>
              <w:rPr>
                <w:rFonts w:eastAsia="宋体" w:cs="Times New Roman"/>
                <w:sz w:val="18"/>
                <w:szCs w:val="18"/>
              </w:rPr>
            </w:pPr>
            <w:r w:rsidRPr="00A71D2E">
              <w:rPr>
                <w:rFonts w:eastAsia="宋体" w:cs="Times New Roman" w:hint="eastAsia"/>
                <w:sz w:val="18"/>
                <w:szCs w:val="18"/>
              </w:rPr>
              <w:t>项目、技术研发</w:t>
            </w:r>
          </w:p>
        </w:tc>
        <w:tc>
          <w:tcPr>
            <w:tcW w:w="1562" w:type="dxa"/>
            <w:tcMar>
              <w:top w:w="0" w:type="dxa"/>
              <w:left w:w="108" w:type="dxa"/>
              <w:bottom w:w="0" w:type="dxa"/>
              <w:right w:w="108" w:type="dxa"/>
            </w:tcMar>
            <w:vAlign w:val="center"/>
            <w:hideMark/>
          </w:tcPr>
          <w:p w:rsidR="00F34737" w:rsidRPr="00A71D2E" w:rsidRDefault="00F34737">
            <w:pPr>
              <w:jc w:val="center"/>
              <w:rPr>
                <w:rFonts w:eastAsia="宋体" w:cs="Times New Roman"/>
                <w:sz w:val="18"/>
                <w:szCs w:val="18"/>
              </w:rPr>
            </w:pPr>
            <w:r w:rsidRPr="00A71D2E">
              <w:rPr>
                <w:rFonts w:eastAsia="宋体" w:cs="Times New Roman" w:hint="eastAsia"/>
                <w:sz w:val="18"/>
                <w:szCs w:val="18"/>
              </w:rPr>
              <w:t>人民币</w:t>
            </w:r>
          </w:p>
          <w:p w:rsidR="00F34737" w:rsidRPr="00A71D2E" w:rsidRDefault="00F34737">
            <w:pPr>
              <w:jc w:val="center"/>
              <w:rPr>
                <w:rFonts w:eastAsia="宋体" w:cs="Times New Roman"/>
                <w:sz w:val="18"/>
                <w:szCs w:val="18"/>
              </w:rPr>
            </w:pPr>
            <w:r w:rsidRPr="00A71D2E">
              <w:rPr>
                <w:rFonts w:eastAsia="宋体" w:cs="Times New Roman"/>
                <w:sz w:val="18"/>
                <w:szCs w:val="18"/>
              </w:rPr>
              <w:t>93</w:t>
            </w:r>
            <w:r w:rsidR="007F4854">
              <w:rPr>
                <w:rFonts w:eastAsia="宋体" w:cs="Times New Roman"/>
                <w:sz w:val="18"/>
                <w:szCs w:val="18"/>
              </w:rPr>
              <w:t>3</w:t>
            </w:r>
            <w:r w:rsidRPr="00A71D2E">
              <w:rPr>
                <w:rFonts w:eastAsia="宋体" w:cs="Times New Roman"/>
                <w:sz w:val="18"/>
                <w:szCs w:val="18"/>
              </w:rPr>
              <w:t>,</w:t>
            </w:r>
            <w:r w:rsidR="007F4854">
              <w:rPr>
                <w:rFonts w:eastAsia="宋体" w:cs="Times New Roman"/>
                <w:sz w:val="18"/>
                <w:szCs w:val="18"/>
              </w:rPr>
              <w:t>060</w:t>
            </w:r>
            <w:r w:rsidRPr="00A71D2E">
              <w:rPr>
                <w:rFonts w:eastAsia="宋体" w:cs="Times New Roman"/>
                <w:sz w:val="18"/>
                <w:szCs w:val="18"/>
              </w:rPr>
              <w:t>.</w:t>
            </w:r>
            <w:r w:rsidR="007F4854">
              <w:rPr>
                <w:rFonts w:eastAsia="宋体" w:cs="Times New Roman"/>
                <w:sz w:val="18"/>
                <w:szCs w:val="18"/>
              </w:rPr>
              <w:t>09</w:t>
            </w:r>
            <w:r w:rsidRPr="00A71D2E">
              <w:rPr>
                <w:rFonts w:eastAsia="宋体" w:cs="Times New Roman" w:hint="eastAsia"/>
                <w:sz w:val="18"/>
                <w:szCs w:val="18"/>
              </w:rPr>
              <w:t>万元</w:t>
            </w:r>
          </w:p>
        </w:tc>
        <w:tc>
          <w:tcPr>
            <w:tcW w:w="1679" w:type="dxa"/>
            <w:tcMar>
              <w:top w:w="0" w:type="dxa"/>
              <w:left w:w="108" w:type="dxa"/>
              <w:bottom w:w="0" w:type="dxa"/>
              <w:right w:w="108" w:type="dxa"/>
            </w:tcMar>
            <w:vAlign w:val="center"/>
            <w:hideMark/>
          </w:tcPr>
          <w:p w:rsidR="00F34737" w:rsidRPr="00A71D2E" w:rsidRDefault="00141DA0">
            <w:pPr>
              <w:jc w:val="right"/>
              <w:rPr>
                <w:rFonts w:eastAsia="宋体" w:cs="Times New Roman"/>
                <w:sz w:val="18"/>
                <w:szCs w:val="18"/>
              </w:rPr>
            </w:pPr>
            <w:r>
              <w:rPr>
                <w:rFonts w:eastAsia="宋体" w:cs="Times New Roman"/>
                <w:sz w:val="18"/>
                <w:szCs w:val="18"/>
              </w:rPr>
              <w:t>48</w:t>
            </w:r>
            <w:r w:rsidR="00F34737" w:rsidRPr="00A71D2E">
              <w:rPr>
                <w:rFonts w:eastAsia="宋体" w:cs="Times New Roman"/>
                <w:sz w:val="18"/>
                <w:szCs w:val="18"/>
              </w:rPr>
              <w:t>.</w:t>
            </w:r>
            <w:r>
              <w:rPr>
                <w:rFonts w:eastAsia="宋体" w:cs="Times New Roman"/>
                <w:sz w:val="18"/>
                <w:szCs w:val="18"/>
              </w:rPr>
              <w:t>00</w:t>
            </w:r>
          </w:p>
        </w:tc>
        <w:tc>
          <w:tcPr>
            <w:tcW w:w="1679" w:type="dxa"/>
            <w:tcMar>
              <w:top w:w="0" w:type="dxa"/>
              <w:left w:w="108" w:type="dxa"/>
              <w:bottom w:w="0" w:type="dxa"/>
              <w:right w:w="108" w:type="dxa"/>
            </w:tcMar>
            <w:vAlign w:val="center"/>
            <w:hideMark/>
          </w:tcPr>
          <w:p w:rsidR="00F34737" w:rsidRPr="00A71D2E" w:rsidRDefault="00141DA0">
            <w:pPr>
              <w:jc w:val="right"/>
              <w:rPr>
                <w:rFonts w:eastAsia="宋体" w:cs="Times New Roman"/>
                <w:sz w:val="18"/>
                <w:szCs w:val="18"/>
              </w:rPr>
            </w:pPr>
            <w:r>
              <w:rPr>
                <w:rFonts w:eastAsia="宋体" w:cs="Times New Roman"/>
                <w:sz w:val="18"/>
                <w:szCs w:val="18"/>
              </w:rPr>
              <w:t>48</w:t>
            </w:r>
            <w:r w:rsidR="00F34737" w:rsidRPr="00A71D2E">
              <w:rPr>
                <w:rFonts w:eastAsia="宋体" w:cs="Times New Roman"/>
                <w:sz w:val="18"/>
                <w:szCs w:val="18"/>
              </w:rPr>
              <w:t>.</w:t>
            </w:r>
            <w:r>
              <w:rPr>
                <w:rFonts w:eastAsia="宋体" w:cs="Times New Roman"/>
                <w:sz w:val="18"/>
                <w:szCs w:val="18"/>
              </w:rPr>
              <w:t>00</w:t>
            </w:r>
          </w:p>
        </w:tc>
      </w:tr>
    </w:tbl>
    <w:p w:rsidR="00F34737" w:rsidRPr="00A71D2E" w:rsidRDefault="00F34737">
      <w:pPr>
        <w:ind w:left="720"/>
        <w:jc w:val="both"/>
        <w:rPr>
          <w:rFonts w:eastAsia="宋体" w:cs="Times New Roman"/>
          <w:szCs w:val="21"/>
          <w:lang w:val="en-GB"/>
        </w:rPr>
      </w:pPr>
    </w:p>
    <w:p w:rsidR="00F34737" w:rsidRPr="00A71D2E" w:rsidRDefault="00F34737">
      <w:pPr>
        <w:ind w:left="720"/>
        <w:jc w:val="both"/>
        <w:rPr>
          <w:rFonts w:eastAsia="宋体" w:cs="Times New Roman"/>
          <w:szCs w:val="21"/>
          <w:lang w:val="en-GB"/>
        </w:rPr>
      </w:pPr>
      <w:proofErr w:type="gramStart"/>
      <w:r w:rsidRPr="00A71D2E">
        <w:rPr>
          <w:rFonts w:eastAsia="宋体" w:cs="Times New Roman" w:hint="eastAsia"/>
          <w:szCs w:val="21"/>
          <w:lang w:val="en-GB"/>
        </w:rPr>
        <w:t>海康威视股份公司</w:t>
      </w:r>
      <w:proofErr w:type="gramEnd"/>
      <w:r w:rsidRPr="00A71D2E">
        <w:rPr>
          <w:rFonts w:eastAsia="宋体" w:cs="Times New Roman" w:hint="eastAsia"/>
          <w:szCs w:val="21"/>
          <w:lang w:val="en-GB"/>
        </w:rPr>
        <w:t>之控股公司为</w:t>
      </w:r>
      <w:r w:rsidR="00825933" w:rsidRPr="00A71D2E">
        <w:rPr>
          <w:rFonts w:eastAsia="宋体" w:cs="Times New Roman" w:hint="eastAsia"/>
          <w:szCs w:val="21"/>
          <w:lang w:val="en-GB"/>
        </w:rPr>
        <w:t>中电海康集团有限公司</w:t>
      </w:r>
      <w:r w:rsidR="005F14EE">
        <w:rPr>
          <w:rFonts w:eastAsia="宋体" w:cs="Times New Roman"/>
          <w:szCs w:val="21"/>
          <w:lang w:val="en-GB"/>
        </w:rPr>
        <w:t>(</w:t>
      </w:r>
      <w:r w:rsidR="00825933" w:rsidRPr="00A71D2E">
        <w:rPr>
          <w:rFonts w:eastAsia="宋体" w:cs="Times New Roman" w:hint="eastAsia"/>
          <w:szCs w:val="21"/>
          <w:lang w:val="en-GB"/>
        </w:rPr>
        <w:t>以下简称</w:t>
      </w:r>
      <w:proofErr w:type="gramStart"/>
      <w:r w:rsidR="00825933" w:rsidRPr="00A71D2E">
        <w:rPr>
          <w:rFonts w:eastAsia="宋体" w:cs="Times New Roman"/>
          <w:szCs w:val="21"/>
          <w:lang w:val="en-GB"/>
        </w:rPr>
        <w:t>”</w:t>
      </w:r>
      <w:proofErr w:type="gramEnd"/>
      <w:r w:rsidRPr="00A71D2E">
        <w:rPr>
          <w:rFonts w:eastAsia="宋体" w:cs="Times New Roman" w:hint="eastAsia"/>
          <w:szCs w:val="21"/>
          <w:lang w:val="en-GB"/>
        </w:rPr>
        <w:t>中电海康</w:t>
      </w:r>
      <w:proofErr w:type="gramStart"/>
      <w:r w:rsidR="00825933" w:rsidRPr="00A71D2E">
        <w:rPr>
          <w:rFonts w:eastAsia="宋体" w:cs="Times New Roman"/>
          <w:szCs w:val="21"/>
          <w:lang w:val="en-GB"/>
        </w:rPr>
        <w:t>”</w:t>
      </w:r>
      <w:proofErr w:type="gramEnd"/>
      <w:r w:rsidR="005F14EE">
        <w:rPr>
          <w:rFonts w:eastAsia="宋体" w:cs="Times New Roman"/>
          <w:szCs w:val="21"/>
          <w:lang w:val="en-GB"/>
        </w:rPr>
        <w:t>)</w:t>
      </w:r>
      <w:r w:rsidRPr="00A71D2E">
        <w:rPr>
          <w:rFonts w:eastAsia="宋体" w:cs="Times New Roman" w:hint="eastAsia"/>
          <w:szCs w:val="21"/>
          <w:lang w:val="en-GB"/>
        </w:rPr>
        <w:t>，最终控股公司为中电。</w:t>
      </w:r>
    </w:p>
    <w:p w:rsidR="00F34737" w:rsidRPr="00A71D2E" w:rsidRDefault="00F34737">
      <w:pPr>
        <w:ind w:left="720"/>
        <w:jc w:val="both"/>
        <w:rPr>
          <w:rFonts w:eastAsia="宋体" w:cs="Times New Roman"/>
          <w:szCs w:val="21"/>
          <w:lang w:val="en-GB"/>
        </w:rPr>
      </w:pPr>
    </w:p>
    <w:p w:rsidR="00F34737" w:rsidRPr="00A71D2E" w:rsidRDefault="00F34737">
      <w:pPr>
        <w:pStyle w:val="2"/>
        <w:numPr>
          <w:ilvl w:val="2"/>
          <w:numId w:val="1"/>
        </w:numPr>
        <w:adjustRightInd w:val="0"/>
        <w:snapToGrid w:val="0"/>
        <w:ind w:left="1440" w:hanging="720"/>
        <w:contextualSpacing w:val="0"/>
        <w:rPr>
          <w:rFonts w:ascii="Times New Roman" w:eastAsia="宋体" w:hAnsi="Times New Roman" w:cs="Times New Roman"/>
        </w:rPr>
      </w:pPr>
      <w:proofErr w:type="spellStart"/>
      <w:r w:rsidRPr="00A71D2E">
        <w:rPr>
          <w:rFonts w:ascii="Times New Roman" w:eastAsia="宋体" w:hAnsi="Times New Roman" w:cs="Times New Roman" w:hint="eastAsia"/>
          <w:bCs/>
          <w:szCs w:val="21"/>
          <w:lang w:val="x-none" w:eastAsia="x-none"/>
        </w:rPr>
        <w:t>本公司</w:t>
      </w:r>
      <w:r w:rsidRPr="00A71D2E">
        <w:rPr>
          <w:rFonts w:ascii="Times New Roman" w:eastAsia="宋体" w:hAnsi="Times New Roman" w:cs="Times New Roman" w:hint="eastAsia"/>
        </w:rPr>
        <w:t>的子公司情况</w:t>
      </w:r>
      <w:proofErr w:type="spellEnd"/>
    </w:p>
    <w:p w:rsidR="00F34737" w:rsidRPr="00A71D2E" w:rsidRDefault="00F34737">
      <w:pPr>
        <w:ind w:left="742"/>
        <w:jc w:val="both"/>
        <w:rPr>
          <w:rFonts w:eastAsia="宋体" w:cs="Times New Roman"/>
          <w:szCs w:val="21"/>
        </w:rPr>
      </w:pPr>
    </w:p>
    <w:p w:rsidR="00F34737" w:rsidRPr="00A71D2E" w:rsidRDefault="00F34737">
      <w:pPr>
        <w:ind w:left="720"/>
        <w:jc w:val="both"/>
        <w:rPr>
          <w:rFonts w:eastAsia="宋体" w:cs="Times New Roman"/>
          <w:szCs w:val="21"/>
        </w:rPr>
      </w:pPr>
      <w:r w:rsidRPr="00A71D2E">
        <w:rPr>
          <w:rFonts w:eastAsia="宋体" w:cs="Times New Roman" w:hint="eastAsia"/>
          <w:szCs w:val="21"/>
        </w:rPr>
        <w:t>本公司的子公司情况详见附注</w:t>
      </w:r>
      <w:r w:rsidR="005F14EE">
        <w:rPr>
          <w:rFonts w:eastAsia="宋体" w:cs="Times New Roman"/>
          <w:szCs w:val="21"/>
        </w:rPr>
        <w:t>(</w:t>
      </w:r>
      <w:r w:rsidR="006E21FB">
        <w:rPr>
          <w:rFonts w:eastAsia="宋体" w:cs="Times New Roman" w:hint="eastAsia"/>
          <w:szCs w:val="21"/>
        </w:rPr>
        <w:t>六</w:t>
      </w:r>
      <w:r w:rsidR="005F14EE">
        <w:rPr>
          <w:rFonts w:eastAsia="宋体" w:cs="Times New Roman"/>
          <w:szCs w:val="21"/>
        </w:rPr>
        <w:t>)</w:t>
      </w:r>
      <w:r w:rsidRPr="00A71D2E">
        <w:rPr>
          <w:rFonts w:eastAsia="宋体" w:cs="Times New Roman" w:hint="eastAsia"/>
          <w:szCs w:val="21"/>
        </w:rPr>
        <w:t>。</w:t>
      </w:r>
    </w:p>
    <w:p w:rsidR="00F34737" w:rsidRPr="00D71971" w:rsidRDefault="00F34737" w:rsidP="0027505B">
      <w:pPr>
        <w:ind w:left="720"/>
        <w:jc w:val="both"/>
        <w:rPr>
          <w:rFonts w:eastAsia="宋体" w:cs="Times New Roman"/>
          <w:szCs w:val="21"/>
        </w:rPr>
      </w:pPr>
    </w:p>
    <w:p w:rsidR="00F34737" w:rsidRPr="00A71D2E" w:rsidRDefault="00F34737">
      <w:pPr>
        <w:pStyle w:val="2"/>
        <w:numPr>
          <w:ilvl w:val="2"/>
          <w:numId w:val="1"/>
        </w:numPr>
        <w:adjustRightInd w:val="0"/>
        <w:snapToGrid w:val="0"/>
        <w:ind w:left="1440" w:hanging="720"/>
        <w:contextualSpacing w:val="0"/>
        <w:rPr>
          <w:rFonts w:ascii="Times New Roman" w:eastAsia="宋体" w:hAnsi="Times New Roman" w:cs="Times New Roman"/>
          <w:bCs/>
          <w:szCs w:val="21"/>
          <w:lang w:val="x-none" w:eastAsia="x-none"/>
        </w:rPr>
      </w:pPr>
      <w:proofErr w:type="spellStart"/>
      <w:r w:rsidRPr="00A71D2E">
        <w:rPr>
          <w:rFonts w:ascii="Times New Roman" w:eastAsia="宋体" w:hAnsi="Times New Roman" w:cs="Times New Roman" w:hint="eastAsia"/>
          <w:bCs/>
          <w:szCs w:val="21"/>
          <w:lang w:val="x-none" w:eastAsia="x-none"/>
        </w:rPr>
        <w:t>其他关联方情况</w:t>
      </w:r>
      <w:proofErr w:type="spellEnd"/>
    </w:p>
    <w:p w:rsidR="00F34737" w:rsidRPr="00A71D2E" w:rsidRDefault="00F34737" w:rsidP="0027505B">
      <w:pPr>
        <w:ind w:left="720"/>
        <w:jc w:val="both"/>
        <w:rPr>
          <w:rFonts w:eastAsia="宋体" w:cs="Times New Roman"/>
          <w:szCs w:val="21"/>
        </w:rPr>
      </w:pPr>
    </w:p>
    <w:tbl>
      <w:tblPr>
        <w:tblStyle w:val="aff5"/>
        <w:tblW w:w="0" w:type="auto"/>
        <w:tblInd w:w="720" w:type="dxa"/>
        <w:tblLayout w:type="fixed"/>
        <w:tblLook w:val="04A0" w:firstRow="1" w:lastRow="0" w:firstColumn="1" w:lastColumn="0" w:noHBand="0" w:noVBand="1"/>
      </w:tblPr>
      <w:tblGrid>
        <w:gridCol w:w="4237"/>
        <w:gridCol w:w="5208"/>
      </w:tblGrid>
      <w:tr w:rsidR="00F34737" w:rsidRPr="00495F4B" w:rsidTr="00C76406">
        <w:trPr>
          <w:trHeight w:val="20"/>
        </w:trPr>
        <w:tc>
          <w:tcPr>
            <w:tcW w:w="4237" w:type="dxa"/>
            <w:shd w:val="clear" w:color="auto" w:fill="D9D9D9" w:themeFill="background1" w:themeFillShade="D9"/>
            <w:vAlign w:val="center"/>
          </w:tcPr>
          <w:p w:rsidR="00F34737" w:rsidRPr="0027505B" w:rsidRDefault="00F34737">
            <w:pPr>
              <w:jc w:val="center"/>
              <w:rPr>
                <w:sz w:val="18"/>
                <w:szCs w:val="18"/>
              </w:rPr>
            </w:pPr>
            <w:r w:rsidRPr="0027505B">
              <w:rPr>
                <w:rFonts w:hint="eastAsia"/>
                <w:sz w:val="18"/>
                <w:szCs w:val="18"/>
              </w:rPr>
              <w:t>关联方名称</w:t>
            </w:r>
          </w:p>
        </w:tc>
        <w:tc>
          <w:tcPr>
            <w:tcW w:w="5208" w:type="dxa"/>
            <w:shd w:val="clear" w:color="auto" w:fill="D9D9D9" w:themeFill="background1" w:themeFillShade="D9"/>
            <w:vAlign w:val="center"/>
          </w:tcPr>
          <w:p w:rsidR="00F34737" w:rsidRPr="0027505B" w:rsidRDefault="00F34737">
            <w:pPr>
              <w:jc w:val="center"/>
              <w:rPr>
                <w:sz w:val="18"/>
                <w:szCs w:val="18"/>
              </w:rPr>
            </w:pPr>
            <w:r w:rsidRPr="0027505B">
              <w:rPr>
                <w:rFonts w:hint="eastAsia"/>
                <w:sz w:val="18"/>
                <w:szCs w:val="18"/>
              </w:rPr>
              <w:t>关联方关系</w:t>
            </w:r>
          </w:p>
        </w:tc>
      </w:tr>
      <w:tr w:rsidR="00F34737" w:rsidRPr="00495F4B" w:rsidTr="00C76406">
        <w:trPr>
          <w:trHeight w:val="20"/>
        </w:trPr>
        <w:tc>
          <w:tcPr>
            <w:tcW w:w="4237" w:type="dxa"/>
            <w:shd w:val="clear" w:color="auto" w:fill="auto"/>
            <w:vAlign w:val="center"/>
          </w:tcPr>
          <w:p w:rsidR="00F34737" w:rsidRPr="0027505B" w:rsidRDefault="00544ABF">
            <w:pPr>
              <w:rPr>
                <w:sz w:val="18"/>
                <w:szCs w:val="18"/>
              </w:rPr>
            </w:pPr>
            <w:proofErr w:type="gramStart"/>
            <w:r w:rsidRPr="0027505B">
              <w:rPr>
                <w:rFonts w:hint="eastAsia"/>
                <w:sz w:val="18"/>
                <w:szCs w:val="18"/>
              </w:rPr>
              <w:t>海康威视股份公司</w:t>
            </w:r>
            <w:proofErr w:type="gramEnd"/>
            <w:r w:rsidRPr="0027505B">
              <w:rPr>
                <w:rFonts w:hint="eastAsia"/>
                <w:sz w:val="18"/>
                <w:szCs w:val="18"/>
              </w:rPr>
              <w:t>及其下属企业</w:t>
            </w:r>
          </w:p>
        </w:tc>
        <w:tc>
          <w:tcPr>
            <w:tcW w:w="5208" w:type="dxa"/>
            <w:shd w:val="clear" w:color="auto" w:fill="auto"/>
            <w:vAlign w:val="center"/>
          </w:tcPr>
          <w:p w:rsidR="00F34737" w:rsidRPr="0027505B" w:rsidRDefault="00F34737">
            <w:pPr>
              <w:rPr>
                <w:sz w:val="18"/>
                <w:szCs w:val="18"/>
              </w:rPr>
            </w:pPr>
            <w:r w:rsidRPr="0027505B">
              <w:rPr>
                <w:rFonts w:hint="eastAsia"/>
                <w:sz w:val="18"/>
                <w:szCs w:val="18"/>
              </w:rPr>
              <w:t>同受母公司控制</w:t>
            </w:r>
          </w:p>
        </w:tc>
      </w:tr>
      <w:tr w:rsidR="00F34737" w:rsidRPr="00495F4B" w:rsidTr="00C76406">
        <w:trPr>
          <w:trHeight w:val="20"/>
        </w:trPr>
        <w:tc>
          <w:tcPr>
            <w:tcW w:w="4237" w:type="dxa"/>
            <w:vAlign w:val="center"/>
          </w:tcPr>
          <w:p w:rsidR="00F34737" w:rsidRPr="0027505B" w:rsidRDefault="00F34737">
            <w:pPr>
              <w:rPr>
                <w:sz w:val="18"/>
                <w:szCs w:val="18"/>
              </w:rPr>
            </w:pPr>
            <w:r w:rsidRPr="0027505B">
              <w:rPr>
                <w:rFonts w:hint="eastAsia"/>
                <w:sz w:val="18"/>
                <w:szCs w:val="18"/>
              </w:rPr>
              <w:t>中电下属企业</w:t>
            </w:r>
            <w:r w:rsidR="005F14EE" w:rsidRPr="0027505B">
              <w:rPr>
                <w:sz w:val="18"/>
                <w:szCs w:val="18"/>
              </w:rPr>
              <w:t>(</w:t>
            </w:r>
            <w:r w:rsidRPr="0027505B">
              <w:rPr>
                <w:rFonts w:hint="eastAsia"/>
                <w:sz w:val="18"/>
                <w:szCs w:val="18"/>
              </w:rPr>
              <w:t>注</w:t>
            </w:r>
            <w:r w:rsidR="00CC026F" w:rsidRPr="0027505B">
              <w:rPr>
                <w:sz w:val="18"/>
                <w:szCs w:val="18"/>
              </w:rPr>
              <w:t>1</w:t>
            </w:r>
            <w:r w:rsidR="005F14EE" w:rsidRPr="0027505B">
              <w:rPr>
                <w:sz w:val="18"/>
                <w:szCs w:val="18"/>
              </w:rPr>
              <w:t>)</w:t>
            </w:r>
          </w:p>
        </w:tc>
        <w:tc>
          <w:tcPr>
            <w:tcW w:w="5208" w:type="dxa"/>
            <w:vAlign w:val="center"/>
          </w:tcPr>
          <w:p w:rsidR="00F34737" w:rsidRPr="0027505B" w:rsidRDefault="00F34737">
            <w:pPr>
              <w:rPr>
                <w:sz w:val="18"/>
                <w:szCs w:val="18"/>
              </w:rPr>
            </w:pPr>
            <w:r w:rsidRPr="0027505B">
              <w:rPr>
                <w:rFonts w:hint="eastAsia"/>
                <w:sz w:val="18"/>
                <w:szCs w:val="18"/>
              </w:rPr>
              <w:t>同受最终控股公司控制</w:t>
            </w:r>
          </w:p>
        </w:tc>
      </w:tr>
      <w:tr w:rsidR="00F34737" w:rsidRPr="00495F4B" w:rsidTr="00C76406">
        <w:trPr>
          <w:trHeight w:val="20"/>
        </w:trPr>
        <w:tc>
          <w:tcPr>
            <w:tcW w:w="4237" w:type="dxa"/>
            <w:vAlign w:val="center"/>
          </w:tcPr>
          <w:p w:rsidR="00F34737" w:rsidRPr="0027505B" w:rsidRDefault="00F34737" w:rsidP="0088706A">
            <w:pPr>
              <w:rPr>
                <w:sz w:val="18"/>
                <w:szCs w:val="18"/>
              </w:rPr>
            </w:pPr>
            <w:r w:rsidRPr="0027505B">
              <w:rPr>
                <w:rFonts w:hint="eastAsia"/>
                <w:sz w:val="18"/>
                <w:szCs w:val="18"/>
              </w:rPr>
              <w:t>上海富瀚微电子股份有限公司</w:t>
            </w:r>
          </w:p>
        </w:tc>
        <w:tc>
          <w:tcPr>
            <w:tcW w:w="5208" w:type="dxa"/>
            <w:vAlign w:val="center"/>
          </w:tcPr>
          <w:p w:rsidR="00F34737" w:rsidRPr="0027505B" w:rsidRDefault="0027505B">
            <w:pPr>
              <w:rPr>
                <w:sz w:val="18"/>
                <w:szCs w:val="18"/>
              </w:rPr>
            </w:pPr>
            <w:r w:rsidRPr="00C76406">
              <w:rPr>
                <w:rFonts w:hint="eastAsia"/>
                <w:sz w:val="18"/>
                <w:szCs w:val="18"/>
              </w:rPr>
              <w:t>直接或间接持有公司</w:t>
            </w:r>
            <w:r w:rsidRPr="00C76406">
              <w:rPr>
                <w:sz w:val="18"/>
                <w:szCs w:val="18"/>
              </w:rPr>
              <w:t>5%</w:t>
            </w:r>
            <w:r w:rsidRPr="00C76406">
              <w:rPr>
                <w:rFonts w:hint="eastAsia"/>
                <w:sz w:val="18"/>
                <w:szCs w:val="18"/>
              </w:rPr>
              <w:t>以上股份的自然人关系密切家庭成员作为该公司实际控制人的一致行动人</w:t>
            </w:r>
            <w:r w:rsidRPr="00C76406">
              <w:rPr>
                <w:sz w:val="18"/>
                <w:szCs w:val="18"/>
              </w:rPr>
              <w:t>(</w:t>
            </w:r>
            <w:r w:rsidRPr="00C76406">
              <w:rPr>
                <w:rFonts w:hint="eastAsia"/>
                <w:sz w:val="18"/>
                <w:szCs w:val="18"/>
              </w:rPr>
              <w:t>“其他关联企业”</w:t>
            </w:r>
            <w:r w:rsidRPr="00C76406">
              <w:rPr>
                <w:sz w:val="18"/>
                <w:szCs w:val="18"/>
              </w:rPr>
              <w:t>)</w:t>
            </w:r>
          </w:p>
        </w:tc>
      </w:tr>
    </w:tbl>
    <w:p w:rsidR="00F34737" w:rsidRPr="00A71D2E" w:rsidRDefault="00F34737">
      <w:pPr>
        <w:ind w:left="1440" w:hanging="720"/>
        <w:rPr>
          <w:rFonts w:eastAsia="宋体" w:cs="Times New Roman"/>
          <w:bCs/>
          <w:szCs w:val="21"/>
        </w:rPr>
      </w:pPr>
    </w:p>
    <w:p w:rsidR="00272B9C" w:rsidRDefault="00F34737">
      <w:pPr>
        <w:ind w:left="1440" w:hanging="720"/>
        <w:jc w:val="both"/>
        <w:rPr>
          <w:rFonts w:eastAsia="宋体" w:cs="Times New Roman"/>
          <w:bCs/>
          <w:szCs w:val="21"/>
        </w:rPr>
      </w:pPr>
      <w:r w:rsidRPr="00A71D2E">
        <w:rPr>
          <w:rFonts w:eastAsia="宋体" w:cs="Times New Roman" w:hint="eastAsia"/>
          <w:bCs/>
          <w:szCs w:val="21"/>
        </w:rPr>
        <w:t>注</w:t>
      </w:r>
      <w:r w:rsidR="00CC026F">
        <w:rPr>
          <w:rFonts w:eastAsia="宋体" w:cs="Times New Roman" w:hint="eastAsia"/>
          <w:bCs/>
          <w:szCs w:val="21"/>
        </w:rPr>
        <w:t>1</w:t>
      </w:r>
      <w:r w:rsidR="005F14EE">
        <w:rPr>
          <w:rFonts w:eastAsia="宋体" w:cs="Times New Roman" w:hint="eastAsia"/>
          <w:bCs/>
          <w:szCs w:val="21"/>
        </w:rPr>
        <w:t>：</w:t>
      </w:r>
      <w:r w:rsidRPr="00A71D2E">
        <w:rPr>
          <w:rFonts w:eastAsia="宋体" w:cs="Times New Roman"/>
          <w:bCs/>
          <w:szCs w:val="21"/>
        </w:rPr>
        <w:tab/>
      </w:r>
      <w:r w:rsidRPr="00A71D2E">
        <w:rPr>
          <w:rFonts w:eastAsia="宋体" w:cs="Times New Roman" w:hint="eastAsia"/>
          <w:bCs/>
          <w:szCs w:val="21"/>
        </w:rPr>
        <w:t>系中电之子公司，但不包括</w:t>
      </w:r>
      <w:proofErr w:type="gramStart"/>
      <w:r w:rsidRPr="00A71D2E">
        <w:rPr>
          <w:rFonts w:eastAsia="宋体" w:cs="Times New Roman" w:hint="eastAsia"/>
          <w:bCs/>
          <w:szCs w:val="21"/>
        </w:rPr>
        <w:t>海康威视股份公司</w:t>
      </w:r>
      <w:proofErr w:type="gramEnd"/>
      <w:r w:rsidRPr="00A71D2E">
        <w:rPr>
          <w:rFonts w:eastAsia="宋体" w:cs="Times New Roman" w:hint="eastAsia"/>
          <w:bCs/>
          <w:szCs w:val="21"/>
        </w:rPr>
        <w:t>及其下属企业。</w:t>
      </w:r>
    </w:p>
    <w:p w:rsidR="00495F4B" w:rsidRDefault="00495F4B">
      <w:pPr>
        <w:adjustRightInd/>
        <w:snapToGrid/>
        <w:rPr>
          <w:rFonts w:eastAsia="宋体" w:cs="Times New Roman"/>
          <w:bCs/>
          <w:szCs w:val="21"/>
        </w:rPr>
      </w:pPr>
      <w:r>
        <w:rPr>
          <w:rFonts w:eastAsia="宋体" w:cs="Times New Roman"/>
          <w:bCs/>
          <w:szCs w:val="21"/>
        </w:rPr>
        <w:br w:type="page"/>
      </w:r>
    </w:p>
    <w:p w:rsidR="00495F4B" w:rsidRPr="00A71D2E" w:rsidRDefault="00495F4B" w:rsidP="00495F4B">
      <w:pPr>
        <w:ind w:left="720" w:hanging="720"/>
        <w:jc w:val="both"/>
        <w:rPr>
          <w:rFonts w:eastAsia="宋体" w:cs="Times New Roman"/>
          <w:szCs w:val="21"/>
        </w:rPr>
      </w:pPr>
      <w:r>
        <w:rPr>
          <w:rFonts w:eastAsia="宋体" w:cs="Times New Roman"/>
          <w:b/>
          <w:bCs/>
          <w:szCs w:val="21"/>
        </w:rPr>
        <w:t>(</w:t>
      </w:r>
      <w:r>
        <w:rPr>
          <w:rFonts w:eastAsia="宋体" w:cs="Times New Roman" w:hint="eastAsia"/>
          <w:b/>
          <w:bCs/>
          <w:szCs w:val="21"/>
        </w:rPr>
        <w:t>十</w:t>
      </w:r>
      <w:r>
        <w:rPr>
          <w:rFonts w:eastAsia="宋体" w:cs="Times New Roman"/>
          <w:b/>
          <w:bCs/>
          <w:szCs w:val="21"/>
        </w:rPr>
        <w:t>)</w:t>
      </w:r>
      <w:r w:rsidRPr="00A71D2E">
        <w:rPr>
          <w:rFonts w:eastAsia="宋体" w:cs="Times New Roman"/>
          <w:b/>
          <w:bCs/>
          <w:szCs w:val="21"/>
        </w:rPr>
        <w:tab/>
      </w:r>
      <w:r w:rsidRPr="00A71D2E">
        <w:rPr>
          <w:rFonts w:eastAsia="宋体" w:cs="Times New Roman" w:hint="eastAsia"/>
          <w:b/>
          <w:bCs/>
          <w:szCs w:val="21"/>
        </w:rPr>
        <w:t>关联方及关联方交易</w:t>
      </w:r>
      <w:r w:rsidRPr="00A71D2E">
        <w:rPr>
          <w:rFonts w:eastAsia="宋体" w:cs="Times New Roman"/>
          <w:szCs w:val="21"/>
        </w:rPr>
        <w:t xml:space="preserve"> - </w:t>
      </w:r>
      <w:r w:rsidRPr="00A71D2E">
        <w:rPr>
          <w:rFonts w:eastAsia="宋体" w:cs="Times New Roman" w:hint="eastAsia"/>
          <w:szCs w:val="21"/>
        </w:rPr>
        <w:t>续</w:t>
      </w:r>
    </w:p>
    <w:p w:rsidR="00D71971" w:rsidRDefault="00D71971">
      <w:pPr>
        <w:ind w:left="1440" w:hanging="720"/>
        <w:jc w:val="both"/>
        <w:rPr>
          <w:rFonts w:eastAsia="宋体" w:cs="Times New Roman"/>
          <w:bCs/>
          <w:szCs w:val="21"/>
        </w:rPr>
      </w:pPr>
    </w:p>
    <w:p w:rsidR="00F34737" w:rsidRPr="00A71D2E" w:rsidRDefault="00F34737">
      <w:pPr>
        <w:pStyle w:val="2"/>
        <w:numPr>
          <w:ilvl w:val="2"/>
          <w:numId w:val="1"/>
        </w:numPr>
        <w:adjustRightInd w:val="0"/>
        <w:snapToGrid w:val="0"/>
        <w:ind w:left="1440" w:hanging="720"/>
        <w:contextualSpacing w:val="0"/>
        <w:jc w:val="both"/>
        <w:rPr>
          <w:rFonts w:ascii="Times New Roman" w:eastAsia="宋体" w:hAnsi="Times New Roman" w:cs="Times New Roman"/>
          <w:bCs/>
          <w:szCs w:val="21"/>
          <w:lang w:val="x-none" w:eastAsia="x-none"/>
        </w:rPr>
      </w:pPr>
      <w:proofErr w:type="spellStart"/>
      <w:r w:rsidRPr="00A71D2E">
        <w:rPr>
          <w:rFonts w:ascii="Times New Roman" w:eastAsia="宋体" w:hAnsi="Times New Roman" w:cs="Times New Roman" w:hint="eastAsia"/>
          <w:bCs/>
          <w:szCs w:val="21"/>
          <w:lang w:val="x-none" w:eastAsia="x-none"/>
        </w:rPr>
        <w:t>关联方交易情况</w:t>
      </w:r>
      <w:proofErr w:type="spellEnd"/>
    </w:p>
    <w:p w:rsidR="00F34737" w:rsidRPr="00A71D2E" w:rsidRDefault="00F34737">
      <w:pPr>
        <w:ind w:left="742"/>
        <w:jc w:val="both"/>
        <w:rPr>
          <w:rFonts w:eastAsia="宋体" w:cs="Times New Roman"/>
          <w:szCs w:val="21"/>
        </w:rPr>
      </w:pPr>
    </w:p>
    <w:p w:rsidR="00F34737" w:rsidRPr="00A71D2E" w:rsidRDefault="00F34737">
      <w:pPr>
        <w:pStyle w:val="aff1"/>
        <w:widowControl w:val="0"/>
        <w:numPr>
          <w:ilvl w:val="0"/>
          <w:numId w:val="25"/>
        </w:numPr>
        <w:ind w:left="1440" w:firstLineChars="0" w:hanging="720"/>
        <w:rPr>
          <w:szCs w:val="21"/>
        </w:rPr>
      </w:pPr>
      <w:r w:rsidRPr="00A71D2E">
        <w:rPr>
          <w:rFonts w:hint="eastAsia"/>
          <w:szCs w:val="21"/>
        </w:rPr>
        <w:t>购销商品、提供和接受劳务的关联方交易</w:t>
      </w:r>
    </w:p>
    <w:p w:rsidR="00F34737" w:rsidRPr="00A71D2E" w:rsidRDefault="00F34737">
      <w:pPr>
        <w:ind w:left="742"/>
        <w:jc w:val="both"/>
        <w:rPr>
          <w:rFonts w:eastAsia="宋体" w:cs="Times New Roman"/>
          <w:szCs w:val="21"/>
        </w:rPr>
      </w:pPr>
    </w:p>
    <w:p w:rsidR="00F34737" w:rsidRPr="00A71D2E" w:rsidRDefault="00F34737">
      <w:pPr>
        <w:ind w:left="720"/>
        <w:rPr>
          <w:rFonts w:eastAsia="宋体" w:cs="Times New Roman"/>
          <w:szCs w:val="21"/>
        </w:rPr>
      </w:pPr>
      <w:r w:rsidRPr="00A71D2E">
        <w:rPr>
          <w:rFonts w:eastAsia="宋体" w:cs="Times New Roman" w:hint="eastAsia"/>
          <w:szCs w:val="21"/>
        </w:rPr>
        <w:t>采购商品</w:t>
      </w:r>
      <w:r w:rsidRPr="00A71D2E">
        <w:rPr>
          <w:rFonts w:eastAsia="宋体" w:cs="Times New Roman"/>
          <w:szCs w:val="21"/>
        </w:rPr>
        <w:t>/</w:t>
      </w:r>
      <w:r w:rsidRPr="00A71D2E">
        <w:rPr>
          <w:rFonts w:eastAsia="宋体" w:cs="Times New Roman" w:hint="eastAsia"/>
          <w:szCs w:val="21"/>
        </w:rPr>
        <w:t>接受劳务情况表</w:t>
      </w:r>
      <w:r w:rsidR="005F14EE">
        <w:rPr>
          <w:rFonts w:eastAsia="宋体" w:cs="Times New Roman" w:hint="eastAsia"/>
          <w:szCs w:val="21"/>
        </w:rPr>
        <w:t>：</w:t>
      </w:r>
    </w:p>
    <w:p w:rsidR="00F34737" w:rsidRPr="00A71D2E" w:rsidRDefault="00F34737">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73"/>
        <w:gridCol w:w="1843"/>
        <w:gridCol w:w="1470"/>
        <w:gridCol w:w="1470"/>
      </w:tblGrid>
      <w:tr w:rsidR="00911808" w:rsidRPr="00A71D2E" w:rsidTr="0027505B">
        <w:trPr>
          <w:trHeight w:val="20"/>
        </w:trPr>
        <w:tc>
          <w:tcPr>
            <w:tcW w:w="4673" w:type="dxa"/>
            <w:shd w:val="clear" w:color="auto" w:fill="D9D9D9" w:themeFill="background1" w:themeFillShade="D9"/>
            <w:tcMar>
              <w:top w:w="0" w:type="dxa"/>
              <w:left w:w="108" w:type="dxa"/>
              <w:bottom w:w="0" w:type="dxa"/>
              <w:right w:w="108" w:type="dxa"/>
            </w:tcMar>
            <w:vAlign w:val="center"/>
            <w:hideMark/>
          </w:tcPr>
          <w:p w:rsidR="00911808" w:rsidRPr="00A71D2E" w:rsidRDefault="00911808">
            <w:pPr>
              <w:jc w:val="center"/>
              <w:rPr>
                <w:rFonts w:eastAsia="宋体" w:cs="Times New Roman"/>
                <w:sz w:val="18"/>
                <w:szCs w:val="18"/>
              </w:rPr>
            </w:pPr>
            <w:r w:rsidRPr="00A71D2E">
              <w:rPr>
                <w:rFonts w:eastAsia="宋体" w:cs="Times New Roman" w:hint="eastAsia"/>
                <w:sz w:val="18"/>
                <w:szCs w:val="18"/>
              </w:rPr>
              <w:t>关联方</w:t>
            </w:r>
          </w:p>
        </w:tc>
        <w:tc>
          <w:tcPr>
            <w:tcW w:w="1843" w:type="dxa"/>
            <w:shd w:val="clear" w:color="auto" w:fill="D9D9D9" w:themeFill="background1" w:themeFillShade="D9"/>
            <w:tcMar>
              <w:top w:w="0" w:type="dxa"/>
              <w:left w:w="108" w:type="dxa"/>
              <w:bottom w:w="0" w:type="dxa"/>
              <w:right w:w="108" w:type="dxa"/>
            </w:tcMar>
            <w:vAlign w:val="center"/>
            <w:hideMark/>
          </w:tcPr>
          <w:p w:rsidR="00911808" w:rsidRPr="00A71D2E" w:rsidRDefault="00911808">
            <w:pPr>
              <w:jc w:val="center"/>
              <w:rPr>
                <w:rFonts w:eastAsia="宋体" w:cs="Times New Roman"/>
                <w:sz w:val="18"/>
                <w:szCs w:val="18"/>
              </w:rPr>
            </w:pPr>
            <w:r w:rsidRPr="00A71D2E">
              <w:rPr>
                <w:rFonts w:eastAsia="宋体" w:cs="Times New Roman" w:hint="eastAsia"/>
                <w:sz w:val="18"/>
                <w:szCs w:val="18"/>
              </w:rPr>
              <w:t>关联交易内容</w:t>
            </w:r>
          </w:p>
        </w:tc>
        <w:tc>
          <w:tcPr>
            <w:tcW w:w="1470" w:type="dxa"/>
            <w:shd w:val="clear" w:color="auto" w:fill="D9D9D9" w:themeFill="background1" w:themeFillShade="D9"/>
            <w:vAlign w:val="center"/>
          </w:tcPr>
          <w:p w:rsidR="00911808" w:rsidRPr="00A71D2E" w:rsidRDefault="00911808">
            <w:pPr>
              <w:jc w:val="center"/>
              <w:rPr>
                <w:rFonts w:eastAsia="宋体" w:cs="Times New Roman"/>
                <w:sz w:val="18"/>
                <w:szCs w:val="18"/>
              </w:rPr>
            </w:pPr>
            <w:r w:rsidRPr="00A71D2E">
              <w:rPr>
                <w:rFonts w:eastAsia="宋体" w:cs="Times New Roman" w:hint="eastAsia"/>
                <w:sz w:val="18"/>
                <w:szCs w:val="18"/>
              </w:rPr>
              <w:t>本年发生额</w:t>
            </w:r>
          </w:p>
        </w:tc>
        <w:tc>
          <w:tcPr>
            <w:tcW w:w="1470" w:type="dxa"/>
            <w:shd w:val="clear" w:color="auto" w:fill="D9D9D9" w:themeFill="background1" w:themeFillShade="D9"/>
            <w:vAlign w:val="center"/>
          </w:tcPr>
          <w:p w:rsidR="00911808" w:rsidRPr="00A71D2E" w:rsidRDefault="00911808">
            <w:pPr>
              <w:jc w:val="center"/>
              <w:rPr>
                <w:rFonts w:eastAsia="宋体" w:cs="Times New Roman"/>
                <w:sz w:val="18"/>
                <w:szCs w:val="18"/>
              </w:rPr>
            </w:pPr>
            <w:r w:rsidRPr="00A71D2E">
              <w:rPr>
                <w:rFonts w:eastAsia="宋体" w:cs="Times New Roman" w:hint="eastAsia"/>
                <w:sz w:val="18"/>
                <w:szCs w:val="18"/>
              </w:rPr>
              <w:t>上年发生额</w:t>
            </w:r>
          </w:p>
        </w:tc>
      </w:tr>
      <w:tr w:rsidR="00053EE8" w:rsidRPr="00A71D2E" w:rsidTr="0027505B">
        <w:trPr>
          <w:trHeight w:val="20"/>
        </w:trPr>
        <w:tc>
          <w:tcPr>
            <w:tcW w:w="4673" w:type="dxa"/>
            <w:tcMar>
              <w:top w:w="0" w:type="dxa"/>
              <w:left w:w="108" w:type="dxa"/>
              <w:bottom w:w="0" w:type="dxa"/>
              <w:right w:w="108" w:type="dxa"/>
            </w:tcMar>
            <w:vAlign w:val="center"/>
          </w:tcPr>
          <w:p w:rsidR="00053EE8" w:rsidRPr="00A71D2E" w:rsidRDefault="00053EE8" w:rsidP="00053EE8">
            <w:pPr>
              <w:rPr>
                <w:rFonts w:eastAsia="宋体" w:cs="Times New Roman"/>
                <w:sz w:val="18"/>
                <w:szCs w:val="18"/>
              </w:rPr>
            </w:pPr>
            <w:proofErr w:type="gramStart"/>
            <w:r w:rsidRPr="00A71D2E">
              <w:rPr>
                <w:rFonts w:eastAsia="宋体" w:cs="Times New Roman" w:hint="eastAsia"/>
                <w:sz w:val="18"/>
                <w:szCs w:val="18"/>
              </w:rPr>
              <w:t>海康威视股份公司</w:t>
            </w:r>
            <w:proofErr w:type="gramEnd"/>
            <w:r w:rsidRPr="00A71D2E">
              <w:rPr>
                <w:rFonts w:eastAsia="宋体" w:cs="Times New Roman" w:hint="eastAsia"/>
                <w:sz w:val="18"/>
                <w:szCs w:val="18"/>
              </w:rPr>
              <w:t>及其下属企业</w:t>
            </w:r>
          </w:p>
        </w:tc>
        <w:tc>
          <w:tcPr>
            <w:tcW w:w="1843" w:type="dxa"/>
            <w:tcMar>
              <w:top w:w="0" w:type="dxa"/>
              <w:left w:w="108" w:type="dxa"/>
              <w:bottom w:w="0" w:type="dxa"/>
              <w:right w:w="108" w:type="dxa"/>
            </w:tcMar>
            <w:vAlign w:val="center"/>
          </w:tcPr>
          <w:p w:rsidR="00053EE8" w:rsidRPr="00A71D2E" w:rsidRDefault="00053EE8" w:rsidP="00053EE8">
            <w:pPr>
              <w:jc w:val="center"/>
              <w:rPr>
                <w:rFonts w:eastAsia="宋体" w:cs="Times New Roman"/>
                <w:sz w:val="18"/>
                <w:szCs w:val="18"/>
              </w:rPr>
            </w:pPr>
            <w:r>
              <w:rPr>
                <w:rFonts w:eastAsia="宋体" w:cs="Times New Roman" w:hint="eastAsia"/>
                <w:sz w:val="18"/>
                <w:szCs w:val="18"/>
              </w:rPr>
              <w:t>采购材料、接受劳务</w:t>
            </w:r>
          </w:p>
        </w:tc>
        <w:tc>
          <w:tcPr>
            <w:tcW w:w="1470" w:type="dxa"/>
            <w:vAlign w:val="center"/>
          </w:tcPr>
          <w:p w:rsidR="00053EE8" w:rsidRPr="00A71D2E" w:rsidRDefault="0053453D" w:rsidP="00053EE8">
            <w:pPr>
              <w:ind w:right="75"/>
              <w:jc w:val="right"/>
              <w:rPr>
                <w:rFonts w:eastAsia="宋体" w:cs="Times New Roman"/>
                <w:sz w:val="18"/>
                <w:szCs w:val="18"/>
              </w:rPr>
            </w:pPr>
            <w:r w:rsidRPr="0053453D">
              <w:rPr>
                <w:rFonts w:eastAsia="宋体" w:cs="Times New Roman"/>
                <w:sz w:val="18"/>
                <w:szCs w:val="18"/>
              </w:rPr>
              <w:t>210,840,115.39</w:t>
            </w:r>
          </w:p>
        </w:tc>
        <w:tc>
          <w:tcPr>
            <w:tcW w:w="1470" w:type="dxa"/>
            <w:vAlign w:val="center"/>
          </w:tcPr>
          <w:p w:rsidR="00053EE8" w:rsidRPr="00A71D2E" w:rsidRDefault="00053EE8" w:rsidP="00053EE8">
            <w:pPr>
              <w:ind w:right="75"/>
              <w:jc w:val="right"/>
              <w:rPr>
                <w:rFonts w:eastAsia="宋体" w:cs="Times New Roman"/>
                <w:sz w:val="18"/>
                <w:szCs w:val="18"/>
              </w:rPr>
            </w:pPr>
            <w:r w:rsidRPr="00F0403D">
              <w:rPr>
                <w:rFonts w:eastAsia="宋体" w:cs="Times New Roman"/>
                <w:sz w:val="18"/>
                <w:szCs w:val="18"/>
              </w:rPr>
              <w:t>151,437,567.58</w:t>
            </w:r>
          </w:p>
        </w:tc>
      </w:tr>
      <w:tr w:rsidR="00053EE8" w:rsidRPr="00A71D2E" w:rsidTr="0027505B">
        <w:trPr>
          <w:trHeight w:val="20"/>
        </w:trPr>
        <w:tc>
          <w:tcPr>
            <w:tcW w:w="4673" w:type="dxa"/>
            <w:tcMar>
              <w:top w:w="0" w:type="dxa"/>
              <w:left w:w="108" w:type="dxa"/>
              <w:bottom w:w="0" w:type="dxa"/>
              <w:right w:w="108" w:type="dxa"/>
            </w:tcMar>
            <w:vAlign w:val="center"/>
          </w:tcPr>
          <w:p w:rsidR="00053EE8" w:rsidRPr="00A71D2E" w:rsidRDefault="0027505B" w:rsidP="00053EE8">
            <w:pPr>
              <w:rPr>
                <w:rFonts w:eastAsia="宋体" w:cs="Times New Roman"/>
                <w:sz w:val="18"/>
                <w:szCs w:val="18"/>
              </w:rPr>
            </w:pPr>
            <w:r>
              <w:rPr>
                <w:rFonts w:eastAsia="宋体" w:cs="Times New Roman" w:hint="eastAsia"/>
                <w:sz w:val="18"/>
                <w:szCs w:val="18"/>
              </w:rPr>
              <w:t>其他关联企业</w:t>
            </w:r>
          </w:p>
        </w:tc>
        <w:tc>
          <w:tcPr>
            <w:tcW w:w="1843" w:type="dxa"/>
            <w:tcMar>
              <w:top w:w="0" w:type="dxa"/>
              <w:left w:w="108" w:type="dxa"/>
              <w:bottom w:w="0" w:type="dxa"/>
              <w:right w:w="108" w:type="dxa"/>
            </w:tcMar>
            <w:vAlign w:val="center"/>
          </w:tcPr>
          <w:p w:rsidR="00053EE8" w:rsidRPr="00A71D2E" w:rsidRDefault="00053EE8" w:rsidP="00053EE8">
            <w:pPr>
              <w:jc w:val="center"/>
              <w:rPr>
                <w:rFonts w:eastAsia="宋体" w:cs="Times New Roman"/>
                <w:sz w:val="18"/>
                <w:szCs w:val="18"/>
              </w:rPr>
            </w:pPr>
            <w:r w:rsidRPr="00516382">
              <w:rPr>
                <w:rFonts w:eastAsia="宋体" w:cs="Times New Roman" w:hint="eastAsia"/>
                <w:sz w:val="18"/>
                <w:szCs w:val="18"/>
              </w:rPr>
              <w:t>采购材料、接受劳务</w:t>
            </w:r>
          </w:p>
        </w:tc>
        <w:tc>
          <w:tcPr>
            <w:tcW w:w="1470" w:type="dxa"/>
            <w:vAlign w:val="center"/>
          </w:tcPr>
          <w:p w:rsidR="00053EE8" w:rsidRPr="00A71D2E" w:rsidRDefault="0023159C" w:rsidP="00053EE8">
            <w:pPr>
              <w:ind w:right="75"/>
              <w:jc w:val="right"/>
              <w:rPr>
                <w:rFonts w:eastAsia="宋体" w:cs="Times New Roman"/>
                <w:sz w:val="18"/>
                <w:szCs w:val="18"/>
              </w:rPr>
            </w:pPr>
            <w:r w:rsidRPr="0023159C">
              <w:rPr>
                <w:rFonts w:eastAsia="宋体" w:cs="Times New Roman"/>
                <w:sz w:val="18"/>
                <w:szCs w:val="18"/>
              </w:rPr>
              <w:t>203,811,728.19</w:t>
            </w:r>
          </w:p>
        </w:tc>
        <w:tc>
          <w:tcPr>
            <w:tcW w:w="1470" w:type="dxa"/>
            <w:vAlign w:val="center"/>
          </w:tcPr>
          <w:p w:rsidR="00053EE8" w:rsidRPr="00A71D2E" w:rsidRDefault="00053EE8" w:rsidP="00053EE8">
            <w:pPr>
              <w:ind w:right="75"/>
              <w:jc w:val="right"/>
              <w:rPr>
                <w:rFonts w:eastAsia="宋体" w:cs="Times New Roman"/>
                <w:sz w:val="18"/>
                <w:szCs w:val="18"/>
              </w:rPr>
            </w:pPr>
            <w:r w:rsidRPr="00A71D2E">
              <w:rPr>
                <w:rFonts w:eastAsia="宋体" w:cs="Times New Roman"/>
                <w:sz w:val="18"/>
                <w:szCs w:val="18"/>
              </w:rPr>
              <w:t>100,196,330.07</w:t>
            </w:r>
          </w:p>
        </w:tc>
      </w:tr>
      <w:tr w:rsidR="00053EE8" w:rsidRPr="00A71D2E" w:rsidTr="0027505B">
        <w:trPr>
          <w:trHeight w:val="20"/>
        </w:trPr>
        <w:tc>
          <w:tcPr>
            <w:tcW w:w="4673" w:type="dxa"/>
            <w:tcMar>
              <w:top w:w="0" w:type="dxa"/>
              <w:left w:w="108" w:type="dxa"/>
              <w:bottom w:w="0" w:type="dxa"/>
              <w:right w:w="108" w:type="dxa"/>
            </w:tcMar>
            <w:vAlign w:val="center"/>
          </w:tcPr>
          <w:p w:rsidR="00053EE8" w:rsidRPr="00A71D2E" w:rsidRDefault="00053EE8" w:rsidP="00053EE8">
            <w:pPr>
              <w:rPr>
                <w:rFonts w:eastAsia="宋体" w:cs="Times New Roman"/>
                <w:sz w:val="18"/>
                <w:szCs w:val="18"/>
              </w:rPr>
            </w:pPr>
            <w:r w:rsidRPr="00A71D2E">
              <w:rPr>
                <w:rFonts w:eastAsia="宋体" w:cs="Times New Roman" w:hint="eastAsia"/>
                <w:sz w:val="18"/>
                <w:szCs w:val="18"/>
              </w:rPr>
              <w:t>中电下属企业</w:t>
            </w:r>
          </w:p>
        </w:tc>
        <w:tc>
          <w:tcPr>
            <w:tcW w:w="1843" w:type="dxa"/>
            <w:tcMar>
              <w:top w:w="0" w:type="dxa"/>
              <w:left w:w="108" w:type="dxa"/>
              <w:bottom w:w="0" w:type="dxa"/>
              <w:right w:w="108" w:type="dxa"/>
            </w:tcMar>
            <w:vAlign w:val="center"/>
          </w:tcPr>
          <w:p w:rsidR="00053EE8" w:rsidRPr="00A71D2E" w:rsidRDefault="00053EE8" w:rsidP="00053EE8">
            <w:pPr>
              <w:jc w:val="center"/>
              <w:rPr>
                <w:rFonts w:eastAsia="宋体" w:cs="Times New Roman"/>
                <w:sz w:val="18"/>
                <w:szCs w:val="18"/>
              </w:rPr>
            </w:pPr>
            <w:r w:rsidRPr="00516382">
              <w:rPr>
                <w:rFonts w:eastAsia="宋体" w:cs="Times New Roman" w:hint="eastAsia"/>
                <w:sz w:val="18"/>
                <w:szCs w:val="18"/>
              </w:rPr>
              <w:t>采购材料、接受劳务</w:t>
            </w:r>
          </w:p>
        </w:tc>
        <w:tc>
          <w:tcPr>
            <w:tcW w:w="1470" w:type="dxa"/>
            <w:vAlign w:val="center"/>
          </w:tcPr>
          <w:p w:rsidR="00053EE8" w:rsidRPr="00A71D2E" w:rsidRDefault="00772FCC" w:rsidP="00053EE8">
            <w:pPr>
              <w:ind w:right="75"/>
              <w:jc w:val="right"/>
              <w:rPr>
                <w:rFonts w:eastAsia="宋体" w:cs="Times New Roman"/>
                <w:sz w:val="18"/>
                <w:szCs w:val="18"/>
              </w:rPr>
            </w:pPr>
            <w:r w:rsidRPr="00772FCC">
              <w:rPr>
                <w:rFonts w:eastAsia="宋体" w:cs="Times New Roman"/>
                <w:sz w:val="18"/>
                <w:szCs w:val="18"/>
              </w:rPr>
              <w:t>64,246,988.16</w:t>
            </w:r>
          </w:p>
        </w:tc>
        <w:tc>
          <w:tcPr>
            <w:tcW w:w="1470" w:type="dxa"/>
            <w:vAlign w:val="center"/>
          </w:tcPr>
          <w:p w:rsidR="00053EE8" w:rsidRPr="00A71D2E" w:rsidRDefault="00053EE8" w:rsidP="00053EE8">
            <w:pPr>
              <w:ind w:right="75"/>
              <w:jc w:val="right"/>
              <w:rPr>
                <w:rFonts w:eastAsia="宋体" w:cs="Times New Roman"/>
                <w:sz w:val="18"/>
                <w:szCs w:val="18"/>
              </w:rPr>
            </w:pPr>
            <w:r w:rsidRPr="00F0403D">
              <w:rPr>
                <w:rFonts w:eastAsia="宋体" w:cs="Times New Roman"/>
                <w:sz w:val="18"/>
                <w:szCs w:val="18"/>
              </w:rPr>
              <w:t>38,506,584.83</w:t>
            </w:r>
          </w:p>
        </w:tc>
      </w:tr>
      <w:tr w:rsidR="00053EE8" w:rsidRPr="00A71D2E" w:rsidTr="0027505B">
        <w:trPr>
          <w:trHeight w:val="20"/>
        </w:trPr>
        <w:tc>
          <w:tcPr>
            <w:tcW w:w="4673" w:type="dxa"/>
            <w:shd w:val="clear" w:color="auto" w:fill="D9D9D9" w:themeFill="background1" w:themeFillShade="D9"/>
            <w:tcMar>
              <w:top w:w="0" w:type="dxa"/>
              <w:left w:w="108" w:type="dxa"/>
              <w:bottom w:w="0" w:type="dxa"/>
              <w:right w:w="108" w:type="dxa"/>
            </w:tcMar>
            <w:vAlign w:val="center"/>
          </w:tcPr>
          <w:p w:rsidR="00053EE8" w:rsidRPr="00A71D2E" w:rsidRDefault="00053EE8" w:rsidP="00053EE8">
            <w:pPr>
              <w:rPr>
                <w:rFonts w:eastAsia="宋体" w:cs="Times New Roman"/>
                <w:sz w:val="18"/>
                <w:szCs w:val="18"/>
              </w:rPr>
            </w:pPr>
            <w:r w:rsidRPr="00A71D2E">
              <w:rPr>
                <w:rFonts w:eastAsia="宋体" w:cs="Times New Roman" w:hint="eastAsia"/>
                <w:sz w:val="18"/>
                <w:szCs w:val="18"/>
              </w:rPr>
              <w:t>合计</w:t>
            </w:r>
          </w:p>
        </w:tc>
        <w:tc>
          <w:tcPr>
            <w:tcW w:w="1843" w:type="dxa"/>
            <w:shd w:val="clear" w:color="auto" w:fill="FFFFFF" w:themeFill="background1"/>
            <w:tcMar>
              <w:top w:w="0" w:type="dxa"/>
              <w:left w:w="108" w:type="dxa"/>
              <w:bottom w:w="0" w:type="dxa"/>
              <w:right w:w="108" w:type="dxa"/>
            </w:tcMar>
            <w:vAlign w:val="center"/>
          </w:tcPr>
          <w:p w:rsidR="00053EE8" w:rsidRPr="00A71D2E" w:rsidRDefault="00053EE8" w:rsidP="00053EE8">
            <w:pPr>
              <w:jc w:val="center"/>
              <w:rPr>
                <w:rFonts w:eastAsia="宋体" w:cs="Times New Roman"/>
                <w:sz w:val="18"/>
                <w:szCs w:val="18"/>
              </w:rPr>
            </w:pPr>
          </w:p>
        </w:tc>
        <w:tc>
          <w:tcPr>
            <w:tcW w:w="1470" w:type="dxa"/>
            <w:shd w:val="clear" w:color="auto" w:fill="FFFFFF" w:themeFill="background1"/>
            <w:vAlign w:val="center"/>
          </w:tcPr>
          <w:p w:rsidR="00053EE8" w:rsidRPr="00A71D2E" w:rsidRDefault="0023159C" w:rsidP="00053EE8">
            <w:pPr>
              <w:ind w:right="75"/>
              <w:jc w:val="right"/>
              <w:rPr>
                <w:rFonts w:eastAsia="宋体" w:cs="Times New Roman"/>
                <w:sz w:val="18"/>
                <w:szCs w:val="18"/>
              </w:rPr>
            </w:pPr>
            <w:r w:rsidRPr="0023159C">
              <w:rPr>
                <w:rFonts w:eastAsia="宋体" w:cs="Times New Roman"/>
                <w:sz w:val="18"/>
                <w:szCs w:val="18"/>
              </w:rPr>
              <w:t>478,898,831.74</w:t>
            </w:r>
          </w:p>
        </w:tc>
        <w:tc>
          <w:tcPr>
            <w:tcW w:w="1470" w:type="dxa"/>
            <w:shd w:val="clear" w:color="auto" w:fill="FFFFFF" w:themeFill="background1"/>
            <w:vAlign w:val="center"/>
          </w:tcPr>
          <w:p w:rsidR="00053EE8" w:rsidRPr="00A71D2E" w:rsidRDefault="00053EE8" w:rsidP="00053EE8">
            <w:pPr>
              <w:ind w:right="75"/>
              <w:jc w:val="right"/>
              <w:rPr>
                <w:rFonts w:eastAsia="宋体" w:cs="Times New Roman"/>
                <w:sz w:val="18"/>
                <w:szCs w:val="18"/>
              </w:rPr>
            </w:pPr>
            <w:r w:rsidRPr="00A71D2E">
              <w:rPr>
                <w:rFonts w:eastAsia="宋体" w:cs="Times New Roman"/>
                <w:sz w:val="18"/>
                <w:szCs w:val="18"/>
              </w:rPr>
              <w:t>290,140,482.48</w:t>
            </w:r>
          </w:p>
        </w:tc>
      </w:tr>
    </w:tbl>
    <w:p w:rsidR="00F34737" w:rsidRPr="00A71D2E" w:rsidRDefault="00F34737">
      <w:pPr>
        <w:ind w:left="742"/>
        <w:jc w:val="both"/>
        <w:rPr>
          <w:rFonts w:eastAsia="宋体" w:cs="Times New Roman"/>
          <w:szCs w:val="21"/>
        </w:rPr>
      </w:pPr>
    </w:p>
    <w:p w:rsidR="00F34737" w:rsidRPr="00A71D2E" w:rsidRDefault="00F34737">
      <w:pPr>
        <w:ind w:left="742"/>
        <w:jc w:val="both"/>
        <w:rPr>
          <w:rFonts w:eastAsia="宋体" w:cs="Times New Roman"/>
          <w:szCs w:val="21"/>
        </w:rPr>
      </w:pPr>
      <w:r w:rsidRPr="00A71D2E">
        <w:rPr>
          <w:rFonts w:eastAsia="宋体" w:cs="Times New Roman" w:hint="eastAsia"/>
          <w:szCs w:val="21"/>
        </w:rPr>
        <w:t>销售商品</w:t>
      </w:r>
      <w:r w:rsidRPr="00A71D2E">
        <w:rPr>
          <w:rFonts w:eastAsia="宋体" w:cs="Times New Roman"/>
          <w:szCs w:val="21"/>
        </w:rPr>
        <w:t>/</w:t>
      </w:r>
      <w:r w:rsidRPr="00A71D2E">
        <w:rPr>
          <w:rFonts w:eastAsia="宋体" w:cs="Times New Roman" w:hint="eastAsia"/>
          <w:szCs w:val="21"/>
        </w:rPr>
        <w:t>提供劳务情况表</w:t>
      </w:r>
      <w:r w:rsidR="005F14EE">
        <w:rPr>
          <w:rFonts w:eastAsia="宋体" w:cs="Times New Roman" w:hint="eastAsia"/>
          <w:szCs w:val="21"/>
        </w:rPr>
        <w:t>：</w:t>
      </w:r>
    </w:p>
    <w:p w:rsidR="00F34737" w:rsidRPr="00A71D2E" w:rsidRDefault="00F34737">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73"/>
        <w:gridCol w:w="1843"/>
        <w:gridCol w:w="1470"/>
        <w:gridCol w:w="1470"/>
      </w:tblGrid>
      <w:tr w:rsidR="00911808" w:rsidRPr="00A71D2E" w:rsidTr="0027505B">
        <w:trPr>
          <w:trHeight w:val="20"/>
        </w:trPr>
        <w:tc>
          <w:tcPr>
            <w:tcW w:w="4673" w:type="dxa"/>
            <w:shd w:val="clear" w:color="auto" w:fill="D9D9D9" w:themeFill="background1" w:themeFillShade="D9"/>
            <w:tcMar>
              <w:top w:w="0" w:type="dxa"/>
              <w:left w:w="108" w:type="dxa"/>
              <w:bottom w:w="0" w:type="dxa"/>
              <w:right w:w="108" w:type="dxa"/>
            </w:tcMar>
            <w:vAlign w:val="center"/>
            <w:hideMark/>
          </w:tcPr>
          <w:p w:rsidR="00911808" w:rsidRPr="00A71D2E" w:rsidRDefault="00911808">
            <w:pPr>
              <w:jc w:val="center"/>
              <w:rPr>
                <w:rFonts w:eastAsia="宋体" w:cs="Times New Roman"/>
                <w:sz w:val="18"/>
                <w:szCs w:val="18"/>
              </w:rPr>
            </w:pPr>
            <w:r w:rsidRPr="00A71D2E">
              <w:rPr>
                <w:rFonts w:eastAsia="宋体" w:cs="Times New Roman" w:hint="eastAsia"/>
                <w:sz w:val="18"/>
                <w:szCs w:val="18"/>
              </w:rPr>
              <w:t>关联方</w:t>
            </w:r>
          </w:p>
        </w:tc>
        <w:tc>
          <w:tcPr>
            <w:tcW w:w="1843" w:type="dxa"/>
            <w:shd w:val="clear" w:color="auto" w:fill="D9D9D9" w:themeFill="background1" w:themeFillShade="D9"/>
            <w:tcMar>
              <w:top w:w="0" w:type="dxa"/>
              <w:left w:w="108" w:type="dxa"/>
              <w:bottom w:w="0" w:type="dxa"/>
              <w:right w:w="108" w:type="dxa"/>
            </w:tcMar>
            <w:vAlign w:val="center"/>
            <w:hideMark/>
          </w:tcPr>
          <w:p w:rsidR="00911808" w:rsidRPr="00A71D2E" w:rsidRDefault="00911808">
            <w:pPr>
              <w:jc w:val="center"/>
              <w:rPr>
                <w:rFonts w:eastAsia="宋体" w:cs="Times New Roman"/>
                <w:sz w:val="18"/>
                <w:szCs w:val="18"/>
              </w:rPr>
            </w:pPr>
            <w:r w:rsidRPr="00A71D2E">
              <w:rPr>
                <w:rFonts w:eastAsia="宋体" w:cs="Times New Roman" w:hint="eastAsia"/>
                <w:sz w:val="18"/>
                <w:szCs w:val="18"/>
              </w:rPr>
              <w:t>关联交易内容</w:t>
            </w:r>
          </w:p>
        </w:tc>
        <w:tc>
          <w:tcPr>
            <w:tcW w:w="1470" w:type="dxa"/>
            <w:shd w:val="clear" w:color="auto" w:fill="D9D9D9" w:themeFill="background1" w:themeFillShade="D9"/>
            <w:vAlign w:val="center"/>
          </w:tcPr>
          <w:p w:rsidR="00911808" w:rsidRPr="00A71D2E" w:rsidRDefault="00911808">
            <w:pPr>
              <w:jc w:val="center"/>
              <w:rPr>
                <w:rFonts w:eastAsia="宋体" w:cs="Times New Roman"/>
                <w:sz w:val="18"/>
                <w:szCs w:val="18"/>
              </w:rPr>
            </w:pPr>
            <w:r w:rsidRPr="00A71D2E">
              <w:rPr>
                <w:rFonts w:eastAsia="宋体" w:cs="Times New Roman" w:hint="eastAsia"/>
                <w:sz w:val="18"/>
                <w:szCs w:val="18"/>
              </w:rPr>
              <w:t>本年发生额</w:t>
            </w:r>
          </w:p>
        </w:tc>
        <w:tc>
          <w:tcPr>
            <w:tcW w:w="1470" w:type="dxa"/>
            <w:shd w:val="clear" w:color="auto" w:fill="D9D9D9" w:themeFill="background1" w:themeFillShade="D9"/>
            <w:vAlign w:val="center"/>
          </w:tcPr>
          <w:p w:rsidR="00911808" w:rsidRPr="00A71D2E" w:rsidRDefault="00911808">
            <w:pPr>
              <w:jc w:val="center"/>
              <w:rPr>
                <w:rFonts w:eastAsia="宋体" w:cs="Times New Roman"/>
                <w:sz w:val="18"/>
                <w:szCs w:val="18"/>
              </w:rPr>
            </w:pPr>
            <w:r w:rsidRPr="00A71D2E">
              <w:rPr>
                <w:rFonts w:eastAsia="宋体" w:cs="Times New Roman" w:hint="eastAsia"/>
                <w:sz w:val="18"/>
                <w:szCs w:val="18"/>
              </w:rPr>
              <w:t>上年发生额</w:t>
            </w:r>
          </w:p>
        </w:tc>
      </w:tr>
      <w:tr w:rsidR="00053EE8" w:rsidRPr="00A71D2E" w:rsidTr="0027505B">
        <w:trPr>
          <w:trHeight w:val="20"/>
        </w:trPr>
        <w:tc>
          <w:tcPr>
            <w:tcW w:w="4673" w:type="dxa"/>
            <w:tcMar>
              <w:top w:w="0" w:type="dxa"/>
              <w:left w:w="108" w:type="dxa"/>
              <w:bottom w:w="0" w:type="dxa"/>
              <w:right w:w="108" w:type="dxa"/>
            </w:tcMar>
            <w:vAlign w:val="center"/>
          </w:tcPr>
          <w:p w:rsidR="00053EE8" w:rsidRPr="00A71D2E" w:rsidRDefault="00053EE8" w:rsidP="00053EE8">
            <w:pPr>
              <w:rPr>
                <w:rFonts w:eastAsia="宋体" w:cs="Times New Roman"/>
                <w:sz w:val="18"/>
                <w:szCs w:val="18"/>
              </w:rPr>
            </w:pPr>
            <w:proofErr w:type="gramStart"/>
            <w:r w:rsidRPr="00A71D2E">
              <w:rPr>
                <w:rFonts w:eastAsia="宋体" w:cs="Times New Roman" w:hint="eastAsia"/>
                <w:sz w:val="18"/>
                <w:szCs w:val="18"/>
              </w:rPr>
              <w:t>海康威视股份公司</w:t>
            </w:r>
            <w:proofErr w:type="gramEnd"/>
            <w:r w:rsidRPr="00A71D2E">
              <w:rPr>
                <w:rFonts w:eastAsia="宋体" w:cs="Times New Roman" w:hint="eastAsia"/>
                <w:sz w:val="18"/>
                <w:szCs w:val="18"/>
              </w:rPr>
              <w:t>及其下属企业</w:t>
            </w:r>
          </w:p>
        </w:tc>
        <w:tc>
          <w:tcPr>
            <w:tcW w:w="1843" w:type="dxa"/>
            <w:tcMar>
              <w:top w:w="0" w:type="dxa"/>
              <w:left w:w="108" w:type="dxa"/>
              <w:bottom w:w="0" w:type="dxa"/>
              <w:right w:w="108" w:type="dxa"/>
            </w:tcMar>
            <w:vAlign w:val="center"/>
          </w:tcPr>
          <w:p w:rsidR="00053EE8" w:rsidRPr="00A71D2E" w:rsidRDefault="00053EE8" w:rsidP="00053EE8">
            <w:pPr>
              <w:ind w:left="-104" w:right="-108"/>
              <w:jc w:val="center"/>
              <w:rPr>
                <w:rFonts w:eastAsia="宋体" w:cs="Times New Roman"/>
                <w:sz w:val="18"/>
                <w:szCs w:val="18"/>
              </w:rPr>
            </w:pPr>
            <w:r w:rsidRPr="00A71D2E">
              <w:rPr>
                <w:rFonts w:eastAsia="宋体" w:cs="Times New Roman" w:hint="eastAsia"/>
                <w:sz w:val="18"/>
                <w:szCs w:val="18"/>
              </w:rPr>
              <w:t>销售商品、提供劳务</w:t>
            </w:r>
          </w:p>
        </w:tc>
        <w:tc>
          <w:tcPr>
            <w:tcW w:w="1470" w:type="dxa"/>
            <w:vAlign w:val="center"/>
          </w:tcPr>
          <w:p w:rsidR="00053EE8" w:rsidRPr="00A71D2E" w:rsidRDefault="00772FCC" w:rsidP="00053EE8">
            <w:pPr>
              <w:ind w:right="94"/>
              <w:jc w:val="right"/>
              <w:rPr>
                <w:rFonts w:eastAsia="宋体" w:cs="Times New Roman"/>
                <w:sz w:val="18"/>
                <w:szCs w:val="18"/>
              </w:rPr>
            </w:pPr>
            <w:r w:rsidRPr="00772FCC">
              <w:rPr>
                <w:rFonts w:eastAsia="宋体" w:cs="Times New Roman"/>
                <w:sz w:val="18"/>
                <w:szCs w:val="18"/>
              </w:rPr>
              <w:t>696,575,796.90</w:t>
            </w:r>
          </w:p>
        </w:tc>
        <w:tc>
          <w:tcPr>
            <w:tcW w:w="1470" w:type="dxa"/>
            <w:vAlign w:val="center"/>
          </w:tcPr>
          <w:p w:rsidR="00053EE8" w:rsidRPr="00A71D2E" w:rsidRDefault="00053EE8" w:rsidP="00053EE8">
            <w:pPr>
              <w:ind w:right="94"/>
              <w:jc w:val="right"/>
              <w:rPr>
                <w:rFonts w:eastAsia="宋体" w:cs="Times New Roman"/>
                <w:sz w:val="18"/>
                <w:szCs w:val="18"/>
              </w:rPr>
            </w:pPr>
            <w:r w:rsidRPr="00A71D2E">
              <w:rPr>
                <w:rFonts w:eastAsia="宋体" w:cs="Times New Roman"/>
                <w:sz w:val="18"/>
                <w:szCs w:val="18"/>
              </w:rPr>
              <w:t>625,492,115.22</w:t>
            </w:r>
          </w:p>
        </w:tc>
      </w:tr>
      <w:tr w:rsidR="00053EE8" w:rsidRPr="00A71D2E" w:rsidTr="0027505B">
        <w:trPr>
          <w:trHeight w:val="20"/>
        </w:trPr>
        <w:tc>
          <w:tcPr>
            <w:tcW w:w="4673" w:type="dxa"/>
            <w:tcMar>
              <w:top w:w="0" w:type="dxa"/>
              <w:left w:w="108" w:type="dxa"/>
              <w:bottom w:w="0" w:type="dxa"/>
              <w:right w:w="108" w:type="dxa"/>
            </w:tcMar>
            <w:vAlign w:val="center"/>
          </w:tcPr>
          <w:p w:rsidR="00053EE8" w:rsidRPr="00A71D2E" w:rsidRDefault="00053EE8" w:rsidP="00053EE8">
            <w:pPr>
              <w:rPr>
                <w:rFonts w:eastAsia="宋体" w:cs="Times New Roman"/>
                <w:sz w:val="18"/>
                <w:szCs w:val="18"/>
              </w:rPr>
            </w:pPr>
            <w:r w:rsidRPr="00A71D2E">
              <w:rPr>
                <w:rFonts w:eastAsia="宋体" w:cs="Times New Roman" w:hint="eastAsia"/>
                <w:sz w:val="18"/>
                <w:szCs w:val="18"/>
              </w:rPr>
              <w:t>中电下属企业</w:t>
            </w:r>
          </w:p>
        </w:tc>
        <w:tc>
          <w:tcPr>
            <w:tcW w:w="1843" w:type="dxa"/>
            <w:tcMar>
              <w:top w:w="0" w:type="dxa"/>
              <w:left w:w="108" w:type="dxa"/>
              <w:bottom w:w="0" w:type="dxa"/>
              <w:right w:w="108" w:type="dxa"/>
            </w:tcMar>
            <w:vAlign w:val="center"/>
          </w:tcPr>
          <w:p w:rsidR="00053EE8" w:rsidRPr="00A71D2E" w:rsidRDefault="00053EE8" w:rsidP="00053EE8">
            <w:pPr>
              <w:ind w:left="-104" w:right="-108"/>
              <w:jc w:val="center"/>
              <w:rPr>
                <w:rFonts w:eastAsia="宋体" w:cs="Times New Roman"/>
                <w:sz w:val="18"/>
                <w:szCs w:val="18"/>
              </w:rPr>
            </w:pPr>
            <w:r w:rsidRPr="00A71D2E">
              <w:rPr>
                <w:rFonts w:eastAsia="宋体" w:cs="Times New Roman" w:hint="eastAsia"/>
                <w:sz w:val="18"/>
                <w:szCs w:val="18"/>
              </w:rPr>
              <w:t>销售商品、提供劳务</w:t>
            </w:r>
          </w:p>
        </w:tc>
        <w:tc>
          <w:tcPr>
            <w:tcW w:w="1470" w:type="dxa"/>
            <w:vAlign w:val="center"/>
          </w:tcPr>
          <w:p w:rsidR="00053EE8" w:rsidRPr="00A71D2E" w:rsidRDefault="00772FCC" w:rsidP="00053EE8">
            <w:pPr>
              <w:ind w:right="94"/>
              <w:jc w:val="right"/>
              <w:rPr>
                <w:rFonts w:eastAsia="宋体" w:cs="Times New Roman"/>
                <w:sz w:val="18"/>
                <w:szCs w:val="18"/>
              </w:rPr>
            </w:pPr>
            <w:r w:rsidRPr="00772FCC">
              <w:rPr>
                <w:rFonts w:eastAsia="宋体" w:cs="Times New Roman"/>
                <w:sz w:val="18"/>
                <w:szCs w:val="18"/>
              </w:rPr>
              <w:t>146,228.95</w:t>
            </w:r>
          </w:p>
        </w:tc>
        <w:tc>
          <w:tcPr>
            <w:tcW w:w="1470" w:type="dxa"/>
            <w:vAlign w:val="center"/>
          </w:tcPr>
          <w:p w:rsidR="00053EE8" w:rsidRPr="00A71D2E" w:rsidRDefault="00053EE8" w:rsidP="00053EE8">
            <w:pPr>
              <w:ind w:right="94"/>
              <w:jc w:val="right"/>
              <w:rPr>
                <w:rFonts w:eastAsia="宋体" w:cs="Times New Roman"/>
                <w:sz w:val="18"/>
                <w:szCs w:val="18"/>
              </w:rPr>
            </w:pPr>
            <w:r w:rsidRPr="00A71D2E">
              <w:rPr>
                <w:rFonts w:eastAsia="宋体" w:cs="Times New Roman"/>
                <w:sz w:val="18"/>
                <w:szCs w:val="18"/>
              </w:rPr>
              <w:t xml:space="preserve">-      </w:t>
            </w:r>
          </w:p>
        </w:tc>
      </w:tr>
      <w:tr w:rsidR="00053EE8" w:rsidRPr="00A71D2E" w:rsidTr="0027505B">
        <w:trPr>
          <w:trHeight w:val="20"/>
        </w:trPr>
        <w:tc>
          <w:tcPr>
            <w:tcW w:w="4673" w:type="dxa"/>
            <w:shd w:val="clear" w:color="auto" w:fill="D9D9D9" w:themeFill="background1" w:themeFillShade="D9"/>
            <w:tcMar>
              <w:top w:w="0" w:type="dxa"/>
              <w:left w:w="108" w:type="dxa"/>
              <w:bottom w:w="0" w:type="dxa"/>
              <w:right w:w="108" w:type="dxa"/>
            </w:tcMar>
            <w:vAlign w:val="center"/>
          </w:tcPr>
          <w:p w:rsidR="00053EE8" w:rsidRPr="00A71D2E" w:rsidRDefault="00053EE8" w:rsidP="00053EE8">
            <w:pPr>
              <w:rPr>
                <w:rFonts w:eastAsia="宋体" w:cs="Times New Roman"/>
                <w:sz w:val="18"/>
                <w:szCs w:val="18"/>
              </w:rPr>
            </w:pPr>
            <w:r w:rsidRPr="00A71D2E">
              <w:rPr>
                <w:rFonts w:eastAsia="宋体" w:cs="Times New Roman" w:hint="eastAsia"/>
                <w:sz w:val="18"/>
                <w:szCs w:val="18"/>
              </w:rPr>
              <w:t>合计</w:t>
            </w:r>
          </w:p>
        </w:tc>
        <w:tc>
          <w:tcPr>
            <w:tcW w:w="1843" w:type="dxa"/>
            <w:shd w:val="clear" w:color="auto" w:fill="FFFFFF" w:themeFill="background1"/>
            <w:tcMar>
              <w:top w:w="0" w:type="dxa"/>
              <w:left w:w="108" w:type="dxa"/>
              <w:bottom w:w="0" w:type="dxa"/>
              <w:right w:w="108" w:type="dxa"/>
            </w:tcMar>
            <w:vAlign w:val="center"/>
          </w:tcPr>
          <w:p w:rsidR="00053EE8" w:rsidRPr="00A71D2E" w:rsidRDefault="00053EE8" w:rsidP="00053EE8">
            <w:pPr>
              <w:jc w:val="center"/>
              <w:rPr>
                <w:rFonts w:eastAsia="宋体" w:cs="Times New Roman"/>
                <w:sz w:val="18"/>
                <w:szCs w:val="18"/>
              </w:rPr>
            </w:pPr>
          </w:p>
        </w:tc>
        <w:tc>
          <w:tcPr>
            <w:tcW w:w="1470" w:type="dxa"/>
            <w:shd w:val="clear" w:color="auto" w:fill="FFFFFF" w:themeFill="background1"/>
            <w:vAlign w:val="center"/>
          </w:tcPr>
          <w:p w:rsidR="00053EE8" w:rsidRPr="00A71D2E" w:rsidRDefault="00772FCC" w:rsidP="00053EE8">
            <w:pPr>
              <w:ind w:right="94"/>
              <w:jc w:val="right"/>
              <w:rPr>
                <w:rFonts w:eastAsia="宋体" w:cs="Times New Roman"/>
                <w:sz w:val="18"/>
                <w:szCs w:val="18"/>
              </w:rPr>
            </w:pPr>
            <w:r w:rsidRPr="00772FCC">
              <w:rPr>
                <w:rFonts w:eastAsia="宋体" w:cs="Times New Roman"/>
                <w:sz w:val="18"/>
                <w:szCs w:val="18"/>
              </w:rPr>
              <w:t>696,722,025.85</w:t>
            </w:r>
          </w:p>
        </w:tc>
        <w:tc>
          <w:tcPr>
            <w:tcW w:w="1470" w:type="dxa"/>
            <w:shd w:val="clear" w:color="auto" w:fill="FFFFFF" w:themeFill="background1"/>
            <w:vAlign w:val="center"/>
          </w:tcPr>
          <w:p w:rsidR="00053EE8" w:rsidRPr="00A71D2E" w:rsidRDefault="00053EE8" w:rsidP="00053EE8">
            <w:pPr>
              <w:ind w:right="94"/>
              <w:jc w:val="right"/>
              <w:rPr>
                <w:rFonts w:eastAsia="宋体" w:cs="Times New Roman"/>
                <w:sz w:val="18"/>
                <w:szCs w:val="18"/>
              </w:rPr>
            </w:pPr>
            <w:r w:rsidRPr="00A71D2E">
              <w:rPr>
                <w:rFonts w:eastAsia="宋体" w:cs="Times New Roman"/>
                <w:sz w:val="18"/>
                <w:szCs w:val="18"/>
              </w:rPr>
              <w:t>625,492,115.22</w:t>
            </w:r>
          </w:p>
        </w:tc>
      </w:tr>
    </w:tbl>
    <w:p w:rsidR="00F34737" w:rsidRPr="00A71D2E" w:rsidRDefault="00F34737">
      <w:pPr>
        <w:ind w:left="742"/>
        <w:jc w:val="both"/>
        <w:rPr>
          <w:rFonts w:eastAsia="宋体" w:cs="Times New Roman"/>
          <w:szCs w:val="21"/>
        </w:rPr>
      </w:pPr>
    </w:p>
    <w:p w:rsidR="00F34737" w:rsidRPr="00A71D2E" w:rsidRDefault="00F34737">
      <w:pPr>
        <w:ind w:left="742"/>
        <w:jc w:val="both"/>
        <w:rPr>
          <w:rFonts w:eastAsia="宋体" w:cs="Times New Roman"/>
          <w:szCs w:val="21"/>
        </w:rPr>
      </w:pPr>
      <w:r w:rsidRPr="00A71D2E">
        <w:rPr>
          <w:rFonts w:eastAsia="宋体" w:cs="Times New Roman" w:hint="eastAsia"/>
          <w:szCs w:val="21"/>
        </w:rPr>
        <w:t>固定资产购销情况表</w:t>
      </w:r>
      <w:r w:rsidR="005F14EE">
        <w:rPr>
          <w:rFonts w:eastAsia="宋体" w:cs="Times New Roman" w:hint="eastAsia"/>
          <w:szCs w:val="21"/>
        </w:rPr>
        <w:t>：</w:t>
      </w:r>
    </w:p>
    <w:p w:rsidR="00F34737" w:rsidRPr="00A71D2E" w:rsidRDefault="00F34737">
      <w:pPr>
        <w:ind w:left="504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73"/>
        <w:gridCol w:w="1840"/>
        <w:gridCol w:w="1471"/>
        <w:gridCol w:w="1472"/>
      </w:tblGrid>
      <w:tr w:rsidR="00911808" w:rsidRPr="00A71D2E" w:rsidTr="0027505B">
        <w:trPr>
          <w:trHeight w:val="20"/>
        </w:trPr>
        <w:tc>
          <w:tcPr>
            <w:tcW w:w="4673" w:type="dxa"/>
            <w:shd w:val="clear" w:color="auto" w:fill="D9D9D9" w:themeFill="background1" w:themeFillShade="D9"/>
            <w:tcMar>
              <w:top w:w="0" w:type="dxa"/>
              <w:left w:w="108" w:type="dxa"/>
              <w:bottom w:w="0" w:type="dxa"/>
              <w:right w:w="108" w:type="dxa"/>
            </w:tcMar>
            <w:vAlign w:val="center"/>
            <w:hideMark/>
          </w:tcPr>
          <w:p w:rsidR="00911808" w:rsidRPr="00A71D2E" w:rsidRDefault="00911808">
            <w:pPr>
              <w:jc w:val="center"/>
              <w:rPr>
                <w:rFonts w:eastAsia="宋体" w:cs="Times New Roman"/>
                <w:sz w:val="18"/>
                <w:szCs w:val="18"/>
              </w:rPr>
            </w:pPr>
            <w:r w:rsidRPr="00A71D2E">
              <w:rPr>
                <w:rFonts w:eastAsia="宋体" w:cs="Times New Roman" w:hint="eastAsia"/>
                <w:sz w:val="18"/>
                <w:szCs w:val="18"/>
              </w:rPr>
              <w:t>关联方</w:t>
            </w:r>
          </w:p>
        </w:tc>
        <w:tc>
          <w:tcPr>
            <w:tcW w:w="1840" w:type="dxa"/>
            <w:shd w:val="clear" w:color="auto" w:fill="D9D9D9" w:themeFill="background1" w:themeFillShade="D9"/>
            <w:tcMar>
              <w:top w:w="0" w:type="dxa"/>
              <w:left w:w="108" w:type="dxa"/>
              <w:bottom w:w="0" w:type="dxa"/>
              <w:right w:w="108" w:type="dxa"/>
            </w:tcMar>
            <w:vAlign w:val="center"/>
            <w:hideMark/>
          </w:tcPr>
          <w:p w:rsidR="00911808" w:rsidRPr="00A71D2E" w:rsidRDefault="00911808">
            <w:pPr>
              <w:jc w:val="center"/>
              <w:rPr>
                <w:rFonts w:eastAsia="宋体" w:cs="Times New Roman"/>
                <w:sz w:val="18"/>
                <w:szCs w:val="18"/>
              </w:rPr>
            </w:pPr>
            <w:r w:rsidRPr="00A71D2E">
              <w:rPr>
                <w:rFonts w:eastAsia="宋体" w:cs="Times New Roman" w:hint="eastAsia"/>
                <w:sz w:val="18"/>
                <w:szCs w:val="18"/>
              </w:rPr>
              <w:t>关联交易内容</w:t>
            </w:r>
          </w:p>
        </w:tc>
        <w:tc>
          <w:tcPr>
            <w:tcW w:w="1471" w:type="dxa"/>
            <w:shd w:val="clear" w:color="auto" w:fill="D9D9D9" w:themeFill="background1" w:themeFillShade="D9"/>
            <w:vAlign w:val="center"/>
          </w:tcPr>
          <w:p w:rsidR="00911808" w:rsidRPr="00A71D2E" w:rsidRDefault="00911808">
            <w:pPr>
              <w:jc w:val="center"/>
              <w:rPr>
                <w:rFonts w:eastAsia="宋体" w:cs="Times New Roman"/>
                <w:sz w:val="18"/>
                <w:szCs w:val="18"/>
              </w:rPr>
            </w:pPr>
            <w:r w:rsidRPr="00A71D2E">
              <w:rPr>
                <w:rFonts w:eastAsia="宋体" w:cs="Times New Roman" w:hint="eastAsia"/>
                <w:sz w:val="18"/>
                <w:szCs w:val="18"/>
              </w:rPr>
              <w:t>本年发生额</w:t>
            </w:r>
          </w:p>
        </w:tc>
        <w:tc>
          <w:tcPr>
            <w:tcW w:w="1472" w:type="dxa"/>
            <w:shd w:val="clear" w:color="auto" w:fill="D9D9D9" w:themeFill="background1" w:themeFillShade="D9"/>
            <w:vAlign w:val="center"/>
          </w:tcPr>
          <w:p w:rsidR="00911808" w:rsidRPr="00A71D2E" w:rsidRDefault="00911808">
            <w:pPr>
              <w:jc w:val="center"/>
              <w:rPr>
                <w:rFonts w:eastAsia="宋体" w:cs="Times New Roman"/>
                <w:sz w:val="18"/>
                <w:szCs w:val="18"/>
              </w:rPr>
            </w:pPr>
            <w:r w:rsidRPr="00A71D2E">
              <w:rPr>
                <w:rFonts w:eastAsia="宋体" w:cs="Times New Roman" w:hint="eastAsia"/>
                <w:sz w:val="18"/>
                <w:szCs w:val="18"/>
              </w:rPr>
              <w:t>上年发生额</w:t>
            </w:r>
          </w:p>
        </w:tc>
      </w:tr>
      <w:tr w:rsidR="00053EE8" w:rsidRPr="00A71D2E" w:rsidTr="0027505B">
        <w:trPr>
          <w:trHeight w:val="20"/>
        </w:trPr>
        <w:tc>
          <w:tcPr>
            <w:tcW w:w="4673" w:type="dxa"/>
            <w:tcMar>
              <w:top w:w="0" w:type="dxa"/>
              <w:left w:w="108" w:type="dxa"/>
              <w:bottom w:w="0" w:type="dxa"/>
              <w:right w:w="108" w:type="dxa"/>
            </w:tcMar>
            <w:vAlign w:val="center"/>
          </w:tcPr>
          <w:p w:rsidR="00053EE8" w:rsidRPr="00A71D2E" w:rsidRDefault="00053EE8" w:rsidP="00053EE8">
            <w:pPr>
              <w:rPr>
                <w:rFonts w:eastAsia="宋体" w:cs="Times New Roman"/>
                <w:sz w:val="18"/>
                <w:szCs w:val="18"/>
              </w:rPr>
            </w:pPr>
            <w:proofErr w:type="gramStart"/>
            <w:r w:rsidRPr="00A71D2E">
              <w:rPr>
                <w:rFonts w:eastAsia="宋体" w:cs="Times New Roman" w:hint="eastAsia"/>
                <w:sz w:val="18"/>
                <w:szCs w:val="18"/>
              </w:rPr>
              <w:t>海康威视股份公司</w:t>
            </w:r>
            <w:proofErr w:type="gramEnd"/>
            <w:r w:rsidRPr="00A71D2E">
              <w:rPr>
                <w:rFonts w:eastAsia="宋体" w:cs="Times New Roman" w:hint="eastAsia"/>
                <w:sz w:val="18"/>
                <w:szCs w:val="18"/>
              </w:rPr>
              <w:t>及其下属企业</w:t>
            </w:r>
          </w:p>
        </w:tc>
        <w:tc>
          <w:tcPr>
            <w:tcW w:w="1840" w:type="dxa"/>
            <w:tcMar>
              <w:top w:w="0" w:type="dxa"/>
              <w:left w:w="108" w:type="dxa"/>
              <w:bottom w:w="0" w:type="dxa"/>
              <w:right w:w="108" w:type="dxa"/>
            </w:tcMar>
            <w:vAlign w:val="center"/>
          </w:tcPr>
          <w:p w:rsidR="00053EE8" w:rsidRPr="00A71D2E" w:rsidRDefault="00053EE8" w:rsidP="00053EE8">
            <w:pPr>
              <w:jc w:val="center"/>
              <w:rPr>
                <w:rFonts w:eastAsia="宋体" w:cs="Times New Roman"/>
                <w:sz w:val="18"/>
                <w:szCs w:val="18"/>
              </w:rPr>
            </w:pPr>
            <w:r w:rsidRPr="00A71D2E">
              <w:rPr>
                <w:rFonts w:eastAsia="宋体" w:cs="Times New Roman" w:hint="eastAsia"/>
                <w:sz w:val="18"/>
                <w:szCs w:val="18"/>
              </w:rPr>
              <w:t>采购固定资产</w:t>
            </w:r>
          </w:p>
        </w:tc>
        <w:tc>
          <w:tcPr>
            <w:tcW w:w="1471" w:type="dxa"/>
            <w:vAlign w:val="center"/>
          </w:tcPr>
          <w:p w:rsidR="00053EE8" w:rsidRPr="00A71D2E" w:rsidRDefault="00733D29" w:rsidP="00053EE8">
            <w:pPr>
              <w:ind w:right="94"/>
              <w:jc w:val="right"/>
              <w:rPr>
                <w:rFonts w:eastAsia="宋体" w:cs="Times New Roman"/>
                <w:sz w:val="18"/>
                <w:szCs w:val="18"/>
              </w:rPr>
            </w:pPr>
            <w:r w:rsidRPr="00733D29">
              <w:rPr>
                <w:rFonts w:eastAsia="宋体" w:cs="Times New Roman"/>
                <w:sz w:val="18"/>
                <w:szCs w:val="18"/>
              </w:rPr>
              <w:t>9,375,213.58</w:t>
            </w:r>
          </w:p>
        </w:tc>
        <w:tc>
          <w:tcPr>
            <w:tcW w:w="1472" w:type="dxa"/>
            <w:vAlign w:val="center"/>
          </w:tcPr>
          <w:p w:rsidR="00053EE8" w:rsidRPr="00A71D2E" w:rsidRDefault="00053EE8" w:rsidP="00053EE8">
            <w:pPr>
              <w:ind w:right="94"/>
              <w:jc w:val="right"/>
              <w:rPr>
                <w:rFonts w:eastAsia="宋体" w:cs="Times New Roman"/>
                <w:sz w:val="18"/>
                <w:szCs w:val="18"/>
              </w:rPr>
            </w:pPr>
            <w:r w:rsidRPr="00426539">
              <w:rPr>
                <w:rFonts w:eastAsia="宋体" w:cs="Times New Roman"/>
                <w:sz w:val="18"/>
                <w:szCs w:val="18"/>
              </w:rPr>
              <w:t>16,454,031.46</w:t>
            </w:r>
          </w:p>
        </w:tc>
      </w:tr>
      <w:tr w:rsidR="00053EE8" w:rsidRPr="00A71D2E" w:rsidTr="0027505B">
        <w:trPr>
          <w:trHeight w:val="20"/>
        </w:trPr>
        <w:tc>
          <w:tcPr>
            <w:tcW w:w="4673" w:type="dxa"/>
            <w:tcMar>
              <w:top w:w="0" w:type="dxa"/>
              <w:left w:w="108" w:type="dxa"/>
              <w:bottom w:w="0" w:type="dxa"/>
              <w:right w:w="108" w:type="dxa"/>
            </w:tcMar>
            <w:vAlign w:val="center"/>
          </w:tcPr>
          <w:p w:rsidR="00053EE8" w:rsidRPr="00A71D2E" w:rsidRDefault="00053EE8" w:rsidP="00053EE8">
            <w:pPr>
              <w:rPr>
                <w:rFonts w:eastAsia="宋体" w:cs="Times New Roman"/>
                <w:sz w:val="18"/>
                <w:szCs w:val="18"/>
              </w:rPr>
            </w:pPr>
            <w:proofErr w:type="gramStart"/>
            <w:r w:rsidRPr="00A71D2E">
              <w:rPr>
                <w:rFonts w:eastAsia="宋体" w:cs="Times New Roman" w:hint="eastAsia"/>
                <w:sz w:val="18"/>
                <w:szCs w:val="18"/>
              </w:rPr>
              <w:t>海康威视股份公司</w:t>
            </w:r>
            <w:proofErr w:type="gramEnd"/>
            <w:r w:rsidRPr="00A71D2E">
              <w:rPr>
                <w:rFonts w:eastAsia="宋体" w:cs="Times New Roman" w:hint="eastAsia"/>
                <w:sz w:val="18"/>
                <w:szCs w:val="18"/>
              </w:rPr>
              <w:t>及其下属企业</w:t>
            </w:r>
          </w:p>
        </w:tc>
        <w:tc>
          <w:tcPr>
            <w:tcW w:w="1840" w:type="dxa"/>
            <w:tcMar>
              <w:top w:w="0" w:type="dxa"/>
              <w:left w:w="108" w:type="dxa"/>
              <w:bottom w:w="0" w:type="dxa"/>
              <w:right w:w="108" w:type="dxa"/>
            </w:tcMar>
            <w:vAlign w:val="center"/>
          </w:tcPr>
          <w:p w:rsidR="00053EE8" w:rsidRPr="00A71D2E" w:rsidRDefault="00053EE8" w:rsidP="00053EE8">
            <w:pPr>
              <w:jc w:val="center"/>
              <w:rPr>
                <w:rFonts w:eastAsia="宋体" w:cs="Times New Roman"/>
                <w:sz w:val="18"/>
                <w:szCs w:val="18"/>
              </w:rPr>
            </w:pPr>
            <w:r w:rsidRPr="00A71D2E">
              <w:rPr>
                <w:rFonts w:eastAsia="宋体" w:cs="Times New Roman" w:hint="eastAsia"/>
                <w:sz w:val="18"/>
                <w:szCs w:val="18"/>
              </w:rPr>
              <w:t>销售固定资产</w:t>
            </w:r>
          </w:p>
        </w:tc>
        <w:tc>
          <w:tcPr>
            <w:tcW w:w="1471" w:type="dxa"/>
            <w:vAlign w:val="center"/>
          </w:tcPr>
          <w:p w:rsidR="00053EE8" w:rsidRPr="00A71D2E" w:rsidRDefault="00733D29" w:rsidP="00053EE8">
            <w:pPr>
              <w:ind w:right="94"/>
              <w:jc w:val="right"/>
              <w:rPr>
                <w:rFonts w:eastAsia="宋体" w:cs="Times New Roman"/>
                <w:sz w:val="18"/>
                <w:szCs w:val="18"/>
              </w:rPr>
            </w:pPr>
            <w:r w:rsidRPr="00733D29">
              <w:rPr>
                <w:rFonts w:eastAsia="宋体" w:cs="Times New Roman"/>
                <w:sz w:val="18"/>
                <w:szCs w:val="18"/>
              </w:rPr>
              <w:t>24,768.07</w:t>
            </w:r>
          </w:p>
        </w:tc>
        <w:tc>
          <w:tcPr>
            <w:tcW w:w="1472" w:type="dxa"/>
            <w:vAlign w:val="center"/>
          </w:tcPr>
          <w:p w:rsidR="00053EE8" w:rsidRPr="00A71D2E" w:rsidRDefault="00053EE8" w:rsidP="00053EE8">
            <w:pPr>
              <w:ind w:right="94"/>
              <w:jc w:val="right"/>
              <w:rPr>
                <w:rFonts w:eastAsia="宋体" w:cs="Times New Roman"/>
                <w:sz w:val="18"/>
                <w:szCs w:val="18"/>
              </w:rPr>
            </w:pPr>
            <w:r w:rsidRPr="00426539">
              <w:rPr>
                <w:rFonts w:eastAsia="宋体" w:cs="Times New Roman"/>
                <w:sz w:val="18"/>
                <w:szCs w:val="18"/>
              </w:rPr>
              <w:t>25,784.28</w:t>
            </w:r>
          </w:p>
        </w:tc>
      </w:tr>
    </w:tbl>
    <w:p w:rsidR="00F34737" w:rsidRPr="00A71D2E" w:rsidRDefault="00F34737" w:rsidP="00F66363">
      <w:pPr>
        <w:ind w:left="720"/>
        <w:jc w:val="both"/>
        <w:rPr>
          <w:rFonts w:eastAsia="宋体" w:cs="Times New Roman"/>
          <w:b/>
          <w:bCs/>
          <w:szCs w:val="21"/>
        </w:rPr>
      </w:pPr>
    </w:p>
    <w:p w:rsidR="00F34737" w:rsidRPr="00A71D2E" w:rsidRDefault="00F34737">
      <w:pPr>
        <w:pStyle w:val="aff1"/>
        <w:widowControl w:val="0"/>
        <w:numPr>
          <w:ilvl w:val="0"/>
          <w:numId w:val="25"/>
        </w:numPr>
        <w:ind w:left="1440" w:firstLineChars="0" w:hanging="720"/>
        <w:rPr>
          <w:bCs/>
          <w:szCs w:val="21"/>
        </w:rPr>
      </w:pPr>
      <w:r w:rsidRPr="00A71D2E">
        <w:rPr>
          <w:rFonts w:hint="eastAsia"/>
          <w:bCs/>
          <w:szCs w:val="21"/>
        </w:rPr>
        <w:t>关联租赁情况</w:t>
      </w:r>
    </w:p>
    <w:p w:rsidR="00F34737" w:rsidRPr="00A71D2E" w:rsidRDefault="00F34737">
      <w:pPr>
        <w:ind w:left="742"/>
        <w:jc w:val="both"/>
        <w:rPr>
          <w:rFonts w:eastAsia="宋体" w:cs="Times New Roman"/>
          <w:szCs w:val="21"/>
        </w:rPr>
      </w:pPr>
    </w:p>
    <w:p w:rsidR="00F34737" w:rsidRPr="00A71D2E" w:rsidRDefault="00F34737">
      <w:pPr>
        <w:ind w:left="742"/>
        <w:jc w:val="both"/>
        <w:rPr>
          <w:rFonts w:eastAsia="宋体" w:cs="Times New Roman"/>
          <w:szCs w:val="21"/>
        </w:rPr>
      </w:pPr>
      <w:r w:rsidRPr="00A71D2E">
        <w:rPr>
          <w:rFonts w:eastAsia="宋体" w:cs="Times New Roman" w:hint="eastAsia"/>
          <w:szCs w:val="21"/>
        </w:rPr>
        <w:t>本集团作为承租方</w:t>
      </w:r>
      <w:r w:rsidR="005F14EE">
        <w:rPr>
          <w:rFonts w:eastAsia="宋体" w:cs="Times New Roman" w:hint="eastAsia"/>
          <w:szCs w:val="21"/>
        </w:rPr>
        <w:t>：</w:t>
      </w:r>
    </w:p>
    <w:p w:rsidR="00C03436" w:rsidRPr="00125BBC" w:rsidRDefault="00125BBC" w:rsidP="00644B2C">
      <w:pPr>
        <w:ind w:left="5040"/>
        <w:jc w:val="right"/>
        <w:rPr>
          <w:rFonts w:eastAsia="宋体" w:cs="Times New Roman"/>
          <w:bCs/>
          <w:szCs w:val="21"/>
        </w:rPr>
      </w:pPr>
      <w:r w:rsidRPr="00A71D2E">
        <w:rPr>
          <w:rFonts w:eastAsia="宋体" w:cs="Times New Roman" w:hint="eastAsia"/>
          <w:szCs w:val="21"/>
        </w:rPr>
        <w:t>单位</w:t>
      </w:r>
      <w:r>
        <w:rPr>
          <w:rFonts w:eastAsia="宋体" w:cs="Times New Roman" w:hint="eastAsia"/>
          <w:szCs w:val="21"/>
        </w:rPr>
        <w:t>：</w:t>
      </w:r>
      <w:r w:rsidRPr="00A71D2E">
        <w:rPr>
          <w:rFonts w:eastAsia="宋体" w:cs="Times New Roman" w:hint="eastAsia"/>
          <w:szCs w:val="21"/>
        </w:rPr>
        <w:t>人民币元</w:t>
      </w:r>
    </w:p>
    <w:tbl>
      <w:tblPr>
        <w:tblW w:w="4668"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47"/>
        <w:gridCol w:w="1417"/>
        <w:gridCol w:w="1382"/>
        <w:gridCol w:w="1382"/>
        <w:gridCol w:w="1382"/>
        <w:gridCol w:w="1383"/>
      </w:tblGrid>
      <w:tr w:rsidR="00125BBC" w:rsidRPr="00125BBC" w:rsidTr="00644B2C">
        <w:trPr>
          <w:trHeight w:val="20"/>
        </w:trPr>
        <w:tc>
          <w:tcPr>
            <w:tcW w:w="2547" w:type="dxa"/>
            <w:vMerge w:val="restart"/>
            <w:shd w:val="clear" w:color="auto" w:fill="D9D9D9" w:themeFill="background1" w:themeFillShade="D9"/>
            <w:tcMar>
              <w:top w:w="0" w:type="dxa"/>
              <w:left w:w="108" w:type="dxa"/>
              <w:bottom w:w="0" w:type="dxa"/>
              <w:right w:w="108" w:type="dxa"/>
            </w:tcMar>
            <w:vAlign w:val="center"/>
            <w:hideMark/>
          </w:tcPr>
          <w:p w:rsidR="00125BBC" w:rsidRPr="00644B2C" w:rsidRDefault="00125BBC" w:rsidP="00452B2B">
            <w:pPr>
              <w:ind w:right="-36"/>
              <w:jc w:val="center"/>
              <w:rPr>
                <w:rFonts w:eastAsia="宋体" w:cs="Times New Roman"/>
                <w:sz w:val="16"/>
                <w:szCs w:val="16"/>
              </w:rPr>
            </w:pPr>
            <w:r w:rsidRPr="00644B2C">
              <w:rPr>
                <w:rFonts w:eastAsia="宋体" w:cs="Times New Roman" w:hint="eastAsia"/>
                <w:sz w:val="16"/>
                <w:szCs w:val="16"/>
              </w:rPr>
              <w:t>关联方</w:t>
            </w:r>
          </w:p>
        </w:tc>
        <w:tc>
          <w:tcPr>
            <w:tcW w:w="1417" w:type="dxa"/>
            <w:vMerge w:val="restart"/>
            <w:shd w:val="clear" w:color="auto" w:fill="D9D9D9" w:themeFill="background1" w:themeFillShade="D9"/>
            <w:tcMar>
              <w:top w:w="0" w:type="dxa"/>
              <w:left w:w="108" w:type="dxa"/>
              <w:bottom w:w="0" w:type="dxa"/>
              <w:right w:w="108" w:type="dxa"/>
            </w:tcMar>
            <w:vAlign w:val="center"/>
            <w:hideMark/>
          </w:tcPr>
          <w:p w:rsidR="00125BBC" w:rsidRPr="00644B2C" w:rsidRDefault="00125BBC" w:rsidP="00452B2B">
            <w:pPr>
              <w:jc w:val="center"/>
              <w:rPr>
                <w:rFonts w:eastAsia="宋体" w:cs="Times New Roman"/>
                <w:sz w:val="16"/>
                <w:szCs w:val="16"/>
              </w:rPr>
            </w:pPr>
            <w:r w:rsidRPr="00644B2C">
              <w:rPr>
                <w:rFonts w:eastAsia="宋体" w:cs="Times New Roman" w:hint="eastAsia"/>
                <w:sz w:val="16"/>
                <w:szCs w:val="16"/>
              </w:rPr>
              <w:t>租赁资产类型</w:t>
            </w:r>
          </w:p>
        </w:tc>
        <w:tc>
          <w:tcPr>
            <w:tcW w:w="5529" w:type="dxa"/>
            <w:gridSpan w:val="4"/>
            <w:shd w:val="clear" w:color="auto" w:fill="D9D9D9" w:themeFill="background1" w:themeFillShade="D9"/>
            <w:vAlign w:val="center"/>
          </w:tcPr>
          <w:p w:rsidR="00125BBC" w:rsidRPr="00644B2C" w:rsidRDefault="00125BBC" w:rsidP="00125BBC">
            <w:pPr>
              <w:jc w:val="center"/>
              <w:rPr>
                <w:rFonts w:eastAsia="宋体" w:cs="Times New Roman"/>
                <w:sz w:val="16"/>
                <w:szCs w:val="16"/>
              </w:rPr>
            </w:pPr>
            <w:r w:rsidRPr="00644B2C">
              <w:rPr>
                <w:rFonts w:eastAsia="宋体" w:cs="Times New Roman" w:hint="eastAsia"/>
                <w:sz w:val="16"/>
                <w:szCs w:val="16"/>
              </w:rPr>
              <w:t>本年发生额</w:t>
            </w:r>
          </w:p>
        </w:tc>
      </w:tr>
      <w:tr w:rsidR="00125BBC" w:rsidRPr="00125BBC" w:rsidTr="00644B2C">
        <w:trPr>
          <w:trHeight w:val="20"/>
        </w:trPr>
        <w:tc>
          <w:tcPr>
            <w:tcW w:w="2547" w:type="dxa"/>
            <w:vMerge/>
            <w:shd w:val="clear" w:color="auto" w:fill="D9D9D9" w:themeFill="background1" w:themeFillShade="D9"/>
            <w:tcMar>
              <w:top w:w="0" w:type="dxa"/>
              <w:left w:w="108" w:type="dxa"/>
              <w:bottom w:w="0" w:type="dxa"/>
              <w:right w:w="108" w:type="dxa"/>
            </w:tcMar>
            <w:vAlign w:val="center"/>
          </w:tcPr>
          <w:p w:rsidR="00125BBC" w:rsidRPr="00644B2C" w:rsidRDefault="00125BBC" w:rsidP="00452B2B">
            <w:pPr>
              <w:ind w:right="-36"/>
              <w:jc w:val="center"/>
              <w:rPr>
                <w:rFonts w:eastAsia="宋体" w:cs="Times New Roman"/>
                <w:sz w:val="16"/>
                <w:szCs w:val="16"/>
              </w:rPr>
            </w:pPr>
          </w:p>
        </w:tc>
        <w:tc>
          <w:tcPr>
            <w:tcW w:w="1417" w:type="dxa"/>
            <w:vMerge/>
            <w:shd w:val="clear" w:color="auto" w:fill="D9D9D9" w:themeFill="background1" w:themeFillShade="D9"/>
            <w:tcMar>
              <w:top w:w="0" w:type="dxa"/>
              <w:left w:w="108" w:type="dxa"/>
              <w:bottom w:w="0" w:type="dxa"/>
              <w:right w:w="108" w:type="dxa"/>
            </w:tcMar>
            <w:vAlign w:val="center"/>
          </w:tcPr>
          <w:p w:rsidR="00125BBC" w:rsidRPr="00644B2C" w:rsidRDefault="00125BBC" w:rsidP="00452B2B">
            <w:pPr>
              <w:jc w:val="center"/>
              <w:rPr>
                <w:rFonts w:eastAsia="宋体" w:cs="Times New Roman"/>
                <w:sz w:val="16"/>
                <w:szCs w:val="16"/>
              </w:rPr>
            </w:pPr>
          </w:p>
        </w:tc>
        <w:tc>
          <w:tcPr>
            <w:tcW w:w="1382" w:type="dxa"/>
            <w:shd w:val="clear" w:color="auto" w:fill="D9D9D9" w:themeFill="background1" w:themeFillShade="D9"/>
            <w:vAlign w:val="center"/>
          </w:tcPr>
          <w:p w:rsidR="00125BBC" w:rsidRDefault="00125BBC" w:rsidP="00125BBC">
            <w:pPr>
              <w:jc w:val="center"/>
              <w:rPr>
                <w:rFonts w:eastAsia="宋体" w:cs="Times New Roman"/>
                <w:sz w:val="16"/>
                <w:szCs w:val="16"/>
              </w:rPr>
            </w:pPr>
            <w:r w:rsidRPr="00644B2C">
              <w:rPr>
                <w:rFonts w:eastAsia="宋体" w:cs="Times New Roman" w:hint="eastAsia"/>
                <w:sz w:val="16"/>
                <w:szCs w:val="16"/>
              </w:rPr>
              <w:t>简化处理的短期</w:t>
            </w:r>
          </w:p>
          <w:p w:rsidR="00125BBC" w:rsidRPr="00644B2C" w:rsidRDefault="00125BBC" w:rsidP="00125BBC">
            <w:pPr>
              <w:jc w:val="center"/>
              <w:rPr>
                <w:rFonts w:eastAsia="宋体" w:cs="Times New Roman"/>
                <w:sz w:val="16"/>
                <w:szCs w:val="16"/>
              </w:rPr>
            </w:pPr>
            <w:r w:rsidRPr="00644B2C">
              <w:rPr>
                <w:rFonts w:eastAsia="宋体" w:cs="Times New Roman" w:hint="eastAsia"/>
                <w:sz w:val="16"/>
                <w:szCs w:val="16"/>
              </w:rPr>
              <w:t>租赁租金费用</w:t>
            </w:r>
          </w:p>
        </w:tc>
        <w:tc>
          <w:tcPr>
            <w:tcW w:w="1382" w:type="dxa"/>
            <w:shd w:val="clear" w:color="auto" w:fill="D9D9D9" w:themeFill="background1" w:themeFillShade="D9"/>
            <w:vAlign w:val="center"/>
          </w:tcPr>
          <w:p w:rsidR="00125BBC" w:rsidRPr="00644B2C" w:rsidRDefault="00125BBC" w:rsidP="00125BBC">
            <w:pPr>
              <w:jc w:val="center"/>
              <w:rPr>
                <w:rFonts w:eastAsia="宋体" w:cs="Times New Roman"/>
                <w:sz w:val="16"/>
                <w:szCs w:val="16"/>
              </w:rPr>
            </w:pPr>
            <w:r w:rsidRPr="00644B2C">
              <w:rPr>
                <w:rFonts w:eastAsia="宋体" w:cs="Times New Roman" w:hint="eastAsia"/>
                <w:sz w:val="16"/>
                <w:szCs w:val="16"/>
              </w:rPr>
              <w:t>支付的租金</w:t>
            </w:r>
          </w:p>
        </w:tc>
        <w:tc>
          <w:tcPr>
            <w:tcW w:w="1382" w:type="dxa"/>
            <w:shd w:val="clear" w:color="auto" w:fill="D9D9D9" w:themeFill="background1" w:themeFillShade="D9"/>
            <w:vAlign w:val="center"/>
          </w:tcPr>
          <w:p w:rsidR="00125BBC" w:rsidRDefault="00125BBC" w:rsidP="00125BBC">
            <w:pPr>
              <w:jc w:val="center"/>
              <w:rPr>
                <w:rFonts w:eastAsia="宋体" w:cs="Times New Roman"/>
                <w:sz w:val="16"/>
                <w:szCs w:val="16"/>
              </w:rPr>
            </w:pPr>
            <w:r w:rsidRPr="00644B2C">
              <w:rPr>
                <w:rFonts w:eastAsia="宋体" w:cs="Times New Roman" w:hint="eastAsia"/>
                <w:sz w:val="16"/>
                <w:szCs w:val="16"/>
              </w:rPr>
              <w:t>承担的租赁负债</w:t>
            </w:r>
          </w:p>
          <w:p w:rsidR="00125BBC" w:rsidRPr="00644B2C" w:rsidRDefault="00125BBC" w:rsidP="00125BBC">
            <w:pPr>
              <w:jc w:val="center"/>
              <w:rPr>
                <w:rFonts w:eastAsia="宋体" w:cs="Times New Roman"/>
                <w:sz w:val="16"/>
                <w:szCs w:val="16"/>
              </w:rPr>
            </w:pPr>
            <w:r w:rsidRPr="00644B2C">
              <w:rPr>
                <w:rFonts w:eastAsia="宋体" w:cs="Times New Roman" w:hint="eastAsia"/>
                <w:sz w:val="16"/>
                <w:szCs w:val="16"/>
              </w:rPr>
              <w:t>利息支出</w:t>
            </w:r>
          </w:p>
        </w:tc>
        <w:tc>
          <w:tcPr>
            <w:tcW w:w="1383" w:type="dxa"/>
            <w:shd w:val="clear" w:color="auto" w:fill="D9D9D9" w:themeFill="background1" w:themeFillShade="D9"/>
            <w:vAlign w:val="center"/>
          </w:tcPr>
          <w:p w:rsidR="00125BBC" w:rsidRDefault="00125BBC" w:rsidP="00125BBC">
            <w:pPr>
              <w:jc w:val="center"/>
              <w:rPr>
                <w:rFonts w:eastAsia="宋体" w:cs="Times New Roman"/>
                <w:sz w:val="16"/>
                <w:szCs w:val="16"/>
              </w:rPr>
            </w:pPr>
            <w:r w:rsidRPr="00644B2C">
              <w:rPr>
                <w:rFonts w:eastAsia="宋体" w:cs="Times New Roman" w:hint="eastAsia"/>
                <w:sz w:val="16"/>
                <w:szCs w:val="16"/>
              </w:rPr>
              <w:t>增加的</w:t>
            </w:r>
          </w:p>
          <w:p w:rsidR="00125BBC" w:rsidRPr="00644B2C" w:rsidRDefault="00125BBC" w:rsidP="00125BBC">
            <w:pPr>
              <w:jc w:val="center"/>
              <w:rPr>
                <w:rFonts w:eastAsia="宋体" w:cs="Times New Roman"/>
                <w:sz w:val="16"/>
                <w:szCs w:val="16"/>
              </w:rPr>
            </w:pPr>
            <w:r w:rsidRPr="00644B2C">
              <w:rPr>
                <w:rFonts w:eastAsia="宋体" w:cs="Times New Roman" w:hint="eastAsia"/>
                <w:sz w:val="16"/>
                <w:szCs w:val="16"/>
              </w:rPr>
              <w:t>使用权资产</w:t>
            </w:r>
          </w:p>
        </w:tc>
      </w:tr>
      <w:tr w:rsidR="00452B2B" w:rsidRPr="00125BBC" w:rsidTr="00644B2C">
        <w:trPr>
          <w:trHeight w:val="20"/>
        </w:trPr>
        <w:tc>
          <w:tcPr>
            <w:tcW w:w="2547" w:type="dxa"/>
            <w:tcMar>
              <w:top w:w="0" w:type="dxa"/>
              <w:left w:w="108" w:type="dxa"/>
              <w:bottom w:w="0" w:type="dxa"/>
              <w:right w:w="108" w:type="dxa"/>
            </w:tcMar>
            <w:vAlign w:val="center"/>
          </w:tcPr>
          <w:p w:rsidR="00452B2B" w:rsidRPr="00644B2C" w:rsidRDefault="00452B2B" w:rsidP="00644B2C">
            <w:pPr>
              <w:jc w:val="center"/>
              <w:rPr>
                <w:rFonts w:eastAsia="宋体" w:cs="Times New Roman"/>
                <w:sz w:val="16"/>
                <w:szCs w:val="16"/>
              </w:rPr>
            </w:pPr>
            <w:proofErr w:type="gramStart"/>
            <w:r w:rsidRPr="00644B2C">
              <w:rPr>
                <w:rFonts w:eastAsia="宋体" w:cs="Times New Roman" w:hint="eastAsia"/>
                <w:sz w:val="16"/>
                <w:szCs w:val="16"/>
              </w:rPr>
              <w:t>海康威视股份公司</w:t>
            </w:r>
            <w:proofErr w:type="gramEnd"/>
            <w:r w:rsidRPr="00644B2C">
              <w:rPr>
                <w:rFonts w:eastAsia="宋体" w:cs="Times New Roman" w:hint="eastAsia"/>
                <w:sz w:val="16"/>
                <w:szCs w:val="16"/>
              </w:rPr>
              <w:t>及其下属企业</w:t>
            </w:r>
          </w:p>
        </w:tc>
        <w:tc>
          <w:tcPr>
            <w:tcW w:w="1417" w:type="dxa"/>
            <w:tcMar>
              <w:top w:w="0" w:type="dxa"/>
              <w:left w:w="108" w:type="dxa"/>
              <w:bottom w:w="0" w:type="dxa"/>
              <w:right w:w="108" w:type="dxa"/>
            </w:tcMar>
            <w:vAlign w:val="center"/>
          </w:tcPr>
          <w:p w:rsidR="00303C71" w:rsidRDefault="00125BBC" w:rsidP="00244698">
            <w:pPr>
              <w:jc w:val="center"/>
              <w:rPr>
                <w:rFonts w:eastAsia="宋体" w:cs="Times New Roman"/>
                <w:sz w:val="16"/>
                <w:szCs w:val="16"/>
              </w:rPr>
            </w:pPr>
            <w:r w:rsidRPr="00644B2C">
              <w:rPr>
                <w:rFonts w:eastAsia="宋体" w:cs="Times New Roman" w:hint="eastAsia"/>
                <w:sz w:val="16"/>
                <w:szCs w:val="16"/>
              </w:rPr>
              <w:t>生产经营及</w:t>
            </w:r>
          </w:p>
          <w:p w:rsidR="00452B2B" w:rsidRPr="00644B2C" w:rsidRDefault="00125BBC" w:rsidP="00244698">
            <w:pPr>
              <w:jc w:val="center"/>
              <w:rPr>
                <w:rFonts w:eastAsia="宋体" w:cs="Times New Roman"/>
                <w:sz w:val="16"/>
                <w:szCs w:val="16"/>
              </w:rPr>
            </w:pPr>
            <w:r w:rsidRPr="00644B2C">
              <w:rPr>
                <w:rFonts w:eastAsia="宋体" w:cs="Times New Roman" w:hint="eastAsia"/>
                <w:sz w:val="16"/>
                <w:szCs w:val="16"/>
              </w:rPr>
              <w:t>办公场所、设备</w:t>
            </w:r>
          </w:p>
        </w:tc>
        <w:tc>
          <w:tcPr>
            <w:tcW w:w="1382" w:type="dxa"/>
            <w:vAlign w:val="center"/>
          </w:tcPr>
          <w:p w:rsidR="00452B2B" w:rsidRPr="00644B2C" w:rsidRDefault="00452B2B" w:rsidP="00125BBC">
            <w:pPr>
              <w:ind w:right="135"/>
              <w:jc w:val="right"/>
              <w:rPr>
                <w:rFonts w:eastAsia="宋体" w:cs="Times New Roman"/>
                <w:sz w:val="16"/>
                <w:szCs w:val="16"/>
              </w:rPr>
            </w:pPr>
            <w:r w:rsidRPr="00644B2C">
              <w:rPr>
                <w:rFonts w:eastAsia="宋体" w:cs="Times New Roman"/>
                <w:sz w:val="16"/>
                <w:szCs w:val="16"/>
              </w:rPr>
              <w:t>5,114,859.24</w:t>
            </w:r>
          </w:p>
        </w:tc>
        <w:tc>
          <w:tcPr>
            <w:tcW w:w="1382" w:type="dxa"/>
            <w:vAlign w:val="center"/>
          </w:tcPr>
          <w:p w:rsidR="00452B2B" w:rsidRPr="00644B2C" w:rsidRDefault="008141BA" w:rsidP="00125BBC">
            <w:pPr>
              <w:ind w:right="135"/>
              <w:jc w:val="right"/>
              <w:rPr>
                <w:rFonts w:eastAsia="宋体" w:cs="Times New Roman"/>
                <w:sz w:val="16"/>
                <w:szCs w:val="16"/>
              </w:rPr>
            </w:pPr>
            <w:r w:rsidRPr="008141BA">
              <w:rPr>
                <w:rFonts w:eastAsia="宋体" w:cs="Times New Roman"/>
                <w:sz w:val="16"/>
                <w:szCs w:val="16"/>
              </w:rPr>
              <w:t>43,</w:t>
            </w:r>
            <w:r w:rsidR="001934DF">
              <w:rPr>
                <w:rFonts w:eastAsia="宋体" w:cs="Times New Roman"/>
                <w:sz w:val="16"/>
                <w:szCs w:val="16"/>
              </w:rPr>
              <w:t>0</w:t>
            </w:r>
            <w:r w:rsidRPr="008141BA">
              <w:rPr>
                <w:rFonts w:eastAsia="宋体" w:cs="Times New Roman"/>
                <w:sz w:val="16"/>
                <w:szCs w:val="16"/>
              </w:rPr>
              <w:t>6</w:t>
            </w:r>
            <w:r w:rsidR="001934DF">
              <w:rPr>
                <w:rFonts w:eastAsia="宋体" w:cs="Times New Roman"/>
                <w:sz w:val="16"/>
                <w:szCs w:val="16"/>
              </w:rPr>
              <w:t>8</w:t>
            </w:r>
            <w:r w:rsidRPr="008141BA">
              <w:rPr>
                <w:rFonts w:eastAsia="宋体" w:cs="Times New Roman"/>
                <w:sz w:val="16"/>
                <w:szCs w:val="16"/>
              </w:rPr>
              <w:t>,</w:t>
            </w:r>
            <w:r w:rsidR="001934DF">
              <w:rPr>
                <w:rFonts w:eastAsia="宋体" w:cs="Times New Roman"/>
                <w:sz w:val="16"/>
                <w:szCs w:val="16"/>
              </w:rPr>
              <w:t>427</w:t>
            </w:r>
            <w:r w:rsidRPr="008141BA">
              <w:rPr>
                <w:rFonts w:eastAsia="宋体" w:cs="Times New Roman"/>
                <w:sz w:val="16"/>
                <w:szCs w:val="16"/>
              </w:rPr>
              <w:t>.5</w:t>
            </w:r>
            <w:r w:rsidR="001934DF">
              <w:rPr>
                <w:rFonts w:eastAsia="宋体" w:cs="Times New Roman"/>
                <w:sz w:val="16"/>
                <w:szCs w:val="16"/>
              </w:rPr>
              <w:t>3</w:t>
            </w:r>
          </w:p>
        </w:tc>
        <w:tc>
          <w:tcPr>
            <w:tcW w:w="1382" w:type="dxa"/>
            <w:vAlign w:val="center"/>
          </w:tcPr>
          <w:p w:rsidR="00452B2B" w:rsidRPr="00644B2C" w:rsidRDefault="008141BA" w:rsidP="00125BBC">
            <w:pPr>
              <w:ind w:right="135"/>
              <w:jc w:val="right"/>
              <w:rPr>
                <w:rFonts w:eastAsia="宋体" w:cs="Times New Roman"/>
                <w:sz w:val="16"/>
                <w:szCs w:val="16"/>
              </w:rPr>
            </w:pPr>
            <w:r w:rsidRPr="00644B2C">
              <w:rPr>
                <w:rFonts w:eastAsia="宋体" w:cs="Times New Roman"/>
                <w:sz w:val="16"/>
                <w:szCs w:val="16"/>
              </w:rPr>
              <w:t>1,190,471.43</w:t>
            </w:r>
          </w:p>
        </w:tc>
        <w:tc>
          <w:tcPr>
            <w:tcW w:w="1383" w:type="dxa"/>
            <w:vAlign w:val="center"/>
          </w:tcPr>
          <w:p w:rsidR="00452B2B" w:rsidRPr="00644B2C" w:rsidRDefault="008141BA" w:rsidP="00125BBC">
            <w:pPr>
              <w:ind w:right="135"/>
              <w:jc w:val="right"/>
              <w:rPr>
                <w:rFonts w:eastAsia="宋体" w:cs="Times New Roman"/>
                <w:sz w:val="16"/>
                <w:szCs w:val="16"/>
              </w:rPr>
            </w:pPr>
            <w:r w:rsidRPr="00644B2C">
              <w:rPr>
                <w:rFonts w:eastAsia="宋体" w:cs="Times New Roman"/>
                <w:sz w:val="16"/>
                <w:szCs w:val="16"/>
              </w:rPr>
              <w:t>19,478,798.62</w:t>
            </w:r>
          </w:p>
        </w:tc>
      </w:tr>
      <w:tr w:rsidR="00452B2B" w:rsidRPr="00125BBC" w:rsidTr="00644B2C">
        <w:trPr>
          <w:trHeight w:val="20"/>
        </w:trPr>
        <w:tc>
          <w:tcPr>
            <w:tcW w:w="2547" w:type="dxa"/>
            <w:shd w:val="clear" w:color="auto" w:fill="D9D9D9" w:themeFill="background1" w:themeFillShade="D9"/>
            <w:tcMar>
              <w:top w:w="0" w:type="dxa"/>
              <w:left w:w="108" w:type="dxa"/>
              <w:bottom w:w="0" w:type="dxa"/>
              <w:right w:w="108" w:type="dxa"/>
            </w:tcMar>
            <w:vAlign w:val="center"/>
          </w:tcPr>
          <w:p w:rsidR="00452B2B" w:rsidRPr="00644B2C" w:rsidRDefault="00452B2B" w:rsidP="00244698">
            <w:pPr>
              <w:rPr>
                <w:rFonts w:eastAsia="宋体" w:cs="Times New Roman"/>
                <w:sz w:val="16"/>
                <w:szCs w:val="16"/>
              </w:rPr>
            </w:pPr>
            <w:r w:rsidRPr="00644B2C">
              <w:rPr>
                <w:rFonts w:eastAsia="宋体" w:cs="Times New Roman" w:hint="eastAsia"/>
                <w:sz w:val="16"/>
                <w:szCs w:val="16"/>
              </w:rPr>
              <w:t>合计</w:t>
            </w:r>
          </w:p>
        </w:tc>
        <w:tc>
          <w:tcPr>
            <w:tcW w:w="1417" w:type="dxa"/>
            <w:tcMar>
              <w:top w:w="0" w:type="dxa"/>
              <w:left w:w="108" w:type="dxa"/>
              <w:bottom w:w="0" w:type="dxa"/>
              <w:right w:w="108" w:type="dxa"/>
            </w:tcMar>
            <w:vAlign w:val="center"/>
          </w:tcPr>
          <w:p w:rsidR="00452B2B" w:rsidRPr="00644B2C" w:rsidRDefault="00452B2B" w:rsidP="00244698">
            <w:pPr>
              <w:jc w:val="center"/>
              <w:rPr>
                <w:rFonts w:eastAsia="宋体" w:cs="Times New Roman"/>
                <w:sz w:val="16"/>
                <w:szCs w:val="16"/>
              </w:rPr>
            </w:pPr>
          </w:p>
        </w:tc>
        <w:tc>
          <w:tcPr>
            <w:tcW w:w="1382" w:type="dxa"/>
            <w:vAlign w:val="center"/>
          </w:tcPr>
          <w:p w:rsidR="00452B2B" w:rsidRPr="00644B2C" w:rsidRDefault="00452B2B" w:rsidP="00125BBC">
            <w:pPr>
              <w:ind w:right="135"/>
              <w:jc w:val="right"/>
              <w:rPr>
                <w:rFonts w:eastAsia="宋体" w:cs="Times New Roman"/>
                <w:sz w:val="16"/>
                <w:szCs w:val="16"/>
              </w:rPr>
            </w:pPr>
            <w:r w:rsidRPr="00644B2C">
              <w:rPr>
                <w:rFonts w:eastAsia="宋体" w:cs="Times New Roman"/>
                <w:sz w:val="16"/>
                <w:szCs w:val="16"/>
              </w:rPr>
              <w:t>5,114,859.24</w:t>
            </w:r>
          </w:p>
        </w:tc>
        <w:tc>
          <w:tcPr>
            <w:tcW w:w="1382" w:type="dxa"/>
            <w:vAlign w:val="center"/>
          </w:tcPr>
          <w:p w:rsidR="00452B2B" w:rsidRPr="00644B2C" w:rsidRDefault="001934DF" w:rsidP="00125BBC">
            <w:pPr>
              <w:ind w:right="135"/>
              <w:jc w:val="right"/>
              <w:rPr>
                <w:rFonts w:eastAsia="宋体" w:cs="Times New Roman"/>
                <w:sz w:val="16"/>
                <w:szCs w:val="16"/>
              </w:rPr>
            </w:pPr>
            <w:r w:rsidRPr="008141BA">
              <w:rPr>
                <w:rFonts w:eastAsia="宋体" w:cs="Times New Roman"/>
                <w:sz w:val="16"/>
                <w:szCs w:val="16"/>
              </w:rPr>
              <w:t>43,</w:t>
            </w:r>
            <w:r>
              <w:rPr>
                <w:rFonts w:eastAsia="宋体" w:cs="Times New Roman"/>
                <w:sz w:val="16"/>
                <w:szCs w:val="16"/>
              </w:rPr>
              <w:t>0</w:t>
            </w:r>
            <w:r w:rsidRPr="008141BA">
              <w:rPr>
                <w:rFonts w:eastAsia="宋体" w:cs="Times New Roman"/>
                <w:sz w:val="16"/>
                <w:szCs w:val="16"/>
              </w:rPr>
              <w:t>6</w:t>
            </w:r>
            <w:r>
              <w:rPr>
                <w:rFonts w:eastAsia="宋体" w:cs="Times New Roman"/>
                <w:sz w:val="16"/>
                <w:szCs w:val="16"/>
              </w:rPr>
              <w:t>8</w:t>
            </w:r>
            <w:r w:rsidRPr="008141BA">
              <w:rPr>
                <w:rFonts w:eastAsia="宋体" w:cs="Times New Roman"/>
                <w:sz w:val="16"/>
                <w:szCs w:val="16"/>
              </w:rPr>
              <w:t>,</w:t>
            </w:r>
            <w:r>
              <w:rPr>
                <w:rFonts w:eastAsia="宋体" w:cs="Times New Roman"/>
                <w:sz w:val="16"/>
                <w:szCs w:val="16"/>
              </w:rPr>
              <w:t>427</w:t>
            </w:r>
            <w:r w:rsidRPr="008141BA">
              <w:rPr>
                <w:rFonts w:eastAsia="宋体" w:cs="Times New Roman"/>
                <w:sz w:val="16"/>
                <w:szCs w:val="16"/>
              </w:rPr>
              <w:t>.5</w:t>
            </w:r>
            <w:r>
              <w:rPr>
                <w:rFonts w:eastAsia="宋体" w:cs="Times New Roman"/>
                <w:sz w:val="16"/>
                <w:szCs w:val="16"/>
              </w:rPr>
              <w:t>3</w:t>
            </w:r>
          </w:p>
        </w:tc>
        <w:tc>
          <w:tcPr>
            <w:tcW w:w="1382" w:type="dxa"/>
            <w:vAlign w:val="center"/>
          </w:tcPr>
          <w:p w:rsidR="00452B2B" w:rsidRPr="00644B2C" w:rsidRDefault="008141BA" w:rsidP="00125BBC">
            <w:pPr>
              <w:ind w:right="135"/>
              <w:jc w:val="right"/>
              <w:rPr>
                <w:rFonts w:eastAsia="宋体" w:cs="Times New Roman"/>
                <w:sz w:val="16"/>
                <w:szCs w:val="16"/>
              </w:rPr>
            </w:pPr>
            <w:r w:rsidRPr="00644B2C">
              <w:rPr>
                <w:rFonts w:eastAsia="宋体" w:cs="Times New Roman"/>
                <w:sz w:val="16"/>
                <w:szCs w:val="16"/>
              </w:rPr>
              <w:t>1,190,471.43</w:t>
            </w:r>
          </w:p>
        </w:tc>
        <w:tc>
          <w:tcPr>
            <w:tcW w:w="1383" w:type="dxa"/>
            <w:vAlign w:val="center"/>
          </w:tcPr>
          <w:p w:rsidR="00452B2B" w:rsidRPr="00644B2C" w:rsidRDefault="008141BA" w:rsidP="00125BBC">
            <w:pPr>
              <w:ind w:right="135"/>
              <w:jc w:val="right"/>
              <w:rPr>
                <w:rFonts w:eastAsia="宋体" w:cs="Times New Roman"/>
                <w:sz w:val="16"/>
                <w:szCs w:val="16"/>
              </w:rPr>
            </w:pPr>
            <w:r w:rsidRPr="00644B2C">
              <w:rPr>
                <w:rFonts w:eastAsia="宋体" w:cs="Times New Roman"/>
                <w:sz w:val="16"/>
                <w:szCs w:val="16"/>
              </w:rPr>
              <w:t>19,478,798.62</w:t>
            </w:r>
          </w:p>
        </w:tc>
      </w:tr>
    </w:tbl>
    <w:p w:rsidR="008141BA" w:rsidRDefault="008141BA" w:rsidP="00125BBC">
      <w:pPr>
        <w:ind w:left="5040"/>
        <w:jc w:val="right"/>
        <w:rPr>
          <w:rFonts w:eastAsia="宋体" w:cs="Times New Roman"/>
          <w:szCs w:val="21"/>
        </w:rPr>
      </w:pPr>
    </w:p>
    <w:p w:rsidR="00125BBC" w:rsidRPr="00125BBC" w:rsidRDefault="00125BBC" w:rsidP="00125BBC">
      <w:pPr>
        <w:ind w:left="5040"/>
        <w:jc w:val="right"/>
        <w:rPr>
          <w:rFonts w:eastAsia="宋体" w:cs="Times New Roman"/>
          <w:bCs/>
          <w:szCs w:val="21"/>
        </w:rPr>
      </w:pPr>
      <w:r w:rsidRPr="00A71D2E">
        <w:rPr>
          <w:rFonts w:eastAsia="宋体" w:cs="Times New Roman" w:hint="eastAsia"/>
          <w:szCs w:val="21"/>
        </w:rPr>
        <w:t>单位</w:t>
      </w:r>
      <w:r>
        <w:rPr>
          <w:rFonts w:eastAsia="宋体" w:cs="Times New Roman" w:hint="eastAsia"/>
          <w:szCs w:val="21"/>
        </w:rPr>
        <w:t>：</w:t>
      </w:r>
      <w:r w:rsidRPr="00A71D2E">
        <w:rPr>
          <w:rFonts w:eastAsia="宋体" w:cs="Times New Roman" w:hint="eastAsia"/>
          <w:szCs w:val="21"/>
        </w:rPr>
        <w:t>人民币元</w:t>
      </w:r>
    </w:p>
    <w:tbl>
      <w:tblPr>
        <w:tblW w:w="4668"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48"/>
        <w:gridCol w:w="1417"/>
        <w:gridCol w:w="1382"/>
        <w:gridCol w:w="1382"/>
        <w:gridCol w:w="1382"/>
        <w:gridCol w:w="1382"/>
      </w:tblGrid>
      <w:tr w:rsidR="00125BBC" w:rsidRPr="00244698" w:rsidTr="00644B2C">
        <w:trPr>
          <w:trHeight w:val="20"/>
        </w:trPr>
        <w:tc>
          <w:tcPr>
            <w:tcW w:w="2547" w:type="dxa"/>
            <w:vMerge w:val="restart"/>
            <w:shd w:val="clear" w:color="auto" w:fill="D9D9D9" w:themeFill="background1" w:themeFillShade="D9"/>
            <w:tcMar>
              <w:top w:w="0" w:type="dxa"/>
              <w:left w:w="108" w:type="dxa"/>
              <w:bottom w:w="0" w:type="dxa"/>
              <w:right w:w="108" w:type="dxa"/>
            </w:tcMar>
            <w:vAlign w:val="center"/>
            <w:hideMark/>
          </w:tcPr>
          <w:p w:rsidR="00125BBC" w:rsidRPr="00244698" w:rsidRDefault="00125BBC" w:rsidP="00244698">
            <w:pPr>
              <w:ind w:right="-36"/>
              <w:jc w:val="center"/>
              <w:rPr>
                <w:rFonts w:eastAsia="宋体" w:cs="Times New Roman"/>
                <w:sz w:val="16"/>
                <w:szCs w:val="16"/>
              </w:rPr>
            </w:pPr>
            <w:r w:rsidRPr="00244698">
              <w:rPr>
                <w:rFonts w:eastAsia="宋体" w:cs="Times New Roman" w:hint="eastAsia"/>
                <w:sz w:val="16"/>
                <w:szCs w:val="16"/>
              </w:rPr>
              <w:t>关联方</w:t>
            </w:r>
          </w:p>
        </w:tc>
        <w:tc>
          <w:tcPr>
            <w:tcW w:w="1417" w:type="dxa"/>
            <w:vMerge w:val="restart"/>
            <w:shd w:val="clear" w:color="auto" w:fill="D9D9D9" w:themeFill="background1" w:themeFillShade="D9"/>
            <w:tcMar>
              <w:top w:w="0" w:type="dxa"/>
              <w:left w:w="108" w:type="dxa"/>
              <w:bottom w:w="0" w:type="dxa"/>
              <w:right w:w="108" w:type="dxa"/>
            </w:tcMar>
            <w:vAlign w:val="center"/>
            <w:hideMark/>
          </w:tcPr>
          <w:p w:rsidR="00125BBC" w:rsidRPr="00244698" w:rsidRDefault="00125BBC" w:rsidP="00244698">
            <w:pPr>
              <w:jc w:val="center"/>
              <w:rPr>
                <w:rFonts w:eastAsia="宋体" w:cs="Times New Roman"/>
                <w:sz w:val="16"/>
                <w:szCs w:val="16"/>
              </w:rPr>
            </w:pPr>
            <w:r w:rsidRPr="00244698">
              <w:rPr>
                <w:rFonts w:eastAsia="宋体" w:cs="Times New Roman" w:hint="eastAsia"/>
                <w:sz w:val="16"/>
                <w:szCs w:val="16"/>
              </w:rPr>
              <w:t>租赁资产类型</w:t>
            </w:r>
          </w:p>
        </w:tc>
        <w:tc>
          <w:tcPr>
            <w:tcW w:w="5528" w:type="dxa"/>
            <w:gridSpan w:val="4"/>
            <w:shd w:val="clear" w:color="auto" w:fill="D9D9D9" w:themeFill="background1" w:themeFillShade="D9"/>
            <w:vAlign w:val="center"/>
          </w:tcPr>
          <w:p w:rsidR="00125BBC" w:rsidRPr="00244698" w:rsidRDefault="00DB0BD0" w:rsidP="00244698">
            <w:pPr>
              <w:jc w:val="center"/>
              <w:rPr>
                <w:rFonts w:eastAsia="宋体" w:cs="Times New Roman"/>
                <w:sz w:val="16"/>
                <w:szCs w:val="16"/>
              </w:rPr>
            </w:pPr>
            <w:r>
              <w:rPr>
                <w:rFonts w:eastAsia="宋体" w:cs="Times New Roman" w:hint="eastAsia"/>
                <w:sz w:val="16"/>
                <w:szCs w:val="16"/>
              </w:rPr>
              <w:t>上</w:t>
            </w:r>
            <w:r w:rsidR="00125BBC" w:rsidRPr="00244698">
              <w:rPr>
                <w:rFonts w:eastAsia="宋体" w:cs="Times New Roman" w:hint="eastAsia"/>
                <w:sz w:val="16"/>
                <w:szCs w:val="16"/>
              </w:rPr>
              <w:t>年发生额</w:t>
            </w:r>
          </w:p>
        </w:tc>
      </w:tr>
      <w:tr w:rsidR="00125BBC" w:rsidRPr="00244698" w:rsidTr="00644B2C">
        <w:trPr>
          <w:trHeight w:val="20"/>
        </w:trPr>
        <w:tc>
          <w:tcPr>
            <w:tcW w:w="2547" w:type="dxa"/>
            <w:vMerge/>
            <w:shd w:val="clear" w:color="auto" w:fill="D9D9D9" w:themeFill="background1" w:themeFillShade="D9"/>
            <w:tcMar>
              <w:top w:w="0" w:type="dxa"/>
              <w:left w:w="108" w:type="dxa"/>
              <w:bottom w:w="0" w:type="dxa"/>
              <w:right w:w="108" w:type="dxa"/>
            </w:tcMar>
            <w:vAlign w:val="center"/>
          </w:tcPr>
          <w:p w:rsidR="00125BBC" w:rsidRPr="00244698" w:rsidRDefault="00125BBC" w:rsidP="00244698">
            <w:pPr>
              <w:ind w:right="-36"/>
              <w:jc w:val="center"/>
              <w:rPr>
                <w:rFonts w:eastAsia="宋体" w:cs="Times New Roman"/>
                <w:sz w:val="16"/>
                <w:szCs w:val="16"/>
              </w:rPr>
            </w:pPr>
          </w:p>
        </w:tc>
        <w:tc>
          <w:tcPr>
            <w:tcW w:w="1417" w:type="dxa"/>
            <w:vMerge/>
            <w:shd w:val="clear" w:color="auto" w:fill="D9D9D9" w:themeFill="background1" w:themeFillShade="D9"/>
            <w:tcMar>
              <w:top w:w="0" w:type="dxa"/>
              <w:left w:w="108" w:type="dxa"/>
              <w:bottom w:w="0" w:type="dxa"/>
              <w:right w:w="108" w:type="dxa"/>
            </w:tcMar>
            <w:vAlign w:val="center"/>
          </w:tcPr>
          <w:p w:rsidR="00125BBC" w:rsidRPr="00244698" w:rsidRDefault="00125BBC" w:rsidP="00244698">
            <w:pPr>
              <w:jc w:val="center"/>
              <w:rPr>
                <w:rFonts w:eastAsia="宋体" w:cs="Times New Roman"/>
                <w:sz w:val="16"/>
                <w:szCs w:val="16"/>
              </w:rPr>
            </w:pPr>
          </w:p>
        </w:tc>
        <w:tc>
          <w:tcPr>
            <w:tcW w:w="1382" w:type="dxa"/>
            <w:shd w:val="clear" w:color="auto" w:fill="D9D9D9" w:themeFill="background1" w:themeFillShade="D9"/>
            <w:vAlign w:val="center"/>
          </w:tcPr>
          <w:p w:rsidR="00125BBC" w:rsidRPr="00244698" w:rsidRDefault="00125BBC" w:rsidP="00244698">
            <w:pPr>
              <w:jc w:val="center"/>
              <w:rPr>
                <w:rFonts w:eastAsia="宋体" w:cs="Times New Roman"/>
                <w:sz w:val="16"/>
                <w:szCs w:val="16"/>
              </w:rPr>
            </w:pPr>
            <w:r w:rsidRPr="00244698">
              <w:rPr>
                <w:rFonts w:eastAsia="宋体" w:cs="Times New Roman" w:hint="eastAsia"/>
                <w:sz w:val="16"/>
                <w:szCs w:val="16"/>
              </w:rPr>
              <w:t>简化处理的短期租赁租金费用</w:t>
            </w:r>
          </w:p>
        </w:tc>
        <w:tc>
          <w:tcPr>
            <w:tcW w:w="1382" w:type="dxa"/>
            <w:shd w:val="clear" w:color="auto" w:fill="D9D9D9" w:themeFill="background1" w:themeFillShade="D9"/>
            <w:vAlign w:val="center"/>
          </w:tcPr>
          <w:p w:rsidR="00125BBC" w:rsidRPr="00244698" w:rsidRDefault="00125BBC" w:rsidP="00244698">
            <w:pPr>
              <w:jc w:val="center"/>
              <w:rPr>
                <w:rFonts w:eastAsia="宋体" w:cs="Times New Roman"/>
                <w:sz w:val="16"/>
                <w:szCs w:val="16"/>
              </w:rPr>
            </w:pPr>
            <w:r w:rsidRPr="00244698">
              <w:rPr>
                <w:rFonts w:eastAsia="宋体" w:cs="Times New Roman" w:hint="eastAsia"/>
                <w:sz w:val="16"/>
                <w:szCs w:val="16"/>
              </w:rPr>
              <w:t>支付的租金</w:t>
            </w:r>
          </w:p>
        </w:tc>
        <w:tc>
          <w:tcPr>
            <w:tcW w:w="1382" w:type="dxa"/>
            <w:shd w:val="clear" w:color="auto" w:fill="D9D9D9" w:themeFill="background1" w:themeFillShade="D9"/>
            <w:vAlign w:val="center"/>
          </w:tcPr>
          <w:p w:rsidR="00125BBC" w:rsidRDefault="00125BBC" w:rsidP="00244698">
            <w:pPr>
              <w:jc w:val="center"/>
              <w:rPr>
                <w:rFonts w:eastAsia="宋体" w:cs="Times New Roman"/>
                <w:sz w:val="16"/>
                <w:szCs w:val="16"/>
              </w:rPr>
            </w:pPr>
            <w:r w:rsidRPr="00244698">
              <w:rPr>
                <w:rFonts w:eastAsia="宋体" w:cs="Times New Roman" w:hint="eastAsia"/>
                <w:sz w:val="16"/>
                <w:szCs w:val="16"/>
              </w:rPr>
              <w:t>承担的租赁负债</w:t>
            </w:r>
          </w:p>
          <w:p w:rsidR="00125BBC" w:rsidRPr="00244698" w:rsidRDefault="00125BBC" w:rsidP="00244698">
            <w:pPr>
              <w:jc w:val="center"/>
              <w:rPr>
                <w:rFonts w:eastAsia="宋体" w:cs="Times New Roman"/>
                <w:sz w:val="16"/>
                <w:szCs w:val="16"/>
              </w:rPr>
            </w:pPr>
            <w:r w:rsidRPr="00244698">
              <w:rPr>
                <w:rFonts w:eastAsia="宋体" w:cs="Times New Roman" w:hint="eastAsia"/>
                <w:sz w:val="16"/>
                <w:szCs w:val="16"/>
              </w:rPr>
              <w:t>利息支出</w:t>
            </w:r>
          </w:p>
        </w:tc>
        <w:tc>
          <w:tcPr>
            <w:tcW w:w="1382" w:type="dxa"/>
            <w:shd w:val="clear" w:color="auto" w:fill="D9D9D9" w:themeFill="background1" w:themeFillShade="D9"/>
            <w:vAlign w:val="center"/>
          </w:tcPr>
          <w:p w:rsidR="00125BBC" w:rsidRDefault="00125BBC" w:rsidP="00244698">
            <w:pPr>
              <w:jc w:val="center"/>
              <w:rPr>
                <w:rFonts w:eastAsia="宋体" w:cs="Times New Roman"/>
                <w:sz w:val="16"/>
                <w:szCs w:val="16"/>
              </w:rPr>
            </w:pPr>
            <w:r w:rsidRPr="00244698">
              <w:rPr>
                <w:rFonts w:eastAsia="宋体" w:cs="Times New Roman" w:hint="eastAsia"/>
                <w:sz w:val="16"/>
                <w:szCs w:val="16"/>
              </w:rPr>
              <w:t>增加的</w:t>
            </w:r>
          </w:p>
          <w:p w:rsidR="00125BBC" w:rsidRPr="00244698" w:rsidRDefault="00125BBC" w:rsidP="00244698">
            <w:pPr>
              <w:jc w:val="center"/>
              <w:rPr>
                <w:rFonts w:eastAsia="宋体" w:cs="Times New Roman"/>
                <w:sz w:val="16"/>
                <w:szCs w:val="16"/>
              </w:rPr>
            </w:pPr>
            <w:r w:rsidRPr="00244698">
              <w:rPr>
                <w:rFonts w:eastAsia="宋体" w:cs="Times New Roman" w:hint="eastAsia"/>
                <w:sz w:val="16"/>
                <w:szCs w:val="16"/>
              </w:rPr>
              <w:t>使用权资产</w:t>
            </w:r>
          </w:p>
        </w:tc>
      </w:tr>
      <w:tr w:rsidR="00125BBC" w:rsidRPr="00244698" w:rsidTr="00644B2C">
        <w:trPr>
          <w:trHeight w:val="20"/>
        </w:trPr>
        <w:tc>
          <w:tcPr>
            <w:tcW w:w="2547" w:type="dxa"/>
            <w:tcMar>
              <w:top w:w="0" w:type="dxa"/>
              <w:left w:w="108" w:type="dxa"/>
              <w:bottom w:w="0" w:type="dxa"/>
              <w:right w:w="108" w:type="dxa"/>
            </w:tcMar>
            <w:vAlign w:val="center"/>
          </w:tcPr>
          <w:p w:rsidR="00125BBC" w:rsidRPr="00244698" w:rsidRDefault="00125BBC" w:rsidP="00303C71">
            <w:pPr>
              <w:jc w:val="center"/>
              <w:rPr>
                <w:rFonts w:eastAsia="宋体" w:cs="Times New Roman"/>
                <w:sz w:val="16"/>
                <w:szCs w:val="16"/>
              </w:rPr>
            </w:pPr>
            <w:proofErr w:type="gramStart"/>
            <w:r w:rsidRPr="00244698">
              <w:rPr>
                <w:rFonts w:eastAsia="宋体" w:cs="Times New Roman" w:hint="eastAsia"/>
                <w:sz w:val="16"/>
                <w:szCs w:val="16"/>
              </w:rPr>
              <w:t>海康威视股份公司</w:t>
            </w:r>
            <w:proofErr w:type="gramEnd"/>
            <w:r w:rsidRPr="00244698">
              <w:rPr>
                <w:rFonts w:eastAsia="宋体" w:cs="Times New Roman" w:hint="eastAsia"/>
                <w:sz w:val="16"/>
                <w:szCs w:val="16"/>
              </w:rPr>
              <w:t>及其下属企业</w:t>
            </w:r>
          </w:p>
        </w:tc>
        <w:tc>
          <w:tcPr>
            <w:tcW w:w="1417" w:type="dxa"/>
            <w:tcMar>
              <w:top w:w="0" w:type="dxa"/>
              <w:left w:w="108" w:type="dxa"/>
              <w:bottom w:w="0" w:type="dxa"/>
              <w:right w:w="108" w:type="dxa"/>
            </w:tcMar>
            <w:vAlign w:val="center"/>
          </w:tcPr>
          <w:p w:rsidR="00303C71" w:rsidRDefault="00125BBC" w:rsidP="00244698">
            <w:pPr>
              <w:jc w:val="center"/>
              <w:rPr>
                <w:rFonts w:eastAsia="宋体" w:cs="Times New Roman"/>
                <w:sz w:val="16"/>
                <w:szCs w:val="16"/>
              </w:rPr>
            </w:pPr>
            <w:r w:rsidRPr="00244698">
              <w:rPr>
                <w:rFonts w:eastAsia="宋体" w:cs="Times New Roman" w:hint="eastAsia"/>
                <w:sz w:val="16"/>
                <w:szCs w:val="16"/>
              </w:rPr>
              <w:t>生产经营及</w:t>
            </w:r>
          </w:p>
          <w:p w:rsidR="00125BBC" w:rsidRPr="00244698" w:rsidRDefault="00125BBC" w:rsidP="00244698">
            <w:pPr>
              <w:jc w:val="center"/>
              <w:rPr>
                <w:rFonts w:eastAsia="宋体" w:cs="Times New Roman"/>
                <w:sz w:val="16"/>
                <w:szCs w:val="16"/>
              </w:rPr>
            </w:pPr>
            <w:r w:rsidRPr="00244698">
              <w:rPr>
                <w:rFonts w:eastAsia="宋体" w:cs="Times New Roman" w:hint="eastAsia"/>
                <w:sz w:val="16"/>
                <w:szCs w:val="16"/>
              </w:rPr>
              <w:t>办公场所、设备</w:t>
            </w:r>
          </w:p>
        </w:tc>
        <w:tc>
          <w:tcPr>
            <w:tcW w:w="1382" w:type="dxa"/>
            <w:vAlign w:val="center"/>
          </w:tcPr>
          <w:p w:rsidR="00125BBC" w:rsidRPr="00244698" w:rsidRDefault="00125BBC" w:rsidP="00244698">
            <w:pPr>
              <w:ind w:right="135"/>
              <w:jc w:val="right"/>
              <w:rPr>
                <w:rFonts w:eastAsia="宋体" w:cs="Times New Roman"/>
                <w:sz w:val="16"/>
                <w:szCs w:val="16"/>
              </w:rPr>
            </w:pPr>
            <w:r w:rsidRPr="00644B2C">
              <w:rPr>
                <w:rFonts w:eastAsia="宋体" w:cs="Times New Roman"/>
                <w:sz w:val="16"/>
                <w:szCs w:val="16"/>
              </w:rPr>
              <w:t>4,089,789.51</w:t>
            </w:r>
          </w:p>
        </w:tc>
        <w:tc>
          <w:tcPr>
            <w:tcW w:w="1382" w:type="dxa"/>
            <w:vAlign w:val="center"/>
          </w:tcPr>
          <w:p w:rsidR="00125BBC" w:rsidRPr="00244698" w:rsidRDefault="008141BA" w:rsidP="00244698">
            <w:pPr>
              <w:ind w:right="135"/>
              <w:jc w:val="right"/>
              <w:rPr>
                <w:rFonts w:eastAsia="宋体" w:cs="Times New Roman"/>
                <w:sz w:val="16"/>
                <w:szCs w:val="16"/>
              </w:rPr>
            </w:pPr>
            <w:r w:rsidRPr="008141BA">
              <w:rPr>
                <w:rFonts w:eastAsia="宋体" w:cs="Times New Roman"/>
                <w:sz w:val="16"/>
                <w:szCs w:val="16"/>
              </w:rPr>
              <w:t>30,7</w:t>
            </w:r>
            <w:r w:rsidR="001934DF">
              <w:rPr>
                <w:rFonts w:eastAsia="宋体" w:cs="Times New Roman"/>
                <w:sz w:val="16"/>
                <w:szCs w:val="16"/>
              </w:rPr>
              <w:t>22</w:t>
            </w:r>
            <w:r w:rsidRPr="008141BA">
              <w:rPr>
                <w:rFonts w:eastAsia="宋体" w:cs="Times New Roman"/>
                <w:sz w:val="16"/>
                <w:szCs w:val="16"/>
              </w:rPr>
              <w:t>,</w:t>
            </w:r>
            <w:r w:rsidR="001934DF">
              <w:rPr>
                <w:rFonts w:eastAsia="宋体" w:cs="Times New Roman"/>
                <w:sz w:val="16"/>
                <w:szCs w:val="16"/>
              </w:rPr>
              <w:t>137</w:t>
            </w:r>
            <w:r w:rsidRPr="008141BA">
              <w:rPr>
                <w:rFonts w:eastAsia="宋体" w:cs="Times New Roman"/>
                <w:sz w:val="16"/>
                <w:szCs w:val="16"/>
              </w:rPr>
              <w:t>.</w:t>
            </w:r>
            <w:r w:rsidR="001934DF">
              <w:rPr>
                <w:rFonts w:eastAsia="宋体" w:cs="Times New Roman"/>
                <w:sz w:val="16"/>
                <w:szCs w:val="16"/>
              </w:rPr>
              <w:t>53</w:t>
            </w:r>
          </w:p>
        </w:tc>
        <w:tc>
          <w:tcPr>
            <w:tcW w:w="1382" w:type="dxa"/>
            <w:vAlign w:val="center"/>
          </w:tcPr>
          <w:p w:rsidR="00125BBC" w:rsidRPr="00244698" w:rsidRDefault="008141BA" w:rsidP="00244698">
            <w:pPr>
              <w:ind w:right="135"/>
              <w:jc w:val="right"/>
              <w:rPr>
                <w:rFonts w:eastAsia="宋体" w:cs="Times New Roman"/>
                <w:sz w:val="16"/>
                <w:szCs w:val="16"/>
              </w:rPr>
            </w:pPr>
            <w:r w:rsidRPr="00644B2C">
              <w:rPr>
                <w:rFonts w:eastAsia="宋体" w:cs="Times New Roman"/>
                <w:sz w:val="16"/>
                <w:szCs w:val="16"/>
              </w:rPr>
              <w:t>1,671,851.82</w:t>
            </w:r>
          </w:p>
        </w:tc>
        <w:tc>
          <w:tcPr>
            <w:tcW w:w="1382" w:type="dxa"/>
            <w:vAlign w:val="center"/>
          </w:tcPr>
          <w:p w:rsidR="00125BBC" w:rsidRPr="00244698" w:rsidRDefault="008141BA" w:rsidP="00244698">
            <w:pPr>
              <w:ind w:right="135"/>
              <w:jc w:val="right"/>
              <w:rPr>
                <w:rFonts w:eastAsia="宋体" w:cs="Times New Roman"/>
                <w:sz w:val="16"/>
                <w:szCs w:val="16"/>
              </w:rPr>
            </w:pPr>
            <w:r w:rsidRPr="00644B2C">
              <w:rPr>
                <w:rFonts w:eastAsia="宋体" w:cs="Times New Roman"/>
                <w:sz w:val="16"/>
                <w:szCs w:val="16"/>
              </w:rPr>
              <w:t>53,776,339.38</w:t>
            </w:r>
          </w:p>
        </w:tc>
      </w:tr>
      <w:tr w:rsidR="00125BBC" w:rsidRPr="00244698" w:rsidTr="00644B2C">
        <w:trPr>
          <w:trHeight w:val="20"/>
        </w:trPr>
        <w:tc>
          <w:tcPr>
            <w:tcW w:w="2547" w:type="dxa"/>
            <w:shd w:val="clear" w:color="auto" w:fill="D9D9D9" w:themeFill="background1" w:themeFillShade="D9"/>
            <w:tcMar>
              <w:top w:w="0" w:type="dxa"/>
              <w:left w:w="108" w:type="dxa"/>
              <w:bottom w:w="0" w:type="dxa"/>
              <w:right w:w="108" w:type="dxa"/>
            </w:tcMar>
            <w:vAlign w:val="center"/>
          </w:tcPr>
          <w:p w:rsidR="00125BBC" w:rsidRPr="00244698" w:rsidRDefault="00125BBC" w:rsidP="00244698">
            <w:pPr>
              <w:rPr>
                <w:rFonts w:eastAsia="宋体" w:cs="Times New Roman"/>
                <w:sz w:val="16"/>
                <w:szCs w:val="16"/>
              </w:rPr>
            </w:pPr>
            <w:r w:rsidRPr="00244698">
              <w:rPr>
                <w:rFonts w:eastAsia="宋体" w:cs="Times New Roman" w:hint="eastAsia"/>
                <w:sz w:val="16"/>
                <w:szCs w:val="16"/>
              </w:rPr>
              <w:t>合计</w:t>
            </w:r>
          </w:p>
        </w:tc>
        <w:tc>
          <w:tcPr>
            <w:tcW w:w="1417" w:type="dxa"/>
            <w:tcMar>
              <w:top w:w="0" w:type="dxa"/>
              <w:left w:w="108" w:type="dxa"/>
              <w:bottom w:w="0" w:type="dxa"/>
              <w:right w:w="108" w:type="dxa"/>
            </w:tcMar>
            <w:vAlign w:val="center"/>
          </w:tcPr>
          <w:p w:rsidR="00125BBC" w:rsidRPr="00244698" w:rsidRDefault="00125BBC" w:rsidP="00244698">
            <w:pPr>
              <w:jc w:val="center"/>
              <w:rPr>
                <w:rFonts w:eastAsia="宋体" w:cs="Times New Roman"/>
                <w:sz w:val="16"/>
                <w:szCs w:val="16"/>
              </w:rPr>
            </w:pPr>
          </w:p>
        </w:tc>
        <w:tc>
          <w:tcPr>
            <w:tcW w:w="1382" w:type="dxa"/>
            <w:vAlign w:val="center"/>
          </w:tcPr>
          <w:p w:rsidR="00125BBC" w:rsidRPr="00244698" w:rsidRDefault="00125BBC" w:rsidP="00244698">
            <w:pPr>
              <w:ind w:right="135"/>
              <w:jc w:val="right"/>
              <w:rPr>
                <w:rFonts w:eastAsia="宋体" w:cs="Times New Roman"/>
                <w:sz w:val="16"/>
                <w:szCs w:val="16"/>
              </w:rPr>
            </w:pPr>
            <w:r w:rsidRPr="00644B2C">
              <w:rPr>
                <w:rFonts w:eastAsia="宋体" w:cs="Times New Roman"/>
                <w:sz w:val="16"/>
                <w:szCs w:val="16"/>
              </w:rPr>
              <w:t>4,089,789.51</w:t>
            </w:r>
          </w:p>
        </w:tc>
        <w:tc>
          <w:tcPr>
            <w:tcW w:w="1382" w:type="dxa"/>
            <w:vAlign w:val="center"/>
          </w:tcPr>
          <w:p w:rsidR="00125BBC" w:rsidRPr="00244698" w:rsidRDefault="001934DF" w:rsidP="00244698">
            <w:pPr>
              <w:ind w:right="135"/>
              <w:jc w:val="right"/>
              <w:rPr>
                <w:rFonts w:eastAsia="宋体" w:cs="Times New Roman"/>
                <w:sz w:val="16"/>
                <w:szCs w:val="16"/>
              </w:rPr>
            </w:pPr>
            <w:r w:rsidRPr="008141BA">
              <w:rPr>
                <w:rFonts w:eastAsia="宋体" w:cs="Times New Roman"/>
                <w:sz w:val="16"/>
                <w:szCs w:val="16"/>
              </w:rPr>
              <w:t>30,7</w:t>
            </w:r>
            <w:r>
              <w:rPr>
                <w:rFonts w:eastAsia="宋体" w:cs="Times New Roman"/>
                <w:sz w:val="16"/>
                <w:szCs w:val="16"/>
              </w:rPr>
              <w:t>22</w:t>
            </w:r>
            <w:r w:rsidRPr="008141BA">
              <w:rPr>
                <w:rFonts w:eastAsia="宋体" w:cs="Times New Roman"/>
                <w:sz w:val="16"/>
                <w:szCs w:val="16"/>
              </w:rPr>
              <w:t>,</w:t>
            </w:r>
            <w:r>
              <w:rPr>
                <w:rFonts w:eastAsia="宋体" w:cs="Times New Roman"/>
                <w:sz w:val="16"/>
                <w:szCs w:val="16"/>
              </w:rPr>
              <w:t>137</w:t>
            </w:r>
            <w:r w:rsidRPr="008141BA">
              <w:rPr>
                <w:rFonts w:eastAsia="宋体" w:cs="Times New Roman"/>
                <w:sz w:val="16"/>
                <w:szCs w:val="16"/>
              </w:rPr>
              <w:t>.</w:t>
            </w:r>
            <w:r>
              <w:rPr>
                <w:rFonts w:eastAsia="宋体" w:cs="Times New Roman"/>
                <w:sz w:val="16"/>
                <w:szCs w:val="16"/>
              </w:rPr>
              <w:t>53</w:t>
            </w:r>
          </w:p>
        </w:tc>
        <w:tc>
          <w:tcPr>
            <w:tcW w:w="1382" w:type="dxa"/>
            <w:vAlign w:val="center"/>
          </w:tcPr>
          <w:p w:rsidR="00125BBC" w:rsidRPr="00244698" w:rsidRDefault="008141BA" w:rsidP="00244698">
            <w:pPr>
              <w:ind w:right="135"/>
              <w:jc w:val="right"/>
              <w:rPr>
                <w:rFonts w:eastAsia="宋体" w:cs="Times New Roman"/>
                <w:sz w:val="16"/>
                <w:szCs w:val="16"/>
              </w:rPr>
            </w:pPr>
            <w:r w:rsidRPr="00644B2C">
              <w:rPr>
                <w:rFonts w:eastAsia="宋体" w:cs="Times New Roman"/>
                <w:sz w:val="16"/>
                <w:szCs w:val="16"/>
              </w:rPr>
              <w:t>1,671,851.82</w:t>
            </w:r>
          </w:p>
        </w:tc>
        <w:tc>
          <w:tcPr>
            <w:tcW w:w="1382" w:type="dxa"/>
            <w:vAlign w:val="center"/>
          </w:tcPr>
          <w:p w:rsidR="00125BBC" w:rsidRPr="00244698" w:rsidRDefault="008141BA" w:rsidP="00244698">
            <w:pPr>
              <w:ind w:right="135"/>
              <w:jc w:val="right"/>
              <w:rPr>
                <w:rFonts w:eastAsia="宋体" w:cs="Times New Roman"/>
                <w:sz w:val="16"/>
                <w:szCs w:val="16"/>
              </w:rPr>
            </w:pPr>
            <w:r w:rsidRPr="00644B2C">
              <w:rPr>
                <w:rFonts w:eastAsia="宋体" w:cs="Times New Roman"/>
                <w:sz w:val="16"/>
                <w:szCs w:val="16"/>
              </w:rPr>
              <w:t>53,776,339.38</w:t>
            </w:r>
          </w:p>
        </w:tc>
      </w:tr>
    </w:tbl>
    <w:p w:rsidR="00F34737" w:rsidRPr="00A71D2E" w:rsidRDefault="00F34737">
      <w:pPr>
        <w:ind w:leftChars="337" w:left="708"/>
        <w:rPr>
          <w:rFonts w:eastAsia="宋体" w:cs="Times New Roman"/>
          <w:szCs w:val="21"/>
        </w:rPr>
      </w:pPr>
    </w:p>
    <w:p w:rsidR="00F34737" w:rsidRPr="00D71971" w:rsidRDefault="00F34737">
      <w:pPr>
        <w:pStyle w:val="aff1"/>
        <w:widowControl w:val="0"/>
        <w:numPr>
          <w:ilvl w:val="0"/>
          <w:numId w:val="25"/>
        </w:numPr>
        <w:ind w:left="1440" w:firstLineChars="0" w:hanging="720"/>
        <w:rPr>
          <w:szCs w:val="21"/>
        </w:rPr>
      </w:pPr>
      <w:r w:rsidRPr="00D71971">
        <w:rPr>
          <w:rFonts w:hint="eastAsia"/>
          <w:szCs w:val="21"/>
        </w:rPr>
        <w:t>关键管理人员报酬</w:t>
      </w:r>
    </w:p>
    <w:p w:rsidR="00F34737" w:rsidRPr="00A71D2E" w:rsidRDefault="00F34737">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516"/>
        <w:gridCol w:w="1470"/>
        <w:gridCol w:w="1470"/>
      </w:tblGrid>
      <w:tr w:rsidR="00D105ED" w:rsidRPr="00A71D2E" w:rsidDel="00A457E1" w:rsidTr="0027505B">
        <w:trPr>
          <w:trHeight w:val="20"/>
        </w:trPr>
        <w:tc>
          <w:tcPr>
            <w:tcW w:w="6516" w:type="dxa"/>
            <w:shd w:val="clear" w:color="auto" w:fill="D9D9D9" w:themeFill="background1" w:themeFillShade="D9"/>
            <w:tcMar>
              <w:top w:w="0" w:type="dxa"/>
              <w:left w:w="108" w:type="dxa"/>
              <w:bottom w:w="0" w:type="dxa"/>
              <w:right w:w="108" w:type="dxa"/>
            </w:tcMar>
            <w:vAlign w:val="center"/>
            <w:hideMark/>
          </w:tcPr>
          <w:p w:rsidR="00D105ED" w:rsidRPr="00A71D2E" w:rsidRDefault="00D105ED">
            <w:pPr>
              <w:jc w:val="center"/>
              <w:rPr>
                <w:rFonts w:eastAsia="宋体" w:cs="Times New Roman"/>
                <w:sz w:val="18"/>
                <w:szCs w:val="18"/>
              </w:rPr>
            </w:pPr>
            <w:r w:rsidRPr="00A71D2E">
              <w:rPr>
                <w:rFonts w:eastAsia="宋体" w:cs="Times New Roman" w:hint="eastAsia"/>
                <w:sz w:val="18"/>
                <w:szCs w:val="18"/>
              </w:rPr>
              <w:t>项目名称</w:t>
            </w:r>
          </w:p>
        </w:tc>
        <w:tc>
          <w:tcPr>
            <w:tcW w:w="1470" w:type="dxa"/>
            <w:shd w:val="clear" w:color="auto" w:fill="D9D9D9" w:themeFill="background1" w:themeFillShade="D9"/>
            <w:vAlign w:val="center"/>
          </w:tcPr>
          <w:p w:rsidR="00D105ED" w:rsidRPr="00A71D2E" w:rsidRDefault="00D105ED">
            <w:pPr>
              <w:jc w:val="center"/>
              <w:rPr>
                <w:rFonts w:eastAsia="宋体" w:cs="Times New Roman"/>
                <w:sz w:val="18"/>
                <w:szCs w:val="18"/>
              </w:rPr>
            </w:pPr>
            <w:r w:rsidRPr="00A71D2E">
              <w:rPr>
                <w:rFonts w:eastAsia="宋体" w:cs="Times New Roman" w:hint="eastAsia"/>
                <w:sz w:val="18"/>
                <w:szCs w:val="18"/>
              </w:rPr>
              <w:t>本年发生额</w:t>
            </w:r>
          </w:p>
        </w:tc>
        <w:tc>
          <w:tcPr>
            <w:tcW w:w="1470" w:type="dxa"/>
            <w:shd w:val="clear" w:color="auto" w:fill="D9D9D9" w:themeFill="background1" w:themeFillShade="D9"/>
            <w:tcMar>
              <w:top w:w="0" w:type="dxa"/>
              <w:left w:w="108" w:type="dxa"/>
              <w:bottom w:w="0" w:type="dxa"/>
              <w:right w:w="108" w:type="dxa"/>
            </w:tcMar>
            <w:vAlign w:val="center"/>
            <w:hideMark/>
          </w:tcPr>
          <w:p w:rsidR="00D105ED" w:rsidRPr="00A71D2E" w:rsidRDefault="00D105ED">
            <w:pPr>
              <w:jc w:val="center"/>
              <w:rPr>
                <w:rFonts w:eastAsia="宋体" w:cs="Times New Roman"/>
                <w:sz w:val="18"/>
                <w:szCs w:val="18"/>
              </w:rPr>
            </w:pPr>
            <w:r w:rsidRPr="00A71D2E">
              <w:rPr>
                <w:rFonts w:eastAsia="宋体" w:cs="Times New Roman" w:hint="eastAsia"/>
                <w:sz w:val="18"/>
                <w:szCs w:val="18"/>
              </w:rPr>
              <w:t>上年发生额</w:t>
            </w:r>
          </w:p>
        </w:tc>
      </w:tr>
      <w:tr w:rsidR="00FB4EF3" w:rsidRPr="00A71D2E" w:rsidTr="0027505B">
        <w:trPr>
          <w:trHeight w:val="20"/>
        </w:trPr>
        <w:tc>
          <w:tcPr>
            <w:tcW w:w="6516" w:type="dxa"/>
            <w:tcMar>
              <w:top w:w="0" w:type="dxa"/>
              <w:left w:w="108" w:type="dxa"/>
              <w:bottom w:w="0" w:type="dxa"/>
              <w:right w:w="108" w:type="dxa"/>
            </w:tcMar>
            <w:vAlign w:val="center"/>
          </w:tcPr>
          <w:p w:rsidR="00FB4EF3" w:rsidRPr="00A71D2E" w:rsidRDefault="00FB4EF3" w:rsidP="00FB4EF3">
            <w:pPr>
              <w:rPr>
                <w:rFonts w:eastAsia="宋体" w:cs="Times New Roman"/>
                <w:sz w:val="18"/>
                <w:szCs w:val="18"/>
              </w:rPr>
            </w:pPr>
            <w:r w:rsidRPr="00A71D2E">
              <w:rPr>
                <w:rFonts w:eastAsia="宋体" w:cs="Times New Roman" w:hint="eastAsia"/>
                <w:sz w:val="18"/>
                <w:szCs w:val="18"/>
              </w:rPr>
              <w:t>关键管理人员工资薪金</w:t>
            </w:r>
          </w:p>
        </w:tc>
        <w:tc>
          <w:tcPr>
            <w:tcW w:w="1470" w:type="dxa"/>
            <w:vAlign w:val="center"/>
          </w:tcPr>
          <w:p w:rsidR="00FB4EF3" w:rsidRPr="00A71D2E" w:rsidRDefault="007B464F" w:rsidP="00FB4EF3">
            <w:pPr>
              <w:ind w:right="120"/>
              <w:jc w:val="right"/>
              <w:rPr>
                <w:rFonts w:eastAsia="宋体" w:cs="Times New Roman"/>
                <w:sz w:val="18"/>
                <w:szCs w:val="18"/>
              </w:rPr>
            </w:pPr>
            <w:r>
              <w:rPr>
                <w:rFonts w:eastAsia="宋体" w:cs="Times New Roman"/>
                <w:sz w:val="18"/>
                <w:szCs w:val="18"/>
              </w:rPr>
              <w:t>8</w:t>
            </w:r>
            <w:r w:rsidR="00CC026F" w:rsidRPr="00CC026F">
              <w:rPr>
                <w:rFonts w:eastAsia="宋体" w:cs="Times New Roman"/>
                <w:sz w:val="18"/>
                <w:szCs w:val="18"/>
              </w:rPr>
              <w:t>,</w:t>
            </w:r>
            <w:r>
              <w:rPr>
                <w:rFonts w:eastAsia="宋体" w:cs="Times New Roman"/>
                <w:sz w:val="18"/>
                <w:szCs w:val="18"/>
              </w:rPr>
              <w:t>533</w:t>
            </w:r>
            <w:r w:rsidR="00CC026F" w:rsidRPr="00CC026F">
              <w:rPr>
                <w:rFonts w:eastAsia="宋体" w:cs="Times New Roman"/>
                <w:sz w:val="18"/>
                <w:szCs w:val="18"/>
              </w:rPr>
              <w:t>,</w:t>
            </w:r>
            <w:r>
              <w:rPr>
                <w:rFonts w:eastAsia="宋体" w:cs="Times New Roman"/>
                <w:sz w:val="18"/>
                <w:szCs w:val="18"/>
              </w:rPr>
              <w:t>432</w:t>
            </w:r>
            <w:r w:rsidR="00CC026F" w:rsidRPr="00CC026F">
              <w:rPr>
                <w:rFonts w:eastAsia="宋体" w:cs="Times New Roman"/>
                <w:sz w:val="18"/>
                <w:szCs w:val="18"/>
              </w:rPr>
              <w:t>.</w:t>
            </w:r>
            <w:r>
              <w:rPr>
                <w:rFonts w:eastAsia="宋体" w:cs="Times New Roman"/>
                <w:sz w:val="18"/>
                <w:szCs w:val="18"/>
              </w:rPr>
              <w:t>8</w:t>
            </w:r>
            <w:r w:rsidR="00CC026F" w:rsidRPr="00CC026F">
              <w:rPr>
                <w:rFonts w:eastAsia="宋体" w:cs="Times New Roman"/>
                <w:sz w:val="18"/>
                <w:szCs w:val="18"/>
              </w:rPr>
              <w:t>9</w:t>
            </w:r>
          </w:p>
        </w:tc>
        <w:tc>
          <w:tcPr>
            <w:tcW w:w="1470" w:type="dxa"/>
            <w:tcMar>
              <w:top w:w="0" w:type="dxa"/>
              <w:left w:w="108" w:type="dxa"/>
              <w:bottom w:w="0" w:type="dxa"/>
              <w:right w:w="108" w:type="dxa"/>
            </w:tcMar>
            <w:vAlign w:val="center"/>
          </w:tcPr>
          <w:p w:rsidR="00FB4EF3" w:rsidRPr="00A71D2E" w:rsidRDefault="00FB4EF3" w:rsidP="00FB4EF3">
            <w:pPr>
              <w:jc w:val="right"/>
              <w:rPr>
                <w:rFonts w:eastAsia="宋体" w:cs="Times New Roman"/>
                <w:sz w:val="18"/>
                <w:szCs w:val="18"/>
              </w:rPr>
            </w:pPr>
            <w:r w:rsidRPr="00A71D2E">
              <w:rPr>
                <w:rFonts w:eastAsia="宋体" w:cs="Times New Roman"/>
                <w:sz w:val="18"/>
                <w:szCs w:val="18"/>
              </w:rPr>
              <w:t>7,045,042.50</w:t>
            </w:r>
          </w:p>
        </w:tc>
      </w:tr>
      <w:tr w:rsidR="00FB4EF3" w:rsidRPr="00A71D2E" w:rsidTr="0027505B">
        <w:trPr>
          <w:trHeight w:val="20"/>
        </w:trPr>
        <w:tc>
          <w:tcPr>
            <w:tcW w:w="6516" w:type="dxa"/>
            <w:shd w:val="clear" w:color="auto" w:fill="D9D9D9" w:themeFill="background1" w:themeFillShade="D9"/>
            <w:tcMar>
              <w:top w:w="0" w:type="dxa"/>
              <w:left w:w="108" w:type="dxa"/>
              <w:bottom w:w="0" w:type="dxa"/>
              <w:right w:w="108" w:type="dxa"/>
            </w:tcMar>
            <w:vAlign w:val="center"/>
          </w:tcPr>
          <w:p w:rsidR="00FB4EF3" w:rsidRPr="00A71D2E" w:rsidRDefault="00FB4EF3" w:rsidP="00FB4EF3">
            <w:pPr>
              <w:rPr>
                <w:rFonts w:eastAsia="宋体" w:cs="Times New Roman"/>
                <w:sz w:val="18"/>
                <w:szCs w:val="18"/>
              </w:rPr>
            </w:pPr>
            <w:r w:rsidRPr="00A71D2E">
              <w:rPr>
                <w:rFonts w:eastAsia="宋体" w:cs="Times New Roman" w:hint="eastAsia"/>
                <w:sz w:val="18"/>
                <w:szCs w:val="18"/>
              </w:rPr>
              <w:t>合计</w:t>
            </w:r>
          </w:p>
        </w:tc>
        <w:tc>
          <w:tcPr>
            <w:tcW w:w="1470" w:type="dxa"/>
            <w:vAlign w:val="center"/>
          </w:tcPr>
          <w:p w:rsidR="00FB4EF3" w:rsidRPr="00A71D2E" w:rsidRDefault="007B464F" w:rsidP="00FB4EF3">
            <w:pPr>
              <w:ind w:right="120"/>
              <w:jc w:val="right"/>
              <w:rPr>
                <w:rFonts w:eastAsia="宋体" w:cs="Times New Roman"/>
                <w:sz w:val="18"/>
                <w:szCs w:val="18"/>
              </w:rPr>
            </w:pPr>
            <w:r>
              <w:rPr>
                <w:rFonts w:eastAsia="宋体" w:cs="Times New Roman"/>
                <w:sz w:val="18"/>
                <w:szCs w:val="18"/>
              </w:rPr>
              <w:t>8</w:t>
            </w:r>
            <w:r w:rsidRPr="00CC026F">
              <w:rPr>
                <w:rFonts w:eastAsia="宋体" w:cs="Times New Roman"/>
                <w:sz w:val="18"/>
                <w:szCs w:val="18"/>
              </w:rPr>
              <w:t>,</w:t>
            </w:r>
            <w:r>
              <w:rPr>
                <w:rFonts w:eastAsia="宋体" w:cs="Times New Roman"/>
                <w:sz w:val="18"/>
                <w:szCs w:val="18"/>
              </w:rPr>
              <w:t>533</w:t>
            </w:r>
            <w:r w:rsidRPr="00CC026F">
              <w:rPr>
                <w:rFonts w:eastAsia="宋体" w:cs="Times New Roman"/>
                <w:sz w:val="18"/>
                <w:szCs w:val="18"/>
              </w:rPr>
              <w:t>,</w:t>
            </w:r>
            <w:r>
              <w:rPr>
                <w:rFonts w:eastAsia="宋体" w:cs="Times New Roman"/>
                <w:sz w:val="18"/>
                <w:szCs w:val="18"/>
              </w:rPr>
              <w:t>432</w:t>
            </w:r>
            <w:r w:rsidRPr="00CC026F">
              <w:rPr>
                <w:rFonts w:eastAsia="宋体" w:cs="Times New Roman"/>
                <w:sz w:val="18"/>
                <w:szCs w:val="18"/>
              </w:rPr>
              <w:t>.</w:t>
            </w:r>
            <w:r>
              <w:rPr>
                <w:rFonts w:eastAsia="宋体" w:cs="Times New Roman"/>
                <w:sz w:val="18"/>
                <w:szCs w:val="18"/>
              </w:rPr>
              <w:t>8</w:t>
            </w:r>
            <w:r w:rsidRPr="00CC026F">
              <w:rPr>
                <w:rFonts w:eastAsia="宋体" w:cs="Times New Roman"/>
                <w:sz w:val="18"/>
                <w:szCs w:val="18"/>
              </w:rPr>
              <w:t>9</w:t>
            </w:r>
          </w:p>
        </w:tc>
        <w:tc>
          <w:tcPr>
            <w:tcW w:w="1470" w:type="dxa"/>
            <w:tcMar>
              <w:top w:w="0" w:type="dxa"/>
              <w:left w:w="108" w:type="dxa"/>
              <w:bottom w:w="0" w:type="dxa"/>
              <w:right w:w="108" w:type="dxa"/>
            </w:tcMar>
            <w:vAlign w:val="center"/>
          </w:tcPr>
          <w:p w:rsidR="00FB4EF3" w:rsidRPr="00A71D2E" w:rsidRDefault="00FB4EF3" w:rsidP="00FB4EF3">
            <w:pPr>
              <w:jc w:val="right"/>
              <w:rPr>
                <w:rFonts w:eastAsia="宋体" w:cs="Times New Roman"/>
                <w:sz w:val="18"/>
                <w:szCs w:val="18"/>
              </w:rPr>
            </w:pPr>
            <w:r w:rsidRPr="00A71D2E">
              <w:rPr>
                <w:rFonts w:eastAsia="宋体" w:cs="Times New Roman"/>
                <w:sz w:val="18"/>
                <w:szCs w:val="18"/>
              </w:rPr>
              <w:t>7,045,042.50</w:t>
            </w:r>
          </w:p>
        </w:tc>
      </w:tr>
    </w:tbl>
    <w:p w:rsidR="00F34737" w:rsidRPr="00A71D2E" w:rsidRDefault="00F34737" w:rsidP="00F66363">
      <w:pPr>
        <w:ind w:leftChars="337" w:left="708"/>
        <w:jc w:val="both"/>
        <w:rPr>
          <w:rFonts w:eastAsia="宋体" w:cs="Times New Roman"/>
          <w:szCs w:val="21"/>
        </w:rPr>
      </w:pPr>
    </w:p>
    <w:p w:rsidR="00F34737" w:rsidRPr="00A71D2E" w:rsidRDefault="00F34737">
      <w:pPr>
        <w:pStyle w:val="aff1"/>
        <w:widowControl w:val="0"/>
        <w:numPr>
          <w:ilvl w:val="0"/>
          <w:numId w:val="25"/>
        </w:numPr>
        <w:ind w:left="1440" w:firstLineChars="0" w:hanging="720"/>
        <w:jc w:val="both"/>
        <w:rPr>
          <w:szCs w:val="21"/>
        </w:rPr>
      </w:pPr>
      <w:r w:rsidRPr="00A71D2E">
        <w:rPr>
          <w:rFonts w:hint="eastAsia"/>
          <w:szCs w:val="21"/>
        </w:rPr>
        <w:t>关联</w:t>
      </w:r>
      <w:proofErr w:type="gramStart"/>
      <w:r w:rsidRPr="00A71D2E">
        <w:rPr>
          <w:rFonts w:hint="eastAsia"/>
          <w:szCs w:val="21"/>
        </w:rPr>
        <w:t>方股份</w:t>
      </w:r>
      <w:proofErr w:type="gramEnd"/>
      <w:r w:rsidRPr="00A71D2E">
        <w:rPr>
          <w:rFonts w:hint="eastAsia"/>
          <w:szCs w:val="21"/>
        </w:rPr>
        <w:t>支付</w:t>
      </w:r>
    </w:p>
    <w:p w:rsidR="00F34737" w:rsidRPr="00A71D2E" w:rsidRDefault="00F34737">
      <w:pPr>
        <w:widowControl w:val="0"/>
        <w:ind w:left="720"/>
        <w:jc w:val="both"/>
        <w:rPr>
          <w:rFonts w:eastAsia="宋体" w:cs="Times New Roman"/>
          <w:szCs w:val="21"/>
        </w:rPr>
      </w:pPr>
    </w:p>
    <w:p w:rsidR="00495F4B" w:rsidRDefault="00F34737" w:rsidP="00644B2C">
      <w:pPr>
        <w:widowControl w:val="0"/>
        <w:ind w:left="720"/>
        <w:jc w:val="both"/>
        <w:rPr>
          <w:rFonts w:eastAsia="宋体" w:cs="Times New Roman"/>
          <w:szCs w:val="21"/>
        </w:rPr>
      </w:pPr>
      <w:r w:rsidRPr="00A71D2E">
        <w:rPr>
          <w:rFonts w:eastAsia="宋体" w:cs="Times New Roman" w:hint="eastAsia"/>
          <w:szCs w:val="21"/>
        </w:rPr>
        <w:t>本集团员工</w:t>
      </w:r>
      <w:r w:rsidR="000808EC" w:rsidRPr="00A71D2E">
        <w:rPr>
          <w:rFonts w:eastAsia="宋体" w:cs="Times New Roman" w:hint="eastAsia"/>
          <w:szCs w:val="21"/>
        </w:rPr>
        <w:t>参与的与关联</w:t>
      </w:r>
      <w:proofErr w:type="gramStart"/>
      <w:r w:rsidR="000808EC" w:rsidRPr="00A71D2E">
        <w:rPr>
          <w:rFonts w:eastAsia="宋体" w:cs="Times New Roman" w:hint="eastAsia"/>
          <w:szCs w:val="21"/>
        </w:rPr>
        <w:t>方相关</w:t>
      </w:r>
      <w:proofErr w:type="gramEnd"/>
      <w:r w:rsidR="000808EC" w:rsidRPr="00A71D2E">
        <w:rPr>
          <w:rFonts w:eastAsia="宋体" w:cs="Times New Roman" w:hint="eastAsia"/>
          <w:szCs w:val="21"/>
        </w:rPr>
        <w:t>的股权激励计划</w:t>
      </w:r>
      <w:r w:rsidRPr="00A71D2E">
        <w:rPr>
          <w:rFonts w:eastAsia="宋体" w:cs="Times New Roman" w:hint="eastAsia"/>
          <w:szCs w:val="21"/>
        </w:rPr>
        <w:t>，详见附注</w:t>
      </w:r>
      <w:r w:rsidR="005F14EE">
        <w:rPr>
          <w:rFonts w:eastAsia="宋体" w:cs="Times New Roman"/>
          <w:szCs w:val="21"/>
        </w:rPr>
        <w:t>(</w:t>
      </w:r>
      <w:r w:rsidRPr="00A71D2E">
        <w:rPr>
          <w:rFonts w:eastAsia="宋体" w:cs="Times New Roman" w:hint="eastAsia"/>
          <w:szCs w:val="21"/>
        </w:rPr>
        <w:t>十</w:t>
      </w:r>
      <w:r w:rsidR="006E21FB">
        <w:rPr>
          <w:rFonts w:eastAsia="宋体" w:cs="Times New Roman" w:hint="eastAsia"/>
          <w:szCs w:val="21"/>
        </w:rPr>
        <w:t>一</w:t>
      </w:r>
      <w:r w:rsidR="005F14EE">
        <w:rPr>
          <w:rFonts w:eastAsia="宋体" w:cs="Times New Roman"/>
          <w:szCs w:val="21"/>
        </w:rPr>
        <w:t>)</w:t>
      </w:r>
      <w:r w:rsidRPr="00A71D2E">
        <w:rPr>
          <w:rFonts w:eastAsia="宋体" w:cs="Times New Roman" w:hint="eastAsia"/>
          <w:szCs w:val="21"/>
        </w:rPr>
        <w:t>。</w:t>
      </w:r>
      <w:r w:rsidR="00495F4B">
        <w:rPr>
          <w:rFonts w:eastAsia="宋体" w:cs="Times New Roman"/>
          <w:szCs w:val="21"/>
        </w:rPr>
        <w:br w:type="page"/>
      </w:r>
    </w:p>
    <w:p w:rsidR="00495F4B" w:rsidRPr="00F66363" w:rsidRDefault="00495F4B" w:rsidP="00495F4B">
      <w:pPr>
        <w:ind w:left="720" w:hanging="720"/>
        <w:jc w:val="both"/>
        <w:rPr>
          <w:rFonts w:eastAsia="宋体" w:cs="Times New Roman"/>
          <w:szCs w:val="21"/>
        </w:rPr>
      </w:pPr>
      <w:r>
        <w:rPr>
          <w:rFonts w:eastAsia="宋体" w:cs="Times New Roman"/>
          <w:b/>
          <w:bCs/>
          <w:szCs w:val="21"/>
        </w:rPr>
        <w:t>(</w:t>
      </w:r>
      <w:r>
        <w:rPr>
          <w:rFonts w:eastAsia="宋体" w:cs="Times New Roman" w:hint="eastAsia"/>
          <w:b/>
          <w:bCs/>
          <w:szCs w:val="21"/>
        </w:rPr>
        <w:t>十</w:t>
      </w:r>
      <w:r>
        <w:rPr>
          <w:rFonts w:eastAsia="宋体" w:cs="Times New Roman"/>
          <w:b/>
          <w:bCs/>
          <w:szCs w:val="21"/>
        </w:rPr>
        <w:t>)</w:t>
      </w:r>
      <w:r w:rsidRPr="00F66363">
        <w:rPr>
          <w:rFonts w:eastAsia="宋体" w:cs="Times New Roman"/>
          <w:b/>
          <w:bCs/>
          <w:szCs w:val="21"/>
        </w:rPr>
        <w:tab/>
      </w:r>
      <w:r w:rsidRPr="00F66363">
        <w:rPr>
          <w:rFonts w:eastAsia="宋体" w:cs="Times New Roman" w:hint="eastAsia"/>
          <w:b/>
          <w:bCs/>
          <w:szCs w:val="21"/>
        </w:rPr>
        <w:t>关联方及关联方交易</w:t>
      </w:r>
      <w:r w:rsidRPr="00F66363">
        <w:rPr>
          <w:rFonts w:eastAsia="宋体" w:cs="Times New Roman"/>
          <w:szCs w:val="21"/>
        </w:rPr>
        <w:t xml:space="preserve"> - </w:t>
      </w:r>
      <w:r w:rsidRPr="00F66363">
        <w:rPr>
          <w:rFonts w:eastAsia="宋体" w:cs="Times New Roman" w:hint="eastAsia"/>
          <w:szCs w:val="21"/>
        </w:rPr>
        <w:t>续</w:t>
      </w:r>
    </w:p>
    <w:p w:rsidR="00495F4B" w:rsidRPr="00F66363" w:rsidRDefault="00495F4B" w:rsidP="00495F4B">
      <w:pPr>
        <w:ind w:left="720"/>
        <w:jc w:val="both"/>
        <w:rPr>
          <w:rFonts w:eastAsia="宋体" w:cs="Times New Roman"/>
          <w:szCs w:val="21"/>
        </w:rPr>
      </w:pPr>
    </w:p>
    <w:p w:rsidR="00495F4B" w:rsidRPr="00F66363" w:rsidRDefault="00495F4B" w:rsidP="00495F4B">
      <w:pPr>
        <w:ind w:left="1440" w:hanging="720"/>
        <w:jc w:val="both"/>
        <w:rPr>
          <w:rFonts w:eastAsia="宋体" w:cs="Times New Roman"/>
          <w:szCs w:val="21"/>
        </w:rPr>
      </w:pPr>
      <w:r w:rsidRPr="00F66363">
        <w:rPr>
          <w:rFonts w:eastAsia="宋体" w:cs="Times New Roman"/>
          <w:b/>
          <w:bCs/>
          <w:szCs w:val="21"/>
        </w:rPr>
        <w:t>4</w:t>
      </w:r>
      <w:r w:rsidRPr="00F66363">
        <w:rPr>
          <w:rFonts w:eastAsia="宋体" w:cs="Times New Roman" w:hint="eastAsia"/>
          <w:b/>
          <w:bCs/>
          <w:szCs w:val="21"/>
        </w:rPr>
        <w:t>、</w:t>
      </w:r>
      <w:r w:rsidRPr="00F66363">
        <w:rPr>
          <w:rFonts w:eastAsia="宋体" w:cs="Times New Roman"/>
          <w:b/>
          <w:bCs/>
          <w:szCs w:val="21"/>
        </w:rPr>
        <w:tab/>
      </w:r>
      <w:r w:rsidRPr="00F66363">
        <w:rPr>
          <w:rFonts w:eastAsia="宋体" w:cs="Times New Roman" w:hint="eastAsia"/>
          <w:b/>
          <w:bCs/>
          <w:szCs w:val="21"/>
        </w:rPr>
        <w:t>关联方交易情况</w:t>
      </w:r>
      <w:r w:rsidRPr="00F66363">
        <w:rPr>
          <w:rFonts w:eastAsia="宋体" w:cs="Times New Roman"/>
          <w:szCs w:val="21"/>
        </w:rPr>
        <w:t xml:space="preserve"> - </w:t>
      </w:r>
      <w:r w:rsidRPr="00F66363">
        <w:rPr>
          <w:rFonts w:eastAsia="宋体" w:cs="Times New Roman" w:hint="eastAsia"/>
          <w:szCs w:val="21"/>
        </w:rPr>
        <w:t>续</w:t>
      </w:r>
    </w:p>
    <w:p w:rsidR="00F34737" w:rsidRPr="00A71D2E" w:rsidRDefault="00F34737" w:rsidP="00F66363">
      <w:pPr>
        <w:widowControl w:val="0"/>
        <w:ind w:left="720"/>
        <w:jc w:val="both"/>
        <w:rPr>
          <w:rFonts w:eastAsia="宋体" w:cs="Times New Roman"/>
          <w:szCs w:val="21"/>
        </w:rPr>
      </w:pPr>
    </w:p>
    <w:p w:rsidR="00F34737" w:rsidRPr="00A71D2E" w:rsidRDefault="00F34737">
      <w:pPr>
        <w:pStyle w:val="aff1"/>
        <w:widowControl w:val="0"/>
        <w:numPr>
          <w:ilvl w:val="0"/>
          <w:numId w:val="25"/>
        </w:numPr>
        <w:ind w:left="1440" w:firstLineChars="0" w:hanging="720"/>
        <w:jc w:val="both"/>
        <w:rPr>
          <w:szCs w:val="21"/>
        </w:rPr>
      </w:pPr>
      <w:r w:rsidRPr="00A71D2E">
        <w:rPr>
          <w:rFonts w:hint="eastAsia"/>
          <w:szCs w:val="21"/>
        </w:rPr>
        <w:t>品牌标识</w:t>
      </w:r>
    </w:p>
    <w:p w:rsidR="00F34737" w:rsidRPr="00A71D2E" w:rsidRDefault="00F34737">
      <w:pPr>
        <w:widowControl w:val="0"/>
        <w:ind w:left="720"/>
        <w:jc w:val="both"/>
        <w:rPr>
          <w:rFonts w:eastAsia="宋体" w:cs="Times New Roman"/>
          <w:szCs w:val="21"/>
        </w:rPr>
      </w:pPr>
    </w:p>
    <w:p w:rsidR="00F34737" w:rsidRPr="00A71D2E" w:rsidRDefault="00F34737">
      <w:pPr>
        <w:widowControl w:val="0"/>
        <w:ind w:left="720"/>
        <w:jc w:val="both"/>
        <w:rPr>
          <w:rFonts w:eastAsia="宋体" w:cs="Times New Roman"/>
          <w:szCs w:val="21"/>
        </w:rPr>
      </w:pPr>
      <w:r w:rsidRPr="00A71D2E">
        <w:rPr>
          <w:rFonts w:eastAsia="宋体" w:cs="Times New Roman" w:hint="eastAsia"/>
          <w:szCs w:val="21"/>
        </w:rPr>
        <w:t>本集团与</w:t>
      </w:r>
      <w:proofErr w:type="gramStart"/>
      <w:r w:rsidRPr="00A71D2E">
        <w:rPr>
          <w:rFonts w:eastAsia="宋体" w:cs="Times New Roman" w:hint="eastAsia"/>
          <w:szCs w:val="21"/>
        </w:rPr>
        <w:t>海康威视股份公司</w:t>
      </w:r>
      <w:proofErr w:type="gramEnd"/>
      <w:r w:rsidRPr="00A71D2E">
        <w:rPr>
          <w:rFonts w:eastAsia="宋体" w:cs="Times New Roman" w:hint="eastAsia"/>
          <w:szCs w:val="21"/>
        </w:rPr>
        <w:t>、</w:t>
      </w:r>
      <w:proofErr w:type="spellStart"/>
      <w:r w:rsidRPr="00A71D2E">
        <w:rPr>
          <w:rFonts w:eastAsia="宋体" w:cs="Times New Roman"/>
          <w:szCs w:val="21"/>
        </w:rPr>
        <w:t>Pyronix</w:t>
      </w:r>
      <w:proofErr w:type="spellEnd"/>
      <w:r w:rsidRPr="00A71D2E">
        <w:rPr>
          <w:rFonts w:eastAsia="宋体" w:cs="Times New Roman"/>
          <w:szCs w:val="21"/>
        </w:rPr>
        <w:t xml:space="preserve"> Limited</w:t>
      </w:r>
      <w:r w:rsidRPr="00A71D2E">
        <w:rPr>
          <w:rFonts w:eastAsia="宋体" w:cs="Times New Roman" w:hint="eastAsia"/>
          <w:szCs w:val="21"/>
        </w:rPr>
        <w:t>签订了《品牌标识使用许可合同》，</w:t>
      </w:r>
      <w:proofErr w:type="gramStart"/>
      <w:r w:rsidRPr="00A71D2E">
        <w:rPr>
          <w:rFonts w:eastAsia="宋体" w:cs="Times New Roman" w:hint="eastAsia"/>
          <w:szCs w:val="21"/>
        </w:rPr>
        <w:t>海康威视股份公司</w:t>
      </w:r>
      <w:proofErr w:type="gramEnd"/>
      <w:r w:rsidRPr="00A71D2E">
        <w:rPr>
          <w:rFonts w:eastAsia="宋体" w:cs="Times New Roman" w:hint="eastAsia"/>
          <w:szCs w:val="21"/>
        </w:rPr>
        <w:t>、</w:t>
      </w:r>
      <w:proofErr w:type="spellStart"/>
      <w:r w:rsidRPr="00A71D2E">
        <w:rPr>
          <w:rFonts w:eastAsia="宋体" w:cs="Times New Roman"/>
          <w:szCs w:val="21"/>
        </w:rPr>
        <w:t>Pyronix</w:t>
      </w:r>
      <w:proofErr w:type="spellEnd"/>
      <w:r w:rsidRPr="00A71D2E">
        <w:rPr>
          <w:rFonts w:eastAsia="宋体" w:cs="Times New Roman"/>
          <w:szCs w:val="21"/>
        </w:rPr>
        <w:t xml:space="preserve"> Limited</w:t>
      </w:r>
      <w:r w:rsidRPr="00A71D2E">
        <w:rPr>
          <w:rFonts w:eastAsia="宋体" w:cs="Times New Roman" w:hint="eastAsia"/>
          <w:szCs w:val="21"/>
        </w:rPr>
        <w:t>将其拥有的部分品牌标识</w:t>
      </w:r>
      <w:r w:rsidR="005F14EE">
        <w:rPr>
          <w:rFonts w:eastAsia="宋体" w:cs="Times New Roman"/>
          <w:szCs w:val="21"/>
        </w:rPr>
        <w:t>(</w:t>
      </w:r>
      <w:r w:rsidRPr="00A71D2E">
        <w:rPr>
          <w:rFonts w:eastAsia="宋体" w:cs="Times New Roman" w:hint="eastAsia"/>
          <w:szCs w:val="21"/>
        </w:rPr>
        <w:t>含对应注册商标</w:t>
      </w:r>
      <w:r w:rsidR="005F14EE">
        <w:rPr>
          <w:rFonts w:eastAsia="宋体" w:cs="Times New Roman"/>
          <w:szCs w:val="21"/>
        </w:rPr>
        <w:t>)</w:t>
      </w:r>
      <w:r w:rsidRPr="00A71D2E">
        <w:rPr>
          <w:rFonts w:eastAsia="宋体" w:cs="Times New Roman" w:hint="eastAsia"/>
          <w:szCs w:val="21"/>
        </w:rPr>
        <w:t>无偿许可本集团使用，许可使用期限自</w:t>
      </w:r>
      <w:r w:rsidRPr="00A71D2E">
        <w:rPr>
          <w:rFonts w:eastAsia="宋体" w:cs="Times New Roman"/>
          <w:szCs w:val="21"/>
        </w:rPr>
        <w:t>2021</w:t>
      </w:r>
      <w:r w:rsidRPr="00A71D2E">
        <w:rPr>
          <w:rFonts w:eastAsia="宋体" w:cs="Times New Roman" w:hint="eastAsia"/>
          <w:szCs w:val="21"/>
        </w:rPr>
        <w:t>年</w:t>
      </w:r>
      <w:r w:rsidRPr="00A71D2E">
        <w:rPr>
          <w:rFonts w:eastAsia="宋体" w:cs="Times New Roman"/>
          <w:szCs w:val="21"/>
        </w:rPr>
        <w:t>4</w:t>
      </w:r>
      <w:r w:rsidRPr="00A71D2E">
        <w:rPr>
          <w:rFonts w:eastAsia="宋体" w:cs="Times New Roman" w:hint="eastAsia"/>
          <w:szCs w:val="21"/>
        </w:rPr>
        <w:t>月</w:t>
      </w:r>
      <w:r w:rsidRPr="00A71D2E">
        <w:rPr>
          <w:rFonts w:eastAsia="宋体" w:cs="Times New Roman"/>
          <w:szCs w:val="21"/>
        </w:rPr>
        <w:t>1</w:t>
      </w:r>
      <w:r w:rsidRPr="00A71D2E">
        <w:rPr>
          <w:rFonts w:eastAsia="宋体" w:cs="Times New Roman" w:hint="eastAsia"/>
          <w:szCs w:val="21"/>
        </w:rPr>
        <w:t>日至</w:t>
      </w:r>
      <w:r w:rsidRPr="00A71D2E">
        <w:rPr>
          <w:rFonts w:eastAsia="宋体" w:cs="Times New Roman"/>
          <w:szCs w:val="21"/>
        </w:rPr>
        <w:t>2024</w:t>
      </w:r>
      <w:r w:rsidRPr="00A71D2E">
        <w:rPr>
          <w:rFonts w:eastAsia="宋体" w:cs="Times New Roman" w:hint="eastAsia"/>
          <w:szCs w:val="21"/>
        </w:rPr>
        <w:t>年</w:t>
      </w:r>
      <w:r w:rsidRPr="00A71D2E">
        <w:rPr>
          <w:rFonts w:eastAsia="宋体" w:cs="Times New Roman"/>
          <w:szCs w:val="21"/>
        </w:rPr>
        <w:t>3</w:t>
      </w:r>
      <w:r w:rsidRPr="00A71D2E">
        <w:rPr>
          <w:rFonts w:eastAsia="宋体" w:cs="Times New Roman" w:hint="eastAsia"/>
          <w:szCs w:val="21"/>
        </w:rPr>
        <w:t>月</w:t>
      </w:r>
      <w:r w:rsidRPr="00A71D2E">
        <w:rPr>
          <w:rFonts w:eastAsia="宋体" w:cs="Times New Roman"/>
          <w:szCs w:val="21"/>
        </w:rPr>
        <w:t>31</w:t>
      </w:r>
      <w:r w:rsidRPr="00A71D2E">
        <w:rPr>
          <w:rFonts w:eastAsia="宋体" w:cs="Times New Roman" w:hint="eastAsia"/>
          <w:szCs w:val="21"/>
        </w:rPr>
        <w:t>日。</w:t>
      </w:r>
    </w:p>
    <w:p w:rsidR="00F34737" w:rsidRPr="00A71D2E" w:rsidRDefault="00F34737">
      <w:pPr>
        <w:widowControl w:val="0"/>
        <w:ind w:left="720"/>
        <w:jc w:val="both"/>
        <w:rPr>
          <w:rFonts w:eastAsia="宋体" w:cs="Times New Roman"/>
          <w:szCs w:val="21"/>
        </w:rPr>
      </w:pPr>
    </w:p>
    <w:p w:rsidR="00F34737" w:rsidRPr="00A71D2E" w:rsidRDefault="00F34737">
      <w:pPr>
        <w:pStyle w:val="aff1"/>
        <w:widowControl w:val="0"/>
        <w:numPr>
          <w:ilvl w:val="0"/>
          <w:numId w:val="25"/>
        </w:numPr>
        <w:ind w:left="1440" w:firstLineChars="0" w:hanging="720"/>
        <w:jc w:val="both"/>
        <w:rPr>
          <w:szCs w:val="21"/>
        </w:rPr>
      </w:pPr>
      <w:r w:rsidRPr="00A71D2E">
        <w:rPr>
          <w:rFonts w:hint="eastAsia"/>
          <w:szCs w:val="21"/>
        </w:rPr>
        <w:t>其他</w:t>
      </w:r>
    </w:p>
    <w:p w:rsidR="00F34737" w:rsidRPr="00A71D2E" w:rsidRDefault="00F34737">
      <w:pPr>
        <w:widowControl w:val="0"/>
        <w:ind w:left="720"/>
        <w:jc w:val="both"/>
        <w:rPr>
          <w:rFonts w:eastAsia="宋体" w:cs="Times New Roman"/>
          <w:szCs w:val="21"/>
        </w:rPr>
      </w:pPr>
    </w:p>
    <w:p w:rsidR="00F42B83" w:rsidRPr="00F74037" w:rsidRDefault="00FA4EF8">
      <w:pPr>
        <w:widowControl w:val="0"/>
        <w:ind w:left="720"/>
        <w:jc w:val="both"/>
        <w:rPr>
          <w:rFonts w:eastAsia="宋体" w:cs="Times New Roman"/>
          <w:szCs w:val="21"/>
        </w:rPr>
      </w:pPr>
      <w:r>
        <w:rPr>
          <w:rFonts w:eastAsia="宋体" w:cs="Times New Roman" w:hint="eastAsia"/>
          <w:szCs w:val="21"/>
        </w:rPr>
        <w:t>2</w:t>
      </w:r>
      <w:r>
        <w:rPr>
          <w:rFonts w:eastAsia="宋体" w:cs="Times New Roman"/>
          <w:szCs w:val="21"/>
        </w:rPr>
        <w:t>022</w:t>
      </w:r>
      <w:r w:rsidR="00F42B83" w:rsidRPr="00F74037">
        <w:rPr>
          <w:rFonts w:eastAsia="宋体" w:cs="Times New Roman" w:hint="eastAsia"/>
          <w:szCs w:val="21"/>
        </w:rPr>
        <w:t>年度，本集团与</w:t>
      </w:r>
      <w:proofErr w:type="gramStart"/>
      <w:r w:rsidR="00F42B83" w:rsidRPr="00F74037">
        <w:rPr>
          <w:rFonts w:eastAsia="宋体" w:cs="Times New Roman" w:hint="eastAsia"/>
          <w:szCs w:val="21"/>
        </w:rPr>
        <w:t>海康威视股份公司</w:t>
      </w:r>
      <w:proofErr w:type="gramEnd"/>
      <w:r w:rsidR="00F42B83" w:rsidRPr="00F74037">
        <w:rPr>
          <w:rFonts w:eastAsia="宋体" w:cs="Times New Roman" w:hint="eastAsia"/>
          <w:szCs w:val="21"/>
        </w:rPr>
        <w:t>下属子公司浙江智源消防安全工程有限公司签订消防工程建设合同，浙江智源消防安全工程有限公司为本集团提供消防工程建设服务，该项工程不含税总金额为人民币</w:t>
      </w:r>
      <w:r w:rsidR="0071139F" w:rsidRPr="0071139F">
        <w:rPr>
          <w:rFonts w:eastAsia="宋体" w:cs="Times New Roman"/>
          <w:szCs w:val="21"/>
        </w:rPr>
        <w:t>30,092,452.64</w:t>
      </w:r>
      <w:r w:rsidR="00F42B83" w:rsidRPr="00FA4EF8">
        <w:rPr>
          <w:rFonts w:eastAsia="宋体" w:cs="Times New Roman" w:hint="eastAsia"/>
          <w:szCs w:val="21"/>
        </w:rPr>
        <w:t>元，</w:t>
      </w:r>
      <w:r w:rsidR="0063239D" w:rsidRPr="0063239D">
        <w:rPr>
          <w:rFonts w:eastAsia="宋体" w:cs="Times New Roman" w:hint="eastAsia"/>
          <w:szCs w:val="21"/>
        </w:rPr>
        <w:t>截至</w:t>
      </w:r>
      <w:r w:rsidR="0063239D" w:rsidRPr="0063239D">
        <w:rPr>
          <w:rFonts w:eastAsia="宋体" w:cs="Times New Roman" w:hint="eastAsia"/>
          <w:szCs w:val="21"/>
        </w:rPr>
        <w:t>2023</w:t>
      </w:r>
      <w:r w:rsidR="0063239D" w:rsidRPr="0063239D">
        <w:rPr>
          <w:rFonts w:eastAsia="宋体" w:cs="Times New Roman" w:hint="eastAsia"/>
          <w:szCs w:val="21"/>
        </w:rPr>
        <w:t>年</w:t>
      </w:r>
      <w:r w:rsidR="0063239D" w:rsidRPr="0063239D">
        <w:rPr>
          <w:rFonts w:eastAsia="宋体" w:cs="Times New Roman" w:hint="eastAsia"/>
          <w:szCs w:val="21"/>
        </w:rPr>
        <w:t>12</w:t>
      </w:r>
      <w:r w:rsidR="0063239D" w:rsidRPr="0063239D">
        <w:rPr>
          <w:rFonts w:eastAsia="宋体" w:cs="Times New Roman" w:hint="eastAsia"/>
          <w:szCs w:val="21"/>
        </w:rPr>
        <w:t>月</w:t>
      </w:r>
      <w:r w:rsidR="0063239D" w:rsidRPr="0063239D">
        <w:rPr>
          <w:rFonts w:eastAsia="宋体" w:cs="Times New Roman" w:hint="eastAsia"/>
          <w:szCs w:val="21"/>
        </w:rPr>
        <w:t>31</w:t>
      </w:r>
      <w:r w:rsidR="0063239D" w:rsidRPr="0063239D">
        <w:rPr>
          <w:rFonts w:eastAsia="宋体" w:cs="Times New Roman" w:hint="eastAsia"/>
          <w:szCs w:val="21"/>
        </w:rPr>
        <w:t>日止</w:t>
      </w:r>
      <w:r w:rsidR="00F42B83" w:rsidRPr="00F74037">
        <w:rPr>
          <w:rFonts w:eastAsia="宋体" w:cs="Times New Roman" w:hint="eastAsia"/>
          <w:szCs w:val="21"/>
        </w:rPr>
        <w:t>，该</w:t>
      </w:r>
      <w:r w:rsidR="009A3D78">
        <w:rPr>
          <w:rFonts w:eastAsia="宋体" w:cs="Times New Roman" w:hint="eastAsia"/>
          <w:szCs w:val="21"/>
        </w:rPr>
        <w:t>项</w:t>
      </w:r>
      <w:r w:rsidR="00F42B83" w:rsidRPr="00F74037">
        <w:rPr>
          <w:rFonts w:eastAsia="宋体" w:cs="Times New Roman" w:hint="eastAsia"/>
          <w:szCs w:val="21"/>
        </w:rPr>
        <w:t>工程施工</w:t>
      </w:r>
      <w:r w:rsidR="009A3D78">
        <w:rPr>
          <w:rFonts w:eastAsia="宋体" w:cs="Times New Roman" w:hint="eastAsia"/>
          <w:szCs w:val="21"/>
        </w:rPr>
        <w:t>累计</w:t>
      </w:r>
      <w:r w:rsidR="00F42B83" w:rsidRPr="00F74037">
        <w:rPr>
          <w:rFonts w:eastAsia="宋体" w:cs="Times New Roman" w:hint="eastAsia"/>
          <w:szCs w:val="21"/>
        </w:rPr>
        <w:t>结算人民币</w:t>
      </w:r>
      <w:r w:rsidR="00C70B12" w:rsidRPr="00C70B12">
        <w:rPr>
          <w:rFonts w:eastAsia="宋体" w:cs="Times New Roman"/>
          <w:szCs w:val="21"/>
        </w:rPr>
        <w:t>28,745,566.98</w:t>
      </w:r>
      <w:r w:rsidR="00F42B83" w:rsidRPr="00F74037">
        <w:rPr>
          <w:rFonts w:eastAsia="宋体" w:cs="Times New Roman" w:hint="eastAsia"/>
          <w:szCs w:val="21"/>
        </w:rPr>
        <w:t>元。</w:t>
      </w:r>
    </w:p>
    <w:p w:rsidR="00F42B83" w:rsidRPr="00F74037" w:rsidRDefault="00F42B83">
      <w:pPr>
        <w:widowControl w:val="0"/>
        <w:ind w:left="720"/>
        <w:jc w:val="both"/>
        <w:rPr>
          <w:rFonts w:eastAsia="宋体" w:cs="Times New Roman"/>
          <w:szCs w:val="21"/>
        </w:rPr>
      </w:pPr>
    </w:p>
    <w:p w:rsidR="00F42B83" w:rsidRDefault="00AB69E3">
      <w:pPr>
        <w:widowControl w:val="0"/>
        <w:ind w:left="720"/>
        <w:jc w:val="both"/>
        <w:rPr>
          <w:rFonts w:eastAsia="宋体" w:cs="Times New Roman"/>
          <w:szCs w:val="21"/>
        </w:rPr>
      </w:pPr>
      <w:r w:rsidRPr="00AB69E3">
        <w:rPr>
          <w:rFonts w:eastAsia="宋体" w:cs="Times New Roman" w:hint="eastAsia"/>
          <w:szCs w:val="21"/>
        </w:rPr>
        <w:t>2022</w:t>
      </w:r>
      <w:r w:rsidRPr="00AB69E3">
        <w:rPr>
          <w:rFonts w:eastAsia="宋体" w:cs="Times New Roman" w:hint="eastAsia"/>
          <w:szCs w:val="21"/>
        </w:rPr>
        <w:t>年度</w:t>
      </w:r>
      <w:r w:rsidR="00F42B83" w:rsidRPr="00F74037">
        <w:rPr>
          <w:rFonts w:eastAsia="宋体" w:cs="Times New Roman" w:hint="eastAsia"/>
          <w:szCs w:val="21"/>
        </w:rPr>
        <w:t>，本集团与</w:t>
      </w:r>
      <w:proofErr w:type="gramStart"/>
      <w:r w:rsidR="00F42B83" w:rsidRPr="00F74037">
        <w:rPr>
          <w:rFonts w:eastAsia="宋体" w:cs="Times New Roman" w:hint="eastAsia"/>
          <w:szCs w:val="21"/>
        </w:rPr>
        <w:t>海康威视股份公司</w:t>
      </w:r>
      <w:proofErr w:type="gramEnd"/>
      <w:r w:rsidR="00F42B83" w:rsidRPr="00F74037">
        <w:rPr>
          <w:rFonts w:eastAsia="宋体" w:cs="Times New Roman" w:hint="eastAsia"/>
          <w:szCs w:val="21"/>
        </w:rPr>
        <w:t>下属子公司杭州</w:t>
      </w:r>
      <w:proofErr w:type="gramStart"/>
      <w:r w:rsidR="00F42B83" w:rsidRPr="00F74037">
        <w:rPr>
          <w:rFonts w:eastAsia="宋体" w:cs="Times New Roman" w:hint="eastAsia"/>
          <w:szCs w:val="21"/>
        </w:rPr>
        <w:t>海康威视系统</w:t>
      </w:r>
      <w:proofErr w:type="gramEnd"/>
      <w:r w:rsidR="00F42B83" w:rsidRPr="00F74037">
        <w:rPr>
          <w:rFonts w:eastAsia="宋体" w:cs="Times New Roman" w:hint="eastAsia"/>
          <w:szCs w:val="21"/>
        </w:rPr>
        <w:t>技术有限公司签订</w:t>
      </w:r>
      <w:r w:rsidR="00C70B12" w:rsidRPr="00C70B12">
        <w:rPr>
          <w:rFonts w:eastAsia="宋体" w:cs="Times New Roman" w:hint="eastAsia"/>
          <w:szCs w:val="21"/>
        </w:rPr>
        <w:t>智能化工程</w:t>
      </w:r>
      <w:r w:rsidR="00F42B83" w:rsidRPr="00F74037">
        <w:rPr>
          <w:rFonts w:eastAsia="宋体" w:cs="Times New Roman" w:hint="eastAsia"/>
          <w:szCs w:val="21"/>
        </w:rPr>
        <w:t>，</w:t>
      </w:r>
      <w:r w:rsidR="00B9118D" w:rsidRPr="00B9118D">
        <w:rPr>
          <w:rFonts w:eastAsia="宋体" w:cs="Times New Roman" w:hint="eastAsia"/>
          <w:szCs w:val="21"/>
        </w:rPr>
        <w:t>杭州</w:t>
      </w:r>
      <w:proofErr w:type="gramStart"/>
      <w:r w:rsidR="00B9118D" w:rsidRPr="00B9118D">
        <w:rPr>
          <w:rFonts w:eastAsia="宋体" w:cs="Times New Roman" w:hint="eastAsia"/>
          <w:szCs w:val="21"/>
        </w:rPr>
        <w:t>海康威视系统</w:t>
      </w:r>
      <w:proofErr w:type="gramEnd"/>
      <w:r w:rsidR="00B9118D" w:rsidRPr="00B9118D">
        <w:rPr>
          <w:rFonts w:eastAsia="宋体" w:cs="Times New Roman" w:hint="eastAsia"/>
          <w:szCs w:val="21"/>
        </w:rPr>
        <w:t>技术有限公司</w:t>
      </w:r>
      <w:r w:rsidR="005C1B3F" w:rsidRPr="005C1B3F">
        <w:rPr>
          <w:rFonts w:eastAsia="宋体" w:cs="Times New Roman" w:hint="eastAsia"/>
          <w:szCs w:val="21"/>
        </w:rPr>
        <w:t>为</w:t>
      </w:r>
      <w:r w:rsidR="00B9118D">
        <w:rPr>
          <w:rFonts w:eastAsia="宋体" w:cs="Times New Roman" w:hint="eastAsia"/>
          <w:szCs w:val="21"/>
        </w:rPr>
        <w:t>本集团</w:t>
      </w:r>
      <w:r w:rsidR="00A2610B">
        <w:rPr>
          <w:rFonts w:eastAsia="宋体" w:cs="Times New Roman" w:hint="eastAsia"/>
          <w:szCs w:val="21"/>
        </w:rPr>
        <w:t>提供</w:t>
      </w:r>
      <w:r w:rsidR="005C1B3F" w:rsidRPr="005C1B3F">
        <w:rPr>
          <w:rFonts w:eastAsia="宋体" w:cs="Times New Roman" w:hint="eastAsia"/>
          <w:szCs w:val="21"/>
        </w:rPr>
        <w:t>地下室及上部结构智能化安装</w:t>
      </w:r>
      <w:r w:rsidR="00D24AEC">
        <w:rPr>
          <w:rFonts w:eastAsia="宋体" w:cs="Times New Roman" w:hint="eastAsia"/>
          <w:szCs w:val="21"/>
        </w:rPr>
        <w:t>服务</w:t>
      </w:r>
      <w:r w:rsidR="00F42B83" w:rsidRPr="005C1B3F">
        <w:rPr>
          <w:rFonts w:eastAsia="宋体" w:cs="Times New Roman" w:hint="eastAsia"/>
          <w:szCs w:val="21"/>
        </w:rPr>
        <w:t>，该</w:t>
      </w:r>
      <w:r w:rsidR="00F42B83" w:rsidRPr="00F74037">
        <w:rPr>
          <w:rFonts w:eastAsia="宋体" w:cs="Times New Roman" w:hint="eastAsia"/>
          <w:szCs w:val="21"/>
        </w:rPr>
        <w:t>项工程不含税总金额为人民币</w:t>
      </w:r>
      <w:r w:rsidR="0071139F" w:rsidRPr="0071139F">
        <w:rPr>
          <w:rFonts w:eastAsia="宋体" w:cs="Times New Roman"/>
          <w:szCs w:val="21"/>
        </w:rPr>
        <w:t>26,765,821.57</w:t>
      </w:r>
      <w:r w:rsidR="00F42B83" w:rsidRPr="00F74037">
        <w:rPr>
          <w:rFonts w:eastAsia="宋体" w:cs="Times New Roman" w:hint="eastAsia"/>
          <w:szCs w:val="21"/>
        </w:rPr>
        <w:t>元，</w:t>
      </w:r>
      <w:r w:rsidR="0063239D" w:rsidRPr="0063239D">
        <w:rPr>
          <w:rFonts w:eastAsia="宋体" w:cs="Times New Roman" w:hint="eastAsia"/>
          <w:szCs w:val="21"/>
        </w:rPr>
        <w:t>截至</w:t>
      </w:r>
      <w:r w:rsidR="0063239D" w:rsidRPr="0063239D">
        <w:rPr>
          <w:rFonts w:eastAsia="宋体" w:cs="Times New Roman" w:hint="eastAsia"/>
          <w:szCs w:val="21"/>
        </w:rPr>
        <w:t>2023</w:t>
      </w:r>
      <w:r w:rsidR="0063239D" w:rsidRPr="0063239D">
        <w:rPr>
          <w:rFonts w:eastAsia="宋体" w:cs="Times New Roman" w:hint="eastAsia"/>
          <w:szCs w:val="21"/>
        </w:rPr>
        <w:t>年</w:t>
      </w:r>
      <w:r w:rsidR="0063239D" w:rsidRPr="0063239D">
        <w:rPr>
          <w:rFonts w:eastAsia="宋体" w:cs="Times New Roman" w:hint="eastAsia"/>
          <w:szCs w:val="21"/>
        </w:rPr>
        <w:t>12</w:t>
      </w:r>
      <w:r w:rsidR="0063239D" w:rsidRPr="0063239D">
        <w:rPr>
          <w:rFonts w:eastAsia="宋体" w:cs="Times New Roman" w:hint="eastAsia"/>
          <w:szCs w:val="21"/>
        </w:rPr>
        <w:t>月</w:t>
      </w:r>
      <w:r w:rsidR="0063239D" w:rsidRPr="0063239D">
        <w:rPr>
          <w:rFonts w:eastAsia="宋体" w:cs="Times New Roman" w:hint="eastAsia"/>
          <w:szCs w:val="21"/>
        </w:rPr>
        <w:t>31</w:t>
      </w:r>
      <w:r w:rsidR="0063239D" w:rsidRPr="0063239D">
        <w:rPr>
          <w:rFonts w:eastAsia="宋体" w:cs="Times New Roman" w:hint="eastAsia"/>
          <w:szCs w:val="21"/>
        </w:rPr>
        <w:t>日止</w:t>
      </w:r>
      <w:r w:rsidR="009A3D78" w:rsidRPr="009A3D78">
        <w:rPr>
          <w:rFonts w:eastAsia="宋体" w:cs="Times New Roman" w:hint="eastAsia"/>
          <w:szCs w:val="21"/>
        </w:rPr>
        <w:t>，该项工程施工</w:t>
      </w:r>
      <w:r w:rsidR="009A3D78" w:rsidRPr="009A3D78">
        <w:rPr>
          <w:rFonts w:eastAsia="宋体" w:cs="Times New Roman"/>
          <w:szCs w:val="21"/>
        </w:rPr>
        <w:t>累计</w:t>
      </w:r>
      <w:r w:rsidR="009A3D78" w:rsidRPr="009A3D78">
        <w:rPr>
          <w:rFonts w:eastAsia="宋体" w:cs="Times New Roman" w:hint="eastAsia"/>
          <w:szCs w:val="21"/>
        </w:rPr>
        <w:t>结算人民币</w:t>
      </w:r>
      <w:r w:rsidR="00C70B12" w:rsidRPr="00C70B12">
        <w:rPr>
          <w:rFonts w:eastAsia="宋体" w:cs="Times New Roman"/>
          <w:szCs w:val="21"/>
        </w:rPr>
        <w:t>20,663,334.99</w:t>
      </w:r>
      <w:r w:rsidR="00FA4EF8" w:rsidRPr="00C70B12">
        <w:rPr>
          <w:rFonts w:eastAsia="宋体" w:cs="Times New Roman" w:hint="eastAsia"/>
          <w:szCs w:val="21"/>
        </w:rPr>
        <w:t>元。</w:t>
      </w:r>
    </w:p>
    <w:p w:rsidR="00FA4EF8" w:rsidRPr="00FA4EF8" w:rsidRDefault="00FA4EF8">
      <w:pPr>
        <w:widowControl w:val="0"/>
        <w:ind w:left="720"/>
        <w:jc w:val="both"/>
        <w:rPr>
          <w:rFonts w:eastAsia="宋体" w:cs="Times New Roman"/>
          <w:szCs w:val="21"/>
        </w:rPr>
      </w:pPr>
    </w:p>
    <w:p w:rsidR="00FA4EF8" w:rsidRDefault="00FA4EF8">
      <w:pPr>
        <w:widowControl w:val="0"/>
        <w:ind w:left="720"/>
        <w:jc w:val="both"/>
        <w:rPr>
          <w:rFonts w:eastAsia="宋体" w:cs="Times New Roman"/>
          <w:szCs w:val="21"/>
        </w:rPr>
      </w:pPr>
      <w:r w:rsidRPr="00FA4EF8">
        <w:rPr>
          <w:rFonts w:eastAsia="宋体" w:cs="Times New Roman" w:hint="eastAsia"/>
          <w:szCs w:val="21"/>
        </w:rPr>
        <w:t>本年度，本集团与</w:t>
      </w:r>
      <w:proofErr w:type="gramStart"/>
      <w:r w:rsidRPr="00FA4EF8">
        <w:rPr>
          <w:rFonts w:eastAsia="宋体" w:cs="Times New Roman" w:hint="eastAsia"/>
          <w:szCs w:val="21"/>
        </w:rPr>
        <w:t>海康威视股份公司</w:t>
      </w:r>
      <w:proofErr w:type="gramEnd"/>
      <w:r w:rsidRPr="00FA4EF8">
        <w:rPr>
          <w:rFonts w:eastAsia="宋体" w:cs="Times New Roman" w:hint="eastAsia"/>
          <w:szCs w:val="21"/>
        </w:rPr>
        <w:t>下属子公司杭州</w:t>
      </w:r>
      <w:proofErr w:type="gramStart"/>
      <w:r w:rsidRPr="00FA4EF8">
        <w:rPr>
          <w:rFonts w:eastAsia="宋体" w:cs="Times New Roman" w:hint="eastAsia"/>
          <w:szCs w:val="21"/>
        </w:rPr>
        <w:t>海康威视系统</w:t>
      </w:r>
      <w:proofErr w:type="gramEnd"/>
      <w:r w:rsidRPr="00FA4EF8">
        <w:rPr>
          <w:rFonts w:eastAsia="宋体" w:cs="Times New Roman" w:hint="eastAsia"/>
          <w:szCs w:val="21"/>
        </w:rPr>
        <w:t>技术有限公司签订数据中心工程合同，</w:t>
      </w:r>
      <w:r w:rsidR="00B9118D" w:rsidRPr="00FA4EF8">
        <w:rPr>
          <w:rFonts w:eastAsia="宋体" w:cs="Times New Roman" w:hint="eastAsia"/>
          <w:szCs w:val="21"/>
        </w:rPr>
        <w:t>杭州</w:t>
      </w:r>
      <w:proofErr w:type="gramStart"/>
      <w:r w:rsidR="00B9118D" w:rsidRPr="00FA4EF8">
        <w:rPr>
          <w:rFonts w:eastAsia="宋体" w:cs="Times New Roman" w:hint="eastAsia"/>
          <w:szCs w:val="21"/>
        </w:rPr>
        <w:t>海康威视系统</w:t>
      </w:r>
      <w:proofErr w:type="gramEnd"/>
      <w:r w:rsidR="00B9118D" w:rsidRPr="00FA4EF8">
        <w:rPr>
          <w:rFonts w:eastAsia="宋体" w:cs="Times New Roman" w:hint="eastAsia"/>
          <w:szCs w:val="21"/>
        </w:rPr>
        <w:t>技术有限公司</w:t>
      </w:r>
      <w:r w:rsidR="00A2610B" w:rsidRPr="00A2610B">
        <w:rPr>
          <w:rFonts w:eastAsia="宋体" w:cs="Times New Roman" w:hint="eastAsia"/>
          <w:szCs w:val="21"/>
        </w:rPr>
        <w:t>为</w:t>
      </w:r>
      <w:r w:rsidR="00B9118D">
        <w:rPr>
          <w:rFonts w:eastAsia="宋体" w:cs="Times New Roman" w:hint="eastAsia"/>
          <w:szCs w:val="21"/>
        </w:rPr>
        <w:t>本集团</w:t>
      </w:r>
      <w:r w:rsidR="00A2610B" w:rsidRPr="00A2610B">
        <w:rPr>
          <w:rFonts w:eastAsia="宋体" w:cs="Times New Roman" w:hint="eastAsia"/>
          <w:szCs w:val="21"/>
        </w:rPr>
        <w:t>提供</w:t>
      </w:r>
      <w:r w:rsidRPr="00FA4EF8">
        <w:rPr>
          <w:rFonts w:eastAsia="宋体" w:cs="Times New Roman" w:hint="eastAsia"/>
          <w:szCs w:val="21"/>
        </w:rPr>
        <w:t>数据中心配套系统、信息化应用系统、机房工程以及基础设施</w:t>
      </w:r>
      <w:r w:rsidR="00A2610B" w:rsidRPr="00A2610B">
        <w:rPr>
          <w:rFonts w:eastAsia="宋体" w:cs="Times New Roman" w:hint="eastAsia"/>
          <w:szCs w:val="21"/>
        </w:rPr>
        <w:t>安装等</w:t>
      </w:r>
      <w:r w:rsidR="00D24AEC">
        <w:rPr>
          <w:rFonts w:eastAsia="宋体" w:cs="Times New Roman" w:hint="eastAsia"/>
          <w:szCs w:val="21"/>
        </w:rPr>
        <w:t>服务</w:t>
      </w:r>
      <w:r w:rsidRPr="00FA4EF8">
        <w:rPr>
          <w:rFonts w:eastAsia="宋体" w:cs="Times New Roman" w:hint="eastAsia"/>
          <w:szCs w:val="21"/>
        </w:rPr>
        <w:t>，该项工程不含税总金额为人民币</w:t>
      </w:r>
      <w:r w:rsidR="0071139F" w:rsidRPr="0071139F">
        <w:rPr>
          <w:rFonts w:eastAsia="宋体" w:cs="Times New Roman"/>
          <w:szCs w:val="21"/>
        </w:rPr>
        <w:t>9,263,426.15</w:t>
      </w:r>
      <w:r w:rsidRPr="00FA4EF8">
        <w:rPr>
          <w:rFonts w:eastAsia="宋体" w:cs="Times New Roman" w:hint="eastAsia"/>
          <w:szCs w:val="21"/>
        </w:rPr>
        <w:t>元，</w:t>
      </w:r>
      <w:r w:rsidR="00AC24E8" w:rsidRPr="00AC24E8">
        <w:rPr>
          <w:rFonts w:eastAsia="宋体" w:cs="Times New Roman" w:hint="eastAsia"/>
          <w:szCs w:val="21"/>
        </w:rPr>
        <w:t>截至</w:t>
      </w:r>
      <w:r w:rsidR="00AC24E8" w:rsidRPr="00AC24E8">
        <w:rPr>
          <w:rFonts w:eastAsia="宋体" w:cs="Times New Roman" w:hint="eastAsia"/>
          <w:szCs w:val="21"/>
        </w:rPr>
        <w:t>2023</w:t>
      </w:r>
      <w:r w:rsidR="00AC24E8" w:rsidRPr="00AC24E8">
        <w:rPr>
          <w:rFonts w:eastAsia="宋体" w:cs="Times New Roman" w:hint="eastAsia"/>
          <w:szCs w:val="21"/>
        </w:rPr>
        <w:t>年</w:t>
      </w:r>
      <w:r w:rsidR="00AC24E8" w:rsidRPr="00AC24E8">
        <w:rPr>
          <w:rFonts w:eastAsia="宋体" w:cs="Times New Roman" w:hint="eastAsia"/>
          <w:szCs w:val="21"/>
        </w:rPr>
        <w:t>12</w:t>
      </w:r>
      <w:r w:rsidR="00AC24E8" w:rsidRPr="00AC24E8">
        <w:rPr>
          <w:rFonts w:eastAsia="宋体" w:cs="Times New Roman" w:hint="eastAsia"/>
          <w:szCs w:val="21"/>
        </w:rPr>
        <w:t>月</w:t>
      </w:r>
      <w:r w:rsidR="00AC24E8" w:rsidRPr="00AC24E8">
        <w:rPr>
          <w:rFonts w:eastAsia="宋体" w:cs="Times New Roman" w:hint="eastAsia"/>
          <w:szCs w:val="21"/>
        </w:rPr>
        <w:t>31</w:t>
      </w:r>
      <w:r w:rsidR="00AC24E8" w:rsidRPr="00AC24E8">
        <w:rPr>
          <w:rFonts w:eastAsia="宋体" w:cs="Times New Roman" w:hint="eastAsia"/>
          <w:szCs w:val="21"/>
        </w:rPr>
        <w:t>日止</w:t>
      </w:r>
      <w:r w:rsidR="009A3D78" w:rsidRPr="009A3D78">
        <w:rPr>
          <w:rFonts w:eastAsia="宋体" w:cs="Times New Roman" w:hint="eastAsia"/>
          <w:szCs w:val="21"/>
        </w:rPr>
        <w:t>，该项工程施工</w:t>
      </w:r>
      <w:r w:rsidR="009A3D78" w:rsidRPr="009A3D78">
        <w:rPr>
          <w:rFonts w:eastAsia="宋体" w:cs="Times New Roman"/>
          <w:szCs w:val="21"/>
        </w:rPr>
        <w:t>累计</w:t>
      </w:r>
      <w:r w:rsidR="009A3D78" w:rsidRPr="009A3D78">
        <w:rPr>
          <w:rFonts w:eastAsia="宋体" w:cs="Times New Roman" w:hint="eastAsia"/>
          <w:szCs w:val="21"/>
        </w:rPr>
        <w:t>结算人民币</w:t>
      </w:r>
      <w:r w:rsidR="00C70B12" w:rsidRPr="00C70B12">
        <w:rPr>
          <w:rFonts w:eastAsia="宋体" w:cs="Times New Roman"/>
          <w:szCs w:val="21"/>
        </w:rPr>
        <w:t>6,057,087.16</w:t>
      </w:r>
      <w:r w:rsidR="00C70B12" w:rsidRPr="00C70B12">
        <w:rPr>
          <w:rFonts w:eastAsia="宋体" w:cs="Times New Roman" w:hint="eastAsia"/>
          <w:szCs w:val="21"/>
        </w:rPr>
        <w:t>元。</w:t>
      </w:r>
    </w:p>
    <w:p w:rsidR="00C70B12" w:rsidRDefault="00C70B12">
      <w:pPr>
        <w:widowControl w:val="0"/>
        <w:ind w:left="720"/>
        <w:jc w:val="both"/>
        <w:rPr>
          <w:rFonts w:eastAsia="宋体" w:cs="Times New Roman"/>
          <w:szCs w:val="21"/>
        </w:rPr>
      </w:pPr>
    </w:p>
    <w:p w:rsidR="00C70B12" w:rsidRPr="00C70B12" w:rsidRDefault="00C70B12">
      <w:pPr>
        <w:widowControl w:val="0"/>
        <w:ind w:left="720"/>
        <w:jc w:val="both"/>
        <w:rPr>
          <w:rFonts w:eastAsia="宋体" w:cs="Times New Roman"/>
          <w:szCs w:val="21"/>
        </w:rPr>
      </w:pPr>
      <w:r w:rsidRPr="00C70B12">
        <w:rPr>
          <w:rFonts w:eastAsia="宋体" w:cs="Times New Roman" w:hint="eastAsia"/>
          <w:szCs w:val="21"/>
        </w:rPr>
        <w:t>本年度，本集团与</w:t>
      </w:r>
      <w:proofErr w:type="gramStart"/>
      <w:r w:rsidRPr="00C70B12">
        <w:rPr>
          <w:rFonts w:eastAsia="宋体" w:cs="Times New Roman" w:hint="eastAsia"/>
          <w:szCs w:val="21"/>
        </w:rPr>
        <w:t>海康威视股份公司</w:t>
      </w:r>
      <w:proofErr w:type="gramEnd"/>
      <w:r w:rsidRPr="00C70B12">
        <w:rPr>
          <w:rFonts w:eastAsia="宋体" w:cs="Times New Roman" w:hint="eastAsia"/>
          <w:szCs w:val="21"/>
        </w:rPr>
        <w:t>下属子公司杭州</w:t>
      </w:r>
      <w:proofErr w:type="gramStart"/>
      <w:r w:rsidRPr="00C70B12">
        <w:rPr>
          <w:rFonts w:eastAsia="宋体" w:cs="Times New Roman" w:hint="eastAsia"/>
          <w:szCs w:val="21"/>
        </w:rPr>
        <w:t>海康威视系统</w:t>
      </w:r>
      <w:proofErr w:type="gramEnd"/>
      <w:r w:rsidRPr="00C70B12">
        <w:rPr>
          <w:rFonts w:eastAsia="宋体" w:cs="Times New Roman" w:hint="eastAsia"/>
          <w:szCs w:val="21"/>
        </w:rPr>
        <w:t>技术有限公司签订萤石智能制造</w:t>
      </w:r>
      <w:r w:rsidR="005F14EE">
        <w:rPr>
          <w:rFonts w:eastAsia="宋体" w:cs="Times New Roman" w:hint="eastAsia"/>
          <w:szCs w:val="21"/>
        </w:rPr>
        <w:t>(</w:t>
      </w:r>
      <w:r w:rsidRPr="00C70B12">
        <w:rPr>
          <w:rFonts w:eastAsia="宋体" w:cs="Times New Roman" w:hint="eastAsia"/>
          <w:szCs w:val="21"/>
        </w:rPr>
        <w:t>重庆</w:t>
      </w:r>
      <w:r w:rsidR="005F14EE">
        <w:rPr>
          <w:rFonts w:eastAsia="宋体" w:cs="Times New Roman" w:hint="eastAsia"/>
          <w:szCs w:val="21"/>
        </w:rPr>
        <w:t>)</w:t>
      </w:r>
      <w:r w:rsidRPr="00C70B12">
        <w:rPr>
          <w:rFonts w:eastAsia="宋体" w:cs="Times New Roman" w:hint="eastAsia"/>
          <w:szCs w:val="21"/>
        </w:rPr>
        <w:t>基地项目二标段智能化工程合同，该合同包含系统为</w:t>
      </w:r>
      <w:r w:rsidR="005F14EE">
        <w:rPr>
          <w:rFonts w:eastAsia="宋体" w:cs="Times New Roman" w:hint="eastAsia"/>
          <w:szCs w:val="21"/>
        </w:rPr>
        <w:t>：</w:t>
      </w:r>
      <w:r w:rsidRPr="00C70B12">
        <w:rPr>
          <w:rFonts w:eastAsia="宋体" w:cs="Times New Roman" w:hint="eastAsia"/>
          <w:szCs w:val="21"/>
        </w:rPr>
        <w:t>信息设施系统、安全防范系统、数据中心配套系统、信息化应用系统、机房工程以及基础设施等，该项工程不含税总金额为人民币</w:t>
      </w:r>
      <w:r w:rsidR="0071139F" w:rsidRPr="0071139F">
        <w:rPr>
          <w:rFonts w:eastAsia="宋体" w:cs="Times New Roman"/>
          <w:szCs w:val="21"/>
        </w:rPr>
        <w:t>22,017,522.17</w:t>
      </w:r>
      <w:r w:rsidRPr="00C70B12">
        <w:rPr>
          <w:rFonts w:eastAsia="宋体" w:cs="Times New Roman" w:hint="eastAsia"/>
          <w:szCs w:val="21"/>
        </w:rPr>
        <w:t>元，截至</w:t>
      </w:r>
      <w:r w:rsidRPr="00C70B12">
        <w:rPr>
          <w:rFonts w:eastAsia="宋体" w:cs="Times New Roman" w:hint="eastAsia"/>
          <w:szCs w:val="21"/>
        </w:rPr>
        <w:t>202</w:t>
      </w:r>
      <w:r w:rsidRPr="00C70B12">
        <w:rPr>
          <w:rFonts w:eastAsia="宋体" w:cs="Times New Roman"/>
          <w:szCs w:val="21"/>
        </w:rPr>
        <w:t>3</w:t>
      </w:r>
      <w:r w:rsidRPr="00C70B12">
        <w:rPr>
          <w:rFonts w:eastAsia="宋体" w:cs="Times New Roman" w:hint="eastAsia"/>
          <w:szCs w:val="21"/>
        </w:rPr>
        <w:t>年</w:t>
      </w:r>
      <w:r w:rsidRPr="00C70B12">
        <w:rPr>
          <w:rFonts w:eastAsia="宋体" w:cs="Times New Roman" w:hint="eastAsia"/>
          <w:szCs w:val="21"/>
        </w:rPr>
        <w:t>12</w:t>
      </w:r>
      <w:r w:rsidRPr="00C70B12">
        <w:rPr>
          <w:rFonts w:eastAsia="宋体" w:cs="Times New Roman" w:hint="eastAsia"/>
          <w:szCs w:val="21"/>
        </w:rPr>
        <w:t>月</w:t>
      </w:r>
      <w:r w:rsidRPr="00C70B12">
        <w:rPr>
          <w:rFonts w:eastAsia="宋体" w:cs="Times New Roman" w:hint="eastAsia"/>
          <w:szCs w:val="21"/>
        </w:rPr>
        <w:t>31</w:t>
      </w:r>
      <w:r w:rsidRPr="00C70B12">
        <w:rPr>
          <w:rFonts w:eastAsia="宋体" w:cs="Times New Roman" w:hint="eastAsia"/>
          <w:szCs w:val="21"/>
        </w:rPr>
        <w:t>日止，该工程</w:t>
      </w:r>
      <w:r>
        <w:rPr>
          <w:rFonts w:eastAsia="宋体" w:cs="Times New Roman" w:hint="eastAsia"/>
          <w:szCs w:val="21"/>
        </w:rPr>
        <w:t>尚未开始施工。</w:t>
      </w:r>
    </w:p>
    <w:p w:rsidR="00C70B12" w:rsidRPr="005500DA" w:rsidRDefault="00C70B12" w:rsidP="0027505B">
      <w:pPr>
        <w:widowControl w:val="0"/>
        <w:ind w:left="720"/>
        <w:jc w:val="both"/>
        <w:rPr>
          <w:rFonts w:eastAsia="宋体" w:cs="Times New Roman"/>
          <w:szCs w:val="21"/>
        </w:rPr>
      </w:pPr>
    </w:p>
    <w:p w:rsidR="00753B8C" w:rsidRPr="00A71D2E" w:rsidRDefault="00753B8C" w:rsidP="00F66363">
      <w:pPr>
        <w:pStyle w:val="2"/>
        <w:numPr>
          <w:ilvl w:val="2"/>
          <w:numId w:val="1"/>
        </w:numPr>
        <w:adjustRightInd w:val="0"/>
        <w:snapToGrid w:val="0"/>
        <w:ind w:left="1400" w:hanging="658"/>
        <w:contextualSpacing w:val="0"/>
        <w:jc w:val="both"/>
        <w:rPr>
          <w:rFonts w:ascii="Times New Roman" w:eastAsia="宋体" w:hAnsi="Times New Roman" w:cs="Times New Roman"/>
          <w:bCs/>
          <w:szCs w:val="21"/>
          <w:lang w:val="x-none" w:eastAsia="x-none"/>
        </w:rPr>
      </w:pPr>
      <w:proofErr w:type="spellStart"/>
      <w:r w:rsidRPr="00A71D2E">
        <w:rPr>
          <w:rFonts w:ascii="Times New Roman" w:eastAsia="宋体" w:hAnsi="Times New Roman" w:cs="Times New Roman" w:hint="eastAsia"/>
          <w:bCs/>
          <w:szCs w:val="21"/>
          <w:lang w:val="x-none" w:eastAsia="x-none"/>
        </w:rPr>
        <w:t>关联方应收应付款项</w:t>
      </w:r>
      <w:proofErr w:type="spellEnd"/>
    </w:p>
    <w:p w:rsidR="00753B8C" w:rsidRPr="00A71D2E" w:rsidRDefault="00753B8C" w:rsidP="00F66363">
      <w:pPr>
        <w:widowControl w:val="0"/>
        <w:ind w:left="720"/>
        <w:jc w:val="both"/>
        <w:rPr>
          <w:rFonts w:eastAsia="宋体" w:cs="Times New Roman"/>
          <w:szCs w:val="21"/>
        </w:rPr>
      </w:pPr>
    </w:p>
    <w:p w:rsidR="00753B8C" w:rsidRPr="00A71D2E" w:rsidRDefault="00753B8C">
      <w:pPr>
        <w:pStyle w:val="aff1"/>
        <w:numPr>
          <w:ilvl w:val="0"/>
          <w:numId w:val="24"/>
        </w:numPr>
        <w:ind w:left="1440" w:firstLineChars="0" w:hanging="720"/>
        <w:jc w:val="both"/>
        <w:rPr>
          <w:szCs w:val="21"/>
        </w:rPr>
      </w:pPr>
      <w:r w:rsidRPr="00A71D2E">
        <w:rPr>
          <w:rFonts w:hint="eastAsia"/>
          <w:szCs w:val="21"/>
        </w:rPr>
        <w:t>应收项目</w:t>
      </w:r>
    </w:p>
    <w:p w:rsidR="00753B8C" w:rsidRPr="00A71D2E" w:rsidRDefault="00753B8C" w:rsidP="00F66363">
      <w:pPr>
        <w:ind w:left="504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945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29"/>
        <w:gridCol w:w="2835"/>
        <w:gridCol w:w="1373"/>
        <w:gridCol w:w="1373"/>
        <w:gridCol w:w="1373"/>
        <w:gridCol w:w="1373"/>
      </w:tblGrid>
      <w:tr w:rsidR="003415F9" w:rsidRPr="00A71D2E" w:rsidTr="0027505B">
        <w:trPr>
          <w:trHeight w:val="20"/>
        </w:trPr>
        <w:tc>
          <w:tcPr>
            <w:tcW w:w="1129" w:type="dxa"/>
            <w:vMerge w:val="restart"/>
            <w:shd w:val="clear" w:color="auto" w:fill="D9D9D9" w:themeFill="background1" w:themeFillShade="D9"/>
            <w:tcMar>
              <w:top w:w="0" w:type="dxa"/>
              <w:left w:w="108" w:type="dxa"/>
              <w:bottom w:w="0" w:type="dxa"/>
              <w:right w:w="108" w:type="dxa"/>
            </w:tcMar>
            <w:vAlign w:val="center"/>
            <w:hideMark/>
          </w:tcPr>
          <w:p w:rsidR="00753B8C" w:rsidRPr="00A71D2E" w:rsidRDefault="00753B8C" w:rsidP="00F66363">
            <w:pPr>
              <w:jc w:val="center"/>
              <w:rPr>
                <w:rFonts w:eastAsia="宋体" w:cs="Times New Roman"/>
                <w:sz w:val="18"/>
                <w:szCs w:val="18"/>
              </w:rPr>
            </w:pPr>
            <w:r w:rsidRPr="00A71D2E">
              <w:rPr>
                <w:rFonts w:eastAsia="宋体" w:cs="Times New Roman" w:hint="eastAsia"/>
                <w:sz w:val="18"/>
                <w:szCs w:val="18"/>
              </w:rPr>
              <w:t>项目名称</w:t>
            </w:r>
          </w:p>
        </w:tc>
        <w:tc>
          <w:tcPr>
            <w:tcW w:w="2835" w:type="dxa"/>
            <w:vMerge w:val="restart"/>
            <w:shd w:val="clear" w:color="auto" w:fill="D9D9D9" w:themeFill="background1" w:themeFillShade="D9"/>
            <w:tcMar>
              <w:top w:w="0" w:type="dxa"/>
              <w:left w:w="108" w:type="dxa"/>
              <w:bottom w:w="0" w:type="dxa"/>
              <w:right w:w="108" w:type="dxa"/>
            </w:tcMar>
            <w:vAlign w:val="center"/>
            <w:hideMark/>
          </w:tcPr>
          <w:p w:rsidR="00753B8C" w:rsidRPr="00A71D2E" w:rsidRDefault="00753B8C" w:rsidP="00F66363">
            <w:pPr>
              <w:jc w:val="center"/>
              <w:rPr>
                <w:rFonts w:eastAsia="宋体" w:cs="Times New Roman"/>
                <w:sz w:val="18"/>
                <w:szCs w:val="18"/>
              </w:rPr>
            </w:pPr>
            <w:r w:rsidRPr="00A71D2E">
              <w:rPr>
                <w:rFonts w:eastAsia="宋体" w:cs="Times New Roman" w:hint="eastAsia"/>
                <w:sz w:val="18"/>
                <w:szCs w:val="18"/>
              </w:rPr>
              <w:t>关联方</w:t>
            </w:r>
          </w:p>
        </w:tc>
        <w:tc>
          <w:tcPr>
            <w:tcW w:w="2746" w:type="dxa"/>
            <w:gridSpan w:val="2"/>
            <w:shd w:val="clear" w:color="auto" w:fill="D9D9D9" w:themeFill="background1" w:themeFillShade="D9"/>
            <w:vAlign w:val="center"/>
          </w:tcPr>
          <w:p w:rsidR="00753B8C" w:rsidRPr="00A71D2E" w:rsidRDefault="00320816" w:rsidP="00F66363">
            <w:pPr>
              <w:jc w:val="center"/>
              <w:rPr>
                <w:rFonts w:eastAsia="宋体" w:cs="Times New Roman"/>
                <w:sz w:val="18"/>
                <w:szCs w:val="18"/>
              </w:rPr>
            </w:pPr>
            <w:r w:rsidRPr="00A71D2E">
              <w:rPr>
                <w:rFonts w:eastAsia="宋体" w:cs="Times New Roman" w:hint="eastAsia"/>
                <w:sz w:val="18"/>
                <w:szCs w:val="18"/>
              </w:rPr>
              <w:t>年末余额</w:t>
            </w:r>
          </w:p>
        </w:tc>
        <w:tc>
          <w:tcPr>
            <w:tcW w:w="2746" w:type="dxa"/>
            <w:gridSpan w:val="2"/>
            <w:shd w:val="clear" w:color="auto" w:fill="D9D9D9" w:themeFill="background1" w:themeFillShade="D9"/>
            <w:tcMar>
              <w:top w:w="0" w:type="dxa"/>
              <w:left w:w="108" w:type="dxa"/>
              <w:bottom w:w="0" w:type="dxa"/>
              <w:right w:w="108" w:type="dxa"/>
            </w:tcMar>
            <w:vAlign w:val="center"/>
            <w:hideMark/>
          </w:tcPr>
          <w:p w:rsidR="00753B8C" w:rsidRPr="00A71D2E" w:rsidRDefault="00320816" w:rsidP="00F66363">
            <w:pPr>
              <w:jc w:val="center"/>
              <w:rPr>
                <w:rFonts w:eastAsia="宋体" w:cs="Times New Roman"/>
                <w:sz w:val="18"/>
                <w:szCs w:val="18"/>
              </w:rPr>
            </w:pPr>
            <w:r w:rsidRPr="00A71D2E">
              <w:rPr>
                <w:rFonts w:eastAsia="宋体" w:cs="Times New Roman" w:hint="eastAsia"/>
                <w:sz w:val="18"/>
                <w:szCs w:val="18"/>
              </w:rPr>
              <w:t>年初余额</w:t>
            </w:r>
          </w:p>
        </w:tc>
      </w:tr>
      <w:tr w:rsidR="00753B8C" w:rsidRPr="00A71D2E" w:rsidTr="0027505B">
        <w:trPr>
          <w:trHeight w:val="20"/>
        </w:trPr>
        <w:tc>
          <w:tcPr>
            <w:tcW w:w="1129" w:type="dxa"/>
            <w:vMerge/>
            <w:shd w:val="clear" w:color="auto" w:fill="D9D9D9" w:themeFill="background1" w:themeFillShade="D9"/>
            <w:tcMar>
              <w:top w:w="0" w:type="dxa"/>
              <w:left w:w="108" w:type="dxa"/>
              <w:bottom w:w="0" w:type="dxa"/>
              <w:right w:w="108" w:type="dxa"/>
            </w:tcMar>
            <w:vAlign w:val="center"/>
          </w:tcPr>
          <w:p w:rsidR="00753B8C" w:rsidRPr="00A71D2E" w:rsidRDefault="00753B8C" w:rsidP="00F66363">
            <w:pPr>
              <w:jc w:val="center"/>
              <w:rPr>
                <w:rFonts w:eastAsia="宋体" w:cs="Times New Roman"/>
                <w:sz w:val="18"/>
                <w:szCs w:val="18"/>
              </w:rPr>
            </w:pPr>
          </w:p>
        </w:tc>
        <w:tc>
          <w:tcPr>
            <w:tcW w:w="2835" w:type="dxa"/>
            <w:vMerge/>
            <w:shd w:val="clear" w:color="auto" w:fill="D9D9D9" w:themeFill="background1" w:themeFillShade="D9"/>
            <w:tcMar>
              <w:top w:w="0" w:type="dxa"/>
              <w:left w:w="108" w:type="dxa"/>
              <w:bottom w:w="0" w:type="dxa"/>
              <w:right w:w="108" w:type="dxa"/>
            </w:tcMar>
            <w:vAlign w:val="center"/>
          </w:tcPr>
          <w:p w:rsidR="00753B8C" w:rsidRPr="00A71D2E" w:rsidRDefault="00753B8C" w:rsidP="00F66363">
            <w:pPr>
              <w:jc w:val="center"/>
              <w:rPr>
                <w:rFonts w:eastAsia="宋体" w:cs="Times New Roman"/>
                <w:sz w:val="18"/>
                <w:szCs w:val="18"/>
              </w:rPr>
            </w:pPr>
          </w:p>
        </w:tc>
        <w:tc>
          <w:tcPr>
            <w:tcW w:w="1373" w:type="dxa"/>
            <w:shd w:val="clear" w:color="auto" w:fill="D9D9D9" w:themeFill="background1" w:themeFillShade="D9"/>
            <w:vAlign w:val="center"/>
          </w:tcPr>
          <w:p w:rsidR="00753B8C" w:rsidRPr="00A71D2E" w:rsidRDefault="00753B8C" w:rsidP="00F66363">
            <w:pPr>
              <w:jc w:val="center"/>
              <w:rPr>
                <w:rFonts w:eastAsia="宋体" w:cs="Times New Roman"/>
                <w:sz w:val="18"/>
                <w:szCs w:val="18"/>
              </w:rPr>
            </w:pPr>
            <w:r w:rsidRPr="00A71D2E">
              <w:rPr>
                <w:rFonts w:eastAsia="宋体" w:cs="Times New Roman" w:hint="eastAsia"/>
                <w:sz w:val="18"/>
                <w:szCs w:val="18"/>
              </w:rPr>
              <w:t>账面余额</w:t>
            </w:r>
          </w:p>
        </w:tc>
        <w:tc>
          <w:tcPr>
            <w:tcW w:w="1373" w:type="dxa"/>
            <w:shd w:val="clear" w:color="auto" w:fill="D9D9D9" w:themeFill="background1" w:themeFillShade="D9"/>
            <w:vAlign w:val="center"/>
          </w:tcPr>
          <w:p w:rsidR="00753B8C" w:rsidRPr="00A71D2E" w:rsidRDefault="009D5EA8" w:rsidP="00F66363">
            <w:pPr>
              <w:jc w:val="center"/>
              <w:rPr>
                <w:rFonts w:eastAsia="宋体" w:cs="Times New Roman"/>
                <w:sz w:val="18"/>
                <w:szCs w:val="18"/>
              </w:rPr>
            </w:pPr>
            <w:r>
              <w:rPr>
                <w:rFonts w:eastAsia="宋体" w:cs="Times New Roman" w:hint="eastAsia"/>
                <w:sz w:val="18"/>
                <w:szCs w:val="18"/>
              </w:rPr>
              <w:t>坏账</w:t>
            </w:r>
            <w:r w:rsidR="00753B8C" w:rsidRPr="00A71D2E">
              <w:rPr>
                <w:rFonts w:eastAsia="宋体" w:cs="Times New Roman" w:hint="eastAsia"/>
                <w:sz w:val="18"/>
                <w:szCs w:val="18"/>
              </w:rPr>
              <w:t>准备</w:t>
            </w:r>
          </w:p>
        </w:tc>
        <w:tc>
          <w:tcPr>
            <w:tcW w:w="1373" w:type="dxa"/>
            <w:shd w:val="clear" w:color="auto" w:fill="D9D9D9" w:themeFill="background1" w:themeFillShade="D9"/>
            <w:tcMar>
              <w:top w:w="0" w:type="dxa"/>
              <w:left w:w="108" w:type="dxa"/>
              <w:bottom w:w="0" w:type="dxa"/>
              <w:right w:w="108" w:type="dxa"/>
            </w:tcMar>
            <w:vAlign w:val="center"/>
          </w:tcPr>
          <w:p w:rsidR="00753B8C" w:rsidRPr="00A71D2E" w:rsidRDefault="00753B8C" w:rsidP="00F66363">
            <w:pPr>
              <w:jc w:val="center"/>
              <w:rPr>
                <w:rFonts w:eastAsia="宋体" w:cs="Times New Roman"/>
                <w:sz w:val="18"/>
                <w:szCs w:val="18"/>
              </w:rPr>
            </w:pPr>
            <w:r w:rsidRPr="00A71D2E">
              <w:rPr>
                <w:rFonts w:eastAsia="宋体" w:cs="Times New Roman" w:hint="eastAsia"/>
                <w:sz w:val="18"/>
                <w:szCs w:val="18"/>
              </w:rPr>
              <w:t>账面余额</w:t>
            </w:r>
          </w:p>
        </w:tc>
        <w:tc>
          <w:tcPr>
            <w:tcW w:w="1373" w:type="dxa"/>
            <w:shd w:val="clear" w:color="auto" w:fill="D9D9D9" w:themeFill="background1" w:themeFillShade="D9"/>
            <w:vAlign w:val="center"/>
          </w:tcPr>
          <w:p w:rsidR="00753B8C" w:rsidRPr="00A71D2E" w:rsidRDefault="009D5EA8" w:rsidP="00F66363">
            <w:pPr>
              <w:jc w:val="center"/>
              <w:rPr>
                <w:rFonts w:eastAsia="宋体" w:cs="Times New Roman"/>
                <w:sz w:val="18"/>
                <w:szCs w:val="18"/>
              </w:rPr>
            </w:pPr>
            <w:r>
              <w:rPr>
                <w:rFonts w:eastAsia="宋体" w:cs="Times New Roman" w:hint="eastAsia"/>
                <w:sz w:val="18"/>
                <w:szCs w:val="18"/>
              </w:rPr>
              <w:t>坏账</w:t>
            </w:r>
            <w:r w:rsidR="00753B8C" w:rsidRPr="00A71D2E">
              <w:rPr>
                <w:rFonts w:eastAsia="宋体" w:cs="Times New Roman" w:hint="eastAsia"/>
                <w:sz w:val="18"/>
                <w:szCs w:val="18"/>
              </w:rPr>
              <w:t>准备</w:t>
            </w:r>
          </w:p>
        </w:tc>
      </w:tr>
      <w:tr w:rsidR="00B50905" w:rsidRPr="00A71D2E" w:rsidTr="0027505B">
        <w:trPr>
          <w:trHeight w:val="20"/>
        </w:trPr>
        <w:tc>
          <w:tcPr>
            <w:tcW w:w="1129" w:type="dxa"/>
            <w:tcMar>
              <w:top w:w="0" w:type="dxa"/>
              <w:left w:w="108" w:type="dxa"/>
              <w:bottom w:w="0" w:type="dxa"/>
              <w:right w:w="108" w:type="dxa"/>
            </w:tcMar>
            <w:vAlign w:val="center"/>
          </w:tcPr>
          <w:p w:rsidR="00B50905" w:rsidRPr="00A71D2E" w:rsidRDefault="00B50905" w:rsidP="00B50905">
            <w:pPr>
              <w:rPr>
                <w:rFonts w:eastAsia="宋体" w:cs="Times New Roman"/>
                <w:sz w:val="18"/>
                <w:szCs w:val="18"/>
              </w:rPr>
            </w:pPr>
            <w:r w:rsidRPr="00A71D2E">
              <w:rPr>
                <w:rFonts w:eastAsia="宋体" w:cs="Times New Roman" w:hint="eastAsia"/>
                <w:sz w:val="18"/>
                <w:szCs w:val="18"/>
              </w:rPr>
              <w:t>应收账款</w:t>
            </w:r>
          </w:p>
        </w:tc>
        <w:tc>
          <w:tcPr>
            <w:tcW w:w="2835" w:type="dxa"/>
            <w:tcMar>
              <w:top w:w="0" w:type="dxa"/>
              <w:left w:w="108" w:type="dxa"/>
              <w:bottom w:w="0" w:type="dxa"/>
              <w:right w:w="108" w:type="dxa"/>
            </w:tcMar>
            <w:vAlign w:val="center"/>
          </w:tcPr>
          <w:p w:rsidR="00B50905" w:rsidRPr="00A71D2E" w:rsidRDefault="00B50905" w:rsidP="00B50905">
            <w:pPr>
              <w:jc w:val="center"/>
              <w:rPr>
                <w:rFonts w:eastAsia="宋体" w:cs="Times New Roman"/>
                <w:sz w:val="18"/>
                <w:szCs w:val="18"/>
              </w:rPr>
            </w:pPr>
            <w:proofErr w:type="gramStart"/>
            <w:r w:rsidRPr="00A71D2E">
              <w:rPr>
                <w:rFonts w:eastAsia="宋体" w:cs="Times New Roman" w:hint="eastAsia"/>
                <w:sz w:val="18"/>
                <w:szCs w:val="18"/>
              </w:rPr>
              <w:t>海康威视股份公司</w:t>
            </w:r>
            <w:proofErr w:type="gramEnd"/>
            <w:r w:rsidRPr="00A71D2E">
              <w:rPr>
                <w:rFonts w:eastAsia="宋体" w:cs="Times New Roman" w:hint="eastAsia"/>
                <w:sz w:val="18"/>
                <w:szCs w:val="18"/>
              </w:rPr>
              <w:t>及其下属企业</w:t>
            </w:r>
          </w:p>
        </w:tc>
        <w:tc>
          <w:tcPr>
            <w:tcW w:w="1373" w:type="dxa"/>
            <w:vAlign w:val="center"/>
          </w:tcPr>
          <w:p w:rsidR="00B50905" w:rsidRPr="00A71D2E" w:rsidRDefault="00B612BA" w:rsidP="00B50905">
            <w:pPr>
              <w:ind w:right="72"/>
              <w:jc w:val="right"/>
              <w:rPr>
                <w:rFonts w:eastAsia="宋体" w:cs="Times New Roman"/>
                <w:sz w:val="18"/>
                <w:szCs w:val="18"/>
              </w:rPr>
            </w:pPr>
            <w:r w:rsidRPr="00B612BA">
              <w:rPr>
                <w:rFonts w:eastAsia="宋体" w:cs="Times New Roman"/>
                <w:sz w:val="18"/>
                <w:szCs w:val="18"/>
              </w:rPr>
              <w:t>246,307,061.0</w:t>
            </w:r>
            <w:r w:rsidR="004615B9">
              <w:rPr>
                <w:rFonts w:eastAsia="宋体" w:cs="Times New Roman"/>
                <w:sz w:val="18"/>
                <w:szCs w:val="18"/>
              </w:rPr>
              <w:t>8</w:t>
            </w:r>
          </w:p>
        </w:tc>
        <w:tc>
          <w:tcPr>
            <w:tcW w:w="1373" w:type="dxa"/>
            <w:vAlign w:val="center"/>
          </w:tcPr>
          <w:p w:rsidR="00B50905" w:rsidRPr="00A71D2E" w:rsidRDefault="00B612BA" w:rsidP="00B50905">
            <w:pPr>
              <w:ind w:right="72"/>
              <w:jc w:val="right"/>
              <w:rPr>
                <w:rFonts w:eastAsia="宋体" w:cs="Times New Roman"/>
                <w:sz w:val="18"/>
                <w:szCs w:val="18"/>
              </w:rPr>
            </w:pPr>
            <w:r w:rsidRPr="00B612BA">
              <w:rPr>
                <w:rFonts w:eastAsia="宋体" w:cs="Times New Roman"/>
                <w:sz w:val="18"/>
                <w:szCs w:val="18"/>
              </w:rPr>
              <w:t>3,341,126.55</w:t>
            </w:r>
          </w:p>
        </w:tc>
        <w:tc>
          <w:tcPr>
            <w:tcW w:w="1373" w:type="dxa"/>
            <w:tcMar>
              <w:top w:w="0" w:type="dxa"/>
              <w:left w:w="108" w:type="dxa"/>
              <w:bottom w:w="0" w:type="dxa"/>
              <w:right w:w="108" w:type="dxa"/>
            </w:tcMar>
            <w:vAlign w:val="center"/>
          </w:tcPr>
          <w:p w:rsidR="00B50905" w:rsidRPr="00A71D2E" w:rsidRDefault="00B50905" w:rsidP="00B50905">
            <w:pPr>
              <w:jc w:val="right"/>
              <w:rPr>
                <w:rFonts w:eastAsia="宋体" w:cs="Times New Roman"/>
                <w:sz w:val="18"/>
                <w:szCs w:val="18"/>
              </w:rPr>
            </w:pPr>
            <w:r w:rsidRPr="00A71D2E">
              <w:rPr>
                <w:rFonts w:eastAsia="宋体" w:cs="Times New Roman"/>
                <w:sz w:val="18"/>
                <w:szCs w:val="18"/>
              </w:rPr>
              <w:t>230,332,041.71</w:t>
            </w:r>
          </w:p>
        </w:tc>
        <w:tc>
          <w:tcPr>
            <w:tcW w:w="1373" w:type="dxa"/>
            <w:vAlign w:val="center"/>
          </w:tcPr>
          <w:p w:rsidR="00B50905" w:rsidRPr="00A71D2E" w:rsidRDefault="00B50905" w:rsidP="00B50905">
            <w:pPr>
              <w:ind w:rightChars="37" w:right="78"/>
              <w:jc w:val="right"/>
              <w:rPr>
                <w:rFonts w:eastAsia="宋体" w:cs="Times New Roman"/>
                <w:sz w:val="18"/>
                <w:szCs w:val="18"/>
              </w:rPr>
            </w:pPr>
            <w:r w:rsidRPr="00A71D2E">
              <w:rPr>
                <w:rFonts w:eastAsia="宋体" w:cs="Times New Roman"/>
                <w:sz w:val="18"/>
                <w:szCs w:val="18"/>
              </w:rPr>
              <w:t>260,600.22</w:t>
            </w:r>
          </w:p>
        </w:tc>
      </w:tr>
      <w:tr w:rsidR="00B50905" w:rsidRPr="00A71D2E" w:rsidTr="0027505B">
        <w:trPr>
          <w:trHeight w:val="20"/>
        </w:trPr>
        <w:tc>
          <w:tcPr>
            <w:tcW w:w="1129" w:type="dxa"/>
            <w:shd w:val="clear" w:color="auto" w:fill="D9D9D9" w:themeFill="background1" w:themeFillShade="D9"/>
            <w:tcMar>
              <w:top w:w="0" w:type="dxa"/>
              <w:left w:w="108" w:type="dxa"/>
              <w:bottom w:w="0" w:type="dxa"/>
              <w:right w:w="108" w:type="dxa"/>
            </w:tcMar>
            <w:vAlign w:val="center"/>
          </w:tcPr>
          <w:p w:rsidR="00B50905" w:rsidRPr="00A71D2E" w:rsidRDefault="00B50905" w:rsidP="00B50905">
            <w:pPr>
              <w:rPr>
                <w:rFonts w:eastAsia="宋体" w:cs="Times New Roman"/>
                <w:sz w:val="18"/>
                <w:szCs w:val="18"/>
              </w:rPr>
            </w:pPr>
            <w:r w:rsidRPr="00A71D2E">
              <w:rPr>
                <w:rFonts w:eastAsia="宋体" w:cs="Times New Roman" w:hint="eastAsia"/>
                <w:sz w:val="18"/>
                <w:szCs w:val="18"/>
              </w:rPr>
              <w:t>合计</w:t>
            </w:r>
          </w:p>
        </w:tc>
        <w:tc>
          <w:tcPr>
            <w:tcW w:w="2835" w:type="dxa"/>
            <w:shd w:val="clear" w:color="auto" w:fill="FFFFFF" w:themeFill="background1"/>
            <w:tcMar>
              <w:top w:w="0" w:type="dxa"/>
              <w:left w:w="108" w:type="dxa"/>
              <w:bottom w:w="0" w:type="dxa"/>
              <w:right w:w="108" w:type="dxa"/>
            </w:tcMar>
            <w:vAlign w:val="center"/>
          </w:tcPr>
          <w:p w:rsidR="00B50905" w:rsidRPr="00A71D2E" w:rsidRDefault="00B50905" w:rsidP="00B50905">
            <w:pPr>
              <w:jc w:val="center"/>
              <w:rPr>
                <w:rFonts w:eastAsia="宋体" w:cs="Times New Roman"/>
                <w:sz w:val="18"/>
                <w:szCs w:val="18"/>
              </w:rPr>
            </w:pPr>
          </w:p>
        </w:tc>
        <w:tc>
          <w:tcPr>
            <w:tcW w:w="1373" w:type="dxa"/>
            <w:shd w:val="clear" w:color="auto" w:fill="FFFFFF" w:themeFill="background1"/>
            <w:vAlign w:val="center"/>
          </w:tcPr>
          <w:p w:rsidR="00B50905" w:rsidRPr="00A71D2E" w:rsidRDefault="00B612BA" w:rsidP="00B50905">
            <w:pPr>
              <w:ind w:right="72"/>
              <w:jc w:val="right"/>
              <w:rPr>
                <w:rFonts w:eastAsia="宋体" w:cs="Times New Roman"/>
                <w:sz w:val="18"/>
                <w:szCs w:val="18"/>
              </w:rPr>
            </w:pPr>
            <w:r w:rsidRPr="00B612BA">
              <w:rPr>
                <w:rFonts w:eastAsia="宋体" w:cs="Times New Roman"/>
                <w:sz w:val="18"/>
                <w:szCs w:val="18"/>
              </w:rPr>
              <w:t>246,307,061.0</w:t>
            </w:r>
            <w:r w:rsidR="004615B9">
              <w:rPr>
                <w:rFonts w:eastAsia="宋体" w:cs="Times New Roman"/>
                <w:sz w:val="18"/>
                <w:szCs w:val="18"/>
              </w:rPr>
              <w:t>8</w:t>
            </w:r>
          </w:p>
        </w:tc>
        <w:tc>
          <w:tcPr>
            <w:tcW w:w="1373" w:type="dxa"/>
            <w:shd w:val="clear" w:color="auto" w:fill="FFFFFF" w:themeFill="background1"/>
            <w:vAlign w:val="center"/>
          </w:tcPr>
          <w:p w:rsidR="00B50905" w:rsidRPr="00A71D2E" w:rsidRDefault="00B612BA" w:rsidP="00B50905">
            <w:pPr>
              <w:ind w:right="72"/>
              <w:jc w:val="right"/>
              <w:rPr>
                <w:rFonts w:eastAsia="宋体" w:cs="Times New Roman"/>
                <w:sz w:val="18"/>
                <w:szCs w:val="18"/>
              </w:rPr>
            </w:pPr>
            <w:r w:rsidRPr="00B612BA">
              <w:rPr>
                <w:rFonts w:eastAsia="宋体" w:cs="Times New Roman"/>
                <w:sz w:val="18"/>
                <w:szCs w:val="18"/>
              </w:rPr>
              <w:t>3,341,126.55</w:t>
            </w:r>
          </w:p>
        </w:tc>
        <w:tc>
          <w:tcPr>
            <w:tcW w:w="1373" w:type="dxa"/>
            <w:shd w:val="clear" w:color="auto" w:fill="FFFFFF" w:themeFill="background1"/>
            <w:tcMar>
              <w:top w:w="0" w:type="dxa"/>
              <w:left w:w="108" w:type="dxa"/>
              <w:bottom w:w="0" w:type="dxa"/>
              <w:right w:w="108" w:type="dxa"/>
            </w:tcMar>
            <w:vAlign w:val="center"/>
          </w:tcPr>
          <w:p w:rsidR="00B50905" w:rsidRPr="00A71D2E" w:rsidRDefault="00B50905" w:rsidP="00B50905">
            <w:pPr>
              <w:jc w:val="right"/>
              <w:rPr>
                <w:rFonts w:eastAsia="宋体" w:cs="Times New Roman"/>
                <w:sz w:val="18"/>
                <w:szCs w:val="18"/>
              </w:rPr>
            </w:pPr>
            <w:r w:rsidRPr="00A71D2E">
              <w:rPr>
                <w:rFonts w:eastAsia="宋体" w:cs="Times New Roman"/>
                <w:sz w:val="18"/>
                <w:szCs w:val="18"/>
              </w:rPr>
              <w:t>230,332,041.71</w:t>
            </w:r>
          </w:p>
        </w:tc>
        <w:tc>
          <w:tcPr>
            <w:tcW w:w="1373" w:type="dxa"/>
            <w:shd w:val="clear" w:color="auto" w:fill="FFFFFF" w:themeFill="background1"/>
            <w:vAlign w:val="center"/>
          </w:tcPr>
          <w:p w:rsidR="00B50905" w:rsidRPr="00A71D2E" w:rsidRDefault="00B50905" w:rsidP="00B50905">
            <w:pPr>
              <w:ind w:rightChars="37" w:right="78"/>
              <w:jc w:val="right"/>
              <w:rPr>
                <w:rFonts w:eastAsia="宋体" w:cs="Times New Roman"/>
                <w:sz w:val="18"/>
                <w:szCs w:val="18"/>
              </w:rPr>
            </w:pPr>
            <w:r w:rsidRPr="00A71D2E">
              <w:rPr>
                <w:rFonts w:eastAsia="宋体" w:cs="Times New Roman"/>
                <w:sz w:val="18"/>
                <w:szCs w:val="18"/>
              </w:rPr>
              <w:t>260,600.22</w:t>
            </w:r>
          </w:p>
        </w:tc>
      </w:tr>
    </w:tbl>
    <w:p w:rsidR="00D64620" w:rsidRDefault="00D64620" w:rsidP="00F66363">
      <w:pPr>
        <w:ind w:left="1400" w:hanging="658"/>
        <w:jc w:val="both"/>
        <w:rPr>
          <w:rFonts w:eastAsia="宋体" w:cs="Times New Roman"/>
          <w:szCs w:val="21"/>
        </w:rPr>
      </w:pPr>
    </w:p>
    <w:p w:rsidR="00495F4B" w:rsidRDefault="00495F4B" w:rsidP="0027505B">
      <w:pPr>
        <w:ind w:left="1400" w:hanging="658"/>
        <w:jc w:val="right"/>
        <w:rPr>
          <w:rFonts w:eastAsia="宋体" w:cs="Times New Roman"/>
          <w:szCs w:val="21"/>
        </w:rPr>
      </w:pPr>
      <w:r w:rsidRPr="00A71D2E">
        <w:rPr>
          <w:rFonts w:eastAsia="宋体" w:cs="Times New Roman" w:hint="eastAsia"/>
          <w:szCs w:val="21"/>
        </w:rPr>
        <w:t>单位</w:t>
      </w:r>
      <w:r>
        <w:rPr>
          <w:rFonts w:eastAsia="宋体" w:cs="Times New Roman" w:hint="eastAsia"/>
          <w:szCs w:val="21"/>
        </w:rPr>
        <w:t>：</w:t>
      </w:r>
      <w:r w:rsidRPr="00A71D2E">
        <w:rPr>
          <w:rFonts w:eastAsia="宋体" w:cs="Times New Roman" w:hint="eastAsia"/>
          <w:szCs w:val="21"/>
        </w:rPr>
        <w:t>人民币元</w:t>
      </w:r>
    </w:p>
    <w:tbl>
      <w:tblPr>
        <w:tblW w:w="4649"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29"/>
        <w:gridCol w:w="5582"/>
        <w:gridCol w:w="1371"/>
        <w:gridCol w:w="1372"/>
      </w:tblGrid>
      <w:tr w:rsidR="00CE6E38" w:rsidRPr="00A71D2E" w:rsidDel="00A457E1" w:rsidTr="0027505B">
        <w:trPr>
          <w:trHeight w:val="20"/>
        </w:trPr>
        <w:tc>
          <w:tcPr>
            <w:tcW w:w="1129" w:type="dxa"/>
            <w:shd w:val="clear" w:color="auto" w:fill="D9D9D9" w:themeFill="background1" w:themeFillShade="D9"/>
            <w:tcMar>
              <w:top w:w="0" w:type="dxa"/>
              <w:left w:w="108" w:type="dxa"/>
              <w:bottom w:w="0" w:type="dxa"/>
              <w:right w:w="108" w:type="dxa"/>
            </w:tcMar>
            <w:vAlign w:val="center"/>
            <w:hideMark/>
          </w:tcPr>
          <w:p w:rsidR="00CE6E38" w:rsidRPr="00A71D2E" w:rsidRDefault="00CE6E38" w:rsidP="00E456AF">
            <w:pPr>
              <w:jc w:val="center"/>
              <w:rPr>
                <w:rFonts w:eastAsia="宋体" w:cs="Times New Roman"/>
                <w:sz w:val="18"/>
                <w:szCs w:val="18"/>
              </w:rPr>
            </w:pPr>
            <w:r w:rsidRPr="00A71D2E">
              <w:rPr>
                <w:rFonts w:eastAsia="宋体" w:cs="Times New Roman" w:hint="eastAsia"/>
                <w:sz w:val="18"/>
                <w:szCs w:val="18"/>
              </w:rPr>
              <w:t>项目名称</w:t>
            </w:r>
          </w:p>
        </w:tc>
        <w:tc>
          <w:tcPr>
            <w:tcW w:w="5582" w:type="dxa"/>
            <w:shd w:val="clear" w:color="auto" w:fill="D9D9D9" w:themeFill="background1" w:themeFillShade="D9"/>
            <w:vAlign w:val="center"/>
          </w:tcPr>
          <w:p w:rsidR="00CE6E38" w:rsidRPr="00A71D2E" w:rsidRDefault="00CE6E38" w:rsidP="00E456AF">
            <w:pPr>
              <w:jc w:val="center"/>
              <w:rPr>
                <w:rFonts w:eastAsia="宋体" w:cs="Times New Roman"/>
                <w:sz w:val="18"/>
                <w:szCs w:val="18"/>
              </w:rPr>
            </w:pPr>
            <w:r w:rsidRPr="00A71D2E">
              <w:rPr>
                <w:rFonts w:eastAsia="宋体" w:cs="Times New Roman" w:hint="eastAsia"/>
                <w:sz w:val="18"/>
                <w:szCs w:val="18"/>
              </w:rPr>
              <w:t>关联方</w:t>
            </w:r>
          </w:p>
        </w:tc>
        <w:tc>
          <w:tcPr>
            <w:tcW w:w="1371" w:type="dxa"/>
            <w:shd w:val="clear" w:color="auto" w:fill="D9D9D9" w:themeFill="background1" w:themeFillShade="D9"/>
            <w:vAlign w:val="center"/>
          </w:tcPr>
          <w:p w:rsidR="00CE6E38" w:rsidRPr="00A71D2E" w:rsidRDefault="00333C73" w:rsidP="00E456AF">
            <w:pPr>
              <w:jc w:val="center"/>
              <w:rPr>
                <w:rFonts w:eastAsia="宋体" w:cs="Times New Roman"/>
                <w:sz w:val="18"/>
                <w:szCs w:val="18"/>
              </w:rPr>
            </w:pPr>
            <w:r>
              <w:rPr>
                <w:rFonts w:eastAsia="宋体" w:cs="Times New Roman" w:hint="eastAsia"/>
                <w:sz w:val="18"/>
                <w:szCs w:val="18"/>
              </w:rPr>
              <w:t>年末余额</w:t>
            </w:r>
          </w:p>
        </w:tc>
        <w:tc>
          <w:tcPr>
            <w:tcW w:w="1372" w:type="dxa"/>
            <w:shd w:val="clear" w:color="auto" w:fill="D9D9D9" w:themeFill="background1" w:themeFillShade="D9"/>
            <w:tcMar>
              <w:top w:w="0" w:type="dxa"/>
              <w:left w:w="108" w:type="dxa"/>
              <w:bottom w:w="0" w:type="dxa"/>
              <w:right w:w="108" w:type="dxa"/>
            </w:tcMar>
            <w:vAlign w:val="center"/>
          </w:tcPr>
          <w:p w:rsidR="00CE6E38" w:rsidRPr="00A71D2E" w:rsidRDefault="00333C73" w:rsidP="00E456AF">
            <w:pPr>
              <w:jc w:val="center"/>
              <w:rPr>
                <w:rFonts w:eastAsia="宋体" w:cs="Times New Roman"/>
                <w:sz w:val="18"/>
                <w:szCs w:val="18"/>
              </w:rPr>
            </w:pPr>
            <w:r>
              <w:rPr>
                <w:rFonts w:eastAsia="宋体" w:cs="Times New Roman" w:hint="eastAsia"/>
                <w:sz w:val="18"/>
                <w:szCs w:val="18"/>
              </w:rPr>
              <w:t>年初余额</w:t>
            </w:r>
          </w:p>
        </w:tc>
      </w:tr>
      <w:tr w:rsidR="00A5104F" w:rsidRPr="00A71D2E" w:rsidTr="0027505B">
        <w:trPr>
          <w:trHeight w:val="20"/>
        </w:trPr>
        <w:tc>
          <w:tcPr>
            <w:tcW w:w="1129" w:type="dxa"/>
            <w:tcMar>
              <w:top w:w="0" w:type="dxa"/>
              <w:left w:w="108" w:type="dxa"/>
              <w:bottom w:w="0" w:type="dxa"/>
              <w:right w:w="108" w:type="dxa"/>
            </w:tcMar>
            <w:vAlign w:val="center"/>
          </w:tcPr>
          <w:p w:rsidR="00A5104F" w:rsidRPr="00A71D2E" w:rsidRDefault="00A5104F" w:rsidP="00A5104F">
            <w:pPr>
              <w:rPr>
                <w:rFonts w:eastAsia="宋体" w:cs="Times New Roman"/>
                <w:sz w:val="18"/>
                <w:szCs w:val="18"/>
              </w:rPr>
            </w:pPr>
            <w:r>
              <w:rPr>
                <w:rFonts w:eastAsia="宋体" w:cs="Times New Roman" w:hint="eastAsia"/>
                <w:sz w:val="18"/>
                <w:szCs w:val="18"/>
              </w:rPr>
              <w:t>预付</w:t>
            </w:r>
            <w:r w:rsidR="009D1A7B">
              <w:rPr>
                <w:rFonts w:eastAsia="宋体" w:cs="Times New Roman" w:hint="eastAsia"/>
                <w:sz w:val="18"/>
                <w:szCs w:val="18"/>
              </w:rPr>
              <w:t>款项</w:t>
            </w:r>
          </w:p>
        </w:tc>
        <w:tc>
          <w:tcPr>
            <w:tcW w:w="5582" w:type="dxa"/>
            <w:vAlign w:val="center"/>
          </w:tcPr>
          <w:p w:rsidR="00A5104F" w:rsidRPr="00CC026F" w:rsidRDefault="00A5104F" w:rsidP="00FE2C30">
            <w:pPr>
              <w:ind w:right="120"/>
              <w:jc w:val="center"/>
              <w:rPr>
                <w:rFonts w:eastAsia="宋体" w:cs="Times New Roman"/>
                <w:sz w:val="18"/>
                <w:szCs w:val="18"/>
              </w:rPr>
            </w:pPr>
            <w:proofErr w:type="gramStart"/>
            <w:r w:rsidRPr="00A71D2E">
              <w:rPr>
                <w:rFonts w:eastAsia="宋体" w:cs="Times New Roman" w:hint="eastAsia"/>
                <w:sz w:val="18"/>
                <w:szCs w:val="18"/>
              </w:rPr>
              <w:t>海康威视股份公司</w:t>
            </w:r>
            <w:proofErr w:type="gramEnd"/>
            <w:r w:rsidRPr="00A71D2E">
              <w:rPr>
                <w:rFonts w:eastAsia="宋体" w:cs="Times New Roman" w:hint="eastAsia"/>
                <w:sz w:val="18"/>
                <w:szCs w:val="18"/>
              </w:rPr>
              <w:t>及其下属企业</w:t>
            </w:r>
          </w:p>
        </w:tc>
        <w:tc>
          <w:tcPr>
            <w:tcW w:w="1371" w:type="dxa"/>
            <w:vAlign w:val="center"/>
          </w:tcPr>
          <w:p w:rsidR="00A5104F" w:rsidRPr="00A71D2E" w:rsidRDefault="00A5104F" w:rsidP="00A5104F">
            <w:pPr>
              <w:ind w:right="120"/>
              <w:jc w:val="right"/>
              <w:rPr>
                <w:rFonts w:eastAsia="宋体" w:cs="Times New Roman"/>
                <w:sz w:val="18"/>
                <w:szCs w:val="18"/>
              </w:rPr>
            </w:pPr>
            <w:r w:rsidRPr="004C4CCF">
              <w:rPr>
                <w:rFonts w:eastAsia="宋体" w:cs="Times New Roman"/>
                <w:sz w:val="18"/>
                <w:szCs w:val="18"/>
              </w:rPr>
              <w:t>40,380.56</w:t>
            </w:r>
          </w:p>
        </w:tc>
        <w:tc>
          <w:tcPr>
            <w:tcW w:w="1372" w:type="dxa"/>
            <w:tcMar>
              <w:top w:w="0" w:type="dxa"/>
              <w:left w:w="108" w:type="dxa"/>
              <w:bottom w:w="0" w:type="dxa"/>
              <w:right w:w="108" w:type="dxa"/>
            </w:tcMar>
            <w:vAlign w:val="center"/>
          </w:tcPr>
          <w:p w:rsidR="00A5104F" w:rsidRPr="00A71D2E" w:rsidRDefault="00A5104F" w:rsidP="00A5104F">
            <w:pPr>
              <w:jc w:val="right"/>
              <w:rPr>
                <w:rFonts w:eastAsia="宋体" w:cs="Times New Roman"/>
                <w:sz w:val="18"/>
                <w:szCs w:val="18"/>
              </w:rPr>
            </w:pPr>
            <w:r w:rsidRPr="004C4CCF">
              <w:rPr>
                <w:rFonts w:eastAsia="宋体" w:cs="Times New Roman" w:hint="eastAsia"/>
                <w:sz w:val="18"/>
                <w:szCs w:val="18"/>
              </w:rPr>
              <w:t>-</w:t>
            </w:r>
            <w:r w:rsidRPr="004C4CCF">
              <w:rPr>
                <w:rFonts w:eastAsia="宋体" w:cs="Times New Roman"/>
                <w:sz w:val="18"/>
                <w:szCs w:val="18"/>
              </w:rPr>
              <w:t>    </w:t>
            </w:r>
          </w:p>
        </w:tc>
      </w:tr>
      <w:tr w:rsidR="00A5104F" w:rsidRPr="00A71D2E" w:rsidTr="0027505B">
        <w:trPr>
          <w:trHeight w:val="20"/>
        </w:trPr>
        <w:tc>
          <w:tcPr>
            <w:tcW w:w="1129" w:type="dxa"/>
            <w:tcMar>
              <w:top w:w="0" w:type="dxa"/>
              <w:left w:w="108" w:type="dxa"/>
              <w:bottom w:w="0" w:type="dxa"/>
              <w:right w:w="108" w:type="dxa"/>
            </w:tcMar>
            <w:vAlign w:val="center"/>
          </w:tcPr>
          <w:p w:rsidR="00A5104F" w:rsidRDefault="00A5104F" w:rsidP="00A5104F">
            <w:pPr>
              <w:rPr>
                <w:rFonts w:eastAsia="宋体" w:cs="Times New Roman"/>
                <w:sz w:val="18"/>
                <w:szCs w:val="18"/>
              </w:rPr>
            </w:pPr>
            <w:r>
              <w:rPr>
                <w:rFonts w:eastAsia="宋体" w:cs="Times New Roman" w:hint="eastAsia"/>
                <w:sz w:val="18"/>
                <w:szCs w:val="18"/>
              </w:rPr>
              <w:t>预付</w:t>
            </w:r>
            <w:r w:rsidR="009D1A7B">
              <w:rPr>
                <w:rFonts w:eastAsia="宋体" w:cs="Times New Roman" w:hint="eastAsia"/>
                <w:sz w:val="18"/>
                <w:szCs w:val="18"/>
              </w:rPr>
              <w:t>款项</w:t>
            </w:r>
          </w:p>
        </w:tc>
        <w:tc>
          <w:tcPr>
            <w:tcW w:w="5582" w:type="dxa"/>
            <w:vAlign w:val="center"/>
          </w:tcPr>
          <w:p w:rsidR="00A5104F" w:rsidRPr="00CC026F" w:rsidRDefault="00A5104F" w:rsidP="00FE2C30">
            <w:pPr>
              <w:ind w:right="120"/>
              <w:jc w:val="center"/>
              <w:rPr>
                <w:rFonts w:eastAsia="宋体" w:cs="Times New Roman"/>
                <w:sz w:val="18"/>
                <w:szCs w:val="18"/>
              </w:rPr>
            </w:pPr>
            <w:r w:rsidRPr="004C4CCF">
              <w:rPr>
                <w:rFonts w:eastAsia="宋体" w:cs="Times New Roman" w:hint="eastAsia"/>
                <w:sz w:val="18"/>
                <w:szCs w:val="18"/>
              </w:rPr>
              <w:t>中电下属企业</w:t>
            </w:r>
          </w:p>
        </w:tc>
        <w:tc>
          <w:tcPr>
            <w:tcW w:w="1371" w:type="dxa"/>
            <w:vAlign w:val="center"/>
          </w:tcPr>
          <w:p w:rsidR="00A5104F" w:rsidRPr="00CC026F" w:rsidRDefault="00A5104F" w:rsidP="00A5104F">
            <w:pPr>
              <w:ind w:right="120"/>
              <w:jc w:val="right"/>
              <w:rPr>
                <w:rFonts w:eastAsia="宋体" w:cs="Times New Roman"/>
                <w:sz w:val="18"/>
                <w:szCs w:val="18"/>
              </w:rPr>
            </w:pPr>
            <w:r w:rsidRPr="004C4CCF">
              <w:rPr>
                <w:rFonts w:eastAsia="宋体" w:cs="Times New Roman"/>
                <w:sz w:val="18"/>
                <w:szCs w:val="18"/>
              </w:rPr>
              <w:t>176,921.84</w:t>
            </w:r>
          </w:p>
        </w:tc>
        <w:tc>
          <w:tcPr>
            <w:tcW w:w="1372" w:type="dxa"/>
            <w:tcMar>
              <w:top w:w="0" w:type="dxa"/>
              <w:left w:w="108" w:type="dxa"/>
              <w:bottom w:w="0" w:type="dxa"/>
              <w:right w:w="108" w:type="dxa"/>
            </w:tcMar>
            <w:vAlign w:val="center"/>
          </w:tcPr>
          <w:p w:rsidR="00A5104F" w:rsidRPr="00A71D2E" w:rsidRDefault="00A5104F" w:rsidP="00A5104F">
            <w:pPr>
              <w:jc w:val="right"/>
              <w:rPr>
                <w:rFonts w:eastAsia="宋体" w:cs="Times New Roman"/>
                <w:sz w:val="18"/>
                <w:szCs w:val="18"/>
              </w:rPr>
            </w:pPr>
            <w:r w:rsidRPr="004C4CCF">
              <w:rPr>
                <w:rFonts w:eastAsia="宋体" w:cs="Times New Roman" w:hint="eastAsia"/>
                <w:sz w:val="18"/>
                <w:szCs w:val="18"/>
              </w:rPr>
              <w:t>-</w:t>
            </w:r>
            <w:r w:rsidRPr="004C4CCF">
              <w:rPr>
                <w:rFonts w:eastAsia="宋体" w:cs="Times New Roman"/>
                <w:sz w:val="18"/>
                <w:szCs w:val="18"/>
              </w:rPr>
              <w:t>    </w:t>
            </w:r>
          </w:p>
        </w:tc>
      </w:tr>
      <w:tr w:rsidR="00A5104F" w:rsidRPr="00A71D2E" w:rsidTr="0027505B">
        <w:trPr>
          <w:trHeight w:val="20"/>
        </w:trPr>
        <w:tc>
          <w:tcPr>
            <w:tcW w:w="1129" w:type="dxa"/>
            <w:shd w:val="clear" w:color="auto" w:fill="D9D9D9" w:themeFill="background1" w:themeFillShade="D9"/>
            <w:tcMar>
              <w:top w:w="0" w:type="dxa"/>
              <w:left w:w="108" w:type="dxa"/>
              <w:bottom w:w="0" w:type="dxa"/>
              <w:right w:w="108" w:type="dxa"/>
            </w:tcMar>
            <w:vAlign w:val="center"/>
          </w:tcPr>
          <w:p w:rsidR="00A5104F" w:rsidRPr="00A71D2E" w:rsidRDefault="00A5104F" w:rsidP="00A5104F">
            <w:pPr>
              <w:rPr>
                <w:rFonts w:eastAsia="宋体" w:cs="Times New Roman"/>
                <w:sz w:val="18"/>
                <w:szCs w:val="18"/>
              </w:rPr>
            </w:pPr>
            <w:r w:rsidRPr="00A71D2E">
              <w:rPr>
                <w:rFonts w:eastAsia="宋体" w:cs="Times New Roman" w:hint="eastAsia"/>
                <w:sz w:val="18"/>
                <w:szCs w:val="18"/>
              </w:rPr>
              <w:t>合计</w:t>
            </w:r>
          </w:p>
        </w:tc>
        <w:tc>
          <w:tcPr>
            <w:tcW w:w="5582" w:type="dxa"/>
            <w:vAlign w:val="center"/>
          </w:tcPr>
          <w:p w:rsidR="00A5104F" w:rsidRPr="00CC026F" w:rsidRDefault="00A5104F" w:rsidP="00A5104F">
            <w:pPr>
              <w:ind w:right="120"/>
              <w:jc w:val="right"/>
              <w:rPr>
                <w:rFonts w:eastAsia="宋体" w:cs="Times New Roman"/>
                <w:sz w:val="18"/>
                <w:szCs w:val="18"/>
              </w:rPr>
            </w:pPr>
          </w:p>
        </w:tc>
        <w:tc>
          <w:tcPr>
            <w:tcW w:w="1371" w:type="dxa"/>
            <w:vAlign w:val="center"/>
          </w:tcPr>
          <w:p w:rsidR="00A5104F" w:rsidRPr="00A71D2E" w:rsidRDefault="00A5104F" w:rsidP="00A5104F">
            <w:pPr>
              <w:ind w:right="120"/>
              <w:jc w:val="right"/>
              <w:rPr>
                <w:rFonts w:eastAsia="宋体" w:cs="Times New Roman"/>
                <w:sz w:val="18"/>
                <w:szCs w:val="18"/>
              </w:rPr>
            </w:pPr>
            <w:r w:rsidRPr="004C4CCF">
              <w:rPr>
                <w:rFonts w:eastAsia="宋体" w:cs="Times New Roman"/>
                <w:sz w:val="18"/>
                <w:szCs w:val="18"/>
              </w:rPr>
              <w:t>217,302.40</w:t>
            </w:r>
          </w:p>
        </w:tc>
        <w:tc>
          <w:tcPr>
            <w:tcW w:w="1372" w:type="dxa"/>
            <w:tcMar>
              <w:top w:w="0" w:type="dxa"/>
              <w:left w:w="108" w:type="dxa"/>
              <w:bottom w:w="0" w:type="dxa"/>
              <w:right w:w="108" w:type="dxa"/>
            </w:tcMar>
            <w:vAlign w:val="center"/>
          </w:tcPr>
          <w:p w:rsidR="00A5104F" w:rsidRPr="00A71D2E" w:rsidRDefault="00A5104F" w:rsidP="00A5104F">
            <w:pPr>
              <w:jc w:val="right"/>
              <w:rPr>
                <w:rFonts w:eastAsia="宋体" w:cs="Times New Roman"/>
                <w:sz w:val="18"/>
                <w:szCs w:val="18"/>
              </w:rPr>
            </w:pPr>
            <w:r w:rsidRPr="004C4CCF">
              <w:rPr>
                <w:rFonts w:eastAsia="宋体" w:cs="Times New Roman" w:hint="eastAsia"/>
                <w:sz w:val="18"/>
                <w:szCs w:val="18"/>
              </w:rPr>
              <w:t>-</w:t>
            </w:r>
            <w:r w:rsidRPr="004C4CCF">
              <w:rPr>
                <w:rFonts w:eastAsia="宋体" w:cs="Times New Roman"/>
                <w:sz w:val="18"/>
                <w:szCs w:val="18"/>
              </w:rPr>
              <w:t>    </w:t>
            </w:r>
          </w:p>
        </w:tc>
      </w:tr>
    </w:tbl>
    <w:p w:rsidR="00495F4B" w:rsidRDefault="00495F4B" w:rsidP="00F66363">
      <w:pPr>
        <w:ind w:left="1400" w:hanging="658"/>
        <w:jc w:val="both"/>
        <w:rPr>
          <w:rFonts w:eastAsia="宋体" w:cs="Times New Roman"/>
          <w:szCs w:val="21"/>
        </w:rPr>
      </w:pPr>
    </w:p>
    <w:p w:rsidR="00495F4B" w:rsidRDefault="00495F4B">
      <w:pPr>
        <w:adjustRightInd/>
        <w:snapToGrid/>
        <w:rPr>
          <w:rFonts w:eastAsia="宋体" w:cs="Times New Roman"/>
          <w:szCs w:val="21"/>
        </w:rPr>
      </w:pPr>
      <w:r>
        <w:rPr>
          <w:rFonts w:eastAsia="宋体" w:cs="Times New Roman"/>
          <w:szCs w:val="21"/>
        </w:rPr>
        <w:br w:type="page"/>
      </w:r>
    </w:p>
    <w:p w:rsidR="00495F4B" w:rsidRPr="00F66363" w:rsidRDefault="00495F4B" w:rsidP="00495F4B">
      <w:pPr>
        <w:ind w:left="720" w:hanging="720"/>
        <w:jc w:val="both"/>
        <w:rPr>
          <w:rFonts w:eastAsia="宋体" w:cs="Times New Roman"/>
          <w:szCs w:val="21"/>
        </w:rPr>
      </w:pPr>
      <w:r>
        <w:rPr>
          <w:rFonts w:eastAsia="宋体" w:cs="Times New Roman"/>
          <w:b/>
          <w:bCs/>
          <w:szCs w:val="21"/>
        </w:rPr>
        <w:t>(</w:t>
      </w:r>
      <w:r>
        <w:rPr>
          <w:rFonts w:eastAsia="宋体" w:cs="Times New Roman" w:hint="eastAsia"/>
          <w:b/>
          <w:bCs/>
          <w:szCs w:val="21"/>
        </w:rPr>
        <w:t>十</w:t>
      </w:r>
      <w:r>
        <w:rPr>
          <w:rFonts w:eastAsia="宋体" w:cs="Times New Roman"/>
          <w:b/>
          <w:bCs/>
          <w:szCs w:val="21"/>
        </w:rPr>
        <w:t>)</w:t>
      </w:r>
      <w:r w:rsidRPr="00F66363">
        <w:rPr>
          <w:rFonts w:eastAsia="宋体" w:cs="Times New Roman"/>
          <w:b/>
          <w:bCs/>
          <w:szCs w:val="21"/>
        </w:rPr>
        <w:tab/>
      </w:r>
      <w:r w:rsidRPr="00F66363">
        <w:rPr>
          <w:rFonts w:eastAsia="宋体" w:cs="Times New Roman" w:hint="eastAsia"/>
          <w:b/>
          <w:bCs/>
          <w:szCs w:val="21"/>
        </w:rPr>
        <w:t>关联方及关联方交易</w:t>
      </w:r>
      <w:r w:rsidRPr="00F66363">
        <w:rPr>
          <w:rFonts w:eastAsia="宋体" w:cs="Times New Roman"/>
          <w:szCs w:val="21"/>
        </w:rPr>
        <w:t xml:space="preserve"> - </w:t>
      </w:r>
      <w:r w:rsidRPr="00F66363">
        <w:rPr>
          <w:rFonts w:eastAsia="宋体" w:cs="Times New Roman" w:hint="eastAsia"/>
          <w:szCs w:val="21"/>
        </w:rPr>
        <w:t>续</w:t>
      </w:r>
    </w:p>
    <w:p w:rsidR="00CE6E38" w:rsidRDefault="00CE6E38" w:rsidP="00F66363">
      <w:pPr>
        <w:ind w:left="1400" w:hanging="658"/>
        <w:jc w:val="both"/>
        <w:rPr>
          <w:rFonts w:eastAsia="宋体" w:cs="Times New Roman"/>
          <w:szCs w:val="21"/>
        </w:rPr>
      </w:pPr>
    </w:p>
    <w:p w:rsidR="00495F4B" w:rsidRDefault="00495F4B" w:rsidP="00F66363">
      <w:pPr>
        <w:ind w:left="1400" w:hanging="658"/>
        <w:jc w:val="both"/>
        <w:rPr>
          <w:rFonts w:eastAsia="宋体" w:cs="Times New Roman"/>
          <w:szCs w:val="21"/>
        </w:rPr>
      </w:pPr>
      <w:r w:rsidRPr="0027505B">
        <w:rPr>
          <w:rFonts w:eastAsia="宋体" w:cs="Times New Roman"/>
          <w:b/>
          <w:bCs/>
          <w:szCs w:val="21"/>
        </w:rPr>
        <w:t>5</w:t>
      </w:r>
      <w:r w:rsidRPr="0027505B">
        <w:rPr>
          <w:rFonts w:eastAsia="宋体" w:cs="Times New Roman" w:hint="eastAsia"/>
          <w:b/>
          <w:bCs/>
          <w:szCs w:val="21"/>
        </w:rPr>
        <w:t>、</w:t>
      </w:r>
      <w:r w:rsidRPr="0027505B">
        <w:rPr>
          <w:rFonts w:eastAsia="宋体" w:cs="Times New Roman"/>
          <w:b/>
          <w:bCs/>
          <w:szCs w:val="21"/>
        </w:rPr>
        <w:tab/>
      </w:r>
      <w:r w:rsidRPr="0027505B">
        <w:rPr>
          <w:rFonts w:eastAsia="宋体" w:cs="Times New Roman" w:hint="eastAsia"/>
          <w:b/>
          <w:bCs/>
          <w:szCs w:val="21"/>
        </w:rPr>
        <w:t>关联方应收应付款项</w:t>
      </w:r>
      <w:r>
        <w:rPr>
          <w:rFonts w:eastAsia="宋体" w:cs="Times New Roman" w:hint="eastAsia"/>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495F4B" w:rsidRDefault="00495F4B" w:rsidP="00F66363">
      <w:pPr>
        <w:ind w:left="1400" w:hanging="658"/>
        <w:jc w:val="both"/>
        <w:rPr>
          <w:rFonts w:eastAsia="宋体" w:cs="Times New Roman"/>
          <w:szCs w:val="21"/>
        </w:rPr>
      </w:pPr>
    </w:p>
    <w:p w:rsidR="00753B8C" w:rsidRPr="00A71D2E" w:rsidRDefault="00753B8C">
      <w:pPr>
        <w:pStyle w:val="aff1"/>
        <w:widowControl w:val="0"/>
        <w:numPr>
          <w:ilvl w:val="0"/>
          <w:numId w:val="24"/>
        </w:numPr>
        <w:ind w:left="1440" w:firstLineChars="0" w:hanging="720"/>
        <w:rPr>
          <w:szCs w:val="21"/>
        </w:rPr>
      </w:pPr>
      <w:r w:rsidRPr="00A71D2E">
        <w:rPr>
          <w:rFonts w:hint="eastAsia"/>
          <w:szCs w:val="21"/>
        </w:rPr>
        <w:t>应付项目</w:t>
      </w:r>
    </w:p>
    <w:p w:rsidR="00753B8C" w:rsidRPr="00A71D2E" w:rsidRDefault="00753B8C">
      <w:pPr>
        <w:ind w:left="504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9453" w:type="dxa"/>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77"/>
        <w:gridCol w:w="4536"/>
        <w:gridCol w:w="1470"/>
        <w:gridCol w:w="1470"/>
      </w:tblGrid>
      <w:tr w:rsidR="00753B8C" w:rsidRPr="004F6FF3" w:rsidTr="0027505B">
        <w:trPr>
          <w:trHeight w:val="20"/>
        </w:trPr>
        <w:tc>
          <w:tcPr>
            <w:tcW w:w="1977" w:type="dxa"/>
            <w:shd w:val="clear" w:color="auto" w:fill="D9D9D9" w:themeFill="background1" w:themeFillShade="D9"/>
            <w:tcMar>
              <w:top w:w="0" w:type="dxa"/>
              <w:left w:w="108" w:type="dxa"/>
              <w:bottom w:w="0" w:type="dxa"/>
              <w:right w:w="108" w:type="dxa"/>
            </w:tcMar>
            <w:vAlign w:val="center"/>
            <w:hideMark/>
          </w:tcPr>
          <w:p w:rsidR="00753B8C" w:rsidRPr="004F6FF3" w:rsidRDefault="00753B8C">
            <w:pPr>
              <w:jc w:val="center"/>
              <w:rPr>
                <w:rFonts w:eastAsia="宋体" w:cs="Times New Roman"/>
                <w:sz w:val="18"/>
                <w:szCs w:val="18"/>
              </w:rPr>
            </w:pPr>
            <w:r w:rsidRPr="004F6FF3">
              <w:rPr>
                <w:rFonts w:eastAsia="宋体" w:cs="Times New Roman" w:hint="eastAsia"/>
                <w:sz w:val="18"/>
                <w:szCs w:val="18"/>
              </w:rPr>
              <w:t>项目名称</w:t>
            </w:r>
          </w:p>
        </w:tc>
        <w:tc>
          <w:tcPr>
            <w:tcW w:w="4536" w:type="dxa"/>
            <w:shd w:val="clear" w:color="auto" w:fill="D9D9D9" w:themeFill="background1" w:themeFillShade="D9"/>
            <w:tcMar>
              <w:top w:w="0" w:type="dxa"/>
              <w:left w:w="108" w:type="dxa"/>
              <w:bottom w:w="0" w:type="dxa"/>
              <w:right w:w="108" w:type="dxa"/>
            </w:tcMar>
            <w:vAlign w:val="center"/>
            <w:hideMark/>
          </w:tcPr>
          <w:p w:rsidR="00753B8C" w:rsidRPr="004F6FF3" w:rsidRDefault="00753B8C">
            <w:pPr>
              <w:jc w:val="center"/>
              <w:rPr>
                <w:rFonts w:eastAsia="宋体" w:cs="Times New Roman"/>
                <w:sz w:val="18"/>
                <w:szCs w:val="18"/>
              </w:rPr>
            </w:pPr>
            <w:r w:rsidRPr="004F6FF3">
              <w:rPr>
                <w:rFonts w:eastAsia="宋体" w:cs="Times New Roman" w:hint="eastAsia"/>
                <w:sz w:val="18"/>
                <w:szCs w:val="18"/>
              </w:rPr>
              <w:t>关联方</w:t>
            </w:r>
          </w:p>
        </w:tc>
        <w:tc>
          <w:tcPr>
            <w:tcW w:w="1470" w:type="dxa"/>
            <w:shd w:val="clear" w:color="auto" w:fill="D9D9D9" w:themeFill="background1" w:themeFillShade="D9"/>
            <w:vAlign w:val="center"/>
          </w:tcPr>
          <w:p w:rsidR="00753B8C" w:rsidRPr="004F6FF3" w:rsidRDefault="00B22517">
            <w:pPr>
              <w:jc w:val="center"/>
              <w:rPr>
                <w:rFonts w:eastAsia="宋体" w:cs="Times New Roman"/>
                <w:sz w:val="18"/>
                <w:szCs w:val="18"/>
              </w:rPr>
            </w:pPr>
            <w:r w:rsidRPr="004F6FF3">
              <w:rPr>
                <w:rFonts w:eastAsia="宋体" w:cs="Times New Roman" w:hint="eastAsia"/>
                <w:sz w:val="18"/>
                <w:szCs w:val="18"/>
              </w:rPr>
              <w:t>年末余额</w:t>
            </w:r>
          </w:p>
        </w:tc>
        <w:tc>
          <w:tcPr>
            <w:tcW w:w="1470" w:type="dxa"/>
            <w:shd w:val="clear" w:color="auto" w:fill="D9D9D9" w:themeFill="background1" w:themeFillShade="D9"/>
            <w:tcMar>
              <w:top w:w="0" w:type="dxa"/>
              <w:left w:w="108" w:type="dxa"/>
              <w:bottom w:w="0" w:type="dxa"/>
              <w:right w:w="108" w:type="dxa"/>
            </w:tcMar>
            <w:vAlign w:val="center"/>
          </w:tcPr>
          <w:p w:rsidR="00753B8C" w:rsidRPr="004F6FF3" w:rsidRDefault="00B22517">
            <w:pPr>
              <w:jc w:val="center"/>
              <w:rPr>
                <w:rFonts w:eastAsia="宋体" w:cs="Times New Roman"/>
                <w:sz w:val="18"/>
                <w:szCs w:val="18"/>
              </w:rPr>
            </w:pPr>
            <w:r w:rsidRPr="004F6FF3">
              <w:rPr>
                <w:rFonts w:eastAsia="宋体" w:cs="Times New Roman" w:hint="eastAsia"/>
                <w:sz w:val="18"/>
                <w:szCs w:val="18"/>
              </w:rPr>
              <w:t>年初余额</w:t>
            </w:r>
          </w:p>
        </w:tc>
      </w:tr>
      <w:tr w:rsidR="00AF34CC" w:rsidRPr="004F6FF3" w:rsidTr="0027505B">
        <w:trPr>
          <w:trHeight w:val="20"/>
        </w:trPr>
        <w:tc>
          <w:tcPr>
            <w:tcW w:w="1977" w:type="dxa"/>
            <w:shd w:val="clear" w:color="auto" w:fill="auto"/>
            <w:tcMar>
              <w:top w:w="0" w:type="dxa"/>
              <w:left w:w="108" w:type="dxa"/>
              <w:bottom w:w="0" w:type="dxa"/>
              <w:right w:w="108" w:type="dxa"/>
            </w:tcMar>
            <w:vAlign w:val="center"/>
          </w:tcPr>
          <w:p w:rsidR="00AF34CC" w:rsidRPr="004F6FF3" w:rsidRDefault="00AF34CC" w:rsidP="00AF34CC">
            <w:pPr>
              <w:rPr>
                <w:rFonts w:eastAsia="宋体" w:cs="Times New Roman"/>
                <w:sz w:val="18"/>
                <w:szCs w:val="18"/>
              </w:rPr>
            </w:pPr>
            <w:r w:rsidRPr="004F6FF3">
              <w:rPr>
                <w:rFonts w:eastAsia="宋体" w:cs="Times New Roman" w:hint="eastAsia"/>
                <w:sz w:val="18"/>
                <w:szCs w:val="18"/>
              </w:rPr>
              <w:t>应付账款</w:t>
            </w:r>
          </w:p>
        </w:tc>
        <w:tc>
          <w:tcPr>
            <w:tcW w:w="4536" w:type="dxa"/>
            <w:shd w:val="clear" w:color="auto" w:fill="auto"/>
            <w:tcMar>
              <w:top w:w="0" w:type="dxa"/>
              <w:left w:w="108" w:type="dxa"/>
              <w:bottom w:w="0" w:type="dxa"/>
              <w:right w:w="108" w:type="dxa"/>
            </w:tcMar>
            <w:vAlign w:val="center"/>
          </w:tcPr>
          <w:p w:rsidR="00AF34CC" w:rsidRPr="004F6FF3" w:rsidRDefault="00AF34CC" w:rsidP="00AF34CC">
            <w:pPr>
              <w:jc w:val="center"/>
              <w:rPr>
                <w:rFonts w:eastAsia="宋体" w:cs="Times New Roman"/>
                <w:sz w:val="18"/>
                <w:szCs w:val="18"/>
              </w:rPr>
            </w:pPr>
            <w:proofErr w:type="gramStart"/>
            <w:r w:rsidRPr="004F6FF3">
              <w:rPr>
                <w:rFonts w:eastAsia="宋体" w:cs="Times New Roman" w:hint="eastAsia"/>
                <w:sz w:val="18"/>
                <w:szCs w:val="18"/>
              </w:rPr>
              <w:t>海康威视股份公司</w:t>
            </w:r>
            <w:proofErr w:type="gramEnd"/>
            <w:r w:rsidRPr="004F6FF3">
              <w:rPr>
                <w:rFonts w:eastAsia="宋体" w:cs="Times New Roman" w:hint="eastAsia"/>
                <w:sz w:val="18"/>
                <w:szCs w:val="18"/>
              </w:rPr>
              <w:t>及其下属企业</w:t>
            </w:r>
          </w:p>
        </w:tc>
        <w:tc>
          <w:tcPr>
            <w:tcW w:w="1470" w:type="dxa"/>
            <w:vAlign w:val="center"/>
          </w:tcPr>
          <w:p w:rsidR="00AF34CC" w:rsidRPr="004F6FF3" w:rsidRDefault="00B612BA" w:rsidP="00AF34CC">
            <w:pPr>
              <w:ind w:right="93"/>
              <w:jc w:val="right"/>
              <w:rPr>
                <w:rFonts w:eastAsia="宋体" w:cs="Times New Roman"/>
                <w:color w:val="000000"/>
                <w:sz w:val="18"/>
                <w:szCs w:val="18"/>
              </w:rPr>
            </w:pPr>
            <w:r w:rsidRPr="004F6FF3">
              <w:rPr>
                <w:rFonts w:eastAsia="宋体" w:cs="Times New Roman"/>
                <w:color w:val="000000"/>
                <w:sz w:val="18"/>
                <w:szCs w:val="18"/>
              </w:rPr>
              <w:t>147,557,358.54</w:t>
            </w:r>
          </w:p>
        </w:tc>
        <w:tc>
          <w:tcPr>
            <w:tcW w:w="1470" w:type="dxa"/>
            <w:shd w:val="clear" w:color="auto" w:fill="auto"/>
            <w:tcMar>
              <w:top w:w="0" w:type="dxa"/>
              <w:left w:w="108" w:type="dxa"/>
              <w:bottom w:w="0" w:type="dxa"/>
              <w:right w:w="108" w:type="dxa"/>
            </w:tcMar>
            <w:vAlign w:val="center"/>
          </w:tcPr>
          <w:p w:rsidR="00AF34CC" w:rsidRPr="004F6FF3" w:rsidRDefault="00AF34CC" w:rsidP="00AF34CC">
            <w:pPr>
              <w:jc w:val="right"/>
              <w:rPr>
                <w:rFonts w:eastAsia="宋体" w:cs="Times New Roman"/>
                <w:color w:val="000000"/>
                <w:sz w:val="18"/>
                <w:szCs w:val="18"/>
              </w:rPr>
            </w:pPr>
            <w:r w:rsidRPr="004F6FF3">
              <w:rPr>
                <w:rFonts w:eastAsia="宋体" w:cs="Times New Roman"/>
                <w:color w:val="000000"/>
                <w:sz w:val="18"/>
                <w:szCs w:val="18"/>
              </w:rPr>
              <w:t>59,808,527.54</w:t>
            </w:r>
          </w:p>
        </w:tc>
      </w:tr>
      <w:tr w:rsidR="00AF34CC" w:rsidRPr="004F6FF3" w:rsidTr="0027505B">
        <w:trPr>
          <w:trHeight w:val="20"/>
        </w:trPr>
        <w:tc>
          <w:tcPr>
            <w:tcW w:w="1977" w:type="dxa"/>
            <w:shd w:val="clear" w:color="auto" w:fill="auto"/>
            <w:tcMar>
              <w:top w:w="0" w:type="dxa"/>
              <w:left w:w="108" w:type="dxa"/>
              <w:bottom w:w="0" w:type="dxa"/>
              <w:right w:w="108" w:type="dxa"/>
            </w:tcMar>
            <w:vAlign w:val="center"/>
          </w:tcPr>
          <w:p w:rsidR="00AF34CC" w:rsidRPr="004F6FF3" w:rsidRDefault="00AF34CC" w:rsidP="00AF34CC">
            <w:pPr>
              <w:rPr>
                <w:rFonts w:eastAsia="宋体" w:cs="Times New Roman"/>
                <w:sz w:val="18"/>
                <w:szCs w:val="18"/>
              </w:rPr>
            </w:pPr>
            <w:r w:rsidRPr="004F6FF3">
              <w:rPr>
                <w:rFonts w:eastAsia="宋体" w:cs="Times New Roman" w:hint="eastAsia"/>
                <w:sz w:val="18"/>
                <w:szCs w:val="18"/>
              </w:rPr>
              <w:t>应付账款</w:t>
            </w:r>
          </w:p>
        </w:tc>
        <w:tc>
          <w:tcPr>
            <w:tcW w:w="4536" w:type="dxa"/>
            <w:shd w:val="clear" w:color="auto" w:fill="auto"/>
            <w:tcMar>
              <w:top w:w="0" w:type="dxa"/>
              <w:left w:w="108" w:type="dxa"/>
              <w:bottom w:w="0" w:type="dxa"/>
              <w:right w:w="108" w:type="dxa"/>
            </w:tcMar>
            <w:vAlign w:val="center"/>
          </w:tcPr>
          <w:p w:rsidR="00AF34CC" w:rsidRPr="004F6FF3" w:rsidRDefault="0027505B" w:rsidP="00AF34CC">
            <w:pPr>
              <w:jc w:val="center"/>
              <w:rPr>
                <w:rFonts w:eastAsia="宋体" w:cs="Times New Roman"/>
                <w:sz w:val="18"/>
                <w:szCs w:val="18"/>
              </w:rPr>
            </w:pPr>
            <w:r>
              <w:rPr>
                <w:rFonts w:eastAsia="宋体" w:cs="Times New Roman" w:hint="eastAsia"/>
                <w:sz w:val="18"/>
                <w:szCs w:val="18"/>
              </w:rPr>
              <w:t>其他关联企业</w:t>
            </w:r>
          </w:p>
        </w:tc>
        <w:tc>
          <w:tcPr>
            <w:tcW w:w="1470" w:type="dxa"/>
            <w:vAlign w:val="center"/>
          </w:tcPr>
          <w:p w:rsidR="00AF34CC" w:rsidRPr="004F6FF3" w:rsidRDefault="0023159C" w:rsidP="00AF34CC">
            <w:pPr>
              <w:ind w:right="93"/>
              <w:jc w:val="right"/>
              <w:rPr>
                <w:rFonts w:eastAsia="宋体" w:cs="Times New Roman"/>
                <w:color w:val="000000"/>
                <w:sz w:val="18"/>
                <w:szCs w:val="18"/>
              </w:rPr>
            </w:pPr>
            <w:r w:rsidRPr="004F6FF3">
              <w:rPr>
                <w:rFonts w:eastAsia="宋体" w:cs="Times New Roman"/>
                <w:color w:val="000000"/>
                <w:sz w:val="18"/>
                <w:szCs w:val="18"/>
              </w:rPr>
              <w:t>78,885,484.33</w:t>
            </w:r>
          </w:p>
        </w:tc>
        <w:tc>
          <w:tcPr>
            <w:tcW w:w="1470" w:type="dxa"/>
            <w:shd w:val="clear" w:color="auto" w:fill="auto"/>
            <w:tcMar>
              <w:top w:w="0" w:type="dxa"/>
              <w:left w:w="108" w:type="dxa"/>
              <w:bottom w:w="0" w:type="dxa"/>
              <w:right w:w="108" w:type="dxa"/>
            </w:tcMar>
            <w:vAlign w:val="center"/>
          </w:tcPr>
          <w:p w:rsidR="00AF34CC" w:rsidRPr="004F6FF3" w:rsidRDefault="00AF34CC" w:rsidP="00AF34CC">
            <w:pPr>
              <w:jc w:val="right"/>
              <w:rPr>
                <w:rFonts w:eastAsia="宋体" w:cs="Times New Roman"/>
                <w:color w:val="000000"/>
                <w:sz w:val="18"/>
                <w:szCs w:val="18"/>
              </w:rPr>
            </w:pPr>
            <w:r w:rsidRPr="004F6FF3">
              <w:rPr>
                <w:rFonts w:eastAsia="宋体" w:cs="Times New Roman"/>
                <w:color w:val="000000"/>
                <w:sz w:val="18"/>
                <w:szCs w:val="18"/>
              </w:rPr>
              <w:t>45,025,964.85</w:t>
            </w:r>
          </w:p>
        </w:tc>
      </w:tr>
      <w:tr w:rsidR="00AF34CC" w:rsidRPr="004F6FF3" w:rsidTr="0027505B">
        <w:trPr>
          <w:trHeight w:val="20"/>
        </w:trPr>
        <w:tc>
          <w:tcPr>
            <w:tcW w:w="1977" w:type="dxa"/>
            <w:shd w:val="clear" w:color="auto" w:fill="auto"/>
            <w:tcMar>
              <w:top w:w="0" w:type="dxa"/>
              <w:left w:w="108" w:type="dxa"/>
              <w:bottom w:w="0" w:type="dxa"/>
              <w:right w:w="108" w:type="dxa"/>
            </w:tcMar>
            <w:vAlign w:val="center"/>
          </w:tcPr>
          <w:p w:rsidR="00AF34CC" w:rsidRPr="004F6FF3" w:rsidRDefault="00AF34CC" w:rsidP="00AF34CC">
            <w:pPr>
              <w:rPr>
                <w:rFonts w:eastAsia="宋体" w:cs="Times New Roman"/>
                <w:sz w:val="18"/>
                <w:szCs w:val="18"/>
              </w:rPr>
            </w:pPr>
            <w:r w:rsidRPr="004F6FF3">
              <w:rPr>
                <w:rFonts w:eastAsia="宋体" w:cs="Times New Roman" w:hint="eastAsia"/>
                <w:sz w:val="18"/>
                <w:szCs w:val="18"/>
              </w:rPr>
              <w:t>应付账款</w:t>
            </w:r>
          </w:p>
        </w:tc>
        <w:tc>
          <w:tcPr>
            <w:tcW w:w="4536" w:type="dxa"/>
            <w:shd w:val="clear" w:color="auto" w:fill="auto"/>
            <w:tcMar>
              <w:top w:w="0" w:type="dxa"/>
              <w:left w:w="108" w:type="dxa"/>
              <w:bottom w:w="0" w:type="dxa"/>
              <w:right w:w="108" w:type="dxa"/>
            </w:tcMar>
            <w:vAlign w:val="center"/>
          </w:tcPr>
          <w:p w:rsidR="00AF34CC" w:rsidRPr="004F6FF3" w:rsidRDefault="00AF34CC" w:rsidP="00AF34CC">
            <w:pPr>
              <w:jc w:val="center"/>
              <w:rPr>
                <w:rFonts w:eastAsia="宋体" w:cs="Times New Roman"/>
                <w:sz w:val="18"/>
                <w:szCs w:val="18"/>
              </w:rPr>
            </w:pPr>
            <w:r w:rsidRPr="004F6FF3">
              <w:rPr>
                <w:rFonts w:eastAsia="宋体" w:cs="Times New Roman" w:hint="eastAsia"/>
                <w:sz w:val="18"/>
                <w:szCs w:val="18"/>
              </w:rPr>
              <w:t>中电下属企业</w:t>
            </w:r>
          </w:p>
        </w:tc>
        <w:tc>
          <w:tcPr>
            <w:tcW w:w="1470" w:type="dxa"/>
            <w:vAlign w:val="center"/>
          </w:tcPr>
          <w:p w:rsidR="00AF34CC" w:rsidRPr="004F6FF3" w:rsidRDefault="00B612BA" w:rsidP="00AF34CC">
            <w:pPr>
              <w:ind w:right="93"/>
              <w:jc w:val="right"/>
              <w:rPr>
                <w:rFonts w:eastAsia="宋体" w:cs="Times New Roman"/>
                <w:color w:val="000000"/>
                <w:sz w:val="18"/>
                <w:szCs w:val="18"/>
              </w:rPr>
            </w:pPr>
            <w:r w:rsidRPr="004F6FF3">
              <w:rPr>
                <w:rFonts w:eastAsia="宋体" w:cs="Times New Roman"/>
                <w:color w:val="000000"/>
                <w:sz w:val="18"/>
                <w:szCs w:val="18"/>
              </w:rPr>
              <w:t>15,990,658.65</w:t>
            </w:r>
          </w:p>
        </w:tc>
        <w:tc>
          <w:tcPr>
            <w:tcW w:w="1470" w:type="dxa"/>
            <w:shd w:val="clear" w:color="auto" w:fill="auto"/>
            <w:tcMar>
              <w:top w:w="0" w:type="dxa"/>
              <w:left w:w="108" w:type="dxa"/>
              <w:bottom w:w="0" w:type="dxa"/>
              <w:right w:w="108" w:type="dxa"/>
            </w:tcMar>
            <w:vAlign w:val="center"/>
          </w:tcPr>
          <w:p w:rsidR="00AF34CC" w:rsidRPr="004F6FF3" w:rsidRDefault="00AF34CC" w:rsidP="00AF34CC">
            <w:pPr>
              <w:jc w:val="right"/>
              <w:rPr>
                <w:rFonts w:eastAsia="宋体" w:cs="Times New Roman"/>
                <w:color w:val="000000"/>
                <w:sz w:val="18"/>
                <w:szCs w:val="18"/>
              </w:rPr>
            </w:pPr>
            <w:r w:rsidRPr="004F6FF3">
              <w:rPr>
                <w:rFonts w:eastAsia="宋体" w:cs="Times New Roman"/>
                <w:color w:val="000000"/>
                <w:sz w:val="18"/>
                <w:szCs w:val="18"/>
              </w:rPr>
              <w:t>16,367,394.69</w:t>
            </w:r>
          </w:p>
        </w:tc>
      </w:tr>
      <w:tr w:rsidR="00AF34CC" w:rsidRPr="004F6FF3" w:rsidTr="0027505B">
        <w:trPr>
          <w:trHeight w:val="20"/>
        </w:trPr>
        <w:tc>
          <w:tcPr>
            <w:tcW w:w="1977" w:type="dxa"/>
            <w:shd w:val="clear" w:color="auto" w:fill="D9D9D9" w:themeFill="background1" w:themeFillShade="D9"/>
            <w:tcMar>
              <w:top w:w="0" w:type="dxa"/>
              <w:left w:w="108" w:type="dxa"/>
              <w:bottom w:w="0" w:type="dxa"/>
              <w:right w:w="108" w:type="dxa"/>
            </w:tcMar>
            <w:vAlign w:val="center"/>
          </w:tcPr>
          <w:p w:rsidR="00AF34CC" w:rsidRPr="004F6FF3" w:rsidRDefault="00AF34CC" w:rsidP="00AF34CC">
            <w:pPr>
              <w:rPr>
                <w:rFonts w:eastAsia="宋体" w:cs="Times New Roman"/>
                <w:sz w:val="18"/>
                <w:szCs w:val="18"/>
              </w:rPr>
            </w:pPr>
            <w:r w:rsidRPr="004F6FF3">
              <w:rPr>
                <w:rFonts w:eastAsia="宋体" w:cs="Times New Roman" w:hint="eastAsia"/>
                <w:sz w:val="18"/>
                <w:szCs w:val="18"/>
              </w:rPr>
              <w:t>合计</w:t>
            </w:r>
          </w:p>
        </w:tc>
        <w:tc>
          <w:tcPr>
            <w:tcW w:w="4536" w:type="dxa"/>
            <w:shd w:val="clear" w:color="auto" w:fill="FFFFFF" w:themeFill="background1"/>
            <w:tcMar>
              <w:top w:w="0" w:type="dxa"/>
              <w:left w:w="108" w:type="dxa"/>
              <w:bottom w:w="0" w:type="dxa"/>
              <w:right w:w="108" w:type="dxa"/>
            </w:tcMar>
            <w:vAlign w:val="center"/>
          </w:tcPr>
          <w:p w:rsidR="00AF34CC" w:rsidRPr="004F6FF3" w:rsidRDefault="00AF34CC" w:rsidP="00AF34CC">
            <w:pPr>
              <w:jc w:val="center"/>
              <w:rPr>
                <w:rFonts w:eastAsia="宋体" w:cs="Times New Roman"/>
                <w:sz w:val="18"/>
                <w:szCs w:val="18"/>
              </w:rPr>
            </w:pPr>
          </w:p>
        </w:tc>
        <w:tc>
          <w:tcPr>
            <w:tcW w:w="1470" w:type="dxa"/>
            <w:shd w:val="clear" w:color="auto" w:fill="FFFFFF" w:themeFill="background1"/>
            <w:vAlign w:val="center"/>
          </w:tcPr>
          <w:p w:rsidR="00AF34CC" w:rsidRPr="004F6FF3" w:rsidRDefault="0023159C" w:rsidP="00AF34CC">
            <w:pPr>
              <w:ind w:right="93"/>
              <w:jc w:val="right"/>
              <w:rPr>
                <w:rFonts w:eastAsia="宋体" w:cs="Times New Roman"/>
                <w:color w:val="000000"/>
                <w:sz w:val="18"/>
                <w:szCs w:val="18"/>
              </w:rPr>
            </w:pPr>
            <w:r w:rsidRPr="004F6FF3">
              <w:rPr>
                <w:rFonts w:eastAsia="宋体" w:cs="Times New Roman"/>
                <w:color w:val="000000"/>
                <w:sz w:val="18"/>
                <w:szCs w:val="18"/>
              </w:rPr>
              <w:t>242,433,501.52</w:t>
            </w:r>
          </w:p>
        </w:tc>
        <w:tc>
          <w:tcPr>
            <w:tcW w:w="1470" w:type="dxa"/>
            <w:shd w:val="clear" w:color="auto" w:fill="FFFFFF" w:themeFill="background1"/>
            <w:tcMar>
              <w:top w:w="0" w:type="dxa"/>
              <w:left w:w="108" w:type="dxa"/>
              <w:bottom w:w="0" w:type="dxa"/>
              <w:right w:w="108" w:type="dxa"/>
            </w:tcMar>
            <w:vAlign w:val="center"/>
          </w:tcPr>
          <w:p w:rsidR="00AF34CC" w:rsidRPr="004F6FF3" w:rsidRDefault="00AF34CC" w:rsidP="00AF34CC">
            <w:pPr>
              <w:jc w:val="right"/>
              <w:rPr>
                <w:rFonts w:eastAsia="宋体" w:cs="Times New Roman"/>
                <w:color w:val="000000"/>
                <w:sz w:val="18"/>
                <w:szCs w:val="18"/>
              </w:rPr>
            </w:pPr>
            <w:r w:rsidRPr="004F6FF3">
              <w:rPr>
                <w:rFonts w:eastAsia="宋体" w:cs="Times New Roman"/>
                <w:color w:val="000000"/>
                <w:sz w:val="18"/>
                <w:szCs w:val="18"/>
              </w:rPr>
              <w:t>121,201,887.08</w:t>
            </w:r>
          </w:p>
        </w:tc>
      </w:tr>
      <w:tr w:rsidR="00AF34CC" w:rsidRPr="004F6FF3" w:rsidTr="0027505B">
        <w:trPr>
          <w:trHeight w:val="20"/>
        </w:trPr>
        <w:tc>
          <w:tcPr>
            <w:tcW w:w="1977" w:type="dxa"/>
            <w:shd w:val="clear" w:color="auto" w:fill="auto"/>
            <w:tcMar>
              <w:top w:w="0" w:type="dxa"/>
              <w:left w:w="108" w:type="dxa"/>
              <w:bottom w:w="0" w:type="dxa"/>
              <w:right w:w="108" w:type="dxa"/>
            </w:tcMar>
            <w:vAlign w:val="center"/>
          </w:tcPr>
          <w:p w:rsidR="00AF34CC" w:rsidRPr="004F6FF3" w:rsidRDefault="00AF34CC" w:rsidP="00AF34CC">
            <w:pPr>
              <w:rPr>
                <w:rFonts w:eastAsia="宋体" w:cs="Times New Roman"/>
                <w:sz w:val="18"/>
                <w:szCs w:val="18"/>
              </w:rPr>
            </w:pPr>
            <w:r w:rsidRPr="004F6FF3">
              <w:rPr>
                <w:rFonts w:eastAsia="宋体" w:cs="Times New Roman" w:hint="eastAsia"/>
                <w:sz w:val="18"/>
                <w:szCs w:val="18"/>
              </w:rPr>
              <w:t>租赁负债</w:t>
            </w:r>
            <w:r w:rsidR="005F14EE" w:rsidRPr="004F6FF3">
              <w:rPr>
                <w:rFonts w:eastAsia="宋体" w:cs="Times New Roman"/>
                <w:sz w:val="18"/>
                <w:szCs w:val="18"/>
              </w:rPr>
              <w:t>(</w:t>
            </w:r>
            <w:r w:rsidRPr="004F6FF3">
              <w:rPr>
                <w:rFonts w:eastAsia="宋体" w:cs="Times New Roman" w:hint="eastAsia"/>
                <w:sz w:val="18"/>
                <w:szCs w:val="18"/>
              </w:rPr>
              <w:t>含一年以内</w:t>
            </w:r>
            <w:r w:rsidR="005F14EE" w:rsidRPr="004F6FF3">
              <w:rPr>
                <w:rFonts w:eastAsia="宋体" w:cs="Times New Roman"/>
                <w:sz w:val="18"/>
                <w:szCs w:val="18"/>
              </w:rPr>
              <w:t>)</w:t>
            </w:r>
          </w:p>
        </w:tc>
        <w:tc>
          <w:tcPr>
            <w:tcW w:w="4536" w:type="dxa"/>
            <w:shd w:val="clear" w:color="auto" w:fill="auto"/>
            <w:tcMar>
              <w:top w:w="0" w:type="dxa"/>
              <w:left w:w="108" w:type="dxa"/>
              <w:bottom w:w="0" w:type="dxa"/>
              <w:right w:w="108" w:type="dxa"/>
            </w:tcMar>
            <w:vAlign w:val="center"/>
          </w:tcPr>
          <w:p w:rsidR="00AF34CC" w:rsidRPr="004F6FF3" w:rsidRDefault="00AF34CC" w:rsidP="00AF34CC">
            <w:pPr>
              <w:jc w:val="center"/>
              <w:rPr>
                <w:rFonts w:eastAsia="宋体" w:cs="Times New Roman"/>
                <w:sz w:val="18"/>
                <w:szCs w:val="18"/>
              </w:rPr>
            </w:pPr>
            <w:proofErr w:type="gramStart"/>
            <w:r w:rsidRPr="004F6FF3">
              <w:rPr>
                <w:rFonts w:eastAsia="宋体" w:cs="Times New Roman" w:hint="eastAsia"/>
                <w:sz w:val="18"/>
                <w:szCs w:val="18"/>
              </w:rPr>
              <w:t>海康威视股份公司</w:t>
            </w:r>
            <w:proofErr w:type="gramEnd"/>
            <w:r w:rsidRPr="004F6FF3">
              <w:rPr>
                <w:rFonts w:eastAsia="宋体" w:cs="Times New Roman" w:hint="eastAsia"/>
                <w:sz w:val="18"/>
                <w:szCs w:val="18"/>
              </w:rPr>
              <w:t>及其下属企业</w:t>
            </w:r>
          </w:p>
        </w:tc>
        <w:tc>
          <w:tcPr>
            <w:tcW w:w="1470" w:type="dxa"/>
            <w:vAlign w:val="center"/>
          </w:tcPr>
          <w:p w:rsidR="00AF34CC" w:rsidRPr="004F6FF3" w:rsidRDefault="00B612BA" w:rsidP="00AF34CC">
            <w:pPr>
              <w:ind w:right="93"/>
              <w:jc w:val="right"/>
              <w:rPr>
                <w:rFonts w:eastAsia="宋体" w:cs="Times New Roman"/>
                <w:color w:val="000000"/>
                <w:sz w:val="18"/>
                <w:szCs w:val="18"/>
              </w:rPr>
            </w:pPr>
            <w:r w:rsidRPr="004F6FF3">
              <w:rPr>
                <w:rFonts w:eastAsia="宋体" w:cs="Times New Roman"/>
                <w:color w:val="000000"/>
                <w:sz w:val="18"/>
                <w:szCs w:val="18"/>
              </w:rPr>
              <w:t>38,876,645.99</w:t>
            </w:r>
          </w:p>
        </w:tc>
        <w:tc>
          <w:tcPr>
            <w:tcW w:w="1470" w:type="dxa"/>
            <w:shd w:val="clear" w:color="auto" w:fill="auto"/>
            <w:tcMar>
              <w:top w:w="0" w:type="dxa"/>
              <w:left w:w="108" w:type="dxa"/>
              <w:bottom w:w="0" w:type="dxa"/>
              <w:right w:w="108" w:type="dxa"/>
            </w:tcMar>
            <w:vAlign w:val="center"/>
          </w:tcPr>
          <w:p w:rsidR="00AF34CC" w:rsidRPr="004F6FF3" w:rsidRDefault="00AF34CC" w:rsidP="00AF34CC">
            <w:pPr>
              <w:jc w:val="right"/>
              <w:rPr>
                <w:rFonts w:eastAsia="宋体" w:cs="Times New Roman"/>
                <w:color w:val="000000"/>
                <w:sz w:val="18"/>
                <w:szCs w:val="18"/>
              </w:rPr>
            </w:pPr>
            <w:r w:rsidRPr="004F6FF3">
              <w:rPr>
                <w:rFonts w:eastAsia="宋体" w:cs="Times New Roman"/>
                <w:color w:val="000000"/>
                <w:sz w:val="18"/>
                <w:szCs w:val="18"/>
              </w:rPr>
              <w:t>68,558,995.79</w:t>
            </w:r>
          </w:p>
        </w:tc>
      </w:tr>
      <w:tr w:rsidR="00AF34CC" w:rsidRPr="004F6FF3" w:rsidTr="0027505B">
        <w:trPr>
          <w:trHeight w:val="20"/>
        </w:trPr>
        <w:tc>
          <w:tcPr>
            <w:tcW w:w="1977" w:type="dxa"/>
            <w:shd w:val="clear" w:color="auto" w:fill="D9D9D9" w:themeFill="background1" w:themeFillShade="D9"/>
            <w:tcMar>
              <w:top w:w="0" w:type="dxa"/>
              <w:left w:w="108" w:type="dxa"/>
              <w:bottom w:w="0" w:type="dxa"/>
              <w:right w:w="108" w:type="dxa"/>
            </w:tcMar>
            <w:vAlign w:val="center"/>
          </w:tcPr>
          <w:p w:rsidR="00AF34CC" w:rsidRPr="004F6FF3" w:rsidRDefault="00AF34CC" w:rsidP="00AF34CC">
            <w:pPr>
              <w:rPr>
                <w:rFonts w:eastAsia="宋体" w:cs="Times New Roman"/>
                <w:sz w:val="18"/>
                <w:szCs w:val="18"/>
              </w:rPr>
            </w:pPr>
            <w:r w:rsidRPr="004F6FF3">
              <w:rPr>
                <w:rFonts w:eastAsia="宋体" w:cs="Times New Roman" w:hint="eastAsia"/>
                <w:sz w:val="18"/>
                <w:szCs w:val="18"/>
              </w:rPr>
              <w:t>合计</w:t>
            </w:r>
          </w:p>
        </w:tc>
        <w:tc>
          <w:tcPr>
            <w:tcW w:w="4536" w:type="dxa"/>
            <w:shd w:val="clear" w:color="auto" w:fill="FFFFFF" w:themeFill="background1"/>
            <w:tcMar>
              <w:top w:w="0" w:type="dxa"/>
              <w:left w:w="108" w:type="dxa"/>
              <w:bottom w:w="0" w:type="dxa"/>
              <w:right w:w="108" w:type="dxa"/>
            </w:tcMar>
            <w:vAlign w:val="center"/>
          </w:tcPr>
          <w:p w:rsidR="00AF34CC" w:rsidRPr="004F6FF3" w:rsidRDefault="00AF34CC" w:rsidP="00AF34CC">
            <w:pPr>
              <w:jc w:val="center"/>
              <w:rPr>
                <w:rFonts w:eastAsia="宋体" w:cs="Times New Roman"/>
                <w:sz w:val="18"/>
                <w:szCs w:val="18"/>
              </w:rPr>
            </w:pPr>
          </w:p>
        </w:tc>
        <w:tc>
          <w:tcPr>
            <w:tcW w:w="1470" w:type="dxa"/>
            <w:shd w:val="clear" w:color="auto" w:fill="FFFFFF" w:themeFill="background1"/>
            <w:vAlign w:val="center"/>
          </w:tcPr>
          <w:p w:rsidR="00AF34CC" w:rsidRPr="004F6FF3" w:rsidRDefault="004C4CCF" w:rsidP="00AF34CC">
            <w:pPr>
              <w:ind w:right="93"/>
              <w:jc w:val="right"/>
              <w:rPr>
                <w:rFonts w:eastAsia="宋体" w:cs="Times New Roman"/>
                <w:color w:val="000000"/>
                <w:sz w:val="18"/>
                <w:szCs w:val="18"/>
              </w:rPr>
            </w:pPr>
            <w:r w:rsidRPr="004F6FF3">
              <w:rPr>
                <w:rFonts w:eastAsia="宋体" w:cs="Times New Roman"/>
                <w:color w:val="000000"/>
                <w:sz w:val="18"/>
                <w:szCs w:val="18"/>
              </w:rPr>
              <w:t>38,876,645.99</w:t>
            </w:r>
          </w:p>
        </w:tc>
        <w:tc>
          <w:tcPr>
            <w:tcW w:w="1470" w:type="dxa"/>
            <w:shd w:val="clear" w:color="auto" w:fill="FFFFFF" w:themeFill="background1"/>
            <w:tcMar>
              <w:top w:w="0" w:type="dxa"/>
              <w:left w:w="108" w:type="dxa"/>
              <w:bottom w:w="0" w:type="dxa"/>
              <w:right w:w="108" w:type="dxa"/>
            </w:tcMar>
            <w:vAlign w:val="center"/>
          </w:tcPr>
          <w:p w:rsidR="00AF34CC" w:rsidRPr="004F6FF3" w:rsidRDefault="00AF34CC" w:rsidP="00AF34CC">
            <w:pPr>
              <w:jc w:val="right"/>
              <w:rPr>
                <w:rFonts w:eastAsia="宋体" w:cs="Times New Roman"/>
                <w:color w:val="000000"/>
                <w:sz w:val="18"/>
                <w:szCs w:val="18"/>
              </w:rPr>
            </w:pPr>
            <w:r w:rsidRPr="004F6FF3">
              <w:rPr>
                <w:rFonts w:eastAsia="宋体" w:cs="Times New Roman"/>
                <w:color w:val="000000"/>
                <w:sz w:val="18"/>
                <w:szCs w:val="18"/>
              </w:rPr>
              <w:t>68,558,995.79</w:t>
            </w:r>
          </w:p>
        </w:tc>
      </w:tr>
      <w:tr w:rsidR="00AF34CC" w:rsidRPr="004F6FF3" w:rsidTr="0027505B">
        <w:trPr>
          <w:trHeight w:val="20"/>
        </w:trPr>
        <w:tc>
          <w:tcPr>
            <w:tcW w:w="1977" w:type="dxa"/>
            <w:shd w:val="clear" w:color="auto" w:fill="auto"/>
            <w:tcMar>
              <w:top w:w="0" w:type="dxa"/>
              <w:left w:w="108" w:type="dxa"/>
              <w:bottom w:w="0" w:type="dxa"/>
              <w:right w:w="108" w:type="dxa"/>
            </w:tcMar>
            <w:vAlign w:val="center"/>
          </w:tcPr>
          <w:p w:rsidR="00AF34CC" w:rsidRPr="004F6FF3" w:rsidRDefault="00AF34CC" w:rsidP="00AF34CC">
            <w:pPr>
              <w:rPr>
                <w:rFonts w:eastAsia="宋体" w:cs="Times New Roman"/>
                <w:sz w:val="18"/>
                <w:szCs w:val="18"/>
              </w:rPr>
            </w:pPr>
            <w:r w:rsidRPr="004F6FF3">
              <w:rPr>
                <w:rFonts w:eastAsia="宋体" w:cs="Times New Roman" w:hint="eastAsia"/>
                <w:sz w:val="18"/>
                <w:szCs w:val="18"/>
              </w:rPr>
              <w:t>应付票据</w:t>
            </w:r>
          </w:p>
        </w:tc>
        <w:tc>
          <w:tcPr>
            <w:tcW w:w="4536" w:type="dxa"/>
            <w:shd w:val="clear" w:color="auto" w:fill="auto"/>
            <w:tcMar>
              <w:top w:w="0" w:type="dxa"/>
              <w:left w:w="108" w:type="dxa"/>
              <w:bottom w:w="0" w:type="dxa"/>
              <w:right w:w="108" w:type="dxa"/>
            </w:tcMar>
            <w:vAlign w:val="center"/>
          </w:tcPr>
          <w:p w:rsidR="00AF34CC" w:rsidRPr="004F6FF3" w:rsidRDefault="0027505B" w:rsidP="00AF34CC">
            <w:pPr>
              <w:jc w:val="center"/>
              <w:rPr>
                <w:rFonts w:eastAsia="宋体" w:cs="Times New Roman"/>
                <w:sz w:val="18"/>
                <w:szCs w:val="18"/>
              </w:rPr>
            </w:pPr>
            <w:r>
              <w:rPr>
                <w:rFonts w:eastAsia="宋体" w:cs="Times New Roman" w:hint="eastAsia"/>
                <w:sz w:val="18"/>
                <w:szCs w:val="18"/>
              </w:rPr>
              <w:t>其他关联企业</w:t>
            </w:r>
          </w:p>
        </w:tc>
        <w:tc>
          <w:tcPr>
            <w:tcW w:w="1470" w:type="dxa"/>
            <w:vAlign w:val="center"/>
          </w:tcPr>
          <w:p w:rsidR="00AF34CC" w:rsidRPr="004F6FF3" w:rsidRDefault="0027505B" w:rsidP="00AF34CC">
            <w:pPr>
              <w:ind w:right="93"/>
              <w:jc w:val="right"/>
              <w:rPr>
                <w:rFonts w:eastAsia="宋体" w:cs="Times New Roman"/>
                <w:color w:val="000000"/>
                <w:sz w:val="18"/>
                <w:szCs w:val="18"/>
              </w:rPr>
            </w:pPr>
            <w:r w:rsidRPr="000E742B">
              <w:rPr>
                <w:rFonts w:eastAsia="宋体" w:cs="Times New Roman"/>
                <w:color w:val="000000"/>
                <w:sz w:val="18"/>
                <w:szCs w:val="18"/>
              </w:rPr>
              <w:t>3,848,421.38</w:t>
            </w:r>
          </w:p>
        </w:tc>
        <w:tc>
          <w:tcPr>
            <w:tcW w:w="1470" w:type="dxa"/>
            <w:shd w:val="clear" w:color="auto" w:fill="auto"/>
            <w:tcMar>
              <w:top w:w="0" w:type="dxa"/>
              <w:left w:w="108" w:type="dxa"/>
              <w:bottom w:w="0" w:type="dxa"/>
              <w:right w:w="108" w:type="dxa"/>
            </w:tcMar>
            <w:vAlign w:val="center"/>
          </w:tcPr>
          <w:p w:rsidR="00AF34CC" w:rsidRPr="004F6FF3" w:rsidRDefault="00AF34CC" w:rsidP="00AF34CC">
            <w:pPr>
              <w:jc w:val="right"/>
              <w:rPr>
                <w:rFonts w:eastAsia="宋体" w:cs="Times New Roman"/>
                <w:color w:val="000000"/>
                <w:sz w:val="18"/>
                <w:szCs w:val="18"/>
              </w:rPr>
            </w:pPr>
            <w:r w:rsidRPr="004F6FF3">
              <w:rPr>
                <w:rFonts w:eastAsia="宋体" w:cs="Times New Roman"/>
                <w:color w:val="000000"/>
                <w:sz w:val="18"/>
                <w:szCs w:val="18"/>
              </w:rPr>
              <w:t>14,378,188.78</w:t>
            </w:r>
          </w:p>
        </w:tc>
      </w:tr>
      <w:tr w:rsidR="00AF34CC" w:rsidRPr="004F6FF3" w:rsidTr="0027505B">
        <w:trPr>
          <w:trHeight w:val="20"/>
        </w:trPr>
        <w:tc>
          <w:tcPr>
            <w:tcW w:w="1977" w:type="dxa"/>
            <w:shd w:val="clear" w:color="auto" w:fill="auto"/>
            <w:tcMar>
              <w:top w:w="0" w:type="dxa"/>
              <w:left w:w="108" w:type="dxa"/>
              <w:bottom w:w="0" w:type="dxa"/>
              <w:right w:w="108" w:type="dxa"/>
            </w:tcMar>
            <w:vAlign w:val="center"/>
          </w:tcPr>
          <w:p w:rsidR="00AF34CC" w:rsidRPr="004F6FF3" w:rsidRDefault="00AF34CC" w:rsidP="00AF34CC">
            <w:pPr>
              <w:rPr>
                <w:rFonts w:eastAsia="宋体" w:cs="Times New Roman"/>
                <w:sz w:val="18"/>
                <w:szCs w:val="18"/>
              </w:rPr>
            </w:pPr>
            <w:r w:rsidRPr="004F6FF3">
              <w:rPr>
                <w:rFonts w:eastAsia="宋体" w:cs="Times New Roman" w:hint="eastAsia"/>
                <w:sz w:val="18"/>
                <w:szCs w:val="18"/>
              </w:rPr>
              <w:t>应付票据</w:t>
            </w:r>
          </w:p>
        </w:tc>
        <w:tc>
          <w:tcPr>
            <w:tcW w:w="4536" w:type="dxa"/>
            <w:shd w:val="clear" w:color="auto" w:fill="auto"/>
            <w:tcMar>
              <w:top w:w="0" w:type="dxa"/>
              <w:left w:w="108" w:type="dxa"/>
              <w:bottom w:w="0" w:type="dxa"/>
              <w:right w:w="108" w:type="dxa"/>
            </w:tcMar>
            <w:vAlign w:val="center"/>
          </w:tcPr>
          <w:p w:rsidR="00AF34CC" w:rsidRPr="004F6FF3" w:rsidRDefault="00AF34CC" w:rsidP="00AF34CC">
            <w:pPr>
              <w:jc w:val="center"/>
              <w:rPr>
                <w:rFonts w:eastAsia="宋体" w:cs="Times New Roman"/>
                <w:sz w:val="18"/>
                <w:szCs w:val="18"/>
              </w:rPr>
            </w:pPr>
            <w:r w:rsidRPr="004F6FF3">
              <w:rPr>
                <w:rFonts w:eastAsia="宋体" w:cs="Times New Roman" w:hint="eastAsia"/>
                <w:sz w:val="18"/>
                <w:szCs w:val="18"/>
              </w:rPr>
              <w:t>中电下属企业</w:t>
            </w:r>
          </w:p>
        </w:tc>
        <w:tc>
          <w:tcPr>
            <w:tcW w:w="1470" w:type="dxa"/>
            <w:vAlign w:val="center"/>
          </w:tcPr>
          <w:p w:rsidR="00AF34CC" w:rsidRPr="004F6FF3" w:rsidRDefault="00B612BA" w:rsidP="00AF34CC">
            <w:pPr>
              <w:ind w:right="93"/>
              <w:jc w:val="right"/>
              <w:rPr>
                <w:rFonts w:eastAsia="宋体" w:cs="Times New Roman"/>
                <w:color w:val="000000"/>
                <w:sz w:val="18"/>
                <w:szCs w:val="18"/>
              </w:rPr>
            </w:pPr>
            <w:r w:rsidRPr="004F6FF3">
              <w:rPr>
                <w:rFonts w:eastAsia="宋体" w:cs="Times New Roman"/>
                <w:color w:val="000000"/>
                <w:sz w:val="18"/>
                <w:szCs w:val="18"/>
              </w:rPr>
              <w:t>581,043.24</w:t>
            </w:r>
          </w:p>
        </w:tc>
        <w:tc>
          <w:tcPr>
            <w:tcW w:w="1470" w:type="dxa"/>
            <w:shd w:val="clear" w:color="auto" w:fill="auto"/>
            <w:tcMar>
              <w:top w:w="0" w:type="dxa"/>
              <w:left w:w="108" w:type="dxa"/>
              <w:bottom w:w="0" w:type="dxa"/>
              <w:right w:w="108" w:type="dxa"/>
            </w:tcMar>
            <w:vAlign w:val="center"/>
          </w:tcPr>
          <w:p w:rsidR="00AF34CC" w:rsidRPr="004F6FF3" w:rsidRDefault="00AF34CC" w:rsidP="00AF34CC">
            <w:pPr>
              <w:jc w:val="right"/>
              <w:rPr>
                <w:rFonts w:eastAsia="宋体" w:cs="Times New Roman"/>
                <w:color w:val="000000"/>
                <w:sz w:val="18"/>
                <w:szCs w:val="18"/>
              </w:rPr>
            </w:pPr>
            <w:r w:rsidRPr="004F6FF3">
              <w:rPr>
                <w:rFonts w:eastAsia="宋体" w:cs="Times New Roman"/>
                <w:color w:val="000000"/>
                <w:sz w:val="18"/>
                <w:szCs w:val="18"/>
              </w:rPr>
              <w:t>2,713,099.22</w:t>
            </w:r>
          </w:p>
        </w:tc>
      </w:tr>
      <w:tr w:rsidR="00AF34CC" w:rsidRPr="004F6FF3" w:rsidTr="0027505B">
        <w:trPr>
          <w:trHeight w:val="20"/>
        </w:trPr>
        <w:tc>
          <w:tcPr>
            <w:tcW w:w="1977" w:type="dxa"/>
            <w:shd w:val="clear" w:color="auto" w:fill="D9D9D9" w:themeFill="background1" w:themeFillShade="D9"/>
            <w:tcMar>
              <w:top w:w="0" w:type="dxa"/>
              <w:left w:w="108" w:type="dxa"/>
              <w:bottom w:w="0" w:type="dxa"/>
              <w:right w:w="108" w:type="dxa"/>
            </w:tcMar>
            <w:vAlign w:val="center"/>
          </w:tcPr>
          <w:p w:rsidR="00AF34CC" w:rsidRPr="004F6FF3" w:rsidRDefault="00AF34CC" w:rsidP="00AF34CC">
            <w:pPr>
              <w:rPr>
                <w:rFonts w:eastAsia="宋体" w:cs="Times New Roman"/>
                <w:sz w:val="18"/>
                <w:szCs w:val="18"/>
              </w:rPr>
            </w:pPr>
            <w:r w:rsidRPr="004F6FF3">
              <w:rPr>
                <w:rFonts w:eastAsia="宋体" w:cs="Times New Roman" w:hint="eastAsia"/>
                <w:sz w:val="18"/>
                <w:szCs w:val="18"/>
              </w:rPr>
              <w:t>合计</w:t>
            </w:r>
          </w:p>
        </w:tc>
        <w:tc>
          <w:tcPr>
            <w:tcW w:w="4536" w:type="dxa"/>
            <w:shd w:val="clear" w:color="auto" w:fill="FFFFFF" w:themeFill="background1"/>
            <w:tcMar>
              <w:top w:w="0" w:type="dxa"/>
              <w:left w:w="108" w:type="dxa"/>
              <w:bottom w:w="0" w:type="dxa"/>
              <w:right w:w="108" w:type="dxa"/>
            </w:tcMar>
            <w:vAlign w:val="center"/>
          </w:tcPr>
          <w:p w:rsidR="00AF34CC" w:rsidRPr="004F6FF3" w:rsidRDefault="00AF34CC" w:rsidP="00AF34CC">
            <w:pPr>
              <w:jc w:val="center"/>
              <w:rPr>
                <w:rFonts w:eastAsia="宋体" w:cs="Times New Roman"/>
                <w:sz w:val="18"/>
                <w:szCs w:val="18"/>
              </w:rPr>
            </w:pPr>
          </w:p>
        </w:tc>
        <w:tc>
          <w:tcPr>
            <w:tcW w:w="1470" w:type="dxa"/>
            <w:shd w:val="clear" w:color="auto" w:fill="FFFFFF" w:themeFill="background1"/>
            <w:vAlign w:val="center"/>
          </w:tcPr>
          <w:p w:rsidR="00AF34CC" w:rsidRPr="004F6FF3" w:rsidRDefault="0027505B" w:rsidP="00AF34CC">
            <w:pPr>
              <w:ind w:right="93"/>
              <w:jc w:val="right"/>
              <w:rPr>
                <w:rFonts w:eastAsia="宋体" w:cs="Times New Roman"/>
                <w:color w:val="000000"/>
                <w:sz w:val="18"/>
                <w:szCs w:val="18"/>
              </w:rPr>
            </w:pPr>
            <w:r w:rsidRPr="000E742B">
              <w:rPr>
                <w:rFonts w:eastAsia="宋体" w:cs="Times New Roman"/>
                <w:color w:val="000000"/>
                <w:sz w:val="18"/>
                <w:szCs w:val="18"/>
              </w:rPr>
              <w:t>4,429,464.62</w:t>
            </w:r>
          </w:p>
        </w:tc>
        <w:tc>
          <w:tcPr>
            <w:tcW w:w="1470" w:type="dxa"/>
            <w:shd w:val="clear" w:color="auto" w:fill="FFFFFF" w:themeFill="background1"/>
            <w:tcMar>
              <w:top w:w="0" w:type="dxa"/>
              <w:left w:w="108" w:type="dxa"/>
              <w:bottom w:w="0" w:type="dxa"/>
              <w:right w:w="108" w:type="dxa"/>
            </w:tcMar>
            <w:vAlign w:val="center"/>
          </w:tcPr>
          <w:p w:rsidR="00AF34CC" w:rsidRPr="004F6FF3" w:rsidRDefault="00AF34CC" w:rsidP="00AF34CC">
            <w:pPr>
              <w:jc w:val="right"/>
              <w:rPr>
                <w:rFonts w:eastAsia="宋体" w:cs="Times New Roman"/>
                <w:color w:val="000000"/>
                <w:sz w:val="18"/>
                <w:szCs w:val="18"/>
              </w:rPr>
            </w:pPr>
            <w:r w:rsidRPr="004F6FF3">
              <w:rPr>
                <w:rFonts w:eastAsia="宋体" w:cs="Times New Roman"/>
                <w:color w:val="000000"/>
                <w:sz w:val="18"/>
                <w:szCs w:val="18"/>
              </w:rPr>
              <w:t>17,091,288.00</w:t>
            </w:r>
          </w:p>
        </w:tc>
      </w:tr>
      <w:tr w:rsidR="00166520" w:rsidRPr="004F6FF3" w:rsidTr="0027505B">
        <w:trPr>
          <w:trHeight w:val="20"/>
        </w:trPr>
        <w:tc>
          <w:tcPr>
            <w:tcW w:w="197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66520" w:rsidRPr="004F6FF3" w:rsidRDefault="00166520" w:rsidP="00166520">
            <w:pPr>
              <w:rPr>
                <w:rFonts w:eastAsia="宋体" w:cs="Times New Roman"/>
                <w:sz w:val="18"/>
                <w:szCs w:val="18"/>
              </w:rPr>
            </w:pPr>
            <w:r w:rsidRPr="004F6FF3">
              <w:rPr>
                <w:rFonts w:eastAsia="宋体" w:cs="Times New Roman" w:hint="eastAsia"/>
                <w:sz w:val="18"/>
                <w:szCs w:val="18"/>
              </w:rPr>
              <w:t>合同负债</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rsidR="00166520" w:rsidRPr="004F6FF3" w:rsidRDefault="00166520" w:rsidP="00166520">
            <w:pPr>
              <w:jc w:val="center"/>
              <w:rPr>
                <w:rFonts w:eastAsia="宋体" w:cs="Times New Roman"/>
                <w:sz w:val="18"/>
                <w:szCs w:val="18"/>
              </w:rPr>
            </w:pPr>
            <w:proofErr w:type="gramStart"/>
            <w:r w:rsidRPr="004F6FF3">
              <w:rPr>
                <w:rFonts w:eastAsia="宋体" w:cs="Times New Roman" w:hint="eastAsia"/>
                <w:sz w:val="18"/>
                <w:szCs w:val="18"/>
              </w:rPr>
              <w:t>海康威视股份公司</w:t>
            </w:r>
            <w:proofErr w:type="gramEnd"/>
            <w:r w:rsidRPr="004F6FF3">
              <w:rPr>
                <w:rFonts w:eastAsia="宋体" w:cs="Times New Roman" w:hint="eastAsia"/>
                <w:sz w:val="18"/>
                <w:szCs w:val="18"/>
              </w:rPr>
              <w:t>及其下属企业</w:t>
            </w:r>
          </w:p>
        </w:tc>
        <w:tc>
          <w:tcPr>
            <w:tcW w:w="1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6520" w:rsidRPr="004F6FF3" w:rsidRDefault="00166520" w:rsidP="00166520">
            <w:pPr>
              <w:ind w:right="93"/>
              <w:jc w:val="right"/>
              <w:rPr>
                <w:rFonts w:eastAsia="宋体" w:cs="Times New Roman"/>
                <w:color w:val="000000"/>
                <w:sz w:val="18"/>
                <w:szCs w:val="18"/>
              </w:rPr>
            </w:pPr>
            <w:r w:rsidRPr="004F6FF3">
              <w:rPr>
                <w:rFonts w:eastAsia="宋体" w:cs="Times New Roman"/>
                <w:color w:val="000000"/>
                <w:sz w:val="18"/>
                <w:szCs w:val="18"/>
              </w:rPr>
              <w:t>1,845,011.67</w:t>
            </w:r>
          </w:p>
        </w:tc>
        <w:tc>
          <w:tcPr>
            <w:tcW w:w="147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rsidR="00166520" w:rsidRPr="004F6FF3" w:rsidRDefault="00166520" w:rsidP="00166520">
            <w:pPr>
              <w:jc w:val="right"/>
              <w:rPr>
                <w:rFonts w:eastAsia="宋体" w:cs="Times New Roman"/>
                <w:color w:val="000000"/>
                <w:sz w:val="18"/>
                <w:szCs w:val="18"/>
              </w:rPr>
            </w:pPr>
            <w:r w:rsidRPr="004F6FF3">
              <w:rPr>
                <w:rFonts w:eastAsia="宋体" w:cs="Times New Roman"/>
                <w:color w:val="000000"/>
                <w:sz w:val="18"/>
                <w:szCs w:val="18"/>
              </w:rPr>
              <w:t>-    </w:t>
            </w:r>
          </w:p>
        </w:tc>
      </w:tr>
      <w:tr w:rsidR="00166520" w:rsidRPr="004F6FF3" w:rsidTr="0027505B">
        <w:trPr>
          <w:trHeight w:val="20"/>
        </w:trPr>
        <w:tc>
          <w:tcPr>
            <w:tcW w:w="1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rsidR="00166520" w:rsidRPr="004F6FF3" w:rsidRDefault="00166520" w:rsidP="00166520">
            <w:pPr>
              <w:rPr>
                <w:rFonts w:eastAsia="宋体" w:cs="Times New Roman"/>
                <w:sz w:val="18"/>
                <w:szCs w:val="18"/>
              </w:rPr>
            </w:pPr>
            <w:r w:rsidRPr="004F6FF3">
              <w:rPr>
                <w:rFonts w:eastAsia="宋体" w:cs="Times New Roman" w:hint="eastAsia"/>
                <w:sz w:val="18"/>
                <w:szCs w:val="18"/>
              </w:rPr>
              <w:t>合计</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rsidR="00166520" w:rsidRPr="004F6FF3" w:rsidRDefault="00166520" w:rsidP="00166520">
            <w:pPr>
              <w:jc w:val="center"/>
              <w:rPr>
                <w:rFonts w:eastAsia="宋体" w:cs="Times New Roman"/>
                <w:sz w:val="18"/>
                <w:szCs w:val="18"/>
              </w:rPr>
            </w:pPr>
          </w:p>
        </w:tc>
        <w:tc>
          <w:tcPr>
            <w:tcW w:w="1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6520" w:rsidRPr="004F6FF3" w:rsidRDefault="00166520" w:rsidP="00166520">
            <w:pPr>
              <w:ind w:right="93"/>
              <w:jc w:val="right"/>
              <w:rPr>
                <w:rFonts w:eastAsia="宋体" w:cs="Times New Roman"/>
                <w:color w:val="000000"/>
                <w:sz w:val="18"/>
                <w:szCs w:val="18"/>
              </w:rPr>
            </w:pPr>
            <w:r w:rsidRPr="004F6FF3">
              <w:rPr>
                <w:rFonts w:eastAsia="宋体" w:cs="Times New Roman"/>
                <w:color w:val="000000"/>
                <w:sz w:val="18"/>
                <w:szCs w:val="18"/>
              </w:rPr>
              <w:t>1,845,011.67</w:t>
            </w:r>
          </w:p>
        </w:tc>
        <w:tc>
          <w:tcPr>
            <w:tcW w:w="147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rsidR="00166520" w:rsidRPr="004F6FF3" w:rsidRDefault="00166520" w:rsidP="00166520">
            <w:pPr>
              <w:jc w:val="right"/>
              <w:rPr>
                <w:rFonts w:eastAsia="宋体" w:cs="Times New Roman"/>
                <w:color w:val="000000"/>
                <w:sz w:val="18"/>
                <w:szCs w:val="18"/>
              </w:rPr>
            </w:pPr>
            <w:r w:rsidRPr="004F6FF3">
              <w:rPr>
                <w:rFonts w:eastAsia="宋体" w:cs="Times New Roman"/>
                <w:color w:val="000000"/>
                <w:sz w:val="18"/>
                <w:szCs w:val="18"/>
              </w:rPr>
              <w:t>-    </w:t>
            </w:r>
          </w:p>
        </w:tc>
      </w:tr>
    </w:tbl>
    <w:p w:rsidR="0047339C" w:rsidRDefault="0047339C">
      <w:pPr>
        <w:adjustRightInd/>
        <w:snapToGrid/>
        <w:rPr>
          <w:rFonts w:eastAsia="宋体" w:cs="Times New Roman"/>
        </w:rPr>
      </w:pPr>
    </w:p>
    <w:p w:rsidR="00D64620" w:rsidRDefault="00D64620">
      <w:pPr>
        <w:adjustRightInd/>
        <w:snapToGrid/>
        <w:rPr>
          <w:rFonts w:eastAsia="宋体" w:cs="Times New Roman"/>
        </w:rPr>
      </w:pPr>
    </w:p>
    <w:p w:rsidR="00753B8C" w:rsidRPr="00A71D2E" w:rsidRDefault="00753B8C" w:rsidP="00F66363">
      <w:pPr>
        <w:pStyle w:val="1"/>
        <w:keepNext w:val="0"/>
        <w:keepLines w:val="0"/>
        <w:adjustRightInd w:val="0"/>
        <w:snapToGrid w:val="0"/>
        <w:ind w:left="720" w:hanging="720"/>
        <w:contextualSpacing w:val="0"/>
        <w:jc w:val="both"/>
        <w:rPr>
          <w:rFonts w:ascii="Times New Roman" w:hAnsi="Times New Roman" w:cs="Times New Roman"/>
          <w:szCs w:val="21"/>
        </w:rPr>
      </w:pPr>
      <w:r w:rsidRPr="00A71D2E">
        <w:rPr>
          <w:rFonts w:ascii="Times New Roman" w:hAnsi="Times New Roman" w:cs="Times New Roman" w:hint="eastAsia"/>
          <w:szCs w:val="21"/>
        </w:rPr>
        <w:t>股份支付</w:t>
      </w:r>
    </w:p>
    <w:p w:rsidR="00753B8C" w:rsidRPr="00A71D2E" w:rsidRDefault="00753B8C">
      <w:pPr>
        <w:widowControl w:val="0"/>
        <w:ind w:left="720"/>
        <w:jc w:val="both"/>
        <w:rPr>
          <w:rFonts w:eastAsia="宋体" w:cs="Times New Roman"/>
          <w:szCs w:val="21"/>
        </w:rPr>
      </w:pPr>
    </w:p>
    <w:p w:rsidR="00753B8C" w:rsidRPr="00A71D2E" w:rsidRDefault="00753B8C">
      <w:pPr>
        <w:numPr>
          <w:ilvl w:val="2"/>
          <w:numId w:val="1"/>
        </w:numPr>
        <w:ind w:left="1440" w:hanging="720"/>
        <w:outlineLvl w:val="1"/>
        <w:rPr>
          <w:rFonts w:eastAsia="宋体" w:cs="Times New Roman"/>
          <w:b/>
          <w:bCs/>
          <w:color w:val="000000" w:themeColor="text1"/>
          <w:szCs w:val="21"/>
          <w:lang w:val="x-none" w:eastAsia="x-none"/>
        </w:rPr>
      </w:pPr>
      <w:proofErr w:type="spellStart"/>
      <w:r w:rsidRPr="00A71D2E">
        <w:rPr>
          <w:rFonts w:eastAsia="宋体" w:cs="Times New Roman" w:hint="eastAsia"/>
          <w:b/>
          <w:bCs/>
          <w:color w:val="000000" w:themeColor="text1"/>
          <w:szCs w:val="21"/>
          <w:lang w:val="x-none" w:eastAsia="x-none"/>
        </w:rPr>
        <w:t>股份支付总体情况</w:t>
      </w:r>
      <w:proofErr w:type="spellEnd"/>
    </w:p>
    <w:p w:rsidR="00753B8C" w:rsidRPr="00A71D2E" w:rsidRDefault="00753B8C">
      <w:pPr>
        <w:widowControl w:val="0"/>
        <w:ind w:left="720"/>
        <w:jc w:val="both"/>
        <w:rPr>
          <w:rFonts w:eastAsia="宋体" w:cs="Times New Roman"/>
          <w:szCs w:val="21"/>
        </w:rPr>
      </w:pPr>
    </w:p>
    <w:p w:rsidR="00753B8C" w:rsidRPr="00A71D2E" w:rsidRDefault="00753B8C">
      <w:pPr>
        <w:ind w:left="1440" w:hanging="720"/>
        <w:jc w:val="both"/>
        <w:rPr>
          <w:rFonts w:eastAsia="宋体" w:cs="Times New Roman"/>
          <w:sz w:val="16"/>
          <w:szCs w:val="16"/>
        </w:rPr>
      </w:pPr>
      <w:r w:rsidRPr="00A71D2E">
        <w:rPr>
          <w:rFonts w:eastAsia="宋体" w:cs="Times New Roman" w:hint="eastAsia"/>
          <w:snapToGrid w:val="0"/>
          <w:kern w:val="2"/>
          <w:szCs w:val="24"/>
          <w:u w:val="single"/>
        </w:rPr>
        <w:t>员工</w:t>
      </w:r>
      <w:proofErr w:type="gramStart"/>
      <w:r w:rsidRPr="00A71D2E">
        <w:rPr>
          <w:rFonts w:eastAsia="宋体" w:cs="Times New Roman" w:hint="eastAsia"/>
          <w:snapToGrid w:val="0"/>
          <w:kern w:val="2"/>
          <w:szCs w:val="24"/>
          <w:u w:val="single"/>
        </w:rPr>
        <w:t>跟投创新</w:t>
      </w:r>
      <w:proofErr w:type="gramEnd"/>
      <w:r w:rsidRPr="00A71D2E">
        <w:rPr>
          <w:rFonts w:eastAsia="宋体" w:cs="Times New Roman" w:hint="eastAsia"/>
          <w:snapToGrid w:val="0"/>
          <w:kern w:val="2"/>
          <w:szCs w:val="24"/>
          <w:u w:val="single"/>
        </w:rPr>
        <w:t>业务股权激励计划</w:t>
      </w:r>
    </w:p>
    <w:p w:rsidR="00753B8C" w:rsidRPr="00A71D2E" w:rsidRDefault="00753B8C">
      <w:pPr>
        <w:widowControl w:val="0"/>
        <w:ind w:left="720"/>
        <w:jc w:val="both"/>
        <w:rPr>
          <w:rFonts w:eastAsia="宋体" w:cs="Times New Roman"/>
          <w:szCs w:val="21"/>
        </w:rPr>
      </w:pPr>
    </w:p>
    <w:p w:rsidR="00753B8C" w:rsidRPr="00A71D2E" w:rsidRDefault="00753B8C">
      <w:pPr>
        <w:widowControl w:val="0"/>
        <w:ind w:left="720"/>
        <w:jc w:val="both"/>
        <w:rPr>
          <w:rFonts w:eastAsia="宋体" w:cs="Times New Roman"/>
          <w:szCs w:val="21"/>
        </w:rPr>
      </w:pPr>
      <w:proofErr w:type="gramStart"/>
      <w:r w:rsidRPr="00A71D2E">
        <w:rPr>
          <w:rFonts w:eastAsia="宋体" w:cs="Times New Roman" w:hint="eastAsia"/>
          <w:szCs w:val="21"/>
        </w:rPr>
        <w:t>海康威视股份公司</w:t>
      </w:r>
      <w:proofErr w:type="gramEnd"/>
      <w:r w:rsidRPr="00A71D2E">
        <w:rPr>
          <w:rFonts w:eastAsia="宋体" w:cs="Times New Roman" w:hint="eastAsia"/>
          <w:szCs w:val="21"/>
        </w:rPr>
        <w:t>于</w:t>
      </w:r>
      <w:r w:rsidRPr="00A71D2E">
        <w:rPr>
          <w:rFonts w:eastAsia="宋体" w:cs="Times New Roman"/>
          <w:szCs w:val="21"/>
        </w:rPr>
        <w:t>2015</w:t>
      </w:r>
      <w:r w:rsidRPr="00A71D2E">
        <w:rPr>
          <w:rFonts w:eastAsia="宋体" w:cs="Times New Roman" w:hint="eastAsia"/>
          <w:szCs w:val="21"/>
        </w:rPr>
        <w:t>年</w:t>
      </w:r>
      <w:r w:rsidRPr="00A71D2E">
        <w:rPr>
          <w:rFonts w:eastAsia="宋体" w:cs="Times New Roman"/>
          <w:szCs w:val="21"/>
        </w:rPr>
        <w:t>10</w:t>
      </w:r>
      <w:r w:rsidRPr="00A71D2E">
        <w:rPr>
          <w:rFonts w:eastAsia="宋体" w:cs="Times New Roman" w:hint="eastAsia"/>
          <w:szCs w:val="21"/>
        </w:rPr>
        <w:t>月</w:t>
      </w:r>
      <w:r w:rsidRPr="00A71D2E">
        <w:rPr>
          <w:rFonts w:eastAsia="宋体" w:cs="Times New Roman"/>
          <w:szCs w:val="21"/>
        </w:rPr>
        <w:t>22</w:t>
      </w:r>
      <w:r w:rsidRPr="00A71D2E">
        <w:rPr>
          <w:rFonts w:eastAsia="宋体" w:cs="Times New Roman" w:hint="eastAsia"/>
          <w:szCs w:val="21"/>
        </w:rPr>
        <w:t>日第二次临时股东大会审议通过《核心员工跟投创新业务管理办法</w:t>
      </w:r>
      <w:r w:rsidR="005F14EE">
        <w:rPr>
          <w:rFonts w:eastAsia="宋体" w:cs="Times New Roman"/>
          <w:szCs w:val="21"/>
        </w:rPr>
        <w:t>(</w:t>
      </w:r>
      <w:r w:rsidRPr="00A71D2E">
        <w:rPr>
          <w:rFonts w:eastAsia="宋体" w:cs="Times New Roman" w:hint="eastAsia"/>
          <w:szCs w:val="21"/>
        </w:rPr>
        <w:t>草案</w:t>
      </w:r>
      <w:r w:rsidR="005F14EE">
        <w:rPr>
          <w:rFonts w:eastAsia="宋体" w:cs="Times New Roman"/>
          <w:szCs w:val="21"/>
        </w:rPr>
        <w:t>)</w:t>
      </w:r>
      <w:r w:rsidRPr="00A71D2E">
        <w:rPr>
          <w:rFonts w:eastAsia="宋体" w:cs="Times New Roman" w:hint="eastAsia"/>
          <w:szCs w:val="21"/>
        </w:rPr>
        <w:t>》</w:t>
      </w:r>
      <w:r w:rsidR="005F14EE">
        <w:rPr>
          <w:rFonts w:eastAsia="宋体" w:cs="Times New Roman"/>
          <w:szCs w:val="21"/>
        </w:rPr>
        <w:t>(</w:t>
      </w:r>
      <w:r w:rsidRPr="00A71D2E">
        <w:rPr>
          <w:rFonts w:eastAsia="宋体" w:cs="Times New Roman" w:hint="eastAsia"/>
          <w:szCs w:val="21"/>
        </w:rPr>
        <w:t>以下简称</w:t>
      </w:r>
      <w:r w:rsidRPr="00A71D2E">
        <w:rPr>
          <w:rFonts w:eastAsia="宋体" w:cs="Times New Roman"/>
          <w:szCs w:val="21"/>
        </w:rPr>
        <w:t>“</w:t>
      </w:r>
      <w:r w:rsidRPr="00A71D2E">
        <w:rPr>
          <w:rFonts w:eastAsia="宋体" w:cs="Times New Roman" w:hint="eastAsia"/>
          <w:szCs w:val="21"/>
        </w:rPr>
        <w:t>管理办法</w:t>
      </w:r>
      <w:r w:rsidRPr="00A71D2E">
        <w:rPr>
          <w:rFonts w:eastAsia="宋体" w:cs="Times New Roman"/>
          <w:szCs w:val="21"/>
        </w:rPr>
        <w:t>”</w:t>
      </w:r>
      <w:r w:rsidR="005F14EE">
        <w:rPr>
          <w:rFonts w:eastAsia="宋体" w:cs="Times New Roman"/>
          <w:szCs w:val="21"/>
        </w:rPr>
        <w:t>)</w:t>
      </w:r>
      <w:r w:rsidRPr="00A71D2E">
        <w:rPr>
          <w:rFonts w:eastAsia="宋体" w:cs="Times New Roman" w:hint="eastAsia"/>
          <w:szCs w:val="21"/>
        </w:rPr>
        <w:t>，于</w:t>
      </w:r>
      <w:r w:rsidRPr="00A71D2E">
        <w:rPr>
          <w:rFonts w:eastAsia="宋体" w:cs="Times New Roman"/>
          <w:szCs w:val="21"/>
        </w:rPr>
        <w:t>2016</w:t>
      </w:r>
      <w:r w:rsidRPr="00A71D2E">
        <w:rPr>
          <w:rFonts w:eastAsia="宋体" w:cs="Times New Roman" w:hint="eastAsia"/>
          <w:szCs w:val="21"/>
        </w:rPr>
        <w:t>年</w:t>
      </w:r>
      <w:r w:rsidRPr="00A71D2E">
        <w:rPr>
          <w:rFonts w:eastAsia="宋体" w:cs="Times New Roman"/>
          <w:szCs w:val="21"/>
        </w:rPr>
        <w:t>3</w:t>
      </w:r>
      <w:r w:rsidRPr="00A71D2E">
        <w:rPr>
          <w:rFonts w:eastAsia="宋体" w:cs="Times New Roman" w:hint="eastAsia"/>
          <w:szCs w:val="21"/>
        </w:rPr>
        <w:t>月</w:t>
      </w:r>
      <w:r w:rsidRPr="00A71D2E">
        <w:rPr>
          <w:rFonts w:eastAsia="宋体" w:cs="Times New Roman"/>
          <w:szCs w:val="21"/>
        </w:rPr>
        <w:t>7</w:t>
      </w:r>
      <w:r w:rsidRPr="00A71D2E">
        <w:rPr>
          <w:rFonts w:eastAsia="宋体" w:cs="Times New Roman" w:hint="eastAsia"/>
          <w:szCs w:val="21"/>
        </w:rPr>
        <w:t>日，</w:t>
      </w:r>
      <w:proofErr w:type="gramStart"/>
      <w:r w:rsidRPr="00A71D2E">
        <w:rPr>
          <w:rFonts w:eastAsia="宋体" w:cs="Times New Roman" w:hint="eastAsia"/>
          <w:szCs w:val="21"/>
        </w:rPr>
        <w:t>海康威视工会</w:t>
      </w:r>
      <w:proofErr w:type="gramEnd"/>
      <w:r w:rsidRPr="00A71D2E">
        <w:rPr>
          <w:rFonts w:eastAsia="宋体" w:cs="Times New Roman" w:hint="eastAsia"/>
          <w:szCs w:val="21"/>
        </w:rPr>
        <w:t>代表大会通过了《核心员工跟投创新业务管理办法实施细则》</w:t>
      </w:r>
      <w:r w:rsidR="005F14EE">
        <w:rPr>
          <w:rFonts w:eastAsia="宋体" w:cs="Times New Roman"/>
          <w:szCs w:val="21"/>
        </w:rPr>
        <w:t>(</w:t>
      </w:r>
      <w:r w:rsidRPr="00A71D2E">
        <w:rPr>
          <w:rFonts w:eastAsia="宋体" w:cs="Times New Roman" w:hint="eastAsia"/>
          <w:szCs w:val="21"/>
        </w:rPr>
        <w:t>以下简称</w:t>
      </w:r>
      <w:r w:rsidRPr="00A71D2E">
        <w:rPr>
          <w:rFonts w:eastAsia="宋体" w:cs="Times New Roman"/>
          <w:szCs w:val="21"/>
        </w:rPr>
        <w:t>“</w:t>
      </w:r>
      <w:r w:rsidRPr="00A71D2E">
        <w:rPr>
          <w:rFonts w:eastAsia="宋体" w:cs="Times New Roman" w:hint="eastAsia"/>
          <w:szCs w:val="21"/>
        </w:rPr>
        <w:t>细则</w:t>
      </w:r>
      <w:r w:rsidRPr="00A71D2E">
        <w:rPr>
          <w:rFonts w:eastAsia="宋体" w:cs="Times New Roman"/>
          <w:szCs w:val="21"/>
        </w:rPr>
        <w:t>”</w:t>
      </w:r>
      <w:r w:rsidR="005F14EE">
        <w:rPr>
          <w:rFonts w:eastAsia="宋体" w:cs="Times New Roman"/>
          <w:szCs w:val="21"/>
        </w:rPr>
        <w:t>)</w:t>
      </w:r>
      <w:r w:rsidRPr="00A71D2E">
        <w:rPr>
          <w:rFonts w:eastAsia="宋体" w:cs="Times New Roman" w:hint="eastAsia"/>
          <w:szCs w:val="21"/>
        </w:rPr>
        <w:t>，对包括本集团在内的创新业务子公司启动实施</w:t>
      </w:r>
      <w:proofErr w:type="gramStart"/>
      <w:r w:rsidRPr="00A71D2E">
        <w:rPr>
          <w:rFonts w:eastAsia="宋体" w:cs="Times New Roman" w:hint="eastAsia"/>
          <w:szCs w:val="21"/>
        </w:rPr>
        <w:t>员工跟投的</w:t>
      </w:r>
      <w:proofErr w:type="gramEnd"/>
      <w:r w:rsidRPr="00A71D2E">
        <w:rPr>
          <w:rFonts w:eastAsia="宋体" w:cs="Times New Roman" w:hint="eastAsia"/>
          <w:szCs w:val="21"/>
        </w:rPr>
        <w:t>激励机制</w:t>
      </w:r>
      <w:r w:rsidR="005F14EE">
        <w:rPr>
          <w:rFonts w:eastAsia="宋体" w:cs="Times New Roman"/>
          <w:szCs w:val="21"/>
        </w:rPr>
        <w:t>(</w:t>
      </w:r>
      <w:r w:rsidRPr="00A71D2E">
        <w:rPr>
          <w:rFonts w:eastAsia="宋体" w:cs="Times New Roman" w:hint="eastAsia"/>
          <w:szCs w:val="21"/>
        </w:rPr>
        <w:t>以下简称</w:t>
      </w:r>
      <w:r w:rsidRPr="00A71D2E">
        <w:rPr>
          <w:rFonts w:eastAsia="宋体" w:cs="Times New Roman"/>
          <w:szCs w:val="21"/>
        </w:rPr>
        <w:t>“</w:t>
      </w:r>
      <w:r w:rsidRPr="00A71D2E">
        <w:rPr>
          <w:rFonts w:eastAsia="宋体" w:cs="Times New Roman" w:hint="eastAsia"/>
          <w:szCs w:val="21"/>
        </w:rPr>
        <w:t>员工跟投计划</w:t>
      </w:r>
      <w:r w:rsidRPr="00A71D2E">
        <w:rPr>
          <w:rFonts w:eastAsia="宋体" w:cs="Times New Roman"/>
          <w:szCs w:val="21"/>
        </w:rPr>
        <w:t>”</w:t>
      </w:r>
      <w:r w:rsidR="005F14EE">
        <w:rPr>
          <w:rFonts w:eastAsia="宋体" w:cs="Times New Roman"/>
          <w:szCs w:val="21"/>
        </w:rPr>
        <w:t>)</w:t>
      </w:r>
      <w:r w:rsidRPr="00A71D2E">
        <w:rPr>
          <w:rFonts w:eastAsia="宋体" w:cs="Times New Roman" w:hint="eastAsia"/>
          <w:szCs w:val="21"/>
        </w:rPr>
        <w:t>。参与员工</w:t>
      </w:r>
      <w:proofErr w:type="gramStart"/>
      <w:r w:rsidRPr="00A71D2E">
        <w:rPr>
          <w:rFonts w:eastAsia="宋体" w:cs="Times New Roman" w:hint="eastAsia"/>
          <w:szCs w:val="21"/>
        </w:rPr>
        <w:t>跟投计划</w:t>
      </w:r>
      <w:proofErr w:type="gramEnd"/>
      <w:r w:rsidRPr="00A71D2E">
        <w:rPr>
          <w:rFonts w:eastAsia="宋体" w:cs="Times New Roman" w:hint="eastAsia"/>
          <w:szCs w:val="21"/>
        </w:rPr>
        <w:t>的员工</w:t>
      </w:r>
      <w:r w:rsidR="005F14EE">
        <w:rPr>
          <w:rFonts w:eastAsia="宋体" w:cs="Times New Roman"/>
          <w:szCs w:val="21"/>
        </w:rPr>
        <w:t>(</w:t>
      </w:r>
      <w:r w:rsidRPr="00A71D2E">
        <w:rPr>
          <w:rFonts w:eastAsia="宋体" w:cs="Times New Roman" w:hint="eastAsia"/>
          <w:szCs w:val="21"/>
        </w:rPr>
        <w:t>以下简称</w:t>
      </w:r>
      <w:r w:rsidRPr="00A71D2E">
        <w:rPr>
          <w:rFonts w:eastAsia="宋体" w:cs="Times New Roman"/>
          <w:szCs w:val="21"/>
        </w:rPr>
        <w:t>“</w:t>
      </w:r>
      <w:r w:rsidRPr="00A71D2E">
        <w:rPr>
          <w:rFonts w:eastAsia="宋体" w:cs="Times New Roman" w:hint="eastAsia"/>
          <w:szCs w:val="21"/>
        </w:rPr>
        <w:t>跟投员工</w:t>
      </w:r>
      <w:r w:rsidRPr="00A71D2E">
        <w:rPr>
          <w:rFonts w:eastAsia="宋体" w:cs="Times New Roman"/>
          <w:szCs w:val="21"/>
        </w:rPr>
        <w:t>”</w:t>
      </w:r>
      <w:r w:rsidR="005F14EE">
        <w:rPr>
          <w:rFonts w:eastAsia="宋体" w:cs="Times New Roman"/>
          <w:szCs w:val="21"/>
        </w:rPr>
        <w:t>)</w:t>
      </w:r>
      <w:r w:rsidRPr="00A71D2E">
        <w:rPr>
          <w:rFonts w:eastAsia="宋体" w:cs="Times New Roman" w:hint="eastAsia"/>
          <w:szCs w:val="21"/>
        </w:rPr>
        <w:t>与</w:t>
      </w:r>
      <w:proofErr w:type="gramStart"/>
      <w:r w:rsidRPr="00A71D2E">
        <w:rPr>
          <w:rFonts w:eastAsia="宋体" w:cs="Times New Roman" w:hint="eastAsia"/>
          <w:szCs w:val="21"/>
        </w:rPr>
        <w:t>海康威视工会</w:t>
      </w:r>
      <w:proofErr w:type="gramEnd"/>
      <w:r w:rsidRPr="00A71D2E">
        <w:rPr>
          <w:rFonts w:eastAsia="宋体" w:cs="Times New Roman" w:hint="eastAsia"/>
          <w:szCs w:val="21"/>
        </w:rPr>
        <w:t>委员会</w:t>
      </w:r>
      <w:r w:rsidR="005F14EE">
        <w:rPr>
          <w:rFonts w:eastAsia="宋体" w:cs="Times New Roman"/>
          <w:szCs w:val="21"/>
        </w:rPr>
        <w:t>(</w:t>
      </w:r>
      <w:r w:rsidRPr="00A71D2E">
        <w:rPr>
          <w:rFonts w:eastAsia="宋体" w:cs="Times New Roman" w:hint="eastAsia"/>
          <w:szCs w:val="21"/>
        </w:rPr>
        <w:t>以下简称</w:t>
      </w:r>
      <w:r w:rsidRPr="00A71D2E">
        <w:rPr>
          <w:rFonts w:eastAsia="宋体" w:cs="Times New Roman"/>
          <w:szCs w:val="21"/>
        </w:rPr>
        <w:t>“</w:t>
      </w:r>
      <w:r w:rsidRPr="00A71D2E">
        <w:rPr>
          <w:rFonts w:eastAsia="宋体" w:cs="Times New Roman" w:hint="eastAsia"/>
          <w:szCs w:val="21"/>
        </w:rPr>
        <w:t>海康威视工会</w:t>
      </w:r>
      <w:r w:rsidRPr="00A71D2E">
        <w:rPr>
          <w:rFonts w:eastAsia="宋体" w:cs="Times New Roman"/>
          <w:szCs w:val="21"/>
        </w:rPr>
        <w:t>”</w:t>
      </w:r>
      <w:r w:rsidR="005F14EE">
        <w:rPr>
          <w:rFonts w:eastAsia="宋体" w:cs="Times New Roman"/>
          <w:szCs w:val="21"/>
        </w:rPr>
        <w:t>)</w:t>
      </w:r>
      <w:r w:rsidRPr="00A71D2E">
        <w:rPr>
          <w:rFonts w:eastAsia="宋体" w:cs="Times New Roman" w:hint="eastAsia"/>
          <w:szCs w:val="21"/>
        </w:rPr>
        <w:t>签署《委托投资协议》，委托</w:t>
      </w:r>
      <w:proofErr w:type="gramStart"/>
      <w:r w:rsidRPr="00A71D2E">
        <w:rPr>
          <w:rFonts w:eastAsia="宋体" w:cs="Times New Roman" w:hint="eastAsia"/>
          <w:szCs w:val="21"/>
        </w:rPr>
        <w:t>海康威视工会</w:t>
      </w:r>
      <w:proofErr w:type="gramEnd"/>
      <w:r w:rsidRPr="00A71D2E">
        <w:rPr>
          <w:rFonts w:eastAsia="宋体" w:cs="Times New Roman" w:hint="eastAsia"/>
          <w:szCs w:val="21"/>
        </w:rPr>
        <w:t>进行投资，</w:t>
      </w:r>
      <w:proofErr w:type="gramStart"/>
      <w:r w:rsidRPr="00A71D2E">
        <w:rPr>
          <w:rFonts w:eastAsia="宋体" w:cs="Times New Roman" w:hint="eastAsia"/>
          <w:szCs w:val="21"/>
        </w:rPr>
        <w:t>海康威视工会</w:t>
      </w:r>
      <w:proofErr w:type="gramEnd"/>
      <w:r w:rsidRPr="00A71D2E">
        <w:rPr>
          <w:rFonts w:eastAsia="宋体" w:cs="Times New Roman" w:hint="eastAsia"/>
          <w:szCs w:val="21"/>
        </w:rPr>
        <w:t>作为委托人与信托公司合作，设立信托计划，由信托公司作为合伙企业的有限合伙人，将信托资金投资于创新业务子公司</w:t>
      </w:r>
      <w:r w:rsidR="005F14EE">
        <w:rPr>
          <w:rFonts w:eastAsia="宋体" w:cs="Times New Roman"/>
          <w:szCs w:val="21"/>
        </w:rPr>
        <w:t>(</w:t>
      </w:r>
      <w:r w:rsidRPr="00A71D2E">
        <w:rPr>
          <w:rFonts w:eastAsia="宋体" w:cs="Times New Roman" w:hint="eastAsia"/>
          <w:szCs w:val="21"/>
        </w:rPr>
        <w:t>上述</w:t>
      </w:r>
      <w:proofErr w:type="gramStart"/>
      <w:r w:rsidRPr="00A71D2E">
        <w:rPr>
          <w:rFonts w:eastAsia="宋体" w:cs="Times New Roman" w:hint="eastAsia"/>
          <w:szCs w:val="21"/>
        </w:rPr>
        <w:t>跟投形式</w:t>
      </w:r>
      <w:proofErr w:type="gramEnd"/>
      <w:r w:rsidRPr="00A71D2E">
        <w:rPr>
          <w:rFonts w:eastAsia="宋体" w:cs="Times New Roman" w:hint="eastAsia"/>
          <w:szCs w:val="21"/>
        </w:rPr>
        <w:t>简称</w:t>
      </w:r>
      <w:r w:rsidRPr="00A71D2E">
        <w:rPr>
          <w:rFonts w:eastAsia="宋体" w:cs="Times New Roman"/>
          <w:szCs w:val="21"/>
        </w:rPr>
        <w:t>“</w:t>
      </w:r>
      <w:r w:rsidRPr="00A71D2E">
        <w:rPr>
          <w:rFonts w:eastAsia="宋体" w:cs="Times New Roman" w:hint="eastAsia"/>
          <w:szCs w:val="21"/>
        </w:rPr>
        <w:t>跟投平台</w:t>
      </w:r>
      <w:r w:rsidRPr="00A71D2E">
        <w:rPr>
          <w:rFonts w:eastAsia="宋体" w:cs="Times New Roman"/>
          <w:szCs w:val="21"/>
        </w:rPr>
        <w:t>”</w:t>
      </w:r>
      <w:r w:rsidR="005F14EE">
        <w:rPr>
          <w:rFonts w:eastAsia="宋体" w:cs="Times New Roman"/>
          <w:szCs w:val="21"/>
        </w:rPr>
        <w:t>)</w:t>
      </w:r>
      <w:r w:rsidRPr="00A71D2E">
        <w:rPr>
          <w:rFonts w:eastAsia="宋体" w:cs="Times New Roman" w:hint="eastAsia"/>
          <w:szCs w:val="21"/>
        </w:rPr>
        <w:t>。</w:t>
      </w:r>
    </w:p>
    <w:p w:rsidR="006026EB" w:rsidRPr="00A71D2E" w:rsidRDefault="006026EB" w:rsidP="0027505B">
      <w:pPr>
        <w:widowControl w:val="0"/>
        <w:ind w:left="720"/>
        <w:jc w:val="both"/>
        <w:rPr>
          <w:rFonts w:eastAsia="宋体" w:cs="Times New Roman"/>
          <w:szCs w:val="21"/>
        </w:rPr>
      </w:pPr>
    </w:p>
    <w:p w:rsidR="00753B8C" w:rsidRPr="00A71D2E" w:rsidRDefault="00753B8C">
      <w:pPr>
        <w:widowControl w:val="0"/>
        <w:ind w:left="720"/>
        <w:jc w:val="both"/>
        <w:rPr>
          <w:rFonts w:eastAsia="宋体" w:cs="Times New Roman"/>
          <w:szCs w:val="21"/>
        </w:rPr>
      </w:pPr>
      <w:r w:rsidRPr="00A71D2E">
        <w:rPr>
          <w:rFonts w:eastAsia="宋体" w:cs="Times New Roman" w:hint="eastAsia"/>
          <w:szCs w:val="21"/>
        </w:rPr>
        <w:t>员工</w:t>
      </w:r>
      <w:proofErr w:type="gramStart"/>
      <w:r w:rsidRPr="00A71D2E">
        <w:rPr>
          <w:rFonts w:eastAsia="宋体" w:cs="Times New Roman" w:hint="eastAsia"/>
          <w:szCs w:val="21"/>
        </w:rPr>
        <w:t>跟投计划</w:t>
      </w:r>
      <w:proofErr w:type="gramEnd"/>
      <w:r w:rsidRPr="00A71D2E">
        <w:rPr>
          <w:rFonts w:eastAsia="宋体" w:cs="Times New Roman" w:hint="eastAsia"/>
          <w:szCs w:val="21"/>
        </w:rPr>
        <w:t>根据适用对象不同分为</w:t>
      </w:r>
      <w:r w:rsidRPr="00A71D2E">
        <w:rPr>
          <w:rFonts w:eastAsia="宋体" w:cs="Times New Roman"/>
          <w:szCs w:val="21"/>
        </w:rPr>
        <w:t>A</w:t>
      </w:r>
      <w:r w:rsidRPr="00A71D2E">
        <w:rPr>
          <w:rFonts w:eastAsia="宋体" w:cs="Times New Roman" w:hint="eastAsia"/>
          <w:szCs w:val="21"/>
        </w:rPr>
        <w:t>计划和</w:t>
      </w:r>
      <w:r w:rsidRPr="00A71D2E">
        <w:rPr>
          <w:rFonts w:eastAsia="宋体" w:cs="Times New Roman"/>
          <w:szCs w:val="21"/>
        </w:rPr>
        <w:t>B</w:t>
      </w:r>
      <w:r w:rsidRPr="00A71D2E">
        <w:rPr>
          <w:rFonts w:eastAsia="宋体" w:cs="Times New Roman" w:hint="eastAsia"/>
          <w:szCs w:val="21"/>
        </w:rPr>
        <w:t>计划。</w:t>
      </w:r>
      <w:r w:rsidRPr="00A71D2E">
        <w:rPr>
          <w:rFonts w:eastAsia="宋体" w:cs="Times New Roman"/>
          <w:szCs w:val="21"/>
        </w:rPr>
        <w:t>A</w:t>
      </w:r>
      <w:r w:rsidRPr="00A71D2E">
        <w:rPr>
          <w:rFonts w:eastAsia="宋体" w:cs="Times New Roman" w:hint="eastAsia"/>
          <w:szCs w:val="21"/>
        </w:rPr>
        <w:t>计划的对象系由</w:t>
      </w:r>
      <w:proofErr w:type="gramStart"/>
      <w:r w:rsidRPr="00A71D2E">
        <w:rPr>
          <w:rFonts w:eastAsia="宋体" w:cs="Times New Roman" w:hint="eastAsia"/>
          <w:szCs w:val="21"/>
        </w:rPr>
        <w:t>海康威视股份公司</w:t>
      </w:r>
      <w:proofErr w:type="gramEnd"/>
      <w:r w:rsidRPr="00A71D2E">
        <w:rPr>
          <w:rFonts w:eastAsia="宋体" w:cs="Times New Roman" w:hint="eastAsia"/>
          <w:szCs w:val="21"/>
        </w:rPr>
        <w:t>及其下属全资子公司、创新业务子公司的中高层管理人员和核心骨干员工组成，</w:t>
      </w:r>
      <w:proofErr w:type="gramStart"/>
      <w:r w:rsidRPr="00A71D2E">
        <w:rPr>
          <w:rFonts w:eastAsia="宋体" w:cs="Times New Roman" w:hint="eastAsia"/>
          <w:szCs w:val="21"/>
        </w:rPr>
        <w:t>跟投所有</w:t>
      </w:r>
      <w:proofErr w:type="gramEnd"/>
      <w:r w:rsidRPr="00A71D2E">
        <w:rPr>
          <w:rFonts w:eastAsia="宋体" w:cs="Times New Roman" w:hint="eastAsia"/>
          <w:szCs w:val="21"/>
        </w:rPr>
        <w:t>创新业务。</w:t>
      </w:r>
      <w:r w:rsidRPr="00A71D2E">
        <w:rPr>
          <w:rFonts w:eastAsia="宋体" w:cs="Times New Roman"/>
          <w:szCs w:val="21"/>
        </w:rPr>
        <w:t>B</w:t>
      </w:r>
      <w:r w:rsidRPr="00A71D2E">
        <w:rPr>
          <w:rFonts w:eastAsia="宋体" w:cs="Times New Roman" w:hint="eastAsia"/>
          <w:szCs w:val="21"/>
        </w:rPr>
        <w:t>计划的对象系</w:t>
      </w:r>
      <w:proofErr w:type="gramStart"/>
      <w:r w:rsidRPr="00A71D2E">
        <w:rPr>
          <w:rFonts w:eastAsia="宋体" w:cs="Times New Roman" w:hint="eastAsia"/>
          <w:szCs w:val="21"/>
        </w:rPr>
        <w:t>由创新</w:t>
      </w:r>
      <w:proofErr w:type="gramEnd"/>
      <w:r w:rsidRPr="00A71D2E">
        <w:rPr>
          <w:rFonts w:eastAsia="宋体" w:cs="Times New Roman" w:hint="eastAsia"/>
          <w:szCs w:val="21"/>
        </w:rPr>
        <w:t>业务子公司核心员工且是全职员工组成，</w:t>
      </w:r>
      <w:proofErr w:type="gramStart"/>
      <w:r w:rsidRPr="00A71D2E">
        <w:rPr>
          <w:rFonts w:eastAsia="宋体" w:cs="Times New Roman" w:hint="eastAsia"/>
          <w:szCs w:val="21"/>
        </w:rPr>
        <w:t>参与跟投</w:t>
      </w:r>
      <w:proofErr w:type="gramEnd"/>
      <w:r w:rsidRPr="00A71D2E">
        <w:rPr>
          <w:rFonts w:eastAsia="宋体" w:cs="Times New Roman" w:hint="eastAsia"/>
          <w:szCs w:val="21"/>
        </w:rPr>
        <w:t>其所在的创新业务子公司。</w:t>
      </w:r>
      <w:proofErr w:type="gramStart"/>
      <w:r w:rsidRPr="00A71D2E">
        <w:rPr>
          <w:rFonts w:eastAsia="宋体" w:cs="Times New Roman" w:hint="eastAsia"/>
          <w:szCs w:val="21"/>
        </w:rPr>
        <w:t>跟投平台</w:t>
      </w:r>
      <w:proofErr w:type="gramEnd"/>
      <w:r w:rsidRPr="00A71D2E">
        <w:rPr>
          <w:rFonts w:eastAsia="宋体" w:cs="Times New Roman" w:hint="eastAsia"/>
          <w:szCs w:val="21"/>
        </w:rPr>
        <w:t>每年进行增资，增资部分对应的平台权益根据特定规则分配给</w:t>
      </w:r>
      <w:proofErr w:type="gramStart"/>
      <w:r w:rsidRPr="00A71D2E">
        <w:rPr>
          <w:rFonts w:eastAsia="宋体" w:cs="Times New Roman" w:hint="eastAsia"/>
          <w:szCs w:val="21"/>
        </w:rPr>
        <w:t>符合跟投条件</w:t>
      </w:r>
      <w:proofErr w:type="gramEnd"/>
      <w:r w:rsidRPr="00A71D2E">
        <w:rPr>
          <w:rFonts w:eastAsia="宋体" w:cs="Times New Roman" w:hint="eastAsia"/>
          <w:szCs w:val="21"/>
        </w:rPr>
        <w:t>的核心员工。员工</w:t>
      </w:r>
      <w:proofErr w:type="gramStart"/>
      <w:r w:rsidRPr="00A71D2E">
        <w:rPr>
          <w:rFonts w:eastAsia="宋体" w:cs="Times New Roman" w:hint="eastAsia"/>
          <w:szCs w:val="21"/>
        </w:rPr>
        <w:t>自持有跟投平台</w:t>
      </w:r>
      <w:proofErr w:type="gramEnd"/>
      <w:r w:rsidRPr="00A71D2E">
        <w:rPr>
          <w:rFonts w:eastAsia="宋体" w:cs="Times New Roman" w:hint="eastAsia"/>
          <w:szCs w:val="21"/>
        </w:rPr>
        <w:t>权益后的</w:t>
      </w:r>
      <w:r w:rsidRPr="00A71D2E">
        <w:rPr>
          <w:rFonts w:eastAsia="宋体" w:cs="Times New Roman"/>
          <w:szCs w:val="21"/>
        </w:rPr>
        <w:t>5</w:t>
      </w:r>
      <w:r w:rsidRPr="00A71D2E">
        <w:rPr>
          <w:rFonts w:eastAsia="宋体" w:cs="Times New Roman" w:hint="eastAsia"/>
          <w:szCs w:val="21"/>
        </w:rPr>
        <w:t>年为等待期，在等待期内激励对象与公司或子公司的劳动关系解除或终止，则持有</w:t>
      </w:r>
      <w:proofErr w:type="gramStart"/>
      <w:r w:rsidRPr="00A71D2E">
        <w:rPr>
          <w:rFonts w:eastAsia="宋体" w:cs="Times New Roman" w:hint="eastAsia"/>
          <w:szCs w:val="21"/>
        </w:rPr>
        <w:t>的跟投平台</w:t>
      </w:r>
      <w:proofErr w:type="gramEnd"/>
      <w:r w:rsidRPr="00A71D2E">
        <w:rPr>
          <w:rFonts w:eastAsia="宋体" w:cs="Times New Roman" w:hint="eastAsia"/>
          <w:szCs w:val="21"/>
        </w:rPr>
        <w:t>份额将由工会根据细则约定的价格退还份额清算价款。</w:t>
      </w:r>
    </w:p>
    <w:p w:rsidR="00753B8C" w:rsidRPr="00A71D2E" w:rsidRDefault="00753B8C">
      <w:pPr>
        <w:widowControl w:val="0"/>
        <w:ind w:left="720"/>
        <w:jc w:val="both"/>
        <w:rPr>
          <w:rFonts w:eastAsia="宋体" w:cs="Times New Roman"/>
          <w:szCs w:val="21"/>
        </w:rPr>
      </w:pPr>
    </w:p>
    <w:p w:rsidR="00753B8C" w:rsidRPr="00A71D2E" w:rsidRDefault="00753B8C">
      <w:pPr>
        <w:widowControl w:val="0"/>
        <w:ind w:left="720"/>
        <w:jc w:val="both"/>
        <w:rPr>
          <w:rFonts w:eastAsia="宋体" w:cs="Times New Roman"/>
          <w:szCs w:val="21"/>
        </w:rPr>
      </w:pPr>
      <w:proofErr w:type="gramStart"/>
      <w:r w:rsidRPr="00A71D2E">
        <w:rPr>
          <w:rFonts w:eastAsia="宋体" w:cs="Times New Roman" w:hint="eastAsia"/>
          <w:szCs w:val="21"/>
        </w:rPr>
        <w:t>跟投平台</w:t>
      </w:r>
      <w:proofErr w:type="gramEnd"/>
      <w:r w:rsidRPr="00A71D2E">
        <w:rPr>
          <w:rFonts w:eastAsia="宋体" w:cs="Times New Roman" w:hint="eastAsia"/>
          <w:szCs w:val="21"/>
        </w:rPr>
        <w:t>每年新增份额</w:t>
      </w:r>
      <w:proofErr w:type="gramStart"/>
      <w:r w:rsidRPr="00A71D2E">
        <w:rPr>
          <w:rFonts w:eastAsia="宋体" w:cs="Times New Roman" w:hint="eastAsia"/>
          <w:szCs w:val="21"/>
        </w:rPr>
        <w:t>授予跟投</w:t>
      </w:r>
      <w:proofErr w:type="gramEnd"/>
      <w:r w:rsidRPr="00A71D2E">
        <w:rPr>
          <w:rFonts w:eastAsia="宋体" w:cs="Times New Roman" w:hint="eastAsia"/>
          <w:szCs w:val="21"/>
        </w:rPr>
        <w:t>员工，本集团于每个授予</w:t>
      </w:r>
      <w:proofErr w:type="gramStart"/>
      <w:r w:rsidRPr="00A71D2E">
        <w:rPr>
          <w:rFonts w:eastAsia="宋体" w:cs="Times New Roman" w:hint="eastAsia"/>
          <w:szCs w:val="21"/>
        </w:rPr>
        <w:t>日根据</w:t>
      </w:r>
      <w:proofErr w:type="gramEnd"/>
      <w:r w:rsidRPr="00A71D2E">
        <w:rPr>
          <w:rFonts w:eastAsia="宋体" w:cs="Times New Roman" w:hint="eastAsia"/>
          <w:szCs w:val="21"/>
        </w:rPr>
        <w:t>本集团员工新获得</w:t>
      </w:r>
      <w:proofErr w:type="gramStart"/>
      <w:r w:rsidRPr="00A71D2E">
        <w:rPr>
          <w:rFonts w:eastAsia="宋体" w:cs="Times New Roman" w:hint="eastAsia"/>
          <w:szCs w:val="21"/>
        </w:rPr>
        <w:t>的跟投平台</w:t>
      </w:r>
      <w:proofErr w:type="gramEnd"/>
      <w:r w:rsidRPr="00A71D2E">
        <w:rPr>
          <w:rFonts w:eastAsia="宋体" w:cs="Times New Roman" w:hint="eastAsia"/>
          <w:szCs w:val="21"/>
        </w:rPr>
        <w:t>权益工具的公允价值判断是否构成股份支付。</w:t>
      </w:r>
    </w:p>
    <w:p w:rsidR="00753B8C" w:rsidRDefault="00753B8C">
      <w:pPr>
        <w:widowControl w:val="0"/>
        <w:ind w:left="720"/>
        <w:jc w:val="both"/>
        <w:rPr>
          <w:rFonts w:eastAsia="宋体" w:cs="Times New Roman"/>
          <w:szCs w:val="21"/>
        </w:rPr>
      </w:pPr>
    </w:p>
    <w:p w:rsidR="00205CB1" w:rsidRPr="00702529" w:rsidRDefault="00205CB1" w:rsidP="00205CB1">
      <w:pPr>
        <w:ind w:left="720"/>
        <w:jc w:val="both"/>
        <w:rPr>
          <w:rFonts w:asciiTheme="majorHAnsi" w:hAnsiTheme="majorHAnsi" w:cstheme="majorHAnsi"/>
          <w:szCs w:val="24"/>
        </w:rPr>
      </w:pPr>
      <w:r w:rsidRPr="00702529">
        <w:rPr>
          <w:rFonts w:asciiTheme="majorHAnsi" w:hAnsiTheme="majorHAnsi" w:cstheme="majorHAnsi"/>
          <w:szCs w:val="24"/>
        </w:rPr>
        <w:t>2020</w:t>
      </w:r>
      <w:r w:rsidRPr="00702529">
        <w:rPr>
          <w:rFonts w:asciiTheme="majorHAnsi" w:hAnsiTheme="majorHAnsi" w:cstheme="majorHAnsi" w:hint="eastAsia"/>
          <w:szCs w:val="24"/>
        </w:rPr>
        <w:t>年</w:t>
      </w:r>
      <w:r w:rsidRPr="00702529">
        <w:rPr>
          <w:rFonts w:asciiTheme="majorHAnsi" w:hAnsiTheme="majorHAnsi" w:cstheme="majorHAnsi"/>
          <w:szCs w:val="24"/>
        </w:rPr>
        <w:t>12</w:t>
      </w:r>
      <w:r w:rsidRPr="00702529">
        <w:rPr>
          <w:rFonts w:asciiTheme="majorHAnsi" w:hAnsiTheme="majorHAnsi" w:cstheme="majorHAnsi" w:hint="eastAsia"/>
          <w:szCs w:val="24"/>
        </w:rPr>
        <w:t>月，</w:t>
      </w:r>
      <w:proofErr w:type="gramStart"/>
      <w:r w:rsidRPr="00702529">
        <w:rPr>
          <w:rFonts w:asciiTheme="majorHAnsi" w:hAnsiTheme="majorHAnsi" w:cstheme="majorHAnsi" w:hint="eastAsia"/>
          <w:szCs w:val="24"/>
        </w:rPr>
        <w:t>跟投员工</w:t>
      </w:r>
      <w:proofErr w:type="gramEnd"/>
      <w:r w:rsidRPr="00702529">
        <w:rPr>
          <w:rFonts w:asciiTheme="majorHAnsi" w:hAnsiTheme="majorHAnsi" w:cstheme="majorHAnsi" w:hint="eastAsia"/>
          <w:szCs w:val="24"/>
        </w:rPr>
        <w:t>与</w:t>
      </w:r>
      <w:proofErr w:type="gramStart"/>
      <w:r w:rsidRPr="00702529">
        <w:rPr>
          <w:rFonts w:asciiTheme="majorHAnsi" w:hAnsiTheme="majorHAnsi" w:cstheme="majorHAnsi" w:hint="eastAsia"/>
          <w:szCs w:val="24"/>
        </w:rPr>
        <w:t>海康威视工会</w:t>
      </w:r>
      <w:proofErr w:type="gramEnd"/>
      <w:r w:rsidRPr="00702529">
        <w:rPr>
          <w:rFonts w:asciiTheme="majorHAnsi" w:hAnsiTheme="majorHAnsi" w:cstheme="majorHAnsi" w:hint="eastAsia"/>
          <w:szCs w:val="24"/>
        </w:rPr>
        <w:t>签订了《委托投资协议》之《补充协议》</w:t>
      </w:r>
      <w:r w:rsidR="005F14EE">
        <w:rPr>
          <w:rFonts w:asciiTheme="majorHAnsi" w:hAnsiTheme="majorHAnsi" w:cstheme="majorHAnsi"/>
          <w:szCs w:val="24"/>
        </w:rPr>
        <w:t>(</w:t>
      </w:r>
      <w:r w:rsidRPr="00702529">
        <w:rPr>
          <w:rFonts w:asciiTheme="majorHAnsi" w:hAnsiTheme="majorHAnsi" w:cstheme="majorHAnsi" w:hint="eastAsia"/>
          <w:szCs w:val="24"/>
        </w:rPr>
        <w:t>以下简称</w:t>
      </w:r>
      <w:r w:rsidRPr="00702529">
        <w:rPr>
          <w:rFonts w:asciiTheme="majorHAnsi" w:hAnsiTheme="majorHAnsi" w:cstheme="majorHAnsi"/>
          <w:szCs w:val="24"/>
        </w:rPr>
        <w:t>“</w:t>
      </w:r>
      <w:r w:rsidRPr="00702529">
        <w:rPr>
          <w:rFonts w:asciiTheme="majorHAnsi" w:hAnsiTheme="majorHAnsi" w:cstheme="majorHAnsi" w:hint="eastAsia"/>
          <w:szCs w:val="24"/>
        </w:rPr>
        <w:t>《补充协议》</w:t>
      </w:r>
      <w:r w:rsidRPr="00702529">
        <w:rPr>
          <w:rFonts w:asciiTheme="majorHAnsi" w:hAnsiTheme="majorHAnsi" w:cstheme="majorHAnsi"/>
          <w:szCs w:val="24"/>
        </w:rPr>
        <w:t>”</w:t>
      </w:r>
      <w:r w:rsidR="005F14EE">
        <w:rPr>
          <w:rFonts w:asciiTheme="majorHAnsi" w:hAnsiTheme="majorHAnsi" w:cstheme="majorHAnsi"/>
          <w:szCs w:val="24"/>
        </w:rPr>
        <w:t>)</w:t>
      </w:r>
      <w:r w:rsidRPr="00702529">
        <w:rPr>
          <w:rFonts w:asciiTheme="majorHAnsi" w:hAnsiTheme="majorHAnsi" w:cstheme="majorHAnsi" w:hint="eastAsia"/>
          <w:szCs w:val="24"/>
        </w:rPr>
        <w:t>。</w:t>
      </w:r>
      <w:r>
        <w:rPr>
          <w:rFonts w:asciiTheme="majorHAnsi" w:hAnsiTheme="majorHAnsi" w:cstheme="majorHAnsi" w:hint="eastAsia"/>
          <w:szCs w:val="24"/>
        </w:rPr>
        <w:t>公司</w:t>
      </w:r>
      <w:r w:rsidRPr="00702529">
        <w:rPr>
          <w:rFonts w:asciiTheme="majorHAnsi" w:hAnsiTheme="majorHAnsi" w:cstheme="majorHAnsi" w:hint="eastAsia"/>
          <w:szCs w:val="24"/>
        </w:rPr>
        <w:t>于</w:t>
      </w:r>
      <w:r w:rsidRPr="00702529">
        <w:rPr>
          <w:rFonts w:asciiTheme="majorHAnsi" w:hAnsiTheme="majorHAnsi" w:cstheme="majorHAnsi"/>
          <w:szCs w:val="24"/>
        </w:rPr>
        <w:t>2020</w:t>
      </w:r>
      <w:r w:rsidRPr="00702529">
        <w:rPr>
          <w:rFonts w:asciiTheme="majorHAnsi" w:hAnsiTheme="majorHAnsi" w:cstheme="majorHAnsi" w:hint="eastAsia"/>
          <w:szCs w:val="24"/>
        </w:rPr>
        <w:t>年</w:t>
      </w:r>
      <w:r w:rsidRPr="00702529">
        <w:rPr>
          <w:rFonts w:asciiTheme="majorHAnsi" w:hAnsiTheme="majorHAnsi" w:cstheme="majorHAnsi"/>
          <w:szCs w:val="24"/>
        </w:rPr>
        <w:t>12</w:t>
      </w:r>
      <w:r w:rsidRPr="00702529">
        <w:rPr>
          <w:rFonts w:asciiTheme="majorHAnsi" w:hAnsiTheme="majorHAnsi" w:cstheme="majorHAnsi" w:hint="eastAsia"/>
          <w:szCs w:val="24"/>
        </w:rPr>
        <w:t>月</w:t>
      </w:r>
      <w:r w:rsidRPr="00702529">
        <w:rPr>
          <w:rFonts w:asciiTheme="majorHAnsi" w:hAnsiTheme="majorHAnsi" w:cstheme="majorHAnsi"/>
          <w:szCs w:val="24"/>
        </w:rPr>
        <w:t>25</w:t>
      </w:r>
      <w:r w:rsidRPr="00702529">
        <w:rPr>
          <w:rFonts w:asciiTheme="majorHAnsi" w:hAnsiTheme="majorHAnsi" w:cstheme="majorHAnsi" w:hint="eastAsia"/>
          <w:szCs w:val="24"/>
        </w:rPr>
        <w:t>日召开第四届董事会第二十次会议，审议通过了《关于修订</w:t>
      </w:r>
      <w:r w:rsidRPr="00702529">
        <w:rPr>
          <w:rFonts w:asciiTheme="majorHAnsi" w:hAnsiTheme="majorHAnsi" w:cstheme="majorHAnsi"/>
          <w:szCs w:val="24"/>
        </w:rPr>
        <w:t>&lt;</w:t>
      </w:r>
      <w:r w:rsidRPr="00702529">
        <w:rPr>
          <w:rFonts w:asciiTheme="majorHAnsi" w:hAnsiTheme="majorHAnsi" w:cstheme="majorHAnsi" w:hint="eastAsia"/>
          <w:szCs w:val="24"/>
        </w:rPr>
        <w:t>核心员工跟投创新业务管理办法</w:t>
      </w:r>
      <w:r w:rsidRPr="00702529">
        <w:rPr>
          <w:rFonts w:asciiTheme="majorHAnsi" w:hAnsiTheme="majorHAnsi" w:cstheme="majorHAnsi"/>
          <w:szCs w:val="24"/>
        </w:rPr>
        <w:t>&gt;</w:t>
      </w:r>
      <w:r w:rsidRPr="00702529">
        <w:rPr>
          <w:rFonts w:asciiTheme="majorHAnsi" w:hAnsiTheme="majorHAnsi" w:cstheme="majorHAnsi" w:hint="eastAsia"/>
          <w:szCs w:val="24"/>
        </w:rPr>
        <w:t>的议案》。新版《核心员工跟投创新业务管理办法》</w:t>
      </w:r>
      <w:r w:rsidR="005F14EE">
        <w:rPr>
          <w:rFonts w:asciiTheme="majorHAnsi" w:hAnsiTheme="majorHAnsi" w:cstheme="majorHAnsi"/>
          <w:szCs w:val="24"/>
        </w:rPr>
        <w:t>(</w:t>
      </w:r>
      <w:r w:rsidRPr="00702529">
        <w:rPr>
          <w:rFonts w:asciiTheme="majorHAnsi" w:hAnsiTheme="majorHAnsi" w:cstheme="majorHAnsi" w:hint="eastAsia"/>
          <w:szCs w:val="24"/>
        </w:rPr>
        <w:t>以下简称</w:t>
      </w:r>
      <w:r w:rsidRPr="00702529">
        <w:rPr>
          <w:rFonts w:asciiTheme="majorHAnsi" w:hAnsiTheme="majorHAnsi" w:cstheme="majorHAnsi"/>
          <w:szCs w:val="24"/>
        </w:rPr>
        <w:t>“</w:t>
      </w:r>
      <w:r w:rsidRPr="00702529">
        <w:rPr>
          <w:rFonts w:asciiTheme="majorHAnsi" w:hAnsiTheme="majorHAnsi" w:cstheme="majorHAnsi" w:hint="eastAsia"/>
          <w:szCs w:val="24"/>
        </w:rPr>
        <w:t>新版《管理办法》</w:t>
      </w:r>
      <w:r w:rsidRPr="00702529">
        <w:rPr>
          <w:rFonts w:asciiTheme="majorHAnsi" w:hAnsiTheme="majorHAnsi" w:cstheme="majorHAnsi"/>
          <w:szCs w:val="24"/>
        </w:rPr>
        <w:t>”</w:t>
      </w:r>
      <w:r w:rsidR="005F14EE">
        <w:rPr>
          <w:rFonts w:asciiTheme="majorHAnsi" w:hAnsiTheme="majorHAnsi" w:cstheme="majorHAnsi"/>
          <w:szCs w:val="24"/>
        </w:rPr>
        <w:t>)</w:t>
      </w:r>
      <w:r w:rsidRPr="00702529">
        <w:rPr>
          <w:rFonts w:asciiTheme="majorHAnsi" w:hAnsiTheme="majorHAnsi" w:cstheme="majorHAnsi" w:hint="eastAsia"/>
          <w:szCs w:val="24"/>
        </w:rPr>
        <w:t>增加了对员工</w:t>
      </w:r>
      <w:proofErr w:type="gramStart"/>
      <w:r w:rsidRPr="00702529">
        <w:rPr>
          <w:rFonts w:asciiTheme="majorHAnsi" w:hAnsiTheme="majorHAnsi" w:cstheme="majorHAnsi" w:hint="eastAsia"/>
          <w:szCs w:val="24"/>
        </w:rPr>
        <w:t>持有跟投计划</w:t>
      </w:r>
      <w:proofErr w:type="gramEnd"/>
      <w:r w:rsidRPr="00702529">
        <w:rPr>
          <w:rFonts w:asciiTheme="majorHAnsi" w:hAnsiTheme="majorHAnsi" w:cstheme="majorHAnsi" w:hint="eastAsia"/>
          <w:szCs w:val="24"/>
        </w:rPr>
        <w:t>份额和间接持有创新业务子公司的权益进行确权，明确了员工丧失或被取消跟投资格后跟投份额的处理方法、增加管理委员会等制度。</w:t>
      </w:r>
    </w:p>
    <w:p w:rsidR="004F6FF3" w:rsidRDefault="004F6FF3">
      <w:pPr>
        <w:adjustRightInd/>
        <w:snapToGrid/>
        <w:rPr>
          <w:rFonts w:asciiTheme="majorHAnsi" w:hAnsiTheme="majorHAnsi" w:cstheme="majorHAnsi"/>
          <w:szCs w:val="24"/>
        </w:rPr>
      </w:pPr>
      <w:r>
        <w:rPr>
          <w:rFonts w:asciiTheme="majorHAnsi" w:hAnsiTheme="majorHAnsi" w:cstheme="majorHAnsi"/>
          <w:szCs w:val="24"/>
        </w:rPr>
        <w:br w:type="page"/>
      </w:r>
    </w:p>
    <w:p w:rsidR="004F6FF3" w:rsidRPr="00F66363" w:rsidRDefault="004F6FF3" w:rsidP="004F6FF3">
      <w:pPr>
        <w:ind w:left="720" w:hanging="720"/>
        <w:jc w:val="both"/>
        <w:rPr>
          <w:rFonts w:eastAsia="宋体" w:cs="Times New Roman"/>
          <w:szCs w:val="21"/>
        </w:rPr>
      </w:pPr>
      <w:r>
        <w:rPr>
          <w:rFonts w:eastAsia="宋体" w:cs="Times New Roman"/>
          <w:b/>
          <w:bCs/>
          <w:szCs w:val="21"/>
        </w:rPr>
        <w:t>(</w:t>
      </w:r>
      <w:r>
        <w:rPr>
          <w:rFonts w:eastAsia="宋体" w:cs="Times New Roman" w:hint="eastAsia"/>
          <w:b/>
          <w:bCs/>
          <w:szCs w:val="21"/>
        </w:rPr>
        <w:t>十一</w:t>
      </w:r>
      <w:r>
        <w:rPr>
          <w:rFonts w:eastAsia="宋体" w:cs="Times New Roman"/>
          <w:b/>
          <w:bCs/>
          <w:szCs w:val="21"/>
        </w:rPr>
        <w:t>)</w:t>
      </w:r>
      <w:r w:rsidRPr="00F66363">
        <w:rPr>
          <w:rFonts w:eastAsia="宋体" w:cs="Times New Roman"/>
          <w:b/>
          <w:bCs/>
          <w:szCs w:val="21"/>
        </w:rPr>
        <w:tab/>
      </w:r>
      <w:r>
        <w:rPr>
          <w:rFonts w:eastAsia="宋体" w:cs="Times New Roman" w:hint="eastAsia"/>
          <w:b/>
          <w:bCs/>
          <w:szCs w:val="21"/>
        </w:rPr>
        <w:t>股份支付</w:t>
      </w:r>
      <w:r w:rsidRPr="00F66363">
        <w:rPr>
          <w:rFonts w:eastAsia="宋体" w:cs="Times New Roman"/>
          <w:szCs w:val="21"/>
        </w:rPr>
        <w:t xml:space="preserve"> - </w:t>
      </w:r>
      <w:r w:rsidRPr="00F66363">
        <w:rPr>
          <w:rFonts w:eastAsia="宋体" w:cs="Times New Roman" w:hint="eastAsia"/>
          <w:szCs w:val="21"/>
        </w:rPr>
        <w:t>续</w:t>
      </w:r>
    </w:p>
    <w:p w:rsidR="004F6FF3" w:rsidRPr="0027505B" w:rsidRDefault="004F6FF3" w:rsidP="0027505B">
      <w:pPr>
        <w:ind w:left="720"/>
        <w:jc w:val="both"/>
        <w:rPr>
          <w:rFonts w:asciiTheme="majorHAnsi" w:hAnsiTheme="majorHAnsi" w:cstheme="majorHAnsi"/>
          <w:szCs w:val="24"/>
        </w:rPr>
      </w:pPr>
    </w:p>
    <w:p w:rsidR="004F6FF3" w:rsidRPr="006026EB" w:rsidRDefault="004F6FF3" w:rsidP="004F6FF3">
      <w:pPr>
        <w:widowControl w:val="0"/>
        <w:ind w:leftChars="337" w:left="708"/>
        <w:jc w:val="both"/>
        <w:rPr>
          <w:rFonts w:eastAsia="宋体" w:cs="Times New Roman"/>
          <w:szCs w:val="21"/>
        </w:rPr>
      </w:pPr>
      <w:r w:rsidRPr="006026EB">
        <w:rPr>
          <w:rFonts w:eastAsia="宋体" w:cs="Times New Roman" w:hint="eastAsia"/>
          <w:b/>
          <w:bCs/>
          <w:szCs w:val="21"/>
        </w:rPr>
        <w:t>1</w:t>
      </w:r>
      <w:r w:rsidRPr="006026EB">
        <w:rPr>
          <w:rFonts w:eastAsia="宋体" w:cs="Times New Roman" w:hint="eastAsia"/>
          <w:b/>
          <w:bCs/>
          <w:szCs w:val="21"/>
        </w:rPr>
        <w:t>、</w:t>
      </w:r>
      <w:r w:rsidRPr="006026EB">
        <w:rPr>
          <w:rFonts w:eastAsia="宋体" w:cs="Times New Roman" w:hint="eastAsia"/>
          <w:b/>
          <w:bCs/>
          <w:szCs w:val="21"/>
        </w:rPr>
        <w:tab/>
      </w:r>
      <w:r w:rsidRPr="006026EB">
        <w:rPr>
          <w:rFonts w:eastAsia="宋体" w:cs="Times New Roman" w:hint="eastAsia"/>
          <w:b/>
          <w:bCs/>
          <w:szCs w:val="21"/>
        </w:rPr>
        <w:t>股份支付总体情况</w:t>
      </w:r>
      <w:r>
        <w:rPr>
          <w:rFonts w:eastAsia="宋体" w:cs="Times New Roman" w:hint="eastAsia"/>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4F6FF3" w:rsidRPr="0027505B" w:rsidRDefault="004F6FF3" w:rsidP="0027505B">
      <w:pPr>
        <w:ind w:left="720"/>
        <w:jc w:val="both"/>
        <w:rPr>
          <w:rFonts w:asciiTheme="majorHAnsi" w:hAnsiTheme="majorHAnsi" w:cstheme="majorHAnsi"/>
          <w:szCs w:val="24"/>
        </w:rPr>
      </w:pPr>
    </w:p>
    <w:p w:rsidR="004F6FF3" w:rsidRPr="006026EB" w:rsidRDefault="004F6FF3" w:rsidP="004F6FF3">
      <w:pPr>
        <w:widowControl w:val="0"/>
        <w:ind w:firstLine="708"/>
        <w:jc w:val="both"/>
        <w:rPr>
          <w:rFonts w:eastAsia="宋体" w:cs="Times New Roman"/>
          <w:szCs w:val="21"/>
          <w:u w:val="single"/>
        </w:rPr>
      </w:pPr>
      <w:r w:rsidRPr="006026EB">
        <w:rPr>
          <w:rFonts w:eastAsia="宋体" w:cs="Times New Roman" w:hint="eastAsia"/>
          <w:szCs w:val="21"/>
          <w:u w:val="single"/>
        </w:rPr>
        <w:t>员工</w:t>
      </w:r>
      <w:proofErr w:type="gramStart"/>
      <w:r w:rsidRPr="006026EB">
        <w:rPr>
          <w:rFonts w:eastAsia="宋体" w:cs="Times New Roman" w:hint="eastAsia"/>
          <w:szCs w:val="21"/>
          <w:u w:val="single"/>
        </w:rPr>
        <w:t>跟投创新</w:t>
      </w:r>
      <w:proofErr w:type="gramEnd"/>
      <w:r w:rsidRPr="006026EB">
        <w:rPr>
          <w:rFonts w:eastAsia="宋体" w:cs="Times New Roman" w:hint="eastAsia"/>
          <w:szCs w:val="21"/>
          <w:u w:val="single"/>
        </w:rPr>
        <w:t>业务股权激励计划</w:t>
      </w:r>
      <w:r w:rsidRPr="006026EB">
        <w:rPr>
          <w:rFonts w:eastAsia="宋体" w:cs="Times New Roman" w:hint="eastAsia"/>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205CB1" w:rsidRPr="00702529" w:rsidRDefault="00205CB1" w:rsidP="00205CB1">
      <w:pPr>
        <w:ind w:left="720"/>
        <w:jc w:val="both"/>
        <w:rPr>
          <w:rFonts w:asciiTheme="majorHAnsi" w:hAnsiTheme="majorHAnsi" w:cstheme="majorHAnsi"/>
          <w:szCs w:val="24"/>
        </w:rPr>
      </w:pPr>
    </w:p>
    <w:p w:rsidR="00205CB1" w:rsidRPr="00702529" w:rsidRDefault="00205CB1">
      <w:pPr>
        <w:ind w:left="720"/>
        <w:jc w:val="both"/>
        <w:rPr>
          <w:rFonts w:asciiTheme="majorHAnsi" w:hAnsiTheme="majorHAnsi" w:cstheme="majorHAnsi"/>
          <w:szCs w:val="24"/>
        </w:rPr>
      </w:pPr>
      <w:r w:rsidRPr="00702529">
        <w:rPr>
          <w:rFonts w:asciiTheme="majorHAnsi" w:hAnsiTheme="majorHAnsi" w:cstheme="majorHAnsi" w:hint="eastAsia"/>
          <w:szCs w:val="24"/>
        </w:rPr>
        <w:t>于</w:t>
      </w:r>
      <w:r w:rsidRPr="00702529">
        <w:rPr>
          <w:rFonts w:asciiTheme="majorHAnsi" w:hAnsiTheme="majorHAnsi" w:cstheme="majorHAnsi"/>
          <w:szCs w:val="24"/>
        </w:rPr>
        <w:t>2020</w:t>
      </w:r>
      <w:r w:rsidRPr="00702529">
        <w:rPr>
          <w:rFonts w:asciiTheme="majorHAnsi" w:hAnsiTheme="majorHAnsi" w:cstheme="majorHAnsi" w:hint="eastAsia"/>
          <w:szCs w:val="24"/>
        </w:rPr>
        <w:t>年</w:t>
      </w:r>
      <w:r w:rsidRPr="00702529">
        <w:rPr>
          <w:rFonts w:asciiTheme="majorHAnsi" w:hAnsiTheme="majorHAnsi" w:cstheme="majorHAnsi"/>
          <w:szCs w:val="24"/>
        </w:rPr>
        <w:t>12</w:t>
      </w:r>
      <w:r w:rsidRPr="00702529">
        <w:rPr>
          <w:rFonts w:asciiTheme="majorHAnsi" w:hAnsiTheme="majorHAnsi" w:cstheme="majorHAnsi" w:hint="eastAsia"/>
          <w:szCs w:val="24"/>
        </w:rPr>
        <w:t>月</w:t>
      </w:r>
      <w:r w:rsidRPr="00702529">
        <w:rPr>
          <w:rFonts w:asciiTheme="majorHAnsi" w:hAnsiTheme="majorHAnsi" w:cstheme="majorHAnsi"/>
          <w:szCs w:val="24"/>
        </w:rPr>
        <w:t>31</w:t>
      </w:r>
      <w:r w:rsidRPr="00702529">
        <w:rPr>
          <w:rFonts w:asciiTheme="majorHAnsi" w:hAnsiTheme="majorHAnsi" w:cstheme="majorHAnsi" w:hint="eastAsia"/>
          <w:szCs w:val="24"/>
        </w:rPr>
        <w:t>日，</w:t>
      </w:r>
      <w:proofErr w:type="gramStart"/>
      <w:r w:rsidRPr="00702529">
        <w:rPr>
          <w:rFonts w:asciiTheme="majorHAnsi" w:hAnsiTheme="majorHAnsi" w:cstheme="majorHAnsi" w:hint="eastAsia"/>
          <w:szCs w:val="24"/>
        </w:rPr>
        <w:t>跟投方案</w:t>
      </w:r>
      <w:proofErr w:type="gramEnd"/>
      <w:r w:rsidRPr="00702529">
        <w:rPr>
          <w:rFonts w:asciiTheme="majorHAnsi" w:hAnsiTheme="majorHAnsi" w:cstheme="majorHAnsi" w:hint="eastAsia"/>
          <w:szCs w:val="24"/>
        </w:rPr>
        <w:t>执行管理委员会通过了《核心员工跟投创新业务管理办法实施细则》</w:t>
      </w:r>
      <w:r w:rsidR="005F14EE">
        <w:rPr>
          <w:rFonts w:asciiTheme="majorHAnsi" w:hAnsiTheme="majorHAnsi" w:cstheme="majorHAnsi"/>
          <w:szCs w:val="24"/>
        </w:rPr>
        <w:t>(</w:t>
      </w:r>
      <w:r w:rsidRPr="00702529">
        <w:rPr>
          <w:rFonts w:asciiTheme="majorHAnsi" w:hAnsiTheme="majorHAnsi" w:cstheme="majorHAnsi" w:hint="eastAsia"/>
          <w:szCs w:val="24"/>
        </w:rPr>
        <w:t>以下简称</w:t>
      </w:r>
      <w:r w:rsidRPr="00702529">
        <w:rPr>
          <w:rFonts w:asciiTheme="majorHAnsi" w:hAnsiTheme="majorHAnsi" w:cstheme="majorHAnsi"/>
          <w:szCs w:val="24"/>
        </w:rPr>
        <w:t>“</w:t>
      </w:r>
      <w:r w:rsidRPr="00702529">
        <w:rPr>
          <w:rFonts w:asciiTheme="majorHAnsi" w:hAnsiTheme="majorHAnsi" w:cstheme="majorHAnsi" w:hint="eastAsia"/>
          <w:szCs w:val="24"/>
        </w:rPr>
        <w:t>新版细则</w:t>
      </w:r>
      <w:r w:rsidRPr="00702529">
        <w:rPr>
          <w:rFonts w:asciiTheme="majorHAnsi" w:hAnsiTheme="majorHAnsi" w:cstheme="majorHAnsi"/>
          <w:szCs w:val="24"/>
        </w:rPr>
        <w:t>”</w:t>
      </w:r>
      <w:r w:rsidR="005F14EE">
        <w:rPr>
          <w:rFonts w:asciiTheme="majorHAnsi" w:hAnsiTheme="majorHAnsi" w:cstheme="majorHAnsi"/>
          <w:szCs w:val="24"/>
        </w:rPr>
        <w:t>)</w:t>
      </w:r>
      <w:r w:rsidRPr="00702529">
        <w:rPr>
          <w:rFonts w:asciiTheme="majorHAnsi" w:hAnsiTheme="majorHAnsi" w:cstheme="majorHAnsi" w:hint="eastAsia"/>
          <w:szCs w:val="24"/>
        </w:rPr>
        <w:t>。根据新版《管理办法》和新版细则，对于已确权的</w:t>
      </w:r>
      <w:r w:rsidRPr="00702529">
        <w:rPr>
          <w:rFonts w:asciiTheme="majorHAnsi" w:hAnsiTheme="majorHAnsi" w:cstheme="majorHAnsi"/>
          <w:szCs w:val="24"/>
        </w:rPr>
        <w:t>A</w:t>
      </w:r>
      <w:r w:rsidRPr="00702529">
        <w:rPr>
          <w:rFonts w:asciiTheme="majorHAnsi" w:hAnsiTheme="majorHAnsi" w:cstheme="majorHAnsi" w:hint="eastAsia"/>
          <w:szCs w:val="24"/>
        </w:rPr>
        <w:t>计划份额，等待期为该员工于公司或其分子公司工作满五周年</w:t>
      </w:r>
      <w:r w:rsidR="005F14EE">
        <w:rPr>
          <w:rFonts w:asciiTheme="majorHAnsi" w:hAnsiTheme="majorHAnsi" w:cstheme="majorHAnsi" w:hint="eastAsia"/>
          <w:szCs w:val="24"/>
        </w:rPr>
        <w:t>；</w:t>
      </w:r>
      <w:r w:rsidRPr="00702529">
        <w:rPr>
          <w:rFonts w:asciiTheme="majorHAnsi" w:hAnsiTheme="majorHAnsi" w:cstheme="majorHAnsi" w:hint="eastAsia"/>
          <w:szCs w:val="24"/>
        </w:rPr>
        <w:t>对于已确权的</w:t>
      </w:r>
      <w:r w:rsidRPr="00702529">
        <w:rPr>
          <w:rFonts w:asciiTheme="majorHAnsi" w:hAnsiTheme="majorHAnsi" w:cstheme="majorHAnsi"/>
          <w:szCs w:val="24"/>
        </w:rPr>
        <w:t>B</w:t>
      </w:r>
      <w:r w:rsidRPr="00702529">
        <w:rPr>
          <w:rFonts w:asciiTheme="majorHAnsi" w:hAnsiTheme="majorHAnsi" w:cstheme="majorHAnsi" w:hint="eastAsia"/>
          <w:szCs w:val="24"/>
        </w:rPr>
        <w:t>计划份额，等待期为该员工于该</w:t>
      </w:r>
      <w:r w:rsidRPr="00702529">
        <w:rPr>
          <w:rFonts w:asciiTheme="majorHAnsi" w:hAnsiTheme="majorHAnsi" w:cstheme="majorHAnsi"/>
          <w:szCs w:val="24"/>
        </w:rPr>
        <w:t>B</w:t>
      </w:r>
      <w:r w:rsidRPr="00702529">
        <w:rPr>
          <w:rFonts w:asciiTheme="majorHAnsi" w:hAnsiTheme="majorHAnsi" w:cstheme="majorHAnsi" w:hint="eastAsia"/>
          <w:szCs w:val="24"/>
        </w:rPr>
        <w:t>计划对应的创新业务子公司或其下属分子公司工作满五周年。</w:t>
      </w:r>
    </w:p>
    <w:p w:rsidR="00205CB1" w:rsidRPr="00205CB1" w:rsidRDefault="00205CB1">
      <w:pPr>
        <w:widowControl w:val="0"/>
        <w:ind w:left="720"/>
        <w:jc w:val="both"/>
        <w:rPr>
          <w:rFonts w:eastAsia="宋体" w:cs="Times New Roman"/>
          <w:szCs w:val="21"/>
        </w:rPr>
      </w:pPr>
    </w:p>
    <w:p w:rsidR="00753B8C" w:rsidRPr="00A71D2E" w:rsidRDefault="00753B8C">
      <w:pPr>
        <w:numPr>
          <w:ilvl w:val="2"/>
          <w:numId w:val="1"/>
        </w:numPr>
        <w:ind w:left="1440" w:hanging="720"/>
        <w:outlineLvl w:val="1"/>
        <w:rPr>
          <w:rFonts w:eastAsia="宋体" w:cs="Times New Roman"/>
          <w:b/>
          <w:bCs/>
          <w:color w:val="000000" w:themeColor="text1"/>
          <w:szCs w:val="21"/>
          <w:lang w:val="x-none" w:eastAsia="x-none"/>
        </w:rPr>
      </w:pPr>
      <w:proofErr w:type="spellStart"/>
      <w:r w:rsidRPr="00A71D2E">
        <w:rPr>
          <w:rFonts w:eastAsia="宋体" w:cs="Times New Roman" w:hint="eastAsia"/>
          <w:b/>
          <w:bCs/>
          <w:color w:val="000000" w:themeColor="text1"/>
          <w:szCs w:val="21"/>
          <w:lang w:val="x-none" w:eastAsia="x-none"/>
        </w:rPr>
        <w:t>以权益结算的股份支付情况</w:t>
      </w:r>
      <w:proofErr w:type="spellEnd"/>
    </w:p>
    <w:p w:rsidR="00753B8C" w:rsidRPr="00A71D2E" w:rsidRDefault="00753B8C">
      <w:pPr>
        <w:widowControl w:val="0"/>
        <w:ind w:left="720"/>
        <w:jc w:val="both"/>
        <w:rPr>
          <w:rFonts w:eastAsia="宋体" w:cs="Times New Roman"/>
          <w:szCs w:val="21"/>
        </w:rPr>
      </w:pPr>
    </w:p>
    <w:p w:rsidR="00753B8C" w:rsidRPr="00A71D2E" w:rsidRDefault="00753B8C" w:rsidP="00F66363">
      <w:pPr>
        <w:ind w:left="720"/>
        <w:jc w:val="both"/>
        <w:rPr>
          <w:rFonts w:eastAsia="宋体" w:cs="Times New Roman"/>
          <w:b/>
          <w:szCs w:val="21"/>
          <w:u w:val="single"/>
        </w:rPr>
      </w:pPr>
      <w:r w:rsidRPr="00A71D2E">
        <w:rPr>
          <w:rFonts w:eastAsia="宋体" w:cs="Times New Roman" w:hint="eastAsia"/>
          <w:snapToGrid w:val="0"/>
          <w:kern w:val="2"/>
          <w:szCs w:val="24"/>
          <w:u w:val="single"/>
        </w:rPr>
        <w:t>员工</w:t>
      </w:r>
      <w:proofErr w:type="gramStart"/>
      <w:r w:rsidRPr="00A71D2E">
        <w:rPr>
          <w:rFonts w:eastAsia="宋体" w:cs="Times New Roman" w:hint="eastAsia"/>
          <w:snapToGrid w:val="0"/>
          <w:kern w:val="2"/>
          <w:szCs w:val="24"/>
          <w:u w:val="single"/>
        </w:rPr>
        <w:t>跟投创新</w:t>
      </w:r>
      <w:proofErr w:type="gramEnd"/>
      <w:r w:rsidRPr="00A71D2E">
        <w:rPr>
          <w:rFonts w:eastAsia="宋体" w:cs="Times New Roman" w:hint="eastAsia"/>
          <w:snapToGrid w:val="0"/>
          <w:kern w:val="2"/>
          <w:szCs w:val="24"/>
          <w:u w:val="single"/>
        </w:rPr>
        <w:t>业务股权激励计划</w:t>
      </w:r>
    </w:p>
    <w:p w:rsidR="00753B8C" w:rsidRPr="00A71D2E" w:rsidRDefault="00753B8C" w:rsidP="00F66363">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3" w:type="dxa"/>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71"/>
        <w:gridCol w:w="2241"/>
        <w:gridCol w:w="2241"/>
      </w:tblGrid>
      <w:tr w:rsidR="005B073C" w:rsidRPr="004F6FF3" w:rsidTr="0027505B">
        <w:trPr>
          <w:trHeight w:val="20"/>
        </w:trPr>
        <w:tc>
          <w:tcPr>
            <w:tcW w:w="4971" w:type="dxa"/>
            <w:shd w:val="clear" w:color="auto" w:fill="D9D9D9" w:themeFill="background1" w:themeFillShade="D9"/>
            <w:tcMar>
              <w:top w:w="0" w:type="dxa"/>
              <w:left w:w="108" w:type="dxa"/>
              <w:bottom w:w="0" w:type="dxa"/>
              <w:right w:w="108" w:type="dxa"/>
            </w:tcMar>
            <w:vAlign w:val="center"/>
          </w:tcPr>
          <w:p w:rsidR="005B073C" w:rsidRPr="0027505B" w:rsidRDefault="003F4926" w:rsidP="00F66363">
            <w:pPr>
              <w:jc w:val="center"/>
              <w:rPr>
                <w:rFonts w:eastAsia="宋体" w:cs="Times New Roman"/>
                <w:sz w:val="18"/>
                <w:szCs w:val="18"/>
              </w:rPr>
            </w:pPr>
            <w:r w:rsidRPr="0027505B">
              <w:rPr>
                <w:rFonts w:eastAsia="宋体" w:cs="Times New Roman" w:hint="eastAsia"/>
                <w:sz w:val="18"/>
                <w:szCs w:val="18"/>
              </w:rPr>
              <w:t>项目</w:t>
            </w:r>
          </w:p>
        </w:tc>
        <w:tc>
          <w:tcPr>
            <w:tcW w:w="2241" w:type="dxa"/>
            <w:shd w:val="clear" w:color="auto" w:fill="D9D9D9"/>
            <w:vAlign w:val="center"/>
          </w:tcPr>
          <w:p w:rsidR="005B073C" w:rsidRPr="0027505B" w:rsidRDefault="005B073C" w:rsidP="00F66363">
            <w:pPr>
              <w:jc w:val="center"/>
              <w:rPr>
                <w:rFonts w:eastAsia="宋体" w:cs="Times New Roman"/>
                <w:sz w:val="18"/>
                <w:szCs w:val="18"/>
              </w:rPr>
            </w:pPr>
            <w:r w:rsidRPr="0027505B">
              <w:rPr>
                <w:rFonts w:eastAsia="宋体" w:cs="Times New Roman"/>
                <w:sz w:val="18"/>
                <w:szCs w:val="18"/>
              </w:rPr>
              <w:t>202</w:t>
            </w:r>
            <w:r w:rsidR="00A80DAC" w:rsidRPr="0027505B">
              <w:rPr>
                <w:rFonts w:eastAsia="宋体" w:cs="Times New Roman"/>
                <w:sz w:val="18"/>
                <w:szCs w:val="18"/>
              </w:rPr>
              <w:t>3</w:t>
            </w:r>
            <w:r w:rsidRPr="0027505B">
              <w:rPr>
                <w:rFonts w:eastAsia="宋体" w:cs="Times New Roman" w:hint="eastAsia"/>
                <w:sz w:val="18"/>
                <w:szCs w:val="18"/>
              </w:rPr>
              <w:t>年度</w:t>
            </w:r>
          </w:p>
        </w:tc>
        <w:tc>
          <w:tcPr>
            <w:tcW w:w="2241" w:type="dxa"/>
            <w:shd w:val="clear" w:color="auto" w:fill="D9D9D9"/>
            <w:vAlign w:val="center"/>
          </w:tcPr>
          <w:p w:rsidR="005B073C" w:rsidRPr="0027505B" w:rsidRDefault="005B073C" w:rsidP="00F66363">
            <w:pPr>
              <w:jc w:val="center"/>
              <w:rPr>
                <w:rFonts w:eastAsia="宋体" w:cs="Times New Roman"/>
                <w:sz w:val="18"/>
                <w:szCs w:val="18"/>
              </w:rPr>
            </w:pPr>
            <w:r w:rsidRPr="0027505B">
              <w:rPr>
                <w:rFonts w:eastAsia="宋体" w:cs="Times New Roman"/>
                <w:sz w:val="18"/>
                <w:szCs w:val="18"/>
              </w:rPr>
              <w:t>202</w:t>
            </w:r>
            <w:r w:rsidR="00A80DAC" w:rsidRPr="0027505B">
              <w:rPr>
                <w:rFonts w:eastAsia="宋体" w:cs="Times New Roman"/>
                <w:sz w:val="18"/>
                <w:szCs w:val="18"/>
              </w:rPr>
              <w:t>2</w:t>
            </w:r>
            <w:r w:rsidRPr="0027505B">
              <w:rPr>
                <w:rFonts w:eastAsia="宋体" w:cs="Times New Roman" w:hint="eastAsia"/>
                <w:sz w:val="18"/>
                <w:szCs w:val="18"/>
              </w:rPr>
              <w:t>年度</w:t>
            </w:r>
          </w:p>
        </w:tc>
      </w:tr>
      <w:tr w:rsidR="00EA40A5" w:rsidRPr="004F6FF3" w:rsidTr="0027505B">
        <w:trPr>
          <w:trHeight w:val="20"/>
        </w:trPr>
        <w:tc>
          <w:tcPr>
            <w:tcW w:w="4971" w:type="dxa"/>
            <w:shd w:val="clear" w:color="auto" w:fill="D9D9D9" w:themeFill="background1" w:themeFillShade="D9"/>
            <w:tcMar>
              <w:top w:w="0" w:type="dxa"/>
              <w:left w:w="108" w:type="dxa"/>
              <w:bottom w:w="0" w:type="dxa"/>
              <w:right w:w="108" w:type="dxa"/>
            </w:tcMar>
            <w:vAlign w:val="center"/>
            <w:hideMark/>
          </w:tcPr>
          <w:p w:rsidR="00EA40A5" w:rsidRPr="0027505B" w:rsidRDefault="00EA40A5" w:rsidP="00F66363">
            <w:pPr>
              <w:rPr>
                <w:rFonts w:eastAsia="宋体" w:cs="Times New Roman"/>
                <w:sz w:val="18"/>
                <w:szCs w:val="18"/>
              </w:rPr>
            </w:pPr>
            <w:r w:rsidRPr="0027505B">
              <w:rPr>
                <w:rFonts w:eastAsia="宋体" w:cs="Times New Roman" w:hint="eastAsia"/>
                <w:sz w:val="18"/>
                <w:szCs w:val="18"/>
              </w:rPr>
              <w:t>授予日权益工具公允价值的确定方法</w:t>
            </w:r>
          </w:p>
        </w:tc>
        <w:tc>
          <w:tcPr>
            <w:tcW w:w="4482" w:type="dxa"/>
            <w:gridSpan w:val="2"/>
            <w:vAlign w:val="center"/>
          </w:tcPr>
          <w:p w:rsidR="00EA40A5" w:rsidRPr="0027505B" w:rsidRDefault="00EA40A5" w:rsidP="00F66363">
            <w:pPr>
              <w:jc w:val="center"/>
              <w:rPr>
                <w:rFonts w:eastAsia="宋体" w:cs="Times New Roman"/>
                <w:sz w:val="18"/>
                <w:szCs w:val="18"/>
              </w:rPr>
            </w:pPr>
            <w:r w:rsidRPr="0027505B">
              <w:rPr>
                <w:rFonts w:eastAsia="宋体" w:cs="Times New Roman" w:hint="eastAsia"/>
                <w:sz w:val="18"/>
                <w:szCs w:val="18"/>
              </w:rPr>
              <w:t>授予日以收益法评估确定</w:t>
            </w:r>
            <w:r w:rsidR="005F14EE" w:rsidRPr="0027505B">
              <w:rPr>
                <w:rFonts w:eastAsia="宋体" w:cs="Times New Roman"/>
                <w:sz w:val="18"/>
                <w:szCs w:val="18"/>
              </w:rPr>
              <w:t>(</w:t>
            </w:r>
            <w:r w:rsidR="0009032C" w:rsidRPr="0027505B">
              <w:rPr>
                <w:rFonts w:eastAsia="宋体" w:cs="Times New Roman" w:hint="eastAsia"/>
                <w:sz w:val="18"/>
                <w:szCs w:val="18"/>
              </w:rPr>
              <w:t>注</w:t>
            </w:r>
            <w:r w:rsidR="005F14EE" w:rsidRPr="0027505B">
              <w:rPr>
                <w:rFonts w:eastAsia="宋体" w:cs="Times New Roman"/>
                <w:sz w:val="18"/>
                <w:szCs w:val="18"/>
              </w:rPr>
              <w:t>)</w:t>
            </w:r>
          </w:p>
        </w:tc>
      </w:tr>
      <w:tr w:rsidR="003F4926" w:rsidRPr="004F6FF3" w:rsidTr="0027505B">
        <w:trPr>
          <w:trHeight w:val="20"/>
        </w:trPr>
        <w:tc>
          <w:tcPr>
            <w:tcW w:w="4971" w:type="dxa"/>
            <w:shd w:val="clear" w:color="auto" w:fill="D9D9D9" w:themeFill="background1" w:themeFillShade="D9"/>
            <w:tcMar>
              <w:top w:w="0" w:type="dxa"/>
              <w:left w:w="108" w:type="dxa"/>
              <w:bottom w:w="0" w:type="dxa"/>
              <w:right w:w="108" w:type="dxa"/>
            </w:tcMar>
            <w:vAlign w:val="center"/>
            <w:hideMark/>
          </w:tcPr>
          <w:p w:rsidR="003F4926" w:rsidRPr="0027505B" w:rsidRDefault="003F4926" w:rsidP="00F66363">
            <w:pPr>
              <w:rPr>
                <w:rFonts w:eastAsia="宋体" w:cs="Times New Roman"/>
                <w:sz w:val="18"/>
                <w:szCs w:val="18"/>
              </w:rPr>
            </w:pPr>
            <w:r w:rsidRPr="0027505B">
              <w:rPr>
                <w:rFonts w:eastAsia="宋体" w:cs="Times New Roman" w:hint="eastAsia"/>
                <w:sz w:val="18"/>
                <w:szCs w:val="18"/>
              </w:rPr>
              <w:t>可行权权益工具数量的确定依据</w:t>
            </w:r>
          </w:p>
        </w:tc>
        <w:tc>
          <w:tcPr>
            <w:tcW w:w="4482" w:type="dxa"/>
            <w:gridSpan w:val="2"/>
            <w:vAlign w:val="center"/>
          </w:tcPr>
          <w:p w:rsidR="003F4926" w:rsidRPr="0027505B" w:rsidRDefault="003F4926" w:rsidP="00F66363">
            <w:pPr>
              <w:jc w:val="center"/>
              <w:rPr>
                <w:rFonts w:eastAsia="宋体" w:cs="Times New Roman"/>
                <w:sz w:val="18"/>
                <w:szCs w:val="18"/>
              </w:rPr>
            </w:pPr>
            <w:r w:rsidRPr="0027505B">
              <w:rPr>
                <w:rFonts w:eastAsia="宋体" w:cs="Times New Roman" w:hint="eastAsia"/>
                <w:sz w:val="18"/>
                <w:szCs w:val="18"/>
              </w:rPr>
              <w:t>按各解锁期的</w:t>
            </w:r>
            <w:r w:rsidR="00650A2D" w:rsidRPr="0027505B">
              <w:rPr>
                <w:rFonts w:eastAsia="宋体" w:cs="Times New Roman" w:hint="eastAsia"/>
                <w:sz w:val="18"/>
                <w:szCs w:val="18"/>
              </w:rPr>
              <w:t>离职</w:t>
            </w:r>
            <w:proofErr w:type="gramStart"/>
            <w:r w:rsidR="00650A2D" w:rsidRPr="0027505B">
              <w:rPr>
                <w:rFonts w:eastAsia="宋体" w:cs="Times New Roman" w:hint="eastAsia"/>
                <w:sz w:val="18"/>
                <w:szCs w:val="18"/>
              </w:rPr>
              <w:t>率</w:t>
            </w:r>
            <w:r w:rsidRPr="0027505B">
              <w:rPr>
                <w:rFonts w:eastAsia="宋体" w:cs="Times New Roman" w:hint="eastAsia"/>
                <w:sz w:val="18"/>
                <w:szCs w:val="18"/>
              </w:rPr>
              <w:t>估计</w:t>
            </w:r>
            <w:proofErr w:type="gramEnd"/>
            <w:r w:rsidRPr="0027505B">
              <w:rPr>
                <w:rFonts w:eastAsia="宋体" w:cs="Times New Roman" w:hint="eastAsia"/>
                <w:sz w:val="18"/>
                <w:szCs w:val="18"/>
              </w:rPr>
              <w:t>确定</w:t>
            </w:r>
          </w:p>
        </w:tc>
      </w:tr>
      <w:tr w:rsidR="00DE6794" w:rsidRPr="004F6FF3" w:rsidTr="0027505B">
        <w:trPr>
          <w:trHeight w:val="20"/>
        </w:trPr>
        <w:tc>
          <w:tcPr>
            <w:tcW w:w="4971" w:type="dxa"/>
            <w:shd w:val="clear" w:color="auto" w:fill="D9D9D9" w:themeFill="background1" w:themeFillShade="D9"/>
            <w:tcMar>
              <w:top w:w="0" w:type="dxa"/>
              <w:left w:w="108" w:type="dxa"/>
              <w:bottom w:w="0" w:type="dxa"/>
              <w:right w:w="108" w:type="dxa"/>
            </w:tcMar>
            <w:vAlign w:val="center"/>
            <w:hideMark/>
          </w:tcPr>
          <w:p w:rsidR="00DE6794" w:rsidRPr="0027505B" w:rsidRDefault="00DE6794" w:rsidP="00DE6794">
            <w:pPr>
              <w:rPr>
                <w:rFonts w:eastAsia="宋体" w:cs="Times New Roman"/>
                <w:sz w:val="18"/>
                <w:szCs w:val="18"/>
              </w:rPr>
            </w:pPr>
            <w:r w:rsidRPr="0027505B">
              <w:rPr>
                <w:rFonts w:eastAsia="宋体" w:cs="Times New Roman" w:hint="eastAsia"/>
                <w:sz w:val="18"/>
                <w:szCs w:val="18"/>
              </w:rPr>
              <w:t>以权益结算的股份支付计入资本公积的累计金额</w:t>
            </w:r>
          </w:p>
        </w:tc>
        <w:tc>
          <w:tcPr>
            <w:tcW w:w="2241" w:type="dxa"/>
            <w:vAlign w:val="center"/>
          </w:tcPr>
          <w:p w:rsidR="00DE6794" w:rsidRPr="0027505B" w:rsidRDefault="00A80DAC" w:rsidP="00DE6794">
            <w:pPr>
              <w:ind w:right="105"/>
              <w:jc w:val="right"/>
              <w:rPr>
                <w:rFonts w:eastAsia="宋体" w:cs="Times New Roman"/>
                <w:sz w:val="18"/>
                <w:szCs w:val="18"/>
              </w:rPr>
            </w:pPr>
            <w:r w:rsidRPr="0027505B">
              <w:rPr>
                <w:rFonts w:eastAsia="宋体" w:cs="Times New Roman"/>
                <w:sz w:val="18"/>
                <w:szCs w:val="18"/>
              </w:rPr>
              <w:t>147,631,534.21</w:t>
            </w:r>
          </w:p>
        </w:tc>
        <w:tc>
          <w:tcPr>
            <w:tcW w:w="2241" w:type="dxa"/>
            <w:vAlign w:val="center"/>
          </w:tcPr>
          <w:p w:rsidR="00DE6794" w:rsidRPr="0027505B" w:rsidRDefault="00DE6794" w:rsidP="00DE6794">
            <w:pPr>
              <w:ind w:right="105"/>
              <w:jc w:val="right"/>
              <w:rPr>
                <w:rFonts w:eastAsia="宋体" w:cs="Times New Roman"/>
                <w:sz w:val="18"/>
                <w:szCs w:val="18"/>
              </w:rPr>
            </w:pPr>
            <w:r w:rsidRPr="0027505B">
              <w:rPr>
                <w:rFonts w:eastAsia="宋体" w:cs="Times New Roman"/>
                <w:sz w:val="18"/>
                <w:szCs w:val="18"/>
              </w:rPr>
              <w:t>137,293,652.92</w:t>
            </w:r>
          </w:p>
        </w:tc>
      </w:tr>
      <w:tr w:rsidR="00DE6794" w:rsidRPr="004F6FF3" w:rsidTr="0027505B">
        <w:trPr>
          <w:trHeight w:val="20"/>
        </w:trPr>
        <w:tc>
          <w:tcPr>
            <w:tcW w:w="4971" w:type="dxa"/>
            <w:shd w:val="clear" w:color="auto" w:fill="D9D9D9" w:themeFill="background1" w:themeFillShade="D9"/>
            <w:tcMar>
              <w:top w:w="0" w:type="dxa"/>
              <w:left w:w="108" w:type="dxa"/>
              <w:bottom w:w="0" w:type="dxa"/>
              <w:right w:w="108" w:type="dxa"/>
            </w:tcMar>
            <w:vAlign w:val="center"/>
            <w:hideMark/>
          </w:tcPr>
          <w:p w:rsidR="00DE6794" w:rsidRPr="0027505B" w:rsidRDefault="00DE6794" w:rsidP="00DE6794">
            <w:pPr>
              <w:rPr>
                <w:rFonts w:eastAsia="宋体" w:cs="Times New Roman"/>
                <w:sz w:val="18"/>
                <w:szCs w:val="18"/>
              </w:rPr>
            </w:pPr>
            <w:r w:rsidRPr="0027505B">
              <w:rPr>
                <w:rFonts w:eastAsia="宋体" w:cs="Times New Roman" w:hint="eastAsia"/>
                <w:sz w:val="18"/>
                <w:szCs w:val="18"/>
              </w:rPr>
              <w:t>以权益结算的股份支付确认的费用总额</w:t>
            </w:r>
          </w:p>
        </w:tc>
        <w:tc>
          <w:tcPr>
            <w:tcW w:w="2241" w:type="dxa"/>
            <w:vAlign w:val="center"/>
          </w:tcPr>
          <w:p w:rsidR="00DE6794" w:rsidRPr="0027505B" w:rsidRDefault="00A80DAC" w:rsidP="00DE6794">
            <w:pPr>
              <w:ind w:right="105"/>
              <w:jc w:val="right"/>
              <w:rPr>
                <w:rFonts w:eastAsia="宋体" w:cs="Times New Roman"/>
                <w:sz w:val="18"/>
                <w:szCs w:val="18"/>
              </w:rPr>
            </w:pPr>
            <w:r w:rsidRPr="0027505B">
              <w:rPr>
                <w:rFonts w:eastAsia="宋体" w:cs="Times New Roman"/>
                <w:sz w:val="18"/>
                <w:szCs w:val="18"/>
              </w:rPr>
              <w:t>10,337,881.29</w:t>
            </w:r>
          </w:p>
        </w:tc>
        <w:tc>
          <w:tcPr>
            <w:tcW w:w="2241" w:type="dxa"/>
            <w:vAlign w:val="center"/>
          </w:tcPr>
          <w:p w:rsidR="00DE6794" w:rsidRPr="0027505B" w:rsidRDefault="00DE6794" w:rsidP="00DE6794">
            <w:pPr>
              <w:ind w:right="105"/>
              <w:jc w:val="right"/>
              <w:rPr>
                <w:rFonts w:eastAsia="宋体" w:cs="Times New Roman"/>
                <w:sz w:val="18"/>
                <w:szCs w:val="18"/>
              </w:rPr>
            </w:pPr>
            <w:r w:rsidRPr="0027505B">
              <w:rPr>
                <w:rFonts w:eastAsia="宋体" w:cs="Times New Roman"/>
                <w:sz w:val="18"/>
                <w:szCs w:val="18"/>
              </w:rPr>
              <w:t>15,926,265.83</w:t>
            </w:r>
          </w:p>
        </w:tc>
      </w:tr>
    </w:tbl>
    <w:p w:rsidR="004F6FF3" w:rsidRDefault="004F6FF3" w:rsidP="00996029">
      <w:pPr>
        <w:ind w:left="1440" w:hanging="720"/>
        <w:jc w:val="both"/>
        <w:rPr>
          <w:rFonts w:eastAsia="宋体" w:cs="Times New Roman"/>
          <w:szCs w:val="21"/>
        </w:rPr>
      </w:pPr>
    </w:p>
    <w:p w:rsidR="00996029" w:rsidRPr="0087720D" w:rsidRDefault="00996029" w:rsidP="00996029">
      <w:pPr>
        <w:ind w:left="1440" w:hanging="720"/>
        <w:jc w:val="both"/>
        <w:rPr>
          <w:rFonts w:eastAsia="宋体" w:cs="Times New Roman"/>
          <w:spacing w:val="-2"/>
          <w:szCs w:val="21"/>
        </w:rPr>
      </w:pPr>
      <w:r w:rsidRPr="0087720D">
        <w:rPr>
          <w:rFonts w:eastAsia="宋体" w:cs="Times New Roman" w:hint="eastAsia"/>
          <w:szCs w:val="21"/>
        </w:rPr>
        <w:t>注</w:t>
      </w:r>
      <w:r w:rsidR="005F14EE">
        <w:rPr>
          <w:rFonts w:eastAsia="宋体" w:cs="Times New Roman" w:hint="eastAsia"/>
          <w:szCs w:val="21"/>
        </w:rPr>
        <w:t>：</w:t>
      </w:r>
      <w:r w:rsidRPr="0087720D">
        <w:rPr>
          <w:rFonts w:eastAsia="宋体" w:cs="Times New Roman"/>
          <w:szCs w:val="21"/>
        </w:rPr>
        <w:tab/>
      </w:r>
      <w:proofErr w:type="gramStart"/>
      <w:r w:rsidRPr="0087720D">
        <w:rPr>
          <w:rFonts w:eastAsia="宋体" w:cs="Times New Roman" w:hint="eastAsia"/>
          <w:spacing w:val="-2"/>
          <w:szCs w:val="21"/>
        </w:rPr>
        <w:t>跟投平台</w:t>
      </w:r>
      <w:proofErr w:type="gramEnd"/>
      <w:r w:rsidRPr="0087720D">
        <w:rPr>
          <w:rFonts w:eastAsia="宋体" w:cs="Times New Roman" w:hint="eastAsia"/>
          <w:spacing w:val="-2"/>
          <w:szCs w:val="21"/>
        </w:rPr>
        <w:t>权益工具的公允价值主要包括本集团及海康集团下属其他创新业务公司的股权价值。上述股权的公允价值根据第三方机构评估确定，评估方法为现金流量折现法。其中使用的未来盈利预测及折现率等关键假设是基于本集团及其他创新业务公司的最佳估计</w:t>
      </w:r>
      <w:r w:rsidRPr="000B3D2A">
        <w:rPr>
          <w:rFonts w:eastAsia="宋体" w:cs="Times New Roman" w:hint="eastAsia"/>
          <w:spacing w:val="-2"/>
          <w:szCs w:val="21"/>
        </w:rPr>
        <w:t>。</w:t>
      </w:r>
      <w:r w:rsidR="007F4854" w:rsidRPr="00FE2C30">
        <w:rPr>
          <w:rFonts w:eastAsia="宋体" w:cs="Times New Roman" w:hint="eastAsia"/>
          <w:spacing w:val="-2"/>
          <w:szCs w:val="21"/>
        </w:rPr>
        <w:t>主要参数列示如下</w:t>
      </w:r>
      <w:r w:rsidR="005F14EE">
        <w:rPr>
          <w:rFonts w:eastAsia="宋体" w:cs="Times New Roman" w:hint="eastAsia"/>
          <w:spacing w:val="-2"/>
          <w:szCs w:val="21"/>
        </w:rPr>
        <w:t>：</w:t>
      </w:r>
    </w:p>
    <w:p w:rsidR="0009032C" w:rsidRDefault="0009032C" w:rsidP="00A374B8">
      <w:pPr>
        <w:ind w:left="720"/>
        <w:jc w:val="both"/>
        <w:rPr>
          <w:rFonts w:eastAsia="宋体" w:cs="Times New Roman"/>
          <w:szCs w:val="18"/>
        </w:rPr>
      </w:pP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74"/>
        <w:gridCol w:w="4482"/>
      </w:tblGrid>
      <w:tr w:rsidR="007F4854" w:rsidRPr="004F6FF3" w:rsidTr="0027505B">
        <w:trPr>
          <w:trHeight w:val="20"/>
        </w:trPr>
        <w:tc>
          <w:tcPr>
            <w:tcW w:w="4974" w:type="dxa"/>
            <w:shd w:val="clear" w:color="auto" w:fill="D9D9D9"/>
            <w:vAlign w:val="center"/>
            <w:hideMark/>
          </w:tcPr>
          <w:p w:rsidR="007F4854" w:rsidRPr="0027505B" w:rsidRDefault="007F4854" w:rsidP="00E456AF">
            <w:pPr>
              <w:widowControl w:val="0"/>
              <w:ind w:left="100"/>
              <w:jc w:val="center"/>
              <w:rPr>
                <w:rFonts w:eastAsia="宋体" w:cs="Times New Roman"/>
                <w:sz w:val="18"/>
                <w:szCs w:val="18"/>
              </w:rPr>
            </w:pPr>
            <w:r w:rsidRPr="0027505B">
              <w:rPr>
                <w:rFonts w:eastAsia="宋体" w:cs="Times New Roman"/>
                <w:sz w:val="18"/>
                <w:szCs w:val="18"/>
              </w:rPr>
              <w:t>2023</w:t>
            </w:r>
            <w:r w:rsidRPr="0027505B">
              <w:rPr>
                <w:rFonts w:eastAsia="宋体" w:cs="Times New Roman" w:hint="eastAsia"/>
                <w:sz w:val="18"/>
                <w:szCs w:val="18"/>
              </w:rPr>
              <w:t>年</w:t>
            </w:r>
          </w:p>
        </w:tc>
        <w:tc>
          <w:tcPr>
            <w:tcW w:w="4482" w:type="dxa"/>
            <w:shd w:val="clear" w:color="auto" w:fill="D9D9D9" w:themeFill="background1" w:themeFillShade="D9"/>
            <w:vAlign w:val="center"/>
            <w:hideMark/>
          </w:tcPr>
          <w:p w:rsidR="007F4854" w:rsidRPr="0027505B" w:rsidRDefault="007F4854" w:rsidP="00E456AF">
            <w:pPr>
              <w:widowControl w:val="0"/>
              <w:ind w:left="100" w:right="118"/>
              <w:jc w:val="center"/>
              <w:rPr>
                <w:rFonts w:eastAsia="宋体" w:cs="Times New Roman"/>
                <w:sz w:val="18"/>
                <w:szCs w:val="18"/>
              </w:rPr>
            </w:pPr>
            <w:r w:rsidRPr="0027505B">
              <w:rPr>
                <w:rFonts w:eastAsia="宋体" w:cs="Times New Roman" w:hint="eastAsia"/>
                <w:sz w:val="18"/>
                <w:szCs w:val="18"/>
              </w:rPr>
              <w:t>其他创新业务公司</w:t>
            </w:r>
          </w:p>
        </w:tc>
      </w:tr>
      <w:tr w:rsidR="007F4854" w:rsidRPr="004F6FF3" w:rsidTr="0027505B">
        <w:trPr>
          <w:trHeight w:val="20"/>
        </w:trPr>
        <w:tc>
          <w:tcPr>
            <w:tcW w:w="4974" w:type="dxa"/>
            <w:shd w:val="clear" w:color="auto" w:fill="D9D9D9"/>
            <w:vAlign w:val="center"/>
            <w:hideMark/>
          </w:tcPr>
          <w:p w:rsidR="007F4854" w:rsidRPr="0027505B" w:rsidRDefault="007F4854" w:rsidP="00E456AF">
            <w:pPr>
              <w:widowControl w:val="0"/>
              <w:ind w:left="100"/>
              <w:rPr>
                <w:rFonts w:eastAsia="宋体" w:cs="Times New Roman"/>
                <w:sz w:val="18"/>
                <w:szCs w:val="18"/>
              </w:rPr>
            </w:pPr>
            <w:r w:rsidRPr="0027505B">
              <w:rPr>
                <w:rFonts w:eastAsia="宋体" w:cs="Times New Roman" w:hint="eastAsia"/>
                <w:sz w:val="18"/>
                <w:szCs w:val="18"/>
              </w:rPr>
              <w:t>预测期收入增长率</w:t>
            </w:r>
          </w:p>
        </w:tc>
        <w:tc>
          <w:tcPr>
            <w:tcW w:w="4482" w:type="dxa"/>
            <w:vAlign w:val="center"/>
          </w:tcPr>
          <w:p w:rsidR="007F4854" w:rsidRPr="0027505B" w:rsidRDefault="007F4854" w:rsidP="00E456AF">
            <w:pPr>
              <w:ind w:left="100" w:right="118"/>
              <w:jc w:val="center"/>
              <w:rPr>
                <w:rFonts w:eastAsia="宋体" w:cs="Times New Roman"/>
                <w:sz w:val="18"/>
                <w:szCs w:val="18"/>
              </w:rPr>
            </w:pPr>
            <w:r w:rsidRPr="0027505B">
              <w:rPr>
                <w:rFonts w:eastAsia="宋体" w:cs="Times New Roman"/>
                <w:sz w:val="18"/>
                <w:szCs w:val="18"/>
              </w:rPr>
              <w:t>7.80%~45.20%</w:t>
            </w:r>
          </w:p>
        </w:tc>
      </w:tr>
      <w:tr w:rsidR="007F4854" w:rsidRPr="004F6FF3" w:rsidTr="0027505B">
        <w:trPr>
          <w:trHeight w:val="20"/>
        </w:trPr>
        <w:tc>
          <w:tcPr>
            <w:tcW w:w="4974" w:type="dxa"/>
            <w:shd w:val="clear" w:color="auto" w:fill="D9D9D9"/>
            <w:vAlign w:val="center"/>
            <w:hideMark/>
          </w:tcPr>
          <w:p w:rsidR="007F4854" w:rsidRPr="0027505B" w:rsidRDefault="007F4854" w:rsidP="00E456AF">
            <w:pPr>
              <w:widowControl w:val="0"/>
              <w:ind w:left="100"/>
              <w:rPr>
                <w:rFonts w:eastAsia="宋体" w:cs="Times New Roman"/>
                <w:sz w:val="18"/>
                <w:szCs w:val="18"/>
              </w:rPr>
            </w:pPr>
            <w:r w:rsidRPr="0027505B">
              <w:rPr>
                <w:rFonts w:eastAsia="宋体" w:cs="Times New Roman" w:hint="eastAsia"/>
                <w:sz w:val="18"/>
                <w:szCs w:val="18"/>
              </w:rPr>
              <w:t>毛利率</w:t>
            </w:r>
          </w:p>
        </w:tc>
        <w:tc>
          <w:tcPr>
            <w:tcW w:w="4482" w:type="dxa"/>
            <w:vAlign w:val="center"/>
          </w:tcPr>
          <w:p w:rsidR="007F4854" w:rsidRPr="0027505B" w:rsidRDefault="007F4854" w:rsidP="00E456AF">
            <w:pPr>
              <w:ind w:left="100" w:right="118"/>
              <w:jc w:val="center"/>
              <w:rPr>
                <w:rFonts w:eastAsia="宋体" w:cs="Times New Roman"/>
                <w:sz w:val="18"/>
                <w:szCs w:val="18"/>
              </w:rPr>
            </w:pPr>
            <w:r w:rsidRPr="0027505B">
              <w:rPr>
                <w:rFonts w:eastAsia="宋体" w:cs="Times New Roman"/>
                <w:sz w:val="18"/>
                <w:szCs w:val="18"/>
              </w:rPr>
              <w:t>10.20%~26.40%</w:t>
            </w:r>
          </w:p>
        </w:tc>
      </w:tr>
      <w:tr w:rsidR="007F4854" w:rsidRPr="004F6FF3" w:rsidTr="0027505B">
        <w:trPr>
          <w:trHeight w:val="20"/>
        </w:trPr>
        <w:tc>
          <w:tcPr>
            <w:tcW w:w="4974" w:type="dxa"/>
            <w:shd w:val="clear" w:color="auto" w:fill="D9D9D9"/>
            <w:vAlign w:val="center"/>
            <w:hideMark/>
          </w:tcPr>
          <w:p w:rsidR="007F4854" w:rsidRPr="0027505B" w:rsidRDefault="007F4854" w:rsidP="00E456AF">
            <w:pPr>
              <w:widowControl w:val="0"/>
              <w:ind w:left="100"/>
              <w:rPr>
                <w:rFonts w:eastAsia="宋体" w:cs="Times New Roman"/>
                <w:sz w:val="18"/>
                <w:szCs w:val="18"/>
              </w:rPr>
            </w:pPr>
            <w:r w:rsidRPr="0027505B">
              <w:rPr>
                <w:rFonts w:eastAsia="宋体" w:cs="Times New Roman" w:hint="eastAsia"/>
                <w:sz w:val="18"/>
                <w:szCs w:val="18"/>
              </w:rPr>
              <w:t>折现率</w:t>
            </w:r>
          </w:p>
        </w:tc>
        <w:tc>
          <w:tcPr>
            <w:tcW w:w="4482" w:type="dxa"/>
            <w:vAlign w:val="center"/>
          </w:tcPr>
          <w:p w:rsidR="007F4854" w:rsidRPr="0027505B" w:rsidRDefault="007F4854" w:rsidP="00E456AF">
            <w:pPr>
              <w:ind w:left="100" w:right="118"/>
              <w:jc w:val="center"/>
              <w:rPr>
                <w:rFonts w:eastAsia="宋体" w:cs="Times New Roman"/>
                <w:sz w:val="18"/>
                <w:szCs w:val="18"/>
              </w:rPr>
            </w:pPr>
            <w:r w:rsidRPr="0027505B">
              <w:rPr>
                <w:rFonts w:eastAsia="宋体" w:cs="Times New Roman"/>
                <w:sz w:val="18"/>
                <w:szCs w:val="18"/>
              </w:rPr>
              <w:t>12.19%~12.45%</w:t>
            </w:r>
          </w:p>
        </w:tc>
      </w:tr>
    </w:tbl>
    <w:p w:rsidR="007F4854" w:rsidRPr="00F66363" w:rsidRDefault="007F4854" w:rsidP="00A374B8">
      <w:pPr>
        <w:ind w:left="720"/>
        <w:jc w:val="both"/>
        <w:rPr>
          <w:rFonts w:eastAsia="宋体" w:cs="Times New Roman"/>
          <w:szCs w:val="18"/>
        </w:rPr>
      </w:pPr>
    </w:p>
    <w:p w:rsidR="00753B8C" w:rsidRPr="00A71D2E" w:rsidRDefault="00753B8C" w:rsidP="00F66363">
      <w:pPr>
        <w:numPr>
          <w:ilvl w:val="2"/>
          <w:numId w:val="1"/>
        </w:numPr>
        <w:ind w:left="1440" w:hanging="720"/>
        <w:outlineLvl w:val="1"/>
        <w:rPr>
          <w:rFonts w:eastAsia="宋体" w:cs="Times New Roman"/>
          <w:b/>
          <w:bCs/>
          <w:color w:val="000000" w:themeColor="text1"/>
          <w:szCs w:val="21"/>
          <w:lang w:val="x-none" w:eastAsia="x-none"/>
        </w:rPr>
      </w:pPr>
      <w:proofErr w:type="spellStart"/>
      <w:r w:rsidRPr="00A71D2E">
        <w:rPr>
          <w:rFonts w:eastAsia="宋体" w:cs="Times New Roman" w:hint="eastAsia"/>
          <w:b/>
          <w:bCs/>
          <w:color w:val="000000" w:themeColor="text1"/>
          <w:szCs w:val="21"/>
          <w:lang w:val="x-none" w:eastAsia="x-none"/>
        </w:rPr>
        <w:t>本集团暂无以现金结算的股份支付情况</w:t>
      </w:r>
      <w:proofErr w:type="spellEnd"/>
    </w:p>
    <w:p w:rsidR="00753B8C" w:rsidRPr="00A71D2E" w:rsidRDefault="00753B8C" w:rsidP="00F66363">
      <w:pPr>
        <w:widowControl w:val="0"/>
        <w:ind w:left="720"/>
        <w:jc w:val="both"/>
        <w:rPr>
          <w:rFonts w:eastAsia="宋体" w:cs="Times New Roman"/>
          <w:szCs w:val="21"/>
        </w:rPr>
      </w:pPr>
    </w:p>
    <w:p w:rsidR="00753B8C" w:rsidRPr="00A80DAC" w:rsidRDefault="00437BEB" w:rsidP="00F66363">
      <w:pPr>
        <w:numPr>
          <w:ilvl w:val="2"/>
          <w:numId w:val="1"/>
        </w:numPr>
        <w:ind w:left="1440" w:hanging="720"/>
        <w:outlineLvl w:val="1"/>
        <w:rPr>
          <w:rFonts w:eastAsia="宋体" w:cs="Times New Roman"/>
          <w:b/>
          <w:bCs/>
          <w:color w:val="000000" w:themeColor="text1"/>
          <w:szCs w:val="21"/>
          <w:lang w:val="x-none" w:eastAsia="x-none"/>
        </w:rPr>
      </w:pPr>
      <w:proofErr w:type="spellStart"/>
      <w:r w:rsidRPr="00A80DAC">
        <w:rPr>
          <w:rFonts w:eastAsia="宋体" w:cs="Times New Roman" w:hint="eastAsia"/>
          <w:b/>
          <w:bCs/>
          <w:color w:val="000000" w:themeColor="text1"/>
          <w:szCs w:val="21"/>
          <w:lang w:val="x-none" w:eastAsia="x-none"/>
        </w:rPr>
        <w:t>本集团本年无股份支付的修改、终止情况</w:t>
      </w:r>
      <w:proofErr w:type="spellEnd"/>
    </w:p>
    <w:p w:rsidR="00753B8C" w:rsidRPr="00A71D2E" w:rsidRDefault="00753B8C" w:rsidP="0027505B">
      <w:pPr>
        <w:widowControl w:val="0"/>
        <w:jc w:val="both"/>
        <w:rPr>
          <w:rFonts w:eastAsia="宋体" w:cs="Times New Roman"/>
          <w:szCs w:val="21"/>
        </w:rPr>
      </w:pPr>
    </w:p>
    <w:p w:rsidR="004F6FF3" w:rsidRDefault="004F6FF3">
      <w:pPr>
        <w:adjustRightInd/>
        <w:snapToGrid/>
        <w:rPr>
          <w:rFonts w:eastAsia="宋体" w:cs="Times New Roman"/>
          <w:szCs w:val="21"/>
        </w:rPr>
      </w:pPr>
    </w:p>
    <w:p w:rsidR="00753B8C" w:rsidRPr="00A71D2E" w:rsidRDefault="00753B8C" w:rsidP="00F66363">
      <w:pPr>
        <w:pStyle w:val="1"/>
        <w:keepNext w:val="0"/>
        <w:keepLines w:val="0"/>
        <w:adjustRightInd w:val="0"/>
        <w:snapToGrid w:val="0"/>
        <w:ind w:left="720" w:hanging="720"/>
        <w:contextualSpacing w:val="0"/>
        <w:jc w:val="both"/>
        <w:rPr>
          <w:rFonts w:ascii="Times New Roman" w:hAnsi="Times New Roman" w:cs="Times New Roman"/>
        </w:rPr>
      </w:pPr>
      <w:r w:rsidRPr="00A71D2E">
        <w:rPr>
          <w:rFonts w:ascii="Times New Roman" w:hAnsi="Times New Roman" w:cs="Times New Roman" w:hint="eastAsia"/>
        </w:rPr>
        <w:t>承诺及或有事项</w:t>
      </w:r>
    </w:p>
    <w:p w:rsidR="00753B8C" w:rsidRPr="00A71D2E" w:rsidRDefault="00753B8C" w:rsidP="00F66363">
      <w:pPr>
        <w:ind w:left="720"/>
        <w:rPr>
          <w:rFonts w:eastAsia="宋体" w:cs="Times New Roman"/>
        </w:rPr>
      </w:pPr>
    </w:p>
    <w:p w:rsidR="00753B8C" w:rsidRPr="00A71D2E" w:rsidRDefault="00753B8C" w:rsidP="00F66363">
      <w:pPr>
        <w:pStyle w:val="2"/>
        <w:numPr>
          <w:ilvl w:val="2"/>
          <w:numId w:val="1"/>
        </w:numPr>
        <w:adjustRightInd w:val="0"/>
        <w:snapToGrid w:val="0"/>
        <w:ind w:left="1440" w:hanging="720"/>
        <w:contextualSpacing w:val="0"/>
        <w:rPr>
          <w:rFonts w:ascii="Times New Roman" w:eastAsia="宋体" w:hAnsi="Times New Roman" w:cs="Times New Roman"/>
          <w:bCs/>
          <w:szCs w:val="21"/>
          <w:lang w:val="x-none" w:eastAsia="x-none"/>
        </w:rPr>
      </w:pPr>
      <w:proofErr w:type="spellStart"/>
      <w:r w:rsidRPr="00A71D2E">
        <w:rPr>
          <w:rFonts w:ascii="Times New Roman" w:eastAsia="宋体" w:hAnsi="Times New Roman" w:cs="Times New Roman" w:hint="eastAsia"/>
          <w:bCs/>
          <w:szCs w:val="21"/>
          <w:lang w:val="x-none" w:eastAsia="x-none"/>
        </w:rPr>
        <w:t>重</w:t>
      </w:r>
      <w:r w:rsidR="00A1146B">
        <w:rPr>
          <w:rFonts w:ascii="Times New Roman" w:eastAsia="宋体" w:hAnsi="Times New Roman" w:cs="Times New Roman" w:hint="eastAsia"/>
          <w:bCs/>
          <w:szCs w:val="21"/>
          <w:lang w:val="x-none"/>
        </w:rPr>
        <w:t>要</w:t>
      </w:r>
      <w:r w:rsidRPr="00A71D2E">
        <w:rPr>
          <w:rFonts w:ascii="Times New Roman" w:eastAsia="宋体" w:hAnsi="Times New Roman" w:cs="Times New Roman" w:hint="eastAsia"/>
          <w:bCs/>
          <w:szCs w:val="21"/>
          <w:lang w:val="x-none" w:eastAsia="x-none"/>
        </w:rPr>
        <w:t>承诺事项</w:t>
      </w:r>
      <w:proofErr w:type="spellEnd"/>
    </w:p>
    <w:p w:rsidR="00753B8C" w:rsidRPr="00A71D2E" w:rsidRDefault="00753B8C" w:rsidP="00F66363">
      <w:pPr>
        <w:ind w:left="720"/>
        <w:rPr>
          <w:rFonts w:eastAsia="宋体" w:cs="Times New Roman"/>
          <w:szCs w:val="24"/>
        </w:rPr>
      </w:pPr>
    </w:p>
    <w:p w:rsidR="00753B8C" w:rsidRPr="00A71D2E" w:rsidRDefault="00753B8C">
      <w:pPr>
        <w:pStyle w:val="aff1"/>
        <w:widowControl w:val="0"/>
        <w:numPr>
          <w:ilvl w:val="0"/>
          <w:numId w:val="26"/>
        </w:numPr>
        <w:ind w:left="1440" w:firstLineChars="0" w:hanging="720"/>
        <w:rPr>
          <w:szCs w:val="21"/>
        </w:rPr>
      </w:pPr>
      <w:r w:rsidRPr="00A71D2E">
        <w:rPr>
          <w:rFonts w:hint="eastAsia"/>
          <w:szCs w:val="21"/>
        </w:rPr>
        <w:t>资本承诺</w:t>
      </w:r>
    </w:p>
    <w:p w:rsidR="00753B8C" w:rsidRPr="00A71D2E" w:rsidRDefault="00753B8C" w:rsidP="00F66363">
      <w:pPr>
        <w:ind w:left="504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人民币千元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68"/>
        <w:gridCol w:w="2241"/>
        <w:gridCol w:w="2241"/>
      </w:tblGrid>
      <w:tr w:rsidR="003415F9" w:rsidRPr="00A71D2E" w:rsidTr="0027505B">
        <w:trPr>
          <w:trHeight w:val="20"/>
        </w:trPr>
        <w:tc>
          <w:tcPr>
            <w:tcW w:w="4968" w:type="dxa"/>
            <w:shd w:val="clear" w:color="auto" w:fill="D9D9D9" w:themeFill="background1" w:themeFillShade="D9"/>
            <w:tcMar>
              <w:top w:w="0" w:type="dxa"/>
              <w:left w:w="108" w:type="dxa"/>
              <w:bottom w:w="0" w:type="dxa"/>
              <w:right w:w="108" w:type="dxa"/>
            </w:tcMar>
            <w:vAlign w:val="center"/>
            <w:hideMark/>
          </w:tcPr>
          <w:p w:rsidR="00753B8C" w:rsidRPr="00A71D2E" w:rsidRDefault="00753B8C" w:rsidP="00F66363">
            <w:pPr>
              <w:jc w:val="center"/>
              <w:rPr>
                <w:rFonts w:eastAsia="宋体" w:cs="Times New Roman"/>
                <w:sz w:val="18"/>
                <w:szCs w:val="18"/>
              </w:rPr>
            </w:pPr>
          </w:p>
        </w:tc>
        <w:tc>
          <w:tcPr>
            <w:tcW w:w="2241" w:type="dxa"/>
            <w:shd w:val="clear" w:color="auto" w:fill="D9D9D9" w:themeFill="background1" w:themeFillShade="D9"/>
            <w:vAlign w:val="center"/>
          </w:tcPr>
          <w:p w:rsidR="00753B8C" w:rsidRPr="00A71D2E" w:rsidRDefault="00844386" w:rsidP="00F66363">
            <w:pPr>
              <w:jc w:val="center"/>
              <w:rPr>
                <w:rFonts w:eastAsia="宋体" w:cs="Times New Roman"/>
                <w:sz w:val="18"/>
                <w:szCs w:val="18"/>
              </w:rPr>
            </w:pPr>
            <w:r w:rsidRPr="00A71D2E">
              <w:rPr>
                <w:rFonts w:eastAsia="宋体" w:cs="Times New Roman" w:hint="eastAsia"/>
                <w:sz w:val="18"/>
                <w:szCs w:val="18"/>
              </w:rPr>
              <w:t>年末余额</w:t>
            </w:r>
          </w:p>
        </w:tc>
        <w:tc>
          <w:tcPr>
            <w:tcW w:w="2241" w:type="dxa"/>
            <w:shd w:val="clear" w:color="auto" w:fill="D9D9D9" w:themeFill="background1" w:themeFillShade="D9"/>
            <w:vAlign w:val="center"/>
          </w:tcPr>
          <w:p w:rsidR="00753B8C" w:rsidRPr="00A71D2E" w:rsidRDefault="00844386" w:rsidP="00F66363">
            <w:pPr>
              <w:jc w:val="center"/>
              <w:rPr>
                <w:rFonts w:eastAsia="宋体" w:cs="Times New Roman"/>
                <w:sz w:val="18"/>
                <w:szCs w:val="18"/>
              </w:rPr>
            </w:pPr>
            <w:r w:rsidRPr="00A71D2E">
              <w:rPr>
                <w:rFonts w:eastAsia="宋体" w:cs="Times New Roman" w:hint="eastAsia"/>
                <w:sz w:val="18"/>
                <w:szCs w:val="18"/>
              </w:rPr>
              <w:t>年初余额</w:t>
            </w:r>
          </w:p>
        </w:tc>
      </w:tr>
      <w:tr w:rsidR="00373426" w:rsidRPr="00A71D2E" w:rsidTr="0027505B">
        <w:trPr>
          <w:trHeight w:val="20"/>
        </w:trPr>
        <w:tc>
          <w:tcPr>
            <w:tcW w:w="4968" w:type="dxa"/>
            <w:shd w:val="clear" w:color="auto" w:fill="FFFFFF" w:themeFill="background1"/>
            <w:tcMar>
              <w:top w:w="0" w:type="dxa"/>
              <w:left w:w="108" w:type="dxa"/>
              <w:bottom w:w="0" w:type="dxa"/>
              <w:right w:w="108" w:type="dxa"/>
            </w:tcMar>
            <w:vAlign w:val="center"/>
            <w:hideMark/>
          </w:tcPr>
          <w:p w:rsidR="00373426" w:rsidRPr="00A71D2E" w:rsidRDefault="00373426" w:rsidP="00F66363">
            <w:pPr>
              <w:rPr>
                <w:rFonts w:eastAsia="宋体" w:cs="Times New Roman"/>
                <w:sz w:val="18"/>
                <w:szCs w:val="18"/>
              </w:rPr>
            </w:pPr>
            <w:r w:rsidRPr="00A71D2E">
              <w:rPr>
                <w:rFonts w:eastAsia="宋体" w:cs="Times New Roman" w:hint="eastAsia"/>
                <w:sz w:val="18"/>
                <w:szCs w:val="18"/>
              </w:rPr>
              <w:t>已签约但</w:t>
            </w:r>
            <w:proofErr w:type="gramStart"/>
            <w:r w:rsidRPr="00A71D2E">
              <w:rPr>
                <w:rFonts w:eastAsia="宋体" w:cs="Times New Roman" w:hint="eastAsia"/>
                <w:sz w:val="18"/>
                <w:szCs w:val="18"/>
              </w:rPr>
              <w:t>尚未于</w:t>
            </w:r>
            <w:proofErr w:type="gramEnd"/>
            <w:r w:rsidRPr="00A71D2E">
              <w:rPr>
                <w:rFonts w:eastAsia="宋体" w:cs="Times New Roman" w:hint="eastAsia"/>
                <w:sz w:val="18"/>
                <w:szCs w:val="18"/>
              </w:rPr>
              <w:t>财务报表中确认的</w:t>
            </w:r>
          </w:p>
        </w:tc>
        <w:tc>
          <w:tcPr>
            <w:tcW w:w="2241" w:type="dxa"/>
            <w:vAlign w:val="center"/>
          </w:tcPr>
          <w:p w:rsidR="00373426" w:rsidRPr="00A71D2E" w:rsidRDefault="00373426" w:rsidP="00F66363">
            <w:pPr>
              <w:ind w:right="123"/>
              <w:jc w:val="right"/>
              <w:rPr>
                <w:rFonts w:eastAsia="宋体" w:cs="Times New Roman"/>
                <w:sz w:val="18"/>
                <w:szCs w:val="18"/>
              </w:rPr>
            </w:pPr>
            <w:r w:rsidRPr="00A71D2E">
              <w:rPr>
                <w:rFonts w:eastAsia="宋体" w:cs="Times New Roman"/>
                <w:sz w:val="18"/>
                <w:szCs w:val="18"/>
              </w:rPr>
              <w:t xml:space="preserve"> </w:t>
            </w:r>
          </w:p>
        </w:tc>
        <w:tc>
          <w:tcPr>
            <w:tcW w:w="2241" w:type="dxa"/>
            <w:vAlign w:val="center"/>
          </w:tcPr>
          <w:p w:rsidR="00373426" w:rsidRPr="00A71D2E" w:rsidRDefault="00373426" w:rsidP="00F66363">
            <w:pPr>
              <w:ind w:right="123"/>
              <w:jc w:val="right"/>
              <w:rPr>
                <w:rFonts w:eastAsia="宋体" w:cs="Times New Roman"/>
                <w:sz w:val="18"/>
                <w:szCs w:val="18"/>
              </w:rPr>
            </w:pPr>
          </w:p>
        </w:tc>
      </w:tr>
      <w:tr w:rsidR="00A02B9F" w:rsidRPr="00A71D2E" w:rsidTr="0027505B">
        <w:trPr>
          <w:trHeight w:val="20"/>
        </w:trPr>
        <w:tc>
          <w:tcPr>
            <w:tcW w:w="4968" w:type="dxa"/>
            <w:shd w:val="clear" w:color="auto" w:fill="FFFFFF" w:themeFill="background1"/>
            <w:tcMar>
              <w:top w:w="0" w:type="dxa"/>
              <w:left w:w="108" w:type="dxa"/>
              <w:bottom w:w="0" w:type="dxa"/>
              <w:right w:w="108" w:type="dxa"/>
            </w:tcMar>
            <w:vAlign w:val="center"/>
            <w:hideMark/>
          </w:tcPr>
          <w:p w:rsidR="00A02B9F" w:rsidRPr="00A71D2E" w:rsidRDefault="00A02B9F" w:rsidP="00A02B9F">
            <w:pPr>
              <w:rPr>
                <w:rFonts w:eastAsia="宋体" w:cs="Times New Roman"/>
                <w:sz w:val="18"/>
                <w:szCs w:val="18"/>
              </w:rPr>
            </w:pPr>
            <w:r w:rsidRPr="00A71D2E">
              <w:rPr>
                <w:rFonts w:eastAsia="宋体" w:cs="Times New Roman"/>
                <w:sz w:val="18"/>
                <w:szCs w:val="18"/>
              </w:rPr>
              <w:t>-</w:t>
            </w:r>
            <w:r w:rsidRPr="00A71D2E">
              <w:rPr>
                <w:rFonts w:eastAsia="宋体" w:cs="Times New Roman" w:hint="eastAsia"/>
                <w:sz w:val="18"/>
                <w:szCs w:val="18"/>
              </w:rPr>
              <w:t>购</w:t>
            </w:r>
            <w:proofErr w:type="gramStart"/>
            <w:r w:rsidRPr="00A71D2E">
              <w:rPr>
                <w:rFonts w:eastAsia="宋体" w:cs="Times New Roman" w:hint="eastAsia"/>
                <w:sz w:val="18"/>
                <w:szCs w:val="18"/>
              </w:rPr>
              <w:t>建长期</w:t>
            </w:r>
            <w:proofErr w:type="gramEnd"/>
            <w:r w:rsidRPr="00A71D2E">
              <w:rPr>
                <w:rFonts w:eastAsia="宋体" w:cs="Times New Roman" w:hint="eastAsia"/>
                <w:sz w:val="18"/>
                <w:szCs w:val="18"/>
              </w:rPr>
              <w:t>资产承诺</w:t>
            </w:r>
          </w:p>
        </w:tc>
        <w:tc>
          <w:tcPr>
            <w:tcW w:w="2241" w:type="dxa"/>
            <w:vAlign w:val="center"/>
          </w:tcPr>
          <w:p w:rsidR="00A02B9F" w:rsidRPr="00A71D2E" w:rsidRDefault="005F7FAA" w:rsidP="00A02B9F">
            <w:pPr>
              <w:ind w:right="123"/>
              <w:jc w:val="right"/>
              <w:rPr>
                <w:rFonts w:eastAsia="宋体" w:cs="Times New Roman"/>
                <w:sz w:val="18"/>
                <w:szCs w:val="18"/>
              </w:rPr>
            </w:pPr>
            <w:r w:rsidRPr="005F7FAA">
              <w:rPr>
                <w:rFonts w:eastAsia="宋体" w:cs="Times New Roman"/>
                <w:sz w:val="18"/>
                <w:szCs w:val="18"/>
              </w:rPr>
              <w:t>839,973</w:t>
            </w:r>
          </w:p>
        </w:tc>
        <w:tc>
          <w:tcPr>
            <w:tcW w:w="2241" w:type="dxa"/>
            <w:vAlign w:val="center"/>
          </w:tcPr>
          <w:p w:rsidR="00A02B9F" w:rsidRPr="00A71D2E" w:rsidRDefault="00A02B9F" w:rsidP="00A02B9F">
            <w:pPr>
              <w:ind w:right="123"/>
              <w:jc w:val="right"/>
              <w:rPr>
                <w:rFonts w:eastAsia="宋体" w:cs="Times New Roman"/>
                <w:sz w:val="18"/>
                <w:szCs w:val="18"/>
              </w:rPr>
            </w:pPr>
            <w:r w:rsidRPr="00036055">
              <w:rPr>
                <w:rFonts w:eastAsia="宋体" w:cs="Times New Roman"/>
                <w:sz w:val="18"/>
                <w:szCs w:val="18"/>
              </w:rPr>
              <w:t>1,402,174</w:t>
            </w:r>
            <w:r w:rsidRPr="00A71D2E">
              <w:rPr>
                <w:rFonts w:eastAsia="宋体" w:cs="Times New Roman"/>
                <w:sz w:val="18"/>
                <w:szCs w:val="18"/>
              </w:rPr>
              <w:t xml:space="preserve"> </w:t>
            </w:r>
          </w:p>
        </w:tc>
      </w:tr>
      <w:tr w:rsidR="00A02B9F" w:rsidRPr="00A71D2E" w:rsidTr="0027505B">
        <w:trPr>
          <w:trHeight w:val="20"/>
        </w:trPr>
        <w:tc>
          <w:tcPr>
            <w:tcW w:w="4968" w:type="dxa"/>
            <w:shd w:val="clear" w:color="auto" w:fill="D9D9D9" w:themeFill="background1" w:themeFillShade="D9"/>
            <w:tcMar>
              <w:top w:w="0" w:type="dxa"/>
              <w:left w:w="108" w:type="dxa"/>
              <w:bottom w:w="0" w:type="dxa"/>
              <w:right w:w="108" w:type="dxa"/>
            </w:tcMar>
            <w:vAlign w:val="center"/>
            <w:hideMark/>
          </w:tcPr>
          <w:p w:rsidR="00A02B9F" w:rsidRPr="00A71D2E" w:rsidRDefault="00A02B9F" w:rsidP="00A02B9F">
            <w:pPr>
              <w:rPr>
                <w:rFonts w:eastAsia="宋体" w:cs="Times New Roman"/>
                <w:sz w:val="18"/>
                <w:szCs w:val="18"/>
              </w:rPr>
            </w:pPr>
            <w:r w:rsidRPr="00A71D2E">
              <w:rPr>
                <w:rFonts w:eastAsia="宋体" w:cs="Times New Roman" w:hint="eastAsia"/>
                <w:sz w:val="18"/>
                <w:szCs w:val="18"/>
              </w:rPr>
              <w:t>合计</w:t>
            </w:r>
          </w:p>
        </w:tc>
        <w:tc>
          <w:tcPr>
            <w:tcW w:w="2241" w:type="dxa"/>
            <w:vAlign w:val="center"/>
          </w:tcPr>
          <w:p w:rsidR="00A02B9F" w:rsidRPr="00A71D2E" w:rsidRDefault="005F7FAA" w:rsidP="00A02B9F">
            <w:pPr>
              <w:ind w:right="123"/>
              <w:jc w:val="right"/>
              <w:rPr>
                <w:rFonts w:eastAsia="宋体" w:cs="Times New Roman"/>
                <w:sz w:val="18"/>
                <w:szCs w:val="18"/>
              </w:rPr>
            </w:pPr>
            <w:r w:rsidRPr="005F7FAA">
              <w:rPr>
                <w:rFonts w:eastAsia="宋体" w:cs="Times New Roman"/>
                <w:sz w:val="18"/>
                <w:szCs w:val="18"/>
              </w:rPr>
              <w:t>839,973</w:t>
            </w:r>
          </w:p>
        </w:tc>
        <w:tc>
          <w:tcPr>
            <w:tcW w:w="2241" w:type="dxa"/>
            <w:vAlign w:val="center"/>
          </w:tcPr>
          <w:p w:rsidR="00A02B9F" w:rsidRPr="00A71D2E" w:rsidRDefault="00A02B9F" w:rsidP="00A02B9F">
            <w:pPr>
              <w:ind w:right="123"/>
              <w:jc w:val="right"/>
              <w:rPr>
                <w:rFonts w:eastAsia="宋体" w:cs="Times New Roman"/>
                <w:sz w:val="18"/>
                <w:szCs w:val="18"/>
              </w:rPr>
            </w:pPr>
            <w:r w:rsidRPr="00A71D2E">
              <w:rPr>
                <w:rFonts w:eastAsia="宋体" w:cs="Times New Roman"/>
                <w:sz w:val="18"/>
                <w:szCs w:val="18"/>
              </w:rPr>
              <w:t xml:space="preserve"> </w:t>
            </w:r>
            <w:r w:rsidRPr="00036055">
              <w:rPr>
                <w:rFonts w:eastAsia="宋体" w:cs="Times New Roman"/>
                <w:sz w:val="18"/>
                <w:szCs w:val="18"/>
              </w:rPr>
              <w:t>1,402,174</w:t>
            </w:r>
            <w:r w:rsidRPr="00A71D2E">
              <w:rPr>
                <w:rFonts w:eastAsia="宋体" w:cs="Times New Roman"/>
                <w:sz w:val="18"/>
                <w:szCs w:val="18"/>
              </w:rPr>
              <w:t xml:space="preserve"> </w:t>
            </w:r>
          </w:p>
        </w:tc>
      </w:tr>
    </w:tbl>
    <w:p w:rsidR="004F6FF3" w:rsidRDefault="004F6FF3" w:rsidP="00F66363">
      <w:pPr>
        <w:ind w:left="720"/>
        <w:jc w:val="both"/>
        <w:rPr>
          <w:rFonts w:eastAsia="宋体" w:cs="Times New Roman"/>
          <w:szCs w:val="21"/>
        </w:rPr>
      </w:pPr>
    </w:p>
    <w:p w:rsidR="004F6FF3" w:rsidRDefault="004F6FF3">
      <w:pPr>
        <w:adjustRightInd/>
        <w:snapToGrid/>
        <w:rPr>
          <w:rFonts w:eastAsia="宋体" w:cs="Times New Roman"/>
          <w:szCs w:val="21"/>
        </w:rPr>
      </w:pPr>
      <w:r>
        <w:rPr>
          <w:rFonts w:eastAsia="宋体" w:cs="Times New Roman"/>
          <w:szCs w:val="21"/>
        </w:rPr>
        <w:br w:type="page"/>
      </w:r>
    </w:p>
    <w:p w:rsidR="00E97432" w:rsidRPr="0027505B" w:rsidRDefault="004F6FF3" w:rsidP="0027505B">
      <w:pPr>
        <w:jc w:val="both"/>
        <w:rPr>
          <w:rFonts w:eastAsia="宋体" w:cs="Times New Roman"/>
          <w:b/>
          <w:bCs/>
          <w:szCs w:val="21"/>
        </w:rPr>
      </w:pPr>
      <w:r w:rsidRPr="0027505B">
        <w:rPr>
          <w:rFonts w:eastAsia="宋体" w:cs="Times New Roman"/>
          <w:b/>
          <w:bCs/>
          <w:szCs w:val="21"/>
        </w:rPr>
        <w:t>(</w:t>
      </w:r>
      <w:r w:rsidRPr="0027505B">
        <w:rPr>
          <w:rFonts w:eastAsia="宋体" w:cs="Times New Roman" w:hint="eastAsia"/>
          <w:b/>
          <w:bCs/>
          <w:szCs w:val="21"/>
        </w:rPr>
        <w:t>十二</w:t>
      </w:r>
      <w:r w:rsidRPr="0027505B">
        <w:rPr>
          <w:rFonts w:eastAsia="宋体" w:cs="Times New Roman"/>
          <w:b/>
          <w:bCs/>
          <w:szCs w:val="21"/>
        </w:rPr>
        <w:t>)</w:t>
      </w:r>
      <w:r w:rsidRPr="0027505B">
        <w:rPr>
          <w:rFonts w:eastAsia="宋体" w:cs="Times New Roman"/>
          <w:b/>
          <w:bCs/>
          <w:szCs w:val="21"/>
        </w:rPr>
        <w:tab/>
      </w:r>
      <w:r w:rsidRPr="0027505B">
        <w:rPr>
          <w:rFonts w:eastAsia="宋体" w:cs="Times New Roman" w:hint="eastAsia"/>
          <w:b/>
          <w:bCs/>
          <w:szCs w:val="21"/>
        </w:rPr>
        <w:t>承诺及或有事项</w:t>
      </w:r>
      <w:r w:rsidRPr="0027505B">
        <w:rPr>
          <w:rFonts w:eastAsia="宋体" w:cs="Times New Roman"/>
          <w:szCs w:val="21"/>
        </w:rPr>
        <w:t xml:space="preserve"> - </w:t>
      </w:r>
      <w:r w:rsidRPr="0027505B">
        <w:rPr>
          <w:rFonts w:eastAsia="宋体" w:cs="Times New Roman" w:hint="eastAsia"/>
          <w:szCs w:val="21"/>
        </w:rPr>
        <w:t>续</w:t>
      </w:r>
    </w:p>
    <w:p w:rsidR="004F6FF3" w:rsidRDefault="004F6FF3" w:rsidP="00F66363">
      <w:pPr>
        <w:ind w:left="720"/>
        <w:jc w:val="both"/>
        <w:rPr>
          <w:rFonts w:eastAsia="宋体" w:cs="Times New Roman"/>
          <w:szCs w:val="21"/>
        </w:rPr>
      </w:pPr>
    </w:p>
    <w:p w:rsidR="004F6FF3" w:rsidRDefault="004F6FF3" w:rsidP="00F66363">
      <w:pPr>
        <w:ind w:left="720"/>
        <w:jc w:val="both"/>
        <w:rPr>
          <w:rFonts w:eastAsia="宋体" w:cs="Times New Roman"/>
          <w:szCs w:val="21"/>
        </w:rPr>
      </w:pPr>
      <w:r w:rsidRPr="0027505B">
        <w:rPr>
          <w:rFonts w:eastAsia="宋体" w:cs="Times New Roman"/>
          <w:b/>
          <w:bCs/>
          <w:szCs w:val="21"/>
        </w:rPr>
        <w:t>1</w:t>
      </w:r>
      <w:r w:rsidRPr="0027505B">
        <w:rPr>
          <w:rFonts w:eastAsia="宋体" w:cs="Times New Roman" w:hint="eastAsia"/>
          <w:b/>
          <w:bCs/>
          <w:szCs w:val="21"/>
        </w:rPr>
        <w:t>、</w:t>
      </w:r>
      <w:r w:rsidRPr="0027505B">
        <w:rPr>
          <w:rFonts w:eastAsia="宋体" w:cs="Times New Roman"/>
          <w:b/>
          <w:bCs/>
          <w:szCs w:val="21"/>
        </w:rPr>
        <w:tab/>
      </w:r>
      <w:r w:rsidRPr="0027505B">
        <w:rPr>
          <w:rFonts w:eastAsia="宋体" w:cs="Times New Roman" w:hint="eastAsia"/>
          <w:b/>
          <w:bCs/>
          <w:szCs w:val="21"/>
        </w:rPr>
        <w:t>重要承诺事项</w:t>
      </w:r>
      <w:r>
        <w:rPr>
          <w:rFonts w:eastAsia="宋体" w:cs="Times New Roman" w:hint="eastAsia"/>
          <w:szCs w:val="21"/>
        </w:rPr>
        <w:t xml:space="preserve"> </w:t>
      </w:r>
      <w:r w:rsidRPr="0085207B">
        <w:rPr>
          <w:rFonts w:eastAsia="宋体" w:cs="Times New Roman"/>
          <w:szCs w:val="21"/>
        </w:rPr>
        <w:t xml:space="preserve">- </w:t>
      </w:r>
      <w:r w:rsidRPr="0085207B">
        <w:rPr>
          <w:rFonts w:eastAsia="宋体" w:cs="Times New Roman" w:hint="eastAsia"/>
          <w:szCs w:val="21"/>
        </w:rPr>
        <w:t>续</w:t>
      </w:r>
    </w:p>
    <w:p w:rsidR="004F6FF3" w:rsidRDefault="004F6FF3" w:rsidP="00F66363">
      <w:pPr>
        <w:ind w:left="720"/>
        <w:jc w:val="both"/>
        <w:rPr>
          <w:rFonts w:eastAsia="宋体" w:cs="Times New Roman"/>
          <w:szCs w:val="21"/>
        </w:rPr>
      </w:pPr>
    </w:p>
    <w:p w:rsidR="004241B0" w:rsidRPr="00423C56" w:rsidRDefault="004241B0">
      <w:pPr>
        <w:pStyle w:val="aff1"/>
        <w:widowControl w:val="0"/>
        <w:numPr>
          <w:ilvl w:val="0"/>
          <w:numId w:val="26"/>
        </w:numPr>
        <w:ind w:left="1440" w:firstLineChars="0" w:hanging="720"/>
        <w:rPr>
          <w:szCs w:val="21"/>
        </w:rPr>
      </w:pPr>
      <w:r w:rsidRPr="00423C56">
        <w:rPr>
          <w:rFonts w:hint="eastAsia"/>
          <w:szCs w:val="21"/>
        </w:rPr>
        <w:t>经营租赁承诺</w:t>
      </w:r>
    </w:p>
    <w:p w:rsidR="004241B0" w:rsidRPr="00423C56" w:rsidRDefault="004241B0" w:rsidP="004241B0">
      <w:pPr>
        <w:widowControl w:val="0"/>
        <w:spacing w:line="230" w:lineRule="auto"/>
        <w:ind w:left="720"/>
        <w:jc w:val="both"/>
        <w:rPr>
          <w:rFonts w:eastAsia="宋体" w:cs="Times New Roman"/>
          <w:szCs w:val="21"/>
        </w:rPr>
      </w:pPr>
    </w:p>
    <w:p w:rsidR="004241B0" w:rsidRPr="00423C56" w:rsidRDefault="004241B0" w:rsidP="004241B0">
      <w:pPr>
        <w:widowControl w:val="0"/>
        <w:spacing w:line="230" w:lineRule="auto"/>
        <w:ind w:left="720"/>
        <w:jc w:val="both"/>
        <w:rPr>
          <w:rFonts w:eastAsia="宋体" w:cs="Times New Roman"/>
          <w:szCs w:val="21"/>
        </w:rPr>
      </w:pPr>
      <w:r w:rsidRPr="00423C56">
        <w:rPr>
          <w:rFonts w:eastAsia="宋体" w:cs="Times New Roman" w:hint="eastAsia"/>
          <w:szCs w:val="21"/>
        </w:rPr>
        <w:t>至资产负债表日止，本集团对外签订的不可撤销的</w:t>
      </w:r>
      <w:r w:rsidR="00C04119">
        <w:rPr>
          <w:rFonts w:eastAsia="宋体" w:cs="Times New Roman" w:hint="eastAsia"/>
          <w:szCs w:val="21"/>
        </w:rPr>
        <w:t>短期</w:t>
      </w:r>
      <w:r w:rsidRPr="00423C56">
        <w:rPr>
          <w:rFonts w:eastAsia="宋体" w:cs="Times New Roman" w:hint="eastAsia"/>
          <w:szCs w:val="21"/>
        </w:rPr>
        <w:t>租赁合约情况如下</w:t>
      </w:r>
      <w:r w:rsidR="005F14EE">
        <w:rPr>
          <w:rFonts w:eastAsia="宋体" w:cs="Times New Roman" w:hint="eastAsia"/>
          <w:szCs w:val="21"/>
        </w:rPr>
        <w:t>：</w:t>
      </w:r>
    </w:p>
    <w:p w:rsidR="004241B0" w:rsidRPr="00423C56" w:rsidRDefault="004241B0" w:rsidP="004241B0">
      <w:pPr>
        <w:spacing w:line="230" w:lineRule="auto"/>
        <w:ind w:left="720"/>
        <w:jc w:val="right"/>
        <w:rPr>
          <w:rFonts w:eastAsia="宋体" w:cs="Times New Roman"/>
          <w:szCs w:val="18"/>
        </w:rPr>
      </w:pPr>
      <w:r w:rsidRPr="00423C56">
        <w:rPr>
          <w:rFonts w:eastAsia="宋体" w:cs="Times New Roman" w:hint="eastAsia"/>
          <w:szCs w:val="18"/>
        </w:rPr>
        <w:t>单位</w:t>
      </w:r>
      <w:r w:rsidR="005F14EE">
        <w:rPr>
          <w:rFonts w:eastAsia="宋体" w:cs="Times New Roman" w:hint="eastAsia"/>
          <w:szCs w:val="18"/>
        </w:rPr>
        <w:t>：</w:t>
      </w:r>
      <w:r w:rsidRPr="00423C56">
        <w:rPr>
          <w:rFonts w:eastAsia="宋体" w:cs="Times New Roman" w:hint="eastAsia"/>
          <w:szCs w:val="18"/>
        </w:rPr>
        <w:t>人民币千元</w:t>
      </w:r>
    </w:p>
    <w:tbl>
      <w:tblPr>
        <w:tblW w:w="4646"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66"/>
        <w:gridCol w:w="2241"/>
        <w:gridCol w:w="2241"/>
      </w:tblGrid>
      <w:tr w:rsidR="004241B0" w:rsidRPr="00423C56" w:rsidTr="0027505B">
        <w:trPr>
          <w:trHeight w:val="20"/>
        </w:trPr>
        <w:tc>
          <w:tcPr>
            <w:tcW w:w="4966" w:type="dxa"/>
            <w:shd w:val="clear" w:color="auto" w:fill="D9D9D9" w:themeFill="background1" w:themeFillShade="D9"/>
            <w:tcMar>
              <w:top w:w="0" w:type="dxa"/>
              <w:left w:w="108" w:type="dxa"/>
              <w:bottom w:w="0" w:type="dxa"/>
              <w:right w:w="108" w:type="dxa"/>
            </w:tcMar>
            <w:vAlign w:val="center"/>
            <w:hideMark/>
          </w:tcPr>
          <w:p w:rsidR="004241B0" w:rsidRPr="00423C56" w:rsidRDefault="004241B0" w:rsidP="00177494">
            <w:pPr>
              <w:spacing w:line="230" w:lineRule="auto"/>
              <w:jc w:val="center"/>
              <w:rPr>
                <w:rFonts w:eastAsia="宋体" w:cs="Times New Roman"/>
                <w:sz w:val="18"/>
                <w:szCs w:val="18"/>
              </w:rPr>
            </w:pPr>
          </w:p>
        </w:tc>
        <w:tc>
          <w:tcPr>
            <w:tcW w:w="2241" w:type="dxa"/>
            <w:shd w:val="clear" w:color="auto" w:fill="D9D9D9" w:themeFill="background1" w:themeFillShade="D9"/>
            <w:vAlign w:val="center"/>
          </w:tcPr>
          <w:p w:rsidR="004241B0" w:rsidRPr="00423C56" w:rsidRDefault="004241B0" w:rsidP="00177494">
            <w:pPr>
              <w:spacing w:line="230" w:lineRule="auto"/>
              <w:jc w:val="center"/>
              <w:rPr>
                <w:rFonts w:eastAsia="宋体" w:cs="Times New Roman"/>
                <w:sz w:val="18"/>
                <w:szCs w:val="18"/>
              </w:rPr>
            </w:pPr>
            <w:r>
              <w:rPr>
                <w:rFonts w:eastAsia="宋体" w:cs="Times New Roman" w:hint="eastAsia"/>
                <w:sz w:val="18"/>
                <w:szCs w:val="18"/>
              </w:rPr>
              <w:t>年末余额</w:t>
            </w:r>
          </w:p>
        </w:tc>
        <w:tc>
          <w:tcPr>
            <w:tcW w:w="2241" w:type="dxa"/>
            <w:shd w:val="clear" w:color="auto" w:fill="D9D9D9" w:themeFill="background1" w:themeFillShade="D9"/>
            <w:vAlign w:val="center"/>
          </w:tcPr>
          <w:p w:rsidR="004241B0" w:rsidRPr="00423C56" w:rsidRDefault="004241B0" w:rsidP="00177494">
            <w:pPr>
              <w:spacing w:line="230" w:lineRule="auto"/>
              <w:jc w:val="center"/>
              <w:rPr>
                <w:rFonts w:eastAsia="宋体" w:cs="Times New Roman"/>
                <w:sz w:val="18"/>
                <w:szCs w:val="18"/>
              </w:rPr>
            </w:pPr>
            <w:r>
              <w:rPr>
                <w:rFonts w:eastAsia="宋体" w:cs="Times New Roman" w:hint="eastAsia"/>
                <w:sz w:val="18"/>
                <w:szCs w:val="18"/>
              </w:rPr>
              <w:t>年初余额</w:t>
            </w:r>
          </w:p>
        </w:tc>
      </w:tr>
      <w:tr w:rsidR="004241B0" w:rsidRPr="00423C56" w:rsidTr="0027505B">
        <w:trPr>
          <w:trHeight w:val="20"/>
        </w:trPr>
        <w:tc>
          <w:tcPr>
            <w:tcW w:w="4966" w:type="dxa"/>
            <w:shd w:val="clear" w:color="auto" w:fill="D9D9D9" w:themeFill="background1" w:themeFillShade="D9"/>
            <w:tcMar>
              <w:top w:w="0" w:type="dxa"/>
              <w:left w:w="108" w:type="dxa"/>
              <w:bottom w:w="0" w:type="dxa"/>
              <w:right w:w="108" w:type="dxa"/>
            </w:tcMar>
            <w:vAlign w:val="center"/>
            <w:hideMark/>
          </w:tcPr>
          <w:p w:rsidR="004241B0" w:rsidRPr="00423C56" w:rsidRDefault="004241B0" w:rsidP="00177494">
            <w:pPr>
              <w:spacing w:line="230" w:lineRule="auto"/>
              <w:rPr>
                <w:rFonts w:eastAsia="宋体" w:cs="Times New Roman"/>
                <w:sz w:val="18"/>
                <w:szCs w:val="18"/>
              </w:rPr>
            </w:pPr>
            <w:r w:rsidRPr="00423C56">
              <w:rPr>
                <w:rFonts w:eastAsia="宋体" w:cs="Times New Roman" w:hint="eastAsia"/>
                <w:sz w:val="18"/>
                <w:szCs w:val="18"/>
              </w:rPr>
              <w:t>不可撤销经营租赁的最低租赁付款额</w:t>
            </w:r>
            <w:r w:rsidR="005F14EE">
              <w:rPr>
                <w:rFonts w:eastAsia="宋体" w:cs="Times New Roman" w:hint="eastAsia"/>
                <w:sz w:val="18"/>
                <w:szCs w:val="18"/>
              </w:rPr>
              <w:t>：</w:t>
            </w:r>
          </w:p>
        </w:tc>
        <w:tc>
          <w:tcPr>
            <w:tcW w:w="2241" w:type="dxa"/>
            <w:vAlign w:val="center"/>
          </w:tcPr>
          <w:p w:rsidR="004241B0" w:rsidRPr="00423C56" w:rsidRDefault="004241B0" w:rsidP="00177494">
            <w:pPr>
              <w:spacing w:line="230" w:lineRule="auto"/>
              <w:ind w:right="108"/>
              <w:jc w:val="right"/>
              <w:rPr>
                <w:rFonts w:eastAsia="宋体" w:cs="Times New Roman"/>
                <w:sz w:val="18"/>
                <w:szCs w:val="18"/>
              </w:rPr>
            </w:pPr>
          </w:p>
        </w:tc>
        <w:tc>
          <w:tcPr>
            <w:tcW w:w="2241" w:type="dxa"/>
            <w:vAlign w:val="center"/>
          </w:tcPr>
          <w:p w:rsidR="004241B0" w:rsidRPr="00423C56" w:rsidRDefault="004241B0" w:rsidP="00177494">
            <w:pPr>
              <w:spacing w:line="230" w:lineRule="auto"/>
              <w:ind w:right="108"/>
              <w:jc w:val="right"/>
              <w:rPr>
                <w:rFonts w:eastAsia="宋体" w:cs="Times New Roman"/>
                <w:sz w:val="18"/>
                <w:szCs w:val="18"/>
              </w:rPr>
            </w:pPr>
          </w:p>
        </w:tc>
      </w:tr>
      <w:tr w:rsidR="00A02B9F" w:rsidRPr="00423C56" w:rsidTr="0027505B">
        <w:trPr>
          <w:trHeight w:val="20"/>
        </w:trPr>
        <w:tc>
          <w:tcPr>
            <w:tcW w:w="4966" w:type="dxa"/>
            <w:shd w:val="clear" w:color="auto" w:fill="FFFFFF" w:themeFill="background1"/>
            <w:tcMar>
              <w:top w:w="0" w:type="dxa"/>
              <w:left w:w="108" w:type="dxa"/>
              <w:bottom w:w="0" w:type="dxa"/>
              <w:right w:w="108" w:type="dxa"/>
            </w:tcMar>
            <w:vAlign w:val="center"/>
            <w:hideMark/>
          </w:tcPr>
          <w:p w:rsidR="00A02B9F" w:rsidRPr="00423C56" w:rsidRDefault="00A02B9F" w:rsidP="00A02B9F">
            <w:pPr>
              <w:spacing w:line="230" w:lineRule="auto"/>
              <w:rPr>
                <w:rFonts w:eastAsia="宋体" w:cs="Times New Roman"/>
                <w:sz w:val="18"/>
                <w:szCs w:val="18"/>
              </w:rPr>
            </w:pPr>
            <w:r w:rsidRPr="00423C56">
              <w:rPr>
                <w:rFonts w:eastAsia="宋体" w:cs="Times New Roman" w:hint="eastAsia"/>
                <w:sz w:val="18"/>
                <w:szCs w:val="18"/>
              </w:rPr>
              <w:t>资产负债表日后第</w:t>
            </w:r>
            <w:r w:rsidRPr="00423C56">
              <w:rPr>
                <w:rFonts w:eastAsia="宋体" w:cs="Times New Roman"/>
                <w:sz w:val="18"/>
                <w:szCs w:val="18"/>
              </w:rPr>
              <w:t>1</w:t>
            </w:r>
            <w:r w:rsidRPr="00423C56">
              <w:rPr>
                <w:rFonts w:eastAsia="宋体" w:cs="Times New Roman" w:hint="eastAsia"/>
                <w:sz w:val="18"/>
                <w:szCs w:val="18"/>
              </w:rPr>
              <w:t>年</w:t>
            </w:r>
          </w:p>
        </w:tc>
        <w:tc>
          <w:tcPr>
            <w:tcW w:w="2241" w:type="dxa"/>
            <w:vAlign w:val="center"/>
          </w:tcPr>
          <w:p w:rsidR="00A02B9F" w:rsidRPr="00423C56" w:rsidRDefault="007C543B" w:rsidP="00A02B9F">
            <w:pPr>
              <w:spacing w:line="230" w:lineRule="auto"/>
              <w:ind w:right="108"/>
              <w:jc w:val="right"/>
              <w:rPr>
                <w:rFonts w:eastAsia="宋体" w:cs="Times New Roman"/>
                <w:sz w:val="18"/>
                <w:szCs w:val="18"/>
              </w:rPr>
            </w:pPr>
            <w:r>
              <w:rPr>
                <w:rFonts w:eastAsia="宋体" w:cs="Times New Roman" w:hint="eastAsia"/>
                <w:sz w:val="18"/>
                <w:szCs w:val="18"/>
              </w:rPr>
              <w:t>9</w:t>
            </w:r>
            <w:r>
              <w:rPr>
                <w:rFonts w:eastAsia="宋体" w:cs="Times New Roman"/>
                <w:sz w:val="18"/>
                <w:szCs w:val="18"/>
              </w:rPr>
              <w:t>06</w:t>
            </w:r>
          </w:p>
        </w:tc>
        <w:tc>
          <w:tcPr>
            <w:tcW w:w="2241" w:type="dxa"/>
            <w:vAlign w:val="center"/>
          </w:tcPr>
          <w:p w:rsidR="00A02B9F" w:rsidRPr="00423C56" w:rsidRDefault="00A02B9F" w:rsidP="00A02B9F">
            <w:pPr>
              <w:spacing w:line="230" w:lineRule="auto"/>
              <w:ind w:right="108"/>
              <w:jc w:val="right"/>
              <w:rPr>
                <w:rFonts w:eastAsia="宋体" w:cs="Times New Roman"/>
                <w:sz w:val="18"/>
                <w:szCs w:val="18"/>
              </w:rPr>
            </w:pPr>
            <w:r w:rsidRPr="000576D5">
              <w:rPr>
                <w:rFonts w:eastAsia="宋体" w:cs="Times New Roman"/>
                <w:sz w:val="18"/>
                <w:szCs w:val="18"/>
              </w:rPr>
              <w:t>690</w:t>
            </w:r>
          </w:p>
        </w:tc>
      </w:tr>
      <w:tr w:rsidR="00A02B9F" w:rsidRPr="00423C56" w:rsidTr="0027505B">
        <w:trPr>
          <w:trHeight w:val="20"/>
        </w:trPr>
        <w:tc>
          <w:tcPr>
            <w:tcW w:w="4966" w:type="dxa"/>
            <w:shd w:val="clear" w:color="auto" w:fill="D9D9D9" w:themeFill="background1" w:themeFillShade="D9"/>
            <w:tcMar>
              <w:top w:w="0" w:type="dxa"/>
              <w:left w:w="108" w:type="dxa"/>
              <w:bottom w:w="0" w:type="dxa"/>
              <w:right w:w="108" w:type="dxa"/>
            </w:tcMar>
            <w:vAlign w:val="center"/>
            <w:hideMark/>
          </w:tcPr>
          <w:p w:rsidR="00A02B9F" w:rsidRPr="00423C56" w:rsidRDefault="00A02B9F" w:rsidP="00A02B9F">
            <w:pPr>
              <w:spacing w:line="230" w:lineRule="auto"/>
              <w:rPr>
                <w:rFonts w:eastAsia="宋体" w:cs="Times New Roman"/>
                <w:sz w:val="18"/>
                <w:szCs w:val="18"/>
              </w:rPr>
            </w:pPr>
            <w:r w:rsidRPr="00423C56">
              <w:rPr>
                <w:rFonts w:eastAsia="宋体" w:cs="Times New Roman" w:hint="eastAsia"/>
                <w:bCs/>
                <w:sz w:val="18"/>
                <w:szCs w:val="18"/>
              </w:rPr>
              <w:t>合计</w:t>
            </w:r>
          </w:p>
        </w:tc>
        <w:tc>
          <w:tcPr>
            <w:tcW w:w="2241" w:type="dxa"/>
            <w:vAlign w:val="center"/>
          </w:tcPr>
          <w:p w:rsidR="00A02B9F" w:rsidRPr="00423C56" w:rsidRDefault="007C543B" w:rsidP="00A02B9F">
            <w:pPr>
              <w:spacing w:line="230" w:lineRule="auto"/>
              <w:ind w:right="108"/>
              <w:jc w:val="right"/>
              <w:rPr>
                <w:rFonts w:eastAsia="宋体" w:cs="Times New Roman"/>
                <w:sz w:val="18"/>
                <w:szCs w:val="18"/>
              </w:rPr>
            </w:pPr>
            <w:r>
              <w:rPr>
                <w:rFonts w:eastAsia="宋体" w:cs="Times New Roman" w:hint="eastAsia"/>
                <w:sz w:val="18"/>
                <w:szCs w:val="18"/>
              </w:rPr>
              <w:t>9</w:t>
            </w:r>
            <w:r>
              <w:rPr>
                <w:rFonts w:eastAsia="宋体" w:cs="Times New Roman"/>
                <w:sz w:val="18"/>
                <w:szCs w:val="18"/>
              </w:rPr>
              <w:t>06</w:t>
            </w:r>
          </w:p>
        </w:tc>
        <w:tc>
          <w:tcPr>
            <w:tcW w:w="2241" w:type="dxa"/>
            <w:vAlign w:val="center"/>
          </w:tcPr>
          <w:p w:rsidR="00A02B9F" w:rsidRPr="00423C56" w:rsidRDefault="00A02B9F" w:rsidP="00A02B9F">
            <w:pPr>
              <w:spacing w:line="230" w:lineRule="auto"/>
              <w:ind w:right="108"/>
              <w:jc w:val="right"/>
              <w:rPr>
                <w:rFonts w:eastAsia="宋体" w:cs="Times New Roman"/>
                <w:sz w:val="18"/>
                <w:szCs w:val="18"/>
              </w:rPr>
            </w:pPr>
            <w:r w:rsidRPr="000576D5">
              <w:rPr>
                <w:rFonts w:eastAsia="宋体" w:cs="Times New Roman"/>
                <w:sz w:val="18"/>
                <w:szCs w:val="18"/>
              </w:rPr>
              <w:t>690</w:t>
            </w:r>
          </w:p>
        </w:tc>
      </w:tr>
    </w:tbl>
    <w:p w:rsidR="001B74A1" w:rsidRPr="004F6FF3" w:rsidRDefault="001B74A1" w:rsidP="0027505B">
      <w:pPr>
        <w:widowControl w:val="0"/>
        <w:spacing w:line="230" w:lineRule="auto"/>
        <w:ind w:left="720"/>
        <w:jc w:val="both"/>
        <w:rPr>
          <w:szCs w:val="21"/>
        </w:rPr>
      </w:pPr>
    </w:p>
    <w:p w:rsidR="00753B8C" w:rsidRPr="007C543B" w:rsidRDefault="00C914AF">
      <w:pPr>
        <w:pStyle w:val="aff1"/>
        <w:widowControl w:val="0"/>
        <w:numPr>
          <w:ilvl w:val="0"/>
          <w:numId w:val="26"/>
        </w:numPr>
        <w:ind w:left="1440" w:firstLineChars="0" w:hanging="720"/>
        <w:rPr>
          <w:szCs w:val="21"/>
        </w:rPr>
      </w:pPr>
      <w:r w:rsidRPr="007C543B">
        <w:rPr>
          <w:rFonts w:hint="eastAsia"/>
          <w:szCs w:val="21"/>
        </w:rPr>
        <w:t>本年末</w:t>
      </w:r>
      <w:r w:rsidR="00753B8C" w:rsidRPr="007C543B">
        <w:rPr>
          <w:rFonts w:hint="eastAsia"/>
          <w:szCs w:val="21"/>
        </w:rPr>
        <w:t>，本集团不存在需要披露的其他重要承诺事项。</w:t>
      </w:r>
    </w:p>
    <w:p w:rsidR="00753B8C" w:rsidRPr="00A71D2E" w:rsidRDefault="00753B8C" w:rsidP="00F66363">
      <w:pPr>
        <w:widowControl w:val="0"/>
        <w:ind w:left="720"/>
        <w:jc w:val="both"/>
        <w:rPr>
          <w:rFonts w:eastAsia="宋体" w:cs="Times New Roman"/>
          <w:szCs w:val="21"/>
        </w:rPr>
      </w:pPr>
    </w:p>
    <w:p w:rsidR="00753B8C" w:rsidRPr="00A71D2E" w:rsidRDefault="00753B8C" w:rsidP="00F66363">
      <w:pPr>
        <w:numPr>
          <w:ilvl w:val="2"/>
          <w:numId w:val="1"/>
        </w:numPr>
        <w:ind w:left="1440" w:hanging="720"/>
        <w:outlineLvl w:val="1"/>
        <w:rPr>
          <w:rFonts w:eastAsia="宋体" w:cs="Times New Roman"/>
          <w:b/>
          <w:bCs/>
          <w:color w:val="000000" w:themeColor="text1"/>
          <w:szCs w:val="21"/>
          <w:lang w:val="x-none" w:eastAsia="x-none"/>
        </w:rPr>
      </w:pPr>
      <w:proofErr w:type="spellStart"/>
      <w:r w:rsidRPr="00A71D2E">
        <w:rPr>
          <w:rFonts w:eastAsia="宋体" w:cs="Times New Roman" w:hint="eastAsia"/>
          <w:b/>
          <w:bCs/>
          <w:color w:val="000000" w:themeColor="text1"/>
          <w:szCs w:val="21"/>
          <w:lang w:val="x-none" w:eastAsia="x-none"/>
        </w:rPr>
        <w:t>或有事项</w:t>
      </w:r>
      <w:proofErr w:type="spellEnd"/>
    </w:p>
    <w:p w:rsidR="00753B8C" w:rsidRPr="00A71D2E" w:rsidRDefault="00753B8C" w:rsidP="00F66363">
      <w:pPr>
        <w:widowControl w:val="0"/>
        <w:ind w:left="720"/>
        <w:jc w:val="both"/>
        <w:rPr>
          <w:rFonts w:eastAsia="宋体" w:cs="Times New Roman"/>
          <w:szCs w:val="21"/>
        </w:rPr>
      </w:pPr>
    </w:p>
    <w:p w:rsidR="00753B8C" w:rsidRPr="00A71D2E" w:rsidRDefault="00753B8C" w:rsidP="00F66363">
      <w:pPr>
        <w:widowControl w:val="0"/>
        <w:ind w:left="720"/>
        <w:jc w:val="both"/>
        <w:rPr>
          <w:rFonts w:eastAsia="宋体" w:cs="Times New Roman"/>
          <w:szCs w:val="21"/>
        </w:rPr>
      </w:pPr>
      <w:r w:rsidRPr="007C543B">
        <w:rPr>
          <w:rFonts w:eastAsia="宋体" w:cs="Times New Roman" w:hint="eastAsia"/>
          <w:szCs w:val="21"/>
        </w:rPr>
        <w:t>本集团不存在需要披露的重要或有事项。</w:t>
      </w:r>
    </w:p>
    <w:p w:rsidR="00A374B8" w:rsidRPr="0027505B" w:rsidRDefault="00A374B8">
      <w:pPr>
        <w:adjustRightInd/>
        <w:snapToGrid/>
        <w:rPr>
          <w:rFonts w:eastAsia="宋体" w:cs="Times New Roman"/>
        </w:rPr>
      </w:pPr>
    </w:p>
    <w:p w:rsidR="007C543B" w:rsidRPr="0027505B" w:rsidRDefault="007C543B">
      <w:pPr>
        <w:adjustRightInd/>
        <w:snapToGrid/>
        <w:rPr>
          <w:rFonts w:eastAsia="宋体" w:cs="Times New Roman"/>
          <w:szCs w:val="24"/>
        </w:rPr>
      </w:pPr>
    </w:p>
    <w:p w:rsidR="00195579" w:rsidRPr="007C543B" w:rsidRDefault="00195579" w:rsidP="007C543B">
      <w:pPr>
        <w:pStyle w:val="1"/>
        <w:keepNext w:val="0"/>
        <w:keepLines w:val="0"/>
        <w:adjustRightInd w:val="0"/>
        <w:snapToGrid w:val="0"/>
        <w:ind w:left="720" w:hanging="720"/>
        <w:contextualSpacing w:val="0"/>
        <w:jc w:val="both"/>
        <w:rPr>
          <w:rFonts w:ascii="Times New Roman" w:hAnsi="Times New Roman" w:cs="Times New Roman"/>
        </w:rPr>
      </w:pPr>
      <w:r w:rsidRPr="007C543B">
        <w:rPr>
          <w:rFonts w:ascii="Times New Roman" w:hAnsi="Times New Roman" w:cs="Times New Roman"/>
        </w:rPr>
        <w:t>资产负债表日后事项说明</w:t>
      </w:r>
    </w:p>
    <w:p w:rsidR="00195579" w:rsidRPr="00C44D25" w:rsidRDefault="00195579" w:rsidP="00195579">
      <w:pPr>
        <w:snapToGrid/>
        <w:ind w:left="1440" w:hanging="720"/>
        <w:rPr>
          <w:rFonts w:eastAsia="宋体" w:cs="Times New Roman"/>
          <w:b/>
          <w:bCs/>
          <w:color w:val="000000" w:themeColor="text1"/>
          <w:szCs w:val="28"/>
        </w:rPr>
      </w:pPr>
    </w:p>
    <w:p w:rsidR="00195579" w:rsidRPr="00C44D25" w:rsidRDefault="00195579" w:rsidP="00195579">
      <w:pPr>
        <w:snapToGrid/>
        <w:ind w:left="1440" w:hanging="720"/>
        <w:rPr>
          <w:rFonts w:eastAsia="宋体" w:cs="Times New Roman"/>
          <w:b/>
          <w:szCs w:val="24"/>
        </w:rPr>
      </w:pPr>
      <w:r w:rsidRPr="00C44D25">
        <w:rPr>
          <w:rFonts w:eastAsia="宋体" w:cs="Times New Roman"/>
          <w:b/>
          <w:szCs w:val="24"/>
        </w:rPr>
        <w:t>1</w:t>
      </w:r>
      <w:r w:rsidRPr="00C44D25">
        <w:rPr>
          <w:rFonts w:eastAsia="宋体" w:cs="Times New Roman" w:hint="eastAsia"/>
          <w:b/>
          <w:szCs w:val="24"/>
        </w:rPr>
        <w:t>、</w:t>
      </w:r>
      <w:r w:rsidRPr="00C44D25">
        <w:rPr>
          <w:rFonts w:eastAsia="宋体" w:cs="Times New Roman" w:hint="eastAsia"/>
          <w:b/>
          <w:szCs w:val="24"/>
        </w:rPr>
        <w:tab/>
      </w:r>
      <w:r w:rsidRPr="00C44D25">
        <w:rPr>
          <w:rFonts w:eastAsia="宋体" w:cs="Times New Roman" w:hint="eastAsia"/>
          <w:b/>
          <w:szCs w:val="24"/>
        </w:rPr>
        <w:t>利润分配情况</w:t>
      </w:r>
    </w:p>
    <w:p w:rsidR="00195579" w:rsidRPr="00915872" w:rsidRDefault="00195579" w:rsidP="00195579">
      <w:pPr>
        <w:snapToGrid/>
        <w:ind w:left="1440" w:hanging="720"/>
        <w:rPr>
          <w:rFonts w:eastAsia="宋体" w:cs="Times New Roman"/>
          <w:szCs w:val="24"/>
        </w:rPr>
      </w:pPr>
    </w:p>
    <w:p w:rsidR="00195579" w:rsidRDefault="00195579" w:rsidP="0027505B">
      <w:pPr>
        <w:snapToGrid/>
        <w:ind w:left="709" w:firstLine="11"/>
        <w:jc w:val="both"/>
        <w:rPr>
          <w:rFonts w:eastAsia="宋体" w:cs="Times New Roman"/>
          <w:szCs w:val="24"/>
        </w:rPr>
      </w:pPr>
      <w:r w:rsidRPr="00C76406">
        <w:rPr>
          <w:rFonts w:eastAsia="宋体" w:cs="Times New Roman" w:hint="eastAsia"/>
          <w:szCs w:val="24"/>
        </w:rPr>
        <w:t>根据本</w:t>
      </w:r>
      <w:r w:rsidR="00103F25">
        <w:rPr>
          <w:rFonts w:eastAsia="宋体" w:cs="Times New Roman" w:hint="eastAsia"/>
          <w:szCs w:val="24"/>
        </w:rPr>
        <w:t>集团</w:t>
      </w:r>
      <w:r w:rsidRPr="00C76406">
        <w:rPr>
          <w:rFonts w:eastAsia="宋体" w:cs="Times New Roman" w:hint="eastAsia"/>
          <w:szCs w:val="24"/>
        </w:rPr>
        <w:t>于</w:t>
      </w:r>
      <w:r w:rsidRPr="00C76406">
        <w:rPr>
          <w:rFonts w:eastAsia="宋体" w:cs="Times New Roman"/>
          <w:szCs w:val="24"/>
        </w:rPr>
        <w:t>202</w:t>
      </w:r>
      <w:r w:rsidR="00AA5A8E">
        <w:rPr>
          <w:rFonts w:eastAsia="宋体" w:cs="Times New Roman"/>
          <w:szCs w:val="24"/>
        </w:rPr>
        <w:t>4</w:t>
      </w:r>
      <w:r w:rsidRPr="00C76406">
        <w:rPr>
          <w:rFonts w:eastAsia="宋体" w:cs="Times New Roman" w:hint="eastAsia"/>
          <w:szCs w:val="24"/>
        </w:rPr>
        <w:t>年</w:t>
      </w:r>
      <w:r w:rsidRPr="00C76406">
        <w:rPr>
          <w:rFonts w:eastAsia="宋体" w:cs="Times New Roman"/>
          <w:szCs w:val="24"/>
        </w:rPr>
        <w:t>4</w:t>
      </w:r>
      <w:r w:rsidRPr="00C76406">
        <w:rPr>
          <w:rFonts w:eastAsia="宋体" w:cs="Times New Roman" w:hint="eastAsia"/>
          <w:szCs w:val="24"/>
        </w:rPr>
        <w:t>月</w:t>
      </w:r>
      <w:r w:rsidRPr="00C76406">
        <w:rPr>
          <w:rFonts w:eastAsia="宋体" w:cs="Times New Roman"/>
          <w:szCs w:val="24"/>
        </w:rPr>
        <w:t>1</w:t>
      </w:r>
      <w:r w:rsidR="002B7C58">
        <w:rPr>
          <w:rFonts w:eastAsia="宋体" w:cs="Times New Roman"/>
          <w:szCs w:val="24"/>
        </w:rPr>
        <w:t>1</w:t>
      </w:r>
      <w:r w:rsidR="00FF4B2B" w:rsidRPr="00C76406">
        <w:rPr>
          <w:rFonts w:eastAsia="宋体" w:cs="Times New Roman" w:hint="eastAsia"/>
          <w:szCs w:val="24"/>
        </w:rPr>
        <w:t>日召开之第一届董事会第</w:t>
      </w:r>
      <w:r w:rsidR="003716A5">
        <w:rPr>
          <w:rFonts w:eastAsia="宋体" w:cs="Times New Roman" w:hint="eastAsia"/>
          <w:szCs w:val="24"/>
        </w:rPr>
        <w:t>二十三</w:t>
      </w:r>
      <w:r w:rsidRPr="00C76406">
        <w:rPr>
          <w:rFonts w:eastAsia="宋体" w:cs="Times New Roman" w:hint="eastAsia"/>
          <w:szCs w:val="24"/>
        </w:rPr>
        <w:t>次会议的提议，本</w:t>
      </w:r>
      <w:r w:rsidR="00103F25">
        <w:rPr>
          <w:rFonts w:eastAsia="宋体" w:cs="Times New Roman" w:hint="eastAsia"/>
          <w:szCs w:val="24"/>
        </w:rPr>
        <w:t>集团</w:t>
      </w:r>
      <w:r w:rsidRPr="00C76406">
        <w:rPr>
          <w:rFonts w:eastAsia="宋体" w:cs="Times New Roman" w:hint="eastAsia"/>
          <w:szCs w:val="24"/>
        </w:rPr>
        <w:t>拟向全体股东每</w:t>
      </w:r>
      <w:r w:rsidRPr="00C76406">
        <w:rPr>
          <w:rFonts w:eastAsia="宋体" w:cs="Times New Roman"/>
          <w:szCs w:val="24"/>
        </w:rPr>
        <w:t>10</w:t>
      </w:r>
      <w:r w:rsidR="00FF4B2B" w:rsidRPr="00C76406">
        <w:rPr>
          <w:rFonts w:eastAsia="宋体" w:cs="Times New Roman" w:hint="eastAsia"/>
          <w:szCs w:val="24"/>
        </w:rPr>
        <w:t>股派发现金股利人民币</w:t>
      </w:r>
      <w:r w:rsidR="003716A5">
        <w:rPr>
          <w:rFonts w:eastAsia="宋体" w:cs="Times New Roman"/>
          <w:szCs w:val="24"/>
        </w:rPr>
        <w:t>5</w:t>
      </w:r>
      <w:r w:rsidRPr="00C76406">
        <w:rPr>
          <w:rFonts w:eastAsia="宋体" w:cs="Times New Roman" w:hint="eastAsia"/>
          <w:szCs w:val="24"/>
        </w:rPr>
        <w:t>元</w:t>
      </w:r>
      <w:r w:rsidR="005F14EE" w:rsidRPr="00C76406">
        <w:rPr>
          <w:rFonts w:eastAsia="宋体" w:cs="Times New Roman"/>
          <w:szCs w:val="24"/>
        </w:rPr>
        <w:t>(</w:t>
      </w:r>
      <w:r w:rsidRPr="00C76406">
        <w:rPr>
          <w:rFonts w:eastAsia="宋体" w:cs="Times New Roman" w:hint="eastAsia"/>
          <w:szCs w:val="24"/>
        </w:rPr>
        <w:t>含税</w:t>
      </w:r>
      <w:r w:rsidR="005F14EE" w:rsidRPr="00C76406">
        <w:rPr>
          <w:rFonts w:eastAsia="宋体" w:cs="Times New Roman"/>
          <w:szCs w:val="24"/>
        </w:rPr>
        <w:t>)</w:t>
      </w:r>
      <w:r w:rsidR="00103F25">
        <w:rPr>
          <w:rFonts w:eastAsia="宋体" w:cs="Times New Roman" w:hint="eastAsia"/>
          <w:szCs w:val="24"/>
        </w:rPr>
        <w:t>，</w:t>
      </w:r>
      <w:r w:rsidR="00A6302C">
        <w:rPr>
          <w:rFonts w:eastAsia="宋体" w:cs="Times New Roman" w:hint="eastAsia"/>
          <w:szCs w:val="24"/>
        </w:rPr>
        <w:t>拟向全体股东每</w:t>
      </w:r>
      <w:r w:rsidR="00A6302C">
        <w:rPr>
          <w:rFonts w:eastAsia="宋体" w:cs="Times New Roman" w:hint="eastAsia"/>
          <w:szCs w:val="24"/>
        </w:rPr>
        <w:t>1</w:t>
      </w:r>
      <w:r w:rsidR="00A6302C">
        <w:rPr>
          <w:rFonts w:eastAsia="宋体" w:cs="Times New Roman"/>
          <w:szCs w:val="24"/>
        </w:rPr>
        <w:t>0</w:t>
      </w:r>
      <w:r w:rsidR="00A6302C">
        <w:rPr>
          <w:rFonts w:eastAsia="宋体" w:cs="Times New Roman" w:hint="eastAsia"/>
          <w:szCs w:val="24"/>
        </w:rPr>
        <w:t>股以资本公积转增</w:t>
      </w:r>
      <w:r w:rsidR="00A6302C">
        <w:rPr>
          <w:rFonts w:eastAsia="宋体" w:cs="Times New Roman" w:hint="eastAsia"/>
          <w:szCs w:val="24"/>
        </w:rPr>
        <w:t>4</w:t>
      </w:r>
      <w:r w:rsidR="00A6302C">
        <w:rPr>
          <w:rFonts w:eastAsia="宋体" w:cs="Times New Roman" w:hint="eastAsia"/>
          <w:szCs w:val="24"/>
        </w:rPr>
        <w:t>股。</w:t>
      </w:r>
      <w:r w:rsidRPr="00C76406">
        <w:rPr>
          <w:rFonts w:eastAsia="宋体" w:cs="Times New Roman" w:hint="eastAsia"/>
          <w:szCs w:val="24"/>
        </w:rPr>
        <w:t>上述</w:t>
      </w:r>
      <w:r w:rsidR="004B5217">
        <w:rPr>
          <w:rFonts w:eastAsia="宋体" w:cs="Times New Roman" w:hint="eastAsia"/>
          <w:szCs w:val="24"/>
        </w:rPr>
        <w:t>提案</w:t>
      </w:r>
      <w:r w:rsidRPr="00C76406">
        <w:rPr>
          <w:rFonts w:eastAsia="宋体" w:cs="Times New Roman" w:hint="eastAsia"/>
          <w:szCs w:val="24"/>
        </w:rPr>
        <w:t>尚待股东大会的批准。</w:t>
      </w:r>
    </w:p>
    <w:p w:rsidR="00195579" w:rsidRPr="0027505B" w:rsidRDefault="00195579">
      <w:pPr>
        <w:adjustRightInd/>
        <w:snapToGrid/>
        <w:rPr>
          <w:rFonts w:eastAsia="宋体" w:cs="Times New Roman"/>
          <w:szCs w:val="24"/>
        </w:rPr>
      </w:pPr>
    </w:p>
    <w:p w:rsidR="004F6FF3" w:rsidRPr="0027505B" w:rsidRDefault="004F6FF3">
      <w:pPr>
        <w:adjustRightInd/>
        <w:snapToGrid/>
        <w:rPr>
          <w:rFonts w:eastAsia="宋体" w:cs="Times New Roman"/>
          <w:szCs w:val="24"/>
        </w:rPr>
      </w:pPr>
    </w:p>
    <w:p w:rsidR="00753B8C" w:rsidRPr="00A71D2E" w:rsidRDefault="00753B8C" w:rsidP="00F66363">
      <w:pPr>
        <w:pStyle w:val="1"/>
        <w:keepNext w:val="0"/>
        <w:keepLines w:val="0"/>
        <w:adjustRightInd w:val="0"/>
        <w:snapToGrid w:val="0"/>
        <w:ind w:left="720" w:hanging="720"/>
        <w:contextualSpacing w:val="0"/>
        <w:jc w:val="both"/>
        <w:rPr>
          <w:rFonts w:ascii="Times New Roman" w:hAnsi="Times New Roman" w:cs="Times New Roman"/>
        </w:rPr>
      </w:pPr>
      <w:r w:rsidRPr="00F66363">
        <w:rPr>
          <w:rFonts w:ascii="Times New Roman" w:hAnsi="Times New Roman" w:cs="Times New Roman"/>
        </w:rPr>
        <w:fldChar w:fldCharType="begin"/>
      </w:r>
      <w:r w:rsidRPr="00A71D2E">
        <w:rPr>
          <w:rFonts w:ascii="Times New Roman" w:hAnsi="Times New Roman" w:cs="Times New Roman"/>
        </w:rPr>
        <w:instrText xml:space="preserve"> COMMENTS  "(</w:instrText>
      </w:r>
      <w:r w:rsidRPr="00A71D2E">
        <w:rPr>
          <w:rFonts w:ascii="Times New Roman" w:hAnsi="Times New Roman" w:cs="Times New Roman" w:hint="eastAsia"/>
        </w:rPr>
        <w:instrText>十一</w:instrText>
      </w:r>
      <w:r w:rsidRPr="00A71D2E">
        <w:rPr>
          <w:rFonts w:ascii="Times New Roman" w:hAnsi="Times New Roman" w:cs="Times New Roman"/>
        </w:rPr>
        <w:instrText>)</w:instrText>
      </w:r>
      <w:r w:rsidRPr="00A71D2E">
        <w:rPr>
          <w:rFonts w:ascii="Times New Roman" w:hAnsi="Times New Roman" w:cs="Times New Roman"/>
        </w:rPr>
        <w:tab/>
      </w:r>
      <w:r w:rsidRPr="00A71D2E">
        <w:rPr>
          <w:rFonts w:ascii="Times New Roman" w:hAnsi="Times New Roman" w:cs="Times New Roman" w:hint="eastAsia"/>
        </w:rPr>
        <w:instrText>其他重要事项</w:instrText>
      </w:r>
      <w:r w:rsidRPr="00A71D2E">
        <w:rPr>
          <w:rFonts w:ascii="Times New Roman" w:hAnsi="Times New Roman" w:cs="Times New Roman"/>
        </w:rPr>
        <w:instrText xml:space="preserve"> - </w:instrText>
      </w:r>
      <w:r w:rsidRPr="00A71D2E">
        <w:rPr>
          <w:rFonts w:ascii="Times New Roman" w:hAnsi="Times New Roman" w:cs="Times New Roman" w:hint="eastAsia"/>
        </w:rPr>
        <w:instrText>续</w:instrText>
      </w:r>
      <w:r w:rsidRPr="00A71D2E">
        <w:rPr>
          <w:rFonts w:ascii="Times New Roman" w:hAnsi="Times New Roman" w:cs="Times New Roman"/>
        </w:rPr>
        <w:instrText xml:space="preserve">"  \* MERGEFORMAT </w:instrText>
      </w:r>
      <w:r w:rsidRPr="00F66363">
        <w:rPr>
          <w:rFonts w:ascii="Times New Roman" w:hAnsi="Times New Roman" w:cs="Times New Roman"/>
        </w:rPr>
        <w:fldChar w:fldCharType="separate"/>
      </w:r>
      <w:r w:rsidRPr="00A71D2E">
        <w:rPr>
          <w:rFonts w:ascii="Times New Roman" w:hAnsi="Times New Roman" w:cs="Times New Roman" w:hint="eastAsia"/>
        </w:rPr>
        <w:t>其他重要事项</w:t>
      </w:r>
      <w:r w:rsidRPr="00F66363">
        <w:rPr>
          <w:rFonts w:ascii="Times New Roman" w:hAnsi="Times New Roman" w:cs="Times New Roman"/>
        </w:rPr>
        <w:fldChar w:fldCharType="end"/>
      </w:r>
    </w:p>
    <w:p w:rsidR="00753B8C" w:rsidRPr="00A71D2E" w:rsidRDefault="00753B8C" w:rsidP="00F66363">
      <w:pPr>
        <w:widowControl w:val="0"/>
        <w:ind w:left="720"/>
        <w:jc w:val="both"/>
        <w:rPr>
          <w:rFonts w:eastAsia="宋体" w:cs="Times New Roman"/>
          <w:szCs w:val="21"/>
        </w:rPr>
      </w:pPr>
    </w:p>
    <w:p w:rsidR="00753B8C" w:rsidRPr="00A71D2E" w:rsidRDefault="00753B8C" w:rsidP="00F66363">
      <w:pPr>
        <w:pStyle w:val="2"/>
        <w:numPr>
          <w:ilvl w:val="2"/>
          <w:numId w:val="1"/>
        </w:numPr>
        <w:adjustRightInd w:val="0"/>
        <w:snapToGrid w:val="0"/>
        <w:ind w:left="1440" w:hanging="720"/>
        <w:contextualSpacing w:val="0"/>
        <w:jc w:val="both"/>
        <w:rPr>
          <w:rFonts w:ascii="Times New Roman" w:eastAsia="宋体" w:hAnsi="Times New Roman" w:cs="Times New Roman"/>
          <w:bCs/>
          <w:szCs w:val="21"/>
          <w:lang w:val="x-none" w:eastAsia="x-none"/>
        </w:rPr>
      </w:pPr>
      <w:proofErr w:type="spellStart"/>
      <w:r w:rsidRPr="00A71D2E">
        <w:rPr>
          <w:rFonts w:ascii="Times New Roman" w:eastAsia="宋体" w:hAnsi="Times New Roman" w:cs="Times New Roman" w:hint="eastAsia"/>
          <w:bCs/>
          <w:szCs w:val="21"/>
          <w:lang w:val="x-none" w:eastAsia="x-none"/>
        </w:rPr>
        <w:t>分部信息</w:t>
      </w:r>
      <w:proofErr w:type="spellEnd"/>
    </w:p>
    <w:p w:rsidR="00753B8C" w:rsidRPr="00A71D2E" w:rsidRDefault="00753B8C" w:rsidP="00F66363">
      <w:pPr>
        <w:ind w:left="1440" w:hanging="720"/>
        <w:jc w:val="both"/>
        <w:rPr>
          <w:rFonts w:eastAsia="宋体" w:cs="Times New Roman"/>
          <w:szCs w:val="21"/>
        </w:rPr>
      </w:pPr>
    </w:p>
    <w:p w:rsidR="00753B8C" w:rsidRPr="00A71D2E" w:rsidRDefault="00753B8C">
      <w:pPr>
        <w:pStyle w:val="aff1"/>
        <w:numPr>
          <w:ilvl w:val="1"/>
          <w:numId w:val="27"/>
        </w:numPr>
        <w:ind w:left="1440" w:firstLineChars="0" w:hanging="720"/>
        <w:jc w:val="both"/>
        <w:rPr>
          <w:b/>
          <w:color w:val="000000"/>
          <w:szCs w:val="21"/>
        </w:rPr>
      </w:pPr>
      <w:r w:rsidRPr="00A71D2E">
        <w:rPr>
          <w:rFonts w:hint="eastAsia"/>
          <w:b/>
          <w:color w:val="000000"/>
          <w:szCs w:val="21"/>
        </w:rPr>
        <w:t>报告分部的确定依据与会计政策</w:t>
      </w:r>
    </w:p>
    <w:p w:rsidR="00753B8C" w:rsidRPr="00A71D2E" w:rsidRDefault="00753B8C" w:rsidP="00F66363">
      <w:pPr>
        <w:ind w:left="720"/>
        <w:jc w:val="both"/>
        <w:rPr>
          <w:rFonts w:eastAsia="宋体" w:cs="Times New Roman"/>
          <w:szCs w:val="21"/>
        </w:rPr>
      </w:pPr>
    </w:p>
    <w:p w:rsidR="00753B8C" w:rsidRPr="00A71D2E" w:rsidRDefault="00753B8C" w:rsidP="00F66363">
      <w:pPr>
        <w:ind w:left="720"/>
        <w:jc w:val="both"/>
        <w:rPr>
          <w:rFonts w:eastAsia="宋体" w:cs="Times New Roman"/>
          <w:szCs w:val="21"/>
        </w:rPr>
      </w:pPr>
      <w:r w:rsidRPr="00A71D2E">
        <w:rPr>
          <w:rFonts w:eastAsia="宋体" w:cs="Times New Roman" w:hint="eastAsia"/>
          <w:szCs w:val="21"/>
        </w:rPr>
        <w:t>根据本集团的内部组织结构、管理要求及内部报告制度，本集团的经营业务仅划分为</w:t>
      </w:r>
      <w:r w:rsidRPr="00A71D2E">
        <w:rPr>
          <w:rFonts w:eastAsia="宋体" w:cs="Times New Roman"/>
          <w:szCs w:val="21"/>
        </w:rPr>
        <w:t xml:space="preserve">1 </w:t>
      </w:r>
      <w:proofErr w:type="gramStart"/>
      <w:r w:rsidRPr="00A71D2E">
        <w:rPr>
          <w:rFonts w:eastAsia="宋体" w:cs="Times New Roman" w:hint="eastAsia"/>
          <w:szCs w:val="21"/>
        </w:rPr>
        <w:t>个</w:t>
      </w:r>
      <w:proofErr w:type="gramEnd"/>
      <w:r w:rsidRPr="00A71D2E">
        <w:rPr>
          <w:rFonts w:eastAsia="宋体" w:cs="Times New Roman" w:hint="eastAsia"/>
          <w:szCs w:val="21"/>
        </w:rPr>
        <w:t>经营分部，本公司的管理层定期评价该分部的经营成果，以决定向其分配资源及评价其业绩。在经营分部的基础上本集团确定了</w:t>
      </w:r>
      <w:r w:rsidRPr="00A71D2E">
        <w:rPr>
          <w:rFonts w:eastAsia="宋体" w:cs="Times New Roman"/>
          <w:szCs w:val="21"/>
        </w:rPr>
        <w:t xml:space="preserve">1 </w:t>
      </w:r>
      <w:proofErr w:type="gramStart"/>
      <w:r w:rsidRPr="00A71D2E">
        <w:rPr>
          <w:rFonts w:eastAsia="宋体" w:cs="Times New Roman" w:hint="eastAsia"/>
          <w:szCs w:val="21"/>
        </w:rPr>
        <w:t>个</w:t>
      </w:r>
      <w:proofErr w:type="gramEnd"/>
      <w:r w:rsidRPr="00A71D2E">
        <w:rPr>
          <w:rFonts w:eastAsia="宋体" w:cs="Times New Roman" w:hint="eastAsia"/>
          <w:szCs w:val="21"/>
        </w:rPr>
        <w:t>报告分部。</w:t>
      </w:r>
    </w:p>
    <w:p w:rsidR="008A1002" w:rsidRPr="00A71D2E" w:rsidRDefault="008A1002" w:rsidP="007C543B">
      <w:pPr>
        <w:snapToGrid/>
        <w:ind w:leftChars="337" w:left="708"/>
        <w:jc w:val="both"/>
        <w:rPr>
          <w:rFonts w:eastAsia="宋体" w:cs="Times New Roman"/>
          <w:b/>
          <w:bCs/>
          <w:szCs w:val="21"/>
        </w:rPr>
      </w:pPr>
    </w:p>
    <w:p w:rsidR="00753B8C" w:rsidRPr="00A71D2E" w:rsidRDefault="00753B8C">
      <w:pPr>
        <w:pStyle w:val="aff1"/>
        <w:numPr>
          <w:ilvl w:val="1"/>
          <w:numId w:val="27"/>
        </w:numPr>
        <w:snapToGrid/>
        <w:ind w:left="1440" w:firstLineChars="0" w:hanging="720"/>
        <w:jc w:val="both"/>
        <w:rPr>
          <w:b/>
          <w:color w:val="000000"/>
          <w:szCs w:val="21"/>
        </w:rPr>
      </w:pPr>
      <w:r w:rsidRPr="00A71D2E">
        <w:rPr>
          <w:rFonts w:hint="eastAsia"/>
          <w:b/>
          <w:color w:val="000000"/>
          <w:szCs w:val="21"/>
        </w:rPr>
        <w:t>报告分部的财务信息</w:t>
      </w:r>
    </w:p>
    <w:p w:rsidR="00753B8C" w:rsidRPr="00A71D2E" w:rsidRDefault="00753B8C" w:rsidP="00F66363">
      <w:pPr>
        <w:snapToGrid/>
        <w:ind w:left="720"/>
        <w:jc w:val="both"/>
        <w:rPr>
          <w:rFonts w:eastAsia="宋体" w:cs="Times New Roman"/>
          <w:szCs w:val="21"/>
        </w:rPr>
      </w:pPr>
    </w:p>
    <w:p w:rsidR="00753B8C" w:rsidRDefault="00753B8C" w:rsidP="00A374B8">
      <w:pPr>
        <w:snapToGrid/>
        <w:ind w:left="720"/>
        <w:jc w:val="both"/>
        <w:rPr>
          <w:rFonts w:eastAsia="宋体" w:cs="Times New Roman"/>
          <w:szCs w:val="21"/>
        </w:rPr>
      </w:pPr>
      <w:r w:rsidRPr="00A71D2E">
        <w:rPr>
          <w:rFonts w:eastAsia="宋体" w:cs="Times New Roman" w:hint="eastAsia"/>
          <w:szCs w:val="21"/>
        </w:rPr>
        <w:t>报告期内，本集团按收入来源地划分的对外交易收入和资产所在地划分的非流动资产</w:t>
      </w:r>
      <w:r w:rsidR="005F14EE">
        <w:rPr>
          <w:rFonts w:eastAsia="宋体" w:cs="Times New Roman" w:hint="eastAsia"/>
          <w:szCs w:val="21"/>
        </w:rPr>
        <w:t>：</w:t>
      </w:r>
    </w:p>
    <w:p w:rsidR="004F6FF3" w:rsidRDefault="004F6FF3" w:rsidP="00A374B8">
      <w:pPr>
        <w:snapToGrid/>
        <w:ind w:left="720"/>
        <w:jc w:val="both"/>
        <w:rPr>
          <w:rFonts w:eastAsia="宋体" w:cs="Times New Roman"/>
          <w:szCs w:val="21"/>
        </w:rPr>
      </w:pPr>
    </w:p>
    <w:p w:rsidR="00753B8C" w:rsidRPr="00A71D2E" w:rsidRDefault="00753B8C" w:rsidP="00F66363">
      <w:pPr>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68"/>
        <w:gridCol w:w="2241"/>
        <w:gridCol w:w="2241"/>
      </w:tblGrid>
      <w:tr w:rsidR="003415F9" w:rsidRPr="00A71D2E" w:rsidTr="0027505B">
        <w:trPr>
          <w:trHeight w:val="20"/>
        </w:trPr>
        <w:tc>
          <w:tcPr>
            <w:tcW w:w="4968" w:type="dxa"/>
            <w:shd w:val="clear" w:color="auto" w:fill="D9D9D9" w:themeFill="background1" w:themeFillShade="D9"/>
            <w:tcMar>
              <w:top w:w="0" w:type="dxa"/>
              <w:left w:w="108" w:type="dxa"/>
              <w:bottom w:w="0" w:type="dxa"/>
              <w:right w:w="108" w:type="dxa"/>
            </w:tcMar>
            <w:vAlign w:val="center"/>
            <w:hideMark/>
          </w:tcPr>
          <w:p w:rsidR="00753B8C" w:rsidRPr="00A71D2E" w:rsidRDefault="00753B8C" w:rsidP="00F66363">
            <w:pPr>
              <w:snapToGrid/>
              <w:jc w:val="center"/>
              <w:rPr>
                <w:rFonts w:eastAsia="宋体" w:cs="Times New Roman"/>
                <w:sz w:val="18"/>
                <w:szCs w:val="18"/>
              </w:rPr>
            </w:pPr>
            <w:r w:rsidRPr="00A71D2E">
              <w:rPr>
                <w:rFonts w:eastAsia="宋体" w:cs="Times New Roman" w:hint="eastAsia"/>
                <w:sz w:val="18"/>
                <w:szCs w:val="18"/>
              </w:rPr>
              <w:t>项目</w:t>
            </w:r>
          </w:p>
        </w:tc>
        <w:tc>
          <w:tcPr>
            <w:tcW w:w="2241" w:type="dxa"/>
            <w:shd w:val="clear" w:color="auto" w:fill="D9D9D9" w:themeFill="background1" w:themeFillShade="D9"/>
            <w:vAlign w:val="center"/>
          </w:tcPr>
          <w:p w:rsidR="00753B8C" w:rsidRPr="00A71D2E" w:rsidRDefault="00C914AF" w:rsidP="00F66363">
            <w:pPr>
              <w:snapToGrid/>
              <w:jc w:val="center"/>
              <w:rPr>
                <w:rFonts w:eastAsia="宋体" w:cs="Times New Roman"/>
                <w:sz w:val="18"/>
                <w:szCs w:val="18"/>
              </w:rPr>
            </w:pPr>
            <w:r w:rsidRPr="00A71D2E">
              <w:rPr>
                <w:rFonts w:eastAsia="宋体" w:cs="Times New Roman" w:hint="eastAsia"/>
                <w:sz w:val="18"/>
                <w:szCs w:val="18"/>
              </w:rPr>
              <w:t>本年发生额</w:t>
            </w:r>
          </w:p>
        </w:tc>
        <w:tc>
          <w:tcPr>
            <w:tcW w:w="2241" w:type="dxa"/>
            <w:shd w:val="clear" w:color="auto" w:fill="D9D9D9" w:themeFill="background1" w:themeFillShade="D9"/>
            <w:vAlign w:val="center"/>
          </w:tcPr>
          <w:p w:rsidR="00753B8C" w:rsidRPr="00A71D2E" w:rsidRDefault="00C914AF" w:rsidP="00F66363">
            <w:pPr>
              <w:snapToGrid/>
              <w:jc w:val="center"/>
              <w:rPr>
                <w:rFonts w:eastAsia="宋体" w:cs="Times New Roman"/>
                <w:sz w:val="18"/>
                <w:szCs w:val="18"/>
              </w:rPr>
            </w:pPr>
            <w:r w:rsidRPr="00A71D2E">
              <w:rPr>
                <w:rFonts w:eastAsia="宋体" w:cs="Times New Roman" w:hint="eastAsia"/>
                <w:sz w:val="18"/>
                <w:szCs w:val="18"/>
              </w:rPr>
              <w:t>上年发生额</w:t>
            </w:r>
          </w:p>
        </w:tc>
      </w:tr>
      <w:tr w:rsidR="009170FB" w:rsidRPr="00A71D2E" w:rsidTr="0027505B">
        <w:trPr>
          <w:trHeight w:val="20"/>
        </w:trPr>
        <w:tc>
          <w:tcPr>
            <w:tcW w:w="4968" w:type="dxa"/>
            <w:shd w:val="clear" w:color="auto" w:fill="FFFFFF" w:themeFill="background1"/>
            <w:tcMar>
              <w:top w:w="0" w:type="dxa"/>
              <w:left w:w="108" w:type="dxa"/>
              <w:bottom w:w="0" w:type="dxa"/>
              <w:right w:w="108" w:type="dxa"/>
            </w:tcMar>
            <w:vAlign w:val="center"/>
            <w:hideMark/>
          </w:tcPr>
          <w:p w:rsidR="009170FB" w:rsidRPr="00A71D2E" w:rsidRDefault="009170FB" w:rsidP="009170FB">
            <w:pPr>
              <w:snapToGrid/>
              <w:ind w:right="-105"/>
              <w:rPr>
                <w:rFonts w:eastAsia="宋体" w:cs="Times New Roman"/>
                <w:sz w:val="18"/>
                <w:szCs w:val="18"/>
              </w:rPr>
            </w:pPr>
            <w:r w:rsidRPr="00A71D2E">
              <w:rPr>
                <w:rFonts w:eastAsia="宋体" w:cs="Times New Roman" w:hint="eastAsia"/>
                <w:sz w:val="18"/>
                <w:szCs w:val="18"/>
              </w:rPr>
              <w:t>来源于中国大陆境内的对外交易</w:t>
            </w:r>
            <w:r>
              <w:rPr>
                <w:rFonts w:eastAsia="宋体" w:cs="Times New Roman" w:hint="eastAsia"/>
                <w:sz w:val="18"/>
                <w:szCs w:val="18"/>
              </w:rPr>
              <w:t>营业</w:t>
            </w:r>
            <w:r w:rsidRPr="00A71D2E">
              <w:rPr>
                <w:rFonts w:eastAsia="宋体" w:cs="Times New Roman" w:hint="eastAsia"/>
                <w:sz w:val="18"/>
                <w:szCs w:val="18"/>
              </w:rPr>
              <w:t>收入</w:t>
            </w:r>
          </w:p>
        </w:tc>
        <w:tc>
          <w:tcPr>
            <w:tcW w:w="2241" w:type="dxa"/>
            <w:vAlign w:val="center"/>
          </w:tcPr>
          <w:p w:rsidR="009170FB" w:rsidRPr="00A71D2E" w:rsidRDefault="007C543B" w:rsidP="009170FB">
            <w:pPr>
              <w:snapToGrid/>
              <w:ind w:right="108"/>
              <w:jc w:val="right"/>
              <w:rPr>
                <w:rFonts w:eastAsia="宋体" w:cs="Times New Roman"/>
                <w:color w:val="000000"/>
                <w:sz w:val="18"/>
                <w:szCs w:val="18"/>
              </w:rPr>
            </w:pPr>
            <w:r w:rsidRPr="007C543B">
              <w:rPr>
                <w:rFonts w:eastAsia="宋体" w:cs="Times New Roman"/>
                <w:color w:val="000000"/>
                <w:sz w:val="18"/>
                <w:szCs w:val="18"/>
              </w:rPr>
              <w:t>3,322,736,493.32</w:t>
            </w:r>
          </w:p>
        </w:tc>
        <w:tc>
          <w:tcPr>
            <w:tcW w:w="2241" w:type="dxa"/>
            <w:vAlign w:val="center"/>
          </w:tcPr>
          <w:p w:rsidR="009170FB" w:rsidRPr="00A71D2E" w:rsidRDefault="009170FB" w:rsidP="009170FB">
            <w:pPr>
              <w:snapToGrid/>
              <w:ind w:right="108"/>
              <w:jc w:val="right"/>
              <w:rPr>
                <w:rFonts w:eastAsia="宋体" w:cs="Times New Roman"/>
                <w:color w:val="000000"/>
                <w:sz w:val="18"/>
                <w:szCs w:val="18"/>
              </w:rPr>
            </w:pPr>
            <w:r w:rsidRPr="00DE09F9">
              <w:rPr>
                <w:rFonts w:eastAsia="宋体" w:cs="Times New Roman"/>
                <w:color w:val="000000"/>
                <w:sz w:val="18"/>
                <w:szCs w:val="18"/>
              </w:rPr>
              <w:t>3,089,802,178.5</w:t>
            </w:r>
            <w:r>
              <w:rPr>
                <w:rFonts w:eastAsia="宋体" w:cs="Times New Roman"/>
                <w:color w:val="000000"/>
                <w:sz w:val="18"/>
                <w:szCs w:val="18"/>
              </w:rPr>
              <w:t>4</w:t>
            </w:r>
          </w:p>
        </w:tc>
      </w:tr>
      <w:tr w:rsidR="009170FB" w:rsidRPr="00A71D2E" w:rsidTr="0027505B">
        <w:trPr>
          <w:trHeight w:val="20"/>
        </w:trPr>
        <w:tc>
          <w:tcPr>
            <w:tcW w:w="4968" w:type="dxa"/>
            <w:shd w:val="clear" w:color="auto" w:fill="FFFFFF" w:themeFill="background1"/>
            <w:tcMar>
              <w:top w:w="0" w:type="dxa"/>
              <w:left w:w="108" w:type="dxa"/>
              <w:bottom w:w="0" w:type="dxa"/>
              <w:right w:w="108" w:type="dxa"/>
            </w:tcMar>
            <w:vAlign w:val="center"/>
            <w:hideMark/>
          </w:tcPr>
          <w:p w:rsidR="009170FB" w:rsidRPr="00A71D2E" w:rsidRDefault="009170FB" w:rsidP="009170FB">
            <w:pPr>
              <w:snapToGrid/>
              <w:ind w:right="-105"/>
              <w:rPr>
                <w:rFonts w:eastAsia="宋体" w:cs="Times New Roman"/>
                <w:sz w:val="18"/>
                <w:szCs w:val="18"/>
              </w:rPr>
            </w:pPr>
            <w:r w:rsidRPr="00A71D2E">
              <w:rPr>
                <w:rFonts w:eastAsia="宋体" w:cs="Times New Roman" w:hint="eastAsia"/>
                <w:sz w:val="18"/>
                <w:szCs w:val="18"/>
              </w:rPr>
              <w:t>来源于中国大陆境外的对外交易</w:t>
            </w:r>
            <w:r>
              <w:rPr>
                <w:rFonts w:eastAsia="宋体" w:cs="Times New Roman" w:hint="eastAsia"/>
                <w:sz w:val="18"/>
                <w:szCs w:val="18"/>
              </w:rPr>
              <w:t>营业</w:t>
            </w:r>
            <w:r w:rsidRPr="00A71D2E">
              <w:rPr>
                <w:rFonts w:eastAsia="宋体" w:cs="Times New Roman" w:hint="eastAsia"/>
                <w:sz w:val="18"/>
                <w:szCs w:val="18"/>
              </w:rPr>
              <w:t>收入</w:t>
            </w:r>
          </w:p>
        </w:tc>
        <w:tc>
          <w:tcPr>
            <w:tcW w:w="2241" w:type="dxa"/>
            <w:vAlign w:val="center"/>
          </w:tcPr>
          <w:p w:rsidR="009170FB" w:rsidRPr="00A71D2E" w:rsidRDefault="007C543B" w:rsidP="009170FB">
            <w:pPr>
              <w:snapToGrid/>
              <w:ind w:right="108"/>
              <w:jc w:val="right"/>
              <w:rPr>
                <w:rFonts w:eastAsia="宋体" w:cs="Times New Roman"/>
                <w:color w:val="000000"/>
                <w:sz w:val="18"/>
                <w:szCs w:val="18"/>
              </w:rPr>
            </w:pPr>
            <w:r w:rsidRPr="007C543B">
              <w:rPr>
                <w:rFonts w:eastAsia="宋体" w:cs="Times New Roman"/>
                <w:color w:val="000000"/>
                <w:sz w:val="18"/>
                <w:szCs w:val="18"/>
              </w:rPr>
              <w:t>1,517,008,372.23</w:t>
            </w:r>
          </w:p>
        </w:tc>
        <w:tc>
          <w:tcPr>
            <w:tcW w:w="2241" w:type="dxa"/>
            <w:vAlign w:val="center"/>
          </w:tcPr>
          <w:p w:rsidR="009170FB" w:rsidRPr="00A71D2E" w:rsidRDefault="009170FB" w:rsidP="009170FB">
            <w:pPr>
              <w:snapToGrid/>
              <w:ind w:right="108"/>
              <w:jc w:val="right"/>
              <w:rPr>
                <w:rFonts w:eastAsia="宋体" w:cs="Times New Roman"/>
                <w:color w:val="000000"/>
                <w:sz w:val="18"/>
                <w:szCs w:val="18"/>
              </w:rPr>
            </w:pPr>
            <w:r w:rsidRPr="00DE09F9">
              <w:rPr>
                <w:rFonts w:eastAsia="宋体" w:cs="Times New Roman"/>
                <w:color w:val="000000"/>
                <w:sz w:val="18"/>
                <w:szCs w:val="18"/>
              </w:rPr>
              <w:t>1,216,511,599.59</w:t>
            </w:r>
          </w:p>
        </w:tc>
      </w:tr>
      <w:tr w:rsidR="009170FB" w:rsidRPr="00A71D2E" w:rsidTr="0027505B">
        <w:trPr>
          <w:trHeight w:val="20"/>
        </w:trPr>
        <w:tc>
          <w:tcPr>
            <w:tcW w:w="4968" w:type="dxa"/>
            <w:shd w:val="clear" w:color="auto" w:fill="D9D9D9" w:themeFill="background1" w:themeFillShade="D9"/>
            <w:tcMar>
              <w:top w:w="0" w:type="dxa"/>
              <w:left w:w="108" w:type="dxa"/>
              <w:bottom w:w="0" w:type="dxa"/>
              <w:right w:w="108" w:type="dxa"/>
            </w:tcMar>
            <w:vAlign w:val="center"/>
            <w:hideMark/>
          </w:tcPr>
          <w:p w:rsidR="009170FB" w:rsidRPr="00A71D2E" w:rsidRDefault="009170FB" w:rsidP="009170FB">
            <w:pPr>
              <w:snapToGrid/>
              <w:rPr>
                <w:rFonts w:eastAsia="宋体" w:cs="Times New Roman"/>
                <w:sz w:val="18"/>
                <w:szCs w:val="18"/>
              </w:rPr>
            </w:pPr>
            <w:r w:rsidRPr="00A71D2E">
              <w:rPr>
                <w:rFonts w:eastAsia="宋体" w:cs="Times New Roman" w:hint="eastAsia"/>
                <w:sz w:val="18"/>
                <w:szCs w:val="18"/>
              </w:rPr>
              <w:t>合计</w:t>
            </w:r>
          </w:p>
        </w:tc>
        <w:tc>
          <w:tcPr>
            <w:tcW w:w="2241" w:type="dxa"/>
            <w:vAlign w:val="center"/>
          </w:tcPr>
          <w:p w:rsidR="009170FB" w:rsidRPr="00A71D2E" w:rsidRDefault="007C543B" w:rsidP="009170FB">
            <w:pPr>
              <w:snapToGrid/>
              <w:ind w:right="108"/>
              <w:jc w:val="right"/>
              <w:rPr>
                <w:rFonts w:eastAsia="宋体" w:cs="Times New Roman"/>
                <w:color w:val="000000"/>
                <w:sz w:val="18"/>
                <w:szCs w:val="18"/>
              </w:rPr>
            </w:pPr>
            <w:r w:rsidRPr="007C543B">
              <w:rPr>
                <w:rFonts w:eastAsia="宋体" w:cs="Times New Roman"/>
                <w:color w:val="000000"/>
                <w:sz w:val="18"/>
                <w:szCs w:val="18"/>
              </w:rPr>
              <w:t>4,839,744,865.55</w:t>
            </w:r>
          </w:p>
        </w:tc>
        <w:tc>
          <w:tcPr>
            <w:tcW w:w="2241" w:type="dxa"/>
            <w:vAlign w:val="center"/>
          </w:tcPr>
          <w:p w:rsidR="009170FB" w:rsidRPr="00A71D2E" w:rsidRDefault="009170FB" w:rsidP="009170FB">
            <w:pPr>
              <w:snapToGrid/>
              <w:ind w:right="108"/>
              <w:jc w:val="right"/>
              <w:rPr>
                <w:rFonts w:eastAsia="宋体" w:cs="Times New Roman"/>
                <w:color w:val="000000"/>
                <w:sz w:val="18"/>
                <w:szCs w:val="18"/>
              </w:rPr>
            </w:pPr>
            <w:r w:rsidRPr="00DE09F9">
              <w:rPr>
                <w:rFonts w:eastAsia="宋体" w:cs="Times New Roman"/>
                <w:color w:val="000000"/>
                <w:sz w:val="18"/>
                <w:szCs w:val="18"/>
              </w:rPr>
              <w:t>4,306,313,778.1</w:t>
            </w:r>
            <w:r>
              <w:rPr>
                <w:rFonts w:eastAsia="宋体" w:cs="Times New Roman"/>
                <w:color w:val="000000"/>
                <w:sz w:val="18"/>
                <w:szCs w:val="18"/>
              </w:rPr>
              <w:t>3</w:t>
            </w:r>
          </w:p>
        </w:tc>
      </w:tr>
    </w:tbl>
    <w:p w:rsidR="004F6FF3" w:rsidRDefault="004F6FF3" w:rsidP="00F66363">
      <w:pPr>
        <w:widowControl w:val="0"/>
        <w:snapToGrid/>
        <w:ind w:left="720"/>
        <w:jc w:val="both"/>
        <w:rPr>
          <w:rFonts w:eastAsia="宋体" w:cs="Times New Roman"/>
          <w:szCs w:val="21"/>
        </w:rPr>
      </w:pPr>
    </w:p>
    <w:p w:rsidR="004F6FF3" w:rsidRDefault="004F6FF3">
      <w:pPr>
        <w:adjustRightInd/>
        <w:snapToGrid/>
        <w:rPr>
          <w:rFonts w:eastAsia="宋体" w:cs="Times New Roman"/>
          <w:szCs w:val="21"/>
        </w:rPr>
      </w:pPr>
      <w:r>
        <w:rPr>
          <w:rFonts w:eastAsia="宋体" w:cs="Times New Roman"/>
          <w:szCs w:val="21"/>
        </w:rPr>
        <w:br w:type="page"/>
      </w:r>
    </w:p>
    <w:p w:rsidR="00753B8C" w:rsidRDefault="004F6FF3" w:rsidP="0027505B">
      <w:pPr>
        <w:widowControl w:val="0"/>
        <w:snapToGrid/>
        <w:jc w:val="both"/>
        <w:rPr>
          <w:rFonts w:eastAsia="宋体" w:cs="Times New Roman"/>
          <w:szCs w:val="21"/>
        </w:rPr>
      </w:pPr>
      <w:r w:rsidRPr="0027505B">
        <w:rPr>
          <w:rFonts w:eastAsia="宋体" w:cs="Times New Roman"/>
          <w:b/>
          <w:bCs/>
          <w:szCs w:val="21"/>
        </w:rPr>
        <w:t>(</w:t>
      </w:r>
      <w:r w:rsidRPr="0027505B">
        <w:rPr>
          <w:rFonts w:eastAsia="宋体" w:cs="Times New Roman" w:hint="eastAsia"/>
          <w:b/>
          <w:bCs/>
          <w:szCs w:val="21"/>
        </w:rPr>
        <w:t>十四</w:t>
      </w:r>
      <w:r w:rsidRPr="0027505B">
        <w:rPr>
          <w:rFonts w:eastAsia="宋体" w:cs="Times New Roman"/>
          <w:b/>
          <w:bCs/>
          <w:szCs w:val="21"/>
        </w:rPr>
        <w:t>)</w:t>
      </w:r>
      <w:r w:rsidRPr="0027505B">
        <w:rPr>
          <w:rFonts w:eastAsia="宋体" w:cs="Times New Roman"/>
          <w:b/>
          <w:bCs/>
          <w:szCs w:val="21"/>
        </w:rPr>
        <w:tab/>
      </w:r>
      <w:r w:rsidRPr="0027505B">
        <w:rPr>
          <w:rFonts w:eastAsia="宋体" w:cs="Times New Roman" w:hint="eastAsia"/>
          <w:b/>
          <w:bCs/>
          <w:szCs w:val="21"/>
        </w:rPr>
        <w:t>其他重要事项</w:t>
      </w:r>
      <w:r>
        <w:rPr>
          <w:rFonts w:eastAsia="宋体" w:cs="Times New Roman" w:hint="eastAsia"/>
          <w:szCs w:val="21"/>
        </w:rPr>
        <w:t xml:space="preserve"> </w:t>
      </w:r>
      <w:r>
        <w:rPr>
          <w:rFonts w:eastAsia="宋体" w:cs="Times New Roman"/>
          <w:szCs w:val="21"/>
        </w:rPr>
        <w:t xml:space="preserve">- </w:t>
      </w:r>
      <w:r>
        <w:rPr>
          <w:rFonts w:eastAsia="宋体" w:cs="Times New Roman" w:hint="eastAsia"/>
          <w:szCs w:val="21"/>
        </w:rPr>
        <w:t>续</w:t>
      </w:r>
    </w:p>
    <w:p w:rsidR="004F6FF3" w:rsidRDefault="004F6FF3" w:rsidP="00F66363">
      <w:pPr>
        <w:widowControl w:val="0"/>
        <w:snapToGrid/>
        <w:ind w:left="720"/>
        <w:jc w:val="both"/>
        <w:rPr>
          <w:rFonts w:eastAsia="宋体" w:cs="Times New Roman"/>
          <w:szCs w:val="21"/>
        </w:rPr>
      </w:pPr>
    </w:p>
    <w:p w:rsidR="004F6FF3" w:rsidRDefault="004F6FF3" w:rsidP="00F66363">
      <w:pPr>
        <w:widowControl w:val="0"/>
        <w:snapToGrid/>
        <w:ind w:left="720"/>
        <w:jc w:val="both"/>
        <w:rPr>
          <w:rFonts w:eastAsia="宋体" w:cs="Times New Roman"/>
          <w:szCs w:val="21"/>
        </w:rPr>
      </w:pPr>
      <w:r w:rsidRPr="0027505B">
        <w:rPr>
          <w:rFonts w:eastAsia="宋体" w:cs="Times New Roman"/>
          <w:b/>
          <w:bCs/>
          <w:szCs w:val="21"/>
        </w:rPr>
        <w:t>1</w:t>
      </w:r>
      <w:r w:rsidRPr="0027505B">
        <w:rPr>
          <w:rFonts w:eastAsia="宋体" w:cs="Times New Roman" w:hint="eastAsia"/>
          <w:b/>
          <w:bCs/>
          <w:szCs w:val="21"/>
        </w:rPr>
        <w:t>、</w:t>
      </w:r>
      <w:r w:rsidRPr="0027505B">
        <w:rPr>
          <w:rFonts w:eastAsia="宋体" w:cs="Times New Roman"/>
          <w:b/>
          <w:bCs/>
          <w:szCs w:val="21"/>
        </w:rPr>
        <w:tab/>
      </w:r>
      <w:r w:rsidRPr="0027505B">
        <w:rPr>
          <w:rFonts w:eastAsia="宋体" w:cs="Times New Roman" w:hint="eastAsia"/>
          <w:b/>
          <w:bCs/>
          <w:szCs w:val="21"/>
        </w:rPr>
        <w:t>分部信息</w:t>
      </w:r>
      <w:r>
        <w:rPr>
          <w:rFonts w:eastAsia="宋体" w:cs="Times New Roman" w:hint="eastAsia"/>
          <w:szCs w:val="21"/>
        </w:rPr>
        <w:t xml:space="preserve"> </w:t>
      </w:r>
      <w:r>
        <w:rPr>
          <w:rFonts w:eastAsia="宋体" w:cs="Times New Roman"/>
          <w:szCs w:val="21"/>
        </w:rPr>
        <w:t xml:space="preserve">- </w:t>
      </w:r>
      <w:r>
        <w:rPr>
          <w:rFonts w:eastAsia="宋体" w:cs="Times New Roman" w:hint="eastAsia"/>
          <w:szCs w:val="21"/>
        </w:rPr>
        <w:t>续</w:t>
      </w:r>
    </w:p>
    <w:p w:rsidR="004F6FF3" w:rsidRDefault="004F6FF3" w:rsidP="00F66363">
      <w:pPr>
        <w:widowControl w:val="0"/>
        <w:snapToGrid/>
        <w:ind w:left="720"/>
        <w:jc w:val="both"/>
        <w:rPr>
          <w:rFonts w:eastAsia="宋体" w:cs="Times New Roman"/>
          <w:szCs w:val="21"/>
        </w:rPr>
      </w:pPr>
    </w:p>
    <w:p w:rsidR="004F6FF3" w:rsidRPr="004F6FF3" w:rsidRDefault="004F6FF3" w:rsidP="004F6FF3">
      <w:pPr>
        <w:widowControl w:val="0"/>
        <w:snapToGrid/>
        <w:ind w:left="720"/>
        <w:jc w:val="both"/>
        <w:rPr>
          <w:rFonts w:eastAsia="宋体" w:cs="Times New Roman"/>
          <w:szCs w:val="21"/>
        </w:rPr>
      </w:pPr>
      <w:r w:rsidRPr="0027505B">
        <w:rPr>
          <w:rFonts w:eastAsia="宋体" w:cs="Times New Roman"/>
          <w:b/>
          <w:bCs/>
          <w:szCs w:val="21"/>
        </w:rPr>
        <w:t>1.2</w:t>
      </w:r>
      <w:r w:rsidRPr="0027505B">
        <w:rPr>
          <w:rFonts w:eastAsia="宋体" w:cs="Times New Roman"/>
          <w:b/>
          <w:bCs/>
          <w:szCs w:val="21"/>
        </w:rPr>
        <w:tab/>
      </w:r>
      <w:r w:rsidRPr="0027505B">
        <w:rPr>
          <w:rFonts w:eastAsia="宋体" w:cs="Times New Roman" w:hint="eastAsia"/>
          <w:b/>
          <w:bCs/>
          <w:szCs w:val="21"/>
        </w:rPr>
        <w:t>报告分部的财务信息</w:t>
      </w:r>
      <w:r>
        <w:rPr>
          <w:rFonts w:eastAsia="宋体" w:cs="Times New Roman" w:hint="eastAsia"/>
          <w:szCs w:val="21"/>
        </w:rPr>
        <w:t xml:space="preserve"> </w:t>
      </w:r>
      <w:r>
        <w:rPr>
          <w:rFonts w:eastAsia="宋体" w:cs="Times New Roman"/>
          <w:szCs w:val="21"/>
        </w:rPr>
        <w:t xml:space="preserve">- </w:t>
      </w:r>
      <w:r>
        <w:rPr>
          <w:rFonts w:eastAsia="宋体" w:cs="Times New Roman" w:hint="eastAsia"/>
          <w:szCs w:val="21"/>
        </w:rPr>
        <w:t>续</w:t>
      </w:r>
    </w:p>
    <w:p w:rsidR="004F6FF3" w:rsidRPr="004F6FF3" w:rsidRDefault="004F6FF3" w:rsidP="004F6FF3">
      <w:pPr>
        <w:widowControl w:val="0"/>
        <w:snapToGrid/>
        <w:ind w:left="720"/>
        <w:jc w:val="both"/>
        <w:rPr>
          <w:rFonts w:eastAsia="宋体" w:cs="Times New Roman"/>
          <w:szCs w:val="21"/>
        </w:rPr>
      </w:pPr>
    </w:p>
    <w:p w:rsidR="004F6FF3" w:rsidRDefault="004F6FF3" w:rsidP="004F6FF3">
      <w:pPr>
        <w:widowControl w:val="0"/>
        <w:snapToGrid/>
        <w:ind w:left="720"/>
        <w:jc w:val="both"/>
        <w:rPr>
          <w:rFonts w:eastAsia="宋体" w:cs="Times New Roman"/>
          <w:szCs w:val="21"/>
        </w:rPr>
      </w:pPr>
      <w:r w:rsidRPr="004F6FF3">
        <w:rPr>
          <w:rFonts w:eastAsia="宋体" w:cs="Times New Roman" w:hint="eastAsia"/>
          <w:szCs w:val="21"/>
        </w:rPr>
        <w:t>报告期内，本集团按收入来源地划分的对外交易收入和资产所在地划分的非流动资产：</w:t>
      </w:r>
      <w:r>
        <w:rPr>
          <w:rFonts w:eastAsia="宋体" w:cs="Times New Roman" w:hint="eastAsia"/>
          <w:szCs w:val="21"/>
        </w:rPr>
        <w:t xml:space="preserve"> </w:t>
      </w:r>
      <w:r>
        <w:rPr>
          <w:rFonts w:eastAsia="宋体" w:cs="Times New Roman"/>
          <w:szCs w:val="21"/>
        </w:rPr>
        <w:t xml:space="preserve">- </w:t>
      </w:r>
      <w:r>
        <w:rPr>
          <w:rFonts w:eastAsia="宋体" w:cs="Times New Roman" w:hint="eastAsia"/>
          <w:szCs w:val="21"/>
        </w:rPr>
        <w:t>续</w:t>
      </w:r>
    </w:p>
    <w:p w:rsidR="004F6FF3" w:rsidRPr="00A71D2E" w:rsidRDefault="004F6FF3" w:rsidP="00F66363">
      <w:pPr>
        <w:widowControl w:val="0"/>
        <w:snapToGrid/>
        <w:ind w:left="720"/>
        <w:jc w:val="both"/>
        <w:rPr>
          <w:rFonts w:eastAsia="宋体" w:cs="Times New Roman"/>
          <w:szCs w:val="21"/>
        </w:rPr>
      </w:pPr>
    </w:p>
    <w:p w:rsidR="00753B8C" w:rsidRPr="00A71D2E" w:rsidRDefault="00753B8C" w:rsidP="00F66363">
      <w:pPr>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68"/>
        <w:gridCol w:w="2241"/>
        <w:gridCol w:w="2241"/>
      </w:tblGrid>
      <w:tr w:rsidR="00C914AF" w:rsidRPr="00A71D2E" w:rsidTr="0027505B">
        <w:trPr>
          <w:trHeight w:val="20"/>
        </w:trPr>
        <w:tc>
          <w:tcPr>
            <w:tcW w:w="4968" w:type="dxa"/>
            <w:shd w:val="clear" w:color="auto" w:fill="D9D9D9" w:themeFill="background1" w:themeFillShade="D9"/>
            <w:tcMar>
              <w:top w:w="0" w:type="dxa"/>
              <w:left w:w="108" w:type="dxa"/>
              <w:bottom w:w="0" w:type="dxa"/>
              <w:right w:w="108" w:type="dxa"/>
            </w:tcMar>
            <w:vAlign w:val="center"/>
            <w:hideMark/>
          </w:tcPr>
          <w:p w:rsidR="00C914AF" w:rsidRPr="00A71D2E" w:rsidRDefault="00C914AF" w:rsidP="00F66363">
            <w:pPr>
              <w:snapToGrid/>
              <w:jc w:val="center"/>
              <w:rPr>
                <w:rFonts w:eastAsia="宋体" w:cs="Times New Roman"/>
                <w:sz w:val="18"/>
                <w:szCs w:val="18"/>
              </w:rPr>
            </w:pPr>
            <w:r w:rsidRPr="00A71D2E">
              <w:rPr>
                <w:rFonts w:eastAsia="宋体" w:cs="Times New Roman" w:hint="eastAsia"/>
                <w:sz w:val="18"/>
                <w:szCs w:val="18"/>
              </w:rPr>
              <w:t>项目</w:t>
            </w:r>
          </w:p>
        </w:tc>
        <w:tc>
          <w:tcPr>
            <w:tcW w:w="2241" w:type="dxa"/>
            <w:shd w:val="clear" w:color="auto" w:fill="D9D9D9" w:themeFill="background1" w:themeFillShade="D9"/>
            <w:vAlign w:val="center"/>
          </w:tcPr>
          <w:p w:rsidR="00C914AF" w:rsidRPr="00A71D2E" w:rsidRDefault="00C914AF" w:rsidP="00F66363">
            <w:pPr>
              <w:snapToGrid/>
              <w:jc w:val="center"/>
              <w:rPr>
                <w:rFonts w:eastAsia="宋体" w:cs="Times New Roman"/>
                <w:sz w:val="18"/>
                <w:szCs w:val="18"/>
              </w:rPr>
            </w:pPr>
            <w:r w:rsidRPr="00A71D2E">
              <w:rPr>
                <w:rFonts w:eastAsia="宋体" w:cs="Times New Roman" w:hint="eastAsia"/>
                <w:sz w:val="18"/>
                <w:szCs w:val="18"/>
              </w:rPr>
              <w:t>年末余额</w:t>
            </w:r>
          </w:p>
        </w:tc>
        <w:tc>
          <w:tcPr>
            <w:tcW w:w="2241" w:type="dxa"/>
            <w:shd w:val="clear" w:color="auto" w:fill="D9D9D9" w:themeFill="background1" w:themeFillShade="D9"/>
            <w:vAlign w:val="center"/>
          </w:tcPr>
          <w:p w:rsidR="00C914AF" w:rsidRPr="00A71D2E" w:rsidRDefault="00C914AF" w:rsidP="00F66363">
            <w:pPr>
              <w:snapToGrid/>
              <w:jc w:val="center"/>
              <w:rPr>
                <w:rFonts w:eastAsia="宋体" w:cs="Times New Roman"/>
                <w:sz w:val="18"/>
                <w:szCs w:val="18"/>
              </w:rPr>
            </w:pPr>
            <w:r w:rsidRPr="00A71D2E">
              <w:rPr>
                <w:rFonts w:eastAsia="宋体" w:cs="Times New Roman" w:hint="eastAsia"/>
                <w:sz w:val="18"/>
                <w:szCs w:val="18"/>
              </w:rPr>
              <w:t>年初余额</w:t>
            </w:r>
          </w:p>
        </w:tc>
      </w:tr>
      <w:tr w:rsidR="009170FB" w:rsidRPr="00A71D2E" w:rsidTr="0027505B">
        <w:trPr>
          <w:trHeight w:val="20"/>
        </w:trPr>
        <w:tc>
          <w:tcPr>
            <w:tcW w:w="4968" w:type="dxa"/>
            <w:shd w:val="clear" w:color="auto" w:fill="FFFFFF" w:themeFill="background1"/>
            <w:tcMar>
              <w:top w:w="0" w:type="dxa"/>
              <w:left w:w="108" w:type="dxa"/>
              <w:bottom w:w="0" w:type="dxa"/>
              <w:right w:w="108" w:type="dxa"/>
            </w:tcMar>
            <w:vAlign w:val="center"/>
            <w:hideMark/>
          </w:tcPr>
          <w:p w:rsidR="009170FB" w:rsidRPr="00A71D2E" w:rsidRDefault="009170FB" w:rsidP="009170FB">
            <w:pPr>
              <w:snapToGrid/>
              <w:rPr>
                <w:rFonts w:eastAsia="宋体" w:cs="Times New Roman"/>
                <w:sz w:val="18"/>
                <w:szCs w:val="18"/>
              </w:rPr>
            </w:pPr>
            <w:r w:rsidRPr="00A71D2E">
              <w:rPr>
                <w:rFonts w:eastAsia="宋体" w:cs="Times New Roman" w:hint="eastAsia"/>
                <w:sz w:val="18"/>
                <w:szCs w:val="18"/>
              </w:rPr>
              <w:t>位于中国大陆境内的非流动资产</w:t>
            </w:r>
          </w:p>
        </w:tc>
        <w:tc>
          <w:tcPr>
            <w:tcW w:w="2241" w:type="dxa"/>
            <w:vAlign w:val="center"/>
          </w:tcPr>
          <w:p w:rsidR="009170FB" w:rsidRPr="00A71D2E" w:rsidRDefault="003A3829" w:rsidP="009170FB">
            <w:pPr>
              <w:snapToGrid/>
              <w:ind w:right="108"/>
              <w:jc w:val="right"/>
              <w:rPr>
                <w:rFonts w:eastAsia="宋体" w:cs="Times New Roman"/>
                <w:color w:val="000000"/>
                <w:sz w:val="18"/>
                <w:szCs w:val="18"/>
              </w:rPr>
            </w:pPr>
            <w:r w:rsidRPr="003A3829">
              <w:rPr>
                <w:rFonts w:eastAsia="宋体" w:cs="Times New Roman"/>
                <w:color w:val="000000"/>
                <w:sz w:val="18"/>
                <w:szCs w:val="18"/>
              </w:rPr>
              <w:t>1,663,500,743.42</w:t>
            </w:r>
          </w:p>
        </w:tc>
        <w:tc>
          <w:tcPr>
            <w:tcW w:w="2241" w:type="dxa"/>
            <w:vAlign w:val="center"/>
          </w:tcPr>
          <w:p w:rsidR="009170FB" w:rsidRPr="00A71D2E" w:rsidRDefault="009170FB" w:rsidP="009170FB">
            <w:pPr>
              <w:snapToGrid/>
              <w:ind w:right="108"/>
              <w:jc w:val="right"/>
              <w:rPr>
                <w:rFonts w:eastAsia="宋体" w:cs="Times New Roman"/>
                <w:color w:val="000000"/>
                <w:sz w:val="18"/>
                <w:szCs w:val="18"/>
              </w:rPr>
            </w:pPr>
            <w:r w:rsidRPr="00082A16">
              <w:rPr>
                <w:rFonts w:eastAsia="宋体" w:cs="Times New Roman"/>
                <w:color w:val="000000"/>
                <w:sz w:val="18"/>
                <w:szCs w:val="18"/>
              </w:rPr>
              <w:t>850,528,394.97</w:t>
            </w:r>
          </w:p>
        </w:tc>
      </w:tr>
      <w:tr w:rsidR="009170FB" w:rsidRPr="00A71D2E" w:rsidTr="0027505B">
        <w:trPr>
          <w:trHeight w:val="20"/>
        </w:trPr>
        <w:tc>
          <w:tcPr>
            <w:tcW w:w="4968" w:type="dxa"/>
            <w:shd w:val="clear" w:color="auto" w:fill="FFFFFF" w:themeFill="background1"/>
            <w:tcMar>
              <w:top w:w="0" w:type="dxa"/>
              <w:left w:w="108" w:type="dxa"/>
              <w:bottom w:w="0" w:type="dxa"/>
              <w:right w:w="108" w:type="dxa"/>
            </w:tcMar>
            <w:vAlign w:val="center"/>
            <w:hideMark/>
          </w:tcPr>
          <w:p w:rsidR="009170FB" w:rsidRPr="00A71D2E" w:rsidRDefault="009170FB" w:rsidP="009170FB">
            <w:pPr>
              <w:snapToGrid/>
              <w:rPr>
                <w:rFonts w:eastAsia="宋体" w:cs="Times New Roman"/>
                <w:sz w:val="18"/>
                <w:szCs w:val="18"/>
              </w:rPr>
            </w:pPr>
            <w:r w:rsidRPr="00A71D2E">
              <w:rPr>
                <w:rFonts w:eastAsia="宋体" w:cs="Times New Roman" w:hint="eastAsia"/>
                <w:sz w:val="18"/>
                <w:szCs w:val="18"/>
              </w:rPr>
              <w:t>位于中国大陆境外的非流动资产</w:t>
            </w:r>
          </w:p>
        </w:tc>
        <w:tc>
          <w:tcPr>
            <w:tcW w:w="2241" w:type="dxa"/>
            <w:vAlign w:val="center"/>
          </w:tcPr>
          <w:p w:rsidR="009170FB" w:rsidRPr="00A71D2E" w:rsidRDefault="00E40B9C" w:rsidP="009170FB">
            <w:pPr>
              <w:snapToGrid/>
              <w:ind w:right="108"/>
              <w:jc w:val="right"/>
              <w:rPr>
                <w:rFonts w:eastAsia="宋体" w:cs="Times New Roman"/>
                <w:color w:val="000000"/>
                <w:sz w:val="18"/>
                <w:szCs w:val="18"/>
              </w:rPr>
            </w:pPr>
            <w:r w:rsidRPr="00E40B9C">
              <w:rPr>
                <w:rFonts w:eastAsia="宋体" w:cs="Times New Roman"/>
                <w:color w:val="000000"/>
                <w:sz w:val="18"/>
                <w:szCs w:val="18"/>
              </w:rPr>
              <w:t>80,764.97</w:t>
            </w:r>
          </w:p>
        </w:tc>
        <w:tc>
          <w:tcPr>
            <w:tcW w:w="2241" w:type="dxa"/>
            <w:vAlign w:val="center"/>
          </w:tcPr>
          <w:p w:rsidR="009170FB" w:rsidRPr="00A71D2E" w:rsidRDefault="009170FB" w:rsidP="009170FB">
            <w:pPr>
              <w:snapToGrid/>
              <w:ind w:right="108"/>
              <w:jc w:val="right"/>
              <w:rPr>
                <w:rFonts w:eastAsia="宋体" w:cs="Times New Roman"/>
                <w:color w:val="000000"/>
                <w:sz w:val="18"/>
                <w:szCs w:val="18"/>
              </w:rPr>
            </w:pPr>
            <w:r w:rsidRPr="00A71D2E">
              <w:rPr>
                <w:rFonts w:eastAsia="宋体" w:cs="Times New Roman"/>
                <w:color w:val="000000"/>
                <w:sz w:val="18"/>
                <w:szCs w:val="18"/>
              </w:rPr>
              <w:t>51,180.52</w:t>
            </w:r>
          </w:p>
        </w:tc>
      </w:tr>
      <w:tr w:rsidR="009170FB" w:rsidRPr="00A71D2E" w:rsidTr="0027505B">
        <w:trPr>
          <w:trHeight w:val="20"/>
        </w:trPr>
        <w:tc>
          <w:tcPr>
            <w:tcW w:w="4968" w:type="dxa"/>
            <w:shd w:val="clear" w:color="auto" w:fill="D9D9D9" w:themeFill="background1" w:themeFillShade="D9"/>
            <w:tcMar>
              <w:top w:w="0" w:type="dxa"/>
              <w:left w:w="108" w:type="dxa"/>
              <w:bottom w:w="0" w:type="dxa"/>
              <w:right w:w="108" w:type="dxa"/>
            </w:tcMar>
            <w:vAlign w:val="center"/>
            <w:hideMark/>
          </w:tcPr>
          <w:p w:rsidR="009170FB" w:rsidRPr="00A71D2E" w:rsidRDefault="009170FB" w:rsidP="009170FB">
            <w:pPr>
              <w:snapToGrid/>
              <w:rPr>
                <w:rFonts w:eastAsia="宋体" w:cs="Times New Roman"/>
                <w:sz w:val="18"/>
                <w:szCs w:val="18"/>
              </w:rPr>
            </w:pPr>
            <w:r w:rsidRPr="00A71D2E">
              <w:rPr>
                <w:rFonts w:eastAsia="宋体" w:cs="Times New Roman" w:hint="eastAsia"/>
                <w:sz w:val="18"/>
                <w:szCs w:val="18"/>
              </w:rPr>
              <w:t>合计</w:t>
            </w:r>
          </w:p>
        </w:tc>
        <w:tc>
          <w:tcPr>
            <w:tcW w:w="2241" w:type="dxa"/>
            <w:vAlign w:val="center"/>
          </w:tcPr>
          <w:p w:rsidR="009170FB" w:rsidRPr="00A71D2E" w:rsidRDefault="003A3829" w:rsidP="009170FB">
            <w:pPr>
              <w:snapToGrid/>
              <w:ind w:right="108"/>
              <w:jc w:val="right"/>
              <w:rPr>
                <w:rFonts w:eastAsia="宋体" w:cs="Times New Roman"/>
                <w:color w:val="000000"/>
                <w:sz w:val="18"/>
                <w:szCs w:val="18"/>
              </w:rPr>
            </w:pPr>
            <w:r w:rsidRPr="003A3829">
              <w:rPr>
                <w:rFonts w:eastAsia="宋体" w:cs="Times New Roman"/>
                <w:color w:val="000000"/>
                <w:sz w:val="18"/>
                <w:szCs w:val="18"/>
              </w:rPr>
              <w:t>1,663,581,508.39</w:t>
            </w:r>
          </w:p>
        </w:tc>
        <w:tc>
          <w:tcPr>
            <w:tcW w:w="2241" w:type="dxa"/>
            <w:vAlign w:val="center"/>
          </w:tcPr>
          <w:p w:rsidR="009170FB" w:rsidRPr="00A71D2E" w:rsidRDefault="009170FB" w:rsidP="009170FB">
            <w:pPr>
              <w:snapToGrid/>
              <w:ind w:right="108"/>
              <w:jc w:val="right"/>
              <w:rPr>
                <w:rFonts w:eastAsia="宋体" w:cs="Times New Roman"/>
                <w:color w:val="000000"/>
                <w:sz w:val="18"/>
                <w:szCs w:val="18"/>
              </w:rPr>
            </w:pPr>
            <w:r w:rsidRPr="00082A16">
              <w:rPr>
                <w:rFonts w:eastAsia="宋体" w:cs="Times New Roman"/>
                <w:color w:val="000000"/>
                <w:sz w:val="18"/>
                <w:szCs w:val="18"/>
              </w:rPr>
              <w:t>850,579,575.49</w:t>
            </w:r>
          </w:p>
        </w:tc>
      </w:tr>
    </w:tbl>
    <w:p w:rsidR="00C914AF" w:rsidRPr="00A71D2E" w:rsidRDefault="00C914AF" w:rsidP="00F66363">
      <w:pPr>
        <w:snapToGrid/>
        <w:ind w:left="1440" w:hanging="720"/>
        <w:rPr>
          <w:rFonts w:eastAsia="宋体" w:cs="Times New Roman"/>
          <w:szCs w:val="24"/>
        </w:rPr>
      </w:pPr>
    </w:p>
    <w:p w:rsidR="006F7792" w:rsidRDefault="00753B8C" w:rsidP="006F7792">
      <w:pPr>
        <w:snapToGrid/>
        <w:ind w:left="1440" w:hanging="720"/>
        <w:rPr>
          <w:rFonts w:eastAsia="宋体" w:cs="Times New Roman"/>
          <w:szCs w:val="24"/>
        </w:rPr>
      </w:pPr>
      <w:r w:rsidRPr="00A71D2E">
        <w:rPr>
          <w:rFonts w:eastAsia="宋体" w:cs="Times New Roman" w:hint="eastAsia"/>
          <w:szCs w:val="24"/>
        </w:rPr>
        <w:t>注</w:t>
      </w:r>
      <w:r w:rsidR="005F14EE">
        <w:rPr>
          <w:rFonts w:eastAsia="宋体" w:cs="Times New Roman" w:hint="eastAsia"/>
          <w:szCs w:val="24"/>
        </w:rPr>
        <w:t>：</w:t>
      </w:r>
      <w:r w:rsidRPr="00A71D2E">
        <w:rPr>
          <w:rFonts w:eastAsia="宋体" w:cs="Times New Roman"/>
          <w:szCs w:val="24"/>
        </w:rPr>
        <w:tab/>
      </w:r>
      <w:r w:rsidRPr="00A71D2E">
        <w:rPr>
          <w:rFonts w:eastAsia="宋体" w:cs="Times New Roman" w:hint="eastAsia"/>
          <w:szCs w:val="24"/>
        </w:rPr>
        <w:t>非流动资产归属于该资产所处区域，不包括</w:t>
      </w:r>
      <w:r w:rsidR="00E1506B">
        <w:rPr>
          <w:rFonts w:eastAsia="宋体" w:cs="Times New Roman" w:hint="eastAsia"/>
          <w:szCs w:val="24"/>
        </w:rPr>
        <w:t>长期应收款和</w:t>
      </w:r>
      <w:r w:rsidRPr="00A71D2E">
        <w:rPr>
          <w:rFonts w:eastAsia="宋体" w:cs="Times New Roman" w:hint="eastAsia"/>
          <w:szCs w:val="24"/>
        </w:rPr>
        <w:t>递延所得税资产。</w:t>
      </w:r>
    </w:p>
    <w:p w:rsidR="00272E28" w:rsidRDefault="00272E28" w:rsidP="006F7792">
      <w:pPr>
        <w:snapToGrid/>
        <w:ind w:left="1440" w:hanging="720"/>
        <w:rPr>
          <w:rFonts w:eastAsia="宋体" w:cs="Times New Roman"/>
          <w:szCs w:val="24"/>
        </w:rPr>
      </w:pPr>
    </w:p>
    <w:p w:rsidR="00CD7C92" w:rsidRDefault="00CD7C92" w:rsidP="00E40B9C">
      <w:pPr>
        <w:adjustRightInd/>
        <w:snapToGrid/>
        <w:ind w:leftChars="337" w:left="708"/>
        <w:rPr>
          <w:rFonts w:eastAsia="宋体" w:cs="Times New Roman"/>
          <w:szCs w:val="24"/>
        </w:rPr>
      </w:pPr>
    </w:p>
    <w:p w:rsidR="00753B8C" w:rsidRPr="00A71D2E" w:rsidRDefault="00753B8C" w:rsidP="00F66363">
      <w:pPr>
        <w:pStyle w:val="1"/>
        <w:keepNext w:val="0"/>
        <w:keepLines w:val="0"/>
        <w:adjustRightInd w:val="0"/>
        <w:snapToGrid w:val="0"/>
        <w:ind w:left="720" w:hanging="720"/>
        <w:contextualSpacing w:val="0"/>
        <w:jc w:val="both"/>
        <w:rPr>
          <w:rFonts w:ascii="Times New Roman" w:hAnsi="Times New Roman" w:cs="Times New Roman"/>
        </w:rPr>
      </w:pPr>
      <w:r w:rsidRPr="00A71D2E">
        <w:rPr>
          <w:rFonts w:ascii="Times New Roman" w:hAnsi="Times New Roman" w:cs="Times New Roman" w:hint="eastAsia"/>
        </w:rPr>
        <w:t>母公司财务报表主要项目注释</w:t>
      </w:r>
    </w:p>
    <w:p w:rsidR="00753B8C" w:rsidRPr="00A71D2E" w:rsidRDefault="00753B8C" w:rsidP="00F66363">
      <w:pPr>
        <w:snapToGrid/>
        <w:ind w:left="720"/>
        <w:jc w:val="both"/>
        <w:rPr>
          <w:rFonts w:eastAsia="宋体" w:cs="Times New Roman"/>
          <w:szCs w:val="21"/>
        </w:rPr>
      </w:pPr>
    </w:p>
    <w:p w:rsidR="00753B8C" w:rsidRPr="00A71D2E" w:rsidRDefault="00753B8C" w:rsidP="00F66363">
      <w:pPr>
        <w:pStyle w:val="2"/>
        <w:numPr>
          <w:ilvl w:val="2"/>
          <w:numId w:val="1"/>
        </w:numPr>
        <w:adjustRightInd w:val="0"/>
        <w:ind w:left="1440" w:hanging="720"/>
        <w:contextualSpacing w:val="0"/>
        <w:rPr>
          <w:rFonts w:ascii="Times New Roman" w:eastAsia="宋体" w:hAnsi="Times New Roman" w:cs="Times New Roman"/>
          <w:b w:val="0"/>
        </w:rPr>
      </w:pPr>
      <w:r w:rsidRPr="00A71D2E">
        <w:rPr>
          <w:rFonts w:ascii="Times New Roman" w:eastAsia="宋体" w:hAnsi="Times New Roman" w:cs="Times New Roman" w:hint="eastAsia"/>
        </w:rPr>
        <w:t>应收账款</w:t>
      </w:r>
    </w:p>
    <w:p w:rsidR="00753B8C" w:rsidRPr="00A71D2E" w:rsidRDefault="00753B8C" w:rsidP="00F66363">
      <w:pPr>
        <w:snapToGrid/>
        <w:ind w:left="1440" w:hanging="720"/>
        <w:rPr>
          <w:rFonts w:eastAsia="宋体" w:cs="Times New Roman"/>
          <w:szCs w:val="21"/>
        </w:rPr>
      </w:pPr>
    </w:p>
    <w:p w:rsidR="00753B8C" w:rsidRPr="00A71D2E" w:rsidRDefault="00753B8C">
      <w:pPr>
        <w:pStyle w:val="aff1"/>
        <w:numPr>
          <w:ilvl w:val="0"/>
          <w:numId w:val="29"/>
        </w:numPr>
        <w:snapToGrid/>
        <w:ind w:left="1440" w:firstLineChars="0" w:hanging="720"/>
        <w:rPr>
          <w:szCs w:val="21"/>
        </w:rPr>
      </w:pPr>
      <w:proofErr w:type="gramStart"/>
      <w:r w:rsidRPr="00A71D2E">
        <w:rPr>
          <w:rFonts w:hint="eastAsia"/>
          <w:szCs w:val="21"/>
        </w:rPr>
        <w:t>按账龄</w:t>
      </w:r>
      <w:proofErr w:type="gramEnd"/>
      <w:r w:rsidRPr="00A71D2E">
        <w:rPr>
          <w:rFonts w:hint="eastAsia"/>
          <w:szCs w:val="21"/>
        </w:rPr>
        <w:t>披露</w:t>
      </w:r>
    </w:p>
    <w:p w:rsidR="00753B8C" w:rsidRPr="00A71D2E" w:rsidRDefault="00753B8C" w:rsidP="00F66363">
      <w:pPr>
        <w:snapToGrid/>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8"/>
        <w:gridCol w:w="2241"/>
        <w:gridCol w:w="2241"/>
      </w:tblGrid>
      <w:tr w:rsidR="00753B8C" w:rsidRPr="00A71D2E" w:rsidTr="0027505B">
        <w:trPr>
          <w:trHeight w:val="20"/>
        </w:trPr>
        <w:tc>
          <w:tcPr>
            <w:tcW w:w="4968" w:type="dxa"/>
            <w:shd w:val="clear" w:color="auto" w:fill="D9D9D9" w:themeFill="background1" w:themeFillShade="D9"/>
            <w:vAlign w:val="center"/>
          </w:tcPr>
          <w:p w:rsidR="00753B8C" w:rsidRPr="00A71D2E" w:rsidRDefault="00753B8C" w:rsidP="00F66363">
            <w:pPr>
              <w:snapToGrid/>
              <w:jc w:val="center"/>
              <w:rPr>
                <w:rFonts w:eastAsia="宋体" w:cs="Times New Roman"/>
                <w:sz w:val="18"/>
                <w:szCs w:val="18"/>
              </w:rPr>
            </w:pPr>
            <w:r w:rsidRPr="00A71D2E">
              <w:rPr>
                <w:rFonts w:eastAsia="宋体" w:cs="Times New Roman" w:hint="eastAsia"/>
                <w:sz w:val="18"/>
                <w:szCs w:val="18"/>
              </w:rPr>
              <w:t>账龄</w:t>
            </w:r>
          </w:p>
        </w:tc>
        <w:tc>
          <w:tcPr>
            <w:tcW w:w="2241" w:type="dxa"/>
            <w:shd w:val="clear" w:color="auto" w:fill="D9D9D9" w:themeFill="background1" w:themeFillShade="D9"/>
            <w:vAlign w:val="center"/>
          </w:tcPr>
          <w:p w:rsidR="00753B8C" w:rsidRPr="00A71D2E" w:rsidRDefault="00986D89" w:rsidP="00F66363">
            <w:pPr>
              <w:snapToGrid/>
              <w:jc w:val="center"/>
              <w:rPr>
                <w:rFonts w:eastAsia="宋体" w:cs="Times New Roman"/>
                <w:sz w:val="18"/>
                <w:szCs w:val="18"/>
              </w:rPr>
            </w:pPr>
            <w:r w:rsidRPr="00A71D2E">
              <w:rPr>
                <w:rFonts w:eastAsia="宋体" w:cs="Times New Roman" w:hint="eastAsia"/>
                <w:sz w:val="18"/>
                <w:szCs w:val="18"/>
              </w:rPr>
              <w:t>年末余额</w:t>
            </w:r>
          </w:p>
        </w:tc>
        <w:tc>
          <w:tcPr>
            <w:tcW w:w="2241" w:type="dxa"/>
            <w:shd w:val="clear" w:color="auto" w:fill="D9D9D9" w:themeFill="background1" w:themeFillShade="D9"/>
            <w:vAlign w:val="center"/>
          </w:tcPr>
          <w:p w:rsidR="00753B8C" w:rsidRPr="00A71D2E" w:rsidRDefault="00986D89" w:rsidP="00F66363">
            <w:pPr>
              <w:snapToGrid/>
              <w:jc w:val="center"/>
              <w:rPr>
                <w:rFonts w:eastAsia="宋体" w:cs="Times New Roman"/>
                <w:sz w:val="18"/>
                <w:szCs w:val="18"/>
              </w:rPr>
            </w:pPr>
            <w:r w:rsidRPr="00A71D2E">
              <w:rPr>
                <w:rFonts w:eastAsia="宋体" w:cs="Times New Roman" w:hint="eastAsia"/>
                <w:sz w:val="18"/>
                <w:szCs w:val="18"/>
              </w:rPr>
              <w:t>年初余额</w:t>
            </w:r>
          </w:p>
        </w:tc>
      </w:tr>
      <w:tr w:rsidR="003E054B" w:rsidRPr="00A71D2E" w:rsidTr="0027505B">
        <w:trPr>
          <w:trHeight w:val="20"/>
        </w:trPr>
        <w:tc>
          <w:tcPr>
            <w:tcW w:w="4968" w:type="dxa"/>
            <w:shd w:val="clear" w:color="auto" w:fill="FFFFFF" w:themeFill="background1"/>
            <w:vAlign w:val="center"/>
          </w:tcPr>
          <w:p w:rsidR="003E054B" w:rsidRPr="00A71D2E" w:rsidRDefault="003E054B" w:rsidP="003E054B">
            <w:pPr>
              <w:snapToGrid/>
              <w:rPr>
                <w:rFonts w:eastAsia="宋体" w:cs="Times New Roman"/>
                <w:sz w:val="18"/>
                <w:szCs w:val="18"/>
              </w:rPr>
            </w:pPr>
            <w:r w:rsidRPr="00A71D2E">
              <w:rPr>
                <w:rFonts w:eastAsia="宋体" w:cs="Times New Roman" w:hint="eastAsia"/>
                <w:sz w:val="18"/>
                <w:szCs w:val="18"/>
              </w:rPr>
              <w:t>信用期内</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 xml:space="preserve">797,230,884.78 </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648,422,657.98</w:t>
            </w:r>
          </w:p>
        </w:tc>
      </w:tr>
      <w:tr w:rsidR="003E054B" w:rsidRPr="00A71D2E" w:rsidTr="0027505B">
        <w:trPr>
          <w:trHeight w:val="20"/>
        </w:trPr>
        <w:tc>
          <w:tcPr>
            <w:tcW w:w="4968" w:type="dxa"/>
            <w:shd w:val="clear" w:color="auto" w:fill="FFFFFF" w:themeFill="background1"/>
            <w:vAlign w:val="center"/>
          </w:tcPr>
          <w:p w:rsidR="003E054B" w:rsidRPr="00A71D2E" w:rsidRDefault="00D25697" w:rsidP="003E054B">
            <w:pPr>
              <w:snapToGrid/>
              <w:rPr>
                <w:rFonts w:eastAsia="宋体" w:cs="Times New Roman"/>
                <w:sz w:val="18"/>
                <w:szCs w:val="18"/>
              </w:rPr>
            </w:pPr>
            <w:r w:rsidRPr="00D25697">
              <w:rPr>
                <w:rFonts w:eastAsia="宋体" w:cs="Times New Roman" w:hint="eastAsia"/>
                <w:sz w:val="18"/>
                <w:szCs w:val="18"/>
              </w:rPr>
              <w:t>超信用期</w:t>
            </w:r>
            <w:r w:rsidR="003E054B" w:rsidRPr="003E054B">
              <w:rPr>
                <w:rFonts w:eastAsia="宋体" w:cs="Times New Roman" w:hint="eastAsia"/>
                <w:sz w:val="18"/>
                <w:szCs w:val="18"/>
              </w:rPr>
              <w:t>1</w:t>
            </w:r>
            <w:r w:rsidR="003E054B" w:rsidRPr="003E054B">
              <w:rPr>
                <w:rFonts w:eastAsia="宋体" w:cs="Times New Roman" w:hint="eastAsia"/>
                <w:sz w:val="18"/>
                <w:szCs w:val="18"/>
              </w:rPr>
              <w:t>年以内</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 xml:space="preserve">185,325,420.87 </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234,117,711.70</w:t>
            </w:r>
          </w:p>
        </w:tc>
      </w:tr>
      <w:tr w:rsidR="003E054B" w:rsidRPr="00A71D2E" w:rsidTr="0027505B">
        <w:trPr>
          <w:trHeight w:val="20"/>
        </w:trPr>
        <w:tc>
          <w:tcPr>
            <w:tcW w:w="4968" w:type="dxa"/>
            <w:shd w:val="clear" w:color="auto" w:fill="FFFFFF" w:themeFill="background1"/>
            <w:vAlign w:val="center"/>
          </w:tcPr>
          <w:p w:rsidR="003E054B" w:rsidRPr="00A71D2E" w:rsidRDefault="00D25697" w:rsidP="003E054B">
            <w:pPr>
              <w:snapToGrid/>
              <w:rPr>
                <w:rFonts w:eastAsia="宋体" w:cs="Times New Roman"/>
                <w:sz w:val="18"/>
                <w:szCs w:val="18"/>
              </w:rPr>
            </w:pPr>
            <w:r w:rsidRPr="00D25697">
              <w:rPr>
                <w:rFonts w:eastAsia="宋体" w:cs="Times New Roman" w:hint="eastAsia"/>
                <w:sz w:val="18"/>
                <w:szCs w:val="18"/>
              </w:rPr>
              <w:t>超信用期</w:t>
            </w:r>
            <w:r w:rsidR="003E054B" w:rsidRPr="003E054B">
              <w:rPr>
                <w:rFonts w:eastAsia="宋体" w:cs="Times New Roman" w:hint="eastAsia"/>
                <w:sz w:val="18"/>
                <w:szCs w:val="18"/>
              </w:rPr>
              <w:t>1</w:t>
            </w:r>
            <w:r w:rsidR="003E054B" w:rsidRPr="003E054B">
              <w:rPr>
                <w:rFonts w:eastAsia="宋体" w:cs="Times New Roman" w:hint="eastAsia"/>
                <w:sz w:val="18"/>
                <w:szCs w:val="18"/>
              </w:rPr>
              <w:t>年至</w:t>
            </w:r>
            <w:r w:rsidR="003E054B" w:rsidRPr="003E054B">
              <w:rPr>
                <w:rFonts w:eastAsia="宋体" w:cs="Times New Roman" w:hint="eastAsia"/>
                <w:sz w:val="18"/>
                <w:szCs w:val="18"/>
              </w:rPr>
              <w:t>2</w:t>
            </w:r>
            <w:r w:rsidR="003E054B" w:rsidRPr="003E054B">
              <w:rPr>
                <w:rFonts w:eastAsia="宋体" w:cs="Times New Roman" w:hint="eastAsia"/>
                <w:sz w:val="18"/>
                <w:szCs w:val="18"/>
              </w:rPr>
              <w:t>年</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 xml:space="preserve">3,317,674.51 </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2,622,950.60</w:t>
            </w:r>
          </w:p>
        </w:tc>
      </w:tr>
      <w:tr w:rsidR="003E054B" w:rsidRPr="00A71D2E" w:rsidTr="0027505B">
        <w:trPr>
          <w:trHeight w:val="20"/>
        </w:trPr>
        <w:tc>
          <w:tcPr>
            <w:tcW w:w="4968" w:type="dxa"/>
            <w:shd w:val="clear" w:color="auto" w:fill="FFFFFF" w:themeFill="background1"/>
            <w:vAlign w:val="center"/>
          </w:tcPr>
          <w:p w:rsidR="003E054B" w:rsidRPr="00A71D2E" w:rsidRDefault="00D25697" w:rsidP="003E054B">
            <w:pPr>
              <w:snapToGrid/>
              <w:rPr>
                <w:rFonts w:eastAsia="宋体" w:cs="Times New Roman"/>
                <w:sz w:val="18"/>
                <w:szCs w:val="18"/>
              </w:rPr>
            </w:pPr>
            <w:r w:rsidRPr="00D25697">
              <w:rPr>
                <w:rFonts w:eastAsia="宋体" w:cs="Times New Roman" w:hint="eastAsia"/>
                <w:sz w:val="18"/>
                <w:szCs w:val="18"/>
              </w:rPr>
              <w:t>超信用期</w:t>
            </w:r>
            <w:r w:rsidR="003E054B" w:rsidRPr="003E054B">
              <w:rPr>
                <w:rFonts w:eastAsia="宋体" w:cs="Times New Roman" w:hint="eastAsia"/>
                <w:sz w:val="18"/>
                <w:szCs w:val="18"/>
              </w:rPr>
              <w:t>2</w:t>
            </w:r>
            <w:r w:rsidR="003E054B" w:rsidRPr="003E054B">
              <w:rPr>
                <w:rFonts w:eastAsia="宋体" w:cs="Times New Roman" w:hint="eastAsia"/>
                <w:sz w:val="18"/>
                <w:szCs w:val="18"/>
              </w:rPr>
              <w:t>年到</w:t>
            </w:r>
            <w:r w:rsidR="003E054B" w:rsidRPr="003E054B">
              <w:rPr>
                <w:rFonts w:eastAsia="宋体" w:cs="Times New Roman" w:hint="eastAsia"/>
                <w:sz w:val="18"/>
                <w:szCs w:val="18"/>
              </w:rPr>
              <w:t>3</w:t>
            </w:r>
            <w:r w:rsidR="003E054B" w:rsidRPr="003E054B">
              <w:rPr>
                <w:rFonts w:eastAsia="宋体" w:cs="Times New Roman" w:hint="eastAsia"/>
                <w:sz w:val="18"/>
                <w:szCs w:val="18"/>
              </w:rPr>
              <w:t>年</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 xml:space="preserve">1,523,503.52 </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507,051.59</w:t>
            </w:r>
          </w:p>
        </w:tc>
      </w:tr>
      <w:tr w:rsidR="003E054B" w:rsidRPr="00A71D2E" w:rsidTr="0027505B">
        <w:trPr>
          <w:trHeight w:val="20"/>
        </w:trPr>
        <w:tc>
          <w:tcPr>
            <w:tcW w:w="4968" w:type="dxa"/>
            <w:shd w:val="clear" w:color="auto" w:fill="FFFFFF" w:themeFill="background1"/>
            <w:vAlign w:val="center"/>
          </w:tcPr>
          <w:p w:rsidR="003E054B" w:rsidRPr="00A71D2E" w:rsidRDefault="00D25697" w:rsidP="003E054B">
            <w:pPr>
              <w:snapToGrid/>
              <w:rPr>
                <w:rFonts w:eastAsia="宋体" w:cs="Times New Roman"/>
                <w:sz w:val="18"/>
                <w:szCs w:val="18"/>
              </w:rPr>
            </w:pPr>
            <w:r w:rsidRPr="00D25697">
              <w:rPr>
                <w:rFonts w:eastAsia="宋体" w:cs="Times New Roman" w:hint="eastAsia"/>
                <w:sz w:val="18"/>
                <w:szCs w:val="18"/>
              </w:rPr>
              <w:t>超信用期</w:t>
            </w:r>
            <w:r w:rsidR="003E054B" w:rsidRPr="003E054B">
              <w:rPr>
                <w:rFonts w:eastAsia="宋体" w:cs="Times New Roman" w:hint="eastAsia"/>
                <w:sz w:val="18"/>
                <w:szCs w:val="18"/>
              </w:rPr>
              <w:t>3</w:t>
            </w:r>
            <w:r w:rsidR="003E054B" w:rsidRPr="003E054B">
              <w:rPr>
                <w:rFonts w:eastAsia="宋体" w:cs="Times New Roman" w:hint="eastAsia"/>
                <w:sz w:val="18"/>
                <w:szCs w:val="18"/>
              </w:rPr>
              <w:t>年以上</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 xml:space="preserve">24,639,642.84 </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24,686,711.66</w:t>
            </w:r>
          </w:p>
        </w:tc>
      </w:tr>
      <w:tr w:rsidR="003E054B" w:rsidRPr="00A71D2E" w:rsidTr="0027505B">
        <w:trPr>
          <w:trHeight w:val="20"/>
        </w:trPr>
        <w:tc>
          <w:tcPr>
            <w:tcW w:w="4968" w:type="dxa"/>
            <w:shd w:val="clear" w:color="auto" w:fill="FFFFFF" w:themeFill="background1"/>
            <w:vAlign w:val="center"/>
          </w:tcPr>
          <w:p w:rsidR="003E054B" w:rsidRPr="00A71D2E" w:rsidRDefault="003E054B" w:rsidP="003E054B">
            <w:pPr>
              <w:snapToGrid/>
              <w:rPr>
                <w:rFonts w:eastAsia="宋体" w:cs="Times New Roman"/>
                <w:sz w:val="18"/>
                <w:szCs w:val="18"/>
              </w:rPr>
            </w:pPr>
            <w:r w:rsidRPr="00A71D2E">
              <w:rPr>
                <w:rFonts w:eastAsia="宋体" w:cs="Times New Roman" w:hint="eastAsia"/>
                <w:sz w:val="18"/>
                <w:szCs w:val="18"/>
              </w:rPr>
              <w:t>应收账款</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 xml:space="preserve">1,012,037,126.52 </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A71D2E">
              <w:rPr>
                <w:rFonts w:eastAsia="宋体" w:cs="Times New Roman"/>
                <w:sz w:val="18"/>
                <w:szCs w:val="18"/>
              </w:rPr>
              <w:t>910,357,083.53</w:t>
            </w:r>
          </w:p>
        </w:tc>
      </w:tr>
      <w:tr w:rsidR="003E054B" w:rsidRPr="00A71D2E" w:rsidTr="0027505B">
        <w:trPr>
          <w:trHeight w:val="20"/>
        </w:trPr>
        <w:tc>
          <w:tcPr>
            <w:tcW w:w="4968" w:type="dxa"/>
            <w:shd w:val="clear" w:color="auto" w:fill="FFFFFF" w:themeFill="background1"/>
            <w:vAlign w:val="center"/>
          </w:tcPr>
          <w:p w:rsidR="003E054B" w:rsidRPr="00A71D2E" w:rsidRDefault="003E054B" w:rsidP="003E054B">
            <w:pPr>
              <w:snapToGrid/>
              <w:rPr>
                <w:rFonts w:eastAsia="宋体" w:cs="Times New Roman"/>
                <w:sz w:val="18"/>
                <w:szCs w:val="18"/>
              </w:rPr>
            </w:pPr>
            <w:r w:rsidRPr="00A71D2E">
              <w:rPr>
                <w:rFonts w:eastAsia="宋体" w:cs="Times New Roman" w:hint="eastAsia"/>
                <w:sz w:val="18"/>
                <w:szCs w:val="18"/>
              </w:rPr>
              <w:t>减</w:t>
            </w:r>
            <w:r w:rsidR="005F14EE">
              <w:rPr>
                <w:rFonts w:eastAsia="宋体" w:cs="Times New Roman" w:hint="eastAsia"/>
                <w:sz w:val="18"/>
                <w:szCs w:val="18"/>
              </w:rPr>
              <w:t>：</w:t>
            </w:r>
            <w:r w:rsidR="003E6FD2">
              <w:rPr>
                <w:rFonts w:eastAsia="宋体" w:cs="Times New Roman" w:hint="eastAsia"/>
                <w:sz w:val="18"/>
                <w:szCs w:val="18"/>
              </w:rPr>
              <w:t>坏账</w:t>
            </w:r>
            <w:r w:rsidRPr="00A71D2E">
              <w:rPr>
                <w:rFonts w:eastAsia="宋体" w:cs="Times New Roman" w:hint="eastAsia"/>
                <w:sz w:val="18"/>
                <w:szCs w:val="18"/>
              </w:rPr>
              <w:t>准备</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 xml:space="preserve">34,911,651.57 </w:t>
            </w:r>
          </w:p>
        </w:tc>
        <w:tc>
          <w:tcPr>
            <w:tcW w:w="2241" w:type="dxa"/>
            <w:vAlign w:val="center"/>
          </w:tcPr>
          <w:p w:rsidR="003E054B" w:rsidRPr="00A71D2E" w:rsidRDefault="003E054B" w:rsidP="003E054B">
            <w:pPr>
              <w:snapToGrid/>
              <w:ind w:left="-18"/>
              <w:jc w:val="right"/>
              <w:rPr>
                <w:rFonts w:eastAsia="宋体" w:cs="Times New Roman"/>
                <w:sz w:val="18"/>
                <w:szCs w:val="18"/>
              </w:rPr>
            </w:pPr>
            <w:r w:rsidRPr="00A71D2E">
              <w:rPr>
                <w:rFonts w:eastAsia="宋体" w:cs="Times New Roman"/>
                <w:sz w:val="18"/>
                <w:szCs w:val="18"/>
              </w:rPr>
              <w:t>31,895,774.86</w:t>
            </w:r>
          </w:p>
        </w:tc>
      </w:tr>
      <w:tr w:rsidR="003E054B" w:rsidRPr="00A71D2E" w:rsidTr="0027505B">
        <w:trPr>
          <w:trHeight w:val="20"/>
        </w:trPr>
        <w:tc>
          <w:tcPr>
            <w:tcW w:w="4968" w:type="dxa"/>
            <w:shd w:val="clear" w:color="auto" w:fill="D9D9D9" w:themeFill="background1" w:themeFillShade="D9"/>
            <w:vAlign w:val="center"/>
          </w:tcPr>
          <w:p w:rsidR="003E054B" w:rsidRPr="00A71D2E" w:rsidRDefault="003E054B" w:rsidP="003E054B">
            <w:pPr>
              <w:snapToGrid/>
              <w:rPr>
                <w:rFonts w:eastAsia="宋体" w:cs="Times New Roman"/>
                <w:sz w:val="18"/>
                <w:szCs w:val="18"/>
              </w:rPr>
            </w:pPr>
            <w:r w:rsidRPr="00A71D2E">
              <w:rPr>
                <w:rFonts w:eastAsia="宋体" w:cs="Times New Roman" w:hint="eastAsia"/>
                <w:sz w:val="18"/>
                <w:szCs w:val="18"/>
              </w:rPr>
              <w:t>账面价值</w:t>
            </w:r>
          </w:p>
        </w:tc>
        <w:tc>
          <w:tcPr>
            <w:tcW w:w="2241" w:type="dxa"/>
            <w:shd w:val="clear" w:color="auto" w:fill="FFFFFF" w:themeFill="background1"/>
            <w:vAlign w:val="center"/>
          </w:tcPr>
          <w:p w:rsidR="003E054B" w:rsidRPr="00A71D2E" w:rsidRDefault="003E054B" w:rsidP="003E054B">
            <w:pPr>
              <w:snapToGrid/>
              <w:ind w:left="-18"/>
              <w:jc w:val="right"/>
              <w:rPr>
                <w:rFonts w:eastAsia="宋体" w:cs="Times New Roman"/>
                <w:sz w:val="18"/>
                <w:szCs w:val="18"/>
              </w:rPr>
            </w:pPr>
            <w:r w:rsidRPr="003E054B">
              <w:rPr>
                <w:rFonts w:eastAsia="宋体" w:cs="Times New Roman"/>
                <w:sz w:val="18"/>
                <w:szCs w:val="18"/>
              </w:rPr>
              <w:t xml:space="preserve">977,125,474.95 </w:t>
            </w:r>
          </w:p>
        </w:tc>
        <w:tc>
          <w:tcPr>
            <w:tcW w:w="2241" w:type="dxa"/>
            <w:shd w:val="clear" w:color="auto" w:fill="FFFFFF" w:themeFill="background1"/>
            <w:vAlign w:val="center"/>
          </w:tcPr>
          <w:p w:rsidR="003E054B" w:rsidRPr="00A71D2E" w:rsidRDefault="003E054B" w:rsidP="003E054B">
            <w:pPr>
              <w:snapToGrid/>
              <w:ind w:left="-18"/>
              <w:jc w:val="right"/>
              <w:rPr>
                <w:rFonts w:eastAsia="宋体" w:cs="Times New Roman"/>
                <w:sz w:val="18"/>
                <w:szCs w:val="18"/>
              </w:rPr>
            </w:pPr>
            <w:r w:rsidRPr="00A71D2E">
              <w:rPr>
                <w:rFonts w:eastAsia="宋体" w:cs="Times New Roman"/>
                <w:sz w:val="18"/>
                <w:szCs w:val="18"/>
              </w:rPr>
              <w:t>878,461,308.67</w:t>
            </w:r>
          </w:p>
        </w:tc>
      </w:tr>
    </w:tbl>
    <w:p w:rsidR="00753B8C" w:rsidRPr="00A71D2E" w:rsidRDefault="00753B8C" w:rsidP="0027505B">
      <w:pPr>
        <w:ind w:left="720"/>
        <w:jc w:val="both"/>
        <w:rPr>
          <w:rFonts w:eastAsia="宋体" w:cs="Times New Roman"/>
          <w:szCs w:val="21"/>
        </w:rPr>
      </w:pPr>
    </w:p>
    <w:p w:rsidR="00753B8C" w:rsidRPr="00A71D2E" w:rsidRDefault="009F38D9">
      <w:pPr>
        <w:pStyle w:val="aff1"/>
        <w:numPr>
          <w:ilvl w:val="0"/>
          <w:numId w:val="29"/>
        </w:numPr>
        <w:snapToGrid/>
        <w:ind w:left="1440" w:firstLineChars="0" w:hanging="720"/>
        <w:rPr>
          <w:szCs w:val="21"/>
        </w:rPr>
      </w:pPr>
      <w:r>
        <w:rPr>
          <w:rFonts w:hint="eastAsia"/>
          <w:szCs w:val="21"/>
        </w:rPr>
        <w:t>按坏账</w:t>
      </w:r>
      <w:r w:rsidR="00B969C1">
        <w:rPr>
          <w:rFonts w:hint="eastAsia"/>
          <w:szCs w:val="21"/>
        </w:rPr>
        <w:t>准备</w:t>
      </w:r>
      <w:r w:rsidR="00E40B9C">
        <w:rPr>
          <w:rFonts w:hint="eastAsia"/>
          <w:szCs w:val="21"/>
        </w:rPr>
        <w:t>计提方法分类披露</w:t>
      </w:r>
    </w:p>
    <w:p w:rsidR="000F46E2" w:rsidRPr="00A71D2E" w:rsidRDefault="000F46E2" w:rsidP="00F66363">
      <w:pPr>
        <w:ind w:left="720"/>
        <w:jc w:val="both"/>
        <w:rPr>
          <w:rFonts w:eastAsia="宋体" w:cs="Times New Roman"/>
          <w:szCs w:val="21"/>
        </w:rPr>
      </w:pPr>
    </w:p>
    <w:p w:rsidR="000F46E2" w:rsidRPr="00A71D2E" w:rsidRDefault="000F46E2">
      <w:pPr>
        <w:ind w:left="720"/>
        <w:jc w:val="both"/>
        <w:rPr>
          <w:rFonts w:eastAsia="宋体" w:cs="Times New Roman"/>
          <w:szCs w:val="21"/>
        </w:rPr>
      </w:pPr>
      <w:r w:rsidRPr="00A71D2E">
        <w:rPr>
          <w:rFonts w:eastAsia="宋体" w:cs="Times New Roman" w:hint="eastAsia"/>
          <w:szCs w:val="21"/>
        </w:rPr>
        <w:t>上述组合的应收账款信用风险与</w:t>
      </w:r>
      <w:r w:rsidR="009F38D9">
        <w:rPr>
          <w:rFonts w:eastAsia="宋体" w:cs="Times New Roman" w:hint="eastAsia"/>
          <w:szCs w:val="21"/>
        </w:rPr>
        <w:t>坏账</w:t>
      </w:r>
      <w:r w:rsidRPr="00A71D2E">
        <w:rPr>
          <w:rFonts w:eastAsia="宋体" w:cs="Times New Roman" w:hint="eastAsia"/>
          <w:szCs w:val="21"/>
        </w:rPr>
        <w:t>准备情况如下</w:t>
      </w:r>
      <w:r w:rsidR="005F14EE">
        <w:rPr>
          <w:rFonts w:eastAsia="宋体" w:cs="Times New Roman" w:hint="eastAsia"/>
          <w:szCs w:val="21"/>
        </w:rPr>
        <w:t>：</w:t>
      </w:r>
    </w:p>
    <w:p w:rsidR="00753B8C" w:rsidRPr="00A71D2E" w:rsidRDefault="00753B8C" w:rsidP="00F66363">
      <w:pPr>
        <w:snapToGrid/>
        <w:ind w:left="72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1"/>
        <w:gridCol w:w="1512"/>
        <w:gridCol w:w="1098"/>
        <w:gridCol w:w="1575"/>
        <w:gridCol w:w="1215"/>
        <w:gridCol w:w="1692"/>
      </w:tblGrid>
      <w:tr w:rsidR="0024624D" w:rsidRPr="004F6FF3" w:rsidTr="0027505B">
        <w:trPr>
          <w:trHeight w:val="20"/>
        </w:trPr>
        <w:tc>
          <w:tcPr>
            <w:tcW w:w="2361" w:type="dxa"/>
            <w:vMerge w:val="restart"/>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r w:rsidRPr="004F6FF3">
              <w:rPr>
                <w:rFonts w:eastAsia="宋体" w:cs="Times New Roman" w:hint="eastAsia"/>
                <w:sz w:val="18"/>
                <w:szCs w:val="18"/>
              </w:rPr>
              <w:t>种类</w:t>
            </w:r>
          </w:p>
        </w:tc>
        <w:tc>
          <w:tcPr>
            <w:tcW w:w="7092" w:type="dxa"/>
            <w:gridSpan w:val="5"/>
            <w:shd w:val="clear" w:color="auto" w:fill="D9D9D9" w:themeFill="background1" w:themeFillShade="D9"/>
            <w:vAlign w:val="center"/>
          </w:tcPr>
          <w:p w:rsidR="0024624D" w:rsidRPr="004F6FF3" w:rsidRDefault="00E27741" w:rsidP="00F66363">
            <w:pPr>
              <w:snapToGrid/>
              <w:jc w:val="center"/>
              <w:rPr>
                <w:rFonts w:eastAsia="宋体" w:cs="Times New Roman"/>
                <w:sz w:val="18"/>
                <w:szCs w:val="18"/>
              </w:rPr>
            </w:pPr>
            <w:r w:rsidRPr="004F6FF3">
              <w:rPr>
                <w:rFonts w:eastAsia="宋体" w:cs="Times New Roman" w:hint="eastAsia"/>
                <w:sz w:val="18"/>
                <w:szCs w:val="18"/>
              </w:rPr>
              <w:t>年末余额</w:t>
            </w:r>
          </w:p>
        </w:tc>
      </w:tr>
      <w:tr w:rsidR="0024624D" w:rsidRPr="004F6FF3" w:rsidTr="0027505B">
        <w:trPr>
          <w:trHeight w:val="20"/>
        </w:trPr>
        <w:tc>
          <w:tcPr>
            <w:tcW w:w="2361" w:type="dxa"/>
            <w:vMerge/>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p>
        </w:tc>
        <w:tc>
          <w:tcPr>
            <w:tcW w:w="2610" w:type="dxa"/>
            <w:gridSpan w:val="2"/>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r w:rsidRPr="004F6FF3">
              <w:rPr>
                <w:rFonts w:eastAsia="宋体" w:cs="Times New Roman" w:hint="eastAsia"/>
                <w:sz w:val="18"/>
                <w:szCs w:val="18"/>
              </w:rPr>
              <w:t>账面余额</w:t>
            </w:r>
          </w:p>
        </w:tc>
        <w:tc>
          <w:tcPr>
            <w:tcW w:w="2790" w:type="dxa"/>
            <w:gridSpan w:val="2"/>
            <w:shd w:val="clear" w:color="auto" w:fill="D9D9D9" w:themeFill="background1" w:themeFillShade="D9"/>
            <w:vAlign w:val="center"/>
          </w:tcPr>
          <w:p w:rsidR="0024624D" w:rsidRPr="004F6FF3" w:rsidRDefault="009F38D9" w:rsidP="00F66363">
            <w:pPr>
              <w:snapToGrid/>
              <w:jc w:val="center"/>
              <w:rPr>
                <w:rFonts w:eastAsia="宋体" w:cs="Times New Roman"/>
                <w:sz w:val="18"/>
                <w:szCs w:val="18"/>
              </w:rPr>
            </w:pPr>
            <w:r w:rsidRPr="004F6FF3">
              <w:rPr>
                <w:rFonts w:eastAsia="宋体" w:cs="Times New Roman" w:hint="eastAsia"/>
                <w:sz w:val="18"/>
                <w:szCs w:val="18"/>
              </w:rPr>
              <w:t>坏账</w:t>
            </w:r>
            <w:r w:rsidR="0024624D" w:rsidRPr="004F6FF3">
              <w:rPr>
                <w:rFonts w:eastAsia="宋体" w:cs="Times New Roman" w:hint="eastAsia"/>
                <w:sz w:val="18"/>
                <w:szCs w:val="18"/>
              </w:rPr>
              <w:t>准备</w:t>
            </w:r>
          </w:p>
        </w:tc>
        <w:tc>
          <w:tcPr>
            <w:tcW w:w="1692" w:type="dxa"/>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r w:rsidRPr="004F6FF3">
              <w:rPr>
                <w:rFonts w:eastAsia="宋体" w:cs="Times New Roman" w:hint="eastAsia"/>
                <w:sz w:val="18"/>
                <w:szCs w:val="18"/>
              </w:rPr>
              <w:t>账面价值</w:t>
            </w:r>
          </w:p>
        </w:tc>
      </w:tr>
      <w:tr w:rsidR="0024624D" w:rsidRPr="004F6FF3" w:rsidTr="0027505B">
        <w:trPr>
          <w:trHeight w:val="20"/>
        </w:trPr>
        <w:tc>
          <w:tcPr>
            <w:tcW w:w="2361" w:type="dxa"/>
            <w:vMerge/>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p>
        </w:tc>
        <w:tc>
          <w:tcPr>
            <w:tcW w:w="1512" w:type="dxa"/>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r w:rsidRPr="004F6FF3">
              <w:rPr>
                <w:rFonts w:eastAsia="宋体" w:cs="Times New Roman" w:hint="eastAsia"/>
                <w:sz w:val="18"/>
                <w:szCs w:val="18"/>
              </w:rPr>
              <w:t>金额</w:t>
            </w:r>
          </w:p>
        </w:tc>
        <w:tc>
          <w:tcPr>
            <w:tcW w:w="1098" w:type="dxa"/>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r w:rsidRPr="004F6FF3">
              <w:rPr>
                <w:rFonts w:eastAsia="宋体" w:cs="Times New Roman" w:hint="eastAsia"/>
                <w:sz w:val="18"/>
                <w:szCs w:val="18"/>
              </w:rPr>
              <w:t>比例</w:t>
            </w:r>
            <w:r w:rsidR="005F14EE" w:rsidRPr="004F6FF3">
              <w:rPr>
                <w:rFonts w:eastAsia="宋体" w:cs="Times New Roman"/>
                <w:sz w:val="18"/>
                <w:szCs w:val="18"/>
              </w:rPr>
              <w:t>(</w:t>
            </w:r>
            <w:r w:rsidRPr="004F6FF3">
              <w:rPr>
                <w:rFonts w:eastAsia="宋体" w:cs="Times New Roman"/>
                <w:sz w:val="18"/>
                <w:szCs w:val="18"/>
              </w:rPr>
              <w:t>%</w:t>
            </w:r>
            <w:r w:rsidR="005F14EE" w:rsidRPr="004F6FF3">
              <w:rPr>
                <w:rFonts w:eastAsia="宋体" w:cs="Times New Roman"/>
                <w:sz w:val="18"/>
                <w:szCs w:val="18"/>
              </w:rPr>
              <w:t>)</w:t>
            </w:r>
          </w:p>
        </w:tc>
        <w:tc>
          <w:tcPr>
            <w:tcW w:w="1575" w:type="dxa"/>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r w:rsidRPr="004F6FF3">
              <w:rPr>
                <w:rFonts w:eastAsia="宋体" w:cs="Times New Roman" w:hint="eastAsia"/>
                <w:sz w:val="18"/>
                <w:szCs w:val="18"/>
              </w:rPr>
              <w:t>金额</w:t>
            </w:r>
          </w:p>
        </w:tc>
        <w:tc>
          <w:tcPr>
            <w:tcW w:w="1215" w:type="dxa"/>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r w:rsidRPr="004F6FF3">
              <w:rPr>
                <w:rFonts w:eastAsia="宋体" w:cs="Times New Roman" w:hint="eastAsia"/>
                <w:sz w:val="18"/>
                <w:szCs w:val="18"/>
              </w:rPr>
              <w:t>计提比例</w:t>
            </w:r>
            <w:r w:rsidR="005F14EE" w:rsidRPr="004F6FF3">
              <w:rPr>
                <w:rFonts w:eastAsia="宋体" w:cs="Times New Roman"/>
                <w:sz w:val="18"/>
                <w:szCs w:val="18"/>
              </w:rPr>
              <w:t>(</w:t>
            </w:r>
            <w:r w:rsidRPr="004F6FF3">
              <w:rPr>
                <w:rFonts w:eastAsia="宋体" w:cs="Times New Roman"/>
                <w:sz w:val="18"/>
                <w:szCs w:val="18"/>
              </w:rPr>
              <w:t>%</w:t>
            </w:r>
            <w:r w:rsidR="005F14EE" w:rsidRPr="004F6FF3">
              <w:rPr>
                <w:rFonts w:eastAsia="宋体" w:cs="Times New Roman"/>
                <w:sz w:val="18"/>
                <w:szCs w:val="18"/>
              </w:rPr>
              <w:t>)</w:t>
            </w:r>
          </w:p>
        </w:tc>
        <w:tc>
          <w:tcPr>
            <w:tcW w:w="1692" w:type="dxa"/>
            <w:shd w:val="clear" w:color="auto" w:fill="D9D9D9" w:themeFill="background1" w:themeFillShade="D9"/>
            <w:vAlign w:val="center"/>
          </w:tcPr>
          <w:p w:rsidR="0024624D" w:rsidRPr="004F6FF3" w:rsidRDefault="0024624D" w:rsidP="00F66363">
            <w:pPr>
              <w:snapToGrid/>
              <w:jc w:val="center"/>
              <w:rPr>
                <w:rFonts w:eastAsia="宋体" w:cs="Times New Roman"/>
                <w:sz w:val="18"/>
                <w:szCs w:val="18"/>
              </w:rPr>
            </w:pPr>
            <w:r w:rsidRPr="004F6FF3">
              <w:rPr>
                <w:rFonts w:eastAsia="宋体" w:cs="Times New Roman" w:hint="eastAsia"/>
                <w:sz w:val="18"/>
                <w:szCs w:val="18"/>
              </w:rPr>
              <w:t>金额</w:t>
            </w:r>
          </w:p>
        </w:tc>
      </w:tr>
      <w:tr w:rsidR="003E054B" w:rsidRPr="004F6FF3" w:rsidTr="0027505B">
        <w:trPr>
          <w:trHeight w:val="20"/>
        </w:trPr>
        <w:tc>
          <w:tcPr>
            <w:tcW w:w="2361" w:type="dxa"/>
            <w:shd w:val="clear" w:color="auto" w:fill="FFFFFF" w:themeFill="background1"/>
            <w:vAlign w:val="center"/>
          </w:tcPr>
          <w:p w:rsidR="003E054B" w:rsidRPr="004F6FF3" w:rsidRDefault="003E054B" w:rsidP="003E054B">
            <w:pPr>
              <w:snapToGrid/>
              <w:rPr>
                <w:rFonts w:eastAsia="宋体" w:cs="Times New Roman"/>
                <w:sz w:val="18"/>
                <w:szCs w:val="18"/>
              </w:rPr>
            </w:pPr>
            <w:r w:rsidRPr="004F6FF3">
              <w:rPr>
                <w:rFonts w:eastAsia="宋体" w:cs="Times New Roman" w:hint="eastAsia"/>
                <w:sz w:val="18"/>
                <w:szCs w:val="18"/>
              </w:rPr>
              <w:t>按单项计提</w:t>
            </w:r>
            <w:r w:rsidR="009F38D9" w:rsidRPr="004F6FF3">
              <w:rPr>
                <w:rFonts w:eastAsia="宋体" w:cs="Times New Roman" w:hint="eastAsia"/>
                <w:sz w:val="18"/>
                <w:szCs w:val="18"/>
              </w:rPr>
              <w:t>坏账</w:t>
            </w:r>
            <w:r w:rsidRPr="004F6FF3">
              <w:rPr>
                <w:rFonts w:eastAsia="宋体" w:cs="Times New Roman" w:hint="eastAsia"/>
                <w:sz w:val="18"/>
                <w:szCs w:val="18"/>
              </w:rPr>
              <w:t>准备</w:t>
            </w:r>
          </w:p>
        </w:tc>
        <w:tc>
          <w:tcPr>
            <w:tcW w:w="151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24,282,167.95</w:t>
            </w:r>
          </w:p>
        </w:tc>
        <w:tc>
          <w:tcPr>
            <w:tcW w:w="1098"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 xml:space="preserve">2.40 </w:t>
            </w:r>
          </w:p>
        </w:tc>
        <w:tc>
          <w:tcPr>
            <w:tcW w:w="157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24,282,167.95</w:t>
            </w:r>
          </w:p>
        </w:tc>
        <w:tc>
          <w:tcPr>
            <w:tcW w:w="121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100.00</w:t>
            </w:r>
          </w:p>
        </w:tc>
        <w:tc>
          <w:tcPr>
            <w:tcW w:w="169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    </w:t>
            </w:r>
          </w:p>
        </w:tc>
      </w:tr>
      <w:tr w:rsidR="003E054B" w:rsidRPr="004F6FF3" w:rsidTr="0027505B">
        <w:trPr>
          <w:trHeight w:val="20"/>
        </w:trPr>
        <w:tc>
          <w:tcPr>
            <w:tcW w:w="2361" w:type="dxa"/>
            <w:shd w:val="clear" w:color="auto" w:fill="FFFFFF" w:themeFill="background1"/>
            <w:vAlign w:val="center"/>
          </w:tcPr>
          <w:p w:rsidR="003E054B" w:rsidRPr="004F6FF3" w:rsidRDefault="003E054B" w:rsidP="003E054B">
            <w:pPr>
              <w:snapToGrid/>
              <w:rPr>
                <w:rFonts w:eastAsia="宋体" w:cs="Times New Roman"/>
                <w:sz w:val="18"/>
                <w:szCs w:val="18"/>
              </w:rPr>
            </w:pPr>
            <w:r w:rsidRPr="004F6FF3">
              <w:rPr>
                <w:rFonts w:eastAsia="宋体" w:cs="Times New Roman" w:hint="eastAsia"/>
                <w:sz w:val="18"/>
                <w:szCs w:val="18"/>
              </w:rPr>
              <w:t>按组合计提</w:t>
            </w:r>
            <w:r w:rsidR="009F38D9" w:rsidRPr="004F6FF3">
              <w:rPr>
                <w:rFonts w:eastAsia="宋体" w:cs="Times New Roman" w:hint="eastAsia"/>
                <w:sz w:val="18"/>
                <w:szCs w:val="18"/>
              </w:rPr>
              <w:t>坏账</w:t>
            </w:r>
            <w:r w:rsidRPr="004F6FF3">
              <w:rPr>
                <w:rFonts w:eastAsia="宋体" w:cs="Times New Roman" w:hint="eastAsia"/>
                <w:sz w:val="18"/>
                <w:szCs w:val="18"/>
              </w:rPr>
              <w:t>准备</w:t>
            </w:r>
          </w:p>
        </w:tc>
        <w:tc>
          <w:tcPr>
            <w:tcW w:w="151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987,754,958.57</w:t>
            </w:r>
          </w:p>
        </w:tc>
        <w:tc>
          <w:tcPr>
            <w:tcW w:w="1098"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 xml:space="preserve">97.60 </w:t>
            </w:r>
          </w:p>
        </w:tc>
        <w:tc>
          <w:tcPr>
            <w:tcW w:w="157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10,629,483.62</w:t>
            </w:r>
          </w:p>
        </w:tc>
        <w:tc>
          <w:tcPr>
            <w:tcW w:w="121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1.08</w:t>
            </w:r>
          </w:p>
        </w:tc>
        <w:tc>
          <w:tcPr>
            <w:tcW w:w="169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977,125,474.95</w:t>
            </w:r>
          </w:p>
        </w:tc>
      </w:tr>
      <w:tr w:rsidR="003E054B" w:rsidRPr="004F6FF3" w:rsidTr="0027505B">
        <w:trPr>
          <w:trHeight w:val="20"/>
        </w:trPr>
        <w:tc>
          <w:tcPr>
            <w:tcW w:w="2361" w:type="dxa"/>
            <w:shd w:val="clear" w:color="auto" w:fill="FFFFFF" w:themeFill="background1"/>
            <w:vAlign w:val="center"/>
          </w:tcPr>
          <w:p w:rsidR="003E054B" w:rsidRPr="004F6FF3" w:rsidRDefault="003E054B" w:rsidP="003E054B">
            <w:pPr>
              <w:snapToGrid/>
              <w:ind w:left="540" w:hangingChars="300" w:hanging="540"/>
              <w:rPr>
                <w:rFonts w:eastAsia="宋体" w:cs="Times New Roman"/>
                <w:sz w:val="18"/>
                <w:szCs w:val="18"/>
              </w:rPr>
            </w:pPr>
            <w:r w:rsidRPr="004F6FF3">
              <w:rPr>
                <w:rFonts w:eastAsia="宋体" w:cs="Times New Roman" w:hint="eastAsia"/>
                <w:sz w:val="18"/>
                <w:szCs w:val="18"/>
              </w:rPr>
              <w:t>其中</w:t>
            </w:r>
            <w:r w:rsidR="005F14EE" w:rsidRPr="004F6FF3">
              <w:rPr>
                <w:rFonts w:eastAsia="宋体" w:cs="Times New Roman" w:hint="eastAsia"/>
                <w:sz w:val="18"/>
                <w:szCs w:val="18"/>
              </w:rPr>
              <w:t>：</w:t>
            </w:r>
            <w:r w:rsidRPr="004F6FF3">
              <w:rPr>
                <w:rFonts w:eastAsia="宋体" w:cs="Times New Roman"/>
                <w:sz w:val="18"/>
                <w:szCs w:val="18"/>
              </w:rPr>
              <w:t>-</w:t>
            </w:r>
            <w:r w:rsidRPr="004F6FF3">
              <w:rPr>
                <w:rFonts w:eastAsia="宋体" w:cs="Times New Roman" w:hint="eastAsia"/>
                <w:sz w:val="18"/>
                <w:szCs w:val="18"/>
              </w:rPr>
              <w:t>组合</w:t>
            </w:r>
            <w:r w:rsidRPr="004F6FF3">
              <w:rPr>
                <w:rFonts w:eastAsia="宋体" w:cs="Times New Roman"/>
                <w:sz w:val="18"/>
                <w:szCs w:val="18"/>
              </w:rPr>
              <w:t>A</w:t>
            </w:r>
          </w:p>
        </w:tc>
        <w:tc>
          <w:tcPr>
            <w:tcW w:w="151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201,217,770.58</w:t>
            </w:r>
          </w:p>
        </w:tc>
        <w:tc>
          <w:tcPr>
            <w:tcW w:w="1098"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 xml:space="preserve">19.88 </w:t>
            </w:r>
          </w:p>
        </w:tc>
        <w:tc>
          <w:tcPr>
            <w:tcW w:w="157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2,136,917.16</w:t>
            </w:r>
          </w:p>
        </w:tc>
        <w:tc>
          <w:tcPr>
            <w:tcW w:w="121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1.06</w:t>
            </w:r>
          </w:p>
        </w:tc>
        <w:tc>
          <w:tcPr>
            <w:tcW w:w="169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199,080,853.42</w:t>
            </w:r>
          </w:p>
        </w:tc>
      </w:tr>
      <w:tr w:rsidR="003E054B" w:rsidRPr="004F6FF3" w:rsidTr="0027505B">
        <w:trPr>
          <w:trHeight w:val="20"/>
        </w:trPr>
        <w:tc>
          <w:tcPr>
            <w:tcW w:w="2361" w:type="dxa"/>
            <w:shd w:val="clear" w:color="auto" w:fill="FFFFFF" w:themeFill="background1"/>
            <w:vAlign w:val="center"/>
          </w:tcPr>
          <w:p w:rsidR="003E054B" w:rsidRPr="004F6FF3" w:rsidRDefault="003E054B" w:rsidP="003E054B">
            <w:pPr>
              <w:snapToGrid/>
              <w:ind w:leftChars="257" w:left="540" w:firstLineChars="1" w:firstLine="2"/>
              <w:rPr>
                <w:rFonts w:eastAsia="宋体" w:cs="Times New Roman"/>
                <w:sz w:val="18"/>
                <w:szCs w:val="18"/>
              </w:rPr>
            </w:pPr>
            <w:r w:rsidRPr="004F6FF3">
              <w:rPr>
                <w:rFonts w:eastAsia="宋体" w:cs="Times New Roman"/>
                <w:sz w:val="18"/>
                <w:szCs w:val="18"/>
              </w:rPr>
              <w:t>-</w:t>
            </w:r>
            <w:r w:rsidRPr="004F6FF3">
              <w:rPr>
                <w:rFonts w:eastAsia="宋体" w:cs="Times New Roman" w:hint="eastAsia"/>
                <w:sz w:val="18"/>
                <w:szCs w:val="18"/>
              </w:rPr>
              <w:t>组合</w:t>
            </w:r>
            <w:r w:rsidRPr="004F6FF3">
              <w:rPr>
                <w:rFonts w:eastAsia="宋体" w:cs="Times New Roman"/>
                <w:sz w:val="18"/>
                <w:szCs w:val="18"/>
              </w:rPr>
              <w:t>B</w:t>
            </w:r>
          </w:p>
        </w:tc>
        <w:tc>
          <w:tcPr>
            <w:tcW w:w="151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203,413,236.85</w:t>
            </w:r>
          </w:p>
        </w:tc>
        <w:tc>
          <w:tcPr>
            <w:tcW w:w="1098"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 xml:space="preserve">20.10 </w:t>
            </w:r>
          </w:p>
        </w:tc>
        <w:tc>
          <w:tcPr>
            <w:tcW w:w="157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1,637,324.43</w:t>
            </w:r>
          </w:p>
        </w:tc>
        <w:tc>
          <w:tcPr>
            <w:tcW w:w="121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0.80</w:t>
            </w:r>
          </w:p>
        </w:tc>
        <w:tc>
          <w:tcPr>
            <w:tcW w:w="169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201,775,912.42</w:t>
            </w:r>
          </w:p>
        </w:tc>
      </w:tr>
      <w:tr w:rsidR="003E054B" w:rsidRPr="004F6FF3" w:rsidTr="0027505B">
        <w:trPr>
          <w:trHeight w:val="20"/>
        </w:trPr>
        <w:tc>
          <w:tcPr>
            <w:tcW w:w="2361" w:type="dxa"/>
            <w:shd w:val="clear" w:color="auto" w:fill="FFFFFF" w:themeFill="background1"/>
            <w:vAlign w:val="center"/>
          </w:tcPr>
          <w:p w:rsidR="003E054B" w:rsidRPr="004F6FF3" w:rsidRDefault="003E054B" w:rsidP="003E054B">
            <w:pPr>
              <w:snapToGrid/>
              <w:ind w:leftChars="257" w:left="540" w:firstLineChars="1" w:firstLine="2"/>
              <w:rPr>
                <w:rFonts w:eastAsia="宋体" w:cs="Times New Roman"/>
                <w:sz w:val="18"/>
                <w:szCs w:val="18"/>
              </w:rPr>
            </w:pPr>
            <w:r w:rsidRPr="004F6FF3">
              <w:rPr>
                <w:rFonts w:eastAsia="宋体" w:cs="Times New Roman"/>
                <w:sz w:val="18"/>
                <w:szCs w:val="18"/>
              </w:rPr>
              <w:t>-</w:t>
            </w:r>
            <w:r w:rsidRPr="004F6FF3">
              <w:rPr>
                <w:rFonts w:eastAsia="宋体" w:cs="Times New Roman" w:hint="eastAsia"/>
                <w:sz w:val="18"/>
                <w:szCs w:val="18"/>
              </w:rPr>
              <w:t>组合</w:t>
            </w:r>
            <w:r w:rsidRPr="004F6FF3">
              <w:rPr>
                <w:rFonts w:eastAsia="宋体" w:cs="Times New Roman"/>
                <w:sz w:val="18"/>
                <w:szCs w:val="18"/>
              </w:rPr>
              <w:t>C</w:t>
            </w:r>
          </w:p>
        </w:tc>
        <w:tc>
          <w:tcPr>
            <w:tcW w:w="151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378,521,578.83</w:t>
            </w:r>
          </w:p>
        </w:tc>
        <w:tc>
          <w:tcPr>
            <w:tcW w:w="1098"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 xml:space="preserve">37.40 </w:t>
            </w:r>
          </w:p>
        </w:tc>
        <w:tc>
          <w:tcPr>
            <w:tcW w:w="157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6,855,242.03</w:t>
            </w:r>
          </w:p>
        </w:tc>
        <w:tc>
          <w:tcPr>
            <w:tcW w:w="121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1.81</w:t>
            </w:r>
          </w:p>
        </w:tc>
        <w:tc>
          <w:tcPr>
            <w:tcW w:w="169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371,666,336.80</w:t>
            </w:r>
          </w:p>
        </w:tc>
      </w:tr>
      <w:tr w:rsidR="003E054B" w:rsidRPr="004F6FF3" w:rsidTr="0027505B">
        <w:trPr>
          <w:trHeight w:val="20"/>
        </w:trPr>
        <w:tc>
          <w:tcPr>
            <w:tcW w:w="2361" w:type="dxa"/>
            <w:shd w:val="clear" w:color="auto" w:fill="FFFFFF" w:themeFill="background1"/>
            <w:vAlign w:val="center"/>
          </w:tcPr>
          <w:p w:rsidR="003E054B" w:rsidRPr="004F6FF3" w:rsidRDefault="003E054B" w:rsidP="003E054B">
            <w:pPr>
              <w:snapToGrid/>
              <w:ind w:leftChars="257" w:left="540" w:firstLineChars="1" w:firstLine="2"/>
              <w:rPr>
                <w:rFonts w:eastAsia="宋体" w:cs="Times New Roman"/>
                <w:sz w:val="18"/>
                <w:szCs w:val="18"/>
              </w:rPr>
            </w:pPr>
            <w:r w:rsidRPr="004F6FF3">
              <w:rPr>
                <w:rFonts w:eastAsia="宋体" w:cs="Times New Roman"/>
                <w:sz w:val="18"/>
                <w:szCs w:val="18"/>
              </w:rPr>
              <w:t>-</w:t>
            </w:r>
            <w:r w:rsidRPr="004F6FF3">
              <w:rPr>
                <w:rFonts w:eastAsia="宋体" w:cs="Times New Roman" w:hint="eastAsia"/>
                <w:sz w:val="18"/>
                <w:szCs w:val="18"/>
              </w:rPr>
              <w:t>集团内关联方</w:t>
            </w:r>
          </w:p>
        </w:tc>
        <w:tc>
          <w:tcPr>
            <w:tcW w:w="151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204,602,372.31</w:t>
            </w:r>
          </w:p>
        </w:tc>
        <w:tc>
          <w:tcPr>
            <w:tcW w:w="1098"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 xml:space="preserve">20.22 </w:t>
            </w:r>
          </w:p>
        </w:tc>
        <w:tc>
          <w:tcPr>
            <w:tcW w:w="157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    </w:t>
            </w:r>
          </w:p>
        </w:tc>
        <w:tc>
          <w:tcPr>
            <w:tcW w:w="1215"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    </w:t>
            </w:r>
          </w:p>
        </w:tc>
        <w:tc>
          <w:tcPr>
            <w:tcW w:w="1692" w:type="dxa"/>
            <w:shd w:val="clear" w:color="auto" w:fill="FFFFFF" w:themeFill="background1"/>
            <w:vAlign w:val="center"/>
          </w:tcPr>
          <w:p w:rsidR="003E054B" w:rsidRPr="004F6FF3" w:rsidRDefault="003E054B" w:rsidP="003E054B">
            <w:pPr>
              <w:snapToGrid/>
              <w:jc w:val="right"/>
              <w:rPr>
                <w:rFonts w:eastAsia="宋体" w:cs="Times New Roman"/>
                <w:sz w:val="18"/>
                <w:szCs w:val="18"/>
              </w:rPr>
            </w:pPr>
            <w:r w:rsidRPr="004F6FF3">
              <w:rPr>
                <w:rFonts w:eastAsia="宋体" w:cs="Times New Roman"/>
                <w:sz w:val="18"/>
                <w:szCs w:val="18"/>
              </w:rPr>
              <w:t>204,602,372.31</w:t>
            </w:r>
          </w:p>
        </w:tc>
      </w:tr>
      <w:tr w:rsidR="0024624D" w:rsidRPr="004F6FF3" w:rsidTr="0027505B">
        <w:trPr>
          <w:trHeight w:val="20"/>
        </w:trPr>
        <w:tc>
          <w:tcPr>
            <w:tcW w:w="2361" w:type="dxa"/>
            <w:shd w:val="clear" w:color="auto" w:fill="D9D9D9" w:themeFill="background1" w:themeFillShade="D9"/>
            <w:vAlign w:val="center"/>
          </w:tcPr>
          <w:p w:rsidR="0024624D" w:rsidRPr="004F6FF3" w:rsidRDefault="0024624D" w:rsidP="00F66363">
            <w:pPr>
              <w:snapToGrid/>
              <w:rPr>
                <w:rFonts w:eastAsia="宋体" w:cs="Times New Roman"/>
                <w:sz w:val="18"/>
                <w:szCs w:val="18"/>
              </w:rPr>
            </w:pPr>
            <w:r w:rsidRPr="004F6FF3">
              <w:rPr>
                <w:rFonts w:eastAsia="宋体" w:cs="Times New Roman" w:hint="eastAsia"/>
                <w:sz w:val="18"/>
                <w:szCs w:val="18"/>
              </w:rPr>
              <w:t>合计</w:t>
            </w:r>
          </w:p>
        </w:tc>
        <w:tc>
          <w:tcPr>
            <w:tcW w:w="1512" w:type="dxa"/>
            <w:shd w:val="clear" w:color="auto" w:fill="FFFFFF" w:themeFill="background1"/>
            <w:vAlign w:val="center"/>
          </w:tcPr>
          <w:p w:rsidR="0024624D" w:rsidRPr="004F6FF3" w:rsidRDefault="003E054B" w:rsidP="00F66363">
            <w:pPr>
              <w:snapToGrid/>
              <w:jc w:val="right"/>
              <w:rPr>
                <w:rFonts w:eastAsia="宋体" w:cs="Times New Roman"/>
                <w:sz w:val="18"/>
                <w:szCs w:val="18"/>
              </w:rPr>
            </w:pPr>
            <w:r w:rsidRPr="004F6FF3">
              <w:rPr>
                <w:rFonts w:eastAsia="宋体" w:cs="Times New Roman"/>
                <w:sz w:val="18"/>
                <w:szCs w:val="18"/>
              </w:rPr>
              <w:t>1,012,037,126.52</w:t>
            </w:r>
          </w:p>
        </w:tc>
        <w:tc>
          <w:tcPr>
            <w:tcW w:w="1098" w:type="dxa"/>
            <w:shd w:val="clear" w:color="auto" w:fill="FFFFFF" w:themeFill="background1"/>
            <w:vAlign w:val="center"/>
          </w:tcPr>
          <w:p w:rsidR="0024624D" w:rsidRPr="004F6FF3" w:rsidRDefault="003E054B" w:rsidP="00F66363">
            <w:pPr>
              <w:snapToGrid/>
              <w:jc w:val="right"/>
              <w:rPr>
                <w:rFonts w:eastAsia="宋体" w:cs="Times New Roman"/>
                <w:sz w:val="18"/>
                <w:szCs w:val="18"/>
              </w:rPr>
            </w:pPr>
            <w:r w:rsidRPr="004F6FF3">
              <w:rPr>
                <w:rFonts w:eastAsia="宋体" w:cs="Times New Roman"/>
                <w:sz w:val="18"/>
                <w:szCs w:val="18"/>
              </w:rPr>
              <w:t>100.00</w:t>
            </w:r>
          </w:p>
        </w:tc>
        <w:tc>
          <w:tcPr>
            <w:tcW w:w="1575" w:type="dxa"/>
            <w:shd w:val="clear" w:color="auto" w:fill="FFFFFF" w:themeFill="background1"/>
            <w:vAlign w:val="center"/>
          </w:tcPr>
          <w:p w:rsidR="0024624D" w:rsidRPr="004F6FF3" w:rsidRDefault="003E054B" w:rsidP="00F66363">
            <w:pPr>
              <w:snapToGrid/>
              <w:jc w:val="right"/>
              <w:rPr>
                <w:rFonts w:eastAsia="宋体" w:cs="Times New Roman"/>
                <w:sz w:val="18"/>
                <w:szCs w:val="18"/>
              </w:rPr>
            </w:pPr>
            <w:r w:rsidRPr="004F6FF3">
              <w:rPr>
                <w:rFonts w:eastAsia="宋体" w:cs="Times New Roman"/>
                <w:sz w:val="18"/>
                <w:szCs w:val="18"/>
              </w:rPr>
              <w:t>34,911,651.57</w:t>
            </w:r>
          </w:p>
        </w:tc>
        <w:tc>
          <w:tcPr>
            <w:tcW w:w="1215" w:type="dxa"/>
            <w:shd w:val="clear" w:color="auto" w:fill="FFFFFF" w:themeFill="background1"/>
            <w:vAlign w:val="center"/>
          </w:tcPr>
          <w:p w:rsidR="0024624D" w:rsidRPr="004F6FF3" w:rsidRDefault="003E054B" w:rsidP="00F66363">
            <w:pPr>
              <w:snapToGrid/>
              <w:jc w:val="right"/>
              <w:rPr>
                <w:rFonts w:eastAsia="宋体" w:cs="Times New Roman"/>
                <w:sz w:val="18"/>
                <w:szCs w:val="18"/>
              </w:rPr>
            </w:pPr>
            <w:r w:rsidRPr="004F6FF3">
              <w:rPr>
                <w:rFonts w:eastAsia="宋体" w:cs="Times New Roman"/>
                <w:sz w:val="18"/>
                <w:szCs w:val="18"/>
              </w:rPr>
              <w:t>3.45</w:t>
            </w:r>
          </w:p>
        </w:tc>
        <w:tc>
          <w:tcPr>
            <w:tcW w:w="1692" w:type="dxa"/>
            <w:shd w:val="clear" w:color="auto" w:fill="FFFFFF" w:themeFill="background1"/>
            <w:vAlign w:val="center"/>
          </w:tcPr>
          <w:p w:rsidR="0024624D" w:rsidRPr="004F6FF3" w:rsidRDefault="003E054B" w:rsidP="00F66363">
            <w:pPr>
              <w:snapToGrid/>
              <w:jc w:val="right"/>
              <w:rPr>
                <w:rFonts w:eastAsia="宋体" w:cs="Times New Roman"/>
                <w:sz w:val="18"/>
                <w:szCs w:val="18"/>
              </w:rPr>
            </w:pPr>
            <w:r w:rsidRPr="004F6FF3">
              <w:rPr>
                <w:rFonts w:eastAsia="宋体" w:cs="Times New Roman"/>
                <w:sz w:val="18"/>
                <w:szCs w:val="18"/>
              </w:rPr>
              <w:t>977,125,474.95</w:t>
            </w:r>
          </w:p>
        </w:tc>
      </w:tr>
    </w:tbl>
    <w:p w:rsidR="004F6FF3" w:rsidRDefault="004F6FF3" w:rsidP="00E40B9C">
      <w:pPr>
        <w:ind w:leftChars="337" w:left="708"/>
        <w:jc w:val="both"/>
        <w:rPr>
          <w:rFonts w:eastAsia="宋体" w:cs="Times New Roman"/>
          <w:szCs w:val="21"/>
        </w:rPr>
      </w:pPr>
    </w:p>
    <w:p w:rsidR="004F6FF3" w:rsidRDefault="004F6FF3">
      <w:pPr>
        <w:adjustRightInd/>
        <w:snapToGrid/>
        <w:rPr>
          <w:rFonts w:eastAsia="宋体" w:cs="Times New Roman"/>
          <w:szCs w:val="21"/>
        </w:rPr>
      </w:pPr>
      <w:r>
        <w:rPr>
          <w:rFonts w:eastAsia="宋体" w:cs="Times New Roman"/>
          <w:szCs w:val="21"/>
        </w:rPr>
        <w:br w:type="page"/>
      </w:r>
    </w:p>
    <w:p w:rsidR="004F6FF3" w:rsidRPr="00F66363" w:rsidRDefault="004F6FF3" w:rsidP="004F6FF3">
      <w:pPr>
        <w:rPr>
          <w:rFonts w:eastAsia="宋体" w:cs="Times New Roman"/>
          <w:szCs w:val="21"/>
        </w:rPr>
      </w:pPr>
      <w:r>
        <w:rPr>
          <w:rFonts w:eastAsia="宋体" w:cs="Times New Roman"/>
          <w:b/>
          <w:bCs/>
          <w:szCs w:val="28"/>
        </w:rPr>
        <w:t>(</w:t>
      </w:r>
      <w:r w:rsidRPr="00F66363">
        <w:rPr>
          <w:rFonts w:eastAsia="宋体" w:cs="Times New Roman" w:hint="eastAsia"/>
          <w:b/>
          <w:bCs/>
          <w:szCs w:val="28"/>
        </w:rPr>
        <w:t>十</w:t>
      </w:r>
      <w:r>
        <w:rPr>
          <w:rFonts w:eastAsia="宋体" w:cs="Times New Roman" w:hint="eastAsia"/>
          <w:b/>
          <w:bCs/>
          <w:szCs w:val="28"/>
        </w:rPr>
        <w:t>五</w:t>
      </w:r>
      <w:r>
        <w:rPr>
          <w:rFonts w:eastAsia="宋体" w:cs="Times New Roman"/>
          <w:b/>
          <w:bCs/>
          <w:szCs w:val="28"/>
        </w:rPr>
        <w:t>)</w:t>
      </w:r>
      <w:r w:rsidRPr="00F66363">
        <w:rPr>
          <w:rFonts w:eastAsia="宋体" w:cs="Times New Roman"/>
          <w:b/>
          <w:bCs/>
          <w:szCs w:val="28"/>
        </w:rPr>
        <w:tab/>
      </w:r>
      <w:r w:rsidRPr="00F66363">
        <w:rPr>
          <w:rFonts w:eastAsia="宋体" w:cs="Times New Roman" w:hint="eastAsia"/>
          <w:b/>
          <w:bCs/>
          <w:szCs w:val="28"/>
        </w:rPr>
        <w:t>母公司财务报表主要项目注释</w:t>
      </w:r>
      <w:r w:rsidRPr="00F66363">
        <w:rPr>
          <w:rFonts w:eastAsia="宋体" w:cs="Times New Roman"/>
        </w:rPr>
        <w:t xml:space="preserve"> - </w:t>
      </w:r>
      <w:r w:rsidRPr="00F66363">
        <w:rPr>
          <w:rFonts w:eastAsia="宋体" w:cs="Times New Roman" w:hint="eastAsia"/>
        </w:rPr>
        <w:t>续</w:t>
      </w:r>
    </w:p>
    <w:p w:rsidR="004F6FF3" w:rsidRPr="00F66363" w:rsidRDefault="004F6FF3" w:rsidP="004F6FF3">
      <w:pPr>
        <w:ind w:left="1440" w:hanging="720"/>
        <w:rPr>
          <w:rFonts w:eastAsia="宋体" w:cs="Times New Roman"/>
          <w:szCs w:val="28"/>
        </w:rPr>
      </w:pPr>
    </w:p>
    <w:p w:rsidR="004F6FF3" w:rsidRPr="00F66363" w:rsidRDefault="004F6FF3" w:rsidP="004F6FF3">
      <w:pPr>
        <w:ind w:left="1440" w:hanging="720"/>
        <w:rPr>
          <w:rFonts w:eastAsia="宋体" w:cs="Times New Roman"/>
          <w:szCs w:val="28"/>
        </w:rPr>
      </w:pPr>
      <w:r w:rsidRPr="00F66363">
        <w:rPr>
          <w:rFonts w:eastAsia="宋体" w:cs="Times New Roman"/>
          <w:b/>
          <w:bCs/>
          <w:szCs w:val="28"/>
        </w:rPr>
        <w:t>1</w:t>
      </w:r>
      <w:r w:rsidRPr="00F66363">
        <w:rPr>
          <w:rFonts w:eastAsia="宋体" w:cs="Times New Roman" w:hint="eastAsia"/>
          <w:b/>
          <w:bCs/>
          <w:szCs w:val="28"/>
        </w:rPr>
        <w:t>、</w:t>
      </w:r>
      <w:r w:rsidRPr="00F66363">
        <w:rPr>
          <w:rFonts w:eastAsia="宋体" w:cs="Times New Roman"/>
          <w:b/>
          <w:bCs/>
          <w:szCs w:val="28"/>
        </w:rPr>
        <w:tab/>
      </w:r>
      <w:r w:rsidRPr="00F66363">
        <w:rPr>
          <w:rFonts w:eastAsia="宋体" w:cs="Times New Roman" w:hint="eastAsia"/>
          <w:b/>
          <w:bCs/>
          <w:szCs w:val="28"/>
        </w:rPr>
        <w:t>应收账款</w:t>
      </w:r>
      <w:r w:rsidRPr="00F66363">
        <w:rPr>
          <w:rFonts w:eastAsia="宋体" w:cs="Times New Roman"/>
          <w:szCs w:val="28"/>
        </w:rPr>
        <w:t xml:space="preserve"> - </w:t>
      </w:r>
      <w:r w:rsidRPr="00F66363">
        <w:rPr>
          <w:rFonts w:eastAsia="宋体" w:cs="Times New Roman" w:hint="eastAsia"/>
          <w:szCs w:val="28"/>
        </w:rPr>
        <w:t>续</w:t>
      </w:r>
    </w:p>
    <w:p w:rsidR="001713AB" w:rsidRDefault="001713AB" w:rsidP="00E40B9C">
      <w:pPr>
        <w:ind w:leftChars="337" w:left="708"/>
        <w:jc w:val="both"/>
        <w:rPr>
          <w:rFonts w:eastAsia="宋体" w:cs="Times New Roman"/>
          <w:szCs w:val="21"/>
        </w:rPr>
      </w:pPr>
    </w:p>
    <w:p w:rsidR="004F6FF3" w:rsidRPr="004F6FF3" w:rsidRDefault="004F6FF3" w:rsidP="0027505B">
      <w:pPr>
        <w:ind w:leftChars="336" w:left="706"/>
        <w:jc w:val="both"/>
        <w:rPr>
          <w:rFonts w:eastAsia="宋体" w:cs="Times New Roman"/>
          <w:szCs w:val="21"/>
        </w:rPr>
      </w:pPr>
      <w:r w:rsidRPr="004F6FF3">
        <w:rPr>
          <w:rFonts w:eastAsia="宋体" w:cs="Times New Roman" w:hint="eastAsia"/>
          <w:szCs w:val="21"/>
        </w:rPr>
        <w:t>(2)</w:t>
      </w:r>
      <w:r w:rsidRPr="004F6FF3">
        <w:rPr>
          <w:rFonts w:eastAsia="宋体" w:cs="Times New Roman" w:hint="eastAsia"/>
          <w:szCs w:val="21"/>
        </w:rPr>
        <w:tab/>
      </w:r>
      <w:r w:rsidRPr="004F6FF3">
        <w:rPr>
          <w:rFonts w:eastAsia="宋体" w:cs="Times New Roman" w:hint="eastAsia"/>
          <w:szCs w:val="21"/>
        </w:rPr>
        <w:t>按坏账准备计提方法分类披露</w:t>
      </w:r>
      <w:r>
        <w:rPr>
          <w:rFonts w:eastAsia="宋体" w:cs="Times New Roman" w:hint="eastAsia"/>
          <w:szCs w:val="21"/>
        </w:rPr>
        <w:t xml:space="preserve"> </w:t>
      </w:r>
      <w:r w:rsidRPr="00F66363">
        <w:rPr>
          <w:rFonts w:eastAsia="宋体" w:cs="Times New Roman"/>
          <w:szCs w:val="28"/>
        </w:rPr>
        <w:t xml:space="preserve">- </w:t>
      </w:r>
      <w:r w:rsidRPr="00F66363">
        <w:rPr>
          <w:rFonts w:eastAsia="宋体" w:cs="Times New Roman" w:hint="eastAsia"/>
          <w:szCs w:val="28"/>
        </w:rPr>
        <w:t>续</w:t>
      </w:r>
    </w:p>
    <w:p w:rsidR="004F6FF3" w:rsidRPr="004F6FF3" w:rsidRDefault="004F6FF3" w:rsidP="004F6FF3">
      <w:pPr>
        <w:ind w:leftChars="337" w:left="708"/>
        <w:jc w:val="both"/>
        <w:rPr>
          <w:rFonts w:eastAsia="宋体" w:cs="Times New Roman"/>
          <w:szCs w:val="21"/>
        </w:rPr>
      </w:pPr>
    </w:p>
    <w:p w:rsidR="004F6FF3" w:rsidRPr="001713AB" w:rsidRDefault="004F6FF3" w:rsidP="0027505B">
      <w:pPr>
        <w:ind w:leftChars="342" w:left="718"/>
        <w:jc w:val="both"/>
        <w:rPr>
          <w:rFonts w:eastAsia="宋体" w:cs="Times New Roman"/>
          <w:szCs w:val="21"/>
        </w:rPr>
      </w:pPr>
      <w:r w:rsidRPr="004F6FF3">
        <w:rPr>
          <w:rFonts w:eastAsia="宋体" w:cs="Times New Roman" w:hint="eastAsia"/>
          <w:szCs w:val="21"/>
        </w:rPr>
        <w:t>上述组合的应收账款信用风险与坏账准备情况如下：</w:t>
      </w:r>
      <w:r>
        <w:rPr>
          <w:rFonts w:eastAsia="宋体" w:cs="Times New Roman" w:hint="eastAsia"/>
          <w:szCs w:val="21"/>
        </w:rPr>
        <w:t xml:space="preserve"> </w:t>
      </w:r>
      <w:r w:rsidRPr="00F66363">
        <w:rPr>
          <w:rFonts w:eastAsia="宋体" w:cs="Times New Roman"/>
          <w:szCs w:val="28"/>
        </w:rPr>
        <w:t xml:space="preserve">- </w:t>
      </w:r>
      <w:r w:rsidRPr="00F66363">
        <w:rPr>
          <w:rFonts w:eastAsia="宋体" w:cs="Times New Roman" w:hint="eastAsia"/>
          <w:szCs w:val="28"/>
        </w:rPr>
        <w:t>续</w:t>
      </w:r>
    </w:p>
    <w:p w:rsidR="008578E5" w:rsidRPr="00A71D2E" w:rsidRDefault="008578E5">
      <w:pPr>
        <w:ind w:left="72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1"/>
        <w:gridCol w:w="1512"/>
        <w:gridCol w:w="1098"/>
        <w:gridCol w:w="1575"/>
        <w:gridCol w:w="1215"/>
        <w:gridCol w:w="1692"/>
      </w:tblGrid>
      <w:tr w:rsidR="00AA591D" w:rsidRPr="004F6FF3" w:rsidTr="0027505B">
        <w:trPr>
          <w:trHeight w:val="20"/>
        </w:trPr>
        <w:tc>
          <w:tcPr>
            <w:tcW w:w="2361" w:type="dxa"/>
            <w:vMerge w:val="restart"/>
            <w:shd w:val="clear" w:color="auto" w:fill="D9D9D9" w:themeFill="background1" w:themeFillShade="D9"/>
            <w:vAlign w:val="center"/>
          </w:tcPr>
          <w:p w:rsidR="00AA591D" w:rsidRPr="004F6FF3" w:rsidRDefault="00AA591D" w:rsidP="00FE2C30">
            <w:pPr>
              <w:snapToGrid/>
              <w:jc w:val="center"/>
              <w:rPr>
                <w:rFonts w:eastAsia="宋体" w:cs="Times New Roman"/>
                <w:sz w:val="18"/>
                <w:szCs w:val="18"/>
              </w:rPr>
            </w:pPr>
            <w:r w:rsidRPr="004F6FF3">
              <w:rPr>
                <w:rFonts w:eastAsia="宋体" w:cs="Times New Roman" w:hint="eastAsia"/>
                <w:sz w:val="18"/>
                <w:szCs w:val="18"/>
              </w:rPr>
              <w:t>种类</w:t>
            </w:r>
          </w:p>
        </w:tc>
        <w:tc>
          <w:tcPr>
            <w:tcW w:w="7092" w:type="dxa"/>
            <w:gridSpan w:val="5"/>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r w:rsidRPr="004F6FF3">
              <w:rPr>
                <w:rFonts w:eastAsia="宋体" w:cs="Times New Roman" w:hint="eastAsia"/>
                <w:sz w:val="18"/>
                <w:szCs w:val="18"/>
              </w:rPr>
              <w:t>年初余额</w:t>
            </w:r>
          </w:p>
        </w:tc>
      </w:tr>
      <w:tr w:rsidR="00AA591D" w:rsidRPr="004F6FF3" w:rsidTr="0027505B">
        <w:trPr>
          <w:trHeight w:val="20"/>
        </w:trPr>
        <w:tc>
          <w:tcPr>
            <w:tcW w:w="2361" w:type="dxa"/>
            <w:vMerge/>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p>
        </w:tc>
        <w:tc>
          <w:tcPr>
            <w:tcW w:w="2610" w:type="dxa"/>
            <w:gridSpan w:val="2"/>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r w:rsidRPr="004F6FF3">
              <w:rPr>
                <w:rFonts w:eastAsia="宋体" w:cs="Times New Roman" w:hint="eastAsia"/>
                <w:sz w:val="18"/>
                <w:szCs w:val="18"/>
              </w:rPr>
              <w:t>账面余额</w:t>
            </w:r>
          </w:p>
        </w:tc>
        <w:tc>
          <w:tcPr>
            <w:tcW w:w="2790" w:type="dxa"/>
            <w:gridSpan w:val="2"/>
            <w:shd w:val="clear" w:color="auto" w:fill="D9D9D9" w:themeFill="background1" w:themeFillShade="D9"/>
            <w:vAlign w:val="center"/>
          </w:tcPr>
          <w:p w:rsidR="00AA591D" w:rsidRPr="004F6FF3" w:rsidRDefault="009F38D9" w:rsidP="00E456AF">
            <w:pPr>
              <w:snapToGrid/>
              <w:jc w:val="center"/>
              <w:rPr>
                <w:rFonts w:eastAsia="宋体" w:cs="Times New Roman"/>
                <w:sz w:val="18"/>
                <w:szCs w:val="18"/>
              </w:rPr>
            </w:pPr>
            <w:r w:rsidRPr="004F6FF3">
              <w:rPr>
                <w:rFonts w:eastAsia="宋体" w:cs="Times New Roman" w:hint="eastAsia"/>
                <w:sz w:val="18"/>
                <w:szCs w:val="18"/>
              </w:rPr>
              <w:t>坏账</w:t>
            </w:r>
            <w:r w:rsidR="00AA591D" w:rsidRPr="004F6FF3">
              <w:rPr>
                <w:rFonts w:eastAsia="宋体" w:cs="Times New Roman" w:hint="eastAsia"/>
                <w:sz w:val="18"/>
                <w:szCs w:val="18"/>
              </w:rPr>
              <w:t>准备</w:t>
            </w:r>
          </w:p>
        </w:tc>
        <w:tc>
          <w:tcPr>
            <w:tcW w:w="1692" w:type="dxa"/>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r w:rsidRPr="004F6FF3">
              <w:rPr>
                <w:rFonts w:eastAsia="宋体" w:cs="Times New Roman" w:hint="eastAsia"/>
                <w:sz w:val="18"/>
                <w:szCs w:val="18"/>
              </w:rPr>
              <w:t>账面价值</w:t>
            </w:r>
          </w:p>
        </w:tc>
      </w:tr>
      <w:tr w:rsidR="00AA591D" w:rsidRPr="004F6FF3" w:rsidTr="0027505B">
        <w:trPr>
          <w:trHeight w:val="20"/>
        </w:trPr>
        <w:tc>
          <w:tcPr>
            <w:tcW w:w="2361" w:type="dxa"/>
            <w:vMerge/>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p>
        </w:tc>
        <w:tc>
          <w:tcPr>
            <w:tcW w:w="1512" w:type="dxa"/>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r w:rsidRPr="004F6FF3">
              <w:rPr>
                <w:rFonts w:eastAsia="宋体" w:cs="Times New Roman" w:hint="eastAsia"/>
                <w:sz w:val="18"/>
                <w:szCs w:val="18"/>
              </w:rPr>
              <w:t>金额</w:t>
            </w:r>
          </w:p>
        </w:tc>
        <w:tc>
          <w:tcPr>
            <w:tcW w:w="1098" w:type="dxa"/>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r w:rsidRPr="004F6FF3">
              <w:rPr>
                <w:rFonts w:eastAsia="宋体" w:cs="Times New Roman" w:hint="eastAsia"/>
                <w:sz w:val="18"/>
                <w:szCs w:val="18"/>
              </w:rPr>
              <w:t>比例</w:t>
            </w:r>
            <w:r w:rsidR="005F14EE" w:rsidRPr="004F6FF3">
              <w:rPr>
                <w:rFonts w:eastAsia="宋体" w:cs="Times New Roman"/>
                <w:sz w:val="18"/>
                <w:szCs w:val="18"/>
              </w:rPr>
              <w:t>(</w:t>
            </w:r>
            <w:r w:rsidRPr="004F6FF3">
              <w:rPr>
                <w:rFonts w:eastAsia="宋体" w:cs="Times New Roman"/>
                <w:sz w:val="18"/>
                <w:szCs w:val="18"/>
              </w:rPr>
              <w:t>%</w:t>
            </w:r>
            <w:r w:rsidR="005F14EE" w:rsidRPr="004F6FF3">
              <w:rPr>
                <w:rFonts w:eastAsia="宋体" w:cs="Times New Roman"/>
                <w:sz w:val="18"/>
                <w:szCs w:val="18"/>
              </w:rPr>
              <w:t>)</w:t>
            </w:r>
          </w:p>
        </w:tc>
        <w:tc>
          <w:tcPr>
            <w:tcW w:w="1575" w:type="dxa"/>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r w:rsidRPr="004F6FF3">
              <w:rPr>
                <w:rFonts w:eastAsia="宋体" w:cs="Times New Roman" w:hint="eastAsia"/>
                <w:sz w:val="18"/>
                <w:szCs w:val="18"/>
              </w:rPr>
              <w:t>金额</w:t>
            </w:r>
          </w:p>
        </w:tc>
        <w:tc>
          <w:tcPr>
            <w:tcW w:w="1215" w:type="dxa"/>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r w:rsidRPr="004F6FF3">
              <w:rPr>
                <w:rFonts w:eastAsia="宋体" w:cs="Times New Roman" w:hint="eastAsia"/>
                <w:sz w:val="18"/>
                <w:szCs w:val="18"/>
              </w:rPr>
              <w:t>计提比例</w:t>
            </w:r>
            <w:r w:rsidR="005F14EE" w:rsidRPr="004F6FF3">
              <w:rPr>
                <w:rFonts w:eastAsia="宋体" w:cs="Times New Roman"/>
                <w:sz w:val="18"/>
                <w:szCs w:val="18"/>
              </w:rPr>
              <w:t>(</w:t>
            </w:r>
            <w:r w:rsidRPr="004F6FF3">
              <w:rPr>
                <w:rFonts w:eastAsia="宋体" w:cs="Times New Roman"/>
                <w:sz w:val="18"/>
                <w:szCs w:val="18"/>
              </w:rPr>
              <w:t>%</w:t>
            </w:r>
            <w:r w:rsidR="005F14EE" w:rsidRPr="004F6FF3">
              <w:rPr>
                <w:rFonts w:eastAsia="宋体" w:cs="Times New Roman"/>
                <w:sz w:val="18"/>
                <w:szCs w:val="18"/>
              </w:rPr>
              <w:t>)</w:t>
            </w:r>
          </w:p>
        </w:tc>
        <w:tc>
          <w:tcPr>
            <w:tcW w:w="1692" w:type="dxa"/>
            <w:shd w:val="clear" w:color="auto" w:fill="D9D9D9" w:themeFill="background1" w:themeFillShade="D9"/>
            <w:vAlign w:val="center"/>
          </w:tcPr>
          <w:p w:rsidR="00AA591D" w:rsidRPr="004F6FF3" w:rsidRDefault="00AA591D" w:rsidP="00E456AF">
            <w:pPr>
              <w:snapToGrid/>
              <w:jc w:val="center"/>
              <w:rPr>
                <w:rFonts w:eastAsia="宋体" w:cs="Times New Roman"/>
                <w:sz w:val="18"/>
                <w:szCs w:val="18"/>
              </w:rPr>
            </w:pPr>
            <w:r w:rsidRPr="004F6FF3">
              <w:rPr>
                <w:rFonts w:eastAsia="宋体" w:cs="Times New Roman" w:hint="eastAsia"/>
                <w:sz w:val="18"/>
                <w:szCs w:val="18"/>
              </w:rPr>
              <w:t>金额</w:t>
            </w:r>
          </w:p>
        </w:tc>
      </w:tr>
      <w:tr w:rsidR="00AA591D" w:rsidRPr="004F6FF3" w:rsidTr="0027505B">
        <w:trPr>
          <w:trHeight w:val="20"/>
        </w:trPr>
        <w:tc>
          <w:tcPr>
            <w:tcW w:w="2361" w:type="dxa"/>
            <w:shd w:val="clear" w:color="auto" w:fill="FFFFFF" w:themeFill="background1"/>
            <w:vAlign w:val="center"/>
          </w:tcPr>
          <w:p w:rsidR="00AA591D" w:rsidRPr="004F6FF3" w:rsidRDefault="00AA591D" w:rsidP="00E456AF">
            <w:pPr>
              <w:snapToGrid/>
              <w:rPr>
                <w:rFonts w:eastAsia="宋体" w:cs="Times New Roman"/>
                <w:sz w:val="18"/>
                <w:szCs w:val="18"/>
              </w:rPr>
            </w:pPr>
            <w:r w:rsidRPr="004F6FF3">
              <w:rPr>
                <w:rFonts w:eastAsia="宋体" w:cs="Times New Roman" w:hint="eastAsia"/>
                <w:sz w:val="18"/>
                <w:szCs w:val="18"/>
              </w:rPr>
              <w:t>按单项计提</w:t>
            </w:r>
            <w:r w:rsidR="009F38D9" w:rsidRPr="004F6FF3">
              <w:rPr>
                <w:rFonts w:eastAsia="宋体" w:cs="Times New Roman" w:hint="eastAsia"/>
                <w:sz w:val="18"/>
                <w:szCs w:val="18"/>
              </w:rPr>
              <w:t>坏账</w:t>
            </w:r>
            <w:r w:rsidRPr="004F6FF3">
              <w:rPr>
                <w:rFonts w:eastAsia="宋体" w:cs="Times New Roman" w:hint="eastAsia"/>
                <w:sz w:val="18"/>
                <w:szCs w:val="18"/>
              </w:rPr>
              <w:t>准备</w:t>
            </w:r>
          </w:p>
        </w:tc>
        <w:tc>
          <w:tcPr>
            <w:tcW w:w="151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24,679,631.95</w:t>
            </w:r>
          </w:p>
        </w:tc>
        <w:tc>
          <w:tcPr>
            <w:tcW w:w="1098"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2.71</w:t>
            </w:r>
          </w:p>
        </w:tc>
        <w:tc>
          <w:tcPr>
            <w:tcW w:w="157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24,679,631.95</w:t>
            </w:r>
          </w:p>
        </w:tc>
        <w:tc>
          <w:tcPr>
            <w:tcW w:w="121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100.00</w:t>
            </w:r>
          </w:p>
        </w:tc>
        <w:tc>
          <w:tcPr>
            <w:tcW w:w="169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    </w:t>
            </w:r>
          </w:p>
        </w:tc>
      </w:tr>
      <w:tr w:rsidR="00AA591D" w:rsidRPr="004F6FF3" w:rsidTr="0027505B">
        <w:trPr>
          <w:trHeight w:val="20"/>
        </w:trPr>
        <w:tc>
          <w:tcPr>
            <w:tcW w:w="2361" w:type="dxa"/>
            <w:shd w:val="clear" w:color="auto" w:fill="FFFFFF" w:themeFill="background1"/>
            <w:vAlign w:val="center"/>
          </w:tcPr>
          <w:p w:rsidR="00AA591D" w:rsidRPr="004F6FF3" w:rsidRDefault="00AA591D" w:rsidP="00E456AF">
            <w:pPr>
              <w:snapToGrid/>
              <w:rPr>
                <w:rFonts w:eastAsia="宋体" w:cs="Times New Roman"/>
                <w:sz w:val="18"/>
                <w:szCs w:val="18"/>
              </w:rPr>
            </w:pPr>
            <w:r w:rsidRPr="004F6FF3">
              <w:rPr>
                <w:rFonts w:eastAsia="宋体" w:cs="Times New Roman" w:hint="eastAsia"/>
                <w:sz w:val="18"/>
                <w:szCs w:val="18"/>
              </w:rPr>
              <w:t>按组合计提</w:t>
            </w:r>
            <w:r w:rsidR="009F38D9" w:rsidRPr="004F6FF3">
              <w:rPr>
                <w:rFonts w:eastAsia="宋体" w:cs="Times New Roman" w:hint="eastAsia"/>
                <w:sz w:val="18"/>
                <w:szCs w:val="18"/>
              </w:rPr>
              <w:t>坏账</w:t>
            </w:r>
            <w:r w:rsidRPr="004F6FF3">
              <w:rPr>
                <w:rFonts w:eastAsia="宋体" w:cs="Times New Roman" w:hint="eastAsia"/>
                <w:sz w:val="18"/>
                <w:szCs w:val="18"/>
              </w:rPr>
              <w:t>准备</w:t>
            </w:r>
          </w:p>
        </w:tc>
        <w:tc>
          <w:tcPr>
            <w:tcW w:w="1512" w:type="dxa"/>
            <w:shd w:val="clear" w:color="auto" w:fill="FFFFFF" w:themeFill="background1"/>
            <w:vAlign w:val="center"/>
          </w:tcPr>
          <w:p w:rsidR="00AA591D" w:rsidRPr="004F6FF3" w:rsidRDefault="002B4602" w:rsidP="00E456AF">
            <w:pPr>
              <w:snapToGrid/>
              <w:jc w:val="right"/>
              <w:rPr>
                <w:rFonts w:eastAsia="宋体" w:cs="Times New Roman"/>
                <w:sz w:val="18"/>
                <w:szCs w:val="18"/>
              </w:rPr>
            </w:pPr>
            <w:r w:rsidRPr="004F6FF3">
              <w:rPr>
                <w:rFonts w:eastAsia="宋体" w:cs="Times New Roman"/>
                <w:sz w:val="18"/>
                <w:szCs w:val="18"/>
              </w:rPr>
              <w:t>885,677,451.58</w:t>
            </w:r>
          </w:p>
        </w:tc>
        <w:tc>
          <w:tcPr>
            <w:tcW w:w="1098"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97.29</w:t>
            </w:r>
          </w:p>
        </w:tc>
        <w:tc>
          <w:tcPr>
            <w:tcW w:w="157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7,216,142.91</w:t>
            </w:r>
          </w:p>
        </w:tc>
        <w:tc>
          <w:tcPr>
            <w:tcW w:w="121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0.81</w:t>
            </w:r>
          </w:p>
        </w:tc>
        <w:tc>
          <w:tcPr>
            <w:tcW w:w="169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878,461,308.67</w:t>
            </w:r>
          </w:p>
        </w:tc>
      </w:tr>
      <w:tr w:rsidR="00AA591D" w:rsidRPr="004F6FF3" w:rsidTr="0027505B">
        <w:trPr>
          <w:trHeight w:val="20"/>
        </w:trPr>
        <w:tc>
          <w:tcPr>
            <w:tcW w:w="2361" w:type="dxa"/>
            <w:shd w:val="clear" w:color="auto" w:fill="FFFFFF" w:themeFill="background1"/>
            <w:vAlign w:val="center"/>
          </w:tcPr>
          <w:p w:rsidR="00AA591D" w:rsidRPr="004F6FF3" w:rsidRDefault="00AA591D" w:rsidP="00E456AF">
            <w:pPr>
              <w:snapToGrid/>
              <w:ind w:left="540" w:hangingChars="300" w:hanging="540"/>
              <w:rPr>
                <w:rFonts w:eastAsia="宋体" w:cs="Times New Roman"/>
                <w:sz w:val="18"/>
                <w:szCs w:val="18"/>
              </w:rPr>
            </w:pPr>
            <w:r w:rsidRPr="004F6FF3">
              <w:rPr>
                <w:rFonts w:eastAsia="宋体" w:cs="Times New Roman" w:hint="eastAsia"/>
                <w:sz w:val="18"/>
                <w:szCs w:val="18"/>
              </w:rPr>
              <w:t>其中</w:t>
            </w:r>
            <w:r w:rsidR="005F14EE" w:rsidRPr="004F6FF3">
              <w:rPr>
                <w:rFonts w:eastAsia="宋体" w:cs="Times New Roman" w:hint="eastAsia"/>
                <w:sz w:val="18"/>
                <w:szCs w:val="18"/>
              </w:rPr>
              <w:t>：</w:t>
            </w:r>
            <w:r w:rsidRPr="004F6FF3">
              <w:rPr>
                <w:rFonts w:eastAsia="宋体" w:cs="Times New Roman"/>
                <w:sz w:val="18"/>
                <w:szCs w:val="18"/>
              </w:rPr>
              <w:t>-</w:t>
            </w:r>
            <w:r w:rsidRPr="004F6FF3">
              <w:rPr>
                <w:rFonts w:eastAsia="宋体" w:cs="Times New Roman" w:hint="eastAsia"/>
                <w:sz w:val="18"/>
                <w:szCs w:val="18"/>
              </w:rPr>
              <w:t>组合</w:t>
            </w:r>
            <w:r w:rsidRPr="004F6FF3">
              <w:rPr>
                <w:rFonts w:eastAsia="宋体" w:cs="Times New Roman"/>
                <w:sz w:val="18"/>
                <w:szCs w:val="18"/>
              </w:rPr>
              <w:t>A</w:t>
            </w:r>
          </w:p>
        </w:tc>
        <w:tc>
          <w:tcPr>
            <w:tcW w:w="151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183,297,228.83</w:t>
            </w:r>
          </w:p>
        </w:tc>
        <w:tc>
          <w:tcPr>
            <w:tcW w:w="1098"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20.13</w:t>
            </w:r>
          </w:p>
        </w:tc>
        <w:tc>
          <w:tcPr>
            <w:tcW w:w="157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1,133,388.28</w:t>
            </w:r>
          </w:p>
        </w:tc>
        <w:tc>
          <w:tcPr>
            <w:tcW w:w="121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0.62</w:t>
            </w:r>
          </w:p>
        </w:tc>
        <w:tc>
          <w:tcPr>
            <w:tcW w:w="169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182,163,840.55</w:t>
            </w:r>
          </w:p>
        </w:tc>
      </w:tr>
      <w:tr w:rsidR="00AA591D" w:rsidRPr="004F6FF3" w:rsidTr="0027505B">
        <w:trPr>
          <w:trHeight w:val="20"/>
        </w:trPr>
        <w:tc>
          <w:tcPr>
            <w:tcW w:w="2361" w:type="dxa"/>
            <w:shd w:val="clear" w:color="auto" w:fill="FFFFFF" w:themeFill="background1"/>
            <w:vAlign w:val="center"/>
          </w:tcPr>
          <w:p w:rsidR="00AA591D" w:rsidRPr="004F6FF3" w:rsidRDefault="00AA591D" w:rsidP="00E456AF">
            <w:pPr>
              <w:snapToGrid/>
              <w:ind w:leftChars="257" w:left="540" w:firstLineChars="1" w:firstLine="2"/>
              <w:rPr>
                <w:rFonts w:eastAsia="宋体" w:cs="Times New Roman"/>
                <w:sz w:val="18"/>
                <w:szCs w:val="18"/>
              </w:rPr>
            </w:pPr>
            <w:r w:rsidRPr="004F6FF3">
              <w:rPr>
                <w:rFonts w:eastAsia="宋体" w:cs="Times New Roman"/>
                <w:sz w:val="18"/>
                <w:szCs w:val="18"/>
              </w:rPr>
              <w:t>-</w:t>
            </w:r>
            <w:r w:rsidRPr="004F6FF3">
              <w:rPr>
                <w:rFonts w:eastAsia="宋体" w:cs="Times New Roman" w:hint="eastAsia"/>
                <w:sz w:val="18"/>
                <w:szCs w:val="18"/>
              </w:rPr>
              <w:t>组合</w:t>
            </w:r>
            <w:r w:rsidRPr="004F6FF3">
              <w:rPr>
                <w:rFonts w:eastAsia="宋体" w:cs="Times New Roman"/>
                <w:sz w:val="18"/>
                <w:szCs w:val="18"/>
              </w:rPr>
              <w:t>B</w:t>
            </w:r>
          </w:p>
        </w:tc>
        <w:tc>
          <w:tcPr>
            <w:tcW w:w="151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188,055,658.86</w:t>
            </w:r>
          </w:p>
        </w:tc>
        <w:tc>
          <w:tcPr>
            <w:tcW w:w="1098"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20.66</w:t>
            </w:r>
          </w:p>
        </w:tc>
        <w:tc>
          <w:tcPr>
            <w:tcW w:w="157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1,319,526.01</w:t>
            </w:r>
          </w:p>
        </w:tc>
        <w:tc>
          <w:tcPr>
            <w:tcW w:w="121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0.70</w:t>
            </w:r>
          </w:p>
        </w:tc>
        <w:tc>
          <w:tcPr>
            <w:tcW w:w="169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186,736,132.85</w:t>
            </w:r>
          </w:p>
        </w:tc>
      </w:tr>
      <w:tr w:rsidR="00AA591D" w:rsidRPr="004F6FF3" w:rsidTr="0027505B">
        <w:trPr>
          <w:trHeight w:val="20"/>
        </w:trPr>
        <w:tc>
          <w:tcPr>
            <w:tcW w:w="2361" w:type="dxa"/>
            <w:shd w:val="clear" w:color="auto" w:fill="FFFFFF" w:themeFill="background1"/>
            <w:vAlign w:val="center"/>
          </w:tcPr>
          <w:p w:rsidR="00AA591D" w:rsidRPr="004F6FF3" w:rsidRDefault="00AA591D" w:rsidP="00E456AF">
            <w:pPr>
              <w:snapToGrid/>
              <w:ind w:leftChars="257" w:left="540" w:firstLineChars="1" w:firstLine="2"/>
              <w:rPr>
                <w:rFonts w:eastAsia="宋体" w:cs="Times New Roman"/>
                <w:sz w:val="18"/>
                <w:szCs w:val="18"/>
              </w:rPr>
            </w:pPr>
            <w:r w:rsidRPr="004F6FF3">
              <w:rPr>
                <w:rFonts w:eastAsia="宋体" w:cs="Times New Roman"/>
                <w:sz w:val="18"/>
                <w:szCs w:val="18"/>
              </w:rPr>
              <w:t>-</w:t>
            </w:r>
            <w:r w:rsidRPr="004F6FF3">
              <w:rPr>
                <w:rFonts w:eastAsia="宋体" w:cs="Times New Roman" w:hint="eastAsia"/>
                <w:sz w:val="18"/>
                <w:szCs w:val="18"/>
              </w:rPr>
              <w:t>组合</w:t>
            </w:r>
            <w:r w:rsidRPr="004F6FF3">
              <w:rPr>
                <w:rFonts w:eastAsia="宋体" w:cs="Times New Roman"/>
                <w:sz w:val="18"/>
                <w:szCs w:val="18"/>
              </w:rPr>
              <w:t>C</w:t>
            </w:r>
          </w:p>
        </w:tc>
        <w:tc>
          <w:tcPr>
            <w:tcW w:w="151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255,457,545.72</w:t>
            </w:r>
          </w:p>
        </w:tc>
        <w:tc>
          <w:tcPr>
            <w:tcW w:w="1098"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28.06</w:t>
            </w:r>
          </w:p>
        </w:tc>
        <w:tc>
          <w:tcPr>
            <w:tcW w:w="157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4,763,228.62</w:t>
            </w:r>
          </w:p>
        </w:tc>
        <w:tc>
          <w:tcPr>
            <w:tcW w:w="121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1.86</w:t>
            </w:r>
          </w:p>
        </w:tc>
        <w:tc>
          <w:tcPr>
            <w:tcW w:w="169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250,694,317.10</w:t>
            </w:r>
          </w:p>
        </w:tc>
      </w:tr>
      <w:tr w:rsidR="00AA591D" w:rsidRPr="004F6FF3" w:rsidTr="0027505B">
        <w:trPr>
          <w:trHeight w:val="20"/>
        </w:trPr>
        <w:tc>
          <w:tcPr>
            <w:tcW w:w="2361" w:type="dxa"/>
            <w:shd w:val="clear" w:color="auto" w:fill="FFFFFF" w:themeFill="background1"/>
            <w:vAlign w:val="center"/>
          </w:tcPr>
          <w:p w:rsidR="00AA591D" w:rsidRPr="004F6FF3" w:rsidRDefault="00AA591D" w:rsidP="00E456AF">
            <w:pPr>
              <w:snapToGrid/>
              <w:ind w:leftChars="257" w:left="540" w:firstLineChars="1" w:firstLine="2"/>
              <w:rPr>
                <w:rFonts w:eastAsia="宋体" w:cs="Times New Roman"/>
                <w:sz w:val="18"/>
                <w:szCs w:val="18"/>
              </w:rPr>
            </w:pPr>
            <w:r w:rsidRPr="004F6FF3">
              <w:rPr>
                <w:rFonts w:eastAsia="宋体" w:cs="Times New Roman"/>
                <w:sz w:val="18"/>
                <w:szCs w:val="18"/>
              </w:rPr>
              <w:t>-</w:t>
            </w:r>
            <w:r w:rsidRPr="004F6FF3">
              <w:rPr>
                <w:rFonts w:eastAsia="宋体" w:cs="Times New Roman" w:hint="eastAsia"/>
                <w:sz w:val="18"/>
                <w:szCs w:val="18"/>
              </w:rPr>
              <w:t>集团内关联方</w:t>
            </w:r>
          </w:p>
        </w:tc>
        <w:tc>
          <w:tcPr>
            <w:tcW w:w="151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258,867,018.17</w:t>
            </w:r>
          </w:p>
        </w:tc>
        <w:tc>
          <w:tcPr>
            <w:tcW w:w="1098"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28.44</w:t>
            </w:r>
          </w:p>
        </w:tc>
        <w:tc>
          <w:tcPr>
            <w:tcW w:w="157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    </w:t>
            </w:r>
          </w:p>
        </w:tc>
        <w:tc>
          <w:tcPr>
            <w:tcW w:w="121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    </w:t>
            </w:r>
          </w:p>
        </w:tc>
        <w:tc>
          <w:tcPr>
            <w:tcW w:w="169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258,867,018.17</w:t>
            </w:r>
          </w:p>
        </w:tc>
      </w:tr>
      <w:tr w:rsidR="00AA591D" w:rsidRPr="004F6FF3" w:rsidTr="0027505B">
        <w:trPr>
          <w:trHeight w:val="20"/>
        </w:trPr>
        <w:tc>
          <w:tcPr>
            <w:tcW w:w="2361" w:type="dxa"/>
            <w:shd w:val="clear" w:color="auto" w:fill="D9D9D9" w:themeFill="background1" w:themeFillShade="D9"/>
            <w:vAlign w:val="center"/>
          </w:tcPr>
          <w:p w:rsidR="00AA591D" w:rsidRPr="004F6FF3" w:rsidRDefault="00AA591D" w:rsidP="00E456AF">
            <w:pPr>
              <w:snapToGrid/>
              <w:rPr>
                <w:rFonts w:eastAsia="宋体" w:cs="Times New Roman"/>
                <w:sz w:val="18"/>
                <w:szCs w:val="18"/>
              </w:rPr>
            </w:pPr>
            <w:r w:rsidRPr="004F6FF3">
              <w:rPr>
                <w:rFonts w:eastAsia="宋体" w:cs="Times New Roman" w:hint="eastAsia"/>
                <w:sz w:val="18"/>
                <w:szCs w:val="18"/>
              </w:rPr>
              <w:t>合计</w:t>
            </w:r>
          </w:p>
        </w:tc>
        <w:tc>
          <w:tcPr>
            <w:tcW w:w="151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910,357,083.53</w:t>
            </w:r>
          </w:p>
        </w:tc>
        <w:tc>
          <w:tcPr>
            <w:tcW w:w="1098"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100.00</w:t>
            </w:r>
          </w:p>
        </w:tc>
        <w:tc>
          <w:tcPr>
            <w:tcW w:w="157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31,895,774.86</w:t>
            </w:r>
          </w:p>
        </w:tc>
        <w:tc>
          <w:tcPr>
            <w:tcW w:w="1215"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3.50</w:t>
            </w:r>
          </w:p>
        </w:tc>
        <w:tc>
          <w:tcPr>
            <w:tcW w:w="1692" w:type="dxa"/>
            <w:shd w:val="clear" w:color="auto" w:fill="FFFFFF" w:themeFill="background1"/>
            <w:vAlign w:val="center"/>
          </w:tcPr>
          <w:p w:rsidR="00AA591D" w:rsidRPr="004F6FF3" w:rsidRDefault="00AA591D" w:rsidP="00E456AF">
            <w:pPr>
              <w:snapToGrid/>
              <w:jc w:val="right"/>
              <w:rPr>
                <w:rFonts w:eastAsia="宋体" w:cs="Times New Roman"/>
                <w:sz w:val="18"/>
                <w:szCs w:val="18"/>
              </w:rPr>
            </w:pPr>
            <w:r w:rsidRPr="004F6FF3">
              <w:rPr>
                <w:rFonts w:eastAsia="宋体" w:cs="Times New Roman"/>
                <w:sz w:val="18"/>
                <w:szCs w:val="18"/>
              </w:rPr>
              <w:t>878,461,308.67</w:t>
            </w:r>
          </w:p>
        </w:tc>
      </w:tr>
    </w:tbl>
    <w:p w:rsidR="0013251F" w:rsidRDefault="0013251F" w:rsidP="0013251F">
      <w:pPr>
        <w:ind w:left="720"/>
        <w:jc w:val="both"/>
        <w:rPr>
          <w:rFonts w:eastAsia="宋体" w:cs="Times New Roman"/>
          <w:szCs w:val="21"/>
        </w:rPr>
      </w:pPr>
    </w:p>
    <w:p w:rsidR="001713AB" w:rsidRPr="001713AB" w:rsidRDefault="001713AB" w:rsidP="001713AB">
      <w:pPr>
        <w:ind w:left="720"/>
        <w:jc w:val="both"/>
        <w:rPr>
          <w:rFonts w:eastAsia="宋体" w:cs="Times New Roman"/>
          <w:szCs w:val="21"/>
        </w:rPr>
      </w:pPr>
      <w:r w:rsidRPr="001713AB">
        <w:rPr>
          <w:rFonts w:eastAsia="宋体" w:cs="Times New Roman" w:hint="eastAsia"/>
          <w:szCs w:val="21"/>
        </w:rPr>
        <w:t>按单项计提</w:t>
      </w:r>
      <w:r w:rsidR="008B6E0F">
        <w:rPr>
          <w:rFonts w:eastAsia="宋体" w:cs="Times New Roman" w:hint="eastAsia"/>
          <w:szCs w:val="21"/>
        </w:rPr>
        <w:t>坏账</w:t>
      </w:r>
      <w:r w:rsidRPr="001713AB">
        <w:rPr>
          <w:rFonts w:eastAsia="宋体" w:cs="Times New Roman" w:hint="eastAsia"/>
          <w:szCs w:val="21"/>
        </w:rPr>
        <w:t>准备</w:t>
      </w:r>
    </w:p>
    <w:p w:rsidR="001713AB" w:rsidRPr="001713AB" w:rsidRDefault="001713AB" w:rsidP="004E7854">
      <w:pPr>
        <w:ind w:left="720"/>
        <w:jc w:val="right"/>
        <w:rPr>
          <w:rFonts w:eastAsia="宋体" w:cs="Times New Roman"/>
          <w:szCs w:val="21"/>
        </w:rPr>
      </w:pPr>
      <w:r w:rsidRPr="001713AB">
        <w:rPr>
          <w:rFonts w:eastAsia="宋体" w:cs="Times New Roman" w:hint="eastAsia"/>
          <w:szCs w:val="21"/>
        </w:rPr>
        <w:t>单位</w:t>
      </w:r>
      <w:r w:rsidR="005F14EE">
        <w:rPr>
          <w:rFonts w:eastAsia="宋体" w:cs="Times New Roman" w:hint="eastAsia"/>
          <w:szCs w:val="21"/>
        </w:rPr>
        <w:t>：</w:t>
      </w:r>
      <w:r w:rsidRPr="001713AB">
        <w:rPr>
          <w:rFonts w:eastAsia="宋体" w:cs="Times New Roman"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1860"/>
        <w:gridCol w:w="1860"/>
        <w:gridCol w:w="1860"/>
      </w:tblGrid>
      <w:tr w:rsidR="001713AB" w:rsidRPr="001713AB" w:rsidTr="0027505B">
        <w:trPr>
          <w:trHeight w:val="20"/>
        </w:trPr>
        <w:tc>
          <w:tcPr>
            <w:tcW w:w="3870" w:type="dxa"/>
            <w:vMerge w:val="restart"/>
            <w:shd w:val="clear" w:color="auto" w:fill="D9D9D9" w:themeFill="background1" w:themeFillShade="D9"/>
            <w:vAlign w:val="center"/>
          </w:tcPr>
          <w:p w:rsidR="001713AB" w:rsidRPr="001713AB" w:rsidRDefault="001713AB" w:rsidP="001713AB">
            <w:pPr>
              <w:snapToGrid/>
              <w:jc w:val="center"/>
              <w:rPr>
                <w:rFonts w:eastAsia="宋体" w:cs="Times New Roman"/>
                <w:sz w:val="18"/>
                <w:szCs w:val="18"/>
              </w:rPr>
            </w:pPr>
            <w:r w:rsidRPr="001713AB">
              <w:rPr>
                <w:rFonts w:eastAsia="宋体" w:cs="Times New Roman" w:hint="eastAsia"/>
                <w:sz w:val="18"/>
                <w:szCs w:val="18"/>
              </w:rPr>
              <w:t>名称</w:t>
            </w:r>
          </w:p>
        </w:tc>
        <w:tc>
          <w:tcPr>
            <w:tcW w:w="5580" w:type="dxa"/>
            <w:gridSpan w:val="3"/>
            <w:shd w:val="clear" w:color="auto" w:fill="D9D9D9" w:themeFill="background1" w:themeFillShade="D9"/>
            <w:vAlign w:val="center"/>
          </w:tcPr>
          <w:p w:rsidR="001713AB" w:rsidRPr="001713AB" w:rsidRDefault="001713AB" w:rsidP="001713AB">
            <w:pPr>
              <w:snapToGrid/>
              <w:jc w:val="center"/>
              <w:rPr>
                <w:rFonts w:eastAsia="宋体" w:cs="Times New Roman"/>
                <w:sz w:val="18"/>
                <w:szCs w:val="18"/>
              </w:rPr>
            </w:pPr>
            <w:r w:rsidRPr="001713AB">
              <w:rPr>
                <w:rFonts w:eastAsia="宋体" w:cs="Times New Roman" w:hint="eastAsia"/>
                <w:sz w:val="18"/>
                <w:szCs w:val="18"/>
              </w:rPr>
              <w:t>年末余额</w:t>
            </w:r>
          </w:p>
        </w:tc>
      </w:tr>
      <w:tr w:rsidR="001713AB" w:rsidRPr="001713AB" w:rsidTr="0027505B">
        <w:trPr>
          <w:trHeight w:val="20"/>
        </w:trPr>
        <w:tc>
          <w:tcPr>
            <w:tcW w:w="3870" w:type="dxa"/>
            <w:vMerge/>
            <w:shd w:val="clear" w:color="auto" w:fill="D9D9D9" w:themeFill="background1" w:themeFillShade="D9"/>
            <w:vAlign w:val="center"/>
          </w:tcPr>
          <w:p w:rsidR="001713AB" w:rsidRPr="001713AB" w:rsidRDefault="001713AB" w:rsidP="001713AB">
            <w:pPr>
              <w:snapToGrid/>
              <w:jc w:val="center"/>
              <w:rPr>
                <w:rFonts w:eastAsia="宋体" w:cs="Times New Roman"/>
                <w:sz w:val="18"/>
                <w:szCs w:val="18"/>
              </w:rPr>
            </w:pPr>
          </w:p>
        </w:tc>
        <w:tc>
          <w:tcPr>
            <w:tcW w:w="1860" w:type="dxa"/>
            <w:shd w:val="clear" w:color="auto" w:fill="D9D9D9" w:themeFill="background1" w:themeFillShade="D9"/>
            <w:vAlign w:val="center"/>
          </w:tcPr>
          <w:p w:rsidR="001713AB" w:rsidRPr="001713AB" w:rsidRDefault="001713AB" w:rsidP="001713AB">
            <w:pPr>
              <w:snapToGrid/>
              <w:jc w:val="center"/>
              <w:rPr>
                <w:rFonts w:eastAsia="宋体" w:cs="Times New Roman"/>
                <w:sz w:val="18"/>
                <w:szCs w:val="18"/>
              </w:rPr>
            </w:pPr>
            <w:r w:rsidRPr="001713AB">
              <w:rPr>
                <w:rFonts w:eastAsia="宋体" w:cs="Times New Roman" w:hint="eastAsia"/>
                <w:sz w:val="18"/>
                <w:szCs w:val="18"/>
              </w:rPr>
              <w:t>账面余额</w:t>
            </w:r>
          </w:p>
        </w:tc>
        <w:tc>
          <w:tcPr>
            <w:tcW w:w="1860" w:type="dxa"/>
            <w:shd w:val="clear" w:color="auto" w:fill="D9D9D9" w:themeFill="background1" w:themeFillShade="D9"/>
            <w:vAlign w:val="center"/>
          </w:tcPr>
          <w:p w:rsidR="001713AB" w:rsidRPr="001713AB" w:rsidRDefault="00E7394C" w:rsidP="001713AB">
            <w:pPr>
              <w:snapToGrid/>
              <w:jc w:val="center"/>
              <w:rPr>
                <w:rFonts w:eastAsia="宋体" w:cs="Times New Roman"/>
                <w:sz w:val="18"/>
                <w:szCs w:val="18"/>
              </w:rPr>
            </w:pPr>
            <w:r>
              <w:rPr>
                <w:rFonts w:eastAsia="宋体" w:cs="Times New Roman" w:hint="eastAsia"/>
                <w:sz w:val="18"/>
                <w:szCs w:val="18"/>
              </w:rPr>
              <w:t>坏账</w:t>
            </w:r>
            <w:r w:rsidR="001713AB" w:rsidRPr="001713AB">
              <w:rPr>
                <w:rFonts w:eastAsia="宋体" w:cs="Times New Roman" w:hint="eastAsia"/>
                <w:sz w:val="18"/>
                <w:szCs w:val="18"/>
              </w:rPr>
              <w:t>准备</w:t>
            </w:r>
          </w:p>
        </w:tc>
        <w:tc>
          <w:tcPr>
            <w:tcW w:w="1860" w:type="dxa"/>
            <w:shd w:val="clear" w:color="auto" w:fill="D9D9D9" w:themeFill="background1" w:themeFillShade="D9"/>
            <w:vAlign w:val="center"/>
          </w:tcPr>
          <w:p w:rsidR="001713AB" w:rsidRPr="001713AB" w:rsidRDefault="001713AB" w:rsidP="001713AB">
            <w:pPr>
              <w:snapToGrid/>
              <w:jc w:val="center"/>
              <w:rPr>
                <w:rFonts w:eastAsia="宋体" w:cs="Times New Roman"/>
                <w:sz w:val="18"/>
                <w:szCs w:val="18"/>
              </w:rPr>
            </w:pPr>
            <w:r w:rsidRPr="001713AB">
              <w:rPr>
                <w:rFonts w:eastAsia="宋体" w:cs="Times New Roman" w:hint="eastAsia"/>
                <w:sz w:val="18"/>
                <w:szCs w:val="18"/>
              </w:rPr>
              <w:t>计提比例</w:t>
            </w:r>
            <w:r w:rsidR="005F14EE">
              <w:rPr>
                <w:rFonts w:eastAsia="宋体" w:cs="Times New Roman" w:hint="eastAsia"/>
                <w:sz w:val="18"/>
                <w:szCs w:val="18"/>
              </w:rPr>
              <w:t>(</w:t>
            </w:r>
            <w:r w:rsidRPr="001713AB">
              <w:rPr>
                <w:rFonts w:eastAsia="宋体" w:cs="Times New Roman"/>
                <w:sz w:val="18"/>
                <w:szCs w:val="18"/>
              </w:rPr>
              <w:t>%</w:t>
            </w:r>
            <w:r w:rsidR="005F14EE">
              <w:rPr>
                <w:rFonts w:eastAsia="宋体" w:cs="Times New Roman"/>
                <w:sz w:val="18"/>
                <w:szCs w:val="18"/>
              </w:rPr>
              <w:t>)</w:t>
            </w:r>
          </w:p>
        </w:tc>
      </w:tr>
      <w:tr w:rsidR="001713AB" w:rsidRPr="001713AB" w:rsidTr="0027505B">
        <w:trPr>
          <w:trHeight w:val="20"/>
        </w:trPr>
        <w:tc>
          <w:tcPr>
            <w:tcW w:w="3870" w:type="dxa"/>
            <w:shd w:val="clear" w:color="auto" w:fill="FFFFFF" w:themeFill="background1"/>
            <w:vAlign w:val="center"/>
          </w:tcPr>
          <w:p w:rsidR="001713AB" w:rsidRPr="001713AB" w:rsidRDefault="001713AB" w:rsidP="001713AB">
            <w:pPr>
              <w:snapToGrid/>
              <w:rPr>
                <w:rFonts w:eastAsia="宋体" w:cs="Times New Roman"/>
                <w:szCs w:val="21"/>
              </w:rPr>
            </w:pPr>
            <w:r w:rsidRPr="001713AB">
              <w:rPr>
                <w:rFonts w:eastAsia="宋体" w:cs="Times New Roman" w:hint="eastAsia"/>
                <w:sz w:val="18"/>
                <w:szCs w:val="18"/>
              </w:rPr>
              <w:t>宝塔集团及其下属公司</w:t>
            </w:r>
          </w:p>
        </w:tc>
        <w:tc>
          <w:tcPr>
            <w:tcW w:w="1860" w:type="dxa"/>
            <w:shd w:val="clear" w:color="auto" w:fill="FFFFFF" w:themeFill="background1"/>
            <w:vAlign w:val="center"/>
          </w:tcPr>
          <w:p w:rsidR="001713AB" w:rsidRPr="001713AB" w:rsidRDefault="001713AB" w:rsidP="001713AB">
            <w:pPr>
              <w:snapToGrid/>
              <w:jc w:val="right"/>
              <w:rPr>
                <w:rFonts w:eastAsia="宋体" w:cs="Times New Roman"/>
                <w:sz w:val="18"/>
                <w:szCs w:val="18"/>
              </w:rPr>
            </w:pPr>
            <w:r w:rsidRPr="001713AB">
              <w:rPr>
                <w:rFonts w:eastAsia="宋体" w:cs="Times New Roman"/>
                <w:sz w:val="18"/>
                <w:szCs w:val="18"/>
              </w:rPr>
              <w:t>24,282,167.95</w:t>
            </w:r>
          </w:p>
        </w:tc>
        <w:tc>
          <w:tcPr>
            <w:tcW w:w="1860" w:type="dxa"/>
            <w:shd w:val="clear" w:color="auto" w:fill="FFFFFF" w:themeFill="background1"/>
            <w:vAlign w:val="center"/>
          </w:tcPr>
          <w:p w:rsidR="001713AB" w:rsidRPr="001713AB" w:rsidRDefault="001713AB" w:rsidP="001713AB">
            <w:pPr>
              <w:snapToGrid/>
              <w:jc w:val="right"/>
              <w:rPr>
                <w:rFonts w:eastAsia="宋体" w:cs="Times New Roman"/>
                <w:sz w:val="18"/>
                <w:szCs w:val="18"/>
              </w:rPr>
            </w:pPr>
            <w:r w:rsidRPr="001713AB">
              <w:rPr>
                <w:rFonts w:eastAsia="宋体" w:cs="Times New Roman"/>
                <w:sz w:val="18"/>
                <w:szCs w:val="18"/>
              </w:rPr>
              <w:t>24,282,167.95</w:t>
            </w:r>
          </w:p>
        </w:tc>
        <w:tc>
          <w:tcPr>
            <w:tcW w:w="1860" w:type="dxa"/>
            <w:shd w:val="clear" w:color="auto" w:fill="FFFFFF" w:themeFill="background1"/>
            <w:vAlign w:val="center"/>
          </w:tcPr>
          <w:p w:rsidR="001713AB" w:rsidRPr="001713AB" w:rsidRDefault="001713AB" w:rsidP="001713AB">
            <w:pPr>
              <w:snapToGrid/>
              <w:jc w:val="right"/>
              <w:rPr>
                <w:rFonts w:eastAsia="宋体" w:cs="Times New Roman"/>
                <w:sz w:val="18"/>
                <w:szCs w:val="18"/>
              </w:rPr>
            </w:pPr>
            <w:r w:rsidRPr="001713AB">
              <w:rPr>
                <w:rFonts w:eastAsia="宋体" w:cs="Times New Roman"/>
                <w:sz w:val="18"/>
                <w:szCs w:val="18"/>
              </w:rPr>
              <w:t>100.00</w:t>
            </w:r>
          </w:p>
        </w:tc>
      </w:tr>
      <w:tr w:rsidR="001713AB" w:rsidRPr="001713AB" w:rsidTr="0027505B">
        <w:trPr>
          <w:trHeight w:val="20"/>
        </w:trPr>
        <w:tc>
          <w:tcPr>
            <w:tcW w:w="3870" w:type="dxa"/>
            <w:shd w:val="clear" w:color="auto" w:fill="D9D9D9" w:themeFill="background1" w:themeFillShade="D9"/>
            <w:vAlign w:val="center"/>
          </w:tcPr>
          <w:p w:rsidR="001713AB" w:rsidRPr="001713AB" w:rsidRDefault="001713AB" w:rsidP="001713AB">
            <w:pPr>
              <w:snapToGrid/>
              <w:rPr>
                <w:rFonts w:eastAsia="宋体" w:cs="Times New Roman"/>
                <w:sz w:val="18"/>
                <w:szCs w:val="18"/>
              </w:rPr>
            </w:pPr>
            <w:r w:rsidRPr="001713AB">
              <w:rPr>
                <w:rFonts w:eastAsia="宋体" w:cs="Times New Roman" w:hint="eastAsia"/>
                <w:sz w:val="18"/>
                <w:szCs w:val="18"/>
              </w:rPr>
              <w:t>合计</w:t>
            </w:r>
          </w:p>
        </w:tc>
        <w:tc>
          <w:tcPr>
            <w:tcW w:w="1860" w:type="dxa"/>
            <w:shd w:val="clear" w:color="auto" w:fill="FFFFFF" w:themeFill="background1"/>
            <w:vAlign w:val="center"/>
          </w:tcPr>
          <w:p w:rsidR="001713AB" w:rsidRPr="001713AB" w:rsidRDefault="001713AB" w:rsidP="001713AB">
            <w:pPr>
              <w:snapToGrid/>
              <w:jc w:val="right"/>
              <w:rPr>
                <w:rFonts w:eastAsia="宋体" w:cs="Times New Roman"/>
                <w:sz w:val="18"/>
                <w:szCs w:val="18"/>
              </w:rPr>
            </w:pPr>
            <w:r w:rsidRPr="001713AB">
              <w:rPr>
                <w:rFonts w:eastAsia="宋体" w:cs="Times New Roman"/>
                <w:sz w:val="18"/>
                <w:szCs w:val="18"/>
              </w:rPr>
              <w:t>24,282,167.95</w:t>
            </w:r>
          </w:p>
        </w:tc>
        <w:tc>
          <w:tcPr>
            <w:tcW w:w="1860" w:type="dxa"/>
            <w:shd w:val="clear" w:color="auto" w:fill="FFFFFF" w:themeFill="background1"/>
            <w:vAlign w:val="center"/>
          </w:tcPr>
          <w:p w:rsidR="001713AB" w:rsidRPr="001713AB" w:rsidRDefault="001713AB" w:rsidP="001713AB">
            <w:pPr>
              <w:snapToGrid/>
              <w:jc w:val="right"/>
              <w:rPr>
                <w:rFonts w:eastAsia="宋体" w:cs="Times New Roman"/>
                <w:sz w:val="18"/>
                <w:szCs w:val="18"/>
              </w:rPr>
            </w:pPr>
            <w:r w:rsidRPr="001713AB">
              <w:rPr>
                <w:rFonts w:eastAsia="宋体" w:cs="Times New Roman"/>
                <w:sz w:val="18"/>
                <w:szCs w:val="18"/>
              </w:rPr>
              <w:t>24,282,167.95</w:t>
            </w:r>
          </w:p>
        </w:tc>
        <w:tc>
          <w:tcPr>
            <w:tcW w:w="1860" w:type="dxa"/>
            <w:shd w:val="clear" w:color="auto" w:fill="FFFFFF" w:themeFill="background1"/>
            <w:vAlign w:val="center"/>
          </w:tcPr>
          <w:p w:rsidR="001713AB" w:rsidRPr="001713AB" w:rsidRDefault="001713AB" w:rsidP="001713AB">
            <w:pPr>
              <w:snapToGrid/>
              <w:jc w:val="right"/>
              <w:rPr>
                <w:rFonts w:eastAsia="宋体" w:cs="Times New Roman"/>
                <w:sz w:val="18"/>
                <w:szCs w:val="18"/>
              </w:rPr>
            </w:pPr>
            <w:r w:rsidRPr="001713AB">
              <w:rPr>
                <w:rFonts w:eastAsia="宋体" w:cs="Times New Roman"/>
                <w:sz w:val="18"/>
                <w:szCs w:val="18"/>
              </w:rPr>
              <w:t>100.00</w:t>
            </w:r>
          </w:p>
        </w:tc>
      </w:tr>
    </w:tbl>
    <w:p w:rsidR="001713AB" w:rsidRDefault="001713AB" w:rsidP="001713AB">
      <w:pPr>
        <w:ind w:left="720"/>
        <w:jc w:val="both"/>
        <w:rPr>
          <w:rFonts w:eastAsia="宋体" w:cs="Times New Roman"/>
          <w:szCs w:val="21"/>
        </w:rPr>
      </w:pPr>
    </w:p>
    <w:p w:rsidR="002B4602" w:rsidRDefault="002B4602" w:rsidP="001713AB">
      <w:pPr>
        <w:ind w:left="720"/>
        <w:jc w:val="both"/>
        <w:rPr>
          <w:rFonts w:eastAsia="宋体" w:cs="Times New Roman"/>
          <w:szCs w:val="21"/>
        </w:rPr>
      </w:pPr>
      <w:r>
        <w:rPr>
          <w:rFonts w:eastAsia="宋体" w:cs="Times New Roman" w:hint="eastAsia"/>
          <w:szCs w:val="21"/>
        </w:rPr>
        <w:t>按组合计提</w:t>
      </w:r>
      <w:r w:rsidR="005551EF">
        <w:rPr>
          <w:rFonts w:eastAsia="宋体" w:cs="Times New Roman" w:hint="eastAsia"/>
          <w:szCs w:val="21"/>
        </w:rPr>
        <w:t>坏账</w:t>
      </w:r>
      <w:r>
        <w:rPr>
          <w:rFonts w:eastAsia="宋体" w:cs="Times New Roman" w:hint="eastAsia"/>
          <w:szCs w:val="21"/>
        </w:rPr>
        <w:t>准备</w:t>
      </w:r>
    </w:p>
    <w:p w:rsidR="004E7854" w:rsidRPr="00A71D2E" w:rsidRDefault="004E7854" w:rsidP="004E7854">
      <w:pPr>
        <w:ind w:left="72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1860"/>
        <w:gridCol w:w="1860"/>
        <w:gridCol w:w="1860"/>
      </w:tblGrid>
      <w:tr w:rsidR="002B4602" w:rsidRPr="002B4602" w:rsidTr="0027505B">
        <w:trPr>
          <w:trHeight w:val="20"/>
        </w:trPr>
        <w:tc>
          <w:tcPr>
            <w:tcW w:w="3870" w:type="dxa"/>
            <w:vMerge w:val="restart"/>
            <w:shd w:val="clear" w:color="auto" w:fill="D9D9D9" w:themeFill="background1" w:themeFillShade="D9"/>
            <w:vAlign w:val="center"/>
          </w:tcPr>
          <w:p w:rsidR="002B4602" w:rsidRPr="008A02CE" w:rsidRDefault="002B4602">
            <w:pPr>
              <w:snapToGrid/>
              <w:jc w:val="center"/>
              <w:rPr>
                <w:rFonts w:eastAsia="宋体" w:cs="Times New Roman"/>
                <w:sz w:val="18"/>
                <w:szCs w:val="18"/>
              </w:rPr>
            </w:pPr>
            <w:r w:rsidRPr="008A02CE">
              <w:rPr>
                <w:rFonts w:eastAsia="宋体" w:cs="Times New Roman" w:hint="eastAsia"/>
                <w:sz w:val="18"/>
                <w:szCs w:val="18"/>
              </w:rPr>
              <w:t>名称</w:t>
            </w:r>
          </w:p>
        </w:tc>
        <w:tc>
          <w:tcPr>
            <w:tcW w:w="5580" w:type="dxa"/>
            <w:gridSpan w:val="3"/>
            <w:shd w:val="clear" w:color="auto" w:fill="D9D9D9" w:themeFill="background1" w:themeFillShade="D9"/>
            <w:vAlign w:val="center"/>
          </w:tcPr>
          <w:p w:rsidR="002B4602" w:rsidRPr="008A02CE" w:rsidRDefault="002B4602" w:rsidP="0027505B">
            <w:pPr>
              <w:jc w:val="center"/>
              <w:rPr>
                <w:rFonts w:eastAsia="宋体" w:cs="Times New Roman"/>
                <w:sz w:val="18"/>
                <w:szCs w:val="18"/>
              </w:rPr>
            </w:pPr>
            <w:r w:rsidRPr="008A02CE">
              <w:rPr>
                <w:rFonts w:eastAsia="宋体" w:cs="Times New Roman" w:hint="eastAsia"/>
                <w:sz w:val="18"/>
                <w:szCs w:val="18"/>
              </w:rPr>
              <w:t>年末余额</w:t>
            </w:r>
          </w:p>
        </w:tc>
      </w:tr>
      <w:tr w:rsidR="002B4602" w:rsidRPr="002B4602" w:rsidTr="0027505B">
        <w:trPr>
          <w:trHeight w:val="20"/>
        </w:trPr>
        <w:tc>
          <w:tcPr>
            <w:tcW w:w="3870" w:type="dxa"/>
            <w:vMerge/>
            <w:shd w:val="clear" w:color="auto" w:fill="D9D9D9" w:themeFill="background1" w:themeFillShade="D9"/>
            <w:vAlign w:val="center"/>
          </w:tcPr>
          <w:p w:rsidR="002B4602" w:rsidRPr="008A02CE" w:rsidRDefault="002B4602" w:rsidP="0027505B">
            <w:pPr>
              <w:jc w:val="both"/>
              <w:rPr>
                <w:rFonts w:eastAsia="宋体" w:cs="Times New Roman"/>
                <w:sz w:val="18"/>
                <w:szCs w:val="18"/>
              </w:rPr>
            </w:pPr>
          </w:p>
        </w:tc>
        <w:tc>
          <w:tcPr>
            <w:tcW w:w="1860" w:type="dxa"/>
            <w:shd w:val="clear" w:color="auto" w:fill="D9D9D9" w:themeFill="background1" w:themeFillShade="D9"/>
            <w:vAlign w:val="center"/>
          </w:tcPr>
          <w:p w:rsidR="002B4602" w:rsidRPr="008A02CE" w:rsidRDefault="002B4602" w:rsidP="0027505B">
            <w:pPr>
              <w:jc w:val="center"/>
              <w:rPr>
                <w:rFonts w:eastAsia="宋体" w:cs="Times New Roman"/>
                <w:sz w:val="18"/>
                <w:szCs w:val="18"/>
              </w:rPr>
            </w:pPr>
            <w:r w:rsidRPr="008A02CE">
              <w:rPr>
                <w:rFonts w:eastAsia="宋体" w:cs="Times New Roman" w:hint="eastAsia"/>
                <w:sz w:val="18"/>
                <w:szCs w:val="18"/>
              </w:rPr>
              <w:t>账面余额</w:t>
            </w:r>
          </w:p>
        </w:tc>
        <w:tc>
          <w:tcPr>
            <w:tcW w:w="1860" w:type="dxa"/>
            <w:shd w:val="clear" w:color="auto" w:fill="D9D9D9" w:themeFill="background1" w:themeFillShade="D9"/>
            <w:vAlign w:val="center"/>
          </w:tcPr>
          <w:p w:rsidR="002B4602" w:rsidRPr="008A02CE" w:rsidRDefault="005551EF">
            <w:pPr>
              <w:jc w:val="center"/>
              <w:rPr>
                <w:rFonts w:eastAsia="宋体" w:cs="Times New Roman"/>
                <w:sz w:val="18"/>
                <w:szCs w:val="18"/>
              </w:rPr>
            </w:pPr>
            <w:r>
              <w:rPr>
                <w:rFonts w:eastAsia="宋体" w:cs="Times New Roman" w:hint="eastAsia"/>
                <w:sz w:val="18"/>
                <w:szCs w:val="18"/>
              </w:rPr>
              <w:t>坏账</w:t>
            </w:r>
            <w:r w:rsidR="002B4602" w:rsidRPr="008A02CE">
              <w:rPr>
                <w:rFonts w:eastAsia="宋体" w:cs="Times New Roman" w:hint="eastAsia"/>
                <w:sz w:val="18"/>
                <w:szCs w:val="18"/>
              </w:rPr>
              <w:t>准备</w:t>
            </w:r>
          </w:p>
        </w:tc>
        <w:tc>
          <w:tcPr>
            <w:tcW w:w="1860" w:type="dxa"/>
            <w:shd w:val="clear" w:color="auto" w:fill="D9D9D9" w:themeFill="background1" w:themeFillShade="D9"/>
            <w:vAlign w:val="center"/>
          </w:tcPr>
          <w:p w:rsidR="002B4602" w:rsidRPr="008A02CE" w:rsidRDefault="002B4602" w:rsidP="0027505B">
            <w:pPr>
              <w:snapToGrid/>
              <w:jc w:val="center"/>
              <w:rPr>
                <w:rFonts w:eastAsia="宋体" w:cs="Times New Roman"/>
                <w:sz w:val="18"/>
                <w:szCs w:val="18"/>
              </w:rPr>
            </w:pPr>
            <w:r w:rsidRPr="008A02CE">
              <w:rPr>
                <w:rFonts w:eastAsia="宋体" w:cs="Times New Roman" w:hint="eastAsia"/>
                <w:sz w:val="18"/>
                <w:szCs w:val="18"/>
              </w:rPr>
              <w:t>计提比例</w:t>
            </w:r>
            <w:r w:rsidR="005F14EE">
              <w:rPr>
                <w:rFonts w:eastAsia="宋体" w:cs="Times New Roman"/>
                <w:sz w:val="18"/>
                <w:szCs w:val="18"/>
              </w:rPr>
              <w:t>(</w:t>
            </w:r>
            <w:r w:rsidRPr="008A02CE">
              <w:rPr>
                <w:rFonts w:eastAsia="宋体" w:cs="Times New Roman"/>
                <w:sz w:val="18"/>
                <w:szCs w:val="18"/>
              </w:rPr>
              <w:t>%</w:t>
            </w:r>
            <w:r w:rsidR="005F14EE">
              <w:rPr>
                <w:rFonts w:eastAsia="宋体" w:cs="Times New Roman"/>
                <w:sz w:val="18"/>
                <w:szCs w:val="18"/>
              </w:rPr>
              <w:t>)</w:t>
            </w:r>
          </w:p>
        </w:tc>
      </w:tr>
      <w:tr w:rsidR="002B4602" w:rsidRPr="002B4602" w:rsidTr="0027505B">
        <w:trPr>
          <w:trHeight w:val="20"/>
        </w:trPr>
        <w:tc>
          <w:tcPr>
            <w:tcW w:w="3870" w:type="dxa"/>
            <w:shd w:val="clear" w:color="auto" w:fill="FFFFFF" w:themeFill="background1"/>
            <w:vAlign w:val="center"/>
          </w:tcPr>
          <w:p w:rsidR="002B4602" w:rsidRPr="008A02CE" w:rsidRDefault="002B4602" w:rsidP="0027505B">
            <w:pPr>
              <w:snapToGrid/>
              <w:rPr>
                <w:rFonts w:eastAsia="宋体" w:cs="Times New Roman"/>
                <w:sz w:val="18"/>
                <w:szCs w:val="18"/>
              </w:rPr>
            </w:pPr>
            <w:r w:rsidRPr="008A02CE">
              <w:rPr>
                <w:rFonts w:eastAsia="宋体" w:cs="Times New Roman" w:hint="eastAsia"/>
                <w:sz w:val="18"/>
                <w:szCs w:val="18"/>
              </w:rPr>
              <w:t>组合</w:t>
            </w:r>
            <w:r w:rsidRPr="008A02CE">
              <w:rPr>
                <w:rFonts w:eastAsia="宋体" w:cs="Times New Roman"/>
                <w:sz w:val="18"/>
                <w:szCs w:val="18"/>
              </w:rPr>
              <w:t>A</w:t>
            </w:r>
          </w:p>
        </w:tc>
        <w:tc>
          <w:tcPr>
            <w:tcW w:w="1860" w:type="dxa"/>
            <w:shd w:val="clear" w:color="auto" w:fill="FFFFFF" w:themeFill="background1"/>
            <w:vAlign w:val="center"/>
          </w:tcPr>
          <w:p w:rsidR="002B4602" w:rsidRPr="008A02CE" w:rsidRDefault="002B4602">
            <w:pPr>
              <w:snapToGrid/>
              <w:jc w:val="right"/>
              <w:rPr>
                <w:rFonts w:eastAsia="宋体" w:cs="Times New Roman"/>
                <w:sz w:val="18"/>
                <w:szCs w:val="18"/>
              </w:rPr>
            </w:pPr>
            <w:r w:rsidRPr="003E054B">
              <w:rPr>
                <w:rFonts w:eastAsia="宋体" w:cs="Times New Roman"/>
                <w:sz w:val="18"/>
                <w:szCs w:val="18"/>
              </w:rPr>
              <w:t>201,217,770.58</w:t>
            </w:r>
          </w:p>
        </w:tc>
        <w:tc>
          <w:tcPr>
            <w:tcW w:w="1860" w:type="dxa"/>
            <w:shd w:val="clear" w:color="auto" w:fill="FFFFFF" w:themeFill="background1"/>
            <w:vAlign w:val="center"/>
          </w:tcPr>
          <w:p w:rsidR="002B4602" w:rsidRPr="008A02CE" w:rsidRDefault="002B4602">
            <w:pPr>
              <w:snapToGrid/>
              <w:jc w:val="right"/>
              <w:rPr>
                <w:rFonts w:eastAsia="宋体" w:cs="Times New Roman"/>
                <w:sz w:val="18"/>
                <w:szCs w:val="18"/>
              </w:rPr>
            </w:pPr>
            <w:r w:rsidRPr="003E054B">
              <w:rPr>
                <w:rFonts w:eastAsia="宋体" w:cs="Times New Roman"/>
                <w:sz w:val="18"/>
                <w:szCs w:val="18"/>
              </w:rPr>
              <w:t>2,136,917.16</w:t>
            </w:r>
          </w:p>
        </w:tc>
        <w:tc>
          <w:tcPr>
            <w:tcW w:w="1860" w:type="dxa"/>
            <w:shd w:val="clear" w:color="auto" w:fill="FFFFFF" w:themeFill="background1"/>
            <w:vAlign w:val="center"/>
          </w:tcPr>
          <w:p w:rsidR="002B4602" w:rsidRPr="008A02CE" w:rsidRDefault="002B4602">
            <w:pPr>
              <w:snapToGrid/>
              <w:jc w:val="right"/>
              <w:rPr>
                <w:rFonts w:eastAsia="宋体" w:cs="Times New Roman"/>
                <w:sz w:val="18"/>
                <w:szCs w:val="18"/>
              </w:rPr>
            </w:pPr>
            <w:r w:rsidRPr="003E054B">
              <w:rPr>
                <w:rFonts w:eastAsia="宋体" w:cs="Times New Roman"/>
                <w:sz w:val="18"/>
                <w:szCs w:val="18"/>
              </w:rPr>
              <w:t>1.06</w:t>
            </w:r>
          </w:p>
        </w:tc>
      </w:tr>
      <w:tr w:rsidR="002B4602" w:rsidRPr="002B4602" w:rsidTr="0027505B">
        <w:trPr>
          <w:trHeight w:val="20"/>
        </w:trPr>
        <w:tc>
          <w:tcPr>
            <w:tcW w:w="3870" w:type="dxa"/>
            <w:shd w:val="clear" w:color="auto" w:fill="FFFFFF" w:themeFill="background1"/>
            <w:vAlign w:val="center"/>
          </w:tcPr>
          <w:p w:rsidR="002B4602" w:rsidRPr="008A02CE" w:rsidRDefault="002B4602" w:rsidP="0027505B">
            <w:pPr>
              <w:snapToGrid/>
              <w:rPr>
                <w:rFonts w:eastAsia="宋体" w:cs="Times New Roman"/>
                <w:sz w:val="18"/>
                <w:szCs w:val="18"/>
              </w:rPr>
            </w:pPr>
            <w:r w:rsidRPr="008A02CE">
              <w:rPr>
                <w:rFonts w:eastAsia="宋体" w:cs="Times New Roman" w:hint="eastAsia"/>
                <w:sz w:val="18"/>
                <w:szCs w:val="18"/>
              </w:rPr>
              <w:t>组合</w:t>
            </w:r>
            <w:r w:rsidRPr="008A02CE">
              <w:rPr>
                <w:rFonts w:eastAsia="宋体" w:cs="Times New Roman"/>
                <w:sz w:val="18"/>
                <w:szCs w:val="18"/>
              </w:rPr>
              <w:t>B</w:t>
            </w:r>
          </w:p>
        </w:tc>
        <w:tc>
          <w:tcPr>
            <w:tcW w:w="1860" w:type="dxa"/>
            <w:shd w:val="clear" w:color="auto" w:fill="FFFFFF" w:themeFill="background1"/>
            <w:vAlign w:val="center"/>
          </w:tcPr>
          <w:p w:rsidR="002B4602" w:rsidRPr="008A02CE" w:rsidRDefault="002B4602">
            <w:pPr>
              <w:snapToGrid/>
              <w:jc w:val="right"/>
              <w:rPr>
                <w:rFonts w:eastAsia="宋体" w:cs="Times New Roman"/>
                <w:sz w:val="18"/>
                <w:szCs w:val="18"/>
              </w:rPr>
            </w:pPr>
            <w:r w:rsidRPr="003E054B">
              <w:rPr>
                <w:rFonts w:eastAsia="宋体" w:cs="Times New Roman"/>
                <w:sz w:val="18"/>
                <w:szCs w:val="18"/>
              </w:rPr>
              <w:t>203,413,236.85</w:t>
            </w:r>
          </w:p>
        </w:tc>
        <w:tc>
          <w:tcPr>
            <w:tcW w:w="1860" w:type="dxa"/>
            <w:shd w:val="clear" w:color="auto" w:fill="FFFFFF" w:themeFill="background1"/>
            <w:vAlign w:val="center"/>
          </w:tcPr>
          <w:p w:rsidR="002B4602" w:rsidRPr="008A02CE" w:rsidRDefault="002B4602">
            <w:pPr>
              <w:snapToGrid/>
              <w:jc w:val="right"/>
              <w:rPr>
                <w:rFonts w:eastAsia="宋体" w:cs="Times New Roman"/>
                <w:sz w:val="18"/>
                <w:szCs w:val="18"/>
              </w:rPr>
            </w:pPr>
            <w:r w:rsidRPr="003E054B">
              <w:rPr>
                <w:rFonts w:eastAsia="宋体" w:cs="Times New Roman"/>
                <w:sz w:val="18"/>
                <w:szCs w:val="18"/>
              </w:rPr>
              <w:t>1,637,324.43</w:t>
            </w:r>
          </w:p>
        </w:tc>
        <w:tc>
          <w:tcPr>
            <w:tcW w:w="1860" w:type="dxa"/>
            <w:shd w:val="clear" w:color="auto" w:fill="FFFFFF" w:themeFill="background1"/>
            <w:vAlign w:val="center"/>
          </w:tcPr>
          <w:p w:rsidR="002B4602" w:rsidRPr="008A02CE" w:rsidRDefault="002B4602">
            <w:pPr>
              <w:snapToGrid/>
              <w:jc w:val="right"/>
              <w:rPr>
                <w:rFonts w:eastAsia="宋体" w:cs="Times New Roman"/>
                <w:sz w:val="18"/>
                <w:szCs w:val="18"/>
              </w:rPr>
            </w:pPr>
            <w:r w:rsidRPr="003E054B">
              <w:rPr>
                <w:rFonts w:eastAsia="宋体" w:cs="Times New Roman"/>
                <w:sz w:val="18"/>
                <w:szCs w:val="18"/>
              </w:rPr>
              <w:t>0.80</w:t>
            </w:r>
          </w:p>
        </w:tc>
      </w:tr>
      <w:tr w:rsidR="002B4602" w:rsidRPr="002B4602" w:rsidTr="0027505B">
        <w:trPr>
          <w:trHeight w:val="20"/>
        </w:trPr>
        <w:tc>
          <w:tcPr>
            <w:tcW w:w="3870" w:type="dxa"/>
            <w:shd w:val="clear" w:color="auto" w:fill="FFFFFF" w:themeFill="background1"/>
            <w:vAlign w:val="center"/>
          </w:tcPr>
          <w:p w:rsidR="002B4602" w:rsidRPr="008A02CE" w:rsidRDefault="002B4602" w:rsidP="0027505B">
            <w:pPr>
              <w:snapToGrid/>
              <w:rPr>
                <w:rFonts w:eastAsia="宋体" w:cs="Times New Roman"/>
                <w:sz w:val="18"/>
                <w:szCs w:val="18"/>
              </w:rPr>
            </w:pPr>
            <w:r w:rsidRPr="008A02CE">
              <w:rPr>
                <w:rFonts w:eastAsia="宋体" w:cs="Times New Roman" w:hint="eastAsia"/>
                <w:sz w:val="18"/>
                <w:szCs w:val="18"/>
              </w:rPr>
              <w:t>组合</w:t>
            </w:r>
            <w:r w:rsidRPr="008A02CE">
              <w:rPr>
                <w:rFonts w:eastAsia="宋体" w:cs="Times New Roman"/>
                <w:sz w:val="18"/>
                <w:szCs w:val="18"/>
              </w:rPr>
              <w:t>C</w:t>
            </w:r>
          </w:p>
        </w:tc>
        <w:tc>
          <w:tcPr>
            <w:tcW w:w="1860" w:type="dxa"/>
            <w:shd w:val="clear" w:color="auto" w:fill="FFFFFF" w:themeFill="background1"/>
            <w:vAlign w:val="center"/>
          </w:tcPr>
          <w:p w:rsidR="002B4602" w:rsidRPr="00FF4A2E" w:rsidRDefault="002B4602">
            <w:pPr>
              <w:snapToGrid/>
              <w:jc w:val="right"/>
              <w:rPr>
                <w:rFonts w:eastAsia="宋体" w:cs="Times New Roman"/>
                <w:sz w:val="18"/>
                <w:szCs w:val="18"/>
              </w:rPr>
            </w:pPr>
            <w:r w:rsidRPr="003E054B">
              <w:rPr>
                <w:rFonts w:eastAsia="宋体" w:cs="Times New Roman"/>
                <w:sz w:val="18"/>
                <w:szCs w:val="18"/>
              </w:rPr>
              <w:t>378,521,578.83</w:t>
            </w:r>
          </w:p>
        </w:tc>
        <w:tc>
          <w:tcPr>
            <w:tcW w:w="1860" w:type="dxa"/>
            <w:shd w:val="clear" w:color="auto" w:fill="FFFFFF" w:themeFill="background1"/>
            <w:vAlign w:val="center"/>
          </w:tcPr>
          <w:p w:rsidR="002B4602" w:rsidRPr="00FF4A2E" w:rsidRDefault="002B4602">
            <w:pPr>
              <w:snapToGrid/>
              <w:jc w:val="right"/>
              <w:rPr>
                <w:rFonts w:eastAsia="宋体" w:cs="Times New Roman"/>
                <w:sz w:val="18"/>
                <w:szCs w:val="18"/>
              </w:rPr>
            </w:pPr>
            <w:r w:rsidRPr="003E054B">
              <w:rPr>
                <w:rFonts w:eastAsia="宋体" w:cs="Times New Roman"/>
                <w:sz w:val="18"/>
                <w:szCs w:val="18"/>
              </w:rPr>
              <w:t>6,855,242.03</w:t>
            </w:r>
          </w:p>
        </w:tc>
        <w:tc>
          <w:tcPr>
            <w:tcW w:w="1860" w:type="dxa"/>
            <w:shd w:val="clear" w:color="auto" w:fill="FFFFFF" w:themeFill="background1"/>
            <w:vAlign w:val="center"/>
          </w:tcPr>
          <w:p w:rsidR="002B4602" w:rsidRPr="00FF4A2E" w:rsidRDefault="002B4602">
            <w:pPr>
              <w:snapToGrid/>
              <w:jc w:val="right"/>
              <w:rPr>
                <w:rFonts w:eastAsia="宋体" w:cs="Times New Roman"/>
                <w:sz w:val="18"/>
                <w:szCs w:val="18"/>
              </w:rPr>
            </w:pPr>
            <w:r w:rsidRPr="003E054B">
              <w:rPr>
                <w:rFonts w:eastAsia="宋体" w:cs="Times New Roman"/>
                <w:sz w:val="18"/>
                <w:szCs w:val="18"/>
              </w:rPr>
              <w:t>1.81</w:t>
            </w:r>
          </w:p>
        </w:tc>
      </w:tr>
      <w:tr w:rsidR="002B4602" w:rsidRPr="002B4602" w:rsidTr="0027505B">
        <w:trPr>
          <w:trHeight w:val="20"/>
        </w:trPr>
        <w:tc>
          <w:tcPr>
            <w:tcW w:w="3870" w:type="dxa"/>
            <w:shd w:val="clear" w:color="auto" w:fill="FFFFFF" w:themeFill="background1"/>
            <w:vAlign w:val="center"/>
          </w:tcPr>
          <w:p w:rsidR="002B4602" w:rsidRPr="002B4602" w:rsidRDefault="002B4602" w:rsidP="0027505B">
            <w:pPr>
              <w:snapToGrid/>
              <w:rPr>
                <w:rFonts w:eastAsia="宋体" w:cs="Times New Roman"/>
                <w:sz w:val="18"/>
                <w:szCs w:val="18"/>
              </w:rPr>
            </w:pPr>
            <w:r w:rsidRPr="002B4602">
              <w:rPr>
                <w:rFonts w:eastAsia="宋体" w:cs="Times New Roman" w:hint="eastAsia"/>
                <w:sz w:val="18"/>
                <w:szCs w:val="18"/>
              </w:rPr>
              <w:t>集团内关联方</w:t>
            </w:r>
          </w:p>
        </w:tc>
        <w:tc>
          <w:tcPr>
            <w:tcW w:w="1860" w:type="dxa"/>
            <w:shd w:val="clear" w:color="auto" w:fill="FFFFFF" w:themeFill="background1"/>
            <w:vAlign w:val="center"/>
          </w:tcPr>
          <w:p w:rsidR="002B4602" w:rsidRPr="003E054B" w:rsidRDefault="002B4602">
            <w:pPr>
              <w:snapToGrid/>
              <w:jc w:val="right"/>
              <w:rPr>
                <w:rFonts w:eastAsia="宋体" w:cs="Times New Roman"/>
                <w:sz w:val="18"/>
                <w:szCs w:val="18"/>
              </w:rPr>
            </w:pPr>
            <w:r w:rsidRPr="002B4602">
              <w:rPr>
                <w:rFonts w:eastAsia="宋体" w:cs="Times New Roman"/>
                <w:sz w:val="18"/>
                <w:szCs w:val="18"/>
              </w:rPr>
              <w:t>204,602,372.31</w:t>
            </w:r>
          </w:p>
        </w:tc>
        <w:tc>
          <w:tcPr>
            <w:tcW w:w="1860" w:type="dxa"/>
            <w:shd w:val="clear" w:color="auto" w:fill="FFFFFF" w:themeFill="background1"/>
            <w:vAlign w:val="center"/>
          </w:tcPr>
          <w:p w:rsidR="002B4602" w:rsidRPr="002B4602" w:rsidRDefault="002B4602">
            <w:pPr>
              <w:snapToGrid/>
              <w:jc w:val="right"/>
              <w:rPr>
                <w:rFonts w:eastAsia="宋体" w:cs="Times New Roman"/>
                <w:sz w:val="18"/>
                <w:szCs w:val="18"/>
              </w:rPr>
            </w:pPr>
            <w:r w:rsidRPr="003E054B">
              <w:rPr>
                <w:rFonts w:eastAsia="宋体" w:cs="Times New Roman"/>
                <w:sz w:val="18"/>
                <w:szCs w:val="18"/>
              </w:rPr>
              <w:t>-</w:t>
            </w:r>
            <w:r>
              <w:rPr>
                <w:rFonts w:eastAsia="宋体" w:cs="Times New Roman"/>
                <w:sz w:val="18"/>
                <w:szCs w:val="18"/>
              </w:rPr>
              <w:t>    </w:t>
            </w:r>
          </w:p>
        </w:tc>
        <w:tc>
          <w:tcPr>
            <w:tcW w:w="1860" w:type="dxa"/>
            <w:shd w:val="clear" w:color="auto" w:fill="FFFFFF" w:themeFill="background1"/>
            <w:vAlign w:val="center"/>
          </w:tcPr>
          <w:p w:rsidR="002B4602" w:rsidRPr="002B4602" w:rsidRDefault="002B4602">
            <w:pPr>
              <w:snapToGrid/>
              <w:jc w:val="right"/>
              <w:rPr>
                <w:rFonts w:eastAsia="宋体" w:cs="Times New Roman"/>
                <w:sz w:val="18"/>
                <w:szCs w:val="18"/>
              </w:rPr>
            </w:pPr>
            <w:r w:rsidRPr="003E054B">
              <w:rPr>
                <w:rFonts w:eastAsia="宋体" w:cs="Times New Roman"/>
                <w:sz w:val="18"/>
                <w:szCs w:val="18"/>
              </w:rPr>
              <w:t>-    </w:t>
            </w:r>
          </w:p>
        </w:tc>
      </w:tr>
      <w:tr w:rsidR="002B4602" w:rsidRPr="002B4602" w:rsidTr="0027505B">
        <w:trPr>
          <w:trHeight w:val="20"/>
        </w:trPr>
        <w:tc>
          <w:tcPr>
            <w:tcW w:w="3870" w:type="dxa"/>
            <w:shd w:val="clear" w:color="auto" w:fill="D9D9D9" w:themeFill="background1" w:themeFillShade="D9"/>
            <w:vAlign w:val="center"/>
          </w:tcPr>
          <w:p w:rsidR="002B4602" w:rsidRPr="00FF4A2E" w:rsidRDefault="002B4602" w:rsidP="0027505B">
            <w:pPr>
              <w:snapToGrid/>
              <w:rPr>
                <w:rFonts w:eastAsia="宋体" w:cs="Times New Roman"/>
                <w:sz w:val="18"/>
                <w:szCs w:val="18"/>
              </w:rPr>
            </w:pPr>
            <w:r w:rsidRPr="00FF4A2E">
              <w:rPr>
                <w:rFonts w:eastAsia="宋体" w:cs="Times New Roman" w:hint="eastAsia"/>
                <w:sz w:val="18"/>
                <w:szCs w:val="18"/>
              </w:rPr>
              <w:t>合计</w:t>
            </w:r>
          </w:p>
        </w:tc>
        <w:tc>
          <w:tcPr>
            <w:tcW w:w="1860" w:type="dxa"/>
            <w:shd w:val="clear" w:color="auto" w:fill="FFFFFF" w:themeFill="background1"/>
            <w:vAlign w:val="center"/>
          </w:tcPr>
          <w:p w:rsidR="002B4602" w:rsidRPr="00FF4A2E" w:rsidRDefault="002B4602">
            <w:pPr>
              <w:snapToGrid/>
              <w:jc w:val="right"/>
              <w:rPr>
                <w:rFonts w:eastAsia="宋体" w:cs="Times New Roman"/>
                <w:sz w:val="18"/>
                <w:szCs w:val="18"/>
              </w:rPr>
            </w:pPr>
            <w:r w:rsidRPr="002B4602">
              <w:rPr>
                <w:rFonts w:eastAsia="宋体" w:cs="Times New Roman"/>
                <w:sz w:val="18"/>
                <w:szCs w:val="18"/>
              </w:rPr>
              <w:t>987,754,958.57</w:t>
            </w:r>
          </w:p>
        </w:tc>
        <w:tc>
          <w:tcPr>
            <w:tcW w:w="1860" w:type="dxa"/>
            <w:shd w:val="clear" w:color="auto" w:fill="FFFFFF" w:themeFill="background1"/>
            <w:vAlign w:val="center"/>
          </w:tcPr>
          <w:p w:rsidR="002B4602" w:rsidRPr="00FF4A2E" w:rsidRDefault="002B4602">
            <w:pPr>
              <w:snapToGrid/>
              <w:jc w:val="right"/>
              <w:rPr>
                <w:rFonts w:eastAsia="宋体" w:cs="Times New Roman"/>
                <w:sz w:val="18"/>
                <w:szCs w:val="18"/>
              </w:rPr>
            </w:pPr>
            <w:r w:rsidRPr="002B4602">
              <w:rPr>
                <w:rFonts w:eastAsia="宋体" w:cs="Times New Roman"/>
                <w:sz w:val="18"/>
                <w:szCs w:val="18"/>
              </w:rPr>
              <w:t>10,629,483.62</w:t>
            </w:r>
          </w:p>
        </w:tc>
        <w:tc>
          <w:tcPr>
            <w:tcW w:w="1860" w:type="dxa"/>
            <w:shd w:val="clear" w:color="auto" w:fill="FFFFFF" w:themeFill="background1"/>
            <w:vAlign w:val="center"/>
          </w:tcPr>
          <w:p w:rsidR="002B4602" w:rsidRPr="00FF4A2E" w:rsidRDefault="002B4602">
            <w:pPr>
              <w:snapToGrid/>
              <w:jc w:val="right"/>
              <w:rPr>
                <w:rFonts w:eastAsia="宋体" w:cs="Times New Roman"/>
                <w:sz w:val="18"/>
                <w:szCs w:val="18"/>
              </w:rPr>
            </w:pPr>
            <w:r w:rsidRPr="002B4602">
              <w:rPr>
                <w:rFonts w:eastAsia="宋体" w:cs="Times New Roman"/>
                <w:sz w:val="18"/>
                <w:szCs w:val="18"/>
              </w:rPr>
              <w:t>1.08</w:t>
            </w:r>
          </w:p>
        </w:tc>
      </w:tr>
    </w:tbl>
    <w:p w:rsidR="001A2BA0" w:rsidRPr="00E40B9C" w:rsidRDefault="001A2BA0" w:rsidP="00F66363">
      <w:pPr>
        <w:ind w:left="720"/>
        <w:jc w:val="both"/>
        <w:rPr>
          <w:rFonts w:eastAsia="宋体" w:cs="Times New Roman"/>
          <w:szCs w:val="21"/>
        </w:rPr>
      </w:pPr>
    </w:p>
    <w:p w:rsidR="00753B8C" w:rsidRPr="00A71D2E" w:rsidRDefault="00753B8C" w:rsidP="00F66363">
      <w:pPr>
        <w:ind w:left="720"/>
        <w:jc w:val="both"/>
        <w:rPr>
          <w:rFonts w:eastAsia="宋体" w:cs="Times New Roman"/>
          <w:szCs w:val="21"/>
        </w:rPr>
      </w:pPr>
      <w:r w:rsidRPr="00A71D2E">
        <w:rPr>
          <w:rFonts w:eastAsia="宋体" w:cs="Times New Roman" w:hint="eastAsia"/>
          <w:szCs w:val="21"/>
        </w:rPr>
        <w:t>组合</w:t>
      </w:r>
      <w:r w:rsidR="0000763F">
        <w:rPr>
          <w:rFonts w:eastAsia="宋体" w:cs="Times New Roman" w:hint="eastAsia"/>
          <w:szCs w:val="21"/>
        </w:rPr>
        <w:t>A</w:t>
      </w:r>
      <w:r w:rsidRPr="00A71D2E">
        <w:rPr>
          <w:rFonts w:eastAsia="宋体" w:cs="Times New Roman" w:hint="eastAsia"/>
          <w:szCs w:val="21"/>
        </w:rPr>
        <w:t>的应收账款的信用风险与</w:t>
      </w:r>
      <w:r w:rsidR="00B04AF4">
        <w:rPr>
          <w:rFonts w:eastAsia="宋体" w:cs="Times New Roman" w:hint="eastAsia"/>
          <w:szCs w:val="21"/>
        </w:rPr>
        <w:t>坏账</w:t>
      </w:r>
      <w:r w:rsidRPr="00A71D2E">
        <w:rPr>
          <w:rFonts w:eastAsia="宋体" w:cs="Times New Roman" w:hint="eastAsia"/>
          <w:szCs w:val="21"/>
        </w:rPr>
        <w:t>准备情况如下</w:t>
      </w:r>
      <w:r w:rsidR="005F14EE">
        <w:rPr>
          <w:rFonts w:eastAsia="宋体" w:cs="Times New Roman" w:hint="eastAsia"/>
          <w:szCs w:val="21"/>
        </w:rPr>
        <w:t>：</w:t>
      </w:r>
    </w:p>
    <w:p w:rsidR="00753B8C" w:rsidRDefault="00753B8C" w:rsidP="00F66363">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25"/>
        <w:gridCol w:w="1856"/>
        <w:gridCol w:w="1856"/>
        <w:gridCol w:w="1856"/>
        <w:gridCol w:w="1857"/>
      </w:tblGrid>
      <w:tr w:rsidR="004A1379" w:rsidRPr="00A71D2E" w:rsidTr="0027505B">
        <w:trPr>
          <w:trHeight w:val="20"/>
        </w:trPr>
        <w:tc>
          <w:tcPr>
            <w:tcW w:w="2025" w:type="dxa"/>
            <w:vMerge w:val="restart"/>
            <w:shd w:val="clear" w:color="auto" w:fill="D9D9D9" w:themeFill="background1" w:themeFillShade="D9"/>
            <w:tcMar>
              <w:top w:w="0" w:type="dxa"/>
              <w:left w:w="108" w:type="dxa"/>
              <w:bottom w:w="0" w:type="dxa"/>
              <w:right w:w="108" w:type="dxa"/>
            </w:tcMar>
            <w:vAlign w:val="center"/>
            <w:hideMark/>
          </w:tcPr>
          <w:p w:rsidR="004A1379" w:rsidRPr="00A71D2E" w:rsidRDefault="004A1379" w:rsidP="00E456AF">
            <w:pPr>
              <w:jc w:val="center"/>
              <w:rPr>
                <w:rFonts w:eastAsia="宋体" w:cs="Times New Roman"/>
                <w:sz w:val="18"/>
                <w:szCs w:val="18"/>
              </w:rPr>
            </w:pPr>
            <w:r w:rsidRPr="00A71D2E">
              <w:rPr>
                <w:rFonts w:eastAsia="宋体" w:cs="Times New Roman" w:hint="eastAsia"/>
                <w:sz w:val="18"/>
                <w:szCs w:val="18"/>
              </w:rPr>
              <w:t>账龄</w:t>
            </w:r>
          </w:p>
        </w:tc>
        <w:tc>
          <w:tcPr>
            <w:tcW w:w="7425" w:type="dxa"/>
            <w:gridSpan w:val="4"/>
            <w:shd w:val="clear" w:color="auto" w:fill="D9D9D9" w:themeFill="background1" w:themeFillShade="D9"/>
            <w:vAlign w:val="center"/>
          </w:tcPr>
          <w:p w:rsidR="004A1379" w:rsidRPr="00A71D2E" w:rsidRDefault="004A1379" w:rsidP="00E456AF">
            <w:pPr>
              <w:ind w:left="31" w:right="93"/>
              <w:jc w:val="center"/>
              <w:rPr>
                <w:rFonts w:eastAsia="宋体" w:cs="Times New Roman"/>
                <w:sz w:val="18"/>
                <w:szCs w:val="18"/>
              </w:rPr>
            </w:pPr>
            <w:r w:rsidRPr="00A71D2E">
              <w:rPr>
                <w:rFonts w:eastAsia="宋体" w:cs="Times New Roman" w:hint="eastAsia"/>
                <w:sz w:val="18"/>
                <w:szCs w:val="18"/>
              </w:rPr>
              <w:t>年末余额</w:t>
            </w:r>
          </w:p>
        </w:tc>
      </w:tr>
      <w:tr w:rsidR="004A1379" w:rsidRPr="00A71D2E" w:rsidTr="0027505B">
        <w:trPr>
          <w:trHeight w:val="20"/>
        </w:trPr>
        <w:tc>
          <w:tcPr>
            <w:tcW w:w="2025" w:type="dxa"/>
            <w:vMerge/>
            <w:shd w:val="clear" w:color="auto" w:fill="D9D9D9" w:themeFill="background1" w:themeFillShade="D9"/>
            <w:tcMar>
              <w:top w:w="0" w:type="dxa"/>
              <w:left w:w="108" w:type="dxa"/>
              <w:bottom w:w="0" w:type="dxa"/>
              <w:right w:w="108" w:type="dxa"/>
            </w:tcMar>
            <w:vAlign w:val="center"/>
            <w:hideMark/>
          </w:tcPr>
          <w:p w:rsidR="004A1379" w:rsidRPr="00A71D2E" w:rsidRDefault="004A1379" w:rsidP="00E456AF">
            <w:pPr>
              <w:jc w:val="center"/>
              <w:rPr>
                <w:rFonts w:eastAsia="宋体" w:cs="Times New Roman"/>
                <w:sz w:val="18"/>
                <w:szCs w:val="18"/>
              </w:rPr>
            </w:pPr>
          </w:p>
        </w:tc>
        <w:tc>
          <w:tcPr>
            <w:tcW w:w="1856" w:type="dxa"/>
            <w:shd w:val="clear" w:color="auto" w:fill="D9D9D9" w:themeFill="background1" w:themeFillShade="D9"/>
            <w:vAlign w:val="center"/>
          </w:tcPr>
          <w:p w:rsidR="004A1379" w:rsidRDefault="004A1379" w:rsidP="00E456AF">
            <w:pPr>
              <w:ind w:left="49" w:right="90"/>
              <w:jc w:val="center"/>
              <w:rPr>
                <w:rFonts w:eastAsia="宋体" w:cs="Times New Roman"/>
                <w:sz w:val="18"/>
                <w:szCs w:val="18"/>
              </w:rPr>
            </w:pPr>
            <w:r>
              <w:rPr>
                <w:rFonts w:eastAsia="宋体" w:cs="Times New Roman" w:hint="eastAsia"/>
                <w:sz w:val="18"/>
                <w:szCs w:val="18"/>
              </w:rPr>
              <w:t>预期平均损失率</w:t>
            </w:r>
          </w:p>
          <w:p w:rsidR="004A1379" w:rsidRPr="00A71D2E" w:rsidRDefault="005F14EE" w:rsidP="00E456AF">
            <w:pPr>
              <w:ind w:left="49" w:right="90"/>
              <w:jc w:val="center"/>
              <w:rPr>
                <w:rFonts w:eastAsia="宋体" w:cs="Times New Roman"/>
                <w:sz w:val="18"/>
                <w:szCs w:val="18"/>
              </w:rPr>
            </w:pPr>
            <w:r>
              <w:rPr>
                <w:rFonts w:eastAsia="宋体" w:cs="Times New Roman" w:hint="eastAsia"/>
                <w:sz w:val="18"/>
                <w:szCs w:val="18"/>
              </w:rPr>
              <w:t>(</w:t>
            </w:r>
            <w:r w:rsidR="004A1379">
              <w:rPr>
                <w:rFonts w:eastAsia="宋体" w:cs="Times New Roman"/>
                <w:sz w:val="18"/>
                <w:szCs w:val="18"/>
              </w:rPr>
              <w:t>%</w:t>
            </w:r>
            <w:r>
              <w:rPr>
                <w:rFonts w:eastAsia="宋体" w:cs="Times New Roman"/>
                <w:sz w:val="18"/>
                <w:szCs w:val="18"/>
              </w:rPr>
              <w:t>)</w:t>
            </w:r>
          </w:p>
        </w:tc>
        <w:tc>
          <w:tcPr>
            <w:tcW w:w="1856" w:type="dxa"/>
            <w:shd w:val="clear" w:color="auto" w:fill="D9D9D9"/>
            <w:vAlign w:val="center"/>
          </w:tcPr>
          <w:p w:rsidR="004A1379" w:rsidRDefault="004A1379" w:rsidP="00E456AF">
            <w:pPr>
              <w:ind w:left="49" w:right="90"/>
              <w:jc w:val="center"/>
              <w:rPr>
                <w:rFonts w:eastAsia="宋体" w:cs="Times New Roman"/>
                <w:sz w:val="18"/>
                <w:szCs w:val="18"/>
              </w:rPr>
            </w:pPr>
            <w:r>
              <w:rPr>
                <w:rFonts w:eastAsia="宋体" w:cs="Times New Roman" w:hint="eastAsia"/>
                <w:sz w:val="18"/>
                <w:szCs w:val="18"/>
              </w:rPr>
              <w:t>账面余额</w:t>
            </w:r>
          </w:p>
        </w:tc>
        <w:tc>
          <w:tcPr>
            <w:tcW w:w="1856" w:type="dxa"/>
            <w:shd w:val="clear" w:color="auto" w:fill="D9D9D9"/>
            <w:vAlign w:val="center"/>
          </w:tcPr>
          <w:p w:rsidR="004A1379" w:rsidRPr="00A71D2E" w:rsidRDefault="004A1379" w:rsidP="00E456AF">
            <w:pPr>
              <w:ind w:left="49" w:right="90"/>
              <w:jc w:val="center"/>
              <w:rPr>
                <w:rFonts w:eastAsia="宋体" w:cs="Times New Roman"/>
                <w:sz w:val="18"/>
                <w:szCs w:val="18"/>
              </w:rPr>
            </w:pPr>
            <w:r>
              <w:rPr>
                <w:rFonts w:eastAsia="宋体" w:cs="Times New Roman" w:hint="eastAsia"/>
                <w:sz w:val="18"/>
                <w:szCs w:val="18"/>
              </w:rPr>
              <w:t>坏账准备</w:t>
            </w:r>
          </w:p>
        </w:tc>
        <w:tc>
          <w:tcPr>
            <w:tcW w:w="1857" w:type="dxa"/>
            <w:shd w:val="clear" w:color="auto" w:fill="D9D9D9" w:themeFill="background1" w:themeFillShade="D9"/>
            <w:vAlign w:val="center"/>
          </w:tcPr>
          <w:p w:rsidR="004A1379" w:rsidRPr="00A71D2E" w:rsidRDefault="004A1379" w:rsidP="00E456AF">
            <w:pPr>
              <w:ind w:left="49" w:right="90"/>
              <w:jc w:val="center"/>
              <w:rPr>
                <w:rFonts w:eastAsia="宋体" w:cs="Times New Roman"/>
                <w:sz w:val="18"/>
                <w:szCs w:val="18"/>
              </w:rPr>
            </w:pPr>
            <w:r>
              <w:rPr>
                <w:rFonts w:eastAsia="宋体" w:cs="Times New Roman"/>
                <w:sz w:val="18"/>
                <w:szCs w:val="18"/>
              </w:rPr>
              <w:t>账面价值</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hideMark/>
          </w:tcPr>
          <w:p w:rsidR="004A1379" w:rsidRPr="00A71D2E" w:rsidRDefault="004A1379" w:rsidP="004A1379">
            <w:pPr>
              <w:ind w:left="-18" w:right="87"/>
              <w:rPr>
                <w:rFonts w:eastAsia="宋体" w:cs="Times New Roman"/>
                <w:sz w:val="18"/>
                <w:szCs w:val="18"/>
              </w:rPr>
            </w:pPr>
            <w:r w:rsidRPr="00A71D2E">
              <w:rPr>
                <w:rFonts w:eastAsia="宋体" w:cs="Times New Roman" w:hint="eastAsia"/>
                <w:sz w:val="18"/>
                <w:szCs w:val="18"/>
              </w:rPr>
              <w:t>信用期内</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0.18</w:t>
            </w:r>
          </w:p>
        </w:tc>
        <w:tc>
          <w:tcPr>
            <w:tcW w:w="1856" w:type="dxa"/>
            <w:vAlign w:val="center"/>
          </w:tcPr>
          <w:p w:rsidR="004A1379" w:rsidRPr="00967E8D" w:rsidRDefault="004A1379" w:rsidP="004A1379">
            <w:pPr>
              <w:ind w:left="49" w:right="117"/>
              <w:jc w:val="right"/>
              <w:rPr>
                <w:rFonts w:eastAsia="宋体" w:cs="Times New Roman"/>
                <w:sz w:val="18"/>
                <w:szCs w:val="18"/>
              </w:rPr>
            </w:pPr>
            <w:r w:rsidRPr="009966FB">
              <w:rPr>
                <w:rFonts w:eastAsia="宋体" w:cs="Times New Roman"/>
                <w:sz w:val="18"/>
                <w:szCs w:val="18"/>
              </w:rPr>
              <w:t xml:space="preserve"> 197,174,742.46</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9966FB">
              <w:rPr>
                <w:rFonts w:eastAsia="宋体" w:cs="Times New Roman"/>
                <w:sz w:val="18"/>
                <w:szCs w:val="18"/>
              </w:rPr>
              <w:t xml:space="preserve"> 354,914.54</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4A1379">
              <w:rPr>
                <w:rFonts w:eastAsia="宋体" w:cs="Times New Roman"/>
                <w:sz w:val="18"/>
                <w:szCs w:val="18"/>
              </w:rPr>
              <w:t>196,819,827.92</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hideMark/>
          </w:tcPr>
          <w:p w:rsidR="004A1379" w:rsidRPr="00A71D2E" w:rsidRDefault="004A1379" w:rsidP="004A137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年以内</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27.74</w:t>
            </w:r>
          </w:p>
        </w:tc>
        <w:tc>
          <w:tcPr>
            <w:tcW w:w="1856" w:type="dxa"/>
            <w:vAlign w:val="center"/>
          </w:tcPr>
          <w:p w:rsidR="004A1379" w:rsidRPr="00967E8D" w:rsidRDefault="004A1379" w:rsidP="004A1379">
            <w:pPr>
              <w:ind w:left="49" w:right="117"/>
              <w:jc w:val="right"/>
              <w:rPr>
                <w:rFonts w:eastAsia="宋体" w:cs="Times New Roman"/>
                <w:sz w:val="18"/>
                <w:szCs w:val="18"/>
              </w:rPr>
            </w:pPr>
            <w:r w:rsidRPr="009966FB">
              <w:rPr>
                <w:rFonts w:eastAsia="宋体" w:cs="Times New Roman"/>
                <w:sz w:val="18"/>
                <w:szCs w:val="18"/>
              </w:rPr>
              <w:t xml:space="preserve"> 3,128,840.40</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9966FB">
              <w:rPr>
                <w:rFonts w:eastAsia="宋体" w:cs="Times New Roman"/>
                <w:sz w:val="18"/>
                <w:szCs w:val="18"/>
              </w:rPr>
              <w:t xml:space="preserve"> 867,814.90</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4A1379">
              <w:rPr>
                <w:rFonts w:eastAsia="宋体" w:cs="Times New Roman"/>
                <w:sz w:val="18"/>
                <w:szCs w:val="18"/>
              </w:rPr>
              <w:t>2,261,025.50</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tcPr>
          <w:p w:rsidR="004A1379" w:rsidRPr="00A71D2E" w:rsidRDefault="004A1379" w:rsidP="004A137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年至</w:t>
            </w:r>
            <w:r w:rsidRPr="00967E8D">
              <w:rPr>
                <w:rFonts w:eastAsia="宋体" w:cs="Times New Roman" w:hint="eastAsia"/>
                <w:sz w:val="18"/>
                <w:szCs w:val="18"/>
              </w:rPr>
              <w:t>2</w:t>
            </w:r>
            <w:r w:rsidRPr="00967E8D">
              <w:rPr>
                <w:rFonts w:eastAsia="宋体" w:cs="Times New Roman" w:hint="eastAsia"/>
                <w:sz w:val="18"/>
                <w:szCs w:val="18"/>
              </w:rPr>
              <w:t>年</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100.00</w:t>
            </w:r>
          </w:p>
        </w:tc>
        <w:tc>
          <w:tcPr>
            <w:tcW w:w="1856" w:type="dxa"/>
            <w:vAlign w:val="center"/>
          </w:tcPr>
          <w:p w:rsidR="004A1379" w:rsidRPr="00967E8D" w:rsidRDefault="004A1379" w:rsidP="004A1379">
            <w:pPr>
              <w:ind w:left="49" w:right="117"/>
              <w:jc w:val="right"/>
              <w:rPr>
                <w:rFonts w:eastAsia="宋体" w:cs="Times New Roman"/>
                <w:sz w:val="18"/>
                <w:szCs w:val="18"/>
              </w:rPr>
            </w:pPr>
            <w:r w:rsidRPr="009966FB">
              <w:rPr>
                <w:rFonts w:eastAsia="宋体" w:cs="Times New Roman"/>
                <w:sz w:val="18"/>
                <w:szCs w:val="18"/>
              </w:rPr>
              <w:t xml:space="preserve"> 578,161.93</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9966FB">
              <w:rPr>
                <w:rFonts w:eastAsia="宋体" w:cs="Times New Roman"/>
                <w:sz w:val="18"/>
                <w:szCs w:val="18"/>
              </w:rPr>
              <w:t xml:space="preserve"> 578,161.93</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宋体" w:cs="Times New Roman" w:hint="eastAsia"/>
                <w:sz w:val="18"/>
                <w:szCs w:val="18"/>
              </w:rPr>
              <w:t>-</w:t>
            </w:r>
            <w:r>
              <w:rPr>
                <w:rFonts w:eastAsia="宋体" w:cs="Times New Roman"/>
                <w:sz w:val="18"/>
                <w:szCs w:val="18"/>
              </w:rPr>
              <w:t>    </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tcPr>
          <w:p w:rsidR="004A1379" w:rsidRPr="00A71D2E" w:rsidRDefault="004A1379" w:rsidP="004A137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2</w:t>
            </w:r>
            <w:r w:rsidRPr="00967E8D">
              <w:rPr>
                <w:rFonts w:eastAsia="宋体" w:cs="Times New Roman" w:hint="eastAsia"/>
                <w:sz w:val="18"/>
                <w:szCs w:val="18"/>
              </w:rPr>
              <w:t>年至</w:t>
            </w:r>
            <w:r w:rsidRPr="00967E8D">
              <w:rPr>
                <w:rFonts w:eastAsia="宋体" w:cs="Times New Roman" w:hint="eastAsia"/>
                <w:sz w:val="18"/>
                <w:szCs w:val="18"/>
              </w:rPr>
              <w:t>3</w:t>
            </w:r>
            <w:r w:rsidRPr="00967E8D">
              <w:rPr>
                <w:rFonts w:eastAsia="宋体" w:cs="Times New Roman" w:hint="eastAsia"/>
                <w:sz w:val="18"/>
                <w:szCs w:val="18"/>
              </w:rPr>
              <w:t>年</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100.00</w:t>
            </w:r>
          </w:p>
        </w:tc>
        <w:tc>
          <w:tcPr>
            <w:tcW w:w="1856" w:type="dxa"/>
            <w:vAlign w:val="center"/>
          </w:tcPr>
          <w:p w:rsidR="004A1379" w:rsidRPr="00967E8D" w:rsidRDefault="004A1379" w:rsidP="004A1379">
            <w:pPr>
              <w:ind w:left="49" w:right="117"/>
              <w:jc w:val="right"/>
              <w:rPr>
                <w:rFonts w:eastAsia="宋体" w:cs="Times New Roman"/>
                <w:sz w:val="18"/>
                <w:szCs w:val="18"/>
              </w:rPr>
            </w:pPr>
            <w:r w:rsidRPr="009966FB">
              <w:rPr>
                <w:rFonts w:eastAsia="宋体" w:cs="Times New Roman"/>
                <w:sz w:val="18"/>
                <w:szCs w:val="18"/>
              </w:rPr>
              <w:t xml:space="preserve"> 10,195.23</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9966FB">
              <w:rPr>
                <w:rFonts w:eastAsia="宋体" w:cs="Times New Roman"/>
                <w:sz w:val="18"/>
                <w:szCs w:val="18"/>
              </w:rPr>
              <w:t xml:space="preserve"> 10,195.23</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宋体" w:cs="Times New Roman" w:hint="eastAsia"/>
                <w:sz w:val="18"/>
                <w:szCs w:val="18"/>
              </w:rPr>
              <w:t>-</w:t>
            </w:r>
            <w:r>
              <w:rPr>
                <w:rFonts w:eastAsia="宋体" w:cs="Times New Roman"/>
                <w:sz w:val="18"/>
                <w:szCs w:val="18"/>
              </w:rPr>
              <w:t>    </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tcPr>
          <w:p w:rsidR="004A1379" w:rsidRPr="00A71D2E" w:rsidRDefault="004A1379" w:rsidP="004A137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3</w:t>
            </w:r>
            <w:r w:rsidRPr="00967E8D">
              <w:rPr>
                <w:rFonts w:eastAsia="宋体" w:cs="Times New Roman" w:hint="eastAsia"/>
                <w:sz w:val="18"/>
                <w:szCs w:val="18"/>
              </w:rPr>
              <w:t>年以上</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100.00</w:t>
            </w:r>
          </w:p>
        </w:tc>
        <w:tc>
          <w:tcPr>
            <w:tcW w:w="1856" w:type="dxa"/>
            <w:vAlign w:val="center"/>
          </w:tcPr>
          <w:p w:rsidR="004A1379" w:rsidRPr="00967E8D" w:rsidRDefault="004A1379" w:rsidP="004A1379">
            <w:pPr>
              <w:ind w:left="49" w:right="117"/>
              <w:jc w:val="right"/>
              <w:rPr>
                <w:rFonts w:eastAsia="宋体" w:cs="Times New Roman"/>
                <w:sz w:val="18"/>
                <w:szCs w:val="18"/>
              </w:rPr>
            </w:pPr>
            <w:r w:rsidRPr="009966FB">
              <w:rPr>
                <w:rFonts w:eastAsia="宋体" w:cs="Times New Roman"/>
                <w:sz w:val="18"/>
                <w:szCs w:val="18"/>
              </w:rPr>
              <w:t xml:space="preserve"> 325,830.56</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9966FB">
              <w:rPr>
                <w:rFonts w:eastAsia="宋体" w:cs="Times New Roman"/>
                <w:sz w:val="18"/>
                <w:szCs w:val="18"/>
              </w:rPr>
              <w:t xml:space="preserve"> 325,830.56</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宋体" w:cs="Times New Roman" w:hint="eastAsia"/>
                <w:sz w:val="18"/>
                <w:szCs w:val="18"/>
              </w:rPr>
              <w:t>-</w:t>
            </w:r>
            <w:r>
              <w:rPr>
                <w:rFonts w:eastAsia="宋体" w:cs="Times New Roman"/>
                <w:sz w:val="18"/>
                <w:szCs w:val="18"/>
              </w:rPr>
              <w:t>    </w:t>
            </w:r>
          </w:p>
        </w:tc>
      </w:tr>
      <w:tr w:rsidR="004A1379" w:rsidRPr="00A71D2E" w:rsidTr="0027505B">
        <w:trPr>
          <w:trHeight w:val="20"/>
        </w:trPr>
        <w:tc>
          <w:tcPr>
            <w:tcW w:w="2025" w:type="dxa"/>
            <w:shd w:val="clear" w:color="auto" w:fill="D9D9D9" w:themeFill="background1" w:themeFillShade="D9"/>
            <w:tcMar>
              <w:top w:w="0" w:type="dxa"/>
              <w:left w:w="108" w:type="dxa"/>
              <w:bottom w:w="0" w:type="dxa"/>
              <w:right w:w="108" w:type="dxa"/>
            </w:tcMar>
            <w:vAlign w:val="center"/>
            <w:hideMark/>
          </w:tcPr>
          <w:p w:rsidR="004A1379" w:rsidRPr="00A71D2E" w:rsidRDefault="004A1379" w:rsidP="004A1379">
            <w:pPr>
              <w:rPr>
                <w:rFonts w:eastAsia="宋体" w:cs="Times New Roman"/>
                <w:bCs/>
                <w:sz w:val="18"/>
                <w:szCs w:val="18"/>
              </w:rPr>
            </w:pPr>
            <w:r w:rsidRPr="00A71D2E">
              <w:rPr>
                <w:rFonts w:eastAsia="宋体" w:cs="Times New Roman" w:hint="eastAsia"/>
                <w:bCs/>
                <w:sz w:val="18"/>
                <w:szCs w:val="18"/>
              </w:rPr>
              <w:t>合计</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1.06</w:t>
            </w:r>
          </w:p>
        </w:tc>
        <w:tc>
          <w:tcPr>
            <w:tcW w:w="1856" w:type="dxa"/>
            <w:vAlign w:val="center"/>
          </w:tcPr>
          <w:p w:rsidR="004A1379" w:rsidRPr="00967E8D" w:rsidRDefault="004A1379" w:rsidP="004A1379">
            <w:pPr>
              <w:ind w:left="49" w:right="117"/>
              <w:jc w:val="right"/>
              <w:rPr>
                <w:rFonts w:eastAsia="宋体" w:cs="Times New Roman"/>
                <w:sz w:val="18"/>
                <w:szCs w:val="18"/>
              </w:rPr>
            </w:pPr>
            <w:r w:rsidRPr="009966FB">
              <w:rPr>
                <w:rFonts w:eastAsia="宋体" w:cs="Times New Roman"/>
                <w:sz w:val="18"/>
                <w:szCs w:val="18"/>
              </w:rPr>
              <w:t xml:space="preserve"> 201,217,770.58</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9966FB">
              <w:rPr>
                <w:rFonts w:eastAsia="宋体" w:cs="Times New Roman"/>
                <w:sz w:val="18"/>
                <w:szCs w:val="18"/>
              </w:rPr>
              <w:t xml:space="preserve"> 2,136,917.16</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4A1379">
              <w:rPr>
                <w:rFonts w:eastAsia="宋体" w:cs="Times New Roman"/>
                <w:sz w:val="18"/>
                <w:szCs w:val="18"/>
              </w:rPr>
              <w:t>199,080,853.42</w:t>
            </w:r>
          </w:p>
        </w:tc>
      </w:tr>
    </w:tbl>
    <w:p w:rsidR="004A1379" w:rsidRDefault="004A1379" w:rsidP="00F66363">
      <w:pPr>
        <w:ind w:left="720"/>
        <w:jc w:val="right"/>
        <w:rPr>
          <w:rFonts w:eastAsia="宋体" w:cs="Times New Roman"/>
          <w:szCs w:val="18"/>
        </w:rPr>
      </w:pPr>
    </w:p>
    <w:p w:rsidR="007C5C09" w:rsidRDefault="007C5C09">
      <w:pPr>
        <w:adjustRightInd/>
        <w:snapToGrid/>
        <w:rPr>
          <w:rFonts w:eastAsia="宋体" w:cs="Times New Roman"/>
          <w:szCs w:val="21"/>
        </w:rPr>
      </w:pPr>
      <w:r>
        <w:rPr>
          <w:rFonts w:eastAsia="宋体" w:cs="Times New Roman"/>
          <w:szCs w:val="21"/>
        </w:rPr>
        <w:br w:type="page"/>
      </w:r>
    </w:p>
    <w:p w:rsidR="007C5C09" w:rsidRPr="00F66363" w:rsidRDefault="007C5C09" w:rsidP="007C5C09">
      <w:pPr>
        <w:rPr>
          <w:rFonts w:eastAsia="宋体" w:cs="Times New Roman"/>
          <w:szCs w:val="21"/>
        </w:rPr>
      </w:pPr>
      <w:r>
        <w:rPr>
          <w:rFonts w:eastAsia="宋体" w:cs="Times New Roman"/>
          <w:b/>
          <w:bCs/>
          <w:szCs w:val="28"/>
        </w:rPr>
        <w:t>(</w:t>
      </w:r>
      <w:r w:rsidRPr="00F66363">
        <w:rPr>
          <w:rFonts w:eastAsia="宋体" w:cs="Times New Roman" w:hint="eastAsia"/>
          <w:b/>
          <w:bCs/>
          <w:szCs w:val="28"/>
        </w:rPr>
        <w:t>十</w:t>
      </w:r>
      <w:r>
        <w:rPr>
          <w:rFonts w:eastAsia="宋体" w:cs="Times New Roman" w:hint="eastAsia"/>
          <w:b/>
          <w:bCs/>
          <w:szCs w:val="28"/>
        </w:rPr>
        <w:t>五</w:t>
      </w:r>
      <w:r>
        <w:rPr>
          <w:rFonts w:eastAsia="宋体" w:cs="Times New Roman"/>
          <w:b/>
          <w:bCs/>
          <w:szCs w:val="28"/>
        </w:rPr>
        <w:t>)</w:t>
      </w:r>
      <w:r w:rsidRPr="00F66363">
        <w:rPr>
          <w:rFonts w:eastAsia="宋体" w:cs="Times New Roman"/>
          <w:b/>
          <w:bCs/>
          <w:szCs w:val="28"/>
        </w:rPr>
        <w:tab/>
      </w:r>
      <w:r w:rsidRPr="00F66363">
        <w:rPr>
          <w:rFonts w:eastAsia="宋体" w:cs="Times New Roman" w:hint="eastAsia"/>
          <w:b/>
          <w:bCs/>
          <w:szCs w:val="28"/>
        </w:rPr>
        <w:t>母公司财务报表主要项目注释</w:t>
      </w:r>
      <w:r w:rsidRPr="00F66363">
        <w:rPr>
          <w:rFonts w:eastAsia="宋体" w:cs="Times New Roman"/>
        </w:rPr>
        <w:t xml:space="preserve"> - </w:t>
      </w:r>
      <w:r w:rsidRPr="00F66363">
        <w:rPr>
          <w:rFonts w:eastAsia="宋体" w:cs="Times New Roman" w:hint="eastAsia"/>
        </w:rPr>
        <w:t>续</w:t>
      </w:r>
    </w:p>
    <w:p w:rsidR="007C5C09" w:rsidRPr="00F66363" w:rsidRDefault="007C5C09" w:rsidP="007C5C09">
      <w:pPr>
        <w:ind w:left="1440" w:hanging="720"/>
        <w:rPr>
          <w:rFonts w:eastAsia="宋体" w:cs="Times New Roman"/>
          <w:szCs w:val="28"/>
        </w:rPr>
      </w:pPr>
    </w:p>
    <w:p w:rsidR="007C5C09" w:rsidRPr="00F66363" w:rsidRDefault="007C5C09" w:rsidP="007C5C09">
      <w:pPr>
        <w:ind w:left="1440" w:hanging="720"/>
        <w:rPr>
          <w:rFonts w:eastAsia="宋体" w:cs="Times New Roman"/>
          <w:szCs w:val="28"/>
        </w:rPr>
      </w:pPr>
      <w:r w:rsidRPr="00F66363">
        <w:rPr>
          <w:rFonts w:eastAsia="宋体" w:cs="Times New Roman"/>
          <w:b/>
          <w:bCs/>
          <w:szCs w:val="28"/>
        </w:rPr>
        <w:t>1</w:t>
      </w:r>
      <w:r w:rsidRPr="00F66363">
        <w:rPr>
          <w:rFonts w:eastAsia="宋体" w:cs="Times New Roman" w:hint="eastAsia"/>
          <w:b/>
          <w:bCs/>
          <w:szCs w:val="28"/>
        </w:rPr>
        <w:t>、</w:t>
      </w:r>
      <w:r w:rsidRPr="00F66363">
        <w:rPr>
          <w:rFonts w:eastAsia="宋体" w:cs="Times New Roman"/>
          <w:b/>
          <w:bCs/>
          <w:szCs w:val="28"/>
        </w:rPr>
        <w:tab/>
      </w:r>
      <w:r w:rsidRPr="00F66363">
        <w:rPr>
          <w:rFonts w:eastAsia="宋体" w:cs="Times New Roman" w:hint="eastAsia"/>
          <w:b/>
          <w:bCs/>
          <w:szCs w:val="28"/>
        </w:rPr>
        <w:t>应收账款</w:t>
      </w:r>
      <w:r w:rsidRPr="00F66363">
        <w:rPr>
          <w:rFonts w:eastAsia="宋体" w:cs="Times New Roman"/>
          <w:szCs w:val="28"/>
        </w:rPr>
        <w:t xml:space="preserve"> - </w:t>
      </w:r>
      <w:r w:rsidRPr="00F66363">
        <w:rPr>
          <w:rFonts w:eastAsia="宋体" w:cs="Times New Roman" w:hint="eastAsia"/>
          <w:szCs w:val="28"/>
        </w:rPr>
        <w:t>续</w:t>
      </w:r>
    </w:p>
    <w:p w:rsidR="007C5C09" w:rsidRDefault="007C5C09" w:rsidP="007C5C09">
      <w:pPr>
        <w:ind w:left="720"/>
        <w:jc w:val="both"/>
        <w:rPr>
          <w:rFonts w:eastAsia="宋体" w:cs="Times New Roman"/>
          <w:szCs w:val="21"/>
        </w:rPr>
      </w:pPr>
    </w:p>
    <w:p w:rsidR="007C5C09" w:rsidRPr="00F66363" w:rsidRDefault="007C5C09" w:rsidP="007C5C09">
      <w:pPr>
        <w:ind w:left="720"/>
        <w:jc w:val="both"/>
        <w:rPr>
          <w:rFonts w:eastAsia="宋体" w:cs="Times New Roman"/>
          <w:szCs w:val="21"/>
        </w:rPr>
      </w:pPr>
      <w:r>
        <w:rPr>
          <w:rFonts w:eastAsia="宋体" w:cs="Times New Roman"/>
          <w:szCs w:val="21"/>
        </w:rPr>
        <w:t>(2)</w:t>
      </w:r>
      <w:r w:rsidRPr="00F66363">
        <w:rPr>
          <w:rFonts w:eastAsia="宋体" w:cs="Times New Roman"/>
          <w:szCs w:val="21"/>
        </w:rPr>
        <w:tab/>
      </w:r>
      <w:r>
        <w:rPr>
          <w:rFonts w:eastAsia="宋体" w:cs="Times New Roman" w:hint="eastAsia"/>
          <w:szCs w:val="21"/>
        </w:rPr>
        <w:t>按坏账</w:t>
      </w:r>
      <w:r>
        <w:rPr>
          <w:rFonts w:hint="eastAsia"/>
          <w:szCs w:val="21"/>
        </w:rPr>
        <w:t>准备计提方法分类披露</w:t>
      </w:r>
      <w:r w:rsidRPr="00F66363">
        <w:rPr>
          <w:rFonts w:eastAsia="宋体" w:cs="Times New Roman"/>
          <w:szCs w:val="21"/>
        </w:rPr>
        <w:t xml:space="preserve"> - </w:t>
      </w:r>
      <w:r w:rsidRPr="00F66363">
        <w:rPr>
          <w:rFonts w:eastAsia="宋体" w:cs="Times New Roman" w:hint="eastAsia"/>
          <w:szCs w:val="21"/>
        </w:rPr>
        <w:t>续</w:t>
      </w:r>
    </w:p>
    <w:p w:rsidR="007C5C09" w:rsidRDefault="007C5C09" w:rsidP="007C5C09">
      <w:pPr>
        <w:ind w:left="720"/>
        <w:jc w:val="both"/>
        <w:rPr>
          <w:rFonts w:eastAsia="宋体" w:cs="Times New Roman"/>
          <w:szCs w:val="21"/>
        </w:rPr>
      </w:pPr>
    </w:p>
    <w:p w:rsidR="007C5C09" w:rsidRDefault="007C5C09" w:rsidP="007C5C09">
      <w:pPr>
        <w:ind w:left="720"/>
        <w:jc w:val="both"/>
        <w:rPr>
          <w:rFonts w:eastAsia="宋体" w:cs="Times New Roman"/>
          <w:szCs w:val="21"/>
        </w:rPr>
      </w:pPr>
      <w:r>
        <w:rPr>
          <w:rFonts w:eastAsia="宋体" w:cs="Times New Roman" w:hint="eastAsia"/>
          <w:szCs w:val="21"/>
        </w:rPr>
        <w:t>按组合计提坏账准备</w:t>
      </w:r>
      <w:r>
        <w:rPr>
          <w:rFonts w:eastAsia="宋体" w:cs="Times New Roman" w:hint="eastAsia"/>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7C5C09" w:rsidRDefault="007C5C09" w:rsidP="00F66363">
      <w:pPr>
        <w:ind w:left="720"/>
        <w:jc w:val="both"/>
        <w:rPr>
          <w:rFonts w:eastAsia="宋体" w:cs="Times New Roman"/>
          <w:szCs w:val="21"/>
        </w:rPr>
      </w:pPr>
    </w:p>
    <w:p w:rsidR="00753B8C" w:rsidRDefault="00753B8C" w:rsidP="00F66363">
      <w:pPr>
        <w:ind w:left="720"/>
        <w:jc w:val="both"/>
        <w:rPr>
          <w:rFonts w:eastAsia="宋体" w:cs="Times New Roman"/>
          <w:szCs w:val="21"/>
        </w:rPr>
      </w:pPr>
      <w:r w:rsidRPr="00A71D2E">
        <w:rPr>
          <w:rFonts w:eastAsia="宋体" w:cs="Times New Roman" w:hint="eastAsia"/>
          <w:szCs w:val="21"/>
        </w:rPr>
        <w:t>组合</w:t>
      </w:r>
      <w:r w:rsidR="0000763F">
        <w:rPr>
          <w:rFonts w:eastAsia="宋体" w:cs="Times New Roman" w:hint="eastAsia"/>
          <w:szCs w:val="21"/>
        </w:rPr>
        <w:t>B</w:t>
      </w:r>
      <w:r w:rsidRPr="00A71D2E">
        <w:rPr>
          <w:rFonts w:eastAsia="宋体" w:cs="Times New Roman" w:hint="eastAsia"/>
          <w:szCs w:val="21"/>
        </w:rPr>
        <w:t>的应收账款的信用风险与</w:t>
      </w:r>
      <w:r w:rsidR="00B04AF4">
        <w:rPr>
          <w:rFonts w:eastAsia="宋体" w:cs="Times New Roman" w:hint="eastAsia"/>
          <w:szCs w:val="21"/>
        </w:rPr>
        <w:t>坏账</w:t>
      </w:r>
      <w:r w:rsidRPr="00A71D2E">
        <w:rPr>
          <w:rFonts w:eastAsia="宋体" w:cs="Times New Roman" w:hint="eastAsia"/>
          <w:szCs w:val="21"/>
        </w:rPr>
        <w:t>准备情况如下</w:t>
      </w:r>
      <w:r w:rsidR="005F14EE">
        <w:rPr>
          <w:rFonts w:eastAsia="宋体" w:cs="Times New Roman" w:hint="eastAsia"/>
          <w:szCs w:val="21"/>
        </w:rPr>
        <w:t>：</w:t>
      </w:r>
    </w:p>
    <w:p w:rsidR="004A1379" w:rsidRDefault="004A1379" w:rsidP="004A1379">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25"/>
        <w:gridCol w:w="1856"/>
        <w:gridCol w:w="1856"/>
        <w:gridCol w:w="1856"/>
        <w:gridCol w:w="1857"/>
      </w:tblGrid>
      <w:tr w:rsidR="004A1379" w:rsidRPr="00A71D2E" w:rsidTr="0027505B">
        <w:trPr>
          <w:trHeight w:val="20"/>
        </w:trPr>
        <w:tc>
          <w:tcPr>
            <w:tcW w:w="2025" w:type="dxa"/>
            <w:vMerge w:val="restart"/>
            <w:shd w:val="clear" w:color="auto" w:fill="D9D9D9" w:themeFill="background1" w:themeFillShade="D9"/>
            <w:tcMar>
              <w:top w:w="0" w:type="dxa"/>
              <w:left w:w="108" w:type="dxa"/>
              <w:bottom w:w="0" w:type="dxa"/>
              <w:right w:w="108" w:type="dxa"/>
            </w:tcMar>
            <w:vAlign w:val="center"/>
            <w:hideMark/>
          </w:tcPr>
          <w:p w:rsidR="004A1379" w:rsidRPr="00A71D2E" w:rsidRDefault="004A1379" w:rsidP="00E456AF">
            <w:pPr>
              <w:jc w:val="center"/>
              <w:rPr>
                <w:rFonts w:eastAsia="宋体" w:cs="Times New Roman"/>
                <w:sz w:val="18"/>
                <w:szCs w:val="18"/>
              </w:rPr>
            </w:pPr>
            <w:r w:rsidRPr="00A71D2E">
              <w:rPr>
                <w:rFonts w:eastAsia="宋体" w:cs="Times New Roman" w:hint="eastAsia"/>
                <w:sz w:val="18"/>
                <w:szCs w:val="18"/>
              </w:rPr>
              <w:t>账龄</w:t>
            </w:r>
          </w:p>
        </w:tc>
        <w:tc>
          <w:tcPr>
            <w:tcW w:w="7425" w:type="dxa"/>
            <w:gridSpan w:val="4"/>
            <w:shd w:val="clear" w:color="auto" w:fill="D9D9D9" w:themeFill="background1" w:themeFillShade="D9"/>
            <w:vAlign w:val="center"/>
          </w:tcPr>
          <w:p w:rsidR="004A1379" w:rsidRPr="00A71D2E" w:rsidRDefault="004A1379" w:rsidP="00E456AF">
            <w:pPr>
              <w:ind w:left="31" w:right="93"/>
              <w:jc w:val="center"/>
              <w:rPr>
                <w:rFonts w:eastAsia="宋体" w:cs="Times New Roman"/>
                <w:sz w:val="18"/>
                <w:szCs w:val="18"/>
              </w:rPr>
            </w:pPr>
            <w:r w:rsidRPr="00A71D2E">
              <w:rPr>
                <w:rFonts w:eastAsia="宋体" w:cs="Times New Roman" w:hint="eastAsia"/>
                <w:sz w:val="18"/>
                <w:szCs w:val="18"/>
              </w:rPr>
              <w:t>年末余额</w:t>
            </w:r>
          </w:p>
        </w:tc>
      </w:tr>
      <w:tr w:rsidR="004A1379" w:rsidRPr="00A71D2E" w:rsidTr="0027505B">
        <w:trPr>
          <w:trHeight w:val="20"/>
        </w:trPr>
        <w:tc>
          <w:tcPr>
            <w:tcW w:w="2025" w:type="dxa"/>
            <w:vMerge/>
            <w:shd w:val="clear" w:color="auto" w:fill="D9D9D9" w:themeFill="background1" w:themeFillShade="D9"/>
            <w:tcMar>
              <w:top w:w="0" w:type="dxa"/>
              <w:left w:w="108" w:type="dxa"/>
              <w:bottom w:w="0" w:type="dxa"/>
              <w:right w:w="108" w:type="dxa"/>
            </w:tcMar>
            <w:vAlign w:val="center"/>
            <w:hideMark/>
          </w:tcPr>
          <w:p w:rsidR="004A1379" w:rsidRPr="00A71D2E" w:rsidRDefault="004A1379" w:rsidP="00E456AF">
            <w:pPr>
              <w:jc w:val="center"/>
              <w:rPr>
                <w:rFonts w:eastAsia="宋体" w:cs="Times New Roman"/>
                <w:sz w:val="18"/>
                <w:szCs w:val="18"/>
              </w:rPr>
            </w:pPr>
          </w:p>
        </w:tc>
        <w:tc>
          <w:tcPr>
            <w:tcW w:w="1856" w:type="dxa"/>
            <w:shd w:val="clear" w:color="auto" w:fill="D9D9D9" w:themeFill="background1" w:themeFillShade="D9"/>
            <w:vAlign w:val="center"/>
          </w:tcPr>
          <w:p w:rsidR="004A1379" w:rsidRDefault="004A1379" w:rsidP="00E456AF">
            <w:pPr>
              <w:ind w:left="49" w:right="90"/>
              <w:jc w:val="center"/>
              <w:rPr>
                <w:rFonts w:eastAsia="宋体" w:cs="Times New Roman"/>
                <w:sz w:val="18"/>
                <w:szCs w:val="18"/>
              </w:rPr>
            </w:pPr>
            <w:r>
              <w:rPr>
                <w:rFonts w:eastAsia="宋体" w:cs="Times New Roman" w:hint="eastAsia"/>
                <w:sz w:val="18"/>
                <w:szCs w:val="18"/>
              </w:rPr>
              <w:t>预期平均损失率</w:t>
            </w:r>
          </w:p>
          <w:p w:rsidR="004A1379" w:rsidRPr="00A71D2E" w:rsidRDefault="005F14EE" w:rsidP="00E456AF">
            <w:pPr>
              <w:ind w:left="49" w:right="90"/>
              <w:jc w:val="center"/>
              <w:rPr>
                <w:rFonts w:eastAsia="宋体" w:cs="Times New Roman"/>
                <w:sz w:val="18"/>
                <w:szCs w:val="18"/>
              </w:rPr>
            </w:pPr>
            <w:r>
              <w:rPr>
                <w:rFonts w:eastAsia="宋体" w:cs="Times New Roman" w:hint="eastAsia"/>
                <w:sz w:val="18"/>
                <w:szCs w:val="18"/>
              </w:rPr>
              <w:t>(</w:t>
            </w:r>
            <w:r w:rsidR="004A1379">
              <w:rPr>
                <w:rFonts w:eastAsia="宋体" w:cs="Times New Roman"/>
                <w:sz w:val="18"/>
                <w:szCs w:val="18"/>
              </w:rPr>
              <w:t>%</w:t>
            </w:r>
            <w:r>
              <w:rPr>
                <w:rFonts w:eastAsia="宋体" w:cs="Times New Roman"/>
                <w:sz w:val="18"/>
                <w:szCs w:val="18"/>
              </w:rPr>
              <w:t>)</w:t>
            </w:r>
          </w:p>
        </w:tc>
        <w:tc>
          <w:tcPr>
            <w:tcW w:w="1856" w:type="dxa"/>
            <w:shd w:val="clear" w:color="auto" w:fill="D9D9D9"/>
            <w:vAlign w:val="center"/>
          </w:tcPr>
          <w:p w:rsidR="004A1379" w:rsidRDefault="004A1379" w:rsidP="00E456AF">
            <w:pPr>
              <w:ind w:left="49" w:right="90"/>
              <w:jc w:val="center"/>
              <w:rPr>
                <w:rFonts w:eastAsia="宋体" w:cs="Times New Roman"/>
                <w:sz w:val="18"/>
                <w:szCs w:val="18"/>
              </w:rPr>
            </w:pPr>
            <w:r>
              <w:rPr>
                <w:rFonts w:eastAsia="宋体" w:cs="Times New Roman" w:hint="eastAsia"/>
                <w:sz w:val="18"/>
                <w:szCs w:val="18"/>
              </w:rPr>
              <w:t>账面余额</w:t>
            </w:r>
          </w:p>
        </w:tc>
        <w:tc>
          <w:tcPr>
            <w:tcW w:w="1856" w:type="dxa"/>
            <w:shd w:val="clear" w:color="auto" w:fill="D9D9D9"/>
            <w:vAlign w:val="center"/>
          </w:tcPr>
          <w:p w:rsidR="004A1379" w:rsidRPr="00A71D2E" w:rsidRDefault="004A1379" w:rsidP="00E456AF">
            <w:pPr>
              <w:ind w:left="49" w:right="90"/>
              <w:jc w:val="center"/>
              <w:rPr>
                <w:rFonts w:eastAsia="宋体" w:cs="Times New Roman"/>
                <w:sz w:val="18"/>
                <w:szCs w:val="18"/>
              </w:rPr>
            </w:pPr>
            <w:r>
              <w:rPr>
                <w:rFonts w:eastAsia="宋体" w:cs="Times New Roman" w:hint="eastAsia"/>
                <w:sz w:val="18"/>
                <w:szCs w:val="18"/>
              </w:rPr>
              <w:t>坏账准备</w:t>
            </w:r>
          </w:p>
        </w:tc>
        <w:tc>
          <w:tcPr>
            <w:tcW w:w="1857" w:type="dxa"/>
            <w:shd w:val="clear" w:color="auto" w:fill="D9D9D9" w:themeFill="background1" w:themeFillShade="D9"/>
            <w:vAlign w:val="center"/>
          </w:tcPr>
          <w:p w:rsidR="004A1379" w:rsidRPr="00A71D2E" w:rsidRDefault="004A1379" w:rsidP="00E456AF">
            <w:pPr>
              <w:ind w:left="49" w:right="90"/>
              <w:jc w:val="center"/>
              <w:rPr>
                <w:rFonts w:eastAsia="宋体" w:cs="Times New Roman"/>
                <w:sz w:val="18"/>
                <w:szCs w:val="18"/>
              </w:rPr>
            </w:pPr>
            <w:r>
              <w:rPr>
                <w:rFonts w:eastAsia="宋体" w:cs="Times New Roman"/>
                <w:sz w:val="18"/>
                <w:szCs w:val="18"/>
              </w:rPr>
              <w:t>账面价值</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hideMark/>
          </w:tcPr>
          <w:p w:rsidR="004A1379" w:rsidRPr="00A71D2E" w:rsidRDefault="004A1379" w:rsidP="004A1379">
            <w:pPr>
              <w:ind w:left="-18" w:right="87"/>
              <w:rPr>
                <w:rFonts w:eastAsia="宋体" w:cs="Times New Roman"/>
                <w:sz w:val="18"/>
                <w:szCs w:val="18"/>
              </w:rPr>
            </w:pPr>
            <w:r w:rsidRPr="00A71D2E">
              <w:rPr>
                <w:rFonts w:eastAsia="宋体" w:cs="Times New Roman" w:hint="eastAsia"/>
                <w:sz w:val="18"/>
                <w:szCs w:val="18"/>
              </w:rPr>
              <w:t>信用期内</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0.24</w:t>
            </w:r>
          </w:p>
        </w:tc>
        <w:tc>
          <w:tcPr>
            <w:tcW w:w="1856" w:type="dxa"/>
            <w:vAlign w:val="center"/>
          </w:tcPr>
          <w:p w:rsidR="004A1379" w:rsidRPr="00967E8D" w:rsidRDefault="004A1379" w:rsidP="004A1379">
            <w:pPr>
              <w:ind w:left="49" w:right="117"/>
              <w:jc w:val="right"/>
              <w:rPr>
                <w:rFonts w:eastAsia="宋体" w:cs="Times New Roman"/>
                <w:sz w:val="18"/>
                <w:szCs w:val="18"/>
              </w:rPr>
            </w:pPr>
            <w:r w:rsidRPr="00AC4ECC">
              <w:rPr>
                <w:rFonts w:eastAsia="宋体" w:cs="Times New Roman"/>
                <w:sz w:val="18"/>
                <w:szCs w:val="18"/>
              </w:rPr>
              <w:t>196,009,202.56</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AC4ECC">
              <w:rPr>
                <w:rFonts w:eastAsia="宋体" w:cs="Times New Roman"/>
                <w:sz w:val="18"/>
                <w:szCs w:val="18"/>
              </w:rPr>
              <w:t>470,422.0</w:t>
            </w:r>
            <w:r>
              <w:rPr>
                <w:rFonts w:eastAsia="宋体" w:cs="Times New Roman"/>
                <w:sz w:val="18"/>
                <w:szCs w:val="18"/>
              </w:rPr>
              <w:t>8</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4A1379">
              <w:rPr>
                <w:rFonts w:eastAsia="宋体" w:cs="Times New Roman"/>
                <w:sz w:val="18"/>
                <w:szCs w:val="18"/>
              </w:rPr>
              <w:t>195,538,780.48</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hideMark/>
          </w:tcPr>
          <w:p w:rsidR="004A1379" w:rsidRPr="00A71D2E" w:rsidRDefault="004A1379" w:rsidP="004A137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年以内</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6.66</w:t>
            </w:r>
          </w:p>
        </w:tc>
        <w:tc>
          <w:tcPr>
            <w:tcW w:w="1856" w:type="dxa"/>
            <w:vAlign w:val="center"/>
          </w:tcPr>
          <w:p w:rsidR="004A1379" w:rsidRPr="00967E8D" w:rsidRDefault="004A1379" w:rsidP="004A1379">
            <w:pPr>
              <w:ind w:left="49" w:right="117"/>
              <w:jc w:val="right"/>
              <w:rPr>
                <w:rFonts w:eastAsia="宋体" w:cs="Times New Roman"/>
                <w:sz w:val="18"/>
                <w:szCs w:val="18"/>
              </w:rPr>
            </w:pPr>
            <w:r w:rsidRPr="00AC4ECC">
              <w:rPr>
                <w:rFonts w:eastAsia="宋体" w:cs="Times New Roman"/>
                <w:sz w:val="18"/>
                <w:szCs w:val="18"/>
              </w:rPr>
              <w:t>6,050,084.82</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AC4ECC">
              <w:rPr>
                <w:rFonts w:eastAsia="宋体" w:cs="Times New Roman"/>
                <w:sz w:val="18"/>
                <w:szCs w:val="18"/>
              </w:rPr>
              <w:t>402,735.97</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4A1379">
              <w:rPr>
                <w:rFonts w:eastAsia="宋体" w:cs="Times New Roman"/>
                <w:sz w:val="18"/>
                <w:szCs w:val="18"/>
              </w:rPr>
              <w:t>5,647,348.85</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tcPr>
          <w:p w:rsidR="004A1379" w:rsidRPr="00A71D2E" w:rsidRDefault="004A1379" w:rsidP="004A137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年至</w:t>
            </w:r>
            <w:r w:rsidRPr="00967E8D">
              <w:rPr>
                <w:rFonts w:eastAsia="宋体" w:cs="Times New Roman" w:hint="eastAsia"/>
                <w:sz w:val="18"/>
                <w:szCs w:val="18"/>
              </w:rPr>
              <w:t>2</w:t>
            </w:r>
            <w:r w:rsidRPr="00967E8D">
              <w:rPr>
                <w:rFonts w:eastAsia="宋体" w:cs="Times New Roman" w:hint="eastAsia"/>
                <w:sz w:val="18"/>
                <w:szCs w:val="18"/>
              </w:rPr>
              <w:t>年</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55.01</w:t>
            </w:r>
          </w:p>
        </w:tc>
        <w:tc>
          <w:tcPr>
            <w:tcW w:w="1856" w:type="dxa"/>
            <w:vAlign w:val="center"/>
          </w:tcPr>
          <w:p w:rsidR="004A1379" w:rsidRPr="00967E8D" w:rsidRDefault="004A1379" w:rsidP="004A1379">
            <w:pPr>
              <w:ind w:left="49" w:right="117"/>
              <w:jc w:val="right"/>
              <w:rPr>
                <w:rFonts w:eastAsia="宋体" w:cs="Times New Roman"/>
                <w:sz w:val="18"/>
                <w:szCs w:val="18"/>
              </w:rPr>
            </w:pPr>
            <w:r w:rsidRPr="00AC4ECC">
              <w:rPr>
                <w:rFonts w:eastAsia="宋体" w:cs="Times New Roman"/>
                <w:sz w:val="18"/>
                <w:szCs w:val="18"/>
              </w:rPr>
              <w:t>1,310,989.02</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AC4ECC">
              <w:rPr>
                <w:rFonts w:eastAsia="宋体" w:cs="Times New Roman"/>
                <w:sz w:val="18"/>
                <w:szCs w:val="18"/>
              </w:rPr>
              <w:t>721,205.93</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4A1379">
              <w:rPr>
                <w:rFonts w:eastAsia="宋体" w:cs="Times New Roman"/>
                <w:sz w:val="18"/>
                <w:szCs w:val="18"/>
              </w:rPr>
              <w:t>589,783.09</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tcPr>
          <w:p w:rsidR="004A1379" w:rsidRPr="00A71D2E" w:rsidRDefault="004A1379" w:rsidP="004A137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2</w:t>
            </w:r>
            <w:r w:rsidRPr="00967E8D">
              <w:rPr>
                <w:rFonts w:eastAsia="宋体" w:cs="Times New Roman" w:hint="eastAsia"/>
                <w:sz w:val="18"/>
                <w:szCs w:val="18"/>
              </w:rPr>
              <w:t>年至</w:t>
            </w:r>
            <w:r w:rsidRPr="00967E8D">
              <w:rPr>
                <w:rFonts w:eastAsia="宋体" w:cs="Times New Roman" w:hint="eastAsia"/>
                <w:sz w:val="18"/>
                <w:szCs w:val="18"/>
              </w:rPr>
              <w:t>3</w:t>
            </w:r>
            <w:r w:rsidRPr="00967E8D">
              <w:rPr>
                <w:rFonts w:eastAsia="宋体" w:cs="Times New Roman" w:hint="eastAsia"/>
                <w:sz w:val="18"/>
                <w:szCs w:val="18"/>
              </w:rPr>
              <w:t>年</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100.00</w:t>
            </w:r>
          </w:p>
        </w:tc>
        <w:tc>
          <w:tcPr>
            <w:tcW w:w="1856" w:type="dxa"/>
            <w:vAlign w:val="center"/>
          </w:tcPr>
          <w:p w:rsidR="004A1379" w:rsidRPr="00967E8D" w:rsidRDefault="004A1379" w:rsidP="004A1379">
            <w:pPr>
              <w:ind w:left="49" w:right="117"/>
              <w:jc w:val="right"/>
              <w:rPr>
                <w:rFonts w:eastAsia="宋体" w:cs="Times New Roman"/>
                <w:sz w:val="18"/>
                <w:szCs w:val="18"/>
              </w:rPr>
            </w:pPr>
            <w:r w:rsidRPr="00AC4ECC">
              <w:rPr>
                <w:rFonts w:eastAsia="宋体" w:cs="Times New Roman"/>
                <w:sz w:val="18"/>
                <w:szCs w:val="18"/>
              </w:rPr>
              <w:t>42,864.45</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AC4ECC">
              <w:rPr>
                <w:rFonts w:eastAsia="宋体" w:cs="Times New Roman"/>
                <w:sz w:val="18"/>
                <w:szCs w:val="18"/>
              </w:rPr>
              <w:t>42,864.45</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宋体" w:cs="Times New Roman" w:hint="eastAsia"/>
                <w:sz w:val="18"/>
                <w:szCs w:val="18"/>
              </w:rPr>
              <w:t>-</w:t>
            </w:r>
            <w:r>
              <w:rPr>
                <w:rFonts w:eastAsia="宋体" w:cs="Times New Roman"/>
                <w:sz w:val="18"/>
                <w:szCs w:val="18"/>
              </w:rPr>
              <w:t>    </w:t>
            </w:r>
          </w:p>
        </w:tc>
      </w:tr>
      <w:tr w:rsidR="004A1379" w:rsidRPr="00A71D2E" w:rsidTr="0027505B">
        <w:trPr>
          <w:trHeight w:val="20"/>
        </w:trPr>
        <w:tc>
          <w:tcPr>
            <w:tcW w:w="2025" w:type="dxa"/>
            <w:shd w:val="clear" w:color="auto" w:fill="FFFFFF" w:themeFill="background1"/>
            <w:tcMar>
              <w:top w:w="0" w:type="dxa"/>
              <w:left w:w="108" w:type="dxa"/>
              <w:bottom w:w="0" w:type="dxa"/>
              <w:right w:w="108" w:type="dxa"/>
            </w:tcMar>
            <w:vAlign w:val="center"/>
          </w:tcPr>
          <w:p w:rsidR="004A1379" w:rsidRPr="00A71D2E" w:rsidRDefault="004A1379" w:rsidP="004A137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3</w:t>
            </w:r>
            <w:r w:rsidRPr="00967E8D">
              <w:rPr>
                <w:rFonts w:eastAsia="宋体" w:cs="Times New Roman" w:hint="eastAsia"/>
                <w:sz w:val="18"/>
                <w:szCs w:val="18"/>
              </w:rPr>
              <w:t>年以上</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100.00</w:t>
            </w:r>
          </w:p>
        </w:tc>
        <w:tc>
          <w:tcPr>
            <w:tcW w:w="1856" w:type="dxa"/>
            <w:vAlign w:val="center"/>
          </w:tcPr>
          <w:p w:rsidR="004A1379" w:rsidRPr="00967E8D" w:rsidRDefault="004A1379" w:rsidP="004A1379">
            <w:pPr>
              <w:ind w:left="49" w:right="117"/>
              <w:jc w:val="right"/>
              <w:rPr>
                <w:rFonts w:eastAsia="宋体" w:cs="Times New Roman"/>
                <w:sz w:val="18"/>
                <w:szCs w:val="18"/>
              </w:rPr>
            </w:pPr>
            <w:r w:rsidRPr="00AC4ECC">
              <w:rPr>
                <w:rFonts w:eastAsia="宋体" w:cs="Times New Roman"/>
                <w:sz w:val="18"/>
                <w:szCs w:val="18"/>
              </w:rPr>
              <w:t>96.00</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AC4ECC">
              <w:rPr>
                <w:rFonts w:eastAsia="宋体" w:cs="Times New Roman"/>
                <w:sz w:val="18"/>
                <w:szCs w:val="18"/>
              </w:rPr>
              <w:t>96.00</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宋体" w:cs="Times New Roman" w:hint="eastAsia"/>
                <w:sz w:val="18"/>
                <w:szCs w:val="18"/>
              </w:rPr>
              <w:t>-</w:t>
            </w:r>
            <w:r>
              <w:rPr>
                <w:rFonts w:eastAsia="宋体" w:cs="Times New Roman"/>
                <w:sz w:val="18"/>
                <w:szCs w:val="18"/>
              </w:rPr>
              <w:t>    </w:t>
            </w:r>
          </w:p>
        </w:tc>
      </w:tr>
      <w:tr w:rsidR="004A1379" w:rsidRPr="00A71D2E" w:rsidTr="0027505B">
        <w:trPr>
          <w:trHeight w:val="20"/>
        </w:trPr>
        <w:tc>
          <w:tcPr>
            <w:tcW w:w="2025" w:type="dxa"/>
            <w:shd w:val="clear" w:color="auto" w:fill="D9D9D9" w:themeFill="background1" w:themeFillShade="D9"/>
            <w:tcMar>
              <w:top w:w="0" w:type="dxa"/>
              <w:left w:w="108" w:type="dxa"/>
              <w:bottom w:w="0" w:type="dxa"/>
              <w:right w:w="108" w:type="dxa"/>
            </w:tcMar>
            <w:vAlign w:val="center"/>
            <w:hideMark/>
          </w:tcPr>
          <w:p w:rsidR="004A1379" w:rsidRPr="00A71D2E" w:rsidRDefault="004A1379" w:rsidP="004A1379">
            <w:pPr>
              <w:rPr>
                <w:rFonts w:eastAsia="宋体" w:cs="Times New Roman"/>
                <w:bCs/>
                <w:sz w:val="18"/>
                <w:szCs w:val="18"/>
              </w:rPr>
            </w:pPr>
            <w:r w:rsidRPr="00A71D2E">
              <w:rPr>
                <w:rFonts w:eastAsia="宋体" w:cs="Times New Roman" w:hint="eastAsia"/>
                <w:bCs/>
                <w:sz w:val="18"/>
                <w:szCs w:val="18"/>
              </w:rPr>
              <w:t>合计</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Pr>
                <w:rFonts w:eastAsia="华文细黑" w:cs="Times New Roman"/>
                <w:color w:val="000000"/>
                <w:sz w:val="18"/>
                <w:szCs w:val="18"/>
              </w:rPr>
              <w:t>0.80</w:t>
            </w:r>
          </w:p>
        </w:tc>
        <w:tc>
          <w:tcPr>
            <w:tcW w:w="1856" w:type="dxa"/>
            <w:vAlign w:val="center"/>
          </w:tcPr>
          <w:p w:rsidR="004A1379" w:rsidRPr="00967E8D" w:rsidRDefault="004A1379" w:rsidP="004A1379">
            <w:pPr>
              <w:ind w:left="49" w:right="117"/>
              <w:jc w:val="right"/>
              <w:rPr>
                <w:rFonts w:eastAsia="宋体" w:cs="Times New Roman"/>
                <w:sz w:val="18"/>
                <w:szCs w:val="18"/>
              </w:rPr>
            </w:pPr>
            <w:r w:rsidRPr="00AC4ECC">
              <w:rPr>
                <w:rFonts w:eastAsia="宋体" w:cs="Times New Roman"/>
                <w:sz w:val="18"/>
                <w:szCs w:val="18"/>
              </w:rPr>
              <w:t>203,413,236.85</w:t>
            </w:r>
          </w:p>
        </w:tc>
        <w:tc>
          <w:tcPr>
            <w:tcW w:w="1856"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AC4ECC">
              <w:rPr>
                <w:rFonts w:eastAsia="宋体" w:cs="Times New Roman"/>
                <w:sz w:val="18"/>
                <w:szCs w:val="18"/>
              </w:rPr>
              <w:t>1,637,324.43</w:t>
            </w:r>
          </w:p>
        </w:tc>
        <w:tc>
          <w:tcPr>
            <w:tcW w:w="1857" w:type="dxa"/>
            <w:shd w:val="clear" w:color="auto" w:fill="auto"/>
            <w:vAlign w:val="center"/>
          </w:tcPr>
          <w:p w:rsidR="004A1379" w:rsidRPr="00A71D2E" w:rsidRDefault="004A1379" w:rsidP="004A1379">
            <w:pPr>
              <w:ind w:left="49" w:right="117"/>
              <w:jc w:val="right"/>
              <w:rPr>
                <w:rFonts w:eastAsia="宋体" w:cs="Times New Roman"/>
                <w:sz w:val="18"/>
                <w:szCs w:val="18"/>
              </w:rPr>
            </w:pPr>
            <w:r w:rsidRPr="004A1379">
              <w:rPr>
                <w:rFonts w:eastAsia="宋体" w:cs="Times New Roman"/>
                <w:sz w:val="18"/>
                <w:szCs w:val="18"/>
              </w:rPr>
              <w:t>201,775,912.42</w:t>
            </w:r>
          </w:p>
        </w:tc>
      </w:tr>
    </w:tbl>
    <w:p w:rsidR="004A1379" w:rsidRDefault="004A1379" w:rsidP="00F66363">
      <w:pPr>
        <w:ind w:left="720"/>
        <w:jc w:val="both"/>
        <w:rPr>
          <w:rFonts w:eastAsia="宋体" w:cs="Times New Roman"/>
          <w:szCs w:val="21"/>
        </w:rPr>
      </w:pPr>
    </w:p>
    <w:p w:rsidR="00753B8C" w:rsidRDefault="00753B8C" w:rsidP="00F66363">
      <w:pPr>
        <w:ind w:left="720"/>
        <w:jc w:val="both"/>
        <w:rPr>
          <w:rFonts w:eastAsia="宋体" w:cs="Times New Roman"/>
          <w:szCs w:val="21"/>
        </w:rPr>
      </w:pPr>
      <w:r w:rsidRPr="00A71D2E">
        <w:rPr>
          <w:rFonts w:eastAsia="宋体" w:cs="Times New Roman" w:hint="eastAsia"/>
          <w:szCs w:val="21"/>
        </w:rPr>
        <w:t>组合</w:t>
      </w:r>
      <w:r w:rsidR="0000763F">
        <w:rPr>
          <w:rFonts w:eastAsia="宋体" w:cs="Times New Roman"/>
          <w:szCs w:val="21"/>
        </w:rPr>
        <w:t>C</w:t>
      </w:r>
      <w:r w:rsidRPr="00A71D2E">
        <w:rPr>
          <w:rFonts w:eastAsia="宋体" w:cs="Times New Roman" w:hint="eastAsia"/>
          <w:szCs w:val="21"/>
        </w:rPr>
        <w:t>的应收账款的信用风险与</w:t>
      </w:r>
      <w:r w:rsidR="00B04AF4">
        <w:rPr>
          <w:rFonts w:eastAsia="宋体" w:cs="Times New Roman" w:hint="eastAsia"/>
          <w:szCs w:val="24"/>
        </w:rPr>
        <w:t>坏账</w:t>
      </w:r>
      <w:r w:rsidRPr="00A71D2E">
        <w:rPr>
          <w:rFonts w:eastAsia="宋体" w:cs="Times New Roman" w:hint="eastAsia"/>
          <w:szCs w:val="24"/>
        </w:rPr>
        <w:t>准备</w:t>
      </w:r>
      <w:r w:rsidRPr="00A71D2E">
        <w:rPr>
          <w:rFonts w:eastAsia="宋体" w:cs="Times New Roman" w:hint="eastAsia"/>
          <w:szCs w:val="21"/>
        </w:rPr>
        <w:t>情况如下</w:t>
      </w:r>
      <w:r w:rsidR="005F14EE">
        <w:rPr>
          <w:rFonts w:eastAsia="宋体" w:cs="Times New Roman" w:hint="eastAsia"/>
          <w:szCs w:val="21"/>
        </w:rPr>
        <w:t>：</w:t>
      </w:r>
    </w:p>
    <w:p w:rsidR="00981439" w:rsidRDefault="00981439" w:rsidP="00981439">
      <w:pPr>
        <w:ind w:left="72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25"/>
        <w:gridCol w:w="1856"/>
        <w:gridCol w:w="1856"/>
        <w:gridCol w:w="1856"/>
        <w:gridCol w:w="1857"/>
      </w:tblGrid>
      <w:tr w:rsidR="00981439" w:rsidRPr="00A71D2E" w:rsidTr="0027505B">
        <w:trPr>
          <w:trHeight w:val="20"/>
        </w:trPr>
        <w:tc>
          <w:tcPr>
            <w:tcW w:w="2025" w:type="dxa"/>
            <w:vMerge w:val="restart"/>
            <w:shd w:val="clear" w:color="auto" w:fill="D9D9D9" w:themeFill="background1" w:themeFillShade="D9"/>
            <w:tcMar>
              <w:top w:w="0" w:type="dxa"/>
              <w:left w:w="108" w:type="dxa"/>
              <w:bottom w:w="0" w:type="dxa"/>
              <w:right w:w="108" w:type="dxa"/>
            </w:tcMar>
            <w:vAlign w:val="center"/>
            <w:hideMark/>
          </w:tcPr>
          <w:p w:rsidR="00981439" w:rsidRPr="00A71D2E" w:rsidRDefault="00981439" w:rsidP="00E456AF">
            <w:pPr>
              <w:jc w:val="center"/>
              <w:rPr>
                <w:rFonts w:eastAsia="宋体" w:cs="Times New Roman"/>
                <w:sz w:val="18"/>
                <w:szCs w:val="18"/>
              </w:rPr>
            </w:pPr>
            <w:r w:rsidRPr="00A71D2E">
              <w:rPr>
                <w:rFonts w:eastAsia="宋体" w:cs="Times New Roman" w:hint="eastAsia"/>
                <w:sz w:val="18"/>
                <w:szCs w:val="18"/>
              </w:rPr>
              <w:t>账龄</w:t>
            </w:r>
          </w:p>
        </w:tc>
        <w:tc>
          <w:tcPr>
            <w:tcW w:w="7425" w:type="dxa"/>
            <w:gridSpan w:val="4"/>
            <w:shd w:val="clear" w:color="auto" w:fill="D9D9D9" w:themeFill="background1" w:themeFillShade="D9"/>
            <w:vAlign w:val="center"/>
          </w:tcPr>
          <w:p w:rsidR="00981439" w:rsidRPr="00A71D2E" w:rsidRDefault="00981439" w:rsidP="00E456AF">
            <w:pPr>
              <w:ind w:left="31" w:right="93"/>
              <w:jc w:val="center"/>
              <w:rPr>
                <w:rFonts w:eastAsia="宋体" w:cs="Times New Roman"/>
                <w:sz w:val="18"/>
                <w:szCs w:val="18"/>
              </w:rPr>
            </w:pPr>
            <w:r w:rsidRPr="00A71D2E">
              <w:rPr>
                <w:rFonts w:eastAsia="宋体" w:cs="Times New Roman" w:hint="eastAsia"/>
                <w:sz w:val="18"/>
                <w:szCs w:val="18"/>
              </w:rPr>
              <w:t>年末余额</w:t>
            </w:r>
          </w:p>
        </w:tc>
      </w:tr>
      <w:tr w:rsidR="00981439" w:rsidRPr="00A71D2E" w:rsidTr="0027505B">
        <w:trPr>
          <w:trHeight w:val="20"/>
        </w:trPr>
        <w:tc>
          <w:tcPr>
            <w:tcW w:w="2025" w:type="dxa"/>
            <w:vMerge/>
            <w:shd w:val="clear" w:color="auto" w:fill="D9D9D9" w:themeFill="background1" w:themeFillShade="D9"/>
            <w:tcMar>
              <w:top w:w="0" w:type="dxa"/>
              <w:left w:w="108" w:type="dxa"/>
              <w:bottom w:w="0" w:type="dxa"/>
              <w:right w:w="108" w:type="dxa"/>
            </w:tcMar>
            <w:vAlign w:val="center"/>
            <w:hideMark/>
          </w:tcPr>
          <w:p w:rsidR="00981439" w:rsidRPr="00A71D2E" w:rsidRDefault="00981439" w:rsidP="00E456AF">
            <w:pPr>
              <w:jc w:val="center"/>
              <w:rPr>
                <w:rFonts w:eastAsia="宋体" w:cs="Times New Roman"/>
                <w:sz w:val="18"/>
                <w:szCs w:val="18"/>
              </w:rPr>
            </w:pPr>
          </w:p>
        </w:tc>
        <w:tc>
          <w:tcPr>
            <w:tcW w:w="1856" w:type="dxa"/>
            <w:shd w:val="clear" w:color="auto" w:fill="D9D9D9" w:themeFill="background1" w:themeFillShade="D9"/>
            <w:vAlign w:val="center"/>
          </w:tcPr>
          <w:p w:rsidR="00981439" w:rsidRDefault="00981439" w:rsidP="00E456AF">
            <w:pPr>
              <w:ind w:left="49" w:right="90"/>
              <w:jc w:val="center"/>
              <w:rPr>
                <w:rFonts w:eastAsia="宋体" w:cs="Times New Roman"/>
                <w:sz w:val="18"/>
                <w:szCs w:val="18"/>
              </w:rPr>
            </w:pPr>
            <w:r>
              <w:rPr>
                <w:rFonts w:eastAsia="宋体" w:cs="Times New Roman" w:hint="eastAsia"/>
                <w:sz w:val="18"/>
                <w:szCs w:val="18"/>
              </w:rPr>
              <w:t>预期平均损失率</w:t>
            </w:r>
          </w:p>
          <w:p w:rsidR="00981439" w:rsidRPr="00A71D2E" w:rsidRDefault="005F14EE" w:rsidP="00E456AF">
            <w:pPr>
              <w:ind w:left="49" w:right="90"/>
              <w:jc w:val="center"/>
              <w:rPr>
                <w:rFonts w:eastAsia="宋体" w:cs="Times New Roman"/>
                <w:sz w:val="18"/>
                <w:szCs w:val="18"/>
              </w:rPr>
            </w:pPr>
            <w:r>
              <w:rPr>
                <w:rFonts w:eastAsia="宋体" w:cs="Times New Roman" w:hint="eastAsia"/>
                <w:sz w:val="18"/>
                <w:szCs w:val="18"/>
              </w:rPr>
              <w:t>(</w:t>
            </w:r>
            <w:r w:rsidR="00981439">
              <w:rPr>
                <w:rFonts w:eastAsia="宋体" w:cs="Times New Roman"/>
                <w:sz w:val="18"/>
                <w:szCs w:val="18"/>
              </w:rPr>
              <w:t>%</w:t>
            </w:r>
            <w:r>
              <w:rPr>
                <w:rFonts w:eastAsia="宋体" w:cs="Times New Roman"/>
                <w:sz w:val="18"/>
                <w:szCs w:val="18"/>
              </w:rPr>
              <w:t>)</w:t>
            </w:r>
          </w:p>
        </w:tc>
        <w:tc>
          <w:tcPr>
            <w:tcW w:w="1856" w:type="dxa"/>
            <w:shd w:val="clear" w:color="auto" w:fill="D9D9D9"/>
            <w:vAlign w:val="center"/>
          </w:tcPr>
          <w:p w:rsidR="00981439" w:rsidRDefault="00981439" w:rsidP="00E456AF">
            <w:pPr>
              <w:ind w:left="49" w:right="90"/>
              <w:jc w:val="center"/>
              <w:rPr>
                <w:rFonts w:eastAsia="宋体" w:cs="Times New Roman"/>
                <w:sz w:val="18"/>
                <w:szCs w:val="18"/>
              </w:rPr>
            </w:pPr>
            <w:r>
              <w:rPr>
                <w:rFonts w:eastAsia="宋体" w:cs="Times New Roman" w:hint="eastAsia"/>
                <w:sz w:val="18"/>
                <w:szCs w:val="18"/>
              </w:rPr>
              <w:t>账面余额</w:t>
            </w:r>
          </w:p>
        </w:tc>
        <w:tc>
          <w:tcPr>
            <w:tcW w:w="1856" w:type="dxa"/>
            <w:shd w:val="clear" w:color="auto" w:fill="D9D9D9"/>
            <w:vAlign w:val="center"/>
          </w:tcPr>
          <w:p w:rsidR="00981439" w:rsidRPr="00A71D2E" w:rsidRDefault="00981439" w:rsidP="00E456AF">
            <w:pPr>
              <w:ind w:left="49" w:right="90"/>
              <w:jc w:val="center"/>
              <w:rPr>
                <w:rFonts w:eastAsia="宋体" w:cs="Times New Roman"/>
                <w:sz w:val="18"/>
                <w:szCs w:val="18"/>
              </w:rPr>
            </w:pPr>
            <w:r>
              <w:rPr>
                <w:rFonts w:eastAsia="宋体" w:cs="Times New Roman" w:hint="eastAsia"/>
                <w:sz w:val="18"/>
                <w:szCs w:val="18"/>
              </w:rPr>
              <w:t>坏账准备</w:t>
            </w:r>
          </w:p>
        </w:tc>
        <w:tc>
          <w:tcPr>
            <w:tcW w:w="1857" w:type="dxa"/>
            <w:shd w:val="clear" w:color="auto" w:fill="D9D9D9" w:themeFill="background1" w:themeFillShade="D9"/>
            <w:vAlign w:val="center"/>
          </w:tcPr>
          <w:p w:rsidR="00981439" w:rsidRPr="00A71D2E" w:rsidRDefault="00981439" w:rsidP="00E456AF">
            <w:pPr>
              <w:ind w:left="49" w:right="90"/>
              <w:jc w:val="center"/>
              <w:rPr>
                <w:rFonts w:eastAsia="宋体" w:cs="Times New Roman"/>
                <w:sz w:val="18"/>
                <w:szCs w:val="18"/>
              </w:rPr>
            </w:pPr>
            <w:r>
              <w:rPr>
                <w:rFonts w:eastAsia="宋体" w:cs="Times New Roman"/>
                <w:sz w:val="18"/>
                <w:szCs w:val="18"/>
              </w:rPr>
              <w:t>账面价值</w:t>
            </w:r>
          </w:p>
        </w:tc>
      </w:tr>
      <w:tr w:rsidR="00981439" w:rsidRPr="00A71D2E" w:rsidTr="0027505B">
        <w:trPr>
          <w:trHeight w:val="20"/>
        </w:trPr>
        <w:tc>
          <w:tcPr>
            <w:tcW w:w="2025" w:type="dxa"/>
            <w:shd w:val="clear" w:color="auto" w:fill="FFFFFF" w:themeFill="background1"/>
            <w:tcMar>
              <w:top w:w="0" w:type="dxa"/>
              <w:left w:w="108" w:type="dxa"/>
              <w:bottom w:w="0" w:type="dxa"/>
              <w:right w:w="108" w:type="dxa"/>
            </w:tcMar>
            <w:vAlign w:val="center"/>
            <w:hideMark/>
          </w:tcPr>
          <w:p w:rsidR="00981439" w:rsidRPr="00A71D2E" w:rsidRDefault="00981439" w:rsidP="00981439">
            <w:pPr>
              <w:ind w:left="-18" w:right="87"/>
              <w:rPr>
                <w:rFonts w:eastAsia="宋体" w:cs="Times New Roman"/>
                <w:sz w:val="18"/>
                <w:szCs w:val="18"/>
              </w:rPr>
            </w:pPr>
            <w:r w:rsidRPr="00A71D2E">
              <w:rPr>
                <w:rFonts w:eastAsia="宋体" w:cs="Times New Roman" w:hint="eastAsia"/>
                <w:sz w:val="18"/>
                <w:szCs w:val="18"/>
              </w:rPr>
              <w:t>信用期内</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Pr>
                <w:rFonts w:eastAsia="华文细黑" w:cs="Times New Roman"/>
                <w:color w:val="000000"/>
                <w:sz w:val="18"/>
                <w:szCs w:val="18"/>
              </w:rPr>
              <w:t>0.16</w:t>
            </w:r>
          </w:p>
        </w:tc>
        <w:tc>
          <w:tcPr>
            <w:tcW w:w="1856" w:type="dxa"/>
            <w:vAlign w:val="center"/>
          </w:tcPr>
          <w:p w:rsidR="00981439" w:rsidRPr="00967E8D" w:rsidRDefault="00981439" w:rsidP="00981439">
            <w:pPr>
              <w:ind w:left="49" w:right="117"/>
              <w:jc w:val="right"/>
              <w:rPr>
                <w:rFonts w:eastAsia="宋体" w:cs="Times New Roman"/>
                <w:sz w:val="18"/>
                <w:szCs w:val="18"/>
              </w:rPr>
            </w:pPr>
            <w:r w:rsidRPr="00AC4ECC">
              <w:rPr>
                <w:rFonts w:eastAsia="宋体" w:cs="Times New Roman"/>
                <w:sz w:val="18"/>
                <w:szCs w:val="18"/>
              </w:rPr>
              <w:t>339,270,385.85</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sidRPr="00AC4ECC">
              <w:rPr>
                <w:rFonts w:eastAsia="宋体" w:cs="Times New Roman"/>
                <w:sz w:val="18"/>
                <w:szCs w:val="18"/>
              </w:rPr>
              <w:t>554,029.92</w:t>
            </w:r>
          </w:p>
        </w:tc>
        <w:tc>
          <w:tcPr>
            <w:tcW w:w="1857" w:type="dxa"/>
            <w:shd w:val="clear" w:color="auto" w:fill="auto"/>
            <w:vAlign w:val="center"/>
          </w:tcPr>
          <w:p w:rsidR="00981439" w:rsidRPr="00A71D2E" w:rsidRDefault="00981439" w:rsidP="00981439">
            <w:pPr>
              <w:ind w:left="49" w:right="117"/>
              <w:jc w:val="right"/>
              <w:rPr>
                <w:rFonts w:eastAsia="宋体" w:cs="Times New Roman"/>
                <w:sz w:val="18"/>
                <w:szCs w:val="18"/>
              </w:rPr>
            </w:pPr>
            <w:r w:rsidRPr="00981439">
              <w:rPr>
                <w:rFonts w:eastAsia="宋体" w:cs="Times New Roman"/>
                <w:sz w:val="18"/>
                <w:szCs w:val="18"/>
              </w:rPr>
              <w:t>338,716,355.93</w:t>
            </w:r>
          </w:p>
        </w:tc>
      </w:tr>
      <w:tr w:rsidR="00981439" w:rsidRPr="00A71D2E" w:rsidTr="0027505B">
        <w:trPr>
          <w:trHeight w:val="20"/>
        </w:trPr>
        <w:tc>
          <w:tcPr>
            <w:tcW w:w="2025" w:type="dxa"/>
            <w:shd w:val="clear" w:color="auto" w:fill="FFFFFF" w:themeFill="background1"/>
            <w:tcMar>
              <w:top w:w="0" w:type="dxa"/>
              <w:left w:w="108" w:type="dxa"/>
              <w:bottom w:w="0" w:type="dxa"/>
              <w:right w:w="108" w:type="dxa"/>
            </w:tcMar>
            <w:vAlign w:val="center"/>
            <w:hideMark/>
          </w:tcPr>
          <w:p w:rsidR="00981439" w:rsidRPr="00A71D2E" w:rsidRDefault="00981439" w:rsidP="0098143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年以内</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Pr>
                <w:rFonts w:eastAsia="华文细黑" w:cs="Times New Roman"/>
                <w:color w:val="000000"/>
                <w:sz w:val="18"/>
                <w:szCs w:val="18"/>
              </w:rPr>
              <w:t>9.37</w:t>
            </w:r>
          </w:p>
        </w:tc>
        <w:tc>
          <w:tcPr>
            <w:tcW w:w="1856" w:type="dxa"/>
            <w:vAlign w:val="center"/>
          </w:tcPr>
          <w:p w:rsidR="00981439" w:rsidRPr="00967E8D" w:rsidRDefault="00981439" w:rsidP="00981439">
            <w:pPr>
              <w:ind w:left="49" w:right="117"/>
              <w:jc w:val="right"/>
              <w:rPr>
                <w:rFonts w:eastAsia="宋体" w:cs="Times New Roman"/>
                <w:sz w:val="18"/>
                <w:szCs w:val="18"/>
              </w:rPr>
            </w:pPr>
            <w:r w:rsidRPr="00AC4ECC">
              <w:rPr>
                <w:rFonts w:eastAsia="宋体" w:cs="Times New Roman"/>
                <w:sz w:val="18"/>
                <w:szCs w:val="18"/>
              </w:rPr>
              <w:t>36,358,373.21</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sidRPr="00AC4ECC">
              <w:rPr>
                <w:rFonts w:eastAsia="宋体" w:cs="Times New Roman"/>
                <w:sz w:val="18"/>
                <w:szCs w:val="18"/>
              </w:rPr>
              <w:t>3,408,392.34</w:t>
            </w:r>
          </w:p>
        </w:tc>
        <w:tc>
          <w:tcPr>
            <w:tcW w:w="1857" w:type="dxa"/>
            <w:shd w:val="clear" w:color="auto" w:fill="auto"/>
            <w:vAlign w:val="center"/>
          </w:tcPr>
          <w:p w:rsidR="00981439" w:rsidRPr="00A71D2E" w:rsidRDefault="00981439" w:rsidP="00981439">
            <w:pPr>
              <w:ind w:left="49" w:right="117"/>
              <w:jc w:val="right"/>
              <w:rPr>
                <w:rFonts w:eastAsia="宋体" w:cs="Times New Roman"/>
                <w:sz w:val="18"/>
                <w:szCs w:val="18"/>
              </w:rPr>
            </w:pPr>
            <w:r w:rsidRPr="00981439">
              <w:rPr>
                <w:rFonts w:eastAsia="宋体" w:cs="Times New Roman"/>
                <w:sz w:val="18"/>
                <w:szCs w:val="18"/>
              </w:rPr>
              <w:t>32,949,980.87</w:t>
            </w:r>
          </w:p>
        </w:tc>
      </w:tr>
      <w:tr w:rsidR="00981439" w:rsidRPr="00A71D2E" w:rsidTr="0027505B">
        <w:trPr>
          <w:trHeight w:val="20"/>
        </w:trPr>
        <w:tc>
          <w:tcPr>
            <w:tcW w:w="2025" w:type="dxa"/>
            <w:shd w:val="clear" w:color="auto" w:fill="FFFFFF" w:themeFill="background1"/>
            <w:tcMar>
              <w:top w:w="0" w:type="dxa"/>
              <w:left w:w="108" w:type="dxa"/>
              <w:bottom w:w="0" w:type="dxa"/>
              <w:right w:w="108" w:type="dxa"/>
            </w:tcMar>
            <w:vAlign w:val="center"/>
          </w:tcPr>
          <w:p w:rsidR="00981439" w:rsidRPr="00A71D2E" w:rsidRDefault="00981439" w:rsidP="0098143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1</w:t>
            </w:r>
            <w:r w:rsidRPr="00967E8D">
              <w:rPr>
                <w:rFonts w:eastAsia="宋体" w:cs="Times New Roman" w:hint="eastAsia"/>
                <w:sz w:val="18"/>
                <w:szCs w:val="18"/>
              </w:rPr>
              <w:t>年至</w:t>
            </w:r>
            <w:r w:rsidRPr="00967E8D">
              <w:rPr>
                <w:rFonts w:eastAsia="宋体" w:cs="Times New Roman" w:hint="eastAsia"/>
                <w:sz w:val="18"/>
                <w:szCs w:val="18"/>
              </w:rPr>
              <w:t>2</w:t>
            </w:r>
            <w:r w:rsidRPr="00967E8D">
              <w:rPr>
                <w:rFonts w:eastAsia="宋体" w:cs="Times New Roman" w:hint="eastAsia"/>
                <w:sz w:val="18"/>
                <w:szCs w:val="18"/>
              </w:rPr>
              <w:t>年</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Pr>
                <w:rFonts w:eastAsia="华文细黑" w:cs="Times New Roman"/>
                <w:color w:val="000000"/>
                <w:sz w:val="18"/>
                <w:szCs w:val="18"/>
              </w:rPr>
              <w:t>100</w:t>
            </w:r>
            <w:r>
              <w:rPr>
                <w:rFonts w:eastAsia="华文细黑" w:cs="Times New Roman" w:hint="eastAsia"/>
                <w:color w:val="000000"/>
                <w:sz w:val="18"/>
                <w:szCs w:val="18"/>
              </w:rPr>
              <w:t>.</w:t>
            </w:r>
            <w:r>
              <w:rPr>
                <w:rFonts w:eastAsia="华文细黑" w:cs="Times New Roman"/>
                <w:color w:val="000000"/>
                <w:sz w:val="18"/>
                <w:szCs w:val="18"/>
              </w:rPr>
              <w:t>00</w:t>
            </w:r>
          </w:p>
        </w:tc>
        <w:tc>
          <w:tcPr>
            <w:tcW w:w="1856" w:type="dxa"/>
            <w:vAlign w:val="center"/>
          </w:tcPr>
          <w:p w:rsidR="00981439" w:rsidRPr="00967E8D" w:rsidRDefault="00981439" w:rsidP="00981439">
            <w:pPr>
              <w:ind w:left="49" w:right="117"/>
              <w:jc w:val="right"/>
              <w:rPr>
                <w:rFonts w:eastAsia="宋体" w:cs="Times New Roman"/>
                <w:sz w:val="18"/>
                <w:szCs w:val="18"/>
              </w:rPr>
            </w:pPr>
            <w:r w:rsidRPr="00AC4ECC">
              <w:rPr>
                <w:rFonts w:eastAsia="宋体" w:cs="Times New Roman"/>
                <w:sz w:val="18"/>
                <w:szCs w:val="18"/>
              </w:rPr>
              <w:t>1,390,827.60</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sidRPr="00AC4ECC">
              <w:rPr>
                <w:rFonts w:eastAsia="宋体" w:cs="Times New Roman"/>
                <w:sz w:val="18"/>
                <w:szCs w:val="18"/>
              </w:rPr>
              <w:t>1,390,827.60</w:t>
            </w:r>
          </w:p>
        </w:tc>
        <w:tc>
          <w:tcPr>
            <w:tcW w:w="1857" w:type="dxa"/>
            <w:shd w:val="clear" w:color="auto" w:fill="auto"/>
            <w:vAlign w:val="center"/>
          </w:tcPr>
          <w:p w:rsidR="00981439" w:rsidRPr="00A71D2E" w:rsidRDefault="00981439" w:rsidP="00981439">
            <w:pPr>
              <w:ind w:left="49" w:right="117"/>
              <w:jc w:val="right"/>
              <w:rPr>
                <w:rFonts w:eastAsia="宋体" w:cs="Times New Roman"/>
                <w:sz w:val="18"/>
                <w:szCs w:val="18"/>
              </w:rPr>
            </w:pPr>
            <w:r>
              <w:rPr>
                <w:rFonts w:eastAsia="宋体" w:cs="Times New Roman" w:hint="eastAsia"/>
                <w:sz w:val="18"/>
                <w:szCs w:val="18"/>
              </w:rPr>
              <w:t>-</w:t>
            </w:r>
            <w:r>
              <w:rPr>
                <w:rFonts w:eastAsia="宋体" w:cs="Times New Roman"/>
                <w:sz w:val="18"/>
                <w:szCs w:val="18"/>
              </w:rPr>
              <w:t>    </w:t>
            </w:r>
          </w:p>
        </w:tc>
      </w:tr>
      <w:tr w:rsidR="00981439" w:rsidRPr="00A71D2E" w:rsidTr="0027505B">
        <w:trPr>
          <w:trHeight w:val="20"/>
        </w:trPr>
        <w:tc>
          <w:tcPr>
            <w:tcW w:w="2025" w:type="dxa"/>
            <w:shd w:val="clear" w:color="auto" w:fill="FFFFFF" w:themeFill="background1"/>
            <w:tcMar>
              <w:top w:w="0" w:type="dxa"/>
              <w:left w:w="108" w:type="dxa"/>
              <w:bottom w:w="0" w:type="dxa"/>
              <w:right w:w="108" w:type="dxa"/>
            </w:tcMar>
            <w:vAlign w:val="center"/>
          </w:tcPr>
          <w:p w:rsidR="00981439" w:rsidRPr="00A71D2E" w:rsidRDefault="00981439" w:rsidP="0098143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2</w:t>
            </w:r>
            <w:r w:rsidRPr="00967E8D">
              <w:rPr>
                <w:rFonts w:eastAsia="宋体" w:cs="Times New Roman" w:hint="eastAsia"/>
                <w:sz w:val="18"/>
                <w:szCs w:val="18"/>
              </w:rPr>
              <w:t>年至</w:t>
            </w:r>
            <w:r w:rsidRPr="00967E8D">
              <w:rPr>
                <w:rFonts w:eastAsia="宋体" w:cs="Times New Roman" w:hint="eastAsia"/>
                <w:sz w:val="18"/>
                <w:szCs w:val="18"/>
              </w:rPr>
              <w:t>3</w:t>
            </w:r>
            <w:r w:rsidRPr="00967E8D">
              <w:rPr>
                <w:rFonts w:eastAsia="宋体" w:cs="Times New Roman" w:hint="eastAsia"/>
                <w:sz w:val="18"/>
                <w:szCs w:val="18"/>
              </w:rPr>
              <w:t>年</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Pr>
                <w:rFonts w:eastAsia="华文细黑" w:cs="Times New Roman"/>
                <w:color w:val="000000"/>
                <w:sz w:val="18"/>
                <w:szCs w:val="18"/>
              </w:rPr>
              <w:t>100.00</w:t>
            </w:r>
          </w:p>
        </w:tc>
        <w:tc>
          <w:tcPr>
            <w:tcW w:w="1856" w:type="dxa"/>
            <w:vAlign w:val="center"/>
          </w:tcPr>
          <w:p w:rsidR="00981439" w:rsidRPr="00967E8D" w:rsidRDefault="00981439" w:rsidP="00981439">
            <w:pPr>
              <w:ind w:left="49" w:right="117"/>
              <w:jc w:val="right"/>
              <w:rPr>
                <w:rFonts w:eastAsia="宋体" w:cs="Times New Roman"/>
                <w:sz w:val="18"/>
                <w:szCs w:val="18"/>
              </w:rPr>
            </w:pPr>
            <w:r w:rsidRPr="00AC4ECC">
              <w:rPr>
                <w:rFonts w:eastAsia="宋体" w:cs="Times New Roman"/>
                <w:sz w:val="18"/>
                <w:szCs w:val="18"/>
              </w:rPr>
              <w:t>1,470,443.84</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sidRPr="00AC4ECC">
              <w:rPr>
                <w:rFonts w:eastAsia="宋体" w:cs="Times New Roman"/>
                <w:sz w:val="18"/>
                <w:szCs w:val="18"/>
              </w:rPr>
              <w:t>1,470,443.84</w:t>
            </w:r>
          </w:p>
        </w:tc>
        <w:tc>
          <w:tcPr>
            <w:tcW w:w="1857" w:type="dxa"/>
            <w:shd w:val="clear" w:color="auto" w:fill="auto"/>
            <w:vAlign w:val="center"/>
          </w:tcPr>
          <w:p w:rsidR="00981439" w:rsidRPr="00A71D2E" w:rsidRDefault="00981439" w:rsidP="00981439">
            <w:pPr>
              <w:ind w:left="49" w:right="117"/>
              <w:jc w:val="right"/>
              <w:rPr>
                <w:rFonts w:eastAsia="宋体" w:cs="Times New Roman"/>
                <w:sz w:val="18"/>
                <w:szCs w:val="18"/>
              </w:rPr>
            </w:pPr>
            <w:r>
              <w:rPr>
                <w:rFonts w:eastAsia="宋体" w:cs="Times New Roman" w:hint="eastAsia"/>
                <w:sz w:val="18"/>
                <w:szCs w:val="18"/>
              </w:rPr>
              <w:t>-</w:t>
            </w:r>
            <w:r>
              <w:rPr>
                <w:rFonts w:eastAsia="宋体" w:cs="Times New Roman"/>
                <w:sz w:val="18"/>
                <w:szCs w:val="18"/>
              </w:rPr>
              <w:t>    </w:t>
            </w:r>
          </w:p>
        </w:tc>
      </w:tr>
      <w:tr w:rsidR="00981439" w:rsidRPr="00A71D2E" w:rsidTr="0027505B">
        <w:trPr>
          <w:trHeight w:val="20"/>
        </w:trPr>
        <w:tc>
          <w:tcPr>
            <w:tcW w:w="2025" w:type="dxa"/>
            <w:shd w:val="clear" w:color="auto" w:fill="FFFFFF" w:themeFill="background1"/>
            <w:tcMar>
              <w:top w:w="0" w:type="dxa"/>
              <w:left w:w="108" w:type="dxa"/>
              <w:bottom w:w="0" w:type="dxa"/>
              <w:right w:w="108" w:type="dxa"/>
            </w:tcMar>
            <w:vAlign w:val="center"/>
          </w:tcPr>
          <w:p w:rsidR="00981439" w:rsidRPr="00A71D2E" w:rsidRDefault="00981439" w:rsidP="00981439">
            <w:pPr>
              <w:ind w:left="-18" w:right="87"/>
              <w:rPr>
                <w:rFonts w:eastAsia="宋体" w:cs="Times New Roman"/>
                <w:sz w:val="18"/>
                <w:szCs w:val="18"/>
              </w:rPr>
            </w:pPr>
            <w:r w:rsidRPr="00D25697">
              <w:rPr>
                <w:rFonts w:eastAsia="宋体" w:cs="Times New Roman" w:hint="eastAsia"/>
                <w:sz w:val="18"/>
                <w:szCs w:val="18"/>
              </w:rPr>
              <w:t>超信用期</w:t>
            </w:r>
            <w:r w:rsidRPr="00967E8D">
              <w:rPr>
                <w:rFonts w:eastAsia="宋体" w:cs="Times New Roman" w:hint="eastAsia"/>
                <w:sz w:val="18"/>
                <w:szCs w:val="18"/>
              </w:rPr>
              <w:t>3</w:t>
            </w:r>
            <w:r w:rsidRPr="00967E8D">
              <w:rPr>
                <w:rFonts w:eastAsia="宋体" w:cs="Times New Roman" w:hint="eastAsia"/>
                <w:sz w:val="18"/>
                <w:szCs w:val="18"/>
              </w:rPr>
              <w:t>年以上</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Pr>
                <w:rFonts w:eastAsia="华文细黑" w:cs="Times New Roman"/>
                <w:color w:val="000000"/>
                <w:sz w:val="18"/>
                <w:szCs w:val="18"/>
              </w:rPr>
              <w:t>100.00</w:t>
            </w:r>
          </w:p>
        </w:tc>
        <w:tc>
          <w:tcPr>
            <w:tcW w:w="1856" w:type="dxa"/>
            <w:vAlign w:val="center"/>
          </w:tcPr>
          <w:p w:rsidR="00981439" w:rsidRPr="00967E8D" w:rsidRDefault="00981439" w:rsidP="00981439">
            <w:pPr>
              <w:ind w:left="49" w:right="117"/>
              <w:jc w:val="right"/>
              <w:rPr>
                <w:rFonts w:eastAsia="宋体" w:cs="Times New Roman"/>
                <w:sz w:val="18"/>
                <w:szCs w:val="18"/>
              </w:rPr>
            </w:pPr>
            <w:r w:rsidRPr="00AC4ECC">
              <w:rPr>
                <w:rFonts w:eastAsia="宋体" w:cs="Times New Roman"/>
                <w:sz w:val="18"/>
                <w:szCs w:val="18"/>
              </w:rPr>
              <w:t>31,548.33</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sidRPr="00AC4ECC">
              <w:rPr>
                <w:rFonts w:eastAsia="宋体" w:cs="Times New Roman"/>
                <w:sz w:val="18"/>
                <w:szCs w:val="18"/>
              </w:rPr>
              <w:t>31,548.33</w:t>
            </w:r>
          </w:p>
        </w:tc>
        <w:tc>
          <w:tcPr>
            <w:tcW w:w="1857" w:type="dxa"/>
            <w:shd w:val="clear" w:color="auto" w:fill="auto"/>
            <w:vAlign w:val="center"/>
          </w:tcPr>
          <w:p w:rsidR="00981439" w:rsidRPr="00A71D2E" w:rsidRDefault="00981439" w:rsidP="00981439">
            <w:pPr>
              <w:ind w:left="49" w:right="117"/>
              <w:jc w:val="right"/>
              <w:rPr>
                <w:rFonts w:eastAsia="宋体" w:cs="Times New Roman"/>
                <w:sz w:val="18"/>
                <w:szCs w:val="18"/>
              </w:rPr>
            </w:pPr>
            <w:r>
              <w:rPr>
                <w:rFonts w:eastAsia="宋体" w:cs="Times New Roman" w:hint="eastAsia"/>
                <w:sz w:val="18"/>
                <w:szCs w:val="18"/>
              </w:rPr>
              <w:t>-</w:t>
            </w:r>
            <w:r>
              <w:rPr>
                <w:rFonts w:eastAsia="宋体" w:cs="Times New Roman"/>
                <w:sz w:val="18"/>
                <w:szCs w:val="18"/>
              </w:rPr>
              <w:t>    </w:t>
            </w:r>
          </w:p>
        </w:tc>
      </w:tr>
      <w:tr w:rsidR="00981439" w:rsidRPr="00A71D2E" w:rsidTr="0027505B">
        <w:trPr>
          <w:trHeight w:val="20"/>
        </w:trPr>
        <w:tc>
          <w:tcPr>
            <w:tcW w:w="2025" w:type="dxa"/>
            <w:shd w:val="clear" w:color="auto" w:fill="D9D9D9" w:themeFill="background1" w:themeFillShade="D9"/>
            <w:tcMar>
              <w:top w:w="0" w:type="dxa"/>
              <w:left w:w="108" w:type="dxa"/>
              <w:bottom w:w="0" w:type="dxa"/>
              <w:right w:w="108" w:type="dxa"/>
            </w:tcMar>
            <w:vAlign w:val="center"/>
            <w:hideMark/>
          </w:tcPr>
          <w:p w:rsidR="00981439" w:rsidRPr="00A71D2E" w:rsidRDefault="00981439" w:rsidP="00981439">
            <w:pPr>
              <w:rPr>
                <w:rFonts w:eastAsia="宋体" w:cs="Times New Roman"/>
                <w:bCs/>
                <w:sz w:val="18"/>
                <w:szCs w:val="18"/>
              </w:rPr>
            </w:pPr>
            <w:r w:rsidRPr="00A71D2E">
              <w:rPr>
                <w:rFonts w:eastAsia="宋体" w:cs="Times New Roman" w:hint="eastAsia"/>
                <w:bCs/>
                <w:sz w:val="18"/>
                <w:szCs w:val="18"/>
              </w:rPr>
              <w:t>合计</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Pr>
                <w:rFonts w:eastAsia="华文细黑" w:cs="Times New Roman"/>
                <w:color w:val="000000"/>
                <w:sz w:val="18"/>
                <w:szCs w:val="18"/>
              </w:rPr>
              <w:t>1.81</w:t>
            </w:r>
          </w:p>
        </w:tc>
        <w:tc>
          <w:tcPr>
            <w:tcW w:w="1856" w:type="dxa"/>
            <w:vAlign w:val="center"/>
          </w:tcPr>
          <w:p w:rsidR="00981439" w:rsidRPr="00967E8D" w:rsidRDefault="00981439" w:rsidP="00981439">
            <w:pPr>
              <w:ind w:left="49" w:right="117"/>
              <w:jc w:val="right"/>
              <w:rPr>
                <w:rFonts w:eastAsia="宋体" w:cs="Times New Roman"/>
                <w:sz w:val="18"/>
                <w:szCs w:val="18"/>
              </w:rPr>
            </w:pPr>
            <w:r w:rsidRPr="00AC4ECC">
              <w:rPr>
                <w:rFonts w:eastAsia="宋体" w:cs="Times New Roman"/>
                <w:sz w:val="18"/>
                <w:szCs w:val="18"/>
              </w:rPr>
              <w:t>378,521,578.83</w:t>
            </w:r>
          </w:p>
        </w:tc>
        <w:tc>
          <w:tcPr>
            <w:tcW w:w="1856" w:type="dxa"/>
            <w:shd w:val="clear" w:color="auto" w:fill="auto"/>
            <w:vAlign w:val="center"/>
          </w:tcPr>
          <w:p w:rsidR="00981439" w:rsidRPr="00A71D2E" w:rsidRDefault="00981439" w:rsidP="00981439">
            <w:pPr>
              <w:ind w:left="49" w:right="117"/>
              <w:jc w:val="right"/>
              <w:rPr>
                <w:rFonts w:eastAsia="宋体" w:cs="Times New Roman"/>
                <w:sz w:val="18"/>
                <w:szCs w:val="18"/>
              </w:rPr>
            </w:pPr>
            <w:r w:rsidRPr="00AC4ECC">
              <w:rPr>
                <w:rFonts w:eastAsia="宋体" w:cs="Times New Roman"/>
                <w:sz w:val="18"/>
                <w:szCs w:val="18"/>
              </w:rPr>
              <w:t>6,855,242.03</w:t>
            </w:r>
          </w:p>
        </w:tc>
        <w:tc>
          <w:tcPr>
            <w:tcW w:w="1857" w:type="dxa"/>
            <w:shd w:val="clear" w:color="auto" w:fill="auto"/>
            <w:vAlign w:val="center"/>
          </w:tcPr>
          <w:p w:rsidR="00981439" w:rsidRPr="00A71D2E" w:rsidRDefault="00981439" w:rsidP="00981439">
            <w:pPr>
              <w:ind w:left="49" w:right="117"/>
              <w:jc w:val="right"/>
              <w:rPr>
                <w:rFonts w:eastAsia="宋体" w:cs="Times New Roman"/>
                <w:sz w:val="18"/>
                <w:szCs w:val="18"/>
              </w:rPr>
            </w:pPr>
            <w:r w:rsidRPr="00981439">
              <w:rPr>
                <w:rFonts w:eastAsia="宋体" w:cs="Times New Roman"/>
                <w:sz w:val="18"/>
                <w:szCs w:val="18"/>
              </w:rPr>
              <w:t>371,666,336.80</w:t>
            </w:r>
          </w:p>
        </w:tc>
      </w:tr>
    </w:tbl>
    <w:p w:rsidR="00981439" w:rsidRPr="00A71D2E" w:rsidRDefault="00981439" w:rsidP="00F66363">
      <w:pPr>
        <w:ind w:left="720"/>
        <w:jc w:val="both"/>
        <w:rPr>
          <w:rFonts w:eastAsia="宋体" w:cs="Times New Roman"/>
          <w:szCs w:val="21"/>
        </w:rPr>
      </w:pPr>
    </w:p>
    <w:p w:rsidR="003555A3" w:rsidRDefault="008F0CD8" w:rsidP="00D24693">
      <w:pPr>
        <w:pStyle w:val="aff1"/>
        <w:numPr>
          <w:ilvl w:val="0"/>
          <w:numId w:val="29"/>
        </w:numPr>
        <w:snapToGrid/>
        <w:ind w:left="1440" w:firstLineChars="0" w:hanging="720"/>
        <w:rPr>
          <w:szCs w:val="21"/>
        </w:rPr>
      </w:pPr>
      <w:r>
        <w:rPr>
          <w:szCs w:val="21"/>
        </w:rPr>
        <w:t>坏账</w:t>
      </w:r>
      <w:r w:rsidR="003555A3" w:rsidRPr="003555A3">
        <w:rPr>
          <w:rFonts w:hint="eastAsia"/>
          <w:szCs w:val="21"/>
        </w:rPr>
        <w:t>准备情况</w:t>
      </w:r>
    </w:p>
    <w:p w:rsidR="002770CD" w:rsidRPr="002770CD" w:rsidRDefault="002770CD" w:rsidP="002770CD">
      <w:pPr>
        <w:pStyle w:val="aff1"/>
        <w:ind w:left="1350" w:firstLineChars="0" w:firstLine="0"/>
        <w:jc w:val="right"/>
        <w:rPr>
          <w:szCs w:val="21"/>
        </w:rPr>
      </w:pPr>
      <w:r w:rsidRPr="002770CD">
        <w:rPr>
          <w:rFonts w:hint="eastAsia"/>
          <w:szCs w:val="21"/>
        </w:rPr>
        <w:t>单位</w:t>
      </w:r>
      <w:r w:rsidR="005F14EE">
        <w:rPr>
          <w:rFonts w:hint="eastAsia"/>
          <w:szCs w:val="21"/>
        </w:rPr>
        <w:t>：</w:t>
      </w:r>
      <w:r w:rsidRPr="002770CD">
        <w:rPr>
          <w:rFonts w:hint="eastAsia"/>
          <w:szCs w:val="18"/>
        </w:rPr>
        <w:t>人民币</w:t>
      </w:r>
      <w:r w:rsidRPr="002770CD">
        <w:rPr>
          <w:rFonts w:hint="eastAsia"/>
          <w:szCs w:val="21"/>
        </w:rPr>
        <w:t>元</w:t>
      </w:r>
    </w:p>
    <w:tbl>
      <w:tblPr>
        <w:tblStyle w:val="aff5"/>
        <w:tblW w:w="0" w:type="auto"/>
        <w:tblInd w:w="720" w:type="dxa"/>
        <w:tblLayout w:type="fixed"/>
        <w:tblLook w:val="04A0" w:firstRow="1" w:lastRow="0" w:firstColumn="1" w:lastColumn="0" w:noHBand="0" w:noVBand="1"/>
      </w:tblPr>
      <w:tblGrid>
        <w:gridCol w:w="2001"/>
        <w:gridCol w:w="1882"/>
        <w:gridCol w:w="1854"/>
        <w:gridCol w:w="1845"/>
        <w:gridCol w:w="1863"/>
      </w:tblGrid>
      <w:tr w:rsidR="00FD61EC" w:rsidRPr="007C5C09" w:rsidTr="0027505B">
        <w:tc>
          <w:tcPr>
            <w:tcW w:w="2001" w:type="dxa"/>
            <w:vMerge w:val="restart"/>
            <w:shd w:val="clear" w:color="auto" w:fill="D9D9D9" w:themeFill="background1" w:themeFillShade="D9"/>
            <w:vAlign w:val="center"/>
          </w:tcPr>
          <w:p w:rsidR="00FD61EC" w:rsidRPr="0027505B" w:rsidRDefault="00FD61EC" w:rsidP="00E456AF">
            <w:pPr>
              <w:jc w:val="center"/>
              <w:rPr>
                <w:sz w:val="18"/>
                <w:szCs w:val="18"/>
              </w:rPr>
            </w:pPr>
            <w:r w:rsidRPr="0027505B">
              <w:rPr>
                <w:rFonts w:hint="eastAsia"/>
                <w:sz w:val="18"/>
                <w:szCs w:val="18"/>
              </w:rPr>
              <w:t>类别</w:t>
            </w:r>
          </w:p>
        </w:tc>
        <w:tc>
          <w:tcPr>
            <w:tcW w:w="1882" w:type="dxa"/>
            <w:vMerge w:val="restart"/>
            <w:shd w:val="clear" w:color="auto" w:fill="D9D9D9" w:themeFill="background1" w:themeFillShade="D9"/>
            <w:vAlign w:val="center"/>
          </w:tcPr>
          <w:p w:rsidR="00FD61EC" w:rsidRPr="0027505B" w:rsidRDefault="00FD61EC" w:rsidP="00E456AF">
            <w:pPr>
              <w:jc w:val="center"/>
              <w:rPr>
                <w:sz w:val="18"/>
                <w:szCs w:val="18"/>
              </w:rPr>
            </w:pPr>
            <w:r w:rsidRPr="0027505B">
              <w:rPr>
                <w:rFonts w:hint="eastAsia"/>
                <w:sz w:val="18"/>
                <w:szCs w:val="18"/>
              </w:rPr>
              <w:t>年初余额</w:t>
            </w:r>
          </w:p>
        </w:tc>
        <w:tc>
          <w:tcPr>
            <w:tcW w:w="3699" w:type="dxa"/>
            <w:gridSpan w:val="2"/>
            <w:shd w:val="clear" w:color="auto" w:fill="D9D9D9" w:themeFill="background1" w:themeFillShade="D9"/>
            <w:vAlign w:val="center"/>
          </w:tcPr>
          <w:p w:rsidR="00FD61EC" w:rsidRPr="0027505B" w:rsidRDefault="00FD61EC" w:rsidP="00E456AF">
            <w:pPr>
              <w:jc w:val="center"/>
              <w:rPr>
                <w:sz w:val="18"/>
                <w:szCs w:val="18"/>
              </w:rPr>
            </w:pPr>
            <w:r w:rsidRPr="0027505B">
              <w:rPr>
                <w:rFonts w:hint="eastAsia"/>
                <w:sz w:val="18"/>
                <w:szCs w:val="18"/>
              </w:rPr>
              <w:t>本</w:t>
            </w:r>
            <w:r w:rsidR="00C07C03">
              <w:rPr>
                <w:rFonts w:hint="eastAsia"/>
                <w:sz w:val="18"/>
                <w:szCs w:val="18"/>
              </w:rPr>
              <w:t>年</w:t>
            </w:r>
            <w:r w:rsidRPr="0027505B">
              <w:rPr>
                <w:rFonts w:hint="eastAsia"/>
                <w:sz w:val="18"/>
                <w:szCs w:val="18"/>
              </w:rPr>
              <w:t>变动金额</w:t>
            </w:r>
          </w:p>
        </w:tc>
        <w:tc>
          <w:tcPr>
            <w:tcW w:w="1863" w:type="dxa"/>
            <w:vMerge w:val="restart"/>
            <w:shd w:val="clear" w:color="auto" w:fill="D9D9D9" w:themeFill="background1" w:themeFillShade="D9"/>
            <w:vAlign w:val="center"/>
          </w:tcPr>
          <w:p w:rsidR="00FD61EC" w:rsidRPr="0027505B" w:rsidRDefault="00FD61EC" w:rsidP="00E456AF">
            <w:pPr>
              <w:jc w:val="center"/>
              <w:rPr>
                <w:sz w:val="18"/>
                <w:szCs w:val="18"/>
              </w:rPr>
            </w:pPr>
            <w:r w:rsidRPr="0027505B">
              <w:rPr>
                <w:rFonts w:hint="eastAsia"/>
                <w:sz w:val="18"/>
                <w:szCs w:val="18"/>
              </w:rPr>
              <w:t>年末余额</w:t>
            </w:r>
          </w:p>
        </w:tc>
      </w:tr>
      <w:tr w:rsidR="00FD61EC" w:rsidRPr="007C5C09" w:rsidTr="0027505B">
        <w:tc>
          <w:tcPr>
            <w:tcW w:w="2001" w:type="dxa"/>
            <w:vMerge/>
            <w:shd w:val="clear" w:color="auto" w:fill="D9D9D9" w:themeFill="background1" w:themeFillShade="D9"/>
            <w:vAlign w:val="center"/>
          </w:tcPr>
          <w:p w:rsidR="00FD61EC" w:rsidRPr="0027505B" w:rsidRDefault="00FD61EC" w:rsidP="00E456AF">
            <w:pPr>
              <w:jc w:val="center"/>
              <w:rPr>
                <w:sz w:val="18"/>
                <w:szCs w:val="18"/>
              </w:rPr>
            </w:pPr>
          </w:p>
        </w:tc>
        <w:tc>
          <w:tcPr>
            <w:tcW w:w="1882" w:type="dxa"/>
            <w:vMerge/>
            <w:shd w:val="clear" w:color="auto" w:fill="D9D9D9" w:themeFill="background1" w:themeFillShade="D9"/>
            <w:vAlign w:val="center"/>
          </w:tcPr>
          <w:p w:rsidR="00FD61EC" w:rsidRPr="0027505B" w:rsidRDefault="00FD61EC" w:rsidP="00E456AF">
            <w:pPr>
              <w:jc w:val="center"/>
              <w:rPr>
                <w:sz w:val="18"/>
                <w:szCs w:val="18"/>
              </w:rPr>
            </w:pPr>
          </w:p>
        </w:tc>
        <w:tc>
          <w:tcPr>
            <w:tcW w:w="1854" w:type="dxa"/>
            <w:shd w:val="clear" w:color="auto" w:fill="D9D9D9" w:themeFill="background1" w:themeFillShade="D9"/>
            <w:vAlign w:val="center"/>
          </w:tcPr>
          <w:p w:rsidR="00FD61EC" w:rsidRPr="0027505B" w:rsidRDefault="00FD61EC" w:rsidP="00E456AF">
            <w:pPr>
              <w:jc w:val="center"/>
              <w:rPr>
                <w:sz w:val="18"/>
                <w:szCs w:val="18"/>
              </w:rPr>
            </w:pPr>
            <w:r w:rsidRPr="0027505B">
              <w:rPr>
                <w:rFonts w:hint="eastAsia"/>
                <w:sz w:val="18"/>
                <w:szCs w:val="18"/>
              </w:rPr>
              <w:t>计提</w:t>
            </w:r>
          </w:p>
        </w:tc>
        <w:tc>
          <w:tcPr>
            <w:tcW w:w="1845" w:type="dxa"/>
            <w:shd w:val="clear" w:color="auto" w:fill="D9D9D9" w:themeFill="background1" w:themeFillShade="D9"/>
            <w:vAlign w:val="center"/>
          </w:tcPr>
          <w:p w:rsidR="00FD61EC" w:rsidRPr="0027505B" w:rsidRDefault="00FD61EC" w:rsidP="00E456AF">
            <w:pPr>
              <w:jc w:val="center"/>
              <w:rPr>
                <w:sz w:val="18"/>
                <w:szCs w:val="18"/>
              </w:rPr>
            </w:pPr>
            <w:r w:rsidRPr="0027505B">
              <w:rPr>
                <w:rFonts w:hint="eastAsia"/>
                <w:sz w:val="18"/>
                <w:szCs w:val="18"/>
              </w:rPr>
              <w:t>其他变动</w:t>
            </w:r>
          </w:p>
        </w:tc>
        <w:tc>
          <w:tcPr>
            <w:tcW w:w="1863" w:type="dxa"/>
            <w:vMerge/>
            <w:shd w:val="clear" w:color="auto" w:fill="D9D9D9" w:themeFill="background1" w:themeFillShade="D9"/>
            <w:vAlign w:val="center"/>
          </w:tcPr>
          <w:p w:rsidR="00FD61EC" w:rsidRPr="0027505B" w:rsidRDefault="00FD61EC" w:rsidP="00E456AF">
            <w:pPr>
              <w:jc w:val="right"/>
              <w:rPr>
                <w:sz w:val="18"/>
                <w:szCs w:val="18"/>
              </w:rPr>
            </w:pPr>
          </w:p>
        </w:tc>
      </w:tr>
      <w:tr w:rsidR="00FD61EC" w:rsidRPr="007C5C09" w:rsidTr="0027505B">
        <w:tc>
          <w:tcPr>
            <w:tcW w:w="2001" w:type="dxa"/>
            <w:vAlign w:val="center"/>
          </w:tcPr>
          <w:p w:rsidR="00FD61EC" w:rsidRPr="0027505B" w:rsidRDefault="00FD61EC" w:rsidP="0027505B">
            <w:pPr>
              <w:jc w:val="left"/>
              <w:rPr>
                <w:sz w:val="18"/>
                <w:szCs w:val="18"/>
              </w:rPr>
            </w:pPr>
            <w:r w:rsidRPr="0027505B">
              <w:rPr>
                <w:rFonts w:hint="eastAsia"/>
                <w:sz w:val="18"/>
                <w:szCs w:val="18"/>
              </w:rPr>
              <w:t>应收款项</w:t>
            </w:r>
          </w:p>
        </w:tc>
        <w:tc>
          <w:tcPr>
            <w:tcW w:w="1882" w:type="dxa"/>
            <w:vAlign w:val="center"/>
          </w:tcPr>
          <w:p w:rsidR="00FD61EC" w:rsidRPr="0027505B" w:rsidRDefault="00FD61EC" w:rsidP="00ED70D9">
            <w:pPr>
              <w:jc w:val="right"/>
              <w:rPr>
                <w:sz w:val="18"/>
                <w:szCs w:val="18"/>
              </w:rPr>
            </w:pPr>
            <w:r w:rsidRPr="0027505B">
              <w:rPr>
                <w:sz w:val="18"/>
                <w:szCs w:val="18"/>
              </w:rPr>
              <w:t>31,895,774.86</w:t>
            </w:r>
          </w:p>
        </w:tc>
        <w:tc>
          <w:tcPr>
            <w:tcW w:w="1854" w:type="dxa"/>
            <w:vAlign w:val="center"/>
          </w:tcPr>
          <w:p w:rsidR="00FD61EC" w:rsidRPr="0027505B" w:rsidRDefault="00FD61EC" w:rsidP="00ED70D9">
            <w:pPr>
              <w:jc w:val="right"/>
              <w:rPr>
                <w:sz w:val="18"/>
                <w:szCs w:val="18"/>
              </w:rPr>
            </w:pPr>
            <w:r w:rsidRPr="0027505B">
              <w:rPr>
                <w:sz w:val="18"/>
                <w:szCs w:val="18"/>
              </w:rPr>
              <w:t>3,015,876.71</w:t>
            </w:r>
          </w:p>
        </w:tc>
        <w:tc>
          <w:tcPr>
            <w:tcW w:w="1845" w:type="dxa"/>
            <w:vAlign w:val="center"/>
          </w:tcPr>
          <w:p w:rsidR="00FD61EC" w:rsidRPr="0027505B" w:rsidRDefault="00FD61EC" w:rsidP="00ED70D9">
            <w:pPr>
              <w:jc w:val="right"/>
              <w:rPr>
                <w:sz w:val="18"/>
                <w:szCs w:val="18"/>
              </w:rPr>
            </w:pPr>
            <w:r w:rsidRPr="0027505B">
              <w:rPr>
                <w:sz w:val="18"/>
                <w:szCs w:val="18"/>
              </w:rPr>
              <w:t>-    </w:t>
            </w:r>
          </w:p>
        </w:tc>
        <w:tc>
          <w:tcPr>
            <w:tcW w:w="1863" w:type="dxa"/>
            <w:vAlign w:val="center"/>
          </w:tcPr>
          <w:p w:rsidR="00FD61EC" w:rsidRPr="0027505B" w:rsidRDefault="00FD61EC" w:rsidP="00ED70D9">
            <w:pPr>
              <w:jc w:val="right"/>
              <w:rPr>
                <w:sz w:val="18"/>
                <w:szCs w:val="18"/>
              </w:rPr>
            </w:pPr>
            <w:r w:rsidRPr="0027505B">
              <w:rPr>
                <w:sz w:val="18"/>
                <w:szCs w:val="18"/>
              </w:rPr>
              <w:t>34,911,651.57</w:t>
            </w:r>
          </w:p>
        </w:tc>
      </w:tr>
      <w:tr w:rsidR="00FD61EC" w:rsidRPr="007C5C09" w:rsidTr="0027505B">
        <w:tc>
          <w:tcPr>
            <w:tcW w:w="2001" w:type="dxa"/>
            <w:shd w:val="clear" w:color="auto" w:fill="D9D9D9" w:themeFill="background1" w:themeFillShade="D9"/>
            <w:vAlign w:val="center"/>
          </w:tcPr>
          <w:p w:rsidR="00FD61EC" w:rsidRPr="0027505B" w:rsidRDefault="00FD61EC" w:rsidP="0027505B">
            <w:pPr>
              <w:jc w:val="left"/>
              <w:rPr>
                <w:sz w:val="18"/>
                <w:szCs w:val="18"/>
              </w:rPr>
            </w:pPr>
            <w:r w:rsidRPr="0027505B">
              <w:rPr>
                <w:rFonts w:hint="eastAsia"/>
                <w:sz w:val="18"/>
                <w:szCs w:val="18"/>
              </w:rPr>
              <w:t>合计</w:t>
            </w:r>
          </w:p>
        </w:tc>
        <w:tc>
          <w:tcPr>
            <w:tcW w:w="1882" w:type="dxa"/>
            <w:vAlign w:val="center"/>
          </w:tcPr>
          <w:p w:rsidR="00FD61EC" w:rsidRPr="0027505B" w:rsidRDefault="00FD61EC" w:rsidP="00ED70D9">
            <w:pPr>
              <w:jc w:val="right"/>
              <w:rPr>
                <w:sz w:val="18"/>
                <w:szCs w:val="18"/>
              </w:rPr>
            </w:pPr>
            <w:r w:rsidRPr="0027505B">
              <w:rPr>
                <w:sz w:val="18"/>
                <w:szCs w:val="18"/>
              </w:rPr>
              <w:t>31,895,774.86</w:t>
            </w:r>
          </w:p>
        </w:tc>
        <w:tc>
          <w:tcPr>
            <w:tcW w:w="1854" w:type="dxa"/>
            <w:vAlign w:val="center"/>
          </w:tcPr>
          <w:p w:rsidR="00FD61EC" w:rsidRPr="0027505B" w:rsidRDefault="00FD61EC" w:rsidP="00ED70D9">
            <w:pPr>
              <w:jc w:val="right"/>
              <w:rPr>
                <w:sz w:val="18"/>
                <w:szCs w:val="18"/>
              </w:rPr>
            </w:pPr>
            <w:r w:rsidRPr="0027505B">
              <w:rPr>
                <w:sz w:val="18"/>
                <w:szCs w:val="18"/>
              </w:rPr>
              <w:t>3,015,876.71</w:t>
            </w:r>
          </w:p>
        </w:tc>
        <w:tc>
          <w:tcPr>
            <w:tcW w:w="1845" w:type="dxa"/>
            <w:vAlign w:val="center"/>
          </w:tcPr>
          <w:p w:rsidR="00FD61EC" w:rsidRPr="0027505B" w:rsidRDefault="00FD61EC" w:rsidP="00ED70D9">
            <w:pPr>
              <w:jc w:val="right"/>
              <w:rPr>
                <w:sz w:val="18"/>
                <w:szCs w:val="18"/>
              </w:rPr>
            </w:pPr>
            <w:r w:rsidRPr="0027505B">
              <w:rPr>
                <w:sz w:val="18"/>
                <w:szCs w:val="18"/>
              </w:rPr>
              <w:t>-    </w:t>
            </w:r>
          </w:p>
        </w:tc>
        <w:tc>
          <w:tcPr>
            <w:tcW w:w="1863" w:type="dxa"/>
            <w:vAlign w:val="center"/>
          </w:tcPr>
          <w:p w:rsidR="00FD61EC" w:rsidRPr="0027505B" w:rsidRDefault="00FD61EC" w:rsidP="00ED70D9">
            <w:pPr>
              <w:jc w:val="right"/>
              <w:rPr>
                <w:sz w:val="18"/>
                <w:szCs w:val="18"/>
              </w:rPr>
            </w:pPr>
            <w:r w:rsidRPr="0027505B">
              <w:rPr>
                <w:sz w:val="18"/>
                <w:szCs w:val="18"/>
              </w:rPr>
              <w:t>34,911,651.57</w:t>
            </w:r>
          </w:p>
        </w:tc>
      </w:tr>
    </w:tbl>
    <w:p w:rsidR="00F12071" w:rsidRDefault="00F12071" w:rsidP="00FF4A2E">
      <w:pPr>
        <w:pStyle w:val="aff1"/>
        <w:ind w:left="709" w:firstLineChars="0" w:firstLine="0"/>
        <w:rPr>
          <w:szCs w:val="21"/>
        </w:rPr>
      </w:pPr>
    </w:p>
    <w:p w:rsidR="00A54E95" w:rsidRDefault="00A54E95" w:rsidP="00D24693">
      <w:pPr>
        <w:pStyle w:val="aff1"/>
        <w:numPr>
          <w:ilvl w:val="0"/>
          <w:numId w:val="29"/>
        </w:numPr>
        <w:snapToGrid/>
        <w:ind w:left="1440" w:firstLineChars="0" w:hanging="720"/>
        <w:rPr>
          <w:szCs w:val="21"/>
        </w:rPr>
      </w:pPr>
      <w:r w:rsidRPr="003555A3">
        <w:rPr>
          <w:rFonts w:hint="eastAsia"/>
          <w:szCs w:val="21"/>
        </w:rPr>
        <w:t>按</w:t>
      </w:r>
      <w:r w:rsidRPr="00A54E95">
        <w:rPr>
          <w:rFonts w:hint="eastAsia"/>
          <w:szCs w:val="21"/>
        </w:rPr>
        <w:t>欠款</w:t>
      </w:r>
      <w:r w:rsidRPr="003555A3">
        <w:rPr>
          <w:rFonts w:hint="eastAsia"/>
          <w:szCs w:val="21"/>
        </w:rPr>
        <w:t>方归集的年末余额前五名的应收账款情况</w:t>
      </w:r>
    </w:p>
    <w:p w:rsidR="002C5212" w:rsidRPr="002C5212" w:rsidRDefault="002C5212" w:rsidP="0027505B">
      <w:pPr>
        <w:pStyle w:val="aff1"/>
        <w:ind w:left="1350" w:firstLineChars="0" w:firstLine="0"/>
        <w:jc w:val="right"/>
        <w:rPr>
          <w:szCs w:val="21"/>
        </w:rPr>
      </w:pPr>
      <w:r w:rsidRPr="002C5212">
        <w:rPr>
          <w:rFonts w:hint="eastAsia"/>
          <w:szCs w:val="18"/>
        </w:rPr>
        <w:t>单位</w:t>
      </w:r>
      <w:r w:rsidR="005F14EE">
        <w:rPr>
          <w:rFonts w:hint="eastAsia"/>
          <w:szCs w:val="18"/>
        </w:rPr>
        <w:t>：</w:t>
      </w:r>
      <w:r w:rsidRPr="00DD203F">
        <w:rPr>
          <w:rFonts w:hint="eastAsia"/>
          <w:szCs w:val="21"/>
        </w:rPr>
        <w:t>人民币</w:t>
      </w:r>
      <w:r w:rsidRPr="002C5212">
        <w:rPr>
          <w:rFonts w:hint="eastAsia"/>
          <w:szCs w:val="18"/>
        </w:rPr>
        <w:t>元</w:t>
      </w:r>
    </w:p>
    <w:tbl>
      <w:tblPr>
        <w:tblW w:w="4644"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864"/>
        <w:gridCol w:w="1860"/>
        <w:gridCol w:w="1860"/>
        <w:gridCol w:w="1860"/>
      </w:tblGrid>
      <w:tr w:rsidR="0093471D" w:rsidRPr="007C5C09" w:rsidTr="0027505B">
        <w:trPr>
          <w:trHeight w:val="20"/>
        </w:trPr>
        <w:tc>
          <w:tcPr>
            <w:tcW w:w="3864" w:type="dxa"/>
            <w:shd w:val="clear" w:color="auto" w:fill="D9D9D9" w:themeFill="background1" w:themeFillShade="D9"/>
            <w:tcMar>
              <w:top w:w="0" w:type="dxa"/>
              <w:left w:w="108" w:type="dxa"/>
              <w:bottom w:w="0" w:type="dxa"/>
              <w:right w:w="108" w:type="dxa"/>
            </w:tcMar>
            <w:vAlign w:val="center"/>
            <w:hideMark/>
          </w:tcPr>
          <w:p w:rsidR="0093471D" w:rsidRPr="007C5C09" w:rsidRDefault="0093471D" w:rsidP="00FF4A2E">
            <w:pPr>
              <w:ind w:leftChars="86" w:left="181"/>
              <w:jc w:val="center"/>
              <w:rPr>
                <w:rFonts w:eastAsia="宋体" w:cs="Times New Roman"/>
                <w:sz w:val="18"/>
                <w:szCs w:val="18"/>
              </w:rPr>
            </w:pPr>
            <w:r w:rsidRPr="007C5C09">
              <w:rPr>
                <w:rFonts w:eastAsia="宋体" w:cs="Times New Roman" w:hint="eastAsia"/>
                <w:sz w:val="18"/>
                <w:szCs w:val="18"/>
              </w:rPr>
              <w:t>单位名称</w:t>
            </w:r>
          </w:p>
        </w:tc>
        <w:tc>
          <w:tcPr>
            <w:tcW w:w="1860" w:type="dxa"/>
            <w:shd w:val="clear" w:color="auto" w:fill="D9D9D9" w:themeFill="background1" w:themeFillShade="D9"/>
            <w:tcMar>
              <w:top w:w="0" w:type="dxa"/>
              <w:left w:w="108" w:type="dxa"/>
              <w:bottom w:w="0" w:type="dxa"/>
              <w:right w:w="108" w:type="dxa"/>
            </w:tcMar>
            <w:vAlign w:val="center"/>
            <w:hideMark/>
          </w:tcPr>
          <w:p w:rsidR="0093471D" w:rsidRPr="007C5C09" w:rsidRDefault="0093471D" w:rsidP="00FF4A2E">
            <w:pPr>
              <w:ind w:leftChars="86" w:left="181"/>
              <w:jc w:val="center"/>
              <w:rPr>
                <w:rFonts w:eastAsia="宋体" w:cs="Times New Roman"/>
                <w:sz w:val="18"/>
                <w:szCs w:val="18"/>
              </w:rPr>
            </w:pPr>
            <w:r w:rsidRPr="007C5C09">
              <w:rPr>
                <w:rFonts w:eastAsia="宋体" w:cs="Times New Roman" w:hint="eastAsia"/>
                <w:sz w:val="18"/>
                <w:szCs w:val="18"/>
              </w:rPr>
              <w:t>年末余额</w:t>
            </w:r>
          </w:p>
        </w:tc>
        <w:tc>
          <w:tcPr>
            <w:tcW w:w="1860" w:type="dxa"/>
            <w:shd w:val="clear" w:color="auto" w:fill="D9D9D9" w:themeFill="background1" w:themeFillShade="D9"/>
            <w:vAlign w:val="center"/>
          </w:tcPr>
          <w:p w:rsidR="0093471D" w:rsidRPr="007C5C09" w:rsidRDefault="0093471D" w:rsidP="00FF4A2E">
            <w:pPr>
              <w:ind w:leftChars="86" w:left="181"/>
              <w:jc w:val="center"/>
              <w:rPr>
                <w:rFonts w:eastAsia="宋体" w:cs="Times New Roman"/>
                <w:sz w:val="18"/>
                <w:szCs w:val="18"/>
              </w:rPr>
            </w:pPr>
            <w:r w:rsidRPr="007C5C09">
              <w:rPr>
                <w:rFonts w:eastAsia="宋体" w:cs="Times New Roman" w:hint="eastAsia"/>
                <w:sz w:val="18"/>
                <w:szCs w:val="18"/>
              </w:rPr>
              <w:t>占应收账款年末余额</w:t>
            </w:r>
          </w:p>
          <w:p w:rsidR="0093471D" w:rsidRPr="007C5C09" w:rsidRDefault="0093471D" w:rsidP="00FF4A2E">
            <w:pPr>
              <w:ind w:leftChars="86" w:left="181"/>
              <w:jc w:val="center"/>
              <w:rPr>
                <w:rFonts w:eastAsia="宋体" w:cs="Times New Roman"/>
                <w:sz w:val="18"/>
                <w:szCs w:val="18"/>
              </w:rPr>
            </w:pPr>
            <w:r w:rsidRPr="007C5C09">
              <w:rPr>
                <w:rFonts w:eastAsia="宋体" w:cs="Times New Roman" w:hint="eastAsia"/>
                <w:sz w:val="18"/>
                <w:szCs w:val="18"/>
              </w:rPr>
              <w:t>合计数的比例</w:t>
            </w:r>
            <w:r w:rsidR="005F14EE" w:rsidRPr="007C5C09">
              <w:rPr>
                <w:rFonts w:eastAsia="宋体" w:cs="Times New Roman"/>
                <w:sz w:val="18"/>
                <w:szCs w:val="18"/>
              </w:rPr>
              <w:t>(</w:t>
            </w:r>
            <w:r w:rsidRPr="007C5C09">
              <w:rPr>
                <w:rFonts w:eastAsia="宋体" w:cs="Times New Roman"/>
                <w:sz w:val="18"/>
                <w:szCs w:val="18"/>
              </w:rPr>
              <w:t>%</w:t>
            </w:r>
            <w:r w:rsidR="005F14EE" w:rsidRPr="007C5C09">
              <w:rPr>
                <w:rFonts w:eastAsia="宋体" w:cs="Times New Roman"/>
                <w:sz w:val="18"/>
                <w:szCs w:val="18"/>
              </w:rPr>
              <w:t>)</w:t>
            </w:r>
          </w:p>
        </w:tc>
        <w:tc>
          <w:tcPr>
            <w:tcW w:w="1860" w:type="dxa"/>
            <w:shd w:val="clear" w:color="auto" w:fill="D9D9D9" w:themeFill="background1" w:themeFillShade="D9"/>
            <w:tcMar>
              <w:top w:w="0" w:type="dxa"/>
              <w:left w:w="108" w:type="dxa"/>
              <w:bottom w:w="0" w:type="dxa"/>
              <w:right w:w="108" w:type="dxa"/>
            </w:tcMar>
            <w:vAlign w:val="center"/>
            <w:hideMark/>
          </w:tcPr>
          <w:p w:rsidR="0093471D" w:rsidRPr="007C5C09" w:rsidRDefault="0093471D" w:rsidP="00FF4A2E">
            <w:pPr>
              <w:ind w:leftChars="86" w:left="181"/>
              <w:jc w:val="center"/>
              <w:rPr>
                <w:rFonts w:eastAsia="宋体" w:cs="Times New Roman"/>
                <w:sz w:val="18"/>
                <w:szCs w:val="18"/>
              </w:rPr>
            </w:pPr>
            <w:r w:rsidRPr="007C5C09">
              <w:rPr>
                <w:rFonts w:eastAsia="宋体" w:cs="Times New Roman" w:hint="eastAsia"/>
                <w:sz w:val="18"/>
                <w:szCs w:val="18"/>
              </w:rPr>
              <w:t>坏账准备</w:t>
            </w:r>
          </w:p>
          <w:p w:rsidR="0093471D" w:rsidRPr="007C5C09" w:rsidRDefault="0093471D" w:rsidP="00FF4A2E">
            <w:pPr>
              <w:ind w:leftChars="86" w:left="181"/>
              <w:jc w:val="center"/>
              <w:rPr>
                <w:rFonts w:eastAsia="宋体" w:cs="Times New Roman"/>
                <w:sz w:val="18"/>
                <w:szCs w:val="18"/>
              </w:rPr>
            </w:pPr>
            <w:r w:rsidRPr="007C5C09">
              <w:rPr>
                <w:rFonts w:eastAsia="宋体" w:cs="Times New Roman" w:hint="eastAsia"/>
                <w:sz w:val="18"/>
                <w:szCs w:val="18"/>
              </w:rPr>
              <w:t>年末余额</w:t>
            </w:r>
          </w:p>
        </w:tc>
      </w:tr>
      <w:tr w:rsidR="0093471D" w:rsidRPr="007C5C09" w:rsidTr="0027505B">
        <w:trPr>
          <w:trHeight w:val="20"/>
        </w:trPr>
        <w:tc>
          <w:tcPr>
            <w:tcW w:w="3864" w:type="dxa"/>
            <w:tcMar>
              <w:top w:w="0" w:type="dxa"/>
              <w:left w:w="108" w:type="dxa"/>
              <w:bottom w:w="0" w:type="dxa"/>
              <w:right w:w="108" w:type="dxa"/>
            </w:tcMar>
            <w:vAlign w:val="center"/>
          </w:tcPr>
          <w:p w:rsidR="0093471D" w:rsidRPr="007C5C09" w:rsidRDefault="0093471D" w:rsidP="00FE2C30">
            <w:pPr>
              <w:rPr>
                <w:rFonts w:eastAsia="宋体" w:cs="Times New Roman"/>
                <w:sz w:val="18"/>
                <w:szCs w:val="18"/>
              </w:rPr>
            </w:pPr>
            <w:r w:rsidRPr="007C5C09">
              <w:rPr>
                <w:rFonts w:eastAsia="宋体" w:cs="Times New Roman" w:hint="eastAsia"/>
                <w:sz w:val="18"/>
                <w:szCs w:val="18"/>
              </w:rPr>
              <w:t>本公司下属子公司</w:t>
            </w:r>
          </w:p>
        </w:tc>
        <w:tc>
          <w:tcPr>
            <w:tcW w:w="1860" w:type="dxa"/>
            <w:tcMar>
              <w:top w:w="0" w:type="dxa"/>
              <w:left w:w="108" w:type="dxa"/>
              <w:bottom w:w="0" w:type="dxa"/>
              <w:right w:w="108" w:type="dxa"/>
            </w:tcMar>
            <w:vAlign w:val="center"/>
          </w:tcPr>
          <w:p w:rsidR="0093471D" w:rsidRPr="007C5C09" w:rsidRDefault="00D913B5" w:rsidP="00FF4A2E">
            <w:pPr>
              <w:ind w:leftChars="86" w:left="181"/>
              <w:jc w:val="right"/>
              <w:rPr>
                <w:rFonts w:eastAsia="宋体" w:cs="Times New Roman"/>
                <w:sz w:val="18"/>
                <w:szCs w:val="18"/>
              </w:rPr>
            </w:pPr>
            <w:r w:rsidRPr="007C5C09">
              <w:rPr>
                <w:rFonts w:eastAsia="宋体" w:cs="Times New Roman"/>
                <w:sz w:val="18"/>
                <w:szCs w:val="18"/>
              </w:rPr>
              <w:t>204,602,372.31</w:t>
            </w:r>
          </w:p>
        </w:tc>
        <w:tc>
          <w:tcPr>
            <w:tcW w:w="1860" w:type="dxa"/>
            <w:vAlign w:val="center"/>
          </w:tcPr>
          <w:p w:rsidR="0093471D" w:rsidRPr="007C5C09" w:rsidRDefault="0093471D" w:rsidP="003F51B0">
            <w:pPr>
              <w:ind w:leftChars="86" w:left="181" w:rightChars="48" w:right="101"/>
              <w:jc w:val="right"/>
              <w:rPr>
                <w:rFonts w:eastAsia="宋体" w:cs="Times New Roman"/>
                <w:sz w:val="18"/>
                <w:szCs w:val="18"/>
              </w:rPr>
            </w:pPr>
            <w:r w:rsidRPr="007C5C09">
              <w:rPr>
                <w:rFonts w:eastAsia="宋体" w:cs="Times New Roman"/>
                <w:sz w:val="18"/>
                <w:szCs w:val="18"/>
              </w:rPr>
              <w:t>20.22</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 xml:space="preserve">-       </w:t>
            </w:r>
          </w:p>
        </w:tc>
      </w:tr>
      <w:tr w:rsidR="0093471D" w:rsidRPr="007C5C09" w:rsidTr="0027505B">
        <w:trPr>
          <w:trHeight w:val="20"/>
        </w:trPr>
        <w:tc>
          <w:tcPr>
            <w:tcW w:w="3864" w:type="dxa"/>
            <w:tcMar>
              <w:top w:w="0" w:type="dxa"/>
              <w:left w:w="108" w:type="dxa"/>
              <w:bottom w:w="0" w:type="dxa"/>
              <w:right w:w="108" w:type="dxa"/>
            </w:tcMar>
            <w:vAlign w:val="center"/>
          </w:tcPr>
          <w:p w:rsidR="0093471D" w:rsidRPr="007C5C09" w:rsidRDefault="0093471D" w:rsidP="00FE2C30">
            <w:pPr>
              <w:rPr>
                <w:rFonts w:eastAsia="宋体" w:cs="Times New Roman"/>
                <w:sz w:val="18"/>
                <w:szCs w:val="18"/>
              </w:rPr>
            </w:pPr>
            <w:proofErr w:type="gramStart"/>
            <w:r w:rsidRPr="007C5C09">
              <w:rPr>
                <w:rFonts w:eastAsia="宋体" w:cs="Times New Roman" w:hint="eastAsia"/>
                <w:sz w:val="18"/>
                <w:szCs w:val="18"/>
              </w:rPr>
              <w:t>海康威视股份公司</w:t>
            </w:r>
            <w:proofErr w:type="gramEnd"/>
            <w:r w:rsidRPr="007C5C09">
              <w:rPr>
                <w:rFonts w:eastAsia="宋体" w:cs="Times New Roman" w:hint="eastAsia"/>
                <w:sz w:val="18"/>
                <w:szCs w:val="18"/>
              </w:rPr>
              <w:t>及其下属企业</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201,025,399.18</w:t>
            </w:r>
          </w:p>
        </w:tc>
        <w:tc>
          <w:tcPr>
            <w:tcW w:w="1860" w:type="dxa"/>
            <w:vAlign w:val="center"/>
          </w:tcPr>
          <w:p w:rsidR="0093471D" w:rsidRPr="007C5C09" w:rsidRDefault="0093471D" w:rsidP="003F51B0">
            <w:pPr>
              <w:ind w:leftChars="86" w:left="181" w:rightChars="48" w:right="101"/>
              <w:jc w:val="right"/>
              <w:rPr>
                <w:rFonts w:eastAsia="宋体" w:cs="Times New Roman"/>
                <w:sz w:val="18"/>
                <w:szCs w:val="18"/>
              </w:rPr>
            </w:pPr>
            <w:r w:rsidRPr="007C5C09">
              <w:rPr>
                <w:rFonts w:eastAsia="宋体" w:cs="Times New Roman"/>
                <w:sz w:val="18"/>
                <w:szCs w:val="18"/>
              </w:rPr>
              <w:t>19.86</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3,266,269.51</w:t>
            </w:r>
          </w:p>
        </w:tc>
      </w:tr>
      <w:tr w:rsidR="0093471D" w:rsidRPr="007C5C09" w:rsidTr="0027505B">
        <w:trPr>
          <w:trHeight w:val="20"/>
        </w:trPr>
        <w:tc>
          <w:tcPr>
            <w:tcW w:w="3864" w:type="dxa"/>
            <w:tcMar>
              <w:top w:w="0" w:type="dxa"/>
              <w:left w:w="108" w:type="dxa"/>
              <w:bottom w:w="0" w:type="dxa"/>
              <w:right w:w="108" w:type="dxa"/>
            </w:tcMar>
            <w:vAlign w:val="center"/>
          </w:tcPr>
          <w:p w:rsidR="0093471D" w:rsidRPr="007C5C09" w:rsidRDefault="0093471D" w:rsidP="00FE2C30">
            <w:pPr>
              <w:rPr>
                <w:rFonts w:eastAsia="宋体" w:cs="Times New Roman"/>
                <w:sz w:val="18"/>
                <w:szCs w:val="18"/>
              </w:rPr>
            </w:pPr>
            <w:r w:rsidRPr="007C5C09">
              <w:rPr>
                <w:rFonts w:eastAsia="宋体" w:cs="Times New Roman" w:hint="eastAsia"/>
                <w:sz w:val="18"/>
                <w:szCs w:val="18"/>
              </w:rPr>
              <w:t>第三方</w:t>
            </w:r>
            <w:r w:rsidRPr="007C5C09">
              <w:rPr>
                <w:rFonts w:eastAsia="宋体" w:cs="Times New Roman"/>
                <w:sz w:val="18"/>
                <w:szCs w:val="18"/>
              </w:rPr>
              <w:t>A</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75,589,302.09</w:t>
            </w:r>
          </w:p>
        </w:tc>
        <w:tc>
          <w:tcPr>
            <w:tcW w:w="1860" w:type="dxa"/>
            <w:vAlign w:val="center"/>
          </w:tcPr>
          <w:p w:rsidR="0093471D" w:rsidRPr="007C5C09" w:rsidRDefault="0093471D" w:rsidP="003F51B0">
            <w:pPr>
              <w:ind w:leftChars="86" w:left="181" w:rightChars="48" w:right="101"/>
              <w:jc w:val="right"/>
              <w:rPr>
                <w:rFonts w:eastAsia="宋体" w:cs="Times New Roman"/>
                <w:sz w:val="18"/>
                <w:szCs w:val="18"/>
              </w:rPr>
            </w:pPr>
            <w:r w:rsidRPr="007C5C09">
              <w:rPr>
                <w:rFonts w:eastAsia="宋体" w:cs="Times New Roman"/>
                <w:sz w:val="18"/>
                <w:szCs w:val="18"/>
              </w:rPr>
              <w:t>7.47</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323,045.53</w:t>
            </w:r>
          </w:p>
        </w:tc>
      </w:tr>
      <w:tr w:rsidR="0093471D" w:rsidRPr="007C5C09" w:rsidTr="0027505B">
        <w:trPr>
          <w:trHeight w:val="20"/>
        </w:trPr>
        <w:tc>
          <w:tcPr>
            <w:tcW w:w="3864" w:type="dxa"/>
            <w:tcMar>
              <w:top w:w="0" w:type="dxa"/>
              <w:left w:w="108" w:type="dxa"/>
              <w:bottom w:w="0" w:type="dxa"/>
              <w:right w:w="108" w:type="dxa"/>
            </w:tcMar>
            <w:vAlign w:val="center"/>
          </w:tcPr>
          <w:p w:rsidR="0093471D" w:rsidRPr="007C5C09" w:rsidRDefault="0093471D" w:rsidP="00FE2C30">
            <w:pPr>
              <w:rPr>
                <w:rFonts w:eastAsia="宋体" w:cs="Times New Roman"/>
                <w:sz w:val="18"/>
                <w:szCs w:val="18"/>
              </w:rPr>
            </w:pPr>
            <w:r w:rsidRPr="007C5C09">
              <w:rPr>
                <w:rFonts w:eastAsia="宋体" w:cs="Times New Roman" w:hint="eastAsia"/>
                <w:sz w:val="18"/>
                <w:szCs w:val="18"/>
              </w:rPr>
              <w:t>第三方</w:t>
            </w:r>
            <w:r w:rsidRPr="007C5C09">
              <w:rPr>
                <w:rFonts w:eastAsia="宋体" w:cs="Times New Roman"/>
                <w:sz w:val="18"/>
                <w:szCs w:val="18"/>
              </w:rPr>
              <w:t>B</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44,649,779.37</w:t>
            </w:r>
          </w:p>
        </w:tc>
        <w:tc>
          <w:tcPr>
            <w:tcW w:w="1860" w:type="dxa"/>
            <w:vAlign w:val="center"/>
          </w:tcPr>
          <w:p w:rsidR="0093471D" w:rsidRPr="007C5C09" w:rsidRDefault="0093471D" w:rsidP="003F51B0">
            <w:pPr>
              <w:ind w:leftChars="86" w:left="181" w:rightChars="48" w:right="101"/>
              <w:jc w:val="right"/>
              <w:rPr>
                <w:rFonts w:eastAsia="宋体" w:cs="Times New Roman"/>
                <w:sz w:val="18"/>
                <w:szCs w:val="18"/>
              </w:rPr>
            </w:pPr>
            <w:r w:rsidRPr="007C5C09">
              <w:rPr>
                <w:rFonts w:eastAsia="宋体" w:cs="Times New Roman"/>
                <w:sz w:val="18"/>
                <w:szCs w:val="18"/>
              </w:rPr>
              <w:t>4.41</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107,159.47</w:t>
            </w:r>
          </w:p>
        </w:tc>
      </w:tr>
      <w:tr w:rsidR="0093471D" w:rsidRPr="007C5C09" w:rsidTr="0027505B">
        <w:trPr>
          <w:trHeight w:val="20"/>
        </w:trPr>
        <w:tc>
          <w:tcPr>
            <w:tcW w:w="3864" w:type="dxa"/>
            <w:tcMar>
              <w:top w:w="0" w:type="dxa"/>
              <w:left w:w="108" w:type="dxa"/>
              <w:bottom w:w="0" w:type="dxa"/>
              <w:right w:w="108" w:type="dxa"/>
            </w:tcMar>
            <w:vAlign w:val="center"/>
          </w:tcPr>
          <w:p w:rsidR="0093471D" w:rsidRPr="007C5C09" w:rsidRDefault="0093471D" w:rsidP="00FE2C30">
            <w:pPr>
              <w:rPr>
                <w:rFonts w:eastAsia="宋体" w:cs="Times New Roman"/>
                <w:sz w:val="18"/>
                <w:szCs w:val="18"/>
              </w:rPr>
            </w:pPr>
            <w:r w:rsidRPr="007C5C09">
              <w:rPr>
                <w:rFonts w:eastAsia="宋体" w:cs="Times New Roman" w:hint="eastAsia"/>
                <w:sz w:val="18"/>
                <w:szCs w:val="18"/>
              </w:rPr>
              <w:t>第三方</w:t>
            </w:r>
            <w:r w:rsidRPr="007C5C09">
              <w:rPr>
                <w:rFonts w:eastAsia="宋体" w:cs="Times New Roman"/>
                <w:sz w:val="18"/>
                <w:szCs w:val="18"/>
              </w:rPr>
              <w:t>C</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38,436,317.61</w:t>
            </w:r>
          </w:p>
        </w:tc>
        <w:tc>
          <w:tcPr>
            <w:tcW w:w="1860" w:type="dxa"/>
            <w:vAlign w:val="center"/>
          </w:tcPr>
          <w:p w:rsidR="0093471D" w:rsidRPr="007C5C09" w:rsidRDefault="0093471D" w:rsidP="003F51B0">
            <w:pPr>
              <w:ind w:leftChars="86" w:left="181" w:rightChars="48" w:right="101"/>
              <w:jc w:val="right"/>
              <w:rPr>
                <w:rFonts w:eastAsia="宋体" w:cs="Times New Roman"/>
                <w:sz w:val="18"/>
                <w:szCs w:val="18"/>
              </w:rPr>
            </w:pPr>
            <w:r w:rsidRPr="007C5C09">
              <w:rPr>
                <w:rFonts w:eastAsia="宋体" w:cs="Times New Roman"/>
                <w:sz w:val="18"/>
                <w:szCs w:val="18"/>
              </w:rPr>
              <w:t>3.80</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62,766.66</w:t>
            </w:r>
          </w:p>
        </w:tc>
      </w:tr>
      <w:tr w:rsidR="0093471D" w:rsidRPr="007C5C09" w:rsidTr="0027505B">
        <w:trPr>
          <w:trHeight w:val="20"/>
        </w:trPr>
        <w:tc>
          <w:tcPr>
            <w:tcW w:w="3864" w:type="dxa"/>
            <w:shd w:val="clear" w:color="auto" w:fill="D9D9D9" w:themeFill="background1" w:themeFillShade="D9"/>
            <w:tcMar>
              <w:top w:w="0" w:type="dxa"/>
              <w:left w:w="108" w:type="dxa"/>
              <w:bottom w:w="0" w:type="dxa"/>
              <w:right w:w="108" w:type="dxa"/>
            </w:tcMar>
            <w:vAlign w:val="center"/>
            <w:hideMark/>
          </w:tcPr>
          <w:p w:rsidR="0093471D" w:rsidRPr="0027505B" w:rsidRDefault="0093471D" w:rsidP="0027505B">
            <w:pPr>
              <w:rPr>
                <w:rFonts w:eastAsia="宋体" w:cs="Times New Roman"/>
                <w:sz w:val="18"/>
                <w:szCs w:val="18"/>
              </w:rPr>
            </w:pPr>
            <w:r w:rsidRPr="0027505B">
              <w:rPr>
                <w:rFonts w:eastAsia="宋体" w:cs="Times New Roman" w:hint="eastAsia"/>
                <w:sz w:val="18"/>
                <w:szCs w:val="18"/>
              </w:rPr>
              <w:t>合计</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564,303,170.</w:t>
            </w:r>
            <w:r w:rsidR="00D316AD" w:rsidRPr="007C5C09">
              <w:rPr>
                <w:rFonts w:eastAsia="宋体" w:cs="Times New Roman"/>
                <w:sz w:val="18"/>
                <w:szCs w:val="18"/>
              </w:rPr>
              <w:t>56</w:t>
            </w:r>
          </w:p>
        </w:tc>
        <w:tc>
          <w:tcPr>
            <w:tcW w:w="1860" w:type="dxa"/>
            <w:vAlign w:val="center"/>
          </w:tcPr>
          <w:p w:rsidR="0093471D" w:rsidRPr="007C5C09" w:rsidRDefault="0093471D" w:rsidP="003F51B0">
            <w:pPr>
              <w:ind w:leftChars="86" w:left="181" w:rightChars="48" w:right="101"/>
              <w:jc w:val="right"/>
              <w:rPr>
                <w:rFonts w:eastAsia="宋体" w:cs="Times New Roman"/>
                <w:sz w:val="18"/>
                <w:szCs w:val="18"/>
              </w:rPr>
            </w:pPr>
            <w:r w:rsidRPr="007C5C09">
              <w:rPr>
                <w:rFonts w:eastAsia="宋体" w:cs="Times New Roman"/>
                <w:sz w:val="18"/>
                <w:szCs w:val="18"/>
              </w:rPr>
              <w:t>55.76</w:t>
            </w:r>
          </w:p>
        </w:tc>
        <w:tc>
          <w:tcPr>
            <w:tcW w:w="1860" w:type="dxa"/>
            <w:tcMar>
              <w:top w:w="0" w:type="dxa"/>
              <w:left w:w="108" w:type="dxa"/>
              <w:bottom w:w="0" w:type="dxa"/>
              <w:right w:w="108" w:type="dxa"/>
            </w:tcMar>
            <w:vAlign w:val="center"/>
          </w:tcPr>
          <w:p w:rsidR="0093471D" w:rsidRPr="007C5C09" w:rsidRDefault="0093471D" w:rsidP="00FF4A2E">
            <w:pPr>
              <w:ind w:leftChars="86" w:left="181"/>
              <w:jc w:val="right"/>
              <w:rPr>
                <w:rFonts w:eastAsia="宋体" w:cs="Times New Roman"/>
                <w:sz w:val="18"/>
                <w:szCs w:val="18"/>
              </w:rPr>
            </w:pPr>
            <w:r w:rsidRPr="007C5C09">
              <w:rPr>
                <w:rFonts w:eastAsia="宋体" w:cs="Times New Roman"/>
                <w:sz w:val="18"/>
                <w:szCs w:val="18"/>
              </w:rPr>
              <w:t>3,759,241.17</w:t>
            </w:r>
          </w:p>
        </w:tc>
      </w:tr>
    </w:tbl>
    <w:p w:rsidR="007C5C09" w:rsidRDefault="007C5C09" w:rsidP="00616E8D">
      <w:pPr>
        <w:adjustRightInd/>
        <w:snapToGrid/>
        <w:rPr>
          <w:rFonts w:eastAsia="宋体" w:cs="Times New Roman"/>
          <w:szCs w:val="28"/>
        </w:rPr>
      </w:pPr>
    </w:p>
    <w:p w:rsidR="007C5C09" w:rsidRDefault="007C5C09">
      <w:pPr>
        <w:adjustRightInd/>
        <w:snapToGrid/>
        <w:rPr>
          <w:rFonts w:eastAsia="宋体" w:cs="Times New Roman"/>
          <w:szCs w:val="28"/>
        </w:rPr>
      </w:pPr>
      <w:r>
        <w:rPr>
          <w:rFonts w:eastAsia="宋体" w:cs="Times New Roman"/>
          <w:szCs w:val="28"/>
        </w:rPr>
        <w:br w:type="page"/>
      </w:r>
    </w:p>
    <w:p w:rsidR="007C5C09" w:rsidRPr="00F66363" w:rsidRDefault="007C5C09" w:rsidP="007C5C09">
      <w:pPr>
        <w:rPr>
          <w:rFonts w:eastAsia="宋体" w:cs="Times New Roman"/>
          <w:szCs w:val="21"/>
        </w:rPr>
      </w:pPr>
      <w:r>
        <w:rPr>
          <w:rFonts w:eastAsia="宋体" w:cs="Times New Roman"/>
          <w:b/>
          <w:bCs/>
          <w:szCs w:val="28"/>
        </w:rPr>
        <w:t>(</w:t>
      </w:r>
      <w:r w:rsidRPr="00F66363">
        <w:rPr>
          <w:rFonts w:eastAsia="宋体" w:cs="Times New Roman" w:hint="eastAsia"/>
          <w:b/>
          <w:bCs/>
          <w:szCs w:val="28"/>
        </w:rPr>
        <w:t>十</w:t>
      </w:r>
      <w:r>
        <w:rPr>
          <w:rFonts w:eastAsia="宋体" w:cs="Times New Roman" w:hint="eastAsia"/>
          <w:b/>
          <w:bCs/>
          <w:szCs w:val="28"/>
        </w:rPr>
        <w:t>五</w:t>
      </w:r>
      <w:r>
        <w:rPr>
          <w:rFonts w:eastAsia="宋体" w:cs="Times New Roman"/>
          <w:b/>
          <w:bCs/>
          <w:szCs w:val="28"/>
        </w:rPr>
        <w:t>)</w:t>
      </w:r>
      <w:r w:rsidRPr="00F66363">
        <w:rPr>
          <w:rFonts w:eastAsia="宋体" w:cs="Times New Roman"/>
          <w:b/>
          <w:bCs/>
          <w:szCs w:val="28"/>
        </w:rPr>
        <w:tab/>
      </w:r>
      <w:r w:rsidRPr="00F66363">
        <w:rPr>
          <w:rFonts w:eastAsia="宋体" w:cs="Times New Roman" w:hint="eastAsia"/>
          <w:b/>
          <w:bCs/>
          <w:szCs w:val="28"/>
        </w:rPr>
        <w:t>母公司财务报表主要项目注释</w:t>
      </w:r>
      <w:r w:rsidRPr="00F66363">
        <w:rPr>
          <w:rFonts w:eastAsia="宋体" w:cs="Times New Roman"/>
        </w:rPr>
        <w:t xml:space="preserve"> - </w:t>
      </w:r>
      <w:r w:rsidRPr="00F66363">
        <w:rPr>
          <w:rFonts w:eastAsia="宋体" w:cs="Times New Roman" w:hint="eastAsia"/>
        </w:rPr>
        <w:t>续</w:t>
      </w:r>
    </w:p>
    <w:p w:rsidR="007C5C09" w:rsidRPr="00F66363" w:rsidRDefault="007C5C09" w:rsidP="007C5C09">
      <w:pPr>
        <w:ind w:left="1440" w:hanging="720"/>
        <w:rPr>
          <w:rFonts w:eastAsia="宋体" w:cs="Times New Roman"/>
          <w:szCs w:val="28"/>
        </w:rPr>
      </w:pPr>
    </w:p>
    <w:p w:rsidR="00FF34EF" w:rsidRPr="00A71D2E" w:rsidRDefault="00FF34EF" w:rsidP="00F66363">
      <w:pPr>
        <w:pStyle w:val="2"/>
        <w:numPr>
          <w:ilvl w:val="2"/>
          <w:numId w:val="1"/>
        </w:numPr>
        <w:adjustRightInd w:val="0"/>
        <w:snapToGrid w:val="0"/>
        <w:ind w:left="1440" w:hanging="720"/>
        <w:contextualSpacing w:val="0"/>
        <w:rPr>
          <w:rFonts w:ascii="Times New Roman" w:eastAsia="宋体" w:hAnsi="Times New Roman" w:cs="Times New Roman"/>
          <w:b w:val="0"/>
        </w:rPr>
      </w:pPr>
      <w:r w:rsidRPr="00A71D2E">
        <w:rPr>
          <w:rFonts w:ascii="Times New Roman" w:eastAsia="宋体" w:hAnsi="Times New Roman" w:cs="Times New Roman" w:hint="eastAsia"/>
        </w:rPr>
        <w:t>其他应收款</w:t>
      </w:r>
    </w:p>
    <w:p w:rsidR="00FF34EF" w:rsidRPr="00A71D2E" w:rsidRDefault="00FF34EF" w:rsidP="00F66363">
      <w:pPr>
        <w:ind w:left="720"/>
        <w:jc w:val="both"/>
        <w:rPr>
          <w:rFonts w:eastAsia="宋体" w:cs="Times New Roman"/>
          <w:szCs w:val="21"/>
        </w:rPr>
      </w:pPr>
    </w:p>
    <w:p w:rsidR="00FF34EF" w:rsidRPr="00BE136A" w:rsidRDefault="00FF34EF" w:rsidP="0027505B">
      <w:pPr>
        <w:numPr>
          <w:ilvl w:val="2"/>
          <w:numId w:val="0"/>
        </w:numPr>
        <w:tabs>
          <w:tab w:val="left" w:pos="720"/>
        </w:tabs>
        <w:ind w:left="720"/>
        <w:outlineLvl w:val="2"/>
        <w:rPr>
          <w:rFonts w:eastAsia="宋体" w:cs="Times New Roman"/>
          <w:sz w:val="24"/>
          <w:szCs w:val="21"/>
        </w:rPr>
      </w:pPr>
      <w:r w:rsidRPr="00BE136A">
        <w:rPr>
          <w:rFonts w:eastAsia="宋体" w:cs="Times New Roman"/>
          <w:szCs w:val="21"/>
        </w:rPr>
        <w:t>2.1</w:t>
      </w:r>
      <w:r w:rsidRPr="00BE136A">
        <w:rPr>
          <w:rFonts w:eastAsia="宋体" w:cs="Times New Roman"/>
          <w:szCs w:val="21"/>
        </w:rPr>
        <w:tab/>
      </w:r>
      <w:r w:rsidRPr="00BE136A">
        <w:rPr>
          <w:rFonts w:eastAsia="宋体" w:cs="Times New Roman" w:hint="eastAsia"/>
          <w:szCs w:val="21"/>
        </w:rPr>
        <w:t>分类列示</w:t>
      </w:r>
    </w:p>
    <w:p w:rsidR="00FF34EF" w:rsidRPr="00A71D2E" w:rsidRDefault="00FF34EF" w:rsidP="00F66363">
      <w:pPr>
        <w:ind w:left="720" w:right="9"/>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2"/>
        <w:gridCol w:w="1719"/>
        <w:gridCol w:w="1719"/>
      </w:tblGrid>
      <w:tr w:rsidR="003415F9" w:rsidRPr="00A71D2E" w:rsidTr="0027505B">
        <w:trPr>
          <w:trHeight w:val="20"/>
        </w:trPr>
        <w:tc>
          <w:tcPr>
            <w:tcW w:w="6012" w:type="dxa"/>
            <w:shd w:val="clear" w:color="000000" w:fill="D9D9D9"/>
            <w:noWrap/>
            <w:vAlign w:val="center"/>
            <w:hideMark/>
          </w:tcPr>
          <w:p w:rsidR="00FF34EF" w:rsidRPr="00A71D2E" w:rsidRDefault="00FF34EF" w:rsidP="00F66363">
            <w:pPr>
              <w:jc w:val="center"/>
              <w:rPr>
                <w:rFonts w:eastAsia="宋体" w:cs="Times New Roman"/>
                <w:color w:val="000000"/>
                <w:sz w:val="18"/>
                <w:szCs w:val="18"/>
              </w:rPr>
            </w:pPr>
            <w:r w:rsidRPr="00A71D2E">
              <w:rPr>
                <w:rFonts w:eastAsia="宋体" w:cs="Times New Roman" w:hint="eastAsia"/>
                <w:color w:val="000000"/>
                <w:sz w:val="18"/>
                <w:szCs w:val="18"/>
              </w:rPr>
              <w:t>项目</w:t>
            </w:r>
          </w:p>
        </w:tc>
        <w:tc>
          <w:tcPr>
            <w:tcW w:w="1719" w:type="dxa"/>
            <w:shd w:val="clear" w:color="000000" w:fill="D9D9D9"/>
            <w:vAlign w:val="center"/>
          </w:tcPr>
          <w:p w:rsidR="00FF34EF" w:rsidRPr="00A71D2E" w:rsidRDefault="007B7458" w:rsidP="00F66363">
            <w:pPr>
              <w:jc w:val="center"/>
              <w:rPr>
                <w:rFonts w:eastAsia="宋体" w:cs="Times New Roman"/>
                <w:sz w:val="18"/>
                <w:szCs w:val="18"/>
              </w:rPr>
            </w:pPr>
            <w:r w:rsidRPr="00A71D2E">
              <w:rPr>
                <w:rFonts w:eastAsia="宋体" w:cs="Times New Roman" w:hint="eastAsia"/>
                <w:sz w:val="18"/>
                <w:szCs w:val="18"/>
              </w:rPr>
              <w:t>年末余额</w:t>
            </w:r>
          </w:p>
        </w:tc>
        <w:tc>
          <w:tcPr>
            <w:tcW w:w="1719" w:type="dxa"/>
            <w:shd w:val="clear" w:color="000000" w:fill="D9D9D9"/>
            <w:vAlign w:val="center"/>
          </w:tcPr>
          <w:p w:rsidR="00FF34EF" w:rsidRPr="00A71D2E" w:rsidRDefault="007B7458" w:rsidP="00F66363">
            <w:pPr>
              <w:jc w:val="center"/>
              <w:rPr>
                <w:rFonts w:eastAsia="宋体" w:cs="Times New Roman"/>
                <w:color w:val="000000"/>
                <w:sz w:val="18"/>
                <w:szCs w:val="18"/>
              </w:rPr>
            </w:pPr>
            <w:r w:rsidRPr="00A71D2E">
              <w:rPr>
                <w:rFonts w:eastAsia="宋体" w:cs="Times New Roman" w:hint="eastAsia"/>
                <w:color w:val="000000"/>
                <w:sz w:val="18"/>
                <w:szCs w:val="18"/>
              </w:rPr>
              <w:t>年初余额</w:t>
            </w:r>
          </w:p>
        </w:tc>
      </w:tr>
      <w:tr w:rsidR="0046019F" w:rsidRPr="00A71D2E" w:rsidTr="0027505B">
        <w:trPr>
          <w:trHeight w:val="20"/>
        </w:trPr>
        <w:tc>
          <w:tcPr>
            <w:tcW w:w="6012" w:type="dxa"/>
            <w:shd w:val="clear" w:color="auto" w:fill="auto"/>
            <w:noWrap/>
            <w:vAlign w:val="center"/>
          </w:tcPr>
          <w:p w:rsidR="0046019F" w:rsidRPr="00A71D2E" w:rsidRDefault="0046019F" w:rsidP="0046019F">
            <w:pPr>
              <w:rPr>
                <w:rFonts w:eastAsia="宋体" w:cs="Times New Roman"/>
                <w:sz w:val="18"/>
                <w:szCs w:val="18"/>
              </w:rPr>
            </w:pPr>
            <w:r w:rsidRPr="00A71D2E">
              <w:rPr>
                <w:rFonts w:eastAsia="宋体" w:cs="Times New Roman" w:hint="eastAsia"/>
                <w:sz w:val="18"/>
                <w:szCs w:val="18"/>
              </w:rPr>
              <w:t>应收股利</w:t>
            </w:r>
          </w:p>
        </w:tc>
        <w:tc>
          <w:tcPr>
            <w:tcW w:w="1719" w:type="dxa"/>
            <w:vAlign w:val="center"/>
          </w:tcPr>
          <w:p w:rsidR="0046019F" w:rsidRPr="00A71D2E" w:rsidRDefault="00985508" w:rsidP="0046019F">
            <w:pPr>
              <w:jc w:val="right"/>
              <w:rPr>
                <w:rFonts w:eastAsia="宋体" w:cs="Times New Roman"/>
                <w:color w:val="000000"/>
                <w:sz w:val="18"/>
                <w:szCs w:val="18"/>
              </w:rPr>
            </w:pPr>
            <w:r w:rsidRPr="00985508">
              <w:rPr>
                <w:rFonts w:eastAsia="宋体" w:cs="Times New Roman"/>
                <w:color w:val="000000"/>
                <w:sz w:val="18"/>
                <w:szCs w:val="18"/>
              </w:rPr>
              <w:t>650,000,000.00</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color w:val="000000"/>
                <w:sz w:val="18"/>
                <w:szCs w:val="18"/>
              </w:rPr>
              <w:t>300,000,000.00</w:t>
            </w:r>
          </w:p>
        </w:tc>
      </w:tr>
      <w:tr w:rsidR="0046019F" w:rsidRPr="00A71D2E" w:rsidTr="0027505B">
        <w:trPr>
          <w:trHeight w:val="20"/>
        </w:trPr>
        <w:tc>
          <w:tcPr>
            <w:tcW w:w="6012" w:type="dxa"/>
            <w:shd w:val="clear" w:color="auto" w:fill="auto"/>
            <w:noWrap/>
            <w:vAlign w:val="center"/>
          </w:tcPr>
          <w:p w:rsidR="0046019F" w:rsidRPr="00A71D2E" w:rsidRDefault="0046019F" w:rsidP="0046019F">
            <w:pPr>
              <w:rPr>
                <w:rFonts w:eastAsia="宋体" w:cs="Times New Roman"/>
                <w:sz w:val="18"/>
                <w:szCs w:val="18"/>
              </w:rPr>
            </w:pPr>
            <w:r w:rsidRPr="00A71D2E">
              <w:rPr>
                <w:rFonts w:eastAsia="宋体" w:cs="Times New Roman" w:hint="eastAsia"/>
                <w:sz w:val="18"/>
                <w:szCs w:val="18"/>
              </w:rPr>
              <w:t>其他应收款</w:t>
            </w:r>
          </w:p>
        </w:tc>
        <w:tc>
          <w:tcPr>
            <w:tcW w:w="1719" w:type="dxa"/>
            <w:vAlign w:val="center"/>
          </w:tcPr>
          <w:p w:rsidR="0046019F" w:rsidRPr="00A71D2E" w:rsidRDefault="00985508" w:rsidP="0046019F">
            <w:pPr>
              <w:jc w:val="right"/>
              <w:rPr>
                <w:rFonts w:eastAsia="宋体" w:cs="Times New Roman"/>
                <w:color w:val="000000"/>
                <w:sz w:val="18"/>
                <w:szCs w:val="18"/>
              </w:rPr>
            </w:pPr>
            <w:r w:rsidRPr="00985508">
              <w:rPr>
                <w:rFonts w:eastAsia="宋体" w:cs="Times New Roman"/>
                <w:color w:val="000000"/>
                <w:sz w:val="18"/>
                <w:szCs w:val="18"/>
              </w:rPr>
              <w:t>1,829,568,532.10</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color w:val="000000"/>
                <w:sz w:val="18"/>
                <w:szCs w:val="18"/>
              </w:rPr>
              <w:t>44,095,846.46</w:t>
            </w:r>
          </w:p>
        </w:tc>
      </w:tr>
      <w:tr w:rsidR="0046019F" w:rsidRPr="00A71D2E" w:rsidTr="0027505B">
        <w:trPr>
          <w:trHeight w:val="20"/>
        </w:trPr>
        <w:tc>
          <w:tcPr>
            <w:tcW w:w="6012" w:type="dxa"/>
            <w:shd w:val="clear" w:color="000000" w:fill="D9D9D9"/>
            <w:noWrap/>
            <w:vAlign w:val="center"/>
            <w:hideMark/>
          </w:tcPr>
          <w:p w:rsidR="0046019F" w:rsidRPr="00A71D2E" w:rsidRDefault="0046019F" w:rsidP="0046019F">
            <w:pPr>
              <w:rPr>
                <w:rFonts w:eastAsia="宋体" w:cs="Times New Roman"/>
                <w:color w:val="000000"/>
                <w:sz w:val="18"/>
                <w:szCs w:val="18"/>
              </w:rPr>
            </w:pPr>
            <w:r w:rsidRPr="00A71D2E">
              <w:rPr>
                <w:rFonts w:eastAsia="宋体" w:cs="Times New Roman" w:hint="eastAsia"/>
                <w:color w:val="000000"/>
                <w:sz w:val="18"/>
                <w:szCs w:val="18"/>
              </w:rPr>
              <w:t>合计</w:t>
            </w:r>
          </w:p>
        </w:tc>
        <w:tc>
          <w:tcPr>
            <w:tcW w:w="1719" w:type="dxa"/>
            <w:vAlign w:val="center"/>
          </w:tcPr>
          <w:p w:rsidR="0046019F" w:rsidRPr="00A71D2E" w:rsidRDefault="00985508" w:rsidP="0046019F">
            <w:pPr>
              <w:jc w:val="right"/>
              <w:rPr>
                <w:rFonts w:eastAsia="宋体" w:cs="Times New Roman"/>
                <w:sz w:val="18"/>
                <w:szCs w:val="18"/>
              </w:rPr>
            </w:pPr>
            <w:r w:rsidRPr="00985508">
              <w:rPr>
                <w:rFonts w:eastAsia="宋体" w:cs="Times New Roman"/>
                <w:sz w:val="18"/>
                <w:szCs w:val="18"/>
              </w:rPr>
              <w:t>2,479,568,532.10</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sz w:val="18"/>
                <w:szCs w:val="18"/>
              </w:rPr>
              <w:t>344,095,846.46</w:t>
            </w:r>
          </w:p>
        </w:tc>
      </w:tr>
    </w:tbl>
    <w:p w:rsidR="00FF34EF" w:rsidRPr="00A71D2E" w:rsidRDefault="00FF34EF" w:rsidP="00F66363">
      <w:pPr>
        <w:ind w:firstLine="720"/>
        <w:rPr>
          <w:rFonts w:eastAsia="宋体" w:cs="Times New Roman"/>
          <w:szCs w:val="21"/>
        </w:rPr>
      </w:pPr>
    </w:p>
    <w:p w:rsidR="00FF34EF" w:rsidRPr="00BE136A" w:rsidRDefault="00FF34EF" w:rsidP="00F66363">
      <w:pPr>
        <w:numPr>
          <w:ilvl w:val="2"/>
          <w:numId w:val="0"/>
        </w:numPr>
        <w:ind w:left="720"/>
        <w:outlineLvl w:val="2"/>
        <w:rPr>
          <w:rFonts w:eastAsia="宋体" w:cs="Times New Roman"/>
          <w:szCs w:val="21"/>
        </w:rPr>
      </w:pPr>
      <w:r w:rsidRPr="00BE136A">
        <w:rPr>
          <w:rFonts w:eastAsia="宋体" w:cs="Times New Roman"/>
          <w:szCs w:val="21"/>
        </w:rPr>
        <w:t>2.2</w:t>
      </w:r>
      <w:r w:rsidRPr="00BE136A">
        <w:rPr>
          <w:rFonts w:eastAsia="宋体" w:cs="Times New Roman"/>
          <w:szCs w:val="21"/>
        </w:rPr>
        <w:tab/>
      </w:r>
      <w:r w:rsidRPr="00BE136A">
        <w:rPr>
          <w:rFonts w:eastAsia="宋体" w:cs="Times New Roman" w:hint="eastAsia"/>
          <w:szCs w:val="21"/>
        </w:rPr>
        <w:t>应收股利</w:t>
      </w:r>
    </w:p>
    <w:p w:rsidR="00FF34EF" w:rsidRPr="00A71D2E" w:rsidRDefault="00FF34EF" w:rsidP="00F66363">
      <w:pPr>
        <w:ind w:left="720" w:right="9"/>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2"/>
        <w:gridCol w:w="1719"/>
        <w:gridCol w:w="1719"/>
      </w:tblGrid>
      <w:tr w:rsidR="00D66E09" w:rsidRPr="00A71D2E" w:rsidTr="0027505B">
        <w:trPr>
          <w:trHeight w:val="20"/>
        </w:trPr>
        <w:tc>
          <w:tcPr>
            <w:tcW w:w="6012" w:type="dxa"/>
            <w:shd w:val="clear" w:color="000000" w:fill="D9D9D9"/>
            <w:noWrap/>
            <w:vAlign w:val="center"/>
            <w:hideMark/>
          </w:tcPr>
          <w:p w:rsidR="00D66E09" w:rsidRPr="00A71D2E" w:rsidRDefault="00D66E09" w:rsidP="00F66363">
            <w:pPr>
              <w:jc w:val="center"/>
              <w:rPr>
                <w:rFonts w:eastAsia="宋体" w:cs="Times New Roman"/>
                <w:color w:val="000000"/>
                <w:sz w:val="18"/>
                <w:szCs w:val="18"/>
              </w:rPr>
            </w:pPr>
            <w:r w:rsidRPr="00A71D2E">
              <w:rPr>
                <w:rFonts w:eastAsia="宋体" w:cs="Times New Roman" w:hint="eastAsia"/>
                <w:color w:val="000000"/>
                <w:sz w:val="18"/>
                <w:szCs w:val="18"/>
              </w:rPr>
              <w:t>被投资单位</w:t>
            </w:r>
          </w:p>
        </w:tc>
        <w:tc>
          <w:tcPr>
            <w:tcW w:w="1719" w:type="dxa"/>
            <w:shd w:val="clear" w:color="000000" w:fill="D9D9D9"/>
            <w:vAlign w:val="center"/>
          </w:tcPr>
          <w:p w:rsidR="00D66E09" w:rsidRPr="00A71D2E" w:rsidRDefault="00D66E09" w:rsidP="00F66363">
            <w:pPr>
              <w:jc w:val="center"/>
              <w:rPr>
                <w:rFonts w:eastAsia="宋体" w:cs="Times New Roman"/>
                <w:sz w:val="18"/>
                <w:szCs w:val="18"/>
              </w:rPr>
            </w:pPr>
            <w:r w:rsidRPr="00A71D2E">
              <w:rPr>
                <w:rFonts w:eastAsia="宋体" w:cs="Times New Roman" w:hint="eastAsia"/>
                <w:sz w:val="18"/>
                <w:szCs w:val="18"/>
              </w:rPr>
              <w:t>年末余额</w:t>
            </w:r>
          </w:p>
        </w:tc>
        <w:tc>
          <w:tcPr>
            <w:tcW w:w="1719" w:type="dxa"/>
            <w:shd w:val="clear" w:color="000000" w:fill="D9D9D9"/>
            <w:vAlign w:val="center"/>
          </w:tcPr>
          <w:p w:rsidR="00D66E09" w:rsidRPr="00A71D2E" w:rsidRDefault="00D66E09" w:rsidP="00F66363">
            <w:pPr>
              <w:jc w:val="center"/>
              <w:rPr>
                <w:rFonts w:eastAsia="宋体" w:cs="Times New Roman"/>
                <w:color w:val="000000"/>
                <w:sz w:val="18"/>
                <w:szCs w:val="18"/>
              </w:rPr>
            </w:pPr>
            <w:r w:rsidRPr="00A71D2E">
              <w:rPr>
                <w:rFonts w:eastAsia="宋体" w:cs="Times New Roman" w:hint="eastAsia"/>
                <w:color w:val="000000"/>
                <w:sz w:val="18"/>
                <w:szCs w:val="18"/>
              </w:rPr>
              <w:t>年初余额</w:t>
            </w:r>
          </w:p>
        </w:tc>
      </w:tr>
      <w:tr w:rsidR="0046019F" w:rsidRPr="00A71D2E" w:rsidTr="0027505B">
        <w:trPr>
          <w:trHeight w:val="20"/>
        </w:trPr>
        <w:tc>
          <w:tcPr>
            <w:tcW w:w="6012" w:type="dxa"/>
            <w:shd w:val="clear" w:color="auto" w:fill="auto"/>
            <w:noWrap/>
            <w:vAlign w:val="center"/>
          </w:tcPr>
          <w:p w:rsidR="0046019F" w:rsidRPr="00A71D2E" w:rsidRDefault="0046019F" w:rsidP="0046019F">
            <w:pPr>
              <w:rPr>
                <w:rFonts w:eastAsia="宋体" w:cs="Times New Roman"/>
                <w:sz w:val="18"/>
                <w:szCs w:val="18"/>
              </w:rPr>
            </w:pPr>
            <w:r w:rsidRPr="00A71D2E">
              <w:rPr>
                <w:rFonts w:eastAsia="宋体" w:cs="Times New Roman" w:hint="eastAsia"/>
                <w:sz w:val="18"/>
                <w:szCs w:val="18"/>
              </w:rPr>
              <w:t>萤石软件</w:t>
            </w:r>
          </w:p>
        </w:tc>
        <w:tc>
          <w:tcPr>
            <w:tcW w:w="1719" w:type="dxa"/>
            <w:vAlign w:val="center"/>
          </w:tcPr>
          <w:p w:rsidR="0046019F" w:rsidRPr="00A71D2E" w:rsidRDefault="00985508" w:rsidP="0046019F">
            <w:pPr>
              <w:jc w:val="right"/>
              <w:rPr>
                <w:rFonts w:eastAsia="宋体" w:cs="Times New Roman"/>
                <w:color w:val="000000"/>
                <w:sz w:val="18"/>
                <w:szCs w:val="18"/>
              </w:rPr>
            </w:pPr>
            <w:r w:rsidRPr="00985508">
              <w:rPr>
                <w:rFonts w:eastAsia="宋体" w:cs="Times New Roman"/>
                <w:color w:val="000000"/>
                <w:sz w:val="18"/>
                <w:szCs w:val="18"/>
              </w:rPr>
              <w:t>650,000,000.00</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color w:val="000000"/>
                <w:sz w:val="18"/>
                <w:szCs w:val="18"/>
              </w:rPr>
              <w:t>300,000,000.00</w:t>
            </w:r>
          </w:p>
        </w:tc>
      </w:tr>
      <w:tr w:rsidR="0046019F" w:rsidRPr="00A71D2E" w:rsidTr="0027505B">
        <w:trPr>
          <w:trHeight w:val="20"/>
        </w:trPr>
        <w:tc>
          <w:tcPr>
            <w:tcW w:w="6012" w:type="dxa"/>
            <w:shd w:val="clear" w:color="000000" w:fill="D9D9D9"/>
            <w:noWrap/>
            <w:vAlign w:val="center"/>
            <w:hideMark/>
          </w:tcPr>
          <w:p w:rsidR="0046019F" w:rsidRPr="00A71D2E" w:rsidRDefault="0046019F" w:rsidP="0046019F">
            <w:pPr>
              <w:rPr>
                <w:rFonts w:eastAsia="宋体" w:cs="Times New Roman"/>
                <w:color w:val="000000"/>
                <w:sz w:val="18"/>
                <w:szCs w:val="18"/>
              </w:rPr>
            </w:pPr>
            <w:r w:rsidRPr="00A71D2E">
              <w:rPr>
                <w:rFonts w:eastAsia="宋体" w:cs="Times New Roman" w:hint="eastAsia"/>
                <w:color w:val="000000"/>
                <w:sz w:val="18"/>
                <w:szCs w:val="18"/>
              </w:rPr>
              <w:t>合计</w:t>
            </w:r>
          </w:p>
        </w:tc>
        <w:tc>
          <w:tcPr>
            <w:tcW w:w="1719" w:type="dxa"/>
            <w:vAlign w:val="center"/>
          </w:tcPr>
          <w:p w:rsidR="0046019F" w:rsidRPr="00A71D2E" w:rsidRDefault="00985508" w:rsidP="0046019F">
            <w:pPr>
              <w:jc w:val="right"/>
              <w:rPr>
                <w:rFonts w:eastAsia="宋体" w:cs="Times New Roman"/>
                <w:color w:val="000000"/>
                <w:sz w:val="18"/>
                <w:szCs w:val="18"/>
              </w:rPr>
            </w:pPr>
            <w:r w:rsidRPr="00985508">
              <w:rPr>
                <w:rFonts w:eastAsia="宋体" w:cs="Times New Roman"/>
                <w:color w:val="000000"/>
                <w:sz w:val="18"/>
                <w:szCs w:val="18"/>
              </w:rPr>
              <w:t>650,000,000.00</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color w:val="000000"/>
                <w:sz w:val="18"/>
                <w:szCs w:val="18"/>
              </w:rPr>
              <w:t>300,000,000.00</w:t>
            </w:r>
          </w:p>
        </w:tc>
      </w:tr>
    </w:tbl>
    <w:p w:rsidR="00B019F3" w:rsidRPr="00A71D2E" w:rsidRDefault="00B019F3" w:rsidP="00F66363">
      <w:pPr>
        <w:ind w:left="720"/>
        <w:jc w:val="both"/>
        <w:rPr>
          <w:rFonts w:eastAsia="宋体" w:cs="Times New Roman"/>
          <w:szCs w:val="21"/>
        </w:rPr>
      </w:pPr>
    </w:p>
    <w:p w:rsidR="00FF34EF" w:rsidRPr="00BE136A" w:rsidRDefault="00FF34EF" w:rsidP="00F66363">
      <w:pPr>
        <w:numPr>
          <w:ilvl w:val="2"/>
          <w:numId w:val="0"/>
        </w:numPr>
        <w:ind w:left="720"/>
        <w:outlineLvl w:val="2"/>
        <w:rPr>
          <w:rFonts w:eastAsia="宋体" w:cs="Times New Roman"/>
          <w:szCs w:val="21"/>
        </w:rPr>
      </w:pPr>
      <w:r w:rsidRPr="00BE136A">
        <w:rPr>
          <w:rFonts w:eastAsia="宋体" w:cs="Times New Roman"/>
          <w:szCs w:val="21"/>
        </w:rPr>
        <w:t>2.3</w:t>
      </w:r>
      <w:r w:rsidRPr="00BE136A">
        <w:rPr>
          <w:rFonts w:eastAsia="宋体" w:cs="Times New Roman"/>
          <w:szCs w:val="21"/>
        </w:rPr>
        <w:tab/>
      </w:r>
      <w:r w:rsidRPr="00BE136A">
        <w:rPr>
          <w:rFonts w:eastAsia="宋体" w:cs="Times New Roman" w:hint="eastAsia"/>
          <w:szCs w:val="21"/>
        </w:rPr>
        <w:t>其他应收款分类披露</w:t>
      </w:r>
    </w:p>
    <w:p w:rsidR="00FF34EF" w:rsidRPr="00A71D2E" w:rsidRDefault="00FF34EF" w:rsidP="00F66363">
      <w:pPr>
        <w:ind w:left="720"/>
        <w:jc w:val="both"/>
        <w:rPr>
          <w:rFonts w:eastAsia="宋体" w:cs="Times New Roman"/>
          <w:szCs w:val="21"/>
        </w:rPr>
      </w:pPr>
    </w:p>
    <w:p w:rsidR="00FF34EF" w:rsidRPr="00A71D2E" w:rsidRDefault="005F14EE" w:rsidP="00F66363">
      <w:pPr>
        <w:ind w:firstLine="720"/>
        <w:rPr>
          <w:rFonts w:eastAsia="宋体" w:cs="Times New Roman"/>
        </w:rPr>
      </w:pPr>
      <w:r>
        <w:rPr>
          <w:rFonts w:eastAsia="宋体" w:cs="Times New Roman"/>
          <w:szCs w:val="21"/>
        </w:rPr>
        <w:t>(</w:t>
      </w:r>
      <w:r w:rsidR="00FF34EF" w:rsidRPr="00A71D2E">
        <w:rPr>
          <w:rFonts w:eastAsia="宋体" w:cs="Times New Roman"/>
          <w:szCs w:val="21"/>
        </w:rPr>
        <w:t>1</w:t>
      </w:r>
      <w:r>
        <w:rPr>
          <w:rFonts w:eastAsia="宋体" w:cs="Times New Roman"/>
          <w:szCs w:val="21"/>
        </w:rPr>
        <w:t>)</w:t>
      </w:r>
      <w:r w:rsidR="00FF34EF" w:rsidRPr="00A71D2E">
        <w:rPr>
          <w:rFonts w:eastAsia="宋体" w:cs="Times New Roman"/>
          <w:szCs w:val="21"/>
        </w:rPr>
        <w:tab/>
      </w:r>
      <w:proofErr w:type="gramStart"/>
      <w:r w:rsidR="00FF34EF" w:rsidRPr="00A71D2E">
        <w:rPr>
          <w:rFonts w:eastAsia="宋体" w:cs="Times New Roman" w:hint="eastAsia"/>
        </w:rPr>
        <w:t>按账龄</w:t>
      </w:r>
      <w:proofErr w:type="gramEnd"/>
      <w:r w:rsidR="00FF34EF" w:rsidRPr="00A71D2E">
        <w:rPr>
          <w:rFonts w:eastAsia="宋体" w:cs="Times New Roman" w:hint="eastAsia"/>
        </w:rPr>
        <w:t>披露</w:t>
      </w:r>
    </w:p>
    <w:p w:rsidR="00FF34EF" w:rsidRPr="00A71D2E" w:rsidRDefault="00FF34EF" w:rsidP="00F66363">
      <w:pPr>
        <w:ind w:left="720" w:right="9"/>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21"/>
        </w:rPr>
        <w:t>人民币</w:t>
      </w:r>
      <w:r w:rsidRPr="00A71D2E">
        <w:rPr>
          <w:rFonts w:eastAsia="宋体" w:cs="Times New Roman" w:hint="eastAsia"/>
          <w:szCs w:val="18"/>
        </w:rPr>
        <w:t>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12"/>
        <w:gridCol w:w="1719"/>
        <w:gridCol w:w="1719"/>
      </w:tblGrid>
      <w:tr w:rsidR="00D66E09" w:rsidRPr="00A71D2E" w:rsidTr="0027505B">
        <w:trPr>
          <w:trHeight w:val="20"/>
        </w:trPr>
        <w:tc>
          <w:tcPr>
            <w:tcW w:w="6012" w:type="dxa"/>
            <w:shd w:val="clear" w:color="auto" w:fill="D9D9D9" w:themeFill="background1" w:themeFillShade="D9"/>
            <w:vAlign w:val="center"/>
          </w:tcPr>
          <w:p w:rsidR="00D66E09" w:rsidRPr="00A71D2E" w:rsidRDefault="00D66E09" w:rsidP="00F66363">
            <w:pPr>
              <w:jc w:val="center"/>
              <w:rPr>
                <w:rFonts w:eastAsia="宋体" w:cs="Times New Roman"/>
                <w:sz w:val="18"/>
                <w:szCs w:val="18"/>
              </w:rPr>
            </w:pPr>
            <w:r w:rsidRPr="00A71D2E">
              <w:rPr>
                <w:rFonts w:eastAsia="宋体" w:cs="Times New Roman" w:hint="eastAsia"/>
                <w:sz w:val="18"/>
                <w:szCs w:val="18"/>
              </w:rPr>
              <w:t>账龄</w:t>
            </w:r>
          </w:p>
        </w:tc>
        <w:tc>
          <w:tcPr>
            <w:tcW w:w="1719" w:type="dxa"/>
            <w:shd w:val="clear" w:color="auto" w:fill="D9D9D9" w:themeFill="background1" w:themeFillShade="D9"/>
            <w:vAlign w:val="center"/>
          </w:tcPr>
          <w:p w:rsidR="00D66E09" w:rsidRPr="00A71D2E" w:rsidRDefault="00D66E09" w:rsidP="00F66363">
            <w:pPr>
              <w:jc w:val="center"/>
              <w:rPr>
                <w:rFonts w:eastAsia="宋体" w:cs="Times New Roman"/>
                <w:sz w:val="18"/>
                <w:szCs w:val="18"/>
              </w:rPr>
            </w:pPr>
            <w:r w:rsidRPr="00A71D2E">
              <w:rPr>
                <w:rFonts w:eastAsia="宋体" w:cs="Times New Roman" w:hint="eastAsia"/>
                <w:sz w:val="18"/>
                <w:szCs w:val="18"/>
              </w:rPr>
              <w:t>年末余额</w:t>
            </w:r>
          </w:p>
        </w:tc>
        <w:tc>
          <w:tcPr>
            <w:tcW w:w="1719" w:type="dxa"/>
            <w:shd w:val="clear" w:color="auto" w:fill="D9D9D9" w:themeFill="background1" w:themeFillShade="D9"/>
            <w:vAlign w:val="center"/>
          </w:tcPr>
          <w:p w:rsidR="00D66E09" w:rsidRPr="00A71D2E" w:rsidRDefault="00D66E09" w:rsidP="00F66363">
            <w:pPr>
              <w:ind w:right="-89"/>
              <w:jc w:val="center"/>
              <w:rPr>
                <w:rFonts w:eastAsia="宋体" w:cs="Times New Roman"/>
                <w:sz w:val="18"/>
                <w:szCs w:val="18"/>
              </w:rPr>
            </w:pPr>
            <w:r w:rsidRPr="00A71D2E">
              <w:rPr>
                <w:rFonts w:eastAsia="宋体" w:cs="Times New Roman" w:hint="eastAsia"/>
                <w:color w:val="000000"/>
                <w:sz w:val="18"/>
                <w:szCs w:val="18"/>
              </w:rPr>
              <w:t>年初余额</w:t>
            </w:r>
          </w:p>
        </w:tc>
      </w:tr>
      <w:tr w:rsidR="0046019F" w:rsidRPr="00A71D2E" w:rsidTr="0027505B">
        <w:trPr>
          <w:trHeight w:val="20"/>
        </w:trPr>
        <w:tc>
          <w:tcPr>
            <w:tcW w:w="6012" w:type="dxa"/>
            <w:shd w:val="clear" w:color="auto" w:fill="FFFFFF" w:themeFill="background1"/>
            <w:vAlign w:val="center"/>
          </w:tcPr>
          <w:p w:rsidR="0046019F" w:rsidRPr="00A71D2E" w:rsidRDefault="0046019F" w:rsidP="0046019F">
            <w:pPr>
              <w:rPr>
                <w:rFonts w:eastAsia="宋体" w:cs="Times New Roman"/>
                <w:sz w:val="18"/>
                <w:szCs w:val="18"/>
              </w:rPr>
            </w:pPr>
            <w:r w:rsidRPr="00A71D2E">
              <w:rPr>
                <w:rFonts w:eastAsia="宋体" w:cs="Times New Roman"/>
                <w:sz w:val="18"/>
                <w:szCs w:val="18"/>
              </w:rPr>
              <w:t>1</w:t>
            </w:r>
            <w:r w:rsidRPr="00A71D2E">
              <w:rPr>
                <w:rFonts w:eastAsia="宋体" w:cs="Times New Roman" w:hint="eastAsia"/>
                <w:sz w:val="18"/>
                <w:szCs w:val="18"/>
              </w:rPr>
              <w:t>年以内</w:t>
            </w:r>
          </w:p>
        </w:tc>
        <w:tc>
          <w:tcPr>
            <w:tcW w:w="1719" w:type="dxa"/>
            <w:vAlign w:val="center"/>
          </w:tcPr>
          <w:p w:rsidR="0046019F" w:rsidRPr="00A71D2E" w:rsidRDefault="00985508" w:rsidP="0046019F">
            <w:pPr>
              <w:ind w:left="-18"/>
              <w:jc w:val="right"/>
              <w:rPr>
                <w:rFonts w:eastAsia="宋体" w:cs="Times New Roman"/>
                <w:sz w:val="18"/>
                <w:szCs w:val="18"/>
              </w:rPr>
            </w:pPr>
            <w:r w:rsidRPr="00985508">
              <w:rPr>
                <w:rFonts w:eastAsia="宋体" w:cs="Times New Roman"/>
                <w:sz w:val="18"/>
                <w:szCs w:val="18"/>
              </w:rPr>
              <w:t>1,829,136,922.96</w:t>
            </w:r>
          </w:p>
        </w:tc>
        <w:tc>
          <w:tcPr>
            <w:tcW w:w="1719" w:type="dxa"/>
            <w:vAlign w:val="center"/>
          </w:tcPr>
          <w:p w:rsidR="0046019F" w:rsidRPr="00A71D2E" w:rsidRDefault="0046019F" w:rsidP="0046019F">
            <w:pPr>
              <w:ind w:left="-18"/>
              <w:jc w:val="right"/>
              <w:rPr>
                <w:rFonts w:eastAsia="宋体" w:cs="Times New Roman"/>
                <w:sz w:val="18"/>
                <w:szCs w:val="18"/>
              </w:rPr>
            </w:pPr>
            <w:r w:rsidRPr="00A71D2E">
              <w:rPr>
                <w:rFonts w:eastAsia="宋体" w:cs="Times New Roman"/>
                <w:sz w:val="18"/>
                <w:szCs w:val="18"/>
              </w:rPr>
              <w:t>44,178,462.88</w:t>
            </w:r>
          </w:p>
        </w:tc>
      </w:tr>
      <w:tr w:rsidR="0046019F" w:rsidRPr="00A71D2E" w:rsidTr="0027505B">
        <w:trPr>
          <w:trHeight w:val="20"/>
        </w:trPr>
        <w:tc>
          <w:tcPr>
            <w:tcW w:w="6012" w:type="dxa"/>
            <w:shd w:val="clear" w:color="auto" w:fill="FFFFFF" w:themeFill="background1"/>
            <w:vAlign w:val="center"/>
          </w:tcPr>
          <w:p w:rsidR="0046019F" w:rsidRPr="00A71D2E" w:rsidRDefault="0046019F" w:rsidP="0046019F">
            <w:pPr>
              <w:rPr>
                <w:rFonts w:eastAsia="宋体" w:cs="Times New Roman"/>
                <w:sz w:val="18"/>
                <w:szCs w:val="18"/>
              </w:rPr>
            </w:pPr>
            <w:r w:rsidRPr="00A71D2E">
              <w:rPr>
                <w:rFonts w:eastAsia="宋体" w:cs="Times New Roman"/>
                <w:sz w:val="18"/>
                <w:szCs w:val="18"/>
              </w:rPr>
              <w:t>1</w:t>
            </w:r>
            <w:r w:rsidRPr="00A71D2E">
              <w:rPr>
                <w:rFonts w:eastAsia="宋体" w:cs="Times New Roman" w:hint="eastAsia"/>
                <w:sz w:val="18"/>
                <w:szCs w:val="18"/>
              </w:rPr>
              <w:t>至</w:t>
            </w:r>
            <w:r w:rsidRPr="00A71D2E">
              <w:rPr>
                <w:rFonts w:eastAsia="宋体" w:cs="Times New Roman"/>
                <w:sz w:val="18"/>
                <w:szCs w:val="18"/>
              </w:rPr>
              <w:t>2</w:t>
            </w:r>
            <w:r w:rsidRPr="00A71D2E">
              <w:rPr>
                <w:rFonts w:eastAsia="宋体" w:cs="Times New Roman" w:hint="eastAsia"/>
                <w:sz w:val="18"/>
                <w:szCs w:val="18"/>
              </w:rPr>
              <w:t>年</w:t>
            </w:r>
          </w:p>
        </w:tc>
        <w:tc>
          <w:tcPr>
            <w:tcW w:w="1719" w:type="dxa"/>
            <w:vAlign w:val="center"/>
          </w:tcPr>
          <w:p w:rsidR="0046019F" w:rsidRPr="00A71D2E" w:rsidRDefault="00985508" w:rsidP="0046019F">
            <w:pPr>
              <w:ind w:left="-18"/>
              <w:jc w:val="right"/>
              <w:rPr>
                <w:rFonts w:eastAsia="宋体" w:cs="Times New Roman"/>
                <w:sz w:val="18"/>
                <w:szCs w:val="18"/>
              </w:rPr>
            </w:pPr>
            <w:r w:rsidRPr="00985508">
              <w:rPr>
                <w:rFonts w:eastAsia="宋体" w:cs="Times New Roman"/>
                <w:sz w:val="18"/>
                <w:szCs w:val="18"/>
              </w:rPr>
              <w:t>74</w:t>
            </w:r>
            <w:r w:rsidR="003E4D55">
              <w:rPr>
                <w:rFonts w:eastAsia="宋体" w:cs="Times New Roman"/>
                <w:sz w:val="18"/>
                <w:szCs w:val="18"/>
              </w:rPr>
              <w:t>8</w:t>
            </w:r>
            <w:r w:rsidRPr="00985508">
              <w:rPr>
                <w:rFonts w:eastAsia="宋体" w:cs="Times New Roman"/>
                <w:sz w:val="18"/>
                <w:szCs w:val="18"/>
              </w:rPr>
              <w:t>,996.12</w:t>
            </w:r>
          </w:p>
        </w:tc>
        <w:tc>
          <w:tcPr>
            <w:tcW w:w="1719" w:type="dxa"/>
            <w:vAlign w:val="center"/>
          </w:tcPr>
          <w:p w:rsidR="0046019F" w:rsidRPr="00A71D2E" w:rsidRDefault="0046019F" w:rsidP="0046019F">
            <w:pPr>
              <w:ind w:left="-18"/>
              <w:jc w:val="right"/>
              <w:rPr>
                <w:rFonts w:eastAsia="宋体" w:cs="Times New Roman"/>
                <w:sz w:val="18"/>
                <w:szCs w:val="18"/>
              </w:rPr>
            </w:pPr>
            <w:r w:rsidRPr="00A71D2E">
              <w:rPr>
                <w:rFonts w:eastAsia="宋体" w:cs="Times New Roman"/>
                <w:sz w:val="18"/>
                <w:szCs w:val="18"/>
              </w:rPr>
              <w:t>50,558.26</w:t>
            </w:r>
          </w:p>
        </w:tc>
      </w:tr>
      <w:tr w:rsidR="0046019F" w:rsidRPr="00A71D2E" w:rsidTr="0027505B">
        <w:trPr>
          <w:trHeight w:val="20"/>
        </w:trPr>
        <w:tc>
          <w:tcPr>
            <w:tcW w:w="6012" w:type="dxa"/>
            <w:shd w:val="clear" w:color="auto" w:fill="FFFFFF" w:themeFill="background1"/>
            <w:vAlign w:val="center"/>
          </w:tcPr>
          <w:p w:rsidR="0046019F" w:rsidRPr="00A71D2E" w:rsidRDefault="0046019F" w:rsidP="0046019F">
            <w:pPr>
              <w:rPr>
                <w:rFonts w:eastAsia="宋体" w:cs="Times New Roman"/>
                <w:sz w:val="18"/>
                <w:szCs w:val="18"/>
              </w:rPr>
            </w:pPr>
            <w:r w:rsidRPr="00A71D2E">
              <w:rPr>
                <w:rFonts w:eastAsia="宋体" w:cs="Times New Roman"/>
                <w:sz w:val="18"/>
                <w:szCs w:val="18"/>
              </w:rPr>
              <w:t>2</w:t>
            </w:r>
            <w:r w:rsidRPr="00A71D2E">
              <w:rPr>
                <w:rFonts w:eastAsia="宋体" w:cs="Times New Roman" w:hint="eastAsia"/>
                <w:sz w:val="18"/>
                <w:szCs w:val="18"/>
              </w:rPr>
              <w:t>至</w:t>
            </w:r>
            <w:r w:rsidRPr="00A71D2E">
              <w:rPr>
                <w:rFonts w:eastAsia="宋体" w:cs="Times New Roman"/>
                <w:sz w:val="18"/>
                <w:szCs w:val="18"/>
              </w:rPr>
              <w:t>3</w:t>
            </w:r>
            <w:r w:rsidRPr="00A71D2E">
              <w:rPr>
                <w:rFonts w:eastAsia="宋体" w:cs="Times New Roman" w:hint="eastAsia"/>
                <w:sz w:val="18"/>
                <w:szCs w:val="18"/>
              </w:rPr>
              <w:t>年</w:t>
            </w:r>
          </w:p>
        </w:tc>
        <w:tc>
          <w:tcPr>
            <w:tcW w:w="1719" w:type="dxa"/>
            <w:vAlign w:val="center"/>
          </w:tcPr>
          <w:p w:rsidR="0046019F" w:rsidRPr="00A71D2E" w:rsidRDefault="00985508" w:rsidP="0046019F">
            <w:pPr>
              <w:ind w:left="-18"/>
              <w:jc w:val="right"/>
              <w:rPr>
                <w:rFonts w:eastAsia="宋体" w:cs="Times New Roman"/>
                <w:sz w:val="18"/>
                <w:szCs w:val="18"/>
              </w:rPr>
            </w:pPr>
            <w:r w:rsidRPr="00985508">
              <w:rPr>
                <w:rFonts w:eastAsia="宋体" w:cs="Times New Roman"/>
                <w:sz w:val="18"/>
                <w:szCs w:val="18"/>
              </w:rPr>
              <w:t>5</w:t>
            </w:r>
            <w:r w:rsidR="003E4D55">
              <w:rPr>
                <w:rFonts w:eastAsia="宋体" w:cs="Times New Roman"/>
                <w:sz w:val="18"/>
                <w:szCs w:val="18"/>
              </w:rPr>
              <w:t>0</w:t>
            </w:r>
            <w:r w:rsidRPr="00985508">
              <w:rPr>
                <w:rFonts w:eastAsia="宋体" w:cs="Times New Roman"/>
                <w:sz w:val="18"/>
                <w:szCs w:val="18"/>
              </w:rPr>
              <w:t>,000.00</w:t>
            </w:r>
          </w:p>
        </w:tc>
        <w:tc>
          <w:tcPr>
            <w:tcW w:w="1719" w:type="dxa"/>
            <w:vAlign w:val="center"/>
          </w:tcPr>
          <w:p w:rsidR="0046019F" w:rsidRPr="00A71D2E" w:rsidRDefault="0046019F" w:rsidP="0046019F">
            <w:pPr>
              <w:ind w:left="-18"/>
              <w:jc w:val="right"/>
              <w:rPr>
                <w:rFonts w:eastAsia="宋体" w:cs="Times New Roman"/>
                <w:sz w:val="18"/>
                <w:szCs w:val="18"/>
              </w:rPr>
            </w:pPr>
            <w:r w:rsidRPr="00A71D2E">
              <w:rPr>
                <w:rFonts w:eastAsia="宋体" w:cs="Times New Roman"/>
                <w:sz w:val="18"/>
                <w:szCs w:val="18"/>
              </w:rPr>
              <w:t>-    </w:t>
            </w:r>
          </w:p>
        </w:tc>
      </w:tr>
      <w:tr w:rsidR="0046019F" w:rsidRPr="00A71D2E" w:rsidTr="0027505B">
        <w:trPr>
          <w:trHeight w:val="20"/>
        </w:trPr>
        <w:tc>
          <w:tcPr>
            <w:tcW w:w="6012" w:type="dxa"/>
            <w:shd w:val="clear" w:color="auto" w:fill="FFFFFF" w:themeFill="background1"/>
            <w:vAlign w:val="center"/>
          </w:tcPr>
          <w:p w:rsidR="0046019F" w:rsidRPr="00A71D2E" w:rsidRDefault="0046019F" w:rsidP="0046019F">
            <w:pPr>
              <w:rPr>
                <w:rFonts w:eastAsia="宋体" w:cs="Times New Roman"/>
                <w:sz w:val="18"/>
                <w:szCs w:val="18"/>
              </w:rPr>
            </w:pPr>
            <w:r w:rsidRPr="00A71D2E">
              <w:rPr>
                <w:rFonts w:eastAsia="宋体" w:cs="Times New Roman"/>
                <w:sz w:val="18"/>
                <w:szCs w:val="18"/>
              </w:rPr>
              <w:t>3</w:t>
            </w:r>
            <w:r w:rsidRPr="00A71D2E">
              <w:rPr>
                <w:rFonts w:eastAsia="宋体" w:cs="Times New Roman" w:hint="eastAsia"/>
                <w:sz w:val="18"/>
                <w:szCs w:val="18"/>
              </w:rPr>
              <w:t>年以上</w:t>
            </w:r>
          </w:p>
        </w:tc>
        <w:tc>
          <w:tcPr>
            <w:tcW w:w="1719" w:type="dxa"/>
            <w:vAlign w:val="center"/>
          </w:tcPr>
          <w:p w:rsidR="0046019F" w:rsidRPr="00A71D2E" w:rsidRDefault="00985508" w:rsidP="0046019F">
            <w:pPr>
              <w:ind w:left="-18"/>
              <w:jc w:val="right"/>
              <w:rPr>
                <w:rFonts w:eastAsia="宋体" w:cs="Times New Roman"/>
                <w:sz w:val="18"/>
                <w:szCs w:val="18"/>
              </w:rPr>
            </w:pPr>
            <w:r w:rsidRPr="00985508">
              <w:rPr>
                <w:rFonts w:eastAsia="宋体" w:cs="Times New Roman"/>
                <w:sz w:val="18"/>
                <w:szCs w:val="18"/>
              </w:rPr>
              <w:t>24,500.00</w:t>
            </w:r>
          </w:p>
        </w:tc>
        <w:tc>
          <w:tcPr>
            <w:tcW w:w="1719" w:type="dxa"/>
            <w:vAlign w:val="center"/>
          </w:tcPr>
          <w:p w:rsidR="0046019F" w:rsidRPr="00A71D2E" w:rsidRDefault="0046019F" w:rsidP="0046019F">
            <w:pPr>
              <w:ind w:left="-18"/>
              <w:jc w:val="right"/>
              <w:rPr>
                <w:rFonts w:eastAsia="宋体" w:cs="Times New Roman"/>
                <w:sz w:val="18"/>
                <w:szCs w:val="18"/>
              </w:rPr>
            </w:pPr>
            <w:r w:rsidRPr="00A71D2E">
              <w:rPr>
                <w:rFonts w:eastAsia="宋体" w:cs="Times New Roman"/>
                <w:sz w:val="18"/>
                <w:szCs w:val="18"/>
              </w:rPr>
              <w:t>24,500.00</w:t>
            </w:r>
          </w:p>
        </w:tc>
      </w:tr>
      <w:tr w:rsidR="0046019F" w:rsidRPr="00A71D2E" w:rsidTr="0027505B">
        <w:trPr>
          <w:trHeight w:val="20"/>
        </w:trPr>
        <w:tc>
          <w:tcPr>
            <w:tcW w:w="6012" w:type="dxa"/>
            <w:shd w:val="clear" w:color="auto" w:fill="FFFFFF" w:themeFill="background1"/>
            <w:vAlign w:val="center"/>
          </w:tcPr>
          <w:p w:rsidR="0046019F" w:rsidRPr="00A71D2E" w:rsidRDefault="0046019F" w:rsidP="0046019F">
            <w:pPr>
              <w:rPr>
                <w:rFonts w:eastAsia="宋体" w:cs="Times New Roman"/>
                <w:sz w:val="18"/>
                <w:szCs w:val="18"/>
              </w:rPr>
            </w:pPr>
            <w:r w:rsidRPr="00A71D2E">
              <w:rPr>
                <w:rFonts w:eastAsia="宋体" w:cs="Times New Roman" w:hint="eastAsia"/>
                <w:sz w:val="18"/>
                <w:szCs w:val="18"/>
              </w:rPr>
              <w:t>其他应收款</w:t>
            </w:r>
          </w:p>
        </w:tc>
        <w:tc>
          <w:tcPr>
            <w:tcW w:w="1719" w:type="dxa"/>
            <w:vAlign w:val="center"/>
          </w:tcPr>
          <w:p w:rsidR="0046019F" w:rsidRPr="00A71D2E" w:rsidRDefault="00985508" w:rsidP="0046019F">
            <w:pPr>
              <w:ind w:left="-18"/>
              <w:jc w:val="right"/>
              <w:rPr>
                <w:rFonts w:eastAsia="宋体" w:cs="Times New Roman"/>
                <w:sz w:val="18"/>
                <w:szCs w:val="18"/>
              </w:rPr>
            </w:pPr>
            <w:r w:rsidRPr="00985508">
              <w:rPr>
                <w:rFonts w:eastAsia="宋体" w:cs="Times New Roman"/>
                <w:sz w:val="18"/>
                <w:szCs w:val="18"/>
              </w:rPr>
              <w:t>1,829,960,419.08</w:t>
            </w:r>
          </w:p>
        </w:tc>
        <w:tc>
          <w:tcPr>
            <w:tcW w:w="1719" w:type="dxa"/>
            <w:vAlign w:val="center"/>
          </w:tcPr>
          <w:p w:rsidR="0046019F" w:rsidRPr="00A71D2E" w:rsidRDefault="0046019F" w:rsidP="0046019F">
            <w:pPr>
              <w:ind w:left="-18"/>
              <w:jc w:val="right"/>
              <w:rPr>
                <w:rFonts w:eastAsia="宋体" w:cs="Times New Roman"/>
                <w:sz w:val="18"/>
                <w:szCs w:val="18"/>
              </w:rPr>
            </w:pPr>
            <w:r w:rsidRPr="00A71D2E">
              <w:rPr>
                <w:rFonts w:eastAsia="宋体" w:cs="Times New Roman"/>
                <w:sz w:val="18"/>
                <w:szCs w:val="18"/>
              </w:rPr>
              <w:t>44,253,521.14</w:t>
            </w:r>
          </w:p>
        </w:tc>
      </w:tr>
      <w:tr w:rsidR="0046019F" w:rsidRPr="00A71D2E" w:rsidTr="0027505B">
        <w:trPr>
          <w:trHeight w:val="20"/>
        </w:trPr>
        <w:tc>
          <w:tcPr>
            <w:tcW w:w="6012" w:type="dxa"/>
            <w:shd w:val="clear" w:color="auto" w:fill="FFFFFF" w:themeFill="background1"/>
            <w:vAlign w:val="center"/>
          </w:tcPr>
          <w:p w:rsidR="0046019F" w:rsidRPr="00A71D2E" w:rsidRDefault="0046019F" w:rsidP="0046019F">
            <w:pPr>
              <w:rPr>
                <w:rFonts w:eastAsia="宋体" w:cs="Times New Roman"/>
                <w:sz w:val="18"/>
                <w:szCs w:val="18"/>
              </w:rPr>
            </w:pPr>
            <w:r w:rsidRPr="00A71D2E">
              <w:rPr>
                <w:rFonts w:eastAsia="宋体" w:cs="Times New Roman" w:hint="eastAsia"/>
                <w:sz w:val="18"/>
                <w:szCs w:val="18"/>
              </w:rPr>
              <w:t>减</w:t>
            </w:r>
            <w:r w:rsidR="005F14EE">
              <w:rPr>
                <w:rFonts w:eastAsia="宋体" w:cs="Times New Roman" w:hint="eastAsia"/>
                <w:sz w:val="18"/>
                <w:szCs w:val="18"/>
              </w:rPr>
              <w:t>：</w:t>
            </w:r>
            <w:r w:rsidR="00A843D9">
              <w:rPr>
                <w:rFonts w:eastAsia="宋体" w:cs="Times New Roman" w:hint="eastAsia"/>
                <w:sz w:val="18"/>
                <w:szCs w:val="18"/>
              </w:rPr>
              <w:t>坏账</w:t>
            </w:r>
            <w:r w:rsidRPr="00A71D2E">
              <w:rPr>
                <w:rFonts w:eastAsia="宋体" w:cs="Times New Roman" w:hint="eastAsia"/>
                <w:sz w:val="18"/>
                <w:szCs w:val="18"/>
              </w:rPr>
              <w:t>准备</w:t>
            </w:r>
          </w:p>
        </w:tc>
        <w:tc>
          <w:tcPr>
            <w:tcW w:w="1719" w:type="dxa"/>
            <w:vAlign w:val="center"/>
          </w:tcPr>
          <w:p w:rsidR="0046019F" w:rsidRPr="00A71D2E" w:rsidRDefault="00985508" w:rsidP="0046019F">
            <w:pPr>
              <w:ind w:left="-18"/>
              <w:jc w:val="right"/>
              <w:rPr>
                <w:rFonts w:eastAsia="宋体" w:cs="Times New Roman"/>
                <w:sz w:val="18"/>
                <w:szCs w:val="18"/>
              </w:rPr>
            </w:pPr>
            <w:r w:rsidRPr="00985508">
              <w:rPr>
                <w:rFonts w:eastAsia="宋体" w:cs="Times New Roman"/>
                <w:sz w:val="18"/>
                <w:szCs w:val="18"/>
              </w:rPr>
              <w:t>391,886.98</w:t>
            </w:r>
          </w:p>
        </w:tc>
        <w:tc>
          <w:tcPr>
            <w:tcW w:w="1719" w:type="dxa"/>
            <w:vAlign w:val="center"/>
          </w:tcPr>
          <w:p w:rsidR="0046019F" w:rsidRPr="00A71D2E" w:rsidRDefault="0046019F" w:rsidP="0046019F">
            <w:pPr>
              <w:ind w:left="-18"/>
              <w:jc w:val="right"/>
              <w:rPr>
                <w:rFonts w:eastAsia="宋体" w:cs="Times New Roman"/>
                <w:sz w:val="18"/>
                <w:szCs w:val="18"/>
              </w:rPr>
            </w:pPr>
            <w:r w:rsidRPr="00A71D2E">
              <w:rPr>
                <w:rFonts w:eastAsia="宋体" w:cs="Times New Roman"/>
                <w:sz w:val="18"/>
                <w:szCs w:val="18"/>
              </w:rPr>
              <w:t>157,674.68</w:t>
            </w:r>
          </w:p>
        </w:tc>
      </w:tr>
      <w:tr w:rsidR="0046019F" w:rsidRPr="00A71D2E" w:rsidTr="0027505B">
        <w:trPr>
          <w:trHeight w:val="20"/>
        </w:trPr>
        <w:tc>
          <w:tcPr>
            <w:tcW w:w="6012" w:type="dxa"/>
            <w:shd w:val="clear" w:color="auto" w:fill="D9D9D9" w:themeFill="background1" w:themeFillShade="D9"/>
            <w:vAlign w:val="center"/>
          </w:tcPr>
          <w:p w:rsidR="0046019F" w:rsidRPr="00A71D2E" w:rsidRDefault="0046019F" w:rsidP="0046019F">
            <w:pPr>
              <w:rPr>
                <w:rFonts w:eastAsia="宋体" w:cs="Times New Roman"/>
                <w:sz w:val="18"/>
                <w:szCs w:val="18"/>
              </w:rPr>
            </w:pPr>
            <w:r w:rsidRPr="00A71D2E">
              <w:rPr>
                <w:rFonts w:eastAsia="宋体" w:cs="Times New Roman" w:hint="eastAsia"/>
                <w:sz w:val="18"/>
                <w:szCs w:val="18"/>
              </w:rPr>
              <w:t>账面价值</w:t>
            </w:r>
          </w:p>
        </w:tc>
        <w:tc>
          <w:tcPr>
            <w:tcW w:w="1719" w:type="dxa"/>
            <w:shd w:val="clear" w:color="auto" w:fill="FFFFFF" w:themeFill="background1"/>
            <w:vAlign w:val="center"/>
          </w:tcPr>
          <w:p w:rsidR="0046019F" w:rsidRPr="00A71D2E" w:rsidRDefault="00985508" w:rsidP="0046019F">
            <w:pPr>
              <w:ind w:left="-18"/>
              <w:jc w:val="right"/>
              <w:rPr>
                <w:rFonts w:eastAsia="宋体" w:cs="Times New Roman"/>
                <w:sz w:val="18"/>
                <w:szCs w:val="18"/>
              </w:rPr>
            </w:pPr>
            <w:r w:rsidRPr="00985508">
              <w:rPr>
                <w:rFonts w:eastAsia="宋体" w:cs="Times New Roman"/>
                <w:sz w:val="18"/>
                <w:szCs w:val="18"/>
              </w:rPr>
              <w:t>1,829,568,532.10</w:t>
            </w:r>
          </w:p>
        </w:tc>
        <w:tc>
          <w:tcPr>
            <w:tcW w:w="1719" w:type="dxa"/>
            <w:shd w:val="clear" w:color="auto" w:fill="FFFFFF" w:themeFill="background1"/>
            <w:vAlign w:val="center"/>
          </w:tcPr>
          <w:p w:rsidR="0046019F" w:rsidRPr="00A71D2E" w:rsidRDefault="0046019F" w:rsidP="0046019F">
            <w:pPr>
              <w:ind w:left="-18"/>
              <w:jc w:val="right"/>
              <w:rPr>
                <w:rFonts w:eastAsia="宋体" w:cs="Times New Roman"/>
                <w:sz w:val="18"/>
                <w:szCs w:val="18"/>
              </w:rPr>
            </w:pPr>
            <w:r w:rsidRPr="00A71D2E">
              <w:rPr>
                <w:rFonts w:eastAsia="宋体" w:cs="Times New Roman"/>
                <w:sz w:val="18"/>
                <w:szCs w:val="18"/>
              </w:rPr>
              <w:t>44,095,846.46</w:t>
            </w:r>
          </w:p>
        </w:tc>
      </w:tr>
    </w:tbl>
    <w:p w:rsidR="001340E8" w:rsidRDefault="001340E8" w:rsidP="00F66363">
      <w:pPr>
        <w:ind w:firstLine="720"/>
        <w:rPr>
          <w:rFonts w:eastAsia="宋体" w:cs="Times New Roman"/>
        </w:rPr>
      </w:pPr>
    </w:p>
    <w:p w:rsidR="00FF34EF" w:rsidRPr="00A71D2E" w:rsidRDefault="005F14EE" w:rsidP="00F66363">
      <w:pPr>
        <w:ind w:firstLine="720"/>
        <w:rPr>
          <w:rFonts w:eastAsia="宋体" w:cs="Times New Roman"/>
        </w:rPr>
      </w:pPr>
      <w:r>
        <w:rPr>
          <w:rFonts w:eastAsia="宋体" w:cs="Times New Roman"/>
          <w:szCs w:val="21"/>
        </w:rPr>
        <w:t>(</w:t>
      </w:r>
      <w:r w:rsidR="00FF34EF" w:rsidRPr="00A71D2E">
        <w:rPr>
          <w:rFonts w:eastAsia="宋体" w:cs="Times New Roman"/>
          <w:szCs w:val="21"/>
        </w:rPr>
        <w:t>2</w:t>
      </w:r>
      <w:r>
        <w:rPr>
          <w:rFonts w:eastAsia="宋体" w:cs="Times New Roman"/>
          <w:szCs w:val="21"/>
        </w:rPr>
        <w:t>)</w:t>
      </w:r>
      <w:r w:rsidR="00FF34EF" w:rsidRPr="00A71D2E">
        <w:rPr>
          <w:rFonts w:eastAsia="宋体" w:cs="Times New Roman"/>
          <w:szCs w:val="21"/>
        </w:rPr>
        <w:tab/>
      </w:r>
      <w:r w:rsidR="00FF34EF" w:rsidRPr="00A71D2E">
        <w:rPr>
          <w:rFonts w:eastAsia="宋体" w:cs="Times New Roman" w:hint="eastAsia"/>
          <w:szCs w:val="21"/>
        </w:rPr>
        <w:t>按款项性质分类情况</w:t>
      </w:r>
    </w:p>
    <w:p w:rsidR="00FF34EF" w:rsidRPr="00A71D2E" w:rsidRDefault="00FF34EF" w:rsidP="00F66363">
      <w:pPr>
        <w:ind w:left="720" w:right="9"/>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2"/>
        <w:gridCol w:w="1719"/>
        <w:gridCol w:w="1719"/>
      </w:tblGrid>
      <w:tr w:rsidR="00D66E09" w:rsidRPr="00A71D2E" w:rsidTr="0027505B">
        <w:trPr>
          <w:trHeight w:val="20"/>
        </w:trPr>
        <w:tc>
          <w:tcPr>
            <w:tcW w:w="6012" w:type="dxa"/>
            <w:shd w:val="clear" w:color="000000" w:fill="D9D9D9"/>
            <w:noWrap/>
            <w:vAlign w:val="center"/>
            <w:hideMark/>
          </w:tcPr>
          <w:p w:rsidR="00D66E09" w:rsidRPr="00A71D2E" w:rsidRDefault="00D66E09" w:rsidP="00F66363">
            <w:pPr>
              <w:jc w:val="center"/>
              <w:rPr>
                <w:rFonts w:eastAsia="宋体" w:cs="Times New Roman"/>
                <w:color w:val="000000"/>
                <w:sz w:val="18"/>
                <w:szCs w:val="18"/>
              </w:rPr>
            </w:pPr>
            <w:r w:rsidRPr="00A71D2E">
              <w:rPr>
                <w:rFonts w:eastAsia="宋体" w:cs="Times New Roman" w:hint="eastAsia"/>
                <w:color w:val="000000"/>
                <w:sz w:val="18"/>
                <w:szCs w:val="18"/>
              </w:rPr>
              <w:t>款项性质</w:t>
            </w:r>
          </w:p>
        </w:tc>
        <w:tc>
          <w:tcPr>
            <w:tcW w:w="1719" w:type="dxa"/>
            <w:shd w:val="clear" w:color="000000" w:fill="D9D9D9"/>
            <w:vAlign w:val="center"/>
          </w:tcPr>
          <w:p w:rsidR="00D66E09" w:rsidRPr="00A71D2E" w:rsidRDefault="00D66E09" w:rsidP="00F66363">
            <w:pPr>
              <w:jc w:val="center"/>
              <w:rPr>
                <w:rFonts w:eastAsia="宋体" w:cs="Times New Roman"/>
                <w:sz w:val="18"/>
                <w:szCs w:val="18"/>
              </w:rPr>
            </w:pPr>
            <w:r w:rsidRPr="00A71D2E">
              <w:rPr>
                <w:rFonts w:eastAsia="宋体" w:cs="Times New Roman" w:hint="eastAsia"/>
                <w:sz w:val="18"/>
                <w:szCs w:val="18"/>
              </w:rPr>
              <w:t>年末余额</w:t>
            </w:r>
          </w:p>
        </w:tc>
        <w:tc>
          <w:tcPr>
            <w:tcW w:w="1719" w:type="dxa"/>
            <w:shd w:val="clear" w:color="000000" w:fill="D9D9D9"/>
            <w:vAlign w:val="center"/>
          </w:tcPr>
          <w:p w:rsidR="00D66E09" w:rsidRPr="00A71D2E" w:rsidRDefault="00D66E09" w:rsidP="00F66363">
            <w:pPr>
              <w:ind w:right="-104"/>
              <w:jc w:val="center"/>
              <w:rPr>
                <w:rFonts w:eastAsia="宋体" w:cs="Times New Roman"/>
                <w:color w:val="000000"/>
                <w:sz w:val="18"/>
                <w:szCs w:val="18"/>
              </w:rPr>
            </w:pPr>
            <w:r w:rsidRPr="00A71D2E">
              <w:rPr>
                <w:rFonts w:eastAsia="宋体" w:cs="Times New Roman" w:hint="eastAsia"/>
                <w:color w:val="000000"/>
                <w:sz w:val="18"/>
                <w:szCs w:val="18"/>
              </w:rPr>
              <w:t>年初余额</w:t>
            </w:r>
          </w:p>
        </w:tc>
      </w:tr>
      <w:tr w:rsidR="0046019F" w:rsidRPr="00A71D2E" w:rsidTr="0027505B">
        <w:trPr>
          <w:trHeight w:val="20"/>
        </w:trPr>
        <w:tc>
          <w:tcPr>
            <w:tcW w:w="6012" w:type="dxa"/>
            <w:shd w:val="clear" w:color="auto" w:fill="auto"/>
            <w:noWrap/>
            <w:vAlign w:val="center"/>
            <w:hideMark/>
          </w:tcPr>
          <w:p w:rsidR="0046019F" w:rsidRPr="00A71D2E" w:rsidRDefault="0046019F" w:rsidP="0046019F">
            <w:pPr>
              <w:rPr>
                <w:rFonts w:eastAsia="宋体" w:cs="Times New Roman"/>
                <w:sz w:val="18"/>
                <w:szCs w:val="18"/>
              </w:rPr>
            </w:pPr>
            <w:r w:rsidRPr="00A71D2E">
              <w:rPr>
                <w:rFonts w:eastAsia="宋体" w:cs="Times New Roman" w:hint="eastAsia"/>
                <w:sz w:val="18"/>
                <w:szCs w:val="18"/>
              </w:rPr>
              <w:t>押金保证金</w:t>
            </w:r>
          </w:p>
        </w:tc>
        <w:tc>
          <w:tcPr>
            <w:tcW w:w="1719" w:type="dxa"/>
            <w:vAlign w:val="center"/>
          </w:tcPr>
          <w:p w:rsidR="0046019F" w:rsidRPr="00A71D2E" w:rsidRDefault="00985508" w:rsidP="0046019F">
            <w:pPr>
              <w:jc w:val="right"/>
              <w:rPr>
                <w:rFonts w:eastAsia="宋体" w:cs="Times New Roman"/>
                <w:color w:val="000000"/>
                <w:sz w:val="18"/>
                <w:szCs w:val="18"/>
              </w:rPr>
            </w:pPr>
            <w:r w:rsidRPr="00985508">
              <w:rPr>
                <w:rFonts w:eastAsia="宋体" w:cs="Times New Roman"/>
                <w:color w:val="000000"/>
                <w:sz w:val="18"/>
                <w:szCs w:val="18"/>
              </w:rPr>
              <w:t>5,423,109.84</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color w:val="000000"/>
                <w:sz w:val="18"/>
                <w:szCs w:val="18"/>
              </w:rPr>
              <w:t>5,300,829.64</w:t>
            </w:r>
          </w:p>
        </w:tc>
      </w:tr>
      <w:tr w:rsidR="0046019F" w:rsidRPr="00A71D2E" w:rsidTr="0027505B">
        <w:trPr>
          <w:trHeight w:val="20"/>
        </w:trPr>
        <w:tc>
          <w:tcPr>
            <w:tcW w:w="6012" w:type="dxa"/>
            <w:shd w:val="clear" w:color="auto" w:fill="auto"/>
            <w:noWrap/>
            <w:vAlign w:val="center"/>
            <w:hideMark/>
          </w:tcPr>
          <w:p w:rsidR="0046019F" w:rsidRPr="00A71D2E" w:rsidRDefault="0046019F" w:rsidP="0046019F">
            <w:pPr>
              <w:rPr>
                <w:rFonts w:eastAsia="宋体" w:cs="Times New Roman"/>
                <w:sz w:val="18"/>
                <w:szCs w:val="18"/>
              </w:rPr>
            </w:pPr>
            <w:r w:rsidRPr="00A71D2E">
              <w:rPr>
                <w:rFonts w:eastAsia="宋体" w:cs="Times New Roman" w:hint="eastAsia"/>
                <w:sz w:val="18"/>
                <w:szCs w:val="18"/>
              </w:rPr>
              <w:t>关联方往来款</w:t>
            </w:r>
          </w:p>
        </w:tc>
        <w:tc>
          <w:tcPr>
            <w:tcW w:w="1719" w:type="dxa"/>
            <w:vAlign w:val="center"/>
          </w:tcPr>
          <w:p w:rsidR="0046019F" w:rsidRPr="00A71D2E" w:rsidRDefault="00985508" w:rsidP="0046019F">
            <w:pPr>
              <w:jc w:val="right"/>
              <w:rPr>
                <w:rFonts w:eastAsia="宋体" w:cs="Times New Roman"/>
                <w:color w:val="000000"/>
                <w:sz w:val="18"/>
                <w:szCs w:val="18"/>
              </w:rPr>
            </w:pPr>
            <w:r w:rsidRPr="00985508">
              <w:rPr>
                <w:rFonts w:eastAsia="宋体" w:cs="Times New Roman"/>
                <w:color w:val="000000"/>
                <w:sz w:val="18"/>
                <w:szCs w:val="18"/>
              </w:rPr>
              <w:t>1,807,213,392.27</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color w:val="000000"/>
                <w:sz w:val="18"/>
                <w:szCs w:val="18"/>
              </w:rPr>
              <w:t>36,294,491.99</w:t>
            </w:r>
          </w:p>
        </w:tc>
      </w:tr>
      <w:tr w:rsidR="0046019F" w:rsidRPr="00A71D2E" w:rsidTr="0027505B">
        <w:trPr>
          <w:trHeight w:val="20"/>
        </w:trPr>
        <w:tc>
          <w:tcPr>
            <w:tcW w:w="6012" w:type="dxa"/>
            <w:shd w:val="clear" w:color="auto" w:fill="auto"/>
            <w:noWrap/>
            <w:vAlign w:val="center"/>
          </w:tcPr>
          <w:p w:rsidR="0046019F" w:rsidRPr="00A71D2E" w:rsidRDefault="0046019F" w:rsidP="0046019F">
            <w:pPr>
              <w:rPr>
                <w:rFonts w:eastAsia="宋体" w:cs="Times New Roman"/>
                <w:sz w:val="18"/>
                <w:szCs w:val="18"/>
              </w:rPr>
            </w:pPr>
            <w:r w:rsidRPr="00A71D2E">
              <w:rPr>
                <w:rFonts w:eastAsia="宋体" w:cs="Times New Roman" w:hint="eastAsia"/>
                <w:sz w:val="18"/>
                <w:szCs w:val="18"/>
              </w:rPr>
              <w:t>员工备用金</w:t>
            </w:r>
          </w:p>
        </w:tc>
        <w:tc>
          <w:tcPr>
            <w:tcW w:w="1719" w:type="dxa"/>
            <w:vAlign w:val="center"/>
          </w:tcPr>
          <w:p w:rsidR="0046019F" w:rsidRPr="00A71D2E" w:rsidRDefault="00985508" w:rsidP="0046019F">
            <w:pPr>
              <w:jc w:val="right"/>
              <w:rPr>
                <w:rFonts w:eastAsia="宋体" w:cs="Times New Roman"/>
                <w:color w:val="000000"/>
                <w:sz w:val="18"/>
                <w:szCs w:val="18"/>
              </w:rPr>
            </w:pPr>
            <w:r w:rsidRPr="00985508">
              <w:rPr>
                <w:rFonts w:eastAsia="宋体" w:cs="Times New Roman"/>
                <w:color w:val="000000"/>
                <w:sz w:val="18"/>
                <w:szCs w:val="18"/>
              </w:rPr>
              <w:t>2,646,121.67</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color w:val="000000"/>
                <w:sz w:val="18"/>
                <w:szCs w:val="18"/>
              </w:rPr>
              <w:t>2,658,199.51</w:t>
            </w:r>
          </w:p>
        </w:tc>
      </w:tr>
      <w:tr w:rsidR="0046019F" w:rsidRPr="00A71D2E" w:rsidTr="0027505B">
        <w:trPr>
          <w:trHeight w:val="20"/>
        </w:trPr>
        <w:tc>
          <w:tcPr>
            <w:tcW w:w="6012" w:type="dxa"/>
            <w:shd w:val="clear" w:color="auto" w:fill="auto"/>
            <w:noWrap/>
            <w:vAlign w:val="center"/>
          </w:tcPr>
          <w:p w:rsidR="0046019F" w:rsidRPr="00A71D2E" w:rsidRDefault="00985508" w:rsidP="0046019F">
            <w:pPr>
              <w:rPr>
                <w:rFonts w:eastAsia="宋体" w:cs="Times New Roman"/>
                <w:sz w:val="18"/>
                <w:szCs w:val="18"/>
              </w:rPr>
            </w:pPr>
            <w:r>
              <w:rPr>
                <w:rFonts w:eastAsia="宋体" w:cs="Times New Roman" w:hint="eastAsia"/>
                <w:sz w:val="18"/>
                <w:szCs w:val="18"/>
              </w:rPr>
              <w:t>出口退税</w:t>
            </w:r>
          </w:p>
        </w:tc>
        <w:tc>
          <w:tcPr>
            <w:tcW w:w="1719" w:type="dxa"/>
            <w:vAlign w:val="center"/>
          </w:tcPr>
          <w:p w:rsidR="0046019F" w:rsidRPr="00A71D2E" w:rsidRDefault="00985508" w:rsidP="0046019F">
            <w:pPr>
              <w:jc w:val="right"/>
              <w:rPr>
                <w:rFonts w:eastAsia="宋体" w:cs="Times New Roman"/>
                <w:color w:val="000000"/>
                <w:sz w:val="18"/>
                <w:szCs w:val="18"/>
              </w:rPr>
            </w:pPr>
            <w:r w:rsidRPr="00985508">
              <w:rPr>
                <w:rFonts w:eastAsia="宋体" w:cs="Times New Roman"/>
                <w:color w:val="000000"/>
                <w:sz w:val="18"/>
                <w:szCs w:val="18"/>
              </w:rPr>
              <w:t>14,677,795.30</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color w:val="000000"/>
                <w:sz w:val="18"/>
                <w:szCs w:val="18"/>
              </w:rPr>
              <w:t>-    </w:t>
            </w:r>
          </w:p>
        </w:tc>
      </w:tr>
      <w:tr w:rsidR="0046019F" w:rsidRPr="00A71D2E" w:rsidTr="0027505B">
        <w:trPr>
          <w:trHeight w:val="20"/>
        </w:trPr>
        <w:tc>
          <w:tcPr>
            <w:tcW w:w="6012" w:type="dxa"/>
            <w:shd w:val="clear" w:color="000000" w:fill="D9D9D9"/>
            <w:noWrap/>
            <w:vAlign w:val="center"/>
            <w:hideMark/>
          </w:tcPr>
          <w:p w:rsidR="0046019F" w:rsidRPr="00A71D2E" w:rsidRDefault="0046019F" w:rsidP="0046019F">
            <w:pPr>
              <w:rPr>
                <w:rFonts w:eastAsia="宋体" w:cs="Times New Roman"/>
                <w:color w:val="000000"/>
                <w:sz w:val="18"/>
                <w:szCs w:val="18"/>
              </w:rPr>
            </w:pPr>
            <w:r w:rsidRPr="00A71D2E">
              <w:rPr>
                <w:rFonts w:eastAsia="宋体" w:cs="Times New Roman" w:hint="eastAsia"/>
                <w:color w:val="000000"/>
                <w:sz w:val="18"/>
                <w:szCs w:val="18"/>
              </w:rPr>
              <w:t>合计</w:t>
            </w:r>
          </w:p>
        </w:tc>
        <w:tc>
          <w:tcPr>
            <w:tcW w:w="1719" w:type="dxa"/>
            <w:vAlign w:val="center"/>
          </w:tcPr>
          <w:p w:rsidR="0046019F" w:rsidRPr="00A71D2E" w:rsidRDefault="00985508" w:rsidP="0046019F">
            <w:pPr>
              <w:jc w:val="right"/>
              <w:rPr>
                <w:rFonts w:eastAsia="宋体" w:cs="Times New Roman"/>
                <w:color w:val="000000"/>
                <w:sz w:val="18"/>
                <w:szCs w:val="18"/>
              </w:rPr>
            </w:pPr>
            <w:r w:rsidRPr="00985508">
              <w:rPr>
                <w:rFonts w:eastAsia="宋体" w:cs="Times New Roman"/>
                <w:color w:val="000000"/>
                <w:sz w:val="18"/>
                <w:szCs w:val="18"/>
              </w:rPr>
              <w:t>1,829,960,419.08</w:t>
            </w:r>
          </w:p>
        </w:tc>
        <w:tc>
          <w:tcPr>
            <w:tcW w:w="1719" w:type="dxa"/>
            <w:vAlign w:val="center"/>
          </w:tcPr>
          <w:p w:rsidR="0046019F" w:rsidRPr="00A71D2E" w:rsidRDefault="0046019F" w:rsidP="0046019F">
            <w:pPr>
              <w:jc w:val="right"/>
              <w:rPr>
                <w:rFonts w:eastAsia="宋体" w:cs="Times New Roman"/>
                <w:color w:val="000000"/>
                <w:sz w:val="18"/>
                <w:szCs w:val="18"/>
              </w:rPr>
            </w:pPr>
            <w:r w:rsidRPr="00A71D2E">
              <w:rPr>
                <w:rFonts w:eastAsia="宋体" w:cs="Times New Roman"/>
                <w:color w:val="000000"/>
                <w:sz w:val="18"/>
                <w:szCs w:val="18"/>
              </w:rPr>
              <w:t>44,253,521.14</w:t>
            </w:r>
          </w:p>
        </w:tc>
      </w:tr>
    </w:tbl>
    <w:p w:rsidR="00832AD9" w:rsidRPr="00A71D2E" w:rsidRDefault="00832AD9" w:rsidP="00F66363">
      <w:pPr>
        <w:ind w:left="720"/>
        <w:jc w:val="both"/>
        <w:rPr>
          <w:rFonts w:eastAsia="宋体" w:cs="Times New Roman"/>
          <w:szCs w:val="21"/>
        </w:rPr>
      </w:pPr>
    </w:p>
    <w:p w:rsidR="00FF34EF" w:rsidRPr="00A71D2E" w:rsidRDefault="005F14EE" w:rsidP="00F66363">
      <w:pPr>
        <w:ind w:left="720"/>
        <w:jc w:val="both"/>
        <w:rPr>
          <w:rFonts w:eastAsia="宋体" w:cs="Times New Roman"/>
          <w:szCs w:val="21"/>
        </w:rPr>
      </w:pPr>
      <w:r>
        <w:rPr>
          <w:rFonts w:eastAsia="宋体" w:cs="Times New Roman"/>
          <w:szCs w:val="21"/>
        </w:rPr>
        <w:t>(</w:t>
      </w:r>
      <w:r w:rsidR="00FF34EF" w:rsidRPr="00A71D2E">
        <w:rPr>
          <w:rFonts w:eastAsia="宋体" w:cs="Times New Roman"/>
          <w:szCs w:val="21"/>
        </w:rPr>
        <w:t>3</w:t>
      </w:r>
      <w:r>
        <w:rPr>
          <w:rFonts w:eastAsia="宋体" w:cs="Times New Roman"/>
          <w:szCs w:val="21"/>
        </w:rPr>
        <w:t>)</w:t>
      </w:r>
      <w:r w:rsidR="00FF34EF" w:rsidRPr="00A71D2E">
        <w:rPr>
          <w:rFonts w:eastAsia="宋体" w:cs="Times New Roman"/>
          <w:szCs w:val="21"/>
        </w:rPr>
        <w:tab/>
      </w:r>
      <w:r w:rsidR="004D5A26">
        <w:rPr>
          <w:rFonts w:eastAsia="宋体" w:cs="Times New Roman" w:hint="eastAsia"/>
          <w:szCs w:val="21"/>
        </w:rPr>
        <w:t>其他应收</w:t>
      </w:r>
      <w:r w:rsidR="00054D32">
        <w:rPr>
          <w:rFonts w:hint="eastAsia"/>
          <w:szCs w:val="21"/>
        </w:rPr>
        <w:t>坏账准备计提</w:t>
      </w:r>
      <w:r w:rsidR="00054D32" w:rsidRPr="00A71D2E">
        <w:rPr>
          <w:rFonts w:hint="eastAsia"/>
          <w:szCs w:val="21"/>
        </w:rPr>
        <w:t>情况</w:t>
      </w:r>
    </w:p>
    <w:p w:rsidR="00FF34EF" w:rsidRPr="00A71D2E" w:rsidRDefault="00FF34EF" w:rsidP="00F66363">
      <w:pPr>
        <w:ind w:left="720"/>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2538"/>
        <w:gridCol w:w="1740"/>
        <w:gridCol w:w="1741"/>
        <w:gridCol w:w="1741"/>
        <w:gridCol w:w="1690"/>
      </w:tblGrid>
      <w:tr w:rsidR="003415F9" w:rsidRPr="00BF7F64" w:rsidTr="0027505B">
        <w:trPr>
          <w:trHeight w:val="20"/>
        </w:trPr>
        <w:tc>
          <w:tcPr>
            <w:tcW w:w="2538" w:type="dxa"/>
            <w:vMerge w:val="restart"/>
            <w:shd w:val="clear" w:color="auto" w:fill="D9D9D9"/>
            <w:noWrap/>
            <w:vAlign w:val="center"/>
            <w:hideMark/>
          </w:tcPr>
          <w:p w:rsidR="00FF34EF" w:rsidRPr="00BF7F64" w:rsidRDefault="009E44E2" w:rsidP="00F66363">
            <w:pPr>
              <w:jc w:val="center"/>
              <w:rPr>
                <w:rFonts w:eastAsia="宋体" w:cs="Times New Roman"/>
                <w:sz w:val="18"/>
                <w:szCs w:val="18"/>
              </w:rPr>
            </w:pPr>
            <w:r w:rsidRPr="00BF7F64">
              <w:rPr>
                <w:rFonts w:eastAsia="宋体" w:cs="Times New Roman" w:hint="eastAsia"/>
                <w:sz w:val="18"/>
                <w:szCs w:val="18"/>
              </w:rPr>
              <w:t>项目</w:t>
            </w:r>
          </w:p>
        </w:tc>
        <w:tc>
          <w:tcPr>
            <w:tcW w:w="1740" w:type="dxa"/>
            <w:shd w:val="clear" w:color="auto" w:fill="D9D9D9"/>
            <w:noWrap/>
            <w:vAlign w:val="center"/>
          </w:tcPr>
          <w:p w:rsidR="00FF34EF" w:rsidRPr="00BF7F64" w:rsidRDefault="00FF34EF" w:rsidP="00F66363">
            <w:pPr>
              <w:jc w:val="center"/>
              <w:rPr>
                <w:rFonts w:eastAsia="宋体" w:cs="Times New Roman"/>
                <w:sz w:val="18"/>
                <w:szCs w:val="18"/>
              </w:rPr>
            </w:pPr>
            <w:r w:rsidRPr="00BF7F64">
              <w:rPr>
                <w:rFonts w:eastAsia="宋体" w:cs="Times New Roman" w:hint="eastAsia"/>
                <w:sz w:val="18"/>
                <w:szCs w:val="18"/>
              </w:rPr>
              <w:t>第一阶段</w:t>
            </w:r>
          </w:p>
        </w:tc>
        <w:tc>
          <w:tcPr>
            <w:tcW w:w="1741" w:type="dxa"/>
            <w:shd w:val="clear" w:color="auto" w:fill="D9D9D9"/>
            <w:noWrap/>
            <w:vAlign w:val="center"/>
          </w:tcPr>
          <w:p w:rsidR="00FF34EF" w:rsidRPr="00BF7F64" w:rsidRDefault="00FF34EF" w:rsidP="00F66363">
            <w:pPr>
              <w:jc w:val="center"/>
              <w:rPr>
                <w:rFonts w:eastAsia="宋体" w:cs="Times New Roman"/>
                <w:sz w:val="18"/>
                <w:szCs w:val="18"/>
              </w:rPr>
            </w:pPr>
            <w:r w:rsidRPr="00BF7F64">
              <w:rPr>
                <w:rFonts w:eastAsia="宋体" w:cs="Times New Roman" w:hint="eastAsia"/>
                <w:sz w:val="18"/>
                <w:szCs w:val="18"/>
              </w:rPr>
              <w:t>第二阶段</w:t>
            </w:r>
          </w:p>
        </w:tc>
        <w:tc>
          <w:tcPr>
            <w:tcW w:w="1741" w:type="dxa"/>
            <w:shd w:val="clear" w:color="auto" w:fill="D9D9D9"/>
            <w:noWrap/>
            <w:vAlign w:val="center"/>
          </w:tcPr>
          <w:p w:rsidR="00FF34EF" w:rsidRPr="00BF7F64" w:rsidRDefault="00FF34EF" w:rsidP="00F66363">
            <w:pPr>
              <w:jc w:val="center"/>
              <w:rPr>
                <w:rFonts w:eastAsia="宋体" w:cs="Times New Roman"/>
                <w:sz w:val="18"/>
                <w:szCs w:val="18"/>
              </w:rPr>
            </w:pPr>
            <w:r w:rsidRPr="00BF7F64">
              <w:rPr>
                <w:rFonts w:eastAsia="宋体" w:cs="Times New Roman" w:hint="eastAsia"/>
                <w:sz w:val="18"/>
                <w:szCs w:val="18"/>
              </w:rPr>
              <w:t>第三阶段</w:t>
            </w:r>
          </w:p>
        </w:tc>
        <w:tc>
          <w:tcPr>
            <w:tcW w:w="1690" w:type="dxa"/>
            <w:vMerge w:val="restart"/>
            <w:shd w:val="clear" w:color="auto" w:fill="D9D9D9"/>
            <w:noWrap/>
            <w:vAlign w:val="center"/>
            <w:hideMark/>
          </w:tcPr>
          <w:p w:rsidR="00FF34EF" w:rsidRPr="00BF7F64" w:rsidRDefault="00FF34EF" w:rsidP="00F66363">
            <w:pPr>
              <w:ind w:right="-89"/>
              <w:jc w:val="center"/>
              <w:rPr>
                <w:rFonts w:eastAsia="宋体" w:cs="Times New Roman"/>
                <w:sz w:val="18"/>
                <w:szCs w:val="18"/>
              </w:rPr>
            </w:pPr>
            <w:r w:rsidRPr="00BF7F64">
              <w:rPr>
                <w:rFonts w:eastAsia="宋体" w:cs="Times New Roman" w:hint="eastAsia"/>
                <w:sz w:val="18"/>
                <w:szCs w:val="18"/>
              </w:rPr>
              <w:t>合计</w:t>
            </w:r>
          </w:p>
        </w:tc>
      </w:tr>
      <w:tr w:rsidR="003415F9" w:rsidRPr="00BF7F64" w:rsidTr="0027505B">
        <w:trPr>
          <w:trHeight w:val="20"/>
        </w:trPr>
        <w:tc>
          <w:tcPr>
            <w:tcW w:w="2538" w:type="dxa"/>
            <w:vMerge/>
            <w:shd w:val="clear" w:color="auto" w:fill="D9D9D9"/>
            <w:noWrap/>
            <w:vAlign w:val="center"/>
          </w:tcPr>
          <w:p w:rsidR="00FF34EF" w:rsidRPr="00BF7F64" w:rsidRDefault="00FF34EF" w:rsidP="00F66363">
            <w:pPr>
              <w:rPr>
                <w:rFonts w:eastAsia="宋体" w:cs="Times New Roman"/>
                <w:sz w:val="18"/>
                <w:szCs w:val="18"/>
              </w:rPr>
            </w:pPr>
          </w:p>
        </w:tc>
        <w:tc>
          <w:tcPr>
            <w:tcW w:w="1740" w:type="dxa"/>
            <w:shd w:val="clear" w:color="auto" w:fill="D9D9D9"/>
            <w:noWrap/>
            <w:vAlign w:val="center"/>
          </w:tcPr>
          <w:p w:rsidR="00FF34EF" w:rsidRPr="00BF7F64" w:rsidRDefault="00FF34EF" w:rsidP="00F66363">
            <w:pPr>
              <w:jc w:val="center"/>
              <w:rPr>
                <w:rFonts w:eastAsia="宋体" w:cs="Times New Roman"/>
                <w:sz w:val="18"/>
                <w:szCs w:val="18"/>
              </w:rPr>
            </w:pPr>
            <w:r w:rsidRPr="00BF7F64">
              <w:rPr>
                <w:rFonts w:eastAsia="宋体" w:cs="Times New Roman" w:hint="eastAsia"/>
                <w:sz w:val="18"/>
                <w:szCs w:val="18"/>
              </w:rPr>
              <w:t>未来</w:t>
            </w:r>
            <w:r w:rsidRPr="00BF7F64">
              <w:rPr>
                <w:rFonts w:eastAsia="宋体" w:cs="Times New Roman"/>
                <w:sz w:val="18"/>
                <w:szCs w:val="18"/>
              </w:rPr>
              <w:t>12</w:t>
            </w:r>
            <w:r w:rsidRPr="00BF7F64">
              <w:rPr>
                <w:rFonts w:eastAsia="宋体" w:cs="Times New Roman" w:hint="eastAsia"/>
                <w:sz w:val="18"/>
                <w:szCs w:val="18"/>
              </w:rPr>
              <w:t>个月</w:t>
            </w:r>
          </w:p>
          <w:p w:rsidR="00FF34EF" w:rsidRPr="00BF7F64" w:rsidRDefault="00FF34EF" w:rsidP="00F66363">
            <w:pPr>
              <w:jc w:val="center"/>
              <w:rPr>
                <w:rFonts w:eastAsia="宋体" w:cs="Times New Roman"/>
                <w:sz w:val="18"/>
                <w:szCs w:val="18"/>
              </w:rPr>
            </w:pPr>
            <w:r w:rsidRPr="00BF7F64">
              <w:rPr>
                <w:rFonts w:eastAsia="宋体" w:cs="Times New Roman" w:hint="eastAsia"/>
                <w:sz w:val="18"/>
                <w:szCs w:val="18"/>
              </w:rPr>
              <w:t>预期信用损失</w:t>
            </w:r>
          </w:p>
        </w:tc>
        <w:tc>
          <w:tcPr>
            <w:tcW w:w="1741" w:type="dxa"/>
            <w:shd w:val="clear" w:color="auto" w:fill="D9D9D9"/>
            <w:noWrap/>
            <w:vAlign w:val="center"/>
          </w:tcPr>
          <w:p w:rsidR="00FF34EF" w:rsidRPr="00BF7F64" w:rsidRDefault="00FF34EF" w:rsidP="00F66363">
            <w:pPr>
              <w:jc w:val="center"/>
              <w:rPr>
                <w:rFonts w:eastAsia="宋体" w:cs="Times New Roman"/>
                <w:sz w:val="18"/>
                <w:szCs w:val="18"/>
              </w:rPr>
            </w:pPr>
            <w:r w:rsidRPr="00BF7F64">
              <w:rPr>
                <w:rFonts w:eastAsia="宋体" w:cs="Times New Roman" w:hint="eastAsia"/>
                <w:sz w:val="18"/>
                <w:szCs w:val="18"/>
              </w:rPr>
              <w:t>整个存续期</w:t>
            </w:r>
          </w:p>
          <w:p w:rsidR="00FF34EF" w:rsidRPr="00BF7F64" w:rsidRDefault="00FF34EF" w:rsidP="00F66363">
            <w:pPr>
              <w:jc w:val="center"/>
              <w:rPr>
                <w:rFonts w:eastAsia="宋体" w:cs="Times New Roman"/>
                <w:sz w:val="18"/>
                <w:szCs w:val="18"/>
              </w:rPr>
            </w:pPr>
            <w:r w:rsidRPr="00BF7F64">
              <w:rPr>
                <w:rFonts w:eastAsia="宋体" w:cs="Times New Roman" w:hint="eastAsia"/>
                <w:sz w:val="18"/>
                <w:szCs w:val="18"/>
              </w:rPr>
              <w:t>预期信用损失</w:t>
            </w:r>
          </w:p>
          <w:p w:rsidR="00FF34EF" w:rsidRPr="00BF7F64" w:rsidRDefault="005F14EE" w:rsidP="00F66363">
            <w:pPr>
              <w:jc w:val="center"/>
              <w:rPr>
                <w:rFonts w:eastAsia="宋体" w:cs="Times New Roman"/>
                <w:sz w:val="18"/>
                <w:szCs w:val="18"/>
              </w:rPr>
            </w:pPr>
            <w:r w:rsidRPr="00BF7F64">
              <w:rPr>
                <w:rFonts w:eastAsia="宋体" w:cs="Times New Roman"/>
                <w:sz w:val="18"/>
                <w:szCs w:val="18"/>
              </w:rPr>
              <w:t>(</w:t>
            </w:r>
            <w:r w:rsidR="00FF34EF" w:rsidRPr="00BF7F64">
              <w:rPr>
                <w:rFonts w:eastAsia="宋体" w:cs="Times New Roman" w:hint="eastAsia"/>
                <w:sz w:val="18"/>
                <w:szCs w:val="18"/>
              </w:rPr>
              <w:t>未发生信用减值</w:t>
            </w:r>
            <w:r w:rsidRPr="00BF7F64">
              <w:rPr>
                <w:rFonts w:eastAsia="宋体" w:cs="Times New Roman"/>
                <w:sz w:val="18"/>
                <w:szCs w:val="18"/>
              </w:rPr>
              <w:t>)</w:t>
            </w:r>
          </w:p>
        </w:tc>
        <w:tc>
          <w:tcPr>
            <w:tcW w:w="1741" w:type="dxa"/>
            <w:shd w:val="clear" w:color="auto" w:fill="D9D9D9"/>
            <w:noWrap/>
            <w:vAlign w:val="center"/>
          </w:tcPr>
          <w:p w:rsidR="00FF34EF" w:rsidRPr="00BF7F64" w:rsidRDefault="00FF34EF" w:rsidP="00F66363">
            <w:pPr>
              <w:jc w:val="center"/>
              <w:rPr>
                <w:rFonts w:eastAsia="宋体" w:cs="Times New Roman"/>
                <w:sz w:val="18"/>
                <w:szCs w:val="18"/>
              </w:rPr>
            </w:pPr>
            <w:r w:rsidRPr="00BF7F64">
              <w:rPr>
                <w:rFonts w:eastAsia="宋体" w:cs="Times New Roman" w:hint="eastAsia"/>
                <w:sz w:val="18"/>
                <w:szCs w:val="18"/>
              </w:rPr>
              <w:t>整个存续期</w:t>
            </w:r>
          </w:p>
          <w:p w:rsidR="00FF34EF" w:rsidRPr="00BF7F64" w:rsidRDefault="00FF34EF" w:rsidP="00F66363">
            <w:pPr>
              <w:jc w:val="center"/>
              <w:rPr>
                <w:rFonts w:eastAsia="宋体" w:cs="Times New Roman"/>
                <w:sz w:val="18"/>
                <w:szCs w:val="18"/>
              </w:rPr>
            </w:pPr>
            <w:r w:rsidRPr="00BF7F64">
              <w:rPr>
                <w:rFonts w:eastAsia="宋体" w:cs="Times New Roman" w:hint="eastAsia"/>
                <w:sz w:val="18"/>
                <w:szCs w:val="18"/>
              </w:rPr>
              <w:t>预期信用损失</w:t>
            </w:r>
          </w:p>
          <w:p w:rsidR="00FF34EF" w:rsidRPr="00BF7F64" w:rsidRDefault="005F14EE" w:rsidP="00F66363">
            <w:pPr>
              <w:jc w:val="center"/>
              <w:rPr>
                <w:rFonts w:eastAsia="宋体" w:cs="Times New Roman"/>
                <w:sz w:val="18"/>
                <w:szCs w:val="18"/>
              </w:rPr>
            </w:pPr>
            <w:r w:rsidRPr="00BF7F64">
              <w:rPr>
                <w:rFonts w:eastAsia="宋体" w:cs="Times New Roman"/>
                <w:sz w:val="18"/>
                <w:szCs w:val="18"/>
              </w:rPr>
              <w:t>(</w:t>
            </w:r>
            <w:r w:rsidR="00FF34EF" w:rsidRPr="00BF7F64">
              <w:rPr>
                <w:rFonts w:eastAsia="宋体" w:cs="Times New Roman" w:hint="eastAsia"/>
                <w:sz w:val="18"/>
                <w:szCs w:val="18"/>
              </w:rPr>
              <w:t>已发生信用减值</w:t>
            </w:r>
            <w:r w:rsidRPr="00BF7F64">
              <w:rPr>
                <w:rFonts w:eastAsia="宋体" w:cs="Times New Roman"/>
                <w:sz w:val="18"/>
                <w:szCs w:val="18"/>
              </w:rPr>
              <w:t>)</w:t>
            </w:r>
          </w:p>
        </w:tc>
        <w:tc>
          <w:tcPr>
            <w:tcW w:w="1690" w:type="dxa"/>
            <w:vMerge/>
            <w:shd w:val="clear" w:color="auto" w:fill="D9D9D9"/>
            <w:noWrap/>
            <w:vAlign w:val="center"/>
          </w:tcPr>
          <w:p w:rsidR="00FF34EF" w:rsidRPr="00BF7F64" w:rsidRDefault="00FF34EF" w:rsidP="00F66363">
            <w:pPr>
              <w:jc w:val="center"/>
              <w:rPr>
                <w:rFonts w:eastAsia="宋体" w:cs="Times New Roman"/>
                <w:sz w:val="18"/>
                <w:szCs w:val="18"/>
              </w:rPr>
            </w:pPr>
          </w:p>
        </w:tc>
      </w:tr>
      <w:tr w:rsidR="006B456B" w:rsidRPr="00BF7F64" w:rsidTr="0027505B">
        <w:trPr>
          <w:trHeight w:val="20"/>
        </w:trPr>
        <w:tc>
          <w:tcPr>
            <w:tcW w:w="2538" w:type="dxa"/>
            <w:shd w:val="clear" w:color="auto" w:fill="auto"/>
            <w:noWrap/>
            <w:vAlign w:val="center"/>
          </w:tcPr>
          <w:p w:rsidR="006B456B" w:rsidRPr="00BF7F64" w:rsidRDefault="006B456B" w:rsidP="006B456B">
            <w:pPr>
              <w:rPr>
                <w:rFonts w:eastAsia="宋体" w:cs="Times New Roman"/>
                <w:sz w:val="18"/>
                <w:szCs w:val="18"/>
              </w:rPr>
            </w:pPr>
            <w:r w:rsidRPr="00BF7F64">
              <w:rPr>
                <w:rFonts w:eastAsia="宋体" w:cs="Times New Roman"/>
                <w:sz w:val="18"/>
                <w:szCs w:val="18"/>
              </w:rPr>
              <w:t>2023</w:t>
            </w:r>
            <w:r w:rsidRPr="00BF7F64">
              <w:rPr>
                <w:rFonts w:eastAsia="宋体" w:cs="Times New Roman" w:hint="eastAsia"/>
                <w:sz w:val="18"/>
                <w:szCs w:val="18"/>
              </w:rPr>
              <w:t>年</w:t>
            </w:r>
            <w:r w:rsidRPr="00BF7F64">
              <w:rPr>
                <w:rFonts w:eastAsia="宋体" w:cs="Times New Roman"/>
                <w:sz w:val="18"/>
                <w:szCs w:val="18"/>
              </w:rPr>
              <w:t>1</w:t>
            </w:r>
            <w:r w:rsidRPr="00BF7F64">
              <w:rPr>
                <w:rFonts w:eastAsia="宋体" w:cs="Times New Roman" w:hint="eastAsia"/>
                <w:sz w:val="18"/>
                <w:szCs w:val="18"/>
              </w:rPr>
              <w:t>月</w:t>
            </w:r>
            <w:r w:rsidRPr="00BF7F64">
              <w:rPr>
                <w:rFonts w:eastAsia="宋体" w:cs="Times New Roman"/>
                <w:sz w:val="18"/>
                <w:szCs w:val="18"/>
              </w:rPr>
              <w:t>1</w:t>
            </w:r>
            <w:r w:rsidRPr="00BF7F64">
              <w:rPr>
                <w:rFonts w:eastAsia="宋体" w:cs="Times New Roman" w:hint="eastAsia"/>
                <w:sz w:val="18"/>
                <w:szCs w:val="18"/>
              </w:rPr>
              <w:t>日余额</w:t>
            </w:r>
          </w:p>
        </w:tc>
        <w:tc>
          <w:tcPr>
            <w:tcW w:w="1740" w:type="dxa"/>
            <w:shd w:val="clear" w:color="auto" w:fill="auto"/>
            <w:noWrap/>
            <w:vAlign w:val="center"/>
          </w:tcPr>
          <w:p w:rsidR="006B456B" w:rsidRPr="00BF7F64" w:rsidRDefault="006B456B" w:rsidP="006B456B">
            <w:pPr>
              <w:jc w:val="right"/>
              <w:rPr>
                <w:rFonts w:eastAsia="宋体" w:cs="Times New Roman"/>
                <w:sz w:val="18"/>
                <w:szCs w:val="18"/>
              </w:rPr>
            </w:pPr>
            <w:r w:rsidRPr="00BF7F64">
              <w:rPr>
                <w:rFonts w:eastAsia="宋体" w:cs="Times New Roman"/>
                <w:sz w:val="18"/>
                <w:szCs w:val="18"/>
              </w:rPr>
              <w:t>145,130.65</w:t>
            </w:r>
          </w:p>
        </w:tc>
        <w:tc>
          <w:tcPr>
            <w:tcW w:w="1741" w:type="dxa"/>
            <w:shd w:val="clear" w:color="auto" w:fill="auto"/>
            <w:noWrap/>
            <w:vAlign w:val="center"/>
          </w:tcPr>
          <w:p w:rsidR="006B456B" w:rsidRPr="00BF7F64" w:rsidRDefault="006B456B" w:rsidP="006B456B">
            <w:pPr>
              <w:jc w:val="right"/>
              <w:rPr>
                <w:rFonts w:eastAsia="宋体" w:cs="Times New Roman"/>
                <w:sz w:val="18"/>
                <w:szCs w:val="18"/>
              </w:rPr>
            </w:pPr>
            <w:r w:rsidRPr="00BF7F64">
              <w:rPr>
                <w:rFonts w:eastAsia="宋体" w:cs="Times New Roman"/>
                <w:sz w:val="18"/>
                <w:szCs w:val="18"/>
              </w:rPr>
              <w:t>2,386.79</w:t>
            </w:r>
          </w:p>
        </w:tc>
        <w:tc>
          <w:tcPr>
            <w:tcW w:w="1741" w:type="dxa"/>
            <w:shd w:val="clear" w:color="auto" w:fill="auto"/>
            <w:noWrap/>
            <w:vAlign w:val="center"/>
          </w:tcPr>
          <w:p w:rsidR="006B456B" w:rsidRPr="00BF7F64" w:rsidRDefault="006B456B" w:rsidP="006B456B">
            <w:pPr>
              <w:jc w:val="right"/>
              <w:rPr>
                <w:rFonts w:eastAsia="宋体" w:cs="Times New Roman"/>
                <w:sz w:val="18"/>
                <w:szCs w:val="18"/>
              </w:rPr>
            </w:pPr>
            <w:r w:rsidRPr="00BF7F64">
              <w:rPr>
                <w:rFonts w:eastAsia="宋体" w:cs="Times New Roman"/>
                <w:sz w:val="18"/>
                <w:szCs w:val="18"/>
              </w:rPr>
              <w:t>10,157.24</w:t>
            </w:r>
          </w:p>
        </w:tc>
        <w:tc>
          <w:tcPr>
            <w:tcW w:w="1690" w:type="dxa"/>
            <w:shd w:val="clear" w:color="auto" w:fill="auto"/>
            <w:noWrap/>
            <w:vAlign w:val="center"/>
          </w:tcPr>
          <w:p w:rsidR="006B456B" w:rsidRPr="00BF7F64" w:rsidRDefault="006B456B" w:rsidP="006B456B">
            <w:pPr>
              <w:jc w:val="right"/>
              <w:rPr>
                <w:rFonts w:eastAsia="宋体" w:cs="Times New Roman"/>
                <w:sz w:val="18"/>
                <w:szCs w:val="18"/>
              </w:rPr>
            </w:pPr>
            <w:r w:rsidRPr="00BF7F64">
              <w:rPr>
                <w:rFonts w:eastAsia="宋体" w:cs="Times New Roman"/>
                <w:sz w:val="18"/>
                <w:szCs w:val="18"/>
              </w:rPr>
              <w:t>157,674.68</w:t>
            </w:r>
          </w:p>
        </w:tc>
      </w:tr>
      <w:tr w:rsidR="006B456B" w:rsidRPr="00BF7F64" w:rsidTr="0027505B">
        <w:trPr>
          <w:trHeight w:val="20"/>
        </w:trPr>
        <w:tc>
          <w:tcPr>
            <w:tcW w:w="2538" w:type="dxa"/>
            <w:shd w:val="clear" w:color="auto" w:fill="auto"/>
            <w:noWrap/>
            <w:vAlign w:val="center"/>
          </w:tcPr>
          <w:p w:rsidR="006B456B" w:rsidRPr="00BF7F64" w:rsidRDefault="006B456B" w:rsidP="006B456B">
            <w:pPr>
              <w:autoSpaceDE w:val="0"/>
              <w:autoSpaceDN w:val="0"/>
              <w:rPr>
                <w:rFonts w:eastAsia="宋体" w:cs="Times New Roman"/>
                <w:sz w:val="18"/>
                <w:szCs w:val="18"/>
              </w:rPr>
            </w:pPr>
            <w:r w:rsidRPr="00BF7F64">
              <w:rPr>
                <w:rFonts w:eastAsia="宋体" w:cs="Times New Roman" w:hint="eastAsia"/>
                <w:sz w:val="18"/>
                <w:szCs w:val="18"/>
              </w:rPr>
              <w:t>年初余额在本年</w:t>
            </w:r>
            <w:r w:rsidR="005F14EE" w:rsidRPr="00BF7F64">
              <w:rPr>
                <w:rFonts w:eastAsia="宋体" w:cs="Times New Roman" w:hint="eastAsia"/>
                <w:sz w:val="18"/>
                <w:szCs w:val="18"/>
              </w:rPr>
              <w:t>：</w:t>
            </w:r>
          </w:p>
        </w:tc>
        <w:tc>
          <w:tcPr>
            <w:tcW w:w="1740" w:type="dxa"/>
            <w:shd w:val="clear" w:color="auto" w:fill="auto"/>
            <w:noWrap/>
            <w:vAlign w:val="center"/>
          </w:tcPr>
          <w:p w:rsidR="006B456B" w:rsidRPr="00BF7F64" w:rsidRDefault="006B456B" w:rsidP="006B456B">
            <w:pPr>
              <w:jc w:val="right"/>
              <w:rPr>
                <w:rFonts w:eastAsia="宋体" w:cs="Times New Roman"/>
                <w:sz w:val="18"/>
                <w:szCs w:val="18"/>
              </w:rPr>
            </w:pPr>
          </w:p>
        </w:tc>
        <w:tc>
          <w:tcPr>
            <w:tcW w:w="1741" w:type="dxa"/>
            <w:shd w:val="clear" w:color="auto" w:fill="auto"/>
            <w:noWrap/>
            <w:vAlign w:val="center"/>
          </w:tcPr>
          <w:p w:rsidR="006B456B" w:rsidRPr="00BF7F64" w:rsidRDefault="006B456B" w:rsidP="006B456B">
            <w:pPr>
              <w:jc w:val="right"/>
              <w:rPr>
                <w:rFonts w:eastAsia="宋体" w:cs="Times New Roman"/>
                <w:sz w:val="18"/>
                <w:szCs w:val="18"/>
              </w:rPr>
            </w:pPr>
          </w:p>
        </w:tc>
        <w:tc>
          <w:tcPr>
            <w:tcW w:w="1741" w:type="dxa"/>
            <w:shd w:val="clear" w:color="auto" w:fill="auto"/>
            <w:noWrap/>
            <w:vAlign w:val="center"/>
          </w:tcPr>
          <w:p w:rsidR="006B456B" w:rsidRPr="00BF7F64" w:rsidRDefault="006B456B" w:rsidP="006B456B">
            <w:pPr>
              <w:jc w:val="right"/>
              <w:rPr>
                <w:rFonts w:eastAsia="宋体" w:cs="Times New Roman"/>
                <w:sz w:val="18"/>
                <w:szCs w:val="18"/>
              </w:rPr>
            </w:pPr>
          </w:p>
        </w:tc>
        <w:tc>
          <w:tcPr>
            <w:tcW w:w="1690" w:type="dxa"/>
            <w:shd w:val="clear" w:color="auto" w:fill="auto"/>
            <w:noWrap/>
            <w:vAlign w:val="center"/>
          </w:tcPr>
          <w:p w:rsidR="006B456B" w:rsidRPr="00BF7F64" w:rsidRDefault="006B456B" w:rsidP="006B456B">
            <w:pPr>
              <w:jc w:val="right"/>
              <w:rPr>
                <w:rFonts w:eastAsia="宋体" w:cs="Times New Roman"/>
                <w:sz w:val="18"/>
                <w:szCs w:val="18"/>
              </w:rPr>
            </w:pPr>
          </w:p>
        </w:tc>
      </w:tr>
      <w:tr w:rsidR="00985508" w:rsidRPr="00BF7F64" w:rsidTr="0027505B">
        <w:trPr>
          <w:trHeight w:val="20"/>
        </w:trPr>
        <w:tc>
          <w:tcPr>
            <w:tcW w:w="2538" w:type="dxa"/>
            <w:shd w:val="clear" w:color="auto" w:fill="auto"/>
            <w:noWrap/>
            <w:vAlign w:val="center"/>
          </w:tcPr>
          <w:p w:rsidR="00985508" w:rsidRPr="00BF7F64" w:rsidRDefault="00985508" w:rsidP="00985508">
            <w:pPr>
              <w:rPr>
                <w:rFonts w:eastAsia="宋体" w:cs="Times New Roman"/>
                <w:sz w:val="18"/>
                <w:szCs w:val="18"/>
              </w:rPr>
            </w:pPr>
            <w:r w:rsidRPr="00BF7F64">
              <w:rPr>
                <w:rFonts w:eastAsia="宋体" w:cs="Times New Roman"/>
                <w:sz w:val="18"/>
                <w:szCs w:val="18"/>
              </w:rPr>
              <w:t>——</w:t>
            </w:r>
            <w:r w:rsidRPr="00BF7F64">
              <w:rPr>
                <w:rFonts w:eastAsia="宋体" w:cs="Times New Roman" w:hint="eastAsia"/>
                <w:sz w:val="18"/>
                <w:szCs w:val="18"/>
              </w:rPr>
              <w:t>转入第二阶段</w:t>
            </w:r>
          </w:p>
        </w:tc>
        <w:tc>
          <w:tcPr>
            <w:tcW w:w="1740" w:type="dxa"/>
            <w:shd w:val="clear" w:color="auto" w:fill="auto"/>
            <w:noWrap/>
            <w:vAlign w:val="center"/>
          </w:tcPr>
          <w:p w:rsidR="00985508" w:rsidRPr="00BF7F64" w:rsidRDefault="005F14EE" w:rsidP="00985508">
            <w:pPr>
              <w:jc w:val="right"/>
              <w:rPr>
                <w:rFonts w:eastAsia="宋体" w:cs="Times New Roman"/>
                <w:sz w:val="18"/>
                <w:szCs w:val="18"/>
              </w:rPr>
            </w:pPr>
            <w:r w:rsidRPr="00BF7F64">
              <w:rPr>
                <w:rFonts w:eastAsia="宋体" w:cs="Times New Roman"/>
                <w:sz w:val="18"/>
                <w:szCs w:val="18"/>
              </w:rPr>
              <w:t>(</w:t>
            </w:r>
            <w:r w:rsidR="00621335" w:rsidRPr="00BF7F64">
              <w:rPr>
                <w:rFonts w:eastAsia="宋体" w:cs="Times New Roman"/>
                <w:sz w:val="18"/>
                <w:szCs w:val="18"/>
              </w:rPr>
              <w:t>31,263.20</w:t>
            </w:r>
            <w:r w:rsidRPr="00BF7F64">
              <w:rPr>
                <w:rFonts w:eastAsia="宋体" w:cs="Times New Roman"/>
                <w:sz w:val="18"/>
                <w:szCs w:val="18"/>
              </w:rPr>
              <w:t>)</w:t>
            </w:r>
          </w:p>
        </w:tc>
        <w:tc>
          <w:tcPr>
            <w:tcW w:w="1741" w:type="dxa"/>
            <w:shd w:val="clear" w:color="auto" w:fill="auto"/>
            <w:noWrap/>
            <w:vAlign w:val="center"/>
          </w:tcPr>
          <w:p w:rsidR="00985508" w:rsidRPr="00BF7F64" w:rsidRDefault="00621335" w:rsidP="00985508">
            <w:pPr>
              <w:jc w:val="right"/>
              <w:rPr>
                <w:rFonts w:eastAsia="宋体" w:cs="Times New Roman"/>
                <w:sz w:val="18"/>
                <w:szCs w:val="18"/>
              </w:rPr>
            </w:pPr>
            <w:r w:rsidRPr="00BF7F64">
              <w:rPr>
                <w:rFonts w:eastAsia="宋体" w:cs="Times New Roman"/>
                <w:sz w:val="18"/>
                <w:szCs w:val="18"/>
              </w:rPr>
              <w:t>31,263.20</w:t>
            </w:r>
          </w:p>
        </w:tc>
        <w:tc>
          <w:tcPr>
            <w:tcW w:w="1741" w:type="dxa"/>
            <w:shd w:val="clear" w:color="auto" w:fill="auto"/>
            <w:noWrap/>
            <w:vAlign w:val="center"/>
          </w:tcPr>
          <w:p w:rsidR="00985508" w:rsidRPr="00BF7F64" w:rsidRDefault="00985508" w:rsidP="00985508">
            <w:pPr>
              <w:jc w:val="right"/>
              <w:rPr>
                <w:rFonts w:eastAsia="宋体" w:cs="Times New Roman"/>
                <w:sz w:val="18"/>
                <w:szCs w:val="18"/>
              </w:rPr>
            </w:pPr>
            <w:r w:rsidRPr="00BF7F64">
              <w:rPr>
                <w:rFonts w:eastAsia="宋体" w:cs="Times New Roman"/>
                <w:color w:val="000000"/>
                <w:sz w:val="18"/>
                <w:szCs w:val="18"/>
              </w:rPr>
              <w:t>-    </w:t>
            </w:r>
          </w:p>
        </w:tc>
        <w:tc>
          <w:tcPr>
            <w:tcW w:w="1690" w:type="dxa"/>
            <w:shd w:val="clear" w:color="auto" w:fill="auto"/>
            <w:noWrap/>
            <w:vAlign w:val="center"/>
          </w:tcPr>
          <w:p w:rsidR="00985508" w:rsidRPr="00BF7F64" w:rsidRDefault="00985508" w:rsidP="00985508">
            <w:pPr>
              <w:jc w:val="right"/>
              <w:rPr>
                <w:rFonts w:eastAsia="宋体" w:cs="Times New Roman"/>
                <w:sz w:val="18"/>
                <w:szCs w:val="18"/>
              </w:rPr>
            </w:pPr>
            <w:r w:rsidRPr="00BF7F64">
              <w:rPr>
                <w:rFonts w:eastAsia="宋体" w:cs="Times New Roman"/>
                <w:color w:val="000000"/>
                <w:sz w:val="18"/>
                <w:szCs w:val="18"/>
              </w:rPr>
              <w:t>-    </w:t>
            </w:r>
          </w:p>
        </w:tc>
      </w:tr>
      <w:tr w:rsidR="00985508" w:rsidRPr="00BF7F64" w:rsidTr="0027505B">
        <w:trPr>
          <w:trHeight w:val="20"/>
        </w:trPr>
        <w:tc>
          <w:tcPr>
            <w:tcW w:w="2538" w:type="dxa"/>
            <w:shd w:val="clear" w:color="auto" w:fill="auto"/>
            <w:noWrap/>
            <w:vAlign w:val="center"/>
          </w:tcPr>
          <w:p w:rsidR="00985508" w:rsidRPr="00BF7F64" w:rsidRDefault="00985508" w:rsidP="00985508">
            <w:pPr>
              <w:rPr>
                <w:rFonts w:eastAsia="宋体" w:cs="Times New Roman"/>
                <w:sz w:val="18"/>
                <w:szCs w:val="18"/>
              </w:rPr>
            </w:pPr>
            <w:r w:rsidRPr="00BF7F64">
              <w:rPr>
                <w:rFonts w:eastAsia="宋体" w:cs="Times New Roman"/>
                <w:sz w:val="18"/>
                <w:szCs w:val="18"/>
              </w:rPr>
              <w:t>——</w:t>
            </w:r>
            <w:r w:rsidRPr="00BF7F64">
              <w:rPr>
                <w:rFonts w:eastAsia="宋体" w:cs="Times New Roman" w:hint="eastAsia"/>
                <w:sz w:val="18"/>
                <w:szCs w:val="18"/>
              </w:rPr>
              <w:t>转入第三阶段</w:t>
            </w:r>
          </w:p>
        </w:tc>
        <w:tc>
          <w:tcPr>
            <w:tcW w:w="1740" w:type="dxa"/>
            <w:shd w:val="clear" w:color="auto" w:fill="auto"/>
            <w:noWrap/>
            <w:vAlign w:val="center"/>
          </w:tcPr>
          <w:p w:rsidR="00985508" w:rsidRPr="00BF7F64" w:rsidRDefault="00985508" w:rsidP="00985508">
            <w:pPr>
              <w:jc w:val="right"/>
              <w:rPr>
                <w:rFonts w:eastAsia="宋体" w:cs="Times New Roman"/>
                <w:sz w:val="18"/>
                <w:szCs w:val="18"/>
              </w:rPr>
            </w:pPr>
            <w:r w:rsidRPr="00BF7F64">
              <w:rPr>
                <w:rFonts w:eastAsia="宋体" w:cs="Times New Roman"/>
                <w:color w:val="000000"/>
                <w:sz w:val="18"/>
                <w:szCs w:val="18"/>
              </w:rPr>
              <w:t>-    </w:t>
            </w:r>
          </w:p>
        </w:tc>
        <w:tc>
          <w:tcPr>
            <w:tcW w:w="1741" w:type="dxa"/>
            <w:shd w:val="clear" w:color="auto" w:fill="auto"/>
            <w:noWrap/>
            <w:vAlign w:val="center"/>
          </w:tcPr>
          <w:p w:rsidR="00985508" w:rsidRPr="00BF7F64" w:rsidRDefault="00621335" w:rsidP="00985508">
            <w:pPr>
              <w:jc w:val="right"/>
              <w:rPr>
                <w:rFonts w:eastAsia="宋体" w:cs="Times New Roman"/>
                <w:sz w:val="18"/>
                <w:szCs w:val="18"/>
              </w:rPr>
            </w:pPr>
            <w:r w:rsidRPr="00BF7F64">
              <w:rPr>
                <w:rFonts w:eastAsia="宋体" w:cs="Times New Roman"/>
                <w:sz w:val="18"/>
                <w:szCs w:val="18"/>
              </w:rPr>
              <w:t>-    </w:t>
            </w:r>
          </w:p>
        </w:tc>
        <w:tc>
          <w:tcPr>
            <w:tcW w:w="1741" w:type="dxa"/>
            <w:shd w:val="clear" w:color="auto" w:fill="auto"/>
            <w:noWrap/>
            <w:vAlign w:val="center"/>
          </w:tcPr>
          <w:p w:rsidR="00985508" w:rsidRPr="00BF7F64" w:rsidRDefault="00621335" w:rsidP="00985508">
            <w:pPr>
              <w:jc w:val="right"/>
              <w:rPr>
                <w:rFonts w:eastAsia="宋体" w:cs="Times New Roman"/>
                <w:sz w:val="18"/>
                <w:szCs w:val="18"/>
              </w:rPr>
            </w:pPr>
            <w:r w:rsidRPr="00BF7F64">
              <w:rPr>
                <w:rFonts w:eastAsia="宋体" w:cs="Times New Roman"/>
                <w:sz w:val="18"/>
                <w:szCs w:val="18"/>
              </w:rPr>
              <w:t>-    </w:t>
            </w:r>
          </w:p>
        </w:tc>
        <w:tc>
          <w:tcPr>
            <w:tcW w:w="1690" w:type="dxa"/>
            <w:shd w:val="clear" w:color="auto" w:fill="auto"/>
            <w:noWrap/>
            <w:vAlign w:val="center"/>
          </w:tcPr>
          <w:p w:rsidR="00985508" w:rsidRPr="00BF7F64" w:rsidRDefault="00985508" w:rsidP="00985508">
            <w:pPr>
              <w:jc w:val="right"/>
              <w:rPr>
                <w:rFonts w:eastAsia="宋体" w:cs="Times New Roman"/>
                <w:sz w:val="18"/>
                <w:szCs w:val="18"/>
              </w:rPr>
            </w:pPr>
            <w:r w:rsidRPr="00BF7F64">
              <w:rPr>
                <w:rFonts w:eastAsia="宋体" w:cs="Times New Roman"/>
                <w:color w:val="000000"/>
                <w:sz w:val="18"/>
                <w:szCs w:val="18"/>
              </w:rPr>
              <w:t>-    </w:t>
            </w:r>
          </w:p>
        </w:tc>
      </w:tr>
      <w:tr w:rsidR="00985508" w:rsidRPr="00BF7F64" w:rsidTr="0027505B">
        <w:trPr>
          <w:trHeight w:val="20"/>
        </w:trPr>
        <w:tc>
          <w:tcPr>
            <w:tcW w:w="2538" w:type="dxa"/>
            <w:shd w:val="clear" w:color="auto" w:fill="auto"/>
            <w:noWrap/>
            <w:vAlign w:val="center"/>
          </w:tcPr>
          <w:p w:rsidR="00985508" w:rsidRPr="00BF7F64" w:rsidRDefault="00985508" w:rsidP="00985508">
            <w:pPr>
              <w:rPr>
                <w:rFonts w:eastAsia="宋体" w:cs="Times New Roman"/>
                <w:sz w:val="18"/>
                <w:szCs w:val="18"/>
              </w:rPr>
            </w:pPr>
            <w:r w:rsidRPr="00BF7F64">
              <w:rPr>
                <w:rFonts w:eastAsia="宋体" w:cs="Times New Roman" w:hint="eastAsia"/>
                <w:sz w:val="18"/>
                <w:szCs w:val="18"/>
              </w:rPr>
              <w:t>本年计提</w:t>
            </w:r>
            <w:r w:rsidRPr="00BF7F64">
              <w:rPr>
                <w:rFonts w:eastAsia="宋体" w:cs="Times New Roman"/>
                <w:sz w:val="18"/>
                <w:szCs w:val="18"/>
              </w:rPr>
              <w:t>/</w:t>
            </w:r>
            <w:r w:rsidR="005F14EE" w:rsidRPr="00BF7F64">
              <w:rPr>
                <w:rFonts w:eastAsia="宋体" w:cs="Times New Roman"/>
                <w:sz w:val="18"/>
                <w:szCs w:val="18"/>
              </w:rPr>
              <w:t>(</w:t>
            </w:r>
            <w:r w:rsidRPr="00BF7F64">
              <w:rPr>
                <w:rFonts w:eastAsia="宋体" w:cs="Times New Roman" w:hint="eastAsia"/>
                <w:sz w:val="18"/>
                <w:szCs w:val="18"/>
              </w:rPr>
              <w:t>转回</w:t>
            </w:r>
            <w:r w:rsidR="005F14EE" w:rsidRPr="00BF7F64">
              <w:rPr>
                <w:rFonts w:eastAsia="宋体" w:cs="Times New Roman"/>
                <w:sz w:val="18"/>
                <w:szCs w:val="18"/>
              </w:rPr>
              <w:t>)</w:t>
            </w:r>
          </w:p>
        </w:tc>
        <w:tc>
          <w:tcPr>
            <w:tcW w:w="1740" w:type="dxa"/>
            <w:shd w:val="clear" w:color="auto" w:fill="auto"/>
            <w:noWrap/>
            <w:vAlign w:val="center"/>
          </w:tcPr>
          <w:p w:rsidR="00985508" w:rsidRPr="00BF7F64" w:rsidRDefault="00985508" w:rsidP="00985508">
            <w:pPr>
              <w:jc w:val="right"/>
              <w:rPr>
                <w:rFonts w:eastAsia="宋体" w:cs="Times New Roman"/>
                <w:sz w:val="18"/>
                <w:szCs w:val="18"/>
              </w:rPr>
            </w:pPr>
            <w:r w:rsidRPr="00BF7F64">
              <w:rPr>
                <w:rFonts w:eastAsia="宋体" w:cs="Times New Roman"/>
                <w:sz w:val="18"/>
                <w:szCs w:val="18"/>
              </w:rPr>
              <w:t>51,186.91</w:t>
            </w:r>
          </w:p>
        </w:tc>
        <w:tc>
          <w:tcPr>
            <w:tcW w:w="1741" w:type="dxa"/>
            <w:shd w:val="clear" w:color="auto" w:fill="auto"/>
            <w:noWrap/>
            <w:vAlign w:val="center"/>
          </w:tcPr>
          <w:p w:rsidR="00985508" w:rsidRPr="00BF7F64" w:rsidRDefault="00621335" w:rsidP="00985508">
            <w:pPr>
              <w:jc w:val="right"/>
              <w:rPr>
                <w:rFonts w:eastAsia="宋体" w:cs="Times New Roman"/>
                <w:sz w:val="18"/>
                <w:szCs w:val="18"/>
              </w:rPr>
            </w:pPr>
            <w:r w:rsidRPr="00BF7F64">
              <w:rPr>
                <w:rFonts w:eastAsia="宋体" w:cs="Times New Roman"/>
                <w:sz w:val="18"/>
                <w:szCs w:val="18"/>
              </w:rPr>
              <w:t>169,353.68</w:t>
            </w:r>
          </w:p>
        </w:tc>
        <w:tc>
          <w:tcPr>
            <w:tcW w:w="1741" w:type="dxa"/>
            <w:shd w:val="clear" w:color="auto" w:fill="auto"/>
            <w:noWrap/>
            <w:vAlign w:val="center"/>
          </w:tcPr>
          <w:p w:rsidR="00985508" w:rsidRPr="00BF7F64" w:rsidRDefault="00621335" w:rsidP="00985508">
            <w:pPr>
              <w:jc w:val="right"/>
              <w:rPr>
                <w:rFonts w:eastAsia="宋体" w:cs="Times New Roman"/>
                <w:sz w:val="18"/>
                <w:szCs w:val="18"/>
              </w:rPr>
            </w:pPr>
            <w:r w:rsidRPr="00BF7F64">
              <w:rPr>
                <w:rFonts w:eastAsia="宋体" w:cs="Times New Roman"/>
                <w:sz w:val="18"/>
                <w:szCs w:val="18"/>
              </w:rPr>
              <w:t>13,671.71</w:t>
            </w:r>
          </w:p>
        </w:tc>
        <w:tc>
          <w:tcPr>
            <w:tcW w:w="1690" w:type="dxa"/>
            <w:shd w:val="clear" w:color="auto" w:fill="auto"/>
            <w:noWrap/>
            <w:vAlign w:val="center"/>
          </w:tcPr>
          <w:p w:rsidR="00985508" w:rsidRPr="00BF7F64" w:rsidRDefault="00985508" w:rsidP="00985508">
            <w:pPr>
              <w:jc w:val="right"/>
              <w:rPr>
                <w:rFonts w:eastAsia="宋体" w:cs="Times New Roman"/>
                <w:sz w:val="18"/>
                <w:szCs w:val="18"/>
              </w:rPr>
            </w:pPr>
            <w:r w:rsidRPr="00BF7F64">
              <w:rPr>
                <w:rFonts w:eastAsia="宋体" w:cs="Times New Roman"/>
                <w:sz w:val="18"/>
                <w:szCs w:val="18"/>
              </w:rPr>
              <w:t>234,212.30</w:t>
            </w:r>
          </w:p>
        </w:tc>
      </w:tr>
      <w:tr w:rsidR="00985508" w:rsidRPr="00BF7F64" w:rsidTr="0027505B">
        <w:trPr>
          <w:trHeight w:val="20"/>
        </w:trPr>
        <w:tc>
          <w:tcPr>
            <w:tcW w:w="2538" w:type="dxa"/>
            <w:shd w:val="clear" w:color="auto" w:fill="D9D9D9"/>
            <w:noWrap/>
            <w:vAlign w:val="center"/>
          </w:tcPr>
          <w:p w:rsidR="00985508" w:rsidRPr="00BF7F64" w:rsidRDefault="00985508" w:rsidP="00985508">
            <w:pPr>
              <w:rPr>
                <w:rFonts w:eastAsia="宋体" w:cs="Times New Roman"/>
                <w:sz w:val="18"/>
                <w:szCs w:val="18"/>
              </w:rPr>
            </w:pPr>
            <w:r w:rsidRPr="00BF7F64">
              <w:rPr>
                <w:rFonts w:eastAsia="宋体" w:cs="Times New Roman"/>
                <w:sz w:val="18"/>
                <w:szCs w:val="18"/>
              </w:rPr>
              <w:t>2023</w:t>
            </w:r>
            <w:r w:rsidRPr="00BF7F64">
              <w:rPr>
                <w:rFonts w:eastAsia="宋体" w:cs="Times New Roman" w:hint="eastAsia"/>
                <w:sz w:val="18"/>
                <w:szCs w:val="18"/>
              </w:rPr>
              <w:t>年</w:t>
            </w:r>
            <w:r w:rsidRPr="00BF7F64">
              <w:rPr>
                <w:rFonts w:eastAsia="宋体" w:cs="Times New Roman"/>
                <w:sz w:val="18"/>
                <w:szCs w:val="18"/>
              </w:rPr>
              <w:t>12</w:t>
            </w:r>
            <w:r w:rsidRPr="00BF7F64">
              <w:rPr>
                <w:rFonts w:eastAsia="宋体" w:cs="Times New Roman" w:hint="eastAsia"/>
                <w:sz w:val="18"/>
                <w:szCs w:val="18"/>
              </w:rPr>
              <w:t>月</w:t>
            </w:r>
            <w:r w:rsidRPr="00BF7F64">
              <w:rPr>
                <w:rFonts w:eastAsia="宋体" w:cs="Times New Roman"/>
                <w:sz w:val="18"/>
                <w:szCs w:val="18"/>
              </w:rPr>
              <w:t>31</w:t>
            </w:r>
            <w:r w:rsidRPr="00BF7F64">
              <w:rPr>
                <w:rFonts w:eastAsia="宋体" w:cs="Times New Roman" w:hint="eastAsia"/>
                <w:sz w:val="18"/>
                <w:szCs w:val="18"/>
              </w:rPr>
              <w:t>日余额</w:t>
            </w:r>
          </w:p>
        </w:tc>
        <w:tc>
          <w:tcPr>
            <w:tcW w:w="1740" w:type="dxa"/>
            <w:shd w:val="clear" w:color="auto" w:fill="auto"/>
            <w:noWrap/>
            <w:vAlign w:val="center"/>
          </w:tcPr>
          <w:p w:rsidR="00985508" w:rsidRPr="00BF7F64" w:rsidRDefault="00621335" w:rsidP="00985508">
            <w:pPr>
              <w:jc w:val="right"/>
              <w:rPr>
                <w:rFonts w:eastAsia="宋体" w:cs="Times New Roman"/>
                <w:sz w:val="18"/>
                <w:szCs w:val="18"/>
              </w:rPr>
            </w:pPr>
            <w:r w:rsidRPr="00BF7F64">
              <w:rPr>
                <w:rFonts w:eastAsia="宋体" w:cs="Times New Roman"/>
                <w:sz w:val="18"/>
                <w:szCs w:val="18"/>
              </w:rPr>
              <w:t>165,054.36</w:t>
            </w:r>
          </w:p>
        </w:tc>
        <w:tc>
          <w:tcPr>
            <w:tcW w:w="1741" w:type="dxa"/>
            <w:shd w:val="clear" w:color="auto" w:fill="auto"/>
            <w:noWrap/>
            <w:vAlign w:val="center"/>
          </w:tcPr>
          <w:p w:rsidR="00985508" w:rsidRPr="00BF7F64" w:rsidRDefault="00621335" w:rsidP="00985508">
            <w:pPr>
              <w:jc w:val="right"/>
              <w:rPr>
                <w:rFonts w:eastAsia="宋体" w:cs="Times New Roman"/>
                <w:sz w:val="18"/>
                <w:szCs w:val="18"/>
              </w:rPr>
            </w:pPr>
            <w:r w:rsidRPr="00BF7F64">
              <w:rPr>
                <w:rFonts w:eastAsia="宋体" w:cs="Times New Roman"/>
                <w:sz w:val="18"/>
                <w:szCs w:val="18"/>
              </w:rPr>
              <w:t>203,003.67</w:t>
            </w:r>
          </w:p>
        </w:tc>
        <w:tc>
          <w:tcPr>
            <w:tcW w:w="1741" w:type="dxa"/>
            <w:shd w:val="clear" w:color="auto" w:fill="auto"/>
            <w:noWrap/>
            <w:vAlign w:val="center"/>
          </w:tcPr>
          <w:p w:rsidR="00985508" w:rsidRPr="00BF7F64" w:rsidRDefault="00621335" w:rsidP="00985508">
            <w:pPr>
              <w:jc w:val="right"/>
              <w:rPr>
                <w:rFonts w:eastAsia="宋体" w:cs="Times New Roman"/>
                <w:sz w:val="18"/>
                <w:szCs w:val="18"/>
              </w:rPr>
            </w:pPr>
            <w:r w:rsidRPr="00BF7F64">
              <w:rPr>
                <w:rFonts w:eastAsia="宋体" w:cs="Times New Roman"/>
                <w:sz w:val="18"/>
                <w:szCs w:val="18"/>
              </w:rPr>
              <w:t>23,828.95</w:t>
            </w:r>
          </w:p>
        </w:tc>
        <w:tc>
          <w:tcPr>
            <w:tcW w:w="1690" w:type="dxa"/>
            <w:shd w:val="clear" w:color="auto" w:fill="auto"/>
            <w:noWrap/>
            <w:vAlign w:val="center"/>
          </w:tcPr>
          <w:p w:rsidR="00985508" w:rsidRPr="00BF7F64" w:rsidRDefault="00985508" w:rsidP="00985508">
            <w:pPr>
              <w:jc w:val="right"/>
              <w:rPr>
                <w:rFonts w:eastAsia="宋体" w:cs="Times New Roman"/>
                <w:sz w:val="18"/>
                <w:szCs w:val="18"/>
              </w:rPr>
            </w:pPr>
            <w:r w:rsidRPr="00BF7F64">
              <w:rPr>
                <w:rFonts w:eastAsia="宋体" w:cs="Times New Roman"/>
                <w:sz w:val="18"/>
                <w:szCs w:val="18"/>
              </w:rPr>
              <w:t>391,886.98</w:t>
            </w:r>
          </w:p>
        </w:tc>
      </w:tr>
    </w:tbl>
    <w:p w:rsidR="00BF7F64" w:rsidRDefault="00BF7F64" w:rsidP="00F66363">
      <w:pPr>
        <w:spacing w:line="235" w:lineRule="auto"/>
        <w:ind w:left="720"/>
        <w:jc w:val="both"/>
        <w:rPr>
          <w:rFonts w:eastAsia="宋体" w:cs="Times New Roman"/>
          <w:szCs w:val="21"/>
        </w:rPr>
      </w:pPr>
    </w:p>
    <w:p w:rsidR="00BF7F64" w:rsidRDefault="00BF7F64">
      <w:pPr>
        <w:adjustRightInd/>
        <w:snapToGrid/>
        <w:rPr>
          <w:rFonts w:eastAsia="宋体" w:cs="Times New Roman"/>
          <w:szCs w:val="21"/>
        </w:rPr>
      </w:pPr>
      <w:r>
        <w:rPr>
          <w:rFonts w:eastAsia="宋体" w:cs="Times New Roman"/>
          <w:szCs w:val="21"/>
        </w:rPr>
        <w:br w:type="page"/>
      </w:r>
    </w:p>
    <w:p w:rsidR="00BF7F64" w:rsidRPr="00F66363" w:rsidRDefault="00BF7F64" w:rsidP="00BF7F64">
      <w:pPr>
        <w:rPr>
          <w:rFonts w:eastAsia="宋体" w:cs="Times New Roman"/>
          <w:szCs w:val="21"/>
        </w:rPr>
      </w:pPr>
      <w:r>
        <w:rPr>
          <w:rFonts w:eastAsia="宋体" w:cs="Times New Roman"/>
          <w:b/>
          <w:bCs/>
          <w:szCs w:val="28"/>
        </w:rPr>
        <w:t>(</w:t>
      </w:r>
      <w:r w:rsidRPr="00F66363">
        <w:rPr>
          <w:rFonts w:eastAsia="宋体" w:cs="Times New Roman" w:hint="eastAsia"/>
          <w:b/>
          <w:bCs/>
          <w:szCs w:val="28"/>
        </w:rPr>
        <w:t>十</w:t>
      </w:r>
      <w:r>
        <w:rPr>
          <w:rFonts w:eastAsia="宋体" w:cs="Times New Roman" w:hint="eastAsia"/>
          <w:b/>
          <w:bCs/>
          <w:szCs w:val="28"/>
        </w:rPr>
        <w:t>五</w:t>
      </w:r>
      <w:r>
        <w:rPr>
          <w:rFonts w:eastAsia="宋体" w:cs="Times New Roman"/>
          <w:b/>
          <w:bCs/>
          <w:szCs w:val="28"/>
        </w:rPr>
        <w:t>)</w:t>
      </w:r>
      <w:r w:rsidRPr="00F66363">
        <w:rPr>
          <w:rFonts w:eastAsia="宋体" w:cs="Times New Roman"/>
          <w:b/>
          <w:bCs/>
          <w:szCs w:val="28"/>
        </w:rPr>
        <w:tab/>
      </w:r>
      <w:r w:rsidRPr="00F66363">
        <w:rPr>
          <w:rFonts w:eastAsia="宋体" w:cs="Times New Roman" w:hint="eastAsia"/>
          <w:b/>
          <w:bCs/>
          <w:szCs w:val="28"/>
        </w:rPr>
        <w:t>母公司财务报表主要项目注释</w:t>
      </w:r>
      <w:r w:rsidRPr="00F66363">
        <w:rPr>
          <w:rFonts w:eastAsia="宋体" w:cs="Times New Roman"/>
        </w:rPr>
        <w:t xml:space="preserve"> - </w:t>
      </w:r>
      <w:r w:rsidRPr="00F66363">
        <w:rPr>
          <w:rFonts w:eastAsia="宋体" w:cs="Times New Roman" w:hint="eastAsia"/>
        </w:rPr>
        <w:t>续</w:t>
      </w:r>
    </w:p>
    <w:p w:rsidR="00BF7F64" w:rsidRPr="00F66363" w:rsidRDefault="00BF7F64" w:rsidP="00BF7F64">
      <w:pPr>
        <w:ind w:left="1440" w:hanging="720"/>
        <w:rPr>
          <w:rFonts w:eastAsia="宋体" w:cs="Times New Roman"/>
          <w:szCs w:val="28"/>
        </w:rPr>
      </w:pPr>
    </w:p>
    <w:p w:rsidR="00BF7F64" w:rsidRPr="00F66363" w:rsidRDefault="00BF7F64" w:rsidP="00BF7F64">
      <w:pPr>
        <w:ind w:left="1440" w:hanging="720"/>
        <w:rPr>
          <w:rFonts w:eastAsia="宋体" w:cs="Times New Roman"/>
          <w:szCs w:val="28"/>
        </w:rPr>
      </w:pPr>
      <w:r>
        <w:rPr>
          <w:rFonts w:eastAsia="宋体" w:cs="Times New Roman"/>
          <w:b/>
          <w:bCs/>
          <w:szCs w:val="28"/>
        </w:rPr>
        <w:t>2</w:t>
      </w:r>
      <w:r w:rsidRPr="00F66363">
        <w:rPr>
          <w:rFonts w:eastAsia="宋体" w:cs="Times New Roman" w:hint="eastAsia"/>
          <w:b/>
          <w:bCs/>
          <w:szCs w:val="28"/>
        </w:rPr>
        <w:t>、</w:t>
      </w:r>
      <w:r w:rsidRPr="00F66363">
        <w:rPr>
          <w:rFonts w:eastAsia="宋体" w:cs="Times New Roman"/>
          <w:b/>
          <w:bCs/>
          <w:szCs w:val="28"/>
        </w:rPr>
        <w:tab/>
      </w:r>
      <w:r>
        <w:rPr>
          <w:rFonts w:eastAsia="宋体" w:cs="Times New Roman" w:hint="eastAsia"/>
          <w:b/>
          <w:bCs/>
          <w:szCs w:val="28"/>
        </w:rPr>
        <w:t>其他应收款</w:t>
      </w:r>
      <w:r w:rsidRPr="00F66363">
        <w:rPr>
          <w:rFonts w:eastAsia="宋体" w:cs="Times New Roman"/>
          <w:szCs w:val="28"/>
        </w:rPr>
        <w:t xml:space="preserve"> - </w:t>
      </w:r>
      <w:r w:rsidRPr="00F66363">
        <w:rPr>
          <w:rFonts w:eastAsia="宋体" w:cs="Times New Roman" w:hint="eastAsia"/>
          <w:szCs w:val="28"/>
        </w:rPr>
        <w:t>续</w:t>
      </w:r>
    </w:p>
    <w:p w:rsidR="00BF7F64" w:rsidRDefault="00BF7F64" w:rsidP="00BF7F64">
      <w:pPr>
        <w:ind w:left="720"/>
        <w:jc w:val="both"/>
        <w:rPr>
          <w:rFonts w:eastAsia="宋体" w:cs="Times New Roman"/>
          <w:szCs w:val="21"/>
        </w:rPr>
      </w:pPr>
    </w:p>
    <w:p w:rsidR="00BF7F64" w:rsidRPr="00BE136A" w:rsidRDefault="00BF7F64" w:rsidP="00BF7F64">
      <w:pPr>
        <w:ind w:left="720"/>
        <w:jc w:val="both"/>
        <w:rPr>
          <w:rFonts w:eastAsia="宋体" w:cs="Times New Roman"/>
          <w:szCs w:val="21"/>
        </w:rPr>
      </w:pPr>
      <w:r w:rsidRPr="00BE136A">
        <w:rPr>
          <w:rFonts w:eastAsia="宋体" w:cs="Times New Roman"/>
          <w:szCs w:val="21"/>
        </w:rPr>
        <w:t>2.3</w:t>
      </w:r>
      <w:r w:rsidRPr="00BE136A">
        <w:rPr>
          <w:rFonts w:eastAsia="宋体" w:cs="Times New Roman"/>
          <w:szCs w:val="21"/>
        </w:rPr>
        <w:tab/>
      </w:r>
      <w:r w:rsidRPr="00BE136A">
        <w:rPr>
          <w:rFonts w:eastAsia="宋体" w:cs="Times New Roman" w:hint="eastAsia"/>
          <w:szCs w:val="21"/>
        </w:rPr>
        <w:t>其他应收款分类披露</w:t>
      </w:r>
      <w:r>
        <w:rPr>
          <w:rFonts w:eastAsia="宋体" w:cs="Times New Roman" w:hint="eastAsia"/>
          <w:szCs w:val="21"/>
        </w:rPr>
        <w:t xml:space="preserve"> </w:t>
      </w:r>
      <w:r w:rsidRPr="00F66363">
        <w:rPr>
          <w:rFonts w:eastAsia="宋体" w:cs="Times New Roman"/>
          <w:szCs w:val="28"/>
        </w:rPr>
        <w:t xml:space="preserve">- </w:t>
      </w:r>
      <w:r w:rsidRPr="00F66363">
        <w:rPr>
          <w:rFonts w:eastAsia="宋体" w:cs="Times New Roman" w:hint="eastAsia"/>
          <w:szCs w:val="28"/>
        </w:rPr>
        <w:t>续</w:t>
      </w:r>
    </w:p>
    <w:p w:rsidR="00F55BEB" w:rsidRDefault="00F55BEB" w:rsidP="00F66363">
      <w:pPr>
        <w:spacing w:line="235" w:lineRule="auto"/>
        <w:ind w:left="720"/>
        <w:jc w:val="both"/>
        <w:rPr>
          <w:rFonts w:eastAsia="宋体" w:cs="Times New Roman"/>
          <w:szCs w:val="21"/>
        </w:rPr>
      </w:pPr>
    </w:p>
    <w:p w:rsidR="00B759D4" w:rsidRPr="00B759D4" w:rsidRDefault="00054D32" w:rsidP="0027505B">
      <w:pPr>
        <w:pStyle w:val="aff1"/>
        <w:numPr>
          <w:ilvl w:val="0"/>
          <w:numId w:val="26"/>
        </w:numPr>
        <w:spacing w:line="235" w:lineRule="auto"/>
        <w:ind w:left="1440" w:firstLineChars="0" w:hanging="720"/>
        <w:rPr>
          <w:szCs w:val="21"/>
        </w:rPr>
      </w:pPr>
      <w:r>
        <w:rPr>
          <w:rFonts w:hint="eastAsia"/>
          <w:szCs w:val="21"/>
        </w:rPr>
        <w:t>其他应收款坏账</w:t>
      </w:r>
      <w:r w:rsidR="00BE136A">
        <w:rPr>
          <w:rFonts w:hint="eastAsia"/>
          <w:szCs w:val="21"/>
        </w:rPr>
        <w:t>准备情况</w:t>
      </w:r>
    </w:p>
    <w:p w:rsidR="00B759D4" w:rsidRPr="00B759D4" w:rsidRDefault="00B759D4" w:rsidP="00B759D4">
      <w:pPr>
        <w:pStyle w:val="aff1"/>
        <w:spacing w:line="235" w:lineRule="auto"/>
        <w:ind w:left="1177" w:firstLineChars="0" w:firstLine="0"/>
        <w:jc w:val="right"/>
        <w:rPr>
          <w:szCs w:val="18"/>
        </w:rPr>
      </w:pPr>
      <w:r w:rsidRPr="00B759D4">
        <w:rPr>
          <w:rFonts w:hint="eastAsia"/>
          <w:szCs w:val="21"/>
        </w:rPr>
        <w:t>单</w:t>
      </w:r>
      <w:r w:rsidRPr="00B759D4">
        <w:rPr>
          <w:rFonts w:hint="eastAsia"/>
          <w:szCs w:val="18"/>
        </w:rPr>
        <w:t>位</w:t>
      </w:r>
      <w:r w:rsidR="005F14EE">
        <w:rPr>
          <w:rFonts w:hint="eastAsia"/>
          <w:szCs w:val="18"/>
        </w:rPr>
        <w:t>：</w:t>
      </w:r>
      <w:r w:rsidRPr="00B759D4">
        <w:rPr>
          <w:rFonts w:hint="eastAsia"/>
          <w:szCs w:val="18"/>
        </w:rPr>
        <w:t>人民币元</w:t>
      </w:r>
    </w:p>
    <w:tbl>
      <w:tblPr>
        <w:tblStyle w:val="aff5"/>
        <w:tblW w:w="0" w:type="auto"/>
        <w:tblInd w:w="720" w:type="dxa"/>
        <w:tblLook w:val="04A0" w:firstRow="1" w:lastRow="0" w:firstColumn="1" w:lastColumn="0" w:noHBand="0" w:noVBand="1"/>
      </w:tblPr>
      <w:tblGrid>
        <w:gridCol w:w="1350"/>
        <w:gridCol w:w="1349"/>
        <w:gridCol w:w="1349"/>
        <w:gridCol w:w="1350"/>
        <w:gridCol w:w="1350"/>
        <w:gridCol w:w="1350"/>
        <w:gridCol w:w="1350"/>
      </w:tblGrid>
      <w:tr w:rsidR="00B759D4" w:rsidRPr="00BF7F64" w:rsidTr="0027505B">
        <w:trPr>
          <w:trHeight w:val="20"/>
        </w:trPr>
        <w:tc>
          <w:tcPr>
            <w:tcW w:w="1350" w:type="dxa"/>
            <w:vMerge w:val="restart"/>
            <w:shd w:val="clear" w:color="auto" w:fill="D9D9D9" w:themeFill="background1" w:themeFillShade="D9"/>
            <w:vAlign w:val="center"/>
          </w:tcPr>
          <w:p w:rsidR="00B759D4" w:rsidRPr="0027505B" w:rsidRDefault="00B759D4" w:rsidP="00E456AF">
            <w:pPr>
              <w:widowControl/>
              <w:jc w:val="center"/>
              <w:rPr>
                <w:sz w:val="18"/>
                <w:szCs w:val="18"/>
              </w:rPr>
            </w:pPr>
            <w:r w:rsidRPr="0027505B">
              <w:rPr>
                <w:rFonts w:hint="eastAsia"/>
                <w:sz w:val="18"/>
                <w:szCs w:val="18"/>
              </w:rPr>
              <w:t>类别</w:t>
            </w:r>
          </w:p>
        </w:tc>
        <w:tc>
          <w:tcPr>
            <w:tcW w:w="1349" w:type="dxa"/>
            <w:vMerge w:val="restart"/>
            <w:shd w:val="clear" w:color="auto" w:fill="D9D9D9" w:themeFill="background1" w:themeFillShade="D9"/>
            <w:vAlign w:val="center"/>
          </w:tcPr>
          <w:p w:rsidR="00B759D4" w:rsidRPr="0027505B" w:rsidRDefault="00EF71D0" w:rsidP="00E456AF">
            <w:pPr>
              <w:widowControl/>
              <w:jc w:val="center"/>
              <w:rPr>
                <w:sz w:val="18"/>
                <w:szCs w:val="18"/>
              </w:rPr>
            </w:pPr>
            <w:r w:rsidRPr="0027505B">
              <w:rPr>
                <w:rFonts w:hint="eastAsia"/>
                <w:sz w:val="18"/>
                <w:szCs w:val="18"/>
              </w:rPr>
              <w:t>年初</w:t>
            </w:r>
            <w:r w:rsidR="00B759D4" w:rsidRPr="0027505B">
              <w:rPr>
                <w:rFonts w:hint="eastAsia"/>
                <w:sz w:val="18"/>
                <w:szCs w:val="18"/>
              </w:rPr>
              <w:t>余额</w:t>
            </w:r>
          </w:p>
        </w:tc>
        <w:tc>
          <w:tcPr>
            <w:tcW w:w="5399" w:type="dxa"/>
            <w:gridSpan w:val="4"/>
            <w:shd w:val="clear" w:color="auto" w:fill="D9D9D9" w:themeFill="background1" w:themeFillShade="D9"/>
            <w:vAlign w:val="center"/>
          </w:tcPr>
          <w:p w:rsidR="00B759D4" w:rsidRPr="0027505B" w:rsidRDefault="00B759D4" w:rsidP="00E456AF">
            <w:pPr>
              <w:widowControl/>
              <w:jc w:val="center"/>
              <w:rPr>
                <w:sz w:val="18"/>
                <w:szCs w:val="18"/>
              </w:rPr>
            </w:pPr>
            <w:r w:rsidRPr="0027505B">
              <w:rPr>
                <w:rFonts w:hint="eastAsia"/>
                <w:sz w:val="18"/>
                <w:szCs w:val="18"/>
              </w:rPr>
              <w:t>本</w:t>
            </w:r>
            <w:r w:rsidR="00C07C03">
              <w:rPr>
                <w:rFonts w:hint="eastAsia"/>
                <w:sz w:val="18"/>
                <w:szCs w:val="18"/>
              </w:rPr>
              <w:t>年</w:t>
            </w:r>
            <w:r w:rsidRPr="0027505B">
              <w:rPr>
                <w:rFonts w:hint="eastAsia"/>
                <w:sz w:val="18"/>
                <w:szCs w:val="18"/>
              </w:rPr>
              <w:t>变动金额</w:t>
            </w:r>
          </w:p>
        </w:tc>
        <w:tc>
          <w:tcPr>
            <w:tcW w:w="1350" w:type="dxa"/>
            <w:vMerge w:val="restart"/>
            <w:shd w:val="clear" w:color="auto" w:fill="D9D9D9" w:themeFill="background1" w:themeFillShade="D9"/>
            <w:vAlign w:val="center"/>
          </w:tcPr>
          <w:p w:rsidR="00B759D4" w:rsidRPr="0027505B" w:rsidRDefault="00EF71D0" w:rsidP="00E456AF">
            <w:pPr>
              <w:widowControl/>
              <w:jc w:val="center"/>
              <w:rPr>
                <w:sz w:val="18"/>
                <w:szCs w:val="18"/>
              </w:rPr>
            </w:pPr>
            <w:r w:rsidRPr="0027505B">
              <w:rPr>
                <w:rFonts w:hint="eastAsia"/>
                <w:sz w:val="18"/>
                <w:szCs w:val="18"/>
              </w:rPr>
              <w:t>年末</w:t>
            </w:r>
            <w:r w:rsidR="00B759D4" w:rsidRPr="0027505B">
              <w:rPr>
                <w:rFonts w:hint="eastAsia"/>
                <w:sz w:val="18"/>
                <w:szCs w:val="18"/>
              </w:rPr>
              <w:t>余额</w:t>
            </w:r>
          </w:p>
        </w:tc>
      </w:tr>
      <w:tr w:rsidR="00B759D4" w:rsidRPr="00BF7F64" w:rsidTr="0027505B">
        <w:trPr>
          <w:trHeight w:val="20"/>
        </w:trPr>
        <w:tc>
          <w:tcPr>
            <w:tcW w:w="1350" w:type="dxa"/>
            <w:vMerge/>
            <w:shd w:val="clear" w:color="auto" w:fill="D9D9D9" w:themeFill="background1" w:themeFillShade="D9"/>
            <w:vAlign w:val="center"/>
          </w:tcPr>
          <w:p w:rsidR="00B759D4" w:rsidRPr="0027505B" w:rsidRDefault="00B759D4" w:rsidP="00E456AF">
            <w:pPr>
              <w:jc w:val="center"/>
              <w:rPr>
                <w:sz w:val="18"/>
                <w:szCs w:val="18"/>
              </w:rPr>
            </w:pPr>
          </w:p>
        </w:tc>
        <w:tc>
          <w:tcPr>
            <w:tcW w:w="1349" w:type="dxa"/>
            <w:vMerge/>
            <w:shd w:val="clear" w:color="auto" w:fill="D9D9D9" w:themeFill="background1" w:themeFillShade="D9"/>
            <w:vAlign w:val="center"/>
          </w:tcPr>
          <w:p w:rsidR="00B759D4" w:rsidRPr="0027505B" w:rsidRDefault="00B759D4" w:rsidP="00E456AF">
            <w:pPr>
              <w:jc w:val="center"/>
              <w:rPr>
                <w:sz w:val="18"/>
                <w:szCs w:val="18"/>
              </w:rPr>
            </w:pPr>
          </w:p>
        </w:tc>
        <w:tc>
          <w:tcPr>
            <w:tcW w:w="1349" w:type="dxa"/>
            <w:shd w:val="clear" w:color="auto" w:fill="D9D9D9" w:themeFill="background1" w:themeFillShade="D9"/>
            <w:vAlign w:val="center"/>
          </w:tcPr>
          <w:p w:rsidR="00B759D4" w:rsidRPr="0027505B" w:rsidRDefault="00B759D4" w:rsidP="00E456AF">
            <w:pPr>
              <w:widowControl/>
              <w:jc w:val="center"/>
              <w:rPr>
                <w:sz w:val="18"/>
                <w:szCs w:val="18"/>
              </w:rPr>
            </w:pPr>
            <w:r w:rsidRPr="0027505B">
              <w:rPr>
                <w:rFonts w:hint="eastAsia"/>
                <w:sz w:val="18"/>
                <w:szCs w:val="18"/>
              </w:rPr>
              <w:t>计提</w:t>
            </w:r>
          </w:p>
        </w:tc>
        <w:tc>
          <w:tcPr>
            <w:tcW w:w="1350" w:type="dxa"/>
            <w:shd w:val="clear" w:color="auto" w:fill="D9D9D9" w:themeFill="background1" w:themeFillShade="D9"/>
            <w:vAlign w:val="center"/>
          </w:tcPr>
          <w:p w:rsidR="00B759D4" w:rsidRPr="0027505B" w:rsidRDefault="00B759D4" w:rsidP="00E456AF">
            <w:pPr>
              <w:widowControl/>
              <w:jc w:val="center"/>
              <w:rPr>
                <w:sz w:val="18"/>
                <w:szCs w:val="18"/>
              </w:rPr>
            </w:pPr>
            <w:r w:rsidRPr="0027505B">
              <w:rPr>
                <w:rFonts w:hint="eastAsia"/>
                <w:sz w:val="18"/>
                <w:szCs w:val="18"/>
              </w:rPr>
              <w:t>收回或转回</w:t>
            </w:r>
          </w:p>
        </w:tc>
        <w:tc>
          <w:tcPr>
            <w:tcW w:w="1350" w:type="dxa"/>
            <w:shd w:val="clear" w:color="auto" w:fill="D9D9D9" w:themeFill="background1" w:themeFillShade="D9"/>
            <w:vAlign w:val="center"/>
          </w:tcPr>
          <w:p w:rsidR="00B759D4" w:rsidRPr="0027505B" w:rsidRDefault="00B759D4" w:rsidP="00E456AF">
            <w:pPr>
              <w:widowControl/>
              <w:jc w:val="center"/>
              <w:rPr>
                <w:sz w:val="18"/>
                <w:szCs w:val="18"/>
              </w:rPr>
            </w:pPr>
            <w:r w:rsidRPr="0027505B">
              <w:rPr>
                <w:rFonts w:hint="eastAsia"/>
                <w:sz w:val="18"/>
                <w:szCs w:val="18"/>
              </w:rPr>
              <w:t>转销或核销</w:t>
            </w:r>
          </w:p>
        </w:tc>
        <w:tc>
          <w:tcPr>
            <w:tcW w:w="1350" w:type="dxa"/>
            <w:shd w:val="clear" w:color="auto" w:fill="D9D9D9" w:themeFill="background1" w:themeFillShade="D9"/>
            <w:vAlign w:val="center"/>
          </w:tcPr>
          <w:p w:rsidR="00B759D4" w:rsidRPr="0027505B" w:rsidRDefault="00B759D4" w:rsidP="00E456AF">
            <w:pPr>
              <w:widowControl/>
              <w:jc w:val="center"/>
              <w:rPr>
                <w:sz w:val="18"/>
                <w:szCs w:val="18"/>
              </w:rPr>
            </w:pPr>
            <w:r w:rsidRPr="0027505B">
              <w:rPr>
                <w:rFonts w:hint="eastAsia"/>
                <w:sz w:val="18"/>
                <w:szCs w:val="18"/>
              </w:rPr>
              <w:t>其他变动</w:t>
            </w:r>
          </w:p>
        </w:tc>
        <w:tc>
          <w:tcPr>
            <w:tcW w:w="1350" w:type="dxa"/>
            <w:vMerge/>
            <w:shd w:val="clear" w:color="auto" w:fill="D9D9D9" w:themeFill="background1" w:themeFillShade="D9"/>
            <w:vAlign w:val="center"/>
          </w:tcPr>
          <w:p w:rsidR="00B759D4" w:rsidRPr="0027505B" w:rsidRDefault="00B759D4" w:rsidP="00E456AF">
            <w:pPr>
              <w:jc w:val="right"/>
              <w:rPr>
                <w:sz w:val="18"/>
                <w:szCs w:val="18"/>
              </w:rPr>
            </w:pPr>
          </w:p>
        </w:tc>
      </w:tr>
      <w:tr w:rsidR="00B759D4" w:rsidRPr="00BF7F64" w:rsidTr="0027505B">
        <w:trPr>
          <w:trHeight w:val="20"/>
        </w:trPr>
        <w:tc>
          <w:tcPr>
            <w:tcW w:w="1350" w:type="dxa"/>
            <w:vAlign w:val="center"/>
          </w:tcPr>
          <w:p w:rsidR="00B759D4" w:rsidRPr="0027505B" w:rsidRDefault="00B759D4" w:rsidP="00E456AF">
            <w:pPr>
              <w:widowControl/>
              <w:jc w:val="left"/>
              <w:rPr>
                <w:sz w:val="18"/>
                <w:szCs w:val="18"/>
              </w:rPr>
            </w:pPr>
            <w:r w:rsidRPr="0027505B">
              <w:rPr>
                <w:rFonts w:hint="eastAsia"/>
                <w:sz w:val="18"/>
                <w:szCs w:val="18"/>
              </w:rPr>
              <w:t>其他应收款</w:t>
            </w:r>
          </w:p>
        </w:tc>
        <w:tc>
          <w:tcPr>
            <w:tcW w:w="1349" w:type="dxa"/>
            <w:vAlign w:val="center"/>
          </w:tcPr>
          <w:p w:rsidR="00B759D4" w:rsidRPr="00BF7F64" w:rsidRDefault="00B759D4" w:rsidP="00E456AF">
            <w:pPr>
              <w:widowControl/>
              <w:spacing w:line="230" w:lineRule="auto"/>
              <w:jc w:val="right"/>
              <w:rPr>
                <w:sz w:val="18"/>
                <w:szCs w:val="18"/>
              </w:rPr>
            </w:pPr>
            <w:r w:rsidRPr="00BF7F64">
              <w:rPr>
                <w:sz w:val="18"/>
                <w:szCs w:val="18"/>
              </w:rPr>
              <w:t>157,674.68</w:t>
            </w:r>
          </w:p>
        </w:tc>
        <w:tc>
          <w:tcPr>
            <w:tcW w:w="1349" w:type="dxa"/>
            <w:vAlign w:val="center"/>
          </w:tcPr>
          <w:p w:rsidR="00B759D4" w:rsidRPr="00BF7F64" w:rsidRDefault="00B759D4" w:rsidP="00E456AF">
            <w:pPr>
              <w:jc w:val="right"/>
              <w:rPr>
                <w:sz w:val="18"/>
                <w:szCs w:val="18"/>
              </w:rPr>
            </w:pPr>
            <w:r w:rsidRPr="00BF7F64">
              <w:rPr>
                <w:sz w:val="18"/>
                <w:szCs w:val="18"/>
              </w:rPr>
              <w:t>234,212.30</w:t>
            </w:r>
          </w:p>
        </w:tc>
        <w:tc>
          <w:tcPr>
            <w:tcW w:w="1350" w:type="dxa"/>
            <w:vAlign w:val="center"/>
          </w:tcPr>
          <w:p w:rsidR="00B759D4" w:rsidRPr="00BF7F64" w:rsidRDefault="00B759D4" w:rsidP="00E456AF">
            <w:pPr>
              <w:jc w:val="right"/>
              <w:rPr>
                <w:sz w:val="18"/>
                <w:szCs w:val="18"/>
              </w:rPr>
            </w:pPr>
            <w:r w:rsidRPr="00BF7F64">
              <w:rPr>
                <w:sz w:val="18"/>
                <w:szCs w:val="18"/>
              </w:rPr>
              <w:t>-    </w:t>
            </w:r>
          </w:p>
        </w:tc>
        <w:tc>
          <w:tcPr>
            <w:tcW w:w="1350" w:type="dxa"/>
            <w:vAlign w:val="center"/>
          </w:tcPr>
          <w:p w:rsidR="00B759D4" w:rsidRPr="00BF7F64" w:rsidRDefault="00B759D4" w:rsidP="00E456AF">
            <w:pPr>
              <w:jc w:val="right"/>
              <w:rPr>
                <w:sz w:val="18"/>
                <w:szCs w:val="18"/>
              </w:rPr>
            </w:pPr>
            <w:r w:rsidRPr="00BF7F64">
              <w:rPr>
                <w:sz w:val="18"/>
                <w:szCs w:val="18"/>
              </w:rPr>
              <w:t>-    </w:t>
            </w:r>
          </w:p>
        </w:tc>
        <w:tc>
          <w:tcPr>
            <w:tcW w:w="1350" w:type="dxa"/>
            <w:vAlign w:val="center"/>
          </w:tcPr>
          <w:p w:rsidR="00B759D4" w:rsidRPr="00BF7F64" w:rsidRDefault="00B759D4" w:rsidP="00E456AF">
            <w:pPr>
              <w:jc w:val="right"/>
              <w:rPr>
                <w:sz w:val="18"/>
                <w:szCs w:val="18"/>
              </w:rPr>
            </w:pPr>
            <w:r w:rsidRPr="00BF7F64">
              <w:rPr>
                <w:sz w:val="18"/>
                <w:szCs w:val="18"/>
              </w:rPr>
              <w:t>-    </w:t>
            </w:r>
          </w:p>
        </w:tc>
        <w:tc>
          <w:tcPr>
            <w:tcW w:w="1350" w:type="dxa"/>
            <w:vAlign w:val="center"/>
          </w:tcPr>
          <w:p w:rsidR="00B759D4" w:rsidRPr="00BF7F64" w:rsidRDefault="00B759D4" w:rsidP="00E456AF">
            <w:pPr>
              <w:jc w:val="right"/>
              <w:rPr>
                <w:sz w:val="18"/>
                <w:szCs w:val="18"/>
              </w:rPr>
            </w:pPr>
            <w:r w:rsidRPr="00BF7F64">
              <w:rPr>
                <w:sz w:val="18"/>
                <w:szCs w:val="18"/>
              </w:rPr>
              <w:t>391,886.98</w:t>
            </w:r>
          </w:p>
        </w:tc>
      </w:tr>
      <w:tr w:rsidR="00B759D4" w:rsidRPr="00BF7F64" w:rsidTr="0027505B">
        <w:trPr>
          <w:trHeight w:val="20"/>
        </w:trPr>
        <w:tc>
          <w:tcPr>
            <w:tcW w:w="1350" w:type="dxa"/>
            <w:shd w:val="clear" w:color="auto" w:fill="D9D9D9" w:themeFill="background1" w:themeFillShade="D9"/>
            <w:vAlign w:val="center"/>
          </w:tcPr>
          <w:p w:rsidR="00B759D4" w:rsidRPr="0027505B" w:rsidRDefault="00B759D4" w:rsidP="00E456AF">
            <w:pPr>
              <w:widowControl/>
              <w:jc w:val="left"/>
              <w:rPr>
                <w:sz w:val="18"/>
                <w:szCs w:val="18"/>
              </w:rPr>
            </w:pPr>
            <w:r w:rsidRPr="0027505B">
              <w:rPr>
                <w:rFonts w:hint="eastAsia"/>
                <w:sz w:val="18"/>
                <w:szCs w:val="18"/>
              </w:rPr>
              <w:t>合计</w:t>
            </w:r>
          </w:p>
        </w:tc>
        <w:tc>
          <w:tcPr>
            <w:tcW w:w="1349" w:type="dxa"/>
            <w:vAlign w:val="center"/>
          </w:tcPr>
          <w:p w:rsidR="00B759D4" w:rsidRPr="00BF7F64" w:rsidRDefault="00B759D4" w:rsidP="00E456AF">
            <w:pPr>
              <w:widowControl/>
              <w:spacing w:line="230" w:lineRule="auto"/>
              <w:jc w:val="right"/>
              <w:rPr>
                <w:sz w:val="18"/>
                <w:szCs w:val="18"/>
              </w:rPr>
            </w:pPr>
            <w:r w:rsidRPr="00BF7F64">
              <w:rPr>
                <w:sz w:val="18"/>
                <w:szCs w:val="18"/>
              </w:rPr>
              <w:t>157,674.68</w:t>
            </w:r>
          </w:p>
        </w:tc>
        <w:tc>
          <w:tcPr>
            <w:tcW w:w="1349" w:type="dxa"/>
            <w:vAlign w:val="center"/>
          </w:tcPr>
          <w:p w:rsidR="00B759D4" w:rsidRPr="00BF7F64" w:rsidRDefault="00B759D4" w:rsidP="00E456AF">
            <w:pPr>
              <w:widowControl/>
              <w:spacing w:line="230" w:lineRule="auto"/>
              <w:jc w:val="right"/>
              <w:rPr>
                <w:sz w:val="18"/>
                <w:szCs w:val="18"/>
              </w:rPr>
            </w:pPr>
            <w:r w:rsidRPr="00BF7F64">
              <w:rPr>
                <w:sz w:val="18"/>
                <w:szCs w:val="18"/>
              </w:rPr>
              <w:t>234,212.30</w:t>
            </w:r>
          </w:p>
        </w:tc>
        <w:tc>
          <w:tcPr>
            <w:tcW w:w="1350" w:type="dxa"/>
            <w:vAlign w:val="center"/>
          </w:tcPr>
          <w:p w:rsidR="00B759D4" w:rsidRPr="00BF7F64" w:rsidRDefault="00B759D4" w:rsidP="00E456AF">
            <w:pPr>
              <w:widowControl/>
              <w:spacing w:line="230" w:lineRule="auto"/>
              <w:jc w:val="right"/>
              <w:rPr>
                <w:sz w:val="18"/>
                <w:szCs w:val="18"/>
              </w:rPr>
            </w:pPr>
            <w:r w:rsidRPr="00BF7F64">
              <w:rPr>
                <w:sz w:val="18"/>
                <w:szCs w:val="18"/>
              </w:rPr>
              <w:t>-    </w:t>
            </w:r>
          </w:p>
        </w:tc>
        <w:tc>
          <w:tcPr>
            <w:tcW w:w="1350" w:type="dxa"/>
            <w:vAlign w:val="center"/>
          </w:tcPr>
          <w:p w:rsidR="00B759D4" w:rsidRPr="00BF7F64" w:rsidRDefault="00B759D4" w:rsidP="00E456AF">
            <w:pPr>
              <w:widowControl/>
              <w:spacing w:line="230" w:lineRule="auto"/>
              <w:jc w:val="right"/>
              <w:rPr>
                <w:sz w:val="18"/>
                <w:szCs w:val="18"/>
              </w:rPr>
            </w:pPr>
            <w:r w:rsidRPr="00BF7F64">
              <w:rPr>
                <w:sz w:val="18"/>
                <w:szCs w:val="18"/>
              </w:rPr>
              <w:t>-    </w:t>
            </w:r>
          </w:p>
        </w:tc>
        <w:tc>
          <w:tcPr>
            <w:tcW w:w="1350" w:type="dxa"/>
            <w:vAlign w:val="center"/>
          </w:tcPr>
          <w:p w:rsidR="00B759D4" w:rsidRPr="00BF7F64" w:rsidRDefault="00B759D4" w:rsidP="00E456AF">
            <w:pPr>
              <w:widowControl/>
              <w:spacing w:line="230" w:lineRule="auto"/>
              <w:jc w:val="right"/>
              <w:rPr>
                <w:sz w:val="18"/>
                <w:szCs w:val="18"/>
              </w:rPr>
            </w:pPr>
            <w:r w:rsidRPr="00BF7F64">
              <w:rPr>
                <w:sz w:val="18"/>
                <w:szCs w:val="18"/>
              </w:rPr>
              <w:t>-    </w:t>
            </w:r>
          </w:p>
        </w:tc>
        <w:tc>
          <w:tcPr>
            <w:tcW w:w="1350" w:type="dxa"/>
            <w:vAlign w:val="center"/>
          </w:tcPr>
          <w:p w:rsidR="00B759D4" w:rsidRPr="00BF7F64" w:rsidRDefault="00B759D4" w:rsidP="00E456AF">
            <w:pPr>
              <w:widowControl/>
              <w:spacing w:line="230" w:lineRule="auto"/>
              <w:jc w:val="right"/>
              <w:rPr>
                <w:sz w:val="18"/>
                <w:szCs w:val="18"/>
              </w:rPr>
            </w:pPr>
            <w:r w:rsidRPr="00BF7F64">
              <w:rPr>
                <w:sz w:val="18"/>
                <w:szCs w:val="18"/>
              </w:rPr>
              <w:t>391,886.98</w:t>
            </w:r>
          </w:p>
        </w:tc>
      </w:tr>
    </w:tbl>
    <w:p w:rsidR="00107E00" w:rsidRPr="00033FF7" w:rsidRDefault="00107E00" w:rsidP="00F66363">
      <w:pPr>
        <w:spacing w:line="235" w:lineRule="auto"/>
        <w:ind w:left="720"/>
        <w:jc w:val="both"/>
        <w:rPr>
          <w:rFonts w:eastAsia="宋体" w:cs="Times New Roman"/>
          <w:szCs w:val="21"/>
        </w:rPr>
      </w:pPr>
    </w:p>
    <w:p w:rsidR="00FF34EF" w:rsidRPr="00F66363" w:rsidRDefault="005F14EE">
      <w:pPr>
        <w:spacing w:line="235" w:lineRule="auto"/>
        <w:ind w:left="720"/>
        <w:jc w:val="both"/>
        <w:rPr>
          <w:rFonts w:eastAsia="宋体" w:cs="Times New Roman"/>
          <w:szCs w:val="21"/>
        </w:rPr>
      </w:pPr>
      <w:r>
        <w:rPr>
          <w:rFonts w:eastAsia="宋体" w:cs="Times New Roman"/>
          <w:szCs w:val="21"/>
        </w:rPr>
        <w:t>(</w:t>
      </w:r>
      <w:r w:rsidR="00B759D4">
        <w:rPr>
          <w:rFonts w:eastAsia="宋体" w:cs="Times New Roman"/>
          <w:szCs w:val="21"/>
        </w:rPr>
        <w:t>5</w:t>
      </w:r>
      <w:r>
        <w:rPr>
          <w:rFonts w:eastAsia="宋体" w:cs="Times New Roman"/>
          <w:szCs w:val="21"/>
        </w:rPr>
        <w:t>)</w:t>
      </w:r>
      <w:r w:rsidR="00FF34EF" w:rsidRPr="00A71D2E">
        <w:rPr>
          <w:rFonts w:eastAsia="宋体" w:cs="Times New Roman"/>
          <w:szCs w:val="21"/>
        </w:rPr>
        <w:tab/>
      </w:r>
      <w:r w:rsidR="00FF34EF" w:rsidRPr="00A71D2E">
        <w:rPr>
          <w:rFonts w:eastAsia="宋体" w:cs="Times New Roman" w:hint="eastAsia"/>
          <w:szCs w:val="21"/>
        </w:rPr>
        <w:t>按欠款方归集的年末余额前五名的其他应收款情况</w:t>
      </w:r>
    </w:p>
    <w:p w:rsidR="00FE4072" w:rsidRPr="00B759D4" w:rsidRDefault="00FE4072" w:rsidP="00FE4072">
      <w:pPr>
        <w:pStyle w:val="aff1"/>
        <w:spacing w:line="235" w:lineRule="auto"/>
        <w:ind w:left="1177" w:firstLineChars="0" w:firstLine="0"/>
        <w:jc w:val="right"/>
        <w:rPr>
          <w:szCs w:val="18"/>
        </w:rPr>
      </w:pPr>
      <w:r w:rsidRPr="00B759D4">
        <w:rPr>
          <w:rFonts w:hint="eastAsia"/>
          <w:szCs w:val="21"/>
        </w:rPr>
        <w:t>单</w:t>
      </w:r>
      <w:r w:rsidRPr="00B759D4">
        <w:rPr>
          <w:rFonts w:hint="eastAsia"/>
          <w:szCs w:val="18"/>
        </w:rPr>
        <w:t>位</w:t>
      </w:r>
      <w:r w:rsidR="005F14EE">
        <w:rPr>
          <w:rFonts w:hint="eastAsia"/>
          <w:szCs w:val="18"/>
        </w:rPr>
        <w:t>：</w:t>
      </w:r>
      <w:r w:rsidRPr="00B759D4">
        <w:rPr>
          <w:rFonts w:hint="eastAsia"/>
          <w:szCs w:val="18"/>
        </w:rPr>
        <w:t>人民币元</w:t>
      </w:r>
    </w:p>
    <w:tbl>
      <w:tblPr>
        <w:tblW w:w="9450" w:type="dxa"/>
        <w:tblInd w:w="715" w:type="dxa"/>
        <w:tblLayout w:type="fixed"/>
        <w:tblLook w:val="04A0" w:firstRow="1" w:lastRow="0" w:firstColumn="1" w:lastColumn="0" w:noHBand="0" w:noVBand="1"/>
      </w:tblPr>
      <w:tblGrid>
        <w:gridCol w:w="1890"/>
        <w:gridCol w:w="1530"/>
        <w:gridCol w:w="1530"/>
        <w:gridCol w:w="1530"/>
        <w:gridCol w:w="1530"/>
        <w:gridCol w:w="1440"/>
      </w:tblGrid>
      <w:tr w:rsidR="00075152" w:rsidRPr="00BF7F64" w:rsidTr="0027505B">
        <w:trPr>
          <w:trHeight w:val="20"/>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420656" w:rsidRPr="0027505B" w:rsidRDefault="00420656" w:rsidP="00E456AF">
            <w:pPr>
              <w:jc w:val="center"/>
              <w:rPr>
                <w:rFonts w:eastAsia="宋体" w:cs="Times New Roman"/>
                <w:sz w:val="18"/>
                <w:szCs w:val="18"/>
              </w:rPr>
            </w:pPr>
            <w:r w:rsidRPr="0027505B">
              <w:rPr>
                <w:rFonts w:eastAsia="宋体" w:cs="Times New Roman" w:hint="eastAsia"/>
                <w:sz w:val="18"/>
                <w:szCs w:val="18"/>
              </w:rPr>
              <w:t>单位名称</w:t>
            </w:r>
          </w:p>
        </w:tc>
        <w:tc>
          <w:tcPr>
            <w:tcW w:w="1530" w:type="dxa"/>
            <w:tcBorders>
              <w:top w:val="single" w:sz="4" w:space="0" w:color="auto"/>
              <w:left w:val="nil"/>
              <w:bottom w:val="single" w:sz="4" w:space="0" w:color="auto"/>
              <w:right w:val="single" w:sz="4" w:space="0" w:color="auto"/>
            </w:tcBorders>
            <w:shd w:val="clear" w:color="auto" w:fill="D9D9D9" w:themeFill="background2" w:themeFillShade="D9"/>
            <w:noWrap/>
            <w:vAlign w:val="center"/>
            <w:hideMark/>
          </w:tcPr>
          <w:p w:rsidR="00420656" w:rsidRPr="0027505B" w:rsidRDefault="00420656" w:rsidP="00E456AF">
            <w:pPr>
              <w:jc w:val="center"/>
              <w:rPr>
                <w:rFonts w:eastAsia="宋体" w:cs="Times New Roman"/>
                <w:sz w:val="18"/>
                <w:szCs w:val="18"/>
              </w:rPr>
            </w:pPr>
            <w:r w:rsidRPr="0027505B">
              <w:rPr>
                <w:rFonts w:eastAsia="宋体" w:cs="Times New Roman" w:hint="eastAsia"/>
                <w:sz w:val="18"/>
                <w:szCs w:val="18"/>
              </w:rPr>
              <w:t>年末余额</w:t>
            </w:r>
          </w:p>
        </w:tc>
        <w:tc>
          <w:tcPr>
            <w:tcW w:w="1530" w:type="dxa"/>
            <w:tcBorders>
              <w:top w:val="single" w:sz="4" w:space="0" w:color="auto"/>
              <w:left w:val="nil"/>
              <w:bottom w:val="single" w:sz="4" w:space="0" w:color="auto"/>
              <w:right w:val="single" w:sz="4" w:space="0" w:color="auto"/>
            </w:tcBorders>
            <w:shd w:val="clear" w:color="auto" w:fill="D9D9D9" w:themeFill="background2" w:themeFillShade="D9"/>
            <w:vAlign w:val="center"/>
          </w:tcPr>
          <w:p w:rsidR="00420656" w:rsidRPr="0027505B" w:rsidRDefault="00420656" w:rsidP="00E456AF">
            <w:pPr>
              <w:jc w:val="center"/>
              <w:rPr>
                <w:sz w:val="18"/>
                <w:szCs w:val="18"/>
              </w:rPr>
            </w:pPr>
            <w:r w:rsidRPr="0027505B">
              <w:rPr>
                <w:rFonts w:eastAsia="宋体" w:cs="Times New Roman" w:hint="eastAsia"/>
                <w:sz w:val="18"/>
                <w:szCs w:val="18"/>
              </w:rPr>
              <w:t>占其他应收款</w:t>
            </w:r>
          </w:p>
          <w:p w:rsidR="00420656" w:rsidRPr="0027505B" w:rsidRDefault="00420656" w:rsidP="00E456AF">
            <w:pPr>
              <w:jc w:val="center"/>
              <w:rPr>
                <w:sz w:val="18"/>
                <w:szCs w:val="18"/>
              </w:rPr>
            </w:pPr>
            <w:r w:rsidRPr="0027505B">
              <w:rPr>
                <w:rFonts w:eastAsia="宋体" w:cs="Times New Roman" w:hint="eastAsia"/>
                <w:sz w:val="18"/>
                <w:szCs w:val="18"/>
              </w:rPr>
              <w:t>年末余额合计</w:t>
            </w:r>
          </w:p>
          <w:p w:rsidR="00420656" w:rsidRPr="0027505B" w:rsidRDefault="00420656" w:rsidP="00E456AF">
            <w:pPr>
              <w:widowControl w:val="0"/>
              <w:jc w:val="center"/>
              <w:rPr>
                <w:rFonts w:eastAsia="宋体" w:cs="Times New Roman"/>
                <w:sz w:val="18"/>
                <w:szCs w:val="18"/>
              </w:rPr>
            </w:pPr>
            <w:r w:rsidRPr="0027505B">
              <w:rPr>
                <w:rFonts w:eastAsia="宋体" w:cs="Times New Roman" w:hint="eastAsia"/>
                <w:sz w:val="18"/>
                <w:szCs w:val="18"/>
              </w:rPr>
              <w:t>数的比例</w:t>
            </w:r>
            <w:r w:rsidR="005F14EE" w:rsidRPr="0027505B">
              <w:rPr>
                <w:rFonts w:eastAsia="宋体" w:cs="Times New Roman"/>
                <w:sz w:val="18"/>
                <w:szCs w:val="18"/>
              </w:rPr>
              <w:t>(</w:t>
            </w:r>
            <w:r w:rsidRPr="0027505B">
              <w:rPr>
                <w:rFonts w:eastAsia="宋体" w:cs="Times New Roman"/>
                <w:sz w:val="18"/>
                <w:szCs w:val="18"/>
              </w:rPr>
              <w:t>%</w:t>
            </w:r>
            <w:r w:rsidR="005F14EE" w:rsidRPr="0027505B">
              <w:rPr>
                <w:rFonts w:eastAsia="宋体" w:cs="Times New Roman"/>
                <w:sz w:val="18"/>
                <w:szCs w:val="18"/>
              </w:rPr>
              <w: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2" w:themeFillShade="D9"/>
            <w:vAlign w:val="center"/>
          </w:tcPr>
          <w:p w:rsidR="00420656" w:rsidRPr="0027505B" w:rsidRDefault="00420656" w:rsidP="00E456AF">
            <w:pPr>
              <w:widowControl w:val="0"/>
              <w:jc w:val="center"/>
              <w:rPr>
                <w:rFonts w:eastAsia="宋体" w:cs="Times New Roman"/>
                <w:sz w:val="18"/>
                <w:szCs w:val="18"/>
              </w:rPr>
            </w:pPr>
            <w:r w:rsidRPr="0027505B">
              <w:rPr>
                <w:rFonts w:eastAsia="宋体" w:cs="Times New Roman" w:hint="eastAsia"/>
                <w:sz w:val="18"/>
                <w:szCs w:val="18"/>
              </w:rPr>
              <w:t>款项的性质</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2" w:themeFillShade="D9"/>
            <w:noWrap/>
            <w:vAlign w:val="center"/>
            <w:hideMark/>
          </w:tcPr>
          <w:p w:rsidR="00420656" w:rsidRPr="0027505B" w:rsidRDefault="00420656" w:rsidP="00E456AF">
            <w:pPr>
              <w:widowControl w:val="0"/>
              <w:jc w:val="center"/>
              <w:rPr>
                <w:rFonts w:eastAsia="宋体" w:cs="Times New Roman"/>
                <w:sz w:val="18"/>
                <w:szCs w:val="18"/>
              </w:rPr>
            </w:pPr>
            <w:r w:rsidRPr="0027505B">
              <w:rPr>
                <w:rFonts w:eastAsia="宋体" w:cs="Times New Roman" w:hint="eastAsia"/>
                <w:sz w:val="18"/>
                <w:szCs w:val="18"/>
              </w:rPr>
              <w:t>账龄</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420656" w:rsidRPr="0027505B" w:rsidRDefault="006210D9" w:rsidP="00075152">
            <w:pPr>
              <w:widowControl w:val="0"/>
              <w:jc w:val="center"/>
              <w:rPr>
                <w:rFonts w:eastAsia="宋体" w:cs="Times New Roman"/>
                <w:sz w:val="18"/>
                <w:szCs w:val="18"/>
              </w:rPr>
            </w:pPr>
            <w:r w:rsidRPr="0027505B">
              <w:rPr>
                <w:rFonts w:eastAsia="宋体" w:cs="Times New Roman" w:hint="eastAsia"/>
                <w:sz w:val="18"/>
                <w:szCs w:val="18"/>
              </w:rPr>
              <w:t>信用</w:t>
            </w:r>
            <w:r w:rsidR="0000214F" w:rsidRPr="0027505B">
              <w:rPr>
                <w:rFonts w:eastAsia="宋体" w:cs="Times New Roman" w:hint="eastAsia"/>
                <w:sz w:val="18"/>
                <w:szCs w:val="18"/>
              </w:rPr>
              <w:t>损失</w:t>
            </w:r>
            <w:r w:rsidRPr="0027505B">
              <w:rPr>
                <w:rFonts w:eastAsia="宋体" w:cs="Times New Roman" w:hint="eastAsia"/>
                <w:sz w:val="18"/>
                <w:szCs w:val="18"/>
              </w:rPr>
              <w:t>准备</w:t>
            </w:r>
          </w:p>
          <w:p w:rsidR="00420656" w:rsidRPr="0027505B" w:rsidRDefault="00420656" w:rsidP="00075152">
            <w:pPr>
              <w:widowControl w:val="0"/>
              <w:jc w:val="center"/>
              <w:rPr>
                <w:rFonts w:eastAsia="宋体" w:cs="Times New Roman"/>
                <w:sz w:val="18"/>
                <w:szCs w:val="18"/>
              </w:rPr>
            </w:pPr>
            <w:r w:rsidRPr="0027505B">
              <w:rPr>
                <w:rFonts w:eastAsia="宋体" w:cs="Times New Roman" w:hint="eastAsia"/>
                <w:sz w:val="18"/>
                <w:szCs w:val="18"/>
              </w:rPr>
              <w:t>年末余额</w:t>
            </w:r>
          </w:p>
        </w:tc>
      </w:tr>
      <w:tr w:rsidR="00420656" w:rsidRPr="00BF7F64" w:rsidTr="0027505B">
        <w:trPr>
          <w:trHeight w:val="2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27505B" w:rsidRDefault="00420656" w:rsidP="00E456AF">
            <w:pPr>
              <w:rPr>
                <w:rFonts w:eastAsia="宋体" w:cs="Times New Roman"/>
                <w:sz w:val="18"/>
                <w:szCs w:val="18"/>
              </w:rPr>
            </w:pPr>
            <w:r w:rsidRPr="0027505B">
              <w:rPr>
                <w:rFonts w:eastAsia="宋体" w:cs="Times New Roman" w:hint="eastAsia"/>
                <w:sz w:val="18"/>
                <w:szCs w:val="18"/>
              </w:rPr>
              <w:t>本公司下属子公司</w:t>
            </w: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420656" w:rsidRPr="00BF7F64" w:rsidRDefault="00420656" w:rsidP="00E456AF">
            <w:pPr>
              <w:spacing w:line="230" w:lineRule="auto"/>
              <w:jc w:val="right"/>
              <w:rPr>
                <w:rFonts w:eastAsia="宋体" w:cs="Times New Roman"/>
                <w:sz w:val="18"/>
                <w:szCs w:val="18"/>
              </w:rPr>
            </w:pPr>
            <w:r w:rsidRPr="00BF7F64">
              <w:rPr>
                <w:rFonts w:eastAsia="宋体" w:cs="Times New Roman"/>
                <w:sz w:val="18"/>
                <w:szCs w:val="18"/>
              </w:rPr>
              <w:t>1,807,213,392.27</w:t>
            </w:r>
          </w:p>
        </w:tc>
        <w:tc>
          <w:tcPr>
            <w:tcW w:w="1530" w:type="dxa"/>
            <w:tcBorders>
              <w:top w:val="single" w:sz="4" w:space="0" w:color="auto"/>
              <w:left w:val="nil"/>
              <w:bottom w:val="single" w:sz="4" w:space="0" w:color="auto"/>
              <w:right w:val="single" w:sz="4" w:space="0" w:color="auto"/>
            </w:tcBorders>
            <w:vAlign w:val="center"/>
          </w:tcPr>
          <w:p w:rsidR="00420656" w:rsidRPr="00BF7F64" w:rsidRDefault="007A22C9" w:rsidP="0027505B">
            <w:pPr>
              <w:ind w:leftChars="86" w:left="181"/>
              <w:jc w:val="right"/>
              <w:rPr>
                <w:rFonts w:eastAsia="宋体" w:cs="Times New Roman"/>
                <w:sz w:val="18"/>
                <w:szCs w:val="18"/>
              </w:rPr>
            </w:pPr>
            <w:r w:rsidRPr="00BF7F64">
              <w:rPr>
                <w:rFonts w:eastAsia="宋体" w:cs="Times New Roman"/>
                <w:sz w:val="18"/>
                <w:szCs w:val="18"/>
              </w:rPr>
              <w:t>98.76</w:t>
            </w:r>
          </w:p>
        </w:tc>
        <w:tc>
          <w:tcPr>
            <w:tcW w:w="1530" w:type="dxa"/>
            <w:tcBorders>
              <w:top w:val="single" w:sz="4" w:space="0" w:color="auto"/>
              <w:left w:val="single" w:sz="4" w:space="0" w:color="auto"/>
              <w:bottom w:val="single" w:sz="4" w:space="0" w:color="auto"/>
              <w:right w:val="single" w:sz="4" w:space="0" w:color="auto"/>
            </w:tcBorders>
            <w:vAlign w:val="center"/>
          </w:tcPr>
          <w:p w:rsidR="00420656" w:rsidRPr="0027505B" w:rsidRDefault="007A22C9" w:rsidP="00E456AF">
            <w:pPr>
              <w:widowControl w:val="0"/>
              <w:jc w:val="center"/>
              <w:rPr>
                <w:rFonts w:eastAsia="宋体" w:cs="Times New Roman"/>
                <w:sz w:val="18"/>
                <w:szCs w:val="18"/>
              </w:rPr>
            </w:pPr>
            <w:r w:rsidRPr="0027505B">
              <w:rPr>
                <w:rFonts w:eastAsia="宋体" w:cs="Times New Roman" w:hint="eastAsia"/>
                <w:sz w:val="18"/>
                <w:szCs w:val="18"/>
              </w:rPr>
              <w:t>关联方往来款</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0656" w:rsidRPr="0027505B" w:rsidRDefault="00420656" w:rsidP="00E456AF">
            <w:pPr>
              <w:widowControl w:val="0"/>
              <w:jc w:val="center"/>
              <w:rPr>
                <w:rFonts w:eastAsia="宋体" w:cs="Times New Roman"/>
                <w:sz w:val="18"/>
                <w:szCs w:val="18"/>
              </w:rPr>
            </w:pPr>
            <w:r w:rsidRPr="0027505B">
              <w:rPr>
                <w:rFonts w:eastAsia="宋体" w:cs="Times New Roman"/>
                <w:sz w:val="18"/>
                <w:szCs w:val="18"/>
              </w:rPr>
              <w:t>1</w:t>
            </w:r>
            <w:r w:rsidRPr="0027505B">
              <w:rPr>
                <w:rFonts w:eastAsia="宋体" w:cs="Times New Roman" w:hint="eastAsia"/>
                <w:sz w:val="18"/>
                <w:szCs w:val="18"/>
              </w:rPr>
              <w:t>年以内</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420656" w:rsidRPr="00BF7F64" w:rsidRDefault="007A22C9" w:rsidP="00075152">
            <w:pPr>
              <w:spacing w:line="235" w:lineRule="auto"/>
              <w:ind w:left="-53" w:right="60"/>
              <w:jc w:val="right"/>
              <w:rPr>
                <w:rFonts w:eastAsia="宋体" w:cs="Times New Roman"/>
                <w:color w:val="000000"/>
                <w:sz w:val="18"/>
                <w:szCs w:val="18"/>
              </w:rPr>
            </w:pPr>
            <w:r w:rsidRPr="00BF7F64">
              <w:rPr>
                <w:rFonts w:eastAsia="宋体" w:cs="Times New Roman"/>
                <w:color w:val="000000"/>
                <w:sz w:val="18"/>
                <w:szCs w:val="18"/>
              </w:rPr>
              <w:t xml:space="preserve">-     </w:t>
            </w:r>
          </w:p>
        </w:tc>
      </w:tr>
      <w:tr w:rsidR="00BF7F64" w:rsidRPr="00BF7F64" w:rsidTr="0027505B">
        <w:trPr>
          <w:trHeight w:val="2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F64" w:rsidRPr="0027505B" w:rsidRDefault="00BF7F64" w:rsidP="00BF7F64">
            <w:pPr>
              <w:rPr>
                <w:rFonts w:eastAsia="宋体" w:cs="Times New Roman"/>
                <w:sz w:val="18"/>
                <w:szCs w:val="18"/>
              </w:rPr>
            </w:pPr>
            <w:r w:rsidRPr="0027505B">
              <w:rPr>
                <w:rFonts w:eastAsia="宋体" w:cs="Times New Roman" w:hint="eastAsia"/>
                <w:sz w:val="18"/>
                <w:szCs w:val="18"/>
              </w:rPr>
              <w:t>第三方</w:t>
            </w:r>
            <w:r w:rsidRPr="0027505B">
              <w:rPr>
                <w:rFonts w:eastAsia="宋体" w:cs="Times New Roman"/>
                <w:sz w:val="18"/>
                <w:szCs w:val="18"/>
              </w:rPr>
              <w:t>E</w:t>
            </w: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BF7F64" w:rsidRPr="00BF7F64" w:rsidRDefault="00BF7F64" w:rsidP="00BF7F64">
            <w:pPr>
              <w:spacing w:line="230" w:lineRule="auto"/>
              <w:jc w:val="right"/>
              <w:rPr>
                <w:rFonts w:eastAsia="宋体" w:cs="Times New Roman"/>
                <w:sz w:val="18"/>
                <w:szCs w:val="18"/>
              </w:rPr>
            </w:pPr>
            <w:r w:rsidRPr="00BF7F64">
              <w:rPr>
                <w:rFonts w:eastAsia="宋体" w:cs="Times New Roman"/>
                <w:sz w:val="18"/>
                <w:szCs w:val="18"/>
              </w:rPr>
              <w:t>14,677,795.30</w:t>
            </w:r>
          </w:p>
        </w:tc>
        <w:tc>
          <w:tcPr>
            <w:tcW w:w="1530" w:type="dxa"/>
            <w:tcBorders>
              <w:top w:val="single" w:sz="4" w:space="0" w:color="auto"/>
              <w:left w:val="nil"/>
              <w:bottom w:val="single" w:sz="4" w:space="0" w:color="auto"/>
              <w:right w:val="single" w:sz="4" w:space="0" w:color="auto"/>
            </w:tcBorders>
            <w:vAlign w:val="center"/>
          </w:tcPr>
          <w:p w:rsidR="00BF7F64" w:rsidRPr="00BF7F64" w:rsidRDefault="00BF7F64" w:rsidP="0027505B">
            <w:pPr>
              <w:ind w:leftChars="86" w:left="181"/>
              <w:jc w:val="right"/>
              <w:rPr>
                <w:rFonts w:eastAsia="宋体" w:cs="Times New Roman"/>
                <w:sz w:val="18"/>
                <w:szCs w:val="18"/>
              </w:rPr>
            </w:pPr>
            <w:r w:rsidRPr="00BF7F64">
              <w:rPr>
                <w:rFonts w:eastAsia="宋体" w:cs="Times New Roman"/>
                <w:sz w:val="18"/>
                <w:szCs w:val="18"/>
              </w:rPr>
              <w:t>0.80</w:t>
            </w:r>
          </w:p>
        </w:tc>
        <w:tc>
          <w:tcPr>
            <w:tcW w:w="1530" w:type="dxa"/>
            <w:tcBorders>
              <w:top w:val="single" w:sz="4" w:space="0" w:color="auto"/>
              <w:left w:val="single" w:sz="4" w:space="0" w:color="auto"/>
              <w:bottom w:val="single" w:sz="4" w:space="0" w:color="auto"/>
              <w:right w:val="single" w:sz="4" w:space="0" w:color="auto"/>
            </w:tcBorders>
            <w:vAlign w:val="center"/>
          </w:tcPr>
          <w:p w:rsidR="00BF7F64" w:rsidRPr="0027505B" w:rsidRDefault="00BF7F64" w:rsidP="00BF7F64">
            <w:pPr>
              <w:widowControl w:val="0"/>
              <w:jc w:val="center"/>
              <w:rPr>
                <w:rFonts w:eastAsia="宋体" w:cs="Times New Roman"/>
                <w:sz w:val="18"/>
                <w:szCs w:val="18"/>
              </w:rPr>
            </w:pPr>
            <w:r w:rsidRPr="0027505B">
              <w:rPr>
                <w:rFonts w:eastAsia="宋体" w:cs="Times New Roman" w:hint="eastAsia"/>
                <w:sz w:val="18"/>
                <w:szCs w:val="18"/>
              </w:rPr>
              <w:t>出口退税</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7F64" w:rsidRPr="0027505B" w:rsidRDefault="00BF7F64" w:rsidP="00BF7F64">
            <w:pPr>
              <w:widowControl w:val="0"/>
              <w:jc w:val="center"/>
              <w:rPr>
                <w:rFonts w:eastAsia="宋体" w:cs="Times New Roman"/>
                <w:sz w:val="18"/>
                <w:szCs w:val="18"/>
              </w:rPr>
            </w:pPr>
            <w:r w:rsidRPr="0027505B">
              <w:rPr>
                <w:rFonts w:eastAsia="宋体" w:cs="Times New Roman"/>
                <w:sz w:val="18"/>
                <w:szCs w:val="18"/>
              </w:rPr>
              <w:t>1</w:t>
            </w:r>
            <w:r w:rsidRPr="0027505B">
              <w:rPr>
                <w:rFonts w:eastAsia="宋体" w:cs="Times New Roman" w:hint="eastAsia"/>
                <w:sz w:val="18"/>
                <w:szCs w:val="18"/>
              </w:rPr>
              <w:t>年以内</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BF7F64" w:rsidRPr="00BF7F64" w:rsidRDefault="00BF7F64" w:rsidP="0027505B">
            <w:pPr>
              <w:spacing w:line="235" w:lineRule="auto"/>
              <w:ind w:left="-53" w:right="60"/>
              <w:jc w:val="right"/>
              <w:rPr>
                <w:rFonts w:eastAsia="宋体" w:cs="Times New Roman"/>
                <w:color w:val="000000"/>
                <w:sz w:val="18"/>
                <w:szCs w:val="18"/>
              </w:rPr>
            </w:pPr>
            <w:r w:rsidRPr="0085207B">
              <w:rPr>
                <w:rFonts w:eastAsia="宋体" w:cs="Times New Roman"/>
                <w:color w:val="000000"/>
                <w:sz w:val="18"/>
                <w:szCs w:val="18"/>
              </w:rPr>
              <w:t xml:space="preserve">-     </w:t>
            </w:r>
          </w:p>
        </w:tc>
      </w:tr>
      <w:tr w:rsidR="007A22C9" w:rsidRPr="00BF7F64" w:rsidTr="0027505B">
        <w:trPr>
          <w:trHeight w:val="2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22C9" w:rsidRPr="0027505B" w:rsidRDefault="007A22C9" w:rsidP="007A22C9">
            <w:pPr>
              <w:rPr>
                <w:rFonts w:eastAsia="宋体" w:cs="Times New Roman"/>
                <w:sz w:val="18"/>
                <w:szCs w:val="18"/>
              </w:rPr>
            </w:pPr>
            <w:r w:rsidRPr="0027505B">
              <w:rPr>
                <w:rFonts w:eastAsia="宋体" w:cs="Times New Roman" w:hint="eastAsia"/>
                <w:sz w:val="18"/>
                <w:szCs w:val="18"/>
              </w:rPr>
              <w:t>第三方</w:t>
            </w:r>
            <w:r w:rsidR="004421CF" w:rsidRPr="0027505B">
              <w:rPr>
                <w:rFonts w:eastAsia="宋体" w:cs="Times New Roman"/>
                <w:sz w:val="18"/>
                <w:szCs w:val="18"/>
              </w:rPr>
              <w:t>F</w:t>
            </w: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7A22C9" w:rsidRPr="00BF7F64" w:rsidRDefault="007A22C9" w:rsidP="007A22C9">
            <w:pPr>
              <w:spacing w:line="230" w:lineRule="auto"/>
              <w:jc w:val="right"/>
              <w:rPr>
                <w:rFonts w:eastAsia="宋体" w:cs="Times New Roman"/>
                <w:sz w:val="18"/>
                <w:szCs w:val="18"/>
              </w:rPr>
            </w:pPr>
            <w:r w:rsidRPr="00BF7F64">
              <w:rPr>
                <w:rFonts w:eastAsia="宋体" w:cs="Times New Roman"/>
                <w:sz w:val="18"/>
                <w:szCs w:val="18"/>
              </w:rPr>
              <w:t>2,000,000.00</w:t>
            </w:r>
          </w:p>
        </w:tc>
        <w:tc>
          <w:tcPr>
            <w:tcW w:w="1530" w:type="dxa"/>
            <w:tcBorders>
              <w:top w:val="single" w:sz="4" w:space="0" w:color="auto"/>
              <w:left w:val="nil"/>
              <w:bottom w:val="single" w:sz="4" w:space="0" w:color="auto"/>
              <w:right w:val="single" w:sz="4" w:space="0" w:color="auto"/>
            </w:tcBorders>
            <w:vAlign w:val="center"/>
          </w:tcPr>
          <w:p w:rsidR="007A22C9" w:rsidRPr="00BF7F64" w:rsidRDefault="007A22C9" w:rsidP="0027505B">
            <w:pPr>
              <w:ind w:leftChars="86" w:left="181"/>
              <w:jc w:val="right"/>
              <w:rPr>
                <w:rFonts w:eastAsia="宋体" w:cs="Times New Roman"/>
                <w:sz w:val="18"/>
                <w:szCs w:val="18"/>
              </w:rPr>
            </w:pPr>
            <w:r w:rsidRPr="00BF7F64">
              <w:rPr>
                <w:rFonts w:eastAsia="宋体" w:cs="Times New Roman"/>
                <w:sz w:val="18"/>
                <w:szCs w:val="18"/>
              </w:rPr>
              <w:t>0.11</w:t>
            </w:r>
          </w:p>
        </w:tc>
        <w:tc>
          <w:tcPr>
            <w:tcW w:w="1530" w:type="dxa"/>
            <w:tcBorders>
              <w:top w:val="single" w:sz="4" w:space="0" w:color="auto"/>
              <w:left w:val="single" w:sz="4" w:space="0" w:color="auto"/>
              <w:bottom w:val="single" w:sz="4" w:space="0" w:color="auto"/>
              <w:right w:val="single" w:sz="4" w:space="0" w:color="auto"/>
            </w:tcBorders>
            <w:vAlign w:val="center"/>
          </w:tcPr>
          <w:p w:rsidR="007A22C9" w:rsidRPr="0027505B" w:rsidRDefault="007A22C9" w:rsidP="007A22C9">
            <w:pPr>
              <w:widowControl w:val="0"/>
              <w:jc w:val="center"/>
              <w:rPr>
                <w:rFonts w:eastAsia="宋体" w:cs="Times New Roman"/>
                <w:sz w:val="18"/>
                <w:szCs w:val="18"/>
              </w:rPr>
            </w:pPr>
            <w:r w:rsidRPr="0027505B">
              <w:rPr>
                <w:rFonts w:eastAsia="宋体" w:cs="Times New Roman" w:hint="eastAsia"/>
                <w:sz w:val="18"/>
                <w:szCs w:val="18"/>
              </w:rPr>
              <w:t>押金保证金</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22C9" w:rsidRPr="0027505B" w:rsidRDefault="007A22C9" w:rsidP="007A22C9">
            <w:pPr>
              <w:widowControl w:val="0"/>
              <w:jc w:val="center"/>
              <w:rPr>
                <w:rFonts w:eastAsia="宋体" w:cs="Times New Roman"/>
                <w:sz w:val="18"/>
                <w:szCs w:val="18"/>
              </w:rPr>
            </w:pPr>
            <w:r w:rsidRPr="0027505B">
              <w:rPr>
                <w:rFonts w:eastAsia="宋体" w:cs="Times New Roman"/>
                <w:sz w:val="18"/>
                <w:szCs w:val="18"/>
              </w:rPr>
              <w:t>1</w:t>
            </w:r>
            <w:r w:rsidRPr="0027505B">
              <w:rPr>
                <w:rFonts w:eastAsia="宋体" w:cs="Times New Roman" w:hint="eastAsia"/>
                <w:sz w:val="18"/>
                <w:szCs w:val="18"/>
              </w:rPr>
              <w:t>年以内</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A22C9" w:rsidRPr="00BF7F64" w:rsidRDefault="007A22C9" w:rsidP="00075152">
            <w:pPr>
              <w:spacing w:line="235" w:lineRule="auto"/>
              <w:ind w:left="-53" w:right="60"/>
              <w:jc w:val="right"/>
              <w:rPr>
                <w:rFonts w:eastAsia="宋体" w:cs="Times New Roman"/>
                <w:color w:val="000000"/>
                <w:sz w:val="18"/>
                <w:szCs w:val="18"/>
              </w:rPr>
            </w:pPr>
            <w:r w:rsidRPr="00BF7F64">
              <w:rPr>
                <w:rFonts w:eastAsia="宋体" w:cs="Times New Roman"/>
                <w:color w:val="000000"/>
                <w:sz w:val="18"/>
                <w:szCs w:val="18"/>
              </w:rPr>
              <w:t xml:space="preserve"> 3,435.61 </w:t>
            </w:r>
          </w:p>
        </w:tc>
      </w:tr>
      <w:tr w:rsidR="007A22C9" w:rsidRPr="00BF7F64" w:rsidTr="0027505B">
        <w:trPr>
          <w:trHeight w:val="2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22C9" w:rsidRPr="0027505B" w:rsidRDefault="007A22C9" w:rsidP="007A22C9">
            <w:pPr>
              <w:rPr>
                <w:rFonts w:eastAsia="宋体" w:cs="Times New Roman"/>
                <w:sz w:val="18"/>
                <w:szCs w:val="18"/>
              </w:rPr>
            </w:pPr>
            <w:r w:rsidRPr="0027505B">
              <w:rPr>
                <w:rFonts w:eastAsia="宋体" w:cs="Times New Roman" w:hint="eastAsia"/>
                <w:sz w:val="18"/>
                <w:szCs w:val="18"/>
              </w:rPr>
              <w:t>第三方</w:t>
            </w:r>
            <w:r w:rsidR="004421CF" w:rsidRPr="0027505B">
              <w:rPr>
                <w:rFonts w:eastAsia="宋体" w:cs="Times New Roman"/>
                <w:sz w:val="18"/>
                <w:szCs w:val="18"/>
              </w:rPr>
              <w:t>G</w:t>
            </w: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7A22C9" w:rsidRPr="00BF7F64" w:rsidRDefault="007A22C9" w:rsidP="007A22C9">
            <w:pPr>
              <w:spacing w:line="230" w:lineRule="auto"/>
              <w:jc w:val="right"/>
              <w:rPr>
                <w:rFonts w:eastAsia="宋体" w:cs="Times New Roman"/>
                <w:sz w:val="18"/>
                <w:szCs w:val="18"/>
              </w:rPr>
            </w:pPr>
            <w:r w:rsidRPr="00BF7F64">
              <w:rPr>
                <w:rFonts w:eastAsia="宋体" w:cs="Times New Roman"/>
                <w:sz w:val="18"/>
                <w:szCs w:val="18"/>
              </w:rPr>
              <w:t>453,098.74</w:t>
            </w:r>
          </w:p>
        </w:tc>
        <w:tc>
          <w:tcPr>
            <w:tcW w:w="1530" w:type="dxa"/>
            <w:tcBorders>
              <w:top w:val="single" w:sz="4" w:space="0" w:color="auto"/>
              <w:left w:val="nil"/>
              <w:bottom w:val="single" w:sz="4" w:space="0" w:color="auto"/>
              <w:right w:val="single" w:sz="4" w:space="0" w:color="auto"/>
            </w:tcBorders>
            <w:vAlign w:val="center"/>
          </w:tcPr>
          <w:p w:rsidR="007A22C9" w:rsidRPr="00BF7F64" w:rsidRDefault="007A22C9" w:rsidP="0027505B">
            <w:pPr>
              <w:ind w:leftChars="86" w:left="181"/>
              <w:jc w:val="right"/>
              <w:rPr>
                <w:rFonts w:eastAsia="宋体" w:cs="Times New Roman"/>
                <w:sz w:val="18"/>
                <w:szCs w:val="18"/>
              </w:rPr>
            </w:pPr>
            <w:r w:rsidRPr="00BF7F64">
              <w:rPr>
                <w:rFonts w:eastAsia="宋体" w:cs="Times New Roman"/>
                <w:sz w:val="18"/>
                <w:szCs w:val="18"/>
              </w:rPr>
              <w:t>0.02</w:t>
            </w:r>
          </w:p>
        </w:tc>
        <w:tc>
          <w:tcPr>
            <w:tcW w:w="1530" w:type="dxa"/>
            <w:tcBorders>
              <w:top w:val="single" w:sz="4" w:space="0" w:color="auto"/>
              <w:left w:val="single" w:sz="4" w:space="0" w:color="auto"/>
              <w:bottom w:val="single" w:sz="4" w:space="0" w:color="auto"/>
              <w:right w:val="single" w:sz="4" w:space="0" w:color="auto"/>
            </w:tcBorders>
            <w:vAlign w:val="center"/>
          </w:tcPr>
          <w:p w:rsidR="007A22C9" w:rsidRPr="0027505B" w:rsidRDefault="007A22C9" w:rsidP="007A22C9">
            <w:pPr>
              <w:widowControl w:val="0"/>
              <w:jc w:val="center"/>
              <w:rPr>
                <w:rFonts w:eastAsia="宋体" w:cs="Times New Roman"/>
                <w:sz w:val="18"/>
                <w:szCs w:val="18"/>
              </w:rPr>
            </w:pPr>
            <w:r w:rsidRPr="0027505B">
              <w:rPr>
                <w:rFonts w:eastAsia="宋体" w:cs="Times New Roman" w:hint="eastAsia"/>
                <w:sz w:val="18"/>
                <w:szCs w:val="18"/>
              </w:rPr>
              <w:t>押金保证金</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22C9" w:rsidRPr="0027505B" w:rsidRDefault="007A22C9" w:rsidP="007A22C9">
            <w:pPr>
              <w:widowControl w:val="0"/>
              <w:jc w:val="center"/>
              <w:rPr>
                <w:rFonts w:eastAsia="宋体" w:cs="Times New Roman"/>
                <w:sz w:val="18"/>
                <w:szCs w:val="18"/>
              </w:rPr>
            </w:pPr>
            <w:r w:rsidRPr="0027505B">
              <w:rPr>
                <w:rFonts w:eastAsia="宋体" w:cs="Times New Roman"/>
                <w:sz w:val="18"/>
                <w:szCs w:val="18"/>
              </w:rPr>
              <w:t>1</w:t>
            </w:r>
            <w:r w:rsidRPr="0027505B">
              <w:rPr>
                <w:rFonts w:eastAsia="宋体" w:cs="Times New Roman" w:hint="eastAsia"/>
                <w:sz w:val="18"/>
                <w:szCs w:val="18"/>
              </w:rPr>
              <w:t>年以内</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A22C9" w:rsidRPr="00BF7F64" w:rsidRDefault="007A22C9" w:rsidP="00075152">
            <w:pPr>
              <w:spacing w:line="235" w:lineRule="auto"/>
              <w:ind w:left="-53" w:right="60"/>
              <w:jc w:val="right"/>
              <w:rPr>
                <w:rFonts w:eastAsia="宋体" w:cs="Times New Roman"/>
                <w:color w:val="000000"/>
                <w:sz w:val="18"/>
                <w:szCs w:val="18"/>
              </w:rPr>
            </w:pPr>
            <w:r w:rsidRPr="00BF7F64">
              <w:rPr>
                <w:rFonts w:eastAsia="宋体" w:cs="Times New Roman"/>
                <w:color w:val="000000"/>
                <w:sz w:val="18"/>
                <w:szCs w:val="18"/>
              </w:rPr>
              <w:t xml:space="preserve"> 1,635.13 </w:t>
            </w:r>
          </w:p>
        </w:tc>
      </w:tr>
      <w:tr w:rsidR="007A22C9" w:rsidRPr="00BF7F64" w:rsidTr="0027505B">
        <w:trPr>
          <w:trHeight w:val="2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22C9" w:rsidRPr="0027505B" w:rsidRDefault="007A22C9" w:rsidP="007A22C9">
            <w:pPr>
              <w:rPr>
                <w:rFonts w:eastAsia="宋体" w:cs="Times New Roman"/>
                <w:sz w:val="18"/>
                <w:szCs w:val="18"/>
              </w:rPr>
            </w:pPr>
            <w:r w:rsidRPr="0027505B">
              <w:rPr>
                <w:rFonts w:eastAsia="宋体" w:cs="Times New Roman" w:hint="eastAsia"/>
                <w:sz w:val="18"/>
                <w:szCs w:val="18"/>
              </w:rPr>
              <w:t>第三方</w:t>
            </w:r>
            <w:r w:rsidR="004421CF" w:rsidRPr="0027505B">
              <w:rPr>
                <w:rFonts w:eastAsia="宋体" w:cs="Times New Roman"/>
                <w:sz w:val="18"/>
                <w:szCs w:val="18"/>
              </w:rPr>
              <w:t>H</w:t>
            </w: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7A22C9" w:rsidRPr="00BF7F64" w:rsidRDefault="007A22C9" w:rsidP="007A22C9">
            <w:pPr>
              <w:spacing w:line="230" w:lineRule="auto"/>
              <w:jc w:val="right"/>
              <w:rPr>
                <w:rFonts w:eastAsia="宋体" w:cs="Times New Roman"/>
                <w:sz w:val="18"/>
                <w:szCs w:val="18"/>
              </w:rPr>
            </w:pPr>
            <w:r w:rsidRPr="00BF7F64">
              <w:rPr>
                <w:rFonts w:eastAsia="宋体" w:cs="Times New Roman"/>
                <w:sz w:val="18"/>
                <w:szCs w:val="18"/>
              </w:rPr>
              <w:t>332,999.93</w:t>
            </w:r>
          </w:p>
        </w:tc>
        <w:tc>
          <w:tcPr>
            <w:tcW w:w="1530" w:type="dxa"/>
            <w:tcBorders>
              <w:top w:val="single" w:sz="4" w:space="0" w:color="auto"/>
              <w:left w:val="nil"/>
              <w:bottom w:val="single" w:sz="4" w:space="0" w:color="auto"/>
              <w:right w:val="single" w:sz="4" w:space="0" w:color="auto"/>
            </w:tcBorders>
            <w:vAlign w:val="center"/>
          </w:tcPr>
          <w:p w:rsidR="007A22C9" w:rsidRPr="00BF7F64" w:rsidRDefault="007A22C9" w:rsidP="0027505B">
            <w:pPr>
              <w:ind w:leftChars="86" w:left="181"/>
              <w:jc w:val="right"/>
              <w:rPr>
                <w:rFonts w:eastAsia="宋体" w:cs="Times New Roman"/>
                <w:sz w:val="18"/>
                <w:szCs w:val="18"/>
              </w:rPr>
            </w:pPr>
            <w:r w:rsidRPr="00BF7F64">
              <w:rPr>
                <w:rFonts w:eastAsia="宋体" w:cs="Times New Roman"/>
                <w:sz w:val="18"/>
                <w:szCs w:val="18"/>
              </w:rPr>
              <w:t>0.02</w:t>
            </w:r>
          </w:p>
        </w:tc>
        <w:tc>
          <w:tcPr>
            <w:tcW w:w="1530" w:type="dxa"/>
            <w:tcBorders>
              <w:top w:val="single" w:sz="4" w:space="0" w:color="auto"/>
              <w:left w:val="single" w:sz="4" w:space="0" w:color="auto"/>
              <w:bottom w:val="single" w:sz="4" w:space="0" w:color="auto"/>
              <w:right w:val="single" w:sz="4" w:space="0" w:color="auto"/>
            </w:tcBorders>
            <w:vAlign w:val="center"/>
          </w:tcPr>
          <w:p w:rsidR="007A22C9" w:rsidRPr="0027505B" w:rsidRDefault="007A22C9" w:rsidP="007A22C9">
            <w:pPr>
              <w:widowControl w:val="0"/>
              <w:jc w:val="center"/>
              <w:rPr>
                <w:rFonts w:eastAsia="宋体" w:cs="Times New Roman"/>
                <w:sz w:val="18"/>
                <w:szCs w:val="18"/>
              </w:rPr>
            </w:pPr>
            <w:r w:rsidRPr="0027505B">
              <w:rPr>
                <w:rFonts w:eastAsia="宋体" w:cs="Times New Roman" w:hint="eastAsia"/>
                <w:sz w:val="18"/>
                <w:szCs w:val="18"/>
              </w:rPr>
              <w:t>押金保证金</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22C9" w:rsidRPr="0027505B" w:rsidRDefault="007A22C9" w:rsidP="007A22C9">
            <w:pPr>
              <w:widowControl w:val="0"/>
              <w:jc w:val="center"/>
              <w:rPr>
                <w:rFonts w:eastAsia="宋体" w:cs="Times New Roman"/>
                <w:sz w:val="18"/>
                <w:szCs w:val="18"/>
              </w:rPr>
            </w:pPr>
            <w:r w:rsidRPr="0027505B">
              <w:rPr>
                <w:rFonts w:eastAsia="宋体" w:cs="Times New Roman"/>
                <w:sz w:val="18"/>
                <w:szCs w:val="18"/>
              </w:rPr>
              <w:t>1</w:t>
            </w:r>
            <w:r w:rsidRPr="0027505B">
              <w:rPr>
                <w:rFonts w:eastAsia="宋体" w:cs="Times New Roman" w:hint="eastAsia"/>
                <w:sz w:val="18"/>
                <w:szCs w:val="18"/>
              </w:rPr>
              <w:t>年</w:t>
            </w:r>
            <w:r w:rsidRPr="0027505B">
              <w:rPr>
                <w:rFonts w:eastAsia="宋体" w:cs="Times New Roman"/>
                <w:sz w:val="18"/>
                <w:szCs w:val="18"/>
              </w:rPr>
              <w:t>-2</w:t>
            </w:r>
            <w:r w:rsidRPr="0027505B">
              <w:rPr>
                <w:rFonts w:eastAsia="宋体" w:cs="Times New Roman" w:hint="eastAsia"/>
                <w:sz w:val="18"/>
                <w:szCs w:val="18"/>
              </w:rPr>
              <w:t>年</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A22C9" w:rsidRPr="00BF7F64" w:rsidRDefault="007A22C9" w:rsidP="00075152">
            <w:pPr>
              <w:spacing w:line="235" w:lineRule="auto"/>
              <w:ind w:left="-53" w:right="60"/>
              <w:jc w:val="right"/>
              <w:rPr>
                <w:rFonts w:eastAsia="宋体" w:cs="Times New Roman"/>
                <w:color w:val="000000"/>
                <w:sz w:val="18"/>
                <w:szCs w:val="18"/>
              </w:rPr>
            </w:pPr>
            <w:r w:rsidRPr="00BF7F64">
              <w:rPr>
                <w:rFonts w:eastAsia="宋体" w:cs="Times New Roman"/>
                <w:color w:val="000000"/>
                <w:sz w:val="18"/>
                <w:szCs w:val="18"/>
              </w:rPr>
              <w:t xml:space="preserve"> 133,199.97 </w:t>
            </w:r>
          </w:p>
        </w:tc>
      </w:tr>
      <w:tr w:rsidR="007A22C9" w:rsidRPr="00BF7F64" w:rsidTr="0027505B">
        <w:trPr>
          <w:trHeight w:val="20"/>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7A22C9" w:rsidRPr="0027505B" w:rsidRDefault="007A22C9" w:rsidP="007A22C9">
            <w:pPr>
              <w:widowControl w:val="0"/>
              <w:spacing w:line="235" w:lineRule="auto"/>
              <w:rPr>
                <w:rFonts w:eastAsia="宋体" w:cs="Times New Roman"/>
                <w:sz w:val="18"/>
                <w:szCs w:val="18"/>
              </w:rPr>
            </w:pPr>
            <w:r w:rsidRPr="00BF7F64">
              <w:rPr>
                <w:rFonts w:eastAsia="宋体" w:cs="Times New Roman" w:hint="eastAsia"/>
                <w:kern w:val="2"/>
                <w:sz w:val="18"/>
                <w:szCs w:val="18"/>
              </w:rPr>
              <w:t>合计</w:t>
            </w: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7A22C9" w:rsidRPr="00BF7F64" w:rsidRDefault="007A22C9" w:rsidP="007A22C9">
            <w:pPr>
              <w:spacing w:line="230" w:lineRule="auto"/>
              <w:jc w:val="right"/>
              <w:rPr>
                <w:rFonts w:eastAsia="宋体" w:cs="Times New Roman"/>
                <w:sz w:val="18"/>
                <w:szCs w:val="18"/>
              </w:rPr>
            </w:pPr>
            <w:r w:rsidRPr="00BF7F64">
              <w:rPr>
                <w:rFonts w:eastAsia="宋体" w:cs="Times New Roman"/>
                <w:sz w:val="18"/>
                <w:szCs w:val="18"/>
              </w:rPr>
              <w:t>1,824,677,286.24</w:t>
            </w:r>
          </w:p>
        </w:tc>
        <w:tc>
          <w:tcPr>
            <w:tcW w:w="1530" w:type="dxa"/>
            <w:tcBorders>
              <w:top w:val="single" w:sz="4" w:space="0" w:color="auto"/>
              <w:left w:val="nil"/>
              <w:bottom w:val="single" w:sz="4" w:space="0" w:color="auto"/>
              <w:right w:val="single" w:sz="4" w:space="0" w:color="auto"/>
            </w:tcBorders>
            <w:vAlign w:val="center"/>
          </w:tcPr>
          <w:p w:rsidR="007A22C9" w:rsidRPr="00BF7F64" w:rsidRDefault="007A22C9" w:rsidP="0027505B">
            <w:pPr>
              <w:ind w:leftChars="86" w:left="181"/>
              <w:jc w:val="right"/>
              <w:rPr>
                <w:rFonts w:eastAsia="宋体" w:cs="Times New Roman"/>
                <w:sz w:val="18"/>
                <w:szCs w:val="18"/>
              </w:rPr>
            </w:pPr>
            <w:r w:rsidRPr="00BF7F64">
              <w:rPr>
                <w:rFonts w:eastAsia="宋体" w:cs="Times New Roman"/>
                <w:sz w:val="18"/>
                <w:szCs w:val="18"/>
              </w:rPr>
              <w:t>99.71</w:t>
            </w:r>
          </w:p>
        </w:tc>
        <w:tc>
          <w:tcPr>
            <w:tcW w:w="1530" w:type="dxa"/>
            <w:tcBorders>
              <w:top w:val="single" w:sz="4" w:space="0" w:color="auto"/>
              <w:left w:val="single" w:sz="4" w:space="0" w:color="auto"/>
              <w:bottom w:val="single" w:sz="4" w:space="0" w:color="auto"/>
              <w:right w:val="single" w:sz="4" w:space="0" w:color="auto"/>
            </w:tcBorders>
            <w:vAlign w:val="center"/>
          </w:tcPr>
          <w:p w:rsidR="007A22C9" w:rsidRPr="0027505B" w:rsidRDefault="007A22C9" w:rsidP="007A22C9">
            <w:pPr>
              <w:widowControl w:val="0"/>
              <w:jc w:val="center"/>
              <w:rPr>
                <w:rFonts w:eastAsia="宋体" w:cs="Times New Roman"/>
                <w:sz w:val="18"/>
                <w:szCs w:val="18"/>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22C9" w:rsidRPr="0027505B" w:rsidRDefault="007A22C9" w:rsidP="007A22C9">
            <w:pPr>
              <w:widowControl w:val="0"/>
              <w:ind w:left="720" w:firstLine="11"/>
              <w:jc w:val="center"/>
              <w:rPr>
                <w:rFonts w:eastAsia="宋体" w:cs="Times New Roman"/>
                <w:sz w:val="18"/>
                <w:szCs w:val="18"/>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7A22C9" w:rsidRPr="00BF7F64" w:rsidRDefault="00A373A1" w:rsidP="00075152">
            <w:pPr>
              <w:spacing w:line="235" w:lineRule="auto"/>
              <w:ind w:left="-53" w:right="60"/>
              <w:jc w:val="right"/>
              <w:rPr>
                <w:rFonts w:eastAsia="宋体" w:cs="Times New Roman"/>
                <w:color w:val="000000"/>
                <w:sz w:val="18"/>
                <w:szCs w:val="18"/>
              </w:rPr>
            </w:pPr>
            <w:r w:rsidRPr="00BF7F64">
              <w:rPr>
                <w:rFonts w:eastAsia="宋体" w:cs="Times New Roman"/>
                <w:color w:val="000000"/>
                <w:sz w:val="18"/>
                <w:szCs w:val="18"/>
              </w:rPr>
              <w:t>138,270.71</w:t>
            </w:r>
          </w:p>
        </w:tc>
      </w:tr>
    </w:tbl>
    <w:p w:rsidR="00FF34EF" w:rsidRPr="0027505B" w:rsidRDefault="00FF34EF" w:rsidP="0027505B">
      <w:pPr>
        <w:spacing w:line="235" w:lineRule="auto"/>
        <w:ind w:left="720"/>
        <w:jc w:val="both"/>
        <w:rPr>
          <w:rFonts w:eastAsia="宋体" w:cs="Times New Roman"/>
          <w:szCs w:val="21"/>
        </w:rPr>
      </w:pPr>
    </w:p>
    <w:p w:rsidR="00FF34EF" w:rsidRPr="00033FF7" w:rsidRDefault="00FF34EF" w:rsidP="00F66363">
      <w:pPr>
        <w:pStyle w:val="2"/>
        <w:numPr>
          <w:ilvl w:val="2"/>
          <w:numId w:val="1"/>
        </w:numPr>
        <w:adjustRightInd w:val="0"/>
        <w:snapToGrid w:val="0"/>
        <w:spacing w:line="235" w:lineRule="auto"/>
        <w:ind w:left="1440" w:hanging="720"/>
        <w:contextualSpacing w:val="0"/>
        <w:rPr>
          <w:rFonts w:ascii="Times New Roman" w:eastAsia="宋体" w:hAnsi="Times New Roman" w:cs="Times New Roman"/>
        </w:rPr>
      </w:pPr>
      <w:r w:rsidRPr="00033FF7">
        <w:rPr>
          <w:rFonts w:ascii="Times New Roman" w:eastAsia="宋体" w:hAnsi="Times New Roman" w:cs="Times New Roman" w:hint="eastAsia"/>
        </w:rPr>
        <w:t>长期股权投资</w:t>
      </w:r>
    </w:p>
    <w:p w:rsidR="00FF34EF" w:rsidRPr="00A71D2E" w:rsidRDefault="00FF34EF" w:rsidP="00F66363">
      <w:pPr>
        <w:spacing w:line="235" w:lineRule="auto"/>
        <w:ind w:left="709"/>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6"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954"/>
        <w:gridCol w:w="1498"/>
        <w:gridCol w:w="1498"/>
        <w:gridCol w:w="1498"/>
      </w:tblGrid>
      <w:tr w:rsidR="003415F9" w:rsidRPr="00A71D2E" w:rsidTr="0027505B">
        <w:trPr>
          <w:trHeight w:val="20"/>
        </w:trPr>
        <w:tc>
          <w:tcPr>
            <w:tcW w:w="2620" w:type="pct"/>
            <w:shd w:val="clear" w:color="auto" w:fill="D9D9D9" w:themeFill="background1" w:themeFillShade="D9"/>
            <w:vAlign w:val="center"/>
          </w:tcPr>
          <w:p w:rsidR="00FF34EF" w:rsidRPr="00F66363" w:rsidRDefault="008D1CCD" w:rsidP="0027505B">
            <w:pPr>
              <w:widowControl w:val="0"/>
              <w:spacing w:line="235" w:lineRule="auto"/>
              <w:ind w:left="60"/>
              <w:jc w:val="center"/>
              <w:rPr>
                <w:rFonts w:eastAsia="宋体" w:cs="Times New Roman"/>
                <w:kern w:val="2"/>
                <w:sz w:val="18"/>
                <w:szCs w:val="18"/>
              </w:rPr>
            </w:pPr>
            <w:r w:rsidRPr="00F66363">
              <w:rPr>
                <w:rFonts w:eastAsia="宋体" w:cs="Times New Roman" w:hint="eastAsia"/>
                <w:kern w:val="2"/>
                <w:sz w:val="18"/>
                <w:szCs w:val="18"/>
              </w:rPr>
              <w:t>项目</w:t>
            </w:r>
          </w:p>
        </w:tc>
        <w:tc>
          <w:tcPr>
            <w:tcW w:w="793" w:type="pct"/>
            <w:shd w:val="clear" w:color="auto" w:fill="D9D9D9" w:themeFill="background1" w:themeFillShade="D9"/>
            <w:vAlign w:val="center"/>
          </w:tcPr>
          <w:p w:rsidR="00FF34EF" w:rsidRPr="00F66363" w:rsidRDefault="00FF34EF" w:rsidP="0027505B">
            <w:pPr>
              <w:widowControl w:val="0"/>
              <w:spacing w:line="235" w:lineRule="auto"/>
              <w:ind w:left="61" w:right="57"/>
              <w:jc w:val="center"/>
              <w:rPr>
                <w:rFonts w:eastAsia="宋体" w:cs="Times New Roman"/>
                <w:kern w:val="2"/>
                <w:sz w:val="18"/>
                <w:szCs w:val="18"/>
              </w:rPr>
            </w:pPr>
            <w:r w:rsidRPr="00F66363">
              <w:rPr>
                <w:rFonts w:eastAsia="宋体" w:cs="Times New Roman" w:hint="eastAsia"/>
                <w:kern w:val="2"/>
                <w:sz w:val="18"/>
                <w:szCs w:val="18"/>
              </w:rPr>
              <w:t>账面余额</w:t>
            </w:r>
          </w:p>
        </w:tc>
        <w:tc>
          <w:tcPr>
            <w:tcW w:w="793" w:type="pct"/>
            <w:shd w:val="clear" w:color="auto" w:fill="D9D9D9" w:themeFill="background1" w:themeFillShade="D9"/>
            <w:vAlign w:val="center"/>
          </w:tcPr>
          <w:p w:rsidR="00FF34EF" w:rsidRPr="00F66363" w:rsidRDefault="00FF34EF" w:rsidP="0027505B">
            <w:pPr>
              <w:widowControl w:val="0"/>
              <w:spacing w:line="235" w:lineRule="auto"/>
              <w:ind w:left="61" w:right="57"/>
              <w:jc w:val="center"/>
              <w:rPr>
                <w:rFonts w:eastAsia="宋体" w:cs="Times New Roman"/>
                <w:kern w:val="2"/>
                <w:sz w:val="18"/>
                <w:szCs w:val="18"/>
              </w:rPr>
            </w:pPr>
            <w:r w:rsidRPr="00F66363">
              <w:rPr>
                <w:rFonts w:eastAsia="宋体" w:cs="Times New Roman" w:hint="eastAsia"/>
                <w:kern w:val="2"/>
                <w:sz w:val="18"/>
                <w:szCs w:val="18"/>
              </w:rPr>
              <w:t>减值准备</w:t>
            </w:r>
          </w:p>
        </w:tc>
        <w:tc>
          <w:tcPr>
            <w:tcW w:w="793" w:type="pct"/>
            <w:shd w:val="clear" w:color="auto" w:fill="D9D9D9" w:themeFill="background1" w:themeFillShade="D9"/>
            <w:vAlign w:val="center"/>
          </w:tcPr>
          <w:p w:rsidR="00FF34EF" w:rsidRPr="00F66363" w:rsidRDefault="00FF34EF" w:rsidP="0027505B">
            <w:pPr>
              <w:widowControl w:val="0"/>
              <w:spacing w:line="235" w:lineRule="auto"/>
              <w:ind w:left="61" w:right="57"/>
              <w:jc w:val="center"/>
              <w:rPr>
                <w:rFonts w:eastAsia="宋体" w:cs="Times New Roman"/>
                <w:kern w:val="2"/>
                <w:sz w:val="18"/>
                <w:szCs w:val="18"/>
              </w:rPr>
            </w:pPr>
            <w:r w:rsidRPr="00F66363">
              <w:rPr>
                <w:rFonts w:eastAsia="宋体" w:cs="Times New Roman" w:hint="eastAsia"/>
                <w:kern w:val="2"/>
                <w:sz w:val="18"/>
                <w:szCs w:val="18"/>
              </w:rPr>
              <w:t>账面价值</w:t>
            </w:r>
          </w:p>
        </w:tc>
      </w:tr>
      <w:tr w:rsidR="00FF34EF" w:rsidRPr="00A71D2E" w:rsidTr="0027505B">
        <w:trPr>
          <w:trHeight w:val="20"/>
        </w:trPr>
        <w:tc>
          <w:tcPr>
            <w:tcW w:w="2620" w:type="pct"/>
            <w:shd w:val="clear" w:color="auto" w:fill="auto"/>
            <w:vAlign w:val="center"/>
          </w:tcPr>
          <w:p w:rsidR="00FF34EF" w:rsidRPr="00F66363" w:rsidRDefault="00FF34EF" w:rsidP="0027505B">
            <w:pPr>
              <w:widowControl w:val="0"/>
              <w:spacing w:line="235" w:lineRule="auto"/>
              <w:ind w:left="60"/>
              <w:rPr>
                <w:rFonts w:eastAsia="宋体" w:cs="Times New Roman"/>
                <w:kern w:val="2"/>
                <w:sz w:val="18"/>
                <w:szCs w:val="18"/>
              </w:rPr>
            </w:pPr>
            <w:r w:rsidRPr="00F66363">
              <w:rPr>
                <w:rFonts w:eastAsia="宋体" w:cs="Times New Roman" w:hint="eastAsia"/>
                <w:kern w:val="2"/>
                <w:sz w:val="18"/>
                <w:szCs w:val="18"/>
              </w:rPr>
              <w:t>按成本法核算的股权投资</w:t>
            </w:r>
            <w:r w:rsidRPr="00F66363">
              <w:rPr>
                <w:rFonts w:eastAsia="宋体" w:cs="Times New Roman"/>
                <w:kern w:val="2"/>
                <w:sz w:val="18"/>
                <w:szCs w:val="18"/>
              </w:rPr>
              <w:t xml:space="preserve">-  </w:t>
            </w:r>
            <w:r w:rsidRPr="00F66363">
              <w:rPr>
                <w:rFonts w:eastAsia="宋体" w:cs="Times New Roman" w:hint="eastAsia"/>
                <w:kern w:val="2"/>
                <w:sz w:val="18"/>
                <w:szCs w:val="18"/>
              </w:rPr>
              <w:t>对子公司投资</w:t>
            </w:r>
          </w:p>
        </w:tc>
        <w:tc>
          <w:tcPr>
            <w:tcW w:w="793" w:type="pct"/>
            <w:shd w:val="clear" w:color="auto" w:fill="FFFFFF"/>
            <w:vAlign w:val="center"/>
          </w:tcPr>
          <w:p w:rsidR="00FF34EF" w:rsidRPr="00F66363" w:rsidRDefault="00FF34EF" w:rsidP="0027505B">
            <w:pPr>
              <w:spacing w:line="235" w:lineRule="auto"/>
              <w:ind w:left="61" w:right="57"/>
              <w:jc w:val="right"/>
              <w:rPr>
                <w:rFonts w:eastAsia="宋体" w:cs="Times New Roman"/>
                <w:color w:val="000000"/>
                <w:sz w:val="18"/>
                <w:szCs w:val="18"/>
              </w:rPr>
            </w:pPr>
            <w:r w:rsidRPr="00F66363">
              <w:rPr>
                <w:rFonts w:eastAsia="宋体" w:cs="Times New Roman"/>
                <w:color w:val="000000"/>
                <w:sz w:val="18"/>
                <w:szCs w:val="18"/>
              </w:rPr>
              <w:t>136,208,673.46</w:t>
            </w:r>
          </w:p>
        </w:tc>
        <w:tc>
          <w:tcPr>
            <w:tcW w:w="793" w:type="pct"/>
            <w:shd w:val="clear" w:color="auto" w:fill="FFFFFF"/>
            <w:vAlign w:val="center"/>
          </w:tcPr>
          <w:p w:rsidR="00FF34EF" w:rsidRPr="00F66363" w:rsidRDefault="00FF34EF" w:rsidP="0027505B">
            <w:pPr>
              <w:spacing w:line="235" w:lineRule="auto"/>
              <w:ind w:left="61" w:right="57"/>
              <w:jc w:val="right"/>
              <w:rPr>
                <w:rFonts w:eastAsia="宋体" w:cs="Times New Roman"/>
                <w:color w:val="000000"/>
                <w:sz w:val="18"/>
                <w:szCs w:val="18"/>
              </w:rPr>
            </w:pPr>
            <w:r w:rsidRPr="00F66363">
              <w:rPr>
                <w:rFonts w:eastAsia="宋体" w:cs="Times New Roman"/>
                <w:color w:val="000000"/>
                <w:sz w:val="18"/>
                <w:szCs w:val="18"/>
              </w:rPr>
              <w:t>-    </w:t>
            </w:r>
          </w:p>
        </w:tc>
        <w:tc>
          <w:tcPr>
            <w:tcW w:w="793" w:type="pct"/>
            <w:shd w:val="clear" w:color="auto" w:fill="FFFFFF"/>
            <w:vAlign w:val="center"/>
          </w:tcPr>
          <w:p w:rsidR="00FF34EF" w:rsidRPr="00F66363" w:rsidRDefault="00FF34EF" w:rsidP="0027505B">
            <w:pPr>
              <w:spacing w:line="235" w:lineRule="auto"/>
              <w:ind w:left="61" w:right="57"/>
              <w:jc w:val="right"/>
              <w:rPr>
                <w:rFonts w:eastAsia="宋体" w:cs="Times New Roman"/>
                <w:color w:val="000000"/>
                <w:sz w:val="18"/>
                <w:szCs w:val="18"/>
              </w:rPr>
            </w:pPr>
            <w:r w:rsidRPr="00F66363">
              <w:rPr>
                <w:rFonts w:eastAsia="宋体" w:cs="Times New Roman"/>
                <w:color w:val="000000"/>
                <w:sz w:val="18"/>
                <w:szCs w:val="18"/>
              </w:rPr>
              <w:t>136,208,673.46</w:t>
            </w:r>
          </w:p>
        </w:tc>
      </w:tr>
      <w:tr w:rsidR="00FF34EF" w:rsidRPr="00A71D2E" w:rsidTr="0027505B">
        <w:trPr>
          <w:trHeight w:val="20"/>
        </w:trPr>
        <w:tc>
          <w:tcPr>
            <w:tcW w:w="2620" w:type="pct"/>
            <w:shd w:val="clear" w:color="auto" w:fill="D9D9D9" w:themeFill="background1" w:themeFillShade="D9"/>
            <w:vAlign w:val="center"/>
          </w:tcPr>
          <w:p w:rsidR="00FF34EF" w:rsidRPr="00F66363" w:rsidRDefault="00FF34EF" w:rsidP="0027505B">
            <w:pPr>
              <w:widowControl w:val="0"/>
              <w:spacing w:line="235" w:lineRule="auto"/>
              <w:ind w:left="60"/>
              <w:rPr>
                <w:rFonts w:eastAsia="宋体" w:cs="Times New Roman"/>
                <w:kern w:val="2"/>
                <w:sz w:val="18"/>
                <w:szCs w:val="18"/>
              </w:rPr>
            </w:pPr>
            <w:r w:rsidRPr="00F66363">
              <w:rPr>
                <w:rFonts w:eastAsia="宋体" w:cs="Times New Roman" w:hint="eastAsia"/>
                <w:kern w:val="2"/>
                <w:sz w:val="18"/>
                <w:szCs w:val="18"/>
              </w:rPr>
              <w:t>合计</w:t>
            </w:r>
          </w:p>
        </w:tc>
        <w:tc>
          <w:tcPr>
            <w:tcW w:w="793" w:type="pct"/>
            <w:shd w:val="clear" w:color="auto" w:fill="FFFFFF"/>
            <w:vAlign w:val="center"/>
          </w:tcPr>
          <w:p w:rsidR="00FF34EF" w:rsidRPr="00F66363" w:rsidRDefault="00FF34EF" w:rsidP="0027505B">
            <w:pPr>
              <w:spacing w:line="235" w:lineRule="auto"/>
              <w:ind w:left="61" w:right="57"/>
              <w:jc w:val="right"/>
              <w:rPr>
                <w:rFonts w:eastAsia="宋体" w:cs="Times New Roman"/>
                <w:color w:val="000000"/>
                <w:sz w:val="18"/>
                <w:szCs w:val="18"/>
              </w:rPr>
            </w:pPr>
            <w:r w:rsidRPr="00F66363">
              <w:rPr>
                <w:rFonts w:eastAsia="宋体" w:cs="Times New Roman"/>
                <w:color w:val="000000"/>
                <w:sz w:val="18"/>
                <w:szCs w:val="18"/>
              </w:rPr>
              <w:t>136,208,673.46</w:t>
            </w:r>
          </w:p>
        </w:tc>
        <w:tc>
          <w:tcPr>
            <w:tcW w:w="793" w:type="pct"/>
            <w:shd w:val="clear" w:color="auto" w:fill="FFFFFF"/>
            <w:vAlign w:val="center"/>
          </w:tcPr>
          <w:p w:rsidR="00FF34EF" w:rsidRPr="00F66363" w:rsidRDefault="00FF34EF" w:rsidP="0027505B">
            <w:pPr>
              <w:spacing w:line="235" w:lineRule="auto"/>
              <w:ind w:left="61" w:right="57"/>
              <w:jc w:val="right"/>
              <w:rPr>
                <w:rFonts w:eastAsia="宋体" w:cs="Times New Roman"/>
                <w:color w:val="000000"/>
                <w:sz w:val="18"/>
                <w:szCs w:val="18"/>
              </w:rPr>
            </w:pPr>
            <w:r w:rsidRPr="00F66363">
              <w:rPr>
                <w:rFonts w:eastAsia="宋体" w:cs="Times New Roman"/>
                <w:color w:val="000000"/>
                <w:sz w:val="18"/>
                <w:szCs w:val="18"/>
              </w:rPr>
              <w:t>-    </w:t>
            </w:r>
          </w:p>
        </w:tc>
        <w:tc>
          <w:tcPr>
            <w:tcW w:w="793" w:type="pct"/>
            <w:vAlign w:val="center"/>
          </w:tcPr>
          <w:p w:rsidR="00FF34EF" w:rsidRPr="00F66363" w:rsidRDefault="00FF34EF" w:rsidP="0027505B">
            <w:pPr>
              <w:spacing w:line="235" w:lineRule="auto"/>
              <w:ind w:left="61" w:right="57"/>
              <w:jc w:val="right"/>
              <w:rPr>
                <w:rFonts w:eastAsia="宋体" w:cs="Times New Roman"/>
                <w:color w:val="000000"/>
                <w:sz w:val="18"/>
                <w:szCs w:val="18"/>
              </w:rPr>
            </w:pPr>
            <w:r w:rsidRPr="00F66363">
              <w:rPr>
                <w:rFonts w:eastAsia="宋体" w:cs="Times New Roman"/>
                <w:color w:val="000000"/>
                <w:sz w:val="18"/>
                <w:szCs w:val="18"/>
              </w:rPr>
              <w:t>136,208,673.46</w:t>
            </w:r>
          </w:p>
        </w:tc>
      </w:tr>
    </w:tbl>
    <w:p w:rsidR="00FF34EF" w:rsidRPr="00A71D2E" w:rsidRDefault="00FF34EF" w:rsidP="00F66363">
      <w:pPr>
        <w:spacing w:line="235" w:lineRule="auto"/>
        <w:ind w:left="720"/>
        <w:jc w:val="both"/>
        <w:rPr>
          <w:rFonts w:eastAsia="宋体" w:cs="Times New Roman"/>
          <w:szCs w:val="18"/>
        </w:rPr>
      </w:pPr>
    </w:p>
    <w:p w:rsidR="00FF34EF" w:rsidRPr="00A71D2E" w:rsidRDefault="005F14EE" w:rsidP="00F66363">
      <w:pPr>
        <w:spacing w:line="235" w:lineRule="auto"/>
        <w:ind w:left="1440" w:hanging="720"/>
        <w:rPr>
          <w:rFonts w:eastAsia="宋体" w:cs="Times New Roman"/>
          <w:szCs w:val="21"/>
        </w:rPr>
      </w:pPr>
      <w:r>
        <w:rPr>
          <w:rFonts w:eastAsia="宋体" w:cs="Times New Roman"/>
          <w:szCs w:val="21"/>
        </w:rPr>
        <w:t>(</w:t>
      </w:r>
      <w:r w:rsidR="00FF34EF" w:rsidRPr="00A71D2E">
        <w:rPr>
          <w:rFonts w:eastAsia="宋体" w:cs="Times New Roman"/>
          <w:szCs w:val="21"/>
        </w:rPr>
        <w:t>1</w:t>
      </w:r>
      <w:r>
        <w:rPr>
          <w:rFonts w:eastAsia="宋体" w:cs="Times New Roman"/>
          <w:szCs w:val="21"/>
        </w:rPr>
        <w:t>)</w:t>
      </w:r>
      <w:r w:rsidR="00FF34EF" w:rsidRPr="00A71D2E">
        <w:rPr>
          <w:rFonts w:eastAsia="宋体" w:cs="Times New Roman"/>
          <w:szCs w:val="21"/>
        </w:rPr>
        <w:tab/>
      </w:r>
      <w:r w:rsidR="00FF34EF" w:rsidRPr="00A71D2E">
        <w:rPr>
          <w:rFonts w:eastAsia="宋体" w:cs="Times New Roman" w:hint="eastAsia"/>
          <w:szCs w:val="21"/>
        </w:rPr>
        <w:t>对子公司投资</w:t>
      </w:r>
    </w:p>
    <w:p w:rsidR="00FF34EF" w:rsidRPr="00A71D2E" w:rsidRDefault="00FF34EF" w:rsidP="00F66363">
      <w:pPr>
        <w:spacing w:line="235" w:lineRule="auto"/>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148"/>
        <w:gridCol w:w="1148"/>
        <w:gridCol w:w="1148"/>
        <w:gridCol w:w="1148"/>
        <w:gridCol w:w="1148"/>
        <w:gridCol w:w="1148"/>
        <w:gridCol w:w="1149"/>
      </w:tblGrid>
      <w:tr w:rsidR="00FF34EF" w:rsidRPr="00BF7F64" w:rsidTr="0027505B">
        <w:trPr>
          <w:trHeight w:val="20"/>
        </w:trPr>
        <w:tc>
          <w:tcPr>
            <w:tcW w:w="1413" w:type="dxa"/>
            <w:shd w:val="clear" w:color="auto" w:fill="D9D9D9" w:themeFill="background1" w:themeFillShade="D9"/>
            <w:vAlign w:val="center"/>
            <w:hideMark/>
          </w:tcPr>
          <w:p w:rsidR="00FF34EF" w:rsidRPr="00BF7F64" w:rsidRDefault="00FF34EF" w:rsidP="00F66363">
            <w:pPr>
              <w:spacing w:line="235" w:lineRule="auto"/>
              <w:ind w:right="-105"/>
              <w:jc w:val="center"/>
              <w:rPr>
                <w:rFonts w:eastAsia="宋体" w:cs="Times New Roman"/>
                <w:color w:val="000000"/>
                <w:sz w:val="14"/>
                <w:szCs w:val="14"/>
              </w:rPr>
            </w:pPr>
            <w:r w:rsidRPr="00BF7F64">
              <w:rPr>
                <w:rFonts w:eastAsia="宋体" w:cs="Times New Roman" w:hint="eastAsia"/>
                <w:color w:val="000000"/>
                <w:sz w:val="14"/>
                <w:szCs w:val="14"/>
              </w:rPr>
              <w:t>被投资单位</w:t>
            </w:r>
          </w:p>
        </w:tc>
        <w:tc>
          <w:tcPr>
            <w:tcW w:w="1148" w:type="dxa"/>
            <w:shd w:val="clear" w:color="auto" w:fill="D9D9D9" w:themeFill="background1" w:themeFillShade="D9"/>
            <w:vAlign w:val="center"/>
            <w:hideMark/>
          </w:tcPr>
          <w:p w:rsidR="00FF34EF" w:rsidRPr="00BF7F64" w:rsidRDefault="006223BD" w:rsidP="00F66363">
            <w:pPr>
              <w:spacing w:line="235" w:lineRule="auto"/>
              <w:ind w:left="-89"/>
              <w:jc w:val="center"/>
              <w:rPr>
                <w:rFonts w:eastAsia="宋体" w:cs="Times New Roman"/>
                <w:color w:val="000000"/>
                <w:sz w:val="14"/>
                <w:szCs w:val="14"/>
              </w:rPr>
            </w:pPr>
            <w:r w:rsidRPr="00BF7F64">
              <w:rPr>
                <w:rFonts w:eastAsia="宋体" w:cs="Times New Roman" w:hint="eastAsia"/>
                <w:color w:val="000000"/>
                <w:sz w:val="14"/>
                <w:szCs w:val="14"/>
              </w:rPr>
              <w:t>年初余额</w:t>
            </w:r>
          </w:p>
        </w:tc>
        <w:tc>
          <w:tcPr>
            <w:tcW w:w="1148" w:type="dxa"/>
            <w:shd w:val="clear" w:color="auto" w:fill="D9D9D9" w:themeFill="background1" w:themeFillShade="D9"/>
            <w:vAlign w:val="center"/>
            <w:hideMark/>
          </w:tcPr>
          <w:p w:rsidR="00FF34EF" w:rsidRPr="00BF7F64" w:rsidRDefault="00230413" w:rsidP="00F66363">
            <w:pPr>
              <w:spacing w:line="235" w:lineRule="auto"/>
              <w:jc w:val="center"/>
              <w:rPr>
                <w:rFonts w:eastAsia="宋体" w:cs="Times New Roman"/>
                <w:color w:val="000000"/>
                <w:sz w:val="14"/>
                <w:szCs w:val="14"/>
              </w:rPr>
            </w:pPr>
            <w:r w:rsidRPr="00BF7F64">
              <w:rPr>
                <w:rFonts w:eastAsia="宋体" w:cs="Times New Roman" w:hint="eastAsia"/>
                <w:color w:val="000000"/>
                <w:sz w:val="14"/>
                <w:szCs w:val="14"/>
              </w:rPr>
              <w:t>本年</w:t>
            </w:r>
            <w:r w:rsidR="00FF34EF" w:rsidRPr="00BF7F64">
              <w:rPr>
                <w:rFonts w:eastAsia="宋体" w:cs="Times New Roman" w:hint="eastAsia"/>
                <w:color w:val="000000"/>
                <w:sz w:val="14"/>
                <w:szCs w:val="14"/>
              </w:rPr>
              <w:t>增加</w:t>
            </w:r>
          </w:p>
        </w:tc>
        <w:tc>
          <w:tcPr>
            <w:tcW w:w="1148" w:type="dxa"/>
            <w:shd w:val="clear" w:color="auto" w:fill="D9D9D9" w:themeFill="background1" w:themeFillShade="D9"/>
            <w:vAlign w:val="center"/>
          </w:tcPr>
          <w:p w:rsidR="00FF34EF" w:rsidRPr="00BF7F64" w:rsidRDefault="00230413" w:rsidP="00F66363">
            <w:pPr>
              <w:spacing w:line="235" w:lineRule="auto"/>
              <w:jc w:val="center"/>
              <w:rPr>
                <w:rFonts w:eastAsia="宋体" w:cs="Times New Roman"/>
                <w:color w:val="000000"/>
                <w:sz w:val="14"/>
                <w:szCs w:val="14"/>
              </w:rPr>
            </w:pPr>
            <w:r w:rsidRPr="00BF7F64">
              <w:rPr>
                <w:rFonts w:eastAsia="宋体" w:cs="Times New Roman" w:hint="eastAsia"/>
                <w:color w:val="000000"/>
                <w:sz w:val="14"/>
                <w:szCs w:val="14"/>
              </w:rPr>
              <w:t>本</w:t>
            </w:r>
            <w:r w:rsidRPr="00BF7F64">
              <w:rPr>
                <w:rFonts w:eastAsia="宋体" w:cs="Times New Roman" w:hint="eastAsia"/>
                <w:sz w:val="14"/>
                <w:szCs w:val="14"/>
              </w:rPr>
              <w:t>年</w:t>
            </w:r>
            <w:r w:rsidR="00FF34EF" w:rsidRPr="00BF7F64">
              <w:rPr>
                <w:rFonts w:eastAsia="宋体" w:cs="Times New Roman" w:hint="eastAsia"/>
                <w:color w:val="000000"/>
                <w:sz w:val="14"/>
                <w:szCs w:val="14"/>
              </w:rPr>
              <w:t>减少</w:t>
            </w:r>
          </w:p>
        </w:tc>
        <w:tc>
          <w:tcPr>
            <w:tcW w:w="1148" w:type="dxa"/>
            <w:shd w:val="clear" w:color="auto" w:fill="D9D9D9" w:themeFill="background1" w:themeFillShade="D9"/>
            <w:vAlign w:val="center"/>
            <w:hideMark/>
          </w:tcPr>
          <w:p w:rsidR="00FF34EF" w:rsidRPr="00BF7F64" w:rsidRDefault="006223BD" w:rsidP="00F66363">
            <w:pPr>
              <w:spacing w:line="235" w:lineRule="auto"/>
              <w:jc w:val="center"/>
              <w:rPr>
                <w:rFonts w:eastAsia="宋体" w:cs="Times New Roman"/>
                <w:color w:val="000000"/>
                <w:sz w:val="14"/>
                <w:szCs w:val="14"/>
              </w:rPr>
            </w:pPr>
            <w:r w:rsidRPr="00BF7F64">
              <w:rPr>
                <w:rFonts w:eastAsia="宋体" w:cs="Times New Roman" w:hint="eastAsia"/>
                <w:color w:val="000000"/>
                <w:sz w:val="14"/>
                <w:szCs w:val="14"/>
              </w:rPr>
              <w:t>年末余额</w:t>
            </w:r>
          </w:p>
        </w:tc>
        <w:tc>
          <w:tcPr>
            <w:tcW w:w="1148" w:type="dxa"/>
            <w:shd w:val="clear" w:color="auto" w:fill="D9D9D9" w:themeFill="background1" w:themeFillShade="D9"/>
            <w:vAlign w:val="center"/>
            <w:hideMark/>
          </w:tcPr>
          <w:p w:rsidR="00FF34EF" w:rsidRPr="00BF7F64" w:rsidRDefault="00230413" w:rsidP="00F66363">
            <w:pPr>
              <w:spacing w:line="235" w:lineRule="auto"/>
              <w:jc w:val="center"/>
              <w:rPr>
                <w:rFonts w:eastAsia="宋体" w:cs="Times New Roman"/>
                <w:color w:val="000000"/>
                <w:sz w:val="14"/>
                <w:szCs w:val="14"/>
              </w:rPr>
            </w:pPr>
            <w:r w:rsidRPr="00BF7F64">
              <w:rPr>
                <w:rFonts w:eastAsia="宋体" w:cs="Times New Roman" w:hint="eastAsia"/>
                <w:color w:val="000000"/>
                <w:sz w:val="14"/>
                <w:szCs w:val="14"/>
              </w:rPr>
              <w:t>本年</w:t>
            </w:r>
            <w:r w:rsidR="00FF34EF" w:rsidRPr="00BF7F64">
              <w:rPr>
                <w:rFonts w:eastAsia="宋体" w:cs="Times New Roman" w:hint="eastAsia"/>
                <w:color w:val="000000"/>
                <w:sz w:val="14"/>
                <w:szCs w:val="14"/>
              </w:rPr>
              <w:t>计提</w:t>
            </w:r>
          </w:p>
          <w:p w:rsidR="00FF34EF" w:rsidRPr="00BF7F64" w:rsidRDefault="00FF34EF" w:rsidP="00F66363">
            <w:pPr>
              <w:spacing w:line="235" w:lineRule="auto"/>
              <w:jc w:val="center"/>
              <w:rPr>
                <w:rFonts w:eastAsia="宋体" w:cs="Times New Roman"/>
                <w:color w:val="000000"/>
                <w:sz w:val="14"/>
                <w:szCs w:val="14"/>
              </w:rPr>
            </w:pPr>
            <w:r w:rsidRPr="00BF7F64">
              <w:rPr>
                <w:rFonts w:eastAsia="宋体" w:cs="Times New Roman" w:hint="eastAsia"/>
                <w:color w:val="000000"/>
                <w:sz w:val="14"/>
                <w:szCs w:val="14"/>
              </w:rPr>
              <w:t>减值准备</w:t>
            </w:r>
          </w:p>
        </w:tc>
        <w:tc>
          <w:tcPr>
            <w:tcW w:w="1148" w:type="dxa"/>
            <w:shd w:val="clear" w:color="auto" w:fill="D9D9D9" w:themeFill="background1" w:themeFillShade="D9"/>
            <w:vAlign w:val="center"/>
            <w:hideMark/>
          </w:tcPr>
          <w:p w:rsidR="00FF34EF" w:rsidRPr="00BF7F64" w:rsidRDefault="00FF34EF" w:rsidP="00F66363">
            <w:pPr>
              <w:spacing w:line="235" w:lineRule="auto"/>
              <w:jc w:val="center"/>
              <w:rPr>
                <w:rFonts w:eastAsia="宋体" w:cs="Times New Roman"/>
                <w:color w:val="000000"/>
                <w:sz w:val="14"/>
                <w:szCs w:val="14"/>
              </w:rPr>
            </w:pPr>
            <w:r w:rsidRPr="00BF7F64">
              <w:rPr>
                <w:rFonts w:eastAsia="宋体" w:cs="Times New Roman" w:hint="eastAsia"/>
                <w:color w:val="000000"/>
                <w:sz w:val="14"/>
                <w:szCs w:val="14"/>
              </w:rPr>
              <w:t>减值准备</w:t>
            </w:r>
          </w:p>
          <w:p w:rsidR="00FF34EF" w:rsidRPr="00BF7F64" w:rsidRDefault="001F62E3" w:rsidP="00F66363">
            <w:pPr>
              <w:spacing w:line="235" w:lineRule="auto"/>
              <w:jc w:val="center"/>
              <w:rPr>
                <w:rFonts w:eastAsia="宋体" w:cs="Times New Roman"/>
                <w:color w:val="000000"/>
                <w:sz w:val="14"/>
                <w:szCs w:val="14"/>
              </w:rPr>
            </w:pPr>
            <w:r w:rsidRPr="00BF7F64">
              <w:rPr>
                <w:rFonts w:eastAsia="宋体" w:cs="Times New Roman" w:hint="eastAsia"/>
                <w:color w:val="000000"/>
                <w:sz w:val="14"/>
                <w:szCs w:val="14"/>
              </w:rPr>
              <w:t>年</w:t>
            </w:r>
            <w:r w:rsidR="00FF34EF" w:rsidRPr="00BF7F64">
              <w:rPr>
                <w:rFonts w:eastAsia="宋体" w:cs="Times New Roman" w:hint="eastAsia"/>
                <w:color w:val="000000"/>
                <w:sz w:val="14"/>
                <w:szCs w:val="14"/>
              </w:rPr>
              <w:t>末余额</w:t>
            </w:r>
          </w:p>
        </w:tc>
        <w:tc>
          <w:tcPr>
            <w:tcW w:w="1149" w:type="dxa"/>
            <w:shd w:val="clear" w:color="auto" w:fill="D9D9D9" w:themeFill="background1" w:themeFillShade="D9"/>
            <w:vAlign w:val="center"/>
          </w:tcPr>
          <w:p w:rsidR="00FF34EF" w:rsidRPr="00BF7F64" w:rsidRDefault="00FF34EF" w:rsidP="00F66363">
            <w:pPr>
              <w:spacing w:line="235" w:lineRule="auto"/>
              <w:jc w:val="center"/>
              <w:rPr>
                <w:rFonts w:eastAsia="宋体" w:cs="Times New Roman"/>
                <w:color w:val="000000"/>
                <w:sz w:val="14"/>
                <w:szCs w:val="14"/>
              </w:rPr>
            </w:pPr>
            <w:r w:rsidRPr="00BF7F64">
              <w:rPr>
                <w:rFonts w:eastAsia="宋体" w:cs="Times New Roman" w:hint="eastAsia"/>
                <w:color w:val="000000"/>
                <w:sz w:val="14"/>
                <w:szCs w:val="14"/>
              </w:rPr>
              <w:t>宣告发放现金股利或利润</w:t>
            </w:r>
          </w:p>
        </w:tc>
      </w:tr>
      <w:tr w:rsidR="00033FF7" w:rsidRPr="00BF7F64" w:rsidTr="0027505B">
        <w:trPr>
          <w:trHeight w:val="20"/>
        </w:trPr>
        <w:tc>
          <w:tcPr>
            <w:tcW w:w="1413" w:type="dxa"/>
            <w:shd w:val="clear" w:color="auto" w:fill="auto"/>
            <w:vAlign w:val="center"/>
          </w:tcPr>
          <w:p w:rsidR="00033FF7" w:rsidRPr="00BF7F64" w:rsidRDefault="00033FF7" w:rsidP="00033FF7">
            <w:pPr>
              <w:spacing w:line="235" w:lineRule="auto"/>
              <w:rPr>
                <w:rFonts w:eastAsia="宋体" w:cs="Times New Roman"/>
                <w:color w:val="000000"/>
                <w:sz w:val="14"/>
                <w:szCs w:val="14"/>
              </w:rPr>
            </w:pPr>
            <w:r w:rsidRPr="00BF7F64">
              <w:rPr>
                <w:rFonts w:eastAsia="宋体" w:cs="Times New Roman" w:hint="eastAsia"/>
                <w:color w:val="000000"/>
                <w:sz w:val="14"/>
                <w:szCs w:val="14"/>
              </w:rPr>
              <w:t>萤石软件</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30,000,000.00</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30,000,000.00</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9"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500,000,000.00</w:t>
            </w:r>
          </w:p>
        </w:tc>
      </w:tr>
      <w:tr w:rsidR="00033FF7" w:rsidRPr="00BF7F64" w:rsidTr="0027505B">
        <w:trPr>
          <w:trHeight w:val="20"/>
        </w:trPr>
        <w:tc>
          <w:tcPr>
            <w:tcW w:w="1413" w:type="dxa"/>
            <w:shd w:val="clear" w:color="auto" w:fill="auto"/>
            <w:vAlign w:val="center"/>
          </w:tcPr>
          <w:p w:rsidR="00033FF7" w:rsidRPr="00BF7F64" w:rsidRDefault="00033FF7" w:rsidP="00033FF7">
            <w:pPr>
              <w:spacing w:line="235" w:lineRule="auto"/>
              <w:rPr>
                <w:rFonts w:eastAsia="宋体" w:cs="Times New Roman"/>
                <w:color w:val="000000"/>
                <w:sz w:val="14"/>
                <w:szCs w:val="14"/>
              </w:rPr>
            </w:pPr>
            <w:r w:rsidRPr="00BF7F64">
              <w:rPr>
                <w:rFonts w:eastAsia="宋体" w:cs="Times New Roman" w:hint="eastAsia"/>
                <w:color w:val="000000"/>
                <w:sz w:val="14"/>
                <w:szCs w:val="14"/>
              </w:rPr>
              <w:t>美国萤石</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6.46</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6.46</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9"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r>
      <w:tr w:rsidR="00033FF7" w:rsidRPr="00BF7F64" w:rsidTr="0027505B">
        <w:trPr>
          <w:trHeight w:val="20"/>
        </w:trPr>
        <w:tc>
          <w:tcPr>
            <w:tcW w:w="1413" w:type="dxa"/>
            <w:shd w:val="clear" w:color="auto" w:fill="auto"/>
            <w:vAlign w:val="center"/>
          </w:tcPr>
          <w:p w:rsidR="00033FF7" w:rsidRPr="00BF7F64" w:rsidRDefault="00033FF7" w:rsidP="00033FF7">
            <w:pPr>
              <w:spacing w:line="235" w:lineRule="auto"/>
              <w:rPr>
                <w:rFonts w:eastAsia="宋体" w:cs="Times New Roman"/>
                <w:color w:val="000000"/>
                <w:sz w:val="14"/>
                <w:szCs w:val="14"/>
              </w:rPr>
            </w:pPr>
            <w:r w:rsidRPr="00BF7F64">
              <w:rPr>
                <w:rFonts w:eastAsia="宋体" w:cs="Times New Roman" w:hint="eastAsia"/>
                <w:color w:val="000000"/>
                <w:sz w:val="14"/>
                <w:szCs w:val="14"/>
              </w:rPr>
              <w:t>香港萤石</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8,987.00</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8,987.00</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9"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r>
      <w:tr w:rsidR="00033FF7" w:rsidRPr="00BF7F64" w:rsidTr="0027505B">
        <w:trPr>
          <w:trHeight w:val="20"/>
        </w:trPr>
        <w:tc>
          <w:tcPr>
            <w:tcW w:w="1413" w:type="dxa"/>
            <w:shd w:val="clear" w:color="auto" w:fill="auto"/>
            <w:vAlign w:val="center"/>
          </w:tcPr>
          <w:p w:rsidR="00033FF7" w:rsidRPr="00BF7F64" w:rsidRDefault="00033FF7" w:rsidP="00033FF7">
            <w:pPr>
              <w:spacing w:line="235" w:lineRule="auto"/>
              <w:rPr>
                <w:rFonts w:eastAsia="宋体" w:cs="Times New Roman"/>
                <w:color w:val="000000"/>
                <w:sz w:val="14"/>
                <w:szCs w:val="14"/>
              </w:rPr>
            </w:pPr>
            <w:r w:rsidRPr="00BF7F64">
              <w:rPr>
                <w:rFonts w:eastAsia="宋体" w:cs="Times New Roman" w:hint="eastAsia"/>
                <w:color w:val="000000"/>
                <w:sz w:val="14"/>
                <w:szCs w:val="14"/>
              </w:rPr>
              <w:t>欧洲萤石</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6,199,680.00</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6,199,680.00</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9"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r>
      <w:tr w:rsidR="00033FF7" w:rsidRPr="00BF7F64" w:rsidTr="0027505B">
        <w:trPr>
          <w:trHeight w:val="20"/>
        </w:trPr>
        <w:tc>
          <w:tcPr>
            <w:tcW w:w="1413" w:type="dxa"/>
            <w:shd w:val="clear" w:color="auto" w:fill="auto"/>
            <w:vAlign w:val="center"/>
          </w:tcPr>
          <w:p w:rsidR="00033FF7" w:rsidRPr="00BF7F64" w:rsidRDefault="00033FF7" w:rsidP="00033FF7">
            <w:pPr>
              <w:spacing w:line="235" w:lineRule="auto"/>
              <w:rPr>
                <w:rFonts w:eastAsia="宋体" w:cs="Times New Roman"/>
                <w:color w:val="000000"/>
                <w:sz w:val="14"/>
                <w:szCs w:val="14"/>
              </w:rPr>
            </w:pPr>
            <w:r w:rsidRPr="00BF7F64">
              <w:rPr>
                <w:rFonts w:eastAsia="宋体" w:cs="Times New Roman" w:hint="eastAsia"/>
                <w:color w:val="000000"/>
                <w:sz w:val="14"/>
                <w:szCs w:val="14"/>
              </w:rPr>
              <w:t>重庆萤石</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100,000,000.00</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100,000,000.00</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9"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r>
      <w:tr w:rsidR="00033FF7" w:rsidRPr="00BF7F64" w:rsidTr="0027505B">
        <w:trPr>
          <w:trHeight w:val="20"/>
        </w:trPr>
        <w:tc>
          <w:tcPr>
            <w:tcW w:w="1413" w:type="dxa"/>
            <w:shd w:val="clear" w:color="auto" w:fill="D9D9D9" w:themeFill="background1" w:themeFillShade="D9"/>
            <w:vAlign w:val="center"/>
          </w:tcPr>
          <w:p w:rsidR="00033FF7" w:rsidRPr="00BF7F64" w:rsidRDefault="00033FF7" w:rsidP="00033FF7">
            <w:pPr>
              <w:spacing w:line="235" w:lineRule="auto"/>
              <w:rPr>
                <w:rFonts w:eastAsia="宋体" w:cs="Times New Roman"/>
                <w:color w:val="000000"/>
                <w:sz w:val="14"/>
                <w:szCs w:val="14"/>
              </w:rPr>
            </w:pPr>
            <w:r w:rsidRPr="00BF7F64">
              <w:rPr>
                <w:rFonts w:eastAsia="宋体" w:cs="Times New Roman" w:hint="eastAsia"/>
                <w:color w:val="000000"/>
                <w:sz w:val="14"/>
                <w:szCs w:val="14"/>
              </w:rPr>
              <w:t>合计</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136,208,673.46</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136,208,673.46</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8" w:type="dxa"/>
            <w:shd w:val="clear" w:color="auto" w:fill="auto"/>
            <w:vAlign w:val="center"/>
          </w:tcPr>
          <w:p w:rsidR="00033FF7" w:rsidRPr="00BF7F64" w:rsidRDefault="00033FF7" w:rsidP="00033FF7">
            <w:pPr>
              <w:spacing w:line="235" w:lineRule="auto"/>
              <w:ind w:left="-53"/>
              <w:jc w:val="right"/>
              <w:rPr>
                <w:rFonts w:eastAsia="宋体" w:cs="Times New Roman"/>
                <w:color w:val="000000"/>
                <w:sz w:val="14"/>
                <w:szCs w:val="14"/>
              </w:rPr>
            </w:pPr>
            <w:r w:rsidRPr="00BF7F64">
              <w:rPr>
                <w:rFonts w:eastAsia="宋体" w:cs="Times New Roman"/>
                <w:sz w:val="14"/>
                <w:szCs w:val="14"/>
              </w:rPr>
              <w:t>-    </w:t>
            </w:r>
          </w:p>
        </w:tc>
        <w:tc>
          <w:tcPr>
            <w:tcW w:w="1149" w:type="dxa"/>
            <w:vAlign w:val="center"/>
          </w:tcPr>
          <w:p w:rsidR="00033FF7" w:rsidRPr="00BF7F64" w:rsidRDefault="00387D5A" w:rsidP="00033FF7">
            <w:pPr>
              <w:spacing w:line="235" w:lineRule="auto"/>
              <w:ind w:left="-53"/>
              <w:jc w:val="right"/>
              <w:rPr>
                <w:rFonts w:eastAsia="宋体" w:cs="Times New Roman"/>
                <w:color w:val="000000"/>
                <w:sz w:val="14"/>
                <w:szCs w:val="14"/>
              </w:rPr>
            </w:pPr>
            <w:r w:rsidRPr="00BF7F64">
              <w:rPr>
                <w:rFonts w:eastAsia="宋体" w:cs="Times New Roman"/>
                <w:color w:val="000000"/>
                <w:sz w:val="14"/>
                <w:szCs w:val="14"/>
              </w:rPr>
              <w:t>500,000,000.00</w:t>
            </w:r>
          </w:p>
        </w:tc>
      </w:tr>
    </w:tbl>
    <w:p w:rsidR="00FF34EF" w:rsidRPr="00A71D2E" w:rsidRDefault="00FF34EF" w:rsidP="00F66363">
      <w:pPr>
        <w:spacing w:line="235" w:lineRule="auto"/>
        <w:ind w:left="709"/>
        <w:rPr>
          <w:rFonts w:eastAsia="宋体" w:cs="Times New Roman"/>
          <w:szCs w:val="18"/>
        </w:rPr>
      </w:pPr>
    </w:p>
    <w:p w:rsidR="00FF34EF" w:rsidRPr="00033FF7" w:rsidRDefault="007D7C95">
      <w:pPr>
        <w:pStyle w:val="aff1"/>
        <w:numPr>
          <w:ilvl w:val="0"/>
          <w:numId w:val="31"/>
        </w:numPr>
        <w:spacing w:line="235" w:lineRule="auto"/>
        <w:ind w:left="1440" w:firstLineChars="0" w:hanging="720"/>
        <w:jc w:val="both"/>
        <w:rPr>
          <w:szCs w:val="21"/>
        </w:rPr>
      </w:pPr>
      <w:r w:rsidRPr="00033FF7">
        <w:rPr>
          <w:rFonts w:hint="eastAsia"/>
          <w:szCs w:val="21"/>
        </w:rPr>
        <w:t>本年末</w:t>
      </w:r>
      <w:r w:rsidR="00FF34EF" w:rsidRPr="00033FF7">
        <w:rPr>
          <w:rFonts w:hint="eastAsia"/>
          <w:szCs w:val="21"/>
        </w:rPr>
        <w:t>，本公司不存在对联营、合营企业的投资。</w:t>
      </w:r>
    </w:p>
    <w:p w:rsidR="00FF34EF" w:rsidRPr="00033FF7" w:rsidRDefault="00FF34EF" w:rsidP="00F66363">
      <w:pPr>
        <w:spacing w:line="235" w:lineRule="auto"/>
        <w:ind w:left="720"/>
        <w:jc w:val="both"/>
        <w:rPr>
          <w:rFonts w:eastAsia="宋体" w:cs="Times New Roman"/>
          <w:szCs w:val="21"/>
        </w:rPr>
      </w:pPr>
    </w:p>
    <w:p w:rsidR="00437932" w:rsidRPr="00437932" w:rsidRDefault="007D7C95" w:rsidP="00E456AF">
      <w:pPr>
        <w:pStyle w:val="aff1"/>
        <w:numPr>
          <w:ilvl w:val="0"/>
          <w:numId w:val="31"/>
        </w:numPr>
        <w:adjustRightInd/>
        <w:snapToGrid/>
        <w:spacing w:line="235" w:lineRule="auto"/>
        <w:ind w:left="1440" w:firstLineChars="0" w:hanging="720"/>
        <w:jc w:val="both"/>
        <w:rPr>
          <w:szCs w:val="21"/>
        </w:rPr>
      </w:pPr>
      <w:r w:rsidRPr="00437932">
        <w:rPr>
          <w:rFonts w:hint="eastAsia"/>
          <w:szCs w:val="21"/>
        </w:rPr>
        <w:t>本年末</w:t>
      </w:r>
      <w:r w:rsidR="00FF34EF" w:rsidRPr="00437932">
        <w:rPr>
          <w:rFonts w:hint="eastAsia"/>
          <w:szCs w:val="21"/>
        </w:rPr>
        <w:t>，本公司所持有的长期股权投资之被投资单位向本公司转移资金的能力未受到限制。</w:t>
      </w:r>
    </w:p>
    <w:p w:rsidR="00FF34EF" w:rsidRPr="0027505B" w:rsidRDefault="00FF34EF" w:rsidP="0027505B">
      <w:pPr>
        <w:spacing w:line="235" w:lineRule="auto"/>
        <w:ind w:left="720"/>
        <w:jc w:val="both"/>
        <w:rPr>
          <w:rFonts w:eastAsia="宋体" w:cs="Times New Roman"/>
          <w:szCs w:val="21"/>
        </w:rPr>
      </w:pPr>
    </w:p>
    <w:p w:rsidR="00FF34EF" w:rsidRPr="00F66363" w:rsidRDefault="00FF34EF" w:rsidP="00F66363">
      <w:pPr>
        <w:pStyle w:val="2"/>
        <w:numPr>
          <w:ilvl w:val="2"/>
          <w:numId w:val="1"/>
        </w:numPr>
        <w:adjustRightInd w:val="0"/>
        <w:snapToGrid w:val="0"/>
        <w:spacing w:line="235" w:lineRule="auto"/>
        <w:ind w:left="1440" w:hanging="720"/>
        <w:contextualSpacing w:val="0"/>
        <w:rPr>
          <w:rFonts w:ascii="Times New Roman" w:eastAsia="宋体" w:hAnsi="Times New Roman" w:cs="Times New Roman"/>
        </w:rPr>
      </w:pPr>
      <w:r w:rsidRPr="00A71D2E">
        <w:rPr>
          <w:rFonts w:ascii="Times New Roman" w:eastAsia="宋体" w:hAnsi="Times New Roman" w:cs="Times New Roman" w:hint="eastAsia"/>
        </w:rPr>
        <w:t>营业收入</w:t>
      </w:r>
      <w:r w:rsidR="005C5D87">
        <w:rPr>
          <w:rFonts w:ascii="Times New Roman" w:eastAsia="宋体" w:hAnsi="Times New Roman" w:cs="Times New Roman" w:hint="eastAsia"/>
        </w:rPr>
        <w:t>和</w:t>
      </w:r>
      <w:r w:rsidRPr="00A71D2E">
        <w:rPr>
          <w:rFonts w:ascii="Times New Roman" w:eastAsia="宋体" w:hAnsi="Times New Roman" w:cs="Times New Roman" w:hint="eastAsia"/>
        </w:rPr>
        <w:t>营业成本</w:t>
      </w:r>
    </w:p>
    <w:p w:rsidR="00FF34EF" w:rsidRPr="00A71D2E" w:rsidRDefault="00FF34EF" w:rsidP="00F66363">
      <w:pPr>
        <w:pStyle w:val="aff1"/>
        <w:widowControl w:val="0"/>
        <w:spacing w:line="235" w:lineRule="auto"/>
        <w:ind w:left="1440" w:firstLineChars="0" w:hanging="720"/>
        <w:rPr>
          <w:b/>
          <w:bCs/>
        </w:rPr>
      </w:pPr>
    </w:p>
    <w:p w:rsidR="00FF34EF" w:rsidRPr="00A71D2E" w:rsidRDefault="00FF34EF">
      <w:pPr>
        <w:pStyle w:val="aff1"/>
        <w:numPr>
          <w:ilvl w:val="0"/>
          <w:numId w:val="28"/>
        </w:numPr>
        <w:spacing w:line="235" w:lineRule="auto"/>
        <w:ind w:left="1440" w:firstLineChars="0" w:hanging="709"/>
      </w:pPr>
      <w:r w:rsidRPr="00A71D2E">
        <w:rPr>
          <w:rFonts w:hint="eastAsia"/>
        </w:rPr>
        <w:t>营业收入</w:t>
      </w:r>
      <w:r w:rsidR="008E57CE">
        <w:rPr>
          <w:rFonts w:hint="eastAsia"/>
        </w:rPr>
        <w:t>和</w:t>
      </w:r>
      <w:r w:rsidRPr="00A71D2E">
        <w:rPr>
          <w:rFonts w:hint="eastAsia"/>
        </w:rPr>
        <w:t>营业成本</w:t>
      </w:r>
      <w:r w:rsidR="008E57CE">
        <w:rPr>
          <w:rFonts w:hint="eastAsia"/>
        </w:rPr>
        <w:t>情况</w:t>
      </w:r>
    </w:p>
    <w:p w:rsidR="00FF34EF" w:rsidRPr="00A71D2E" w:rsidRDefault="00FF34EF" w:rsidP="00F66363">
      <w:pPr>
        <w:spacing w:line="235" w:lineRule="auto"/>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426"/>
        <w:gridCol w:w="1507"/>
        <w:gridCol w:w="1508"/>
        <w:gridCol w:w="1507"/>
        <w:gridCol w:w="1508"/>
      </w:tblGrid>
      <w:tr w:rsidR="003415F9" w:rsidRPr="00A71D2E" w:rsidTr="0027505B">
        <w:trPr>
          <w:trHeight w:val="20"/>
        </w:trPr>
        <w:tc>
          <w:tcPr>
            <w:tcW w:w="3426" w:type="dxa"/>
            <w:vMerge w:val="restart"/>
            <w:shd w:val="clear" w:color="auto" w:fill="D9D9D9" w:themeFill="background1" w:themeFillShade="D9"/>
            <w:tcMar>
              <w:top w:w="0" w:type="dxa"/>
              <w:left w:w="108" w:type="dxa"/>
              <w:bottom w:w="0" w:type="dxa"/>
              <w:right w:w="108" w:type="dxa"/>
            </w:tcMar>
            <w:vAlign w:val="center"/>
            <w:hideMark/>
          </w:tcPr>
          <w:p w:rsidR="00FF34EF" w:rsidRPr="00A71D2E" w:rsidRDefault="00FF34EF" w:rsidP="00F66363">
            <w:pPr>
              <w:spacing w:line="235" w:lineRule="auto"/>
              <w:jc w:val="center"/>
              <w:rPr>
                <w:rFonts w:eastAsia="宋体" w:cs="Times New Roman"/>
                <w:sz w:val="18"/>
                <w:szCs w:val="18"/>
              </w:rPr>
            </w:pPr>
            <w:r w:rsidRPr="00A71D2E">
              <w:rPr>
                <w:rFonts w:eastAsia="宋体" w:cs="Times New Roman" w:hint="eastAsia"/>
                <w:sz w:val="18"/>
                <w:szCs w:val="18"/>
              </w:rPr>
              <w:t>项目</w:t>
            </w:r>
          </w:p>
        </w:tc>
        <w:tc>
          <w:tcPr>
            <w:tcW w:w="3015" w:type="dxa"/>
            <w:gridSpan w:val="2"/>
            <w:shd w:val="clear" w:color="auto" w:fill="D9D9D9" w:themeFill="background1" w:themeFillShade="D9"/>
            <w:vAlign w:val="center"/>
          </w:tcPr>
          <w:p w:rsidR="00FF34EF" w:rsidRPr="00A71D2E" w:rsidRDefault="002E6C0C" w:rsidP="00F66363">
            <w:pPr>
              <w:spacing w:line="235" w:lineRule="auto"/>
              <w:jc w:val="center"/>
              <w:rPr>
                <w:rFonts w:eastAsia="宋体" w:cs="Times New Roman"/>
                <w:sz w:val="18"/>
                <w:szCs w:val="18"/>
              </w:rPr>
            </w:pPr>
            <w:r w:rsidRPr="00A71D2E">
              <w:rPr>
                <w:rFonts w:eastAsia="宋体" w:cs="Times New Roman" w:hint="eastAsia"/>
                <w:sz w:val="18"/>
                <w:szCs w:val="18"/>
              </w:rPr>
              <w:t>本年发生额</w:t>
            </w:r>
          </w:p>
        </w:tc>
        <w:tc>
          <w:tcPr>
            <w:tcW w:w="3015" w:type="dxa"/>
            <w:gridSpan w:val="2"/>
            <w:shd w:val="clear" w:color="auto" w:fill="D9D9D9" w:themeFill="background1" w:themeFillShade="D9"/>
            <w:tcMar>
              <w:top w:w="0" w:type="dxa"/>
              <w:left w:w="108" w:type="dxa"/>
              <w:bottom w:w="0" w:type="dxa"/>
              <w:right w:w="108" w:type="dxa"/>
            </w:tcMar>
            <w:vAlign w:val="center"/>
            <w:hideMark/>
          </w:tcPr>
          <w:p w:rsidR="00FF34EF" w:rsidRPr="00A71D2E" w:rsidRDefault="002E6C0C" w:rsidP="00F66363">
            <w:pPr>
              <w:spacing w:line="235" w:lineRule="auto"/>
              <w:jc w:val="center"/>
              <w:rPr>
                <w:rFonts w:eastAsia="宋体" w:cs="Times New Roman"/>
                <w:sz w:val="18"/>
                <w:szCs w:val="18"/>
              </w:rPr>
            </w:pPr>
            <w:r w:rsidRPr="00A71D2E">
              <w:rPr>
                <w:rFonts w:eastAsia="宋体" w:cs="Times New Roman" w:hint="eastAsia"/>
                <w:sz w:val="18"/>
                <w:szCs w:val="18"/>
              </w:rPr>
              <w:t>上年发生额</w:t>
            </w:r>
          </w:p>
        </w:tc>
      </w:tr>
      <w:tr w:rsidR="00FF34EF" w:rsidRPr="00A71D2E" w:rsidTr="0027505B">
        <w:trPr>
          <w:trHeight w:val="20"/>
        </w:trPr>
        <w:tc>
          <w:tcPr>
            <w:tcW w:w="3426" w:type="dxa"/>
            <w:vMerge/>
            <w:shd w:val="clear" w:color="auto" w:fill="D9D9D9" w:themeFill="background1" w:themeFillShade="D9"/>
            <w:tcMar>
              <w:top w:w="0" w:type="dxa"/>
              <w:left w:w="108" w:type="dxa"/>
              <w:bottom w:w="0" w:type="dxa"/>
              <w:right w:w="108" w:type="dxa"/>
            </w:tcMar>
            <w:vAlign w:val="center"/>
          </w:tcPr>
          <w:p w:rsidR="00FF34EF" w:rsidRPr="00A71D2E" w:rsidRDefault="00FF34EF" w:rsidP="00F66363">
            <w:pPr>
              <w:spacing w:line="235" w:lineRule="auto"/>
              <w:jc w:val="center"/>
              <w:rPr>
                <w:rFonts w:eastAsia="宋体" w:cs="Times New Roman"/>
                <w:sz w:val="18"/>
                <w:szCs w:val="18"/>
              </w:rPr>
            </w:pPr>
          </w:p>
        </w:tc>
        <w:tc>
          <w:tcPr>
            <w:tcW w:w="1507" w:type="dxa"/>
            <w:shd w:val="clear" w:color="auto" w:fill="D9D9D9" w:themeFill="background1" w:themeFillShade="D9"/>
            <w:vAlign w:val="center"/>
          </w:tcPr>
          <w:p w:rsidR="00FF34EF" w:rsidRPr="00A71D2E" w:rsidRDefault="00FF34EF" w:rsidP="00F66363">
            <w:pPr>
              <w:spacing w:line="235" w:lineRule="auto"/>
              <w:jc w:val="center"/>
              <w:rPr>
                <w:rFonts w:eastAsia="宋体" w:cs="Times New Roman"/>
                <w:sz w:val="18"/>
                <w:szCs w:val="18"/>
              </w:rPr>
            </w:pPr>
            <w:r w:rsidRPr="00A71D2E">
              <w:rPr>
                <w:rFonts w:eastAsia="宋体" w:cs="Times New Roman" w:hint="eastAsia"/>
                <w:sz w:val="18"/>
                <w:szCs w:val="18"/>
              </w:rPr>
              <w:t>收入</w:t>
            </w:r>
          </w:p>
        </w:tc>
        <w:tc>
          <w:tcPr>
            <w:tcW w:w="1508" w:type="dxa"/>
            <w:shd w:val="clear" w:color="auto" w:fill="D9D9D9" w:themeFill="background1" w:themeFillShade="D9"/>
            <w:vAlign w:val="center"/>
          </w:tcPr>
          <w:p w:rsidR="00FF34EF" w:rsidRPr="00A71D2E" w:rsidRDefault="00FF34EF" w:rsidP="00F66363">
            <w:pPr>
              <w:spacing w:line="235" w:lineRule="auto"/>
              <w:jc w:val="center"/>
              <w:rPr>
                <w:rFonts w:eastAsia="宋体" w:cs="Times New Roman"/>
                <w:sz w:val="18"/>
                <w:szCs w:val="18"/>
              </w:rPr>
            </w:pPr>
            <w:r w:rsidRPr="00A71D2E">
              <w:rPr>
                <w:rFonts w:eastAsia="宋体" w:cs="Times New Roman" w:hint="eastAsia"/>
                <w:sz w:val="18"/>
                <w:szCs w:val="18"/>
              </w:rPr>
              <w:t>成本</w:t>
            </w:r>
          </w:p>
        </w:tc>
        <w:tc>
          <w:tcPr>
            <w:tcW w:w="1507" w:type="dxa"/>
            <w:shd w:val="clear" w:color="auto" w:fill="D9D9D9" w:themeFill="background1" w:themeFillShade="D9"/>
            <w:tcMar>
              <w:top w:w="0" w:type="dxa"/>
              <w:left w:w="108" w:type="dxa"/>
              <w:bottom w:w="0" w:type="dxa"/>
              <w:right w:w="108" w:type="dxa"/>
            </w:tcMar>
            <w:vAlign w:val="center"/>
          </w:tcPr>
          <w:p w:rsidR="00FF34EF" w:rsidRPr="00A71D2E" w:rsidRDefault="00FF34EF" w:rsidP="00F66363">
            <w:pPr>
              <w:spacing w:line="235" w:lineRule="auto"/>
              <w:jc w:val="center"/>
              <w:rPr>
                <w:rFonts w:eastAsia="宋体" w:cs="Times New Roman"/>
                <w:sz w:val="18"/>
                <w:szCs w:val="18"/>
              </w:rPr>
            </w:pPr>
            <w:r w:rsidRPr="00A71D2E">
              <w:rPr>
                <w:rFonts w:eastAsia="宋体" w:cs="Times New Roman" w:hint="eastAsia"/>
                <w:sz w:val="18"/>
                <w:szCs w:val="18"/>
              </w:rPr>
              <w:t>收入</w:t>
            </w:r>
          </w:p>
        </w:tc>
        <w:tc>
          <w:tcPr>
            <w:tcW w:w="1508" w:type="dxa"/>
            <w:shd w:val="clear" w:color="auto" w:fill="D9D9D9" w:themeFill="background1" w:themeFillShade="D9"/>
            <w:vAlign w:val="center"/>
          </w:tcPr>
          <w:p w:rsidR="00FF34EF" w:rsidRPr="00A71D2E" w:rsidRDefault="00FF34EF" w:rsidP="00F66363">
            <w:pPr>
              <w:spacing w:line="235" w:lineRule="auto"/>
              <w:jc w:val="center"/>
              <w:rPr>
                <w:rFonts w:eastAsia="宋体" w:cs="Times New Roman"/>
                <w:sz w:val="18"/>
                <w:szCs w:val="18"/>
              </w:rPr>
            </w:pPr>
            <w:r w:rsidRPr="00A71D2E">
              <w:rPr>
                <w:rFonts w:eastAsia="宋体" w:cs="Times New Roman" w:hint="eastAsia"/>
                <w:sz w:val="18"/>
                <w:szCs w:val="18"/>
              </w:rPr>
              <w:t>成本</w:t>
            </w:r>
          </w:p>
        </w:tc>
      </w:tr>
      <w:tr w:rsidR="00FE7B06" w:rsidRPr="00A71D2E" w:rsidTr="0027505B">
        <w:trPr>
          <w:trHeight w:val="20"/>
        </w:trPr>
        <w:tc>
          <w:tcPr>
            <w:tcW w:w="3426" w:type="dxa"/>
            <w:shd w:val="clear" w:color="auto" w:fill="FFFFFF" w:themeFill="background1"/>
            <w:tcMar>
              <w:top w:w="0" w:type="dxa"/>
              <w:left w:w="108" w:type="dxa"/>
              <w:bottom w:w="0" w:type="dxa"/>
              <w:right w:w="108" w:type="dxa"/>
            </w:tcMar>
            <w:vAlign w:val="center"/>
            <w:hideMark/>
          </w:tcPr>
          <w:p w:rsidR="00FE7B06" w:rsidRPr="00A71D2E" w:rsidRDefault="00FE7B06" w:rsidP="00FE7B06">
            <w:pPr>
              <w:spacing w:line="235" w:lineRule="auto"/>
              <w:rPr>
                <w:rFonts w:eastAsia="宋体" w:cs="Times New Roman"/>
                <w:sz w:val="18"/>
                <w:szCs w:val="18"/>
              </w:rPr>
            </w:pPr>
            <w:r w:rsidRPr="00A71D2E">
              <w:rPr>
                <w:rFonts w:eastAsia="宋体" w:cs="Times New Roman" w:hint="eastAsia"/>
                <w:sz w:val="18"/>
                <w:szCs w:val="18"/>
              </w:rPr>
              <w:t>主营业务</w:t>
            </w:r>
          </w:p>
        </w:tc>
        <w:tc>
          <w:tcPr>
            <w:tcW w:w="1507" w:type="dxa"/>
            <w:vAlign w:val="center"/>
          </w:tcPr>
          <w:p w:rsidR="00FE7B06" w:rsidRPr="00A71D2E" w:rsidRDefault="008B2455" w:rsidP="00FE7B06">
            <w:pPr>
              <w:spacing w:line="235" w:lineRule="auto"/>
              <w:ind w:right="88" w:firstLine="30"/>
              <w:jc w:val="right"/>
              <w:rPr>
                <w:rFonts w:eastAsia="宋体" w:cs="Times New Roman"/>
                <w:sz w:val="18"/>
                <w:szCs w:val="18"/>
              </w:rPr>
            </w:pPr>
            <w:r w:rsidRPr="008B2455">
              <w:rPr>
                <w:rFonts w:eastAsia="宋体" w:cs="Times New Roman"/>
                <w:sz w:val="18"/>
                <w:szCs w:val="18"/>
              </w:rPr>
              <w:t>4,650,164,163.77</w:t>
            </w:r>
          </w:p>
        </w:tc>
        <w:tc>
          <w:tcPr>
            <w:tcW w:w="1508" w:type="dxa"/>
            <w:vAlign w:val="center"/>
          </w:tcPr>
          <w:p w:rsidR="00FE7B06" w:rsidRPr="00A71D2E" w:rsidRDefault="008B2455" w:rsidP="00FE7B06">
            <w:pPr>
              <w:spacing w:line="235" w:lineRule="auto"/>
              <w:ind w:right="88" w:firstLine="30"/>
              <w:jc w:val="right"/>
              <w:rPr>
                <w:rFonts w:eastAsia="宋体" w:cs="Times New Roman"/>
                <w:sz w:val="18"/>
                <w:szCs w:val="18"/>
              </w:rPr>
            </w:pPr>
            <w:r w:rsidRPr="008B2455">
              <w:rPr>
                <w:rFonts w:eastAsia="宋体" w:cs="Times New Roman"/>
                <w:sz w:val="18"/>
                <w:szCs w:val="18"/>
              </w:rPr>
              <w:t>3,967,957,346.99</w:t>
            </w:r>
          </w:p>
        </w:tc>
        <w:tc>
          <w:tcPr>
            <w:tcW w:w="1507" w:type="dxa"/>
            <w:tcMar>
              <w:top w:w="0" w:type="dxa"/>
              <w:left w:w="108" w:type="dxa"/>
              <w:bottom w:w="0" w:type="dxa"/>
              <w:right w:w="108" w:type="dxa"/>
            </w:tcMar>
            <w:vAlign w:val="center"/>
          </w:tcPr>
          <w:p w:rsidR="00FE7B06" w:rsidRPr="00A71D2E" w:rsidRDefault="00FE7B06" w:rsidP="00FE7B06">
            <w:pPr>
              <w:spacing w:line="235" w:lineRule="auto"/>
              <w:ind w:firstLine="30"/>
              <w:jc w:val="right"/>
              <w:rPr>
                <w:rFonts w:eastAsia="宋体" w:cs="Times New Roman"/>
                <w:sz w:val="18"/>
                <w:szCs w:val="18"/>
              </w:rPr>
            </w:pPr>
            <w:r w:rsidRPr="00546881">
              <w:rPr>
                <w:rFonts w:eastAsia="宋体" w:cs="Times New Roman"/>
                <w:sz w:val="18"/>
                <w:szCs w:val="18"/>
              </w:rPr>
              <w:t>4,165,733,878.85</w:t>
            </w:r>
          </w:p>
        </w:tc>
        <w:tc>
          <w:tcPr>
            <w:tcW w:w="1508" w:type="dxa"/>
            <w:vAlign w:val="center"/>
          </w:tcPr>
          <w:p w:rsidR="00FE7B06" w:rsidRPr="00A71D2E" w:rsidRDefault="00FE7B06" w:rsidP="00FE7B06">
            <w:pPr>
              <w:spacing w:line="235" w:lineRule="auto"/>
              <w:ind w:right="88" w:firstLine="30"/>
              <w:jc w:val="right"/>
              <w:rPr>
                <w:rFonts w:eastAsia="宋体" w:cs="Times New Roman"/>
                <w:sz w:val="18"/>
                <w:szCs w:val="18"/>
              </w:rPr>
            </w:pPr>
            <w:r w:rsidRPr="00546881">
              <w:rPr>
                <w:rFonts w:eastAsia="宋体" w:cs="Times New Roman"/>
                <w:sz w:val="18"/>
                <w:szCs w:val="18"/>
              </w:rPr>
              <w:t>3,573,171,236.60</w:t>
            </w:r>
          </w:p>
        </w:tc>
      </w:tr>
      <w:tr w:rsidR="00FE7B06" w:rsidRPr="00A71D2E" w:rsidTr="0027505B">
        <w:trPr>
          <w:trHeight w:val="20"/>
        </w:trPr>
        <w:tc>
          <w:tcPr>
            <w:tcW w:w="3426" w:type="dxa"/>
            <w:shd w:val="clear" w:color="auto" w:fill="FFFFFF" w:themeFill="background1"/>
            <w:tcMar>
              <w:top w:w="0" w:type="dxa"/>
              <w:left w:w="108" w:type="dxa"/>
              <w:bottom w:w="0" w:type="dxa"/>
              <w:right w:w="108" w:type="dxa"/>
            </w:tcMar>
            <w:vAlign w:val="center"/>
          </w:tcPr>
          <w:p w:rsidR="00FE7B06" w:rsidRPr="00A71D2E" w:rsidRDefault="00FE7B06" w:rsidP="00FE7B06">
            <w:pPr>
              <w:spacing w:line="235" w:lineRule="auto"/>
              <w:rPr>
                <w:rFonts w:eastAsia="宋体" w:cs="Times New Roman"/>
                <w:sz w:val="18"/>
                <w:szCs w:val="18"/>
              </w:rPr>
            </w:pPr>
            <w:r w:rsidRPr="00A71D2E">
              <w:rPr>
                <w:rFonts w:eastAsia="宋体" w:cs="Times New Roman" w:hint="eastAsia"/>
                <w:sz w:val="18"/>
                <w:szCs w:val="18"/>
              </w:rPr>
              <w:t>其他业务</w:t>
            </w:r>
          </w:p>
        </w:tc>
        <w:tc>
          <w:tcPr>
            <w:tcW w:w="1507" w:type="dxa"/>
            <w:vAlign w:val="center"/>
          </w:tcPr>
          <w:p w:rsidR="00FE7B06" w:rsidRPr="00A71D2E" w:rsidRDefault="008B2455" w:rsidP="00FE7B06">
            <w:pPr>
              <w:spacing w:line="235" w:lineRule="auto"/>
              <w:ind w:right="88" w:firstLine="30"/>
              <w:jc w:val="right"/>
              <w:rPr>
                <w:rFonts w:eastAsia="宋体" w:cs="Times New Roman"/>
                <w:sz w:val="18"/>
                <w:szCs w:val="18"/>
              </w:rPr>
            </w:pPr>
            <w:r w:rsidRPr="008B2455">
              <w:rPr>
                <w:rFonts w:eastAsia="宋体" w:cs="Times New Roman"/>
                <w:sz w:val="18"/>
                <w:szCs w:val="18"/>
              </w:rPr>
              <w:t>116,415,334.55</w:t>
            </w:r>
          </w:p>
        </w:tc>
        <w:tc>
          <w:tcPr>
            <w:tcW w:w="1508" w:type="dxa"/>
            <w:vAlign w:val="center"/>
          </w:tcPr>
          <w:p w:rsidR="00FE7B06" w:rsidRPr="00A71D2E" w:rsidRDefault="008B2455" w:rsidP="00FE7B06">
            <w:pPr>
              <w:spacing w:line="235" w:lineRule="auto"/>
              <w:ind w:right="88" w:firstLine="30"/>
              <w:jc w:val="right"/>
              <w:rPr>
                <w:rFonts w:eastAsia="宋体" w:cs="Times New Roman"/>
                <w:sz w:val="18"/>
                <w:szCs w:val="18"/>
              </w:rPr>
            </w:pPr>
            <w:r w:rsidRPr="008B2455">
              <w:rPr>
                <w:rFonts w:eastAsia="宋体" w:cs="Times New Roman"/>
                <w:sz w:val="18"/>
                <w:szCs w:val="18"/>
              </w:rPr>
              <w:t>115,963,124.42</w:t>
            </w:r>
          </w:p>
        </w:tc>
        <w:tc>
          <w:tcPr>
            <w:tcW w:w="1507" w:type="dxa"/>
            <w:tcMar>
              <w:top w:w="0" w:type="dxa"/>
              <w:left w:w="108" w:type="dxa"/>
              <w:bottom w:w="0" w:type="dxa"/>
              <w:right w:w="108" w:type="dxa"/>
            </w:tcMar>
            <w:vAlign w:val="center"/>
          </w:tcPr>
          <w:p w:rsidR="00FE7B06" w:rsidRPr="00A71D2E" w:rsidRDefault="00FE7B06" w:rsidP="00FE7B06">
            <w:pPr>
              <w:spacing w:line="235" w:lineRule="auto"/>
              <w:ind w:firstLine="30"/>
              <w:jc w:val="right"/>
              <w:rPr>
                <w:rFonts w:eastAsia="宋体" w:cs="Times New Roman"/>
                <w:sz w:val="18"/>
                <w:szCs w:val="18"/>
              </w:rPr>
            </w:pPr>
            <w:r w:rsidRPr="00546881">
              <w:rPr>
                <w:rFonts w:eastAsia="宋体" w:cs="Times New Roman"/>
                <w:sz w:val="18"/>
                <w:szCs w:val="18"/>
              </w:rPr>
              <w:t>132,803,728.70</w:t>
            </w:r>
          </w:p>
        </w:tc>
        <w:tc>
          <w:tcPr>
            <w:tcW w:w="1508" w:type="dxa"/>
            <w:vAlign w:val="center"/>
          </w:tcPr>
          <w:p w:rsidR="00FE7B06" w:rsidRPr="00A71D2E" w:rsidRDefault="00FE7B06" w:rsidP="00FE7B06">
            <w:pPr>
              <w:spacing w:line="235" w:lineRule="auto"/>
              <w:ind w:right="88" w:firstLine="30"/>
              <w:jc w:val="right"/>
              <w:rPr>
                <w:rFonts w:eastAsia="宋体" w:cs="Times New Roman"/>
                <w:sz w:val="18"/>
                <w:szCs w:val="18"/>
              </w:rPr>
            </w:pPr>
            <w:r w:rsidRPr="00546881">
              <w:rPr>
                <w:rFonts w:eastAsia="宋体" w:cs="Times New Roman"/>
                <w:sz w:val="18"/>
                <w:szCs w:val="18"/>
              </w:rPr>
              <w:t>124,828,562.02</w:t>
            </w:r>
          </w:p>
        </w:tc>
      </w:tr>
      <w:tr w:rsidR="00FE7B06" w:rsidRPr="00A71D2E" w:rsidTr="0027505B">
        <w:trPr>
          <w:trHeight w:val="20"/>
        </w:trPr>
        <w:tc>
          <w:tcPr>
            <w:tcW w:w="3426" w:type="dxa"/>
            <w:shd w:val="clear" w:color="auto" w:fill="D9D9D9" w:themeFill="background1" w:themeFillShade="D9"/>
            <w:tcMar>
              <w:top w:w="0" w:type="dxa"/>
              <w:left w:w="108" w:type="dxa"/>
              <w:bottom w:w="0" w:type="dxa"/>
              <w:right w:w="108" w:type="dxa"/>
            </w:tcMar>
            <w:vAlign w:val="center"/>
            <w:hideMark/>
          </w:tcPr>
          <w:p w:rsidR="00FE7B06" w:rsidRPr="00A71D2E" w:rsidRDefault="00FE7B06" w:rsidP="00FE7B06">
            <w:pPr>
              <w:spacing w:line="235" w:lineRule="auto"/>
              <w:rPr>
                <w:rFonts w:eastAsia="宋体" w:cs="Times New Roman"/>
                <w:sz w:val="18"/>
                <w:szCs w:val="18"/>
              </w:rPr>
            </w:pPr>
            <w:r w:rsidRPr="00A71D2E">
              <w:rPr>
                <w:rFonts w:eastAsia="宋体" w:cs="Times New Roman" w:hint="eastAsia"/>
                <w:sz w:val="18"/>
                <w:szCs w:val="18"/>
              </w:rPr>
              <w:t>合计</w:t>
            </w:r>
          </w:p>
        </w:tc>
        <w:tc>
          <w:tcPr>
            <w:tcW w:w="1507" w:type="dxa"/>
            <w:vAlign w:val="center"/>
          </w:tcPr>
          <w:p w:rsidR="00FE7B06" w:rsidRPr="00A71D2E" w:rsidRDefault="00BD47A4" w:rsidP="00FE7B06">
            <w:pPr>
              <w:spacing w:line="235" w:lineRule="auto"/>
              <w:ind w:right="88" w:firstLine="30"/>
              <w:jc w:val="right"/>
              <w:rPr>
                <w:rFonts w:eastAsia="宋体" w:cs="Times New Roman"/>
                <w:sz w:val="18"/>
                <w:szCs w:val="18"/>
              </w:rPr>
            </w:pPr>
            <w:r w:rsidRPr="00BD47A4">
              <w:rPr>
                <w:rFonts w:eastAsia="宋体" w:cs="Times New Roman"/>
                <w:sz w:val="18"/>
                <w:szCs w:val="18"/>
              </w:rPr>
              <w:t>4,766,579,498.32</w:t>
            </w:r>
          </w:p>
        </w:tc>
        <w:tc>
          <w:tcPr>
            <w:tcW w:w="1508" w:type="dxa"/>
            <w:vAlign w:val="center"/>
          </w:tcPr>
          <w:p w:rsidR="00FE7B06" w:rsidRPr="00A71D2E" w:rsidRDefault="00BD47A4" w:rsidP="00FE7B06">
            <w:pPr>
              <w:spacing w:line="235" w:lineRule="auto"/>
              <w:ind w:right="88" w:firstLine="30"/>
              <w:jc w:val="right"/>
              <w:rPr>
                <w:rFonts w:eastAsia="宋体" w:cs="Times New Roman"/>
                <w:sz w:val="18"/>
                <w:szCs w:val="18"/>
              </w:rPr>
            </w:pPr>
            <w:r w:rsidRPr="00BD47A4">
              <w:rPr>
                <w:rFonts w:eastAsia="宋体" w:cs="Times New Roman"/>
                <w:sz w:val="18"/>
                <w:szCs w:val="18"/>
              </w:rPr>
              <w:t>4,083,920,471.41</w:t>
            </w:r>
          </w:p>
        </w:tc>
        <w:tc>
          <w:tcPr>
            <w:tcW w:w="1507" w:type="dxa"/>
            <w:tcMar>
              <w:top w:w="0" w:type="dxa"/>
              <w:left w:w="108" w:type="dxa"/>
              <w:bottom w:w="0" w:type="dxa"/>
              <w:right w:w="108" w:type="dxa"/>
            </w:tcMar>
            <w:vAlign w:val="center"/>
          </w:tcPr>
          <w:p w:rsidR="00FE7B06" w:rsidRPr="00A71D2E" w:rsidRDefault="00FE7B06" w:rsidP="00FE7B06">
            <w:pPr>
              <w:spacing w:line="235" w:lineRule="auto"/>
              <w:ind w:firstLine="30"/>
              <w:jc w:val="right"/>
              <w:rPr>
                <w:rFonts w:eastAsia="宋体" w:cs="Times New Roman"/>
                <w:sz w:val="18"/>
                <w:szCs w:val="18"/>
              </w:rPr>
            </w:pPr>
            <w:r w:rsidRPr="00A71D2E">
              <w:rPr>
                <w:rFonts w:eastAsia="宋体" w:cs="Times New Roman"/>
                <w:sz w:val="18"/>
                <w:szCs w:val="18"/>
              </w:rPr>
              <w:t>4,298,537,607.55</w:t>
            </w:r>
          </w:p>
        </w:tc>
        <w:tc>
          <w:tcPr>
            <w:tcW w:w="1508" w:type="dxa"/>
            <w:vAlign w:val="center"/>
          </w:tcPr>
          <w:p w:rsidR="00FE7B06" w:rsidRPr="00A71D2E" w:rsidRDefault="00FE7B06" w:rsidP="00FE7B06">
            <w:pPr>
              <w:spacing w:line="235" w:lineRule="auto"/>
              <w:ind w:right="88" w:firstLine="30"/>
              <w:jc w:val="right"/>
              <w:rPr>
                <w:rFonts w:eastAsia="宋体" w:cs="Times New Roman"/>
                <w:sz w:val="18"/>
                <w:szCs w:val="18"/>
              </w:rPr>
            </w:pPr>
            <w:r w:rsidRPr="00A71D2E">
              <w:rPr>
                <w:rFonts w:eastAsia="宋体" w:cs="Times New Roman"/>
                <w:sz w:val="18"/>
                <w:szCs w:val="18"/>
              </w:rPr>
              <w:t>3,697,999,798.62</w:t>
            </w:r>
          </w:p>
        </w:tc>
      </w:tr>
    </w:tbl>
    <w:p w:rsidR="00BF7F64" w:rsidRDefault="00BF7F64">
      <w:pPr>
        <w:adjustRightInd/>
        <w:snapToGrid/>
        <w:rPr>
          <w:rFonts w:eastAsia="宋体" w:cs="Times New Roman"/>
          <w:szCs w:val="21"/>
        </w:rPr>
      </w:pPr>
      <w:r>
        <w:rPr>
          <w:rFonts w:eastAsia="宋体" w:cs="Times New Roman"/>
          <w:szCs w:val="21"/>
        </w:rPr>
        <w:br w:type="page"/>
      </w:r>
    </w:p>
    <w:p w:rsidR="00BF7F64" w:rsidRPr="00F66363" w:rsidRDefault="00BF7F64" w:rsidP="00BF7F64">
      <w:pPr>
        <w:rPr>
          <w:rFonts w:eastAsia="宋体" w:cs="Times New Roman"/>
          <w:szCs w:val="21"/>
        </w:rPr>
      </w:pPr>
      <w:r>
        <w:rPr>
          <w:rFonts w:eastAsia="宋体" w:cs="Times New Roman"/>
          <w:b/>
          <w:bCs/>
          <w:szCs w:val="28"/>
        </w:rPr>
        <w:t>(</w:t>
      </w:r>
      <w:r w:rsidRPr="00F66363">
        <w:rPr>
          <w:rFonts w:eastAsia="宋体" w:cs="Times New Roman" w:hint="eastAsia"/>
          <w:b/>
          <w:bCs/>
          <w:szCs w:val="28"/>
        </w:rPr>
        <w:t>十</w:t>
      </w:r>
      <w:r>
        <w:rPr>
          <w:rFonts w:eastAsia="宋体" w:cs="Times New Roman" w:hint="eastAsia"/>
          <w:b/>
          <w:bCs/>
          <w:szCs w:val="28"/>
        </w:rPr>
        <w:t>五</w:t>
      </w:r>
      <w:r>
        <w:rPr>
          <w:rFonts w:eastAsia="宋体" w:cs="Times New Roman"/>
          <w:b/>
          <w:bCs/>
          <w:szCs w:val="28"/>
        </w:rPr>
        <w:t>)</w:t>
      </w:r>
      <w:r w:rsidRPr="00F66363">
        <w:rPr>
          <w:rFonts w:eastAsia="宋体" w:cs="Times New Roman"/>
          <w:b/>
          <w:bCs/>
          <w:szCs w:val="28"/>
        </w:rPr>
        <w:tab/>
      </w:r>
      <w:r w:rsidRPr="00F66363">
        <w:rPr>
          <w:rFonts w:eastAsia="宋体" w:cs="Times New Roman" w:hint="eastAsia"/>
          <w:b/>
          <w:bCs/>
          <w:szCs w:val="28"/>
        </w:rPr>
        <w:t>母公司财务报表主要项目注释</w:t>
      </w:r>
      <w:r w:rsidRPr="00F66363">
        <w:rPr>
          <w:rFonts w:eastAsia="宋体" w:cs="Times New Roman"/>
        </w:rPr>
        <w:t xml:space="preserve"> - </w:t>
      </w:r>
      <w:r w:rsidRPr="00F66363">
        <w:rPr>
          <w:rFonts w:eastAsia="宋体" w:cs="Times New Roman" w:hint="eastAsia"/>
        </w:rPr>
        <w:t>续</w:t>
      </w:r>
    </w:p>
    <w:p w:rsidR="002E6C0C" w:rsidRDefault="002E6C0C" w:rsidP="00F66363">
      <w:pPr>
        <w:spacing w:line="235" w:lineRule="auto"/>
        <w:ind w:left="720"/>
        <w:jc w:val="both"/>
        <w:rPr>
          <w:rFonts w:eastAsia="宋体" w:cs="Times New Roman"/>
          <w:szCs w:val="21"/>
        </w:rPr>
      </w:pPr>
    </w:p>
    <w:p w:rsidR="00BF7F64" w:rsidRDefault="00BF7F64" w:rsidP="00F66363">
      <w:pPr>
        <w:spacing w:line="235" w:lineRule="auto"/>
        <w:ind w:left="720"/>
        <w:jc w:val="both"/>
        <w:rPr>
          <w:rFonts w:eastAsia="宋体" w:cs="Times New Roman"/>
          <w:szCs w:val="21"/>
        </w:rPr>
      </w:pPr>
      <w:r w:rsidRPr="0027505B">
        <w:rPr>
          <w:rFonts w:eastAsia="宋体" w:cs="Times New Roman"/>
          <w:b/>
          <w:bCs/>
          <w:szCs w:val="21"/>
        </w:rPr>
        <w:t>4</w:t>
      </w:r>
      <w:r w:rsidRPr="0027505B">
        <w:rPr>
          <w:rFonts w:eastAsia="宋体" w:cs="Times New Roman" w:hint="eastAsia"/>
          <w:b/>
          <w:bCs/>
          <w:szCs w:val="21"/>
        </w:rPr>
        <w:t>、</w:t>
      </w:r>
      <w:r w:rsidRPr="0027505B">
        <w:rPr>
          <w:rFonts w:eastAsia="宋体" w:cs="Times New Roman"/>
          <w:b/>
          <w:bCs/>
          <w:szCs w:val="21"/>
        </w:rPr>
        <w:tab/>
      </w:r>
      <w:r w:rsidRPr="0027505B">
        <w:rPr>
          <w:rFonts w:eastAsia="宋体" w:cs="Times New Roman" w:hint="eastAsia"/>
          <w:b/>
          <w:bCs/>
          <w:szCs w:val="21"/>
        </w:rPr>
        <w:t>营业收入和营业成本</w:t>
      </w:r>
      <w:r>
        <w:rPr>
          <w:rFonts w:eastAsia="宋体" w:cs="Times New Roman" w:hint="eastAsia"/>
          <w:szCs w:val="21"/>
        </w:rPr>
        <w:t xml:space="preserve"> </w:t>
      </w:r>
      <w:r w:rsidRPr="00F66363">
        <w:rPr>
          <w:rFonts w:eastAsia="宋体" w:cs="Times New Roman"/>
        </w:rPr>
        <w:t xml:space="preserve">- </w:t>
      </w:r>
      <w:r w:rsidRPr="00F66363">
        <w:rPr>
          <w:rFonts w:eastAsia="宋体" w:cs="Times New Roman" w:hint="eastAsia"/>
        </w:rPr>
        <w:t>续</w:t>
      </w:r>
    </w:p>
    <w:p w:rsidR="00BF7F64" w:rsidRPr="00A71D2E" w:rsidRDefault="00BF7F64" w:rsidP="00F66363">
      <w:pPr>
        <w:spacing w:line="235" w:lineRule="auto"/>
        <w:ind w:left="720"/>
        <w:jc w:val="both"/>
        <w:rPr>
          <w:rFonts w:eastAsia="宋体" w:cs="Times New Roman"/>
          <w:szCs w:val="21"/>
        </w:rPr>
      </w:pPr>
    </w:p>
    <w:p w:rsidR="00FF34EF" w:rsidRPr="00A71D2E" w:rsidRDefault="00FF34EF">
      <w:pPr>
        <w:pStyle w:val="aff1"/>
        <w:numPr>
          <w:ilvl w:val="0"/>
          <w:numId w:val="28"/>
        </w:numPr>
        <w:spacing w:line="235" w:lineRule="auto"/>
        <w:ind w:left="1440" w:firstLineChars="0" w:hanging="709"/>
      </w:pPr>
      <w:r w:rsidRPr="00A71D2E">
        <w:rPr>
          <w:rFonts w:hint="eastAsia"/>
        </w:rPr>
        <w:t>主营业务</w:t>
      </w:r>
      <w:r w:rsidR="00BC3B66" w:rsidRPr="00A71D2E">
        <w:rPr>
          <w:rFonts w:hint="eastAsia"/>
        </w:rPr>
        <w:t>收入</w:t>
      </w:r>
      <w:r w:rsidR="005F14EE">
        <w:t>(</w:t>
      </w:r>
      <w:r w:rsidRPr="00A71D2E">
        <w:rPr>
          <w:rFonts w:hint="eastAsia"/>
        </w:rPr>
        <w:t>按类别</w:t>
      </w:r>
      <w:r w:rsidR="005F14EE">
        <w:t>)</w:t>
      </w:r>
    </w:p>
    <w:p w:rsidR="00FF34EF" w:rsidRPr="00A71D2E" w:rsidRDefault="00FF34EF" w:rsidP="00F66363">
      <w:pPr>
        <w:spacing w:line="235" w:lineRule="auto"/>
        <w:ind w:left="5040"/>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090"/>
        <w:gridCol w:w="1683"/>
        <w:gridCol w:w="1683"/>
      </w:tblGrid>
      <w:tr w:rsidR="003B534B" w:rsidRPr="00A71D2E" w:rsidTr="0027505B">
        <w:trPr>
          <w:trHeight w:val="20"/>
        </w:trPr>
        <w:tc>
          <w:tcPr>
            <w:tcW w:w="3220" w:type="pct"/>
            <w:shd w:val="clear" w:color="auto" w:fill="D9D9D9" w:themeFill="background1" w:themeFillShade="D9"/>
            <w:tcMar>
              <w:top w:w="0" w:type="dxa"/>
              <w:left w:w="108" w:type="dxa"/>
              <w:bottom w:w="0" w:type="dxa"/>
              <w:right w:w="108" w:type="dxa"/>
            </w:tcMar>
            <w:vAlign w:val="center"/>
          </w:tcPr>
          <w:p w:rsidR="003B534B" w:rsidRPr="00A71D2E" w:rsidRDefault="003B534B" w:rsidP="00F66363">
            <w:pPr>
              <w:spacing w:line="235" w:lineRule="auto"/>
              <w:ind w:firstLine="30"/>
              <w:jc w:val="center"/>
              <w:rPr>
                <w:rFonts w:eastAsia="宋体" w:cs="Times New Roman"/>
                <w:sz w:val="18"/>
                <w:szCs w:val="18"/>
              </w:rPr>
            </w:pPr>
            <w:r w:rsidRPr="00A71D2E">
              <w:rPr>
                <w:rFonts w:eastAsia="宋体" w:cs="Times New Roman" w:hint="eastAsia"/>
                <w:sz w:val="18"/>
                <w:szCs w:val="18"/>
              </w:rPr>
              <w:t>项目</w:t>
            </w:r>
          </w:p>
        </w:tc>
        <w:tc>
          <w:tcPr>
            <w:tcW w:w="890" w:type="pct"/>
            <w:shd w:val="clear" w:color="auto" w:fill="D9D9D9" w:themeFill="background1" w:themeFillShade="D9"/>
            <w:vAlign w:val="center"/>
          </w:tcPr>
          <w:p w:rsidR="003B534B" w:rsidRPr="00A71D2E" w:rsidRDefault="00840C65" w:rsidP="00F66363">
            <w:pPr>
              <w:spacing w:line="235" w:lineRule="auto"/>
              <w:ind w:firstLine="30"/>
              <w:jc w:val="center"/>
              <w:rPr>
                <w:rFonts w:eastAsia="宋体" w:cs="Times New Roman"/>
                <w:sz w:val="18"/>
                <w:szCs w:val="18"/>
              </w:rPr>
            </w:pPr>
            <w:r w:rsidRPr="00A71D2E">
              <w:rPr>
                <w:rFonts w:eastAsia="宋体" w:cs="Times New Roman" w:hint="eastAsia"/>
                <w:sz w:val="18"/>
                <w:szCs w:val="18"/>
              </w:rPr>
              <w:t>本年发生额</w:t>
            </w:r>
          </w:p>
        </w:tc>
        <w:tc>
          <w:tcPr>
            <w:tcW w:w="890" w:type="pct"/>
            <w:shd w:val="clear" w:color="auto" w:fill="D9D9D9" w:themeFill="background1" w:themeFillShade="D9"/>
            <w:vAlign w:val="center"/>
          </w:tcPr>
          <w:p w:rsidR="003B534B" w:rsidRPr="00A71D2E" w:rsidRDefault="00840C65" w:rsidP="00F66363">
            <w:pPr>
              <w:spacing w:line="235" w:lineRule="auto"/>
              <w:ind w:firstLine="30"/>
              <w:jc w:val="center"/>
              <w:rPr>
                <w:rFonts w:eastAsia="宋体" w:cs="Times New Roman"/>
                <w:sz w:val="18"/>
                <w:szCs w:val="18"/>
              </w:rPr>
            </w:pPr>
            <w:r w:rsidRPr="00A71D2E">
              <w:rPr>
                <w:rFonts w:eastAsia="宋体" w:cs="Times New Roman" w:hint="eastAsia"/>
                <w:sz w:val="18"/>
                <w:szCs w:val="18"/>
              </w:rPr>
              <w:t>上年发生额</w:t>
            </w:r>
          </w:p>
        </w:tc>
      </w:tr>
      <w:tr w:rsidR="00A3036C" w:rsidRPr="00A71D2E" w:rsidTr="0027505B">
        <w:trPr>
          <w:trHeight w:val="20"/>
        </w:trPr>
        <w:tc>
          <w:tcPr>
            <w:tcW w:w="3220" w:type="pct"/>
            <w:shd w:val="clear" w:color="auto" w:fill="FFFFFF" w:themeFill="background1"/>
            <w:tcMar>
              <w:top w:w="0" w:type="dxa"/>
              <w:left w:w="108" w:type="dxa"/>
              <w:bottom w:w="0" w:type="dxa"/>
              <w:right w:w="108" w:type="dxa"/>
            </w:tcMar>
            <w:vAlign w:val="center"/>
          </w:tcPr>
          <w:p w:rsidR="00A3036C" w:rsidRPr="00A71D2E" w:rsidRDefault="00A3036C" w:rsidP="00A3036C">
            <w:pPr>
              <w:spacing w:line="235" w:lineRule="auto"/>
              <w:ind w:firstLine="30"/>
              <w:rPr>
                <w:rFonts w:eastAsia="宋体" w:cs="Times New Roman"/>
                <w:sz w:val="18"/>
                <w:szCs w:val="18"/>
              </w:rPr>
            </w:pPr>
            <w:r w:rsidRPr="00A71D2E">
              <w:rPr>
                <w:rFonts w:eastAsia="宋体" w:cs="Times New Roman" w:hint="eastAsia"/>
                <w:sz w:val="18"/>
                <w:szCs w:val="18"/>
              </w:rPr>
              <w:t>智能家居摄像机</w:t>
            </w:r>
          </w:p>
        </w:tc>
        <w:tc>
          <w:tcPr>
            <w:tcW w:w="890" w:type="pct"/>
            <w:vAlign w:val="center"/>
          </w:tcPr>
          <w:p w:rsidR="00A3036C" w:rsidRPr="00A71D2E" w:rsidRDefault="00BD47A4" w:rsidP="00A3036C">
            <w:pPr>
              <w:spacing w:line="235" w:lineRule="auto"/>
              <w:ind w:right="88" w:firstLine="30"/>
              <w:jc w:val="right"/>
              <w:rPr>
                <w:rFonts w:eastAsia="宋体" w:cs="Times New Roman"/>
                <w:color w:val="000000"/>
                <w:sz w:val="18"/>
                <w:szCs w:val="18"/>
              </w:rPr>
            </w:pPr>
            <w:r w:rsidRPr="00BD47A4">
              <w:rPr>
                <w:rFonts w:eastAsia="宋体" w:cs="Times New Roman"/>
                <w:color w:val="000000"/>
                <w:sz w:val="18"/>
                <w:szCs w:val="18"/>
              </w:rPr>
              <w:t>2,968,289,789.60</w:t>
            </w:r>
          </w:p>
        </w:tc>
        <w:tc>
          <w:tcPr>
            <w:tcW w:w="890" w:type="pct"/>
            <w:vAlign w:val="center"/>
          </w:tcPr>
          <w:p w:rsidR="00A3036C" w:rsidRPr="00A71D2E" w:rsidRDefault="00A3036C" w:rsidP="00A3036C">
            <w:pPr>
              <w:spacing w:line="235" w:lineRule="auto"/>
              <w:ind w:right="88" w:firstLine="30"/>
              <w:jc w:val="right"/>
              <w:rPr>
                <w:rFonts w:eastAsia="宋体" w:cs="Times New Roman"/>
                <w:color w:val="000000"/>
                <w:sz w:val="18"/>
                <w:szCs w:val="18"/>
              </w:rPr>
            </w:pPr>
            <w:r w:rsidRPr="00A71D2E">
              <w:rPr>
                <w:rFonts w:eastAsia="宋体" w:cs="Times New Roman"/>
                <w:color w:val="000000"/>
                <w:sz w:val="18"/>
                <w:szCs w:val="18"/>
              </w:rPr>
              <w:t>2,857,645,745.57</w:t>
            </w:r>
          </w:p>
        </w:tc>
      </w:tr>
      <w:tr w:rsidR="00A3036C" w:rsidRPr="00A71D2E" w:rsidTr="0027505B">
        <w:trPr>
          <w:trHeight w:val="20"/>
        </w:trPr>
        <w:tc>
          <w:tcPr>
            <w:tcW w:w="3220" w:type="pct"/>
            <w:shd w:val="clear" w:color="auto" w:fill="FFFFFF" w:themeFill="background1"/>
            <w:tcMar>
              <w:top w:w="0" w:type="dxa"/>
              <w:left w:w="108" w:type="dxa"/>
              <w:bottom w:w="0" w:type="dxa"/>
              <w:right w:w="108" w:type="dxa"/>
            </w:tcMar>
            <w:vAlign w:val="center"/>
          </w:tcPr>
          <w:p w:rsidR="00A3036C" w:rsidRPr="00A71D2E" w:rsidRDefault="00A3036C" w:rsidP="00A3036C">
            <w:pPr>
              <w:spacing w:line="235" w:lineRule="auto"/>
              <w:ind w:firstLine="30"/>
              <w:rPr>
                <w:rFonts w:eastAsia="宋体" w:cs="Times New Roman"/>
                <w:sz w:val="18"/>
                <w:szCs w:val="18"/>
              </w:rPr>
            </w:pPr>
            <w:r w:rsidRPr="00A71D2E">
              <w:rPr>
                <w:rFonts w:eastAsia="宋体" w:cs="Times New Roman" w:hint="eastAsia"/>
                <w:sz w:val="18"/>
                <w:szCs w:val="18"/>
              </w:rPr>
              <w:t>智能入户</w:t>
            </w:r>
          </w:p>
        </w:tc>
        <w:tc>
          <w:tcPr>
            <w:tcW w:w="890" w:type="pct"/>
            <w:vAlign w:val="center"/>
          </w:tcPr>
          <w:p w:rsidR="00A3036C" w:rsidRPr="00A71D2E" w:rsidRDefault="008B2455" w:rsidP="00A3036C">
            <w:pPr>
              <w:spacing w:line="235" w:lineRule="auto"/>
              <w:ind w:right="88" w:firstLine="30"/>
              <w:jc w:val="right"/>
              <w:rPr>
                <w:rFonts w:eastAsia="宋体" w:cs="Times New Roman"/>
                <w:color w:val="000000"/>
                <w:sz w:val="18"/>
                <w:szCs w:val="18"/>
              </w:rPr>
            </w:pPr>
            <w:r w:rsidRPr="008B2455">
              <w:rPr>
                <w:rFonts w:eastAsia="宋体" w:cs="Times New Roman"/>
                <w:color w:val="000000"/>
                <w:sz w:val="18"/>
                <w:szCs w:val="18"/>
              </w:rPr>
              <w:t>498,834,674.90</w:t>
            </w:r>
          </w:p>
        </w:tc>
        <w:tc>
          <w:tcPr>
            <w:tcW w:w="890" w:type="pct"/>
            <w:vAlign w:val="center"/>
          </w:tcPr>
          <w:p w:rsidR="00A3036C" w:rsidRPr="00A71D2E" w:rsidRDefault="00A3036C" w:rsidP="00A3036C">
            <w:pPr>
              <w:spacing w:line="235" w:lineRule="auto"/>
              <w:ind w:right="88" w:firstLine="30"/>
              <w:jc w:val="right"/>
              <w:rPr>
                <w:rFonts w:eastAsia="宋体" w:cs="Times New Roman"/>
                <w:color w:val="000000"/>
                <w:sz w:val="18"/>
                <w:szCs w:val="18"/>
              </w:rPr>
            </w:pPr>
            <w:r w:rsidRPr="00A71D2E">
              <w:rPr>
                <w:rFonts w:eastAsia="宋体" w:cs="Times New Roman"/>
                <w:color w:val="000000"/>
                <w:sz w:val="18"/>
                <w:szCs w:val="18"/>
              </w:rPr>
              <w:t>335,655,329.75</w:t>
            </w:r>
          </w:p>
        </w:tc>
      </w:tr>
      <w:tr w:rsidR="00A3036C" w:rsidRPr="00A71D2E" w:rsidTr="0027505B">
        <w:trPr>
          <w:trHeight w:val="20"/>
        </w:trPr>
        <w:tc>
          <w:tcPr>
            <w:tcW w:w="3220" w:type="pct"/>
            <w:shd w:val="clear" w:color="auto" w:fill="FFFFFF" w:themeFill="background1"/>
            <w:tcMar>
              <w:top w:w="0" w:type="dxa"/>
              <w:left w:w="108" w:type="dxa"/>
              <w:bottom w:w="0" w:type="dxa"/>
              <w:right w:w="108" w:type="dxa"/>
            </w:tcMar>
            <w:vAlign w:val="center"/>
          </w:tcPr>
          <w:p w:rsidR="00A3036C" w:rsidRPr="00A71D2E" w:rsidRDefault="00A3036C" w:rsidP="00A3036C">
            <w:pPr>
              <w:spacing w:line="235" w:lineRule="auto"/>
              <w:ind w:firstLine="30"/>
              <w:rPr>
                <w:rFonts w:eastAsia="宋体" w:cs="Times New Roman"/>
                <w:sz w:val="18"/>
                <w:szCs w:val="18"/>
              </w:rPr>
            </w:pPr>
            <w:r w:rsidRPr="00A71D2E">
              <w:rPr>
                <w:rFonts w:eastAsia="宋体" w:cs="Times New Roman" w:hint="eastAsia"/>
                <w:sz w:val="18"/>
                <w:szCs w:val="18"/>
              </w:rPr>
              <w:t>其他智能家居产品</w:t>
            </w:r>
          </w:p>
        </w:tc>
        <w:tc>
          <w:tcPr>
            <w:tcW w:w="890" w:type="pct"/>
            <w:vAlign w:val="center"/>
          </w:tcPr>
          <w:p w:rsidR="00A3036C" w:rsidRPr="00A71D2E" w:rsidRDefault="00BD47A4" w:rsidP="00A3036C">
            <w:pPr>
              <w:spacing w:line="235" w:lineRule="auto"/>
              <w:ind w:right="88" w:firstLine="30"/>
              <w:jc w:val="right"/>
              <w:rPr>
                <w:rFonts w:eastAsia="宋体" w:cs="Times New Roman"/>
                <w:color w:val="000000"/>
                <w:sz w:val="18"/>
                <w:szCs w:val="18"/>
              </w:rPr>
            </w:pPr>
            <w:r w:rsidRPr="00BD47A4">
              <w:rPr>
                <w:rFonts w:eastAsia="宋体" w:cs="Times New Roman"/>
                <w:color w:val="000000"/>
                <w:sz w:val="18"/>
                <w:szCs w:val="18"/>
              </w:rPr>
              <w:t>213,905,172.68</w:t>
            </w:r>
          </w:p>
        </w:tc>
        <w:tc>
          <w:tcPr>
            <w:tcW w:w="890" w:type="pct"/>
            <w:vAlign w:val="center"/>
          </w:tcPr>
          <w:p w:rsidR="00A3036C" w:rsidRPr="00A71D2E" w:rsidRDefault="00A3036C" w:rsidP="00A3036C">
            <w:pPr>
              <w:spacing w:line="235" w:lineRule="auto"/>
              <w:ind w:right="88" w:firstLine="30"/>
              <w:jc w:val="right"/>
              <w:rPr>
                <w:rFonts w:eastAsia="宋体" w:cs="Times New Roman"/>
                <w:color w:val="000000"/>
                <w:sz w:val="18"/>
                <w:szCs w:val="18"/>
              </w:rPr>
            </w:pPr>
            <w:r w:rsidRPr="00A71D2E">
              <w:rPr>
                <w:rFonts w:eastAsia="宋体" w:cs="Times New Roman"/>
                <w:color w:val="000000"/>
                <w:sz w:val="18"/>
                <w:szCs w:val="18"/>
              </w:rPr>
              <w:t>130,538,827.05</w:t>
            </w:r>
          </w:p>
        </w:tc>
      </w:tr>
      <w:tr w:rsidR="00A3036C" w:rsidRPr="00A71D2E" w:rsidTr="0027505B">
        <w:trPr>
          <w:trHeight w:val="20"/>
        </w:trPr>
        <w:tc>
          <w:tcPr>
            <w:tcW w:w="3220" w:type="pct"/>
            <w:shd w:val="clear" w:color="auto" w:fill="FFFFFF" w:themeFill="background1"/>
            <w:tcMar>
              <w:top w:w="0" w:type="dxa"/>
              <w:left w:w="108" w:type="dxa"/>
              <w:bottom w:w="0" w:type="dxa"/>
              <w:right w:w="108" w:type="dxa"/>
            </w:tcMar>
            <w:vAlign w:val="center"/>
          </w:tcPr>
          <w:p w:rsidR="00A3036C" w:rsidRPr="00A71D2E" w:rsidRDefault="00A3036C" w:rsidP="00A3036C">
            <w:pPr>
              <w:spacing w:line="235" w:lineRule="auto"/>
              <w:ind w:firstLine="30"/>
              <w:rPr>
                <w:rFonts w:eastAsia="宋体" w:cs="Times New Roman"/>
                <w:sz w:val="18"/>
                <w:szCs w:val="18"/>
              </w:rPr>
            </w:pPr>
            <w:r w:rsidRPr="00A71D2E">
              <w:rPr>
                <w:rFonts w:eastAsia="宋体" w:cs="Times New Roman" w:hint="eastAsia"/>
                <w:sz w:val="18"/>
                <w:szCs w:val="18"/>
              </w:rPr>
              <w:t>配件产品</w:t>
            </w:r>
          </w:p>
        </w:tc>
        <w:tc>
          <w:tcPr>
            <w:tcW w:w="890" w:type="pct"/>
            <w:vAlign w:val="center"/>
          </w:tcPr>
          <w:p w:rsidR="00A3036C" w:rsidRPr="00A71D2E" w:rsidRDefault="008B2455" w:rsidP="00A3036C">
            <w:pPr>
              <w:spacing w:line="235" w:lineRule="auto"/>
              <w:ind w:right="88" w:firstLine="30"/>
              <w:jc w:val="right"/>
              <w:rPr>
                <w:rFonts w:eastAsia="宋体" w:cs="Times New Roman"/>
                <w:color w:val="000000"/>
                <w:sz w:val="18"/>
                <w:szCs w:val="18"/>
              </w:rPr>
            </w:pPr>
            <w:r w:rsidRPr="008B2455">
              <w:rPr>
                <w:rFonts w:eastAsia="宋体" w:cs="Times New Roman"/>
                <w:color w:val="000000"/>
                <w:sz w:val="18"/>
                <w:szCs w:val="18"/>
              </w:rPr>
              <w:t>273,625,014.57</w:t>
            </w:r>
          </w:p>
        </w:tc>
        <w:tc>
          <w:tcPr>
            <w:tcW w:w="890" w:type="pct"/>
            <w:vAlign w:val="center"/>
          </w:tcPr>
          <w:p w:rsidR="00A3036C" w:rsidRPr="00A71D2E" w:rsidRDefault="00A3036C" w:rsidP="00A3036C">
            <w:pPr>
              <w:spacing w:line="235" w:lineRule="auto"/>
              <w:ind w:right="88" w:firstLine="30"/>
              <w:jc w:val="right"/>
              <w:rPr>
                <w:rFonts w:eastAsia="宋体" w:cs="Times New Roman"/>
                <w:color w:val="000000"/>
                <w:sz w:val="18"/>
                <w:szCs w:val="18"/>
              </w:rPr>
            </w:pPr>
            <w:r w:rsidRPr="00A71D2E">
              <w:rPr>
                <w:rFonts w:eastAsia="宋体" w:cs="Times New Roman"/>
                <w:color w:val="000000"/>
                <w:sz w:val="18"/>
                <w:szCs w:val="18"/>
              </w:rPr>
              <w:t>254,596,201.95</w:t>
            </w:r>
          </w:p>
        </w:tc>
      </w:tr>
      <w:tr w:rsidR="00A3036C" w:rsidRPr="00A71D2E" w:rsidTr="0027505B">
        <w:trPr>
          <w:trHeight w:val="20"/>
        </w:trPr>
        <w:tc>
          <w:tcPr>
            <w:tcW w:w="3220" w:type="pct"/>
            <w:shd w:val="clear" w:color="auto" w:fill="FFFFFF" w:themeFill="background1"/>
            <w:tcMar>
              <w:top w:w="0" w:type="dxa"/>
              <w:left w:w="108" w:type="dxa"/>
              <w:bottom w:w="0" w:type="dxa"/>
              <w:right w:w="108" w:type="dxa"/>
            </w:tcMar>
            <w:vAlign w:val="center"/>
          </w:tcPr>
          <w:p w:rsidR="00A3036C" w:rsidRPr="00A71D2E" w:rsidRDefault="00A3036C" w:rsidP="00A3036C">
            <w:pPr>
              <w:spacing w:line="235" w:lineRule="auto"/>
              <w:ind w:firstLine="30"/>
              <w:rPr>
                <w:rFonts w:eastAsia="宋体" w:cs="Times New Roman"/>
                <w:sz w:val="18"/>
                <w:szCs w:val="18"/>
              </w:rPr>
            </w:pPr>
            <w:r w:rsidRPr="00A71D2E">
              <w:rPr>
                <w:rFonts w:eastAsia="宋体" w:cs="Times New Roman" w:hint="eastAsia"/>
                <w:sz w:val="18"/>
                <w:szCs w:val="18"/>
              </w:rPr>
              <w:t>物联网云平台</w:t>
            </w:r>
          </w:p>
        </w:tc>
        <w:tc>
          <w:tcPr>
            <w:tcW w:w="890" w:type="pct"/>
            <w:vAlign w:val="center"/>
          </w:tcPr>
          <w:p w:rsidR="00A3036C" w:rsidRPr="00A71D2E" w:rsidRDefault="008B2455" w:rsidP="00A3036C">
            <w:pPr>
              <w:spacing w:line="235" w:lineRule="auto"/>
              <w:ind w:right="88" w:firstLine="30"/>
              <w:jc w:val="right"/>
              <w:rPr>
                <w:rFonts w:eastAsia="宋体" w:cs="Times New Roman"/>
                <w:color w:val="000000"/>
                <w:sz w:val="18"/>
                <w:szCs w:val="18"/>
              </w:rPr>
            </w:pPr>
            <w:r w:rsidRPr="008B2455">
              <w:rPr>
                <w:rFonts w:eastAsia="宋体" w:cs="Times New Roman"/>
                <w:color w:val="000000"/>
                <w:sz w:val="18"/>
                <w:szCs w:val="18"/>
              </w:rPr>
              <w:t>537,738,404.60</w:t>
            </w:r>
          </w:p>
        </w:tc>
        <w:tc>
          <w:tcPr>
            <w:tcW w:w="890" w:type="pct"/>
            <w:vAlign w:val="center"/>
          </w:tcPr>
          <w:p w:rsidR="00A3036C" w:rsidRPr="00A71D2E" w:rsidRDefault="00A3036C" w:rsidP="00A3036C">
            <w:pPr>
              <w:spacing w:line="235" w:lineRule="auto"/>
              <w:ind w:right="88" w:firstLine="30"/>
              <w:jc w:val="right"/>
              <w:rPr>
                <w:rFonts w:eastAsia="宋体" w:cs="Times New Roman"/>
                <w:color w:val="000000"/>
                <w:sz w:val="18"/>
                <w:szCs w:val="18"/>
              </w:rPr>
            </w:pPr>
            <w:r w:rsidRPr="00A71D2E">
              <w:rPr>
                <w:rFonts w:eastAsia="宋体" w:cs="Times New Roman"/>
                <w:color w:val="000000"/>
                <w:sz w:val="18"/>
                <w:szCs w:val="18"/>
              </w:rPr>
              <w:t>404,904,304.45</w:t>
            </w:r>
          </w:p>
        </w:tc>
      </w:tr>
      <w:tr w:rsidR="00A3036C" w:rsidRPr="00A71D2E" w:rsidTr="0027505B">
        <w:trPr>
          <w:trHeight w:val="20"/>
        </w:trPr>
        <w:tc>
          <w:tcPr>
            <w:tcW w:w="3220" w:type="pct"/>
            <w:shd w:val="clear" w:color="auto" w:fill="FFFFFF" w:themeFill="background1"/>
            <w:tcMar>
              <w:top w:w="0" w:type="dxa"/>
              <w:left w:w="108" w:type="dxa"/>
              <w:bottom w:w="0" w:type="dxa"/>
              <w:right w:w="108" w:type="dxa"/>
            </w:tcMar>
            <w:vAlign w:val="center"/>
          </w:tcPr>
          <w:p w:rsidR="00A3036C" w:rsidRPr="00A71D2E" w:rsidRDefault="00A3036C" w:rsidP="00A3036C">
            <w:pPr>
              <w:spacing w:line="235" w:lineRule="auto"/>
              <w:ind w:firstLine="30"/>
              <w:rPr>
                <w:rFonts w:eastAsia="宋体" w:cs="Times New Roman"/>
                <w:sz w:val="18"/>
                <w:szCs w:val="18"/>
              </w:rPr>
            </w:pPr>
            <w:r w:rsidRPr="00A71D2E">
              <w:rPr>
                <w:rFonts w:eastAsia="宋体" w:cs="Times New Roman" w:hint="eastAsia"/>
                <w:sz w:val="18"/>
                <w:szCs w:val="18"/>
              </w:rPr>
              <w:t>其他服务收入</w:t>
            </w:r>
          </w:p>
        </w:tc>
        <w:tc>
          <w:tcPr>
            <w:tcW w:w="890" w:type="pct"/>
            <w:vAlign w:val="center"/>
          </w:tcPr>
          <w:p w:rsidR="00A3036C" w:rsidRPr="00A71D2E" w:rsidRDefault="00BD47A4" w:rsidP="00A3036C">
            <w:pPr>
              <w:spacing w:line="235" w:lineRule="auto"/>
              <w:ind w:right="88" w:firstLine="30"/>
              <w:jc w:val="right"/>
              <w:rPr>
                <w:rFonts w:eastAsia="宋体" w:cs="Times New Roman"/>
                <w:color w:val="000000"/>
                <w:sz w:val="18"/>
                <w:szCs w:val="18"/>
              </w:rPr>
            </w:pPr>
            <w:r w:rsidRPr="00BD47A4">
              <w:rPr>
                <w:rFonts w:eastAsia="宋体" w:cs="Times New Roman"/>
                <w:color w:val="000000"/>
                <w:sz w:val="18"/>
                <w:szCs w:val="18"/>
              </w:rPr>
              <w:t>157,771,107.42</w:t>
            </w:r>
          </w:p>
        </w:tc>
        <w:tc>
          <w:tcPr>
            <w:tcW w:w="890" w:type="pct"/>
            <w:vAlign w:val="center"/>
          </w:tcPr>
          <w:p w:rsidR="00A3036C" w:rsidRPr="00A71D2E" w:rsidRDefault="00A3036C" w:rsidP="00A3036C">
            <w:pPr>
              <w:spacing w:line="235" w:lineRule="auto"/>
              <w:ind w:right="88" w:firstLine="30"/>
              <w:jc w:val="right"/>
              <w:rPr>
                <w:rFonts w:eastAsia="宋体" w:cs="Times New Roman"/>
                <w:color w:val="000000"/>
                <w:sz w:val="18"/>
                <w:szCs w:val="18"/>
              </w:rPr>
            </w:pPr>
            <w:r w:rsidRPr="00546881">
              <w:rPr>
                <w:rFonts w:eastAsia="宋体" w:cs="Times New Roman"/>
                <w:color w:val="000000"/>
                <w:sz w:val="18"/>
                <w:szCs w:val="18"/>
              </w:rPr>
              <w:t>182,393,470.08</w:t>
            </w:r>
          </w:p>
        </w:tc>
      </w:tr>
      <w:tr w:rsidR="00A3036C" w:rsidRPr="00A71D2E" w:rsidTr="0027505B">
        <w:trPr>
          <w:trHeight w:val="20"/>
        </w:trPr>
        <w:tc>
          <w:tcPr>
            <w:tcW w:w="3220" w:type="pct"/>
            <w:shd w:val="clear" w:color="auto" w:fill="D9D9D9"/>
            <w:tcMar>
              <w:top w:w="0" w:type="dxa"/>
              <w:left w:w="108" w:type="dxa"/>
              <w:bottom w:w="0" w:type="dxa"/>
              <w:right w:w="108" w:type="dxa"/>
            </w:tcMar>
            <w:vAlign w:val="center"/>
          </w:tcPr>
          <w:p w:rsidR="00A3036C" w:rsidRPr="00A71D2E" w:rsidRDefault="00A3036C" w:rsidP="00A3036C">
            <w:pPr>
              <w:spacing w:line="235" w:lineRule="auto"/>
              <w:ind w:firstLine="30"/>
              <w:rPr>
                <w:rFonts w:eastAsia="宋体" w:cs="Times New Roman"/>
                <w:sz w:val="18"/>
                <w:szCs w:val="18"/>
              </w:rPr>
            </w:pPr>
            <w:r w:rsidRPr="00A71D2E">
              <w:rPr>
                <w:rFonts w:eastAsia="宋体" w:cs="Times New Roman" w:hint="eastAsia"/>
                <w:sz w:val="18"/>
                <w:szCs w:val="18"/>
              </w:rPr>
              <w:t>合计</w:t>
            </w:r>
          </w:p>
        </w:tc>
        <w:tc>
          <w:tcPr>
            <w:tcW w:w="890" w:type="pct"/>
            <w:vAlign w:val="center"/>
          </w:tcPr>
          <w:p w:rsidR="00A3036C" w:rsidRPr="00A71D2E" w:rsidRDefault="008B2455" w:rsidP="00A3036C">
            <w:pPr>
              <w:spacing w:line="235" w:lineRule="auto"/>
              <w:ind w:right="88" w:firstLine="30"/>
              <w:jc w:val="right"/>
              <w:rPr>
                <w:rFonts w:eastAsia="宋体" w:cs="Times New Roman"/>
                <w:color w:val="000000"/>
                <w:sz w:val="18"/>
                <w:szCs w:val="18"/>
              </w:rPr>
            </w:pPr>
            <w:r w:rsidRPr="008B2455">
              <w:rPr>
                <w:rFonts w:eastAsia="宋体" w:cs="Times New Roman"/>
                <w:color w:val="000000"/>
                <w:sz w:val="18"/>
                <w:szCs w:val="18"/>
              </w:rPr>
              <w:t>4,650,164,163.77</w:t>
            </w:r>
          </w:p>
        </w:tc>
        <w:tc>
          <w:tcPr>
            <w:tcW w:w="890" w:type="pct"/>
            <w:vAlign w:val="center"/>
          </w:tcPr>
          <w:p w:rsidR="00A3036C" w:rsidRPr="00A71D2E" w:rsidRDefault="00A3036C" w:rsidP="00A3036C">
            <w:pPr>
              <w:spacing w:line="235" w:lineRule="auto"/>
              <w:ind w:right="88" w:firstLine="30"/>
              <w:jc w:val="right"/>
              <w:rPr>
                <w:rFonts w:eastAsia="宋体" w:cs="Times New Roman"/>
                <w:color w:val="000000"/>
                <w:sz w:val="18"/>
                <w:szCs w:val="18"/>
              </w:rPr>
            </w:pPr>
            <w:r w:rsidRPr="00546881">
              <w:rPr>
                <w:rFonts w:eastAsia="宋体" w:cs="Times New Roman"/>
                <w:color w:val="000000"/>
                <w:sz w:val="18"/>
                <w:szCs w:val="18"/>
              </w:rPr>
              <w:t>4,165,733,878.85</w:t>
            </w:r>
          </w:p>
        </w:tc>
      </w:tr>
    </w:tbl>
    <w:p w:rsidR="00DD50C4" w:rsidRDefault="00DD50C4">
      <w:pPr>
        <w:ind w:left="720"/>
        <w:jc w:val="both"/>
        <w:rPr>
          <w:rFonts w:eastAsia="宋体" w:cs="Times New Roman"/>
          <w:szCs w:val="21"/>
        </w:rPr>
      </w:pPr>
    </w:p>
    <w:p w:rsidR="00FF34EF" w:rsidRPr="00A71D2E" w:rsidRDefault="00FF34EF" w:rsidP="00F66363">
      <w:pPr>
        <w:pStyle w:val="2"/>
        <w:numPr>
          <w:ilvl w:val="2"/>
          <w:numId w:val="1"/>
        </w:numPr>
        <w:adjustRightInd w:val="0"/>
        <w:snapToGrid w:val="0"/>
        <w:ind w:left="1440" w:hanging="720"/>
        <w:contextualSpacing w:val="0"/>
        <w:rPr>
          <w:rFonts w:ascii="Times New Roman" w:eastAsia="宋体" w:hAnsi="Times New Roman" w:cs="Times New Roman"/>
          <w:color w:val="auto"/>
          <w:szCs w:val="21"/>
        </w:rPr>
      </w:pPr>
      <w:r w:rsidRPr="00A71D2E">
        <w:rPr>
          <w:rFonts w:ascii="Times New Roman" w:eastAsia="宋体" w:hAnsi="Times New Roman" w:cs="Times New Roman" w:hint="eastAsia"/>
          <w:color w:val="auto"/>
          <w:szCs w:val="21"/>
        </w:rPr>
        <w:t>投资</w:t>
      </w:r>
      <w:r w:rsidRPr="00A71D2E">
        <w:rPr>
          <w:rFonts w:ascii="Times New Roman" w:eastAsia="宋体" w:hAnsi="Times New Roman" w:cs="Times New Roman" w:hint="eastAsia"/>
        </w:rPr>
        <w:t>收益</w:t>
      </w:r>
    </w:p>
    <w:p w:rsidR="00FF34EF" w:rsidRPr="00A71D2E" w:rsidRDefault="00FF34EF">
      <w:pPr>
        <w:ind w:left="5040"/>
        <w:jc w:val="right"/>
        <w:rPr>
          <w:rFonts w:eastAsia="宋体" w:cs="Times New Roman"/>
          <w:b/>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18"/>
        </w:rPr>
        <w:t>人民币</w:t>
      </w:r>
      <w:r w:rsidRPr="00A71D2E">
        <w:rPr>
          <w:rFonts w:eastAsia="宋体" w:cs="Times New Roman" w:hint="eastAsia"/>
          <w:szCs w:val="21"/>
        </w:rPr>
        <w:t>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094"/>
        <w:gridCol w:w="1678"/>
        <w:gridCol w:w="1678"/>
      </w:tblGrid>
      <w:tr w:rsidR="00840C65" w:rsidRPr="00A71D2E" w:rsidTr="0027505B">
        <w:trPr>
          <w:trHeight w:val="20"/>
        </w:trPr>
        <w:tc>
          <w:tcPr>
            <w:tcW w:w="3224" w:type="pct"/>
            <w:shd w:val="clear" w:color="auto" w:fill="D9D9D9" w:themeFill="background1" w:themeFillShade="D9"/>
            <w:tcMar>
              <w:top w:w="0" w:type="dxa"/>
              <w:left w:w="108" w:type="dxa"/>
              <w:bottom w:w="0" w:type="dxa"/>
              <w:right w:w="108" w:type="dxa"/>
            </w:tcMar>
            <w:vAlign w:val="center"/>
            <w:hideMark/>
          </w:tcPr>
          <w:p w:rsidR="00840C65" w:rsidRPr="00A71D2E" w:rsidRDefault="00840C65">
            <w:pPr>
              <w:jc w:val="center"/>
              <w:rPr>
                <w:rFonts w:eastAsia="宋体" w:cs="Times New Roman"/>
                <w:sz w:val="18"/>
                <w:szCs w:val="18"/>
              </w:rPr>
            </w:pPr>
            <w:r w:rsidRPr="00A71D2E">
              <w:rPr>
                <w:rFonts w:eastAsia="宋体" w:cs="Times New Roman" w:hint="eastAsia"/>
                <w:sz w:val="18"/>
                <w:szCs w:val="18"/>
              </w:rPr>
              <w:t>项目</w:t>
            </w:r>
          </w:p>
        </w:tc>
        <w:tc>
          <w:tcPr>
            <w:tcW w:w="888" w:type="pct"/>
            <w:shd w:val="clear" w:color="auto" w:fill="D9D9D9" w:themeFill="background1" w:themeFillShade="D9"/>
            <w:vAlign w:val="center"/>
          </w:tcPr>
          <w:p w:rsidR="00840C65" w:rsidRPr="00A71D2E" w:rsidRDefault="00840C65">
            <w:pPr>
              <w:jc w:val="center"/>
              <w:rPr>
                <w:rFonts w:eastAsia="宋体" w:cs="Times New Roman"/>
                <w:sz w:val="18"/>
                <w:szCs w:val="18"/>
              </w:rPr>
            </w:pPr>
            <w:r w:rsidRPr="00A71D2E">
              <w:rPr>
                <w:rFonts w:eastAsia="宋体" w:cs="Times New Roman" w:hint="eastAsia"/>
                <w:sz w:val="18"/>
                <w:szCs w:val="18"/>
              </w:rPr>
              <w:t>本年发生额</w:t>
            </w:r>
          </w:p>
        </w:tc>
        <w:tc>
          <w:tcPr>
            <w:tcW w:w="888" w:type="pct"/>
            <w:shd w:val="clear" w:color="auto" w:fill="D9D9D9" w:themeFill="background1" w:themeFillShade="D9"/>
            <w:vAlign w:val="center"/>
          </w:tcPr>
          <w:p w:rsidR="00840C65" w:rsidRPr="00A71D2E" w:rsidRDefault="00840C65">
            <w:pPr>
              <w:jc w:val="center"/>
              <w:rPr>
                <w:rFonts w:eastAsia="宋体" w:cs="Times New Roman"/>
                <w:sz w:val="18"/>
                <w:szCs w:val="18"/>
              </w:rPr>
            </w:pPr>
            <w:r w:rsidRPr="00A71D2E">
              <w:rPr>
                <w:rFonts w:eastAsia="宋体" w:cs="Times New Roman" w:hint="eastAsia"/>
                <w:sz w:val="18"/>
                <w:szCs w:val="18"/>
              </w:rPr>
              <w:t>上年发生额</w:t>
            </w:r>
          </w:p>
        </w:tc>
      </w:tr>
      <w:tr w:rsidR="00400134" w:rsidRPr="00A71D2E" w:rsidTr="0027505B">
        <w:trPr>
          <w:trHeight w:val="20"/>
        </w:trPr>
        <w:tc>
          <w:tcPr>
            <w:tcW w:w="3224" w:type="pct"/>
            <w:shd w:val="clear" w:color="auto" w:fill="auto"/>
            <w:tcMar>
              <w:top w:w="0" w:type="dxa"/>
              <w:left w:w="108" w:type="dxa"/>
              <w:bottom w:w="0" w:type="dxa"/>
              <w:right w:w="108" w:type="dxa"/>
            </w:tcMar>
            <w:vAlign w:val="center"/>
          </w:tcPr>
          <w:p w:rsidR="00400134" w:rsidRPr="00A71D2E" w:rsidRDefault="00400134" w:rsidP="00400134">
            <w:pPr>
              <w:rPr>
                <w:rFonts w:eastAsia="宋体" w:cs="Times New Roman"/>
                <w:sz w:val="18"/>
                <w:szCs w:val="18"/>
              </w:rPr>
            </w:pPr>
            <w:r w:rsidRPr="00A71D2E">
              <w:rPr>
                <w:rFonts w:eastAsia="宋体" w:cs="Times New Roman" w:hint="eastAsia"/>
                <w:sz w:val="18"/>
                <w:szCs w:val="18"/>
              </w:rPr>
              <w:t>成本法核算的长期股权投资收益</w:t>
            </w:r>
          </w:p>
        </w:tc>
        <w:tc>
          <w:tcPr>
            <w:tcW w:w="888" w:type="pct"/>
            <w:vAlign w:val="center"/>
          </w:tcPr>
          <w:p w:rsidR="00400134" w:rsidRPr="00A71D2E" w:rsidRDefault="008747B1" w:rsidP="00400134">
            <w:pPr>
              <w:ind w:right="90"/>
              <w:jc w:val="right"/>
              <w:rPr>
                <w:rFonts w:eastAsia="宋体" w:cs="Times New Roman"/>
                <w:sz w:val="18"/>
                <w:szCs w:val="18"/>
              </w:rPr>
            </w:pPr>
            <w:r w:rsidRPr="008747B1">
              <w:rPr>
                <w:rFonts w:eastAsia="宋体" w:cs="Times New Roman"/>
                <w:sz w:val="18"/>
                <w:szCs w:val="18"/>
              </w:rPr>
              <w:t>500,000,000.00</w:t>
            </w:r>
          </w:p>
        </w:tc>
        <w:tc>
          <w:tcPr>
            <w:tcW w:w="888" w:type="pct"/>
            <w:shd w:val="clear" w:color="auto" w:fill="auto"/>
            <w:vAlign w:val="center"/>
          </w:tcPr>
          <w:p w:rsidR="00400134" w:rsidRPr="00A71D2E" w:rsidRDefault="00400134" w:rsidP="00400134">
            <w:pPr>
              <w:ind w:right="90"/>
              <w:jc w:val="right"/>
              <w:rPr>
                <w:rFonts w:eastAsia="宋体" w:cs="Times New Roman"/>
                <w:sz w:val="18"/>
                <w:szCs w:val="18"/>
              </w:rPr>
            </w:pPr>
            <w:r w:rsidRPr="00A71D2E">
              <w:rPr>
                <w:rFonts w:eastAsia="宋体" w:cs="Times New Roman"/>
                <w:sz w:val="18"/>
                <w:szCs w:val="18"/>
              </w:rPr>
              <w:t>150,000,000.00</w:t>
            </w:r>
          </w:p>
        </w:tc>
      </w:tr>
      <w:tr w:rsidR="008747B1" w:rsidRPr="00A71D2E" w:rsidTr="0027505B">
        <w:trPr>
          <w:trHeight w:val="20"/>
        </w:trPr>
        <w:tc>
          <w:tcPr>
            <w:tcW w:w="3224" w:type="pct"/>
            <w:shd w:val="clear" w:color="auto" w:fill="D9D9D9" w:themeFill="background1" w:themeFillShade="D9"/>
            <w:tcMar>
              <w:top w:w="0" w:type="dxa"/>
              <w:left w:w="108" w:type="dxa"/>
              <w:bottom w:w="0" w:type="dxa"/>
              <w:right w:w="108" w:type="dxa"/>
            </w:tcMar>
            <w:vAlign w:val="center"/>
            <w:hideMark/>
          </w:tcPr>
          <w:p w:rsidR="008747B1" w:rsidRPr="00A71D2E" w:rsidRDefault="008747B1" w:rsidP="008747B1">
            <w:pPr>
              <w:rPr>
                <w:rFonts w:eastAsia="宋体" w:cs="Times New Roman"/>
                <w:sz w:val="18"/>
                <w:szCs w:val="18"/>
              </w:rPr>
            </w:pPr>
            <w:r w:rsidRPr="00A71D2E">
              <w:rPr>
                <w:rFonts w:eastAsia="宋体" w:cs="Times New Roman" w:hint="eastAsia"/>
                <w:bCs/>
                <w:sz w:val="18"/>
                <w:szCs w:val="18"/>
              </w:rPr>
              <w:t>合计</w:t>
            </w:r>
          </w:p>
        </w:tc>
        <w:tc>
          <w:tcPr>
            <w:tcW w:w="888" w:type="pct"/>
            <w:vAlign w:val="center"/>
          </w:tcPr>
          <w:p w:rsidR="008747B1" w:rsidRPr="00A71D2E" w:rsidRDefault="008747B1" w:rsidP="008747B1">
            <w:pPr>
              <w:ind w:right="90"/>
              <w:jc w:val="right"/>
              <w:rPr>
                <w:rFonts w:eastAsia="宋体" w:cs="Times New Roman"/>
                <w:sz w:val="18"/>
                <w:szCs w:val="18"/>
              </w:rPr>
            </w:pPr>
            <w:r w:rsidRPr="008747B1">
              <w:rPr>
                <w:rFonts w:eastAsia="宋体" w:cs="Times New Roman"/>
                <w:sz w:val="18"/>
                <w:szCs w:val="18"/>
              </w:rPr>
              <w:t>500,000,000.00</w:t>
            </w:r>
          </w:p>
        </w:tc>
        <w:tc>
          <w:tcPr>
            <w:tcW w:w="888" w:type="pct"/>
            <w:vAlign w:val="center"/>
          </w:tcPr>
          <w:p w:rsidR="008747B1" w:rsidRPr="00A71D2E" w:rsidDel="00A74236" w:rsidRDefault="008747B1" w:rsidP="008747B1">
            <w:pPr>
              <w:ind w:right="90"/>
              <w:jc w:val="right"/>
              <w:rPr>
                <w:rFonts w:eastAsia="宋体" w:cs="Times New Roman"/>
                <w:sz w:val="18"/>
                <w:szCs w:val="18"/>
              </w:rPr>
            </w:pPr>
            <w:r w:rsidRPr="00A71D2E">
              <w:rPr>
                <w:rFonts w:eastAsia="宋体" w:cs="Times New Roman"/>
                <w:sz w:val="18"/>
                <w:szCs w:val="18"/>
              </w:rPr>
              <w:t>150,000,000.00</w:t>
            </w:r>
          </w:p>
        </w:tc>
      </w:tr>
    </w:tbl>
    <w:p w:rsidR="00D971DA" w:rsidRDefault="00D971DA">
      <w:pPr>
        <w:pStyle w:val="aff1"/>
        <w:widowControl w:val="0"/>
        <w:ind w:left="1440" w:firstLineChars="0" w:hanging="720"/>
        <w:rPr>
          <w:b/>
          <w:bCs/>
        </w:rPr>
      </w:pPr>
    </w:p>
    <w:p w:rsidR="00FF34EF" w:rsidRPr="00A71D2E" w:rsidRDefault="00FF34EF" w:rsidP="00F66363">
      <w:pPr>
        <w:pStyle w:val="2"/>
        <w:numPr>
          <w:ilvl w:val="2"/>
          <w:numId w:val="1"/>
        </w:numPr>
        <w:adjustRightInd w:val="0"/>
        <w:snapToGrid w:val="0"/>
        <w:ind w:left="1440" w:hanging="720"/>
        <w:contextualSpacing w:val="0"/>
        <w:rPr>
          <w:rFonts w:ascii="Times New Roman" w:eastAsia="宋体" w:hAnsi="Times New Roman" w:cs="Times New Roman"/>
          <w:bCs/>
          <w:szCs w:val="21"/>
          <w:lang w:val="x-none" w:eastAsia="x-none"/>
        </w:rPr>
      </w:pPr>
      <w:r w:rsidRPr="00A71D2E">
        <w:rPr>
          <w:rFonts w:ascii="Times New Roman" w:eastAsia="宋体" w:hAnsi="Times New Roman" w:cs="Times New Roman" w:hint="eastAsia"/>
          <w:szCs w:val="21"/>
        </w:rPr>
        <w:t>关联方交易情况</w:t>
      </w:r>
    </w:p>
    <w:p w:rsidR="00FF34EF" w:rsidRPr="00A71D2E" w:rsidRDefault="00FF34EF">
      <w:pPr>
        <w:ind w:left="720"/>
        <w:rPr>
          <w:rFonts w:eastAsia="宋体" w:cs="Times New Roman"/>
          <w:szCs w:val="21"/>
        </w:rPr>
      </w:pPr>
    </w:p>
    <w:p w:rsidR="00FF34EF" w:rsidRPr="00A71D2E" w:rsidRDefault="005F14EE">
      <w:pPr>
        <w:ind w:left="720"/>
        <w:jc w:val="both"/>
        <w:rPr>
          <w:rFonts w:eastAsia="宋体" w:cs="Times New Roman"/>
          <w:bCs/>
          <w:szCs w:val="21"/>
        </w:rPr>
      </w:pPr>
      <w:r>
        <w:rPr>
          <w:rFonts w:eastAsia="宋体" w:cs="Times New Roman"/>
          <w:bCs/>
          <w:szCs w:val="21"/>
        </w:rPr>
        <w:t>(</w:t>
      </w:r>
      <w:r w:rsidR="00FF34EF" w:rsidRPr="00A71D2E">
        <w:rPr>
          <w:rFonts w:eastAsia="宋体" w:cs="Times New Roman"/>
          <w:bCs/>
          <w:szCs w:val="21"/>
        </w:rPr>
        <w:t>1</w:t>
      </w:r>
      <w:r>
        <w:rPr>
          <w:rFonts w:eastAsia="宋体" w:cs="Times New Roman"/>
          <w:bCs/>
          <w:szCs w:val="21"/>
        </w:rPr>
        <w:t>)</w:t>
      </w:r>
      <w:r w:rsidR="00FF34EF" w:rsidRPr="00A71D2E">
        <w:rPr>
          <w:rFonts w:eastAsia="宋体" w:cs="Times New Roman"/>
          <w:bCs/>
          <w:szCs w:val="21"/>
        </w:rPr>
        <w:tab/>
      </w:r>
      <w:r w:rsidR="00FF34EF" w:rsidRPr="00A71D2E">
        <w:rPr>
          <w:rFonts w:eastAsia="宋体" w:cs="Times New Roman" w:hint="eastAsia"/>
          <w:szCs w:val="21"/>
        </w:rPr>
        <w:t>购销商品、提供和接受劳务的关联方交易</w:t>
      </w:r>
    </w:p>
    <w:p w:rsidR="00FF34EF" w:rsidRPr="00A71D2E" w:rsidRDefault="00FF34EF">
      <w:pPr>
        <w:ind w:left="720"/>
        <w:rPr>
          <w:rFonts w:eastAsia="宋体" w:cs="Times New Roman"/>
          <w:szCs w:val="21"/>
        </w:rPr>
      </w:pPr>
    </w:p>
    <w:p w:rsidR="00FF34EF" w:rsidRPr="00A71D2E" w:rsidRDefault="00FF34EF">
      <w:pPr>
        <w:ind w:left="720"/>
        <w:rPr>
          <w:rFonts w:eastAsia="宋体" w:cs="Times New Roman"/>
          <w:szCs w:val="21"/>
        </w:rPr>
      </w:pPr>
      <w:r w:rsidRPr="00A71D2E">
        <w:rPr>
          <w:rFonts w:eastAsia="宋体" w:cs="Times New Roman" w:hint="eastAsia"/>
          <w:szCs w:val="21"/>
        </w:rPr>
        <w:t>采购商品</w:t>
      </w:r>
      <w:r w:rsidRPr="00A71D2E">
        <w:rPr>
          <w:rFonts w:eastAsia="宋体" w:cs="Times New Roman"/>
          <w:szCs w:val="21"/>
        </w:rPr>
        <w:t>/</w:t>
      </w:r>
      <w:r w:rsidRPr="00A71D2E">
        <w:rPr>
          <w:rFonts w:eastAsia="宋体" w:cs="Times New Roman" w:hint="eastAsia"/>
          <w:szCs w:val="21"/>
        </w:rPr>
        <w:t>接受劳务情况表</w:t>
      </w:r>
      <w:r w:rsidR="005F14EE">
        <w:rPr>
          <w:rFonts w:eastAsia="宋体" w:cs="Times New Roman" w:hint="eastAsia"/>
          <w:szCs w:val="21"/>
        </w:rPr>
        <w:t>：</w:t>
      </w:r>
    </w:p>
    <w:p w:rsidR="00FF34EF" w:rsidRPr="00A71D2E" w:rsidRDefault="00FF34EF">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38"/>
        <w:gridCol w:w="3355"/>
        <w:gridCol w:w="1678"/>
        <w:gridCol w:w="1679"/>
      </w:tblGrid>
      <w:tr w:rsidR="00AE0208" w:rsidRPr="00A71D2E" w:rsidTr="0027505B">
        <w:trPr>
          <w:trHeight w:val="20"/>
        </w:trPr>
        <w:tc>
          <w:tcPr>
            <w:tcW w:w="2738" w:type="dxa"/>
            <w:shd w:val="clear" w:color="auto" w:fill="D9D9D9" w:themeFill="background1" w:themeFillShade="D9"/>
            <w:tcMar>
              <w:top w:w="0" w:type="dxa"/>
              <w:left w:w="108" w:type="dxa"/>
              <w:bottom w:w="0" w:type="dxa"/>
              <w:right w:w="108" w:type="dxa"/>
            </w:tcMar>
            <w:vAlign w:val="center"/>
            <w:hideMark/>
          </w:tcPr>
          <w:p w:rsidR="00AE0208" w:rsidRPr="00A71D2E" w:rsidRDefault="00AE0208">
            <w:pPr>
              <w:jc w:val="center"/>
              <w:rPr>
                <w:rFonts w:eastAsia="宋体" w:cs="Times New Roman"/>
                <w:sz w:val="18"/>
                <w:szCs w:val="18"/>
              </w:rPr>
            </w:pPr>
            <w:r w:rsidRPr="00A71D2E">
              <w:rPr>
                <w:rFonts w:eastAsia="宋体" w:cs="Times New Roman" w:hint="eastAsia"/>
                <w:sz w:val="18"/>
                <w:szCs w:val="18"/>
              </w:rPr>
              <w:t>关联方</w:t>
            </w:r>
          </w:p>
        </w:tc>
        <w:tc>
          <w:tcPr>
            <w:tcW w:w="3355" w:type="dxa"/>
            <w:shd w:val="clear" w:color="auto" w:fill="D9D9D9" w:themeFill="background1" w:themeFillShade="D9"/>
            <w:tcMar>
              <w:top w:w="0" w:type="dxa"/>
              <w:left w:w="108" w:type="dxa"/>
              <w:bottom w:w="0" w:type="dxa"/>
              <w:right w:w="108" w:type="dxa"/>
            </w:tcMar>
            <w:vAlign w:val="center"/>
            <w:hideMark/>
          </w:tcPr>
          <w:p w:rsidR="00AE0208" w:rsidRPr="00A71D2E" w:rsidRDefault="00AE0208">
            <w:pPr>
              <w:jc w:val="center"/>
              <w:rPr>
                <w:rFonts w:eastAsia="宋体" w:cs="Times New Roman"/>
                <w:sz w:val="18"/>
                <w:szCs w:val="18"/>
              </w:rPr>
            </w:pPr>
            <w:r w:rsidRPr="00A71D2E">
              <w:rPr>
                <w:rFonts w:eastAsia="宋体" w:cs="Times New Roman" w:hint="eastAsia"/>
                <w:sz w:val="18"/>
                <w:szCs w:val="18"/>
              </w:rPr>
              <w:t>关联交易内容</w:t>
            </w:r>
          </w:p>
        </w:tc>
        <w:tc>
          <w:tcPr>
            <w:tcW w:w="1678" w:type="dxa"/>
            <w:shd w:val="clear" w:color="auto" w:fill="D9D9D9" w:themeFill="background1" w:themeFillShade="D9"/>
            <w:vAlign w:val="center"/>
          </w:tcPr>
          <w:p w:rsidR="00AE0208" w:rsidRPr="00A71D2E" w:rsidRDefault="00AE0208">
            <w:pPr>
              <w:jc w:val="center"/>
              <w:rPr>
                <w:rFonts w:eastAsia="宋体" w:cs="Times New Roman"/>
                <w:sz w:val="18"/>
                <w:szCs w:val="18"/>
              </w:rPr>
            </w:pPr>
            <w:r w:rsidRPr="00A71D2E">
              <w:rPr>
                <w:rFonts w:eastAsia="宋体" w:cs="Times New Roman" w:hint="eastAsia"/>
                <w:sz w:val="18"/>
                <w:szCs w:val="18"/>
              </w:rPr>
              <w:t>本年发生额</w:t>
            </w:r>
          </w:p>
        </w:tc>
        <w:tc>
          <w:tcPr>
            <w:tcW w:w="1679" w:type="dxa"/>
            <w:shd w:val="clear" w:color="auto" w:fill="D9D9D9" w:themeFill="background1" w:themeFillShade="D9"/>
            <w:vAlign w:val="center"/>
          </w:tcPr>
          <w:p w:rsidR="00AE0208" w:rsidRPr="00A71D2E" w:rsidRDefault="00AE0208">
            <w:pPr>
              <w:jc w:val="center"/>
              <w:rPr>
                <w:rFonts w:eastAsia="宋体" w:cs="Times New Roman"/>
                <w:sz w:val="18"/>
                <w:szCs w:val="18"/>
              </w:rPr>
            </w:pPr>
            <w:r w:rsidRPr="00A71D2E">
              <w:rPr>
                <w:rFonts w:eastAsia="宋体" w:cs="Times New Roman" w:hint="eastAsia"/>
                <w:sz w:val="18"/>
                <w:szCs w:val="18"/>
              </w:rPr>
              <w:t>上年发生额</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rPr>
                <w:rFonts w:eastAsia="宋体" w:cs="Times New Roman"/>
                <w:sz w:val="18"/>
                <w:szCs w:val="18"/>
              </w:rPr>
            </w:pPr>
            <w:proofErr w:type="gramStart"/>
            <w:r w:rsidRPr="00A71D2E">
              <w:rPr>
                <w:rFonts w:eastAsia="宋体" w:cs="Times New Roman" w:hint="eastAsia"/>
                <w:sz w:val="18"/>
                <w:szCs w:val="18"/>
              </w:rPr>
              <w:t>海康威视股份公司</w:t>
            </w:r>
            <w:proofErr w:type="gramEnd"/>
            <w:r>
              <w:rPr>
                <w:rFonts w:eastAsia="宋体" w:cs="Times New Roman" w:hint="eastAsia"/>
                <w:sz w:val="18"/>
                <w:szCs w:val="18"/>
              </w:rPr>
              <w:t>及其</w:t>
            </w:r>
            <w:r w:rsidRPr="00A71D2E">
              <w:rPr>
                <w:rFonts w:eastAsia="宋体" w:cs="Times New Roman" w:hint="eastAsia"/>
                <w:sz w:val="18"/>
                <w:szCs w:val="18"/>
              </w:rPr>
              <w:t>下属企业</w:t>
            </w:r>
          </w:p>
        </w:tc>
        <w:tc>
          <w:tcPr>
            <w:tcW w:w="3355" w:type="dxa"/>
            <w:tcMar>
              <w:top w:w="0" w:type="dxa"/>
              <w:left w:w="108" w:type="dxa"/>
              <w:bottom w:w="0" w:type="dxa"/>
              <w:right w:w="108" w:type="dxa"/>
            </w:tcMar>
            <w:vAlign w:val="center"/>
          </w:tcPr>
          <w:p w:rsidR="0058110A" w:rsidRPr="00A71D2E" w:rsidRDefault="0058110A" w:rsidP="0058110A">
            <w:pPr>
              <w:jc w:val="center"/>
              <w:rPr>
                <w:rFonts w:eastAsia="宋体" w:cs="Times New Roman"/>
                <w:sz w:val="18"/>
                <w:szCs w:val="18"/>
              </w:rPr>
            </w:pPr>
            <w:r>
              <w:rPr>
                <w:rFonts w:eastAsia="宋体" w:cs="Times New Roman" w:hint="eastAsia"/>
                <w:sz w:val="18"/>
                <w:szCs w:val="18"/>
              </w:rPr>
              <w:t>采购材料、接受劳务</w:t>
            </w:r>
          </w:p>
        </w:tc>
        <w:tc>
          <w:tcPr>
            <w:tcW w:w="1678" w:type="dxa"/>
            <w:vAlign w:val="center"/>
          </w:tcPr>
          <w:p w:rsidR="0058110A" w:rsidRPr="00A71D2E" w:rsidRDefault="0053453D" w:rsidP="0058110A">
            <w:pPr>
              <w:ind w:right="93"/>
              <w:jc w:val="right"/>
              <w:rPr>
                <w:rFonts w:eastAsia="宋体" w:cs="Times New Roman"/>
                <w:sz w:val="18"/>
                <w:szCs w:val="18"/>
              </w:rPr>
            </w:pPr>
            <w:r w:rsidRPr="0053453D">
              <w:rPr>
                <w:rFonts w:eastAsia="宋体" w:cs="Times New Roman"/>
                <w:sz w:val="18"/>
                <w:szCs w:val="18"/>
              </w:rPr>
              <w:t>163,943,723.24</w:t>
            </w:r>
          </w:p>
        </w:tc>
        <w:tc>
          <w:tcPr>
            <w:tcW w:w="1679" w:type="dxa"/>
            <w:vAlign w:val="center"/>
          </w:tcPr>
          <w:p w:rsidR="0058110A" w:rsidRPr="00A71D2E" w:rsidRDefault="0058110A" w:rsidP="0058110A">
            <w:pPr>
              <w:ind w:right="93"/>
              <w:jc w:val="right"/>
              <w:rPr>
                <w:rFonts w:eastAsia="宋体" w:cs="Times New Roman"/>
                <w:sz w:val="18"/>
                <w:szCs w:val="18"/>
              </w:rPr>
            </w:pPr>
            <w:r w:rsidRPr="00CC3F5B">
              <w:rPr>
                <w:rFonts w:eastAsia="宋体" w:cs="Times New Roman"/>
                <w:sz w:val="18"/>
                <w:szCs w:val="18"/>
              </w:rPr>
              <w:t>116,508,972.21</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C304F3" w:rsidP="0058110A">
            <w:pPr>
              <w:rPr>
                <w:rFonts w:eastAsia="宋体" w:cs="Times New Roman"/>
                <w:sz w:val="18"/>
                <w:szCs w:val="18"/>
              </w:rPr>
            </w:pPr>
            <w:r>
              <w:rPr>
                <w:rFonts w:eastAsia="宋体" w:cs="Times New Roman" w:hint="eastAsia"/>
                <w:sz w:val="18"/>
                <w:szCs w:val="18"/>
              </w:rPr>
              <w:t>其他关联</w:t>
            </w:r>
            <w:r w:rsidR="0058110A" w:rsidRPr="00686BB3">
              <w:rPr>
                <w:rFonts w:eastAsia="宋体" w:cs="Times New Roman" w:hint="eastAsia"/>
                <w:sz w:val="18"/>
                <w:szCs w:val="18"/>
              </w:rPr>
              <w:t>企业</w:t>
            </w:r>
          </w:p>
        </w:tc>
        <w:tc>
          <w:tcPr>
            <w:tcW w:w="3355" w:type="dxa"/>
            <w:tcMar>
              <w:top w:w="0" w:type="dxa"/>
              <w:left w:w="108" w:type="dxa"/>
              <w:bottom w:w="0" w:type="dxa"/>
              <w:right w:w="108" w:type="dxa"/>
            </w:tcMar>
            <w:vAlign w:val="center"/>
          </w:tcPr>
          <w:p w:rsidR="0058110A" w:rsidRPr="00A71D2E" w:rsidRDefault="0058110A" w:rsidP="0058110A">
            <w:pPr>
              <w:jc w:val="center"/>
              <w:rPr>
                <w:rFonts w:eastAsia="宋体" w:cs="Times New Roman"/>
                <w:sz w:val="18"/>
                <w:szCs w:val="18"/>
              </w:rPr>
            </w:pPr>
            <w:r w:rsidRPr="005C7019">
              <w:rPr>
                <w:rFonts w:eastAsia="宋体" w:cs="Times New Roman" w:hint="eastAsia"/>
                <w:sz w:val="18"/>
                <w:szCs w:val="18"/>
              </w:rPr>
              <w:t>采购材料、接受劳务</w:t>
            </w:r>
          </w:p>
        </w:tc>
        <w:tc>
          <w:tcPr>
            <w:tcW w:w="1678" w:type="dxa"/>
            <w:vAlign w:val="center"/>
          </w:tcPr>
          <w:p w:rsidR="0058110A" w:rsidRPr="00A71D2E" w:rsidRDefault="0023159C" w:rsidP="0058110A">
            <w:pPr>
              <w:ind w:right="93"/>
              <w:jc w:val="right"/>
              <w:rPr>
                <w:rFonts w:eastAsia="宋体" w:cs="Times New Roman"/>
                <w:sz w:val="18"/>
                <w:szCs w:val="18"/>
              </w:rPr>
            </w:pPr>
            <w:r w:rsidRPr="0023159C">
              <w:rPr>
                <w:rFonts w:eastAsia="宋体" w:cs="Times New Roman"/>
                <w:sz w:val="18"/>
                <w:szCs w:val="18"/>
              </w:rPr>
              <w:t>29,976,441.58</w:t>
            </w:r>
          </w:p>
        </w:tc>
        <w:tc>
          <w:tcPr>
            <w:tcW w:w="1679" w:type="dxa"/>
            <w:vAlign w:val="center"/>
          </w:tcPr>
          <w:p w:rsidR="0058110A" w:rsidRPr="00A71D2E" w:rsidRDefault="0058110A" w:rsidP="0058110A">
            <w:pPr>
              <w:ind w:right="93"/>
              <w:jc w:val="right"/>
              <w:rPr>
                <w:rFonts w:eastAsia="宋体" w:cs="Times New Roman"/>
                <w:sz w:val="18"/>
                <w:szCs w:val="18"/>
              </w:rPr>
            </w:pPr>
            <w:r w:rsidRPr="00CC3F5B">
              <w:rPr>
                <w:rFonts w:eastAsia="宋体" w:cs="Times New Roman"/>
                <w:sz w:val="18"/>
                <w:szCs w:val="18"/>
              </w:rPr>
              <w:t>70,800,457.08</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rPr>
                <w:rFonts w:eastAsia="宋体" w:cs="Times New Roman"/>
                <w:sz w:val="18"/>
                <w:szCs w:val="18"/>
              </w:rPr>
            </w:pPr>
            <w:r w:rsidRPr="00A71D2E">
              <w:rPr>
                <w:rFonts w:eastAsia="宋体" w:cs="Times New Roman" w:hint="eastAsia"/>
                <w:sz w:val="18"/>
                <w:szCs w:val="18"/>
              </w:rPr>
              <w:t>中电下属企业</w:t>
            </w:r>
          </w:p>
        </w:tc>
        <w:tc>
          <w:tcPr>
            <w:tcW w:w="3355" w:type="dxa"/>
            <w:tcMar>
              <w:top w:w="0" w:type="dxa"/>
              <w:left w:w="108" w:type="dxa"/>
              <w:bottom w:w="0" w:type="dxa"/>
              <w:right w:w="108" w:type="dxa"/>
            </w:tcMar>
            <w:vAlign w:val="center"/>
          </w:tcPr>
          <w:p w:rsidR="0058110A" w:rsidRPr="00A71D2E" w:rsidRDefault="0058110A" w:rsidP="0058110A">
            <w:pPr>
              <w:jc w:val="center"/>
              <w:rPr>
                <w:rFonts w:eastAsia="宋体" w:cs="Times New Roman"/>
                <w:sz w:val="18"/>
                <w:szCs w:val="18"/>
              </w:rPr>
            </w:pPr>
            <w:r w:rsidRPr="005C7019">
              <w:rPr>
                <w:rFonts w:eastAsia="宋体" w:cs="Times New Roman" w:hint="eastAsia"/>
                <w:sz w:val="18"/>
                <w:szCs w:val="18"/>
              </w:rPr>
              <w:t>采购材料、接受劳务</w:t>
            </w:r>
          </w:p>
        </w:tc>
        <w:tc>
          <w:tcPr>
            <w:tcW w:w="1678" w:type="dxa"/>
            <w:vAlign w:val="center"/>
          </w:tcPr>
          <w:p w:rsidR="0058110A" w:rsidRPr="00A71D2E" w:rsidRDefault="008747B1" w:rsidP="0058110A">
            <w:pPr>
              <w:ind w:right="93"/>
              <w:jc w:val="right"/>
              <w:rPr>
                <w:rFonts w:eastAsia="宋体" w:cs="Times New Roman"/>
                <w:sz w:val="18"/>
                <w:szCs w:val="18"/>
              </w:rPr>
            </w:pPr>
            <w:r w:rsidRPr="008747B1">
              <w:rPr>
                <w:rFonts w:eastAsia="宋体" w:cs="Times New Roman"/>
                <w:sz w:val="18"/>
                <w:szCs w:val="18"/>
              </w:rPr>
              <w:t>36,461,237.94</w:t>
            </w:r>
          </w:p>
        </w:tc>
        <w:tc>
          <w:tcPr>
            <w:tcW w:w="1679" w:type="dxa"/>
            <w:vAlign w:val="center"/>
          </w:tcPr>
          <w:p w:rsidR="0058110A" w:rsidRPr="00A71D2E" w:rsidRDefault="0058110A" w:rsidP="0058110A">
            <w:pPr>
              <w:ind w:right="93"/>
              <w:jc w:val="right"/>
              <w:rPr>
                <w:rFonts w:eastAsia="宋体" w:cs="Times New Roman"/>
                <w:sz w:val="18"/>
                <w:szCs w:val="18"/>
              </w:rPr>
            </w:pPr>
            <w:r w:rsidRPr="00CC3F5B">
              <w:rPr>
                <w:rFonts w:eastAsia="宋体" w:cs="Times New Roman"/>
                <w:sz w:val="18"/>
                <w:szCs w:val="18"/>
              </w:rPr>
              <w:t>35,764,390.46</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rPr>
                <w:rFonts w:eastAsia="宋体" w:cs="Times New Roman"/>
                <w:sz w:val="18"/>
                <w:szCs w:val="18"/>
              </w:rPr>
            </w:pPr>
            <w:r w:rsidRPr="00A71D2E">
              <w:rPr>
                <w:rFonts w:eastAsia="宋体" w:cs="Times New Roman" w:hint="eastAsia"/>
                <w:sz w:val="18"/>
                <w:szCs w:val="18"/>
              </w:rPr>
              <w:t>本公司下属子公司</w:t>
            </w:r>
          </w:p>
        </w:tc>
        <w:tc>
          <w:tcPr>
            <w:tcW w:w="3355" w:type="dxa"/>
            <w:tcMar>
              <w:top w:w="0" w:type="dxa"/>
              <w:left w:w="108" w:type="dxa"/>
              <w:bottom w:w="0" w:type="dxa"/>
              <w:right w:w="108" w:type="dxa"/>
            </w:tcMar>
            <w:vAlign w:val="center"/>
          </w:tcPr>
          <w:p w:rsidR="0058110A" w:rsidRPr="00A71D2E" w:rsidRDefault="0058110A" w:rsidP="0058110A">
            <w:pPr>
              <w:jc w:val="center"/>
              <w:rPr>
                <w:rFonts w:eastAsia="宋体" w:cs="Times New Roman"/>
                <w:sz w:val="18"/>
                <w:szCs w:val="18"/>
              </w:rPr>
            </w:pPr>
            <w:r w:rsidRPr="005C7019">
              <w:rPr>
                <w:rFonts w:eastAsia="宋体" w:cs="Times New Roman" w:hint="eastAsia"/>
                <w:sz w:val="18"/>
                <w:szCs w:val="18"/>
              </w:rPr>
              <w:t>采购材料、接受劳务</w:t>
            </w:r>
          </w:p>
        </w:tc>
        <w:tc>
          <w:tcPr>
            <w:tcW w:w="1678" w:type="dxa"/>
            <w:vAlign w:val="center"/>
          </w:tcPr>
          <w:p w:rsidR="0058110A" w:rsidRPr="00A71D2E" w:rsidRDefault="008747B1" w:rsidP="0058110A">
            <w:pPr>
              <w:ind w:right="93"/>
              <w:jc w:val="right"/>
              <w:rPr>
                <w:rFonts w:eastAsia="宋体" w:cs="Times New Roman"/>
                <w:sz w:val="18"/>
                <w:szCs w:val="18"/>
              </w:rPr>
            </w:pPr>
            <w:r w:rsidRPr="008747B1">
              <w:rPr>
                <w:rFonts w:eastAsia="宋体" w:cs="Times New Roman"/>
                <w:sz w:val="18"/>
                <w:szCs w:val="18"/>
              </w:rPr>
              <w:t>2,791,475,258.03</w:t>
            </w:r>
          </w:p>
        </w:tc>
        <w:tc>
          <w:tcPr>
            <w:tcW w:w="1679" w:type="dxa"/>
            <w:vAlign w:val="center"/>
          </w:tcPr>
          <w:p w:rsidR="0058110A" w:rsidRPr="00A71D2E" w:rsidRDefault="0058110A" w:rsidP="0058110A">
            <w:pPr>
              <w:ind w:right="93"/>
              <w:jc w:val="right"/>
              <w:rPr>
                <w:rFonts w:eastAsia="宋体" w:cs="Times New Roman"/>
                <w:sz w:val="18"/>
                <w:szCs w:val="18"/>
              </w:rPr>
            </w:pPr>
            <w:r w:rsidRPr="00CC3F5B">
              <w:rPr>
                <w:rFonts w:eastAsia="宋体" w:cs="Times New Roman"/>
                <w:sz w:val="18"/>
                <w:szCs w:val="18"/>
              </w:rPr>
              <w:t>1,337,638,080.03</w:t>
            </w:r>
          </w:p>
        </w:tc>
      </w:tr>
      <w:tr w:rsidR="0058110A" w:rsidRPr="00A71D2E" w:rsidTr="0027505B">
        <w:trPr>
          <w:trHeight w:val="20"/>
        </w:trPr>
        <w:tc>
          <w:tcPr>
            <w:tcW w:w="2738" w:type="dxa"/>
            <w:shd w:val="clear" w:color="auto" w:fill="D9D9D9" w:themeFill="background1" w:themeFillShade="D9"/>
            <w:tcMar>
              <w:top w:w="0" w:type="dxa"/>
              <w:left w:w="108" w:type="dxa"/>
              <w:bottom w:w="0" w:type="dxa"/>
              <w:right w:w="108" w:type="dxa"/>
            </w:tcMar>
            <w:vAlign w:val="center"/>
          </w:tcPr>
          <w:p w:rsidR="0058110A" w:rsidRPr="00A71D2E" w:rsidRDefault="0058110A" w:rsidP="0058110A">
            <w:pPr>
              <w:rPr>
                <w:rFonts w:eastAsia="宋体" w:cs="Times New Roman"/>
                <w:sz w:val="18"/>
                <w:szCs w:val="18"/>
              </w:rPr>
            </w:pPr>
            <w:r w:rsidRPr="00A71D2E">
              <w:rPr>
                <w:rFonts w:eastAsia="宋体" w:cs="Times New Roman" w:hint="eastAsia"/>
                <w:sz w:val="18"/>
                <w:szCs w:val="18"/>
              </w:rPr>
              <w:t>合计</w:t>
            </w:r>
          </w:p>
        </w:tc>
        <w:tc>
          <w:tcPr>
            <w:tcW w:w="3355" w:type="dxa"/>
            <w:shd w:val="clear" w:color="auto" w:fill="FFFFFF" w:themeFill="background1"/>
            <w:tcMar>
              <w:top w:w="0" w:type="dxa"/>
              <w:left w:w="108" w:type="dxa"/>
              <w:bottom w:w="0" w:type="dxa"/>
              <w:right w:w="108" w:type="dxa"/>
            </w:tcMar>
            <w:vAlign w:val="center"/>
          </w:tcPr>
          <w:p w:rsidR="0058110A" w:rsidRPr="00A71D2E" w:rsidRDefault="0058110A" w:rsidP="0058110A">
            <w:pPr>
              <w:jc w:val="center"/>
              <w:rPr>
                <w:rFonts w:eastAsia="宋体" w:cs="Times New Roman"/>
                <w:sz w:val="18"/>
                <w:szCs w:val="18"/>
              </w:rPr>
            </w:pPr>
          </w:p>
        </w:tc>
        <w:tc>
          <w:tcPr>
            <w:tcW w:w="1678" w:type="dxa"/>
            <w:shd w:val="clear" w:color="auto" w:fill="FFFFFF" w:themeFill="background1"/>
            <w:vAlign w:val="center"/>
          </w:tcPr>
          <w:p w:rsidR="0058110A" w:rsidRPr="00A71D2E" w:rsidRDefault="0023159C" w:rsidP="0058110A">
            <w:pPr>
              <w:ind w:right="93"/>
              <w:jc w:val="right"/>
              <w:rPr>
                <w:rFonts w:eastAsia="宋体" w:cs="Times New Roman"/>
                <w:sz w:val="18"/>
                <w:szCs w:val="18"/>
              </w:rPr>
            </w:pPr>
            <w:r w:rsidRPr="0023159C">
              <w:rPr>
                <w:rFonts w:eastAsia="宋体" w:cs="Times New Roman"/>
                <w:sz w:val="18"/>
                <w:szCs w:val="18"/>
              </w:rPr>
              <w:t>3,021,856,660.79</w:t>
            </w:r>
          </w:p>
        </w:tc>
        <w:tc>
          <w:tcPr>
            <w:tcW w:w="1679" w:type="dxa"/>
            <w:shd w:val="clear" w:color="auto" w:fill="FFFFFF" w:themeFill="background1"/>
            <w:vAlign w:val="center"/>
          </w:tcPr>
          <w:p w:rsidR="0058110A" w:rsidRPr="00A71D2E" w:rsidRDefault="0058110A" w:rsidP="0058110A">
            <w:pPr>
              <w:ind w:right="93"/>
              <w:jc w:val="right"/>
              <w:rPr>
                <w:rFonts w:eastAsia="宋体" w:cs="Times New Roman"/>
                <w:sz w:val="18"/>
                <w:szCs w:val="18"/>
              </w:rPr>
            </w:pPr>
            <w:r w:rsidRPr="00CC3F5B">
              <w:rPr>
                <w:rFonts w:eastAsia="宋体" w:cs="Times New Roman"/>
                <w:sz w:val="18"/>
                <w:szCs w:val="18"/>
              </w:rPr>
              <w:t>1,560,711,899.78</w:t>
            </w:r>
          </w:p>
        </w:tc>
      </w:tr>
    </w:tbl>
    <w:p w:rsidR="00CE4395" w:rsidRDefault="00CE4395">
      <w:pPr>
        <w:pStyle w:val="aff1"/>
        <w:widowControl w:val="0"/>
        <w:ind w:left="1440" w:firstLineChars="0" w:hanging="720"/>
        <w:rPr>
          <w:b/>
          <w:bCs/>
        </w:rPr>
      </w:pPr>
    </w:p>
    <w:p w:rsidR="00FF34EF" w:rsidRPr="00A71D2E" w:rsidRDefault="00FF34EF">
      <w:pPr>
        <w:ind w:left="720"/>
        <w:rPr>
          <w:rFonts w:eastAsia="宋体" w:cs="Times New Roman"/>
          <w:szCs w:val="21"/>
        </w:rPr>
      </w:pPr>
      <w:r w:rsidRPr="00A71D2E">
        <w:rPr>
          <w:rFonts w:eastAsia="宋体" w:cs="Times New Roman" w:hint="eastAsia"/>
          <w:szCs w:val="21"/>
        </w:rPr>
        <w:t>销售商品</w:t>
      </w:r>
      <w:r w:rsidRPr="00A71D2E">
        <w:rPr>
          <w:rFonts w:eastAsia="宋体" w:cs="Times New Roman"/>
          <w:szCs w:val="21"/>
        </w:rPr>
        <w:t>/</w:t>
      </w:r>
      <w:r w:rsidRPr="00A71D2E">
        <w:rPr>
          <w:rFonts w:eastAsia="宋体" w:cs="Times New Roman" w:hint="eastAsia"/>
          <w:szCs w:val="21"/>
        </w:rPr>
        <w:t>提供劳务情况表</w:t>
      </w:r>
      <w:r w:rsidR="005F14EE">
        <w:rPr>
          <w:rFonts w:eastAsia="宋体" w:cs="Times New Roman" w:hint="eastAsia"/>
          <w:szCs w:val="21"/>
        </w:rPr>
        <w:t>：</w:t>
      </w:r>
    </w:p>
    <w:p w:rsidR="00FF34EF" w:rsidRPr="00A71D2E" w:rsidRDefault="00FF34EF">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38"/>
        <w:gridCol w:w="3355"/>
        <w:gridCol w:w="1678"/>
        <w:gridCol w:w="1679"/>
      </w:tblGrid>
      <w:tr w:rsidR="00D717F4" w:rsidRPr="00A71D2E" w:rsidTr="0027505B">
        <w:trPr>
          <w:trHeight w:val="20"/>
        </w:trPr>
        <w:tc>
          <w:tcPr>
            <w:tcW w:w="2738" w:type="dxa"/>
            <w:shd w:val="clear" w:color="auto" w:fill="D9D9D9" w:themeFill="background1" w:themeFillShade="D9"/>
            <w:tcMar>
              <w:top w:w="0" w:type="dxa"/>
              <w:left w:w="108" w:type="dxa"/>
              <w:bottom w:w="0" w:type="dxa"/>
              <w:right w:w="108" w:type="dxa"/>
            </w:tcMar>
            <w:vAlign w:val="center"/>
            <w:hideMark/>
          </w:tcPr>
          <w:p w:rsidR="00D717F4" w:rsidRPr="00A71D2E" w:rsidRDefault="00D717F4">
            <w:pPr>
              <w:jc w:val="center"/>
              <w:rPr>
                <w:rFonts w:eastAsia="宋体" w:cs="Times New Roman"/>
                <w:sz w:val="18"/>
                <w:szCs w:val="18"/>
              </w:rPr>
            </w:pPr>
            <w:r w:rsidRPr="00A71D2E">
              <w:rPr>
                <w:rFonts w:eastAsia="宋体" w:cs="Times New Roman" w:hint="eastAsia"/>
                <w:sz w:val="18"/>
                <w:szCs w:val="18"/>
              </w:rPr>
              <w:t>关联方</w:t>
            </w:r>
          </w:p>
        </w:tc>
        <w:tc>
          <w:tcPr>
            <w:tcW w:w="3355" w:type="dxa"/>
            <w:shd w:val="clear" w:color="auto" w:fill="D9D9D9" w:themeFill="background1" w:themeFillShade="D9"/>
            <w:tcMar>
              <w:top w:w="0" w:type="dxa"/>
              <w:left w:w="108" w:type="dxa"/>
              <w:bottom w:w="0" w:type="dxa"/>
              <w:right w:w="108" w:type="dxa"/>
            </w:tcMar>
            <w:vAlign w:val="center"/>
            <w:hideMark/>
          </w:tcPr>
          <w:p w:rsidR="00D717F4" w:rsidRPr="00A71D2E" w:rsidRDefault="00D717F4">
            <w:pPr>
              <w:jc w:val="center"/>
              <w:rPr>
                <w:rFonts w:eastAsia="宋体" w:cs="Times New Roman"/>
                <w:sz w:val="18"/>
                <w:szCs w:val="18"/>
              </w:rPr>
            </w:pPr>
            <w:r w:rsidRPr="00A71D2E">
              <w:rPr>
                <w:rFonts w:eastAsia="宋体" w:cs="Times New Roman" w:hint="eastAsia"/>
                <w:sz w:val="18"/>
                <w:szCs w:val="18"/>
              </w:rPr>
              <w:t>关联交易内容</w:t>
            </w:r>
          </w:p>
        </w:tc>
        <w:tc>
          <w:tcPr>
            <w:tcW w:w="1678" w:type="dxa"/>
            <w:shd w:val="clear" w:color="auto" w:fill="D9D9D9" w:themeFill="background1" w:themeFillShade="D9"/>
            <w:vAlign w:val="center"/>
          </w:tcPr>
          <w:p w:rsidR="00D717F4" w:rsidRPr="00A71D2E" w:rsidRDefault="00D717F4">
            <w:pPr>
              <w:jc w:val="center"/>
              <w:rPr>
                <w:rFonts w:eastAsia="宋体" w:cs="Times New Roman"/>
                <w:sz w:val="18"/>
                <w:szCs w:val="18"/>
              </w:rPr>
            </w:pPr>
            <w:r w:rsidRPr="00A71D2E">
              <w:rPr>
                <w:rFonts w:eastAsia="宋体" w:cs="Times New Roman" w:hint="eastAsia"/>
                <w:sz w:val="18"/>
                <w:szCs w:val="18"/>
              </w:rPr>
              <w:t>本年发生额</w:t>
            </w:r>
          </w:p>
        </w:tc>
        <w:tc>
          <w:tcPr>
            <w:tcW w:w="1679" w:type="dxa"/>
            <w:shd w:val="clear" w:color="auto" w:fill="D9D9D9" w:themeFill="background1" w:themeFillShade="D9"/>
            <w:vAlign w:val="center"/>
          </w:tcPr>
          <w:p w:rsidR="00D717F4" w:rsidRPr="00A71D2E" w:rsidRDefault="00D717F4">
            <w:pPr>
              <w:jc w:val="center"/>
              <w:rPr>
                <w:rFonts w:eastAsia="宋体" w:cs="Times New Roman"/>
                <w:sz w:val="18"/>
                <w:szCs w:val="18"/>
              </w:rPr>
            </w:pPr>
            <w:r w:rsidRPr="00A71D2E">
              <w:rPr>
                <w:rFonts w:eastAsia="宋体" w:cs="Times New Roman" w:hint="eastAsia"/>
                <w:sz w:val="18"/>
                <w:szCs w:val="18"/>
              </w:rPr>
              <w:t>上年发生额</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rPr>
                <w:rFonts w:eastAsia="宋体" w:cs="Times New Roman"/>
                <w:sz w:val="18"/>
                <w:szCs w:val="18"/>
              </w:rPr>
            </w:pPr>
            <w:proofErr w:type="gramStart"/>
            <w:r w:rsidRPr="00A71D2E">
              <w:rPr>
                <w:rFonts w:eastAsia="宋体" w:cs="Times New Roman" w:hint="eastAsia"/>
                <w:sz w:val="18"/>
                <w:szCs w:val="18"/>
              </w:rPr>
              <w:t>海康威视股份公司</w:t>
            </w:r>
            <w:proofErr w:type="gramEnd"/>
            <w:r w:rsidRPr="00A71D2E">
              <w:rPr>
                <w:rFonts w:eastAsia="宋体" w:cs="Times New Roman" w:hint="eastAsia"/>
                <w:sz w:val="18"/>
                <w:szCs w:val="18"/>
              </w:rPr>
              <w:t>及其下属企业</w:t>
            </w:r>
          </w:p>
        </w:tc>
        <w:tc>
          <w:tcPr>
            <w:tcW w:w="3355" w:type="dxa"/>
            <w:tcMar>
              <w:top w:w="0" w:type="dxa"/>
              <w:left w:w="108" w:type="dxa"/>
              <w:bottom w:w="0" w:type="dxa"/>
              <w:right w:w="108" w:type="dxa"/>
            </w:tcMar>
            <w:vAlign w:val="center"/>
          </w:tcPr>
          <w:p w:rsidR="0058110A" w:rsidRPr="00A71D2E" w:rsidRDefault="0058110A" w:rsidP="0058110A">
            <w:pPr>
              <w:ind w:left="-104" w:right="-105"/>
              <w:jc w:val="center"/>
              <w:rPr>
                <w:rFonts w:eastAsia="宋体" w:cs="Times New Roman"/>
                <w:sz w:val="18"/>
                <w:szCs w:val="18"/>
              </w:rPr>
            </w:pPr>
            <w:r w:rsidRPr="00A71D2E">
              <w:rPr>
                <w:rFonts w:eastAsia="宋体" w:cs="Times New Roman" w:hint="eastAsia"/>
                <w:sz w:val="18"/>
                <w:szCs w:val="18"/>
              </w:rPr>
              <w:t>销售商品、提供劳务</w:t>
            </w:r>
          </w:p>
        </w:tc>
        <w:tc>
          <w:tcPr>
            <w:tcW w:w="1678" w:type="dxa"/>
            <w:vAlign w:val="center"/>
          </w:tcPr>
          <w:p w:rsidR="0058110A" w:rsidRPr="00A71D2E" w:rsidRDefault="008747B1" w:rsidP="0058110A">
            <w:pPr>
              <w:ind w:right="94"/>
              <w:jc w:val="right"/>
              <w:rPr>
                <w:rFonts w:eastAsia="宋体" w:cs="Times New Roman"/>
                <w:sz w:val="18"/>
                <w:szCs w:val="18"/>
              </w:rPr>
            </w:pPr>
            <w:r w:rsidRPr="008747B1">
              <w:rPr>
                <w:rFonts w:eastAsia="宋体" w:cs="Times New Roman"/>
                <w:sz w:val="18"/>
                <w:szCs w:val="18"/>
              </w:rPr>
              <w:t>422,157,305.85</w:t>
            </w:r>
          </w:p>
        </w:tc>
        <w:tc>
          <w:tcPr>
            <w:tcW w:w="1679" w:type="dxa"/>
            <w:vAlign w:val="center"/>
          </w:tcPr>
          <w:p w:rsidR="0058110A" w:rsidRPr="00A71D2E" w:rsidRDefault="0058110A" w:rsidP="0058110A">
            <w:pPr>
              <w:ind w:right="94"/>
              <w:jc w:val="right"/>
              <w:rPr>
                <w:rFonts w:eastAsia="宋体" w:cs="Times New Roman"/>
                <w:sz w:val="18"/>
                <w:szCs w:val="18"/>
              </w:rPr>
            </w:pPr>
            <w:r w:rsidRPr="00A71D2E">
              <w:rPr>
                <w:rFonts w:eastAsia="宋体" w:cs="Times New Roman"/>
                <w:sz w:val="18"/>
                <w:szCs w:val="18"/>
              </w:rPr>
              <w:t>417,672,617.12</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rPr>
                <w:rFonts w:eastAsia="宋体" w:cs="Times New Roman"/>
                <w:sz w:val="18"/>
                <w:szCs w:val="18"/>
              </w:rPr>
            </w:pPr>
            <w:r w:rsidRPr="00A71D2E">
              <w:rPr>
                <w:rFonts w:eastAsia="宋体" w:cs="Times New Roman" w:hint="eastAsia"/>
                <w:sz w:val="18"/>
                <w:szCs w:val="18"/>
              </w:rPr>
              <w:t>中电下属企业</w:t>
            </w:r>
          </w:p>
        </w:tc>
        <w:tc>
          <w:tcPr>
            <w:tcW w:w="3355" w:type="dxa"/>
            <w:tcMar>
              <w:top w:w="0" w:type="dxa"/>
              <w:left w:w="108" w:type="dxa"/>
              <w:bottom w:w="0" w:type="dxa"/>
              <w:right w:w="108" w:type="dxa"/>
            </w:tcMar>
            <w:vAlign w:val="center"/>
          </w:tcPr>
          <w:p w:rsidR="0058110A" w:rsidRPr="00A71D2E" w:rsidRDefault="0058110A" w:rsidP="0058110A">
            <w:pPr>
              <w:ind w:left="-104" w:right="-105"/>
              <w:jc w:val="center"/>
              <w:rPr>
                <w:rFonts w:eastAsia="宋体" w:cs="Times New Roman"/>
                <w:sz w:val="18"/>
                <w:szCs w:val="18"/>
              </w:rPr>
            </w:pPr>
            <w:r w:rsidRPr="00A71D2E">
              <w:rPr>
                <w:rFonts w:eastAsia="宋体" w:cs="Times New Roman" w:hint="eastAsia"/>
                <w:sz w:val="18"/>
                <w:szCs w:val="18"/>
              </w:rPr>
              <w:t>销售商品、提供劳务</w:t>
            </w:r>
          </w:p>
        </w:tc>
        <w:tc>
          <w:tcPr>
            <w:tcW w:w="1678" w:type="dxa"/>
            <w:vAlign w:val="center"/>
          </w:tcPr>
          <w:p w:rsidR="0058110A" w:rsidRPr="00A71D2E" w:rsidRDefault="008747B1" w:rsidP="0058110A">
            <w:pPr>
              <w:ind w:right="94"/>
              <w:jc w:val="right"/>
              <w:rPr>
                <w:rFonts w:eastAsia="宋体" w:cs="Times New Roman"/>
                <w:sz w:val="18"/>
                <w:szCs w:val="18"/>
              </w:rPr>
            </w:pPr>
            <w:r w:rsidRPr="008747B1">
              <w:rPr>
                <w:rFonts w:eastAsia="宋体" w:cs="Times New Roman"/>
                <w:sz w:val="18"/>
                <w:szCs w:val="18"/>
              </w:rPr>
              <w:t>146,228.95</w:t>
            </w:r>
          </w:p>
        </w:tc>
        <w:tc>
          <w:tcPr>
            <w:tcW w:w="1679" w:type="dxa"/>
            <w:vAlign w:val="center"/>
          </w:tcPr>
          <w:p w:rsidR="0058110A" w:rsidRPr="00A71D2E" w:rsidRDefault="0058110A" w:rsidP="0058110A">
            <w:pPr>
              <w:ind w:right="94"/>
              <w:jc w:val="right"/>
              <w:rPr>
                <w:rFonts w:eastAsia="宋体" w:cs="Times New Roman"/>
                <w:sz w:val="18"/>
                <w:szCs w:val="18"/>
              </w:rPr>
            </w:pPr>
            <w:r w:rsidRPr="00A71D2E">
              <w:rPr>
                <w:rFonts w:eastAsia="宋体" w:cs="Times New Roman"/>
                <w:sz w:val="18"/>
                <w:szCs w:val="18"/>
              </w:rPr>
              <w:t>-    </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rPr>
                <w:rFonts w:eastAsia="宋体" w:cs="Times New Roman"/>
                <w:sz w:val="18"/>
                <w:szCs w:val="18"/>
              </w:rPr>
            </w:pPr>
            <w:r w:rsidRPr="00A71D2E">
              <w:rPr>
                <w:rFonts w:eastAsia="宋体" w:cs="Times New Roman" w:hint="eastAsia"/>
                <w:sz w:val="18"/>
                <w:szCs w:val="18"/>
              </w:rPr>
              <w:t>本公司下属子公司</w:t>
            </w:r>
          </w:p>
        </w:tc>
        <w:tc>
          <w:tcPr>
            <w:tcW w:w="3355" w:type="dxa"/>
            <w:tcMar>
              <w:top w:w="0" w:type="dxa"/>
              <w:left w:w="108" w:type="dxa"/>
              <w:bottom w:w="0" w:type="dxa"/>
              <w:right w:w="108" w:type="dxa"/>
            </w:tcMar>
            <w:vAlign w:val="center"/>
          </w:tcPr>
          <w:p w:rsidR="0058110A" w:rsidRPr="00A71D2E" w:rsidRDefault="0058110A" w:rsidP="0058110A">
            <w:pPr>
              <w:ind w:left="-104" w:right="-105"/>
              <w:jc w:val="center"/>
              <w:rPr>
                <w:rFonts w:eastAsia="宋体" w:cs="Times New Roman"/>
                <w:sz w:val="18"/>
                <w:szCs w:val="18"/>
              </w:rPr>
            </w:pPr>
            <w:r w:rsidRPr="00A71D2E">
              <w:rPr>
                <w:rFonts w:eastAsia="宋体" w:cs="Times New Roman" w:hint="eastAsia"/>
                <w:sz w:val="18"/>
                <w:szCs w:val="18"/>
              </w:rPr>
              <w:t>销售商品、提供劳务</w:t>
            </w:r>
          </w:p>
        </w:tc>
        <w:tc>
          <w:tcPr>
            <w:tcW w:w="1678" w:type="dxa"/>
            <w:vAlign w:val="center"/>
          </w:tcPr>
          <w:p w:rsidR="0058110A" w:rsidRPr="00A71D2E" w:rsidRDefault="008747B1" w:rsidP="0058110A">
            <w:pPr>
              <w:ind w:right="94"/>
              <w:jc w:val="right"/>
              <w:rPr>
                <w:rFonts w:eastAsia="宋体" w:cs="Times New Roman"/>
                <w:sz w:val="18"/>
                <w:szCs w:val="18"/>
              </w:rPr>
            </w:pPr>
            <w:r w:rsidRPr="008747B1">
              <w:rPr>
                <w:rFonts w:eastAsia="宋体" w:cs="Times New Roman"/>
                <w:sz w:val="18"/>
                <w:szCs w:val="18"/>
              </w:rPr>
              <w:t>532,903,731.69</w:t>
            </w:r>
          </w:p>
        </w:tc>
        <w:tc>
          <w:tcPr>
            <w:tcW w:w="1679" w:type="dxa"/>
            <w:vAlign w:val="center"/>
          </w:tcPr>
          <w:p w:rsidR="0058110A" w:rsidRPr="00A71D2E" w:rsidRDefault="0058110A" w:rsidP="0058110A">
            <w:pPr>
              <w:ind w:right="94"/>
              <w:jc w:val="right"/>
              <w:rPr>
                <w:rFonts w:eastAsia="宋体" w:cs="Times New Roman"/>
                <w:sz w:val="18"/>
                <w:szCs w:val="18"/>
              </w:rPr>
            </w:pPr>
            <w:r w:rsidRPr="007F1819">
              <w:rPr>
                <w:rFonts w:eastAsia="宋体" w:cs="Times New Roman"/>
                <w:sz w:val="18"/>
                <w:szCs w:val="18"/>
              </w:rPr>
              <w:t>425,738,004.47</w:t>
            </w:r>
          </w:p>
        </w:tc>
      </w:tr>
      <w:tr w:rsidR="0058110A" w:rsidRPr="00A71D2E" w:rsidTr="0027505B">
        <w:trPr>
          <w:trHeight w:val="20"/>
        </w:trPr>
        <w:tc>
          <w:tcPr>
            <w:tcW w:w="2738" w:type="dxa"/>
            <w:shd w:val="clear" w:color="auto" w:fill="D9D9D9" w:themeFill="background1" w:themeFillShade="D9"/>
            <w:tcMar>
              <w:top w:w="0" w:type="dxa"/>
              <w:left w:w="108" w:type="dxa"/>
              <w:bottom w:w="0" w:type="dxa"/>
              <w:right w:w="108" w:type="dxa"/>
            </w:tcMar>
            <w:vAlign w:val="center"/>
          </w:tcPr>
          <w:p w:rsidR="0058110A" w:rsidRPr="00A71D2E" w:rsidRDefault="0058110A" w:rsidP="0058110A">
            <w:pPr>
              <w:rPr>
                <w:rFonts w:eastAsia="宋体" w:cs="Times New Roman"/>
                <w:sz w:val="18"/>
                <w:szCs w:val="18"/>
              </w:rPr>
            </w:pPr>
            <w:r w:rsidRPr="00A71D2E">
              <w:rPr>
                <w:rFonts w:eastAsia="宋体" w:cs="Times New Roman" w:hint="eastAsia"/>
                <w:sz w:val="18"/>
                <w:szCs w:val="18"/>
              </w:rPr>
              <w:t>合计</w:t>
            </w:r>
          </w:p>
        </w:tc>
        <w:tc>
          <w:tcPr>
            <w:tcW w:w="3355" w:type="dxa"/>
            <w:shd w:val="clear" w:color="auto" w:fill="FFFFFF" w:themeFill="background1"/>
            <w:tcMar>
              <w:top w:w="0" w:type="dxa"/>
              <w:left w:w="108" w:type="dxa"/>
              <w:bottom w:w="0" w:type="dxa"/>
              <w:right w:w="108" w:type="dxa"/>
            </w:tcMar>
            <w:vAlign w:val="center"/>
          </w:tcPr>
          <w:p w:rsidR="0058110A" w:rsidRPr="00A71D2E" w:rsidRDefault="0058110A" w:rsidP="0058110A">
            <w:pPr>
              <w:jc w:val="center"/>
              <w:rPr>
                <w:rFonts w:eastAsia="宋体" w:cs="Times New Roman"/>
                <w:sz w:val="18"/>
                <w:szCs w:val="18"/>
              </w:rPr>
            </w:pPr>
          </w:p>
        </w:tc>
        <w:tc>
          <w:tcPr>
            <w:tcW w:w="1678" w:type="dxa"/>
            <w:shd w:val="clear" w:color="auto" w:fill="FFFFFF" w:themeFill="background1"/>
            <w:vAlign w:val="center"/>
          </w:tcPr>
          <w:p w:rsidR="0058110A" w:rsidRPr="00A71D2E" w:rsidRDefault="008747B1" w:rsidP="0058110A">
            <w:pPr>
              <w:ind w:right="94"/>
              <w:jc w:val="right"/>
              <w:rPr>
                <w:rFonts w:eastAsia="宋体" w:cs="Times New Roman"/>
                <w:sz w:val="18"/>
                <w:szCs w:val="18"/>
              </w:rPr>
            </w:pPr>
            <w:r w:rsidRPr="008747B1">
              <w:rPr>
                <w:rFonts w:eastAsia="宋体" w:cs="Times New Roman"/>
                <w:sz w:val="18"/>
                <w:szCs w:val="18"/>
              </w:rPr>
              <w:t>955,207,266.49</w:t>
            </w:r>
          </w:p>
        </w:tc>
        <w:tc>
          <w:tcPr>
            <w:tcW w:w="1679" w:type="dxa"/>
            <w:shd w:val="clear" w:color="auto" w:fill="FFFFFF" w:themeFill="background1"/>
            <w:vAlign w:val="center"/>
          </w:tcPr>
          <w:p w:rsidR="0058110A" w:rsidRPr="00A71D2E" w:rsidRDefault="0058110A" w:rsidP="0058110A">
            <w:pPr>
              <w:ind w:right="94"/>
              <w:jc w:val="right"/>
              <w:rPr>
                <w:rFonts w:eastAsia="宋体" w:cs="Times New Roman"/>
                <w:sz w:val="18"/>
                <w:szCs w:val="18"/>
              </w:rPr>
            </w:pPr>
            <w:r w:rsidRPr="007F1819">
              <w:rPr>
                <w:rFonts w:eastAsia="宋体" w:cs="Times New Roman"/>
                <w:sz w:val="18"/>
                <w:szCs w:val="18"/>
              </w:rPr>
              <w:t>843,410,621.59</w:t>
            </w:r>
          </w:p>
        </w:tc>
      </w:tr>
    </w:tbl>
    <w:p w:rsidR="00035D6E" w:rsidRDefault="00035D6E">
      <w:pPr>
        <w:ind w:left="720"/>
        <w:jc w:val="both"/>
        <w:rPr>
          <w:rFonts w:eastAsia="宋体" w:cs="Times New Roman"/>
          <w:bCs/>
          <w:szCs w:val="21"/>
        </w:rPr>
      </w:pPr>
    </w:p>
    <w:p w:rsidR="00FF34EF" w:rsidRPr="00A71D2E" w:rsidRDefault="00FF34EF">
      <w:pPr>
        <w:ind w:left="720"/>
        <w:jc w:val="both"/>
        <w:rPr>
          <w:rFonts w:eastAsia="宋体" w:cs="Times New Roman"/>
          <w:bCs/>
          <w:szCs w:val="21"/>
        </w:rPr>
      </w:pPr>
      <w:r w:rsidRPr="00A71D2E">
        <w:rPr>
          <w:rFonts w:eastAsia="宋体" w:cs="Times New Roman" w:hint="eastAsia"/>
          <w:bCs/>
          <w:szCs w:val="21"/>
        </w:rPr>
        <w:t>固定资产购销情况表</w:t>
      </w:r>
      <w:r w:rsidR="005F14EE">
        <w:rPr>
          <w:rFonts w:eastAsia="宋体" w:cs="Times New Roman" w:hint="eastAsia"/>
          <w:bCs/>
          <w:szCs w:val="21"/>
        </w:rPr>
        <w:t>：</w:t>
      </w:r>
    </w:p>
    <w:p w:rsidR="00FF34EF" w:rsidRPr="00A71D2E" w:rsidRDefault="00FF34EF">
      <w:pPr>
        <w:ind w:left="5040" w:right="9"/>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38"/>
        <w:gridCol w:w="3364"/>
        <w:gridCol w:w="1674"/>
        <w:gridCol w:w="1674"/>
      </w:tblGrid>
      <w:tr w:rsidR="00BC7755" w:rsidRPr="00A71D2E" w:rsidTr="0027505B">
        <w:trPr>
          <w:trHeight w:val="20"/>
        </w:trPr>
        <w:tc>
          <w:tcPr>
            <w:tcW w:w="2738" w:type="dxa"/>
            <w:shd w:val="clear" w:color="auto" w:fill="D9D9D9" w:themeFill="background1" w:themeFillShade="D9"/>
            <w:tcMar>
              <w:top w:w="0" w:type="dxa"/>
              <w:left w:w="108" w:type="dxa"/>
              <w:bottom w:w="0" w:type="dxa"/>
              <w:right w:w="108" w:type="dxa"/>
            </w:tcMar>
            <w:vAlign w:val="center"/>
            <w:hideMark/>
          </w:tcPr>
          <w:p w:rsidR="00BC7755" w:rsidRPr="00A71D2E" w:rsidRDefault="00BC7755">
            <w:pPr>
              <w:ind w:left="-300" w:right="-75" w:firstLine="300"/>
              <w:jc w:val="center"/>
              <w:rPr>
                <w:rFonts w:eastAsia="宋体" w:cs="Times New Roman"/>
                <w:sz w:val="18"/>
                <w:szCs w:val="18"/>
              </w:rPr>
            </w:pPr>
            <w:r w:rsidRPr="00A71D2E">
              <w:rPr>
                <w:rFonts w:eastAsia="宋体" w:cs="Times New Roman" w:hint="eastAsia"/>
                <w:sz w:val="18"/>
                <w:szCs w:val="18"/>
              </w:rPr>
              <w:t>关联方</w:t>
            </w:r>
          </w:p>
        </w:tc>
        <w:tc>
          <w:tcPr>
            <w:tcW w:w="3364" w:type="dxa"/>
            <w:shd w:val="clear" w:color="auto" w:fill="D9D9D9" w:themeFill="background1" w:themeFillShade="D9"/>
            <w:tcMar>
              <w:top w:w="0" w:type="dxa"/>
              <w:left w:w="108" w:type="dxa"/>
              <w:bottom w:w="0" w:type="dxa"/>
              <w:right w:w="108" w:type="dxa"/>
            </w:tcMar>
            <w:vAlign w:val="center"/>
            <w:hideMark/>
          </w:tcPr>
          <w:p w:rsidR="00BC7755" w:rsidRPr="00A71D2E" w:rsidRDefault="00BC7755">
            <w:pPr>
              <w:ind w:left="-300" w:firstLine="300"/>
              <w:jc w:val="center"/>
              <w:rPr>
                <w:rFonts w:eastAsia="宋体" w:cs="Times New Roman"/>
                <w:sz w:val="18"/>
                <w:szCs w:val="18"/>
              </w:rPr>
            </w:pPr>
            <w:r w:rsidRPr="00A71D2E">
              <w:rPr>
                <w:rFonts w:eastAsia="宋体" w:cs="Times New Roman" w:hint="eastAsia"/>
                <w:sz w:val="18"/>
                <w:szCs w:val="18"/>
              </w:rPr>
              <w:t>关联交易内容</w:t>
            </w:r>
          </w:p>
        </w:tc>
        <w:tc>
          <w:tcPr>
            <w:tcW w:w="1674" w:type="dxa"/>
            <w:shd w:val="clear" w:color="auto" w:fill="D9D9D9" w:themeFill="background1" w:themeFillShade="D9"/>
            <w:vAlign w:val="center"/>
          </w:tcPr>
          <w:p w:rsidR="00BC7755" w:rsidRPr="00A71D2E" w:rsidRDefault="00BC7755">
            <w:pPr>
              <w:ind w:left="-300" w:firstLine="300"/>
              <w:jc w:val="center"/>
              <w:rPr>
                <w:rFonts w:eastAsia="宋体" w:cs="Times New Roman"/>
                <w:sz w:val="18"/>
                <w:szCs w:val="18"/>
              </w:rPr>
            </w:pPr>
            <w:r w:rsidRPr="00A71D2E">
              <w:rPr>
                <w:rFonts w:eastAsia="宋体" w:cs="Times New Roman" w:hint="eastAsia"/>
                <w:sz w:val="18"/>
                <w:szCs w:val="18"/>
              </w:rPr>
              <w:t>本年发生额</w:t>
            </w:r>
          </w:p>
        </w:tc>
        <w:tc>
          <w:tcPr>
            <w:tcW w:w="1674" w:type="dxa"/>
            <w:shd w:val="clear" w:color="auto" w:fill="D9D9D9" w:themeFill="background1" w:themeFillShade="D9"/>
            <w:vAlign w:val="center"/>
          </w:tcPr>
          <w:p w:rsidR="00BC7755" w:rsidRPr="00A71D2E" w:rsidRDefault="00BC7755">
            <w:pPr>
              <w:ind w:left="-300" w:firstLine="300"/>
              <w:jc w:val="center"/>
              <w:rPr>
                <w:rFonts w:eastAsia="宋体" w:cs="Times New Roman"/>
                <w:sz w:val="18"/>
                <w:szCs w:val="18"/>
              </w:rPr>
            </w:pPr>
            <w:r w:rsidRPr="00A71D2E">
              <w:rPr>
                <w:rFonts w:eastAsia="宋体" w:cs="Times New Roman" w:hint="eastAsia"/>
                <w:sz w:val="18"/>
                <w:szCs w:val="18"/>
              </w:rPr>
              <w:t>上年发生额</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ind w:left="-300" w:firstLine="300"/>
              <w:rPr>
                <w:rFonts w:eastAsia="宋体" w:cs="Times New Roman"/>
                <w:sz w:val="18"/>
                <w:szCs w:val="18"/>
              </w:rPr>
            </w:pPr>
            <w:proofErr w:type="gramStart"/>
            <w:r w:rsidRPr="00A71D2E">
              <w:rPr>
                <w:rFonts w:eastAsia="宋体" w:cs="Times New Roman" w:hint="eastAsia"/>
                <w:sz w:val="18"/>
                <w:szCs w:val="18"/>
              </w:rPr>
              <w:t>海康威视股份公司</w:t>
            </w:r>
            <w:proofErr w:type="gramEnd"/>
            <w:r w:rsidRPr="00A71D2E">
              <w:rPr>
                <w:rFonts w:eastAsia="宋体" w:cs="Times New Roman" w:hint="eastAsia"/>
                <w:sz w:val="18"/>
                <w:szCs w:val="18"/>
              </w:rPr>
              <w:t>及其下属企业</w:t>
            </w:r>
          </w:p>
        </w:tc>
        <w:tc>
          <w:tcPr>
            <w:tcW w:w="3364" w:type="dxa"/>
            <w:tcMar>
              <w:top w:w="0" w:type="dxa"/>
              <w:left w:w="108" w:type="dxa"/>
              <w:bottom w:w="0" w:type="dxa"/>
              <w:right w:w="108" w:type="dxa"/>
            </w:tcMar>
            <w:vAlign w:val="center"/>
          </w:tcPr>
          <w:p w:rsidR="0058110A" w:rsidRPr="00A71D2E" w:rsidRDefault="0058110A" w:rsidP="0058110A">
            <w:pPr>
              <w:ind w:left="-300" w:firstLine="300"/>
              <w:jc w:val="center"/>
              <w:rPr>
                <w:rFonts w:eastAsia="宋体" w:cs="Times New Roman"/>
                <w:sz w:val="18"/>
                <w:szCs w:val="18"/>
              </w:rPr>
            </w:pPr>
            <w:r w:rsidRPr="00A71D2E">
              <w:rPr>
                <w:rFonts w:eastAsia="宋体" w:cs="Times New Roman" w:hint="eastAsia"/>
                <w:sz w:val="18"/>
                <w:szCs w:val="18"/>
              </w:rPr>
              <w:t>采购固定资产</w:t>
            </w:r>
          </w:p>
        </w:tc>
        <w:tc>
          <w:tcPr>
            <w:tcW w:w="1674" w:type="dxa"/>
            <w:vAlign w:val="center"/>
          </w:tcPr>
          <w:p w:rsidR="0058110A" w:rsidRPr="00A71D2E" w:rsidRDefault="008747B1" w:rsidP="0058110A">
            <w:pPr>
              <w:ind w:left="-300" w:right="94" w:firstLine="300"/>
              <w:jc w:val="right"/>
              <w:rPr>
                <w:rFonts w:eastAsia="宋体" w:cs="Times New Roman"/>
                <w:color w:val="000000"/>
                <w:sz w:val="18"/>
                <w:szCs w:val="18"/>
              </w:rPr>
            </w:pPr>
            <w:r w:rsidRPr="008747B1">
              <w:rPr>
                <w:rFonts w:eastAsia="宋体" w:cs="Times New Roman"/>
                <w:color w:val="000000"/>
                <w:sz w:val="18"/>
                <w:szCs w:val="18"/>
              </w:rPr>
              <w:t>8,430,258.21</w:t>
            </w:r>
          </w:p>
        </w:tc>
        <w:tc>
          <w:tcPr>
            <w:tcW w:w="1674" w:type="dxa"/>
            <w:vAlign w:val="center"/>
          </w:tcPr>
          <w:p w:rsidR="0058110A" w:rsidRPr="00A71D2E" w:rsidRDefault="0058110A" w:rsidP="0058110A">
            <w:pPr>
              <w:ind w:left="-300" w:right="94" w:firstLine="300"/>
              <w:jc w:val="right"/>
              <w:rPr>
                <w:rFonts w:eastAsia="宋体" w:cs="Times New Roman"/>
                <w:color w:val="000000"/>
                <w:sz w:val="18"/>
                <w:szCs w:val="18"/>
              </w:rPr>
            </w:pPr>
            <w:r w:rsidRPr="008C07F5">
              <w:rPr>
                <w:rFonts w:eastAsia="宋体" w:cs="Times New Roman"/>
                <w:color w:val="000000"/>
                <w:sz w:val="18"/>
                <w:szCs w:val="18"/>
              </w:rPr>
              <w:t>16,417,006.00</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ind w:left="-300" w:firstLine="300"/>
              <w:rPr>
                <w:rFonts w:eastAsia="宋体" w:cs="Times New Roman"/>
                <w:sz w:val="18"/>
                <w:szCs w:val="18"/>
              </w:rPr>
            </w:pPr>
            <w:r w:rsidRPr="00A71D2E">
              <w:rPr>
                <w:rFonts w:eastAsia="宋体" w:cs="Times New Roman" w:hint="eastAsia"/>
                <w:sz w:val="18"/>
                <w:szCs w:val="18"/>
              </w:rPr>
              <w:t>本公司下属子公司</w:t>
            </w:r>
          </w:p>
        </w:tc>
        <w:tc>
          <w:tcPr>
            <w:tcW w:w="3364" w:type="dxa"/>
            <w:tcMar>
              <w:top w:w="0" w:type="dxa"/>
              <w:left w:w="108" w:type="dxa"/>
              <w:bottom w:w="0" w:type="dxa"/>
              <w:right w:w="108" w:type="dxa"/>
            </w:tcMar>
            <w:vAlign w:val="center"/>
          </w:tcPr>
          <w:p w:rsidR="0058110A" w:rsidRPr="00A71D2E" w:rsidRDefault="0058110A" w:rsidP="0058110A">
            <w:pPr>
              <w:ind w:left="-300" w:firstLine="300"/>
              <w:jc w:val="center"/>
              <w:rPr>
                <w:rFonts w:eastAsia="宋体" w:cs="Times New Roman"/>
                <w:sz w:val="18"/>
                <w:szCs w:val="18"/>
              </w:rPr>
            </w:pPr>
            <w:r w:rsidRPr="00A71D2E">
              <w:rPr>
                <w:rFonts w:eastAsia="宋体" w:cs="Times New Roman" w:hint="eastAsia"/>
                <w:sz w:val="18"/>
                <w:szCs w:val="18"/>
              </w:rPr>
              <w:t>采购固定资产</w:t>
            </w:r>
          </w:p>
        </w:tc>
        <w:tc>
          <w:tcPr>
            <w:tcW w:w="1674" w:type="dxa"/>
            <w:vAlign w:val="center"/>
          </w:tcPr>
          <w:p w:rsidR="0058110A" w:rsidRPr="00A71D2E" w:rsidRDefault="008747B1" w:rsidP="0058110A">
            <w:pPr>
              <w:ind w:left="-300" w:right="94" w:firstLine="300"/>
              <w:jc w:val="right"/>
              <w:rPr>
                <w:rFonts w:eastAsia="宋体" w:cs="Times New Roman"/>
                <w:color w:val="000000"/>
                <w:sz w:val="18"/>
                <w:szCs w:val="18"/>
              </w:rPr>
            </w:pPr>
            <w:r w:rsidRPr="008747B1">
              <w:rPr>
                <w:rFonts w:eastAsia="宋体" w:cs="Times New Roman"/>
                <w:color w:val="000000"/>
                <w:sz w:val="18"/>
                <w:szCs w:val="18"/>
              </w:rPr>
              <w:t>321,903.75</w:t>
            </w:r>
          </w:p>
        </w:tc>
        <w:tc>
          <w:tcPr>
            <w:tcW w:w="1674" w:type="dxa"/>
            <w:vAlign w:val="center"/>
          </w:tcPr>
          <w:p w:rsidR="0058110A" w:rsidRPr="00A71D2E" w:rsidRDefault="0058110A" w:rsidP="0058110A">
            <w:pPr>
              <w:ind w:left="-300" w:right="94" w:firstLine="300"/>
              <w:jc w:val="right"/>
              <w:rPr>
                <w:rFonts w:eastAsia="宋体" w:cs="Times New Roman"/>
                <w:color w:val="000000"/>
                <w:sz w:val="18"/>
                <w:szCs w:val="18"/>
              </w:rPr>
            </w:pPr>
            <w:r w:rsidRPr="00A71D2E">
              <w:rPr>
                <w:rFonts w:eastAsia="宋体" w:cs="Times New Roman"/>
                <w:color w:val="000000"/>
                <w:sz w:val="18"/>
                <w:szCs w:val="18"/>
              </w:rPr>
              <w:t>592,476.36</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ind w:left="-300" w:firstLine="300"/>
              <w:rPr>
                <w:rFonts w:eastAsia="宋体" w:cs="Times New Roman"/>
                <w:sz w:val="18"/>
                <w:szCs w:val="18"/>
              </w:rPr>
            </w:pPr>
            <w:proofErr w:type="gramStart"/>
            <w:r w:rsidRPr="00A71D2E">
              <w:rPr>
                <w:rFonts w:eastAsia="宋体" w:cs="Times New Roman" w:hint="eastAsia"/>
                <w:sz w:val="18"/>
                <w:szCs w:val="18"/>
              </w:rPr>
              <w:t>海康威视股份公司</w:t>
            </w:r>
            <w:proofErr w:type="gramEnd"/>
            <w:r w:rsidRPr="00A71D2E">
              <w:rPr>
                <w:rFonts w:eastAsia="宋体" w:cs="Times New Roman" w:hint="eastAsia"/>
                <w:sz w:val="18"/>
                <w:szCs w:val="18"/>
              </w:rPr>
              <w:t>及其下属企业</w:t>
            </w:r>
          </w:p>
        </w:tc>
        <w:tc>
          <w:tcPr>
            <w:tcW w:w="3364" w:type="dxa"/>
            <w:tcMar>
              <w:top w:w="0" w:type="dxa"/>
              <w:left w:w="108" w:type="dxa"/>
              <w:bottom w:w="0" w:type="dxa"/>
              <w:right w:w="108" w:type="dxa"/>
            </w:tcMar>
            <w:vAlign w:val="center"/>
          </w:tcPr>
          <w:p w:rsidR="0058110A" w:rsidRPr="00A71D2E" w:rsidRDefault="0058110A" w:rsidP="0058110A">
            <w:pPr>
              <w:ind w:left="-300" w:firstLine="300"/>
              <w:jc w:val="center"/>
              <w:rPr>
                <w:rFonts w:eastAsia="宋体" w:cs="Times New Roman"/>
                <w:sz w:val="18"/>
                <w:szCs w:val="18"/>
              </w:rPr>
            </w:pPr>
            <w:r w:rsidRPr="00A71D2E">
              <w:rPr>
                <w:rFonts w:eastAsia="宋体" w:cs="Times New Roman" w:hint="eastAsia"/>
                <w:sz w:val="18"/>
                <w:szCs w:val="18"/>
              </w:rPr>
              <w:t>销售固定资产</w:t>
            </w:r>
          </w:p>
        </w:tc>
        <w:tc>
          <w:tcPr>
            <w:tcW w:w="1674" w:type="dxa"/>
            <w:vAlign w:val="center"/>
          </w:tcPr>
          <w:p w:rsidR="0058110A" w:rsidRPr="00A71D2E" w:rsidRDefault="008747B1" w:rsidP="0058110A">
            <w:pPr>
              <w:ind w:left="-300" w:right="94" w:firstLine="300"/>
              <w:jc w:val="right"/>
              <w:rPr>
                <w:rFonts w:eastAsia="宋体" w:cs="Times New Roman"/>
                <w:color w:val="000000"/>
                <w:sz w:val="18"/>
                <w:szCs w:val="18"/>
              </w:rPr>
            </w:pPr>
            <w:r w:rsidRPr="008747B1">
              <w:rPr>
                <w:rFonts w:eastAsia="宋体" w:cs="Times New Roman"/>
                <w:color w:val="000000"/>
                <w:sz w:val="18"/>
                <w:szCs w:val="18"/>
              </w:rPr>
              <w:t>8,989.95</w:t>
            </w:r>
          </w:p>
        </w:tc>
        <w:tc>
          <w:tcPr>
            <w:tcW w:w="1674" w:type="dxa"/>
            <w:vAlign w:val="center"/>
          </w:tcPr>
          <w:p w:rsidR="0058110A" w:rsidRPr="00A71D2E" w:rsidRDefault="0058110A" w:rsidP="0058110A">
            <w:pPr>
              <w:ind w:left="-300" w:right="94" w:firstLine="300"/>
              <w:jc w:val="right"/>
              <w:rPr>
                <w:rFonts w:eastAsia="宋体" w:cs="Times New Roman"/>
                <w:color w:val="000000"/>
                <w:sz w:val="18"/>
                <w:szCs w:val="18"/>
              </w:rPr>
            </w:pPr>
            <w:r w:rsidRPr="008C07F5">
              <w:rPr>
                <w:rFonts w:eastAsia="宋体" w:cs="Times New Roman"/>
                <w:color w:val="000000"/>
                <w:sz w:val="18"/>
                <w:szCs w:val="18"/>
              </w:rPr>
              <w:t>21,443.10</w:t>
            </w:r>
          </w:p>
        </w:tc>
      </w:tr>
      <w:tr w:rsidR="0058110A" w:rsidRPr="00A71D2E" w:rsidTr="0027505B">
        <w:trPr>
          <w:trHeight w:val="20"/>
        </w:trPr>
        <w:tc>
          <w:tcPr>
            <w:tcW w:w="2738" w:type="dxa"/>
            <w:tcMar>
              <w:top w:w="0" w:type="dxa"/>
              <w:left w:w="108" w:type="dxa"/>
              <w:bottom w:w="0" w:type="dxa"/>
              <w:right w:w="108" w:type="dxa"/>
            </w:tcMar>
            <w:vAlign w:val="center"/>
          </w:tcPr>
          <w:p w:rsidR="0058110A" w:rsidRPr="00A71D2E" w:rsidRDefault="0058110A" w:rsidP="0058110A">
            <w:pPr>
              <w:ind w:left="-300" w:firstLine="300"/>
              <w:rPr>
                <w:rFonts w:eastAsia="宋体" w:cs="Times New Roman"/>
                <w:sz w:val="18"/>
                <w:szCs w:val="18"/>
              </w:rPr>
            </w:pPr>
            <w:r w:rsidRPr="00A71D2E">
              <w:rPr>
                <w:rFonts w:eastAsia="宋体" w:cs="Times New Roman" w:hint="eastAsia"/>
                <w:sz w:val="18"/>
                <w:szCs w:val="18"/>
              </w:rPr>
              <w:t>本公司下属子公司</w:t>
            </w:r>
          </w:p>
        </w:tc>
        <w:tc>
          <w:tcPr>
            <w:tcW w:w="3364" w:type="dxa"/>
            <w:tcMar>
              <w:top w:w="0" w:type="dxa"/>
              <w:left w:w="108" w:type="dxa"/>
              <w:bottom w:w="0" w:type="dxa"/>
              <w:right w:w="108" w:type="dxa"/>
            </w:tcMar>
            <w:vAlign w:val="center"/>
          </w:tcPr>
          <w:p w:rsidR="0058110A" w:rsidRPr="00A71D2E" w:rsidRDefault="0058110A" w:rsidP="0058110A">
            <w:pPr>
              <w:ind w:left="-300" w:firstLine="300"/>
              <w:jc w:val="center"/>
              <w:rPr>
                <w:rFonts w:eastAsia="宋体" w:cs="Times New Roman"/>
                <w:sz w:val="18"/>
                <w:szCs w:val="18"/>
              </w:rPr>
            </w:pPr>
            <w:r w:rsidRPr="00A71D2E">
              <w:rPr>
                <w:rFonts w:eastAsia="宋体" w:cs="Times New Roman" w:hint="eastAsia"/>
                <w:sz w:val="18"/>
                <w:szCs w:val="18"/>
              </w:rPr>
              <w:t>销售固定资产</w:t>
            </w:r>
          </w:p>
        </w:tc>
        <w:tc>
          <w:tcPr>
            <w:tcW w:w="1674" w:type="dxa"/>
            <w:vAlign w:val="center"/>
          </w:tcPr>
          <w:p w:rsidR="0058110A" w:rsidRPr="00A71D2E" w:rsidRDefault="008747B1" w:rsidP="0058110A">
            <w:pPr>
              <w:ind w:left="-300" w:right="94" w:firstLine="300"/>
              <w:jc w:val="right"/>
              <w:rPr>
                <w:rFonts w:eastAsia="宋体" w:cs="Times New Roman"/>
                <w:color w:val="000000"/>
                <w:sz w:val="18"/>
                <w:szCs w:val="18"/>
              </w:rPr>
            </w:pPr>
            <w:r w:rsidRPr="008747B1">
              <w:rPr>
                <w:rFonts w:eastAsia="宋体" w:cs="Times New Roman"/>
                <w:color w:val="000000"/>
                <w:sz w:val="18"/>
                <w:szCs w:val="18"/>
              </w:rPr>
              <w:t>24,815,931.83</w:t>
            </w:r>
          </w:p>
        </w:tc>
        <w:tc>
          <w:tcPr>
            <w:tcW w:w="1674" w:type="dxa"/>
            <w:vAlign w:val="center"/>
          </w:tcPr>
          <w:p w:rsidR="0058110A" w:rsidRPr="00A71D2E" w:rsidRDefault="0058110A" w:rsidP="0058110A">
            <w:pPr>
              <w:ind w:left="-300" w:right="94" w:firstLine="300"/>
              <w:jc w:val="right"/>
              <w:rPr>
                <w:rFonts w:eastAsia="宋体" w:cs="Times New Roman"/>
                <w:color w:val="000000"/>
                <w:sz w:val="18"/>
                <w:szCs w:val="18"/>
              </w:rPr>
            </w:pPr>
            <w:r w:rsidRPr="00A71D2E">
              <w:rPr>
                <w:rFonts w:eastAsia="宋体" w:cs="Times New Roman"/>
                <w:color w:val="000000"/>
                <w:sz w:val="18"/>
                <w:szCs w:val="18"/>
              </w:rPr>
              <w:t>56,205,750.24</w:t>
            </w:r>
          </w:p>
        </w:tc>
      </w:tr>
      <w:tr w:rsidR="0058110A" w:rsidRPr="00A71D2E" w:rsidTr="0027505B">
        <w:trPr>
          <w:trHeight w:val="20"/>
        </w:trPr>
        <w:tc>
          <w:tcPr>
            <w:tcW w:w="2738" w:type="dxa"/>
            <w:shd w:val="clear" w:color="auto" w:fill="D9D9D9" w:themeFill="background1" w:themeFillShade="D9"/>
            <w:tcMar>
              <w:top w:w="0" w:type="dxa"/>
              <w:left w:w="108" w:type="dxa"/>
              <w:bottom w:w="0" w:type="dxa"/>
              <w:right w:w="108" w:type="dxa"/>
            </w:tcMar>
            <w:vAlign w:val="center"/>
          </w:tcPr>
          <w:p w:rsidR="0058110A" w:rsidRPr="00A71D2E" w:rsidRDefault="0058110A" w:rsidP="0058110A">
            <w:pPr>
              <w:ind w:left="-300" w:firstLine="300"/>
              <w:rPr>
                <w:rFonts w:eastAsia="宋体" w:cs="Times New Roman"/>
                <w:sz w:val="18"/>
                <w:szCs w:val="18"/>
              </w:rPr>
            </w:pPr>
            <w:r w:rsidRPr="00A71D2E">
              <w:rPr>
                <w:rFonts w:eastAsia="宋体" w:cs="Times New Roman" w:hint="eastAsia"/>
                <w:sz w:val="18"/>
                <w:szCs w:val="18"/>
              </w:rPr>
              <w:t>合计</w:t>
            </w:r>
          </w:p>
        </w:tc>
        <w:tc>
          <w:tcPr>
            <w:tcW w:w="3364" w:type="dxa"/>
            <w:shd w:val="clear" w:color="auto" w:fill="FFFFFF" w:themeFill="background1"/>
            <w:tcMar>
              <w:top w:w="0" w:type="dxa"/>
              <w:left w:w="108" w:type="dxa"/>
              <w:bottom w:w="0" w:type="dxa"/>
              <w:right w:w="108" w:type="dxa"/>
            </w:tcMar>
            <w:vAlign w:val="center"/>
          </w:tcPr>
          <w:p w:rsidR="0058110A" w:rsidRPr="00A71D2E" w:rsidRDefault="0058110A" w:rsidP="0058110A">
            <w:pPr>
              <w:ind w:left="-300" w:firstLine="300"/>
              <w:jc w:val="center"/>
              <w:rPr>
                <w:rFonts w:eastAsia="宋体" w:cs="Times New Roman"/>
                <w:sz w:val="18"/>
                <w:szCs w:val="18"/>
              </w:rPr>
            </w:pPr>
          </w:p>
        </w:tc>
        <w:tc>
          <w:tcPr>
            <w:tcW w:w="1674" w:type="dxa"/>
            <w:shd w:val="clear" w:color="auto" w:fill="FFFFFF" w:themeFill="background1"/>
            <w:vAlign w:val="center"/>
          </w:tcPr>
          <w:p w:rsidR="0058110A" w:rsidRPr="00A71D2E" w:rsidRDefault="008200BA" w:rsidP="0058110A">
            <w:pPr>
              <w:ind w:left="-300" w:right="94" w:firstLine="300"/>
              <w:jc w:val="right"/>
              <w:rPr>
                <w:rFonts w:eastAsia="宋体" w:cs="Times New Roman"/>
                <w:color w:val="000000"/>
                <w:sz w:val="18"/>
                <w:szCs w:val="18"/>
              </w:rPr>
            </w:pPr>
            <w:r w:rsidRPr="008200BA">
              <w:rPr>
                <w:rFonts w:eastAsia="宋体" w:cs="Times New Roman"/>
                <w:color w:val="000000"/>
                <w:sz w:val="18"/>
                <w:szCs w:val="18"/>
              </w:rPr>
              <w:t>33,577,083.74</w:t>
            </w:r>
          </w:p>
        </w:tc>
        <w:tc>
          <w:tcPr>
            <w:tcW w:w="1674" w:type="dxa"/>
            <w:shd w:val="clear" w:color="auto" w:fill="FFFFFF" w:themeFill="background1"/>
            <w:vAlign w:val="center"/>
          </w:tcPr>
          <w:p w:rsidR="0058110A" w:rsidRPr="00A71D2E" w:rsidRDefault="0058110A" w:rsidP="0058110A">
            <w:pPr>
              <w:ind w:left="-300" w:right="94" w:firstLine="300"/>
              <w:jc w:val="right"/>
              <w:rPr>
                <w:rFonts w:eastAsia="宋体" w:cs="Times New Roman"/>
                <w:color w:val="000000"/>
                <w:sz w:val="18"/>
                <w:szCs w:val="18"/>
              </w:rPr>
            </w:pPr>
            <w:r w:rsidRPr="008C07F5">
              <w:rPr>
                <w:rFonts w:eastAsia="宋体" w:cs="Times New Roman"/>
                <w:color w:val="000000"/>
                <w:sz w:val="18"/>
                <w:szCs w:val="18"/>
              </w:rPr>
              <w:t>73,236,675.70</w:t>
            </w:r>
          </w:p>
        </w:tc>
      </w:tr>
    </w:tbl>
    <w:p w:rsidR="00314AB5" w:rsidRDefault="00314AB5" w:rsidP="00665D97">
      <w:pPr>
        <w:pStyle w:val="aff1"/>
        <w:widowControl w:val="0"/>
        <w:ind w:left="1440" w:firstLineChars="0" w:hanging="720"/>
        <w:rPr>
          <w:b/>
          <w:bCs/>
        </w:rPr>
      </w:pPr>
    </w:p>
    <w:p w:rsidR="00314AB5" w:rsidRDefault="00314AB5">
      <w:pPr>
        <w:adjustRightInd/>
        <w:snapToGrid/>
        <w:rPr>
          <w:rFonts w:eastAsia="宋体" w:cs="Times New Roman"/>
          <w:b/>
          <w:bCs/>
          <w:szCs w:val="24"/>
        </w:rPr>
      </w:pPr>
      <w:r>
        <w:rPr>
          <w:b/>
          <w:bCs/>
        </w:rPr>
        <w:br w:type="page"/>
      </w:r>
    </w:p>
    <w:p w:rsidR="00314AB5" w:rsidRDefault="00314AB5" w:rsidP="00314AB5">
      <w:pPr>
        <w:widowControl w:val="0"/>
        <w:rPr>
          <w:rFonts w:eastAsia="宋体" w:cs="Times New Roman"/>
          <w:szCs w:val="21"/>
        </w:rPr>
      </w:pPr>
      <w:r>
        <w:rPr>
          <w:rFonts w:eastAsia="宋体" w:cs="Times New Roman"/>
          <w:b/>
          <w:szCs w:val="21"/>
        </w:rPr>
        <w:t>(</w:t>
      </w:r>
      <w:r w:rsidRPr="00F66363">
        <w:rPr>
          <w:rFonts w:eastAsia="宋体" w:cs="Times New Roman" w:hint="eastAsia"/>
          <w:b/>
          <w:szCs w:val="21"/>
        </w:rPr>
        <w:t>十</w:t>
      </w:r>
      <w:r>
        <w:rPr>
          <w:rFonts w:eastAsia="宋体" w:cs="Times New Roman" w:hint="eastAsia"/>
          <w:b/>
          <w:szCs w:val="21"/>
        </w:rPr>
        <w:t>五</w:t>
      </w:r>
      <w:r>
        <w:rPr>
          <w:rFonts w:eastAsia="宋体" w:cs="Times New Roman"/>
          <w:b/>
          <w:szCs w:val="21"/>
        </w:rPr>
        <w:t>)</w:t>
      </w:r>
      <w:r w:rsidRPr="00F66363">
        <w:rPr>
          <w:rFonts w:eastAsia="宋体" w:cs="Times New Roman"/>
          <w:b/>
          <w:szCs w:val="21"/>
        </w:rPr>
        <w:tab/>
      </w:r>
      <w:r w:rsidRPr="00F66363">
        <w:rPr>
          <w:rFonts w:eastAsia="宋体" w:cs="Times New Roman" w:hint="eastAsia"/>
          <w:b/>
          <w:szCs w:val="21"/>
        </w:rPr>
        <w:t>母公司财务报表主要项目注释</w:t>
      </w:r>
      <w:r w:rsidRPr="00F66363">
        <w:rPr>
          <w:rFonts w:eastAsia="宋体" w:cs="Times New Roman"/>
          <w:szCs w:val="21"/>
        </w:rPr>
        <w:t xml:space="preserve"> - </w:t>
      </w:r>
      <w:r w:rsidRPr="00F66363">
        <w:rPr>
          <w:rFonts w:eastAsia="宋体" w:cs="Times New Roman" w:hint="eastAsia"/>
          <w:szCs w:val="21"/>
        </w:rPr>
        <w:t>续</w:t>
      </w:r>
    </w:p>
    <w:p w:rsidR="00314AB5" w:rsidRDefault="00314AB5" w:rsidP="00314AB5">
      <w:pPr>
        <w:ind w:left="720"/>
        <w:jc w:val="both"/>
        <w:rPr>
          <w:rFonts w:eastAsia="宋体" w:cs="Times New Roman"/>
          <w:bCs/>
          <w:szCs w:val="21"/>
        </w:rPr>
      </w:pPr>
    </w:p>
    <w:p w:rsidR="00314AB5" w:rsidRPr="00616E8D" w:rsidRDefault="00314AB5" w:rsidP="00314AB5">
      <w:pPr>
        <w:ind w:left="720"/>
        <w:jc w:val="both"/>
        <w:rPr>
          <w:rFonts w:eastAsia="宋体" w:cs="Times New Roman"/>
          <w:b/>
          <w:bCs/>
          <w:szCs w:val="21"/>
        </w:rPr>
      </w:pPr>
      <w:r w:rsidRPr="00616E8D">
        <w:rPr>
          <w:rFonts w:eastAsia="宋体" w:cs="Times New Roman"/>
          <w:b/>
          <w:bCs/>
          <w:szCs w:val="21"/>
        </w:rPr>
        <w:t>6</w:t>
      </w:r>
      <w:r w:rsidRPr="00616E8D">
        <w:rPr>
          <w:rFonts w:eastAsia="宋体" w:cs="Times New Roman" w:hint="eastAsia"/>
          <w:b/>
          <w:bCs/>
          <w:szCs w:val="21"/>
        </w:rPr>
        <w:t>、</w:t>
      </w:r>
      <w:r w:rsidRPr="00616E8D">
        <w:rPr>
          <w:rFonts w:eastAsia="宋体" w:cs="Times New Roman"/>
          <w:b/>
          <w:bCs/>
          <w:szCs w:val="21"/>
        </w:rPr>
        <w:tab/>
      </w:r>
      <w:r w:rsidRPr="00616E8D">
        <w:rPr>
          <w:rFonts w:eastAsia="宋体" w:cs="Times New Roman" w:hint="eastAsia"/>
          <w:b/>
          <w:bCs/>
          <w:szCs w:val="21"/>
        </w:rPr>
        <w:t>关联方交易情况</w:t>
      </w:r>
      <w:r>
        <w:rPr>
          <w:rFonts w:eastAsia="宋体" w:cs="Times New Roman" w:hint="eastAsia"/>
          <w:b/>
          <w:bCs/>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665D97" w:rsidRPr="0027505B" w:rsidRDefault="00665D97" w:rsidP="0027505B">
      <w:pPr>
        <w:widowControl w:val="0"/>
        <w:ind w:left="720"/>
        <w:jc w:val="both"/>
        <w:rPr>
          <w:szCs w:val="21"/>
        </w:rPr>
      </w:pPr>
    </w:p>
    <w:p w:rsidR="00FF34EF" w:rsidRPr="00A71D2E" w:rsidRDefault="005F14EE">
      <w:pPr>
        <w:ind w:left="1440" w:hanging="720"/>
        <w:jc w:val="both"/>
        <w:rPr>
          <w:rFonts w:eastAsia="宋体" w:cs="Times New Roman"/>
          <w:bCs/>
          <w:szCs w:val="21"/>
        </w:rPr>
      </w:pPr>
      <w:r>
        <w:rPr>
          <w:rFonts w:eastAsia="宋体" w:cs="Times New Roman"/>
          <w:bCs/>
          <w:szCs w:val="21"/>
        </w:rPr>
        <w:t>(</w:t>
      </w:r>
      <w:r w:rsidR="00FF34EF" w:rsidRPr="00A71D2E">
        <w:rPr>
          <w:rFonts w:eastAsia="宋体" w:cs="Times New Roman"/>
          <w:bCs/>
          <w:szCs w:val="21"/>
        </w:rPr>
        <w:t>2</w:t>
      </w:r>
      <w:r>
        <w:rPr>
          <w:rFonts w:eastAsia="宋体" w:cs="Times New Roman"/>
          <w:bCs/>
          <w:szCs w:val="21"/>
        </w:rPr>
        <w:t>)</w:t>
      </w:r>
      <w:r w:rsidR="00FF34EF" w:rsidRPr="00A71D2E">
        <w:rPr>
          <w:rFonts w:eastAsia="宋体" w:cs="Times New Roman"/>
          <w:bCs/>
          <w:szCs w:val="21"/>
        </w:rPr>
        <w:tab/>
      </w:r>
      <w:r w:rsidR="00FF34EF" w:rsidRPr="00A71D2E">
        <w:rPr>
          <w:rFonts w:eastAsia="宋体" w:cs="Times New Roman" w:hint="eastAsia"/>
          <w:bCs/>
          <w:szCs w:val="21"/>
        </w:rPr>
        <w:t>关联租赁情况</w:t>
      </w:r>
      <w:r>
        <w:rPr>
          <w:rFonts w:eastAsia="宋体" w:cs="Times New Roman" w:hint="eastAsia"/>
          <w:bCs/>
          <w:szCs w:val="21"/>
        </w:rPr>
        <w:t>：</w:t>
      </w:r>
    </w:p>
    <w:p w:rsidR="00DB0BD0" w:rsidRPr="00125BBC" w:rsidRDefault="00DB0BD0" w:rsidP="00DB0BD0">
      <w:pPr>
        <w:ind w:left="5040"/>
        <w:jc w:val="right"/>
        <w:rPr>
          <w:rFonts w:eastAsia="宋体" w:cs="Times New Roman"/>
          <w:bCs/>
          <w:szCs w:val="21"/>
        </w:rPr>
      </w:pPr>
      <w:r w:rsidRPr="00A71D2E">
        <w:rPr>
          <w:rFonts w:eastAsia="宋体" w:cs="Times New Roman" w:hint="eastAsia"/>
          <w:szCs w:val="21"/>
        </w:rPr>
        <w:t>单位</w:t>
      </w:r>
      <w:r>
        <w:rPr>
          <w:rFonts w:eastAsia="宋体" w:cs="Times New Roman" w:hint="eastAsia"/>
          <w:szCs w:val="21"/>
        </w:rPr>
        <w:t>：</w:t>
      </w:r>
      <w:r w:rsidRPr="00A71D2E">
        <w:rPr>
          <w:rFonts w:eastAsia="宋体" w:cs="Times New Roman" w:hint="eastAsia"/>
          <w:szCs w:val="21"/>
        </w:rPr>
        <w:t>人民币元</w:t>
      </w:r>
    </w:p>
    <w:tbl>
      <w:tblPr>
        <w:tblW w:w="4668"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48"/>
        <w:gridCol w:w="1417"/>
        <w:gridCol w:w="1382"/>
        <w:gridCol w:w="1382"/>
        <w:gridCol w:w="1382"/>
        <w:gridCol w:w="1382"/>
      </w:tblGrid>
      <w:tr w:rsidR="00DB0BD0" w:rsidRPr="00244698" w:rsidTr="00644B2C">
        <w:trPr>
          <w:trHeight w:val="20"/>
        </w:trPr>
        <w:tc>
          <w:tcPr>
            <w:tcW w:w="2547" w:type="dxa"/>
            <w:vMerge w:val="restart"/>
            <w:shd w:val="clear" w:color="auto" w:fill="D9D9D9" w:themeFill="background1" w:themeFillShade="D9"/>
            <w:tcMar>
              <w:top w:w="0" w:type="dxa"/>
              <w:left w:w="108" w:type="dxa"/>
              <w:bottom w:w="0" w:type="dxa"/>
              <w:right w:w="108" w:type="dxa"/>
            </w:tcMar>
            <w:vAlign w:val="center"/>
            <w:hideMark/>
          </w:tcPr>
          <w:p w:rsidR="00DB0BD0" w:rsidRPr="00244698" w:rsidRDefault="00DB0BD0" w:rsidP="00244698">
            <w:pPr>
              <w:ind w:right="-36"/>
              <w:jc w:val="center"/>
              <w:rPr>
                <w:rFonts w:eastAsia="宋体" w:cs="Times New Roman"/>
                <w:sz w:val="16"/>
                <w:szCs w:val="16"/>
              </w:rPr>
            </w:pPr>
            <w:r w:rsidRPr="00244698">
              <w:rPr>
                <w:rFonts w:eastAsia="宋体" w:cs="Times New Roman" w:hint="eastAsia"/>
                <w:sz w:val="16"/>
                <w:szCs w:val="16"/>
              </w:rPr>
              <w:t>关联方</w:t>
            </w:r>
          </w:p>
        </w:tc>
        <w:tc>
          <w:tcPr>
            <w:tcW w:w="1417" w:type="dxa"/>
            <w:vMerge w:val="restart"/>
            <w:shd w:val="clear" w:color="auto" w:fill="D9D9D9" w:themeFill="background1" w:themeFillShade="D9"/>
            <w:tcMar>
              <w:top w:w="0" w:type="dxa"/>
              <w:left w:w="108" w:type="dxa"/>
              <w:bottom w:w="0" w:type="dxa"/>
              <w:right w:w="108" w:type="dxa"/>
            </w:tcMar>
            <w:vAlign w:val="center"/>
            <w:hideMark/>
          </w:tcPr>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租赁资产类型</w:t>
            </w:r>
          </w:p>
        </w:tc>
        <w:tc>
          <w:tcPr>
            <w:tcW w:w="5528" w:type="dxa"/>
            <w:gridSpan w:val="4"/>
            <w:shd w:val="clear" w:color="auto" w:fill="D9D9D9" w:themeFill="background1" w:themeFillShade="D9"/>
            <w:vAlign w:val="center"/>
          </w:tcPr>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本年发生额</w:t>
            </w:r>
          </w:p>
        </w:tc>
      </w:tr>
      <w:tr w:rsidR="00DB0BD0" w:rsidRPr="00244698" w:rsidTr="00644B2C">
        <w:trPr>
          <w:trHeight w:val="20"/>
        </w:trPr>
        <w:tc>
          <w:tcPr>
            <w:tcW w:w="2547" w:type="dxa"/>
            <w:vMerge/>
            <w:shd w:val="clear" w:color="auto" w:fill="D9D9D9" w:themeFill="background1" w:themeFillShade="D9"/>
            <w:tcMar>
              <w:top w:w="0" w:type="dxa"/>
              <w:left w:w="108" w:type="dxa"/>
              <w:bottom w:w="0" w:type="dxa"/>
              <w:right w:w="108" w:type="dxa"/>
            </w:tcMar>
            <w:vAlign w:val="center"/>
          </w:tcPr>
          <w:p w:rsidR="00DB0BD0" w:rsidRPr="00244698" w:rsidRDefault="00DB0BD0" w:rsidP="00244698">
            <w:pPr>
              <w:ind w:right="-36"/>
              <w:jc w:val="center"/>
              <w:rPr>
                <w:rFonts w:eastAsia="宋体" w:cs="Times New Roman"/>
                <w:sz w:val="16"/>
                <w:szCs w:val="16"/>
              </w:rPr>
            </w:pPr>
          </w:p>
        </w:tc>
        <w:tc>
          <w:tcPr>
            <w:tcW w:w="1417" w:type="dxa"/>
            <w:vMerge/>
            <w:shd w:val="clear" w:color="auto" w:fill="D9D9D9" w:themeFill="background1" w:themeFillShade="D9"/>
            <w:tcMar>
              <w:top w:w="0" w:type="dxa"/>
              <w:left w:w="108" w:type="dxa"/>
              <w:bottom w:w="0" w:type="dxa"/>
              <w:right w:w="108" w:type="dxa"/>
            </w:tcMar>
            <w:vAlign w:val="center"/>
          </w:tcPr>
          <w:p w:rsidR="00DB0BD0" w:rsidRPr="00244698" w:rsidRDefault="00DB0BD0" w:rsidP="00244698">
            <w:pPr>
              <w:jc w:val="center"/>
              <w:rPr>
                <w:rFonts w:eastAsia="宋体" w:cs="Times New Roman"/>
                <w:sz w:val="16"/>
                <w:szCs w:val="16"/>
              </w:rPr>
            </w:pPr>
          </w:p>
        </w:tc>
        <w:tc>
          <w:tcPr>
            <w:tcW w:w="1382" w:type="dxa"/>
            <w:shd w:val="clear" w:color="auto" w:fill="D9D9D9" w:themeFill="background1" w:themeFillShade="D9"/>
            <w:vAlign w:val="center"/>
          </w:tcPr>
          <w:p w:rsidR="00DB0BD0" w:rsidRDefault="00DB0BD0" w:rsidP="00244698">
            <w:pPr>
              <w:jc w:val="center"/>
              <w:rPr>
                <w:rFonts w:eastAsia="宋体" w:cs="Times New Roman"/>
                <w:sz w:val="16"/>
                <w:szCs w:val="16"/>
              </w:rPr>
            </w:pPr>
            <w:r w:rsidRPr="00244698">
              <w:rPr>
                <w:rFonts w:eastAsia="宋体" w:cs="Times New Roman" w:hint="eastAsia"/>
                <w:sz w:val="16"/>
                <w:szCs w:val="16"/>
              </w:rPr>
              <w:t>简化处理的短期</w:t>
            </w:r>
          </w:p>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租赁租金费用</w:t>
            </w:r>
          </w:p>
        </w:tc>
        <w:tc>
          <w:tcPr>
            <w:tcW w:w="1382" w:type="dxa"/>
            <w:shd w:val="clear" w:color="auto" w:fill="D9D9D9" w:themeFill="background1" w:themeFillShade="D9"/>
            <w:vAlign w:val="center"/>
          </w:tcPr>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支付的租金</w:t>
            </w:r>
          </w:p>
        </w:tc>
        <w:tc>
          <w:tcPr>
            <w:tcW w:w="1382" w:type="dxa"/>
            <w:shd w:val="clear" w:color="auto" w:fill="D9D9D9" w:themeFill="background1" w:themeFillShade="D9"/>
            <w:vAlign w:val="center"/>
          </w:tcPr>
          <w:p w:rsidR="00DB0BD0" w:rsidRDefault="00DB0BD0" w:rsidP="00244698">
            <w:pPr>
              <w:jc w:val="center"/>
              <w:rPr>
                <w:rFonts w:eastAsia="宋体" w:cs="Times New Roman"/>
                <w:sz w:val="16"/>
                <w:szCs w:val="16"/>
              </w:rPr>
            </w:pPr>
            <w:r w:rsidRPr="00244698">
              <w:rPr>
                <w:rFonts w:eastAsia="宋体" w:cs="Times New Roman" w:hint="eastAsia"/>
                <w:sz w:val="16"/>
                <w:szCs w:val="16"/>
              </w:rPr>
              <w:t>承担的租赁负债</w:t>
            </w:r>
          </w:p>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利息支出</w:t>
            </w:r>
          </w:p>
        </w:tc>
        <w:tc>
          <w:tcPr>
            <w:tcW w:w="1382" w:type="dxa"/>
            <w:shd w:val="clear" w:color="auto" w:fill="D9D9D9" w:themeFill="background1" w:themeFillShade="D9"/>
            <w:vAlign w:val="center"/>
          </w:tcPr>
          <w:p w:rsidR="00DB0BD0" w:rsidRDefault="00DB0BD0" w:rsidP="00244698">
            <w:pPr>
              <w:jc w:val="center"/>
              <w:rPr>
                <w:rFonts w:eastAsia="宋体" w:cs="Times New Roman"/>
                <w:sz w:val="16"/>
                <w:szCs w:val="16"/>
              </w:rPr>
            </w:pPr>
            <w:r w:rsidRPr="00244698">
              <w:rPr>
                <w:rFonts w:eastAsia="宋体" w:cs="Times New Roman" w:hint="eastAsia"/>
                <w:sz w:val="16"/>
                <w:szCs w:val="16"/>
              </w:rPr>
              <w:t>增加的</w:t>
            </w:r>
          </w:p>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使用权资产</w:t>
            </w:r>
          </w:p>
        </w:tc>
      </w:tr>
      <w:tr w:rsidR="00DB0BD0" w:rsidRPr="00244698" w:rsidTr="00644B2C">
        <w:trPr>
          <w:trHeight w:val="20"/>
        </w:trPr>
        <w:tc>
          <w:tcPr>
            <w:tcW w:w="2547" w:type="dxa"/>
            <w:tcMar>
              <w:top w:w="0" w:type="dxa"/>
              <w:left w:w="108" w:type="dxa"/>
              <w:bottom w:w="0" w:type="dxa"/>
              <w:right w:w="108" w:type="dxa"/>
            </w:tcMar>
            <w:vAlign w:val="center"/>
          </w:tcPr>
          <w:p w:rsidR="00DB0BD0" w:rsidRPr="00244698" w:rsidRDefault="00DB0BD0" w:rsidP="00303C71">
            <w:pPr>
              <w:jc w:val="center"/>
              <w:rPr>
                <w:rFonts w:eastAsia="宋体" w:cs="Times New Roman"/>
                <w:sz w:val="16"/>
                <w:szCs w:val="16"/>
              </w:rPr>
            </w:pPr>
            <w:proofErr w:type="gramStart"/>
            <w:r w:rsidRPr="00244698">
              <w:rPr>
                <w:rFonts w:eastAsia="宋体" w:cs="Times New Roman" w:hint="eastAsia"/>
                <w:sz w:val="16"/>
                <w:szCs w:val="16"/>
              </w:rPr>
              <w:t>海康威视股份公司</w:t>
            </w:r>
            <w:proofErr w:type="gramEnd"/>
            <w:r w:rsidRPr="00244698">
              <w:rPr>
                <w:rFonts w:eastAsia="宋体" w:cs="Times New Roman" w:hint="eastAsia"/>
                <w:sz w:val="16"/>
                <w:szCs w:val="16"/>
              </w:rPr>
              <w:t>及其下属企业</w:t>
            </w:r>
          </w:p>
        </w:tc>
        <w:tc>
          <w:tcPr>
            <w:tcW w:w="1417" w:type="dxa"/>
            <w:tcMar>
              <w:top w:w="0" w:type="dxa"/>
              <w:left w:w="108" w:type="dxa"/>
              <w:bottom w:w="0" w:type="dxa"/>
              <w:right w:w="108" w:type="dxa"/>
            </w:tcMar>
            <w:vAlign w:val="center"/>
          </w:tcPr>
          <w:p w:rsidR="00303C71" w:rsidRDefault="00DB0BD0" w:rsidP="00244698">
            <w:pPr>
              <w:jc w:val="center"/>
              <w:rPr>
                <w:rFonts w:eastAsia="宋体" w:cs="Times New Roman"/>
                <w:sz w:val="16"/>
                <w:szCs w:val="16"/>
              </w:rPr>
            </w:pPr>
            <w:r w:rsidRPr="00244698">
              <w:rPr>
                <w:rFonts w:eastAsia="宋体" w:cs="Times New Roman" w:hint="eastAsia"/>
                <w:sz w:val="16"/>
                <w:szCs w:val="16"/>
              </w:rPr>
              <w:t>生产经营及</w:t>
            </w:r>
          </w:p>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办公场所、设备</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2,720,079.43</w:t>
            </w:r>
          </w:p>
        </w:tc>
        <w:tc>
          <w:tcPr>
            <w:tcW w:w="1382" w:type="dxa"/>
            <w:vAlign w:val="center"/>
          </w:tcPr>
          <w:p w:rsidR="00DB0BD0" w:rsidRPr="00244698" w:rsidRDefault="00DB0BD0" w:rsidP="00244698">
            <w:pPr>
              <w:ind w:right="135"/>
              <w:jc w:val="right"/>
              <w:rPr>
                <w:rFonts w:eastAsia="宋体" w:cs="Times New Roman"/>
                <w:sz w:val="16"/>
                <w:szCs w:val="16"/>
              </w:rPr>
            </w:pPr>
            <w:r w:rsidRPr="00DB0BD0">
              <w:rPr>
                <w:rFonts w:eastAsia="宋体" w:cs="Times New Roman"/>
                <w:sz w:val="16"/>
                <w:szCs w:val="16"/>
              </w:rPr>
              <w:t>14,833,143.89</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361,203.86</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5,591,886.79</w:t>
            </w:r>
          </w:p>
        </w:tc>
      </w:tr>
      <w:tr w:rsidR="00DB0BD0" w:rsidRPr="00244698" w:rsidTr="00644B2C">
        <w:trPr>
          <w:trHeight w:val="20"/>
        </w:trPr>
        <w:tc>
          <w:tcPr>
            <w:tcW w:w="2547" w:type="dxa"/>
            <w:shd w:val="clear" w:color="auto" w:fill="D9D9D9" w:themeFill="background1" w:themeFillShade="D9"/>
            <w:tcMar>
              <w:top w:w="0" w:type="dxa"/>
              <w:left w:w="108" w:type="dxa"/>
              <w:bottom w:w="0" w:type="dxa"/>
              <w:right w:w="108" w:type="dxa"/>
            </w:tcMar>
            <w:vAlign w:val="center"/>
          </w:tcPr>
          <w:p w:rsidR="00DB0BD0" w:rsidRPr="00244698" w:rsidRDefault="00DB0BD0" w:rsidP="00244698">
            <w:pPr>
              <w:rPr>
                <w:rFonts w:eastAsia="宋体" w:cs="Times New Roman"/>
                <w:sz w:val="16"/>
                <w:szCs w:val="16"/>
              </w:rPr>
            </w:pPr>
            <w:r w:rsidRPr="00244698">
              <w:rPr>
                <w:rFonts w:eastAsia="宋体" w:cs="Times New Roman" w:hint="eastAsia"/>
                <w:sz w:val="16"/>
                <w:szCs w:val="16"/>
              </w:rPr>
              <w:t>合计</w:t>
            </w:r>
          </w:p>
        </w:tc>
        <w:tc>
          <w:tcPr>
            <w:tcW w:w="1417" w:type="dxa"/>
            <w:tcMar>
              <w:top w:w="0" w:type="dxa"/>
              <w:left w:w="108" w:type="dxa"/>
              <w:bottom w:w="0" w:type="dxa"/>
              <w:right w:w="108" w:type="dxa"/>
            </w:tcMar>
            <w:vAlign w:val="center"/>
          </w:tcPr>
          <w:p w:rsidR="00DB0BD0" w:rsidRPr="00244698" w:rsidRDefault="00DB0BD0" w:rsidP="00244698">
            <w:pPr>
              <w:jc w:val="center"/>
              <w:rPr>
                <w:rFonts w:eastAsia="宋体" w:cs="Times New Roman"/>
                <w:sz w:val="16"/>
                <w:szCs w:val="16"/>
              </w:rPr>
            </w:pP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2,720,079.43</w:t>
            </w:r>
          </w:p>
        </w:tc>
        <w:tc>
          <w:tcPr>
            <w:tcW w:w="1382" w:type="dxa"/>
            <w:vAlign w:val="center"/>
          </w:tcPr>
          <w:p w:rsidR="00DB0BD0" w:rsidRPr="00244698" w:rsidRDefault="00DB0BD0" w:rsidP="00244698">
            <w:pPr>
              <w:ind w:right="135"/>
              <w:jc w:val="right"/>
              <w:rPr>
                <w:rFonts w:eastAsia="宋体" w:cs="Times New Roman"/>
                <w:sz w:val="16"/>
                <w:szCs w:val="16"/>
              </w:rPr>
            </w:pPr>
            <w:r w:rsidRPr="00DB0BD0">
              <w:rPr>
                <w:rFonts w:eastAsia="宋体" w:cs="Times New Roman"/>
                <w:sz w:val="16"/>
                <w:szCs w:val="16"/>
              </w:rPr>
              <w:t>14,833,143.89</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361,203.86</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5,591,886.79</w:t>
            </w:r>
          </w:p>
        </w:tc>
      </w:tr>
    </w:tbl>
    <w:p w:rsidR="00DB0BD0" w:rsidRDefault="00DB0BD0" w:rsidP="00DB0BD0">
      <w:pPr>
        <w:ind w:left="5040"/>
        <w:jc w:val="right"/>
        <w:rPr>
          <w:rFonts w:eastAsia="宋体" w:cs="Times New Roman"/>
          <w:szCs w:val="21"/>
        </w:rPr>
      </w:pPr>
    </w:p>
    <w:p w:rsidR="00DB0BD0" w:rsidRPr="00125BBC" w:rsidRDefault="00DB0BD0" w:rsidP="00DB0BD0">
      <w:pPr>
        <w:ind w:left="5040"/>
        <w:jc w:val="right"/>
        <w:rPr>
          <w:rFonts w:eastAsia="宋体" w:cs="Times New Roman"/>
          <w:bCs/>
          <w:szCs w:val="21"/>
        </w:rPr>
      </w:pPr>
      <w:r w:rsidRPr="00A71D2E">
        <w:rPr>
          <w:rFonts w:eastAsia="宋体" w:cs="Times New Roman" w:hint="eastAsia"/>
          <w:szCs w:val="21"/>
        </w:rPr>
        <w:t>单位</w:t>
      </w:r>
      <w:r>
        <w:rPr>
          <w:rFonts w:eastAsia="宋体" w:cs="Times New Roman" w:hint="eastAsia"/>
          <w:szCs w:val="21"/>
        </w:rPr>
        <w:t>：</w:t>
      </w:r>
      <w:r w:rsidRPr="00A71D2E">
        <w:rPr>
          <w:rFonts w:eastAsia="宋体" w:cs="Times New Roman" w:hint="eastAsia"/>
          <w:szCs w:val="21"/>
        </w:rPr>
        <w:t>人民币元</w:t>
      </w:r>
    </w:p>
    <w:tbl>
      <w:tblPr>
        <w:tblW w:w="4668"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48"/>
        <w:gridCol w:w="1417"/>
        <w:gridCol w:w="1382"/>
        <w:gridCol w:w="1382"/>
        <w:gridCol w:w="1382"/>
        <w:gridCol w:w="1382"/>
      </w:tblGrid>
      <w:tr w:rsidR="00DB0BD0" w:rsidRPr="00244698" w:rsidTr="00644B2C">
        <w:trPr>
          <w:trHeight w:val="20"/>
        </w:trPr>
        <w:tc>
          <w:tcPr>
            <w:tcW w:w="2547" w:type="dxa"/>
            <w:vMerge w:val="restart"/>
            <w:shd w:val="clear" w:color="auto" w:fill="D9D9D9" w:themeFill="background1" w:themeFillShade="D9"/>
            <w:tcMar>
              <w:top w:w="0" w:type="dxa"/>
              <w:left w:w="108" w:type="dxa"/>
              <w:bottom w:w="0" w:type="dxa"/>
              <w:right w:w="108" w:type="dxa"/>
            </w:tcMar>
            <w:vAlign w:val="center"/>
            <w:hideMark/>
          </w:tcPr>
          <w:p w:rsidR="00DB0BD0" w:rsidRPr="00244698" w:rsidRDefault="00DB0BD0" w:rsidP="00244698">
            <w:pPr>
              <w:ind w:right="-36"/>
              <w:jc w:val="center"/>
              <w:rPr>
                <w:rFonts w:eastAsia="宋体" w:cs="Times New Roman"/>
                <w:sz w:val="16"/>
                <w:szCs w:val="16"/>
              </w:rPr>
            </w:pPr>
            <w:r w:rsidRPr="00244698">
              <w:rPr>
                <w:rFonts w:eastAsia="宋体" w:cs="Times New Roman" w:hint="eastAsia"/>
                <w:sz w:val="16"/>
                <w:szCs w:val="16"/>
              </w:rPr>
              <w:t>关联方</w:t>
            </w:r>
          </w:p>
        </w:tc>
        <w:tc>
          <w:tcPr>
            <w:tcW w:w="1417" w:type="dxa"/>
            <w:vMerge w:val="restart"/>
            <w:shd w:val="clear" w:color="auto" w:fill="D9D9D9" w:themeFill="background1" w:themeFillShade="D9"/>
            <w:tcMar>
              <w:top w:w="0" w:type="dxa"/>
              <w:left w:w="108" w:type="dxa"/>
              <w:bottom w:w="0" w:type="dxa"/>
              <w:right w:w="108" w:type="dxa"/>
            </w:tcMar>
            <w:vAlign w:val="center"/>
            <w:hideMark/>
          </w:tcPr>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租赁资产类型</w:t>
            </w:r>
          </w:p>
        </w:tc>
        <w:tc>
          <w:tcPr>
            <w:tcW w:w="5528" w:type="dxa"/>
            <w:gridSpan w:val="4"/>
            <w:shd w:val="clear" w:color="auto" w:fill="D9D9D9" w:themeFill="background1" w:themeFillShade="D9"/>
            <w:vAlign w:val="center"/>
          </w:tcPr>
          <w:p w:rsidR="00DB0BD0" w:rsidRPr="00244698" w:rsidRDefault="00DB0BD0" w:rsidP="00244698">
            <w:pPr>
              <w:jc w:val="center"/>
              <w:rPr>
                <w:rFonts w:eastAsia="宋体" w:cs="Times New Roman"/>
                <w:sz w:val="16"/>
                <w:szCs w:val="16"/>
              </w:rPr>
            </w:pPr>
            <w:r>
              <w:rPr>
                <w:rFonts w:eastAsia="宋体" w:cs="Times New Roman" w:hint="eastAsia"/>
                <w:sz w:val="16"/>
                <w:szCs w:val="16"/>
              </w:rPr>
              <w:t>上</w:t>
            </w:r>
            <w:r w:rsidRPr="00244698">
              <w:rPr>
                <w:rFonts w:eastAsia="宋体" w:cs="Times New Roman" w:hint="eastAsia"/>
                <w:sz w:val="16"/>
                <w:szCs w:val="16"/>
              </w:rPr>
              <w:t>年发生额</w:t>
            </w:r>
          </w:p>
        </w:tc>
      </w:tr>
      <w:tr w:rsidR="00DB0BD0" w:rsidRPr="00244698" w:rsidTr="00644B2C">
        <w:trPr>
          <w:trHeight w:val="20"/>
        </w:trPr>
        <w:tc>
          <w:tcPr>
            <w:tcW w:w="2547" w:type="dxa"/>
            <w:vMerge/>
            <w:shd w:val="clear" w:color="auto" w:fill="D9D9D9" w:themeFill="background1" w:themeFillShade="D9"/>
            <w:tcMar>
              <w:top w:w="0" w:type="dxa"/>
              <w:left w:w="108" w:type="dxa"/>
              <w:bottom w:w="0" w:type="dxa"/>
              <w:right w:w="108" w:type="dxa"/>
            </w:tcMar>
            <w:vAlign w:val="center"/>
          </w:tcPr>
          <w:p w:rsidR="00DB0BD0" w:rsidRPr="00244698" w:rsidRDefault="00DB0BD0" w:rsidP="00244698">
            <w:pPr>
              <w:ind w:right="-36"/>
              <w:jc w:val="center"/>
              <w:rPr>
                <w:rFonts w:eastAsia="宋体" w:cs="Times New Roman"/>
                <w:sz w:val="16"/>
                <w:szCs w:val="16"/>
              </w:rPr>
            </w:pPr>
          </w:p>
        </w:tc>
        <w:tc>
          <w:tcPr>
            <w:tcW w:w="1417" w:type="dxa"/>
            <w:vMerge/>
            <w:shd w:val="clear" w:color="auto" w:fill="D9D9D9" w:themeFill="background1" w:themeFillShade="D9"/>
            <w:tcMar>
              <w:top w:w="0" w:type="dxa"/>
              <w:left w:w="108" w:type="dxa"/>
              <w:bottom w:w="0" w:type="dxa"/>
              <w:right w:w="108" w:type="dxa"/>
            </w:tcMar>
            <w:vAlign w:val="center"/>
          </w:tcPr>
          <w:p w:rsidR="00DB0BD0" w:rsidRPr="00244698" w:rsidRDefault="00DB0BD0" w:rsidP="00244698">
            <w:pPr>
              <w:jc w:val="center"/>
              <w:rPr>
                <w:rFonts w:eastAsia="宋体" w:cs="Times New Roman"/>
                <w:sz w:val="16"/>
                <w:szCs w:val="16"/>
              </w:rPr>
            </w:pPr>
          </w:p>
        </w:tc>
        <w:tc>
          <w:tcPr>
            <w:tcW w:w="1382" w:type="dxa"/>
            <w:shd w:val="clear" w:color="auto" w:fill="D9D9D9" w:themeFill="background1" w:themeFillShade="D9"/>
            <w:vAlign w:val="center"/>
          </w:tcPr>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简化处理的短期租赁租金费用</w:t>
            </w:r>
          </w:p>
        </w:tc>
        <w:tc>
          <w:tcPr>
            <w:tcW w:w="1382" w:type="dxa"/>
            <w:shd w:val="clear" w:color="auto" w:fill="D9D9D9" w:themeFill="background1" w:themeFillShade="D9"/>
            <w:vAlign w:val="center"/>
          </w:tcPr>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支付的租金</w:t>
            </w:r>
          </w:p>
        </w:tc>
        <w:tc>
          <w:tcPr>
            <w:tcW w:w="1382" w:type="dxa"/>
            <w:shd w:val="clear" w:color="auto" w:fill="D9D9D9" w:themeFill="background1" w:themeFillShade="D9"/>
            <w:vAlign w:val="center"/>
          </w:tcPr>
          <w:p w:rsidR="00DB0BD0" w:rsidRDefault="00DB0BD0" w:rsidP="00244698">
            <w:pPr>
              <w:jc w:val="center"/>
              <w:rPr>
                <w:rFonts w:eastAsia="宋体" w:cs="Times New Roman"/>
                <w:sz w:val="16"/>
                <w:szCs w:val="16"/>
              </w:rPr>
            </w:pPr>
            <w:r w:rsidRPr="00244698">
              <w:rPr>
                <w:rFonts w:eastAsia="宋体" w:cs="Times New Roman" w:hint="eastAsia"/>
                <w:sz w:val="16"/>
                <w:szCs w:val="16"/>
              </w:rPr>
              <w:t>承担的租赁负债</w:t>
            </w:r>
          </w:p>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利息支出</w:t>
            </w:r>
          </w:p>
        </w:tc>
        <w:tc>
          <w:tcPr>
            <w:tcW w:w="1382" w:type="dxa"/>
            <w:shd w:val="clear" w:color="auto" w:fill="D9D9D9" w:themeFill="background1" w:themeFillShade="D9"/>
            <w:vAlign w:val="center"/>
          </w:tcPr>
          <w:p w:rsidR="00DB0BD0" w:rsidRDefault="00DB0BD0" w:rsidP="00244698">
            <w:pPr>
              <w:jc w:val="center"/>
              <w:rPr>
                <w:rFonts w:eastAsia="宋体" w:cs="Times New Roman"/>
                <w:sz w:val="16"/>
                <w:szCs w:val="16"/>
              </w:rPr>
            </w:pPr>
            <w:r w:rsidRPr="00244698">
              <w:rPr>
                <w:rFonts w:eastAsia="宋体" w:cs="Times New Roman" w:hint="eastAsia"/>
                <w:sz w:val="16"/>
                <w:szCs w:val="16"/>
              </w:rPr>
              <w:t>增加的</w:t>
            </w:r>
          </w:p>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使用权资产</w:t>
            </w:r>
          </w:p>
        </w:tc>
      </w:tr>
      <w:tr w:rsidR="00DB0BD0" w:rsidRPr="00244698" w:rsidTr="00644B2C">
        <w:trPr>
          <w:trHeight w:val="20"/>
        </w:trPr>
        <w:tc>
          <w:tcPr>
            <w:tcW w:w="2547" w:type="dxa"/>
            <w:tcMar>
              <w:top w:w="0" w:type="dxa"/>
              <w:left w:w="108" w:type="dxa"/>
              <w:bottom w:w="0" w:type="dxa"/>
              <w:right w:w="108" w:type="dxa"/>
            </w:tcMar>
            <w:vAlign w:val="center"/>
          </w:tcPr>
          <w:p w:rsidR="00DB0BD0" w:rsidRPr="00244698" w:rsidRDefault="00DB0BD0" w:rsidP="00303C71">
            <w:pPr>
              <w:jc w:val="center"/>
              <w:rPr>
                <w:rFonts w:eastAsia="宋体" w:cs="Times New Roman"/>
                <w:sz w:val="16"/>
                <w:szCs w:val="16"/>
              </w:rPr>
            </w:pPr>
            <w:proofErr w:type="gramStart"/>
            <w:r w:rsidRPr="00244698">
              <w:rPr>
                <w:rFonts w:eastAsia="宋体" w:cs="Times New Roman" w:hint="eastAsia"/>
                <w:sz w:val="16"/>
                <w:szCs w:val="16"/>
              </w:rPr>
              <w:t>海康威视股份公司</w:t>
            </w:r>
            <w:proofErr w:type="gramEnd"/>
            <w:r w:rsidRPr="00244698">
              <w:rPr>
                <w:rFonts w:eastAsia="宋体" w:cs="Times New Roman" w:hint="eastAsia"/>
                <w:sz w:val="16"/>
                <w:szCs w:val="16"/>
              </w:rPr>
              <w:t>及其下属企业</w:t>
            </w:r>
          </w:p>
        </w:tc>
        <w:tc>
          <w:tcPr>
            <w:tcW w:w="1417" w:type="dxa"/>
            <w:tcMar>
              <w:top w:w="0" w:type="dxa"/>
              <w:left w:w="108" w:type="dxa"/>
              <w:bottom w:w="0" w:type="dxa"/>
              <w:right w:w="108" w:type="dxa"/>
            </w:tcMar>
            <w:vAlign w:val="center"/>
          </w:tcPr>
          <w:p w:rsidR="00303C71" w:rsidRDefault="00DB0BD0" w:rsidP="00244698">
            <w:pPr>
              <w:jc w:val="center"/>
              <w:rPr>
                <w:rFonts w:eastAsia="宋体" w:cs="Times New Roman"/>
                <w:sz w:val="16"/>
                <w:szCs w:val="16"/>
              </w:rPr>
            </w:pPr>
            <w:r w:rsidRPr="00244698">
              <w:rPr>
                <w:rFonts w:eastAsia="宋体" w:cs="Times New Roman" w:hint="eastAsia"/>
                <w:sz w:val="16"/>
                <w:szCs w:val="16"/>
              </w:rPr>
              <w:t>生产经营及</w:t>
            </w:r>
          </w:p>
          <w:p w:rsidR="00DB0BD0" w:rsidRPr="00244698" w:rsidRDefault="00DB0BD0" w:rsidP="00244698">
            <w:pPr>
              <w:jc w:val="center"/>
              <w:rPr>
                <w:rFonts w:eastAsia="宋体" w:cs="Times New Roman"/>
                <w:sz w:val="16"/>
                <w:szCs w:val="16"/>
              </w:rPr>
            </w:pPr>
            <w:r w:rsidRPr="00244698">
              <w:rPr>
                <w:rFonts w:eastAsia="宋体" w:cs="Times New Roman" w:hint="eastAsia"/>
                <w:sz w:val="16"/>
                <w:szCs w:val="16"/>
              </w:rPr>
              <w:t>办公场所、设备</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1,696,516.34</w:t>
            </w:r>
          </w:p>
        </w:tc>
        <w:tc>
          <w:tcPr>
            <w:tcW w:w="1382" w:type="dxa"/>
            <w:vAlign w:val="center"/>
          </w:tcPr>
          <w:p w:rsidR="00DB0BD0" w:rsidRPr="00244698" w:rsidRDefault="00DB0BD0" w:rsidP="00244698">
            <w:pPr>
              <w:ind w:right="135"/>
              <w:jc w:val="right"/>
              <w:rPr>
                <w:rFonts w:eastAsia="宋体" w:cs="Times New Roman"/>
                <w:sz w:val="16"/>
                <w:szCs w:val="16"/>
              </w:rPr>
            </w:pPr>
            <w:r w:rsidRPr="00DB0BD0">
              <w:rPr>
                <w:rFonts w:eastAsia="宋体" w:cs="Times New Roman"/>
                <w:sz w:val="16"/>
                <w:szCs w:val="16"/>
              </w:rPr>
              <w:t>17,670,063.29</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837,687.74</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15,477,753.34</w:t>
            </w:r>
          </w:p>
        </w:tc>
      </w:tr>
      <w:tr w:rsidR="00DB0BD0" w:rsidRPr="00244698" w:rsidTr="00644B2C">
        <w:trPr>
          <w:trHeight w:val="20"/>
        </w:trPr>
        <w:tc>
          <w:tcPr>
            <w:tcW w:w="2547" w:type="dxa"/>
            <w:shd w:val="clear" w:color="auto" w:fill="D9D9D9" w:themeFill="background1" w:themeFillShade="D9"/>
            <w:tcMar>
              <w:top w:w="0" w:type="dxa"/>
              <w:left w:w="108" w:type="dxa"/>
              <w:bottom w:w="0" w:type="dxa"/>
              <w:right w:w="108" w:type="dxa"/>
            </w:tcMar>
            <w:vAlign w:val="center"/>
          </w:tcPr>
          <w:p w:rsidR="00DB0BD0" w:rsidRPr="00244698" w:rsidRDefault="00DB0BD0" w:rsidP="00244698">
            <w:pPr>
              <w:rPr>
                <w:rFonts w:eastAsia="宋体" w:cs="Times New Roman"/>
                <w:sz w:val="16"/>
                <w:szCs w:val="16"/>
              </w:rPr>
            </w:pPr>
            <w:r w:rsidRPr="00244698">
              <w:rPr>
                <w:rFonts w:eastAsia="宋体" w:cs="Times New Roman" w:hint="eastAsia"/>
                <w:sz w:val="16"/>
                <w:szCs w:val="16"/>
              </w:rPr>
              <w:t>合计</w:t>
            </w:r>
          </w:p>
        </w:tc>
        <w:tc>
          <w:tcPr>
            <w:tcW w:w="1417" w:type="dxa"/>
            <w:tcMar>
              <w:top w:w="0" w:type="dxa"/>
              <w:left w:w="108" w:type="dxa"/>
              <w:bottom w:w="0" w:type="dxa"/>
              <w:right w:w="108" w:type="dxa"/>
            </w:tcMar>
            <w:vAlign w:val="center"/>
          </w:tcPr>
          <w:p w:rsidR="00DB0BD0" w:rsidRPr="00244698" w:rsidRDefault="00DB0BD0" w:rsidP="00244698">
            <w:pPr>
              <w:jc w:val="center"/>
              <w:rPr>
                <w:rFonts w:eastAsia="宋体" w:cs="Times New Roman"/>
                <w:sz w:val="16"/>
                <w:szCs w:val="16"/>
              </w:rPr>
            </w:pP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1,696,516.34</w:t>
            </w:r>
          </w:p>
        </w:tc>
        <w:tc>
          <w:tcPr>
            <w:tcW w:w="1382" w:type="dxa"/>
            <w:vAlign w:val="center"/>
          </w:tcPr>
          <w:p w:rsidR="00DB0BD0" w:rsidRPr="00244698" w:rsidRDefault="00DB0BD0" w:rsidP="00244698">
            <w:pPr>
              <w:ind w:right="135"/>
              <w:jc w:val="right"/>
              <w:rPr>
                <w:rFonts w:eastAsia="宋体" w:cs="Times New Roman"/>
                <w:sz w:val="16"/>
                <w:szCs w:val="16"/>
              </w:rPr>
            </w:pPr>
            <w:r w:rsidRPr="00DB0BD0">
              <w:rPr>
                <w:rFonts w:eastAsia="宋体" w:cs="Times New Roman"/>
                <w:sz w:val="16"/>
                <w:szCs w:val="16"/>
              </w:rPr>
              <w:t>17,670,063.29</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837,687.74</w:t>
            </w:r>
          </w:p>
        </w:tc>
        <w:tc>
          <w:tcPr>
            <w:tcW w:w="1382" w:type="dxa"/>
            <w:vAlign w:val="center"/>
          </w:tcPr>
          <w:p w:rsidR="00DB0BD0" w:rsidRPr="00244698" w:rsidRDefault="00DB0BD0" w:rsidP="00244698">
            <w:pPr>
              <w:ind w:right="135"/>
              <w:jc w:val="right"/>
              <w:rPr>
                <w:rFonts w:eastAsia="宋体" w:cs="Times New Roman"/>
                <w:sz w:val="16"/>
                <w:szCs w:val="16"/>
              </w:rPr>
            </w:pPr>
            <w:r w:rsidRPr="00644B2C">
              <w:rPr>
                <w:rFonts w:eastAsia="宋体" w:cs="Times New Roman"/>
                <w:sz w:val="16"/>
                <w:szCs w:val="16"/>
              </w:rPr>
              <w:t>15,477,753.34</w:t>
            </w:r>
          </w:p>
        </w:tc>
      </w:tr>
    </w:tbl>
    <w:p w:rsidR="00C22624" w:rsidRPr="00DD203F" w:rsidRDefault="00C22624" w:rsidP="00644B2C">
      <w:pPr>
        <w:widowControl w:val="0"/>
        <w:jc w:val="both"/>
        <w:rPr>
          <w:rFonts w:eastAsia="宋体" w:cs="Times New Roman"/>
          <w:szCs w:val="21"/>
        </w:rPr>
      </w:pPr>
    </w:p>
    <w:p w:rsidR="00FF34EF" w:rsidRPr="00A71D2E" w:rsidRDefault="005F14EE">
      <w:pPr>
        <w:ind w:left="1440" w:hanging="720"/>
        <w:jc w:val="both"/>
        <w:rPr>
          <w:rFonts w:eastAsia="宋体" w:cs="Times New Roman"/>
          <w:bCs/>
          <w:szCs w:val="21"/>
        </w:rPr>
      </w:pPr>
      <w:r>
        <w:rPr>
          <w:rFonts w:eastAsia="宋体" w:cs="Times New Roman"/>
          <w:bCs/>
          <w:szCs w:val="21"/>
        </w:rPr>
        <w:t>(</w:t>
      </w:r>
      <w:r w:rsidR="00FF34EF" w:rsidRPr="00A71D2E">
        <w:rPr>
          <w:rFonts w:eastAsia="宋体" w:cs="Times New Roman"/>
          <w:bCs/>
          <w:szCs w:val="21"/>
        </w:rPr>
        <w:t>3</w:t>
      </w:r>
      <w:r>
        <w:rPr>
          <w:rFonts w:eastAsia="宋体" w:cs="Times New Roman"/>
          <w:bCs/>
          <w:szCs w:val="21"/>
        </w:rPr>
        <w:t>)</w:t>
      </w:r>
      <w:r w:rsidR="00FF34EF" w:rsidRPr="00A71D2E">
        <w:rPr>
          <w:rFonts w:eastAsia="宋体" w:cs="Times New Roman"/>
          <w:bCs/>
          <w:szCs w:val="21"/>
        </w:rPr>
        <w:tab/>
      </w:r>
      <w:r w:rsidR="00FF34EF" w:rsidRPr="0067084B">
        <w:rPr>
          <w:rFonts w:eastAsia="宋体" w:cs="Times New Roman" w:hint="eastAsia"/>
          <w:szCs w:val="21"/>
        </w:rPr>
        <w:t>资金拆借情况表</w:t>
      </w:r>
    </w:p>
    <w:p w:rsidR="00FF34EF" w:rsidRPr="00A71D2E" w:rsidRDefault="00FF34EF">
      <w:pPr>
        <w:ind w:left="5040"/>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0"/>
        <w:gridCol w:w="1548"/>
        <w:gridCol w:w="1559"/>
        <w:gridCol w:w="1551"/>
        <w:gridCol w:w="1551"/>
        <w:gridCol w:w="1551"/>
      </w:tblGrid>
      <w:tr w:rsidR="00FF34EF" w:rsidRPr="00A71D2E" w:rsidTr="0027505B">
        <w:trPr>
          <w:trHeight w:val="20"/>
        </w:trPr>
        <w:tc>
          <w:tcPr>
            <w:tcW w:w="1690" w:type="dxa"/>
            <w:shd w:val="clear" w:color="auto" w:fill="D9D9D9" w:themeFill="background1" w:themeFillShade="D9"/>
            <w:tcMar>
              <w:top w:w="0" w:type="dxa"/>
              <w:left w:w="108" w:type="dxa"/>
              <w:bottom w:w="0" w:type="dxa"/>
              <w:right w:w="108" w:type="dxa"/>
            </w:tcMar>
            <w:vAlign w:val="center"/>
            <w:hideMark/>
          </w:tcPr>
          <w:p w:rsidR="00FF34EF" w:rsidRPr="00A71D2E" w:rsidRDefault="00FF34EF">
            <w:pPr>
              <w:jc w:val="center"/>
              <w:rPr>
                <w:rFonts w:eastAsia="宋体" w:cs="Times New Roman"/>
                <w:sz w:val="18"/>
                <w:szCs w:val="18"/>
              </w:rPr>
            </w:pPr>
            <w:r w:rsidRPr="00A71D2E">
              <w:rPr>
                <w:rFonts w:eastAsia="宋体" w:cs="Times New Roman" w:hint="eastAsia"/>
                <w:sz w:val="18"/>
                <w:szCs w:val="18"/>
              </w:rPr>
              <w:t>关联方</w:t>
            </w:r>
          </w:p>
        </w:tc>
        <w:tc>
          <w:tcPr>
            <w:tcW w:w="1548" w:type="dxa"/>
            <w:shd w:val="clear" w:color="auto" w:fill="D9D9D9" w:themeFill="background1" w:themeFillShade="D9"/>
            <w:tcMar>
              <w:top w:w="0" w:type="dxa"/>
              <w:left w:w="108" w:type="dxa"/>
              <w:bottom w:w="0" w:type="dxa"/>
              <w:right w:w="108" w:type="dxa"/>
            </w:tcMar>
            <w:vAlign w:val="center"/>
            <w:hideMark/>
          </w:tcPr>
          <w:p w:rsidR="00FF34EF" w:rsidRPr="00A71D2E" w:rsidRDefault="00FF34EF">
            <w:pPr>
              <w:jc w:val="center"/>
              <w:rPr>
                <w:rFonts w:eastAsia="宋体" w:cs="Times New Roman"/>
                <w:sz w:val="18"/>
                <w:szCs w:val="18"/>
              </w:rPr>
            </w:pPr>
            <w:r w:rsidRPr="00A71D2E">
              <w:rPr>
                <w:rFonts w:eastAsia="宋体" w:cs="Times New Roman" w:hint="eastAsia"/>
                <w:sz w:val="18"/>
                <w:szCs w:val="18"/>
              </w:rPr>
              <w:t>关联交易内容</w:t>
            </w:r>
          </w:p>
        </w:tc>
        <w:tc>
          <w:tcPr>
            <w:tcW w:w="1559" w:type="dxa"/>
            <w:shd w:val="clear" w:color="auto" w:fill="D9D9D9" w:themeFill="background1" w:themeFillShade="D9"/>
            <w:vAlign w:val="center"/>
          </w:tcPr>
          <w:p w:rsidR="00FF34EF" w:rsidRPr="00A71D2E" w:rsidRDefault="00840C65">
            <w:pPr>
              <w:jc w:val="center"/>
              <w:rPr>
                <w:rFonts w:eastAsia="宋体" w:cs="Times New Roman"/>
                <w:sz w:val="18"/>
                <w:szCs w:val="18"/>
              </w:rPr>
            </w:pPr>
            <w:r w:rsidRPr="00A71D2E">
              <w:rPr>
                <w:rFonts w:eastAsia="宋体" w:cs="Times New Roman" w:hint="eastAsia"/>
                <w:sz w:val="18"/>
                <w:szCs w:val="18"/>
              </w:rPr>
              <w:t>本年</w:t>
            </w:r>
            <w:r w:rsidR="00FF34EF" w:rsidRPr="00A71D2E">
              <w:rPr>
                <w:rFonts w:eastAsia="宋体" w:cs="Times New Roman" w:hint="eastAsia"/>
                <w:sz w:val="18"/>
                <w:szCs w:val="18"/>
              </w:rPr>
              <w:t>发生额</w:t>
            </w:r>
          </w:p>
        </w:tc>
        <w:tc>
          <w:tcPr>
            <w:tcW w:w="1551" w:type="dxa"/>
            <w:shd w:val="clear" w:color="auto" w:fill="D9D9D9" w:themeFill="background1" w:themeFillShade="D9"/>
            <w:vAlign w:val="center"/>
          </w:tcPr>
          <w:p w:rsidR="00FF34EF" w:rsidRPr="00A71D2E" w:rsidRDefault="00840C65">
            <w:pPr>
              <w:jc w:val="center"/>
              <w:rPr>
                <w:rFonts w:eastAsia="宋体" w:cs="Times New Roman"/>
                <w:sz w:val="18"/>
                <w:szCs w:val="18"/>
              </w:rPr>
            </w:pPr>
            <w:r w:rsidRPr="00A71D2E">
              <w:rPr>
                <w:rFonts w:eastAsia="宋体" w:cs="Times New Roman" w:hint="eastAsia"/>
                <w:sz w:val="18"/>
                <w:szCs w:val="18"/>
              </w:rPr>
              <w:t>年末</w:t>
            </w:r>
            <w:r w:rsidR="00FF34EF" w:rsidRPr="00A71D2E">
              <w:rPr>
                <w:rFonts w:eastAsia="宋体" w:cs="Times New Roman" w:hint="eastAsia"/>
                <w:sz w:val="18"/>
                <w:szCs w:val="18"/>
              </w:rPr>
              <w:t>余额</w:t>
            </w:r>
          </w:p>
        </w:tc>
        <w:tc>
          <w:tcPr>
            <w:tcW w:w="1551" w:type="dxa"/>
            <w:shd w:val="clear" w:color="auto" w:fill="D9D9D9" w:themeFill="background1" w:themeFillShade="D9"/>
            <w:vAlign w:val="center"/>
          </w:tcPr>
          <w:p w:rsidR="00FF34EF" w:rsidRPr="00A71D2E" w:rsidDel="00A457E1" w:rsidRDefault="00626E3E">
            <w:pPr>
              <w:jc w:val="center"/>
              <w:rPr>
                <w:rFonts w:eastAsia="宋体" w:cs="Times New Roman"/>
                <w:sz w:val="18"/>
                <w:szCs w:val="18"/>
              </w:rPr>
            </w:pPr>
            <w:r w:rsidRPr="00A71D2E">
              <w:rPr>
                <w:rFonts w:eastAsia="宋体" w:cs="Times New Roman" w:hint="eastAsia"/>
                <w:sz w:val="18"/>
                <w:szCs w:val="18"/>
              </w:rPr>
              <w:t>上年</w:t>
            </w:r>
            <w:r w:rsidR="00FF34EF" w:rsidRPr="00A71D2E">
              <w:rPr>
                <w:rFonts w:eastAsia="宋体" w:cs="Times New Roman" w:hint="eastAsia"/>
                <w:sz w:val="18"/>
                <w:szCs w:val="18"/>
              </w:rPr>
              <w:t>发生额</w:t>
            </w:r>
          </w:p>
        </w:tc>
        <w:tc>
          <w:tcPr>
            <w:tcW w:w="1551" w:type="dxa"/>
            <w:shd w:val="clear" w:color="auto" w:fill="D9D9D9" w:themeFill="background1" w:themeFillShade="D9"/>
            <w:tcMar>
              <w:top w:w="0" w:type="dxa"/>
              <w:left w:w="108" w:type="dxa"/>
              <w:bottom w:w="0" w:type="dxa"/>
              <w:right w:w="108" w:type="dxa"/>
            </w:tcMar>
            <w:vAlign w:val="center"/>
            <w:hideMark/>
          </w:tcPr>
          <w:p w:rsidR="00FF34EF" w:rsidRPr="00A71D2E" w:rsidRDefault="00840C65">
            <w:pPr>
              <w:ind w:right="-104"/>
              <w:jc w:val="center"/>
              <w:rPr>
                <w:rFonts w:eastAsia="宋体" w:cs="Times New Roman"/>
                <w:sz w:val="18"/>
                <w:szCs w:val="18"/>
              </w:rPr>
            </w:pPr>
            <w:r w:rsidRPr="00A71D2E">
              <w:rPr>
                <w:rFonts w:eastAsia="宋体" w:cs="Times New Roman" w:hint="eastAsia"/>
                <w:sz w:val="18"/>
                <w:szCs w:val="18"/>
              </w:rPr>
              <w:t>年初</w:t>
            </w:r>
            <w:r w:rsidR="00FF34EF" w:rsidRPr="00A71D2E">
              <w:rPr>
                <w:rFonts w:eastAsia="宋体" w:cs="Times New Roman" w:hint="eastAsia"/>
                <w:sz w:val="18"/>
                <w:szCs w:val="18"/>
              </w:rPr>
              <w:t>余额</w:t>
            </w:r>
          </w:p>
        </w:tc>
      </w:tr>
      <w:tr w:rsidR="00BE09FB" w:rsidRPr="00A71D2E" w:rsidTr="0027505B">
        <w:trPr>
          <w:trHeight w:val="20"/>
        </w:trPr>
        <w:tc>
          <w:tcPr>
            <w:tcW w:w="1690" w:type="dxa"/>
            <w:tcMar>
              <w:top w:w="0" w:type="dxa"/>
              <w:left w:w="108" w:type="dxa"/>
              <w:bottom w:w="0" w:type="dxa"/>
              <w:right w:w="108" w:type="dxa"/>
            </w:tcMar>
            <w:vAlign w:val="center"/>
          </w:tcPr>
          <w:p w:rsidR="00BE09FB" w:rsidRPr="00A71D2E" w:rsidRDefault="00BE09FB" w:rsidP="00BE09FB">
            <w:pPr>
              <w:rPr>
                <w:rFonts w:eastAsia="宋体" w:cs="Times New Roman"/>
                <w:sz w:val="18"/>
                <w:szCs w:val="18"/>
              </w:rPr>
            </w:pPr>
            <w:r w:rsidRPr="00A71D2E">
              <w:rPr>
                <w:rFonts w:eastAsia="宋体" w:cs="Times New Roman" w:hint="eastAsia"/>
                <w:sz w:val="18"/>
                <w:szCs w:val="18"/>
              </w:rPr>
              <w:t>本公司下属子公司</w:t>
            </w:r>
          </w:p>
        </w:tc>
        <w:tc>
          <w:tcPr>
            <w:tcW w:w="1548" w:type="dxa"/>
            <w:tcMar>
              <w:top w:w="0" w:type="dxa"/>
              <w:left w:w="108" w:type="dxa"/>
              <w:bottom w:w="0" w:type="dxa"/>
              <w:right w:w="108" w:type="dxa"/>
            </w:tcMar>
            <w:vAlign w:val="center"/>
          </w:tcPr>
          <w:p w:rsidR="00BE09FB" w:rsidRPr="00A71D2E" w:rsidRDefault="00BE09FB" w:rsidP="00BE09FB">
            <w:pPr>
              <w:rPr>
                <w:rFonts w:eastAsia="宋体" w:cs="Times New Roman"/>
                <w:sz w:val="18"/>
                <w:szCs w:val="18"/>
              </w:rPr>
            </w:pPr>
            <w:r w:rsidRPr="00003077">
              <w:rPr>
                <w:rFonts w:eastAsia="宋体" w:cs="Times New Roman" w:hint="eastAsia"/>
                <w:sz w:val="18"/>
                <w:szCs w:val="18"/>
              </w:rPr>
              <w:t>资金拆出</w:t>
            </w:r>
            <w:r w:rsidR="005F14EE">
              <w:rPr>
                <w:rFonts w:eastAsia="宋体" w:cs="Times New Roman" w:hint="eastAsia"/>
                <w:sz w:val="18"/>
                <w:szCs w:val="18"/>
              </w:rPr>
              <w:t>(</w:t>
            </w:r>
            <w:r w:rsidRPr="00003077">
              <w:rPr>
                <w:rFonts w:eastAsia="宋体" w:cs="Times New Roman" w:hint="eastAsia"/>
                <w:sz w:val="18"/>
                <w:szCs w:val="18"/>
              </w:rPr>
              <w:t>收回</w:t>
            </w:r>
            <w:r w:rsidR="005F14EE">
              <w:rPr>
                <w:rFonts w:eastAsia="宋体" w:cs="Times New Roman" w:hint="eastAsia"/>
                <w:sz w:val="18"/>
                <w:szCs w:val="18"/>
              </w:rPr>
              <w:t>)</w:t>
            </w:r>
          </w:p>
        </w:tc>
        <w:tc>
          <w:tcPr>
            <w:tcW w:w="1559" w:type="dxa"/>
            <w:vAlign w:val="center"/>
          </w:tcPr>
          <w:p w:rsidR="00331E5B" w:rsidRPr="00A71D2E" w:rsidRDefault="00331E5B" w:rsidP="00331E5B">
            <w:pPr>
              <w:ind w:right="90"/>
              <w:jc w:val="right"/>
              <w:rPr>
                <w:rFonts w:eastAsia="宋体" w:cs="Times New Roman"/>
                <w:sz w:val="18"/>
                <w:szCs w:val="18"/>
              </w:rPr>
            </w:pPr>
            <w:r>
              <w:rPr>
                <w:rFonts w:eastAsia="宋体" w:cs="Times New Roman"/>
                <w:sz w:val="18"/>
                <w:szCs w:val="18"/>
              </w:rPr>
              <w:t>1,794,889,100</w:t>
            </w:r>
            <w:r>
              <w:rPr>
                <w:rFonts w:eastAsia="宋体" w:cs="Times New Roman" w:hint="eastAsia"/>
                <w:sz w:val="18"/>
                <w:szCs w:val="18"/>
              </w:rPr>
              <w:t>.</w:t>
            </w:r>
            <w:r>
              <w:rPr>
                <w:rFonts w:eastAsia="宋体" w:cs="Times New Roman"/>
                <w:sz w:val="18"/>
                <w:szCs w:val="18"/>
              </w:rPr>
              <w:t>00</w:t>
            </w:r>
          </w:p>
        </w:tc>
        <w:tc>
          <w:tcPr>
            <w:tcW w:w="1551" w:type="dxa"/>
            <w:vAlign w:val="center"/>
          </w:tcPr>
          <w:p w:rsidR="00BE09FB" w:rsidRPr="00A71D2E" w:rsidRDefault="00331E5B" w:rsidP="00BE09FB">
            <w:pPr>
              <w:ind w:right="90"/>
              <w:jc w:val="right"/>
              <w:rPr>
                <w:rFonts w:eastAsia="宋体" w:cs="Times New Roman"/>
                <w:sz w:val="18"/>
                <w:szCs w:val="18"/>
              </w:rPr>
            </w:pPr>
            <w:r>
              <w:rPr>
                <w:rFonts w:eastAsia="宋体" w:cs="Times New Roman"/>
                <w:sz w:val="18"/>
                <w:szCs w:val="18"/>
              </w:rPr>
              <w:t>1,794,889,100</w:t>
            </w:r>
            <w:r>
              <w:rPr>
                <w:rFonts w:eastAsia="宋体" w:cs="Times New Roman" w:hint="eastAsia"/>
                <w:sz w:val="18"/>
                <w:szCs w:val="18"/>
              </w:rPr>
              <w:t>.</w:t>
            </w:r>
            <w:r>
              <w:rPr>
                <w:rFonts w:eastAsia="宋体" w:cs="Times New Roman"/>
                <w:sz w:val="18"/>
                <w:szCs w:val="18"/>
              </w:rPr>
              <w:t>00</w:t>
            </w:r>
          </w:p>
        </w:tc>
        <w:tc>
          <w:tcPr>
            <w:tcW w:w="1551" w:type="dxa"/>
            <w:vAlign w:val="center"/>
          </w:tcPr>
          <w:p w:rsidR="00BE09FB" w:rsidRPr="00A71D2E" w:rsidRDefault="005F14EE" w:rsidP="00BE09FB">
            <w:pPr>
              <w:ind w:right="90"/>
              <w:jc w:val="right"/>
              <w:rPr>
                <w:rFonts w:eastAsia="宋体" w:cs="Times New Roman"/>
                <w:sz w:val="18"/>
                <w:szCs w:val="18"/>
              </w:rPr>
            </w:pPr>
            <w:r>
              <w:rPr>
                <w:rFonts w:eastAsia="宋体" w:cs="Times New Roman"/>
                <w:sz w:val="18"/>
                <w:szCs w:val="18"/>
              </w:rPr>
              <w:t>(</w:t>
            </w:r>
            <w:r w:rsidR="00BE09FB" w:rsidRPr="00981412">
              <w:rPr>
                <w:rFonts w:eastAsia="宋体" w:cs="Times New Roman"/>
                <w:sz w:val="18"/>
                <w:szCs w:val="18"/>
              </w:rPr>
              <w:t>45,204,706.43</w:t>
            </w:r>
            <w:r>
              <w:rPr>
                <w:rFonts w:eastAsia="宋体" w:cs="Times New Roman"/>
                <w:sz w:val="18"/>
                <w:szCs w:val="18"/>
              </w:rPr>
              <w:t>)</w:t>
            </w:r>
          </w:p>
        </w:tc>
        <w:tc>
          <w:tcPr>
            <w:tcW w:w="1551" w:type="dxa"/>
            <w:tcMar>
              <w:top w:w="0" w:type="dxa"/>
              <w:left w:w="108" w:type="dxa"/>
              <w:bottom w:w="0" w:type="dxa"/>
              <w:right w:w="108" w:type="dxa"/>
            </w:tcMar>
            <w:vAlign w:val="center"/>
          </w:tcPr>
          <w:p w:rsidR="00BE09FB" w:rsidRPr="00A71D2E" w:rsidRDefault="00BE09FB" w:rsidP="00BE09FB">
            <w:pPr>
              <w:jc w:val="right"/>
              <w:rPr>
                <w:rFonts w:eastAsia="宋体" w:cs="Times New Roman"/>
                <w:sz w:val="18"/>
                <w:szCs w:val="18"/>
              </w:rPr>
            </w:pPr>
            <w:r w:rsidRPr="00F66363">
              <w:rPr>
                <w:rFonts w:eastAsia="宋体" w:cs="Times New Roman"/>
                <w:sz w:val="18"/>
                <w:szCs w:val="18"/>
              </w:rPr>
              <w:t>-    </w:t>
            </w:r>
            <w:r w:rsidRPr="00F66363" w:rsidDel="002845A6">
              <w:rPr>
                <w:rFonts w:eastAsia="宋体" w:cs="Times New Roman"/>
                <w:sz w:val="18"/>
                <w:szCs w:val="18"/>
              </w:rPr>
              <w:t xml:space="preserve"> </w:t>
            </w:r>
          </w:p>
        </w:tc>
      </w:tr>
      <w:tr w:rsidR="00621335" w:rsidRPr="00A71D2E" w:rsidTr="0027505B">
        <w:trPr>
          <w:trHeight w:val="20"/>
        </w:trPr>
        <w:tc>
          <w:tcPr>
            <w:tcW w:w="1690" w:type="dxa"/>
            <w:tcMar>
              <w:top w:w="0" w:type="dxa"/>
              <w:left w:w="108" w:type="dxa"/>
              <w:bottom w:w="0" w:type="dxa"/>
              <w:right w:w="108" w:type="dxa"/>
            </w:tcMar>
            <w:vAlign w:val="center"/>
          </w:tcPr>
          <w:p w:rsidR="00621335" w:rsidRPr="00A71D2E" w:rsidRDefault="00621335" w:rsidP="00621335">
            <w:pPr>
              <w:rPr>
                <w:rFonts w:eastAsia="宋体" w:cs="Times New Roman"/>
                <w:sz w:val="18"/>
                <w:szCs w:val="18"/>
              </w:rPr>
            </w:pPr>
            <w:r w:rsidRPr="00A71D2E">
              <w:rPr>
                <w:rFonts w:eastAsia="宋体" w:cs="Times New Roman" w:hint="eastAsia"/>
                <w:sz w:val="18"/>
                <w:szCs w:val="18"/>
              </w:rPr>
              <w:t>本公司下属子公司</w:t>
            </w:r>
          </w:p>
        </w:tc>
        <w:tc>
          <w:tcPr>
            <w:tcW w:w="1548" w:type="dxa"/>
            <w:tcMar>
              <w:top w:w="0" w:type="dxa"/>
              <w:left w:w="108" w:type="dxa"/>
              <w:bottom w:w="0" w:type="dxa"/>
              <w:right w:w="108" w:type="dxa"/>
            </w:tcMar>
            <w:vAlign w:val="center"/>
          </w:tcPr>
          <w:p w:rsidR="00621335" w:rsidRPr="00A71D2E" w:rsidRDefault="00621335" w:rsidP="00621335">
            <w:pPr>
              <w:rPr>
                <w:rFonts w:eastAsia="宋体" w:cs="Times New Roman"/>
                <w:sz w:val="18"/>
                <w:szCs w:val="18"/>
              </w:rPr>
            </w:pPr>
            <w:r w:rsidRPr="00003077">
              <w:rPr>
                <w:rFonts w:eastAsia="宋体" w:cs="Times New Roman" w:hint="eastAsia"/>
                <w:sz w:val="18"/>
                <w:szCs w:val="18"/>
              </w:rPr>
              <w:t>资金拆入</w:t>
            </w:r>
            <w:r w:rsidR="005F14EE">
              <w:rPr>
                <w:rFonts w:eastAsia="宋体" w:cs="Times New Roman" w:hint="eastAsia"/>
                <w:sz w:val="18"/>
                <w:szCs w:val="18"/>
              </w:rPr>
              <w:t>(</w:t>
            </w:r>
            <w:r w:rsidRPr="00003077">
              <w:rPr>
                <w:rFonts w:eastAsia="宋体" w:cs="Times New Roman" w:hint="eastAsia"/>
                <w:sz w:val="18"/>
                <w:szCs w:val="18"/>
              </w:rPr>
              <w:t>偿还</w:t>
            </w:r>
            <w:r w:rsidR="005F14EE">
              <w:rPr>
                <w:rFonts w:eastAsia="宋体" w:cs="Times New Roman" w:hint="eastAsia"/>
                <w:sz w:val="18"/>
                <w:szCs w:val="18"/>
              </w:rPr>
              <w:t>)</w:t>
            </w:r>
          </w:p>
        </w:tc>
        <w:tc>
          <w:tcPr>
            <w:tcW w:w="1559" w:type="dxa"/>
            <w:vAlign w:val="center"/>
          </w:tcPr>
          <w:p w:rsidR="00621335" w:rsidRPr="00A71D2E" w:rsidRDefault="005F14EE" w:rsidP="00621335">
            <w:pPr>
              <w:ind w:right="90"/>
              <w:jc w:val="right"/>
              <w:rPr>
                <w:rFonts w:eastAsia="宋体" w:cs="Times New Roman"/>
                <w:sz w:val="18"/>
                <w:szCs w:val="18"/>
              </w:rPr>
            </w:pPr>
            <w:r>
              <w:rPr>
                <w:rFonts w:eastAsia="宋体" w:cs="Times New Roman" w:hint="eastAsia"/>
                <w:sz w:val="18"/>
                <w:szCs w:val="18"/>
              </w:rPr>
              <w:t>(</w:t>
            </w:r>
            <w:r w:rsidR="00621335" w:rsidRPr="004355BF">
              <w:rPr>
                <w:rFonts w:eastAsia="宋体" w:cs="Times New Roman"/>
                <w:sz w:val="18"/>
                <w:szCs w:val="18"/>
              </w:rPr>
              <w:t>1,152,362,459.05</w:t>
            </w:r>
            <w:r>
              <w:rPr>
                <w:rFonts w:eastAsia="宋体" w:cs="Times New Roman"/>
                <w:sz w:val="18"/>
                <w:szCs w:val="18"/>
              </w:rPr>
              <w:t>)</w:t>
            </w:r>
          </w:p>
        </w:tc>
        <w:tc>
          <w:tcPr>
            <w:tcW w:w="1551" w:type="dxa"/>
            <w:vAlign w:val="center"/>
          </w:tcPr>
          <w:p w:rsidR="00621335" w:rsidRPr="00A71D2E" w:rsidRDefault="00621335" w:rsidP="00621335">
            <w:pPr>
              <w:ind w:right="90"/>
              <w:jc w:val="right"/>
              <w:rPr>
                <w:rFonts w:eastAsia="宋体" w:cs="Times New Roman"/>
                <w:sz w:val="18"/>
                <w:szCs w:val="18"/>
              </w:rPr>
            </w:pPr>
            <w:r w:rsidRPr="00621335">
              <w:rPr>
                <w:rFonts w:eastAsia="宋体" w:cs="Times New Roman"/>
                <w:sz w:val="18"/>
                <w:szCs w:val="18"/>
              </w:rPr>
              <w:t>-    </w:t>
            </w:r>
          </w:p>
        </w:tc>
        <w:tc>
          <w:tcPr>
            <w:tcW w:w="1551" w:type="dxa"/>
            <w:vAlign w:val="center"/>
          </w:tcPr>
          <w:p w:rsidR="00621335" w:rsidRPr="00A71D2E" w:rsidRDefault="00621335" w:rsidP="00621335">
            <w:pPr>
              <w:ind w:right="90"/>
              <w:jc w:val="right"/>
              <w:rPr>
                <w:rFonts w:eastAsia="宋体" w:cs="Times New Roman"/>
                <w:sz w:val="18"/>
                <w:szCs w:val="18"/>
              </w:rPr>
            </w:pPr>
            <w:r w:rsidRPr="004355BF">
              <w:rPr>
                <w:rFonts w:eastAsia="宋体" w:cs="Times New Roman"/>
                <w:sz w:val="18"/>
                <w:szCs w:val="18"/>
              </w:rPr>
              <w:t>122,167,638.83</w:t>
            </w:r>
          </w:p>
        </w:tc>
        <w:tc>
          <w:tcPr>
            <w:tcW w:w="1551" w:type="dxa"/>
            <w:tcMar>
              <w:top w:w="0" w:type="dxa"/>
              <w:left w:w="108" w:type="dxa"/>
              <w:bottom w:w="0" w:type="dxa"/>
              <w:right w:w="108" w:type="dxa"/>
            </w:tcMar>
            <w:vAlign w:val="center"/>
          </w:tcPr>
          <w:p w:rsidR="00621335" w:rsidRPr="00A71D2E" w:rsidRDefault="00621335" w:rsidP="00621335">
            <w:pPr>
              <w:jc w:val="right"/>
              <w:rPr>
                <w:rFonts w:eastAsia="宋体" w:cs="Times New Roman"/>
                <w:sz w:val="18"/>
                <w:szCs w:val="18"/>
              </w:rPr>
            </w:pPr>
            <w:r w:rsidRPr="004355BF">
              <w:rPr>
                <w:rFonts w:eastAsia="宋体" w:cs="Times New Roman"/>
                <w:sz w:val="18"/>
                <w:szCs w:val="18"/>
              </w:rPr>
              <w:t>1,152,362,459.05</w:t>
            </w:r>
          </w:p>
        </w:tc>
      </w:tr>
    </w:tbl>
    <w:p w:rsidR="00FF34EF" w:rsidRPr="00A71D2E" w:rsidRDefault="00FF34EF">
      <w:pPr>
        <w:ind w:left="720"/>
        <w:jc w:val="both"/>
        <w:rPr>
          <w:rFonts w:eastAsia="宋体" w:cs="Times New Roman"/>
          <w:bCs/>
          <w:szCs w:val="21"/>
        </w:rPr>
      </w:pPr>
    </w:p>
    <w:p w:rsidR="00FF34EF" w:rsidRPr="00A71D2E" w:rsidRDefault="00FF34EF">
      <w:pPr>
        <w:ind w:left="5040" w:right="9"/>
        <w:jc w:val="right"/>
        <w:rPr>
          <w:rFonts w:eastAsia="宋体" w:cs="Times New Roman"/>
          <w:szCs w:val="21"/>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Style w:val="aff5"/>
        <w:tblW w:w="9450" w:type="dxa"/>
        <w:tblInd w:w="715" w:type="dxa"/>
        <w:tblLayout w:type="fixed"/>
        <w:tblLook w:val="04A0" w:firstRow="1" w:lastRow="0" w:firstColumn="1" w:lastColumn="0" w:noHBand="0" w:noVBand="1"/>
      </w:tblPr>
      <w:tblGrid>
        <w:gridCol w:w="2835"/>
        <w:gridCol w:w="3258"/>
        <w:gridCol w:w="1678"/>
        <w:gridCol w:w="1679"/>
      </w:tblGrid>
      <w:tr w:rsidR="00FF34EF" w:rsidRPr="00A71D2E" w:rsidTr="0027505B">
        <w:trPr>
          <w:trHeight w:val="20"/>
        </w:trPr>
        <w:tc>
          <w:tcPr>
            <w:tcW w:w="2835" w:type="dxa"/>
            <w:shd w:val="clear" w:color="auto" w:fill="D9D9D9" w:themeFill="background1" w:themeFillShade="D9"/>
            <w:vAlign w:val="center"/>
          </w:tcPr>
          <w:p w:rsidR="00FF34EF" w:rsidRPr="00F66363" w:rsidRDefault="00FF34EF">
            <w:pPr>
              <w:ind w:right="-30"/>
              <w:jc w:val="center"/>
              <w:rPr>
                <w:sz w:val="18"/>
                <w:szCs w:val="18"/>
              </w:rPr>
            </w:pPr>
            <w:r w:rsidRPr="00F66363">
              <w:rPr>
                <w:rFonts w:hint="eastAsia"/>
                <w:sz w:val="18"/>
                <w:szCs w:val="18"/>
              </w:rPr>
              <w:t>关联方</w:t>
            </w:r>
          </w:p>
        </w:tc>
        <w:tc>
          <w:tcPr>
            <w:tcW w:w="3258" w:type="dxa"/>
            <w:shd w:val="clear" w:color="auto" w:fill="D9D9D9" w:themeFill="background1" w:themeFillShade="D9"/>
            <w:vAlign w:val="center"/>
          </w:tcPr>
          <w:p w:rsidR="00FF34EF" w:rsidRPr="00F66363" w:rsidRDefault="00FF34EF">
            <w:pPr>
              <w:jc w:val="center"/>
              <w:rPr>
                <w:sz w:val="18"/>
                <w:szCs w:val="18"/>
              </w:rPr>
            </w:pPr>
            <w:r w:rsidRPr="00F66363">
              <w:rPr>
                <w:rFonts w:hint="eastAsia"/>
                <w:sz w:val="18"/>
                <w:szCs w:val="18"/>
              </w:rPr>
              <w:t>关联方交易内容</w:t>
            </w:r>
          </w:p>
        </w:tc>
        <w:tc>
          <w:tcPr>
            <w:tcW w:w="1678" w:type="dxa"/>
            <w:shd w:val="clear" w:color="auto" w:fill="D9D9D9" w:themeFill="background1" w:themeFillShade="D9"/>
            <w:vAlign w:val="center"/>
          </w:tcPr>
          <w:p w:rsidR="00FF34EF" w:rsidRPr="00F66363" w:rsidRDefault="00D53477">
            <w:pPr>
              <w:jc w:val="center"/>
              <w:rPr>
                <w:sz w:val="18"/>
                <w:szCs w:val="18"/>
              </w:rPr>
            </w:pPr>
            <w:r w:rsidRPr="00A71D2E">
              <w:rPr>
                <w:rFonts w:hint="eastAsia"/>
                <w:sz w:val="18"/>
                <w:szCs w:val="18"/>
              </w:rPr>
              <w:t>本年发生额</w:t>
            </w:r>
          </w:p>
        </w:tc>
        <w:tc>
          <w:tcPr>
            <w:tcW w:w="1679" w:type="dxa"/>
            <w:shd w:val="clear" w:color="auto" w:fill="D9D9D9" w:themeFill="background1" w:themeFillShade="D9"/>
            <w:vAlign w:val="center"/>
          </w:tcPr>
          <w:p w:rsidR="00FF34EF" w:rsidRPr="00F66363" w:rsidRDefault="00D53477">
            <w:pPr>
              <w:ind w:right="-59"/>
              <w:jc w:val="center"/>
              <w:rPr>
                <w:sz w:val="18"/>
                <w:szCs w:val="18"/>
              </w:rPr>
            </w:pPr>
            <w:r w:rsidRPr="00A71D2E">
              <w:rPr>
                <w:rFonts w:hint="eastAsia"/>
                <w:sz w:val="18"/>
                <w:szCs w:val="18"/>
              </w:rPr>
              <w:t>上年发生额</w:t>
            </w:r>
          </w:p>
        </w:tc>
      </w:tr>
      <w:tr w:rsidR="00314AB5" w:rsidRPr="00A71D2E" w:rsidTr="0027505B">
        <w:trPr>
          <w:trHeight w:val="20"/>
        </w:trPr>
        <w:tc>
          <w:tcPr>
            <w:tcW w:w="2835" w:type="dxa"/>
            <w:vAlign w:val="center"/>
          </w:tcPr>
          <w:p w:rsidR="00314AB5" w:rsidRPr="00F66363" w:rsidRDefault="00314AB5" w:rsidP="00314AB5">
            <w:pPr>
              <w:rPr>
                <w:sz w:val="18"/>
                <w:szCs w:val="18"/>
              </w:rPr>
            </w:pPr>
            <w:r w:rsidRPr="00F66363">
              <w:rPr>
                <w:rFonts w:hint="eastAsia"/>
                <w:sz w:val="18"/>
                <w:szCs w:val="18"/>
              </w:rPr>
              <w:t>本公司下属子公司</w:t>
            </w:r>
          </w:p>
        </w:tc>
        <w:tc>
          <w:tcPr>
            <w:tcW w:w="3258" w:type="dxa"/>
            <w:vAlign w:val="center"/>
          </w:tcPr>
          <w:p w:rsidR="00314AB5" w:rsidRPr="00F66363" w:rsidRDefault="00314AB5" w:rsidP="00314AB5">
            <w:pPr>
              <w:jc w:val="center"/>
              <w:rPr>
                <w:sz w:val="18"/>
                <w:szCs w:val="18"/>
              </w:rPr>
            </w:pPr>
            <w:r w:rsidRPr="00F66363">
              <w:rPr>
                <w:rFonts w:hint="eastAsia"/>
                <w:sz w:val="18"/>
                <w:szCs w:val="18"/>
              </w:rPr>
              <w:t>资金拆借利息收入</w:t>
            </w:r>
          </w:p>
        </w:tc>
        <w:tc>
          <w:tcPr>
            <w:tcW w:w="1678" w:type="dxa"/>
            <w:vAlign w:val="center"/>
          </w:tcPr>
          <w:p w:rsidR="00314AB5" w:rsidRPr="0034469B" w:rsidRDefault="00314AB5" w:rsidP="00314AB5">
            <w:pPr>
              <w:jc w:val="right"/>
              <w:rPr>
                <w:sz w:val="18"/>
                <w:szCs w:val="18"/>
                <w:highlight w:val="yellow"/>
              </w:rPr>
            </w:pPr>
            <w:r w:rsidRPr="00F66363">
              <w:rPr>
                <w:sz w:val="18"/>
                <w:szCs w:val="18"/>
              </w:rPr>
              <w:t>-    </w:t>
            </w:r>
            <w:r w:rsidRPr="00F66363" w:rsidDel="002845A6">
              <w:rPr>
                <w:sz w:val="18"/>
                <w:szCs w:val="18"/>
              </w:rPr>
              <w:t xml:space="preserve"> </w:t>
            </w:r>
          </w:p>
        </w:tc>
        <w:tc>
          <w:tcPr>
            <w:tcW w:w="1679" w:type="dxa"/>
            <w:vAlign w:val="center"/>
          </w:tcPr>
          <w:p w:rsidR="00314AB5" w:rsidRPr="00F66363" w:rsidRDefault="00314AB5" w:rsidP="00314AB5">
            <w:pPr>
              <w:jc w:val="right"/>
              <w:rPr>
                <w:sz w:val="18"/>
                <w:szCs w:val="18"/>
              </w:rPr>
            </w:pPr>
            <w:r w:rsidRPr="00F66363">
              <w:rPr>
                <w:sz w:val="18"/>
                <w:szCs w:val="18"/>
              </w:rPr>
              <w:t>351,131.24</w:t>
            </w:r>
          </w:p>
        </w:tc>
      </w:tr>
      <w:tr w:rsidR="00AF3BE5" w:rsidRPr="00A71D2E" w:rsidTr="0027505B">
        <w:trPr>
          <w:trHeight w:val="20"/>
        </w:trPr>
        <w:tc>
          <w:tcPr>
            <w:tcW w:w="2835" w:type="dxa"/>
            <w:vAlign w:val="center"/>
          </w:tcPr>
          <w:p w:rsidR="00AF3BE5" w:rsidRPr="00F66363" w:rsidRDefault="00AF3BE5" w:rsidP="00AF3BE5">
            <w:pPr>
              <w:rPr>
                <w:sz w:val="18"/>
                <w:szCs w:val="18"/>
              </w:rPr>
            </w:pPr>
            <w:r w:rsidRPr="00F66363">
              <w:rPr>
                <w:rFonts w:hint="eastAsia"/>
                <w:sz w:val="18"/>
                <w:szCs w:val="18"/>
              </w:rPr>
              <w:t>本公司下属子公司</w:t>
            </w:r>
          </w:p>
        </w:tc>
        <w:tc>
          <w:tcPr>
            <w:tcW w:w="3258" w:type="dxa"/>
            <w:vAlign w:val="center"/>
          </w:tcPr>
          <w:p w:rsidR="00AF3BE5" w:rsidRPr="00F66363" w:rsidRDefault="00AF3BE5" w:rsidP="00AF3BE5">
            <w:pPr>
              <w:jc w:val="center"/>
              <w:rPr>
                <w:sz w:val="18"/>
                <w:szCs w:val="18"/>
              </w:rPr>
            </w:pPr>
            <w:r w:rsidRPr="00F66363">
              <w:rPr>
                <w:rFonts w:hint="eastAsia"/>
                <w:sz w:val="18"/>
                <w:szCs w:val="18"/>
              </w:rPr>
              <w:t>资金拆借利息支出</w:t>
            </w:r>
          </w:p>
        </w:tc>
        <w:tc>
          <w:tcPr>
            <w:tcW w:w="1678" w:type="dxa"/>
            <w:vAlign w:val="center"/>
          </w:tcPr>
          <w:p w:rsidR="00AF3BE5" w:rsidRPr="0034469B" w:rsidRDefault="003E54DD" w:rsidP="00AF3BE5">
            <w:pPr>
              <w:jc w:val="right"/>
              <w:rPr>
                <w:sz w:val="18"/>
                <w:szCs w:val="18"/>
                <w:highlight w:val="yellow"/>
              </w:rPr>
            </w:pPr>
            <w:r w:rsidRPr="003E54DD">
              <w:rPr>
                <w:sz w:val="18"/>
                <w:szCs w:val="18"/>
              </w:rPr>
              <w:t>7,081,970.13</w:t>
            </w:r>
          </w:p>
        </w:tc>
        <w:tc>
          <w:tcPr>
            <w:tcW w:w="1679" w:type="dxa"/>
            <w:vAlign w:val="center"/>
          </w:tcPr>
          <w:p w:rsidR="00AF3BE5" w:rsidRPr="00F66363" w:rsidRDefault="00AF3BE5" w:rsidP="00AF3BE5">
            <w:pPr>
              <w:jc w:val="right"/>
              <w:rPr>
                <w:sz w:val="18"/>
                <w:szCs w:val="18"/>
              </w:rPr>
            </w:pPr>
            <w:r w:rsidRPr="00F66363">
              <w:rPr>
                <w:sz w:val="18"/>
                <w:szCs w:val="18"/>
              </w:rPr>
              <w:t>28,047,866.06</w:t>
            </w:r>
          </w:p>
        </w:tc>
      </w:tr>
    </w:tbl>
    <w:p w:rsidR="00FF34EF" w:rsidRPr="00A71D2E" w:rsidRDefault="00FF34EF">
      <w:pPr>
        <w:ind w:left="720"/>
        <w:jc w:val="both"/>
        <w:rPr>
          <w:rFonts w:eastAsia="宋体" w:cs="Times New Roman"/>
          <w:bCs/>
          <w:szCs w:val="21"/>
        </w:rPr>
      </w:pPr>
    </w:p>
    <w:p w:rsidR="00FF34EF" w:rsidRPr="00A71D2E" w:rsidRDefault="005F14EE">
      <w:pPr>
        <w:ind w:left="1440" w:hanging="720"/>
        <w:jc w:val="both"/>
        <w:rPr>
          <w:rFonts w:eastAsia="宋体" w:cs="Times New Roman"/>
          <w:szCs w:val="21"/>
        </w:rPr>
      </w:pPr>
      <w:r>
        <w:rPr>
          <w:rFonts w:eastAsia="宋体" w:cs="Times New Roman"/>
          <w:bCs/>
          <w:szCs w:val="21"/>
        </w:rPr>
        <w:t>(</w:t>
      </w:r>
      <w:r w:rsidR="00544ABF">
        <w:rPr>
          <w:rFonts w:eastAsia="宋体" w:cs="Times New Roman"/>
          <w:bCs/>
          <w:szCs w:val="21"/>
        </w:rPr>
        <w:t>4</w:t>
      </w:r>
      <w:r>
        <w:rPr>
          <w:rFonts w:eastAsia="宋体" w:cs="Times New Roman"/>
          <w:bCs/>
          <w:szCs w:val="21"/>
        </w:rPr>
        <w:t>)</w:t>
      </w:r>
      <w:r w:rsidR="00FF34EF" w:rsidRPr="00A71D2E">
        <w:rPr>
          <w:rFonts w:eastAsia="宋体" w:cs="Times New Roman"/>
          <w:bCs/>
          <w:szCs w:val="21"/>
        </w:rPr>
        <w:tab/>
      </w:r>
      <w:r w:rsidR="00FF34EF" w:rsidRPr="00A71D2E">
        <w:rPr>
          <w:rFonts w:eastAsia="宋体" w:cs="Times New Roman" w:hint="eastAsia"/>
          <w:bCs/>
          <w:szCs w:val="21"/>
        </w:rPr>
        <w:t>关联</w:t>
      </w:r>
      <w:proofErr w:type="gramStart"/>
      <w:r w:rsidR="00FF34EF" w:rsidRPr="00A71D2E">
        <w:rPr>
          <w:rFonts w:eastAsia="宋体" w:cs="Times New Roman" w:hint="eastAsia"/>
          <w:bCs/>
          <w:szCs w:val="21"/>
        </w:rPr>
        <w:t>方股份</w:t>
      </w:r>
      <w:proofErr w:type="gramEnd"/>
      <w:r w:rsidR="00FF34EF" w:rsidRPr="00A71D2E">
        <w:rPr>
          <w:rFonts w:eastAsia="宋体" w:cs="Times New Roman" w:hint="eastAsia"/>
          <w:bCs/>
          <w:szCs w:val="21"/>
        </w:rPr>
        <w:t>支付</w:t>
      </w:r>
    </w:p>
    <w:p w:rsidR="00FF34EF" w:rsidRPr="00A71D2E" w:rsidRDefault="00FF34EF">
      <w:pPr>
        <w:ind w:left="720"/>
        <w:jc w:val="both"/>
        <w:rPr>
          <w:rFonts w:eastAsia="宋体" w:cs="Times New Roman"/>
          <w:szCs w:val="21"/>
        </w:rPr>
      </w:pPr>
    </w:p>
    <w:p w:rsidR="004C103F" w:rsidRDefault="0049049A" w:rsidP="00EE65BE">
      <w:pPr>
        <w:ind w:left="720"/>
        <w:jc w:val="both"/>
        <w:rPr>
          <w:rFonts w:eastAsia="宋体" w:cs="Times New Roman"/>
          <w:b/>
          <w:szCs w:val="21"/>
          <w:u w:val="single"/>
        </w:rPr>
      </w:pPr>
      <w:r w:rsidRPr="00A71D2E">
        <w:rPr>
          <w:rFonts w:eastAsia="宋体" w:cs="Times New Roman" w:hint="eastAsia"/>
          <w:szCs w:val="21"/>
        </w:rPr>
        <w:t>本年度，</w:t>
      </w:r>
      <w:r w:rsidR="00FF34EF" w:rsidRPr="00A71D2E">
        <w:rPr>
          <w:rFonts w:eastAsia="宋体" w:cs="Times New Roman" w:hint="eastAsia"/>
          <w:szCs w:val="21"/>
        </w:rPr>
        <w:t>本公司员工</w:t>
      </w:r>
      <w:r w:rsidRPr="00A71D2E">
        <w:rPr>
          <w:rFonts w:eastAsia="宋体" w:cs="Times New Roman" w:hint="eastAsia"/>
          <w:szCs w:val="21"/>
        </w:rPr>
        <w:t>参与的与关联</w:t>
      </w:r>
      <w:proofErr w:type="gramStart"/>
      <w:r w:rsidRPr="00A71D2E">
        <w:rPr>
          <w:rFonts w:eastAsia="宋体" w:cs="Times New Roman" w:hint="eastAsia"/>
          <w:szCs w:val="21"/>
        </w:rPr>
        <w:t>方相关</w:t>
      </w:r>
      <w:proofErr w:type="gramEnd"/>
      <w:r w:rsidRPr="00A71D2E">
        <w:rPr>
          <w:rFonts w:eastAsia="宋体" w:cs="Times New Roman" w:hint="eastAsia"/>
          <w:szCs w:val="21"/>
        </w:rPr>
        <w:t>的</w:t>
      </w:r>
      <w:r w:rsidR="00FF34EF" w:rsidRPr="00A71D2E">
        <w:rPr>
          <w:rFonts w:eastAsia="宋体" w:cs="Times New Roman" w:hint="eastAsia"/>
          <w:szCs w:val="21"/>
        </w:rPr>
        <w:t>股权激励计划，详见附注</w:t>
      </w:r>
      <w:r w:rsidR="005F14EE">
        <w:rPr>
          <w:rFonts w:eastAsia="宋体" w:cs="Times New Roman"/>
          <w:szCs w:val="21"/>
        </w:rPr>
        <w:t>(</w:t>
      </w:r>
      <w:r w:rsidR="00FF34EF" w:rsidRPr="00A71D2E">
        <w:rPr>
          <w:rFonts w:eastAsia="宋体" w:cs="Times New Roman" w:hint="eastAsia"/>
          <w:szCs w:val="21"/>
        </w:rPr>
        <w:t>十</w:t>
      </w:r>
      <w:r w:rsidR="006E21FB">
        <w:rPr>
          <w:rFonts w:eastAsia="宋体" w:cs="Times New Roman" w:hint="eastAsia"/>
          <w:szCs w:val="21"/>
        </w:rPr>
        <w:t>一</w:t>
      </w:r>
      <w:r w:rsidR="005F14EE">
        <w:rPr>
          <w:rFonts w:eastAsia="宋体" w:cs="Times New Roman"/>
          <w:szCs w:val="21"/>
        </w:rPr>
        <w:t>)</w:t>
      </w:r>
      <w:r w:rsidR="00FF34EF" w:rsidRPr="00A71D2E">
        <w:rPr>
          <w:rFonts w:eastAsia="宋体" w:cs="Times New Roman" w:hint="eastAsia"/>
          <w:szCs w:val="21"/>
        </w:rPr>
        <w:t>。</w:t>
      </w:r>
    </w:p>
    <w:p w:rsidR="00EB384C" w:rsidRPr="00A71D2E" w:rsidRDefault="00EB384C" w:rsidP="00F66363">
      <w:pPr>
        <w:ind w:leftChars="342" w:left="718"/>
        <w:jc w:val="both"/>
        <w:rPr>
          <w:rFonts w:eastAsia="宋体" w:cs="Times New Roman"/>
          <w:b/>
          <w:szCs w:val="21"/>
          <w:u w:val="single"/>
        </w:rPr>
      </w:pPr>
    </w:p>
    <w:p w:rsidR="00A402BC" w:rsidRPr="00F66363" w:rsidRDefault="005F14EE">
      <w:pPr>
        <w:ind w:left="1440" w:hanging="720"/>
        <w:jc w:val="both"/>
        <w:rPr>
          <w:rFonts w:eastAsia="宋体" w:cs="Times New Roman"/>
          <w:bCs/>
          <w:szCs w:val="21"/>
        </w:rPr>
      </w:pPr>
      <w:r>
        <w:rPr>
          <w:rFonts w:eastAsia="宋体" w:cs="Times New Roman"/>
          <w:bCs/>
          <w:szCs w:val="21"/>
        </w:rPr>
        <w:t>(</w:t>
      </w:r>
      <w:r w:rsidR="00544ABF">
        <w:rPr>
          <w:rFonts w:eastAsia="宋体" w:cs="Times New Roman"/>
          <w:bCs/>
          <w:szCs w:val="21"/>
        </w:rPr>
        <w:t>5</w:t>
      </w:r>
      <w:r>
        <w:rPr>
          <w:rFonts w:eastAsia="宋体" w:cs="Times New Roman"/>
          <w:bCs/>
          <w:szCs w:val="21"/>
        </w:rPr>
        <w:t>)</w:t>
      </w:r>
      <w:r w:rsidR="00F40E11" w:rsidRPr="00A71D2E">
        <w:rPr>
          <w:rFonts w:eastAsia="宋体" w:cs="Times New Roman"/>
          <w:bCs/>
          <w:szCs w:val="21"/>
        </w:rPr>
        <w:tab/>
      </w:r>
      <w:r w:rsidR="00A402BC" w:rsidRPr="00A71D2E">
        <w:rPr>
          <w:rFonts w:eastAsia="宋体" w:cs="Times New Roman" w:hint="eastAsia"/>
          <w:bCs/>
          <w:szCs w:val="21"/>
        </w:rPr>
        <w:t>品牌</w:t>
      </w:r>
      <w:r w:rsidR="007D2277" w:rsidRPr="00A71D2E">
        <w:rPr>
          <w:rFonts w:eastAsia="宋体" w:cs="Times New Roman" w:hint="eastAsia"/>
          <w:bCs/>
          <w:szCs w:val="21"/>
        </w:rPr>
        <w:t>标识</w:t>
      </w:r>
    </w:p>
    <w:p w:rsidR="00A402BC" w:rsidRPr="00A71D2E" w:rsidRDefault="00A402BC" w:rsidP="00F66363">
      <w:pPr>
        <w:ind w:leftChars="342" w:left="718"/>
        <w:jc w:val="both"/>
        <w:rPr>
          <w:rFonts w:eastAsia="宋体" w:cs="Times New Roman"/>
          <w:szCs w:val="21"/>
        </w:rPr>
      </w:pPr>
    </w:p>
    <w:p w:rsidR="00A402BC" w:rsidRPr="00A71D2E" w:rsidRDefault="00A402BC">
      <w:pPr>
        <w:ind w:leftChars="342" w:left="718"/>
        <w:jc w:val="both"/>
        <w:rPr>
          <w:rFonts w:eastAsia="宋体" w:cs="Times New Roman"/>
          <w:szCs w:val="21"/>
        </w:rPr>
      </w:pPr>
      <w:r w:rsidRPr="00A71D2E">
        <w:rPr>
          <w:rFonts w:eastAsia="宋体" w:cs="Times New Roman" w:hint="eastAsia"/>
          <w:szCs w:val="21"/>
        </w:rPr>
        <w:t>本公司与</w:t>
      </w:r>
      <w:proofErr w:type="gramStart"/>
      <w:r w:rsidRPr="00A71D2E">
        <w:rPr>
          <w:rFonts w:eastAsia="宋体" w:cs="Times New Roman" w:hint="eastAsia"/>
          <w:szCs w:val="21"/>
        </w:rPr>
        <w:t>海康威视股份公司</w:t>
      </w:r>
      <w:proofErr w:type="gramEnd"/>
      <w:r w:rsidRPr="00A71D2E">
        <w:rPr>
          <w:rFonts w:eastAsia="宋体" w:cs="Times New Roman" w:hint="eastAsia"/>
          <w:szCs w:val="21"/>
        </w:rPr>
        <w:t>、</w:t>
      </w:r>
      <w:proofErr w:type="spellStart"/>
      <w:r w:rsidRPr="00A71D2E">
        <w:rPr>
          <w:rFonts w:eastAsia="宋体" w:cs="Times New Roman"/>
          <w:szCs w:val="21"/>
        </w:rPr>
        <w:t>Pyronix</w:t>
      </w:r>
      <w:proofErr w:type="spellEnd"/>
      <w:r w:rsidRPr="00A71D2E">
        <w:rPr>
          <w:rFonts w:eastAsia="宋体" w:cs="Times New Roman"/>
          <w:szCs w:val="21"/>
        </w:rPr>
        <w:t xml:space="preserve"> Limited</w:t>
      </w:r>
      <w:r w:rsidRPr="00A71D2E">
        <w:rPr>
          <w:rFonts w:eastAsia="宋体" w:cs="Times New Roman" w:hint="eastAsia"/>
          <w:szCs w:val="21"/>
        </w:rPr>
        <w:t>签订了《品牌标识使用许可合同》，</w:t>
      </w:r>
      <w:proofErr w:type="gramStart"/>
      <w:r w:rsidRPr="00A71D2E">
        <w:rPr>
          <w:rFonts w:eastAsia="宋体" w:cs="Times New Roman" w:hint="eastAsia"/>
          <w:szCs w:val="21"/>
        </w:rPr>
        <w:t>海康威视股份公司</w:t>
      </w:r>
      <w:proofErr w:type="gramEnd"/>
      <w:r w:rsidRPr="00A71D2E">
        <w:rPr>
          <w:rFonts w:eastAsia="宋体" w:cs="Times New Roman" w:hint="eastAsia"/>
          <w:szCs w:val="21"/>
        </w:rPr>
        <w:t>、</w:t>
      </w:r>
      <w:proofErr w:type="spellStart"/>
      <w:r w:rsidRPr="00A71D2E">
        <w:rPr>
          <w:rFonts w:eastAsia="宋体" w:cs="Times New Roman"/>
          <w:szCs w:val="21"/>
        </w:rPr>
        <w:t>Pyronix</w:t>
      </w:r>
      <w:proofErr w:type="spellEnd"/>
      <w:r w:rsidRPr="00A71D2E">
        <w:rPr>
          <w:rFonts w:eastAsia="宋体" w:cs="Times New Roman"/>
          <w:szCs w:val="21"/>
        </w:rPr>
        <w:t xml:space="preserve"> Limited</w:t>
      </w:r>
      <w:r w:rsidRPr="00A71D2E">
        <w:rPr>
          <w:rFonts w:eastAsia="宋体" w:cs="Times New Roman" w:hint="eastAsia"/>
          <w:szCs w:val="21"/>
        </w:rPr>
        <w:t>将其拥有的部分品牌标识</w:t>
      </w:r>
      <w:r w:rsidR="005F14EE">
        <w:rPr>
          <w:rFonts w:eastAsia="宋体" w:cs="Times New Roman"/>
          <w:szCs w:val="21"/>
        </w:rPr>
        <w:t>(</w:t>
      </w:r>
      <w:r w:rsidRPr="00A71D2E">
        <w:rPr>
          <w:rFonts w:eastAsia="宋体" w:cs="Times New Roman" w:hint="eastAsia"/>
          <w:szCs w:val="21"/>
        </w:rPr>
        <w:t>含对应注册商标</w:t>
      </w:r>
      <w:r w:rsidR="005F14EE">
        <w:rPr>
          <w:rFonts w:eastAsia="宋体" w:cs="Times New Roman"/>
          <w:szCs w:val="21"/>
        </w:rPr>
        <w:t>)</w:t>
      </w:r>
      <w:r w:rsidRPr="00A71D2E">
        <w:rPr>
          <w:rFonts w:eastAsia="宋体" w:cs="Times New Roman" w:hint="eastAsia"/>
          <w:szCs w:val="21"/>
        </w:rPr>
        <w:t>无偿许可本公司使用，许可使用期限自</w:t>
      </w:r>
      <w:r w:rsidRPr="00A71D2E">
        <w:rPr>
          <w:rFonts w:eastAsia="宋体" w:cs="Times New Roman"/>
          <w:szCs w:val="21"/>
        </w:rPr>
        <w:t>2021</w:t>
      </w:r>
      <w:r w:rsidRPr="00A71D2E">
        <w:rPr>
          <w:rFonts w:eastAsia="宋体" w:cs="Times New Roman" w:hint="eastAsia"/>
          <w:szCs w:val="21"/>
        </w:rPr>
        <w:t>年</w:t>
      </w:r>
      <w:r w:rsidRPr="00A71D2E">
        <w:rPr>
          <w:rFonts w:eastAsia="宋体" w:cs="Times New Roman"/>
          <w:szCs w:val="21"/>
        </w:rPr>
        <w:t>4</w:t>
      </w:r>
      <w:r w:rsidRPr="00A71D2E">
        <w:rPr>
          <w:rFonts w:eastAsia="宋体" w:cs="Times New Roman" w:hint="eastAsia"/>
          <w:szCs w:val="21"/>
        </w:rPr>
        <w:t>月</w:t>
      </w:r>
      <w:r w:rsidRPr="00A71D2E">
        <w:rPr>
          <w:rFonts w:eastAsia="宋体" w:cs="Times New Roman"/>
          <w:szCs w:val="21"/>
        </w:rPr>
        <w:t>1</w:t>
      </w:r>
      <w:r w:rsidRPr="00A71D2E">
        <w:rPr>
          <w:rFonts w:eastAsia="宋体" w:cs="Times New Roman" w:hint="eastAsia"/>
          <w:szCs w:val="21"/>
        </w:rPr>
        <w:t>日至</w:t>
      </w:r>
      <w:r w:rsidRPr="00A71D2E">
        <w:rPr>
          <w:rFonts w:eastAsia="宋体" w:cs="Times New Roman"/>
          <w:szCs w:val="21"/>
        </w:rPr>
        <w:t>2024</w:t>
      </w:r>
      <w:r w:rsidRPr="00A71D2E">
        <w:rPr>
          <w:rFonts w:eastAsia="宋体" w:cs="Times New Roman" w:hint="eastAsia"/>
          <w:szCs w:val="21"/>
        </w:rPr>
        <w:t>年</w:t>
      </w:r>
      <w:r w:rsidRPr="00A71D2E">
        <w:rPr>
          <w:rFonts w:eastAsia="宋体" w:cs="Times New Roman"/>
          <w:szCs w:val="21"/>
        </w:rPr>
        <w:t>3</w:t>
      </w:r>
      <w:r w:rsidRPr="00A71D2E">
        <w:rPr>
          <w:rFonts w:eastAsia="宋体" w:cs="Times New Roman" w:hint="eastAsia"/>
          <w:szCs w:val="21"/>
        </w:rPr>
        <w:t>月</w:t>
      </w:r>
      <w:r w:rsidRPr="00A71D2E">
        <w:rPr>
          <w:rFonts w:eastAsia="宋体" w:cs="Times New Roman"/>
          <w:szCs w:val="21"/>
        </w:rPr>
        <w:t>31</w:t>
      </w:r>
      <w:r w:rsidRPr="00A71D2E">
        <w:rPr>
          <w:rFonts w:eastAsia="宋体" w:cs="Times New Roman" w:hint="eastAsia"/>
          <w:szCs w:val="21"/>
        </w:rPr>
        <w:t>日。</w:t>
      </w:r>
    </w:p>
    <w:p w:rsidR="00B15E8B" w:rsidRPr="0027505B" w:rsidRDefault="00B15E8B" w:rsidP="0027505B">
      <w:pPr>
        <w:widowControl w:val="0"/>
        <w:ind w:left="720"/>
        <w:jc w:val="both"/>
        <w:rPr>
          <w:rFonts w:eastAsia="宋体" w:cs="Times New Roman"/>
          <w:szCs w:val="21"/>
        </w:rPr>
      </w:pPr>
    </w:p>
    <w:p w:rsidR="00A402BC" w:rsidRPr="00544ABF" w:rsidRDefault="00A402BC" w:rsidP="0027505B">
      <w:pPr>
        <w:pStyle w:val="aff1"/>
        <w:numPr>
          <w:ilvl w:val="0"/>
          <w:numId w:val="47"/>
        </w:numPr>
        <w:ind w:left="1440" w:firstLineChars="0" w:hanging="719"/>
        <w:jc w:val="both"/>
        <w:rPr>
          <w:bCs/>
          <w:szCs w:val="21"/>
        </w:rPr>
      </w:pPr>
      <w:r w:rsidRPr="00544ABF">
        <w:rPr>
          <w:rFonts w:hint="eastAsia"/>
          <w:bCs/>
          <w:szCs w:val="21"/>
        </w:rPr>
        <w:t>其他</w:t>
      </w:r>
    </w:p>
    <w:p w:rsidR="00D16DB0" w:rsidRPr="00D16DB0" w:rsidRDefault="00D16DB0" w:rsidP="00D16DB0">
      <w:pPr>
        <w:pStyle w:val="aff1"/>
        <w:widowControl w:val="0"/>
        <w:ind w:left="718" w:firstLineChars="0" w:firstLine="0"/>
        <w:jc w:val="both"/>
        <w:rPr>
          <w:szCs w:val="21"/>
        </w:rPr>
      </w:pPr>
    </w:p>
    <w:p w:rsidR="00D16DB0" w:rsidRPr="00D16DB0" w:rsidRDefault="00D16DB0" w:rsidP="00D16DB0">
      <w:pPr>
        <w:widowControl w:val="0"/>
        <w:ind w:left="720"/>
        <w:jc w:val="both"/>
        <w:rPr>
          <w:rFonts w:eastAsia="宋体" w:cs="Times New Roman"/>
          <w:szCs w:val="21"/>
        </w:rPr>
      </w:pPr>
      <w:r w:rsidRPr="00D16DB0">
        <w:rPr>
          <w:rFonts w:eastAsia="宋体" w:cs="Times New Roman" w:hint="eastAsia"/>
          <w:szCs w:val="21"/>
        </w:rPr>
        <w:t>2</w:t>
      </w:r>
      <w:r w:rsidRPr="00D16DB0">
        <w:rPr>
          <w:rFonts w:eastAsia="宋体" w:cs="Times New Roman"/>
          <w:szCs w:val="21"/>
        </w:rPr>
        <w:t>022</w:t>
      </w:r>
      <w:r w:rsidRPr="00D16DB0">
        <w:rPr>
          <w:rFonts w:eastAsia="宋体" w:cs="Times New Roman" w:hint="eastAsia"/>
          <w:szCs w:val="21"/>
        </w:rPr>
        <w:t>年度，本</w:t>
      </w:r>
      <w:r w:rsidR="00C264E7">
        <w:rPr>
          <w:rFonts w:eastAsia="宋体" w:cs="Times New Roman" w:hint="eastAsia"/>
          <w:szCs w:val="21"/>
        </w:rPr>
        <w:t>公司</w:t>
      </w:r>
      <w:r w:rsidRPr="00D16DB0">
        <w:rPr>
          <w:rFonts w:eastAsia="宋体" w:cs="Times New Roman" w:hint="eastAsia"/>
          <w:szCs w:val="21"/>
        </w:rPr>
        <w:t>与</w:t>
      </w:r>
      <w:proofErr w:type="gramStart"/>
      <w:r w:rsidRPr="00D16DB0">
        <w:rPr>
          <w:rFonts w:eastAsia="宋体" w:cs="Times New Roman" w:hint="eastAsia"/>
          <w:szCs w:val="21"/>
        </w:rPr>
        <w:t>海康威视股份公司</w:t>
      </w:r>
      <w:proofErr w:type="gramEnd"/>
      <w:r w:rsidRPr="00D16DB0">
        <w:rPr>
          <w:rFonts w:eastAsia="宋体" w:cs="Times New Roman" w:hint="eastAsia"/>
          <w:szCs w:val="21"/>
        </w:rPr>
        <w:t>下属子公司浙江智源消防安全工程有限公司签订消防工程建设合同，浙江智源消防安全工程有限公司为本</w:t>
      </w:r>
      <w:r w:rsidR="00C264E7">
        <w:rPr>
          <w:rFonts w:eastAsia="宋体" w:cs="Times New Roman" w:hint="eastAsia"/>
          <w:szCs w:val="21"/>
        </w:rPr>
        <w:t>公司</w:t>
      </w:r>
      <w:r w:rsidRPr="00D16DB0">
        <w:rPr>
          <w:rFonts w:eastAsia="宋体" w:cs="Times New Roman" w:hint="eastAsia"/>
          <w:szCs w:val="21"/>
        </w:rPr>
        <w:t>提供消防工程建设服务，该项工程不含税总金额为人民币</w:t>
      </w:r>
      <w:r w:rsidR="0071139F" w:rsidRPr="0071139F">
        <w:rPr>
          <w:rFonts w:eastAsia="宋体" w:cs="Times New Roman"/>
          <w:szCs w:val="21"/>
        </w:rPr>
        <w:t>30,092,452.64</w:t>
      </w:r>
      <w:r w:rsidRPr="00D16DB0">
        <w:rPr>
          <w:rFonts w:eastAsia="宋体" w:cs="Times New Roman" w:hint="eastAsia"/>
          <w:szCs w:val="21"/>
        </w:rPr>
        <w:t>元，</w:t>
      </w:r>
      <w:r w:rsidR="00186D99">
        <w:rPr>
          <w:rFonts w:eastAsia="宋体" w:cs="Times New Roman" w:hint="eastAsia"/>
          <w:szCs w:val="21"/>
        </w:rPr>
        <w:t>截至</w:t>
      </w:r>
      <w:r w:rsidR="00186D99">
        <w:rPr>
          <w:rFonts w:eastAsia="宋体" w:cs="Times New Roman" w:hint="eastAsia"/>
          <w:szCs w:val="21"/>
        </w:rPr>
        <w:t>2</w:t>
      </w:r>
      <w:r w:rsidR="00186D99">
        <w:rPr>
          <w:rFonts w:eastAsia="宋体" w:cs="Times New Roman"/>
          <w:szCs w:val="21"/>
        </w:rPr>
        <w:t>023</w:t>
      </w:r>
      <w:r w:rsidR="00186D99">
        <w:rPr>
          <w:rFonts w:eastAsia="宋体" w:cs="Times New Roman" w:hint="eastAsia"/>
          <w:szCs w:val="21"/>
        </w:rPr>
        <w:t>年</w:t>
      </w:r>
      <w:r w:rsidR="00186D99">
        <w:rPr>
          <w:rFonts w:eastAsia="宋体" w:cs="Times New Roman" w:hint="eastAsia"/>
          <w:szCs w:val="21"/>
        </w:rPr>
        <w:t>1</w:t>
      </w:r>
      <w:r w:rsidR="00186D99">
        <w:rPr>
          <w:rFonts w:eastAsia="宋体" w:cs="Times New Roman"/>
          <w:szCs w:val="21"/>
        </w:rPr>
        <w:t>2</w:t>
      </w:r>
      <w:r w:rsidR="00186D99">
        <w:rPr>
          <w:rFonts w:eastAsia="宋体" w:cs="Times New Roman" w:hint="eastAsia"/>
          <w:szCs w:val="21"/>
        </w:rPr>
        <w:t>月</w:t>
      </w:r>
      <w:r w:rsidR="00186D99">
        <w:rPr>
          <w:rFonts w:eastAsia="宋体" w:cs="Times New Roman" w:hint="eastAsia"/>
          <w:szCs w:val="21"/>
        </w:rPr>
        <w:t>3</w:t>
      </w:r>
      <w:r w:rsidR="00186D99">
        <w:rPr>
          <w:rFonts w:eastAsia="宋体" w:cs="Times New Roman"/>
          <w:szCs w:val="21"/>
        </w:rPr>
        <w:t>1</w:t>
      </w:r>
      <w:r w:rsidR="00186D99">
        <w:rPr>
          <w:rFonts w:eastAsia="宋体" w:cs="Times New Roman" w:hint="eastAsia"/>
          <w:szCs w:val="21"/>
        </w:rPr>
        <w:t>日止</w:t>
      </w:r>
      <w:r w:rsidR="009A3D78" w:rsidRPr="009A3D78">
        <w:rPr>
          <w:rFonts w:eastAsia="宋体" w:cs="Times New Roman" w:hint="eastAsia"/>
          <w:szCs w:val="21"/>
        </w:rPr>
        <w:t>，该项工程施工</w:t>
      </w:r>
      <w:r w:rsidR="009A3D78" w:rsidRPr="009A3D78">
        <w:rPr>
          <w:rFonts w:eastAsia="宋体" w:cs="Times New Roman"/>
          <w:szCs w:val="21"/>
        </w:rPr>
        <w:t>累计</w:t>
      </w:r>
      <w:r w:rsidR="009A3D78" w:rsidRPr="009A3D78">
        <w:rPr>
          <w:rFonts w:eastAsia="宋体" w:cs="Times New Roman" w:hint="eastAsia"/>
          <w:szCs w:val="21"/>
        </w:rPr>
        <w:t>结算人民币</w:t>
      </w:r>
      <w:r w:rsidR="009A3D78" w:rsidRPr="009A3D78">
        <w:rPr>
          <w:rFonts w:eastAsia="宋体" w:cs="Times New Roman"/>
          <w:szCs w:val="21"/>
        </w:rPr>
        <w:t>28,745,566.98</w:t>
      </w:r>
      <w:r w:rsidR="009A3D78" w:rsidRPr="009A3D78">
        <w:rPr>
          <w:rFonts w:eastAsia="宋体" w:cs="Times New Roman" w:hint="eastAsia"/>
          <w:szCs w:val="21"/>
        </w:rPr>
        <w:t>元</w:t>
      </w:r>
      <w:r w:rsidRPr="00D16DB0">
        <w:rPr>
          <w:rFonts w:eastAsia="宋体" w:cs="Times New Roman" w:hint="eastAsia"/>
          <w:szCs w:val="21"/>
        </w:rPr>
        <w:t>。</w:t>
      </w:r>
    </w:p>
    <w:p w:rsidR="00D16DB0" w:rsidRPr="00D16DB0" w:rsidRDefault="00D16DB0" w:rsidP="00D16DB0">
      <w:pPr>
        <w:widowControl w:val="0"/>
        <w:ind w:left="720"/>
        <w:jc w:val="both"/>
        <w:rPr>
          <w:rFonts w:eastAsia="宋体" w:cs="Times New Roman"/>
          <w:szCs w:val="21"/>
        </w:rPr>
      </w:pPr>
    </w:p>
    <w:p w:rsidR="00D16DB0" w:rsidRPr="00D16DB0" w:rsidRDefault="00A425BC" w:rsidP="00D16DB0">
      <w:pPr>
        <w:widowControl w:val="0"/>
        <w:ind w:left="720"/>
        <w:jc w:val="both"/>
        <w:rPr>
          <w:rFonts w:eastAsia="宋体" w:cs="Times New Roman"/>
          <w:szCs w:val="21"/>
        </w:rPr>
      </w:pPr>
      <w:r>
        <w:rPr>
          <w:rFonts w:eastAsia="宋体" w:cs="Times New Roman" w:hint="eastAsia"/>
          <w:szCs w:val="21"/>
        </w:rPr>
        <w:t>2</w:t>
      </w:r>
      <w:r>
        <w:rPr>
          <w:rFonts w:eastAsia="宋体" w:cs="Times New Roman"/>
          <w:szCs w:val="21"/>
        </w:rPr>
        <w:t>022</w:t>
      </w:r>
      <w:r w:rsidR="00D16DB0" w:rsidRPr="00D16DB0">
        <w:rPr>
          <w:rFonts w:eastAsia="宋体" w:cs="Times New Roman" w:hint="eastAsia"/>
          <w:szCs w:val="21"/>
        </w:rPr>
        <w:t>年度，本</w:t>
      </w:r>
      <w:r w:rsidR="00C264E7">
        <w:rPr>
          <w:rFonts w:eastAsia="宋体" w:cs="Times New Roman" w:hint="eastAsia"/>
          <w:szCs w:val="21"/>
        </w:rPr>
        <w:t>公司</w:t>
      </w:r>
      <w:r w:rsidR="00D16DB0" w:rsidRPr="00D16DB0">
        <w:rPr>
          <w:rFonts w:eastAsia="宋体" w:cs="Times New Roman" w:hint="eastAsia"/>
          <w:szCs w:val="21"/>
        </w:rPr>
        <w:t>与</w:t>
      </w:r>
      <w:proofErr w:type="gramStart"/>
      <w:r w:rsidR="00D16DB0" w:rsidRPr="00D16DB0">
        <w:rPr>
          <w:rFonts w:eastAsia="宋体" w:cs="Times New Roman" w:hint="eastAsia"/>
          <w:szCs w:val="21"/>
        </w:rPr>
        <w:t>海康威视股份公司</w:t>
      </w:r>
      <w:proofErr w:type="gramEnd"/>
      <w:r w:rsidR="00D16DB0" w:rsidRPr="00D16DB0">
        <w:rPr>
          <w:rFonts w:eastAsia="宋体" w:cs="Times New Roman" w:hint="eastAsia"/>
          <w:szCs w:val="21"/>
        </w:rPr>
        <w:t>下属子公司杭州</w:t>
      </w:r>
      <w:proofErr w:type="gramStart"/>
      <w:r w:rsidR="00D16DB0" w:rsidRPr="00D16DB0">
        <w:rPr>
          <w:rFonts w:eastAsia="宋体" w:cs="Times New Roman" w:hint="eastAsia"/>
          <w:szCs w:val="21"/>
        </w:rPr>
        <w:t>海康威视系统</w:t>
      </w:r>
      <w:proofErr w:type="gramEnd"/>
      <w:r w:rsidR="00D16DB0" w:rsidRPr="00D16DB0">
        <w:rPr>
          <w:rFonts w:eastAsia="宋体" w:cs="Times New Roman" w:hint="eastAsia"/>
          <w:szCs w:val="21"/>
        </w:rPr>
        <w:t>技术有限公司签订智能化工程，杭州</w:t>
      </w:r>
      <w:proofErr w:type="gramStart"/>
      <w:r w:rsidR="00D16DB0" w:rsidRPr="00D16DB0">
        <w:rPr>
          <w:rFonts w:eastAsia="宋体" w:cs="Times New Roman" w:hint="eastAsia"/>
          <w:szCs w:val="21"/>
        </w:rPr>
        <w:t>海康威视系统</w:t>
      </w:r>
      <w:proofErr w:type="gramEnd"/>
      <w:r w:rsidR="00D16DB0" w:rsidRPr="00D16DB0">
        <w:rPr>
          <w:rFonts w:eastAsia="宋体" w:cs="Times New Roman" w:hint="eastAsia"/>
          <w:szCs w:val="21"/>
        </w:rPr>
        <w:t>技术有限公司为本</w:t>
      </w:r>
      <w:r w:rsidR="00C264E7">
        <w:rPr>
          <w:rFonts w:eastAsia="宋体" w:cs="Times New Roman" w:hint="eastAsia"/>
          <w:szCs w:val="21"/>
        </w:rPr>
        <w:t>公司</w:t>
      </w:r>
      <w:r w:rsidR="00D16DB0" w:rsidRPr="00D16DB0">
        <w:rPr>
          <w:rFonts w:eastAsia="宋体" w:cs="Times New Roman" w:hint="eastAsia"/>
          <w:szCs w:val="21"/>
        </w:rPr>
        <w:t>提供地下室及上部结构智能化安装服务，该项工程不含税总金额为人民币</w:t>
      </w:r>
      <w:r w:rsidR="0071139F" w:rsidRPr="0071139F">
        <w:rPr>
          <w:rFonts w:eastAsia="宋体" w:cs="Times New Roman"/>
          <w:szCs w:val="21"/>
        </w:rPr>
        <w:t>26,765,821.57</w:t>
      </w:r>
      <w:r w:rsidR="00D16DB0" w:rsidRPr="00D16DB0">
        <w:rPr>
          <w:rFonts w:eastAsia="宋体" w:cs="Times New Roman" w:hint="eastAsia"/>
          <w:szCs w:val="21"/>
        </w:rPr>
        <w:t>元，</w:t>
      </w:r>
      <w:r w:rsidR="00186D99" w:rsidRPr="00186D99">
        <w:rPr>
          <w:rFonts w:eastAsia="宋体" w:cs="Times New Roman" w:hint="eastAsia"/>
          <w:szCs w:val="21"/>
        </w:rPr>
        <w:t>截至</w:t>
      </w:r>
      <w:r w:rsidR="00186D99" w:rsidRPr="00186D99">
        <w:rPr>
          <w:rFonts w:eastAsia="宋体" w:cs="Times New Roman" w:hint="eastAsia"/>
          <w:szCs w:val="21"/>
        </w:rPr>
        <w:t>2023</w:t>
      </w:r>
      <w:r w:rsidR="00186D99" w:rsidRPr="00186D99">
        <w:rPr>
          <w:rFonts w:eastAsia="宋体" w:cs="Times New Roman" w:hint="eastAsia"/>
          <w:szCs w:val="21"/>
        </w:rPr>
        <w:t>年</w:t>
      </w:r>
      <w:r w:rsidR="00186D99" w:rsidRPr="00186D99">
        <w:rPr>
          <w:rFonts w:eastAsia="宋体" w:cs="Times New Roman" w:hint="eastAsia"/>
          <w:szCs w:val="21"/>
        </w:rPr>
        <w:t>12</w:t>
      </w:r>
      <w:r w:rsidR="00186D99" w:rsidRPr="00186D99">
        <w:rPr>
          <w:rFonts w:eastAsia="宋体" w:cs="Times New Roman" w:hint="eastAsia"/>
          <w:szCs w:val="21"/>
        </w:rPr>
        <w:t>月</w:t>
      </w:r>
      <w:r w:rsidR="00186D99" w:rsidRPr="00186D99">
        <w:rPr>
          <w:rFonts w:eastAsia="宋体" w:cs="Times New Roman" w:hint="eastAsia"/>
          <w:szCs w:val="21"/>
        </w:rPr>
        <w:t>31</w:t>
      </w:r>
      <w:r w:rsidR="00186D99" w:rsidRPr="00186D99">
        <w:rPr>
          <w:rFonts w:eastAsia="宋体" w:cs="Times New Roman" w:hint="eastAsia"/>
          <w:szCs w:val="21"/>
        </w:rPr>
        <w:t>日止</w:t>
      </w:r>
      <w:r w:rsidR="009A3D78" w:rsidRPr="009A3D78">
        <w:rPr>
          <w:rFonts w:eastAsia="宋体" w:cs="Times New Roman" w:hint="eastAsia"/>
          <w:szCs w:val="21"/>
        </w:rPr>
        <w:t>，该项工程施工</w:t>
      </w:r>
      <w:r w:rsidR="009A3D78" w:rsidRPr="009A3D78">
        <w:rPr>
          <w:rFonts w:eastAsia="宋体" w:cs="Times New Roman"/>
          <w:szCs w:val="21"/>
        </w:rPr>
        <w:t>累计</w:t>
      </w:r>
      <w:r w:rsidR="009A3D78" w:rsidRPr="009A3D78">
        <w:rPr>
          <w:rFonts w:eastAsia="宋体" w:cs="Times New Roman" w:hint="eastAsia"/>
          <w:szCs w:val="21"/>
        </w:rPr>
        <w:t>结算人民币</w:t>
      </w:r>
      <w:r w:rsidR="00D16DB0" w:rsidRPr="00D16DB0">
        <w:rPr>
          <w:rFonts w:eastAsia="宋体" w:cs="Times New Roman"/>
          <w:szCs w:val="21"/>
        </w:rPr>
        <w:t>20,663,334.99</w:t>
      </w:r>
      <w:r w:rsidR="00D16DB0" w:rsidRPr="00D16DB0">
        <w:rPr>
          <w:rFonts w:eastAsia="宋体" w:cs="Times New Roman" w:hint="eastAsia"/>
          <w:szCs w:val="21"/>
        </w:rPr>
        <w:t>元。</w:t>
      </w:r>
    </w:p>
    <w:p w:rsidR="00DB0BD0" w:rsidRDefault="00DB0BD0">
      <w:pPr>
        <w:adjustRightInd/>
        <w:snapToGrid/>
        <w:rPr>
          <w:rFonts w:eastAsia="宋体" w:cs="Times New Roman"/>
          <w:szCs w:val="21"/>
        </w:rPr>
      </w:pPr>
      <w:r>
        <w:rPr>
          <w:rFonts w:eastAsia="宋体" w:cs="Times New Roman"/>
          <w:szCs w:val="21"/>
        </w:rPr>
        <w:br w:type="page"/>
      </w:r>
    </w:p>
    <w:p w:rsidR="00DB0BD0" w:rsidRDefault="00DB0BD0" w:rsidP="00DB0BD0">
      <w:pPr>
        <w:rPr>
          <w:rFonts w:eastAsia="宋体" w:cs="Times New Roman"/>
          <w:szCs w:val="21"/>
        </w:rPr>
      </w:pPr>
      <w:r>
        <w:rPr>
          <w:rFonts w:eastAsia="宋体" w:cs="Times New Roman"/>
          <w:b/>
          <w:szCs w:val="21"/>
        </w:rPr>
        <w:t>(</w:t>
      </w:r>
      <w:r w:rsidRPr="00F66363">
        <w:rPr>
          <w:rFonts w:eastAsia="宋体" w:cs="Times New Roman" w:hint="eastAsia"/>
          <w:b/>
          <w:szCs w:val="21"/>
        </w:rPr>
        <w:t>十</w:t>
      </w:r>
      <w:r>
        <w:rPr>
          <w:rFonts w:eastAsia="宋体" w:cs="Times New Roman" w:hint="eastAsia"/>
          <w:b/>
          <w:szCs w:val="21"/>
        </w:rPr>
        <w:t>五</w:t>
      </w:r>
      <w:r>
        <w:rPr>
          <w:rFonts w:eastAsia="宋体" w:cs="Times New Roman"/>
          <w:b/>
          <w:szCs w:val="21"/>
        </w:rPr>
        <w:t>)</w:t>
      </w:r>
      <w:r w:rsidRPr="00F66363">
        <w:rPr>
          <w:rFonts w:eastAsia="宋体" w:cs="Times New Roman"/>
          <w:b/>
          <w:szCs w:val="21"/>
        </w:rPr>
        <w:tab/>
      </w:r>
      <w:r w:rsidRPr="00F66363">
        <w:rPr>
          <w:rFonts w:eastAsia="宋体" w:cs="Times New Roman" w:hint="eastAsia"/>
          <w:b/>
          <w:szCs w:val="21"/>
        </w:rPr>
        <w:t>母公司财务报表主要项目注释</w:t>
      </w:r>
      <w:r w:rsidRPr="00F66363">
        <w:rPr>
          <w:rFonts w:eastAsia="宋体" w:cs="Times New Roman"/>
          <w:szCs w:val="21"/>
        </w:rPr>
        <w:t xml:space="preserve"> - </w:t>
      </w:r>
      <w:r w:rsidRPr="00F66363">
        <w:rPr>
          <w:rFonts w:eastAsia="宋体" w:cs="Times New Roman" w:hint="eastAsia"/>
          <w:szCs w:val="21"/>
        </w:rPr>
        <w:t>续</w:t>
      </w:r>
    </w:p>
    <w:p w:rsidR="00DB0BD0" w:rsidRPr="00F66363" w:rsidRDefault="00DB0BD0" w:rsidP="00DB0BD0">
      <w:pPr>
        <w:rPr>
          <w:rFonts w:eastAsia="宋体" w:cs="Times New Roman"/>
          <w:szCs w:val="21"/>
        </w:rPr>
      </w:pPr>
    </w:p>
    <w:p w:rsidR="00DB0BD0" w:rsidRPr="00616E8D" w:rsidRDefault="00DB0BD0" w:rsidP="00DB0BD0">
      <w:pPr>
        <w:ind w:left="720"/>
        <w:jc w:val="both"/>
        <w:rPr>
          <w:rFonts w:eastAsia="宋体" w:cs="Times New Roman"/>
          <w:b/>
          <w:bCs/>
          <w:szCs w:val="21"/>
        </w:rPr>
      </w:pPr>
      <w:r w:rsidRPr="00616E8D">
        <w:rPr>
          <w:rFonts w:eastAsia="宋体" w:cs="Times New Roman"/>
          <w:b/>
          <w:bCs/>
          <w:szCs w:val="21"/>
        </w:rPr>
        <w:t>6</w:t>
      </w:r>
      <w:r w:rsidRPr="00616E8D">
        <w:rPr>
          <w:rFonts w:eastAsia="宋体" w:cs="Times New Roman" w:hint="eastAsia"/>
          <w:b/>
          <w:bCs/>
          <w:szCs w:val="21"/>
        </w:rPr>
        <w:t>、</w:t>
      </w:r>
      <w:r w:rsidRPr="00616E8D">
        <w:rPr>
          <w:rFonts w:eastAsia="宋体" w:cs="Times New Roman"/>
          <w:b/>
          <w:bCs/>
          <w:szCs w:val="21"/>
        </w:rPr>
        <w:tab/>
      </w:r>
      <w:r w:rsidRPr="00616E8D">
        <w:rPr>
          <w:rFonts w:eastAsia="宋体" w:cs="Times New Roman" w:hint="eastAsia"/>
          <w:b/>
          <w:bCs/>
          <w:szCs w:val="21"/>
        </w:rPr>
        <w:t>关联方交易情况</w:t>
      </w:r>
      <w:r>
        <w:rPr>
          <w:rFonts w:eastAsia="宋体" w:cs="Times New Roman" w:hint="eastAsia"/>
          <w:b/>
          <w:bCs/>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D16DB0" w:rsidRDefault="00D16DB0" w:rsidP="00D16DB0">
      <w:pPr>
        <w:widowControl w:val="0"/>
        <w:ind w:left="720"/>
        <w:jc w:val="both"/>
        <w:rPr>
          <w:rFonts w:eastAsia="宋体" w:cs="Times New Roman"/>
          <w:szCs w:val="21"/>
        </w:rPr>
      </w:pPr>
    </w:p>
    <w:p w:rsidR="00DB0BD0" w:rsidRPr="00BE136A" w:rsidRDefault="00DB0BD0" w:rsidP="00DB0BD0">
      <w:pPr>
        <w:ind w:left="720"/>
        <w:jc w:val="both"/>
        <w:rPr>
          <w:rFonts w:eastAsia="宋体" w:cs="Times New Roman"/>
          <w:szCs w:val="21"/>
        </w:rPr>
      </w:pPr>
      <w:r>
        <w:rPr>
          <w:rFonts w:eastAsia="宋体" w:cs="Times New Roman"/>
          <w:szCs w:val="21"/>
        </w:rPr>
        <w:t>(6)</w:t>
      </w:r>
      <w:r w:rsidRPr="00BE136A">
        <w:rPr>
          <w:rFonts w:eastAsia="宋体" w:cs="Times New Roman"/>
          <w:szCs w:val="21"/>
        </w:rPr>
        <w:tab/>
      </w:r>
      <w:r w:rsidRPr="00BE136A">
        <w:rPr>
          <w:rFonts w:eastAsia="宋体" w:cs="Times New Roman" w:hint="eastAsia"/>
          <w:szCs w:val="21"/>
        </w:rPr>
        <w:t>其他</w:t>
      </w:r>
      <w:r>
        <w:rPr>
          <w:rFonts w:eastAsia="宋体" w:cs="Times New Roman" w:hint="eastAsia"/>
          <w:szCs w:val="21"/>
        </w:rPr>
        <w:t xml:space="preserve"> </w:t>
      </w:r>
      <w:r w:rsidRPr="00F66363">
        <w:rPr>
          <w:rFonts w:eastAsia="宋体" w:cs="Times New Roman"/>
          <w:szCs w:val="28"/>
        </w:rPr>
        <w:t xml:space="preserve">- </w:t>
      </w:r>
      <w:r w:rsidRPr="00F66363">
        <w:rPr>
          <w:rFonts w:eastAsia="宋体" w:cs="Times New Roman" w:hint="eastAsia"/>
          <w:szCs w:val="28"/>
        </w:rPr>
        <w:t>续</w:t>
      </w:r>
    </w:p>
    <w:p w:rsidR="00DB0BD0" w:rsidRPr="00DB0BD0" w:rsidRDefault="00DB0BD0" w:rsidP="00D16DB0">
      <w:pPr>
        <w:widowControl w:val="0"/>
        <w:ind w:left="720"/>
        <w:jc w:val="both"/>
        <w:rPr>
          <w:rFonts w:eastAsia="宋体" w:cs="Times New Roman"/>
          <w:szCs w:val="21"/>
        </w:rPr>
      </w:pPr>
    </w:p>
    <w:p w:rsidR="0049505A" w:rsidRDefault="00D16DB0" w:rsidP="0027505B">
      <w:pPr>
        <w:widowControl w:val="0"/>
        <w:ind w:left="720"/>
        <w:jc w:val="both"/>
        <w:rPr>
          <w:rFonts w:eastAsia="宋体" w:cs="Times New Roman"/>
          <w:bCs/>
          <w:szCs w:val="21"/>
        </w:rPr>
      </w:pPr>
      <w:r w:rsidRPr="00D16DB0">
        <w:rPr>
          <w:rFonts w:eastAsia="宋体" w:cs="Times New Roman" w:hint="eastAsia"/>
          <w:szCs w:val="21"/>
        </w:rPr>
        <w:t>本年度，本</w:t>
      </w:r>
      <w:r w:rsidR="00C264E7">
        <w:rPr>
          <w:rFonts w:eastAsia="宋体" w:cs="Times New Roman" w:hint="eastAsia"/>
          <w:szCs w:val="21"/>
        </w:rPr>
        <w:t>公司</w:t>
      </w:r>
      <w:r w:rsidRPr="00D16DB0">
        <w:rPr>
          <w:rFonts w:eastAsia="宋体" w:cs="Times New Roman" w:hint="eastAsia"/>
          <w:szCs w:val="21"/>
        </w:rPr>
        <w:t>与</w:t>
      </w:r>
      <w:proofErr w:type="gramStart"/>
      <w:r w:rsidRPr="00D16DB0">
        <w:rPr>
          <w:rFonts w:eastAsia="宋体" w:cs="Times New Roman" w:hint="eastAsia"/>
          <w:szCs w:val="21"/>
        </w:rPr>
        <w:t>海康威视股份公司</w:t>
      </w:r>
      <w:proofErr w:type="gramEnd"/>
      <w:r w:rsidRPr="00D16DB0">
        <w:rPr>
          <w:rFonts w:eastAsia="宋体" w:cs="Times New Roman" w:hint="eastAsia"/>
          <w:szCs w:val="21"/>
        </w:rPr>
        <w:t>下属子公司杭州</w:t>
      </w:r>
      <w:proofErr w:type="gramStart"/>
      <w:r w:rsidRPr="00D16DB0">
        <w:rPr>
          <w:rFonts w:eastAsia="宋体" w:cs="Times New Roman" w:hint="eastAsia"/>
          <w:szCs w:val="21"/>
        </w:rPr>
        <w:t>海康威视系统</w:t>
      </w:r>
      <w:proofErr w:type="gramEnd"/>
      <w:r w:rsidRPr="00D16DB0">
        <w:rPr>
          <w:rFonts w:eastAsia="宋体" w:cs="Times New Roman" w:hint="eastAsia"/>
          <w:szCs w:val="21"/>
        </w:rPr>
        <w:t>技术有限公司签订数据中心工程合同，杭州</w:t>
      </w:r>
      <w:proofErr w:type="gramStart"/>
      <w:r w:rsidRPr="00D16DB0">
        <w:rPr>
          <w:rFonts w:eastAsia="宋体" w:cs="Times New Roman" w:hint="eastAsia"/>
          <w:szCs w:val="21"/>
        </w:rPr>
        <w:t>海康威视系统</w:t>
      </w:r>
      <w:proofErr w:type="gramEnd"/>
      <w:r w:rsidRPr="00D16DB0">
        <w:rPr>
          <w:rFonts w:eastAsia="宋体" w:cs="Times New Roman" w:hint="eastAsia"/>
          <w:szCs w:val="21"/>
        </w:rPr>
        <w:t>技术有限公司为本</w:t>
      </w:r>
      <w:r w:rsidR="00C264E7">
        <w:rPr>
          <w:rFonts w:eastAsia="宋体" w:cs="Times New Roman" w:hint="eastAsia"/>
          <w:szCs w:val="21"/>
        </w:rPr>
        <w:t>公司</w:t>
      </w:r>
      <w:r w:rsidRPr="00D16DB0">
        <w:rPr>
          <w:rFonts w:eastAsia="宋体" w:cs="Times New Roman" w:hint="eastAsia"/>
          <w:szCs w:val="21"/>
        </w:rPr>
        <w:t>提供数据中心配套系统、信息化应用系统、机房工程以及基础设施安装等服务，该项工程不含税总金额为人民币</w:t>
      </w:r>
      <w:r w:rsidR="0071139F" w:rsidRPr="0071139F">
        <w:rPr>
          <w:rFonts w:eastAsia="宋体" w:cs="Times New Roman"/>
          <w:szCs w:val="21"/>
        </w:rPr>
        <w:t>9,263,426.15</w:t>
      </w:r>
      <w:r w:rsidRPr="00D16DB0">
        <w:rPr>
          <w:rFonts w:eastAsia="宋体" w:cs="Times New Roman" w:hint="eastAsia"/>
          <w:szCs w:val="21"/>
        </w:rPr>
        <w:t>元，</w:t>
      </w:r>
      <w:r w:rsidR="00186D99" w:rsidRPr="00186D99">
        <w:rPr>
          <w:rFonts w:eastAsia="宋体" w:cs="Times New Roman" w:hint="eastAsia"/>
          <w:szCs w:val="21"/>
        </w:rPr>
        <w:t>截至</w:t>
      </w:r>
      <w:r w:rsidR="00186D99" w:rsidRPr="00186D99">
        <w:rPr>
          <w:rFonts w:eastAsia="宋体" w:cs="Times New Roman" w:hint="eastAsia"/>
          <w:szCs w:val="21"/>
        </w:rPr>
        <w:t>2023</w:t>
      </w:r>
      <w:r w:rsidR="00186D99" w:rsidRPr="00186D99">
        <w:rPr>
          <w:rFonts w:eastAsia="宋体" w:cs="Times New Roman" w:hint="eastAsia"/>
          <w:szCs w:val="21"/>
        </w:rPr>
        <w:t>年</w:t>
      </w:r>
      <w:r w:rsidR="00186D99" w:rsidRPr="00186D99">
        <w:rPr>
          <w:rFonts w:eastAsia="宋体" w:cs="Times New Roman" w:hint="eastAsia"/>
          <w:szCs w:val="21"/>
        </w:rPr>
        <w:t>12</w:t>
      </w:r>
      <w:r w:rsidR="00186D99" w:rsidRPr="00186D99">
        <w:rPr>
          <w:rFonts w:eastAsia="宋体" w:cs="Times New Roman" w:hint="eastAsia"/>
          <w:szCs w:val="21"/>
        </w:rPr>
        <w:t>月</w:t>
      </w:r>
      <w:r w:rsidR="00186D99" w:rsidRPr="00186D99">
        <w:rPr>
          <w:rFonts w:eastAsia="宋体" w:cs="Times New Roman" w:hint="eastAsia"/>
          <w:szCs w:val="21"/>
        </w:rPr>
        <w:t>31</w:t>
      </w:r>
      <w:r w:rsidR="00186D99" w:rsidRPr="00186D99">
        <w:rPr>
          <w:rFonts w:eastAsia="宋体" w:cs="Times New Roman" w:hint="eastAsia"/>
          <w:szCs w:val="21"/>
        </w:rPr>
        <w:t>日止</w:t>
      </w:r>
      <w:r w:rsidR="009A3D78" w:rsidRPr="009A3D78">
        <w:rPr>
          <w:rFonts w:eastAsia="宋体" w:cs="Times New Roman" w:hint="eastAsia"/>
          <w:szCs w:val="21"/>
        </w:rPr>
        <w:t>，该项工程施工</w:t>
      </w:r>
      <w:r w:rsidR="009A3D78" w:rsidRPr="009A3D78">
        <w:rPr>
          <w:rFonts w:eastAsia="宋体" w:cs="Times New Roman"/>
          <w:szCs w:val="21"/>
        </w:rPr>
        <w:t>累计</w:t>
      </w:r>
      <w:r w:rsidR="009A3D78" w:rsidRPr="009A3D78">
        <w:rPr>
          <w:rFonts w:eastAsia="宋体" w:cs="Times New Roman" w:hint="eastAsia"/>
          <w:szCs w:val="21"/>
        </w:rPr>
        <w:t>结算人民币</w:t>
      </w:r>
      <w:r w:rsidRPr="00D16DB0">
        <w:rPr>
          <w:rFonts w:eastAsia="宋体" w:cs="Times New Roman"/>
          <w:szCs w:val="21"/>
        </w:rPr>
        <w:t>6,057,087.16</w:t>
      </w:r>
      <w:r w:rsidRPr="00D16DB0">
        <w:rPr>
          <w:rFonts w:eastAsia="宋体" w:cs="Times New Roman" w:hint="eastAsia"/>
          <w:szCs w:val="21"/>
        </w:rPr>
        <w:t>元。</w:t>
      </w:r>
    </w:p>
    <w:p w:rsidR="008B1150" w:rsidRPr="00A71D2E" w:rsidRDefault="008B1150" w:rsidP="00F66363">
      <w:pPr>
        <w:ind w:left="720"/>
        <w:jc w:val="both"/>
        <w:rPr>
          <w:rFonts w:eastAsia="宋体" w:cs="Times New Roman"/>
          <w:bCs/>
          <w:szCs w:val="21"/>
        </w:rPr>
      </w:pPr>
    </w:p>
    <w:p w:rsidR="00A402BC" w:rsidRPr="00A71D2E" w:rsidRDefault="00A402BC" w:rsidP="00F66363">
      <w:pPr>
        <w:pStyle w:val="2"/>
        <w:numPr>
          <w:ilvl w:val="2"/>
          <w:numId w:val="1"/>
        </w:numPr>
        <w:adjustRightInd w:val="0"/>
        <w:snapToGrid w:val="0"/>
        <w:ind w:left="1440" w:hanging="720"/>
        <w:contextualSpacing w:val="0"/>
        <w:rPr>
          <w:rFonts w:ascii="Times New Roman" w:eastAsia="宋体" w:hAnsi="Times New Roman" w:cs="Times New Roman"/>
          <w:szCs w:val="21"/>
        </w:rPr>
      </w:pPr>
      <w:r w:rsidRPr="00A71D2E">
        <w:rPr>
          <w:rFonts w:ascii="Times New Roman" w:eastAsia="宋体" w:hAnsi="Times New Roman" w:cs="Times New Roman" w:hint="eastAsia"/>
          <w:szCs w:val="21"/>
        </w:rPr>
        <w:t>关联方应收应付款项</w:t>
      </w:r>
    </w:p>
    <w:p w:rsidR="00A402BC" w:rsidRPr="00A71D2E" w:rsidRDefault="00A402BC">
      <w:pPr>
        <w:ind w:left="720"/>
        <w:jc w:val="both"/>
        <w:rPr>
          <w:rFonts w:eastAsia="宋体" w:cs="Times New Roman"/>
          <w:szCs w:val="21"/>
        </w:rPr>
      </w:pPr>
    </w:p>
    <w:p w:rsidR="00A402BC" w:rsidRPr="00A71D2E" w:rsidRDefault="005F14EE">
      <w:pPr>
        <w:ind w:left="1440" w:hanging="720"/>
        <w:jc w:val="both"/>
        <w:rPr>
          <w:rFonts w:eastAsia="宋体" w:cs="Times New Roman"/>
          <w:bCs/>
          <w:szCs w:val="21"/>
        </w:rPr>
      </w:pPr>
      <w:r>
        <w:rPr>
          <w:rFonts w:eastAsia="宋体" w:cs="Times New Roman"/>
          <w:bCs/>
          <w:szCs w:val="21"/>
        </w:rPr>
        <w:t>(</w:t>
      </w:r>
      <w:r w:rsidR="00A402BC" w:rsidRPr="00A71D2E">
        <w:rPr>
          <w:rFonts w:eastAsia="宋体" w:cs="Times New Roman"/>
          <w:bCs/>
          <w:szCs w:val="21"/>
        </w:rPr>
        <w:t>1</w:t>
      </w:r>
      <w:r>
        <w:rPr>
          <w:rFonts w:eastAsia="宋体" w:cs="Times New Roman"/>
          <w:bCs/>
          <w:szCs w:val="21"/>
        </w:rPr>
        <w:t>)</w:t>
      </w:r>
      <w:r w:rsidR="00A402BC" w:rsidRPr="00A71D2E">
        <w:rPr>
          <w:rFonts w:eastAsia="宋体" w:cs="Times New Roman"/>
          <w:bCs/>
          <w:szCs w:val="21"/>
        </w:rPr>
        <w:tab/>
      </w:r>
      <w:r w:rsidR="00A402BC" w:rsidRPr="00A71D2E">
        <w:rPr>
          <w:rFonts w:eastAsia="宋体" w:cs="Times New Roman" w:hint="eastAsia"/>
          <w:bCs/>
          <w:szCs w:val="21"/>
        </w:rPr>
        <w:t>应收项目</w:t>
      </w:r>
    </w:p>
    <w:p w:rsidR="00A402BC" w:rsidRPr="00A71D2E" w:rsidRDefault="00A402BC">
      <w:pPr>
        <w:ind w:left="5040"/>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945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15"/>
        <w:gridCol w:w="2662"/>
        <w:gridCol w:w="1395"/>
        <w:gridCol w:w="1395"/>
        <w:gridCol w:w="1395"/>
        <w:gridCol w:w="1396"/>
      </w:tblGrid>
      <w:tr w:rsidR="003415F9" w:rsidRPr="00314AB5" w:rsidTr="0027505B">
        <w:trPr>
          <w:trHeight w:val="20"/>
        </w:trPr>
        <w:tc>
          <w:tcPr>
            <w:tcW w:w="1215" w:type="dxa"/>
            <w:vMerge w:val="restart"/>
            <w:shd w:val="clear" w:color="auto" w:fill="D9D9D9" w:themeFill="background1" w:themeFillShade="D9"/>
            <w:tcMar>
              <w:top w:w="0" w:type="dxa"/>
              <w:left w:w="108" w:type="dxa"/>
              <w:bottom w:w="0" w:type="dxa"/>
              <w:right w:w="108" w:type="dxa"/>
            </w:tcMar>
            <w:vAlign w:val="center"/>
            <w:hideMark/>
          </w:tcPr>
          <w:p w:rsidR="00A402BC" w:rsidRPr="0027505B" w:rsidRDefault="00A402BC">
            <w:pPr>
              <w:jc w:val="center"/>
              <w:rPr>
                <w:rFonts w:eastAsia="宋体" w:cs="Times New Roman"/>
                <w:sz w:val="16"/>
                <w:szCs w:val="16"/>
              </w:rPr>
            </w:pPr>
            <w:r w:rsidRPr="0027505B">
              <w:rPr>
                <w:rFonts w:eastAsia="宋体" w:cs="Times New Roman" w:hint="eastAsia"/>
                <w:sz w:val="16"/>
                <w:szCs w:val="16"/>
              </w:rPr>
              <w:t>项目名称</w:t>
            </w:r>
          </w:p>
        </w:tc>
        <w:tc>
          <w:tcPr>
            <w:tcW w:w="2662" w:type="dxa"/>
            <w:vMerge w:val="restart"/>
            <w:shd w:val="clear" w:color="auto" w:fill="D9D9D9" w:themeFill="background1" w:themeFillShade="D9"/>
            <w:tcMar>
              <w:top w:w="0" w:type="dxa"/>
              <w:left w:w="108" w:type="dxa"/>
              <w:bottom w:w="0" w:type="dxa"/>
              <w:right w:w="108" w:type="dxa"/>
            </w:tcMar>
            <w:vAlign w:val="center"/>
            <w:hideMark/>
          </w:tcPr>
          <w:p w:rsidR="00A402BC" w:rsidRPr="0027505B" w:rsidRDefault="00A402BC">
            <w:pPr>
              <w:jc w:val="center"/>
              <w:rPr>
                <w:rFonts w:eastAsia="宋体" w:cs="Times New Roman"/>
                <w:sz w:val="16"/>
                <w:szCs w:val="16"/>
              </w:rPr>
            </w:pPr>
            <w:r w:rsidRPr="0027505B">
              <w:rPr>
                <w:rFonts w:eastAsia="宋体" w:cs="Times New Roman" w:hint="eastAsia"/>
                <w:sz w:val="16"/>
                <w:szCs w:val="16"/>
              </w:rPr>
              <w:t>关联方</w:t>
            </w:r>
          </w:p>
        </w:tc>
        <w:tc>
          <w:tcPr>
            <w:tcW w:w="2790" w:type="dxa"/>
            <w:gridSpan w:val="2"/>
            <w:shd w:val="clear" w:color="auto" w:fill="D9D9D9" w:themeFill="background1" w:themeFillShade="D9"/>
            <w:vAlign w:val="center"/>
          </w:tcPr>
          <w:p w:rsidR="00A402BC" w:rsidRPr="0027505B" w:rsidRDefault="004A736A" w:rsidP="0027505B">
            <w:pPr>
              <w:ind w:left="46" w:right="90"/>
              <w:jc w:val="center"/>
              <w:rPr>
                <w:rFonts w:eastAsia="宋体" w:cs="Times New Roman"/>
                <w:sz w:val="16"/>
                <w:szCs w:val="16"/>
              </w:rPr>
            </w:pPr>
            <w:r w:rsidRPr="0027505B">
              <w:rPr>
                <w:rFonts w:eastAsia="宋体" w:cs="Times New Roman" w:hint="eastAsia"/>
                <w:sz w:val="16"/>
                <w:szCs w:val="16"/>
              </w:rPr>
              <w:t>年末余额</w:t>
            </w:r>
          </w:p>
        </w:tc>
        <w:tc>
          <w:tcPr>
            <w:tcW w:w="2791" w:type="dxa"/>
            <w:gridSpan w:val="2"/>
            <w:shd w:val="clear" w:color="auto" w:fill="D9D9D9" w:themeFill="background1" w:themeFillShade="D9"/>
            <w:tcMar>
              <w:top w:w="0" w:type="dxa"/>
              <w:left w:w="108" w:type="dxa"/>
              <w:bottom w:w="0" w:type="dxa"/>
              <w:right w:w="108" w:type="dxa"/>
            </w:tcMar>
            <w:vAlign w:val="center"/>
            <w:hideMark/>
          </w:tcPr>
          <w:p w:rsidR="00A402BC" w:rsidRPr="0027505B" w:rsidRDefault="004A736A" w:rsidP="0027505B">
            <w:pPr>
              <w:ind w:left="46" w:right="90"/>
              <w:jc w:val="center"/>
              <w:rPr>
                <w:rFonts w:eastAsia="宋体" w:cs="Times New Roman"/>
                <w:sz w:val="16"/>
                <w:szCs w:val="16"/>
              </w:rPr>
            </w:pPr>
            <w:r w:rsidRPr="0027505B">
              <w:rPr>
                <w:rFonts w:eastAsia="宋体" w:cs="Times New Roman" w:hint="eastAsia"/>
                <w:sz w:val="16"/>
                <w:szCs w:val="16"/>
              </w:rPr>
              <w:t>年初余额</w:t>
            </w:r>
          </w:p>
        </w:tc>
      </w:tr>
      <w:tr w:rsidR="00A402BC" w:rsidRPr="00314AB5" w:rsidTr="0027505B">
        <w:trPr>
          <w:trHeight w:val="20"/>
        </w:trPr>
        <w:tc>
          <w:tcPr>
            <w:tcW w:w="1215" w:type="dxa"/>
            <w:vMerge/>
            <w:shd w:val="clear" w:color="auto" w:fill="D9D9D9" w:themeFill="background1" w:themeFillShade="D9"/>
            <w:tcMar>
              <w:top w:w="0" w:type="dxa"/>
              <w:left w:w="108" w:type="dxa"/>
              <w:bottom w:w="0" w:type="dxa"/>
              <w:right w:w="108" w:type="dxa"/>
            </w:tcMar>
            <w:vAlign w:val="center"/>
          </w:tcPr>
          <w:p w:rsidR="00A402BC" w:rsidRPr="0027505B" w:rsidRDefault="00A402BC">
            <w:pPr>
              <w:jc w:val="center"/>
              <w:rPr>
                <w:rFonts w:eastAsia="宋体" w:cs="Times New Roman"/>
                <w:sz w:val="16"/>
                <w:szCs w:val="16"/>
              </w:rPr>
            </w:pPr>
          </w:p>
        </w:tc>
        <w:tc>
          <w:tcPr>
            <w:tcW w:w="2662" w:type="dxa"/>
            <w:vMerge/>
            <w:shd w:val="clear" w:color="auto" w:fill="D9D9D9" w:themeFill="background1" w:themeFillShade="D9"/>
            <w:tcMar>
              <w:top w:w="0" w:type="dxa"/>
              <w:left w:w="108" w:type="dxa"/>
              <w:bottom w:w="0" w:type="dxa"/>
              <w:right w:w="108" w:type="dxa"/>
            </w:tcMar>
            <w:vAlign w:val="center"/>
          </w:tcPr>
          <w:p w:rsidR="00A402BC" w:rsidRPr="0027505B" w:rsidRDefault="00A402BC">
            <w:pPr>
              <w:jc w:val="center"/>
              <w:rPr>
                <w:rFonts w:eastAsia="宋体" w:cs="Times New Roman"/>
                <w:sz w:val="16"/>
                <w:szCs w:val="16"/>
              </w:rPr>
            </w:pPr>
          </w:p>
        </w:tc>
        <w:tc>
          <w:tcPr>
            <w:tcW w:w="1395" w:type="dxa"/>
            <w:shd w:val="clear" w:color="auto" w:fill="D9D9D9" w:themeFill="background1" w:themeFillShade="D9"/>
            <w:vAlign w:val="center"/>
          </w:tcPr>
          <w:p w:rsidR="00A402BC" w:rsidRPr="0027505B" w:rsidRDefault="00A402BC" w:rsidP="0027505B">
            <w:pPr>
              <w:ind w:left="46" w:right="90"/>
              <w:jc w:val="center"/>
              <w:rPr>
                <w:rFonts w:eastAsia="宋体" w:cs="Times New Roman"/>
                <w:sz w:val="16"/>
                <w:szCs w:val="16"/>
              </w:rPr>
            </w:pPr>
            <w:r w:rsidRPr="0027505B">
              <w:rPr>
                <w:rFonts w:eastAsia="宋体" w:cs="Times New Roman" w:hint="eastAsia"/>
                <w:sz w:val="16"/>
                <w:szCs w:val="16"/>
              </w:rPr>
              <w:t>账面余额</w:t>
            </w:r>
          </w:p>
        </w:tc>
        <w:tc>
          <w:tcPr>
            <w:tcW w:w="1395" w:type="dxa"/>
            <w:shd w:val="clear" w:color="auto" w:fill="D9D9D9" w:themeFill="background1" w:themeFillShade="D9"/>
            <w:vAlign w:val="center"/>
          </w:tcPr>
          <w:p w:rsidR="00A402BC" w:rsidRPr="0027505B" w:rsidRDefault="004103DD" w:rsidP="0027505B">
            <w:pPr>
              <w:ind w:left="46" w:right="90"/>
              <w:jc w:val="center"/>
              <w:rPr>
                <w:rFonts w:eastAsia="宋体" w:cs="Times New Roman"/>
                <w:sz w:val="16"/>
                <w:szCs w:val="16"/>
              </w:rPr>
            </w:pPr>
            <w:r w:rsidRPr="0027505B">
              <w:rPr>
                <w:rFonts w:eastAsia="宋体" w:cs="Times New Roman" w:hint="eastAsia"/>
                <w:sz w:val="16"/>
                <w:szCs w:val="16"/>
              </w:rPr>
              <w:t>坏账</w:t>
            </w:r>
            <w:r w:rsidR="00A402BC" w:rsidRPr="0027505B">
              <w:rPr>
                <w:rFonts w:eastAsia="宋体" w:cs="Times New Roman" w:hint="eastAsia"/>
                <w:sz w:val="16"/>
                <w:szCs w:val="16"/>
              </w:rPr>
              <w:t>准备</w:t>
            </w:r>
          </w:p>
        </w:tc>
        <w:tc>
          <w:tcPr>
            <w:tcW w:w="1395" w:type="dxa"/>
            <w:shd w:val="clear" w:color="auto" w:fill="D9D9D9" w:themeFill="background1" w:themeFillShade="D9"/>
            <w:tcMar>
              <w:top w:w="0" w:type="dxa"/>
              <w:left w:w="108" w:type="dxa"/>
              <w:bottom w:w="0" w:type="dxa"/>
              <w:right w:w="108" w:type="dxa"/>
            </w:tcMar>
            <w:vAlign w:val="center"/>
          </w:tcPr>
          <w:p w:rsidR="00A402BC" w:rsidRPr="0027505B" w:rsidRDefault="00A402BC" w:rsidP="0027505B">
            <w:pPr>
              <w:ind w:left="46"/>
              <w:jc w:val="center"/>
              <w:rPr>
                <w:rFonts w:eastAsia="宋体" w:cs="Times New Roman"/>
                <w:sz w:val="16"/>
                <w:szCs w:val="16"/>
              </w:rPr>
            </w:pPr>
            <w:r w:rsidRPr="0027505B">
              <w:rPr>
                <w:rFonts w:eastAsia="宋体" w:cs="Times New Roman" w:hint="eastAsia"/>
                <w:sz w:val="16"/>
                <w:szCs w:val="16"/>
              </w:rPr>
              <w:t>账面余额</w:t>
            </w:r>
          </w:p>
        </w:tc>
        <w:tc>
          <w:tcPr>
            <w:tcW w:w="1396" w:type="dxa"/>
            <w:shd w:val="clear" w:color="auto" w:fill="D9D9D9" w:themeFill="background1" w:themeFillShade="D9"/>
            <w:vAlign w:val="center"/>
          </w:tcPr>
          <w:p w:rsidR="00A402BC" w:rsidRPr="0027505B" w:rsidRDefault="004103DD" w:rsidP="0027505B">
            <w:pPr>
              <w:ind w:left="46" w:right="90"/>
              <w:jc w:val="center"/>
              <w:rPr>
                <w:rFonts w:eastAsia="宋体" w:cs="Times New Roman"/>
                <w:sz w:val="16"/>
                <w:szCs w:val="16"/>
              </w:rPr>
            </w:pPr>
            <w:r w:rsidRPr="0027505B">
              <w:rPr>
                <w:rFonts w:eastAsia="宋体" w:cs="Times New Roman" w:hint="eastAsia"/>
                <w:sz w:val="16"/>
                <w:szCs w:val="16"/>
              </w:rPr>
              <w:t>坏账</w:t>
            </w:r>
            <w:r w:rsidR="00A402BC" w:rsidRPr="0027505B">
              <w:rPr>
                <w:rFonts w:eastAsia="宋体" w:cs="Times New Roman" w:hint="eastAsia"/>
                <w:sz w:val="16"/>
                <w:szCs w:val="16"/>
              </w:rPr>
              <w:t>准备</w:t>
            </w:r>
          </w:p>
        </w:tc>
      </w:tr>
      <w:tr w:rsidR="00CC210C" w:rsidRPr="00314AB5" w:rsidTr="0027505B">
        <w:trPr>
          <w:trHeight w:val="20"/>
        </w:trPr>
        <w:tc>
          <w:tcPr>
            <w:tcW w:w="1215" w:type="dxa"/>
            <w:tcMar>
              <w:top w:w="0" w:type="dxa"/>
              <w:left w:w="108" w:type="dxa"/>
              <w:bottom w:w="0" w:type="dxa"/>
              <w:right w:w="108" w:type="dxa"/>
            </w:tcMar>
            <w:vAlign w:val="center"/>
          </w:tcPr>
          <w:p w:rsidR="00CC210C" w:rsidRPr="0027505B" w:rsidRDefault="00CC210C" w:rsidP="00CC210C">
            <w:pPr>
              <w:jc w:val="both"/>
              <w:rPr>
                <w:rFonts w:eastAsia="宋体" w:cs="Times New Roman"/>
                <w:sz w:val="16"/>
                <w:szCs w:val="16"/>
              </w:rPr>
            </w:pPr>
            <w:r w:rsidRPr="0027505B">
              <w:rPr>
                <w:rFonts w:eastAsia="宋体" w:cs="Times New Roman" w:hint="eastAsia"/>
                <w:sz w:val="16"/>
                <w:szCs w:val="16"/>
              </w:rPr>
              <w:t>应收账款</w:t>
            </w:r>
          </w:p>
        </w:tc>
        <w:tc>
          <w:tcPr>
            <w:tcW w:w="2662" w:type="dxa"/>
            <w:tcMar>
              <w:top w:w="0" w:type="dxa"/>
              <w:left w:w="108" w:type="dxa"/>
              <w:bottom w:w="0" w:type="dxa"/>
              <w:right w:w="108" w:type="dxa"/>
            </w:tcMar>
            <w:vAlign w:val="center"/>
          </w:tcPr>
          <w:p w:rsidR="00CC210C" w:rsidRPr="0027505B" w:rsidRDefault="00CC210C" w:rsidP="00CC210C">
            <w:pPr>
              <w:jc w:val="center"/>
              <w:rPr>
                <w:rFonts w:eastAsia="宋体" w:cs="Times New Roman"/>
                <w:sz w:val="16"/>
                <w:szCs w:val="16"/>
              </w:rPr>
            </w:pPr>
            <w:proofErr w:type="gramStart"/>
            <w:r w:rsidRPr="0027505B">
              <w:rPr>
                <w:rFonts w:eastAsia="宋体" w:cs="Times New Roman" w:hint="eastAsia"/>
                <w:sz w:val="16"/>
                <w:szCs w:val="16"/>
              </w:rPr>
              <w:t>海康威视股份公司</w:t>
            </w:r>
            <w:proofErr w:type="gramEnd"/>
            <w:r w:rsidRPr="0027505B">
              <w:rPr>
                <w:rFonts w:eastAsia="宋体" w:cs="Times New Roman" w:hint="eastAsia"/>
                <w:sz w:val="16"/>
                <w:szCs w:val="16"/>
              </w:rPr>
              <w:t>及其下属企业</w:t>
            </w:r>
          </w:p>
        </w:tc>
        <w:tc>
          <w:tcPr>
            <w:tcW w:w="1395" w:type="dxa"/>
            <w:vAlign w:val="center"/>
          </w:tcPr>
          <w:p w:rsidR="00CC210C" w:rsidRPr="0027505B" w:rsidRDefault="00D16DB0" w:rsidP="0027505B">
            <w:pPr>
              <w:ind w:left="46" w:right="90"/>
              <w:jc w:val="right"/>
              <w:rPr>
                <w:rFonts w:eastAsia="宋体" w:cs="Times New Roman"/>
                <w:sz w:val="16"/>
                <w:szCs w:val="16"/>
              </w:rPr>
            </w:pPr>
            <w:r w:rsidRPr="0027505B">
              <w:rPr>
                <w:rFonts w:eastAsia="宋体" w:cs="Times New Roman"/>
                <w:sz w:val="16"/>
                <w:szCs w:val="16"/>
              </w:rPr>
              <w:t>201,025,399.18</w:t>
            </w:r>
          </w:p>
        </w:tc>
        <w:tc>
          <w:tcPr>
            <w:tcW w:w="1395" w:type="dxa"/>
            <w:vAlign w:val="center"/>
          </w:tcPr>
          <w:p w:rsidR="00CC210C" w:rsidRPr="0027505B" w:rsidRDefault="00D16DB0" w:rsidP="0027505B">
            <w:pPr>
              <w:ind w:left="46" w:right="90"/>
              <w:jc w:val="right"/>
              <w:rPr>
                <w:rFonts w:eastAsia="宋体" w:cs="Times New Roman"/>
                <w:sz w:val="16"/>
                <w:szCs w:val="16"/>
              </w:rPr>
            </w:pPr>
            <w:r w:rsidRPr="0027505B">
              <w:rPr>
                <w:rFonts w:eastAsia="宋体" w:cs="Times New Roman"/>
                <w:sz w:val="16"/>
                <w:szCs w:val="16"/>
              </w:rPr>
              <w:t>3,266,269.51</w:t>
            </w:r>
          </w:p>
        </w:tc>
        <w:tc>
          <w:tcPr>
            <w:tcW w:w="1395" w:type="dxa"/>
            <w:tcMar>
              <w:top w:w="0" w:type="dxa"/>
              <w:left w:w="108" w:type="dxa"/>
              <w:bottom w:w="0" w:type="dxa"/>
              <w:right w:w="108" w:type="dxa"/>
            </w:tcMar>
            <w:vAlign w:val="center"/>
          </w:tcPr>
          <w:p w:rsidR="00CC210C" w:rsidRPr="0027505B" w:rsidRDefault="00CC210C" w:rsidP="0027505B">
            <w:pPr>
              <w:ind w:left="46"/>
              <w:jc w:val="right"/>
              <w:rPr>
                <w:rFonts w:eastAsia="宋体" w:cs="Times New Roman"/>
                <w:sz w:val="16"/>
                <w:szCs w:val="16"/>
              </w:rPr>
            </w:pPr>
            <w:r w:rsidRPr="0027505B">
              <w:rPr>
                <w:rFonts w:eastAsia="宋体" w:cs="Times New Roman"/>
                <w:sz w:val="16"/>
                <w:szCs w:val="16"/>
              </w:rPr>
              <w:t>161,658,273.28</w:t>
            </w:r>
          </w:p>
        </w:tc>
        <w:tc>
          <w:tcPr>
            <w:tcW w:w="1396" w:type="dxa"/>
            <w:vAlign w:val="center"/>
          </w:tcPr>
          <w:p w:rsidR="00CC210C" w:rsidRPr="0027505B" w:rsidRDefault="00CC210C" w:rsidP="0027505B">
            <w:pPr>
              <w:ind w:left="46" w:right="90"/>
              <w:jc w:val="right"/>
              <w:rPr>
                <w:rFonts w:eastAsia="宋体" w:cs="Times New Roman"/>
                <w:color w:val="000000"/>
                <w:sz w:val="16"/>
                <w:szCs w:val="16"/>
              </w:rPr>
            </w:pPr>
            <w:r w:rsidRPr="0027505B">
              <w:rPr>
                <w:rFonts w:eastAsia="宋体" w:cs="Times New Roman"/>
                <w:sz w:val="16"/>
                <w:szCs w:val="16"/>
              </w:rPr>
              <w:t>191,248.71</w:t>
            </w:r>
          </w:p>
        </w:tc>
      </w:tr>
      <w:tr w:rsidR="00CC210C" w:rsidRPr="00314AB5" w:rsidTr="0027505B">
        <w:trPr>
          <w:trHeight w:val="20"/>
        </w:trPr>
        <w:tc>
          <w:tcPr>
            <w:tcW w:w="1215" w:type="dxa"/>
            <w:tcMar>
              <w:top w:w="0" w:type="dxa"/>
              <w:left w:w="108" w:type="dxa"/>
              <w:bottom w:w="0" w:type="dxa"/>
              <w:right w:w="108" w:type="dxa"/>
            </w:tcMar>
            <w:vAlign w:val="center"/>
          </w:tcPr>
          <w:p w:rsidR="00CC210C" w:rsidRPr="0027505B" w:rsidRDefault="00CC210C" w:rsidP="00CC210C">
            <w:pPr>
              <w:jc w:val="both"/>
              <w:rPr>
                <w:rFonts w:eastAsia="宋体" w:cs="Times New Roman"/>
                <w:sz w:val="16"/>
                <w:szCs w:val="16"/>
              </w:rPr>
            </w:pPr>
            <w:r w:rsidRPr="0027505B">
              <w:rPr>
                <w:rFonts w:eastAsia="宋体" w:cs="Times New Roman" w:hint="eastAsia"/>
                <w:sz w:val="16"/>
                <w:szCs w:val="16"/>
              </w:rPr>
              <w:t>应收账款</w:t>
            </w:r>
          </w:p>
        </w:tc>
        <w:tc>
          <w:tcPr>
            <w:tcW w:w="2662" w:type="dxa"/>
            <w:tcMar>
              <w:top w:w="0" w:type="dxa"/>
              <w:left w:w="108" w:type="dxa"/>
              <w:bottom w:w="0" w:type="dxa"/>
              <w:right w:w="108" w:type="dxa"/>
            </w:tcMar>
            <w:vAlign w:val="center"/>
          </w:tcPr>
          <w:p w:rsidR="00CC210C" w:rsidRPr="0027505B" w:rsidRDefault="00CC210C" w:rsidP="00CC210C">
            <w:pPr>
              <w:jc w:val="center"/>
              <w:rPr>
                <w:rFonts w:eastAsia="宋体" w:cs="Times New Roman"/>
                <w:sz w:val="16"/>
                <w:szCs w:val="16"/>
              </w:rPr>
            </w:pPr>
            <w:r w:rsidRPr="0027505B">
              <w:rPr>
                <w:rFonts w:eastAsia="宋体" w:cs="Times New Roman" w:hint="eastAsia"/>
                <w:sz w:val="16"/>
                <w:szCs w:val="16"/>
              </w:rPr>
              <w:t>本公司下属子公司</w:t>
            </w:r>
          </w:p>
        </w:tc>
        <w:tc>
          <w:tcPr>
            <w:tcW w:w="1395" w:type="dxa"/>
            <w:vAlign w:val="center"/>
          </w:tcPr>
          <w:p w:rsidR="00CC210C" w:rsidRPr="0027505B" w:rsidRDefault="00D913B5" w:rsidP="0027505B">
            <w:pPr>
              <w:ind w:left="46" w:right="90"/>
              <w:jc w:val="right"/>
              <w:rPr>
                <w:rFonts w:eastAsia="宋体" w:cs="Times New Roman"/>
                <w:sz w:val="16"/>
                <w:szCs w:val="16"/>
              </w:rPr>
            </w:pPr>
            <w:r w:rsidRPr="0027505B">
              <w:rPr>
                <w:rFonts w:eastAsia="宋体" w:cs="Times New Roman"/>
                <w:sz w:val="16"/>
                <w:szCs w:val="16"/>
              </w:rPr>
              <w:t>204,602,372.31</w:t>
            </w:r>
          </w:p>
        </w:tc>
        <w:tc>
          <w:tcPr>
            <w:tcW w:w="1395" w:type="dxa"/>
            <w:vAlign w:val="center"/>
          </w:tcPr>
          <w:p w:rsidR="00CC210C" w:rsidRPr="0027505B" w:rsidRDefault="00D16DB0" w:rsidP="0027505B">
            <w:pPr>
              <w:ind w:left="46" w:right="90"/>
              <w:jc w:val="right"/>
              <w:rPr>
                <w:rFonts w:eastAsia="宋体" w:cs="Times New Roman"/>
                <w:sz w:val="16"/>
                <w:szCs w:val="16"/>
              </w:rPr>
            </w:pPr>
            <w:r w:rsidRPr="0027505B">
              <w:rPr>
                <w:rFonts w:eastAsia="宋体" w:cs="Times New Roman"/>
                <w:sz w:val="16"/>
                <w:szCs w:val="16"/>
              </w:rPr>
              <w:t>-    </w:t>
            </w:r>
          </w:p>
        </w:tc>
        <w:tc>
          <w:tcPr>
            <w:tcW w:w="1395" w:type="dxa"/>
            <w:tcMar>
              <w:top w:w="0" w:type="dxa"/>
              <w:left w:w="108" w:type="dxa"/>
              <w:bottom w:w="0" w:type="dxa"/>
              <w:right w:w="108" w:type="dxa"/>
            </w:tcMar>
            <w:vAlign w:val="center"/>
          </w:tcPr>
          <w:p w:rsidR="00CC210C" w:rsidRPr="0027505B" w:rsidDel="0061595C" w:rsidRDefault="00CC210C" w:rsidP="0027505B">
            <w:pPr>
              <w:ind w:left="46"/>
              <w:jc w:val="right"/>
              <w:rPr>
                <w:rFonts w:eastAsia="宋体" w:cs="Times New Roman"/>
                <w:sz w:val="16"/>
                <w:szCs w:val="16"/>
              </w:rPr>
            </w:pPr>
            <w:r w:rsidRPr="0027505B">
              <w:rPr>
                <w:rFonts w:eastAsia="宋体" w:cs="Times New Roman"/>
                <w:sz w:val="16"/>
                <w:szCs w:val="16"/>
              </w:rPr>
              <w:t>258,867,018.17</w:t>
            </w:r>
          </w:p>
        </w:tc>
        <w:tc>
          <w:tcPr>
            <w:tcW w:w="1396" w:type="dxa"/>
            <w:vAlign w:val="center"/>
          </w:tcPr>
          <w:p w:rsidR="00CC210C" w:rsidRPr="0027505B" w:rsidDel="0061595C" w:rsidRDefault="00CC210C" w:rsidP="0027505B">
            <w:pPr>
              <w:ind w:left="46" w:right="90"/>
              <w:jc w:val="right"/>
              <w:rPr>
                <w:rFonts w:eastAsia="宋体" w:cs="Times New Roman"/>
                <w:color w:val="000000"/>
                <w:sz w:val="16"/>
                <w:szCs w:val="16"/>
              </w:rPr>
            </w:pPr>
            <w:r w:rsidRPr="0027505B">
              <w:rPr>
                <w:rFonts w:eastAsia="宋体" w:cs="Times New Roman"/>
                <w:color w:val="000000"/>
                <w:sz w:val="16"/>
                <w:szCs w:val="16"/>
              </w:rPr>
              <w:t>-    </w:t>
            </w:r>
          </w:p>
        </w:tc>
      </w:tr>
      <w:tr w:rsidR="00CC210C" w:rsidRPr="00314AB5" w:rsidTr="0027505B">
        <w:trPr>
          <w:trHeight w:val="20"/>
        </w:trPr>
        <w:tc>
          <w:tcPr>
            <w:tcW w:w="1215" w:type="dxa"/>
            <w:shd w:val="clear" w:color="auto" w:fill="D9D9D9" w:themeFill="background1" w:themeFillShade="D9"/>
            <w:tcMar>
              <w:top w:w="0" w:type="dxa"/>
              <w:left w:w="108" w:type="dxa"/>
              <w:bottom w:w="0" w:type="dxa"/>
              <w:right w:w="108" w:type="dxa"/>
            </w:tcMar>
            <w:vAlign w:val="center"/>
          </w:tcPr>
          <w:p w:rsidR="00CC210C" w:rsidRPr="0027505B" w:rsidRDefault="00CC210C" w:rsidP="00CC210C">
            <w:pPr>
              <w:jc w:val="both"/>
              <w:rPr>
                <w:rFonts w:eastAsia="宋体" w:cs="Times New Roman"/>
                <w:sz w:val="16"/>
                <w:szCs w:val="16"/>
              </w:rPr>
            </w:pPr>
            <w:r w:rsidRPr="0027505B">
              <w:rPr>
                <w:rFonts w:eastAsia="宋体" w:cs="Times New Roman" w:hint="eastAsia"/>
                <w:sz w:val="16"/>
                <w:szCs w:val="16"/>
              </w:rPr>
              <w:t>合计</w:t>
            </w:r>
          </w:p>
        </w:tc>
        <w:tc>
          <w:tcPr>
            <w:tcW w:w="2662" w:type="dxa"/>
            <w:shd w:val="clear" w:color="auto" w:fill="FFFFFF" w:themeFill="background1"/>
            <w:tcMar>
              <w:top w:w="0" w:type="dxa"/>
              <w:left w:w="108" w:type="dxa"/>
              <w:bottom w:w="0" w:type="dxa"/>
              <w:right w:w="108" w:type="dxa"/>
            </w:tcMar>
            <w:vAlign w:val="center"/>
          </w:tcPr>
          <w:p w:rsidR="00CC210C" w:rsidRPr="0027505B" w:rsidRDefault="00CC210C" w:rsidP="00CC210C">
            <w:pPr>
              <w:jc w:val="center"/>
              <w:rPr>
                <w:rFonts w:eastAsia="宋体" w:cs="Times New Roman"/>
                <w:sz w:val="16"/>
                <w:szCs w:val="16"/>
              </w:rPr>
            </w:pPr>
          </w:p>
        </w:tc>
        <w:tc>
          <w:tcPr>
            <w:tcW w:w="1395" w:type="dxa"/>
            <w:shd w:val="clear" w:color="auto" w:fill="FFFFFF" w:themeFill="background1"/>
            <w:vAlign w:val="center"/>
          </w:tcPr>
          <w:p w:rsidR="00CC210C" w:rsidRPr="0027505B" w:rsidRDefault="00D913B5" w:rsidP="0027505B">
            <w:pPr>
              <w:ind w:left="46" w:right="90"/>
              <w:jc w:val="right"/>
              <w:rPr>
                <w:rFonts w:eastAsia="宋体" w:cs="Times New Roman"/>
                <w:sz w:val="16"/>
                <w:szCs w:val="16"/>
              </w:rPr>
            </w:pPr>
            <w:r w:rsidRPr="0027505B">
              <w:rPr>
                <w:rFonts w:eastAsia="宋体" w:cs="Times New Roman"/>
                <w:sz w:val="16"/>
                <w:szCs w:val="16"/>
              </w:rPr>
              <w:t>405,627,771.49</w:t>
            </w:r>
          </w:p>
        </w:tc>
        <w:tc>
          <w:tcPr>
            <w:tcW w:w="1395" w:type="dxa"/>
            <w:shd w:val="clear" w:color="auto" w:fill="FFFFFF" w:themeFill="background1"/>
            <w:vAlign w:val="center"/>
          </w:tcPr>
          <w:p w:rsidR="00CC210C" w:rsidRPr="0027505B" w:rsidRDefault="00D16DB0" w:rsidP="0027505B">
            <w:pPr>
              <w:ind w:left="46" w:right="90"/>
              <w:jc w:val="right"/>
              <w:rPr>
                <w:rFonts w:eastAsia="宋体" w:cs="Times New Roman"/>
                <w:sz w:val="16"/>
                <w:szCs w:val="16"/>
              </w:rPr>
            </w:pPr>
            <w:r w:rsidRPr="0027505B">
              <w:rPr>
                <w:rFonts w:eastAsia="宋体" w:cs="Times New Roman"/>
                <w:sz w:val="16"/>
                <w:szCs w:val="16"/>
              </w:rPr>
              <w:t>3,266,269.51</w:t>
            </w:r>
          </w:p>
        </w:tc>
        <w:tc>
          <w:tcPr>
            <w:tcW w:w="1395" w:type="dxa"/>
            <w:shd w:val="clear" w:color="auto" w:fill="FFFFFF" w:themeFill="background1"/>
            <w:tcMar>
              <w:top w:w="0" w:type="dxa"/>
              <w:left w:w="108" w:type="dxa"/>
              <w:bottom w:w="0" w:type="dxa"/>
              <w:right w:w="108" w:type="dxa"/>
            </w:tcMar>
            <w:vAlign w:val="center"/>
          </w:tcPr>
          <w:p w:rsidR="00CC210C" w:rsidRPr="0027505B" w:rsidRDefault="00CC210C" w:rsidP="0027505B">
            <w:pPr>
              <w:ind w:left="46"/>
              <w:jc w:val="right"/>
              <w:rPr>
                <w:rFonts w:eastAsia="宋体" w:cs="Times New Roman"/>
                <w:sz w:val="16"/>
                <w:szCs w:val="16"/>
              </w:rPr>
            </w:pPr>
            <w:r w:rsidRPr="0027505B">
              <w:rPr>
                <w:rFonts w:eastAsia="宋体" w:cs="Times New Roman"/>
                <w:sz w:val="16"/>
                <w:szCs w:val="16"/>
              </w:rPr>
              <w:t>420,525,291.45</w:t>
            </w:r>
          </w:p>
        </w:tc>
        <w:tc>
          <w:tcPr>
            <w:tcW w:w="1396" w:type="dxa"/>
            <w:shd w:val="clear" w:color="auto" w:fill="FFFFFF" w:themeFill="background1"/>
            <w:vAlign w:val="center"/>
          </w:tcPr>
          <w:p w:rsidR="00CC210C" w:rsidRPr="0027505B" w:rsidRDefault="00CC210C" w:rsidP="0027505B">
            <w:pPr>
              <w:ind w:left="46" w:right="90"/>
              <w:jc w:val="right"/>
              <w:rPr>
                <w:rFonts w:eastAsia="宋体" w:cs="Times New Roman"/>
                <w:color w:val="000000"/>
                <w:sz w:val="16"/>
                <w:szCs w:val="16"/>
              </w:rPr>
            </w:pPr>
            <w:r w:rsidRPr="0027505B">
              <w:rPr>
                <w:rFonts w:eastAsia="宋体" w:cs="Times New Roman"/>
                <w:sz w:val="16"/>
                <w:szCs w:val="16"/>
              </w:rPr>
              <w:t>191,248.71</w:t>
            </w:r>
          </w:p>
        </w:tc>
      </w:tr>
      <w:tr w:rsidR="00CC210C" w:rsidRPr="00314AB5" w:rsidTr="0027505B">
        <w:trPr>
          <w:trHeight w:val="20"/>
        </w:trPr>
        <w:tc>
          <w:tcPr>
            <w:tcW w:w="1215" w:type="dxa"/>
            <w:tcMar>
              <w:top w:w="0" w:type="dxa"/>
              <w:left w:w="108" w:type="dxa"/>
              <w:bottom w:w="0" w:type="dxa"/>
              <w:right w:w="108" w:type="dxa"/>
            </w:tcMar>
            <w:vAlign w:val="center"/>
          </w:tcPr>
          <w:p w:rsidR="00CC210C" w:rsidRPr="0027505B" w:rsidRDefault="00CC210C" w:rsidP="00CC210C">
            <w:pPr>
              <w:jc w:val="both"/>
              <w:rPr>
                <w:rFonts w:eastAsia="宋体" w:cs="Times New Roman"/>
                <w:sz w:val="16"/>
                <w:szCs w:val="16"/>
              </w:rPr>
            </w:pPr>
            <w:r w:rsidRPr="0027505B">
              <w:rPr>
                <w:rFonts w:eastAsia="宋体" w:cs="Times New Roman" w:hint="eastAsia"/>
                <w:sz w:val="16"/>
                <w:szCs w:val="16"/>
              </w:rPr>
              <w:t>其他应收款</w:t>
            </w:r>
          </w:p>
        </w:tc>
        <w:tc>
          <w:tcPr>
            <w:tcW w:w="2662" w:type="dxa"/>
            <w:tcMar>
              <w:top w:w="0" w:type="dxa"/>
              <w:left w:w="108" w:type="dxa"/>
              <w:bottom w:w="0" w:type="dxa"/>
              <w:right w:w="108" w:type="dxa"/>
            </w:tcMar>
            <w:vAlign w:val="center"/>
          </w:tcPr>
          <w:p w:rsidR="00CC210C" w:rsidRPr="0027505B" w:rsidRDefault="00CC210C" w:rsidP="00CC210C">
            <w:pPr>
              <w:jc w:val="center"/>
              <w:rPr>
                <w:rFonts w:eastAsia="宋体" w:cs="Times New Roman"/>
                <w:sz w:val="16"/>
                <w:szCs w:val="16"/>
              </w:rPr>
            </w:pPr>
            <w:r w:rsidRPr="0027505B">
              <w:rPr>
                <w:rFonts w:eastAsia="宋体" w:cs="Times New Roman" w:hint="eastAsia"/>
                <w:sz w:val="16"/>
                <w:szCs w:val="16"/>
              </w:rPr>
              <w:t>本公司下属子公司</w:t>
            </w:r>
          </w:p>
        </w:tc>
        <w:tc>
          <w:tcPr>
            <w:tcW w:w="1395" w:type="dxa"/>
            <w:vAlign w:val="center"/>
          </w:tcPr>
          <w:p w:rsidR="00CC210C" w:rsidRPr="0027505B" w:rsidRDefault="000A5506" w:rsidP="0027505B">
            <w:pPr>
              <w:ind w:left="46" w:right="90"/>
              <w:jc w:val="right"/>
              <w:rPr>
                <w:rFonts w:eastAsia="宋体" w:cs="Times New Roman"/>
                <w:sz w:val="16"/>
                <w:szCs w:val="16"/>
              </w:rPr>
            </w:pPr>
            <w:r w:rsidRPr="0027505B">
              <w:rPr>
                <w:rFonts w:eastAsia="宋体" w:cs="Times New Roman"/>
                <w:sz w:val="16"/>
                <w:szCs w:val="16"/>
              </w:rPr>
              <w:t>1,807,213,392.27</w:t>
            </w:r>
          </w:p>
        </w:tc>
        <w:tc>
          <w:tcPr>
            <w:tcW w:w="1395" w:type="dxa"/>
            <w:vAlign w:val="center"/>
          </w:tcPr>
          <w:p w:rsidR="00CC210C" w:rsidRPr="0027505B" w:rsidRDefault="000A5506" w:rsidP="0027505B">
            <w:pPr>
              <w:ind w:left="46" w:right="90"/>
              <w:jc w:val="right"/>
              <w:rPr>
                <w:rFonts w:eastAsia="宋体" w:cs="Times New Roman"/>
                <w:sz w:val="16"/>
                <w:szCs w:val="16"/>
              </w:rPr>
            </w:pPr>
            <w:r w:rsidRPr="0027505B">
              <w:rPr>
                <w:rFonts w:eastAsia="宋体" w:cs="Times New Roman"/>
                <w:sz w:val="16"/>
                <w:szCs w:val="16"/>
              </w:rPr>
              <w:t>-    </w:t>
            </w:r>
          </w:p>
        </w:tc>
        <w:tc>
          <w:tcPr>
            <w:tcW w:w="1395" w:type="dxa"/>
            <w:tcMar>
              <w:top w:w="0" w:type="dxa"/>
              <w:left w:w="108" w:type="dxa"/>
              <w:bottom w:w="0" w:type="dxa"/>
              <w:right w:w="108" w:type="dxa"/>
            </w:tcMar>
            <w:vAlign w:val="center"/>
          </w:tcPr>
          <w:p w:rsidR="00CC210C" w:rsidRPr="0027505B" w:rsidRDefault="00CC210C" w:rsidP="0027505B">
            <w:pPr>
              <w:ind w:left="46"/>
              <w:jc w:val="right"/>
              <w:rPr>
                <w:rFonts w:eastAsia="宋体" w:cs="Times New Roman"/>
                <w:sz w:val="16"/>
                <w:szCs w:val="16"/>
              </w:rPr>
            </w:pPr>
            <w:r w:rsidRPr="0027505B">
              <w:rPr>
                <w:rFonts w:eastAsia="宋体" w:cs="Times New Roman"/>
                <w:sz w:val="16"/>
                <w:szCs w:val="16"/>
              </w:rPr>
              <w:t>36,294,491.99</w:t>
            </w:r>
          </w:p>
        </w:tc>
        <w:tc>
          <w:tcPr>
            <w:tcW w:w="1396" w:type="dxa"/>
            <w:vAlign w:val="center"/>
          </w:tcPr>
          <w:p w:rsidR="00CC210C" w:rsidRPr="0027505B" w:rsidDel="0061595C" w:rsidRDefault="00CC210C" w:rsidP="0027505B">
            <w:pPr>
              <w:ind w:left="46" w:right="90"/>
              <w:jc w:val="right"/>
              <w:rPr>
                <w:rFonts w:eastAsia="宋体" w:cs="Times New Roman"/>
                <w:color w:val="000000"/>
                <w:sz w:val="16"/>
                <w:szCs w:val="16"/>
              </w:rPr>
            </w:pPr>
            <w:r w:rsidRPr="0027505B">
              <w:rPr>
                <w:rFonts w:eastAsia="宋体" w:cs="Times New Roman"/>
                <w:color w:val="000000"/>
                <w:sz w:val="16"/>
                <w:szCs w:val="16"/>
              </w:rPr>
              <w:t>-    </w:t>
            </w:r>
          </w:p>
        </w:tc>
      </w:tr>
      <w:tr w:rsidR="00CC210C" w:rsidRPr="00314AB5" w:rsidTr="0027505B">
        <w:trPr>
          <w:trHeight w:val="20"/>
        </w:trPr>
        <w:tc>
          <w:tcPr>
            <w:tcW w:w="1215" w:type="dxa"/>
            <w:tcMar>
              <w:top w:w="0" w:type="dxa"/>
              <w:left w:w="108" w:type="dxa"/>
              <w:bottom w:w="0" w:type="dxa"/>
              <w:right w:w="108" w:type="dxa"/>
            </w:tcMar>
            <w:vAlign w:val="center"/>
          </w:tcPr>
          <w:p w:rsidR="00CC210C" w:rsidRPr="0027505B" w:rsidRDefault="00CC210C" w:rsidP="00CC210C">
            <w:pPr>
              <w:jc w:val="both"/>
              <w:rPr>
                <w:rFonts w:eastAsia="宋体" w:cs="Times New Roman"/>
                <w:sz w:val="16"/>
                <w:szCs w:val="16"/>
              </w:rPr>
            </w:pPr>
            <w:r w:rsidRPr="0027505B">
              <w:rPr>
                <w:rFonts w:eastAsia="宋体" w:cs="Times New Roman" w:hint="eastAsia"/>
                <w:sz w:val="16"/>
                <w:szCs w:val="16"/>
              </w:rPr>
              <w:t>应收股利</w:t>
            </w:r>
          </w:p>
        </w:tc>
        <w:tc>
          <w:tcPr>
            <w:tcW w:w="2662" w:type="dxa"/>
            <w:tcMar>
              <w:top w:w="0" w:type="dxa"/>
              <w:left w:w="108" w:type="dxa"/>
              <w:bottom w:w="0" w:type="dxa"/>
              <w:right w:w="108" w:type="dxa"/>
            </w:tcMar>
            <w:vAlign w:val="center"/>
          </w:tcPr>
          <w:p w:rsidR="00CC210C" w:rsidRPr="0027505B" w:rsidRDefault="00CC210C" w:rsidP="00CC210C">
            <w:pPr>
              <w:jc w:val="center"/>
              <w:rPr>
                <w:rFonts w:eastAsia="宋体" w:cs="Times New Roman"/>
                <w:sz w:val="16"/>
                <w:szCs w:val="16"/>
              </w:rPr>
            </w:pPr>
            <w:r w:rsidRPr="0027505B">
              <w:rPr>
                <w:rFonts w:eastAsia="宋体" w:cs="Times New Roman" w:hint="eastAsia"/>
                <w:sz w:val="16"/>
                <w:szCs w:val="16"/>
              </w:rPr>
              <w:t>本公司下属子公司</w:t>
            </w:r>
          </w:p>
        </w:tc>
        <w:tc>
          <w:tcPr>
            <w:tcW w:w="1395" w:type="dxa"/>
            <w:vAlign w:val="center"/>
          </w:tcPr>
          <w:p w:rsidR="00CC210C" w:rsidRPr="0027505B" w:rsidRDefault="000A5506" w:rsidP="0027505B">
            <w:pPr>
              <w:ind w:left="46" w:right="90"/>
              <w:jc w:val="right"/>
              <w:rPr>
                <w:rFonts w:eastAsia="宋体" w:cs="Times New Roman"/>
                <w:sz w:val="16"/>
                <w:szCs w:val="16"/>
              </w:rPr>
            </w:pPr>
            <w:r w:rsidRPr="0027505B">
              <w:rPr>
                <w:rFonts w:eastAsia="宋体" w:cs="Times New Roman"/>
                <w:sz w:val="16"/>
                <w:szCs w:val="16"/>
              </w:rPr>
              <w:t>650,000,000.00</w:t>
            </w:r>
          </w:p>
        </w:tc>
        <w:tc>
          <w:tcPr>
            <w:tcW w:w="1395" w:type="dxa"/>
            <w:vAlign w:val="center"/>
          </w:tcPr>
          <w:p w:rsidR="00CC210C" w:rsidRPr="0027505B" w:rsidRDefault="000A5506" w:rsidP="0027505B">
            <w:pPr>
              <w:ind w:left="46" w:right="90"/>
              <w:jc w:val="right"/>
              <w:rPr>
                <w:rFonts w:eastAsia="宋体" w:cs="Times New Roman"/>
                <w:sz w:val="16"/>
                <w:szCs w:val="16"/>
              </w:rPr>
            </w:pPr>
            <w:r w:rsidRPr="0027505B">
              <w:rPr>
                <w:rFonts w:eastAsia="宋体" w:cs="Times New Roman"/>
                <w:sz w:val="16"/>
                <w:szCs w:val="16"/>
              </w:rPr>
              <w:t>-    </w:t>
            </w:r>
          </w:p>
        </w:tc>
        <w:tc>
          <w:tcPr>
            <w:tcW w:w="1395" w:type="dxa"/>
            <w:tcMar>
              <w:top w:w="0" w:type="dxa"/>
              <w:left w:w="108" w:type="dxa"/>
              <w:bottom w:w="0" w:type="dxa"/>
              <w:right w:w="108" w:type="dxa"/>
            </w:tcMar>
            <w:vAlign w:val="center"/>
          </w:tcPr>
          <w:p w:rsidR="00CC210C" w:rsidRPr="0027505B" w:rsidRDefault="00CC210C" w:rsidP="0027505B">
            <w:pPr>
              <w:ind w:left="46"/>
              <w:jc w:val="right"/>
              <w:rPr>
                <w:rFonts w:eastAsia="宋体" w:cs="Times New Roman"/>
                <w:color w:val="000000"/>
                <w:sz w:val="16"/>
                <w:szCs w:val="16"/>
              </w:rPr>
            </w:pPr>
            <w:r w:rsidRPr="0027505B">
              <w:rPr>
                <w:rFonts w:eastAsia="宋体" w:cs="Times New Roman"/>
                <w:sz w:val="16"/>
                <w:szCs w:val="16"/>
              </w:rPr>
              <w:t>300,000,000.00</w:t>
            </w:r>
          </w:p>
        </w:tc>
        <w:tc>
          <w:tcPr>
            <w:tcW w:w="1396" w:type="dxa"/>
            <w:vAlign w:val="center"/>
          </w:tcPr>
          <w:p w:rsidR="00CC210C" w:rsidRPr="0027505B" w:rsidRDefault="00CC210C" w:rsidP="0027505B">
            <w:pPr>
              <w:ind w:left="46" w:right="90"/>
              <w:jc w:val="right"/>
              <w:rPr>
                <w:rFonts w:eastAsia="宋体" w:cs="Times New Roman"/>
                <w:color w:val="000000"/>
                <w:sz w:val="16"/>
                <w:szCs w:val="16"/>
              </w:rPr>
            </w:pPr>
            <w:r w:rsidRPr="0027505B">
              <w:rPr>
                <w:rFonts w:eastAsia="宋体" w:cs="Times New Roman"/>
                <w:color w:val="000000"/>
                <w:sz w:val="16"/>
                <w:szCs w:val="16"/>
              </w:rPr>
              <w:t>-    </w:t>
            </w:r>
          </w:p>
        </w:tc>
      </w:tr>
      <w:tr w:rsidR="00CC210C" w:rsidRPr="00314AB5" w:rsidTr="0027505B">
        <w:trPr>
          <w:trHeight w:val="20"/>
        </w:trPr>
        <w:tc>
          <w:tcPr>
            <w:tcW w:w="1215" w:type="dxa"/>
            <w:shd w:val="clear" w:color="auto" w:fill="D9D9D9" w:themeFill="background1" w:themeFillShade="D9"/>
            <w:tcMar>
              <w:top w:w="0" w:type="dxa"/>
              <w:left w:w="108" w:type="dxa"/>
              <w:bottom w:w="0" w:type="dxa"/>
              <w:right w:w="108" w:type="dxa"/>
            </w:tcMar>
            <w:vAlign w:val="center"/>
            <w:hideMark/>
          </w:tcPr>
          <w:p w:rsidR="00CC210C" w:rsidRPr="0027505B" w:rsidRDefault="00CC210C" w:rsidP="00CC210C">
            <w:pPr>
              <w:rPr>
                <w:rFonts w:eastAsia="宋体" w:cs="Times New Roman"/>
                <w:sz w:val="16"/>
                <w:szCs w:val="16"/>
              </w:rPr>
            </w:pPr>
            <w:r w:rsidRPr="0027505B">
              <w:rPr>
                <w:rFonts w:eastAsia="宋体" w:cs="Times New Roman" w:hint="eastAsia"/>
                <w:bCs/>
                <w:sz w:val="16"/>
                <w:szCs w:val="16"/>
              </w:rPr>
              <w:t>合计</w:t>
            </w:r>
          </w:p>
        </w:tc>
        <w:tc>
          <w:tcPr>
            <w:tcW w:w="2662" w:type="dxa"/>
            <w:shd w:val="clear" w:color="auto" w:fill="FFFFFF" w:themeFill="background1"/>
            <w:tcMar>
              <w:top w:w="0" w:type="dxa"/>
              <w:left w:w="108" w:type="dxa"/>
              <w:bottom w:w="0" w:type="dxa"/>
              <w:right w:w="108" w:type="dxa"/>
            </w:tcMar>
            <w:vAlign w:val="center"/>
          </w:tcPr>
          <w:p w:rsidR="00CC210C" w:rsidRPr="0027505B" w:rsidRDefault="00CC210C" w:rsidP="00CC210C">
            <w:pPr>
              <w:rPr>
                <w:rFonts w:eastAsia="宋体" w:cs="Times New Roman"/>
                <w:sz w:val="16"/>
                <w:szCs w:val="16"/>
              </w:rPr>
            </w:pPr>
          </w:p>
        </w:tc>
        <w:tc>
          <w:tcPr>
            <w:tcW w:w="1395" w:type="dxa"/>
            <w:shd w:val="clear" w:color="auto" w:fill="FFFFFF" w:themeFill="background1"/>
            <w:vAlign w:val="center"/>
          </w:tcPr>
          <w:p w:rsidR="00CC210C" w:rsidRPr="0027505B" w:rsidRDefault="000A5506" w:rsidP="0027505B">
            <w:pPr>
              <w:ind w:left="46" w:right="90"/>
              <w:jc w:val="right"/>
              <w:rPr>
                <w:rFonts w:eastAsia="宋体" w:cs="Times New Roman"/>
                <w:sz w:val="16"/>
                <w:szCs w:val="16"/>
              </w:rPr>
            </w:pPr>
            <w:r w:rsidRPr="0027505B">
              <w:rPr>
                <w:rFonts w:eastAsia="宋体" w:cs="Times New Roman"/>
                <w:sz w:val="16"/>
                <w:szCs w:val="16"/>
              </w:rPr>
              <w:t>2,457,213,392.27</w:t>
            </w:r>
          </w:p>
        </w:tc>
        <w:tc>
          <w:tcPr>
            <w:tcW w:w="1395" w:type="dxa"/>
            <w:shd w:val="clear" w:color="auto" w:fill="FFFFFF" w:themeFill="background1"/>
            <w:vAlign w:val="center"/>
          </w:tcPr>
          <w:p w:rsidR="00CC210C" w:rsidRPr="0027505B" w:rsidRDefault="000A5506" w:rsidP="0027505B">
            <w:pPr>
              <w:ind w:left="46" w:right="90"/>
              <w:jc w:val="right"/>
              <w:rPr>
                <w:rFonts w:eastAsia="宋体" w:cs="Times New Roman"/>
                <w:sz w:val="16"/>
                <w:szCs w:val="16"/>
              </w:rPr>
            </w:pPr>
            <w:r w:rsidRPr="0027505B">
              <w:rPr>
                <w:rFonts w:eastAsia="宋体" w:cs="Times New Roman"/>
                <w:sz w:val="16"/>
                <w:szCs w:val="16"/>
              </w:rPr>
              <w:t>-    </w:t>
            </w:r>
          </w:p>
        </w:tc>
        <w:tc>
          <w:tcPr>
            <w:tcW w:w="1395" w:type="dxa"/>
            <w:shd w:val="clear" w:color="auto" w:fill="FFFFFF" w:themeFill="background1"/>
            <w:tcMar>
              <w:top w:w="0" w:type="dxa"/>
              <w:left w:w="108" w:type="dxa"/>
              <w:bottom w:w="0" w:type="dxa"/>
              <w:right w:w="108" w:type="dxa"/>
            </w:tcMar>
            <w:vAlign w:val="center"/>
          </w:tcPr>
          <w:p w:rsidR="00CC210C" w:rsidRPr="0027505B" w:rsidRDefault="00CC210C" w:rsidP="0027505B">
            <w:pPr>
              <w:ind w:left="46"/>
              <w:jc w:val="right"/>
              <w:rPr>
                <w:rFonts w:eastAsia="宋体" w:cs="Times New Roman"/>
                <w:sz w:val="16"/>
                <w:szCs w:val="16"/>
              </w:rPr>
            </w:pPr>
            <w:r w:rsidRPr="0027505B">
              <w:rPr>
                <w:rFonts w:eastAsia="宋体" w:cs="Times New Roman"/>
                <w:sz w:val="16"/>
                <w:szCs w:val="16"/>
              </w:rPr>
              <w:t>336,294,491.99</w:t>
            </w:r>
          </w:p>
        </w:tc>
        <w:tc>
          <w:tcPr>
            <w:tcW w:w="1396" w:type="dxa"/>
            <w:shd w:val="clear" w:color="auto" w:fill="FFFFFF" w:themeFill="background1"/>
            <w:vAlign w:val="center"/>
          </w:tcPr>
          <w:p w:rsidR="00CC210C" w:rsidRPr="0027505B" w:rsidRDefault="00CC210C" w:rsidP="0027505B">
            <w:pPr>
              <w:ind w:left="46" w:right="90"/>
              <w:jc w:val="right"/>
              <w:rPr>
                <w:rFonts w:eastAsia="宋体" w:cs="Times New Roman"/>
                <w:color w:val="000000"/>
                <w:sz w:val="16"/>
                <w:szCs w:val="16"/>
              </w:rPr>
            </w:pPr>
            <w:r w:rsidRPr="0027505B">
              <w:rPr>
                <w:rFonts w:eastAsia="宋体" w:cs="Times New Roman"/>
                <w:color w:val="000000"/>
                <w:sz w:val="16"/>
                <w:szCs w:val="16"/>
              </w:rPr>
              <w:t>-    </w:t>
            </w:r>
          </w:p>
        </w:tc>
      </w:tr>
    </w:tbl>
    <w:p w:rsidR="00936DB0" w:rsidRDefault="00936DB0">
      <w:pPr>
        <w:ind w:left="1440" w:hanging="720"/>
        <w:jc w:val="both"/>
        <w:rPr>
          <w:rFonts w:eastAsia="宋体" w:cs="Times New Roman"/>
          <w:bCs/>
          <w:szCs w:val="21"/>
        </w:rPr>
      </w:pPr>
    </w:p>
    <w:tbl>
      <w:tblPr>
        <w:tblW w:w="465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46"/>
        <w:gridCol w:w="2943"/>
        <w:gridCol w:w="2083"/>
        <w:gridCol w:w="2084"/>
      </w:tblGrid>
      <w:tr w:rsidR="00151A4D" w:rsidRPr="00A71D2E" w:rsidDel="00A457E1" w:rsidTr="0027505B">
        <w:trPr>
          <w:trHeight w:val="20"/>
        </w:trPr>
        <w:tc>
          <w:tcPr>
            <w:tcW w:w="2346" w:type="dxa"/>
            <w:shd w:val="clear" w:color="auto" w:fill="D9D9D9" w:themeFill="background1" w:themeFillShade="D9"/>
            <w:tcMar>
              <w:top w:w="0" w:type="dxa"/>
              <w:left w:w="108" w:type="dxa"/>
              <w:bottom w:w="0" w:type="dxa"/>
              <w:right w:w="108" w:type="dxa"/>
            </w:tcMar>
            <w:vAlign w:val="center"/>
            <w:hideMark/>
          </w:tcPr>
          <w:p w:rsidR="00151A4D" w:rsidRPr="00A71D2E" w:rsidRDefault="00151A4D" w:rsidP="00E456AF">
            <w:pPr>
              <w:jc w:val="center"/>
              <w:rPr>
                <w:rFonts w:eastAsia="宋体" w:cs="Times New Roman"/>
                <w:sz w:val="18"/>
                <w:szCs w:val="18"/>
              </w:rPr>
            </w:pPr>
            <w:r w:rsidRPr="00A71D2E">
              <w:rPr>
                <w:rFonts w:eastAsia="宋体" w:cs="Times New Roman" w:hint="eastAsia"/>
                <w:sz w:val="18"/>
                <w:szCs w:val="18"/>
              </w:rPr>
              <w:t>项目名称</w:t>
            </w:r>
          </w:p>
        </w:tc>
        <w:tc>
          <w:tcPr>
            <w:tcW w:w="2943" w:type="dxa"/>
            <w:shd w:val="clear" w:color="auto" w:fill="D9D9D9" w:themeFill="background1" w:themeFillShade="D9"/>
            <w:vAlign w:val="center"/>
          </w:tcPr>
          <w:p w:rsidR="00151A4D" w:rsidRPr="00A71D2E" w:rsidRDefault="00151A4D" w:rsidP="00E456AF">
            <w:pPr>
              <w:jc w:val="center"/>
              <w:rPr>
                <w:rFonts w:eastAsia="宋体" w:cs="Times New Roman"/>
                <w:sz w:val="18"/>
                <w:szCs w:val="18"/>
              </w:rPr>
            </w:pPr>
            <w:r w:rsidRPr="00A71D2E">
              <w:rPr>
                <w:rFonts w:eastAsia="宋体" w:cs="Times New Roman" w:hint="eastAsia"/>
                <w:sz w:val="18"/>
                <w:szCs w:val="18"/>
              </w:rPr>
              <w:t>关联方</w:t>
            </w:r>
          </w:p>
        </w:tc>
        <w:tc>
          <w:tcPr>
            <w:tcW w:w="2083" w:type="dxa"/>
            <w:shd w:val="clear" w:color="auto" w:fill="D9D9D9" w:themeFill="background1" w:themeFillShade="D9"/>
            <w:vAlign w:val="center"/>
          </w:tcPr>
          <w:p w:rsidR="00151A4D" w:rsidRPr="00A71D2E" w:rsidRDefault="00151A4D" w:rsidP="00E456AF">
            <w:pPr>
              <w:jc w:val="center"/>
              <w:rPr>
                <w:rFonts w:eastAsia="宋体" w:cs="Times New Roman"/>
                <w:sz w:val="18"/>
                <w:szCs w:val="18"/>
              </w:rPr>
            </w:pPr>
            <w:r>
              <w:rPr>
                <w:rFonts w:eastAsia="宋体" w:cs="Times New Roman" w:hint="eastAsia"/>
                <w:sz w:val="18"/>
                <w:szCs w:val="18"/>
              </w:rPr>
              <w:t>年末余额</w:t>
            </w:r>
          </w:p>
        </w:tc>
        <w:tc>
          <w:tcPr>
            <w:tcW w:w="2084" w:type="dxa"/>
            <w:shd w:val="clear" w:color="auto" w:fill="D9D9D9" w:themeFill="background1" w:themeFillShade="D9"/>
            <w:tcMar>
              <w:top w:w="0" w:type="dxa"/>
              <w:left w:w="108" w:type="dxa"/>
              <w:bottom w:w="0" w:type="dxa"/>
              <w:right w:w="108" w:type="dxa"/>
            </w:tcMar>
            <w:vAlign w:val="center"/>
          </w:tcPr>
          <w:p w:rsidR="00151A4D" w:rsidRPr="00A71D2E" w:rsidRDefault="00151A4D" w:rsidP="00E456AF">
            <w:pPr>
              <w:jc w:val="center"/>
              <w:rPr>
                <w:rFonts w:eastAsia="宋体" w:cs="Times New Roman"/>
                <w:sz w:val="18"/>
                <w:szCs w:val="18"/>
              </w:rPr>
            </w:pPr>
            <w:r>
              <w:rPr>
                <w:rFonts w:eastAsia="宋体" w:cs="Times New Roman" w:hint="eastAsia"/>
                <w:sz w:val="18"/>
                <w:szCs w:val="18"/>
              </w:rPr>
              <w:t>年初余额</w:t>
            </w:r>
          </w:p>
        </w:tc>
      </w:tr>
      <w:tr w:rsidR="00151A4D" w:rsidRPr="00A71D2E" w:rsidTr="0027505B">
        <w:trPr>
          <w:trHeight w:val="20"/>
        </w:trPr>
        <w:tc>
          <w:tcPr>
            <w:tcW w:w="2346" w:type="dxa"/>
            <w:tcMar>
              <w:top w:w="0" w:type="dxa"/>
              <w:left w:w="108" w:type="dxa"/>
              <w:bottom w:w="0" w:type="dxa"/>
              <w:right w:w="108" w:type="dxa"/>
            </w:tcMar>
            <w:vAlign w:val="center"/>
          </w:tcPr>
          <w:p w:rsidR="00151A4D" w:rsidRPr="00A71D2E" w:rsidRDefault="00151A4D" w:rsidP="00E456AF">
            <w:pPr>
              <w:rPr>
                <w:rFonts w:eastAsia="宋体" w:cs="Times New Roman"/>
                <w:sz w:val="18"/>
                <w:szCs w:val="18"/>
              </w:rPr>
            </w:pPr>
            <w:r>
              <w:rPr>
                <w:rFonts w:eastAsia="宋体" w:cs="Times New Roman" w:hint="eastAsia"/>
                <w:sz w:val="18"/>
                <w:szCs w:val="18"/>
              </w:rPr>
              <w:t>预付</w:t>
            </w:r>
            <w:r w:rsidR="00387D5A">
              <w:rPr>
                <w:rFonts w:eastAsia="宋体" w:cs="Times New Roman" w:hint="eastAsia"/>
                <w:sz w:val="18"/>
                <w:szCs w:val="18"/>
              </w:rPr>
              <w:t>款项</w:t>
            </w:r>
          </w:p>
        </w:tc>
        <w:tc>
          <w:tcPr>
            <w:tcW w:w="2943" w:type="dxa"/>
            <w:vAlign w:val="center"/>
          </w:tcPr>
          <w:p w:rsidR="00151A4D" w:rsidRPr="00CC026F" w:rsidRDefault="00151A4D" w:rsidP="00E456AF">
            <w:pPr>
              <w:ind w:right="120"/>
              <w:jc w:val="center"/>
              <w:rPr>
                <w:rFonts w:eastAsia="宋体" w:cs="Times New Roman"/>
                <w:sz w:val="18"/>
                <w:szCs w:val="18"/>
              </w:rPr>
            </w:pPr>
            <w:r>
              <w:rPr>
                <w:rFonts w:eastAsia="宋体" w:cs="Times New Roman" w:hint="eastAsia"/>
                <w:sz w:val="18"/>
                <w:szCs w:val="18"/>
              </w:rPr>
              <w:t>中电</w:t>
            </w:r>
            <w:r w:rsidRPr="00A71D2E">
              <w:rPr>
                <w:rFonts w:eastAsia="宋体" w:cs="Times New Roman" w:hint="eastAsia"/>
                <w:sz w:val="18"/>
                <w:szCs w:val="18"/>
              </w:rPr>
              <w:t>下属企业</w:t>
            </w:r>
          </w:p>
        </w:tc>
        <w:tc>
          <w:tcPr>
            <w:tcW w:w="2083" w:type="dxa"/>
            <w:vAlign w:val="center"/>
          </w:tcPr>
          <w:p w:rsidR="00151A4D" w:rsidRPr="00A71D2E" w:rsidRDefault="00151A4D" w:rsidP="00E456AF">
            <w:pPr>
              <w:ind w:right="120"/>
              <w:jc w:val="right"/>
              <w:rPr>
                <w:rFonts w:eastAsia="宋体" w:cs="Times New Roman"/>
                <w:sz w:val="18"/>
                <w:szCs w:val="18"/>
              </w:rPr>
            </w:pPr>
            <w:r w:rsidRPr="00151A4D">
              <w:rPr>
                <w:rFonts w:eastAsia="宋体" w:cs="Times New Roman"/>
                <w:sz w:val="18"/>
                <w:szCs w:val="18"/>
              </w:rPr>
              <w:t>176,921.84</w:t>
            </w:r>
          </w:p>
        </w:tc>
        <w:tc>
          <w:tcPr>
            <w:tcW w:w="2084" w:type="dxa"/>
            <w:tcMar>
              <w:top w:w="0" w:type="dxa"/>
              <w:left w:w="108" w:type="dxa"/>
              <w:bottom w:w="0" w:type="dxa"/>
              <w:right w:w="108" w:type="dxa"/>
            </w:tcMar>
            <w:vAlign w:val="center"/>
          </w:tcPr>
          <w:p w:rsidR="00151A4D" w:rsidRPr="00A71D2E" w:rsidRDefault="00151A4D" w:rsidP="00E456AF">
            <w:pPr>
              <w:jc w:val="right"/>
              <w:rPr>
                <w:rFonts w:eastAsia="宋体" w:cs="Times New Roman"/>
                <w:sz w:val="18"/>
                <w:szCs w:val="18"/>
              </w:rPr>
            </w:pPr>
            <w:r w:rsidRPr="004C4CCF">
              <w:rPr>
                <w:rFonts w:eastAsia="宋体" w:cs="Times New Roman" w:hint="eastAsia"/>
                <w:sz w:val="18"/>
                <w:szCs w:val="18"/>
              </w:rPr>
              <w:t>-</w:t>
            </w:r>
            <w:r w:rsidRPr="004C4CCF">
              <w:rPr>
                <w:rFonts w:eastAsia="宋体" w:cs="Times New Roman"/>
                <w:sz w:val="18"/>
                <w:szCs w:val="18"/>
              </w:rPr>
              <w:t>    </w:t>
            </w:r>
          </w:p>
        </w:tc>
      </w:tr>
      <w:tr w:rsidR="00151A4D" w:rsidRPr="00A71D2E" w:rsidTr="0027505B">
        <w:trPr>
          <w:trHeight w:val="20"/>
        </w:trPr>
        <w:tc>
          <w:tcPr>
            <w:tcW w:w="2346" w:type="dxa"/>
            <w:tcMar>
              <w:top w:w="0" w:type="dxa"/>
              <w:left w:w="108" w:type="dxa"/>
              <w:bottom w:w="0" w:type="dxa"/>
              <w:right w:w="108" w:type="dxa"/>
            </w:tcMar>
            <w:vAlign w:val="center"/>
          </w:tcPr>
          <w:p w:rsidR="00151A4D" w:rsidRDefault="00151A4D" w:rsidP="00E456AF">
            <w:pPr>
              <w:rPr>
                <w:rFonts w:eastAsia="宋体" w:cs="Times New Roman"/>
                <w:sz w:val="18"/>
                <w:szCs w:val="18"/>
              </w:rPr>
            </w:pPr>
            <w:r>
              <w:rPr>
                <w:rFonts w:eastAsia="宋体" w:cs="Times New Roman" w:hint="eastAsia"/>
                <w:sz w:val="18"/>
                <w:szCs w:val="18"/>
              </w:rPr>
              <w:t>预付</w:t>
            </w:r>
            <w:r w:rsidR="00387D5A">
              <w:rPr>
                <w:rFonts w:eastAsia="宋体" w:cs="Times New Roman" w:hint="eastAsia"/>
                <w:sz w:val="18"/>
                <w:szCs w:val="18"/>
              </w:rPr>
              <w:t>款项</w:t>
            </w:r>
          </w:p>
        </w:tc>
        <w:tc>
          <w:tcPr>
            <w:tcW w:w="2943" w:type="dxa"/>
            <w:vAlign w:val="center"/>
          </w:tcPr>
          <w:p w:rsidR="00151A4D" w:rsidRPr="00CC026F" w:rsidRDefault="00151A4D" w:rsidP="00E456AF">
            <w:pPr>
              <w:ind w:right="120"/>
              <w:jc w:val="center"/>
              <w:rPr>
                <w:rFonts w:eastAsia="宋体" w:cs="Times New Roman"/>
                <w:sz w:val="18"/>
                <w:szCs w:val="18"/>
              </w:rPr>
            </w:pPr>
            <w:r>
              <w:rPr>
                <w:rFonts w:eastAsia="宋体" w:cs="Times New Roman" w:hint="eastAsia"/>
                <w:sz w:val="18"/>
                <w:szCs w:val="18"/>
              </w:rPr>
              <w:t>本公司下属子公司</w:t>
            </w:r>
          </w:p>
        </w:tc>
        <w:tc>
          <w:tcPr>
            <w:tcW w:w="2083" w:type="dxa"/>
            <w:vAlign w:val="center"/>
          </w:tcPr>
          <w:p w:rsidR="00151A4D" w:rsidRPr="00CC026F" w:rsidRDefault="00151A4D" w:rsidP="00E456AF">
            <w:pPr>
              <w:ind w:right="120"/>
              <w:jc w:val="right"/>
              <w:rPr>
                <w:rFonts w:eastAsia="宋体" w:cs="Times New Roman"/>
                <w:sz w:val="18"/>
                <w:szCs w:val="18"/>
              </w:rPr>
            </w:pPr>
            <w:r w:rsidRPr="00151A4D">
              <w:rPr>
                <w:rFonts w:eastAsia="宋体" w:cs="Times New Roman"/>
                <w:sz w:val="18"/>
                <w:szCs w:val="18"/>
              </w:rPr>
              <w:t>6,765.89</w:t>
            </w:r>
          </w:p>
        </w:tc>
        <w:tc>
          <w:tcPr>
            <w:tcW w:w="2084" w:type="dxa"/>
            <w:tcMar>
              <w:top w:w="0" w:type="dxa"/>
              <w:left w:w="108" w:type="dxa"/>
              <w:bottom w:w="0" w:type="dxa"/>
              <w:right w:w="108" w:type="dxa"/>
            </w:tcMar>
            <w:vAlign w:val="center"/>
          </w:tcPr>
          <w:p w:rsidR="00151A4D" w:rsidRPr="00A71D2E" w:rsidRDefault="00151A4D" w:rsidP="00E456AF">
            <w:pPr>
              <w:jc w:val="right"/>
              <w:rPr>
                <w:rFonts w:eastAsia="宋体" w:cs="Times New Roman"/>
                <w:sz w:val="18"/>
                <w:szCs w:val="18"/>
              </w:rPr>
            </w:pPr>
            <w:r w:rsidRPr="004C4CCF">
              <w:rPr>
                <w:rFonts w:eastAsia="宋体" w:cs="Times New Roman" w:hint="eastAsia"/>
                <w:sz w:val="18"/>
                <w:szCs w:val="18"/>
              </w:rPr>
              <w:t>-</w:t>
            </w:r>
            <w:r w:rsidRPr="004C4CCF">
              <w:rPr>
                <w:rFonts w:eastAsia="宋体" w:cs="Times New Roman"/>
                <w:sz w:val="18"/>
                <w:szCs w:val="18"/>
              </w:rPr>
              <w:t>    </w:t>
            </w:r>
          </w:p>
        </w:tc>
      </w:tr>
      <w:tr w:rsidR="00151A4D" w:rsidRPr="00A71D2E" w:rsidTr="0027505B">
        <w:trPr>
          <w:trHeight w:val="20"/>
        </w:trPr>
        <w:tc>
          <w:tcPr>
            <w:tcW w:w="2346" w:type="dxa"/>
            <w:shd w:val="clear" w:color="auto" w:fill="D9D9D9" w:themeFill="background1" w:themeFillShade="D9"/>
            <w:tcMar>
              <w:top w:w="0" w:type="dxa"/>
              <w:left w:w="108" w:type="dxa"/>
              <w:bottom w:w="0" w:type="dxa"/>
              <w:right w:w="108" w:type="dxa"/>
            </w:tcMar>
            <w:vAlign w:val="center"/>
          </w:tcPr>
          <w:p w:rsidR="00151A4D" w:rsidRPr="00A71D2E" w:rsidRDefault="00151A4D" w:rsidP="00E456AF">
            <w:pPr>
              <w:rPr>
                <w:rFonts w:eastAsia="宋体" w:cs="Times New Roman"/>
                <w:sz w:val="18"/>
                <w:szCs w:val="18"/>
              </w:rPr>
            </w:pPr>
            <w:r w:rsidRPr="00A71D2E">
              <w:rPr>
                <w:rFonts w:eastAsia="宋体" w:cs="Times New Roman" w:hint="eastAsia"/>
                <w:sz w:val="18"/>
                <w:szCs w:val="18"/>
              </w:rPr>
              <w:t>合计</w:t>
            </w:r>
          </w:p>
        </w:tc>
        <w:tc>
          <w:tcPr>
            <w:tcW w:w="2943" w:type="dxa"/>
            <w:vAlign w:val="center"/>
          </w:tcPr>
          <w:p w:rsidR="00151A4D" w:rsidRPr="00CC026F" w:rsidRDefault="00151A4D" w:rsidP="00E456AF">
            <w:pPr>
              <w:ind w:right="120"/>
              <w:jc w:val="right"/>
              <w:rPr>
                <w:rFonts w:eastAsia="宋体" w:cs="Times New Roman"/>
                <w:sz w:val="18"/>
                <w:szCs w:val="18"/>
              </w:rPr>
            </w:pPr>
          </w:p>
        </w:tc>
        <w:tc>
          <w:tcPr>
            <w:tcW w:w="2083" w:type="dxa"/>
            <w:vAlign w:val="center"/>
          </w:tcPr>
          <w:p w:rsidR="00151A4D" w:rsidRPr="00A71D2E" w:rsidRDefault="00151A4D" w:rsidP="00E456AF">
            <w:pPr>
              <w:ind w:right="120"/>
              <w:jc w:val="right"/>
              <w:rPr>
                <w:rFonts w:eastAsia="宋体" w:cs="Times New Roman"/>
                <w:sz w:val="18"/>
                <w:szCs w:val="18"/>
              </w:rPr>
            </w:pPr>
            <w:r w:rsidRPr="00151A4D">
              <w:rPr>
                <w:rFonts w:eastAsia="宋体" w:cs="Times New Roman"/>
                <w:sz w:val="18"/>
                <w:szCs w:val="18"/>
              </w:rPr>
              <w:t>183,687.73</w:t>
            </w:r>
          </w:p>
        </w:tc>
        <w:tc>
          <w:tcPr>
            <w:tcW w:w="2084" w:type="dxa"/>
            <w:tcMar>
              <w:top w:w="0" w:type="dxa"/>
              <w:left w:w="108" w:type="dxa"/>
              <w:bottom w:w="0" w:type="dxa"/>
              <w:right w:w="108" w:type="dxa"/>
            </w:tcMar>
            <w:vAlign w:val="center"/>
          </w:tcPr>
          <w:p w:rsidR="00151A4D" w:rsidRPr="00A71D2E" w:rsidRDefault="00151A4D" w:rsidP="00E456AF">
            <w:pPr>
              <w:jc w:val="right"/>
              <w:rPr>
                <w:rFonts w:eastAsia="宋体" w:cs="Times New Roman"/>
                <w:sz w:val="18"/>
                <w:szCs w:val="18"/>
              </w:rPr>
            </w:pPr>
            <w:r w:rsidRPr="004C4CCF">
              <w:rPr>
                <w:rFonts w:eastAsia="宋体" w:cs="Times New Roman" w:hint="eastAsia"/>
                <w:sz w:val="18"/>
                <w:szCs w:val="18"/>
              </w:rPr>
              <w:t>-</w:t>
            </w:r>
            <w:r w:rsidRPr="004C4CCF">
              <w:rPr>
                <w:rFonts w:eastAsia="宋体" w:cs="Times New Roman"/>
                <w:sz w:val="18"/>
                <w:szCs w:val="18"/>
              </w:rPr>
              <w:t>    </w:t>
            </w:r>
          </w:p>
        </w:tc>
      </w:tr>
    </w:tbl>
    <w:p w:rsidR="00151A4D" w:rsidRDefault="00151A4D">
      <w:pPr>
        <w:ind w:left="1440" w:hanging="720"/>
        <w:jc w:val="both"/>
        <w:rPr>
          <w:rFonts w:eastAsia="宋体" w:cs="Times New Roman"/>
          <w:bCs/>
          <w:szCs w:val="21"/>
        </w:rPr>
      </w:pPr>
    </w:p>
    <w:p w:rsidR="00A402BC" w:rsidRPr="00A71D2E" w:rsidRDefault="005F14EE">
      <w:pPr>
        <w:ind w:left="1440" w:hanging="720"/>
        <w:jc w:val="both"/>
        <w:rPr>
          <w:rFonts w:eastAsia="宋体" w:cs="Times New Roman"/>
          <w:bCs/>
          <w:szCs w:val="21"/>
        </w:rPr>
      </w:pPr>
      <w:r>
        <w:rPr>
          <w:rFonts w:eastAsia="宋体" w:cs="Times New Roman"/>
          <w:bCs/>
          <w:szCs w:val="21"/>
        </w:rPr>
        <w:t>(</w:t>
      </w:r>
      <w:r w:rsidR="00A402BC" w:rsidRPr="00A71D2E">
        <w:rPr>
          <w:rFonts w:eastAsia="宋体" w:cs="Times New Roman"/>
          <w:bCs/>
          <w:szCs w:val="21"/>
        </w:rPr>
        <w:t>2</w:t>
      </w:r>
      <w:r>
        <w:rPr>
          <w:rFonts w:eastAsia="宋体" w:cs="Times New Roman"/>
          <w:bCs/>
          <w:szCs w:val="21"/>
        </w:rPr>
        <w:t>)</w:t>
      </w:r>
      <w:r w:rsidR="00A402BC" w:rsidRPr="00A71D2E">
        <w:rPr>
          <w:rFonts w:eastAsia="宋体" w:cs="Times New Roman"/>
          <w:bCs/>
          <w:szCs w:val="21"/>
        </w:rPr>
        <w:tab/>
      </w:r>
      <w:r w:rsidR="00A402BC" w:rsidRPr="00A71D2E">
        <w:rPr>
          <w:rFonts w:eastAsia="宋体" w:cs="Times New Roman" w:hint="eastAsia"/>
          <w:bCs/>
          <w:szCs w:val="21"/>
        </w:rPr>
        <w:t>应付项目</w:t>
      </w:r>
    </w:p>
    <w:p w:rsidR="00A402BC" w:rsidRPr="00A71D2E" w:rsidRDefault="00A402BC">
      <w:pPr>
        <w:ind w:left="5040" w:right="9"/>
        <w:jc w:val="right"/>
        <w:rPr>
          <w:rFonts w:eastAsia="宋体" w:cs="Times New Roman"/>
          <w:szCs w:val="21"/>
        </w:rPr>
      </w:pPr>
      <w:r w:rsidRPr="00A71D2E">
        <w:rPr>
          <w:rFonts w:eastAsia="宋体" w:cs="Times New Roman" w:hint="eastAsia"/>
          <w:szCs w:val="21"/>
        </w:rPr>
        <w:t>单位</w:t>
      </w:r>
      <w:r w:rsidR="005F14EE">
        <w:rPr>
          <w:rFonts w:eastAsia="宋体" w:cs="Times New Roman" w:hint="eastAsia"/>
          <w:szCs w:val="21"/>
        </w:rPr>
        <w:t>：</w:t>
      </w:r>
      <w:r w:rsidRPr="00A71D2E">
        <w:rPr>
          <w:rFonts w:eastAsia="宋体" w:cs="Times New Roman" w:hint="eastAsia"/>
          <w:szCs w:val="21"/>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2948"/>
        <w:gridCol w:w="2083"/>
        <w:gridCol w:w="2084"/>
      </w:tblGrid>
      <w:tr w:rsidR="003415F9" w:rsidRPr="00314AB5" w:rsidTr="0027505B">
        <w:trPr>
          <w:trHeight w:val="20"/>
        </w:trPr>
        <w:tc>
          <w:tcPr>
            <w:tcW w:w="2335" w:type="dxa"/>
            <w:shd w:val="clear" w:color="auto" w:fill="D9D9D9" w:themeFill="background1" w:themeFillShade="D9"/>
            <w:tcMar>
              <w:top w:w="0" w:type="dxa"/>
              <w:left w:w="108" w:type="dxa"/>
              <w:bottom w:w="0" w:type="dxa"/>
              <w:right w:w="108" w:type="dxa"/>
            </w:tcMar>
            <w:vAlign w:val="center"/>
            <w:hideMark/>
          </w:tcPr>
          <w:p w:rsidR="00A402BC" w:rsidRPr="00314AB5" w:rsidRDefault="00A402BC">
            <w:pPr>
              <w:ind w:left="-105"/>
              <w:jc w:val="center"/>
              <w:rPr>
                <w:rFonts w:eastAsia="宋体" w:cs="Times New Roman"/>
                <w:sz w:val="18"/>
                <w:szCs w:val="18"/>
              </w:rPr>
            </w:pPr>
            <w:r w:rsidRPr="00314AB5">
              <w:rPr>
                <w:rFonts w:eastAsia="宋体" w:cs="Times New Roman" w:hint="eastAsia"/>
                <w:sz w:val="18"/>
                <w:szCs w:val="18"/>
              </w:rPr>
              <w:t>项目名称</w:t>
            </w:r>
          </w:p>
        </w:tc>
        <w:tc>
          <w:tcPr>
            <w:tcW w:w="2948" w:type="dxa"/>
            <w:shd w:val="clear" w:color="auto" w:fill="D9D9D9" w:themeFill="background1" w:themeFillShade="D9"/>
            <w:tcMar>
              <w:top w:w="0" w:type="dxa"/>
              <w:left w:w="108" w:type="dxa"/>
              <w:bottom w:w="0" w:type="dxa"/>
              <w:right w:w="108" w:type="dxa"/>
            </w:tcMar>
            <w:vAlign w:val="center"/>
            <w:hideMark/>
          </w:tcPr>
          <w:p w:rsidR="00A402BC" w:rsidRPr="00314AB5" w:rsidRDefault="00A402BC">
            <w:pPr>
              <w:jc w:val="center"/>
              <w:rPr>
                <w:rFonts w:eastAsia="宋体" w:cs="Times New Roman"/>
                <w:sz w:val="18"/>
                <w:szCs w:val="18"/>
              </w:rPr>
            </w:pPr>
            <w:r w:rsidRPr="00314AB5">
              <w:rPr>
                <w:rFonts w:eastAsia="宋体" w:cs="Times New Roman" w:hint="eastAsia"/>
                <w:sz w:val="18"/>
                <w:szCs w:val="18"/>
              </w:rPr>
              <w:t>关联方</w:t>
            </w:r>
          </w:p>
        </w:tc>
        <w:tc>
          <w:tcPr>
            <w:tcW w:w="2083" w:type="dxa"/>
            <w:shd w:val="clear" w:color="auto" w:fill="D9D9D9" w:themeFill="background1" w:themeFillShade="D9"/>
            <w:vAlign w:val="center"/>
          </w:tcPr>
          <w:p w:rsidR="00A402BC" w:rsidRPr="00314AB5" w:rsidRDefault="009D00EE">
            <w:pPr>
              <w:jc w:val="center"/>
              <w:rPr>
                <w:rFonts w:eastAsia="宋体" w:cs="Times New Roman"/>
                <w:sz w:val="18"/>
                <w:szCs w:val="18"/>
              </w:rPr>
            </w:pPr>
            <w:r w:rsidRPr="00314AB5">
              <w:rPr>
                <w:rFonts w:eastAsia="宋体" w:cs="Times New Roman" w:hint="eastAsia"/>
                <w:sz w:val="18"/>
                <w:szCs w:val="18"/>
              </w:rPr>
              <w:t>年末余额</w:t>
            </w:r>
          </w:p>
        </w:tc>
        <w:tc>
          <w:tcPr>
            <w:tcW w:w="2084" w:type="dxa"/>
            <w:shd w:val="clear" w:color="auto" w:fill="D9D9D9" w:themeFill="background1" w:themeFillShade="D9"/>
            <w:tcMar>
              <w:top w:w="0" w:type="dxa"/>
              <w:left w:w="108" w:type="dxa"/>
              <w:bottom w:w="0" w:type="dxa"/>
              <w:right w:w="108" w:type="dxa"/>
            </w:tcMar>
            <w:vAlign w:val="center"/>
          </w:tcPr>
          <w:p w:rsidR="00A402BC" w:rsidRPr="00314AB5" w:rsidRDefault="009D00EE">
            <w:pPr>
              <w:jc w:val="center"/>
              <w:rPr>
                <w:rFonts w:eastAsia="宋体" w:cs="Times New Roman"/>
                <w:sz w:val="18"/>
                <w:szCs w:val="18"/>
              </w:rPr>
            </w:pPr>
            <w:r w:rsidRPr="00314AB5">
              <w:rPr>
                <w:rFonts w:eastAsia="宋体" w:cs="Times New Roman" w:hint="eastAsia"/>
                <w:sz w:val="18"/>
                <w:szCs w:val="18"/>
              </w:rPr>
              <w:t>年初余额</w:t>
            </w:r>
          </w:p>
        </w:tc>
      </w:tr>
      <w:tr w:rsidR="00711B98" w:rsidRPr="00314AB5" w:rsidTr="0027505B">
        <w:trPr>
          <w:trHeight w:val="20"/>
        </w:trPr>
        <w:tc>
          <w:tcPr>
            <w:tcW w:w="2335" w:type="dxa"/>
            <w:shd w:val="clear" w:color="auto" w:fill="auto"/>
            <w:tcMar>
              <w:top w:w="0" w:type="dxa"/>
              <w:left w:w="108" w:type="dxa"/>
              <w:bottom w:w="0" w:type="dxa"/>
              <w:right w:w="108" w:type="dxa"/>
            </w:tcMar>
            <w:vAlign w:val="center"/>
          </w:tcPr>
          <w:p w:rsidR="00711B98" w:rsidRPr="00314AB5" w:rsidRDefault="00711B98" w:rsidP="00711B98">
            <w:pPr>
              <w:jc w:val="both"/>
              <w:rPr>
                <w:rFonts w:eastAsia="宋体" w:cs="Times New Roman"/>
                <w:sz w:val="18"/>
                <w:szCs w:val="18"/>
              </w:rPr>
            </w:pPr>
            <w:r w:rsidRPr="00314AB5">
              <w:rPr>
                <w:rFonts w:eastAsia="宋体" w:cs="Times New Roman" w:hint="eastAsia"/>
                <w:sz w:val="18"/>
                <w:szCs w:val="18"/>
              </w:rPr>
              <w:t>应付账款</w:t>
            </w:r>
          </w:p>
        </w:tc>
        <w:tc>
          <w:tcPr>
            <w:tcW w:w="2948" w:type="dxa"/>
            <w:shd w:val="clear" w:color="auto" w:fill="auto"/>
            <w:tcMar>
              <w:top w:w="0" w:type="dxa"/>
              <w:left w:w="108" w:type="dxa"/>
              <w:bottom w:w="0" w:type="dxa"/>
              <w:right w:w="108" w:type="dxa"/>
            </w:tcMar>
            <w:vAlign w:val="center"/>
          </w:tcPr>
          <w:p w:rsidR="00711B98" w:rsidRPr="00314AB5" w:rsidRDefault="00711B98" w:rsidP="00711B98">
            <w:pPr>
              <w:ind w:right="-45"/>
              <w:jc w:val="center"/>
              <w:rPr>
                <w:rFonts w:eastAsia="宋体" w:cs="Times New Roman"/>
                <w:sz w:val="18"/>
                <w:szCs w:val="18"/>
              </w:rPr>
            </w:pPr>
            <w:proofErr w:type="gramStart"/>
            <w:r w:rsidRPr="00314AB5">
              <w:rPr>
                <w:rFonts w:eastAsia="宋体" w:cs="Times New Roman" w:hint="eastAsia"/>
                <w:sz w:val="18"/>
                <w:szCs w:val="18"/>
              </w:rPr>
              <w:t>海康威视股份公司</w:t>
            </w:r>
            <w:proofErr w:type="gramEnd"/>
            <w:r w:rsidRPr="00314AB5">
              <w:rPr>
                <w:rFonts w:eastAsia="宋体" w:cs="Times New Roman" w:hint="eastAsia"/>
                <w:sz w:val="18"/>
                <w:szCs w:val="18"/>
              </w:rPr>
              <w:t>及其下属企业</w:t>
            </w:r>
          </w:p>
        </w:tc>
        <w:tc>
          <w:tcPr>
            <w:tcW w:w="2083" w:type="dxa"/>
            <w:vAlign w:val="center"/>
          </w:tcPr>
          <w:p w:rsidR="00711B98" w:rsidRPr="00314AB5" w:rsidRDefault="000A5506" w:rsidP="00711B98">
            <w:pPr>
              <w:ind w:right="108"/>
              <w:jc w:val="right"/>
              <w:rPr>
                <w:rFonts w:eastAsia="宋体" w:cs="Times New Roman"/>
                <w:sz w:val="18"/>
                <w:szCs w:val="18"/>
              </w:rPr>
            </w:pPr>
            <w:r w:rsidRPr="00314AB5">
              <w:rPr>
                <w:rFonts w:eastAsia="宋体" w:cs="Times New Roman"/>
                <w:sz w:val="18"/>
                <w:szCs w:val="18"/>
              </w:rPr>
              <w:t>138,743,446.99</w:t>
            </w:r>
          </w:p>
        </w:tc>
        <w:tc>
          <w:tcPr>
            <w:tcW w:w="2084" w:type="dxa"/>
            <w:shd w:val="clear" w:color="auto" w:fill="auto"/>
            <w:tcMar>
              <w:top w:w="0" w:type="dxa"/>
              <w:left w:w="108" w:type="dxa"/>
              <w:bottom w:w="0" w:type="dxa"/>
              <w:right w:w="108" w:type="dxa"/>
            </w:tcMar>
            <w:vAlign w:val="center"/>
          </w:tcPr>
          <w:p w:rsidR="00711B98" w:rsidRPr="00314AB5" w:rsidRDefault="00711B98" w:rsidP="00711B98">
            <w:pPr>
              <w:jc w:val="right"/>
              <w:rPr>
                <w:rFonts w:eastAsia="宋体" w:cs="Times New Roman"/>
                <w:sz w:val="18"/>
                <w:szCs w:val="18"/>
              </w:rPr>
            </w:pPr>
            <w:r w:rsidRPr="00314AB5">
              <w:rPr>
                <w:rFonts w:eastAsia="宋体" w:cs="Times New Roman"/>
                <w:sz w:val="18"/>
                <w:szCs w:val="18"/>
              </w:rPr>
              <w:t>53,682,757.66</w:t>
            </w:r>
          </w:p>
        </w:tc>
      </w:tr>
      <w:tr w:rsidR="00711B98" w:rsidRPr="00314AB5" w:rsidTr="0027505B">
        <w:trPr>
          <w:trHeight w:val="20"/>
        </w:trPr>
        <w:tc>
          <w:tcPr>
            <w:tcW w:w="2335" w:type="dxa"/>
            <w:shd w:val="clear" w:color="auto" w:fill="auto"/>
            <w:tcMar>
              <w:top w:w="0" w:type="dxa"/>
              <w:left w:w="108" w:type="dxa"/>
              <w:bottom w:w="0" w:type="dxa"/>
              <w:right w:w="108" w:type="dxa"/>
            </w:tcMar>
            <w:vAlign w:val="center"/>
          </w:tcPr>
          <w:p w:rsidR="00711B98" w:rsidRPr="00314AB5" w:rsidRDefault="00711B98" w:rsidP="00711B98">
            <w:pPr>
              <w:jc w:val="both"/>
              <w:rPr>
                <w:rFonts w:eastAsia="宋体" w:cs="Times New Roman"/>
                <w:sz w:val="18"/>
                <w:szCs w:val="18"/>
              </w:rPr>
            </w:pPr>
            <w:r w:rsidRPr="00314AB5">
              <w:rPr>
                <w:rFonts w:eastAsia="宋体" w:cs="Times New Roman" w:hint="eastAsia"/>
                <w:sz w:val="18"/>
                <w:szCs w:val="18"/>
              </w:rPr>
              <w:t>应付账款</w:t>
            </w:r>
          </w:p>
        </w:tc>
        <w:tc>
          <w:tcPr>
            <w:tcW w:w="2948" w:type="dxa"/>
            <w:shd w:val="clear" w:color="auto" w:fill="auto"/>
            <w:tcMar>
              <w:top w:w="0" w:type="dxa"/>
              <w:left w:w="108" w:type="dxa"/>
              <w:bottom w:w="0" w:type="dxa"/>
              <w:right w:w="108" w:type="dxa"/>
            </w:tcMar>
            <w:vAlign w:val="center"/>
          </w:tcPr>
          <w:p w:rsidR="00711B98" w:rsidRPr="00314AB5" w:rsidRDefault="00C304F3" w:rsidP="00711B98">
            <w:pPr>
              <w:jc w:val="center"/>
              <w:rPr>
                <w:rFonts w:eastAsia="宋体" w:cs="Times New Roman"/>
                <w:sz w:val="18"/>
                <w:szCs w:val="18"/>
              </w:rPr>
            </w:pPr>
            <w:r>
              <w:rPr>
                <w:rFonts w:eastAsia="宋体" w:cs="Times New Roman" w:hint="eastAsia"/>
                <w:sz w:val="18"/>
                <w:szCs w:val="18"/>
              </w:rPr>
              <w:t>其他关联</w:t>
            </w:r>
            <w:r w:rsidR="00711B98" w:rsidRPr="00314AB5">
              <w:rPr>
                <w:rFonts w:eastAsia="宋体" w:cs="Times New Roman" w:hint="eastAsia"/>
                <w:sz w:val="18"/>
                <w:szCs w:val="18"/>
              </w:rPr>
              <w:t>企业</w:t>
            </w:r>
          </w:p>
        </w:tc>
        <w:tc>
          <w:tcPr>
            <w:tcW w:w="2083" w:type="dxa"/>
            <w:vAlign w:val="center"/>
          </w:tcPr>
          <w:p w:rsidR="00711B98" w:rsidRPr="00314AB5" w:rsidRDefault="0023159C" w:rsidP="00711B98">
            <w:pPr>
              <w:ind w:right="108"/>
              <w:jc w:val="right"/>
              <w:rPr>
                <w:rFonts w:eastAsia="宋体" w:cs="Times New Roman"/>
                <w:sz w:val="18"/>
                <w:szCs w:val="18"/>
              </w:rPr>
            </w:pPr>
            <w:r w:rsidRPr="00314AB5">
              <w:rPr>
                <w:rFonts w:eastAsia="宋体" w:cs="Times New Roman"/>
                <w:sz w:val="18"/>
                <w:szCs w:val="18"/>
              </w:rPr>
              <w:t>8,539,481.86</w:t>
            </w:r>
          </w:p>
        </w:tc>
        <w:tc>
          <w:tcPr>
            <w:tcW w:w="2084" w:type="dxa"/>
            <w:shd w:val="clear" w:color="auto" w:fill="auto"/>
            <w:tcMar>
              <w:top w:w="0" w:type="dxa"/>
              <w:left w:w="108" w:type="dxa"/>
              <w:bottom w:w="0" w:type="dxa"/>
              <w:right w:w="108" w:type="dxa"/>
            </w:tcMar>
            <w:vAlign w:val="center"/>
          </w:tcPr>
          <w:p w:rsidR="00711B98" w:rsidRPr="00314AB5" w:rsidRDefault="00711B98" w:rsidP="00711B98">
            <w:pPr>
              <w:jc w:val="right"/>
              <w:rPr>
                <w:rFonts w:eastAsia="宋体" w:cs="Times New Roman"/>
                <w:sz w:val="18"/>
                <w:szCs w:val="18"/>
              </w:rPr>
            </w:pPr>
            <w:r w:rsidRPr="00314AB5">
              <w:rPr>
                <w:rFonts w:eastAsia="宋体" w:cs="Times New Roman"/>
                <w:sz w:val="18"/>
                <w:szCs w:val="18"/>
              </w:rPr>
              <w:t>19,075,291.77</w:t>
            </w:r>
          </w:p>
        </w:tc>
      </w:tr>
      <w:tr w:rsidR="00711B98" w:rsidRPr="00314AB5" w:rsidTr="0027505B">
        <w:trPr>
          <w:trHeight w:val="20"/>
        </w:trPr>
        <w:tc>
          <w:tcPr>
            <w:tcW w:w="2335" w:type="dxa"/>
            <w:shd w:val="clear" w:color="auto" w:fill="auto"/>
            <w:tcMar>
              <w:top w:w="0" w:type="dxa"/>
              <w:left w:w="108" w:type="dxa"/>
              <w:bottom w:w="0" w:type="dxa"/>
              <w:right w:w="108" w:type="dxa"/>
            </w:tcMar>
            <w:vAlign w:val="center"/>
          </w:tcPr>
          <w:p w:rsidR="00711B98" w:rsidRPr="00314AB5" w:rsidRDefault="00711B98" w:rsidP="00711B98">
            <w:pPr>
              <w:jc w:val="both"/>
              <w:rPr>
                <w:rFonts w:eastAsia="宋体" w:cs="Times New Roman"/>
                <w:sz w:val="18"/>
                <w:szCs w:val="18"/>
              </w:rPr>
            </w:pPr>
            <w:r w:rsidRPr="00314AB5">
              <w:rPr>
                <w:rFonts w:eastAsia="宋体" w:cs="Times New Roman" w:hint="eastAsia"/>
                <w:sz w:val="18"/>
                <w:szCs w:val="18"/>
              </w:rPr>
              <w:t>应付账款</w:t>
            </w:r>
          </w:p>
        </w:tc>
        <w:tc>
          <w:tcPr>
            <w:tcW w:w="2948" w:type="dxa"/>
            <w:shd w:val="clear" w:color="auto" w:fill="auto"/>
            <w:tcMar>
              <w:top w:w="0" w:type="dxa"/>
              <w:left w:w="108" w:type="dxa"/>
              <w:bottom w:w="0" w:type="dxa"/>
              <w:right w:w="108" w:type="dxa"/>
            </w:tcMar>
            <w:vAlign w:val="center"/>
          </w:tcPr>
          <w:p w:rsidR="00711B98" w:rsidRPr="00314AB5" w:rsidRDefault="00711B98" w:rsidP="00711B98">
            <w:pPr>
              <w:jc w:val="center"/>
              <w:rPr>
                <w:rFonts w:eastAsia="宋体" w:cs="Times New Roman"/>
                <w:sz w:val="18"/>
                <w:szCs w:val="18"/>
              </w:rPr>
            </w:pPr>
            <w:r w:rsidRPr="00314AB5">
              <w:rPr>
                <w:rFonts w:eastAsia="宋体" w:cs="Times New Roman" w:hint="eastAsia"/>
                <w:sz w:val="18"/>
                <w:szCs w:val="18"/>
              </w:rPr>
              <w:t>中电下属企业</w:t>
            </w:r>
          </w:p>
        </w:tc>
        <w:tc>
          <w:tcPr>
            <w:tcW w:w="2083" w:type="dxa"/>
            <w:vAlign w:val="center"/>
          </w:tcPr>
          <w:p w:rsidR="00711B98" w:rsidRPr="00314AB5" w:rsidRDefault="000A5506" w:rsidP="00711B98">
            <w:pPr>
              <w:ind w:right="108"/>
              <w:jc w:val="right"/>
              <w:rPr>
                <w:rFonts w:eastAsia="宋体" w:cs="Times New Roman"/>
                <w:sz w:val="18"/>
                <w:szCs w:val="18"/>
              </w:rPr>
            </w:pPr>
            <w:r w:rsidRPr="00314AB5">
              <w:rPr>
                <w:rFonts w:eastAsia="宋体" w:cs="Times New Roman"/>
                <w:sz w:val="18"/>
                <w:szCs w:val="18"/>
              </w:rPr>
              <w:t>6,548,933.72</w:t>
            </w:r>
          </w:p>
        </w:tc>
        <w:tc>
          <w:tcPr>
            <w:tcW w:w="2084" w:type="dxa"/>
            <w:shd w:val="clear" w:color="auto" w:fill="auto"/>
            <w:tcMar>
              <w:top w:w="0" w:type="dxa"/>
              <w:left w:w="108" w:type="dxa"/>
              <w:bottom w:w="0" w:type="dxa"/>
              <w:right w:w="108" w:type="dxa"/>
            </w:tcMar>
            <w:vAlign w:val="center"/>
          </w:tcPr>
          <w:p w:rsidR="00711B98" w:rsidRPr="00314AB5" w:rsidRDefault="00711B98" w:rsidP="00711B98">
            <w:pPr>
              <w:jc w:val="right"/>
              <w:rPr>
                <w:rFonts w:eastAsia="宋体" w:cs="Times New Roman"/>
                <w:sz w:val="18"/>
                <w:szCs w:val="18"/>
              </w:rPr>
            </w:pPr>
            <w:r w:rsidRPr="00314AB5">
              <w:rPr>
                <w:rFonts w:eastAsia="宋体" w:cs="Times New Roman"/>
                <w:sz w:val="18"/>
                <w:szCs w:val="18"/>
              </w:rPr>
              <w:t>14,221,509.62</w:t>
            </w:r>
          </w:p>
        </w:tc>
      </w:tr>
      <w:tr w:rsidR="00711B98" w:rsidRPr="00314AB5" w:rsidTr="0027505B">
        <w:trPr>
          <w:trHeight w:val="20"/>
        </w:trPr>
        <w:tc>
          <w:tcPr>
            <w:tcW w:w="2335" w:type="dxa"/>
            <w:shd w:val="clear" w:color="auto" w:fill="auto"/>
            <w:tcMar>
              <w:top w:w="0" w:type="dxa"/>
              <w:left w:w="108" w:type="dxa"/>
              <w:bottom w:w="0" w:type="dxa"/>
              <w:right w:w="108" w:type="dxa"/>
            </w:tcMar>
            <w:vAlign w:val="center"/>
          </w:tcPr>
          <w:p w:rsidR="00711B98" w:rsidRPr="00314AB5" w:rsidRDefault="00711B98" w:rsidP="00711B98">
            <w:pPr>
              <w:jc w:val="both"/>
              <w:rPr>
                <w:rFonts w:eastAsia="宋体" w:cs="Times New Roman"/>
                <w:sz w:val="18"/>
                <w:szCs w:val="18"/>
              </w:rPr>
            </w:pPr>
            <w:r w:rsidRPr="00314AB5">
              <w:rPr>
                <w:rFonts w:eastAsia="宋体" w:cs="Times New Roman" w:hint="eastAsia"/>
                <w:sz w:val="18"/>
                <w:szCs w:val="18"/>
              </w:rPr>
              <w:t>应付账款</w:t>
            </w:r>
          </w:p>
        </w:tc>
        <w:tc>
          <w:tcPr>
            <w:tcW w:w="2948" w:type="dxa"/>
            <w:shd w:val="clear" w:color="auto" w:fill="auto"/>
            <w:tcMar>
              <w:top w:w="0" w:type="dxa"/>
              <w:left w:w="108" w:type="dxa"/>
              <w:bottom w:w="0" w:type="dxa"/>
              <w:right w:w="108" w:type="dxa"/>
            </w:tcMar>
            <w:vAlign w:val="center"/>
          </w:tcPr>
          <w:p w:rsidR="00711B98" w:rsidRPr="00314AB5" w:rsidRDefault="00711B98" w:rsidP="00711B98">
            <w:pPr>
              <w:jc w:val="center"/>
              <w:rPr>
                <w:rFonts w:eastAsia="宋体" w:cs="Times New Roman"/>
                <w:sz w:val="18"/>
                <w:szCs w:val="18"/>
              </w:rPr>
            </w:pPr>
            <w:r w:rsidRPr="00314AB5">
              <w:rPr>
                <w:rFonts w:eastAsia="宋体" w:cs="Times New Roman" w:hint="eastAsia"/>
                <w:sz w:val="18"/>
                <w:szCs w:val="18"/>
              </w:rPr>
              <w:t>本公司下属子公司</w:t>
            </w:r>
          </w:p>
        </w:tc>
        <w:tc>
          <w:tcPr>
            <w:tcW w:w="2083" w:type="dxa"/>
            <w:vAlign w:val="center"/>
          </w:tcPr>
          <w:p w:rsidR="00711B98" w:rsidRPr="00314AB5" w:rsidRDefault="00CA2C81" w:rsidP="00711B98">
            <w:pPr>
              <w:ind w:right="108"/>
              <w:jc w:val="right"/>
              <w:rPr>
                <w:rFonts w:eastAsia="宋体" w:cs="Times New Roman"/>
                <w:sz w:val="18"/>
                <w:szCs w:val="18"/>
              </w:rPr>
            </w:pPr>
            <w:r w:rsidRPr="00314AB5">
              <w:rPr>
                <w:rFonts w:eastAsia="宋体" w:cs="Times New Roman"/>
                <w:sz w:val="18"/>
                <w:szCs w:val="18"/>
              </w:rPr>
              <w:t>919,419,061.42</w:t>
            </w:r>
          </w:p>
        </w:tc>
        <w:tc>
          <w:tcPr>
            <w:tcW w:w="2084" w:type="dxa"/>
            <w:shd w:val="clear" w:color="auto" w:fill="auto"/>
            <w:tcMar>
              <w:top w:w="0" w:type="dxa"/>
              <w:left w:w="108" w:type="dxa"/>
              <w:bottom w:w="0" w:type="dxa"/>
              <w:right w:w="108" w:type="dxa"/>
            </w:tcMar>
            <w:vAlign w:val="center"/>
          </w:tcPr>
          <w:p w:rsidR="00711B98" w:rsidRPr="00314AB5" w:rsidRDefault="00711B98" w:rsidP="00711B98">
            <w:pPr>
              <w:jc w:val="right"/>
              <w:rPr>
                <w:rFonts w:eastAsia="宋体" w:cs="Times New Roman"/>
                <w:sz w:val="18"/>
                <w:szCs w:val="18"/>
              </w:rPr>
            </w:pPr>
            <w:r w:rsidRPr="00314AB5">
              <w:rPr>
                <w:rFonts w:eastAsia="宋体" w:cs="Times New Roman"/>
                <w:sz w:val="18"/>
                <w:szCs w:val="18"/>
              </w:rPr>
              <w:t>231,445,876.51</w:t>
            </w:r>
          </w:p>
        </w:tc>
      </w:tr>
      <w:tr w:rsidR="00711B98" w:rsidRPr="00314AB5" w:rsidTr="0027505B">
        <w:trPr>
          <w:trHeight w:val="20"/>
        </w:trPr>
        <w:tc>
          <w:tcPr>
            <w:tcW w:w="2335" w:type="dxa"/>
            <w:shd w:val="clear" w:color="auto" w:fill="D9D9D9" w:themeFill="background1" w:themeFillShade="D9"/>
            <w:tcMar>
              <w:top w:w="0" w:type="dxa"/>
              <w:left w:w="108" w:type="dxa"/>
              <w:bottom w:w="0" w:type="dxa"/>
              <w:right w:w="108" w:type="dxa"/>
            </w:tcMar>
            <w:vAlign w:val="center"/>
          </w:tcPr>
          <w:p w:rsidR="00711B98" w:rsidRPr="00314AB5" w:rsidRDefault="00711B98" w:rsidP="00711B98">
            <w:pPr>
              <w:jc w:val="both"/>
              <w:rPr>
                <w:rFonts w:eastAsia="宋体" w:cs="Times New Roman"/>
                <w:sz w:val="18"/>
                <w:szCs w:val="18"/>
              </w:rPr>
            </w:pPr>
            <w:r w:rsidRPr="00314AB5">
              <w:rPr>
                <w:rFonts w:eastAsia="宋体" w:cs="Times New Roman" w:hint="eastAsia"/>
                <w:sz w:val="18"/>
                <w:szCs w:val="18"/>
              </w:rPr>
              <w:t>合计</w:t>
            </w:r>
          </w:p>
        </w:tc>
        <w:tc>
          <w:tcPr>
            <w:tcW w:w="2948" w:type="dxa"/>
            <w:shd w:val="clear" w:color="auto" w:fill="FFFFFF" w:themeFill="background1"/>
            <w:tcMar>
              <w:top w:w="0" w:type="dxa"/>
              <w:left w:w="108" w:type="dxa"/>
              <w:bottom w:w="0" w:type="dxa"/>
              <w:right w:w="108" w:type="dxa"/>
            </w:tcMar>
            <w:vAlign w:val="center"/>
          </w:tcPr>
          <w:p w:rsidR="00711B98" w:rsidRPr="00314AB5" w:rsidRDefault="00711B98" w:rsidP="00711B98">
            <w:pPr>
              <w:jc w:val="center"/>
              <w:rPr>
                <w:rFonts w:eastAsia="宋体" w:cs="Times New Roman"/>
                <w:sz w:val="18"/>
                <w:szCs w:val="18"/>
              </w:rPr>
            </w:pPr>
          </w:p>
        </w:tc>
        <w:tc>
          <w:tcPr>
            <w:tcW w:w="2083" w:type="dxa"/>
            <w:shd w:val="clear" w:color="auto" w:fill="FFFFFF" w:themeFill="background1"/>
            <w:vAlign w:val="center"/>
          </w:tcPr>
          <w:p w:rsidR="00711B98" w:rsidRPr="00314AB5" w:rsidRDefault="0023159C" w:rsidP="00711B98">
            <w:pPr>
              <w:ind w:right="108"/>
              <w:jc w:val="right"/>
              <w:rPr>
                <w:rFonts w:eastAsia="宋体" w:cs="Times New Roman"/>
                <w:sz w:val="18"/>
                <w:szCs w:val="18"/>
              </w:rPr>
            </w:pPr>
            <w:r w:rsidRPr="00314AB5">
              <w:rPr>
                <w:rFonts w:eastAsia="宋体" w:cs="Times New Roman"/>
                <w:sz w:val="18"/>
                <w:szCs w:val="18"/>
              </w:rPr>
              <w:t>1,073,250,923.99</w:t>
            </w:r>
          </w:p>
        </w:tc>
        <w:tc>
          <w:tcPr>
            <w:tcW w:w="2084" w:type="dxa"/>
            <w:shd w:val="clear" w:color="auto" w:fill="FFFFFF" w:themeFill="background1"/>
            <w:tcMar>
              <w:top w:w="0" w:type="dxa"/>
              <w:left w:w="108" w:type="dxa"/>
              <w:bottom w:w="0" w:type="dxa"/>
              <w:right w:w="108" w:type="dxa"/>
            </w:tcMar>
            <w:vAlign w:val="center"/>
          </w:tcPr>
          <w:p w:rsidR="00711B98" w:rsidRPr="00314AB5" w:rsidRDefault="00711B98" w:rsidP="00711B98">
            <w:pPr>
              <w:jc w:val="right"/>
              <w:rPr>
                <w:rFonts w:eastAsia="宋体" w:cs="Times New Roman"/>
                <w:sz w:val="18"/>
                <w:szCs w:val="18"/>
              </w:rPr>
            </w:pPr>
            <w:r w:rsidRPr="00314AB5">
              <w:rPr>
                <w:rFonts w:eastAsia="宋体" w:cs="Times New Roman"/>
                <w:sz w:val="18"/>
                <w:szCs w:val="18"/>
              </w:rPr>
              <w:t>318,425,435.56</w:t>
            </w:r>
          </w:p>
        </w:tc>
      </w:tr>
      <w:tr w:rsidR="00EF5965" w:rsidRPr="00314AB5" w:rsidTr="0027505B">
        <w:trPr>
          <w:trHeight w:val="20"/>
        </w:trPr>
        <w:tc>
          <w:tcPr>
            <w:tcW w:w="2335" w:type="dxa"/>
            <w:shd w:val="clear" w:color="auto" w:fill="auto"/>
            <w:tcMar>
              <w:top w:w="0" w:type="dxa"/>
              <w:left w:w="108" w:type="dxa"/>
              <w:bottom w:w="0" w:type="dxa"/>
              <w:right w:w="108" w:type="dxa"/>
            </w:tcMar>
            <w:vAlign w:val="center"/>
          </w:tcPr>
          <w:p w:rsidR="00EF5965" w:rsidRPr="00314AB5" w:rsidRDefault="00EF5965" w:rsidP="00EF5965">
            <w:pPr>
              <w:jc w:val="both"/>
              <w:rPr>
                <w:rFonts w:eastAsia="宋体" w:cs="Times New Roman"/>
                <w:sz w:val="18"/>
                <w:szCs w:val="18"/>
              </w:rPr>
            </w:pPr>
            <w:r w:rsidRPr="00314AB5">
              <w:rPr>
                <w:rFonts w:eastAsia="宋体" w:cs="Times New Roman" w:hint="eastAsia"/>
                <w:sz w:val="18"/>
                <w:szCs w:val="18"/>
              </w:rPr>
              <w:t>其他应付款</w:t>
            </w:r>
          </w:p>
        </w:tc>
        <w:tc>
          <w:tcPr>
            <w:tcW w:w="2948" w:type="dxa"/>
            <w:tcMar>
              <w:top w:w="0" w:type="dxa"/>
              <w:left w:w="108" w:type="dxa"/>
              <w:bottom w:w="0" w:type="dxa"/>
              <w:right w:w="108" w:type="dxa"/>
            </w:tcMar>
            <w:vAlign w:val="center"/>
          </w:tcPr>
          <w:p w:rsidR="00EF5965" w:rsidRPr="00314AB5" w:rsidRDefault="00EF5965" w:rsidP="00EF5965">
            <w:pPr>
              <w:jc w:val="center"/>
              <w:rPr>
                <w:rFonts w:eastAsia="宋体" w:cs="Times New Roman"/>
                <w:sz w:val="18"/>
                <w:szCs w:val="18"/>
              </w:rPr>
            </w:pPr>
            <w:r w:rsidRPr="00314AB5">
              <w:rPr>
                <w:rFonts w:eastAsia="宋体" w:cs="Times New Roman" w:hint="eastAsia"/>
                <w:sz w:val="18"/>
                <w:szCs w:val="18"/>
              </w:rPr>
              <w:t>本公司下属子公司</w:t>
            </w:r>
          </w:p>
        </w:tc>
        <w:tc>
          <w:tcPr>
            <w:tcW w:w="2083" w:type="dxa"/>
            <w:vAlign w:val="center"/>
          </w:tcPr>
          <w:p w:rsidR="00EF5965" w:rsidRPr="00314AB5" w:rsidRDefault="00370D0C" w:rsidP="00EF5965">
            <w:pPr>
              <w:ind w:right="108"/>
              <w:jc w:val="right"/>
              <w:rPr>
                <w:rFonts w:eastAsia="宋体" w:cs="Times New Roman"/>
                <w:sz w:val="18"/>
                <w:szCs w:val="18"/>
              </w:rPr>
            </w:pPr>
            <w:r w:rsidRPr="00314AB5">
              <w:rPr>
                <w:rFonts w:eastAsia="宋体" w:cs="Times New Roman"/>
                <w:sz w:val="18"/>
                <w:szCs w:val="18"/>
              </w:rPr>
              <w:t>64,302.26</w:t>
            </w:r>
          </w:p>
        </w:tc>
        <w:tc>
          <w:tcPr>
            <w:tcW w:w="2084" w:type="dxa"/>
            <w:tcMar>
              <w:top w:w="0" w:type="dxa"/>
              <w:left w:w="108" w:type="dxa"/>
              <w:bottom w:w="0" w:type="dxa"/>
              <w:right w:w="108" w:type="dxa"/>
            </w:tcMar>
            <w:vAlign w:val="center"/>
          </w:tcPr>
          <w:p w:rsidR="00EF5965" w:rsidRPr="00314AB5" w:rsidRDefault="00EF5965" w:rsidP="00EF5965">
            <w:pPr>
              <w:jc w:val="right"/>
              <w:rPr>
                <w:rFonts w:eastAsia="宋体" w:cs="Times New Roman"/>
                <w:sz w:val="18"/>
                <w:szCs w:val="18"/>
              </w:rPr>
            </w:pPr>
            <w:r w:rsidRPr="00314AB5">
              <w:rPr>
                <w:rFonts w:eastAsia="宋体" w:cs="Times New Roman"/>
                <w:sz w:val="18"/>
                <w:szCs w:val="18"/>
              </w:rPr>
              <w:t>1,163,604,489.85</w:t>
            </w:r>
          </w:p>
        </w:tc>
      </w:tr>
      <w:tr w:rsidR="00EF5965" w:rsidRPr="00314AB5" w:rsidTr="0027505B">
        <w:trPr>
          <w:trHeight w:val="20"/>
        </w:trPr>
        <w:tc>
          <w:tcPr>
            <w:tcW w:w="2335" w:type="dxa"/>
            <w:shd w:val="clear" w:color="auto" w:fill="D9D9D9" w:themeFill="background1" w:themeFillShade="D9"/>
            <w:tcMar>
              <w:top w:w="0" w:type="dxa"/>
              <w:left w:w="108" w:type="dxa"/>
              <w:bottom w:w="0" w:type="dxa"/>
              <w:right w:w="108" w:type="dxa"/>
            </w:tcMar>
            <w:vAlign w:val="center"/>
            <w:hideMark/>
          </w:tcPr>
          <w:p w:rsidR="00EF5965" w:rsidRPr="00314AB5" w:rsidRDefault="00EF5965" w:rsidP="00EF5965">
            <w:pPr>
              <w:jc w:val="both"/>
              <w:rPr>
                <w:rFonts w:eastAsia="宋体" w:cs="Times New Roman"/>
                <w:sz w:val="18"/>
                <w:szCs w:val="18"/>
              </w:rPr>
            </w:pPr>
            <w:r w:rsidRPr="00314AB5">
              <w:rPr>
                <w:rFonts w:eastAsia="宋体" w:cs="Times New Roman" w:hint="eastAsia"/>
                <w:sz w:val="18"/>
                <w:szCs w:val="18"/>
              </w:rPr>
              <w:t>合计</w:t>
            </w:r>
          </w:p>
        </w:tc>
        <w:tc>
          <w:tcPr>
            <w:tcW w:w="2948" w:type="dxa"/>
            <w:shd w:val="clear" w:color="auto" w:fill="FFFFFF" w:themeFill="background1"/>
            <w:tcMar>
              <w:top w:w="0" w:type="dxa"/>
              <w:left w:w="108" w:type="dxa"/>
              <w:bottom w:w="0" w:type="dxa"/>
              <w:right w:w="108" w:type="dxa"/>
            </w:tcMar>
            <w:vAlign w:val="center"/>
            <w:hideMark/>
          </w:tcPr>
          <w:p w:rsidR="00EF5965" w:rsidRPr="00314AB5" w:rsidRDefault="00EF5965" w:rsidP="00EF5965">
            <w:pPr>
              <w:jc w:val="center"/>
              <w:rPr>
                <w:rFonts w:eastAsia="宋体" w:cs="Times New Roman"/>
                <w:sz w:val="18"/>
                <w:szCs w:val="18"/>
              </w:rPr>
            </w:pPr>
          </w:p>
        </w:tc>
        <w:tc>
          <w:tcPr>
            <w:tcW w:w="2083" w:type="dxa"/>
            <w:shd w:val="clear" w:color="auto" w:fill="FFFFFF" w:themeFill="background1"/>
            <w:vAlign w:val="center"/>
          </w:tcPr>
          <w:p w:rsidR="00EF5965" w:rsidRPr="00314AB5" w:rsidRDefault="00264DF0" w:rsidP="00EF5965">
            <w:pPr>
              <w:ind w:right="108"/>
              <w:jc w:val="right"/>
              <w:rPr>
                <w:rFonts w:eastAsia="宋体" w:cs="Times New Roman"/>
                <w:sz w:val="18"/>
                <w:szCs w:val="18"/>
              </w:rPr>
            </w:pPr>
            <w:r w:rsidRPr="00314AB5">
              <w:rPr>
                <w:rFonts w:eastAsia="宋体" w:cs="Times New Roman"/>
                <w:sz w:val="18"/>
                <w:szCs w:val="18"/>
              </w:rPr>
              <w:t>64,302.26</w:t>
            </w:r>
          </w:p>
        </w:tc>
        <w:tc>
          <w:tcPr>
            <w:tcW w:w="2084" w:type="dxa"/>
            <w:shd w:val="clear" w:color="auto" w:fill="FFFFFF" w:themeFill="background1"/>
            <w:tcMar>
              <w:top w:w="0" w:type="dxa"/>
              <w:left w:w="108" w:type="dxa"/>
              <w:bottom w:w="0" w:type="dxa"/>
              <w:right w:w="108" w:type="dxa"/>
            </w:tcMar>
            <w:vAlign w:val="center"/>
          </w:tcPr>
          <w:p w:rsidR="00EF5965" w:rsidRPr="00314AB5" w:rsidRDefault="00EF5965" w:rsidP="00EF5965">
            <w:pPr>
              <w:jc w:val="right"/>
              <w:rPr>
                <w:rFonts w:eastAsia="宋体" w:cs="Times New Roman"/>
                <w:sz w:val="18"/>
                <w:szCs w:val="18"/>
              </w:rPr>
            </w:pPr>
            <w:r w:rsidRPr="00314AB5">
              <w:rPr>
                <w:rFonts w:eastAsia="宋体" w:cs="Times New Roman"/>
                <w:sz w:val="18"/>
                <w:szCs w:val="18"/>
              </w:rPr>
              <w:t>1,163,604,489.85</w:t>
            </w:r>
          </w:p>
        </w:tc>
      </w:tr>
      <w:tr w:rsidR="00EF5965" w:rsidRPr="00314AB5" w:rsidTr="0027505B">
        <w:trPr>
          <w:trHeight w:val="20"/>
        </w:trPr>
        <w:tc>
          <w:tcPr>
            <w:tcW w:w="2335" w:type="dxa"/>
            <w:shd w:val="clear" w:color="auto" w:fill="auto"/>
            <w:tcMar>
              <w:top w:w="0" w:type="dxa"/>
              <w:left w:w="108" w:type="dxa"/>
              <w:bottom w:w="0" w:type="dxa"/>
              <w:right w:w="108" w:type="dxa"/>
            </w:tcMar>
            <w:vAlign w:val="center"/>
          </w:tcPr>
          <w:p w:rsidR="00EF5965" w:rsidRPr="00314AB5" w:rsidRDefault="00EF5965" w:rsidP="00EF5965">
            <w:pPr>
              <w:jc w:val="both"/>
              <w:rPr>
                <w:rFonts w:eastAsia="宋体" w:cs="Times New Roman"/>
                <w:sz w:val="18"/>
                <w:szCs w:val="18"/>
              </w:rPr>
            </w:pPr>
            <w:r w:rsidRPr="00314AB5">
              <w:rPr>
                <w:rFonts w:eastAsia="宋体" w:cs="Times New Roman" w:hint="eastAsia"/>
                <w:sz w:val="18"/>
                <w:szCs w:val="18"/>
              </w:rPr>
              <w:t>租赁负债</w:t>
            </w:r>
            <w:r w:rsidR="005F14EE" w:rsidRPr="00314AB5">
              <w:rPr>
                <w:rFonts w:eastAsia="宋体" w:cs="Times New Roman"/>
                <w:sz w:val="18"/>
                <w:szCs w:val="18"/>
              </w:rPr>
              <w:t>(</w:t>
            </w:r>
            <w:r w:rsidR="00B30780" w:rsidRPr="00314AB5">
              <w:rPr>
                <w:rFonts w:eastAsia="宋体" w:cs="Times New Roman" w:hint="eastAsia"/>
                <w:sz w:val="18"/>
                <w:szCs w:val="18"/>
              </w:rPr>
              <w:t>含一年以内</w:t>
            </w:r>
            <w:r w:rsidR="005F14EE" w:rsidRPr="00314AB5">
              <w:rPr>
                <w:rFonts w:eastAsia="宋体" w:cs="Times New Roman"/>
                <w:sz w:val="18"/>
                <w:szCs w:val="18"/>
              </w:rPr>
              <w:t>)</w:t>
            </w:r>
          </w:p>
        </w:tc>
        <w:tc>
          <w:tcPr>
            <w:tcW w:w="2948" w:type="dxa"/>
            <w:shd w:val="clear" w:color="auto" w:fill="FFFFFF" w:themeFill="background1"/>
            <w:tcMar>
              <w:top w:w="0" w:type="dxa"/>
              <w:left w:w="108" w:type="dxa"/>
              <w:bottom w:w="0" w:type="dxa"/>
              <w:right w:w="108" w:type="dxa"/>
            </w:tcMar>
            <w:vAlign w:val="center"/>
          </w:tcPr>
          <w:p w:rsidR="00EF5965" w:rsidRPr="00314AB5" w:rsidRDefault="00EF5965" w:rsidP="00EF5965">
            <w:pPr>
              <w:jc w:val="center"/>
              <w:rPr>
                <w:rFonts w:eastAsia="宋体" w:cs="Times New Roman"/>
                <w:sz w:val="18"/>
                <w:szCs w:val="18"/>
              </w:rPr>
            </w:pPr>
            <w:proofErr w:type="gramStart"/>
            <w:r w:rsidRPr="00314AB5">
              <w:rPr>
                <w:rFonts w:eastAsia="宋体" w:cs="Times New Roman" w:hint="eastAsia"/>
                <w:sz w:val="18"/>
                <w:szCs w:val="18"/>
              </w:rPr>
              <w:t>海康威视股份公司</w:t>
            </w:r>
            <w:proofErr w:type="gramEnd"/>
            <w:r w:rsidRPr="00314AB5">
              <w:rPr>
                <w:rFonts w:eastAsia="宋体" w:cs="Times New Roman" w:hint="eastAsia"/>
                <w:sz w:val="18"/>
                <w:szCs w:val="18"/>
              </w:rPr>
              <w:t>及其下属企业</w:t>
            </w:r>
          </w:p>
        </w:tc>
        <w:tc>
          <w:tcPr>
            <w:tcW w:w="2083" w:type="dxa"/>
            <w:shd w:val="clear" w:color="auto" w:fill="FFFFFF" w:themeFill="background1"/>
            <w:vAlign w:val="center"/>
          </w:tcPr>
          <w:p w:rsidR="00EF5965" w:rsidRPr="00314AB5" w:rsidRDefault="00EF5965" w:rsidP="00EF5965">
            <w:pPr>
              <w:ind w:right="108"/>
              <w:jc w:val="right"/>
              <w:rPr>
                <w:rFonts w:eastAsia="宋体" w:cs="Times New Roman"/>
                <w:sz w:val="18"/>
                <w:szCs w:val="18"/>
              </w:rPr>
            </w:pPr>
            <w:r w:rsidRPr="00314AB5">
              <w:rPr>
                <w:rFonts w:eastAsia="宋体" w:cs="Times New Roman"/>
                <w:sz w:val="18"/>
                <w:szCs w:val="18"/>
              </w:rPr>
              <w:t>11,306,634.37</w:t>
            </w:r>
          </w:p>
        </w:tc>
        <w:tc>
          <w:tcPr>
            <w:tcW w:w="2084" w:type="dxa"/>
            <w:shd w:val="clear" w:color="auto" w:fill="FFFFFF" w:themeFill="background1"/>
            <w:tcMar>
              <w:top w:w="0" w:type="dxa"/>
              <w:left w:w="108" w:type="dxa"/>
              <w:bottom w:w="0" w:type="dxa"/>
              <w:right w:w="108" w:type="dxa"/>
            </w:tcMar>
            <w:vAlign w:val="center"/>
          </w:tcPr>
          <w:p w:rsidR="00EF5965" w:rsidRPr="00314AB5" w:rsidRDefault="00EF5965" w:rsidP="00EF5965">
            <w:pPr>
              <w:jc w:val="right"/>
              <w:rPr>
                <w:rFonts w:eastAsia="宋体" w:cs="Times New Roman"/>
                <w:sz w:val="18"/>
                <w:szCs w:val="18"/>
              </w:rPr>
            </w:pPr>
            <w:r w:rsidRPr="00314AB5">
              <w:rPr>
                <w:rFonts w:eastAsia="宋体" w:cs="Times New Roman"/>
                <w:sz w:val="18"/>
                <w:szCs w:val="18"/>
              </w:rPr>
              <w:t>21,622,699.69</w:t>
            </w:r>
          </w:p>
        </w:tc>
      </w:tr>
      <w:tr w:rsidR="00EF5965" w:rsidRPr="00314AB5" w:rsidTr="0027505B">
        <w:trPr>
          <w:trHeight w:val="20"/>
        </w:trPr>
        <w:tc>
          <w:tcPr>
            <w:tcW w:w="2335" w:type="dxa"/>
            <w:shd w:val="clear" w:color="auto" w:fill="D9D9D9" w:themeFill="background1" w:themeFillShade="D9"/>
            <w:tcMar>
              <w:top w:w="0" w:type="dxa"/>
              <w:left w:w="108" w:type="dxa"/>
              <w:bottom w:w="0" w:type="dxa"/>
              <w:right w:w="108" w:type="dxa"/>
            </w:tcMar>
            <w:vAlign w:val="center"/>
          </w:tcPr>
          <w:p w:rsidR="00EF5965" w:rsidRPr="00314AB5" w:rsidRDefault="00EF5965" w:rsidP="00EF5965">
            <w:pPr>
              <w:jc w:val="both"/>
              <w:rPr>
                <w:rFonts w:eastAsia="宋体" w:cs="Times New Roman"/>
                <w:sz w:val="18"/>
                <w:szCs w:val="18"/>
              </w:rPr>
            </w:pPr>
            <w:r w:rsidRPr="00314AB5">
              <w:rPr>
                <w:rFonts w:eastAsia="宋体" w:cs="Times New Roman" w:hint="eastAsia"/>
                <w:sz w:val="18"/>
                <w:szCs w:val="18"/>
              </w:rPr>
              <w:t>合计</w:t>
            </w:r>
          </w:p>
        </w:tc>
        <w:tc>
          <w:tcPr>
            <w:tcW w:w="2948" w:type="dxa"/>
            <w:shd w:val="clear" w:color="auto" w:fill="FFFFFF" w:themeFill="background1"/>
            <w:tcMar>
              <w:top w:w="0" w:type="dxa"/>
              <w:left w:w="108" w:type="dxa"/>
              <w:bottom w:w="0" w:type="dxa"/>
              <w:right w:w="108" w:type="dxa"/>
            </w:tcMar>
            <w:vAlign w:val="center"/>
          </w:tcPr>
          <w:p w:rsidR="00EF5965" w:rsidRPr="00314AB5" w:rsidRDefault="00EF5965" w:rsidP="00EF5965">
            <w:pPr>
              <w:jc w:val="center"/>
              <w:rPr>
                <w:rFonts w:eastAsia="宋体" w:cs="Times New Roman"/>
                <w:sz w:val="18"/>
                <w:szCs w:val="18"/>
              </w:rPr>
            </w:pPr>
          </w:p>
        </w:tc>
        <w:tc>
          <w:tcPr>
            <w:tcW w:w="2083" w:type="dxa"/>
            <w:shd w:val="clear" w:color="auto" w:fill="FFFFFF" w:themeFill="background1"/>
            <w:vAlign w:val="center"/>
          </w:tcPr>
          <w:p w:rsidR="00EF5965" w:rsidRPr="00314AB5" w:rsidRDefault="00EF5965" w:rsidP="00EF5965">
            <w:pPr>
              <w:ind w:right="108"/>
              <w:jc w:val="right"/>
              <w:rPr>
                <w:rFonts w:eastAsia="宋体" w:cs="Times New Roman"/>
                <w:sz w:val="18"/>
                <w:szCs w:val="18"/>
              </w:rPr>
            </w:pPr>
            <w:r w:rsidRPr="00314AB5">
              <w:rPr>
                <w:rFonts w:eastAsia="宋体" w:cs="Times New Roman"/>
                <w:sz w:val="18"/>
                <w:szCs w:val="18"/>
              </w:rPr>
              <w:t>11,306,634.37</w:t>
            </w:r>
          </w:p>
        </w:tc>
        <w:tc>
          <w:tcPr>
            <w:tcW w:w="2084" w:type="dxa"/>
            <w:shd w:val="clear" w:color="auto" w:fill="FFFFFF" w:themeFill="background1"/>
            <w:tcMar>
              <w:top w:w="0" w:type="dxa"/>
              <w:left w:w="108" w:type="dxa"/>
              <w:bottom w:w="0" w:type="dxa"/>
              <w:right w:w="108" w:type="dxa"/>
            </w:tcMar>
            <w:vAlign w:val="center"/>
          </w:tcPr>
          <w:p w:rsidR="00EF5965" w:rsidRPr="00314AB5" w:rsidRDefault="00EF5965" w:rsidP="00EF5965">
            <w:pPr>
              <w:jc w:val="right"/>
              <w:rPr>
                <w:rFonts w:eastAsia="宋体" w:cs="Times New Roman"/>
                <w:sz w:val="18"/>
                <w:szCs w:val="18"/>
              </w:rPr>
            </w:pPr>
            <w:r w:rsidRPr="00314AB5">
              <w:rPr>
                <w:rFonts w:eastAsia="宋体" w:cs="Times New Roman"/>
                <w:sz w:val="18"/>
                <w:szCs w:val="18"/>
              </w:rPr>
              <w:t>21,622,699.69</w:t>
            </w:r>
          </w:p>
        </w:tc>
      </w:tr>
      <w:tr w:rsidR="00EF5965" w:rsidRPr="00314AB5" w:rsidTr="0027505B">
        <w:trPr>
          <w:trHeight w:val="20"/>
        </w:trPr>
        <w:tc>
          <w:tcPr>
            <w:tcW w:w="2335" w:type="dxa"/>
            <w:shd w:val="clear" w:color="auto" w:fill="auto"/>
            <w:tcMar>
              <w:top w:w="0" w:type="dxa"/>
              <w:left w:w="108" w:type="dxa"/>
              <w:bottom w:w="0" w:type="dxa"/>
              <w:right w:w="108" w:type="dxa"/>
            </w:tcMar>
            <w:vAlign w:val="center"/>
          </w:tcPr>
          <w:p w:rsidR="00EF5965" w:rsidRPr="00314AB5" w:rsidRDefault="00EF5965" w:rsidP="00EF5965">
            <w:pPr>
              <w:jc w:val="both"/>
              <w:rPr>
                <w:rFonts w:eastAsia="宋体" w:cs="Times New Roman"/>
                <w:sz w:val="18"/>
                <w:szCs w:val="18"/>
              </w:rPr>
            </w:pPr>
            <w:r w:rsidRPr="00314AB5">
              <w:rPr>
                <w:rFonts w:eastAsia="宋体" w:cs="Times New Roman" w:hint="eastAsia"/>
                <w:sz w:val="18"/>
                <w:szCs w:val="18"/>
              </w:rPr>
              <w:t>应付票据</w:t>
            </w:r>
          </w:p>
        </w:tc>
        <w:tc>
          <w:tcPr>
            <w:tcW w:w="2948" w:type="dxa"/>
            <w:shd w:val="clear" w:color="auto" w:fill="FFFFFF" w:themeFill="background1"/>
            <w:tcMar>
              <w:top w:w="0" w:type="dxa"/>
              <w:left w:w="108" w:type="dxa"/>
              <w:bottom w:w="0" w:type="dxa"/>
              <w:right w:w="108" w:type="dxa"/>
            </w:tcMar>
            <w:vAlign w:val="center"/>
          </w:tcPr>
          <w:p w:rsidR="00EF5965" w:rsidRPr="00314AB5" w:rsidRDefault="00C304F3" w:rsidP="00EF5965">
            <w:pPr>
              <w:jc w:val="center"/>
              <w:rPr>
                <w:rFonts w:eastAsia="宋体" w:cs="Times New Roman"/>
                <w:sz w:val="18"/>
                <w:szCs w:val="18"/>
              </w:rPr>
            </w:pPr>
            <w:r>
              <w:rPr>
                <w:rFonts w:eastAsia="宋体" w:cs="Times New Roman" w:hint="eastAsia"/>
                <w:sz w:val="18"/>
                <w:szCs w:val="18"/>
              </w:rPr>
              <w:t>其他关联</w:t>
            </w:r>
            <w:r w:rsidR="00EF5965" w:rsidRPr="00314AB5">
              <w:rPr>
                <w:rFonts w:eastAsia="宋体" w:cs="Times New Roman" w:hint="eastAsia"/>
                <w:sz w:val="18"/>
                <w:szCs w:val="18"/>
              </w:rPr>
              <w:t>企业</w:t>
            </w:r>
          </w:p>
        </w:tc>
        <w:tc>
          <w:tcPr>
            <w:tcW w:w="2083" w:type="dxa"/>
            <w:shd w:val="clear" w:color="auto" w:fill="FFFFFF" w:themeFill="background1"/>
            <w:vAlign w:val="center"/>
          </w:tcPr>
          <w:p w:rsidR="00EF5965" w:rsidRPr="00314AB5" w:rsidRDefault="00C304F3" w:rsidP="00EF5965">
            <w:pPr>
              <w:ind w:right="108"/>
              <w:jc w:val="right"/>
              <w:rPr>
                <w:rFonts w:eastAsia="宋体" w:cs="Times New Roman"/>
                <w:sz w:val="18"/>
                <w:szCs w:val="18"/>
              </w:rPr>
            </w:pPr>
            <w:r w:rsidRPr="000E742B">
              <w:rPr>
                <w:rFonts w:eastAsia="宋体" w:cs="Times New Roman"/>
                <w:sz w:val="18"/>
                <w:szCs w:val="18"/>
              </w:rPr>
              <w:t>3,848,421.38</w:t>
            </w:r>
          </w:p>
        </w:tc>
        <w:tc>
          <w:tcPr>
            <w:tcW w:w="2084" w:type="dxa"/>
            <w:shd w:val="clear" w:color="auto" w:fill="FFFFFF" w:themeFill="background1"/>
            <w:tcMar>
              <w:top w:w="0" w:type="dxa"/>
              <w:left w:w="108" w:type="dxa"/>
              <w:bottom w:w="0" w:type="dxa"/>
              <w:right w:w="108" w:type="dxa"/>
            </w:tcMar>
            <w:vAlign w:val="center"/>
          </w:tcPr>
          <w:p w:rsidR="00EF5965" w:rsidRPr="00314AB5" w:rsidRDefault="00EF5965" w:rsidP="00EF5965">
            <w:pPr>
              <w:jc w:val="right"/>
              <w:rPr>
                <w:rFonts w:eastAsia="宋体" w:cs="Times New Roman"/>
                <w:sz w:val="18"/>
                <w:szCs w:val="18"/>
              </w:rPr>
            </w:pPr>
            <w:r w:rsidRPr="00314AB5">
              <w:rPr>
                <w:rFonts w:eastAsia="宋体" w:cs="Times New Roman"/>
                <w:sz w:val="18"/>
                <w:szCs w:val="18"/>
              </w:rPr>
              <w:t>14,378,188.78</w:t>
            </w:r>
          </w:p>
        </w:tc>
      </w:tr>
      <w:tr w:rsidR="00EF5965" w:rsidRPr="00314AB5" w:rsidTr="0027505B">
        <w:trPr>
          <w:trHeight w:val="20"/>
        </w:trPr>
        <w:tc>
          <w:tcPr>
            <w:tcW w:w="2335" w:type="dxa"/>
            <w:shd w:val="clear" w:color="auto" w:fill="auto"/>
            <w:tcMar>
              <w:top w:w="0" w:type="dxa"/>
              <w:left w:w="108" w:type="dxa"/>
              <w:bottom w:w="0" w:type="dxa"/>
              <w:right w:w="108" w:type="dxa"/>
            </w:tcMar>
            <w:vAlign w:val="center"/>
          </w:tcPr>
          <w:p w:rsidR="00EF5965" w:rsidRPr="00314AB5" w:rsidRDefault="00EF5965" w:rsidP="00EF5965">
            <w:pPr>
              <w:jc w:val="both"/>
              <w:rPr>
                <w:rFonts w:eastAsia="宋体" w:cs="Times New Roman"/>
                <w:sz w:val="18"/>
                <w:szCs w:val="18"/>
              </w:rPr>
            </w:pPr>
            <w:r w:rsidRPr="00314AB5">
              <w:rPr>
                <w:rFonts w:eastAsia="宋体" w:cs="Times New Roman" w:hint="eastAsia"/>
                <w:sz w:val="18"/>
                <w:szCs w:val="18"/>
              </w:rPr>
              <w:t>应付票据</w:t>
            </w:r>
          </w:p>
        </w:tc>
        <w:tc>
          <w:tcPr>
            <w:tcW w:w="2948" w:type="dxa"/>
            <w:shd w:val="clear" w:color="auto" w:fill="FFFFFF" w:themeFill="background1"/>
            <w:tcMar>
              <w:top w:w="0" w:type="dxa"/>
              <w:left w:w="108" w:type="dxa"/>
              <w:bottom w:w="0" w:type="dxa"/>
              <w:right w:w="108" w:type="dxa"/>
            </w:tcMar>
            <w:vAlign w:val="center"/>
          </w:tcPr>
          <w:p w:rsidR="00EF5965" w:rsidRPr="00314AB5" w:rsidRDefault="00EF5965" w:rsidP="00EF5965">
            <w:pPr>
              <w:jc w:val="center"/>
              <w:rPr>
                <w:rFonts w:eastAsia="宋体" w:cs="Times New Roman"/>
                <w:sz w:val="18"/>
                <w:szCs w:val="18"/>
              </w:rPr>
            </w:pPr>
            <w:r w:rsidRPr="00314AB5">
              <w:rPr>
                <w:rFonts w:eastAsia="宋体" w:cs="Times New Roman" w:hint="eastAsia"/>
                <w:sz w:val="18"/>
                <w:szCs w:val="18"/>
              </w:rPr>
              <w:t>中电下属企业</w:t>
            </w:r>
          </w:p>
        </w:tc>
        <w:tc>
          <w:tcPr>
            <w:tcW w:w="2083" w:type="dxa"/>
            <w:shd w:val="clear" w:color="auto" w:fill="FFFFFF" w:themeFill="background1"/>
            <w:vAlign w:val="center"/>
          </w:tcPr>
          <w:p w:rsidR="00EF5965" w:rsidRPr="00314AB5" w:rsidRDefault="00EF5965" w:rsidP="00EF5965">
            <w:pPr>
              <w:ind w:right="108"/>
              <w:jc w:val="right"/>
              <w:rPr>
                <w:rFonts w:eastAsia="宋体" w:cs="Times New Roman"/>
                <w:sz w:val="18"/>
                <w:szCs w:val="18"/>
              </w:rPr>
            </w:pPr>
            <w:r w:rsidRPr="00314AB5">
              <w:rPr>
                <w:rFonts w:eastAsia="宋体" w:cs="Times New Roman"/>
                <w:sz w:val="18"/>
                <w:szCs w:val="18"/>
              </w:rPr>
              <w:t>581,043.24</w:t>
            </w:r>
          </w:p>
        </w:tc>
        <w:tc>
          <w:tcPr>
            <w:tcW w:w="2084" w:type="dxa"/>
            <w:shd w:val="clear" w:color="auto" w:fill="FFFFFF" w:themeFill="background1"/>
            <w:tcMar>
              <w:top w:w="0" w:type="dxa"/>
              <w:left w:w="108" w:type="dxa"/>
              <w:bottom w:w="0" w:type="dxa"/>
              <w:right w:w="108" w:type="dxa"/>
            </w:tcMar>
            <w:vAlign w:val="center"/>
          </w:tcPr>
          <w:p w:rsidR="00EF5965" w:rsidRPr="00314AB5" w:rsidRDefault="00EF5965" w:rsidP="00EF5965">
            <w:pPr>
              <w:jc w:val="right"/>
              <w:rPr>
                <w:rFonts w:eastAsia="宋体" w:cs="Times New Roman"/>
                <w:sz w:val="18"/>
                <w:szCs w:val="18"/>
              </w:rPr>
            </w:pPr>
            <w:r w:rsidRPr="00314AB5">
              <w:rPr>
                <w:rFonts w:eastAsia="宋体" w:cs="Times New Roman"/>
                <w:sz w:val="18"/>
                <w:szCs w:val="18"/>
              </w:rPr>
              <w:t>2,713,099.22</w:t>
            </w:r>
          </w:p>
        </w:tc>
      </w:tr>
      <w:tr w:rsidR="00EF5965" w:rsidRPr="00314AB5" w:rsidTr="0027505B">
        <w:trPr>
          <w:trHeight w:val="20"/>
        </w:trPr>
        <w:tc>
          <w:tcPr>
            <w:tcW w:w="2335" w:type="dxa"/>
            <w:shd w:val="clear" w:color="auto" w:fill="auto"/>
            <w:tcMar>
              <w:top w:w="0" w:type="dxa"/>
              <w:left w:w="108" w:type="dxa"/>
              <w:bottom w:w="0" w:type="dxa"/>
              <w:right w:w="108" w:type="dxa"/>
            </w:tcMar>
            <w:vAlign w:val="center"/>
          </w:tcPr>
          <w:p w:rsidR="00EF5965" w:rsidRPr="00314AB5" w:rsidRDefault="00EF5965" w:rsidP="00EF5965">
            <w:pPr>
              <w:jc w:val="both"/>
              <w:rPr>
                <w:rFonts w:eastAsia="宋体" w:cs="Times New Roman"/>
                <w:sz w:val="18"/>
                <w:szCs w:val="18"/>
              </w:rPr>
            </w:pPr>
            <w:r w:rsidRPr="00314AB5">
              <w:rPr>
                <w:rFonts w:eastAsia="宋体" w:cs="Times New Roman" w:hint="eastAsia"/>
                <w:sz w:val="18"/>
                <w:szCs w:val="18"/>
              </w:rPr>
              <w:t>应付票据</w:t>
            </w:r>
          </w:p>
        </w:tc>
        <w:tc>
          <w:tcPr>
            <w:tcW w:w="2948" w:type="dxa"/>
            <w:shd w:val="clear" w:color="auto" w:fill="FFFFFF" w:themeFill="background1"/>
            <w:tcMar>
              <w:top w:w="0" w:type="dxa"/>
              <w:left w:w="108" w:type="dxa"/>
              <w:bottom w:w="0" w:type="dxa"/>
              <w:right w:w="108" w:type="dxa"/>
            </w:tcMar>
            <w:vAlign w:val="center"/>
          </w:tcPr>
          <w:p w:rsidR="00EF5965" w:rsidRPr="00314AB5" w:rsidRDefault="00EF5965" w:rsidP="00EF5965">
            <w:pPr>
              <w:jc w:val="center"/>
              <w:rPr>
                <w:rFonts w:eastAsia="宋体" w:cs="Times New Roman"/>
                <w:sz w:val="18"/>
                <w:szCs w:val="18"/>
              </w:rPr>
            </w:pPr>
            <w:r w:rsidRPr="00314AB5">
              <w:rPr>
                <w:rFonts w:eastAsia="宋体" w:cs="Times New Roman" w:hint="eastAsia"/>
                <w:sz w:val="18"/>
                <w:szCs w:val="18"/>
              </w:rPr>
              <w:t>本公司下属子公司</w:t>
            </w:r>
          </w:p>
        </w:tc>
        <w:tc>
          <w:tcPr>
            <w:tcW w:w="2083" w:type="dxa"/>
            <w:shd w:val="clear" w:color="auto" w:fill="FFFFFF" w:themeFill="background1"/>
            <w:vAlign w:val="center"/>
          </w:tcPr>
          <w:p w:rsidR="00EF5965" w:rsidRPr="00314AB5" w:rsidRDefault="00EF5965" w:rsidP="00EF5965">
            <w:pPr>
              <w:ind w:right="108"/>
              <w:jc w:val="right"/>
              <w:rPr>
                <w:rFonts w:eastAsia="宋体" w:cs="Times New Roman"/>
                <w:sz w:val="18"/>
                <w:szCs w:val="18"/>
              </w:rPr>
            </w:pPr>
            <w:r w:rsidRPr="00314AB5">
              <w:rPr>
                <w:rFonts w:eastAsia="宋体" w:cs="Times New Roman"/>
                <w:sz w:val="18"/>
                <w:szCs w:val="18"/>
              </w:rPr>
              <w:t>123,422,305.53</w:t>
            </w:r>
          </w:p>
        </w:tc>
        <w:tc>
          <w:tcPr>
            <w:tcW w:w="2084" w:type="dxa"/>
            <w:shd w:val="clear" w:color="auto" w:fill="FFFFFF" w:themeFill="background1"/>
            <w:tcMar>
              <w:top w:w="0" w:type="dxa"/>
              <w:left w:w="108" w:type="dxa"/>
              <w:bottom w:w="0" w:type="dxa"/>
              <w:right w:w="108" w:type="dxa"/>
            </w:tcMar>
            <w:vAlign w:val="center"/>
          </w:tcPr>
          <w:p w:rsidR="00EF5965" w:rsidRPr="00314AB5" w:rsidRDefault="00EF5965" w:rsidP="00EF5965">
            <w:pPr>
              <w:jc w:val="right"/>
              <w:rPr>
                <w:rFonts w:eastAsia="宋体" w:cs="Times New Roman"/>
                <w:sz w:val="18"/>
                <w:szCs w:val="18"/>
              </w:rPr>
            </w:pPr>
            <w:r w:rsidRPr="00314AB5">
              <w:rPr>
                <w:rFonts w:eastAsia="宋体" w:cs="Times New Roman"/>
                <w:sz w:val="18"/>
                <w:szCs w:val="18"/>
              </w:rPr>
              <w:t>15,088,871.01</w:t>
            </w:r>
          </w:p>
        </w:tc>
      </w:tr>
      <w:tr w:rsidR="00AC08BB" w:rsidRPr="00314AB5" w:rsidTr="0027505B">
        <w:trPr>
          <w:trHeight w:val="20"/>
        </w:trPr>
        <w:tc>
          <w:tcPr>
            <w:tcW w:w="2335" w:type="dxa"/>
            <w:shd w:val="clear" w:color="auto" w:fill="D9D9D9" w:themeFill="background1" w:themeFillShade="D9"/>
            <w:tcMar>
              <w:top w:w="0" w:type="dxa"/>
              <w:left w:w="108" w:type="dxa"/>
              <w:bottom w:w="0" w:type="dxa"/>
              <w:right w:w="108" w:type="dxa"/>
            </w:tcMar>
            <w:vAlign w:val="center"/>
          </w:tcPr>
          <w:p w:rsidR="00AC08BB" w:rsidRPr="00314AB5" w:rsidRDefault="00AC08BB" w:rsidP="00AC08BB">
            <w:pPr>
              <w:jc w:val="both"/>
              <w:rPr>
                <w:rFonts w:eastAsia="宋体" w:cs="Times New Roman"/>
                <w:sz w:val="18"/>
                <w:szCs w:val="18"/>
              </w:rPr>
            </w:pPr>
            <w:r w:rsidRPr="00314AB5">
              <w:rPr>
                <w:rFonts w:eastAsia="宋体" w:cs="Times New Roman" w:hint="eastAsia"/>
                <w:sz w:val="18"/>
                <w:szCs w:val="18"/>
              </w:rPr>
              <w:t>合计</w:t>
            </w:r>
          </w:p>
        </w:tc>
        <w:tc>
          <w:tcPr>
            <w:tcW w:w="2948" w:type="dxa"/>
            <w:shd w:val="clear" w:color="auto" w:fill="FFFFFF" w:themeFill="background1"/>
            <w:tcMar>
              <w:top w:w="0" w:type="dxa"/>
              <w:left w:w="108" w:type="dxa"/>
              <w:bottom w:w="0" w:type="dxa"/>
              <w:right w:w="108" w:type="dxa"/>
            </w:tcMar>
            <w:vAlign w:val="center"/>
          </w:tcPr>
          <w:p w:rsidR="00AC08BB" w:rsidRPr="00314AB5" w:rsidRDefault="00AC08BB" w:rsidP="00AC08BB">
            <w:pPr>
              <w:jc w:val="center"/>
              <w:rPr>
                <w:rFonts w:eastAsia="宋体" w:cs="Times New Roman"/>
                <w:sz w:val="18"/>
                <w:szCs w:val="18"/>
              </w:rPr>
            </w:pPr>
          </w:p>
        </w:tc>
        <w:tc>
          <w:tcPr>
            <w:tcW w:w="2083" w:type="dxa"/>
            <w:shd w:val="clear" w:color="auto" w:fill="FFFFFF" w:themeFill="background1"/>
            <w:vAlign w:val="center"/>
          </w:tcPr>
          <w:p w:rsidR="00AC08BB" w:rsidRPr="00314AB5" w:rsidRDefault="00B91B53" w:rsidP="00AC08BB">
            <w:pPr>
              <w:ind w:right="108"/>
              <w:jc w:val="right"/>
              <w:rPr>
                <w:rFonts w:eastAsia="宋体" w:cs="Times New Roman"/>
                <w:sz w:val="18"/>
                <w:szCs w:val="18"/>
              </w:rPr>
            </w:pPr>
            <w:r w:rsidRPr="00B91B53">
              <w:rPr>
                <w:rFonts w:eastAsia="宋体" w:cs="Times New Roman"/>
                <w:sz w:val="18"/>
                <w:szCs w:val="18"/>
              </w:rPr>
              <w:t>127,851,770.15</w:t>
            </w:r>
          </w:p>
        </w:tc>
        <w:tc>
          <w:tcPr>
            <w:tcW w:w="2084" w:type="dxa"/>
            <w:shd w:val="clear" w:color="auto" w:fill="FFFFFF" w:themeFill="background1"/>
            <w:tcMar>
              <w:top w:w="0" w:type="dxa"/>
              <w:left w:w="108" w:type="dxa"/>
              <w:bottom w:w="0" w:type="dxa"/>
              <w:right w:w="108" w:type="dxa"/>
            </w:tcMar>
            <w:vAlign w:val="center"/>
          </w:tcPr>
          <w:p w:rsidR="00AC08BB" w:rsidRPr="00314AB5" w:rsidRDefault="00AC08BB" w:rsidP="00AC08BB">
            <w:pPr>
              <w:jc w:val="right"/>
              <w:rPr>
                <w:rFonts w:eastAsia="宋体" w:cs="Times New Roman"/>
                <w:sz w:val="18"/>
                <w:szCs w:val="18"/>
              </w:rPr>
            </w:pPr>
            <w:r w:rsidRPr="00314AB5">
              <w:rPr>
                <w:rFonts w:eastAsia="宋体" w:cs="Times New Roman"/>
                <w:sz w:val="18"/>
                <w:szCs w:val="18"/>
              </w:rPr>
              <w:t>32,180,159.01</w:t>
            </w:r>
          </w:p>
        </w:tc>
      </w:tr>
      <w:tr w:rsidR="00AC08BB" w:rsidRPr="00314AB5" w:rsidTr="0027505B">
        <w:trPr>
          <w:trHeight w:val="20"/>
        </w:trPr>
        <w:tc>
          <w:tcPr>
            <w:tcW w:w="2335" w:type="dxa"/>
            <w:shd w:val="clear" w:color="auto" w:fill="auto"/>
            <w:tcMar>
              <w:top w:w="0" w:type="dxa"/>
              <w:left w:w="108" w:type="dxa"/>
              <w:bottom w:w="0" w:type="dxa"/>
              <w:right w:w="108" w:type="dxa"/>
            </w:tcMar>
            <w:vAlign w:val="center"/>
          </w:tcPr>
          <w:p w:rsidR="00AC08BB" w:rsidRPr="00314AB5" w:rsidRDefault="00AC08BB" w:rsidP="00AC08BB">
            <w:pPr>
              <w:jc w:val="both"/>
              <w:rPr>
                <w:rFonts w:eastAsia="宋体" w:cs="Times New Roman"/>
                <w:sz w:val="18"/>
                <w:szCs w:val="18"/>
              </w:rPr>
            </w:pPr>
            <w:r w:rsidRPr="00314AB5">
              <w:rPr>
                <w:rFonts w:eastAsia="宋体" w:cs="Times New Roman" w:hint="eastAsia"/>
                <w:sz w:val="18"/>
                <w:szCs w:val="18"/>
              </w:rPr>
              <w:t>合同负债</w:t>
            </w:r>
          </w:p>
        </w:tc>
        <w:tc>
          <w:tcPr>
            <w:tcW w:w="2948" w:type="dxa"/>
            <w:shd w:val="clear" w:color="auto" w:fill="FFFFFF" w:themeFill="background1"/>
            <w:tcMar>
              <w:top w:w="0" w:type="dxa"/>
              <w:left w:w="108" w:type="dxa"/>
              <w:bottom w:w="0" w:type="dxa"/>
              <w:right w:w="108" w:type="dxa"/>
            </w:tcMar>
            <w:vAlign w:val="center"/>
          </w:tcPr>
          <w:p w:rsidR="00AC08BB" w:rsidRPr="00314AB5" w:rsidRDefault="00AC08BB" w:rsidP="00AC08BB">
            <w:pPr>
              <w:jc w:val="center"/>
              <w:rPr>
                <w:rFonts w:eastAsia="宋体" w:cs="Times New Roman"/>
                <w:sz w:val="18"/>
                <w:szCs w:val="18"/>
              </w:rPr>
            </w:pPr>
            <w:proofErr w:type="gramStart"/>
            <w:r w:rsidRPr="00314AB5">
              <w:rPr>
                <w:rFonts w:eastAsia="宋体" w:cs="Times New Roman" w:hint="eastAsia"/>
                <w:sz w:val="18"/>
                <w:szCs w:val="18"/>
              </w:rPr>
              <w:t>海康威视股份公司</w:t>
            </w:r>
            <w:proofErr w:type="gramEnd"/>
            <w:r w:rsidRPr="00314AB5">
              <w:rPr>
                <w:rFonts w:eastAsia="宋体" w:cs="Times New Roman" w:hint="eastAsia"/>
                <w:sz w:val="18"/>
                <w:szCs w:val="18"/>
              </w:rPr>
              <w:t>及其下属企业</w:t>
            </w:r>
          </w:p>
        </w:tc>
        <w:tc>
          <w:tcPr>
            <w:tcW w:w="2083" w:type="dxa"/>
            <w:shd w:val="clear" w:color="auto" w:fill="FFFFFF" w:themeFill="background1"/>
            <w:vAlign w:val="center"/>
          </w:tcPr>
          <w:p w:rsidR="00AC08BB" w:rsidRPr="00314AB5" w:rsidRDefault="00AC08BB" w:rsidP="00AC08BB">
            <w:pPr>
              <w:ind w:right="108"/>
              <w:jc w:val="right"/>
              <w:rPr>
                <w:rFonts w:eastAsia="宋体" w:cs="Times New Roman"/>
                <w:sz w:val="18"/>
                <w:szCs w:val="18"/>
              </w:rPr>
            </w:pPr>
            <w:r w:rsidRPr="00314AB5">
              <w:rPr>
                <w:rFonts w:eastAsia="宋体" w:cs="Times New Roman"/>
                <w:sz w:val="18"/>
                <w:szCs w:val="18"/>
              </w:rPr>
              <w:t>1,845,011.6</w:t>
            </w:r>
            <w:r w:rsidR="00C07C03">
              <w:rPr>
                <w:rFonts w:eastAsia="宋体" w:cs="Times New Roman"/>
                <w:sz w:val="18"/>
                <w:szCs w:val="18"/>
              </w:rPr>
              <w:t>7</w:t>
            </w:r>
          </w:p>
        </w:tc>
        <w:tc>
          <w:tcPr>
            <w:tcW w:w="2084" w:type="dxa"/>
            <w:shd w:val="clear" w:color="auto" w:fill="FFFFFF" w:themeFill="background1"/>
            <w:tcMar>
              <w:top w:w="0" w:type="dxa"/>
              <w:left w:w="108" w:type="dxa"/>
              <w:bottom w:w="0" w:type="dxa"/>
              <w:right w:w="108" w:type="dxa"/>
            </w:tcMar>
            <w:vAlign w:val="center"/>
          </w:tcPr>
          <w:p w:rsidR="00AC08BB" w:rsidRPr="00314AB5" w:rsidRDefault="00AC08BB" w:rsidP="00AC08BB">
            <w:pPr>
              <w:jc w:val="right"/>
              <w:rPr>
                <w:rFonts w:eastAsia="宋体" w:cs="Times New Roman"/>
                <w:sz w:val="18"/>
                <w:szCs w:val="18"/>
              </w:rPr>
            </w:pPr>
            <w:r w:rsidRPr="00314AB5">
              <w:rPr>
                <w:rFonts w:eastAsia="宋体" w:cs="Times New Roman"/>
                <w:sz w:val="18"/>
                <w:szCs w:val="18"/>
              </w:rPr>
              <w:t>-    </w:t>
            </w:r>
          </w:p>
        </w:tc>
      </w:tr>
      <w:tr w:rsidR="00AC08BB" w:rsidRPr="00314AB5" w:rsidTr="0027505B">
        <w:trPr>
          <w:trHeight w:val="20"/>
        </w:trPr>
        <w:tc>
          <w:tcPr>
            <w:tcW w:w="2335" w:type="dxa"/>
            <w:shd w:val="clear" w:color="auto" w:fill="auto"/>
            <w:tcMar>
              <w:top w:w="0" w:type="dxa"/>
              <w:left w:w="108" w:type="dxa"/>
              <w:bottom w:w="0" w:type="dxa"/>
              <w:right w:w="108" w:type="dxa"/>
            </w:tcMar>
            <w:vAlign w:val="center"/>
          </w:tcPr>
          <w:p w:rsidR="00AC08BB" w:rsidRPr="00314AB5" w:rsidRDefault="00AC08BB" w:rsidP="00AC08BB">
            <w:pPr>
              <w:jc w:val="both"/>
              <w:rPr>
                <w:rFonts w:eastAsia="宋体" w:cs="Times New Roman"/>
                <w:sz w:val="18"/>
                <w:szCs w:val="18"/>
              </w:rPr>
            </w:pPr>
            <w:r w:rsidRPr="00314AB5">
              <w:rPr>
                <w:rFonts w:eastAsia="宋体" w:cs="Times New Roman" w:hint="eastAsia"/>
                <w:sz w:val="18"/>
                <w:szCs w:val="18"/>
              </w:rPr>
              <w:t>合同负债</w:t>
            </w:r>
          </w:p>
        </w:tc>
        <w:tc>
          <w:tcPr>
            <w:tcW w:w="2948" w:type="dxa"/>
            <w:shd w:val="clear" w:color="auto" w:fill="FFFFFF" w:themeFill="background1"/>
            <w:tcMar>
              <w:top w:w="0" w:type="dxa"/>
              <w:left w:w="108" w:type="dxa"/>
              <w:bottom w:w="0" w:type="dxa"/>
              <w:right w:w="108" w:type="dxa"/>
            </w:tcMar>
            <w:vAlign w:val="center"/>
          </w:tcPr>
          <w:p w:rsidR="00AC08BB" w:rsidRPr="00314AB5" w:rsidRDefault="00AC08BB" w:rsidP="00AC08BB">
            <w:pPr>
              <w:jc w:val="center"/>
              <w:rPr>
                <w:rFonts w:eastAsia="宋体" w:cs="Times New Roman"/>
                <w:sz w:val="18"/>
                <w:szCs w:val="18"/>
              </w:rPr>
            </w:pPr>
            <w:r w:rsidRPr="00314AB5">
              <w:rPr>
                <w:rFonts w:eastAsia="宋体" w:cs="Times New Roman" w:hint="eastAsia"/>
                <w:sz w:val="18"/>
                <w:szCs w:val="18"/>
              </w:rPr>
              <w:t>本公司下属子公司</w:t>
            </w:r>
          </w:p>
        </w:tc>
        <w:tc>
          <w:tcPr>
            <w:tcW w:w="2083" w:type="dxa"/>
            <w:shd w:val="clear" w:color="auto" w:fill="FFFFFF" w:themeFill="background1"/>
            <w:vAlign w:val="center"/>
          </w:tcPr>
          <w:p w:rsidR="00AC08BB" w:rsidRPr="00314AB5" w:rsidRDefault="00AC08BB" w:rsidP="00AC08BB">
            <w:pPr>
              <w:ind w:right="108"/>
              <w:jc w:val="right"/>
              <w:rPr>
                <w:rFonts w:eastAsia="宋体" w:cs="Times New Roman"/>
                <w:sz w:val="18"/>
                <w:szCs w:val="18"/>
              </w:rPr>
            </w:pPr>
            <w:r w:rsidRPr="00314AB5">
              <w:rPr>
                <w:rFonts w:eastAsia="宋体" w:cs="Times New Roman"/>
                <w:sz w:val="18"/>
                <w:szCs w:val="18"/>
              </w:rPr>
              <w:t>293,843.65</w:t>
            </w:r>
          </w:p>
        </w:tc>
        <w:tc>
          <w:tcPr>
            <w:tcW w:w="2084" w:type="dxa"/>
            <w:shd w:val="clear" w:color="auto" w:fill="FFFFFF" w:themeFill="background1"/>
            <w:tcMar>
              <w:top w:w="0" w:type="dxa"/>
              <w:left w:w="108" w:type="dxa"/>
              <w:bottom w:w="0" w:type="dxa"/>
              <w:right w:w="108" w:type="dxa"/>
            </w:tcMar>
            <w:vAlign w:val="center"/>
          </w:tcPr>
          <w:p w:rsidR="00AC08BB" w:rsidRPr="00314AB5" w:rsidRDefault="00AC08BB" w:rsidP="00AC08BB">
            <w:pPr>
              <w:jc w:val="right"/>
              <w:rPr>
                <w:rFonts w:eastAsia="宋体" w:cs="Times New Roman"/>
                <w:sz w:val="18"/>
                <w:szCs w:val="18"/>
              </w:rPr>
            </w:pPr>
            <w:r w:rsidRPr="00314AB5">
              <w:rPr>
                <w:rFonts w:eastAsia="宋体" w:cs="Times New Roman"/>
                <w:sz w:val="18"/>
                <w:szCs w:val="18"/>
              </w:rPr>
              <w:t>-    </w:t>
            </w:r>
          </w:p>
        </w:tc>
      </w:tr>
      <w:tr w:rsidR="00AC08BB" w:rsidRPr="00314AB5" w:rsidTr="0027505B">
        <w:trPr>
          <w:trHeight w:val="20"/>
        </w:trPr>
        <w:tc>
          <w:tcPr>
            <w:tcW w:w="2335" w:type="dxa"/>
            <w:shd w:val="clear" w:color="auto" w:fill="D9D9D9" w:themeFill="background1" w:themeFillShade="D9"/>
            <w:tcMar>
              <w:top w:w="0" w:type="dxa"/>
              <w:left w:w="108" w:type="dxa"/>
              <w:bottom w:w="0" w:type="dxa"/>
              <w:right w:w="108" w:type="dxa"/>
            </w:tcMar>
            <w:vAlign w:val="center"/>
          </w:tcPr>
          <w:p w:rsidR="00AC08BB" w:rsidRPr="00314AB5" w:rsidRDefault="00AC08BB" w:rsidP="00AC08BB">
            <w:pPr>
              <w:jc w:val="both"/>
              <w:rPr>
                <w:rFonts w:eastAsia="宋体" w:cs="Times New Roman"/>
                <w:sz w:val="18"/>
                <w:szCs w:val="18"/>
              </w:rPr>
            </w:pPr>
            <w:r w:rsidRPr="00314AB5">
              <w:rPr>
                <w:rFonts w:eastAsia="宋体" w:cs="Times New Roman" w:hint="eastAsia"/>
                <w:sz w:val="18"/>
                <w:szCs w:val="18"/>
              </w:rPr>
              <w:t>合计</w:t>
            </w:r>
          </w:p>
        </w:tc>
        <w:tc>
          <w:tcPr>
            <w:tcW w:w="2948" w:type="dxa"/>
            <w:shd w:val="clear" w:color="auto" w:fill="FFFFFF" w:themeFill="background1"/>
            <w:tcMar>
              <w:top w:w="0" w:type="dxa"/>
              <w:left w:w="108" w:type="dxa"/>
              <w:bottom w:w="0" w:type="dxa"/>
              <w:right w:w="108" w:type="dxa"/>
            </w:tcMar>
            <w:vAlign w:val="center"/>
          </w:tcPr>
          <w:p w:rsidR="00AC08BB" w:rsidRPr="00314AB5" w:rsidRDefault="00AC08BB" w:rsidP="00AC08BB">
            <w:pPr>
              <w:jc w:val="center"/>
              <w:rPr>
                <w:rFonts w:eastAsia="宋体" w:cs="Times New Roman"/>
                <w:sz w:val="18"/>
                <w:szCs w:val="18"/>
              </w:rPr>
            </w:pPr>
          </w:p>
        </w:tc>
        <w:tc>
          <w:tcPr>
            <w:tcW w:w="2083" w:type="dxa"/>
            <w:shd w:val="clear" w:color="auto" w:fill="FFFFFF" w:themeFill="background1"/>
            <w:vAlign w:val="center"/>
          </w:tcPr>
          <w:p w:rsidR="00AC08BB" w:rsidRPr="00314AB5" w:rsidRDefault="00AC08BB" w:rsidP="00AC08BB">
            <w:pPr>
              <w:ind w:right="108"/>
              <w:jc w:val="right"/>
              <w:rPr>
                <w:rFonts w:eastAsia="宋体" w:cs="Times New Roman"/>
                <w:sz w:val="18"/>
                <w:szCs w:val="18"/>
              </w:rPr>
            </w:pPr>
            <w:r w:rsidRPr="00314AB5">
              <w:rPr>
                <w:rFonts w:eastAsia="宋体" w:cs="Times New Roman"/>
                <w:sz w:val="18"/>
                <w:szCs w:val="18"/>
              </w:rPr>
              <w:t>2,138,855.3</w:t>
            </w:r>
            <w:r w:rsidR="00C07C03">
              <w:rPr>
                <w:rFonts w:eastAsia="宋体" w:cs="Times New Roman"/>
                <w:sz w:val="18"/>
                <w:szCs w:val="18"/>
              </w:rPr>
              <w:t>2</w:t>
            </w:r>
          </w:p>
        </w:tc>
        <w:tc>
          <w:tcPr>
            <w:tcW w:w="2084" w:type="dxa"/>
            <w:shd w:val="clear" w:color="auto" w:fill="FFFFFF" w:themeFill="background1"/>
            <w:tcMar>
              <w:top w:w="0" w:type="dxa"/>
              <w:left w:w="108" w:type="dxa"/>
              <w:bottom w:w="0" w:type="dxa"/>
              <w:right w:w="108" w:type="dxa"/>
            </w:tcMar>
            <w:vAlign w:val="center"/>
          </w:tcPr>
          <w:p w:rsidR="00AC08BB" w:rsidRPr="00314AB5" w:rsidRDefault="00AC08BB" w:rsidP="00AC08BB">
            <w:pPr>
              <w:jc w:val="right"/>
              <w:rPr>
                <w:rFonts w:eastAsia="宋体" w:cs="Times New Roman"/>
                <w:sz w:val="18"/>
                <w:szCs w:val="18"/>
              </w:rPr>
            </w:pPr>
            <w:r w:rsidRPr="00314AB5">
              <w:rPr>
                <w:rFonts w:eastAsia="宋体" w:cs="Times New Roman"/>
                <w:sz w:val="18"/>
                <w:szCs w:val="18"/>
              </w:rPr>
              <w:t>-    </w:t>
            </w:r>
          </w:p>
        </w:tc>
      </w:tr>
    </w:tbl>
    <w:p w:rsidR="00A402BC" w:rsidRDefault="00A402BC">
      <w:pPr>
        <w:jc w:val="center"/>
        <w:rPr>
          <w:rFonts w:eastAsia="宋体" w:cs="Times New Roman"/>
        </w:rPr>
      </w:pPr>
    </w:p>
    <w:p w:rsidR="00C45D30" w:rsidRDefault="00C45D30">
      <w:pPr>
        <w:jc w:val="center"/>
        <w:rPr>
          <w:rFonts w:eastAsia="宋体" w:cs="Times New Roman"/>
        </w:rPr>
      </w:pPr>
    </w:p>
    <w:p w:rsidR="00C45D30" w:rsidRPr="00A71D2E" w:rsidRDefault="00C45D30">
      <w:pPr>
        <w:jc w:val="center"/>
        <w:rPr>
          <w:rFonts w:eastAsia="宋体" w:cs="Times New Roman"/>
        </w:rPr>
      </w:pPr>
    </w:p>
    <w:p w:rsidR="003415F9" w:rsidRPr="00A71D2E" w:rsidRDefault="00A402BC" w:rsidP="00B60F4A">
      <w:pPr>
        <w:jc w:val="center"/>
        <w:rPr>
          <w:rFonts w:eastAsia="宋体" w:cs="Times New Roman"/>
        </w:rPr>
      </w:pPr>
      <w:r w:rsidRPr="00A71D2E">
        <w:rPr>
          <w:rFonts w:eastAsia="宋体" w:cs="Times New Roman"/>
        </w:rPr>
        <w:t>***</w:t>
      </w:r>
      <w:r w:rsidRPr="00A71D2E">
        <w:rPr>
          <w:rFonts w:eastAsia="宋体" w:cs="Times New Roman" w:hint="eastAsia"/>
        </w:rPr>
        <w:t>财务报表结束</w:t>
      </w:r>
      <w:r w:rsidRPr="00A71D2E">
        <w:rPr>
          <w:rFonts w:eastAsia="宋体" w:cs="Times New Roman"/>
        </w:rPr>
        <w:t>***</w:t>
      </w:r>
    </w:p>
    <w:p w:rsidR="003415F9" w:rsidRPr="00A71D2E" w:rsidRDefault="003415F9">
      <w:pPr>
        <w:rPr>
          <w:rFonts w:eastAsia="宋体" w:cs="Times New Roman"/>
          <w:b/>
          <w:bCs/>
          <w:color w:val="000000" w:themeColor="text1"/>
          <w:szCs w:val="28"/>
        </w:rPr>
      </w:pPr>
    </w:p>
    <w:p w:rsidR="00701092" w:rsidRPr="00F66363" w:rsidRDefault="00701092">
      <w:pPr>
        <w:rPr>
          <w:rFonts w:eastAsia="宋体" w:cs="Times New Roman"/>
          <w:b/>
          <w:bCs/>
        </w:rPr>
        <w:sectPr w:rsidR="00701092" w:rsidRPr="00F66363" w:rsidSect="00452B2B">
          <w:headerReference w:type="default" r:id="rId32"/>
          <w:pgSz w:w="11906" w:h="16838" w:code="9"/>
          <w:pgMar w:top="864" w:right="720" w:bottom="432" w:left="1008" w:header="720" w:footer="360" w:gutter="0"/>
          <w:cols w:space="720"/>
          <w:docGrid w:linePitch="360"/>
        </w:sectPr>
      </w:pPr>
    </w:p>
    <w:p w:rsidR="00A402BC" w:rsidRPr="00A71D2E" w:rsidRDefault="00A402BC">
      <w:pPr>
        <w:pStyle w:val="1"/>
        <w:numPr>
          <w:ilvl w:val="0"/>
          <w:numId w:val="0"/>
        </w:numPr>
        <w:adjustRightInd w:val="0"/>
        <w:snapToGrid w:val="0"/>
        <w:contextualSpacing w:val="0"/>
        <w:rPr>
          <w:rFonts w:ascii="Times New Roman" w:hAnsi="Times New Roman" w:cs="Times New Roman"/>
        </w:rPr>
      </w:pPr>
      <w:r w:rsidRPr="00A71D2E">
        <w:rPr>
          <w:rFonts w:ascii="Times New Roman" w:hAnsi="Times New Roman" w:cs="Times New Roman" w:hint="eastAsia"/>
        </w:rPr>
        <w:t>补充资料</w:t>
      </w:r>
    </w:p>
    <w:p w:rsidR="00A402BC" w:rsidRPr="00A71D2E" w:rsidRDefault="00A402BC" w:rsidP="0027505B">
      <w:pPr>
        <w:jc w:val="both"/>
        <w:rPr>
          <w:rFonts w:eastAsia="宋体" w:cs="Times New Roman"/>
          <w:szCs w:val="21"/>
        </w:rPr>
      </w:pPr>
    </w:p>
    <w:p w:rsidR="00A402BC" w:rsidRPr="00A71D2E" w:rsidRDefault="00A402BC">
      <w:pPr>
        <w:pStyle w:val="2"/>
        <w:numPr>
          <w:ilvl w:val="0"/>
          <w:numId w:val="0"/>
        </w:numPr>
        <w:adjustRightInd w:val="0"/>
        <w:snapToGrid w:val="0"/>
        <w:ind w:left="720" w:hanging="720"/>
        <w:contextualSpacing w:val="0"/>
        <w:rPr>
          <w:rFonts w:ascii="Times New Roman" w:eastAsia="宋体" w:hAnsi="Times New Roman" w:cs="Times New Roman"/>
        </w:rPr>
      </w:pPr>
      <w:r w:rsidRPr="00A71D2E">
        <w:rPr>
          <w:rFonts w:ascii="Times New Roman" w:eastAsia="宋体" w:hAnsi="Times New Roman" w:cs="Times New Roman"/>
        </w:rPr>
        <w:t>1</w:t>
      </w:r>
      <w:r w:rsidRPr="00A71D2E">
        <w:rPr>
          <w:rFonts w:ascii="Times New Roman" w:eastAsia="宋体" w:hAnsi="Times New Roman" w:cs="Times New Roman" w:hint="eastAsia"/>
          <w:bCs/>
          <w:szCs w:val="21"/>
          <w:lang w:val="x-none" w:eastAsia="x-none"/>
        </w:rPr>
        <w:t>、</w:t>
      </w:r>
      <w:r w:rsidRPr="00A71D2E">
        <w:rPr>
          <w:rFonts w:ascii="Times New Roman" w:eastAsia="宋体" w:hAnsi="Times New Roman" w:cs="Times New Roman"/>
          <w:bCs/>
          <w:szCs w:val="21"/>
          <w:lang w:val="x-none" w:eastAsia="x-none"/>
        </w:rPr>
        <w:tab/>
      </w:r>
      <w:r w:rsidRPr="00A71D2E">
        <w:rPr>
          <w:rFonts w:ascii="Times New Roman" w:eastAsia="宋体" w:hAnsi="Times New Roman" w:cs="Times New Roman" w:hint="eastAsia"/>
        </w:rPr>
        <w:t>当期非经常性损益明细表</w:t>
      </w:r>
    </w:p>
    <w:p w:rsidR="00A402BC" w:rsidRPr="00A71D2E" w:rsidRDefault="00A402BC">
      <w:pPr>
        <w:ind w:left="5040" w:right="9"/>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758"/>
        <w:gridCol w:w="1692"/>
      </w:tblGrid>
      <w:tr w:rsidR="00B051F7" w:rsidRPr="00A71D2E" w:rsidTr="0027505B">
        <w:trPr>
          <w:trHeight w:val="20"/>
        </w:trPr>
        <w:tc>
          <w:tcPr>
            <w:tcW w:w="7758" w:type="dxa"/>
            <w:shd w:val="clear" w:color="auto" w:fill="D9D9D9" w:themeFill="background1" w:themeFillShade="D9"/>
            <w:tcMar>
              <w:top w:w="0" w:type="dxa"/>
              <w:left w:w="108" w:type="dxa"/>
              <w:bottom w:w="0" w:type="dxa"/>
              <w:right w:w="108" w:type="dxa"/>
            </w:tcMar>
            <w:vAlign w:val="center"/>
            <w:hideMark/>
          </w:tcPr>
          <w:p w:rsidR="00B051F7" w:rsidRPr="00A71D2E" w:rsidRDefault="00B051F7">
            <w:pPr>
              <w:jc w:val="center"/>
              <w:rPr>
                <w:rFonts w:eastAsia="宋体" w:cs="Times New Roman"/>
                <w:sz w:val="18"/>
                <w:szCs w:val="18"/>
              </w:rPr>
            </w:pPr>
            <w:r w:rsidRPr="00A71D2E">
              <w:rPr>
                <w:rFonts w:eastAsia="宋体" w:cs="Times New Roman" w:hint="eastAsia"/>
                <w:sz w:val="18"/>
                <w:szCs w:val="18"/>
              </w:rPr>
              <w:t>项目</w:t>
            </w:r>
          </w:p>
        </w:tc>
        <w:tc>
          <w:tcPr>
            <w:tcW w:w="1692" w:type="dxa"/>
            <w:shd w:val="clear" w:color="auto" w:fill="D9D9D9" w:themeFill="background1" w:themeFillShade="D9"/>
            <w:vAlign w:val="center"/>
          </w:tcPr>
          <w:p w:rsidR="00B051F7" w:rsidRPr="00A71D2E" w:rsidRDefault="00B051F7">
            <w:pPr>
              <w:jc w:val="center"/>
              <w:rPr>
                <w:rFonts w:eastAsia="宋体" w:cs="Times New Roman"/>
                <w:sz w:val="18"/>
                <w:szCs w:val="18"/>
              </w:rPr>
            </w:pPr>
            <w:r w:rsidRPr="00A71D2E">
              <w:rPr>
                <w:rFonts w:eastAsia="宋体" w:cs="Times New Roman" w:hint="eastAsia"/>
                <w:sz w:val="18"/>
                <w:szCs w:val="18"/>
              </w:rPr>
              <w:t>本年发生额</w:t>
            </w:r>
          </w:p>
        </w:tc>
      </w:tr>
      <w:tr w:rsidR="00B051F7" w:rsidRPr="00A71D2E" w:rsidTr="0027505B">
        <w:trPr>
          <w:trHeight w:val="20"/>
        </w:trPr>
        <w:tc>
          <w:tcPr>
            <w:tcW w:w="7758" w:type="dxa"/>
            <w:shd w:val="clear" w:color="auto" w:fill="auto"/>
            <w:tcMar>
              <w:top w:w="0" w:type="dxa"/>
              <w:left w:w="108" w:type="dxa"/>
              <w:bottom w:w="0" w:type="dxa"/>
              <w:right w:w="108" w:type="dxa"/>
            </w:tcMar>
            <w:vAlign w:val="center"/>
            <w:hideMark/>
          </w:tcPr>
          <w:p w:rsidR="00B051F7" w:rsidRPr="00A71D2E" w:rsidRDefault="00B051F7" w:rsidP="00C5227C">
            <w:pPr>
              <w:rPr>
                <w:rFonts w:eastAsia="宋体" w:cs="Times New Roman"/>
                <w:sz w:val="18"/>
                <w:szCs w:val="18"/>
              </w:rPr>
            </w:pPr>
            <w:r w:rsidRPr="00A71D2E">
              <w:rPr>
                <w:rFonts w:eastAsia="宋体" w:cs="Times New Roman" w:hint="eastAsia"/>
                <w:sz w:val="18"/>
                <w:szCs w:val="18"/>
              </w:rPr>
              <w:t>非流动资产报废损失</w:t>
            </w:r>
          </w:p>
        </w:tc>
        <w:tc>
          <w:tcPr>
            <w:tcW w:w="1692" w:type="dxa"/>
            <w:vAlign w:val="center"/>
          </w:tcPr>
          <w:p w:rsidR="00B051F7" w:rsidRPr="00A71D2E" w:rsidRDefault="005F14EE" w:rsidP="00C5227C">
            <w:pPr>
              <w:ind w:right="102"/>
              <w:jc w:val="right"/>
              <w:rPr>
                <w:rFonts w:eastAsia="宋体" w:cs="Times New Roman"/>
                <w:sz w:val="18"/>
                <w:szCs w:val="18"/>
              </w:rPr>
            </w:pPr>
            <w:r>
              <w:rPr>
                <w:rFonts w:eastAsia="宋体" w:cs="Times New Roman"/>
                <w:sz w:val="18"/>
                <w:szCs w:val="18"/>
              </w:rPr>
              <w:t>(</w:t>
            </w:r>
            <w:r w:rsidR="00B051F7" w:rsidRPr="00F43E13">
              <w:rPr>
                <w:rFonts w:eastAsia="宋体" w:cs="Times New Roman"/>
                <w:sz w:val="18"/>
                <w:szCs w:val="18"/>
              </w:rPr>
              <w:t>4,644,885.05</w:t>
            </w:r>
            <w:r>
              <w:rPr>
                <w:rFonts w:eastAsia="宋体" w:cs="Times New Roman"/>
                <w:sz w:val="18"/>
                <w:szCs w:val="18"/>
              </w:rPr>
              <w:t>)</w:t>
            </w:r>
          </w:p>
        </w:tc>
      </w:tr>
      <w:tr w:rsidR="00B051F7" w:rsidRPr="00A71D2E" w:rsidTr="0027505B">
        <w:trPr>
          <w:trHeight w:val="20"/>
        </w:trPr>
        <w:tc>
          <w:tcPr>
            <w:tcW w:w="7758" w:type="dxa"/>
            <w:shd w:val="clear" w:color="auto" w:fill="auto"/>
            <w:tcMar>
              <w:top w:w="0" w:type="dxa"/>
              <w:left w:w="108" w:type="dxa"/>
              <w:bottom w:w="0" w:type="dxa"/>
              <w:right w:w="108" w:type="dxa"/>
            </w:tcMar>
            <w:vAlign w:val="center"/>
            <w:hideMark/>
          </w:tcPr>
          <w:p w:rsidR="00B051F7" w:rsidRPr="00A71D2E" w:rsidRDefault="00B051F7" w:rsidP="00C5227C">
            <w:pPr>
              <w:rPr>
                <w:rFonts w:eastAsia="宋体" w:cs="Times New Roman"/>
                <w:sz w:val="18"/>
                <w:szCs w:val="18"/>
              </w:rPr>
            </w:pPr>
            <w:r w:rsidRPr="00A71D2E">
              <w:rPr>
                <w:rFonts w:eastAsia="宋体" w:cs="Times New Roman" w:hint="eastAsia"/>
                <w:sz w:val="18"/>
                <w:szCs w:val="18"/>
              </w:rPr>
              <w:t>计入当期损益的政府补助</w:t>
            </w:r>
            <w:r w:rsidR="005F14EE">
              <w:rPr>
                <w:rFonts w:eastAsia="宋体" w:cs="Times New Roman"/>
                <w:sz w:val="18"/>
                <w:szCs w:val="18"/>
              </w:rPr>
              <w:t>(</w:t>
            </w:r>
            <w:r w:rsidRPr="00A71D2E">
              <w:rPr>
                <w:rFonts w:eastAsia="宋体" w:cs="Times New Roman" w:hint="eastAsia"/>
                <w:sz w:val="18"/>
                <w:szCs w:val="18"/>
              </w:rPr>
              <w:t>与企业业务密切相关，按照国家统一标准定额</w:t>
            </w:r>
          </w:p>
          <w:p w:rsidR="00B051F7" w:rsidRPr="00A71D2E" w:rsidRDefault="00B051F7" w:rsidP="00C5227C">
            <w:pPr>
              <w:rPr>
                <w:rFonts w:eastAsia="宋体" w:cs="Times New Roman"/>
                <w:sz w:val="18"/>
                <w:szCs w:val="18"/>
              </w:rPr>
            </w:pPr>
            <w:r w:rsidRPr="00A71D2E">
              <w:rPr>
                <w:rFonts w:eastAsia="宋体" w:cs="Times New Roman"/>
                <w:sz w:val="18"/>
                <w:szCs w:val="18"/>
              </w:rPr>
              <w:t xml:space="preserve">    </w:t>
            </w:r>
            <w:r w:rsidRPr="00A71D2E">
              <w:rPr>
                <w:rFonts w:eastAsia="宋体" w:cs="Times New Roman" w:hint="eastAsia"/>
                <w:sz w:val="18"/>
                <w:szCs w:val="18"/>
              </w:rPr>
              <w:t>或定量享受的政府补助除外</w:t>
            </w:r>
            <w:r w:rsidR="005F14EE">
              <w:rPr>
                <w:rFonts w:eastAsia="宋体" w:cs="Times New Roman"/>
                <w:sz w:val="18"/>
                <w:szCs w:val="18"/>
              </w:rPr>
              <w:t>)</w:t>
            </w:r>
          </w:p>
        </w:tc>
        <w:tc>
          <w:tcPr>
            <w:tcW w:w="1692" w:type="dxa"/>
            <w:vAlign w:val="center"/>
          </w:tcPr>
          <w:p w:rsidR="00B051F7" w:rsidRPr="00A71D2E" w:rsidRDefault="00B051F7" w:rsidP="00C5227C">
            <w:pPr>
              <w:ind w:right="102"/>
              <w:jc w:val="right"/>
              <w:rPr>
                <w:rFonts w:eastAsia="宋体" w:cs="Times New Roman"/>
                <w:sz w:val="18"/>
                <w:szCs w:val="18"/>
              </w:rPr>
            </w:pPr>
            <w:r w:rsidRPr="00F43E13">
              <w:rPr>
                <w:rFonts w:eastAsia="宋体" w:cs="Times New Roman"/>
                <w:sz w:val="18"/>
                <w:szCs w:val="18"/>
              </w:rPr>
              <w:t>16,462,204.86</w:t>
            </w:r>
          </w:p>
        </w:tc>
      </w:tr>
      <w:tr w:rsidR="00B051F7" w:rsidRPr="00A71D2E" w:rsidTr="0027505B">
        <w:trPr>
          <w:trHeight w:val="20"/>
        </w:trPr>
        <w:tc>
          <w:tcPr>
            <w:tcW w:w="7758" w:type="dxa"/>
            <w:shd w:val="clear" w:color="auto" w:fill="auto"/>
            <w:tcMar>
              <w:top w:w="0" w:type="dxa"/>
              <w:left w:w="108" w:type="dxa"/>
              <w:bottom w:w="0" w:type="dxa"/>
              <w:right w:w="108" w:type="dxa"/>
            </w:tcMar>
            <w:vAlign w:val="center"/>
            <w:hideMark/>
          </w:tcPr>
          <w:p w:rsidR="00B051F7" w:rsidRPr="00A71D2E" w:rsidRDefault="00B051F7" w:rsidP="00C5227C">
            <w:pPr>
              <w:rPr>
                <w:rFonts w:eastAsia="宋体" w:cs="Times New Roman"/>
                <w:sz w:val="18"/>
                <w:szCs w:val="18"/>
              </w:rPr>
            </w:pPr>
            <w:r w:rsidRPr="00A71D2E">
              <w:rPr>
                <w:rFonts w:eastAsia="宋体" w:cs="Times New Roman" w:hint="eastAsia"/>
                <w:sz w:val="18"/>
                <w:szCs w:val="18"/>
              </w:rPr>
              <w:t>除上述各项之外的其他营业外收入和支出</w:t>
            </w:r>
          </w:p>
        </w:tc>
        <w:tc>
          <w:tcPr>
            <w:tcW w:w="1692" w:type="dxa"/>
            <w:vAlign w:val="center"/>
          </w:tcPr>
          <w:p w:rsidR="00B051F7" w:rsidRPr="00A71D2E" w:rsidRDefault="00B051F7" w:rsidP="00C5227C">
            <w:pPr>
              <w:ind w:right="102"/>
              <w:jc w:val="right"/>
              <w:rPr>
                <w:rFonts w:eastAsia="宋体" w:cs="Times New Roman"/>
                <w:sz w:val="18"/>
                <w:szCs w:val="18"/>
              </w:rPr>
            </w:pPr>
            <w:r w:rsidRPr="00F43E13">
              <w:rPr>
                <w:rFonts w:eastAsia="宋体" w:cs="Times New Roman"/>
                <w:sz w:val="18"/>
                <w:szCs w:val="18"/>
              </w:rPr>
              <w:t>606,139.31</w:t>
            </w:r>
          </w:p>
        </w:tc>
      </w:tr>
      <w:tr w:rsidR="00B051F7" w:rsidRPr="00A71D2E" w:rsidTr="0027505B">
        <w:trPr>
          <w:trHeight w:val="20"/>
        </w:trPr>
        <w:tc>
          <w:tcPr>
            <w:tcW w:w="7758" w:type="dxa"/>
            <w:shd w:val="clear" w:color="auto" w:fill="auto"/>
            <w:tcMar>
              <w:top w:w="0" w:type="dxa"/>
              <w:left w:w="108" w:type="dxa"/>
              <w:bottom w:w="0" w:type="dxa"/>
              <w:right w:w="108" w:type="dxa"/>
            </w:tcMar>
            <w:vAlign w:val="center"/>
            <w:hideMark/>
          </w:tcPr>
          <w:p w:rsidR="00B051F7" w:rsidRPr="00A71D2E" w:rsidRDefault="00B051F7" w:rsidP="00C5227C">
            <w:pPr>
              <w:rPr>
                <w:rFonts w:eastAsia="宋体" w:cs="Times New Roman"/>
                <w:sz w:val="18"/>
                <w:szCs w:val="18"/>
              </w:rPr>
            </w:pPr>
            <w:r w:rsidRPr="00A71D2E">
              <w:rPr>
                <w:rFonts w:eastAsia="宋体" w:cs="Times New Roman" w:hint="eastAsia"/>
                <w:sz w:val="18"/>
                <w:szCs w:val="18"/>
              </w:rPr>
              <w:t>所得税影响额</w:t>
            </w:r>
          </w:p>
        </w:tc>
        <w:tc>
          <w:tcPr>
            <w:tcW w:w="1692" w:type="dxa"/>
            <w:vAlign w:val="center"/>
          </w:tcPr>
          <w:p w:rsidR="00B051F7" w:rsidRPr="00A71D2E" w:rsidRDefault="005F14EE" w:rsidP="00C5227C">
            <w:pPr>
              <w:ind w:right="102"/>
              <w:jc w:val="right"/>
              <w:rPr>
                <w:rFonts w:eastAsia="宋体" w:cs="Times New Roman"/>
                <w:sz w:val="18"/>
                <w:szCs w:val="18"/>
              </w:rPr>
            </w:pPr>
            <w:r>
              <w:rPr>
                <w:rFonts w:eastAsia="宋体" w:cs="Times New Roman"/>
                <w:sz w:val="18"/>
                <w:szCs w:val="18"/>
              </w:rPr>
              <w:t>(</w:t>
            </w:r>
            <w:r w:rsidR="00B051F7" w:rsidRPr="00F43E13">
              <w:rPr>
                <w:rFonts w:eastAsia="宋体" w:cs="Times New Roman"/>
                <w:sz w:val="18"/>
                <w:szCs w:val="18"/>
              </w:rPr>
              <w:t>2,796,821.38</w:t>
            </w:r>
            <w:r>
              <w:rPr>
                <w:rFonts w:eastAsia="宋体" w:cs="Times New Roman"/>
                <w:sz w:val="18"/>
                <w:szCs w:val="18"/>
              </w:rPr>
              <w:t>)</w:t>
            </w:r>
          </w:p>
        </w:tc>
      </w:tr>
      <w:tr w:rsidR="00B051F7" w:rsidRPr="00A71D2E" w:rsidTr="0027505B">
        <w:trPr>
          <w:trHeight w:val="20"/>
        </w:trPr>
        <w:tc>
          <w:tcPr>
            <w:tcW w:w="7758" w:type="dxa"/>
            <w:shd w:val="clear" w:color="auto" w:fill="D9D9D9" w:themeFill="background1" w:themeFillShade="D9"/>
            <w:tcMar>
              <w:top w:w="0" w:type="dxa"/>
              <w:left w:w="108" w:type="dxa"/>
              <w:bottom w:w="0" w:type="dxa"/>
              <w:right w:w="108" w:type="dxa"/>
            </w:tcMar>
            <w:vAlign w:val="center"/>
            <w:hideMark/>
          </w:tcPr>
          <w:p w:rsidR="00B051F7" w:rsidRPr="00A71D2E" w:rsidRDefault="00B051F7" w:rsidP="00C5227C">
            <w:pPr>
              <w:rPr>
                <w:rFonts w:eastAsia="宋体" w:cs="Times New Roman"/>
                <w:b/>
                <w:sz w:val="18"/>
                <w:szCs w:val="18"/>
              </w:rPr>
            </w:pPr>
            <w:r w:rsidRPr="00A71D2E">
              <w:rPr>
                <w:rFonts w:eastAsia="宋体" w:cs="Times New Roman" w:hint="eastAsia"/>
                <w:b/>
                <w:sz w:val="18"/>
                <w:szCs w:val="18"/>
              </w:rPr>
              <w:t>合计</w:t>
            </w:r>
          </w:p>
        </w:tc>
        <w:tc>
          <w:tcPr>
            <w:tcW w:w="1692" w:type="dxa"/>
            <w:vAlign w:val="center"/>
          </w:tcPr>
          <w:p w:rsidR="00B051F7" w:rsidRPr="00A71D2E" w:rsidRDefault="00B051F7" w:rsidP="00C5227C">
            <w:pPr>
              <w:ind w:right="102"/>
              <w:jc w:val="right"/>
              <w:rPr>
                <w:rFonts w:eastAsia="宋体" w:cs="Times New Roman"/>
                <w:b/>
                <w:sz w:val="18"/>
                <w:szCs w:val="18"/>
              </w:rPr>
            </w:pPr>
            <w:r w:rsidRPr="00F43E13">
              <w:rPr>
                <w:rFonts w:eastAsia="宋体" w:cs="Times New Roman"/>
                <w:b/>
                <w:sz w:val="18"/>
                <w:szCs w:val="18"/>
              </w:rPr>
              <w:t>9,626,637.74</w:t>
            </w:r>
          </w:p>
        </w:tc>
      </w:tr>
    </w:tbl>
    <w:p w:rsidR="00A402BC" w:rsidRDefault="00A402BC">
      <w:pPr>
        <w:ind w:left="1080" w:hanging="360"/>
        <w:rPr>
          <w:rFonts w:eastAsia="宋体" w:cs="Times New Roman"/>
          <w:b/>
          <w:bCs/>
          <w:szCs w:val="21"/>
        </w:rPr>
      </w:pPr>
    </w:p>
    <w:p w:rsidR="00BC3AFD" w:rsidRPr="00075152" w:rsidRDefault="00BC3AFD" w:rsidP="00FE2C30">
      <w:pPr>
        <w:ind w:left="1440" w:hanging="712"/>
        <w:jc w:val="both"/>
        <w:rPr>
          <w:rFonts w:eastAsia="宋体" w:cs="Times New Roman"/>
          <w:kern w:val="2"/>
          <w:szCs w:val="21"/>
        </w:rPr>
      </w:pPr>
      <w:r w:rsidRPr="00075152">
        <w:rPr>
          <w:rFonts w:eastAsia="宋体" w:cs="Times New Roman" w:hint="eastAsia"/>
          <w:kern w:val="2"/>
          <w:szCs w:val="21"/>
        </w:rPr>
        <w:t>注</w:t>
      </w:r>
      <w:r w:rsidR="005F14EE">
        <w:rPr>
          <w:rFonts w:eastAsia="宋体" w:cs="Times New Roman" w:hint="eastAsia"/>
          <w:kern w:val="2"/>
          <w:szCs w:val="21"/>
        </w:rPr>
        <w:t>：</w:t>
      </w:r>
      <w:r w:rsidRPr="00075152">
        <w:rPr>
          <w:rFonts w:eastAsia="宋体" w:cs="Times New Roman"/>
          <w:kern w:val="2"/>
          <w:szCs w:val="21"/>
        </w:rPr>
        <w:tab/>
      </w:r>
      <w:r w:rsidR="000E3DF2">
        <w:rPr>
          <w:rFonts w:eastAsia="宋体" w:cs="Times New Roman" w:hint="eastAsia"/>
          <w:kern w:val="2"/>
          <w:szCs w:val="21"/>
        </w:rPr>
        <w:t>根据</w:t>
      </w:r>
      <w:r w:rsidRPr="00075152">
        <w:rPr>
          <w:rFonts w:eastAsia="宋体" w:cs="Times New Roman"/>
          <w:kern w:val="2"/>
          <w:szCs w:val="21"/>
        </w:rPr>
        <w:t>2023</w:t>
      </w:r>
      <w:r w:rsidRPr="00075152">
        <w:rPr>
          <w:rFonts w:eastAsia="宋体" w:cs="Times New Roman" w:hint="eastAsia"/>
          <w:kern w:val="2"/>
          <w:szCs w:val="21"/>
        </w:rPr>
        <w:t>年修订的《公开发行证券的公司信息披露解释性公告第</w:t>
      </w:r>
      <w:r w:rsidRPr="00075152">
        <w:rPr>
          <w:rFonts w:eastAsia="宋体" w:cs="Times New Roman"/>
          <w:kern w:val="2"/>
          <w:szCs w:val="21"/>
        </w:rPr>
        <w:t>1</w:t>
      </w:r>
      <w:r w:rsidRPr="00075152">
        <w:rPr>
          <w:rFonts w:eastAsia="宋体" w:cs="Times New Roman" w:hint="eastAsia"/>
          <w:kern w:val="2"/>
          <w:szCs w:val="21"/>
        </w:rPr>
        <w:t>号——非经常性损益</w:t>
      </w:r>
      <w:r w:rsidR="005F14EE">
        <w:rPr>
          <w:rFonts w:eastAsia="宋体" w:cs="Times New Roman"/>
          <w:kern w:val="2"/>
          <w:szCs w:val="21"/>
        </w:rPr>
        <w:t>(</w:t>
      </w:r>
      <w:r w:rsidRPr="00075152">
        <w:rPr>
          <w:rFonts w:eastAsia="宋体" w:cs="Times New Roman"/>
          <w:kern w:val="2"/>
          <w:szCs w:val="21"/>
        </w:rPr>
        <w:t>2023</w:t>
      </w:r>
      <w:r w:rsidRPr="00075152">
        <w:rPr>
          <w:rFonts w:eastAsia="宋体" w:cs="Times New Roman" w:hint="eastAsia"/>
          <w:kern w:val="2"/>
          <w:szCs w:val="21"/>
        </w:rPr>
        <w:t>年修订</w:t>
      </w:r>
      <w:r w:rsidR="005F14EE">
        <w:rPr>
          <w:rFonts w:eastAsia="宋体" w:cs="Times New Roman"/>
          <w:kern w:val="2"/>
          <w:szCs w:val="21"/>
        </w:rPr>
        <w:t>)</w:t>
      </w:r>
      <w:r w:rsidRPr="00075152">
        <w:rPr>
          <w:rFonts w:eastAsia="宋体" w:cs="Times New Roman" w:hint="eastAsia"/>
          <w:kern w:val="2"/>
          <w:szCs w:val="21"/>
        </w:rPr>
        <w:t>》</w:t>
      </w:r>
      <w:r w:rsidR="000E3DF2">
        <w:rPr>
          <w:rFonts w:eastAsia="宋体" w:cs="Times New Roman" w:hint="eastAsia"/>
          <w:kern w:val="2"/>
          <w:szCs w:val="21"/>
        </w:rPr>
        <w:t>，</w:t>
      </w:r>
      <w:r w:rsidR="000E3DF2">
        <w:rPr>
          <w:rFonts w:eastAsia="宋体" w:cs="Times New Roman" w:hint="eastAsia"/>
          <w:kern w:val="2"/>
          <w:szCs w:val="21"/>
        </w:rPr>
        <w:t>2</w:t>
      </w:r>
      <w:r w:rsidR="000E3DF2">
        <w:rPr>
          <w:rFonts w:eastAsia="宋体" w:cs="Times New Roman"/>
          <w:kern w:val="2"/>
          <w:szCs w:val="21"/>
        </w:rPr>
        <w:t>022</w:t>
      </w:r>
      <w:r w:rsidR="000E3DF2">
        <w:rPr>
          <w:rFonts w:eastAsia="宋体" w:cs="Times New Roman" w:hint="eastAsia"/>
          <w:kern w:val="2"/>
          <w:szCs w:val="21"/>
        </w:rPr>
        <w:t>年度与公司</w:t>
      </w:r>
      <w:r w:rsidR="000E3DF2" w:rsidRPr="000E3DF2">
        <w:rPr>
          <w:rFonts w:eastAsia="宋体" w:cs="Times New Roman" w:hint="eastAsia"/>
          <w:kern w:val="2"/>
          <w:szCs w:val="21"/>
        </w:rPr>
        <w:t>正常经营业务密切相关、符合国家政策规定、按照确定的标准享有、对公司损益产生持续</w:t>
      </w:r>
      <w:r w:rsidR="000E3DF2">
        <w:rPr>
          <w:rFonts w:eastAsia="宋体" w:cs="Times New Roman" w:hint="eastAsia"/>
          <w:kern w:val="2"/>
          <w:szCs w:val="21"/>
        </w:rPr>
        <w:t>影响的政府补助人民币</w:t>
      </w:r>
      <w:r>
        <w:rPr>
          <w:rFonts w:eastAsia="宋体" w:cs="Times New Roman"/>
          <w:kern w:val="2"/>
          <w:szCs w:val="21"/>
        </w:rPr>
        <w:t>1</w:t>
      </w:r>
      <w:r w:rsidRPr="00075152">
        <w:rPr>
          <w:rFonts w:eastAsia="宋体" w:cs="Times New Roman"/>
          <w:kern w:val="2"/>
          <w:szCs w:val="21"/>
        </w:rPr>
        <w:t>,</w:t>
      </w:r>
      <w:r>
        <w:rPr>
          <w:rFonts w:eastAsia="宋体" w:cs="Times New Roman"/>
          <w:kern w:val="2"/>
          <w:szCs w:val="21"/>
        </w:rPr>
        <w:t>874</w:t>
      </w:r>
      <w:r w:rsidRPr="00075152">
        <w:rPr>
          <w:rFonts w:eastAsia="宋体" w:cs="Times New Roman"/>
          <w:kern w:val="2"/>
          <w:szCs w:val="21"/>
        </w:rPr>
        <w:t>,</w:t>
      </w:r>
      <w:r>
        <w:rPr>
          <w:rFonts w:eastAsia="宋体" w:cs="Times New Roman"/>
          <w:kern w:val="2"/>
          <w:szCs w:val="21"/>
        </w:rPr>
        <w:t>116</w:t>
      </w:r>
      <w:r w:rsidRPr="00075152">
        <w:rPr>
          <w:rFonts w:eastAsia="宋体" w:cs="Times New Roman"/>
          <w:kern w:val="2"/>
          <w:szCs w:val="21"/>
        </w:rPr>
        <w:t>.</w:t>
      </w:r>
      <w:r>
        <w:rPr>
          <w:rFonts w:eastAsia="宋体" w:cs="Times New Roman"/>
          <w:kern w:val="2"/>
          <w:szCs w:val="21"/>
        </w:rPr>
        <w:t>85</w:t>
      </w:r>
      <w:r w:rsidRPr="00075152">
        <w:rPr>
          <w:rFonts w:eastAsia="宋体" w:cs="Times New Roman" w:hint="eastAsia"/>
          <w:kern w:val="2"/>
          <w:szCs w:val="21"/>
        </w:rPr>
        <w:t>元，</w:t>
      </w:r>
      <w:r w:rsidR="000E3DF2">
        <w:rPr>
          <w:rFonts w:eastAsia="宋体" w:cs="Times New Roman" w:hint="eastAsia"/>
          <w:kern w:val="2"/>
          <w:szCs w:val="21"/>
        </w:rPr>
        <w:t>不计入非经常性损益</w:t>
      </w:r>
      <w:r w:rsidRPr="00075152">
        <w:rPr>
          <w:rFonts w:eastAsia="宋体" w:cs="Times New Roman" w:hint="eastAsia"/>
          <w:kern w:val="2"/>
          <w:szCs w:val="21"/>
        </w:rPr>
        <w:t>。</w:t>
      </w:r>
    </w:p>
    <w:p w:rsidR="00BC3AFD" w:rsidRPr="00BC3AFD" w:rsidRDefault="00BC3AFD">
      <w:pPr>
        <w:ind w:left="1080" w:hanging="360"/>
        <w:rPr>
          <w:rFonts w:eastAsia="宋体" w:cs="Times New Roman"/>
          <w:b/>
          <w:bCs/>
          <w:szCs w:val="21"/>
        </w:rPr>
      </w:pPr>
    </w:p>
    <w:p w:rsidR="00A402BC" w:rsidRPr="00A71D2E" w:rsidRDefault="00A402BC">
      <w:pPr>
        <w:pStyle w:val="2"/>
        <w:numPr>
          <w:ilvl w:val="0"/>
          <w:numId w:val="0"/>
        </w:numPr>
        <w:adjustRightInd w:val="0"/>
        <w:snapToGrid w:val="0"/>
        <w:contextualSpacing w:val="0"/>
        <w:rPr>
          <w:rFonts w:ascii="Times New Roman" w:eastAsia="宋体" w:hAnsi="Times New Roman" w:cs="Times New Roman"/>
        </w:rPr>
      </w:pPr>
      <w:r w:rsidRPr="00A71D2E">
        <w:rPr>
          <w:rFonts w:ascii="Times New Roman" w:eastAsia="宋体" w:hAnsi="Times New Roman" w:cs="Times New Roman"/>
        </w:rPr>
        <w:t>2</w:t>
      </w:r>
      <w:r w:rsidRPr="00A71D2E">
        <w:rPr>
          <w:rFonts w:ascii="Times New Roman" w:eastAsia="宋体" w:hAnsi="Times New Roman" w:cs="Times New Roman" w:hint="eastAsia"/>
          <w:bCs/>
          <w:szCs w:val="21"/>
          <w:lang w:val="x-none" w:eastAsia="x-none"/>
        </w:rPr>
        <w:t>、</w:t>
      </w:r>
      <w:r w:rsidRPr="00A71D2E">
        <w:rPr>
          <w:rFonts w:ascii="Times New Roman" w:eastAsia="宋体" w:hAnsi="Times New Roman" w:cs="Times New Roman"/>
          <w:bCs/>
          <w:szCs w:val="21"/>
          <w:lang w:val="x-none" w:eastAsia="x-none"/>
        </w:rPr>
        <w:tab/>
      </w:r>
      <w:r w:rsidRPr="00A71D2E">
        <w:rPr>
          <w:rFonts w:ascii="Times New Roman" w:eastAsia="宋体" w:hAnsi="Times New Roman" w:cs="Times New Roman" w:hint="eastAsia"/>
        </w:rPr>
        <w:t>净资产收益率及每股收益</w:t>
      </w:r>
    </w:p>
    <w:p w:rsidR="00A402BC" w:rsidRPr="00A71D2E" w:rsidRDefault="00A402BC">
      <w:pPr>
        <w:ind w:left="720"/>
        <w:jc w:val="both"/>
        <w:rPr>
          <w:rFonts w:eastAsia="宋体" w:cs="Times New Roman"/>
          <w:szCs w:val="21"/>
        </w:rPr>
      </w:pPr>
    </w:p>
    <w:p w:rsidR="00A402BC" w:rsidRPr="00A71D2E" w:rsidRDefault="00A402BC">
      <w:pPr>
        <w:ind w:left="720"/>
        <w:jc w:val="both"/>
        <w:rPr>
          <w:rFonts w:eastAsia="宋体" w:cs="Times New Roman"/>
          <w:szCs w:val="21"/>
        </w:rPr>
      </w:pPr>
      <w:r w:rsidRPr="00A71D2E">
        <w:rPr>
          <w:rFonts w:eastAsia="宋体" w:cs="Times New Roman" w:hint="eastAsia"/>
          <w:szCs w:val="21"/>
        </w:rPr>
        <w:t>本净资产收益率和每股收益计算表是</w:t>
      </w:r>
      <w:r w:rsidR="003216CD">
        <w:rPr>
          <w:rFonts w:eastAsia="宋体" w:cs="Times New Roman" w:hint="eastAsia"/>
          <w:szCs w:val="21"/>
        </w:rPr>
        <w:t>杭州</w:t>
      </w:r>
      <w:r w:rsidRPr="00A71D2E">
        <w:rPr>
          <w:rFonts w:eastAsia="宋体" w:cs="Times New Roman" w:hint="eastAsia"/>
          <w:szCs w:val="21"/>
        </w:rPr>
        <w:t>萤石网络</w:t>
      </w:r>
      <w:r w:rsidR="003216CD">
        <w:rPr>
          <w:rFonts w:eastAsia="宋体" w:cs="Times New Roman" w:hint="eastAsia"/>
          <w:szCs w:val="21"/>
        </w:rPr>
        <w:t>股份有限公司</w:t>
      </w:r>
      <w:r w:rsidRPr="00A71D2E">
        <w:rPr>
          <w:rFonts w:eastAsia="宋体" w:cs="Times New Roman" w:hint="eastAsia"/>
          <w:szCs w:val="21"/>
        </w:rPr>
        <w:t>按照中国证券监督管理委员会颁布的《公开发行证券公司信息披露编报规则第</w:t>
      </w:r>
      <w:r w:rsidRPr="00A71D2E">
        <w:rPr>
          <w:rFonts w:eastAsia="宋体" w:cs="Times New Roman"/>
          <w:szCs w:val="21"/>
        </w:rPr>
        <w:t>9</w:t>
      </w:r>
      <w:r w:rsidRPr="00A71D2E">
        <w:rPr>
          <w:rFonts w:eastAsia="宋体" w:cs="Times New Roman" w:hint="eastAsia"/>
          <w:szCs w:val="21"/>
        </w:rPr>
        <w:t>号</w:t>
      </w:r>
      <w:r w:rsidRPr="00A71D2E">
        <w:rPr>
          <w:rFonts w:eastAsia="宋体" w:cs="Times New Roman"/>
          <w:szCs w:val="21"/>
        </w:rPr>
        <w:t>-</w:t>
      </w:r>
      <w:r w:rsidRPr="00A71D2E">
        <w:rPr>
          <w:rFonts w:eastAsia="宋体" w:cs="Times New Roman" w:hint="eastAsia"/>
          <w:szCs w:val="21"/>
        </w:rPr>
        <w:t>净资产收益率和每股收益的计算及披露》</w:t>
      </w:r>
      <w:r w:rsidR="005F14EE">
        <w:rPr>
          <w:rFonts w:eastAsia="宋体" w:cs="Times New Roman"/>
          <w:szCs w:val="21"/>
        </w:rPr>
        <w:t>(</w:t>
      </w:r>
      <w:r w:rsidRPr="00A71D2E">
        <w:rPr>
          <w:rFonts w:eastAsia="宋体" w:cs="Times New Roman"/>
          <w:szCs w:val="21"/>
        </w:rPr>
        <w:t>2010</w:t>
      </w:r>
      <w:r w:rsidRPr="00A71D2E">
        <w:rPr>
          <w:rFonts w:eastAsia="宋体" w:cs="Times New Roman" w:hint="eastAsia"/>
          <w:szCs w:val="21"/>
        </w:rPr>
        <w:t>年修订</w:t>
      </w:r>
      <w:r w:rsidR="005F14EE">
        <w:rPr>
          <w:rFonts w:eastAsia="宋体" w:cs="Times New Roman"/>
          <w:szCs w:val="21"/>
        </w:rPr>
        <w:t>)</w:t>
      </w:r>
      <w:r w:rsidRPr="00A71D2E">
        <w:rPr>
          <w:rFonts w:eastAsia="宋体" w:cs="Times New Roman" w:hint="eastAsia"/>
          <w:szCs w:val="21"/>
        </w:rPr>
        <w:t>的有关规定而编制的。</w:t>
      </w:r>
    </w:p>
    <w:p w:rsidR="00A402BC" w:rsidRPr="00A71D2E" w:rsidRDefault="00A402BC">
      <w:pPr>
        <w:ind w:left="5040" w:right="9"/>
        <w:jc w:val="right"/>
        <w:rPr>
          <w:rFonts w:eastAsia="宋体" w:cs="Times New Roman"/>
          <w:szCs w:val="18"/>
        </w:rPr>
      </w:pPr>
      <w:r w:rsidRPr="00A71D2E">
        <w:rPr>
          <w:rFonts w:eastAsia="宋体" w:cs="Times New Roman" w:hint="eastAsia"/>
          <w:szCs w:val="18"/>
        </w:rPr>
        <w:t>单位</w:t>
      </w:r>
      <w:r w:rsidR="005F14EE">
        <w:rPr>
          <w:rFonts w:eastAsia="宋体" w:cs="Times New Roman" w:hint="eastAsia"/>
          <w:szCs w:val="18"/>
        </w:rPr>
        <w:t>：</w:t>
      </w:r>
      <w:r w:rsidRPr="00A71D2E">
        <w:rPr>
          <w:rFonts w:eastAsia="宋体" w:cs="Times New Roman" w:hint="eastAsia"/>
          <w:szCs w:val="18"/>
        </w:rPr>
        <w:t>人民币元</w:t>
      </w:r>
    </w:p>
    <w:tbl>
      <w:tblPr>
        <w:tblStyle w:val="aff5"/>
        <w:tblW w:w="9450" w:type="dxa"/>
        <w:tblInd w:w="715" w:type="dxa"/>
        <w:tblLayout w:type="fixed"/>
        <w:tblLook w:val="04A0" w:firstRow="1" w:lastRow="0" w:firstColumn="1" w:lastColumn="0" w:noHBand="0" w:noVBand="1"/>
      </w:tblPr>
      <w:tblGrid>
        <w:gridCol w:w="4383"/>
        <w:gridCol w:w="1710"/>
        <w:gridCol w:w="1665"/>
        <w:gridCol w:w="1692"/>
      </w:tblGrid>
      <w:tr w:rsidR="00A402BC" w:rsidRPr="00DA6D5B" w:rsidTr="0027505B">
        <w:trPr>
          <w:trHeight w:val="20"/>
        </w:trPr>
        <w:tc>
          <w:tcPr>
            <w:tcW w:w="4383" w:type="dxa"/>
            <w:vMerge w:val="restart"/>
            <w:shd w:val="clear" w:color="auto" w:fill="D9D9D9" w:themeFill="background1" w:themeFillShade="D9"/>
            <w:vAlign w:val="center"/>
          </w:tcPr>
          <w:p w:rsidR="00A402BC" w:rsidRPr="00F43E13" w:rsidRDefault="00A402BC">
            <w:pPr>
              <w:ind w:right="-90"/>
              <w:jc w:val="center"/>
              <w:rPr>
                <w:sz w:val="18"/>
                <w:szCs w:val="18"/>
              </w:rPr>
            </w:pPr>
            <w:r w:rsidRPr="00F43E13">
              <w:rPr>
                <w:rFonts w:hint="eastAsia"/>
                <w:sz w:val="18"/>
                <w:szCs w:val="18"/>
              </w:rPr>
              <w:t>报告期利润</w:t>
            </w:r>
          </w:p>
        </w:tc>
        <w:tc>
          <w:tcPr>
            <w:tcW w:w="1710" w:type="dxa"/>
            <w:vMerge w:val="restart"/>
            <w:shd w:val="clear" w:color="auto" w:fill="D9D9D9" w:themeFill="background1" w:themeFillShade="D9"/>
            <w:vAlign w:val="center"/>
          </w:tcPr>
          <w:p w:rsidR="00A402BC" w:rsidRPr="00F43E13" w:rsidRDefault="00A402BC">
            <w:pPr>
              <w:jc w:val="center"/>
              <w:rPr>
                <w:sz w:val="18"/>
                <w:szCs w:val="18"/>
              </w:rPr>
            </w:pPr>
            <w:r w:rsidRPr="00F43E13">
              <w:rPr>
                <w:rFonts w:hint="eastAsia"/>
                <w:sz w:val="18"/>
                <w:szCs w:val="18"/>
              </w:rPr>
              <w:t>加权平均净资产</w:t>
            </w:r>
          </w:p>
          <w:p w:rsidR="00A402BC" w:rsidRPr="00F43E13" w:rsidRDefault="00A402BC">
            <w:pPr>
              <w:jc w:val="center"/>
              <w:rPr>
                <w:sz w:val="18"/>
                <w:szCs w:val="18"/>
              </w:rPr>
            </w:pPr>
            <w:r w:rsidRPr="00F43E13">
              <w:rPr>
                <w:rFonts w:hint="eastAsia"/>
                <w:sz w:val="18"/>
                <w:szCs w:val="18"/>
              </w:rPr>
              <w:t>收益率</w:t>
            </w:r>
            <w:r w:rsidR="005F14EE">
              <w:rPr>
                <w:sz w:val="18"/>
                <w:szCs w:val="18"/>
              </w:rPr>
              <w:t>(</w:t>
            </w:r>
            <w:r w:rsidRPr="00F43E13">
              <w:rPr>
                <w:sz w:val="18"/>
                <w:szCs w:val="18"/>
              </w:rPr>
              <w:t>%</w:t>
            </w:r>
            <w:r w:rsidR="005F14EE">
              <w:rPr>
                <w:sz w:val="18"/>
                <w:szCs w:val="18"/>
              </w:rPr>
              <w:t>)</w:t>
            </w:r>
          </w:p>
        </w:tc>
        <w:tc>
          <w:tcPr>
            <w:tcW w:w="3357" w:type="dxa"/>
            <w:gridSpan w:val="2"/>
            <w:shd w:val="clear" w:color="auto" w:fill="D9D9D9" w:themeFill="background1" w:themeFillShade="D9"/>
            <w:vAlign w:val="center"/>
          </w:tcPr>
          <w:p w:rsidR="00A402BC" w:rsidRPr="00F43E13" w:rsidRDefault="00A402BC">
            <w:pPr>
              <w:ind w:left="-104" w:right="-89"/>
              <w:jc w:val="center"/>
              <w:rPr>
                <w:sz w:val="18"/>
                <w:szCs w:val="18"/>
              </w:rPr>
            </w:pPr>
            <w:r w:rsidRPr="00F43E13">
              <w:rPr>
                <w:rFonts w:hint="eastAsia"/>
                <w:sz w:val="18"/>
                <w:szCs w:val="18"/>
              </w:rPr>
              <w:t>每股收益</w:t>
            </w:r>
          </w:p>
        </w:tc>
      </w:tr>
      <w:tr w:rsidR="00A402BC" w:rsidRPr="00DA6D5B" w:rsidTr="0027505B">
        <w:trPr>
          <w:trHeight w:val="20"/>
        </w:trPr>
        <w:tc>
          <w:tcPr>
            <w:tcW w:w="4383" w:type="dxa"/>
            <w:vMerge/>
            <w:shd w:val="clear" w:color="auto" w:fill="D9D9D9" w:themeFill="background1" w:themeFillShade="D9"/>
            <w:vAlign w:val="center"/>
          </w:tcPr>
          <w:p w:rsidR="00A402BC" w:rsidRPr="00F43E13" w:rsidRDefault="00A402BC">
            <w:pPr>
              <w:rPr>
                <w:sz w:val="18"/>
                <w:szCs w:val="18"/>
              </w:rPr>
            </w:pPr>
          </w:p>
        </w:tc>
        <w:tc>
          <w:tcPr>
            <w:tcW w:w="1710" w:type="dxa"/>
            <w:vMerge/>
            <w:shd w:val="clear" w:color="auto" w:fill="D9D9D9" w:themeFill="background1" w:themeFillShade="D9"/>
            <w:vAlign w:val="center"/>
          </w:tcPr>
          <w:p w:rsidR="00A402BC" w:rsidRPr="00F43E13" w:rsidRDefault="00A402BC">
            <w:pPr>
              <w:rPr>
                <w:sz w:val="18"/>
                <w:szCs w:val="18"/>
              </w:rPr>
            </w:pPr>
          </w:p>
        </w:tc>
        <w:tc>
          <w:tcPr>
            <w:tcW w:w="1665" w:type="dxa"/>
            <w:shd w:val="clear" w:color="auto" w:fill="D9D9D9" w:themeFill="background1" w:themeFillShade="D9"/>
            <w:vAlign w:val="center"/>
          </w:tcPr>
          <w:p w:rsidR="00A402BC" w:rsidRPr="00F43E13" w:rsidRDefault="00A402BC">
            <w:pPr>
              <w:ind w:left="-104" w:right="-60"/>
              <w:jc w:val="center"/>
              <w:rPr>
                <w:sz w:val="18"/>
                <w:szCs w:val="18"/>
              </w:rPr>
            </w:pPr>
            <w:r w:rsidRPr="00F43E13">
              <w:rPr>
                <w:rFonts w:hint="eastAsia"/>
                <w:sz w:val="18"/>
                <w:szCs w:val="18"/>
              </w:rPr>
              <w:t>基本每股收益</w:t>
            </w:r>
          </w:p>
        </w:tc>
        <w:tc>
          <w:tcPr>
            <w:tcW w:w="1692" w:type="dxa"/>
            <w:shd w:val="clear" w:color="auto" w:fill="D9D9D9" w:themeFill="background1" w:themeFillShade="D9"/>
            <w:vAlign w:val="center"/>
          </w:tcPr>
          <w:p w:rsidR="00A402BC" w:rsidRPr="00F43E13" w:rsidRDefault="00A402BC">
            <w:pPr>
              <w:ind w:left="-104" w:right="-60"/>
              <w:jc w:val="center"/>
              <w:rPr>
                <w:sz w:val="18"/>
                <w:szCs w:val="18"/>
              </w:rPr>
            </w:pPr>
            <w:r w:rsidRPr="00F43E13">
              <w:rPr>
                <w:rFonts w:hint="eastAsia"/>
                <w:sz w:val="18"/>
                <w:szCs w:val="18"/>
              </w:rPr>
              <w:t>稀释每股收益</w:t>
            </w:r>
          </w:p>
        </w:tc>
      </w:tr>
      <w:tr w:rsidR="00DA6D5B" w:rsidRPr="00DA6D5B" w:rsidTr="0027505B">
        <w:trPr>
          <w:trHeight w:val="20"/>
        </w:trPr>
        <w:tc>
          <w:tcPr>
            <w:tcW w:w="4383" w:type="dxa"/>
            <w:shd w:val="clear" w:color="auto" w:fill="auto"/>
            <w:vAlign w:val="center"/>
          </w:tcPr>
          <w:p w:rsidR="00DA6D5B" w:rsidRPr="00F43E13" w:rsidRDefault="00DA6D5B" w:rsidP="00DA6D5B">
            <w:pPr>
              <w:rPr>
                <w:sz w:val="18"/>
                <w:szCs w:val="18"/>
              </w:rPr>
            </w:pPr>
            <w:r w:rsidRPr="00F43E13">
              <w:rPr>
                <w:rFonts w:hint="eastAsia"/>
                <w:sz w:val="18"/>
                <w:szCs w:val="18"/>
              </w:rPr>
              <w:t>归属于公司普通股股东的净利润</w:t>
            </w:r>
          </w:p>
        </w:tc>
        <w:tc>
          <w:tcPr>
            <w:tcW w:w="1710" w:type="dxa"/>
            <w:vAlign w:val="center"/>
          </w:tcPr>
          <w:p w:rsidR="00DA6D5B" w:rsidRPr="00F43E13" w:rsidRDefault="00F43E13" w:rsidP="00DA6D5B">
            <w:pPr>
              <w:jc w:val="right"/>
              <w:rPr>
                <w:sz w:val="18"/>
                <w:szCs w:val="18"/>
              </w:rPr>
            </w:pPr>
            <w:r w:rsidRPr="00F43E13">
              <w:rPr>
                <w:sz w:val="18"/>
                <w:szCs w:val="18"/>
              </w:rPr>
              <w:t>11</w:t>
            </w:r>
            <w:r w:rsidR="00DA6D5B" w:rsidRPr="00F43E13">
              <w:rPr>
                <w:sz w:val="18"/>
                <w:szCs w:val="18"/>
              </w:rPr>
              <w:t>.</w:t>
            </w:r>
            <w:r w:rsidRPr="00F43E13">
              <w:rPr>
                <w:sz w:val="18"/>
                <w:szCs w:val="18"/>
              </w:rPr>
              <w:t>15</w:t>
            </w:r>
          </w:p>
        </w:tc>
        <w:tc>
          <w:tcPr>
            <w:tcW w:w="1665" w:type="dxa"/>
            <w:vAlign w:val="center"/>
          </w:tcPr>
          <w:p w:rsidR="00DA6D5B" w:rsidRPr="00F43E13" w:rsidRDefault="00F43E13" w:rsidP="00DA6D5B">
            <w:pPr>
              <w:jc w:val="right"/>
              <w:rPr>
                <w:sz w:val="18"/>
                <w:szCs w:val="18"/>
              </w:rPr>
            </w:pPr>
            <w:r w:rsidRPr="00F43E13">
              <w:rPr>
                <w:sz w:val="18"/>
                <w:szCs w:val="18"/>
              </w:rPr>
              <w:t>1</w:t>
            </w:r>
            <w:r w:rsidR="00DA6D5B" w:rsidRPr="00F43E13">
              <w:rPr>
                <w:sz w:val="18"/>
                <w:szCs w:val="18"/>
              </w:rPr>
              <w:t>.</w:t>
            </w:r>
            <w:r w:rsidRPr="00F43E13">
              <w:rPr>
                <w:sz w:val="18"/>
                <w:szCs w:val="18"/>
              </w:rPr>
              <w:t>0008</w:t>
            </w:r>
          </w:p>
        </w:tc>
        <w:tc>
          <w:tcPr>
            <w:tcW w:w="1692" w:type="dxa"/>
            <w:vAlign w:val="center"/>
          </w:tcPr>
          <w:p w:rsidR="00DA6D5B" w:rsidRPr="00F43E13" w:rsidRDefault="00DA6D5B" w:rsidP="00DA6D5B">
            <w:pPr>
              <w:jc w:val="right"/>
              <w:rPr>
                <w:sz w:val="18"/>
                <w:szCs w:val="18"/>
              </w:rPr>
            </w:pPr>
            <w:r w:rsidRPr="00F43E13">
              <w:rPr>
                <w:rFonts w:hint="eastAsia"/>
                <w:sz w:val="18"/>
                <w:szCs w:val="18"/>
              </w:rPr>
              <w:t>不适用</w:t>
            </w:r>
          </w:p>
        </w:tc>
      </w:tr>
      <w:tr w:rsidR="00DA6D5B" w:rsidRPr="00A71D2E" w:rsidTr="0027505B">
        <w:trPr>
          <w:trHeight w:val="20"/>
        </w:trPr>
        <w:tc>
          <w:tcPr>
            <w:tcW w:w="4383" w:type="dxa"/>
            <w:shd w:val="clear" w:color="auto" w:fill="auto"/>
            <w:vAlign w:val="center"/>
          </w:tcPr>
          <w:p w:rsidR="00DA6D5B" w:rsidRPr="00F43E13" w:rsidRDefault="00DA6D5B" w:rsidP="00DA6D5B">
            <w:pPr>
              <w:rPr>
                <w:sz w:val="18"/>
                <w:szCs w:val="18"/>
              </w:rPr>
            </w:pPr>
            <w:r w:rsidRPr="00F43E13">
              <w:rPr>
                <w:rFonts w:hint="eastAsia"/>
                <w:sz w:val="18"/>
                <w:szCs w:val="18"/>
              </w:rPr>
              <w:t>扣除非经常性损益后归属于公司普通股股东的净利润</w:t>
            </w:r>
          </w:p>
        </w:tc>
        <w:tc>
          <w:tcPr>
            <w:tcW w:w="1710" w:type="dxa"/>
            <w:vAlign w:val="center"/>
          </w:tcPr>
          <w:p w:rsidR="00DA6D5B" w:rsidRPr="00F43E13" w:rsidRDefault="00DA6D5B" w:rsidP="00DA6D5B">
            <w:pPr>
              <w:jc w:val="right"/>
              <w:rPr>
                <w:sz w:val="18"/>
                <w:szCs w:val="18"/>
              </w:rPr>
            </w:pPr>
            <w:r w:rsidRPr="00F43E13">
              <w:rPr>
                <w:sz w:val="18"/>
                <w:szCs w:val="18"/>
              </w:rPr>
              <w:t>1</w:t>
            </w:r>
            <w:r w:rsidR="00F43E13" w:rsidRPr="00F43E13">
              <w:rPr>
                <w:sz w:val="18"/>
                <w:szCs w:val="18"/>
              </w:rPr>
              <w:t>0</w:t>
            </w:r>
            <w:r w:rsidRPr="00F43E13">
              <w:rPr>
                <w:sz w:val="18"/>
                <w:szCs w:val="18"/>
              </w:rPr>
              <w:t>.</w:t>
            </w:r>
            <w:r w:rsidR="00F43E13" w:rsidRPr="00F43E13">
              <w:rPr>
                <w:sz w:val="18"/>
                <w:szCs w:val="18"/>
              </w:rPr>
              <w:t>96</w:t>
            </w:r>
          </w:p>
        </w:tc>
        <w:tc>
          <w:tcPr>
            <w:tcW w:w="1665" w:type="dxa"/>
            <w:vAlign w:val="center"/>
          </w:tcPr>
          <w:p w:rsidR="00DA6D5B" w:rsidRPr="00F43E13" w:rsidRDefault="00DA6D5B" w:rsidP="00DA6D5B">
            <w:pPr>
              <w:jc w:val="right"/>
              <w:rPr>
                <w:sz w:val="18"/>
                <w:szCs w:val="18"/>
              </w:rPr>
            </w:pPr>
            <w:r w:rsidRPr="00F43E13">
              <w:rPr>
                <w:sz w:val="18"/>
                <w:szCs w:val="18"/>
              </w:rPr>
              <w:t>0.</w:t>
            </w:r>
            <w:r w:rsidR="00F43E13" w:rsidRPr="00F43E13">
              <w:rPr>
                <w:sz w:val="18"/>
                <w:szCs w:val="18"/>
              </w:rPr>
              <w:t>9837</w:t>
            </w:r>
          </w:p>
        </w:tc>
        <w:tc>
          <w:tcPr>
            <w:tcW w:w="1692" w:type="dxa"/>
            <w:vAlign w:val="center"/>
          </w:tcPr>
          <w:p w:rsidR="00DA6D5B" w:rsidRPr="00F43E13" w:rsidRDefault="00DA6D5B" w:rsidP="00DA6D5B">
            <w:pPr>
              <w:jc w:val="right"/>
              <w:rPr>
                <w:sz w:val="18"/>
                <w:szCs w:val="18"/>
              </w:rPr>
            </w:pPr>
            <w:r w:rsidRPr="00F43E13">
              <w:rPr>
                <w:rFonts w:hint="eastAsia"/>
                <w:sz w:val="18"/>
                <w:szCs w:val="18"/>
              </w:rPr>
              <w:t>不适用</w:t>
            </w:r>
          </w:p>
        </w:tc>
      </w:tr>
    </w:tbl>
    <w:p w:rsidR="00BB43ED" w:rsidRPr="0027505B" w:rsidRDefault="00BB43ED">
      <w:pPr>
        <w:adjustRightInd/>
        <w:snapToGrid/>
        <w:rPr>
          <w:rFonts w:eastAsia="宋体" w:cs="Times New Roman"/>
          <w:bCs/>
          <w:szCs w:val="24"/>
        </w:rPr>
      </w:pPr>
    </w:p>
    <w:p w:rsidR="00BB43ED" w:rsidRDefault="00BB43ED" w:rsidP="00BB43ED">
      <w:pPr>
        <w:pStyle w:val="2"/>
        <w:numPr>
          <w:ilvl w:val="0"/>
          <w:numId w:val="0"/>
        </w:numPr>
        <w:adjustRightInd w:val="0"/>
        <w:snapToGrid w:val="0"/>
        <w:contextualSpacing w:val="0"/>
        <w:rPr>
          <w:rFonts w:ascii="Times New Roman" w:eastAsia="宋体" w:hAnsi="Times New Roman" w:cs="Times New Roman"/>
        </w:rPr>
      </w:pPr>
      <w:r>
        <w:rPr>
          <w:rFonts w:ascii="Times New Roman" w:eastAsia="宋体" w:hAnsi="Times New Roman" w:cs="Times New Roman"/>
        </w:rPr>
        <w:t>3</w:t>
      </w:r>
      <w:r w:rsidRPr="00A71D2E">
        <w:rPr>
          <w:rFonts w:ascii="Times New Roman" w:eastAsia="宋体" w:hAnsi="Times New Roman" w:cs="Times New Roman" w:hint="eastAsia"/>
          <w:bCs/>
          <w:szCs w:val="21"/>
          <w:lang w:val="x-none" w:eastAsia="x-none"/>
        </w:rPr>
        <w:t>、</w:t>
      </w:r>
      <w:r w:rsidRPr="00A71D2E">
        <w:rPr>
          <w:rFonts w:ascii="Times New Roman" w:eastAsia="宋体" w:hAnsi="Times New Roman" w:cs="Times New Roman"/>
          <w:bCs/>
          <w:szCs w:val="21"/>
          <w:lang w:val="x-none" w:eastAsia="x-none"/>
        </w:rPr>
        <w:tab/>
      </w:r>
      <w:r>
        <w:rPr>
          <w:rFonts w:ascii="Times New Roman" w:eastAsia="宋体" w:hAnsi="Times New Roman" w:cs="Times New Roman" w:hint="eastAsia"/>
        </w:rPr>
        <w:t>追溯应用会计政策财务报表项目相关补充资料</w:t>
      </w:r>
    </w:p>
    <w:p w:rsidR="00BB43ED" w:rsidRPr="00075152" w:rsidRDefault="00CC1F84" w:rsidP="00075152">
      <w:pPr>
        <w:jc w:val="right"/>
      </w:pPr>
      <w:r>
        <w:rPr>
          <w:rFonts w:hint="eastAsia"/>
        </w:rPr>
        <w:t>单位</w:t>
      </w:r>
      <w:r w:rsidR="005F14EE">
        <w:rPr>
          <w:rFonts w:hint="eastAsia"/>
        </w:rPr>
        <w:t>：</w:t>
      </w:r>
      <w:r w:rsidR="00BB43ED">
        <w:rPr>
          <w:rFonts w:hint="eastAsia"/>
        </w:rPr>
        <w:t>人民币元</w:t>
      </w:r>
    </w:p>
    <w:tbl>
      <w:tblPr>
        <w:tblStyle w:val="aff5"/>
        <w:tblW w:w="9450" w:type="dxa"/>
        <w:tblInd w:w="715" w:type="dxa"/>
        <w:tblLayout w:type="fixed"/>
        <w:tblLook w:val="04A0" w:firstRow="1" w:lastRow="0" w:firstColumn="1" w:lastColumn="0" w:noHBand="0" w:noVBand="1"/>
      </w:tblPr>
      <w:tblGrid>
        <w:gridCol w:w="4383"/>
        <w:gridCol w:w="1689"/>
        <w:gridCol w:w="1689"/>
        <w:gridCol w:w="1689"/>
      </w:tblGrid>
      <w:tr w:rsidR="000D183C" w:rsidRPr="002079DC" w:rsidTr="0027505B">
        <w:trPr>
          <w:trHeight w:val="20"/>
        </w:trPr>
        <w:tc>
          <w:tcPr>
            <w:tcW w:w="4383" w:type="dxa"/>
            <w:shd w:val="clear" w:color="auto" w:fill="D9D9D9"/>
            <w:vAlign w:val="center"/>
          </w:tcPr>
          <w:p w:rsidR="000D183C" w:rsidRPr="002079DC" w:rsidRDefault="000D183C" w:rsidP="00E456AF">
            <w:pPr>
              <w:jc w:val="center"/>
              <w:rPr>
                <w:sz w:val="18"/>
                <w:szCs w:val="18"/>
              </w:rPr>
            </w:pPr>
            <w:r w:rsidRPr="002079DC">
              <w:rPr>
                <w:rFonts w:hint="eastAsia"/>
                <w:sz w:val="18"/>
                <w:szCs w:val="18"/>
              </w:rPr>
              <w:t>项目</w:t>
            </w:r>
          </w:p>
        </w:tc>
        <w:tc>
          <w:tcPr>
            <w:tcW w:w="1689" w:type="dxa"/>
            <w:shd w:val="clear" w:color="auto" w:fill="D9D9D9" w:themeFill="background1" w:themeFillShade="D9"/>
            <w:vAlign w:val="center"/>
          </w:tcPr>
          <w:p w:rsidR="000D183C" w:rsidRPr="002079DC" w:rsidRDefault="000D183C" w:rsidP="00E456AF">
            <w:pPr>
              <w:jc w:val="center"/>
              <w:rPr>
                <w:sz w:val="18"/>
                <w:szCs w:val="18"/>
              </w:rPr>
            </w:pPr>
            <w:r w:rsidRPr="002079DC">
              <w:rPr>
                <w:sz w:val="18"/>
                <w:szCs w:val="18"/>
              </w:rPr>
              <w:t>2022</w:t>
            </w:r>
            <w:r w:rsidRPr="002079DC">
              <w:rPr>
                <w:rFonts w:hint="eastAsia"/>
                <w:sz w:val="18"/>
                <w:szCs w:val="18"/>
              </w:rPr>
              <w:t>年</w:t>
            </w:r>
            <w:r w:rsidRPr="002079DC">
              <w:rPr>
                <w:sz w:val="18"/>
                <w:szCs w:val="18"/>
              </w:rPr>
              <w:t>1</w:t>
            </w:r>
            <w:r w:rsidRPr="002079DC">
              <w:rPr>
                <w:rFonts w:hint="eastAsia"/>
                <w:sz w:val="18"/>
                <w:szCs w:val="18"/>
              </w:rPr>
              <w:t>月</w:t>
            </w:r>
            <w:r w:rsidRPr="002079DC">
              <w:rPr>
                <w:sz w:val="18"/>
                <w:szCs w:val="18"/>
              </w:rPr>
              <w:t>1</w:t>
            </w:r>
            <w:r w:rsidRPr="002079DC">
              <w:rPr>
                <w:rFonts w:hint="eastAsia"/>
                <w:sz w:val="18"/>
                <w:szCs w:val="18"/>
              </w:rPr>
              <w:t>日</w:t>
            </w:r>
          </w:p>
        </w:tc>
        <w:tc>
          <w:tcPr>
            <w:tcW w:w="1689" w:type="dxa"/>
            <w:shd w:val="clear" w:color="auto" w:fill="D9D9D9"/>
            <w:vAlign w:val="center"/>
          </w:tcPr>
          <w:p w:rsidR="000D183C" w:rsidRPr="002079DC" w:rsidRDefault="000D183C" w:rsidP="00E456AF">
            <w:pPr>
              <w:jc w:val="center"/>
              <w:rPr>
                <w:sz w:val="18"/>
                <w:szCs w:val="18"/>
              </w:rPr>
            </w:pPr>
            <w:r w:rsidRPr="002079DC">
              <w:rPr>
                <w:sz w:val="18"/>
                <w:szCs w:val="18"/>
              </w:rPr>
              <w:t>2022</w:t>
            </w:r>
            <w:r w:rsidRPr="002079DC">
              <w:rPr>
                <w:rFonts w:hint="eastAsia"/>
                <w:sz w:val="18"/>
                <w:szCs w:val="18"/>
              </w:rPr>
              <w:t>年</w:t>
            </w:r>
            <w:r w:rsidRPr="002079DC">
              <w:rPr>
                <w:sz w:val="18"/>
                <w:szCs w:val="18"/>
              </w:rPr>
              <w:t>12</w:t>
            </w:r>
            <w:r w:rsidRPr="002079DC">
              <w:rPr>
                <w:rFonts w:hint="eastAsia"/>
                <w:sz w:val="18"/>
                <w:szCs w:val="18"/>
              </w:rPr>
              <w:t>月</w:t>
            </w:r>
            <w:r w:rsidRPr="002079DC">
              <w:rPr>
                <w:sz w:val="18"/>
                <w:szCs w:val="18"/>
              </w:rPr>
              <w:t>31</w:t>
            </w:r>
            <w:r w:rsidRPr="002079DC">
              <w:rPr>
                <w:rFonts w:hint="eastAsia"/>
                <w:sz w:val="18"/>
                <w:szCs w:val="18"/>
              </w:rPr>
              <w:t>日</w:t>
            </w:r>
          </w:p>
        </w:tc>
        <w:tc>
          <w:tcPr>
            <w:tcW w:w="1689" w:type="dxa"/>
            <w:shd w:val="clear" w:color="auto" w:fill="D9D9D9"/>
            <w:vAlign w:val="center"/>
          </w:tcPr>
          <w:p w:rsidR="000D183C" w:rsidRPr="002079DC" w:rsidRDefault="000D183C" w:rsidP="00E456AF">
            <w:pPr>
              <w:jc w:val="center"/>
              <w:rPr>
                <w:sz w:val="18"/>
                <w:szCs w:val="18"/>
              </w:rPr>
            </w:pPr>
            <w:r w:rsidRPr="002079DC">
              <w:rPr>
                <w:sz w:val="18"/>
                <w:szCs w:val="18"/>
              </w:rPr>
              <w:t>2023</w:t>
            </w:r>
            <w:r w:rsidRPr="002079DC">
              <w:rPr>
                <w:rFonts w:hint="eastAsia"/>
                <w:sz w:val="18"/>
                <w:szCs w:val="18"/>
              </w:rPr>
              <w:t>年</w:t>
            </w:r>
            <w:r w:rsidRPr="002079DC">
              <w:rPr>
                <w:sz w:val="18"/>
                <w:szCs w:val="18"/>
              </w:rPr>
              <w:t>12</w:t>
            </w:r>
            <w:r w:rsidRPr="002079DC">
              <w:rPr>
                <w:rFonts w:hint="eastAsia"/>
                <w:sz w:val="18"/>
                <w:szCs w:val="18"/>
              </w:rPr>
              <w:t>月</w:t>
            </w:r>
            <w:r w:rsidRPr="002079DC">
              <w:rPr>
                <w:sz w:val="18"/>
                <w:szCs w:val="18"/>
              </w:rPr>
              <w:t>31</w:t>
            </w:r>
            <w:r w:rsidRPr="002079DC">
              <w:rPr>
                <w:rFonts w:hint="eastAsia"/>
                <w:sz w:val="18"/>
                <w:szCs w:val="18"/>
              </w:rPr>
              <w:t>日</w:t>
            </w:r>
          </w:p>
        </w:tc>
      </w:tr>
      <w:tr w:rsidR="000D183C" w:rsidRPr="002079DC" w:rsidTr="0027505B">
        <w:trPr>
          <w:trHeight w:val="20"/>
        </w:trPr>
        <w:tc>
          <w:tcPr>
            <w:tcW w:w="4383" w:type="dxa"/>
            <w:shd w:val="clear" w:color="auto" w:fill="D9D9D9"/>
            <w:vAlign w:val="center"/>
          </w:tcPr>
          <w:p w:rsidR="000D183C" w:rsidRPr="002079DC" w:rsidRDefault="000D183C" w:rsidP="00E456AF">
            <w:pPr>
              <w:rPr>
                <w:b/>
                <w:sz w:val="18"/>
                <w:szCs w:val="18"/>
              </w:rPr>
            </w:pPr>
            <w:r w:rsidRPr="002079DC">
              <w:rPr>
                <w:rFonts w:hint="eastAsia"/>
                <w:b/>
                <w:sz w:val="18"/>
                <w:szCs w:val="18"/>
              </w:rPr>
              <w:t>流动资产</w:t>
            </w:r>
            <w:r w:rsidR="005F14EE" w:rsidRPr="002079DC">
              <w:rPr>
                <w:rFonts w:hint="eastAsia"/>
                <w:b/>
                <w:sz w:val="18"/>
                <w:szCs w:val="18"/>
              </w:rPr>
              <w:t>：</w:t>
            </w:r>
          </w:p>
        </w:tc>
        <w:tc>
          <w:tcPr>
            <w:tcW w:w="1689" w:type="dxa"/>
            <w:shd w:val="clear" w:color="auto" w:fill="D9D9D9" w:themeFill="background1" w:themeFillShade="D9"/>
            <w:vAlign w:val="center"/>
          </w:tcPr>
          <w:p w:rsidR="000D183C" w:rsidRPr="002079DC" w:rsidRDefault="000D183C" w:rsidP="00E456AF">
            <w:pPr>
              <w:jc w:val="center"/>
              <w:rPr>
                <w:sz w:val="18"/>
                <w:szCs w:val="18"/>
              </w:rPr>
            </w:pPr>
          </w:p>
        </w:tc>
        <w:tc>
          <w:tcPr>
            <w:tcW w:w="1689" w:type="dxa"/>
            <w:shd w:val="clear" w:color="auto" w:fill="D9D9D9"/>
            <w:vAlign w:val="center"/>
          </w:tcPr>
          <w:p w:rsidR="000D183C" w:rsidRPr="002079DC" w:rsidRDefault="000D183C" w:rsidP="00E456AF">
            <w:pPr>
              <w:jc w:val="center"/>
              <w:rPr>
                <w:sz w:val="18"/>
                <w:szCs w:val="18"/>
              </w:rPr>
            </w:pPr>
          </w:p>
        </w:tc>
        <w:tc>
          <w:tcPr>
            <w:tcW w:w="1689" w:type="dxa"/>
            <w:shd w:val="clear" w:color="auto" w:fill="D9D9D9"/>
            <w:vAlign w:val="center"/>
          </w:tcPr>
          <w:p w:rsidR="000D183C" w:rsidRPr="002079DC" w:rsidRDefault="000D183C" w:rsidP="00E456AF">
            <w:pPr>
              <w:jc w:val="right"/>
              <w:rPr>
                <w:sz w:val="18"/>
                <w:szCs w:val="18"/>
              </w:rPr>
            </w:pP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货币资金</w:t>
            </w:r>
          </w:p>
        </w:tc>
        <w:tc>
          <w:tcPr>
            <w:tcW w:w="1689" w:type="dxa"/>
            <w:vAlign w:val="center"/>
          </w:tcPr>
          <w:p w:rsidR="00DE4044" w:rsidRPr="002079DC" w:rsidRDefault="00DE4044" w:rsidP="00DE4044">
            <w:pPr>
              <w:jc w:val="right"/>
              <w:rPr>
                <w:sz w:val="18"/>
                <w:szCs w:val="18"/>
              </w:rPr>
            </w:pPr>
            <w:r w:rsidRPr="002079DC">
              <w:rPr>
                <w:sz w:val="18"/>
                <w:szCs w:val="18"/>
              </w:rPr>
              <w:t>1,232,086,279.23</w:t>
            </w:r>
          </w:p>
        </w:tc>
        <w:tc>
          <w:tcPr>
            <w:tcW w:w="1689" w:type="dxa"/>
            <w:vAlign w:val="center"/>
          </w:tcPr>
          <w:p w:rsidR="00DE4044" w:rsidRPr="002079DC" w:rsidRDefault="00DE4044" w:rsidP="00075152">
            <w:pPr>
              <w:jc w:val="right"/>
              <w:rPr>
                <w:sz w:val="18"/>
                <w:szCs w:val="18"/>
              </w:rPr>
            </w:pPr>
            <w:r w:rsidRPr="002079DC">
              <w:rPr>
                <w:sz w:val="18"/>
                <w:szCs w:val="18"/>
              </w:rPr>
              <w:t>4,806,366,681.46</w:t>
            </w:r>
          </w:p>
        </w:tc>
        <w:tc>
          <w:tcPr>
            <w:tcW w:w="1689" w:type="dxa"/>
            <w:vAlign w:val="center"/>
          </w:tcPr>
          <w:p w:rsidR="00DE4044" w:rsidRPr="002079DC" w:rsidRDefault="00DE4044" w:rsidP="00DE4044">
            <w:pPr>
              <w:jc w:val="right"/>
              <w:rPr>
                <w:sz w:val="18"/>
                <w:szCs w:val="18"/>
              </w:rPr>
            </w:pPr>
            <w:r w:rsidRPr="002079DC">
              <w:rPr>
                <w:sz w:val="18"/>
                <w:szCs w:val="18"/>
              </w:rPr>
              <w:t>4,655,798,647.20</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应收票据</w:t>
            </w:r>
          </w:p>
        </w:tc>
        <w:tc>
          <w:tcPr>
            <w:tcW w:w="1689" w:type="dxa"/>
            <w:vAlign w:val="center"/>
          </w:tcPr>
          <w:p w:rsidR="00DE4044" w:rsidRPr="002079DC" w:rsidRDefault="00DE4044" w:rsidP="00DE4044">
            <w:pPr>
              <w:jc w:val="right"/>
              <w:rPr>
                <w:sz w:val="18"/>
                <w:szCs w:val="18"/>
              </w:rPr>
            </w:pPr>
            <w:r w:rsidRPr="002079DC">
              <w:rPr>
                <w:sz w:val="18"/>
                <w:szCs w:val="18"/>
              </w:rPr>
              <w:t>4,373,000.00</w:t>
            </w:r>
          </w:p>
        </w:tc>
        <w:tc>
          <w:tcPr>
            <w:tcW w:w="1689" w:type="dxa"/>
            <w:vAlign w:val="center"/>
          </w:tcPr>
          <w:p w:rsidR="00DE4044" w:rsidRPr="002079DC" w:rsidRDefault="00DE4044" w:rsidP="00075152">
            <w:pPr>
              <w:jc w:val="right"/>
              <w:rPr>
                <w:sz w:val="18"/>
                <w:szCs w:val="18"/>
              </w:rPr>
            </w:pPr>
            <w:r w:rsidRPr="002079DC">
              <w:rPr>
                <w:sz w:val="18"/>
                <w:szCs w:val="18"/>
              </w:rPr>
              <w:t>209,587.60</w:t>
            </w:r>
          </w:p>
        </w:tc>
        <w:tc>
          <w:tcPr>
            <w:tcW w:w="1689" w:type="dxa"/>
            <w:vAlign w:val="center"/>
          </w:tcPr>
          <w:p w:rsidR="00DE4044" w:rsidRPr="002079DC" w:rsidRDefault="00DE4044" w:rsidP="00DE4044">
            <w:pPr>
              <w:jc w:val="right"/>
              <w:rPr>
                <w:sz w:val="18"/>
                <w:szCs w:val="18"/>
              </w:rPr>
            </w:pPr>
            <w:r w:rsidRPr="002079DC">
              <w:rPr>
                <w:sz w:val="18"/>
                <w:szCs w:val="18"/>
              </w:rPr>
              <w:t>5,919,220.40</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应收账款</w:t>
            </w:r>
          </w:p>
        </w:tc>
        <w:tc>
          <w:tcPr>
            <w:tcW w:w="1689" w:type="dxa"/>
            <w:vAlign w:val="center"/>
          </w:tcPr>
          <w:p w:rsidR="00DE4044" w:rsidRPr="002079DC" w:rsidRDefault="00DE4044" w:rsidP="00DE4044">
            <w:pPr>
              <w:jc w:val="right"/>
              <w:rPr>
                <w:sz w:val="18"/>
                <w:szCs w:val="18"/>
              </w:rPr>
            </w:pPr>
            <w:r w:rsidRPr="002079DC">
              <w:rPr>
                <w:sz w:val="18"/>
                <w:szCs w:val="18"/>
              </w:rPr>
              <w:t>756,849,820.54</w:t>
            </w:r>
          </w:p>
        </w:tc>
        <w:tc>
          <w:tcPr>
            <w:tcW w:w="1689" w:type="dxa"/>
            <w:vAlign w:val="center"/>
          </w:tcPr>
          <w:p w:rsidR="00DE4044" w:rsidRPr="002079DC" w:rsidRDefault="00DE4044" w:rsidP="00075152">
            <w:pPr>
              <w:jc w:val="right"/>
              <w:rPr>
                <w:sz w:val="18"/>
                <w:szCs w:val="18"/>
              </w:rPr>
            </w:pPr>
            <w:r w:rsidRPr="002079DC">
              <w:rPr>
                <w:sz w:val="18"/>
                <w:szCs w:val="18"/>
              </w:rPr>
              <w:t>716,296,512.50</w:t>
            </w:r>
          </w:p>
        </w:tc>
        <w:tc>
          <w:tcPr>
            <w:tcW w:w="1689" w:type="dxa"/>
            <w:vAlign w:val="center"/>
          </w:tcPr>
          <w:p w:rsidR="00DE4044" w:rsidRPr="002079DC" w:rsidRDefault="00DE4044" w:rsidP="00DE4044">
            <w:pPr>
              <w:jc w:val="right"/>
              <w:rPr>
                <w:sz w:val="18"/>
                <w:szCs w:val="18"/>
              </w:rPr>
            </w:pPr>
            <w:r w:rsidRPr="002079DC">
              <w:rPr>
                <w:sz w:val="18"/>
                <w:szCs w:val="18"/>
              </w:rPr>
              <w:t>860,351,858.04</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应收款项融资</w:t>
            </w:r>
          </w:p>
        </w:tc>
        <w:tc>
          <w:tcPr>
            <w:tcW w:w="1689" w:type="dxa"/>
            <w:vAlign w:val="center"/>
          </w:tcPr>
          <w:p w:rsidR="00DE4044" w:rsidRPr="002079DC" w:rsidRDefault="00DE4044" w:rsidP="00DE4044">
            <w:pPr>
              <w:jc w:val="right"/>
              <w:rPr>
                <w:sz w:val="18"/>
                <w:szCs w:val="18"/>
              </w:rPr>
            </w:pPr>
            <w:r w:rsidRPr="002079DC">
              <w:rPr>
                <w:sz w:val="18"/>
                <w:szCs w:val="18"/>
              </w:rPr>
              <w:t>6,756,338.29</w:t>
            </w:r>
          </w:p>
        </w:tc>
        <w:tc>
          <w:tcPr>
            <w:tcW w:w="1689" w:type="dxa"/>
            <w:vAlign w:val="center"/>
          </w:tcPr>
          <w:p w:rsidR="00DE4044" w:rsidRPr="002079DC" w:rsidRDefault="00DE4044" w:rsidP="00075152">
            <w:pPr>
              <w:jc w:val="right"/>
              <w:rPr>
                <w:sz w:val="18"/>
                <w:szCs w:val="18"/>
              </w:rPr>
            </w:pPr>
            <w:r w:rsidRPr="002079DC">
              <w:rPr>
                <w:sz w:val="18"/>
                <w:szCs w:val="18"/>
              </w:rPr>
              <w:t>2,290,950.59</w:t>
            </w:r>
          </w:p>
        </w:tc>
        <w:tc>
          <w:tcPr>
            <w:tcW w:w="1689" w:type="dxa"/>
            <w:vAlign w:val="center"/>
          </w:tcPr>
          <w:p w:rsidR="00DE4044" w:rsidRPr="002079DC" w:rsidRDefault="00DE4044" w:rsidP="00DE4044">
            <w:pPr>
              <w:jc w:val="right"/>
              <w:rPr>
                <w:sz w:val="18"/>
                <w:szCs w:val="18"/>
              </w:rPr>
            </w:pPr>
            <w:r w:rsidRPr="002079DC">
              <w:rPr>
                <w:sz w:val="18"/>
                <w:szCs w:val="18"/>
              </w:rPr>
              <w:t>21,276,850.44</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预付款项</w:t>
            </w:r>
          </w:p>
        </w:tc>
        <w:tc>
          <w:tcPr>
            <w:tcW w:w="1689" w:type="dxa"/>
            <w:vAlign w:val="center"/>
          </w:tcPr>
          <w:p w:rsidR="00DE4044" w:rsidRPr="002079DC" w:rsidRDefault="00DE4044" w:rsidP="00DE4044">
            <w:pPr>
              <w:jc w:val="right"/>
              <w:rPr>
                <w:sz w:val="18"/>
                <w:szCs w:val="18"/>
              </w:rPr>
            </w:pPr>
            <w:r w:rsidRPr="002079DC">
              <w:rPr>
                <w:sz w:val="18"/>
                <w:szCs w:val="18"/>
              </w:rPr>
              <w:t>21,885,904.38</w:t>
            </w:r>
          </w:p>
        </w:tc>
        <w:tc>
          <w:tcPr>
            <w:tcW w:w="1689" w:type="dxa"/>
            <w:vAlign w:val="center"/>
          </w:tcPr>
          <w:p w:rsidR="00DE4044" w:rsidRPr="002079DC" w:rsidRDefault="00DE4044" w:rsidP="00075152">
            <w:pPr>
              <w:jc w:val="right"/>
              <w:rPr>
                <w:sz w:val="18"/>
                <w:szCs w:val="18"/>
              </w:rPr>
            </w:pPr>
            <w:r w:rsidRPr="002079DC">
              <w:rPr>
                <w:sz w:val="18"/>
                <w:szCs w:val="18"/>
              </w:rPr>
              <w:t>33,956,711.40</w:t>
            </w:r>
          </w:p>
        </w:tc>
        <w:tc>
          <w:tcPr>
            <w:tcW w:w="1689" w:type="dxa"/>
            <w:vAlign w:val="center"/>
          </w:tcPr>
          <w:p w:rsidR="00DE4044" w:rsidRPr="002079DC" w:rsidRDefault="00DE4044" w:rsidP="00DE4044">
            <w:pPr>
              <w:jc w:val="right"/>
              <w:rPr>
                <w:sz w:val="18"/>
                <w:szCs w:val="18"/>
              </w:rPr>
            </w:pPr>
            <w:r w:rsidRPr="002079DC">
              <w:rPr>
                <w:sz w:val="18"/>
                <w:szCs w:val="18"/>
              </w:rPr>
              <w:t>32,987,518.58</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其他应收款</w:t>
            </w:r>
          </w:p>
        </w:tc>
        <w:tc>
          <w:tcPr>
            <w:tcW w:w="1689" w:type="dxa"/>
            <w:vAlign w:val="center"/>
          </w:tcPr>
          <w:p w:rsidR="00DE4044" w:rsidRPr="002079DC" w:rsidRDefault="00DE4044" w:rsidP="00DE4044">
            <w:pPr>
              <w:jc w:val="right"/>
              <w:rPr>
                <w:sz w:val="18"/>
                <w:szCs w:val="18"/>
              </w:rPr>
            </w:pPr>
            <w:r w:rsidRPr="002079DC">
              <w:rPr>
                <w:sz w:val="18"/>
                <w:szCs w:val="18"/>
              </w:rPr>
              <w:t>7,823,656.05</w:t>
            </w:r>
          </w:p>
        </w:tc>
        <w:tc>
          <w:tcPr>
            <w:tcW w:w="1689" w:type="dxa"/>
            <w:vAlign w:val="center"/>
          </w:tcPr>
          <w:p w:rsidR="00DE4044" w:rsidRPr="002079DC" w:rsidRDefault="00DE4044" w:rsidP="00075152">
            <w:pPr>
              <w:jc w:val="right"/>
              <w:rPr>
                <w:sz w:val="18"/>
                <w:szCs w:val="18"/>
              </w:rPr>
            </w:pPr>
            <w:r w:rsidRPr="002079DC">
              <w:rPr>
                <w:sz w:val="18"/>
                <w:szCs w:val="18"/>
              </w:rPr>
              <w:t>8,666,574.99</w:t>
            </w:r>
          </w:p>
        </w:tc>
        <w:tc>
          <w:tcPr>
            <w:tcW w:w="1689" w:type="dxa"/>
            <w:vAlign w:val="center"/>
          </w:tcPr>
          <w:p w:rsidR="00DE4044" w:rsidRPr="002079DC" w:rsidRDefault="00DE4044" w:rsidP="00DE4044">
            <w:pPr>
              <w:jc w:val="right"/>
              <w:rPr>
                <w:sz w:val="18"/>
                <w:szCs w:val="18"/>
              </w:rPr>
            </w:pPr>
            <w:r w:rsidRPr="002079DC">
              <w:rPr>
                <w:sz w:val="18"/>
                <w:szCs w:val="18"/>
              </w:rPr>
              <w:t>23,816,037.03</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存货</w:t>
            </w:r>
          </w:p>
        </w:tc>
        <w:tc>
          <w:tcPr>
            <w:tcW w:w="1689" w:type="dxa"/>
            <w:vAlign w:val="center"/>
          </w:tcPr>
          <w:p w:rsidR="00DE4044" w:rsidRPr="002079DC" w:rsidRDefault="00DE4044" w:rsidP="00DE4044">
            <w:pPr>
              <w:jc w:val="right"/>
              <w:rPr>
                <w:sz w:val="18"/>
                <w:szCs w:val="18"/>
              </w:rPr>
            </w:pPr>
            <w:r w:rsidRPr="002079DC">
              <w:rPr>
                <w:sz w:val="18"/>
                <w:szCs w:val="18"/>
              </w:rPr>
              <w:t>1,021,190,876.36</w:t>
            </w:r>
          </w:p>
        </w:tc>
        <w:tc>
          <w:tcPr>
            <w:tcW w:w="1689" w:type="dxa"/>
            <w:vAlign w:val="center"/>
          </w:tcPr>
          <w:p w:rsidR="00DE4044" w:rsidRPr="002079DC" w:rsidRDefault="00DE4044" w:rsidP="00075152">
            <w:pPr>
              <w:jc w:val="right"/>
              <w:rPr>
                <w:sz w:val="18"/>
                <w:szCs w:val="18"/>
              </w:rPr>
            </w:pPr>
            <w:r w:rsidRPr="002079DC">
              <w:rPr>
                <w:sz w:val="18"/>
                <w:szCs w:val="18"/>
              </w:rPr>
              <w:t>590,346,677.01</w:t>
            </w:r>
          </w:p>
        </w:tc>
        <w:tc>
          <w:tcPr>
            <w:tcW w:w="1689" w:type="dxa"/>
            <w:vAlign w:val="center"/>
          </w:tcPr>
          <w:p w:rsidR="00DE4044" w:rsidRPr="002079DC" w:rsidRDefault="00DE4044" w:rsidP="00DE4044">
            <w:pPr>
              <w:jc w:val="right"/>
              <w:rPr>
                <w:sz w:val="18"/>
                <w:szCs w:val="18"/>
              </w:rPr>
            </w:pPr>
            <w:r w:rsidRPr="002079DC">
              <w:rPr>
                <w:sz w:val="18"/>
                <w:szCs w:val="18"/>
              </w:rPr>
              <w:t>694,770,094.37</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一年内到期的非流动资产</w:t>
            </w:r>
          </w:p>
        </w:tc>
        <w:tc>
          <w:tcPr>
            <w:tcW w:w="1689" w:type="dxa"/>
            <w:vAlign w:val="center"/>
          </w:tcPr>
          <w:p w:rsidR="00DE4044" w:rsidRPr="002079DC" w:rsidRDefault="00DE4044" w:rsidP="00DE4044">
            <w:pPr>
              <w:jc w:val="right"/>
              <w:rPr>
                <w:sz w:val="18"/>
                <w:szCs w:val="18"/>
              </w:rPr>
            </w:pPr>
            <w:r w:rsidRPr="002079DC">
              <w:rPr>
                <w:sz w:val="18"/>
                <w:szCs w:val="18"/>
              </w:rPr>
              <w:t>8,237,564.01</w:t>
            </w:r>
          </w:p>
        </w:tc>
        <w:tc>
          <w:tcPr>
            <w:tcW w:w="1689" w:type="dxa"/>
            <w:vAlign w:val="center"/>
          </w:tcPr>
          <w:p w:rsidR="00DE4044" w:rsidRPr="002079DC" w:rsidRDefault="00DE4044" w:rsidP="00075152">
            <w:pPr>
              <w:jc w:val="right"/>
              <w:rPr>
                <w:sz w:val="18"/>
                <w:szCs w:val="18"/>
              </w:rPr>
            </w:pPr>
            <w:r w:rsidRPr="002079DC">
              <w:rPr>
                <w:sz w:val="18"/>
                <w:szCs w:val="18"/>
              </w:rPr>
              <w:t>8,945,100.00</w:t>
            </w:r>
          </w:p>
        </w:tc>
        <w:tc>
          <w:tcPr>
            <w:tcW w:w="1689" w:type="dxa"/>
            <w:vAlign w:val="center"/>
          </w:tcPr>
          <w:p w:rsidR="00DE4044" w:rsidRPr="002079DC" w:rsidRDefault="00DE4044" w:rsidP="00DE4044">
            <w:pPr>
              <w:jc w:val="right"/>
              <w:rPr>
                <w:sz w:val="18"/>
                <w:szCs w:val="18"/>
              </w:rPr>
            </w:pPr>
            <w:r w:rsidRPr="002079DC">
              <w:rPr>
                <w:sz w:val="18"/>
                <w:szCs w:val="18"/>
              </w:rPr>
              <w:t>8,681,589.12</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其他流动资产</w:t>
            </w:r>
          </w:p>
        </w:tc>
        <w:tc>
          <w:tcPr>
            <w:tcW w:w="1689" w:type="dxa"/>
            <w:vAlign w:val="center"/>
          </w:tcPr>
          <w:p w:rsidR="00DE4044" w:rsidRPr="002079DC" w:rsidRDefault="00DE4044" w:rsidP="00DE4044">
            <w:pPr>
              <w:jc w:val="right"/>
              <w:rPr>
                <w:sz w:val="18"/>
                <w:szCs w:val="18"/>
              </w:rPr>
            </w:pPr>
            <w:r w:rsidRPr="002079DC">
              <w:rPr>
                <w:sz w:val="18"/>
                <w:szCs w:val="18"/>
              </w:rPr>
              <w:t>15,108,421.28</w:t>
            </w:r>
          </w:p>
        </w:tc>
        <w:tc>
          <w:tcPr>
            <w:tcW w:w="1689" w:type="dxa"/>
            <w:vAlign w:val="center"/>
          </w:tcPr>
          <w:p w:rsidR="00DE4044" w:rsidRPr="002079DC" w:rsidRDefault="00DE4044" w:rsidP="00075152">
            <w:pPr>
              <w:jc w:val="right"/>
              <w:rPr>
                <w:sz w:val="18"/>
                <w:szCs w:val="18"/>
              </w:rPr>
            </w:pPr>
            <w:r w:rsidRPr="002079DC">
              <w:rPr>
                <w:sz w:val="18"/>
                <w:szCs w:val="18"/>
              </w:rPr>
              <w:t>48,631,456.14</w:t>
            </w:r>
          </w:p>
        </w:tc>
        <w:tc>
          <w:tcPr>
            <w:tcW w:w="1689" w:type="dxa"/>
            <w:vAlign w:val="center"/>
          </w:tcPr>
          <w:p w:rsidR="00DE4044" w:rsidRPr="002079DC" w:rsidRDefault="00DE4044" w:rsidP="00DE4044">
            <w:pPr>
              <w:jc w:val="right"/>
              <w:rPr>
                <w:sz w:val="18"/>
                <w:szCs w:val="18"/>
              </w:rPr>
            </w:pPr>
            <w:r w:rsidRPr="002079DC">
              <w:rPr>
                <w:sz w:val="18"/>
                <w:szCs w:val="18"/>
              </w:rPr>
              <w:t>80,551,686.20</w:t>
            </w:r>
          </w:p>
        </w:tc>
      </w:tr>
      <w:tr w:rsidR="00DE4044" w:rsidRPr="002079DC" w:rsidTr="0027505B">
        <w:trPr>
          <w:trHeight w:val="20"/>
        </w:trPr>
        <w:tc>
          <w:tcPr>
            <w:tcW w:w="4383" w:type="dxa"/>
            <w:shd w:val="clear" w:color="auto" w:fill="D9D9D9"/>
            <w:vAlign w:val="center"/>
          </w:tcPr>
          <w:p w:rsidR="00DE4044" w:rsidRPr="002079DC" w:rsidRDefault="00DE4044" w:rsidP="00DE4044">
            <w:pPr>
              <w:rPr>
                <w:b/>
                <w:sz w:val="18"/>
                <w:szCs w:val="18"/>
              </w:rPr>
            </w:pPr>
            <w:r w:rsidRPr="002079DC">
              <w:rPr>
                <w:rFonts w:hint="eastAsia"/>
                <w:b/>
                <w:sz w:val="18"/>
                <w:szCs w:val="18"/>
              </w:rPr>
              <w:t>流动资产合计</w:t>
            </w:r>
          </w:p>
        </w:tc>
        <w:tc>
          <w:tcPr>
            <w:tcW w:w="1689" w:type="dxa"/>
            <w:vAlign w:val="center"/>
          </w:tcPr>
          <w:p w:rsidR="00DE4044" w:rsidRPr="002079DC" w:rsidRDefault="00DE4044" w:rsidP="00DE4044">
            <w:pPr>
              <w:jc w:val="right"/>
              <w:rPr>
                <w:b/>
                <w:sz w:val="18"/>
                <w:szCs w:val="18"/>
              </w:rPr>
            </w:pPr>
            <w:r w:rsidRPr="002079DC">
              <w:rPr>
                <w:b/>
                <w:sz w:val="18"/>
                <w:szCs w:val="18"/>
              </w:rPr>
              <w:t>3,074,311,860.14</w:t>
            </w:r>
          </w:p>
        </w:tc>
        <w:tc>
          <w:tcPr>
            <w:tcW w:w="1689" w:type="dxa"/>
            <w:vAlign w:val="center"/>
          </w:tcPr>
          <w:p w:rsidR="00DE4044" w:rsidRPr="002079DC" w:rsidRDefault="00DE4044" w:rsidP="00075152">
            <w:pPr>
              <w:jc w:val="right"/>
              <w:rPr>
                <w:sz w:val="18"/>
                <w:szCs w:val="18"/>
              </w:rPr>
            </w:pPr>
            <w:r w:rsidRPr="002079DC">
              <w:rPr>
                <w:b/>
                <w:sz w:val="18"/>
                <w:szCs w:val="18"/>
              </w:rPr>
              <w:t>6,215,710,251.69</w:t>
            </w:r>
          </w:p>
        </w:tc>
        <w:tc>
          <w:tcPr>
            <w:tcW w:w="1689" w:type="dxa"/>
            <w:vAlign w:val="center"/>
          </w:tcPr>
          <w:p w:rsidR="00DE4044" w:rsidRPr="002079DC" w:rsidRDefault="00DE4044" w:rsidP="00DE4044">
            <w:pPr>
              <w:jc w:val="right"/>
              <w:rPr>
                <w:b/>
                <w:sz w:val="18"/>
                <w:szCs w:val="18"/>
              </w:rPr>
            </w:pPr>
            <w:r w:rsidRPr="002079DC">
              <w:rPr>
                <w:b/>
                <w:sz w:val="18"/>
                <w:szCs w:val="18"/>
              </w:rPr>
              <w:t>6,384,153,501.38</w:t>
            </w:r>
          </w:p>
        </w:tc>
      </w:tr>
      <w:tr w:rsidR="00DE4044" w:rsidRPr="002079DC" w:rsidTr="0027505B">
        <w:trPr>
          <w:trHeight w:val="20"/>
        </w:trPr>
        <w:tc>
          <w:tcPr>
            <w:tcW w:w="4383" w:type="dxa"/>
            <w:shd w:val="clear" w:color="auto" w:fill="D9D9D9"/>
            <w:vAlign w:val="center"/>
          </w:tcPr>
          <w:p w:rsidR="00DE4044" w:rsidRPr="002079DC" w:rsidRDefault="00DE4044" w:rsidP="00DE4044">
            <w:pPr>
              <w:rPr>
                <w:b/>
                <w:sz w:val="18"/>
                <w:szCs w:val="18"/>
              </w:rPr>
            </w:pPr>
            <w:r w:rsidRPr="002079DC">
              <w:rPr>
                <w:rFonts w:hint="eastAsia"/>
                <w:b/>
                <w:sz w:val="18"/>
                <w:szCs w:val="18"/>
              </w:rPr>
              <w:t>非流动资产</w:t>
            </w:r>
            <w:r w:rsidR="005F14EE" w:rsidRPr="002079DC">
              <w:rPr>
                <w:rFonts w:hint="eastAsia"/>
                <w:b/>
                <w:sz w:val="18"/>
                <w:szCs w:val="18"/>
              </w:rPr>
              <w:t>：</w:t>
            </w:r>
          </w:p>
        </w:tc>
        <w:tc>
          <w:tcPr>
            <w:tcW w:w="1689" w:type="dxa"/>
            <w:vAlign w:val="center"/>
          </w:tcPr>
          <w:p w:rsidR="00DE4044" w:rsidRPr="002079DC" w:rsidRDefault="00DE4044" w:rsidP="00DE4044">
            <w:pPr>
              <w:jc w:val="center"/>
              <w:rPr>
                <w:sz w:val="18"/>
                <w:szCs w:val="18"/>
              </w:rPr>
            </w:pPr>
          </w:p>
        </w:tc>
        <w:tc>
          <w:tcPr>
            <w:tcW w:w="1689" w:type="dxa"/>
            <w:vAlign w:val="center"/>
          </w:tcPr>
          <w:p w:rsidR="00DE4044" w:rsidRPr="002079DC" w:rsidRDefault="00DE4044" w:rsidP="00DE4044">
            <w:pPr>
              <w:jc w:val="center"/>
              <w:rPr>
                <w:sz w:val="18"/>
                <w:szCs w:val="18"/>
              </w:rPr>
            </w:pPr>
          </w:p>
        </w:tc>
        <w:tc>
          <w:tcPr>
            <w:tcW w:w="1689" w:type="dxa"/>
            <w:vAlign w:val="center"/>
          </w:tcPr>
          <w:p w:rsidR="00DE4044" w:rsidRPr="002079DC" w:rsidRDefault="00DE4044" w:rsidP="00DE4044">
            <w:pPr>
              <w:jc w:val="right"/>
              <w:rPr>
                <w:sz w:val="18"/>
                <w:szCs w:val="18"/>
              </w:rPr>
            </w:pP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长期应收款</w:t>
            </w:r>
          </w:p>
        </w:tc>
        <w:tc>
          <w:tcPr>
            <w:tcW w:w="1689" w:type="dxa"/>
            <w:vAlign w:val="center"/>
          </w:tcPr>
          <w:p w:rsidR="00DE4044" w:rsidRPr="002079DC" w:rsidRDefault="00DE4044" w:rsidP="00DE4044">
            <w:pPr>
              <w:jc w:val="right"/>
              <w:rPr>
                <w:sz w:val="18"/>
                <w:szCs w:val="18"/>
              </w:rPr>
            </w:pPr>
            <w:r w:rsidRPr="002079DC">
              <w:rPr>
                <w:sz w:val="18"/>
                <w:szCs w:val="18"/>
              </w:rPr>
              <w:t>18,888,768.64</w:t>
            </w:r>
          </w:p>
        </w:tc>
        <w:tc>
          <w:tcPr>
            <w:tcW w:w="1689" w:type="dxa"/>
            <w:vAlign w:val="center"/>
          </w:tcPr>
          <w:p w:rsidR="00DE4044" w:rsidRPr="002079DC" w:rsidRDefault="00DE4044" w:rsidP="00075152">
            <w:pPr>
              <w:jc w:val="right"/>
              <w:rPr>
                <w:sz w:val="18"/>
                <w:szCs w:val="18"/>
              </w:rPr>
            </w:pPr>
            <w:r w:rsidRPr="002079DC">
              <w:rPr>
                <w:sz w:val="18"/>
                <w:szCs w:val="18"/>
              </w:rPr>
              <w:t>18,423,598.98</w:t>
            </w:r>
          </w:p>
        </w:tc>
        <w:tc>
          <w:tcPr>
            <w:tcW w:w="1689" w:type="dxa"/>
            <w:vAlign w:val="center"/>
          </w:tcPr>
          <w:p w:rsidR="00DE4044" w:rsidRPr="002079DC" w:rsidRDefault="00DE4044" w:rsidP="00DE4044">
            <w:pPr>
              <w:jc w:val="right"/>
              <w:rPr>
                <w:sz w:val="18"/>
                <w:szCs w:val="18"/>
              </w:rPr>
            </w:pPr>
            <w:r w:rsidRPr="002079DC">
              <w:rPr>
                <w:sz w:val="18"/>
                <w:szCs w:val="18"/>
              </w:rPr>
              <w:t>15,859,781.71</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固定资产</w:t>
            </w:r>
          </w:p>
        </w:tc>
        <w:tc>
          <w:tcPr>
            <w:tcW w:w="1689" w:type="dxa"/>
            <w:vAlign w:val="center"/>
          </w:tcPr>
          <w:p w:rsidR="00DE4044" w:rsidRPr="002079DC" w:rsidRDefault="00DE4044" w:rsidP="00DE4044">
            <w:pPr>
              <w:jc w:val="right"/>
              <w:rPr>
                <w:sz w:val="18"/>
                <w:szCs w:val="18"/>
              </w:rPr>
            </w:pPr>
            <w:r w:rsidRPr="002079DC">
              <w:rPr>
                <w:sz w:val="18"/>
                <w:szCs w:val="18"/>
              </w:rPr>
              <w:t>152,331,465.89</w:t>
            </w:r>
          </w:p>
        </w:tc>
        <w:tc>
          <w:tcPr>
            <w:tcW w:w="1689" w:type="dxa"/>
            <w:vAlign w:val="center"/>
          </w:tcPr>
          <w:p w:rsidR="00DE4044" w:rsidRPr="002079DC" w:rsidRDefault="00DE4044" w:rsidP="00075152">
            <w:pPr>
              <w:jc w:val="right"/>
              <w:rPr>
                <w:sz w:val="18"/>
                <w:szCs w:val="18"/>
              </w:rPr>
            </w:pPr>
            <w:r w:rsidRPr="002079DC">
              <w:rPr>
                <w:sz w:val="18"/>
                <w:szCs w:val="18"/>
              </w:rPr>
              <w:t>153,546,259.23</w:t>
            </w:r>
          </w:p>
        </w:tc>
        <w:tc>
          <w:tcPr>
            <w:tcW w:w="1689" w:type="dxa"/>
            <w:vAlign w:val="center"/>
          </w:tcPr>
          <w:p w:rsidR="00DE4044" w:rsidRPr="002079DC" w:rsidRDefault="00DE4044" w:rsidP="00DE4044">
            <w:pPr>
              <w:jc w:val="right"/>
              <w:rPr>
                <w:sz w:val="18"/>
                <w:szCs w:val="18"/>
              </w:rPr>
            </w:pPr>
            <w:r w:rsidRPr="002079DC">
              <w:rPr>
                <w:sz w:val="18"/>
                <w:szCs w:val="18"/>
              </w:rPr>
              <w:t>156,940,008.33</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在建工程</w:t>
            </w:r>
          </w:p>
        </w:tc>
        <w:tc>
          <w:tcPr>
            <w:tcW w:w="1689" w:type="dxa"/>
            <w:vAlign w:val="center"/>
          </w:tcPr>
          <w:p w:rsidR="00DE4044" w:rsidRPr="002079DC" w:rsidRDefault="00DE4044" w:rsidP="00DE4044">
            <w:pPr>
              <w:jc w:val="right"/>
              <w:rPr>
                <w:sz w:val="18"/>
                <w:szCs w:val="18"/>
              </w:rPr>
            </w:pPr>
            <w:r w:rsidRPr="002079DC">
              <w:rPr>
                <w:sz w:val="18"/>
                <w:szCs w:val="18"/>
              </w:rPr>
              <w:t>107,007,510.62</w:t>
            </w:r>
          </w:p>
        </w:tc>
        <w:tc>
          <w:tcPr>
            <w:tcW w:w="1689" w:type="dxa"/>
            <w:vAlign w:val="center"/>
          </w:tcPr>
          <w:p w:rsidR="00DE4044" w:rsidRPr="002079DC" w:rsidRDefault="00DE4044" w:rsidP="00075152">
            <w:pPr>
              <w:jc w:val="right"/>
              <w:rPr>
                <w:sz w:val="18"/>
                <w:szCs w:val="18"/>
              </w:rPr>
            </w:pPr>
            <w:r w:rsidRPr="002079DC">
              <w:rPr>
                <w:sz w:val="18"/>
                <w:szCs w:val="18"/>
              </w:rPr>
              <w:t>367,890,779.46</w:t>
            </w:r>
          </w:p>
        </w:tc>
        <w:tc>
          <w:tcPr>
            <w:tcW w:w="1689" w:type="dxa"/>
            <w:vAlign w:val="center"/>
          </w:tcPr>
          <w:p w:rsidR="00DE4044" w:rsidRPr="002079DC" w:rsidRDefault="00DE4044" w:rsidP="00DE4044">
            <w:pPr>
              <w:jc w:val="right"/>
              <w:rPr>
                <w:sz w:val="18"/>
                <w:szCs w:val="18"/>
              </w:rPr>
            </w:pPr>
            <w:r w:rsidRPr="002079DC">
              <w:rPr>
                <w:sz w:val="18"/>
                <w:szCs w:val="18"/>
              </w:rPr>
              <w:t>1,217,719,113.72</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使用权资产</w:t>
            </w:r>
          </w:p>
        </w:tc>
        <w:tc>
          <w:tcPr>
            <w:tcW w:w="1689" w:type="dxa"/>
            <w:vAlign w:val="center"/>
          </w:tcPr>
          <w:p w:rsidR="00DE4044" w:rsidRPr="002079DC" w:rsidRDefault="00DE4044" w:rsidP="00DE4044">
            <w:pPr>
              <w:jc w:val="right"/>
              <w:rPr>
                <w:sz w:val="18"/>
                <w:szCs w:val="18"/>
              </w:rPr>
            </w:pPr>
            <w:r w:rsidRPr="002079DC">
              <w:rPr>
                <w:sz w:val="18"/>
                <w:szCs w:val="18"/>
              </w:rPr>
              <w:t>77,679,691.71</w:t>
            </w:r>
          </w:p>
        </w:tc>
        <w:tc>
          <w:tcPr>
            <w:tcW w:w="1689" w:type="dxa"/>
            <w:vAlign w:val="center"/>
          </w:tcPr>
          <w:p w:rsidR="00DE4044" w:rsidRPr="002079DC" w:rsidRDefault="00DE4044" w:rsidP="00075152">
            <w:pPr>
              <w:jc w:val="right"/>
              <w:rPr>
                <w:sz w:val="18"/>
                <w:szCs w:val="18"/>
              </w:rPr>
            </w:pPr>
            <w:r w:rsidRPr="002079DC">
              <w:rPr>
                <w:sz w:val="18"/>
                <w:szCs w:val="18"/>
              </w:rPr>
              <w:t>84,433,600.93</w:t>
            </w:r>
          </w:p>
        </w:tc>
        <w:tc>
          <w:tcPr>
            <w:tcW w:w="1689" w:type="dxa"/>
            <w:vAlign w:val="center"/>
          </w:tcPr>
          <w:p w:rsidR="00DE4044" w:rsidRPr="002079DC" w:rsidRDefault="00DE4044" w:rsidP="00DE4044">
            <w:pPr>
              <w:jc w:val="right"/>
              <w:rPr>
                <w:sz w:val="18"/>
                <w:szCs w:val="18"/>
              </w:rPr>
            </w:pPr>
            <w:r w:rsidRPr="002079DC">
              <w:rPr>
                <w:sz w:val="18"/>
                <w:szCs w:val="18"/>
              </w:rPr>
              <w:t>50,156,676.36</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无形资产</w:t>
            </w:r>
          </w:p>
        </w:tc>
        <w:tc>
          <w:tcPr>
            <w:tcW w:w="1689" w:type="dxa"/>
            <w:vAlign w:val="center"/>
          </w:tcPr>
          <w:p w:rsidR="00DE4044" w:rsidRPr="002079DC" w:rsidRDefault="00DE4044" w:rsidP="00DE4044">
            <w:pPr>
              <w:jc w:val="right"/>
              <w:rPr>
                <w:sz w:val="18"/>
                <w:szCs w:val="18"/>
              </w:rPr>
            </w:pPr>
            <w:r w:rsidRPr="002079DC">
              <w:rPr>
                <w:sz w:val="18"/>
                <w:szCs w:val="18"/>
              </w:rPr>
              <w:t>26,815,040.67</w:t>
            </w:r>
          </w:p>
        </w:tc>
        <w:tc>
          <w:tcPr>
            <w:tcW w:w="1689" w:type="dxa"/>
            <w:vAlign w:val="center"/>
          </w:tcPr>
          <w:p w:rsidR="00DE4044" w:rsidRPr="002079DC" w:rsidRDefault="00DE4044" w:rsidP="00075152">
            <w:pPr>
              <w:jc w:val="right"/>
              <w:rPr>
                <w:sz w:val="18"/>
                <w:szCs w:val="18"/>
              </w:rPr>
            </w:pPr>
            <w:r w:rsidRPr="002079DC">
              <w:rPr>
                <w:sz w:val="18"/>
                <w:szCs w:val="18"/>
              </w:rPr>
              <w:t>233,541,519.79</w:t>
            </w:r>
          </w:p>
        </w:tc>
        <w:tc>
          <w:tcPr>
            <w:tcW w:w="1689" w:type="dxa"/>
            <w:vAlign w:val="center"/>
          </w:tcPr>
          <w:p w:rsidR="00DE4044" w:rsidRPr="002079DC" w:rsidRDefault="00DE4044" w:rsidP="00DE4044">
            <w:pPr>
              <w:jc w:val="right"/>
              <w:rPr>
                <w:sz w:val="18"/>
                <w:szCs w:val="18"/>
              </w:rPr>
            </w:pPr>
            <w:r w:rsidRPr="002079DC">
              <w:rPr>
                <w:sz w:val="18"/>
                <w:szCs w:val="18"/>
              </w:rPr>
              <w:t>228,598,108.79</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长期待摊费用</w:t>
            </w:r>
          </w:p>
        </w:tc>
        <w:tc>
          <w:tcPr>
            <w:tcW w:w="1689" w:type="dxa"/>
            <w:vAlign w:val="center"/>
          </w:tcPr>
          <w:p w:rsidR="00DE4044" w:rsidRPr="002079DC" w:rsidRDefault="00DE4044" w:rsidP="00DE4044">
            <w:pPr>
              <w:jc w:val="right"/>
              <w:rPr>
                <w:sz w:val="18"/>
                <w:szCs w:val="18"/>
              </w:rPr>
            </w:pPr>
            <w:r w:rsidRPr="002079DC">
              <w:rPr>
                <w:sz w:val="18"/>
                <w:szCs w:val="18"/>
              </w:rPr>
              <w:t>4,819,308.82</w:t>
            </w:r>
          </w:p>
        </w:tc>
        <w:tc>
          <w:tcPr>
            <w:tcW w:w="1689" w:type="dxa"/>
            <w:vAlign w:val="center"/>
          </w:tcPr>
          <w:p w:rsidR="00DE4044" w:rsidRPr="002079DC" w:rsidRDefault="00DE4044" w:rsidP="00075152">
            <w:pPr>
              <w:jc w:val="right"/>
              <w:rPr>
                <w:sz w:val="18"/>
                <w:szCs w:val="18"/>
              </w:rPr>
            </w:pPr>
            <w:r w:rsidRPr="002079DC">
              <w:rPr>
                <w:sz w:val="18"/>
                <w:szCs w:val="18"/>
              </w:rPr>
              <w:t>7,440,676.77</w:t>
            </w:r>
          </w:p>
        </w:tc>
        <w:tc>
          <w:tcPr>
            <w:tcW w:w="1689" w:type="dxa"/>
            <w:vAlign w:val="center"/>
          </w:tcPr>
          <w:p w:rsidR="00DE4044" w:rsidRPr="002079DC" w:rsidRDefault="00DE4044" w:rsidP="00DE4044">
            <w:pPr>
              <w:jc w:val="right"/>
              <w:rPr>
                <w:sz w:val="18"/>
                <w:szCs w:val="18"/>
              </w:rPr>
            </w:pPr>
            <w:r w:rsidRPr="002079DC">
              <w:rPr>
                <w:sz w:val="18"/>
                <w:szCs w:val="18"/>
              </w:rPr>
              <w:t>5,652,129.90</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递延所得税资产</w:t>
            </w:r>
          </w:p>
        </w:tc>
        <w:tc>
          <w:tcPr>
            <w:tcW w:w="1689" w:type="dxa"/>
            <w:vAlign w:val="center"/>
          </w:tcPr>
          <w:p w:rsidR="00DE4044" w:rsidRPr="002079DC" w:rsidRDefault="0036095E" w:rsidP="00DE4044">
            <w:pPr>
              <w:jc w:val="right"/>
              <w:rPr>
                <w:sz w:val="18"/>
                <w:szCs w:val="18"/>
              </w:rPr>
            </w:pPr>
            <w:r w:rsidRPr="002079DC">
              <w:rPr>
                <w:sz w:val="18"/>
                <w:szCs w:val="18"/>
              </w:rPr>
              <w:t>65,590,145.17</w:t>
            </w:r>
          </w:p>
        </w:tc>
        <w:tc>
          <w:tcPr>
            <w:tcW w:w="1689" w:type="dxa"/>
            <w:vAlign w:val="center"/>
          </w:tcPr>
          <w:p w:rsidR="00DE4044" w:rsidRPr="002079DC" w:rsidRDefault="00DE4044" w:rsidP="00075152">
            <w:pPr>
              <w:jc w:val="right"/>
              <w:rPr>
                <w:sz w:val="18"/>
                <w:szCs w:val="18"/>
              </w:rPr>
            </w:pPr>
            <w:r w:rsidRPr="002079DC">
              <w:rPr>
                <w:sz w:val="18"/>
                <w:szCs w:val="18"/>
              </w:rPr>
              <w:t>98,825,780.99</w:t>
            </w:r>
          </w:p>
        </w:tc>
        <w:tc>
          <w:tcPr>
            <w:tcW w:w="1689" w:type="dxa"/>
            <w:vAlign w:val="center"/>
          </w:tcPr>
          <w:p w:rsidR="00DE4044" w:rsidRPr="002079DC" w:rsidRDefault="00DE4044" w:rsidP="00DE4044">
            <w:pPr>
              <w:jc w:val="right"/>
              <w:rPr>
                <w:sz w:val="18"/>
                <w:szCs w:val="18"/>
              </w:rPr>
            </w:pPr>
            <w:r w:rsidRPr="002079DC">
              <w:rPr>
                <w:sz w:val="18"/>
                <w:szCs w:val="18"/>
              </w:rPr>
              <w:t>128,980,470.76</w:t>
            </w:r>
          </w:p>
        </w:tc>
      </w:tr>
      <w:tr w:rsidR="00DE4044" w:rsidRPr="002079DC" w:rsidTr="0027505B">
        <w:trPr>
          <w:trHeight w:val="20"/>
        </w:trPr>
        <w:tc>
          <w:tcPr>
            <w:tcW w:w="4383"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其他非流动资产</w:t>
            </w:r>
          </w:p>
        </w:tc>
        <w:tc>
          <w:tcPr>
            <w:tcW w:w="1689" w:type="dxa"/>
            <w:vAlign w:val="center"/>
          </w:tcPr>
          <w:p w:rsidR="00DE4044" w:rsidRPr="002079DC" w:rsidRDefault="00DE4044" w:rsidP="00DE4044">
            <w:pPr>
              <w:jc w:val="right"/>
              <w:rPr>
                <w:sz w:val="18"/>
                <w:szCs w:val="18"/>
              </w:rPr>
            </w:pPr>
            <w:r w:rsidRPr="002079DC">
              <w:rPr>
                <w:sz w:val="18"/>
                <w:szCs w:val="18"/>
              </w:rPr>
              <w:t>205,403,017.77</w:t>
            </w:r>
          </w:p>
        </w:tc>
        <w:tc>
          <w:tcPr>
            <w:tcW w:w="1689" w:type="dxa"/>
            <w:vAlign w:val="center"/>
          </w:tcPr>
          <w:p w:rsidR="00DE4044" w:rsidRPr="002079DC" w:rsidRDefault="00DE4044" w:rsidP="00075152">
            <w:pPr>
              <w:jc w:val="right"/>
              <w:rPr>
                <w:sz w:val="18"/>
                <w:szCs w:val="18"/>
              </w:rPr>
            </w:pPr>
            <w:r w:rsidRPr="002079DC">
              <w:rPr>
                <w:sz w:val="18"/>
                <w:szCs w:val="18"/>
              </w:rPr>
              <w:t>3,726,739.31</w:t>
            </w:r>
          </w:p>
        </w:tc>
        <w:tc>
          <w:tcPr>
            <w:tcW w:w="1689" w:type="dxa"/>
            <w:vAlign w:val="center"/>
          </w:tcPr>
          <w:p w:rsidR="00DE4044" w:rsidRPr="002079DC" w:rsidRDefault="00DE4044" w:rsidP="00DE4044">
            <w:pPr>
              <w:jc w:val="right"/>
              <w:rPr>
                <w:sz w:val="18"/>
                <w:szCs w:val="18"/>
              </w:rPr>
            </w:pPr>
            <w:r w:rsidRPr="002079DC">
              <w:rPr>
                <w:sz w:val="18"/>
                <w:szCs w:val="18"/>
              </w:rPr>
              <w:t>4,515,471.29</w:t>
            </w:r>
          </w:p>
        </w:tc>
      </w:tr>
      <w:tr w:rsidR="00DE4044" w:rsidRPr="002079DC" w:rsidTr="0027505B">
        <w:trPr>
          <w:trHeight w:val="20"/>
        </w:trPr>
        <w:tc>
          <w:tcPr>
            <w:tcW w:w="4383" w:type="dxa"/>
            <w:shd w:val="clear" w:color="auto" w:fill="D9D9D9"/>
            <w:vAlign w:val="center"/>
          </w:tcPr>
          <w:p w:rsidR="00DE4044" w:rsidRPr="002079DC" w:rsidRDefault="00DE4044" w:rsidP="00DE4044">
            <w:pPr>
              <w:rPr>
                <w:b/>
                <w:sz w:val="18"/>
                <w:szCs w:val="18"/>
              </w:rPr>
            </w:pPr>
            <w:r w:rsidRPr="002079DC">
              <w:rPr>
                <w:rFonts w:hint="eastAsia"/>
                <w:b/>
                <w:sz w:val="18"/>
                <w:szCs w:val="18"/>
              </w:rPr>
              <w:t>非流动资产合计</w:t>
            </w:r>
          </w:p>
        </w:tc>
        <w:tc>
          <w:tcPr>
            <w:tcW w:w="1689" w:type="dxa"/>
            <w:vAlign w:val="center"/>
          </w:tcPr>
          <w:p w:rsidR="00DE4044" w:rsidRPr="002079DC" w:rsidRDefault="0036095E" w:rsidP="00DE4044">
            <w:pPr>
              <w:jc w:val="right"/>
              <w:rPr>
                <w:b/>
                <w:sz w:val="18"/>
                <w:szCs w:val="18"/>
              </w:rPr>
            </w:pPr>
            <w:r w:rsidRPr="002079DC">
              <w:rPr>
                <w:b/>
                <w:sz w:val="18"/>
                <w:szCs w:val="18"/>
              </w:rPr>
              <w:t>658,534,949.29</w:t>
            </w:r>
          </w:p>
        </w:tc>
        <w:tc>
          <w:tcPr>
            <w:tcW w:w="1689" w:type="dxa"/>
            <w:vAlign w:val="center"/>
          </w:tcPr>
          <w:p w:rsidR="00DE4044" w:rsidRPr="002079DC" w:rsidRDefault="00DE4044" w:rsidP="00075152">
            <w:pPr>
              <w:jc w:val="right"/>
              <w:rPr>
                <w:sz w:val="18"/>
                <w:szCs w:val="18"/>
              </w:rPr>
            </w:pPr>
            <w:r w:rsidRPr="002079DC">
              <w:rPr>
                <w:b/>
                <w:sz w:val="18"/>
                <w:szCs w:val="18"/>
              </w:rPr>
              <w:t>967,828,955.46</w:t>
            </w:r>
          </w:p>
        </w:tc>
        <w:tc>
          <w:tcPr>
            <w:tcW w:w="1689" w:type="dxa"/>
            <w:vAlign w:val="center"/>
          </w:tcPr>
          <w:p w:rsidR="00DE4044" w:rsidRPr="002079DC" w:rsidRDefault="00DE4044" w:rsidP="00DE4044">
            <w:pPr>
              <w:jc w:val="right"/>
              <w:rPr>
                <w:b/>
                <w:sz w:val="18"/>
                <w:szCs w:val="18"/>
              </w:rPr>
            </w:pPr>
            <w:r w:rsidRPr="002079DC">
              <w:rPr>
                <w:b/>
                <w:sz w:val="18"/>
                <w:szCs w:val="18"/>
              </w:rPr>
              <w:t>1,808,421,760.86</w:t>
            </w:r>
          </w:p>
        </w:tc>
      </w:tr>
      <w:tr w:rsidR="00DE4044" w:rsidRPr="002079DC" w:rsidTr="0027505B">
        <w:trPr>
          <w:trHeight w:val="20"/>
        </w:trPr>
        <w:tc>
          <w:tcPr>
            <w:tcW w:w="4383" w:type="dxa"/>
            <w:shd w:val="clear" w:color="auto" w:fill="D9D9D9"/>
            <w:vAlign w:val="center"/>
          </w:tcPr>
          <w:p w:rsidR="00DE4044" w:rsidRPr="002079DC" w:rsidRDefault="00DE4044" w:rsidP="00DE4044">
            <w:pPr>
              <w:rPr>
                <w:b/>
                <w:sz w:val="18"/>
                <w:szCs w:val="18"/>
              </w:rPr>
            </w:pPr>
            <w:r w:rsidRPr="002079DC">
              <w:rPr>
                <w:rFonts w:hint="eastAsia"/>
                <w:b/>
                <w:sz w:val="18"/>
                <w:szCs w:val="18"/>
              </w:rPr>
              <w:t>资产总计</w:t>
            </w:r>
          </w:p>
        </w:tc>
        <w:tc>
          <w:tcPr>
            <w:tcW w:w="1689" w:type="dxa"/>
            <w:vAlign w:val="center"/>
          </w:tcPr>
          <w:p w:rsidR="00DE4044" w:rsidRPr="002079DC" w:rsidRDefault="0036095E" w:rsidP="00DE4044">
            <w:pPr>
              <w:jc w:val="right"/>
              <w:rPr>
                <w:b/>
                <w:bCs/>
                <w:color w:val="000000"/>
                <w:sz w:val="18"/>
                <w:szCs w:val="18"/>
              </w:rPr>
            </w:pPr>
            <w:r w:rsidRPr="002079DC">
              <w:rPr>
                <w:b/>
                <w:sz w:val="18"/>
                <w:szCs w:val="18"/>
              </w:rPr>
              <w:t>3,732,846,809.43</w:t>
            </w:r>
          </w:p>
        </w:tc>
        <w:tc>
          <w:tcPr>
            <w:tcW w:w="1689" w:type="dxa"/>
            <w:vAlign w:val="center"/>
          </w:tcPr>
          <w:p w:rsidR="00DE4044" w:rsidRPr="002079DC" w:rsidRDefault="00DE4044" w:rsidP="00075152">
            <w:pPr>
              <w:jc w:val="right"/>
              <w:rPr>
                <w:sz w:val="18"/>
                <w:szCs w:val="18"/>
              </w:rPr>
            </w:pPr>
            <w:r w:rsidRPr="002079DC">
              <w:rPr>
                <w:b/>
                <w:bCs/>
                <w:color w:val="000000"/>
                <w:sz w:val="18"/>
                <w:szCs w:val="18"/>
              </w:rPr>
              <w:t>7,183,539,207.15</w:t>
            </w:r>
          </w:p>
        </w:tc>
        <w:tc>
          <w:tcPr>
            <w:tcW w:w="1689" w:type="dxa"/>
            <w:vAlign w:val="center"/>
          </w:tcPr>
          <w:p w:rsidR="00DE4044" w:rsidRPr="002079DC" w:rsidRDefault="00DE4044" w:rsidP="00DE4044">
            <w:pPr>
              <w:jc w:val="right"/>
              <w:rPr>
                <w:b/>
                <w:bCs/>
                <w:color w:val="000000"/>
                <w:sz w:val="18"/>
                <w:szCs w:val="18"/>
              </w:rPr>
            </w:pPr>
            <w:r w:rsidRPr="002079DC">
              <w:rPr>
                <w:b/>
                <w:bCs/>
                <w:color w:val="000000"/>
                <w:sz w:val="18"/>
                <w:szCs w:val="18"/>
              </w:rPr>
              <w:t>8,192,575,262.24</w:t>
            </w:r>
          </w:p>
        </w:tc>
      </w:tr>
    </w:tbl>
    <w:p w:rsidR="000D183C" w:rsidRDefault="000D183C">
      <w:pPr>
        <w:pStyle w:val="aff1"/>
        <w:widowControl w:val="0"/>
        <w:ind w:left="1440" w:firstLineChars="0" w:hanging="720"/>
        <w:rPr>
          <w:b/>
          <w:bCs/>
        </w:rPr>
      </w:pPr>
    </w:p>
    <w:p w:rsidR="000D183C" w:rsidRDefault="000D183C">
      <w:pPr>
        <w:adjustRightInd/>
        <w:snapToGrid/>
        <w:rPr>
          <w:rFonts w:eastAsia="宋体" w:cs="Times New Roman"/>
          <w:b/>
          <w:bCs/>
          <w:szCs w:val="24"/>
        </w:rPr>
      </w:pPr>
      <w:r>
        <w:rPr>
          <w:b/>
          <w:bCs/>
        </w:rPr>
        <w:br w:type="page"/>
      </w:r>
    </w:p>
    <w:p w:rsidR="000D183C" w:rsidRPr="00F66363" w:rsidRDefault="000D183C" w:rsidP="000D183C">
      <w:pPr>
        <w:rPr>
          <w:rFonts w:eastAsia="宋体" w:cs="Times New Roman"/>
          <w:szCs w:val="21"/>
        </w:rPr>
      </w:pPr>
      <w:r>
        <w:rPr>
          <w:rFonts w:eastAsia="宋体" w:cs="Times New Roman" w:hint="eastAsia"/>
          <w:b/>
          <w:szCs w:val="21"/>
        </w:rPr>
        <w:t>补充资料</w:t>
      </w:r>
      <w:r w:rsidRPr="00F66363">
        <w:rPr>
          <w:rFonts w:eastAsia="宋体" w:cs="Times New Roman"/>
          <w:szCs w:val="21"/>
        </w:rPr>
        <w:t xml:space="preserve"> - </w:t>
      </w:r>
      <w:r w:rsidRPr="00F66363">
        <w:rPr>
          <w:rFonts w:eastAsia="宋体" w:cs="Times New Roman" w:hint="eastAsia"/>
          <w:szCs w:val="21"/>
        </w:rPr>
        <w:t>续</w:t>
      </w:r>
    </w:p>
    <w:p w:rsidR="00BB43ED" w:rsidRPr="0027505B" w:rsidRDefault="00BB43ED">
      <w:pPr>
        <w:pStyle w:val="aff1"/>
        <w:widowControl w:val="0"/>
        <w:ind w:left="1440" w:firstLineChars="0" w:hanging="720"/>
      </w:pPr>
    </w:p>
    <w:p w:rsidR="000D183C" w:rsidRPr="00616E8D" w:rsidRDefault="000D183C" w:rsidP="00075152">
      <w:pPr>
        <w:jc w:val="both"/>
        <w:rPr>
          <w:rFonts w:eastAsia="宋体" w:cs="Times New Roman"/>
          <w:b/>
          <w:bCs/>
          <w:szCs w:val="21"/>
        </w:rPr>
      </w:pPr>
      <w:r>
        <w:rPr>
          <w:rFonts w:eastAsia="宋体" w:cs="Times New Roman"/>
          <w:b/>
          <w:bCs/>
          <w:szCs w:val="21"/>
        </w:rPr>
        <w:t>3</w:t>
      </w:r>
      <w:r w:rsidRPr="00616E8D">
        <w:rPr>
          <w:rFonts w:eastAsia="宋体" w:cs="Times New Roman" w:hint="eastAsia"/>
          <w:b/>
          <w:bCs/>
          <w:szCs w:val="21"/>
        </w:rPr>
        <w:t>、</w:t>
      </w:r>
      <w:r w:rsidRPr="00616E8D">
        <w:rPr>
          <w:rFonts w:eastAsia="宋体" w:cs="Times New Roman"/>
          <w:b/>
          <w:bCs/>
          <w:szCs w:val="21"/>
        </w:rPr>
        <w:tab/>
      </w:r>
      <w:r>
        <w:rPr>
          <w:rFonts w:eastAsia="宋体" w:cs="Times New Roman" w:hint="eastAsia"/>
          <w:b/>
          <w:bCs/>
          <w:szCs w:val="21"/>
        </w:rPr>
        <w:t>追溯应用会计政策财务</w:t>
      </w:r>
      <w:r w:rsidR="00B272EC" w:rsidRPr="00B272EC">
        <w:rPr>
          <w:rFonts w:eastAsia="宋体" w:cs="Times New Roman" w:hint="eastAsia"/>
          <w:b/>
          <w:bCs/>
          <w:szCs w:val="21"/>
        </w:rPr>
        <w:t>报表项目相关补充资料</w:t>
      </w:r>
      <w:r w:rsidRPr="0027505B">
        <w:rPr>
          <w:rFonts w:eastAsia="宋体" w:cs="Times New Roman"/>
          <w:szCs w:val="21"/>
        </w:rPr>
        <w:t xml:space="preserve"> </w:t>
      </w:r>
      <w:r w:rsidRPr="00F66363">
        <w:rPr>
          <w:rFonts w:eastAsia="宋体" w:cs="Times New Roman"/>
          <w:szCs w:val="21"/>
        </w:rPr>
        <w:t xml:space="preserve">- </w:t>
      </w:r>
      <w:r w:rsidRPr="00F66363">
        <w:rPr>
          <w:rFonts w:eastAsia="宋体" w:cs="Times New Roman" w:hint="eastAsia"/>
          <w:szCs w:val="21"/>
        </w:rPr>
        <w:t>续</w:t>
      </w:r>
    </w:p>
    <w:p w:rsidR="00CC1F84" w:rsidRPr="008A4C5A" w:rsidRDefault="00CC1F84" w:rsidP="00CC1F84">
      <w:pPr>
        <w:jc w:val="right"/>
      </w:pPr>
      <w:r>
        <w:rPr>
          <w:rFonts w:hint="eastAsia"/>
        </w:rPr>
        <w:t>单位</w:t>
      </w:r>
      <w:r w:rsidR="005F14EE">
        <w:rPr>
          <w:rFonts w:hint="eastAsia"/>
        </w:rPr>
        <w:t>：</w:t>
      </w:r>
      <w:r>
        <w:rPr>
          <w:rFonts w:hint="eastAsia"/>
        </w:rPr>
        <w:t>人民币元</w:t>
      </w:r>
    </w:p>
    <w:tbl>
      <w:tblPr>
        <w:tblStyle w:val="aff5"/>
        <w:tblW w:w="9450" w:type="dxa"/>
        <w:tblInd w:w="715" w:type="dxa"/>
        <w:tblLayout w:type="fixed"/>
        <w:tblLook w:val="04A0" w:firstRow="1" w:lastRow="0" w:firstColumn="1" w:lastColumn="0" w:noHBand="0" w:noVBand="1"/>
      </w:tblPr>
      <w:tblGrid>
        <w:gridCol w:w="4392"/>
        <w:gridCol w:w="1686"/>
        <w:gridCol w:w="1686"/>
        <w:gridCol w:w="1686"/>
      </w:tblGrid>
      <w:tr w:rsidR="00DE4044" w:rsidRPr="002079DC" w:rsidTr="0027505B">
        <w:trPr>
          <w:trHeight w:val="20"/>
        </w:trPr>
        <w:tc>
          <w:tcPr>
            <w:tcW w:w="4392" w:type="dxa"/>
            <w:shd w:val="clear" w:color="auto" w:fill="D9D9D9"/>
            <w:vAlign w:val="center"/>
          </w:tcPr>
          <w:p w:rsidR="00DE4044" w:rsidRPr="002079DC" w:rsidRDefault="00DE4044" w:rsidP="00CC1F84">
            <w:pPr>
              <w:jc w:val="center"/>
              <w:rPr>
                <w:sz w:val="18"/>
                <w:szCs w:val="18"/>
              </w:rPr>
            </w:pPr>
            <w:r w:rsidRPr="002079DC">
              <w:rPr>
                <w:rFonts w:hint="eastAsia"/>
                <w:sz w:val="18"/>
                <w:szCs w:val="18"/>
              </w:rPr>
              <w:t>项目</w:t>
            </w:r>
          </w:p>
        </w:tc>
        <w:tc>
          <w:tcPr>
            <w:tcW w:w="1686" w:type="dxa"/>
            <w:shd w:val="clear" w:color="auto" w:fill="D9D9D9"/>
            <w:vAlign w:val="center"/>
          </w:tcPr>
          <w:p w:rsidR="00DE4044" w:rsidRPr="002079DC" w:rsidRDefault="00DE4044" w:rsidP="00CC1F84">
            <w:pPr>
              <w:jc w:val="center"/>
              <w:rPr>
                <w:sz w:val="18"/>
                <w:szCs w:val="18"/>
              </w:rPr>
            </w:pPr>
            <w:r w:rsidRPr="002079DC">
              <w:rPr>
                <w:sz w:val="18"/>
                <w:szCs w:val="18"/>
              </w:rPr>
              <w:t>2022</w:t>
            </w:r>
            <w:r w:rsidRPr="002079DC">
              <w:rPr>
                <w:rFonts w:hint="eastAsia"/>
                <w:sz w:val="18"/>
                <w:szCs w:val="18"/>
              </w:rPr>
              <w:t>年</w:t>
            </w:r>
            <w:r w:rsidRPr="002079DC">
              <w:rPr>
                <w:sz w:val="18"/>
                <w:szCs w:val="18"/>
              </w:rPr>
              <w:t>1</w:t>
            </w:r>
            <w:r w:rsidRPr="002079DC">
              <w:rPr>
                <w:rFonts w:hint="eastAsia"/>
                <w:sz w:val="18"/>
                <w:szCs w:val="18"/>
              </w:rPr>
              <w:t>月</w:t>
            </w:r>
            <w:r w:rsidRPr="002079DC">
              <w:rPr>
                <w:sz w:val="18"/>
                <w:szCs w:val="18"/>
              </w:rPr>
              <w:t>1</w:t>
            </w:r>
            <w:r w:rsidRPr="002079DC">
              <w:rPr>
                <w:rFonts w:hint="eastAsia"/>
                <w:sz w:val="18"/>
                <w:szCs w:val="18"/>
              </w:rPr>
              <w:t>日</w:t>
            </w:r>
          </w:p>
        </w:tc>
        <w:tc>
          <w:tcPr>
            <w:tcW w:w="1686" w:type="dxa"/>
            <w:shd w:val="clear" w:color="auto" w:fill="D9D9D9" w:themeFill="background1" w:themeFillShade="D9"/>
            <w:vAlign w:val="center"/>
          </w:tcPr>
          <w:p w:rsidR="00DE4044" w:rsidRPr="002079DC" w:rsidRDefault="00DE4044" w:rsidP="00CC1F84">
            <w:pPr>
              <w:ind w:left="-101" w:right="-117"/>
              <w:jc w:val="center"/>
              <w:rPr>
                <w:sz w:val="18"/>
                <w:szCs w:val="18"/>
              </w:rPr>
            </w:pPr>
            <w:r w:rsidRPr="002079DC">
              <w:rPr>
                <w:sz w:val="18"/>
                <w:szCs w:val="18"/>
              </w:rPr>
              <w:t>2022</w:t>
            </w:r>
            <w:r w:rsidRPr="002079DC">
              <w:rPr>
                <w:rFonts w:hint="eastAsia"/>
                <w:sz w:val="18"/>
                <w:szCs w:val="18"/>
              </w:rPr>
              <w:t>年</w:t>
            </w:r>
            <w:r w:rsidRPr="002079DC">
              <w:rPr>
                <w:sz w:val="18"/>
                <w:szCs w:val="18"/>
              </w:rPr>
              <w:t>1</w:t>
            </w:r>
            <w:r w:rsidR="00890B3D" w:rsidRPr="002079DC">
              <w:rPr>
                <w:sz w:val="18"/>
                <w:szCs w:val="18"/>
              </w:rPr>
              <w:t>2</w:t>
            </w:r>
            <w:r w:rsidRPr="002079DC">
              <w:rPr>
                <w:rFonts w:hint="eastAsia"/>
                <w:sz w:val="18"/>
                <w:szCs w:val="18"/>
              </w:rPr>
              <w:t>月</w:t>
            </w:r>
            <w:r w:rsidR="00890B3D" w:rsidRPr="002079DC">
              <w:rPr>
                <w:sz w:val="18"/>
                <w:szCs w:val="18"/>
              </w:rPr>
              <w:t>3</w:t>
            </w:r>
            <w:r w:rsidRPr="002079DC">
              <w:rPr>
                <w:sz w:val="18"/>
                <w:szCs w:val="18"/>
              </w:rPr>
              <w:t>1</w:t>
            </w:r>
            <w:r w:rsidRPr="002079DC">
              <w:rPr>
                <w:rFonts w:hint="eastAsia"/>
                <w:sz w:val="18"/>
                <w:szCs w:val="18"/>
              </w:rPr>
              <w:t>日</w:t>
            </w:r>
          </w:p>
        </w:tc>
        <w:tc>
          <w:tcPr>
            <w:tcW w:w="1686" w:type="dxa"/>
            <w:shd w:val="clear" w:color="auto" w:fill="D9D9D9"/>
            <w:vAlign w:val="center"/>
          </w:tcPr>
          <w:p w:rsidR="00DE4044" w:rsidRPr="002079DC" w:rsidRDefault="00DE4044" w:rsidP="00CC1F84">
            <w:pPr>
              <w:ind w:left="-101" w:right="-117"/>
              <w:jc w:val="center"/>
              <w:rPr>
                <w:sz w:val="18"/>
                <w:szCs w:val="18"/>
              </w:rPr>
            </w:pPr>
            <w:r w:rsidRPr="002079DC">
              <w:rPr>
                <w:sz w:val="18"/>
                <w:szCs w:val="18"/>
              </w:rPr>
              <w:t>2023</w:t>
            </w:r>
            <w:r w:rsidRPr="002079DC">
              <w:rPr>
                <w:rFonts w:hint="eastAsia"/>
                <w:sz w:val="18"/>
                <w:szCs w:val="18"/>
              </w:rPr>
              <w:t>年</w:t>
            </w:r>
            <w:r w:rsidRPr="002079DC">
              <w:rPr>
                <w:sz w:val="18"/>
                <w:szCs w:val="18"/>
              </w:rPr>
              <w:t>12</w:t>
            </w:r>
            <w:r w:rsidRPr="002079DC">
              <w:rPr>
                <w:rFonts w:hint="eastAsia"/>
                <w:sz w:val="18"/>
                <w:szCs w:val="18"/>
              </w:rPr>
              <w:t>月</w:t>
            </w:r>
            <w:r w:rsidRPr="002079DC">
              <w:rPr>
                <w:sz w:val="18"/>
                <w:szCs w:val="18"/>
              </w:rPr>
              <w:t>31</w:t>
            </w:r>
            <w:r w:rsidRPr="002079DC">
              <w:rPr>
                <w:rFonts w:hint="eastAsia"/>
                <w:sz w:val="18"/>
                <w:szCs w:val="18"/>
              </w:rPr>
              <w:t>日</w:t>
            </w:r>
          </w:p>
        </w:tc>
      </w:tr>
      <w:tr w:rsidR="00DE4044" w:rsidRPr="002079DC" w:rsidTr="0027505B">
        <w:trPr>
          <w:trHeight w:val="20"/>
        </w:trPr>
        <w:tc>
          <w:tcPr>
            <w:tcW w:w="4392" w:type="dxa"/>
            <w:shd w:val="clear" w:color="auto" w:fill="D9D9D9"/>
            <w:vAlign w:val="center"/>
          </w:tcPr>
          <w:p w:rsidR="00DE4044" w:rsidRPr="002079DC" w:rsidRDefault="00DE4044" w:rsidP="00CC1F84">
            <w:pPr>
              <w:rPr>
                <w:b/>
                <w:sz w:val="18"/>
                <w:szCs w:val="18"/>
              </w:rPr>
            </w:pPr>
            <w:r w:rsidRPr="002079DC">
              <w:rPr>
                <w:rFonts w:hint="eastAsia"/>
                <w:b/>
                <w:sz w:val="18"/>
                <w:szCs w:val="18"/>
              </w:rPr>
              <w:t>流动负债</w:t>
            </w:r>
            <w:r w:rsidR="005F14EE" w:rsidRPr="002079DC">
              <w:rPr>
                <w:rFonts w:hint="eastAsia"/>
                <w:b/>
                <w:sz w:val="18"/>
                <w:szCs w:val="18"/>
              </w:rPr>
              <w:t>：</w:t>
            </w:r>
          </w:p>
        </w:tc>
        <w:tc>
          <w:tcPr>
            <w:tcW w:w="1686" w:type="dxa"/>
            <w:shd w:val="clear" w:color="auto" w:fill="D9D9D9"/>
            <w:vAlign w:val="center"/>
          </w:tcPr>
          <w:p w:rsidR="00DE4044" w:rsidRPr="002079DC" w:rsidRDefault="00DE4044" w:rsidP="00CC1F84">
            <w:pPr>
              <w:jc w:val="center"/>
              <w:rPr>
                <w:sz w:val="18"/>
                <w:szCs w:val="18"/>
              </w:rPr>
            </w:pPr>
          </w:p>
        </w:tc>
        <w:tc>
          <w:tcPr>
            <w:tcW w:w="1686" w:type="dxa"/>
            <w:shd w:val="clear" w:color="auto" w:fill="D9D9D9" w:themeFill="background1" w:themeFillShade="D9"/>
            <w:vAlign w:val="center"/>
          </w:tcPr>
          <w:p w:rsidR="00DE4044" w:rsidRPr="002079DC" w:rsidRDefault="00DE4044" w:rsidP="00CC1F84">
            <w:pPr>
              <w:jc w:val="right"/>
              <w:rPr>
                <w:sz w:val="18"/>
                <w:szCs w:val="18"/>
              </w:rPr>
            </w:pPr>
          </w:p>
        </w:tc>
        <w:tc>
          <w:tcPr>
            <w:tcW w:w="1686" w:type="dxa"/>
            <w:shd w:val="clear" w:color="auto" w:fill="D9D9D9"/>
            <w:vAlign w:val="center"/>
          </w:tcPr>
          <w:p w:rsidR="00DE4044" w:rsidRPr="002079DC" w:rsidRDefault="00DE4044" w:rsidP="00CC1F84">
            <w:pPr>
              <w:jc w:val="right"/>
              <w:rPr>
                <w:sz w:val="18"/>
                <w:szCs w:val="18"/>
              </w:rPr>
            </w:pP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b/>
                <w:sz w:val="18"/>
                <w:szCs w:val="18"/>
              </w:rPr>
            </w:pPr>
            <w:r w:rsidRPr="002079DC">
              <w:rPr>
                <w:sz w:val="18"/>
                <w:szCs w:val="18"/>
              </w:rPr>
              <w:tab/>
            </w:r>
            <w:r w:rsidRPr="002079DC">
              <w:rPr>
                <w:rFonts w:hint="eastAsia"/>
                <w:sz w:val="18"/>
                <w:szCs w:val="18"/>
              </w:rPr>
              <w:t>短期借款</w:t>
            </w:r>
          </w:p>
        </w:tc>
        <w:tc>
          <w:tcPr>
            <w:tcW w:w="1686" w:type="dxa"/>
            <w:shd w:val="clear" w:color="auto" w:fill="auto"/>
            <w:vAlign w:val="center"/>
          </w:tcPr>
          <w:p w:rsidR="00DE4044" w:rsidRPr="002079DC" w:rsidRDefault="00DE4044" w:rsidP="00075152">
            <w:pPr>
              <w:jc w:val="right"/>
              <w:rPr>
                <w:sz w:val="18"/>
                <w:szCs w:val="18"/>
              </w:rPr>
            </w:pPr>
            <w:r w:rsidRPr="002079DC">
              <w:rPr>
                <w:sz w:val="18"/>
                <w:szCs w:val="18"/>
              </w:rPr>
              <w:t>350,359,180.56</w:t>
            </w:r>
          </w:p>
        </w:tc>
        <w:tc>
          <w:tcPr>
            <w:tcW w:w="1686" w:type="dxa"/>
            <w:vAlign w:val="center"/>
          </w:tcPr>
          <w:p w:rsidR="00DE4044" w:rsidRPr="002079DC" w:rsidRDefault="00DE4044" w:rsidP="00DE4044">
            <w:pPr>
              <w:wordWrap w:val="0"/>
              <w:jc w:val="right"/>
              <w:rPr>
                <w:sz w:val="18"/>
                <w:szCs w:val="18"/>
              </w:rPr>
            </w:pPr>
            <w:r w:rsidRPr="002079DC">
              <w:rPr>
                <w:sz w:val="18"/>
                <w:szCs w:val="18"/>
              </w:rPr>
              <w:t>200,165,000.00</w:t>
            </w:r>
          </w:p>
        </w:tc>
        <w:tc>
          <w:tcPr>
            <w:tcW w:w="1686" w:type="dxa"/>
            <w:shd w:val="clear" w:color="auto" w:fill="auto"/>
            <w:vAlign w:val="center"/>
          </w:tcPr>
          <w:p w:rsidR="00DE4044" w:rsidRPr="002079DC" w:rsidRDefault="00DE4044" w:rsidP="00DE4044">
            <w:pPr>
              <w:wordWrap w:val="0"/>
              <w:jc w:val="right"/>
              <w:rPr>
                <w:sz w:val="18"/>
                <w:szCs w:val="18"/>
              </w:rPr>
            </w:pPr>
            <w:r w:rsidRPr="002079DC">
              <w:rPr>
                <w:sz w:val="18"/>
                <w:szCs w:val="18"/>
              </w:rPr>
              <w:t>-    </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应付票据</w:t>
            </w:r>
          </w:p>
        </w:tc>
        <w:tc>
          <w:tcPr>
            <w:tcW w:w="1686" w:type="dxa"/>
            <w:vAlign w:val="center"/>
          </w:tcPr>
          <w:p w:rsidR="00DE4044" w:rsidRPr="002079DC" w:rsidRDefault="00DE4044" w:rsidP="00075152">
            <w:pPr>
              <w:jc w:val="right"/>
              <w:rPr>
                <w:sz w:val="18"/>
                <w:szCs w:val="18"/>
              </w:rPr>
            </w:pPr>
            <w:r w:rsidRPr="002079DC">
              <w:rPr>
                <w:sz w:val="18"/>
                <w:szCs w:val="18"/>
              </w:rPr>
              <w:t>317,834,968.50</w:t>
            </w:r>
          </w:p>
        </w:tc>
        <w:tc>
          <w:tcPr>
            <w:tcW w:w="1686" w:type="dxa"/>
            <w:vAlign w:val="center"/>
          </w:tcPr>
          <w:p w:rsidR="00DE4044" w:rsidRPr="002079DC" w:rsidRDefault="00DE4044" w:rsidP="00DE4044">
            <w:pPr>
              <w:jc w:val="right"/>
              <w:rPr>
                <w:sz w:val="18"/>
                <w:szCs w:val="18"/>
              </w:rPr>
            </w:pPr>
            <w:r w:rsidRPr="002079DC">
              <w:rPr>
                <w:sz w:val="18"/>
                <w:szCs w:val="18"/>
              </w:rPr>
              <w:t>143,496,422.45</w:t>
            </w:r>
          </w:p>
        </w:tc>
        <w:tc>
          <w:tcPr>
            <w:tcW w:w="1686" w:type="dxa"/>
            <w:vAlign w:val="center"/>
          </w:tcPr>
          <w:p w:rsidR="00DE4044" w:rsidRPr="002079DC" w:rsidRDefault="00DE4044" w:rsidP="00DE4044">
            <w:pPr>
              <w:jc w:val="right"/>
              <w:rPr>
                <w:sz w:val="18"/>
                <w:szCs w:val="18"/>
              </w:rPr>
            </w:pPr>
            <w:r w:rsidRPr="002079DC">
              <w:rPr>
                <w:sz w:val="18"/>
                <w:szCs w:val="18"/>
              </w:rPr>
              <w:t>179,892,364.61</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应付账款</w:t>
            </w:r>
          </w:p>
        </w:tc>
        <w:tc>
          <w:tcPr>
            <w:tcW w:w="1686" w:type="dxa"/>
            <w:vAlign w:val="center"/>
          </w:tcPr>
          <w:p w:rsidR="00DE4044" w:rsidRPr="002079DC" w:rsidRDefault="00DE4044" w:rsidP="00075152">
            <w:pPr>
              <w:jc w:val="right"/>
              <w:rPr>
                <w:sz w:val="18"/>
                <w:szCs w:val="18"/>
              </w:rPr>
            </w:pPr>
            <w:r w:rsidRPr="002079DC">
              <w:rPr>
                <w:sz w:val="18"/>
                <w:szCs w:val="18"/>
              </w:rPr>
              <w:t>743,766,658.34</w:t>
            </w:r>
          </w:p>
        </w:tc>
        <w:tc>
          <w:tcPr>
            <w:tcW w:w="1686" w:type="dxa"/>
            <w:vAlign w:val="center"/>
          </w:tcPr>
          <w:p w:rsidR="00DE4044" w:rsidRPr="002079DC" w:rsidRDefault="00DE4044" w:rsidP="00DE4044">
            <w:pPr>
              <w:jc w:val="right"/>
              <w:rPr>
                <w:sz w:val="18"/>
                <w:szCs w:val="18"/>
              </w:rPr>
            </w:pPr>
            <w:r w:rsidRPr="002079DC">
              <w:rPr>
                <w:sz w:val="18"/>
                <w:szCs w:val="18"/>
              </w:rPr>
              <w:t>781,687,259.59</w:t>
            </w:r>
          </w:p>
        </w:tc>
        <w:tc>
          <w:tcPr>
            <w:tcW w:w="1686" w:type="dxa"/>
            <w:vAlign w:val="center"/>
          </w:tcPr>
          <w:p w:rsidR="00DE4044" w:rsidRPr="002079DC" w:rsidRDefault="00DE4044" w:rsidP="00DE4044">
            <w:pPr>
              <w:jc w:val="right"/>
              <w:rPr>
                <w:sz w:val="18"/>
                <w:szCs w:val="18"/>
              </w:rPr>
            </w:pPr>
            <w:r w:rsidRPr="002079DC">
              <w:rPr>
                <w:sz w:val="18"/>
                <w:szCs w:val="18"/>
              </w:rPr>
              <w:t>1,307,459,168.11</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合同负债</w:t>
            </w:r>
          </w:p>
        </w:tc>
        <w:tc>
          <w:tcPr>
            <w:tcW w:w="1686" w:type="dxa"/>
            <w:vAlign w:val="center"/>
          </w:tcPr>
          <w:p w:rsidR="00DE4044" w:rsidRPr="002079DC" w:rsidRDefault="00DE4044" w:rsidP="00075152">
            <w:pPr>
              <w:jc w:val="right"/>
              <w:rPr>
                <w:sz w:val="18"/>
                <w:szCs w:val="18"/>
              </w:rPr>
            </w:pPr>
            <w:r w:rsidRPr="002079DC">
              <w:rPr>
                <w:sz w:val="18"/>
                <w:szCs w:val="18"/>
              </w:rPr>
              <w:t>263,446,459.67</w:t>
            </w:r>
          </w:p>
        </w:tc>
        <w:tc>
          <w:tcPr>
            <w:tcW w:w="1686" w:type="dxa"/>
            <w:vAlign w:val="center"/>
          </w:tcPr>
          <w:p w:rsidR="00DE4044" w:rsidRPr="002079DC" w:rsidRDefault="00DE4044" w:rsidP="00DE4044">
            <w:pPr>
              <w:jc w:val="right"/>
              <w:rPr>
                <w:sz w:val="18"/>
                <w:szCs w:val="18"/>
              </w:rPr>
            </w:pPr>
            <w:r w:rsidRPr="002079DC">
              <w:rPr>
                <w:sz w:val="18"/>
                <w:szCs w:val="18"/>
              </w:rPr>
              <w:t>259,544,232.75</w:t>
            </w:r>
          </w:p>
        </w:tc>
        <w:tc>
          <w:tcPr>
            <w:tcW w:w="1686" w:type="dxa"/>
            <w:vAlign w:val="center"/>
          </w:tcPr>
          <w:p w:rsidR="00DE4044" w:rsidRPr="002079DC" w:rsidRDefault="00DE4044" w:rsidP="00DE4044">
            <w:pPr>
              <w:jc w:val="right"/>
              <w:rPr>
                <w:sz w:val="18"/>
                <w:szCs w:val="18"/>
              </w:rPr>
            </w:pPr>
            <w:r w:rsidRPr="002079DC">
              <w:rPr>
                <w:sz w:val="18"/>
                <w:szCs w:val="18"/>
              </w:rPr>
              <w:t>345,586,368.79</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应付职工薪酬</w:t>
            </w:r>
          </w:p>
        </w:tc>
        <w:tc>
          <w:tcPr>
            <w:tcW w:w="1686" w:type="dxa"/>
            <w:vAlign w:val="center"/>
          </w:tcPr>
          <w:p w:rsidR="00DE4044" w:rsidRPr="002079DC" w:rsidRDefault="00DE4044" w:rsidP="00075152">
            <w:pPr>
              <w:jc w:val="right"/>
              <w:rPr>
                <w:sz w:val="18"/>
                <w:szCs w:val="18"/>
              </w:rPr>
            </w:pPr>
            <w:r w:rsidRPr="002079DC">
              <w:rPr>
                <w:sz w:val="18"/>
                <w:szCs w:val="18"/>
              </w:rPr>
              <w:t>215,743,374.09</w:t>
            </w:r>
          </w:p>
        </w:tc>
        <w:tc>
          <w:tcPr>
            <w:tcW w:w="1686" w:type="dxa"/>
            <w:vAlign w:val="center"/>
          </w:tcPr>
          <w:p w:rsidR="00DE4044" w:rsidRPr="002079DC" w:rsidRDefault="00DE4044" w:rsidP="00DE4044">
            <w:pPr>
              <w:jc w:val="right"/>
              <w:rPr>
                <w:sz w:val="18"/>
                <w:szCs w:val="18"/>
              </w:rPr>
            </w:pPr>
            <w:r w:rsidRPr="002079DC">
              <w:rPr>
                <w:sz w:val="18"/>
                <w:szCs w:val="18"/>
              </w:rPr>
              <w:t>244,501,025.80</w:t>
            </w:r>
          </w:p>
        </w:tc>
        <w:tc>
          <w:tcPr>
            <w:tcW w:w="1686" w:type="dxa"/>
            <w:vAlign w:val="center"/>
          </w:tcPr>
          <w:p w:rsidR="00DE4044" w:rsidRPr="002079DC" w:rsidRDefault="00DE4044" w:rsidP="00DE4044">
            <w:pPr>
              <w:jc w:val="right"/>
              <w:rPr>
                <w:sz w:val="18"/>
                <w:szCs w:val="18"/>
              </w:rPr>
            </w:pPr>
            <w:r w:rsidRPr="002079DC">
              <w:rPr>
                <w:sz w:val="18"/>
                <w:szCs w:val="18"/>
              </w:rPr>
              <w:t>299,565,383.57</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应交税费</w:t>
            </w:r>
          </w:p>
        </w:tc>
        <w:tc>
          <w:tcPr>
            <w:tcW w:w="1686" w:type="dxa"/>
            <w:vAlign w:val="center"/>
          </w:tcPr>
          <w:p w:rsidR="00DE4044" w:rsidRPr="002079DC" w:rsidRDefault="00DE4044" w:rsidP="00075152">
            <w:pPr>
              <w:jc w:val="right"/>
              <w:rPr>
                <w:sz w:val="18"/>
                <w:szCs w:val="18"/>
              </w:rPr>
            </w:pPr>
            <w:r w:rsidRPr="002079DC">
              <w:rPr>
                <w:sz w:val="18"/>
                <w:szCs w:val="18"/>
              </w:rPr>
              <w:t>77,106,320.70</w:t>
            </w:r>
          </w:p>
        </w:tc>
        <w:tc>
          <w:tcPr>
            <w:tcW w:w="1686" w:type="dxa"/>
            <w:vAlign w:val="center"/>
          </w:tcPr>
          <w:p w:rsidR="00DE4044" w:rsidRPr="002079DC" w:rsidRDefault="00DE4044" w:rsidP="00DE4044">
            <w:pPr>
              <w:jc w:val="right"/>
              <w:rPr>
                <w:sz w:val="18"/>
                <w:szCs w:val="18"/>
              </w:rPr>
            </w:pPr>
            <w:r w:rsidRPr="002079DC">
              <w:rPr>
                <w:sz w:val="18"/>
                <w:szCs w:val="18"/>
              </w:rPr>
              <w:t>46,095,205.30</w:t>
            </w:r>
          </w:p>
        </w:tc>
        <w:tc>
          <w:tcPr>
            <w:tcW w:w="1686" w:type="dxa"/>
            <w:vAlign w:val="center"/>
          </w:tcPr>
          <w:p w:rsidR="00DE4044" w:rsidRPr="002079DC" w:rsidRDefault="00DE4044" w:rsidP="00DE4044">
            <w:pPr>
              <w:jc w:val="right"/>
              <w:rPr>
                <w:sz w:val="18"/>
                <w:szCs w:val="18"/>
              </w:rPr>
            </w:pPr>
            <w:r w:rsidRPr="002079DC">
              <w:rPr>
                <w:sz w:val="18"/>
                <w:szCs w:val="18"/>
              </w:rPr>
              <w:t>38,422,148.27</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其他应付款</w:t>
            </w:r>
          </w:p>
        </w:tc>
        <w:tc>
          <w:tcPr>
            <w:tcW w:w="1686" w:type="dxa"/>
            <w:vAlign w:val="center"/>
          </w:tcPr>
          <w:p w:rsidR="00DE4044" w:rsidRPr="002079DC" w:rsidRDefault="00DE4044" w:rsidP="00075152">
            <w:pPr>
              <w:jc w:val="right"/>
              <w:rPr>
                <w:sz w:val="18"/>
                <w:szCs w:val="18"/>
              </w:rPr>
            </w:pPr>
            <w:r w:rsidRPr="002079DC">
              <w:rPr>
                <w:sz w:val="18"/>
                <w:szCs w:val="18"/>
              </w:rPr>
              <w:t>70,627,528.22</w:t>
            </w:r>
          </w:p>
        </w:tc>
        <w:tc>
          <w:tcPr>
            <w:tcW w:w="1686" w:type="dxa"/>
            <w:vAlign w:val="center"/>
          </w:tcPr>
          <w:p w:rsidR="00DE4044" w:rsidRPr="002079DC" w:rsidRDefault="00DE4044" w:rsidP="00DE4044">
            <w:pPr>
              <w:jc w:val="right"/>
              <w:rPr>
                <w:sz w:val="18"/>
                <w:szCs w:val="18"/>
              </w:rPr>
            </w:pPr>
            <w:r w:rsidRPr="002079DC">
              <w:rPr>
                <w:sz w:val="18"/>
                <w:szCs w:val="18"/>
              </w:rPr>
              <w:t>118,627,013.56</w:t>
            </w:r>
          </w:p>
        </w:tc>
        <w:tc>
          <w:tcPr>
            <w:tcW w:w="1686" w:type="dxa"/>
            <w:vAlign w:val="center"/>
          </w:tcPr>
          <w:p w:rsidR="00DE4044" w:rsidRPr="002079DC" w:rsidRDefault="00DE4044" w:rsidP="00DE4044">
            <w:pPr>
              <w:jc w:val="right"/>
              <w:rPr>
                <w:sz w:val="18"/>
                <w:szCs w:val="18"/>
              </w:rPr>
            </w:pPr>
            <w:r w:rsidRPr="002079DC">
              <w:rPr>
                <w:sz w:val="18"/>
                <w:szCs w:val="18"/>
              </w:rPr>
              <w:t>148,863,312.52</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一年内到期的非流动负债</w:t>
            </w:r>
          </w:p>
        </w:tc>
        <w:tc>
          <w:tcPr>
            <w:tcW w:w="1686" w:type="dxa"/>
            <w:vAlign w:val="center"/>
          </w:tcPr>
          <w:p w:rsidR="00DE4044" w:rsidRPr="002079DC" w:rsidRDefault="00DE4044" w:rsidP="00075152">
            <w:pPr>
              <w:jc w:val="right"/>
              <w:rPr>
                <w:sz w:val="18"/>
                <w:szCs w:val="18"/>
              </w:rPr>
            </w:pPr>
            <w:r w:rsidRPr="002079DC">
              <w:rPr>
                <w:sz w:val="18"/>
                <w:szCs w:val="18"/>
              </w:rPr>
              <w:t>31,905,123.67</w:t>
            </w:r>
          </w:p>
        </w:tc>
        <w:tc>
          <w:tcPr>
            <w:tcW w:w="1686" w:type="dxa"/>
            <w:vAlign w:val="center"/>
          </w:tcPr>
          <w:p w:rsidR="00DE4044" w:rsidRPr="002079DC" w:rsidRDefault="00DE4044" w:rsidP="00DE4044">
            <w:pPr>
              <w:jc w:val="right"/>
              <w:rPr>
                <w:sz w:val="18"/>
                <w:szCs w:val="18"/>
              </w:rPr>
            </w:pPr>
            <w:r w:rsidRPr="002079DC">
              <w:rPr>
                <w:sz w:val="18"/>
                <w:szCs w:val="18"/>
              </w:rPr>
              <w:t>52,278,577.02</w:t>
            </w:r>
          </w:p>
        </w:tc>
        <w:tc>
          <w:tcPr>
            <w:tcW w:w="1686" w:type="dxa"/>
            <w:vAlign w:val="center"/>
          </w:tcPr>
          <w:p w:rsidR="00DE4044" w:rsidRPr="002079DC" w:rsidRDefault="00DE4044" w:rsidP="00DE4044">
            <w:pPr>
              <w:jc w:val="right"/>
              <w:rPr>
                <w:sz w:val="18"/>
                <w:szCs w:val="18"/>
              </w:rPr>
            </w:pPr>
            <w:r w:rsidRPr="002079DC">
              <w:rPr>
                <w:sz w:val="18"/>
                <w:szCs w:val="18"/>
              </w:rPr>
              <w:t>45,204,153.10</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ind w:firstLineChars="100" w:firstLine="180"/>
              <w:rPr>
                <w:sz w:val="18"/>
                <w:szCs w:val="18"/>
              </w:rPr>
            </w:pPr>
            <w:r w:rsidRPr="002079DC">
              <w:rPr>
                <w:rFonts w:hint="eastAsia"/>
                <w:sz w:val="18"/>
                <w:szCs w:val="18"/>
              </w:rPr>
              <w:t>其他流动负债</w:t>
            </w:r>
          </w:p>
        </w:tc>
        <w:tc>
          <w:tcPr>
            <w:tcW w:w="1686" w:type="dxa"/>
            <w:vAlign w:val="center"/>
          </w:tcPr>
          <w:p w:rsidR="00DE4044" w:rsidRPr="002079DC" w:rsidRDefault="00DE4044" w:rsidP="00075152">
            <w:pPr>
              <w:jc w:val="right"/>
              <w:rPr>
                <w:sz w:val="18"/>
                <w:szCs w:val="18"/>
              </w:rPr>
            </w:pPr>
            <w:r w:rsidRPr="002079DC">
              <w:rPr>
                <w:sz w:val="18"/>
                <w:szCs w:val="18"/>
              </w:rPr>
              <w:t>-    </w:t>
            </w:r>
          </w:p>
        </w:tc>
        <w:tc>
          <w:tcPr>
            <w:tcW w:w="1686" w:type="dxa"/>
            <w:vAlign w:val="center"/>
          </w:tcPr>
          <w:p w:rsidR="00DE4044" w:rsidRPr="002079DC" w:rsidRDefault="00DE4044" w:rsidP="00DE4044">
            <w:pPr>
              <w:jc w:val="right"/>
              <w:rPr>
                <w:sz w:val="18"/>
                <w:szCs w:val="18"/>
              </w:rPr>
            </w:pPr>
            <w:r w:rsidRPr="002079DC">
              <w:rPr>
                <w:sz w:val="18"/>
                <w:szCs w:val="18"/>
              </w:rPr>
              <w:t>2,100,708.85</w:t>
            </w:r>
          </w:p>
        </w:tc>
        <w:tc>
          <w:tcPr>
            <w:tcW w:w="1686" w:type="dxa"/>
            <w:vAlign w:val="center"/>
          </w:tcPr>
          <w:p w:rsidR="00DE4044" w:rsidRPr="002079DC" w:rsidRDefault="00DE4044" w:rsidP="00DE4044">
            <w:pPr>
              <w:jc w:val="right"/>
              <w:rPr>
                <w:sz w:val="18"/>
                <w:szCs w:val="18"/>
              </w:rPr>
            </w:pPr>
            <w:r w:rsidRPr="002079DC">
              <w:rPr>
                <w:sz w:val="18"/>
                <w:szCs w:val="18"/>
              </w:rPr>
              <w:t>2,445,583.43</w:t>
            </w:r>
          </w:p>
        </w:tc>
      </w:tr>
      <w:tr w:rsidR="00DE4044" w:rsidRPr="002079DC" w:rsidTr="0027505B">
        <w:trPr>
          <w:trHeight w:val="20"/>
        </w:trPr>
        <w:tc>
          <w:tcPr>
            <w:tcW w:w="4392" w:type="dxa"/>
            <w:shd w:val="clear" w:color="auto" w:fill="D9D9D9"/>
            <w:vAlign w:val="center"/>
          </w:tcPr>
          <w:p w:rsidR="00DE4044" w:rsidRPr="002079DC" w:rsidRDefault="00DE4044" w:rsidP="00DE4044">
            <w:pPr>
              <w:rPr>
                <w:b/>
                <w:sz w:val="18"/>
                <w:szCs w:val="18"/>
              </w:rPr>
            </w:pPr>
            <w:r w:rsidRPr="002079DC">
              <w:rPr>
                <w:rFonts w:hint="eastAsia"/>
                <w:b/>
                <w:sz w:val="18"/>
                <w:szCs w:val="18"/>
              </w:rPr>
              <w:t>流动负债合计</w:t>
            </w:r>
          </w:p>
        </w:tc>
        <w:tc>
          <w:tcPr>
            <w:tcW w:w="1686" w:type="dxa"/>
            <w:vAlign w:val="center"/>
          </w:tcPr>
          <w:p w:rsidR="00DE4044" w:rsidRPr="002079DC" w:rsidRDefault="00DE4044" w:rsidP="00075152">
            <w:pPr>
              <w:jc w:val="right"/>
              <w:rPr>
                <w:sz w:val="18"/>
                <w:szCs w:val="18"/>
              </w:rPr>
            </w:pPr>
            <w:r w:rsidRPr="002079DC">
              <w:rPr>
                <w:b/>
                <w:bCs/>
                <w:sz w:val="18"/>
                <w:szCs w:val="18"/>
              </w:rPr>
              <w:t>2,070,789,613.75</w:t>
            </w:r>
          </w:p>
        </w:tc>
        <w:tc>
          <w:tcPr>
            <w:tcW w:w="1686" w:type="dxa"/>
            <w:vAlign w:val="center"/>
          </w:tcPr>
          <w:p w:rsidR="00DE4044" w:rsidRPr="002079DC" w:rsidRDefault="00DE4044" w:rsidP="00DE4044">
            <w:pPr>
              <w:jc w:val="right"/>
              <w:rPr>
                <w:b/>
                <w:sz w:val="18"/>
                <w:szCs w:val="18"/>
              </w:rPr>
            </w:pPr>
            <w:r w:rsidRPr="002079DC">
              <w:rPr>
                <w:b/>
                <w:sz w:val="18"/>
                <w:szCs w:val="18"/>
              </w:rPr>
              <w:t>1,848,495,445.32</w:t>
            </w:r>
          </w:p>
        </w:tc>
        <w:tc>
          <w:tcPr>
            <w:tcW w:w="1686" w:type="dxa"/>
            <w:vAlign w:val="center"/>
          </w:tcPr>
          <w:p w:rsidR="00DE4044" w:rsidRPr="002079DC" w:rsidRDefault="00DE4044" w:rsidP="00DE4044">
            <w:pPr>
              <w:jc w:val="right"/>
              <w:rPr>
                <w:b/>
                <w:sz w:val="18"/>
                <w:szCs w:val="18"/>
              </w:rPr>
            </w:pPr>
            <w:r w:rsidRPr="002079DC">
              <w:rPr>
                <w:b/>
                <w:sz w:val="18"/>
                <w:szCs w:val="18"/>
              </w:rPr>
              <w:t>2,367,438,482.40</w:t>
            </w:r>
          </w:p>
        </w:tc>
      </w:tr>
      <w:tr w:rsidR="00DE4044" w:rsidRPr="002079DC" w:rsidTr="0027505B">
        <w:trPr>
          <w:trHeight w:val="20"/>
        </w:trPr>
        <w:tc>
          <w:tcPr>
            <w:tcW w:w="4392" w:type="dxa"/>
            <w:shd w:val="clear" w:color="auto" w:fill="D9D9D9"/>
            <w:vAlign w:val="center"/>
          </w:tcPr>
          <w:p w:rsidR="00DE4044" w:rsidRPr="002079DC" w:rsidRDefault="00DE4044" w:rsidP="00DE4044">
            <w:pPr>
              <w:rPr>
                <w:b/>
                <w:sz w:val="18"/>
                <w:szCs w:val="18"/>
              </w:rPr>
            </w:pPr>
            <w:r w:rsidRPr="002079DC">
              <w:rPr>
                <w:rFonts w:hint="eastAsia"/>
                <w:b/>
                <w:sz w:val="18"/>
                <w:szCs w:val="18"/>
              </w:rPr>
              <w:t>非流动负债</w:t>
            </w:r>
            <w:r w:rsidR="005F14EE" w:rsidRPr="002079DC">
              <w:rPr>
                <w:rFonts w:hint="eastAsia"/>
                <w:b/>
                <w:sz w:val="18"/>
                <w:szCs w:val="18"/>
              </w:rPr>
              <w:t>：</w:t>
            </w:r>
          </w:p>
        </w:tc>
        <w:tc>
          <w:tcPr>
            <w:tcW w:w="1686" w:type="dxa"/>
            <w:vAlign w:val="center"/>
          </w:tcPr>
          <w:p w:rsidR="00DE4044" w:rsidRPr="002079DC" w:rsidRDefault="00DE4044" w:rsidP="00DE4044">
            <w:pPr>
              <w:jc w:val="center"/>
              <w:rPr>
                <w:sz w:val="18"/>
                <w:szCs w:val="18"/>
              </w:rPr>
            </w:pPr>
          </w:p>
        </w:tc>
        <w:tc>
          <w:tcPr>
            <w:tcW w:w="1686" w:type="dxa"/>
            <w:vAlign w:val="center"/>
          </w:tcPr>
          <w:p w:rsidR="00DE4044" w:rsidRPr="002079DC" w:rsidRDefault="00DE4044" w:rsidP="00DE4044">
            <w:pPr>
              <w:jc w:val="right"/>
              <w:rPr>
                <w:sz w:val="18"/>
                <w:szCs w:val="18"/>
              </w:rPr>
            </w:pPr>
          </w:p>
        </w:tc>
        <w:tc>
          <w:tcPr>
            <w:tcW w:w="1686" w:type="dxa"/>
            <w:vAlign w:val="center"/>
          </w:tcPr>
          <w:p w:rsidR="00DE4044" w:rsidRPr="002079DC" w:rsidRDefault="00DE4044" w:rsidP="00DE4044">
            <w:pPr>
              <w:jc w:val="right"/>
              <w:rPr>
                <w:sz w:val="18"/>
                <w:szCs w:val="18"/>
              </w:rPr>
            </w:pPr>
          </w:p>
        </w:tc>
      </w:tr>
      <w:tr w:rsidR="00DE4044" w:rsidRPr="002079DC" w:rsidTr="0027505B">
        <w:trPr>
          <w:trHeight w:val="20"/>
        </w:trPr>
        <w:tc>
          <w:tcPr>
            <w:tcW w:w="4392" w:type="dxa"/>
            <w:shd w:val="clear" w:color="auto" w:fill="D9D9D9"/>
            <w:vAlign w:val="center"/>
          </w:tcPr>
          <w:p w:rsidR="00DE4044" w:rsidRPr="0027505B" w:rsidRDefault="00DE4044" w:rsidP="0027505B">
            <w:pPr>
              <w:tabs>
                <w:tab w:val="left" w:pos="210"/>
              </w:tabs>
              <w:rPr>
                <w:sz w:val="18"/>
                <w:szCs w:val="18"/>
              </w:rPr>
            </w:pPr>
            <w:r w:rsidRPr="002079DC">
              <w:rPr>
                <w:sz w:val="18"/>
                <w:szCs w:val="18"/>
              </w:rPr>
              <w:tab/>
            </w:r>
            <w:r w:rsidRPr="002079DC">
              <w:rPr>
                <w:rFonts w:hint="eastAsia"/>
                <w:sz w:val="18"/>
                <w:szCs w:val="18"/>
              </w:rPr>
              <w:t>长期借款</w:t>
            </w:r>
          </w:p>
        </w:tc>
        <w:tc>
          <w:tcPr>
            <w:tcW w:w="1686" w:type="dxa"/>
            <w:vAlign w:val="center"/>
          </w:tcPr>
          <w:p w:rsidR="00DE4044" w:rsidRPr="002079DC" w:rsidRDefault="00DE4044" w:rsidP="00075152">
            <w:pPr>
              <w:jc w:val="right"/>
              <w:rPr>
                <w:sz w:val="18"/>
                <w:szCs w:val="18"/>
              </w:rPr>
            </w:pPr>
            <w:r w:rsidRPr="002079DC">
              <w:rPr>
                <w:sz w:val="18"/>
                <w:szCs w:val="18"/>
              </w:rPr>
              <w:t>-    </w:t>
            </w:r>
          </w:p>
        </w:tc>
        <w:tc>
          <w:tcPr>
            <w:tcW w:w="1686" w:type="dxa"/>
            <w:vAlign w:val="center"/>
          </w:tcPr>
          <w:p w:rsidR="00DE4044" w:rsidRPr="002079DC" w:rsidRDefault="00DE4044" w:rsidP="00DE4044">
            <w:pPr>
              <w:jc w:val="right"/>
              <w:rPr>
                <w:sz w:val="18"/>
                <w:szCs w:val="18"/>
              </w:rPr>
            </w:pPr>
            <w:r w:rsidRPr="002079DC">
              <w:rPr>
                <w:sz w:val="18"/>
                <w:szCs w:val="18"/>
              </w:rPr>
              <w:t>227,811,259.46</w:t>
            </w:r>
          </w:p>
        </w:tc>
        <w:tc>
          <w:tcPr>
            <w:tcW w:w="1686" w:type="dxa"/>
            <w:vAlign w:val="center"/>
          </w:tcPr>
          <w:p w:rsidR="00DE4044" w:rsidRPr="002079DC" w:rsidRDefault="00DE4044" w:rsidP="00DE4044">
            <w:pPr>
              <w:jc w:val="right"/>
              <w:rPr>
                <w:sz w:val="18"/>
                <w:szCs w:val="18"/>
              </w:rPr>
            </w:pPr>
            <w:r w:rsidRPr="002079DC">
              <w:rPr>
                <w:sz w:val="18"/>
                <w:szCs w:val="18"/>
              </w:rPr>
              <w:t>319,337,031.25</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租赁负债</w:t>
            </w:r>
          </w:p>
        </w:tc>
        <w:tc>
          <w:tcPr>
            <w:tcW w:w="1686" w:type="dxa"/>
            <w:vAlign w:val="center"/>
          </w:tcPr>
          <w:p w:rsidR="00DE4044" w:rsidRPr="002079DC" w:rsidRDefault="00DE4044" w:rsidP="00075152">
            <w:pPr>
              <w:jc w:val="right"/>
              <w:rPr>
                <w:sz w:val="18"/>
                <w:szCs w:val="18"/>
              </w:rPr>
            </w:pPr>
            <w:r w:rsidRPr="002079DC">
              <w:rPr>
                <w:sz w:val="18"/>
                <w:szCs w:val="18"/>
              </w:rPr>
              <w:t>51,924,856.42</w:t>
            </w:r>
          </w:p>
        </w:tc>
        <w:tc>
          <w:tcPr>
            <w:tcW w:w="1686" w:type="dxa"/>
            <w:vAlign w:val="center"/>
          </w:tcPr>
          <w:p w:rsidR="00DE4044" w:rsidRPr="002079DC" w:rsidRDefault="00DE4044" w:rsidP="00DE4044">
            <w:pPr>
              <w:jc w:val="right"/>
              <w:rPr>
                <w:sz w:val="18"/>
                <w:szCs w:val="18"/>
              </w:rPr>
            </w:pPr>
            <w:r w:rsidRPr="002079DC">
              <w:rPr>
                <w:sz w:val="18"/>
                <w:szCs w:val="18"/>
              </w:rPr>
              <w:t>44,095,300.99</w:t>
            </w:r>
          </w:p>
        </w:tc>
        <w:tc>
          <w:tcPr>
            <w:tcW w:w="1686" w:type="dxa"/>
            <w:vAlign w:val="center"/>
          </w:tcPr>
          <w:p w:rsidR="00DE4044" w:rsidRPr="002079DC" w:rsidRDefault="00DE4044" w:rsidP="00DE4044">
            <w:pPr>
              <w:jc w:val="right"/>
              <w:rPr>
                <w:sz w:val="18"/>
                <w:szCs w:val="18"/>
              </w:rPr>
            </w:pPr>
            <w:r w:rsidRPr="002079DC">
              <w:rPr>
                <w:sz w:val="18"/>
                <w:szCs w:val="18"/>
              </w:rPr>
              <w:t>13,959,692.30</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预计负债</w:t>
            </w:r>
          </w:p>
        </w:tc>
        <w:tc>
          <w:tcPr>
            <w:tcW w:w="1686" w:type="dxa"/>
            <w:vAlign w:val="center"/>
          </w:tcPr>
          <w:p w:rsidR="00DE4044" w:rsidRPr="002079DC" w:rsidRDefault="00DE4044" w:rsidP="00075152">
            <w:pPr>
              <w:jc w:val="right"/>
              <w:rPr>
                <w:sz w:val="18"/>
                <w:szCs w:val="18"/>
              </w:rPr>
            </w:pPr>
            <w:r w:rsidRPr="002079DC">
              <w:rPr>
                <w:sz w:val="18"/>
                <w:szCs w:val="18"/>
              </w:rPr>
              <w:t>8,224,603.23</w:t>
            </w:r>
          </w:p>
        </w:tc>
        <w:tc>
          <w:tcPr>
            <w:tcW w:w="1686" w:type="dxa"/>
            <w:vAlign w:val="center"/>
          </w:tcPr>
          <w:p w:rsidR="00DE4044" w:rsidRPr="002079DC" w:rsidRDefault="00DE4044" w:rsidP="00DE4044">
            <w:pPr>
              <w:jc w:val="right"/>
              <w:rPr>
                <w:sz w:val="18"/>
                <w:szCs w:val="18"/>
              </w:rPr>
            </w:pPr>
            <w:r w:rsidRPr="002079DC">
              <w:rPr>
                <w:sz w:val="18"/>
                <w:szCs w:val="18"/>
              </w:rPr>
              <w:t>7,849,236.67</w:t>
            </w:r>
          </w:p>
        </w:tc>
        <w:tc>
          <w:tcPr>
            <w:tcW w:w="1686" w:type="dxa"/>
            <w:vAlign w:val="center"/>
          </w:tcPr>
          <w:p w:rsidR="00DE4044" w:rsidRPr="002079DC" w:rsidRDefault="00DE4044" w:rsidP="00DE4044">
            <w:pPr>
              <w:jc w:val="right"/>
              <w:rPr>
                <w:sz w:val="18"/>
                <w:szCs w:val="18"/>
              </w:rPr>
            </w:pPr>
            <w:r w:rsidRPr="002079DC">
              <w:rPr>
                <w:sz w:val="18"/>
                <w:szCs w:val="18"/>
              </w:rPr>
              <w:t>12,428,738.35</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递延收益</w:t>
            </w:r>
          </w:p>
        </w:tc>
        <w:tc>
          <w:tcPr>
            <w:tcW w:w="1686" w:type="dxa"/>
            <w:vAlign w:val="center"/>
          </w:tcPr>
          <w:p w:rsidR="00DE4044" w:rsidRPr="002079DC" w:rsidRDefault="00DE4044" w:rsidP="00075152">
            <w:pPr>
              <w:jc w:val="right"/>
              <w:rPr>
                <w:sz w:val="18"/>
                <w:szCs w:val="18"/>
              </w:rPr>
            </w:pPr>
            <w:r w:rsidRPr="002079DC">
              <w:rPr>
                <w:sz w:val="18"/>
                <w:szCs w:val="18"/>
              </w:rPr>
              <w:t>167,788,820.36</w:t>
            </w:r>
          </w:p>
        </w:tc>
        <w:tc>
          <w:tcPr>
            <w:tcW w:w="1686" w:type="dxa"/>
            <w:vAlign w:val="center"/>
          </w:tcPr>
          <w:p w:rsidR="00DE4044" w:rsidRPr="002079DC" w:rsidRDefault="00DE4044" w:rsidP="00DE4044">
            <w:pPr>
              <w:jc w:val="right"/>
              <w:rPr>
                <w:sz w:val="18"/>
                <w:szCs w:val="18"/>
              </w:rPr>
            </w:pPr>
            <w:r w:rsidRPr="002079DC">
              <w:rPr>
                <w:sz w:val="18"/>
                <w:szCs w:val="18"/>
              </w:rPr>
              <w:t>169,348,274.05</w:t>
            </w:r>
          </w:p>
        </w:tc>
        <w:tc>
          <w:tcPr>
            <w:tcW w:w="1686" w:type="dxa"/>
            <w:vAlign w:val="center"/>
          </w:tcPr>
          <w:p w:rsidR="00DE4044" w:rsidRPr="002079DC" w:rsidRDefault="00DE4044" w:rsidP="00DE4044">
            <w:pPr>
              <w:jc w:val="right"/>
              <w:rPr>
                <w:sz w:val="18"/>
                <w:szCs w:val="18"/>
              </w:rPr>
            </w:pPr>
            <w:r w:rsidRPr="002079DC">
              <w:rPr>
                <w:sz w:val="18"/>
                <w:szCs w:val="18"/>
              </w:rPr>
              <w:t>184,278,194.20</w:t>
            </w:r>
          </w:p>
        </w:tc>
      </w:tr>
      <w:tr w:rsidR="002079DC" w:rsidRPr="002079DC" w:rsidTr="0027505B">
        <w:trPr>
          <w:trHeight w:val="20"/>
        </w:trPr>
        <w:tc>
          <w:tcPr>
            <w:tcW w:w="4392" w:type="dxa"/>
            <w:shd w:val="clear" w:color="auto" w:fill="D9D9D9"/>
            <w:vAlign w:val="center"/>
          </w:tcPr>
          <w:p w:rsidR="002079DC" w:rsidRPr="002079DC" w:rsidRDefault="002079DC" w:rsidP="0027505B">
            <w:pPr>
              <w:tabs>
                <w:tab w:val="left" w:pos="210"/>
              </w:tabs>
              <w:rPr>
                <w:sz w:val="18"/>
                <w:szCs w:val="18"/>
              </w:rPr>
            </w:pPr>
            <w:r w:rsidRPr="002079DC">
              <w:rPr>
                <w:sz w:val="18"/>
                <w:szCs w:val="18"/>
              </w:rPr>
              <w:tab/>
            </w:r>
            <w:r w:rsidRPr="002079DC">
              <w:rPr>
                <w:rFonts w:hint="eastAsia"/>
                <w:sz w:val="18"/>
                <w:szCs w:val="18"/>
              </w:rPr>
              <w:t>递延所得税负债</w:t>
            </w:r>
          </w:p>
        </w:tc>
        <w:tc>
          <w:tcPr>
            <w:tcW w:w="1686" w:type="dxa"/>
            <w:vAlign w:val="center"/>
          </w:tcPr>
          <w:p w:rsidR="002079DC" w:rsidRPr="002079DC" w:rsidRDefault="002079DC" w:rsidP="002079DC">
            <w:pPr>
              <w:jc w:val="right"/>
              <w:rPr>
                <w:sz w:val="18"/>
                <w:szCs w:val="18"/>
              </w:rPr>
            </w:pPr>
            <w:r w:rsidRPr="002079DC">
              <w:rPr>
                <w:sz w:val="18"/>
                <w:szCs w:val="18"/>
              </w:rPr>
              <w:t>815,027.83</w:t>
            </w:r>
          </w:p>
        </w:tc>
        <w:tc>
          <w:tcPr>
            <w:tcW w:w="1686" w:type="dxa"/>
            <w:vAlign w:val="center"/>
          </w:tcPr>
          <w:p w:rsidR="002079DC" w:rsidRPr="002079DC" w:rsidRDefault="002079DC" w:rsidP="0027505B">
            <w:pPr>
              <w:jc w:val="right"/>
              <w:rPr>
                <w:sz w:val="18"/>
                <w:szCs w:val="18"/>
              </w:rPr>
            </w:pPr>
            <w:r w:rsidRPr="0085207B">
              <w:rPr>
                <w:sz w:val="18"/>
                <w:szCs w:val="18"/>
              </w:rPr>
              <w:t>-    </w:t>
            </w:r>
          </w:p>
        </w:tc>
        <w:tc>
          <w:tcPr>
            <w:tcW w:w="1686" w:type="dxa"/>
            <w:vAlign w:val="center"/>
          </w:tcPr>
          <w:p w:rsidR="002079DC" w:rsidRPr="002079DC" w:rsidRDefault="002079DC" w:rsidP="0027505B">
            <w:pPr>
              <w:jc w:val="right"/>
              <w:rPr>
                <w:sz w:val="18"/>
                <w:szCs w:val="18"/>
              </w:rPr>
            </w:pPr>
            <w:r w:rsidRPr="0085207B">
              <w:rPr>
                <w:sz w:val="18"/>
                <w:szCs w:val="18"/>
              </w:rPr>
              <w:t>-    </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其他非流动负债</w:t>
            </w:r>
          </w:p>
        </w:tc>
        <w:tc>
          <w:tcPr>
            <w:tcW w:w="1686" w:type="dxa"/>
            <w:vAlign w:val="center"/>
          </w:tcPr>
          <w:p w:rsidR="00DE4044" w:rsidRPr="002079DC" w:rsidRDefault="00DE4044" w:rsidP="00075152">
            <w:pPr>
              <w:jc w:val="right"/>
              <w:rPr>
                <w:sz w:val="18"/>
                <w:szCs w:val="18"/>
              </w:rPr>
            </w:pPr>
            <w:r w:rsidRPr="002079DC">
              <w:rPr>
                <w:sz w:val="18"/>
                <w:szCs w:val="18"/>
              </w:rPr>
              <w:t>22,739,796.75</w:t>
            </w:r>
          </w:p>
        </w:tc>
        <w:tc>
          <w:tcPr>
            <w:tcW w:w="1686" w:type="dxa"/>
            <w:vAlign w:val="center"/>
          </w:tcPr>
          <w:p w:rsidR="00DE4044" w:rsidRPr="002079DC" w:rsidRDefault="00DE4044" w:rsidP="00DE4044">
            <w:pPr>
              <w:jc w:val="right"/>
              <w:rPr>
                <w:sz w:val="18"/>
                <w:szCs w:val="18"/>
              </w:rPr>
            </w:pPr>
            <w:r w:rsidRPr="002079DC">
              <w:rPr>
                <w:sz w:val="18"/>
                <w:szCs w:val="18"/>
              </w:rPr>
              <w:t>24,939,037.54</w:t>
            </w:r>
          </w:p>
        </w:tc>
        <w:tc>
          <w:tcPr>
            <w:tcW w:w="1686" w:type="dxa"/>
            <w:vAlign w:val="center"/>
          </w:tcPr>
          <w:p w:rsidR="00DE4044" w:rsidRPr="002079DC" w:rsidRDefault="00DE4044" w:rsidP="00DE4044">
            <w:pPr>
              <w:jc w:val="right"/>
              <w:rPr>
                <w:sz w:val="18"/>
                <w:szCs w:val="18"/>
              </w:rPr>
            </w:pPr>
            <w:r w:rsidRPr="002079DC">
              <w:rPr>
                <w:sz w:val="18"/>
                <w:szCs w:val="18"/>
              </w:rPr>
              <w:t>30,140,767.27</w:t>
            </w:r>
          </w:p>
        </w:tc>
      </w:tr>
      <w:tr w:rsidR="00DE4044" w:rsidRPr="002079DC" w:rsidTr="0027505B">
        <w:trPr>
          <w:trHeight w:val="20"/>
        </w:trPr>
        <w:tc>
          <w:tcPr>
            <w:tcW w:w="4392" w:type="dxa"/>
            <w:shd w:val="clear" w:color="auto" w:fill="D9D9D9"/>
            <w:vAlign w:val="center"/>
          </w:tcPr>
          <w:p w:rsidR="00DE4044" w:rsidRPr="002079DC" w:rsidRDefault="00DE4044" w:rsidP="00DE4044">
            <w:pPr>
              <w:rPr>
                <w:b/>
                <w:sz w:val="18"/>
                <w:szCs w:val="18"/>
              </w:rPr>
            </w:pPr>
            <w:r w:rsidRPr="002079DC">
              <w:rPr>
                <w:rFonts w:hint="eastAsia"/>
                <w:b/>
                <w:sz w:val="18"/>
                <w:szCs w:val="18"/>
              </w:rPr>
              <w:t>非流动负债合计</w:t>
            </w:r>
          </w:p>
        </w:tc>
        <w:tc>
          <w:tcPr>
            <w:tcW w:w="1686" w:type="dxa"/>
            <w:vAlign w:val="center"/>
          </w:tcPr>
          <w:p w:rsidR="00DE4044" w:rsidRPr="002079DC" w:rsidRDefault="00DE4044" w:rsidP="00075152">
            <w:pPr>
              <w:jc w:val="right"/>
              <w:rPr>
                <w:sz w:val="18"/>
                <w:szCs w:val="18"/>
              </w:rPr>
            </w:pPr>
            <w:r w:rsidRPr="002079DC">
              <w:rPr>
                <w:b/>
                <w:bCs/>
                <w:sz w:val="18"/>
                <w:szCs w:val="18"/>
              </w:rPr>
              <w:t>251,493,104.59</w:t>
            </w:r>
          </w:p>
        </w:tc>
        <w:tc>
          <w:tcPr>
            <w:tcW w:w="1686" w:type="dxa"/>
            <w:vAlign w:val="center"/>
          </w:tcPr>
          <w:p w:rsidR="00DE4044" w:rsidRPr="002079DC" w:rsidRDefault="00DE4044" w:rsidP="00DE4044">
            <w:pPr>
              <w:jc w:val="right"/>
              <w:rPr>
                <w:b/>
                <w:sz w:val="18"/>
                <w:szCs w:val="18"/>
              </w:rPr>
            </w:pPr>
            <w:r w:rsidRPr="002079DC">
              <w:rPr>
                <w:b/>
                <w:sz w:val="18"/>
                <w:szCs w:val="18"/>
              </w:rPr>
              <w:t>474,043,108.71</w:t>
            </w:r>
          </w:p>
        </w:tc>
        <w:tc>
          <w:tcPr>
            <w:tcW w:w="1686" w:type="dxa"/>
            <w:vAlign w:val="center"/>
          </w:tcPr>
          <w:p w:rsidR="00DE4044" w:rsidRPr="002079DC" w:rsidRDefault="00DE4044" w:rsidP="00DE4044">
            <w:pPr>
              <w:jc w:val="right"/>
              <w:rPr>
                <w:b/>
                <w:sz w:val="18"/>
                <w:szCs w:val="18"/>
              </w:rPr>
            </w:pPr>
            <w:r w:rsidRPr="002079DC">
              <w:rPr>
                <w:b/>
                <w:sz w:val="18"/>
                <w:szCs w:val="18"/>
              </w:rPr>
              <w:t>560,144,423.37</w:t>
            </w:r>
          </w:p>
        </w:tc>
      </w:tr>
      <w:tr w:rsidR="00DE4044" w:rsidRPr="002079DC" w:rsidTr="0027505B">
        <w:trPr>
          <w:trHeight w:val="20"/>
        </w:trPr>
        <w:tc>
          <w:tcPr>
            <w:tcW w:w="4392" w:type="dxa"/>
            <w:shd w:val="clear" w:color="auto" w:fill="D9D9D9"/>
            <w:vAlign w:val="center"/>
          </w:tcPr>
          <w:p w:rsidR="00DE4044" w:rsidRPr="002079DC" w:rsidRDefault="00DE4044" w:rsidP="00DE4044">
            <w:pPr>
              <w:rPr>
                <w:b/>
                <w:sz w:val="18"/>
                <w:szCs w:val="18"/>
              </w:rPr>
            </w:pPr>
            <w:r w:rsidRPr="002079DC">
              <w:rPr>
                <w:rFonts w:hint="eastAsia"/>
                <w:b/>
                <w:sz w:val="18"/>
                <w:szCs w:val="18"/>
              </w:rPr>
              <w:t>负债合计</w:t>
            </w:r>
          </w:p>
        </w:tc>
        <w:tc>
          <w:tcPr>
            <w:tcW w:w="1686" w:type="dxa"/>
            <w:vAlign w:val="center"/>
          </w:tcPr>
          <w:p w:rsidR="00DE4044" w:rsidRPr="002079DC" w:rsidRDefault="00DE4044" w:rsidP="00075152">
            <w:pPr>
              <w:jc w:val="right"/>
              <w:rPr>
                <w:sz w:val="18"/>
                <w:szCs w:val="18"/>
              </w:rPr>
            </w:pPr>
            <w:r w:rsidRPr="002079DC">
              <w:rPr>
                <w:b/>
                <w:bCs/>
                <w:sz w:val="18"/>
                <w:szCs w:val="18"/>
              </w:rPr>
              <w:t>2,322,282,718.34</w:t>
            </w:r>
          </w:p>
        </w:tc>
        <w:tc>
          <w:tcPr>
            <w:tcW w:w="1686" w:type="dxa"/>
            <w:vAlign w:val="center"/>
          </w:tcPr>
          <w:p w:rsidR="00DE4044" w:rsidRPr="002079DC" w:rsidRDefault="00DE4044" w:rsidP="00DE4044">
            <w:pPr>
              <w:jc w:val="right"/>
              <w:rPr>
                <w:b/>
                <w:sz w:val="18"/>
                <w:szCs w:val="18"/>
              </w:rPr>
            </w:pPr>
            <w:r w:rsidRPr="002079DC">
              <w:rPr>
                <w:b/>
                <w:sz w:val="18"/>
                <w:szCs w:val="18"/>
              </w:rPr>
              <w:t>2,322,538,554.03</w:t>
            </w:r>
          </w:p>
        </w:tc>
        <w:tc>
          <w:tcPr>
            <w:tcW w:w="1686" w:type="dxa"/>
            <w:vAlign w:val="center"/>
          </w:tcPr>
          <w:p w:rsidR="00DE4044" w:rsidRPr="002079DC" w:rsidRDefault="00DE4044" w:rsidP="00DE4044">
            <w:pPr>
              <w:jc w:val="right"/>
              <w:rPr>
                <w:b/>
                <w:sz w:val="18"/>
                <w:szCs w:val="18"/>
              </w:rPr>
            </w:pPr>
            <w:r w:rsidRPr="002079DC">
              <w:rPr>
                <w:b/>
                <w:sz w:val="18"/>
                <w:szCs w:val="18"/>
              </w:rPr>
              <w:t>2,927,582,905.77</w:t>
            </w:r>
          </w:p>
        </w:tc>
      </w:tr>
      <w:tr w:rsidR="00DE4044" w:rsidRPr="002079DC" w:rsidTr="0027505B">
        <w:trPr>
          <w:trHeight w:val="20"/>
        </w:trPr>
        <w:tc>
          <w:tcPr>
            <w:tcW w:w="4392" w:type="dxa"/>
            <w:shd w:val="clear" w:color="auto" w:fill="D9D9D9"/>
            <w:vAlign w:val="center"/>
          </w:tcPr>
          <w:p w:rsidR="00DE4044" w:rsidRPr="002079DC" w:rsidRDefault="00DE4044" w:rsidP="00DE4044">
            <w:pPr>
              <w:rPr>
                <w:b/>
                <w:sz w:val="18"/>
                <w:szCs w:val="18"/>
              </w:rPr>
            </w:pPr>
            <w:r w:rsidRPr="002079DC">
              <w:rPr>
                <w:rFonts w:hint="eastAsia"/>
                <w:b/>
                <w:sz w:val="18"/>
                <w:szCs w:val="18"/>
              </w:rPr>
              <w:t>股东权益</w:t>
            </w:r>
            <w:r w:rsidR="005F14EE" w:rsidRPr="002079DC">
              <w:rPr>
                <w:rFonts w:hint="eastAsia"/>
                <w:b/>
                <w:sz w:val="18"/>
                <w:szCs w:val="18"/>
              </w:rPr>
              <w:t>：</w:t>
            </w:r>
          </w:p>
        </w:tc>
        <w:tc>
          <w:tcPr>
            <w:tcW w:w="1686" w:type="dxa"/>
            <w:vAlign w:val="center"/>
          </w:tcPr>
          <w:p w:rsidR="00DE4044" w:rsidRPr="002079DC" w:rsidRDefault="00DE4044" w:rsidP="00DE4044">
            <w:pPr>
              <w:jc w:val="center"/>
              <w:rPr>
                <w:sz w:val="18"/>
                <w:szCs w:val="18"/>
              </w:rPr>
            </w:pPr>
          </w:p>
        </w:tc>
        <w:tc>
          <w:tcPr>
            <w:tcW w:w="1686" w:type="dxa"/>
            <w:vAlign w:val="center"/>
          </w:tcPr>
          <w:p w:rsidR="00DE4044" w:rsidRPr="002079DC" w:rsidRDefault="00DE4044" w:rsidP="00DE4044">
            <w:pPr>
              <w:jc w:val="right"/>
              <w:rPr>
                <w:sz w:val="18"/>
                <w:szCs w:val="18"/>
              </w:rPr>
            </w:pPr>
          </w:p>
        </w:tc>
        <w:tc>
          <w:tcPr>
            <w:tcW w:w="1686" w:type="dxa"/>
            <w:vAlign w:val="center"/>
          </w:tcPr>
          <w:p w:rsidR="00DE4044" w:rsidRPr="002079DC" w:rsidRDefault="00DE4044" w:rsidP="00DE4044">
            <w:pPr>
              <w:jc w:val="right"/>
              <w:rPr>
                <w:sz w:val="18"/>
                <w:szCs w:val="18"/>
              </w:rPr>
            </w:pP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股本</w:t>
            </w:r>
          </w:p>
        </w:tc>
        <w:tc>
          <w:tcPr>
            <w:tcW w:w="1686" w:type="dxa"/>
            <w:vAlign w:val="center"/>
          </w:tcPr>
          <w:p w:rsidR="00DE4044" w:rsidRPr="002079DC" w:rsidRDefault="00DE4044" w:rsidP="00075152">
            <w:pPr>
              <w:jc w:val="right"/>
              <w:rPr>
                <w:sz w:val="18"/>
                <w:szCs w:val="18"/>
              </w:rPr>
            </w:pPr>
            <w:r w:rsidRPr="002079DC">
              <w:rPr>
                <w:sz w:val="18"/>
                <w:szCs w:val="18"/>
              </w:rPr>
              <w:t>450,000,000.00</w:t>
            </w:r>
          </w:p>
        </w:tc>
        <w:tc>
          <w:tcPr>
            <w:tcW w:w="1686" w:type="dxa"/>
            <w:vAlign w:val="center"/>
          </w:tcPr>
          <w:p w:rsidR="00DE4044" w:rsidRPr="002079DC" w:rsidRDefault="00DE4044" w:rsidP="00DE4044">
            <w:pPr>
              <w:jc w:val="right"/>
              <w:rPr>
                <w:sz w:val="18"/>
                <w:szCs w:val="18"/>
              </w:rPr>
            </w:pPr>
            <w:r w:rsidRPr="002079DC">
              <w:rPr>
                <w:sz w:val="18"/>
                <w:szCs w:val="18"/>
              </w:rPr>
              <w:t>562,500,000.00</w:t>
            </w:r>
          </w:p>
        </w:tc>
        <w:tc>
          <w:tcPr>
            <w:tcW w:w="1686" w:type="dxa"/>
            <w:vAlign w:val="center"/>
          </w:tcPr>
          <w:p w:rsidR="00DE4044" w:rsidRPr="002079DC" w:rsidRDefault="00DE4044" w:rsidP="00DE4044">
            <w:pPr>
              <w:jc w:val="right"/>
              <w:rPr>
                <w:sz w:val="18"/>
                <w:szCs w:val="18"/>
              </w:rPr>
            </w:pPr>
            <w:r w:rsidRPr="002079DC">
              <w:rPr>
                <w:sz w:val="18"/>
                <w:szCs w:val="18"/>
              </w:rPr>
              <w:t>562,500,000.00</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资本公积</w:t>
            </w:r>
          </w:p>
        </w:tc>
        <w:tc>
          <w:tcPr>
            <w:tcW w:w="1686" w:type="dxa"/>
            <w:vAlign w:val="center"/>
          </w:tcPr>
          <w:p w:rsidR="00DE4044" w:rsidRPr="002079DC" w:rsidRDefault="00DE4044" w:rsidP="00075152">
            <w:pPr>
              <w:jc w:val="right"/>
              <w:rPr>
                <w:sz w:val="18"/>
                <w:szCs w:val="18"/>
              </w:rPr>
            </w:pPr>
            <w:r w:rsidRPr="002079DC">
              <w:rPr>
                <w:sz w:val="18"/>
                <w:szCs w:val="18"/>
              </w:rPr>
              <w:t>325,121,006.31</w:t>
            </w:r>
          </w:p>
        </w:tc>
        <w:tc>
          <w:tcPr>
            <w:tcW w:w="1686" w:type="dxa"/>
            <w:vAlign w:val="center"/>
          </w:tcPr>
          <w:p w:rsidR="00DE4044" w:rsidRPr="002079DC" w:rsidRDefault="00DE4044" w:rsidP="00DE4044">
            <w:pPr>
              <w:jc w:val="right"/>
              <w:rPr>
                <w:sz w:val="18"/>
                <w:szCs w:val="18"/>
              </w:rPr>
            </w:pPr>
            <w:r w:rsidRPr="002079DC">
              <w:rPr>
                <w:sz w:val="18"/>
                <w:szCs w:val="18"/>
              </w:rPr>
              <w:t>3,336,245,242.12</w:t>
            </w:r>
          </w:p>
        </w:tc>
        <w:tc>
          <w:tcPr>
            <w:tcW w:w="1686" w:type="dxa"/>
            <w:vAlign w:val="center"/>
          </w:tcPr>
          <w:p w:rsidR="00DE4044" w:rsidRPr="002079DC" w:rsidRDefault="00DE4044" w:rsidP="00DE4044">
            <w:pPr>
              <w:jc w:val="right"/>
              <w:rPr>
                <w:sz w:val="18"/>
                <w:szCs w:val="18"/>
              </w:rPr>
            </w:pPr>
            <w:r w:rsidRPr="002079DC">
              <w:rPr>
                <w:sz w:val="18"/>
                <w:szCs w:val="18"/>
              </w:rPr>
              <w:t>3,346,583,123.41</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其他综合收益</w:t>
            </w:r>
          </w:p>
        </w:tc>
        <w:tc>
          <w:tcPr>
            <w:tcW w:w="1686" w:type="dxa"/>
            <w:vAlign w:val="center"/>
          </w:tcPr>
          <w:p w:rsidR="00DE4044" w:rsidRPr="002079DC" w:rsidRDefault="00DE4044" w:rsidP="00075152">
            <w:pPr>
              <w:jc w:val="right"/>
              <w:rPr>
                <w:sz w:val="18"/>
                <w:szCs w:val="18"/>
              </w:rPr>
            </w:pPr>
            <w:r w:rsidRPr="002079DC">
              <w:rPr>
                <w:sz w:val="18"/>
                <w:szCs w:val="18"/>
              </w:rPr>
              <w:t>4,081,798.27</w:t>
            </w:r>
          </w:p>
        </w:tc>
        <w:tc>
          <w:tcPr>
            <w:tcW w:w="1686" w:type="dxa"/>
            <w:vAlign w:val="center"/>
          </w:tcPr>
          <w:p w:rsidR="00DE4044" w:rsidRPr="002079DC" w:rsidRDefault="005F14EE" w:rsidP="00DE4044">
            <w:pPr>
              <w:jc w:val="right"/>
              <w:rPr>
                <w:sz w:val="18"/>
                <w:szCs w:val="18"/>
              </w:rPr>
            </w:pPr>
            <w:r w:rsidRPr="002079DC">
              <w:rPr>
                <w:sz w:val="18"/>
                <w:szCs w:val="18"/>
              </w:rPr>
              <w:t>(</w:t>
            </w:r>
            <w:r w:rsidR="00DE4044" w:rsidRPr="002079DC">
              <w:rPr>
                <w:sz w:val="18"/>
                <w:szCs w:val="18"/>
              </w:rPr>
              <w:t>2,595,089.93</w:t>
            </w:r>
            <w:r w:rsidRPr="002079DC">
              <w:rPr>
                <w:sz w:val="18"/>
                <w:szCs w:val="18"/>
              </w:rPr>
              <w:t>)</w:t>
            </w:r>
          </w:p>
        </w:tc>
        <w:tc>
          <w:tcPr>
            <w:tcW w:w="1686" w:type="dxa"/>
            <w:vAlign w:val="center"/>
          </w:tcPr>
          <w:p w:rsidR="00DE4044" w:rsidRPr="002079DC" w:rsidRDefault="005F14EE" w:rsidP="00DE4044">
            <w:pPr>
              <w:jc w:val="right"/>
              <w:rPr>
                <w:sz w:val="18"/>
                <w:szCs w:val="18"/>
              </w:rPr>
            </w:pPr>
            <w:r w:rsidRPr="002079DC">
              <w:rPr>
                <w:sz w:val="18"/>
                <w:szCs w:val="18"/>
              </w:rPr>
              <w:t>(</w:t>
            </w:r>
            <w:r w:rsidR="00DE4044" w:rsidRPr="002079DC">
              <w:rPr>
                <w:sz w:val="18"/>
                <w:szCs w:val="18"/>
              </w:rPr>
              <w:t>3,132,030.97</w:t>
            </w:r>
            <w:r w:rsidRPr="002079DC">
              <w:rPr>
                <w:sz w:val="18"/>
                <w:szCs w:val="18"/>
              </w:rPr>
              <w:t>)</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盈余公积</w:t>
            </w:r>
          </w:p>
        </w:tc>
        <w:tc>
          <w:tcPr>
            <w:tcW w:w="1686" w:type="dxa"/>
            <w:vAlign w:val="center"/>
          </w:tcPr>
          <w:p w:rsidR="00DE4044" w:rsidRPr="002079DC" w:rsidRDefault="00890B3D" w:rsidP="00075152">
            <w:pPr>
              <w:jc w:val="right"/>
              <w:rPr>
                <w:sz w:val="18"/>
                <w:szCs w:val="18"/>
              </w:rPr>
            </w:pPr>
            <w:r w:rsidRPr="002079DC">
              <w:rPr>
                <w:bCs/>
                <w:sz w:val="18"/>
                <w:szCs w:val="18"/>
              </w:rPr>
              <w:t>20,512,744.23</w:t>
            </w:r>
            <w:r w:rsidR="00DE4044" w:rsidRPr="002079DC">
              <w:rPr>
                <w:sz w:val="18"/>
                <w:szCs w:val="18"/>
              </w:rPr>
              <w:t xml:space="preserve"> </w:t>
            </w:r>
          </w:p>
        </w:tc>
        <w:tc>
          <w:tcPr>
            <w:tcW w:w="1686" w:type="dxa"/>
            <w:vAlign w:val="center"/>
          </w:tcPr>
          <w:p w:rsidR="00DE4044" w:rsidRPr="002079DC" w:rsidRDefault="00DE4044" w:rsidP="00DE4044">
            <w:pPr>
              <w:jc w:val="right"/>
              <w:rPr>
                <w:sz w:val="18"/>
                <w:szCs w:val="18"/>
              </w:rPr>
            </w:pPr>
            <w:r w:rsidRPr="002079DC">
              <w:rPr>
                <w:sz w:val="18"/>
                <w:szCs w:val="18"/>
              </w:rPr>
              <w:t>41,121,077.83</w:t>
            </w:r>
          </w:p>
        </w:tc>
        <w:tc>
          <w:tcPr>
            <w:tcW w:w="1686" w:type="dxa"/>
            <w:vAlign w:val="center"/>
          </w:tcPr>
          <w:p w:rsidR="00DE4044" w:rsidRPr="002079DC" w:rsidRDefault="00DE4044" w:rsidP="00DE4044">
            <w:pPr>
              <w:jc w:val="right"/>
              <w:rPr>
                <w:sz w:val="18"/>
                <w:szCs w:val="18"/>
              </w:rPr>
            </w:pPr>
            <w:r w:rsidRPr="002079DC">
              <w:rPr>
                <w:sz w:val="18"/>
                <w:szCs w:val="18"/>
              </w:rPr>
              <w:t>101,680,942.69</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未分配利润</w:t>
            </w:r>
          </w:p>
        </w:tc>
        <w:tc>
          <w:tcPr>
            <w:tcW w:w="1686" w:type="dxa"/>
            <w:vAlign w:val="center"/>
          </w:tcPr>
          <w:p w:rsidR="00DE4044" w:rsidRPr="002079DC" w:rsidRDefault="00890B3D" w:rsidP="00075152">
            <w:pPr>
              <w:jc w:val="right"/>
              <w:rPr>
                <w:sz w:val="18"/>
                <w:szCs w:val="18"/>
              </w:rPr>
            </w:pPr>
            <w:r w:rsidRPr="002079DC">
              <w:rPr>
                <w:bCs/>
                <w:sz w:val="18"/>
                <w:szCs w:val="18"/>
              </w:rPr>
              <w:t>610,848,542.28</w:t>
            </w:r>
            <w:r w:rsidR="00DE4044" w:rsidRPr="002079DC">
              <w:rPr>
                <w:sz w:val="18"/>
                <w:szCs w:val="18"/>
              </w:rPr>
              <w:t xml:space="preserve"> </w:t>
            </w:r>
          </w:p>
        </w:tc>
        <w:tc>
          <w:tcPr>
            <w:tcW w:w="1686" w:type="dxa"/>
            <w:vAlign w:val="center"/>
          </w:tcPr>
          <w:p w:rsidR="00DE4044" w:rsidRPr="002079DC" w:rsidRDefault="00DE4044" w:rsidP="00DE4044">
            <w:pPr>
              <w:jc w:val="right"/>
              <w:rPr>
                <w:sz w:val="18"/>
                <w:szCs w:val="18"/>
              </w:rPr>
            </w:pPr>
            <w:r w:rsidRPr="002079DC">
              <w:rPr>
                <w:sz w:val="18"/>
                <w:szCs w:val="18"/>
              </w:rPr>
              <w:t>923,729,423.10</w:t>
            </w:r>
          </w:p>
        </w:tc>
        <w:tc>
          <w:tcPr>
            <w:tcW w:w="1686" w:type="dxa"/>
            <w:vAlign w:val="center"/>
          </w:tcPr>
          <w:p w:rsidR="00DE4044" w:rsidRPr="002079DC" w:rsidRDefault="00DE4044" w:rsidP="00DE4044">
            <w:pPr>
              <w:jc w:val="right"/>
              <w:rPr>
                <w:sz w:val="18"/>
                <w:szCs w:val="18"/>
              </w:rPr>
            </w:pPr>
            <w:r w:rsidRPr="002079DC">
              <w:rPr>
                <w:sz w:val="18"/>
                <w:szCs w:val="18"/>
              </w:rPr>
              <w:t>1,257,360,321.34</w:t>
            </w:r>
          </w:p>
        </w:tc>
      </w:tr>
      <w:tr w:rsidR="00DE4044" w:rsidRPr="002079DC" w:rsidTr="0027505B">
        <w:trPr>
          <w:trHeight w:val="20"/>
        </w:trPr>
        <w:tc>
          <w:tcPr>
            <w:tcW w:w="4392" w:type="dxa"/>
            <w:shd w:val="clear" w:color="auto" w:fill="D9D9D9"/>
            <w:vAlign w:val="center"/>
          </w:tcPr>
          <w:p w:rsidR="00DE4044" w:rsidRPr="002079DC" w:rsidRDefault="00DE4044" w:rsidP="0027505B">
            <w:pPr>
              <w:tabs>
                <w:tab w:val="left" w:pos="210"/>
              </w:tabs>
              <w:rPr>
                <w:sz w:val="18"/>
                <w:szCs w:val="18"/>
              </w:rPr>
            </w:pPr>
            <w:r w:rsidRPr="002079DC">
              <w:rPr>
                <w:sz w:val="18"/>
                <w:szCs w:val="18"/>
              </w:rPr>
              <w:tab/>
            </w:r>
            <w:r w:rsidRPr="002079DC">
              <w:rPr>
                <w:rFonts w:hint="eastAsia"/>
                <w:sz w:val="18"/>
                <w:szCs w:val="18"/>
              </w:rPr>
              <w:t>归属于母公司所有者权益合计</w:t>
            </w:r>
          </w:p>
        </w:tc>
        <w:tc>
          <w:tcPr>
            <w:tcW w:w="1686" w:type="dxa"/>
            <w:vAlign w:val="center"/>
          </w:tcPr>
          <w:p w:rsidR="00DE4044" w:rsidRPr="002079DC" w:rsidRDefault="00DE4044" w:rsidP="00075152">
            <w:pPr>
              <w:jc w:val="right"/>
              <w:rPr>
                <w:sz w:val="18"/>
                <w:szCs w:val="18"/>
              </w:rPr>
            </w:pPr>
            <w:r w:rsidRPr="002079DC">
              <w:rPr>
                <w:sz w:val="18"/>
                <w:szCs w:val="18"/>
              </w:rPr>
              <w:t>1,410,564,091.09</w:t>
            </w:r>
          </w:p>
        </w:tc>
        <w:tc>
          <w:tcPr>
            <w:tcW w:w="1686" w:type="dxa"/>
            <w:vAlign w:val="center"/>
          </w:tcPr>
          <w:p w:rsidR="00DE4044" w:rsidRPr="002079DC" w:rsidRDefault="00DE4044" w:rsidP="00DE4044">
            <w:pPr>
              <w:jc w:val="right"/>
              <w:rPr>
                <w:sz w:val="18"/>
                <w:szCs w:val="18"/>
              </w:rPr>
            </w:pPr>
            <w:r w:rsidRPr="002079DC">
              <w:rPr>
                <w:sz w:val="18"/>
                <w:szCs w:val="18"/>
              </w:rPr>
              <w:t>4,861,000,653.12</w:t>
            </w:r>
          </w:p>
        </w:tc>
        <w:tc>
          <w:tcPr>
            <w:tcW w:w="1686" w:type="dxa"/>
            <w:vAlign w:val="center"/>
          </w:tcPr>
          <w:p w:rsidR="00DE4044" w:rsidRPr="002079DC" w:rsidRDefault="00DE4044" w:rsidP="00DE4044">
            <w:pPr>
              <w:jc w:val="right"/>
              <w:rPr>
                <w:sz w:val="18"/>
                <w:szCs w:val="18"/>
              </w:rPr>
            </w:pPr>
            <w:r w:rsidRPr="002079DC">
              <w:rPr>
                <w:sz w:val="18"/>
                <w:szCs w:val="18"/>
              </w:rPr>
              <w:t>5,264,992,356.47</w:t>
            </w:r>
          </w:p>
        </w:tc>
      </w:tr>
      <w:tr w:rsidR="00DE4044" w:rsidRPr="002079DC" w:rsidTr="0027505B">
        <w:trPr>
          <w:trHeight w:val="20"/>
        </w:trPr>
        <w:tc>
          <w:tcPr>
            <w:tcW w:w="4392" w:type="dxa"/>
            <w:shd w:val="clear" w:color="auto" w:fill="D9D9D9"/>
            <w:vAlign w:val="center"/>
          </w:tcPr>
          <w:p w:rsidR="00DE4044" w:rsidRPr="002079DC" w:rsidRDefault="00DE4044" w:rsidP="00DE4044">
            <w:pPr>
              <w:rPr>
                <w:b/>
                <w:sz w:val="18"/>
                <w:szCs w:val="18"/>
              </w:rPr>
            </w:pPr>
            <w:r w:rsidRPr="002079DC">
              <w:rPr>
                <w:rFonts w:hint="eastAsia"/>
                <w:b/>
                <w:sz w:val="18"/>
                <w:szCs w:val="18"/>
              </w:rPr>
              <w:t>股东权益合计</w:t>
            </w:r>
          </w:p>
        </w:tc>
        <w:tc>
          <w:tcPr>
            <w:tcW w:w="1686" w:type="dxa"/>
            <w:vAlign w:val="center"/>
          </w:tcPr>
          <w:p w:rsidR="00DE4044" w:rsidRPr="002079DC" w:rsidRDefault="00DE4044" w:rsidP="00075152">
            <w:pPr>
              <w:jc w:val="right"/>
              <w:rPr>
                <w:sz w:val="18"/>
                <w:szCs w:val="18"/>
              </w:rPr>
            </w:pPr>
            <w:r w:rsidRPr="002079DC">
              <w:rPr>
                <w:b/>
                <w:sz w:val="18"/>
                <w:szCs w:val="18"/>
              </w:rPr>
              <w:t>1,410,564,091.09</w:t>
            </w:r>
          </w:p>
        </w:tc>
        <w:tc>
          <w:tcPr>
            <w:tcW w:w="1686" w:type="dxa"/>
            <w:vAlign w:val="center"/>
          </w:tcPr>
          <w:p w:rsidR="00DE4044" w:rsidRPr="002079DC" w:rsidRDefault="00DE4044" w:rsidP="00DE4044">
            <w:pPr>
              <w:jc w:val="right"/>
              <w:rPr>
                <w:b/>
                <w:sz w:val="18"/>
                <w:szCs w:val="18"/>
              </w:rPr>
            </w:pPr>
            <w:r w:rsidRPr="002079DC">
              <w:rPr>
                <w:b/>
                <w:sz w:val="18"/>
                <w:szCs w:val="18"/>
              </w:rPr>
              <w:t>4,861,000,653.12</w:t>
            </w:r>
          </w:p>
        </w:tc>
        <w:tc>
          <w:tcPr>
            <w:tcW w:w="1686" w:type="dxa"/>
            <w:vAlign w:val="center"/>
          </w:tcPr>
          <w:p w:rsidR="00DE4044" w:rsidRPr="002079DC" w:rsidRDefault="00DE4044" w:rsidP="00DE4044">
            <w:pPr>
              <w:jc w:val="right"/>
              <w:rPr>
                <w:b/>
                <w:sz w:val="18"/>
                <w:szCs w:val="18"/>
              </w:rPr>
            </w:pPr>
            <w:r w:rsidRPr="002079DC">
              <w:rPr>
                <w:b/>
                <w:sz w:val="18"/>
                <w:szCs w:val="18"/>
              </w:rPr>
              <w:t>5,264,992,356.47</w:t>
            </w:r>
          </w:p>
        </w:tc>
      </w:tr>
      <w:tr w:rsidR="00DE4044" w:rsidRPr="002079DC" w:rsidTr="0027505B">
        <w:trPr>
          <w:trHeight w:val="20"/>
        </w:trPr>
        <w:tc>
          <w:tcPr>
            <w:tcW w:w="4392" w:type="dxa"/>
            <w:shd w:val="clear" w:color="auto" w:fill="D9D9D9"/>
            <w:vAlign w:val="center"/>
          </w:tcPr>
          <w:p w:rsidR="00DE4044" w:rsidRPr="002079DC" w:rsidRDefault="00DE4044" w:rsidP="00DE4044">
            <w:pPr>
              <w:rPr>
                <w:b/>
                <w:sz w:val="18"/>
                <w:szCs w:val="18"/>
              </w:rPr>
            </w:pPr>
            <w:r w:rsidRPr="002079DC">
              <w:rPr>
                <w:rFonts w:hint="eastAsia"/>
                <w:b/>
                <w:sz w:val="18"/>
                <w:szCs w:val="18"/>
              </w:rPr>
              <w:t>负债及股东权益合计</w:t>
            </w:r>
          </w:p>
        </w:tc>
        <w:tc>
          <w:tcPr>
            <w:tcW w:w="1686" w:type="dxa"/>
            <w:vAlign w:val="center"/>
          </w:tcPr>
          <w:p w:rsidR="00DE4044" w:rsidRPr="002079DC" w:rsidRDefault="00DE4044" w:rsidP="00075152">
            <w:pPr>
              <w:jc w:val="right"/>
              <w:rPr>
                <w:sz w:val="18"/>
                <w:szCs w:val="18"/>
              </w:rPr>
            </w:pPr>
            <w:r w:rsidRPr="002079DC">
              <w:rPr>
                <w:b/>
                <w:sz w:val="18"/>
                <w:szCs w:val="18"/>
              </w:rPr>
              <w:t>3,732,846,809.43</w:t>
            </w:r>
          </w:p>
        </w:tc>
        <w:tc>
          <w:tcPr>
            <w:tcW w:w="1686" w:type="dxa"/>
            <w:vAlign w:val="center"/>
          </w:tcPr>
          <w:p w:rsidR="00DE4044" w:rsidRPr="002079DC" w:rsidRDefault="00DE4044" w:rsidP="00DE4044">
            <w:pPr>
              <w:jc w:val="right"/>
              <w:rPr>
                <w:b/>
                <w:sz w:val="18"/>
                <w:szCs w:val="18"/>
              </w:rPr>
            </w:pPr>
            <w:r w:rsidRPr="002079DC">
              <w:rPr>
                <w:b/>
                <w:sz w:val="18"/>
                <w:szCs w:val="18"/>
              </w:rPr>
              <w:t>7,183,539,207.15</w:t>
            </w:r>
          </w:p>
        </w:tc>
        <w:tc>
          <w:tcPr>
            <w:tcW w:w="1686" w:type="dxa"/>
            <w:vAlign w:val="center"/>
          </w:tcPr>
          <w:p w:rsidR="00DE4044" w:rsidRPr="002079DC" w:rsidRDefault="00DE4044" w:rsidP="00DE4044">
            <w:pPr>
              <w:jc w:val="right"/>
              <w:rPr>
                <w:b/>
                <w:sz w:val="18"/>
                <w:szCs w:val="18"/>
              </w:rPr>
            </w:pPr>
            <w:r w:rsidRPr="002079DC">
              <w:rPr>
                <w:b/>
                <w:sz w:val="18"/>
                <w:szCs w:val="18"/>
              </w:rPr>
              <w:t>8,192,575,262.24</w:t>
            </w:r>
          </w:p>
        </w:tc>
      </w:tr>
    </w:tbl>
    <w:p w:rsidR="000D183C" w:rsidRPr="00075152" w:rsidRDefault="000D183C" w:rsidP="00075152">
      <w:pPr>
        <w:widowControl w:val="0"/>
        <w:rPr>
          <w:b/>
          <w:bCs/>
        </w:rPr>
      </w:pPr>
    </w:p>
    <w:sectPr w:rsidR="000D183C" w:rsidRPr="00075152" w:rsidSect="00125BBC">
      <w:headerReference w:type="default" r:id="rId33"/>
      <w:footerReference w:type="default" r:id="rId34"/>
      <w:pgSz w:w="11906" w:h="16838" w:code="9"/>
      <w:pgMar w:top="864" w:right="720" w:bottom="432" w:left="1008"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4C55" w:rsidRDefault="00C74C55" w:rsidP="00B0296D">
      <w:r>
        <w:separator/>
      </w:r>
    </w:p>
  </w:endnote>
  <w:endnote w:type="continuationSeparator" w:id="0">
    <w:p w:rsidR="00C74C55" w:rsidRDefault="00C74C55" w:rsidP="00B0296D">
      <w:r>
        <w:continuationSeparator/>
      </w:r>
    </w:p>
  </w:endnote>
  <w:endnote w:type="continuationNotice" w:id="1">
    <w:p w:rsidR="00C74C55" w:rsidRDefault="00C74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FZShuSong-Z01">
    <w:altName w:val="微软雅黑"/>
    <w:charset w:val="86"/>
    <w:family w:val="script"/>
    <w:pitch w:val="fixed"/>
    <w:sig w:usb0="00000001" w:usb1="080E0000" w:usb2="00000010" w:usb3="00000000" w:csb0="00040000" w:csb1="00000000"/>
  </w:font>
  <w:font w:name="FZKai-Z03">
    <w:altName w:val="Arial Unicode MS"/>
    <w:charset w:val="88"/>
    <w:family w:val="script"/>
    <w:pitch w:val="fixed"/>
    <w:sig w:usb0="00000001" w:usb1="080E0000" w:usb2="00000010" w:usb3="00000000" w:csb0="00140000"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e"/>
      <w:framePr w:wrap="around" w:vAnchor="text" w:hAnchor="margin" w:xAlign="center" w:y="1"/>
      <w:rPr>
        <w:rStyle w:val="aff6"/>
      </w:rPr>
    </w:pPr>
    <w:r>
      <w:rPr>
        <w:rStyle w:val="aff6"/>
      </w:rPr>
      <w:fldChar w:fldCharType="begin"/>
    </w:r>
    <w:r>
      <w:rPr>
        <w:rStyle w:val="aff6"/>
      </w:rPr>
      <w:instrText xml:space="preserve">PAGE  </w:instrText>
    </w:r>
    <w:r>
      <w:rPr>
        <w:rStyle w:val="aff6"/>
      </w:rPr>
      <w:fldChar w:fldCharType="end"/>
    </w:r>
  </w:p>
  <w:p w:rsidR="000D5D0C" w:rsidRDefault="000D5D0C">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Pr="005B7BFA" w:rsidRDefault="000D5D0C" w:rsidP="0027505B">
    <w:pPr>
      <w:pStyle w:val="ae"/>
      <w:tabs>
        <w:tab w:val="clear" w:pos="4320"/>
        <w:tab w:val="clear" w:pos="8640"/>
      </w:tabs>
      <w:jc w:val="center"/>
      <w:rPr>
        <w:rFonts w:eastAsia="宋体" w:cs="Times New Roman"/>
      </w:rPr>
    </w:pPr>
    <w:r>
      <w:rPr>
        <w:rStyle w:val="aff6"/>
        <w:rFonts w:hint="eastAsia"/>
        <w:szCs w:val="21"/>
      </w:rPr>
      <w:t>第</w:t>
    </w:r>
    <w:r w:rsidRPr="001E1FD2">
      <w:rPr>
        <w:rStyle w:val="aff6"/>
        <w:rFonts w:asciiTheme="majorHAnsi" w:hAnsiTheme="majorHAnsi" w:cstheme="majorHAnsi"/>
        <w:szCs w:val="21"/>
      </w:rPr>
      <w:fldChar w:fldCharType="begin"/>
    </w:r>
    <w:r w:rsidRPr="001E1FD2">
      <w:rPr>
        <w:rStyle w:val="aff6"/>
        <w:rFonts w:asciiTheme="majorHAnsi" w:hAnsiTheme="majorHAnsi" w:cstheme="majorHAnsi"/>
        <w:szCs w:val="21"/>
      </w:rPr>
      <w:instrText xml:space="preserve">PAGE  </w:instrText>
    </w:r>
    <w:r w:rsidRPr="001E1FD2">
      <w:rPr>
        <w:rStyle w:val="aff6"/>
        <w:rFonts w:asciiTheme="majorHAnsi" w:hAnsiTheme="majorHAnsi" w:cstheme="majorHAnsi"/>
        <w:szCs w:val="21"/>
      </w:rPr>
      <w:fldChar w:fldCharType="separate"/>
    </w:r>
    <w:r w:rsidR="00A151B5">
      <w:rPr>
        <w:rStyle w:val="aff6"/>
        <w:rFonts w:asciiTheme="majorHAnsi" w:hAnsiTheme="majorHAnsi" w:cstheme="majorHAnsi"/>
        <w:noProof/>
        <w:szCs w:val="21"/>
      </w:rPr>
      <w:t>81</w:t>
    </w:r>
    <w:r w:rsidRPr="001E1FD2">
      <w:rPr>
        <w:rStyle w:val="aff6"/>
        <w:rFonts w:asciiTheme="majorHAnsi" w:hAnsiTheme="majorHAnsi" w:cstheme="majorHAnsi"/>
        <w:szCs w:val="21"/>
      </w:rPr>
      <w:fldChar w:fldCharType="end"/>
    </w:r>
    <w:r>
      <w:rPr>
        <w:rStyle w:val="aff6"/>
        <w:rFonts w:hint="eastAsia"/>
        <w:szCs w:val="21"/>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e"/>
      <w:jc w:val="center"/>
      <w:rPr>
        <w:caps/>
        <w:noProof/>
        <w:color w:val="00A1DE" w:themeColor="accent1"/>
      </w:rPr>
    </w:pPr>
  </w:p>
  <w:p w:rsidR="000D5D0C" w:rsidRDefault="000D5D0C">
    <w:pPr>
      <w:pStyle w:val="a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Pr="00E768A5" w:rsidRDefault="000D5D0C" w:rsidP="00772FA1">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4C55" w:rsidRDefault="00C74C55" w:rsidP="00B0296D">
      <w:r>
        <w:separator/>
      </w:r>
    </w:p>
  </w:footnote>
  <w:footnote w:type="continuationSeparator" w:id="0">
    <w:p w:rsidR="00C74C55" w:rsidRDefault="00C74C55" w:rsidP="00B0296D">
      <w:r>
        <w:continuationSeparator/>
      </w:r>
    </w:p>
  </w:footnote>
  <w:footnote w:type="continuationNotice" w:id="1">
    <w:p w:rsidR="00C74C55" w:rsidRDefault="00C74C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c"/>
      <w:framePr w:wrap="around" w:vAnchor="text" w:hAnchor="margin" w:xAlign="right" w:y="1"/>
      <w:rPr>
        <w:rStyle w:val="aff6"/>
      </w:rPr>
    </w:pPr>
    <w:r>
      <w:rPr>
        <w:rStyle w:val="aff6"/>
      </w:rPr>
      <w:fldChar w:fldCharType="begin"/>
    </w:r>
    <w:r>
      <w:rPr>
        <w:rStyle w:val="aff6"/>
      </w:rPr>
      <w:instrText xml:space="preserve">PAGE  </w:instrText>
    </w:r>
    <w:r>
      <w:rPr>
        <w:rStyle w:val="aff6"/>
      </w:rPr>
      <w:fldChar w:fldCharType="end"/>
    </w:r>
  </w:p>
  <w:p w:rsidR="000D5D0C" w:rsidRDefault="000D5D0C">
    <w:pPr>
      <w:pStyle w:val="ac"/>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c"/>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915838" w:rsidTr="00C76406">
      <w:tc>
        <w:tcPr>
          <w:tcW w:w="9198" w:type="dxa"/>
        </w:tcPr>
        <w:p w:rsidR="00915838" w:rsidRPr="002D56DC" w:rsidRDefault="00915838" w:rsidP="002D56DC">
          <w:pPr>
            <w:ind w:left="-105"/>
            <w:rPr>
              <w:rFonts w:eastAsia="宋体" w:cs="Times New Roman"/>
              <w:szCs w:val="21"/>
              <w:u w:val="single"/>
            </w:rPr>
          </w:pPr>
          <w:r w:rsidRPr="002D56DC">
            <w:rPr>
              <w:rFonts w:eastAsia="宋体" w:cs="Times New Roman" w:hint="eastAsia"/>
              <w:szCs w:val="21"/>
              <w:u w:val="single"/>
            </w:rPr>
            <w:t>杭州萤石网络股份有限公司</w:t>
          </w:r>
        </w:p>
        <w:p w:rsidR="00915838" w:rsidRPr="002D56DC" w:rsidRDefault="00915838" w:rsidP="002D56DC">
          <w:pPr>
            <w:rPr>
              <w:szCs w:val="21"/>
            </w:rPr>
          </w:pPr>
        </w:p>
      </w:tc>
    </w:tr>
  </w:tbl>
  <w:p w:rsidR="000D5D0C" w:rsidRPr="004E6FDF" w:rsidRDefault="000D5D0C" w:rsidP="009D1DBF">
    <w:pPr>
      <w:rPr>
        <w:rFonts w:cs="Times New Roman"/>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c"/>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c"/>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915838" w:rsidTr="00C76406">
      <w:tc>
        <w:tcPr>
          <w:tcW w:w="9198" w:type="dxa"/>
        </w:tcPr>
        <w:p w:rsidR="00915838" w:rsidRPr="002D56DC" w:rsidRDefault="00915838" w:rsidP="002D56DC">
          <w:pPr>
            <w:ind w:left="-105"/>
            <w:rPr>
              <w:rFonts w:eastAsia="宋体" w:cs="Times New Roman"/>
              <w:szCs w:val="21"/>
              <w:u w:val="single"/>
            </w:rPr>
          </w:pPr>
          <w:r w:rsidRPr="002D56DC">
            <w:rPr>
              <w:rFonts w:eastAsia="宋体" w:cs="Times New Roman" w:hint="eastAsia"/>
              <w:szCs w:val="21"/>
              <w:u w:val="single"/>
            </w:rPr>
            <w:t>杭州萤石网络股份有限公司</w:t>
          </w:r>
        </w:p>
        <w:p w:rsidR="00915838" w:rsidRPr="002D56DC" w:rsidRDefault="00915838" w:rsidP="002D56DC">
          <w:pPr>
            <w:rPr>
              <w:szCs w:val="21"/>
            </w:rPr>
          </w:pPr>
        </w:p>
      </w:tc>
    </w:tr>
  </w:tbl>
  <w:p w:rsidR="000D5D0C" w:rsidRPr="004E6FDF" w:rsidRDefault="000D5D0C">
    <w:pPr>
      <w:rPr>
        <w:rFonts w:cs="Times New Roman"/>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c"/>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915838" w:rsidTr="00C76406">
      <w:tc>
        <w:tcPr>
          <w:tcW w:w="9198" w:type="dxa"/>
        </w:tcPr>
        <w:p w:rsidR="00915838" w:rsidRPr="002D56DC" w:rsidRDefault="00915838" w:rsidP="002D56DC">
          <w:pPr>
            <w:ind w:left="-105"/>
            <w:rPr>
              <w:rFonts w:eastAsia="宋体" w:cs="Times New Roman"/>
              <w:szCs w:val="21"/>
              <w:u w:val="single"/>
            </w:rPr>
          </w:pPr>
          <w:r w:rsidRPr="002D56DC">
            <w:rPr>
              <w:rFonts w:eastAsia="宋体" w:cs="Times New Roman" w:hint="eastAsia"/>
              <w:szCs w:val="21"/>
              <w:u w:val="single"/>
            </w:rPr>
            <w:t>杭州萤石网络股份有限公司</w:t>
          </w:r>
        </w:p>
        <w:p w:rsidR="00915838" w:rsidRPr="002D56DC" w:rsidRDefault="00915838" w:rsidP="002D56DC">
          <w:pPr>
            <w:rPr>
              <w:szCs w:val="21"/>
            </w:rPr>
          </w:pPr>
        </w:p>
      </w:tc>
    </w:tr>
  </w:tbl>
  <w:p w:rsidR="000D5D0C" w:rsidRPr="000557C6" w:rsidRDefault="000D5D0C" w:rsidP="000557C6">
    <w:pPr>
      <w:pStyle w:val="ac"/>
      <w:tabs>
        <w:tab w:val="clear" w:pos="4320"/>
        <w:tab w:val="clear" w:pos="8640"/>
      </w:tabs>
      <w:rPr>
        <w:rFonts w:eastAsia="宋体" w:cs="Times New Roman"/>
        <w:szCs w:val="21"/>
      </w:rPr>
    </w:pPr>
  </w:p>
  <w:p w:rsidR="000D5D0C" w:rsidRPr="000557C6" w:rsidRDefault="000D5D0C" w:rsidP="00AE2722">
    <w:pPr>
      <w:pStyle w:val="ac"/>
      <w:rPr>
        <w:rFonts w:eastAsia="宋体" w:cs="Times New Roman"/>
        <w:szCs w:val="21"/>
      </w:rPr>
    </w:pPr>
    <w:r w:rsidRPr="000557C6">
      <w:rPr>
        <w:rFonts w:eastAsia="宋体" w:cs="Times New Roman" w:hint="eastAsia"/>
        <w:szCs w:val="21"/>
      </w:rPr>
      <w:t>财务报表附注</w:t>
    </w:r>
  </w:p>
  <w:p w:rsidR="000D5D0C" w:rsidRPr="0081727A" w:rsidRDefault="000D5D0C" w:rsidP="00CA3BDB">
    <w:pPr>
      <w:tabs>
        <w:tab w:val="right" w:pos="15534"/>
      </w:tabs>
      <w:rPr>
        <w:rFonts w:eastAsia="宋体" w:cs="Times New Roman"/>
        <w:kern w:val="2"/>
        <w:szCs w:val="21"/>
        <w:u w:val="single"/>
      </w:rPr>
    </w:pPr>
    <w:r>
      <w:rPr>
        <w:rFonts w:eastAsia="宋体" w:cs="Times New Roman"/>
        <w:kern w:val="2"/>
        <w:szCs w:val="21"/>
        <w:u w:val="single"/>
      </w:rPr>
      <w:t>2023</w:t>
    </w:r>
    <w:r>
      <w:rPr>
        <w:rFonts w:eastAsia="宋体" w:cs="Times New Roman"/>
        <w:kern w:val="2"/>
        <w:szCs w:val="21"/>
        <w:u w:val="single"/>
      </w:rPr>
      <w:t>年</w:t>
    </w:r>
    <w:r>
      <w:rPr>
        <w:rFonts w:eastAsia="宋体" w:cs="Times New Roman"/>
        <w:kern w:val="2"/>
        <w:szCs w:val="21"/>
        <w:u w:val="single"/>
      </w:rPr>
      <w:t>12</w:t>
    </w:r>
    <w:r>
      <w:rPr>
        <w:rFonts w:eastAsia="宋体" w:cs="Times New Roman"/>
        <w:kern w:val="2"/>
        <w:szCs w:val="21"/>
        <w:u w:val="single"/>
      </w:rPr>
      <w:t>月</w:t>
    </w:r>
    <w:r>
      <w:rPr>
        <w:rFonts w:eastAsia="宋体" w:cs="Times New Roman"/>
        <w:kern w:val="2"/>
        <w:szCs w:val="21"/>
        <w:u w:val="single"/>
      </w:rPr>
      <w:t>31</w:t>
    </w:r>
    <w:r>
      <w:rPr>
        <w:rFonts w:eastAsia="宋体" w:cs="Times New Roman"/>
        <w:kern w:val="2"/>
        <w:szCs w:val="21"/>
        <w:u w:val="single"/>
      </w:rPr>
      <w:t>日</w:t>
    </w:r>
    <w:proofErr w:type="gramStart"/>
    <w:r>
      <w:rPr>
        <w:rFonts w:eastAsia="宋体" w:cs="Times New Roman"/>
        <w:kern w:val="2"/>
        <w:szCs w:val="21"/>
        <w:u w:val="single"/>
      </w:rPr>
      <w:t>止</w:t>
    </w:r>
    <w:proofErr w:type="gramEnd"/>
    <w:r>
      <w:rPr>
        <w:rFonts w:eastAsia="宋体" w:cs="Times New Roman"/>
        <w:kern w:val="2"/>
        <w:szCs w:val="21"/>
        <w:u w:val="single"/>
      </w:rPr>
      <w:t>年度</w:t>
    </w:r>
    <w:r w:rsidRPr="0081727A">
      <w:rPr>
        <w:rFonts w:eastAsia="宋体" w:cs="Times New Roman" w:hint="eastAsia"/>
        <w:kern w:val="2"/>
        <w:szCs w:val="21"/>
        <w:u w:val="single"/>
      </w:rPr>
      <w:tab/>
    </w:r>
  </w:p>
  <w:p w:rsidR="000D5D0C" w:rsidRDefault="000D5D0C" w:rsidP="00E768A5">
    <w:pPr>
      <w:pStyle w:val="ac"/>
      <w:tabs>
        <w:tab w:val="clear" w:pos="4320"/>
        <w:tab w:val="clear" w:pos="8640"/>
      </w:tabs>
      <w:rPr>
        <w:rFonts w:eastAsia="宋体" w:cs="Times New Roman"/>
        <w:szCs w:val="21"/>
      </w:rPr>
    </w:pPr>
  </w:p>
  <w:p w:rsidR="000D5D0C" w:rsidRPr="000557C6" w:rsidRDefault="000D5D0C" w:rsidP="00E768A5">
    <w:pPr>
      <w:pStyle w:val="ac"/>
      <w:tabs>
        <w:tab w:val="clear" w:pos="4320"/>
        <w:tab w:val="clear" w:pos="8640"/>
      </w:tabs>
      <w:rPr>
        <w:rFonts w:eastAsia="宋体" w:cs="Times New Roman"/>
        <w:szCs w:val="21"/>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D12D8A" w:rsidTr="00C76406">
      <w:tc>
        <w:tcPr>
          <w:tcW w:w="9198" w:type="dxa"/>
        </w:tcPr>
        <w:p w:rsidR="00D12D8A" w:rsidRPr="002D56DC" w:rsidRDefault="00D12D8A" w:rsidP="00EB4C1B">
          <w:pPr>
            <w:ind w:left="-105"/>
            <w:rPr>
              <w:rFonts w:eastAsia="宋体" w:cs="Times New Roman"/>
              <w:szCs w:val="21"/>
              <w:u w:val="single"/>
            </w:rPr>
          </w:pPr>
          <w:r w:rsidRPr="002D56DC">
            <w:rPr>
              <w:rFonts w:eastAsia="宋体" w:cs="Times New Roman" w:hint="eastAsia"/>
              <w:szCs w:val="21"/>
              <w:u w:val="single"/>
            </w:rPr>
            <w:t>杭州萤石网络股份有限公司</w:t>
          </w:r>
        </w:p>
        <w:p w:rsidR="00D12D8A" w:rsidRPr="002D56DC" w:rsidRDefault="00D12D8A" w:rsidP="00EB4C1B">
          <w:pPr>
            <w:rPr>
              <w:szCs w:val="21"/>
            </w:rPr>
          </w:pPr>
        </w:p>
      </w:tc>
    </w:tr>
  </w:tbl>
  <w:p w:rsidR="000D5D0C" w:rsidRPr="000557C6" w:rsidRDefault="000D5D0C" w:rsidP="000557C6">
    <w:pPr>
      <w:pStyle w:val="ac"/>
      <w:tabs>
        <w:tab w:val="clear" w:pos="4320"/>
        <w:tab w:val="clear" w:pos="8640"/>
      </w:tabs>
      <w:rPr>
        <w:rFonts w:eastAsia="宋体" w:cs="Times New Roman"/>
        <w:szCs w:val="21"/>
      </w:rPr>
    </w:pPr>
  </w:p>
  <w:p w:rsidR="000D5D0C" w:rsidRPr="000557C6" w:rsidRDefault="000D5D0C" w:rsidP="00AE2722">
    <w:pPr>
      <w:pStyle w:val="ac"/>
      <w:rPr>
        <w:rFonts w:eastAsia="宋体" w:cs="Times New Roman"/>
        <w:szCs w:val="21"/>
      </w:rPr>
    </w:pPr>
    <w:r w:rsidRPr="000557C6">
      <w:rPr>
        <w:rFonts w:eastAsia="宋体" w:cs="Times New Roman" w:hint="eastAsia"/>
        <w:szCs w:val="21"/>
      </w:rPr>
      <w:t>财务报表附注</w:t>
    </w:r>
  </w:p>
  <w:p w:rsidR="000D5D0C" w:rsidRPr="0081727A" w:rsidRDefault="000D5D0C" w:rsidP="00CA3BDB">
    <w:pPr>
      <w:tabs>
        <w:tab w:val="right" w:pos="15534"/>
      </w:tabs>
      <w:rPr>
        <w:rFonts w:eastAsia="宋体" w:cs="Times New Roman"/>
        <w:kern w:val="2"/>
        <w:szCs w:val="21"/>
        <w:u w:val="single"/>
      </w:rPr>
    </w:pPr>
    <w:r>
      <w:rPr>
        <w:rFonts w:eastAsia="宋体" w:cs="Times New Roman"/>
        <w:kern w:val="2"/>
        <w:szCs w:val="21"/>
        <w:u w:val="single"/>
      </w:rPr>
      <w:t>2023</w:t>
    </w:r>
    <w:r>
      <w:rPr>
        <w:rFonts w:eastAsia="宋体" w:cs="Times New Roman"/>
        <w:kern w:val="2"/>
        <w:szCs w:val="21"/>
        <w:u w:val="single"/>
      </w:rPr>
      <w:t>年</w:t>
    </w:r>
    <w:r>
      <w:rPr>
        <w:rFonts w:eastAsia="宋体" w:cs="Times New Roman"/>
        <w:kern w:val="2"/>
        <w:szCs w:val="21"/>
        <w:u w:val="single"/>
      </w:rPr>
      <w:t>12</w:t>
    </w:r>
    <w:r>
      <w:rPr>
        <w:rFonts w:eastAsia="宋体" w:cs="Times New Roman"/>
        <w:kern w:val="2"/>
        <w:szCs w:val="21"/>
        <w:u w:val="single"/>
      </w:rPr>
      <w:t>月</w:t>
    </w:r>
    <w:r>
      <w:rPr>
        <w:rFonts w:eastAsia="宋体" w:cs="Times New Roman"/>
        <w:kern w:val="2"/>
        <w:szCs w:val="21"/>
        <w:u w:val="single"/>
      </w:rPr>
      <w:t>31</w:t>
    </w:r>
    <w:r>
      <w:rPr>
        <w:rFonts w:eastAsia="宋体" w:cs="Times New Roman"/>
        <w:kern w:val="2"/>
        <w:szCs w:val="21"/>
        <w:u w:val="single"/>
      </w:rPr>
      <w:t>日</w:t>
    </w:r>
    <w:proofErr w:type="gramStart"/>
    <w:r>
      <w:rPr>
        <w:rFonts w:eastAsia="宋体" w:cs="Times New Roman"/>
        <w:kern w:val="2"/>
        <w:szCs w:val="21"/>
        <w:u w:val="single"/>
      </w:rPr>
      <w:t>止</w:t>
    </w:r>
    <w:proofErr w:type="gramEnd"/>
    <w:r>
      <w:rPr>
        <w:rFonts w:eastAsia="宋体" w:cs="Times New Roman"/>
        <w:kern w:val="2"/>
        <w:szCs w:val="21"/>
        <w:u w:val="single"/>
      </w:rPr>
      <w:t>年度</w:t>
    </w:r>
    <w:r w:rsidRPr="0081727A">
      <w:rPr>
        <w:rFonts w:eastAsia="宋体" w:cs="Times New Roman" w:hint="eastAsia"/>
        <w:kern w:val="2"/>
        <w:szCs w:val="21"/>
        <w:u w:val="single"/>
      </w:rPr>
      <w:tab/>
    </w:r>
  </w:p>
  <w:p w:rsidR="000D5D0C" w:rsidRDefault="000D5D0C" w:rsidP="00E768A5">
    <w:pPr>
      <w:pStyle w:val="ac"/>
      <w:tabs>
        <w:tab w:val="clear" w:pos="4320"/>
        <w:tab w:val="clear" w:pos="8640"/>
      </w:tabs>
      <w:rPr>
        <w:rFonts w:eastAsia="宋体" w:cs="Times New Roman"/>
        <w:szCs w:val="21"/>
      </w:rPr>
    </w:pPr>
  </w:p>
  <w:p w:rsidR="000D5D0C" w:rsidRPr="000557C6" w:rsidRDefault="000D5D0C" w:rsidP="00E768A5">
    <w:pPr>
      <w:pStyle w:val="ac"/>
      <w:tabs>
        <w:tab w:val="clear" w:pos="4320"/>
        <w:tab w:val="clear" w:pos="8640"/>
      </w:tabs>
      <w:rPr>
        <w:rFonts w:eastAsia="宋体" w:cs="Times New Roman"/>
        <w:szCs w:val="21"/>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D12D8A" w:rsidTr="00C76406">
      <w:tc>
        <w:tcPr>
          <w:tcW w:w="9198" w:type="dxa"/>
        </w:tcPr>
        <w:p w:rsidR="00D12D8A" w:rsidRPr="002D56DC" w:rsidRDefault="00D12D8A" w:rsidP="00C73DBE">
          <w:pPr>
            <w:ind w:left="-105"/>
            <w:rPr>
              <w:rFonts w:eastAsia="宋体" w:cs="Times New Roman"/>
              <w:szCs w:val="21"/>
              <w:u w:val="single"/>
            </w:rPr>
          </w:pPr>
          <w:r w:rsidRPr="002D56DC">
            <w:rPr>
              <w:rFonts w:eastAsia="宋体" w:cs="Times New Roman" w:hint="eastAsia"/>
              <w:szCs w:val="21"/>
              <w:u w:val="single"/>
            </w:rPr>
            <w:t>杭州萤石网络股份有限公司</w:t>
          </w:r>
        </w:p>
        <w:p w:rsidR="00D12D8A" w:rsidRPr="002D56DC" w:rsidRDefault="00D12D8A" w:rsidP="00C73DBE">
          <w:pPr>
            <w:rPr>
              <w:szCs w:val="21"/>
            </w:rPr>
          </w:pPr>
        </w:p>
      </w:tc>
    </w:tr>
  </w:tbl>
  <w:p w:rsidR="000D5D0C" w:rsidRPr="000557C6" w:rsidRDefault="000D5D0C" w:rsidP="000557C6">
    <w:pPr>
      <w:pStyle w:val="ac"/>
      <w:tabs>
        <w:tab w:val="clear" w:pos="4320"/>
        <w:tab w:val="clear" w:pos="8640"/>
      </w:tabs>
      <w:rPr>
        <w:rFonts w:eastAsia="宋体" w:cs="Times New Roman"/>
        <w:szCs w:val="21"/>
      </w:rPr>
    </w:pPr>
  </w:p>
  <w:p w:rsidR="000D5D0C" w:rsidRPr="000557C6" w:rsidRDefault="000D5D0C" w:rsidP="00AE2722">
    <w:pPr>
      <w:pStyle w:val="ac"/>
      <w:rPr>
        <w:rFonts w:eastAsia="宋体" w:cs="Times New Roman"/>
        <w:szCs w:val="21"/>
      </w:rPr>
    </w:pPr>
    <w:r w:rsidRPr="000557C6">
      <w:rPr>
        <w:rFonts w:eastAsia="宋体" w:cs="Times New Roman" w:hint="eastAsia"/>
        <w:szCs w:val="21"/>
      </w:rPr>
      <w:t>财务报表附注</w:t>
    </w:r>
  </w:p>
  <w:p w:rsidR="000D5D0C" w:rsidRPr="0081727A" w:rsidRDefault="000D5D0C" w:rsidP="000F21C9">
    <w:pPr>
      <w:tabs>
        <w:tab w:val="right" w:pos="15543"/>
      </w:tabs>
      <w:rPr>
        <w:rFonts w:eastAsia="宋体" w:cs="Times New Roman"/>
        <w:kern w:val="2"/>
        <w:szCs w:val="21"/>
        <w:u w:val="single"/>
      </w:rPr>
    </w:pPr>
    <w:r>
      <w:rPr>
        <w:rFonts w:eastAsia="宋体" w:cs="Times New Roman"/>
        <w:kern w:val="2"/>
        <w:szCs w:val="21"/>
        <w:u w:val="single"/>
      </w:rPr>
      <w:t>2023</w:t>
    </w:r>
    <w:r>
      <w:rPr>
        <w:rFonts w:eastAsia="宋体" w:cs="Times New Roman" w:hint="eastAsia"/>
        <w:kern w:val="2"/>
        <w:szCs w:val="21"/>
        <w:u w:val="single"/>
      </w:rPr>
      <w:t>年</w:t>
    </w:r>
    <w:r>
      <w:rPr>
        <w:rFonts w:eastAsia="宋体" w:cs="Times New Roman" w:hint="eastAsia"/>
        <w:kern w:val="2"/>
        <w:szCs w:val="21"/>
        <w:u w:val="single"/>
      </w:rPr>
      <w:t>1</w:t>
    </w:r>
    <w:r>
      <w:rPr>
        <w:rFonts w:eastAsia="宋体" w:cs="Times New Roman"/>
        <w:kern w:val="2"/>
        <w:szCs w:val="21"/>
        <w:u w:val="single"/>
      </w:rPr>
      <w:t>2</w:t>
    </w:r>
    <w:r>
      <w:rPr>
        <w:rFonts w:eastAsia="宋体" w:cs="Times New Roman" w:hint="eastAsia"/>
        <w:kern w:val="2"/>
        <w:szCs w:val="21"/>
        <w:u w:val="single"/>
      </w:rPr>
      <w:t>月</w:t>
    </w:r>
    <w:r>
      <w:rPr>
        <w:rFonts w:eastAsia="宋体" w:cs="Times New Roman" w:hint="eastAsia"/>
        <w:kern w:val="2"/>
        <w:szCs w:val="21"/>
        <w:u w:val="single"/>
      </w:rPr>
      <w:t>3</w:t>
    </w:r>
    <w:r>
      <w:rPr>
        <w:rFonts w:eastAsia="宋体" w:cs="Times New Roman"/>
        <w:kern w:val="2"/>
        <w:szCs w:val="21"/>
        <w:u w:val="single"/>
      </w:rPr>
      <w:t>1</w:t>
    </w:r>
    <w:r>
      <w:rPr>
        <w:rFonts w:eastAsia="宋体" w:cs="Times New Roman" w:hint="eastAsia"/>
        <w:kern w:val="2"/>
        <w:szCs w:val="21"/>
        <w:u w:val="single"/>
      </w:rPr>
      <w:t>日</w:t>
    </w:r>
    <w:proofErr w:type="gramStart"/>
    <w:r>
      <w:rPr>
        <w:rFonts w:eastAsia="宋体" w:cs="Times New Roman" w:hint="eastAsia"/>
        <w:kern w:val="2"/>
        <w:szCs w:val="21"/>
        <w:u w:val="single"/>
      </w:rPr>
      <w:t>止</w:t>
    </w:r>
    <w:proofErr w:type="gramEnd"/>
    <w:r>
      <w:rPr>
        <w:rFonts w:eastAsia="宋体" w:cs="Times New Roman" w:hint="eastAsia"/>
        <w:kern w:val="2"/>
        <w:szCs w:val="21"/>
        <w:u w:val="single"/>
      </w:rPr>
      <w:t>年度</w:t>
    </w:r>
    <w:r w:rsidRPr="0081727A">
      <w:rPr>
        <w:rFonts w:eastAsia="宋体" w:cs="Times New Roman" w:hint="eastAsia"/>
        <w:kern w:val="2"/>
        <w:szCs w:val="21"/>
        <w:u w:val="single"/>
      </w:rPr>
      <w:tab/>
    </w:r>
  </w:p>
  <w:p w:rsidR="000D5D0C" w:rsidRDefault="000D5D0C" w:rsidP="00E768A5">
    <w:pPr>
      <w:pStyle w:val="ac"/>
      <w:tabs>
        <w:tab w:val="clear" w:pos="4320"/>
        <w:tab w:val="clear" w:pos="8640"/>
      </w:tabs>
      <w:rPr>
        <w:rFonts w:eastAsia="宋体" w:cs="Times New Roman"/>
        <w:szCs w:val="21"/>
      </w:rPr>
    </w:pPr>
  </w:p>
  <w:p w:rsidR="000D5D0C" w:rsidRPr="000557C6" w:rsidRDefault="000D5D0C" w:rsidP="00E768A5">
    <w:pPr>
      <w:pStyle w:val="ac"/>
      <w:tabs>
        <w:tab w:val="clear" w:pos="4320"/>
        <w:tab w:val="clear" w:pos="8640"/>
      </w:tabs>
      <w:rPr>
        <w:rFonts w:eastAsia="宋体" w:cs="Times New Roman"/>
        <w:szCs w:val="21"/>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D12D8A" w:rsidTr="00C76406">
      <w:tc>
        <w:tcPr>
          <w:tcW w:w="9198" w:type="dxa"/>
        </w:tcPr>
        <w:p w:rsidR="00D12D8A" w:rsidRPr="002D56DC" w:rsidRDefault="00D12D8A" w:rsidP="00C73DBE">
          <w:pPr>
            <w:ind w:left="-105"/>
            <w:rPr>
              <w:rFonts w:eastAsia="宋体" w:cs="Times New Roman"/>
              <w:szCs w:val="21"/>
              <w:u w:val="single"/>
            </w:rPr>
          </w:pPr>
          <w:r w:rsidRPr="002D56DC">
            <w:rPr>
              <w:rFonts w:eastAsia="宋体" w:cs="Times New Roman" w:hint="eastAsia"/>
              <w:szCs w:val="21"/>
              <w:u w:val="single"/>
            </w:rPr>
            <w:t>杭州萤石网络股份有限公司</w:t>
          </w:r>
        </w:p>
        <w:p w:rsidR="00D12D8A" w:rsidRPr="002D56DC" w:rsidRDefault="00D12D8A" w:rsidP="00C73DBE">
          <w:pPr>
            <w:rPr>
              <w:szCs w:val="21"/>
            </w:rPr>
          </w:pPr>
        </w:p>
      </w:tc>
    </w:tr>
  </w:tbl>
  <w:p w:rsidR="000D5D0C" w:rsidRPr="000557C6" w:rsidRDefault="000D5D0C" w:rsidP="00E768A5">
    <w:pPr>
      <w:pStyle w:val="ac"/>
      <w:tabs>
        <w:tab w:val="clear" w:pos="4320"/>
        <w:tab w:val="clear" w:pos="8640"/>
      </w:tabs>
      <w:rPr>
        <w:rFonts w:eastAsia="宋体" w:cs="Times New Roman"/>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915838" w:rsidTr="00E456AF">
      <w:tc>
        <w:tcPr>
          <w:tcW w:w="9198" w:type="dxa"/>
        </w:tcPr>
        <w:p w:rsidR="00915838" w:rsidRDefault="00915838" w:rsidP="002D56DC">
          <w:pPr>
            <w:rPr>
              <w:sz w:val="16"/>
            </w:rPr>
          </w:pPr>
        </w:p>
      </w:tc>
    </w:tr>
  </w:tbl>
  <w:p w:rsidR="000D5D0C" w:rsidRPr="00D57BAF" w:rsidRDefault="000D5D0C" w:rsidP="002D56DC">
    <w:pPr>
      <w:pStyle w:val="ac"/>
      <w:rPr>
        <w:rFonts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9198"/>
      <w:gridCol w:w="1198"/>
    </w:tblGrid>
    <w:tr w:rsidR="000D5D0C">
      <w:tc>
        <w:tcPr>
          <w:tcW w:w="9198" w:type="dxa"/>
        </w:tcPr>
        <w:p w:rsidR="000D5D0C" w:rsidRDefault="000D5D0C">
          <w:pPr>
            <w:rPr>
              <w:sz w:val="16"/>
            </w:rPr>
          </w:pPr>
        </w:p>
      </w:tc>
      <w:tc>
        <w:tcPr>
          <w:tcW w:w="1198" w:type="dxa"/>
          <w:hideMark/>
        </w:tcPr>
        <w:p w:rsidR="000D5D0C" w:rsidRDefault="000D5D0C">
          <w:pPr>
            <w:pBdr>
              <w:top w:val="double" w:sz="6" w:space="1" w:color="auto"/>
              <w:left w:val="double" w:sz="6" w:space="1" w:color="auto"/>
              <w:bottom w:val="double" w:sz="6" w:space="1" w:color="auto"/>
              <w:right w:val="double" w:sz="6" w:space="1" w:color="auto"/>
            </w:pBdr>
            <w:jc w:val="center"/>
            <w:rPr>
              <w:rFonts w:eastAsia="FZShuSong-Z01"/>
              <w:b/>
              <w:i/>
              <w:sz w:val="16"/>
              <w:lang w:eastAsia="zh-TW"/>
            </w:rPr>
          </w:pPr>
          <w:r>
            <w:rPr>
              <w:rFonts w:eastAsia="FZShuSong-Z01" w:hint="eastAsia"/>
              <w:b/>
              <w:i/>
              <w:lang w:eastAsia="zh-TW"/>
            </w:rPr>
            <w:t>中文草稿</w:t>
          </w:r>
        </w:p>
      </w:tc>
    </w:tr>
  </w:tbl>
  <w:p w:rsidR="000D5D0C" w:rsidRDefault="000D5D0C">
    <w:pPr>
      <w:rPr>
        <w:rFonts w:eastAsia="FZKai-Z0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c"/>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915838" w:rsidTr="00C76406">
      <w:tc>
        <w:tcPr>
          <w:tcW w:w="9198" w:type="dxa"/>
        </w:tcPr>
        <w:p w:rsidR="00915838" w:rsidRPr="002D56DC" w:rsidRDefault="00915838" w:rsidP="002D56DC">
          <w:pPr>
            <w:ind w:left="-105"/>
            <w:rPr>
              <w:rFonts w:eastAsia="宋体" w:cs="Times New Roman"/>
              <w:szCs w:val="21"/>
              <w:u w:val="single"/>
            </w:rPr>
          </w:pPr>
          <w:r w:rsidRPr="002D56DC">
            <w:rPr>
              <w:rFonts w:eastAsia="宋体" w:cs="Times New Roman" w:hint="eastAsia"/>
              <w:szCs w:val="21"/>
              <w:u w:val="single"/>
            </w:rPr>
            <w:t>杭州萤石网络股份有限公司</w:t>
          </w:r>
        </w:p>
        <w:p w:rsidR="00915838" w:rsidRPr="002D56DC" w:rsidRDefault="00915838">
          <w:pPr>
            <w:rPr>
              <w:szCs w:val="21"/>
            </w:rPr>
          </w:pPr>
        </w:p>
      </w:tc>
    </w:tr>
  </w:tbl>
  <w:p w:rsidR="000D5D0C" w:rsidRPr="003B7A60" w:rsidRDefault="000D5D0C" w:rsidP="006F3692">
    <w:pPr>
      <w:rPr>
        <w:rFonts w:eastAsia="FZKai-Z03" w:cs="Times New Roman"/>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9198"/>
      <w:gridCol w:w="1198"/>
    </w:tblGrid>
    <w:tr w:rsidR="000D5D0C">
      <w:tc>
        <w:tcPr>
          <w:tcW w:w="9198" w:type="dxa"/>
        </w:tcPr>
        <w:p w:rsidR="000D5D0C" w:rsidRDefault="000D5D0C">
          <w:pPr>
            <w:rPr>
              <w:rFonts w:eastAsia="FZKai-Z03"/>
            </w:rPr>
          </w:pPr>
          <w:proofErr w:type="gramStart"/>
          <w:r>
            <w:rPr>
              <w:rFonts w:hint="eastAsia"/>
              <w:u w:val="single"/>
            </w:rPr>
            <w:t>环旭电子</w:t>
          </w:r>
          <w:proofErr w:type="gramEnd"/>
          <w:r>
            <w:rPr>
              <w:rFonts w:hint="eastAsia"/>
              <w:u w:val="single"/>
            </w:rPr>
            <w:t>股份</w:t>
          </w:r>
          <w:r>
            <w:rPr>
              <w:rFonts w:ascii="宋体" w:hint="eastAsia"/>
              <w:snapToGrid w:val="0"/>
              <w:u w:val="single"/>
            </w:rPr>
            <w:t>有限公司</w:t>
          </w:r>
        </w:p>
        <w:p w:rsidR="000D5D0C" w:rsidRDefault="000D5D0C">
          <w:pPr>
            <w:rPr>
              <w:sz w:val="16"/>
            </w:rPr>
          </w:pPr>
        </w:p>
      </w:tc>
      <w:tc>
        <w:tcPr>
          <w:tcW w:w="1198" w:type="dxa"/>
          <w:hideMark/>
        </w:tcPr>
        <w:p w:rsidR="000D5D0C" w:rsidRDefault="000D5D0C">
          <w:pPr>
            <w:pBdr>
              <w:top w:val="double" w:sz="6" w:space="1" w:color="auto"/>
              <w:left w:val="double" w:sz="6" w:space="1" w:color="auto"/>
              <w:bottom w:val="double" w:sz="6" w:space="1" w:color="auto"/>
              <w:right w:val="double" w:sz="6" w:space="1" w:color="auto"/>
            </w:pBdr>
            <w:jc w:val="center"/>
            <w:rPr>
              <w:rFonts w:eastAsia="FZShuSong-Z01"/>
              <w:b/>
              <w:i/>
              <w:sz w:val="16"/>
              <w:lang w:eastAsia="zh-TW"/>
            </w:rPr>
          </w:pPr>
          <w:r>
            <w:rPr>
              <w:rFonts w:eastAsia="FZShuSong-Z01" w:hint="eastAsia"/>
              <w:b/>
              <w:i/>
              <w:lang w:eastAsia="zh-TW"/>
            </w:rPr>
            <w:t>中文草稿</w:t>
          </w:r>
        </w:p>
      </w:tc>
    </w:tr>
  </w:tbl>
  <w:p w:rsidR="000D5D0C" w:rsidRDefault="000D5D0C">
    <w:pPr>
      <w:rPr>
        <w:rFonts w:eastAsia="FZKai-Z03"/>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c"/>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915838" w:rsidTr="00C76406">
      <w:tc>
        <w:tcPr>
          <w:tcW w:w="9198" w:type="dxa"/>
        </w:tcPr>
        <w:p w:rsidR="00915838" w:rsidRPr="002D56DC" w:rsidRDefault="00915838" w:rsidP="002D56DC">
          <w:pPr>
            <w:ind w:left="-105"/>
            <w:rPr>
              <w:szCs w:val="21"/>
            </w:rPr>
          </w:pPr>
        </w:p>
      </w:tc>
    </w:tr>
  </w:tbl>
  <w:p w:rsidR="000D5D0C" w:rsidRPr="0027505B" w:rsidRDefault="000D5D0C">
    <w:pPr>
      <w:pStyle w:val="ac"/>
      <w:rPr>
        <w:rFonts w:cs="Times New Roman"/>
        <w:szCs w:val="21"/>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D0C" w:rsidRDefault="000D5D0C">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F1B"/>
    <w:multiLevelType w:val="hybridMultilevel"/>
    <w:tmpl w:val="6EA88234"/>
    <w:lvl w:ilvl="0" w:tplc="04090001">
      <w:start w:val="1"/>
      <w:numFmt w:val="bullet"/>
      <w:lvlText w:val=""/>
      <w:lvlJc w:val="left"/>
      <w:pPr>
        <w:ind w:left="720" w:hanging="360"/>
      </w:pPr>
      <w:rPr>
        <w:rFonts w:ascii="Symbol" w:hAnsi="Symbol" w:hint="default"/>
      </w:rPr>
    </w:lvl>
    <w:lvl w:ilvl="1" w:tplc="6C9CFE0E">
      <w:numFmt w:val="bullet"/>
      <w:lvlText w:val="•"/>
      <w:lvlJc w:val="left"/>
      <w:pPr>
        <w:ind w:left="1785" w:hanging="705"/>
      </w:pPr>
      <w:rPr>
        <w:rFonts w:ascii="Times New Roman" w:eastAsia="宋体"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E7406"/>
    <w:multiLevelType w:val="hybridMultilevel"/>
    <w:tmpl w:val="E514C7CC"/>
    <w:lvl w:ilvl="0" w:tplc="A31CF6BA">
      <w:start w:val="1"/>
      <w:numFmt w:val="decimal"/>
      <w:lvlText w:val="(%1)"/>
      <w:lvlJc w:val="left"/>
      <w:pPr>
        <w:ind w:left="836" w:hanging="360"/>
      </w:pPr>
      <w:rPr>
        <w:rFonts w:hint="default"/>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15:restartNumberingAfterBreak="0">
    <w:nsid w:val="0ACC6224"/>
    <w:multiLevelType w:val="hybridMultilevel"/>
    <w:tmpl w:val="9306C74C"/>
    <w:lvl w:ilvl="0" w:tplc="1AAA568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BC65DB4"/>
    <w:multiLevelType w:val="hybridMultilevel"/>
    <w:tmpl w:val="EE48E38E"/>
    <w:lvl w:ilvl="0" w:tplc="FFFFFFFF">
      <w:start w:val="1"/>
      <w:numFmt w:val="decimal"/>
      <w:lvlText w:val="(%1)"/>
      <w:lvlJc w:val="left"/>
      <w:pPr>
        <w:ind w:left="1091" w:hanging="360"/>
      </w:pPr>
      <w:rPr>
        <w:rFonts w:hint="default"/>
      </w:rPr>
    </w:lvl>
    <w:lvl w:ilvl="1" w:tplc="FFFFFFFF" w:tentative="1">
      <w:start w:val="1"/>
      <w:numFmt w:val="lowerLetter"/>
      <w:lvlText w:val="%2."/>
      <w:lvlJc w:val="left"/>
      <w:pPr>
        <w:ind w:left="1811" w:hanging="360"/>
      </w:pPr>
    </w:lvl>
    <w:lvl w:ilvl="2" w:tplc="FFFFFFFF" w:tentative="1">
      <w:start w:val="1"/>
      <w:numFmt w:val="lowerRoman"/>
      <w:lvlText w:val="%3."/>
      <w:lvlJc w:val="right"/>
      <w:pPr>
        <w:ind w:left="2531" w:hanging="180"/>
      </w:pPr>
    </w:lvl>
    <w:lvl w:ilvl="3" w:tplc="FFFFFFFF" w:tentative="1">
      <w:start w:val="1"/>
      <w:numFmt w:val="decimal"/>
      <w:lvlText w:val="%4."/>
      <w:lvlJc w:val="left"/>
      <w:pPr>
        <w:ind w:left="3251" w:hanging="360"/>
      </w:pPr>
    </w:lvl>
    <w:lvl w:ilvl="4" w:tplc="FFFFFFFF" w:tentative="1">
      <w:start w:val="1"/>
      <w:numFmt w:val="lowerLetter"/>
      <w:lvlText w:val="%5."/>
      <w:lvlJc w:val="left"/>
      <w:pPr>
        <w:ind w:left="3971" w:hanging="360"/>
      </w:pPr>
    </w:lvl>
    <w:lvl w:ilvl="5" w:tplc="FFFFFFFF" w:tentative="1">
      <w:start w:val="1"/>
      <w:numFmt w:val="lowerRoman"/>
      <w:lvlText w:val="%6."/>
      <w:lvlJc w:val="right"/>
      <w:pPr>
        <w:ind w:left="4691" w:hanging="180"/>
      </w:pPr>
    </w:lvl>
    <w:lvl w:ilvl="6" w:tplc="FFFFFFFF" w:tentative="1">
      <w:start w:val="1"/>
      <w:numFmt w:val="decimal"/>
      <w:lvlText w:val="%7."/>
      <w:lvlJc w:val="left"/>
      <w:pPr>
        <w:ind w:left="5411" w:hanging="360"/>
      </w:pPr>
    </w:lvl>
    <w:lvl w:ilvl="7" w:tplc="FFFFFFFF" w:tentative="1">
      <w:start w:val="1"/>
      <w:numFmt w:val="lowerLetter"/>
      <w:lvlText w:val="%8."/>
      <w:lvlJc w:val="left"/>
      <w:pPr>
        <w:ind w:left="6131" w:hanging="360"/>
      </w:pPr>
    </w:lvl>
    <w:lvl w:ilvl="8" w:tplc="FFFFFFFF" w:tentative="1">
      <w:start w:val="1"/>
      <w:numFmt w:val="lowerRoman"/>
      <w:lvlText w:val="%9."/>
      <w:lvlJc w:val="right"/>
      <w:pPr>
        <w:ind w:left="6851" w:hanging="180"/>
      </w:pPr>
    </w:lvl>
  </w:abstractNum>
  <w:abstractNum w:abstractNumId="4" w15:restartNumberingAfterBreak="0">
    <w:nsid w:val="0D3F5D37"/>
    <w:multiLevelType w:val="hybridMultilevel"/>
    <w:tmpl w:val="7C2AD38A"/>
    <w:lvl w:ilvl="0" w:tplc="F74EEDC0">
      <w:start w:val="2"/>
      <w:numFmt w:val="decimal"/>
      <w:lvlText w:val="(%1)"/>
      <w:lvlJc w:val="left"/>
      <w:pPr>
        <w:ind w:left="135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DAA537E"/>
    <w:multiLevelType w:val="hybridMultilevel"/>
    <w:tmpl w:val="46E07F1E"/>
    <w:lvl w:ilvl="0" w:tplc="1B5CD982">
      <w:start w:val="1"/>
      <w:numFmt w:val="decimal"/>
      <w:lvlText w:val="(%1)"/>
      <w:lvlJc w:val="left"/>
      <w:pPr>
        <w:ind w:left="1091"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E6F7ACD"/>
    <w:multiLevelType w:val="hybridMultilevel"/>
    <w:tmpl w:val="9FBECC98"/>
    <w:lvl w:ilvl="0" w:tplc="BCFED260">
      <w:start w:val="1"/>
      <w:numFmt w:val="decimal"/>
      <w:lvlText w:val="(%1)"/>
      <w:lvlJc w:val="left"/>
      <w:pPr>
        <w:ind w:left="10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11D71"/>
    <w:multiLevelType w:val="hybridMultilevel"/>
    <w:tmpl w:val="1054BADA"/>
    <w:lvl w:ilvl="0" w:tplc="BEF09614">
      <w:start w:val="1"/>
      <w:numFmt w:val="decimal"/>
      <w:lvlText w:val="(%1)"/>
      <w:lvlJc w:val="left"/>
      <w:pPr>
        <w:ind w:left="2070" w:hanging="360"/>
      </w:pPr>
      <w:rPr>
        <w:rFonts w:hint="default"/>
      </w:rPr>
    </w:lvl>
    <w:lvl w:ilvl="1" w:tplc="E5B03EEA">
      <w:start w:val="22"/>
      <w:numFmt w:val="decimal"/>
      <w:lvlText w:val="%2、"/>
      <w:lvlJc w:val="left"/>
      <w:pPr>
        <w:ind w:left="1515" w:hanging="43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8243BE"/>
    <w:multiLevelType w:val="hybridMultilevel"/>
    <w:tmpl w:val="30662540"/>
    <w:lvl w:ilvl="0" w:tplc="DDA0FE3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13264E5D"/>
    <w:multiLevelType w:val="hybridMultilevel"/>
    <w:tmpl w:val="237A6DAC"/>
    <w:lvl w:ilvl="0" w:tplc="391C30B8">
      <w:start w:val="1"/>
      <w:numFmt w:val="decimal"/>
      <w:lvlText w:val="(%1)"/>
      <w:lvlJc w:val="left"/>
      <w:pPr>
        <w:ind w:left="1155" w:hanging="43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C0E7B"/>
    <w:multiLevelType w:val="hybridMultilevel"/>
    <w:tmpl w:val="7E2272A2"/>
    <w:lvl w:ilvl="0" w:tplc="BEF09614">
      <w:start w:val="1"/>
      <w:numFmt w:val="decimal"/>
      <w:lvlText w:val="(%1)"/>
      <w:lvlJc w:val="left"/>
      <w:pPr>
        <w:ind w:left="2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162F3A"/>
    <w:multiLevelType w:val="multilevel"/>
    <w:tmpl w:val="FC84E34C"/>
    <w:lvl w:ilvl="0">
      <w:start w:val="1"/>
      <w:numFmt w:val="decimal"/>
      <w:lvlText w:val="%1"/>
      <w:lvlJc w:val="left"/>
      <w:pPr>
        <w:ind w:left="360" w:hanging="360"/>
      </w:pPr>
      <w:rPr>
        <w:rFonts w:eastAsia="宋体" w:cs="Times New Roman" w:hint="default"/>
      </w:rPr>
    </w:lvl>
    <w:lvl w:ilvl="1">
      <w:start w:val="1"/>
      <w:numFmt w:val="decimal"/>
      <w:lvlText w:val="%1.%2"/>
      <w:lvlJc w:val="left"/>
      <w:pPr>
        <w:ind w:left="1080" w:hanging="360"/>
      </w:pPr>
      <w:rPr>
        <w:rFonts w:eastAsia="宋体" w:cs="Times New Roman" w:hint="default"/>
      </w:rPr>
    </w:lvl>
    <w:lvl w:ilvl="2">
      <w:start w:val="1"/>
      <w:numFmt w:val="decimal"/>
      <w:lvlText w:val="%1.%2.%3"/>
      <w:lvlJc w:val="left"/>
      <w:pPr>
        <w:ind w:left="2160" w:hanging="720"/>
      </w:pPr>
      <w:rPr>
        <w:rFonts w:eastAsia="宋体" w:cs="Times New Roman" w:hint="default"/>
      </w:rPr>
    </w:lvl>
    <w:lvl w:ilvl="3">
      <w:start w:val="1"/>
      <w:numFmt w:val="decimal"/>
      <w:lvlText w:val="%1.%2.%3.%4"/>
      <w:lvlJc w:val="left"/>
      <w:pPr>
        <w:ind w:left="2880" w:hanging="720"/>
      </w:pPr>
      <w:rPr>
        <w:rFonts w:eastAsia="宋体" w:cs="Times New Roman" w:hint="default"/>
      </w:rPr>
    </w:lvl>
    <w:lvl w:ilvl="4">
      <w:start w:val="1"/>
      <w:numFmt w:val="decimal"/>
      <w:lvlText w:val="%1.%2.%3.%4.%5"/>
      <w:lvlJc w:val="left"/>
      <w:pPr>
        <w:ind w:left="3960" w:hanging="1080"/>
      </w:pPr>
      <w:rPr>
        <w:rFonts w:eastAsia="宋体" w:cs="Times New Roman" w:hint="default"/>
      </w:rPr>
    </w:lvl>
    <w:lvl w:ilvl="5">
      <w:start w:val="1"/>
      <w:numFmt w:val="decimal"/>
      <w:lvlText w:val="%1.%2.%3.%4.%5.%6"/>
      <w:lvlJc w:val="left"/>
      <w:pPr>
        <w:ind w:left="4680" w:hanging="1080"/>
      </w:pPr>
      <w:rPr>
        <w:rFonts w:eastAsia="宋体" w:cs="Times New Roman" w:hint="default"/>
      </w:rPr>
    </w:lvl>
    <w:lvl w:ilvl="6">
      <w:start w:val="1"/>
      <w:numFmt w:val="decimal"/>
      <w:lvlText w:val="%1.%2.%3.%4.%5.%6.%7"/>
      <w:lvlJc w:val="left"/>
      <w:pPr>
        <w:ind w:left="5400" w:hanging="1080"/>
      </w:pPr>
      <w:rPr>
        <w:rFonts w:eastAsia="宋体" w:cs="Times New Roman" w:hint="default"/>
      </w:rPr>
    </w:lvl>
    <w:lvl w:ilvl="7">
      <w:start w:val="1"/>
      <w:numFmt w:val="decimal"/>
      <w:lvlText w:val="%1.%2.%3.%4.%5.%6.%7.%8"/>
      <w:lvlJc w:val="left"/>
      <w:pPr>
        <w:ind w:left="6480" w:hanging="1440"/>
      </w:pPr>
      <w:rPr>
        <w:rFonts w:eastAsia="宋体" w:cs="Times New Roman" w:hint="default"/>
      </w:rPr>
    </w:lvl>
    <w:lvl w:ilvl="8">
      <w:start w:val="1"/>
      <w:numFmt w:val="decimal"/>
      <w:lvlText w:val="%1.%2.%3.%4.%5.%6.%7.%8.%9"/>
      <w:lvlJc w:val="left"/>
      <w:pPr>
        <w:ind w:left="7200" w:hanging="1440"/>
      </w:pPr>
      <w:rPr>
        <w:rFonts w:eastAsia="宋体" w:cs="Times New Roman" w:hint="default"/>
      </w:rPr>
    </w:lvl>
  </w:abstractNum>
  <w:abstractNum w:abstractNumId="12" w15:restartNumberingAfterBreak="0">
    <w:nsid w:val="18AA73E9"/>
    <w:multiLevelType w:val="hybridMultilevel"/>
    <w:tmpl w:val="3A1A69D8"/>
    <w:lvl w:ilvl="0" w:tplc="391C30B8">
      <w:start w:val="1"/>
      <w:numFmt w:val="decimal"/>
      <w:lvlText w:val="(%1)"/>
      <w:lvlJc w:val="left"/>
      <w:pPr>
        <w:ind w:left="1155" w:hanging="43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383EE5"/>
    <w:multiLevelType w:val="hybridMultilevel"/>
    <w:tmpl w:val="89CA9C0C"/>
    <w:lvl w:ilvl="0" w:tplc="894C8F7C">
      <w:start w:val="7"/>
      <w:numFmt w:val="decimal"/>
      <w:lvlText w:val="(%1)"/>
      <w:lvlJc w:val="left"/>
      <w:pPr>
        <w:ind w:left="1166" w:hanging="435"/>
      </w:pPr>
      <w:rPr>
        <w:rFonts w:hint="default"/>
      </w:rPr>
    </w:lvl>
    <w:lvl w:ilvl="1" w:tplc="FECA48F0">
      <w:start w:val="7"/>
      <w:numFmt w:val="decimal"/>
      <w:lvlText w:val="%2、"/>
      <w:lvlJc w:val="left"/>
      <w:pPr>
        <w:ind w:left="117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C495388"/>
    <w:multiLevelType w:val="hybridMultilevel"/>
    <w:tmpl w:val="1CB25060"/>
    <w:lvl w:ilvl="0" w:tplc="0DCA73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21487990"/>
    <w:multiLevelType w:val="hybridMultilevel"/>
    <w:tmpl w:val="9FBECC98"/>
    <w:lvl w:ilvl="0" w:tplc="BCFED260">
      <w:start w:val="1"/>
      <w:numFmt w:val="decimal"/>
      <w:lvlText w:val="(%1)"/>
      <w:lvlJc w:val="left"/>
      <w:pPr>
        <w:ind w:left="10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248CF"/>
    <w:multiLevelType w:val="hybridMultilevel"/>
    <w:tmpl w:val="D9B22132"/>
    <w:lvl w:ilvl="0" w:tplc="391C30B8">
      <w:start w:val="1"/>
      <w:numFmt w:val="decimal"/>
      <w:lvlText w:val="(%1)"/>
      <w:lvlJc w:val="left"/>
      <w:pPr>
        <w:ind w:left="1177" w:hanging="435"/>
      </w:pPr>
      <w:rPr>
        <w:rFonts w:hint="default"/>
      </w:rPr>
    </w:lvl>
    <w:lvl w:ilvl="1" w:tplc="04090019">
      <w:start w:val="1"/>
      <w:numFmt w:val="lowerLetter"/>
      <w:lvlText w:val="%2."/>
      <w:lvlJc w:val="left"/>
      <w:pPr>
        <w:ind w:left="1822" w:hanging="360"/>
      </w:pPr>
    </w:lvl>
    <w:lvl w:ilvl="2" w:tplc="DC263138">
      <w:start w:val="5"/>
      <w:numFmt w:val="decimal"/>
      <w:lvlText w:val="%3、"/>
      <w:lvlJc w:val="left"/>
      <w:pPr>
        <w:ind w:left="2722" w:hanging="360"/>
      </w:pPr>
      <w:rPr>
        <w:rFonts w:hint="default"/>
      </w:r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17" w15:restartNumberingAfterBreak="0">
    <w:nsid w:val="29892710"/>
    <w:multiLevelType w:val="hybridMultilevel"/>
    <w:tmpl w:val="EE48E38E"/>
    <w:lvl w:ilvl="0" w:tplc="FFFFFFFF">
      <w:start w:val="1"/>
      <w:numFmt w:val="decimal"/>
      <w:lvlText w:val="(%1)"/>
      <w:lvlJc w:val="left"/>
      <w:pPr>
        <w:ind w:left="1091" w:hanging="360"/>
      </w:pPr>
      <w:rPr>
        <w:rFonts w:hint="default"/>
      </w:rPr>
    </w:lvl>
    <w:lvl w:ilvl="1" w:tplc="FFFFFFFF" w:tentative="1">
      <w:start w:val="1"/>
      <w:numFmt w:val="lowerLetter"/>
      <w:lvlText w:val="%2."/>
      <w:lvlJc w:val="left"/>
      <w:pPr>
        <w:ind w:left="1811" w:hanging="360"/>
      </w:pPr>
    </w:lvl>
    <w:lvl w:ilvl="2" w:tplc="FFFFFFFF" w:tentative="1">
      <w:start w:val="1"/>
      <w:numFmt w:val="lowerRoman"/>
      <w:lvlText w:val="%3."/>
      <w:lvlJc w:val="right"/>
      <w:pPr>
        <w:ind w:left="2531" w:hanging="180"/>
      </w:pPr>
    </w:lvl>
    <w:lvl w:ilvl="3" w:tplc="FFFFFFFF" w:tentative="1">
      <w:start w:val="1"/>
      <w:numFmt w:val="decimal"/>
      <w:lvlText w:val="%4."/>
      <w:lvlJc w:val="left"/>
      <w:pPr>
        <w:ind w:left="3251" w:hanging="360"/>
      </w:pPr>
    </w:lvl>
    <w:lvl w:ilvl="4" w:tplc="FFFFFFFF" w:tentative="1">
      <w:start w:val="1"/>
      <w:numFmt w:val="lowerLetter"/>
      <w:lvlText w:val="%5."/>
      <w:lvlJc w:val="left"/>
      <w:pPr>
        <w:ind w:left="3971" w:hanging="360"/>
      </w:pPr>
    </w:lvl>
    <w:lvl w:ilvl="5" w:tplc="FFFFFFFF" w:tentative="1">
      <w:start w:val="1"/>
      <w:numFmt w:val="lowerRoman"/>
      <w:lvlText w:val="%6."/>
      <w:lvlJc w:val="right"/>
      <w:pPr>
        <w:ind w:left="4691" w:hanging="180"/>
      </w:pPr>
    </w:lvl>
    <w:lvl w:ilvl="6" w:tplc="FFFFFFFF" w:tentative="1">
      <w:start w:val="1"/>
      <w:numFmt w:val="decimal"/>
      <w:lvlText w:val="%7."/>
      <w:lvlJc w:val="left"/>
      <w:pPr>
        <w:ind w:left="5411" w:hanging="360"/>
      </w:pPr>
    </w:lvl>
    <w:lvl w:ilvl="7" w:tplc="FFFFFFFF" w:tentative="1">
      <w:start w:val="1"/>
      <w:numFmt w:val="lowerLetter"/>
      <w:lvlText w:val="%8."/>
      <w:lvlJc w:val="left"/>
      <w:pPr>
        <w:ind w:left="6131" w:hanging="360"/>
      </w:pPr>
    </w:lvl>
    <w:lvl w:ilvl="8" w:tplc="FFFFFFFF" w:tentative="1">
      <w:start w:val="1"/>
      <w:numFmt w:val="lowerRoman"/>
      <w:lvlText w:val="%9."/>
      <w:lvlJc w:val="right"/>
      <w:pPr>
        <w:ind w:left="6851" w:hanging="180"/>
      </w:pPr>
    </w:lvl>
  </w:abstractNum>
  <w:abstractNum w:abstractNumId="18" w15:restartNumberingAfterBreak="0">
    <w:nsid w:val="2AEE2061"/>
    <w:multiLevelType w:val="hybridMultilevel"/>
    <w:tmpl w:val="C33ED2E6"/>
    <w:lvl w:ilvl="0" w:tplc="0F0E0DB6">
      <w:start w:val="1"/>
      <w:numFmt w:val="decimal"/>
      <w:lvlText w:val="%1、"/>
      <w:lvlJc w:val="left"/>
      <w:pPr>
        <w:ind w:left="720" w:hanging="360"/>
      </w:pPr>
      <w:rPr>
        <w:rFonts w:asciiTheme="majorHAnsi" w:hAnsiTheme="majorHAnsi" w:cstheme="majorHAnsi"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3CB4169"/>
    <w:multiLevelType w:val="hybridMultilevel"/>
    <w:tmpl w:val="9D507854"/>
    <w:lvl w:ilvl="0" w:tplc="91A28266">
      <w:start w:val="1"/>
      <w:numFmt w:val="decimal"/>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20" w15:restartNumberingAfterBreak="0">
    <w:nsid w:val="36B56DFE"/>
    <w:multiLevelType w:val="hybridMultilevel"/>
    <w:tmpl w:val="237A6DAC"/>
    <w:lvl w:ilvl="0" w:tplc="391C30B8">
      <w:start w:val="1"/>
      <w:numFmt w:val="decimal"/>
      <w:lvlText w:val="(%1)"/>
      <w:lvlJc w:val="left"/>
      <w:pPr>
        <w:ind w:left="1155" w:hanging="43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915A18"/>
    <w:multiLevelType w:val="hybridMultilevel"/>
    <w:tmpl w:val="CDE2CB2E"/>
    <w:lvl w:ilvl="0" w:tplc="91A28266">
      <w:start w:val="1"/>
      <w:numFmt w:val="decimal"/>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22" w15:restartNumberingAfterBreak="0">
    <w:nsid w:val="3CF96A86"/>
    <w:multiLevelType w:val="hybridMultilevel"/>
    <w:tmpl w:val="B98265F8"/>
    <w:lvl w:ilvl="0" w:tplc="9B72E2A6">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FFB4831"/>
    <w:multiLevelType w:val="hybridMultilevel"/>
    <w:tmpl w:val="C780002A"/>
    <w:lvl w:ilvl="0" w:tplc="391C30B8">
      <w:start w:val="1"/>
      <w:numFmt w:val="decimal"/>
      <w:lvlText w:val="(%1)"/>
      <w:lvlJc w:val="left"/>
      <w:pPr>
        <w:ind w:left="1155" w:hanging="43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DD2F34"/>
    <w:multiLevelType w:val="hybridMultilevel"/>
    <w:tmpl w:val="7E4C884A"/>
    <w:lvl w:ilvl="0" w:tplc="051A1FA8">
      <w:start w:val="1"/>
      <w:numFmt w:val="decimal"/>
      <w:lvlText w:val="%1、"/>
      <w:lvlJc w:val="left"/>
      <w:pPr>
        <w:ind w:left="720" w:hanging="360"/>
      </w:pPr>
      <w:rPr>
        <w:rFonts w:asciiTheme="majorHAnsi" w:hAnsiTheme="majorHAnsi" w:cstheme="maj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A6618"/>
    <w:multiLevelType w:val="hybridMultilevel"/>
    <w:tmpl w:val="EE48E38E"/>
    <w:lvl w:ilvl="0" w:tplc="91A28266">
      <w:start w:val="1"/>
      <w:numFmt w:val="decimal"/>
      <w:lvlText w:val="(%1)"/>
      <w:lvlJc w:val="left"/>
      <w:pPr>
        <w:ind w:left="1091" w:hanging="360"/>
      </w:pPr>
      <w:rPr>
        <w:rFonts w:hint="default"/>
      </w:rPr>
    </w:lvl>
    <w:lvl w:ilvl="1" w:tplc="04090019">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26" w15:restartNumberingAfterBreak="0">
    <w:nsid w:val="4E304884"/>
    <w:multiLevelType w:val="hybridMultilevel"/>
    <w:tmpl w:val="47643EB4"/>
    <w:lvl w:ilvl="0" w:tplc="622C8D70">
      <w:start w:val="2"/>
      <w:numFmt w:val="decimal"/>
      <w:lvlText w:val="(%1)"/>
      <w:lvlJc w:val="left"/>
      <w:pPr>
        <w:ind w:left="1091"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57791"/>
    <w:multiLevelType w:val="hybridMultilevel"/>
    <w:tmpl w:val="E514C7CC"/>
    <w:lvl w:ilvl="0" w:tplc="A31CF6BA">
      <w:start w:val="1"/>
      <w:numFmt w:val="decimal"/>
      <w:lvlText w:val="(%1)"/>
      <w:lvlJc w:val="left"/>
      <w:pPr>
        <w:ind w:left="836" w:hanging="360"/>
      </w:pPr>
      <w:rPr>
        <w:rFonts w:hint="default"/>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8" w15:restartNumberingAfterBreak="0">
    <w:nsid w:val="52CB7F2C"/>
    <w:multiLevelType w:val="hybridMultilevel"/>
    <w:tmpl w:val="237A6DAC"/>
    <w:lvl w:ilvl="0" w:tplc="391C30B8">
      <w:start w:val="1"/>
      <w:numFmt w:val="decimal"/>
      <w:lvlText w:val="(%1)"/>
      <w:lvlJc w:val="left"/>
      <w:pPr>
        <w:ind w:left="1155" w:hanging="43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5B4F43"/>
    <w:multiLevelType w:val="hybridMultilevel"/>
    <w:tmpl w:val="CA0821EA"/>
    <w:lvl w:ilvl="0" w:tplc="91A28266">
      <w:start w:val="1"/>
      <w:numFmt w:val="decimal"/>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30" w15:restartNumberingAfterBreak="0">
    <w:nsid w:val="57A1774F"/>
    <w:multiLevelType w:val="hybridMultilevel"/>
    <w:tmpl w:val="58120166"/>
    <w:lvl w:ilvl="0" w:tplc="91A28266">
      <w:start w:val="1"/>
      <w:numFmt w:val="decimal"/>
      <w:lvlText w:val="(%1)"/>
      <w:lvlJc w:val="left"/>
      <w:pPr>
        <w:ind w:left="1091" w:hanging="360"/>
      </w:pPr>
      <w:rPr>
        <w:rFonts w:hint="default"/>
      </w:rPr>
    </w:lvl>
    <w:lvl w:ilvl="1" w:tplc="04090019">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31" w15:restartNumberingAfterBreak="0">
    <w:nsid w:val="5BAF1D16"/>
    <w:multiLevelType w:val="hybridMultilevel"/>
    <w:tmpl w:val="C0F03C16"/>
    <w:lvl w:ilvl="0" w:tplc="84C86F00">
      <w:start w:val="1"/>
      <w:numFmt w:val="chineseCountingThousand"/>
      <w:pStyle w:val="1"/>
      <w:lvlText w:val="(%1)"/>
      <w:lvlJc w:val="left"/>
      <w:pPr>
        <w:ind w:left="810" w:hanging="360"/>
      </w:pPr>
      <w:rPr>
        <w:rFonts w:ascii="宋体" w:eastAsia="宋体" w:hAnsi="宋体" w:hint="eastAsia"/>
        <w:b/>
        <w:i w:val="0"/>
      </w:rPr>
    </w:lvl>
    <w:lvl w:ilvl="1" w:tplc="3FBED354">
      <w:numFmt w:val="decimal"/>
      <w:lvlText w:val="（%2）"/>
      <w:lvlJc w:val="left"/>
      <w:pPr>
        <w:ind w:left="1800" w:hanging="720"/>
      </w:pPr>
      <w:rPr>
        <w:rFonts w:hint="default"/>
      </w:rPr>
    </w:lvl>
    <w:lvl w:ilvl="2" w:tplc="35AEB21A">
      <w:start w:val="1"/>
      <w:numFmt w:val="decimal"/>
      <w:lvlText w:val="%3、"/>
      <w:lvlJc w:val="left"/>
      <w:pPr>
        <w:ind w:left="1260" w:hanging="360"/>
      </w:pPr>
      <w:rPr>
        <w:rFonts w:ascii="Times New Roman" w:hAnsi="Times New Roman" w:cs="Times New Roman" w:hint="default"/>
        <w:b/>
      </w:rPr>
    </w:lvl>
    <w:lvl w:ilvl="3" w:tplc="6FEAEAA8">
      <w:start w:val="1"/>
      <w:numFmt w:val="decimal"/>
      <w:lvlText w:val="%4."/>
      <w:lvlJc w:val="left"/>
      <w:pPr>
        <w:ind w:left="3195" w:hanging="675"/>
      </w:pPr>
      <w:rPr>
        <w:rFonts w:ascii="Times New Roman" w:hAnsi="Times New Roman" w:cs="Times New Roman" w:hint="default"/>
        <w:b/>
      </w:rPr>
    </w:lvl>
    <w:lvl w:ilvl="4" w:tplc="04090019">
      <w:start w:val="1"/>
      <w:numFmt w:val="lowerLetter"/>
      <w:lvlText w:val="%5."/>
      <w:lvlJc w:val="left"/>
      <w:pPr>
        <w:ind w:left="3600" w:hanging="360"/>
      </w:pPr>
    </w:lvl>
    <w:lvl w:ilvl="5" w:tplc="D23E1FCA">
      <w:start w:val="1"/>
      <w:numFmt w:val="decimal"/>
      <w:lvlText w:val="(%6)"/>
      <w:lvlJc w:val="left"/>
      <w:pPr>
        <w:ind w:left="4500" w:hanging="360"/>
      </w:pPr>
      <w:rPr>
        <w:rFonts w:hint="default"/>
      </w:rPr>
    </w:lvl>
    <w:lvl w:ilvl="6" w:tplc="F68878FC">
      <w:start w:val="7"/>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F73F7"/>
    <w:multiLevelType w:val="hybridMultilevel"/>
    <w:tmpl w:val="EE48E38E"/>
    <w:lvl w:ilvl="0" w:tplc="91A28266">
      <w:start w:val="1"/>
      <w:numFmt w:val="decimal"/>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33" w15:restartNumberingAfterBreak="0">
    <w:nsid w:val="606E27ED"/>
    <w:multiLevelType w:val="hybridMultilevel"/>
    <w:tmpl w:val="AEF8F790"/>
    <w:lvl w:ilvl="0" w:tplc="C5780218">
      <w:start w:val="2"/>
      <w:numFmt w:val="decimal"/>
      <w:lvlText w:val="(%1)"/>
      <w:lvlJc w:val="left"/>
      <w:pPr>
        <w:ind w:left="1177" w:hanging="43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4804BE0"/>
    <w:multiLevelType w:val="hybridMultilevel"/>
    <w:tmpl w:val="09CE8AE4"/>
    <w:lvl w:ilvl="0" w:tplc="8822F93A">
      <w:start w:val="1"/>
      <w:numFmt w:val="decimal"/>
      <w:lvlText w:val="(%1)"/>
      <w:lvlJc w:val="left"/>
      <w:pPr>
        <w:ind w:left="10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3B2E22"/>
    <w:multiLevelType w:val="hybridMultilevel"/>
    <w:tmpl w:val="5B9E3470"/>
    <w:lvl w:ilvl="0" w:tplc="1A8CC05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15:restartNumberingAfterBreak="0">
    <w:nsid w:val="691B7D11"/>
    <w:multiLevelType w:val="hybridMultilevel"/>
    <w:tmpl w:val="4F247834"/>
    <w:lvl w:ilvl="0" w:tplc="9FDEB398">
      <w:start w:val="8"/>
      <w:numFmt w:val="decimal"/>
      <w:lvlText w:val="%1."/>
      <w:lvlJc w:val="left"/>
      <w:pPr>
        <w:ind w:left="1125" w:hanging="675"/>
      </w:pPr>
      <w:rPr>
        <w:rFonts w:ascii="Times New Roman" w:hAnsi="Times New Roman" w:cs="Times New Roman"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9B50659"/>
    <w:multiLevelType w:val="hybridMultilevel"/>
    <w:tmpl w:val="35A8FAC0"/>
    <w:lvl w:ilvl="0" w:tplc="391C30B8">
      <w:start w:val="1"/>
      <w:numFmt w:val="decimal"/>
      <w:lvlText w:val="(%1)"/>
      <w:lvlJc w:val="left"/>
      <w:pPr>
        <w:ind w:left="1155" w:hanging="43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6D1599"/>
    <w:multiLevelType w:val="hybridMultilevel"/>
    <w:tmpl w:val="64AC7302"/>
    <w:lvl w:ilvl="0" w:tplc="FEF2561C">
      <w:start w:val="1"/>
      <w:numFmt w:val="decimal"/>
      <w:lvlText w:val="(%1)"/>
      <w:lvlJc w:val="left"/>
      <w:pPr>
        <w:ind w:left="109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105187"/>
    <w:multiLevelType w:val="hybridMultilevel"/>
    <w:tmpl w:val="DC623A82"/>
    <w:lvl w:ilvl="0" w:tplc="8AF20382">
      <w:start w:val="6"/>
      <w:numFmt w:val="decimal"/>
      <w:lvlText w:val="(%1)"/>
      <w:lvlJc w:val="left"/>
      <w:pPr>
        <w:ind w:left="1177" w:hanging="4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E42174D"/>
    <w:multiLevelType w:val="hybridMultilevel"/>
    <w:tmpl w:val="EE48E38E"/>
    <w:lvl w:ilvl="0" w:tplc="FFFFFFFF">
      <w:start w:val="1"/>
      <w:numFmt w:val="decimal"/>
      <w:lvlText w:val="(%1)"/>
      <w:lvlJc w:val="left"/>
      <w:pPr>
        <w:ind w:left="1091" w:hanging="360"/>
      </w:pPr>
      <w:rPr>
        <w:rFonts w:hint="default"/>
      </w:rPr>
    </w:lvl>
    <w:lvl w:ilvl="1" w:tplc="FFFFFFFF" w:tentative="1">
      <w:start w:val="1"/>
      <w:numFmt w:val="lowerLetter"/>
      <w:lvlText w:val="%2."/>
      <w:lvlJc w:val="left"/>
      <w:pPr>
        <w:ind w:left="1811" w:hanging="360"/>
      </w:pPr>
    </w:lvl>
    <w:lvl w:ilvl="2" w:tplc="FFFFFFFF" w:tentative="1">
      <w:start w:val="1"/>
      <w:numFmt w:val="lowerRoman"/>
      <w:lvlText w:val="%3."/>
      <w:lvlJc w:val="right"/>
      <w:pPr>
        <w:ind w:left="2531" w:hanging="180"/>
      </w:pPr>
    </w:lvl>
    <w:lvl w:ilvl="3" w:tplc="FFFFFFFF" w:tentative="1">
      <w:start w:val="1"/>
      <w:numFmt w:val="decimal"/>
      <w:lvlText w:val="%4."/>
      <w:lvlJc w:val="left"/>
      <w:pPr>
        <w:ind w:left="3251" w:hanging="360"/>
      </w:pPr>
    </w:lvl>
    <w:lvl w:ilvl="4" w:tplc="FFFFFFFF" w:tentative="1">
      <w:start w:val="1"/>
      <w:numFmt w:val="lowerLetter"/>
      <w:lvlText w:val="%5."/>
      <w:lvlJc w:val="left"/>
      <w:pPr>
        <w:ind w:left="3971" w:hanging="360"/>
      </w:pPr>
    </w:lvl>
    <w:lvl w:ilvl="5" w:tplc="FFFFFFFF" w:tentative="1">
      <w:start w:val="1"/>
      <w:numFmt w:val="lowerRoman"/>
      <w:lvlText w:val="%6."/>
      <w:lvlJc w:val="right"/>
      <w:pPr>
        <w:ind w:left="4691" w:hanging="180"/>
      </w:pPr>
    </w:lvl>
    <w:lvl w:ilvl="6" w:tplc="FFFFFFFF" w:tentative="1">
      <w:start w:val="1"/>
      <w:numFmt w:val="decimal"/>
      <w:lvlText w:val="%7."/>
      <w:lvlJc w:val="left"/>
      <w:pPr>
        <w:ind w:left="5411" w:hanging="360"/>
      </w:pPr>
    </w:lvl>
    <w:lvl w:ilvl="7" w:tplc="FFFFFFFF" w:tentative="1">
      <w:start w:val="1"/>
      <w:numFmt w:val="lowerLetter"/>
      <w:lvlText w:val="%8."/>
      <w:lvlJc w:val="left"/>
      <w:pPr>
        <w:ind w:left="6131" w:hanging="360"/>
      </w:pPr>
    </w:lvl>
    <w:lvl w:ilvl="8" w:tplc="FFFFFFFF" w:tentative="1">
      <w:start w:val="1"/>
      <w:numFmt w:val="lowerRoman"/>
      <w:lvlText w:val="%9."/>
      <w:lvlJc w:val="right"/>
      <w:pPr>
        <w:ind w:left="6851" w:hanging="180"/>
      </w:pPr>
    </w:lvl>
  </w:abstractNum>
  <w:abstractNum w:abstractNumId="41" w15:restartNumberingAfterBreak="0">
    <w:nsid w:val="6F684613"/>
    <w:multiLevelType w:val="hybridMultilevel"/>
    <w:tmpl w:val="10FA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090074B"/>
    <w:multiLevelType w:val="hybridMultilevel"/>
    <w:tmpl w:val="9BB61EDA"/>
    <w:lvl w:ilvl="0" w:tplc="633A4126">
      <w:start w:val="1"/>
      <w:numFmt w:val="decimal"/>
      <w:lvlText w:val="(%1)"/>
      <w:lvlJc w:val="left"/>
      <w:pPr>
        <w:ind w:left="1155" w:hanging="43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56134E"/>
    <w:multiLevelType w:val="hybridMultilevel"/>
    <w:tmpl w:val="237A6DAC"/>
    <w:lvl w:ilvl="0" w:tplc="391C30B8">
      <w:start w:val="1"/>
      <w:numFmt w:val="decimal"/>
      <w:lvlText w:val="(%1)"/>
      <w:lvlJc w:val="left"/>
      <w:pPr>
        <w:ind w:left="1155" w:hanging="43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3B7886"/>
    <w:multiLevelType w:val="hybridMultilevel"/>
    <w:tmpl w:val="5306A42C"/>
    <w:lvl w:ilvl="0" w:tplc="FDCE8156">
      <w:start w:val="1"/>
      <w:numFmt w:val="decimal"/>
      <w:lvlText w:val="(%1)"/>
      <w:lvlJc w:val="left"/>
      <w:pPr>
        <w:ind w:left="1070"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45" w15:restartNumberingAfterBreak="0">
    <w:nsid w:val="75A5142C"/>
    <w:multiLevelType w:val="hybridMultilevel"/>
    <w:tmpl w:val="9BB61EDA"/>
    <w:lvl w:ilvl="0" w:tplc="FFFFFFFF">
      <w:start w:val="1"/>
      <w:numFmt w:val="decimal"/>
      <w:lvlText w:val="(%1)"/>
      <w:lvlJc w:val="left"/>
      <w:pPr>
        <w:ind w:left="1155" w:hanging="435"/>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6992794"/>
    <w:multiLevelType w:val="hybridMultilevel"/>
    <w:tmpl w:val="EE48E38E"/>
    <w:lvl w:ilvl="0" w:tplc="FFFFFFFF">
      <w:start w:val="1"/>
      <w:numFmt w:val="decimal"/>
      <w:lvlText w:val="(%1)"/>
      <w:lvlJc w:val="left"/>
      <w:pPr>
        <w:ind w:left="1091" w:hanging="360"/>
      </w:pPr>
      <w:rPr>
        <w:rFonts w:hint="default"/>
      </w:rPr>
    </w:lvl>
    <w:lvl w:ilvl="1" w:tplc="FFFFFFFF" w:tentative="1">
      <w:start w:val="1"/>
      <w:numFmt w:val="lowerLetter"/>
      <w:lvlText w:val="%2."/>
      <w:lvlJc w:val="left"/>
      <w:pPr>
        <w:ind w:left="1811" w:hanging="360"/>
      </w:pPr>
    </w:lvl>
    <w:lvl w:ilvl="2" w:tplc="FFFFFFFF" w:tentative="1">
      <w:start w:val="1"/>
      <w:numFmt w:val="lowerRoman"/>
      <w:lvlText w:val="%3."/>
      <w:lvlJc w:val="right"/>
      <w:pPr>
        <w:ind w:left="2531" w:hanging="180"/>
      </w:pPr>
    </w:lvl>
    <w:lvl w:ilvl="3" w:tplc="FFFFFFFF" w:tentative="1">
      <w:start w:val="1"/>
      <w:numFmt w:val="decimal"/>
      <w:lvlText w:val="%4."/>
      <w:lvlJc w:val="left"/>
      <w:pPr>
        <w:ind w:left="3251" w:hanging="360"/>
      </w:pPr>
    </w:lvl>
    <w:lvl w:ilvl="4" w:tplc="FFFFFFFF" w:tentative="1">
      <w:start w:val="1"/>
      <w:numFmt w:val="lowerLetter"/>
      <w:lvlText w:val="%5."/>
      <w:lvlJc w:val="left"/>
      <w:pPr>
        <w:ind w:left="3971" w:hanging="360"/>
      </w:pPr>
    </w:lvl>
    <w:lvl w:ilvl="5" w:tplc="FFFFFFFF" w:tentative="1">
      <w:start w:val="1"/>
      <w:numFmt w:val="lowerRoman"/>
      <w:lvlText w:val="%6."/>
      <w:lvlJc w:val="right"/>
      <w:pPr>
        <w:ind w:left="4691" w:hanging="180"/>
      </w:pPr>
    </w:lvl>
    <w:lvl w:ilvl="6" w:tplc="FFFFFFFF" w:tentative="1">
      <w:start w:val="1"/>
      <w:numFmt w:val="decimal"/>
      <w:lvlText w:val="%7."/>
      <w:lvlJc w:val="left"/>
      <w:pPr>
        <w:ind w:left="5411" w:hanging="360"/>
      </w:pPr>
    </w:lvl>
    <w:lvl w:ilvl="7" w:tplc="FFFFFFFF" w:tentative="1">
      <w:start w:val="1"/>
      <w:numFmt w:val="lowerLetter"/>
      <w:lvlText w:val="%8."/>
      <w:lvlJc w:val="left"/>
      <w:pPr>
        <w:ind w:left="6131" w:hanging="360"/>
      </w:pPr>
    </w:lvl>
    <w:lvl w:ilvl="8" w:tplc="FFFFFFFF" w:tentative="1">
      <w:start w:val="1"/>
      <w:numFmt w:val="lowerRoman"/>
      <w:lvlText w:val="%9."/>
      <w:lvlJc w:val="right"/>
      <w:pPr>
        <w:ind w:left="6851" w:hanging="180"/>
      </w:pPr>
    </w:lvl>
  </w:abstractNum>
  <w:abstractNum w:abstractNumId="47" w15:restartNumberingAfterBreak="0">
    <w:nsid w:val="78604E6C"/>
    <w:multiLevelType w:val="hybridMultilevel"/>
    <w:tmpl w:val="5F4A205E"/>
    <w:lvl w:ilvl="0" w:tplc="051A1FA8">
      <w:start w:val="1"/>
      <w:numFmt w:val="decimal"/>
      <w:lvlText w:val="%1、"/>
      <w:lvlJc w:val="left"/>
      <w:pPr>
        <w:ind w:left="720" w:hanging="360"/>
      </w:pPr>
      <w:rPr>
        <w:rFonts w:asciiTheme="majorHAnsi" w:hAnsiTheme="majorHAnsi" w:cstheme="maj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AA0351"/>
    <w:multiLevelType w:val="hybridMultilevel"/>
    <w:tmpl w:val="9BB61EDA"/>
    <w:lvl w:ilvl="0" w:tplc="FFFFFFFF">
      <w:start w:val="1"/>
      <w:numFmt w:val="decimal"/>
      <w:lvlText w:val="(%1)"/>
      <w:lvlJc w:val="left"/>
      <w:pPr>
        <w:ind w:left="1155" w:hanging="435"/>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7EB82DB6"/>
    <w:multiLevelType w:val="hybridMultilevel"/>
    <w:tmpl w:val="AB520BCA"/>
    <w:lvl w:ilvl="0" w:tplc="32BE2C40">
      <w:start w:val="2"/>
      <w:numFmt w:val="decimal"/>
      <w:lvlText w:val="%1、"/>
      <w:lvlJc w:val="left"/>
      <w:pPr>
        <w:ind w:left="1260" w:hanging="360"/>
      </w:pPr>
      <w:rPr>
        <w:rFonts w:ascii="Times New Roman" w:hAnsi="Times New Roman" w:cs="Times New Roman"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875208">
    <w:abstractNumId w:val="31"/>
  </w:num>
  <w:num w:numId="2" w16cid:durableId="304553848">
    <w:abstractNumId w:val="30"/>
  </w:num>
  <w:num w:numId="3" w16cid:durableId="168254076">
    <w:abstractNumId w:val="32"/>
  </w:num>
  <w:num w:numId="4" w16cid:durableId="1768038658">
    <w:abstractNumId w:val="21"/>
  </w:num>
  <w:num w:numId="5" w16cid:durableId="156502616">
    <w:abstractNumId w:val="25"/>
  </w:num>
  <w:num w:numId="6" w16cid:durableId="264650605">
    <w:abstractNumId w:val="12"/>
  </w:num>
  <w:num w:numId="7" w16cid:durableId="1763914617">
    <w:abstractNumId w:val="2"/>
  </w:num>
  <w:num w:numId="8" w16cid:durableId="235363185">
    <w:abstractNumId w:val="38"/>
  </w:num>
  <w:num w:numId="9" w16cid:durableId="429863122">
    <w:abstractNumId w:val="15"/>
  </w:num>
  <w:num w:numId="10" w16cid:durableId="690374857">
    <w:abstractNumId w:val="1"/>
  </w:num>
  <w:num w:numId="11" w16cid:durableId="290326064">
    <w:abstractNumId w:val="27"/>
  </w:num>
  <w:num w:numId="12" w16cid:durableId="275867042">
    <w:abstractNumId w:val="19"/>
  </w:num>
  <w:num w:numId="13" w16cid:durableId="181894145">
    <w:abstractNumId w:val="26"/>
  </w:num>
  <w:num w:numId="14" w16cid:durableId="963586315">
    <w:abstractNumId w:val="29"/>
  </w:num>
  <w:num w:numId="15" w16cid:durableId="1880704458">
    <w:abstractNumId w:val="10"/>
  </w:num>
  <w:num w:numId="16" w16cid:durableId="1264460436">
    <w:abstractNumId w:val="44"/>
  </w:num>
  <w:num w:numId="17" w16cid:durableId="1731683352">
    <w:abstractNumId w:val="20"/>
  </w:num>
  <w:num w:numId="18" w16cid:durableId="1138456255">
    <w:abstractNumId w:val="42"/>
  </w:num>
  <w:num w:numId="19" w16cid:durableId="264727084">
    <w:abstractNumId w:val="34"/>
  </w:num>
  <w:num w:numId="20" w16cid:durableId="1866015527">
    <w:abstractNumId w:val="37"/>
  </w:num>
  <w:num w:numId="21" w16cid:durableId="505171062">
    <w:abstractNumId w:val="43"/>
  </w:num>
  <w:num w:numId="22" w16cid:durableId="749888937">
    <w:abstractNumId w:val="47"/>
  </w:num>
  <w:num w:numId="23" w16cid:durableId="514928220">
    <w:abstractNumId w:val="24"/>
  </w:num>
  <w:num w:numId="24" w16cid:durableId="172769583">
    <w:abstractNumId w:val="9"/>
  </w:num>
  <w:num w:numId="25" w16cid:durableId="1321034083">
    <w:abstractNumId w:val="28"/>
  </w:num>
  <w:num w:numId="26" w16cid:durableId="1333801342">
    <w:abstractNumId w:val="16"/>
  </w:num>
  <w:num w:numId="27" w16cid:durableId="1931352070">
    <w:abstractNumId w:val="11"/>
  </w:num>
  <w:num w:numId="28" w16cid:durableId="1880438154">
    <w:abstractNumId w:val="6"/>
  </w:num>
  <w:num w:numId="29" w16cid:durableId="1284923752">
    <w:abstractNumId w:val="35"/>
  </w:num>
  <w:num w:numId="30" w16cid:durableId="2043745554">
    <w:abstractNumId w:val="23"/>
  </w:num>
  <w:num w:numId="31" w16cid:durableId="2105882410">
    <w:abstractNumId w:val="33"/>
  </w:num>
  <w:num w:numId="32" w16cid:durableId="327447928">
    <w:abstractNumId w:val="5"/>
  </w:num>
  <w:num w:numId="33" w16cid:durableId="34896070">
    <w:abstractNumId w:val="14"/>
  </w:num>
  <w:num w:numId="34" w16cid:durableId="1463620331">
    <w:abstractNumId w:val="8"/>
  </w:num>
  <w:num w:numId="35" w16cid:durableId="496968903">
    <w:abstractNumId w:val="13"/>
  </w:num>
  <w:num w:numId="36" w16cid:durableId="1206529284">
    <w:abstractNumId w:val="0"/>
  </w:num>
  <w:num w:numId="37" w16cid:durableId="1055206017">
    <w:abstractNumId w:val="41"/>
  </w:num>
  <w:num w:numId="38" w16cid:durableId="761143560">
    <w:abstractNumId w:val="7"/>
  </w:num>
  <w:num w:numId="39" w16cid:durableId="505562970">
    <w:abstractNumId w:val="36"/>
  </w:num>
  <w:num w:numId="40" w16cid:durableId="1730641895">
    <w:abstractNumId w:val="49"/>
  </w:num>
  <w:num w:numId="41" w16cid:durableId="1767336287">
    <w:abstractNumId w:val="18"/>
  </w:num>
  <w:num w:numId="42" w16cid:durableId="1524974003">
    <w:abstractNumId w:val="22"/>
  </w:num>
  <w:num w:numId="43" w16cid:durableId="804467942">
    <w:abstractNumId w:val="3"/>
  </w:num>
  <w:num w:numId="44" w16cid:durableId="1600212714">
    <w:abstractNumId w:val="45"/>
  </w:num>
  <w:num w:numId="45" w16cid:durableId="2016766889">
    <w:abstractNumId w:val="40"/>
  </w:num>
  <w:num w:numId="46" w16cid:durableId="597643145">
    <w:abstractNumId w:val="46"/>
  </w:num>
  <w:num w:numId="47" w16cid:durableId="1643389893">
    <w:abstractNumId w:val="39"/>
  </w:num>
  <w:num w:numId="48" w16cid:durableId="624847258">
    <w:abstractNumId w:val="4"/>
  </w:num>
  <w:num w:numId="49" w16cid:durableId="1238058442">
    <w:abstractNumId w:val="48"/>
  </w:num>
  <w:num w:numId="50" w16cid:durableId="840001221">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fr-FR" w:vendorID="64" w:dllVersion="6" w:nlCheck="1" w:checkStyle="0"/>
  <w:activeWritingStyle w:appName="MSWord" w:lang="zh-CN" w:vendorID="64" w:dllVersion="5" w:nlCheck="1" w:checkStyle="1"/>
  <w:activeWritingStyle w:appName="MSWord" w:lang="en-US" w:vendorID="64" w:dllVersion="6" w:nlCheck="1" w:checkStyle="1"/>
  <w:activeWritingStyle w:appName="MSWord" w:lang="zh-TW" w:vendorID="64" w:dllVersion="5" w:nlCheck="1" w:checkStyle="1"/>
  <w:activeWritingStyle w:appName="MSWord" w:lang="en-GB" w:vendorID="64" w:dllVersion="6" w:nlCheck="1" w:checkStyle="1"/>
  <w:activeWritingStyle w:appName="MSWord" w:lang="zh-CN" w:vendorID="64" w:dllVersion="0" w:nlCheck="1" w:checkStyle="1"/>
  <w:activeWritingStyle w:appName="MSWord" w:lang="en-US" w:vendorID="64" w:dllVersion="0" w:nlCheck="1" w:checkStyle="0"/>
  <w:activeWritingStyle w:appName="MSWord" w:lang="zh-TW" w:vendorID="64" w:dllVersion="0" w:nlCheck="1" w:checkStyle="1"/>
  <w:activeWritingStyle w:appName="MSWord" w:lang="en-GB" w:vendorID="64" w:dllVersion="0" w:nlCheck="1" w:checkStyle="0"/>
  <w:proofState w:spelling="clean" w:grammar="clean"/>
  <w:defaultTabStop w:val="720"/>
  <w:characterSpacingControl w:val="doNotCompress"/>
  <w:hdrShapeDefaults>
    <o:shapedefaults v:ext="edit" spidmax="2050">
      <o:colormru v:ext="edit" colors="gray"/>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5FC"/>
    <w:rsid w:val="0000021A"/>
    <w:rsid w:val="00000234"/>
    <w:rsid w:val="000002D3"/>
    <w:rsid w:val="000003DA"/>
    <w:rsid w:val="0000049F"/>
    <w:rsid w:val="000004BF"/>
    <w:rsid w:val="000004C3"/>
    <w:rsid w:val="0000058B"/>
    <w:rsid w:val="000005BA"/>
    <w:rsid w:val="0000067F"/>
    <w:rsid w:val="0000085C"/>
    <w:rsid w:val="00000900"/>
    <w:rsid w:val="00000985"/>
    <w:rsid w:val="00000986"/>
    <w:rsid w:val="00000A78"/>
    <w:rsid w:val="00000B74"/>
    <w:rsid w:val="00000BFC"/>
    <w:rsid w:val="00000D9F"/>
    <w:rsid w:val="00000E12"/>
    <w:rsid w:val="00000E7B"/>
    <w:rsid w:val="00000E80"/>
    <w:rsid w:val="00001000"/>
    <w:rsid w:val="00001004"/>
    <w:rsid w:val="000011AF"/>
    <w:rsid w:val="00001227"/>
    <w:rsid w:val="000012E8"/>
    <w:rsid w:val="00001377"/>
    <w:rsid w:val="00001398"/>
    <w:rsid w:val="00001514"/>
    <w:rsid w:val="000015EC"/>
    <w:rsid w:val="00001685"/>
    <w:rsid w:val="0000171C"/>
    <w:rsid w:val="000018A9"/>
    <w:rsid w:val="000018AD"/>
    <w:rsid w:val="000019E6"/>
    <w:rsid w:val="00001BC4"/>
    <w:rsid w:val="00001BDD"/>
    <w:rsid w:val="00001D4B"/>
    <w:rsid w:val="00001DBD"/>
    <w:rsid w:val="00001EC3"/>
    <w:rsid w:val="00001F7A"/>
    <w:rsid w:val="00001FB4"/>
    <w:rsid w:val="00002106"/>
    <w:rsid w:val="0000214F"/>
    <w:rsid w:val="00002347"/>
    <w:rsid w:val="0000241D"/>
    <w:rsid w:val="00002429"/>
    <w:rsid w:val="000024DC"/>
    <w:rsid w:val="0000252A"/>
    <w:rsid w:val="00002550"/>
    <w:rsid w:val="0000296A"/>
    <w:rsid w:val="00002AE1"/>
    <w:rsid w:val="00002B55"/>
    <w:rsid w:val="00002C4A"/>
    <w:rsid w:val="00002C76"/>
    <w:rsid w:val="00002CEE"/>
    <w:rsid w:val="00002D97"/>
    <w:rsid w:val="00002DBD"/>
    <w:rsid w:val="00002E05"/>
    <w:rsid w:val="00002F57"/>
    <w:rsid w:val="00003073"/>
    <w:rsid w:val="00003077"/>
    <w:rsid w:val="000030CA"/>
    <w:rsid w:val="00003139"/>
    <w:rsid w:val="0000317E"/>
    <w:rsid w:val="000031C7"/>
    <w:rsid w:val="0000337E"/>
    <w:rsid w:val="00003427"/>
    <w:rsid w:val="00003506"/>
    <w:rsid w:val="0000373D"/>
    <w:rsid w:val="00003763"/>
    <w:rsid w:val="0000383B"/>
    <w:rsid w:val="0000389E"/>
    <w:rsid w:val="000038AB"/>
    <w:rsid w:val="000039AC"/>
    <w:rsid w:val="00003BD8"/>
    <w:rsid w:val="00003BF3"/>
    <w:rsid w:val="00004001"/>
    <w:rsid w:val="00004086"/>
    <w:rsid w:val="000040F4"/>
    <w:rsid w:val="000041AB"/>
    <w:rsid w:val="000041CB"/>
    <w:rsid w:val="00004207"/>
    <w:rsid w:val="00004242"/>
    <w:rsid w:val="000042C5"/>
    <w:rsid w:val="000042D0"/>
    <w:rsid w:val="00004414"/>
    <w:rsid w:val="00004495"/>
    <w:rsid w:val="00004535"/>
    <w:rsid w:val="00004558"/>
    <w:rsid w:val="0000465D"/>
    <w:rsid w:val="00004779"/>
    <w:rsid w:val="00004A6D"/>
    <w:rsid w:val="00004B88"/>
    <w:rsid w:val="00004BB7"/>
    <w:rsid w:val="00004D5F"/>
    <w:rsid w:val="00004EB7"/>
    <w:rsid w:val="00005300"/>
    <w:rsid w:val="000053A5"/>
    <w:rsid w:val="000054E9"/>
    <w:rsid w:val="00005572"/>
    <w:rsid w:val="00005606"/>
    <w:rsid w:val="00005674"/>
    <w:rsid w:val="000056BF"/>
    <w:rsid w:val="00005727"/>
    <w:rsid w:val="00005769"/>
    <w:rsid w:val="0000576B"/>
    <w:rsid w:val="0000581B"/>
    <w:rsid w:val="0000591D"/>
    <w:rsid w:val="00005949"/>
    <w:rsid w:val="00005998"/>
    <w:rsid w:val="000059A3"/>
    <w:rsid w:val="000059C5"/>
    <w:rsid w:val="00005A3A"/>
    <w:rsid w:val="00005C86"/>
    <w:rsid w:val="00005C9F"/>
    <w:rsid w:val="00005E1C"/>
    <w:rsid w:val="00005F4F"/>
    <w:rsid w:val="00006094"/>
    <w:rsid w:val="0000611C"/>
    <w:rsid w:val="000061CE"/>
    <w:rsid w:val="00006230"/>
    <w:rsid w:val="00006349"/>
    <w:rsid w:val="000063D1"/>
    <w:rsid w:val="00006480"/>
    <w:rsid w:val="000064B7"/>
    <w:rsid w:val="00006707"/>
    <w:rsid w:val="0000670B"/>
    <w:rsid w:val="00006723"/>
    <w:rsid w:val="00006770"/>
    <w:rsid w:val="00006790"/>
    <w:rsid w:val="0000682E"/>
    <w:rsid w:val="0000687F"/>
    <w:rsid w:val="00006A09"/>
    <w:rsid w:val="00006C85"/>
    <w:rsid w:val="00006CC7"/>
    <w:rsid w:val="00006CD9"/>
    <w:rsid w:val="00006CF7"/>
    <w:rsid w:val="00006D3B"/>
    <w:rsid w:val="00006E31"/>
    <w:rsid w:val="00006ED3"/>
    <w:rsid w:val="0000703E"/>
    <w:rsid w:val="0000724A"/>
    <w:rsid w:val="00007321"/>
    <w:rsid w:val="00007554"/>
    <w:rsid w:val="000075E8"/>
    <w:rsid w:val="00007623"/>
    <w:rsid w:val="0000763F"/>
    <w:rsid w:val="000076CA"/>
    <w:rsid w:val="00007722"/>
    <w:rsid w:val="00007896"/>
    <w:rsid w:val="00007BBA"/>
    <w:rsid w:val="00007C98"/>
    <w:rsid w:val="00007CA3"/>
    <w:rsid w:val="00007D7E"/>
    <w:rsid w:val="00007DC3"/>
    <w:rsid w:val="00007EC7"/>
    <w:rsid w:val="00007F48"/>
    <w:rsid w:val="00010057"/>
    <w:rsid w:val="00010148"/>
    <w:rsid w:val="00010176"/>
    <w:rsid w:val="000101B7"/>
    <w:rsid w:val="000101D2"/>
    <w:rsid w:val="000102A7"/>
    <w:rsid w:val="000102D7"/>
    <w:rsid w:val="00010430"/>
    <w:rsid w:val="0001052B"/>
    <w:rsid w:val="000106A8"/>
    <w:rsid w:val="00010876"/>
    <w:rsid w:val="00010971"/>
    <w:rsid w:val="00010BAC"/>
    <w:rsid w:val="00010BD4"/>
    <w:rsid w:val="00010DF6"/>
    <w:rsid w:val="00011054"/>
    <w:rsid w:val="000111AB"/>
    <w:rsid w:val="00011482"/>
    <w:rsid w:val="00011505"/>
    <w:rsid w:val="000116BE"/>
    <w:rsid w:val="000118DC"/>
    <w:rsid w:val="00011984"/>
    <w:rsid w:val="00011A0F"/>
    <w:rsid w:val="00011A31"/>
    <w:rsid w:val="00011B22"/>
    <w:rsid w:val="00011B4E"/>
    <w:rsid w:val="00011C28"/>
    <w:rsid w:val="00011D5E"/>
    <w:rsid w:val="00011DEE"/>
    <w:rsid w:val="0001200C"/>
    <w:rsid w:val="000120B5"/>
    <w:rsid w:val="00012128"/>
    <w:rsid w:val="00012255"/>
    <w:rsid w:val="00012372"/>
    <w:rsid w:val="000123D7"/>
    <w:rsid w:val="000124FF"/>
    <w:rsid w:val="00012534"/>
    <w:rsid w:val="000126D3"/>
    <w:rsid w:val="00012718"/>
    <w:rsid w:val="00012748"/>
    <w:rsid w:val="000127C4"/>
    <w:rsid w:val="000129D7"/>
    <w:rsid w:val="00012ACB"/>
    <w:rsid w:val="00012B39"/>
    <w:rsid w:val="00012DD5"/>
    <w:rsid w:val="00012DF2"/>
    <w:rsid w:val="00012E98"/>
    <w:rsid w:val="00013206"/>
    <w:rsid w:val="00013250"/>
    <w:rsid w:val="00013385"/>
    <w:rsid w:val="000134F8"/>
    <w:rsid w:val="00013557"/>
    <w:rsid w:val="000137B3"/>
    <w:rsid w:val="00013938"/>
    <w:rsid w:val="00013A4C"/>
    <w:rsid w:val="00013AAD"/>
    <w:rsid w:val="00013E2B"/>
    <w:rsid w:val="00013EE6"/>
    <w:rsid w:val="0001410F"/>
    <w:rsid w:val="00014117"/>
    <w:rsid w:val="00014183"/>
    <w:rsid w:val="000143DD"/>
    <w:rsid w:val="0001441D"/>
    <w:rsid w:val="00014437"/>
    <w:rsid w:val="000145CB"/>
    <w:rsid w:val="000146CC"/>
    <w:rsid w:val="000149F5"/>
    <w:rsid w:val="00014A33"/>
    <w:rsid w:val="00014A53"/>
    <w:rsid w:val="00014D23"/>
    <w:rsid w:val="00014D42"/>
    <w:rsid w:val="00014D43"/>
    <w:rsid w:val="0001511C"/>
    <w:rsid w:val="00015121"/>
    <w:rsid w:val="000152F9"/>
    <w:rsid w:val="00015460"/>
    <w:rsid w:val="00015552"/>
    <w:rsid w:val="000155D5"/>
    <w:rsid w:val="0001561E"/>
    <w:rsid w:val="000158E0"/>
    <w:rsid w:val="00015B8C"/>
    <w:rsid w:val="00015B9C"/>
    <w:rsid w:val="00015BA7"/>
    <w:rsid w:val="00015BB9"/>
    <w:rsid w:val="00015D04"/>
    <w:rsid w:val="00015E5F"/>
    <w:rsid w:val="00015FDB"/>
    <w:rsid w:val="00016177"/>
    <w:rsid w:val="00016188"/>
    <w:rsid w:val="0001623C"/>
    <w:rsid w:val="000162D7"/>
    <w:rsid w:val="00016473"/>
    <w:rsid w:val="000165BC"/>
    <w:rsid w:val="00016630"/>
    <w:rsid w:val="000166A9"/>
    <w:rsid w:val="00016859"/>
    <w:rsid w:val="00016875"/>
    <w:rsid w:val="000169EA"/>
    <w:rsid w:val="00016A30"/>
    <w:rsid w:val="00016BC8"/>
    <w:rsid w:val="00016C22"/>
    <w:rsid w:val="00016F1C"/>
    <w:rsid w:val="000170F5"/>
    <w:rsid w:val="000172C0"/>
    <w:rsid w:val="000174C5"/>
    <w:rsid w:val="000174CC"/>
    <w:rsid w:val="000174D9"/>
    <w:rsid w:val="0001762F"/>
    <w:rsid w:val="00017812"/>
    <w:rsid w:val="000178A3"/>
    <w:rsid w:val="000178AD"/>
    <w:rsid w:val="00017AB8"/>
    <w:rsid w:val="00017B05"/>
    <w:rsid w:val="00017B09"/>
    <w:rsid w:val="00017B3F"/>
    <w:rsid w:val="00017BB6"/>
    <w:rsid w:val="00017BED"/>
    <w:rsid w:val="00017BFA"/>
    <w:rsid w:val="00017C11"/>
    <w:rsid w:val="00017EAB"/>
    <w:rsid w:val="00017F72"/>
    <w:rsid w:val="00020040"/>
    <w:rsid w:val="000200C4"/>
    <w:rsid w:val="000200CE"/>
    <w:rsid w:val="00020103"/>
    <w:rsid w:val="000203BB"/>
    <w:rsid w:val="00020618"/>
    <w:rsid w:val="0002083B"/>
    <w:rsid w:val="00020973"/>
    <w:rsid w:val="000209FE"/>
    <w:rsid w:val="00020A03"/>
    <w:rsid w:val="00020B3E"/>
    <w:rsid w:val="00020BE8"/>
    <w:rsid w:val="00020C12"/>
    <w:rsid w:val="00020CB1"/>
    <w:rsid w:val="00020CB8"/>
    <w:rsid w:val="00020D9C"/>
    <w:rsid w:val="00020DED"/>
    <w:rsid w:val="00020E42"/>
    <w:rsid w:val="00020EE1"/>
    <w:rsid w:val="00021125"/>
    <w:rsid w:val="000211AD"/>
    <w:rsid w:val="000211CB"/>
    <w:rsid w:val="00021383"/>
    <w:rsid w:val="0002139B"/>
    <w:rsid w:val="0002148B"/>
    <w:rsid w:val="000215B5"/>
    <w:rsid w:val="000218D4"/>
    <w:rsid w:val="00021B35"/>
    <w:rsid w:val="00021BCE"/>
    <w:rsid w:val="00021CC0"/>
    <w:rsid w:val="00021E85"/>
    <w:rsid w:val="000220F4"/>
    <w:rsid w:val="0002225B"/>
    <w:rsid w:val="000223E4"/>
    <w:rsid w:val="0002264C"/>
    <w:rsid w:val="00022657"/>
    <w:rsid w:val="000228C4"/>
    <w:rsid w:val="000228EC"/>
    <w:rsid w:val="000228F8"/>
    <w:rsid w:val="00022D5D"/>
    <w:rsid w:val="000232EE"/>
    <w:rsid w:val="000233A6"/>
    <w:rsid w:val="00023437"/>
    <w:rsid w:val="00023527"/>
    <w:rsid w:val="000235E8"/>
    <w:rsid w:val="000236BA"/>
    <w:rsid w:val="000236DD"/>
    <w:rsid w:val="00023720"/>
    <w:rsid w:val="00023949"/>
    <w:rsid w:val="00023970"/>
    <w:rsid w:val="00023B20"/>
    <w:rsid w:val="00023B83"/>
    <w:rsid w:val="00023B85"/>
    <w:rsid w:val="00023C56"/>
    <w:rsid w:val="00023CC2"/>
    <w:rsid w:val="00023DB9"/>
    <w:rsid w:val="00024214"/>
    <w:rsid w:val="00024229"/>
    <w:rsid w:val="00024252"/>
    <w:rsid w:val="00024404"/>
    <w:rsid w:val="0002453E"/>
    <w:rsid w:val="00024945"/>
    <w:rsid w:val="00024ADB"/>
    <w:rsid w:val="00024CE2"/>
    <w:rsid w:val="00024CFC"/>
    <w:rsid w:val="00024D1D"/>
    <w:rsid w:val="00024D33"/>
    <w:rsid w:val="00024DCD"/>
    <w:rsid w:val="00024EF8"/>
    <w:rsid w:val="00025169"/>
    <w:rsid w:val="000254AC"/>
    <w:rsid w:val="000256EE"/>
    <w:rsid w:val="000257DB"/>
    <w:rsid w:val="000257EB"/>
    <w:rsid w:val="00025880"/>
    <w:rsid w:val="00025965"/>
    <w:rsid w:val="000259FD"/>
    <w:rsid w:val="00025D44"/>
    <w:rsid w:val="00025F49"/>
    <w:rsid w:val="000261C6"/>
    <w:rsid w:val="00026226"/>
    <w:rsid w:val="000262FE"/>
    <w:rsid w:val="00026346"/>
    <w:rsid w:val="000263CF"/>
    <w:rsid w:val="000263D7"/>
    <w:rsid w:val="000264E6"/>
    <w:rsid w:val="00026567"/>
    <w:rsid w:val="00026716"/>
    <w:rsid w:val="000267F3"/>
    <w:rsid w:val="000268F0"/>
    <w:rsid w:val="000269DB"/>
    <w:rsid w:val="000269FF"/>
    <w:rsid w:val="00026A29"/>
    <w:rsid w:val="00026B63"/>
    <w:rsid w:val="00026C46"/>
    <w:rsid w:val="00026E6E"/>
    <w:rsid w:val="00026EAC"/>
    <w:rsid w:val="00026ECB"/>
    <w:rsid w:val="00027034"/>
    <w:rsid w:val="000270FA"/>
    <w:rsid w:val="0002719A"/>
    <w:rsid w:val="0002735F"/>
    <w:rsid w:val="00027390"/>
    <w:rsid w:val="000273D3"/>
    <w:rsid w:val="00027539"/>
    <w:rsid w:val="0002766E"/>
    <w:rsid w:val="0002778F"/>
    <w:rsid w:val="0002786E"/>
    <w:rsid w:val="00027901"/>
    <w:rsid w:val="00027A66"/>
    <w:rsid w:val="00027ACA"/>
    <w:rsid w:val="00027BD8"/>
    <w:rsid w:val="00027EDA"/>
    <w:rsid w:val="00027FD0"/>
    <w:rsid w:val="00027FE1"/>
    <w:rsid w:val="000300F0"/>
    <w:rsid w:val="000301A9"/>
    <w:rsid w:val="000303C1"/>
    <w:rsid w:val="000304ED"/>
    <w:rsid w:val="00030550"/>
    <w:rsid w:val="00030678"/>
    <w:rsid w:val="00030964"/>
    <w:rsid w:val="000309B1"/>
    <w:rsid w:val="00030B7F"/>
    <w:rsid w:val="00030BA1"/>
    <w:rsid w:val="00030C49"/>
    <w:rsid w:val="00030D72"/>
    <w:rsid w:val="00030E4B"/>
    <w:rsid w:val="00030F90"/>
    <w:rsid w:val="000310E2"/>
    <w:rsid w:val="00031151"/>
    <w:rsid w:val="00031172"/>
    <w:rsid w:val="000311A1"/>
    <w:rsid w:val="00031387"/>
    <w:rsid w:val="00031472"/>
    <w:rsid w:val="00031551"/>
    <w:rsid w:val="00031573"/>
    <w:rsid w:val="00031579"/>
    <w:rsid w:val="000316AF"/>
    <w:rsid w:val="00031748"/>
    <w:rsid w:val="0003174F"/>
    <w:rsid w:val="0003185E"/>
    <w:rsid w:val="000318C5"/>
    <w:rsid w:val="00031A7C"/>
    <w:rsid w:val="00031BAB"/>
    <w:rsid w:val="00031C52"/>
    <w:rsid w:val="00031F9B"/>
    <w:rsid w:val="00031FC5"/>
    <w:rsid w:val="0003212C"/>
    <w:rsid w:val="0003213D"/>
    <w:rsid w:val="000321BF"/>
    <w:rsid w:val="00032319"/>
    <w:rsid w:val="0003232D"/>
    <w:rsid w:val="000323FC"/>
    <w:rsid w:val="000324A5"/>
    <w:rsid w:val="000325AE"/>
    <w:rsid w:val="00032620"/>
    <w:rsid w:val="000326D9"/>
    <w:rsid w:val="0003271B"/>
    <w:rsid w:val="0003279D"/>
    <w:rsid w:val="00032807"/>
    <w:rsid w:val="000328A8"/>
    <w:rsid w:val="00032A2C"/>
    <w:rsid w:val="00032AEB"/>
    <w:rsid w:val="00032B69"/>
    <w:rsid w:val="00032C45"/>
    <w:rsid w:val="00032F70"/>
    <w:rsid w:val="00033144"/>
    <w:rsid w:val="000331D2"/>
    <w:rsid w:val="00033261"/>
    <w:rsid w:val="000333FA"/>
    <w:rsid w:val="000334C4"/>
    <w:rsid w:val="0003382E"/>
    <w:rsid w:val="00033A4B"/>
    <w:rsid w:val="00033FF7"/>
    <w:rsid w:val="00034045"/>
    <w:rsid w:val="00034069"/>
    <w:rsid w:val="000341D6"/>
    <w:rsid w:val="000342AA"/>
    <w:rsid w:val="000343B3"/>
    <w:rsid w:val="000345B9"/>
    <w:rsid w:val="000345E2"/>
    <w:rsid w:val="00034621"/>
    <w:rsid w:val="00034633"/>
    <w:rsid w:val="00034719"/>
    <w:rsid w:val="0003478A"/>
    <w:rsid w:val="0003488A"/>
    <w:rsid w:val="000348F8"/>
    <w:rsid w:val="00034902"/>
    <w:rsid w:val="00034923"/>
    <w:rsid w:val="00034987"/>
    <w:rsid w:val="00034A87"/>
    <w:rsid w:val="00034C50"/>
    <w:rsid w:val="00034DCB"/>
    <w:rsid w:val="0003505B"/>
    <w:rsid w:val="00035131"/>
    <w:rsid w:val="000351A2"/>
    <w:rsid w:val="0003555B"/>
    <w:rsid w:val="000355C1"/>
    <w:rsid w:val="000357AB"/>
    <w:rsid w:val="00035858"/>
    <w:rsid w:val="0003596D"/>
    <w:rsid w:val="00035C3A"/>
    <w:rsid w:val="00035D6E"/>
    <w:rsid w:val="00035DA5"/>
    <w:rsid w:val="00035DF4"/>
    <w:rsid w:val="00035E1F"/>
    <w:rsid w:val="00035F32"/>
    <w:rsid w:val="00036055"/>
    <w:rsid w:val="000360F1"/>
    <w:rsid w:val="00036110"/>
    <w:rsid w:val="00036170"/>
    <w:rsid w:val="00036223"/>
    <w:rsid w:val="00036585"/>
    <w:rsid w:val="00036593"/>
    <w:rsid w:val="0003659D"/>
    <w:rsid w:val="00036973"/>
    <w:rsid w:val="00036A41"/>
    <w:rsid w:val="00036B24"/>
    <w:rsid w:val="00036CB4"/>
    <w:rsid w:val="00036E7F"/>
    <w:rsid w:val="0003710B"/>
    <w:rsid w:val="0003723C"/>
    <w:rsid w:val="0003737B"/>
    <w:rsid w:val="00037401"/>
    <w:rsid w:val="000374C1"/>
    <w:rsid w:val="000375A1"/>
    <w:rsid w:val="000376E8"/>
    <w:rsid w:val="00037722"/>
    <w:rsid w:val="000377F0"/>
    <w:rsid w:val="00037AC8"/>
    <w:rsid w:val="00037B68"/>
    <w:rsid w:val="00037BA0"/>
    <w:rsid w:val="00037CD7"/>
    <w:rsid w:val="00037D56"/>
    <w:rsid w:val="00037F95"/>
    <w:rsid w:val="00037FA0"/>
    <w:rsid w:val="000400E4"/>
    <w:rsid w:val="000400EF"/>
    <w:rsid w:val="000402FE"/>
    <w:rsid w:val="00040311"/>
    <w:rsid w:val="000403B8"/>
    <w:rsid w:val="0004057C"/>
    <w:rsid w:val="000407E6"/>
    <w:rsid w:val="0004099D"/>
    <w:rsid w:val="00040ABC"/>
    <w:rsid w:val="00040BA1"/>
    <w:rsid w:val="00040C5C"/>
    <w:rsid w:val="00040EC4"/>
    <w:rsid w:val="00040EDB"/>
    <w:rsid w:val="00040FE6"/>
    <w:rsid w:val="00040FF3"/>
    <w:rsid w:val="000410EF"/>
    <w:rsid w:val="00041298"/>
    <w:rsid w:val="000415B0"/>
    <w:rsid w:val="00041622"/>
    <w:rsid w:val="00041643"/>
    <w:rsid w:val="00041678"/>
    <w:rsid w:val="00041819"/>
    <w:rsid w:val="00041841"/>
    <w:rsid w:val="0004190B"/>
    <w:rsid w:val="0004191E"/>
    <w:rsid w:val="0004194B"/>
    <w:rsid w:val="000419AE"/>
    <w:rsid w:val="00041A70"/>
    <w:rsid w:val="00041CDB"/>
    <w:rsid w:val="00041CE5"/>
    <w:rsid w:val="00041EC5"/>
    <w:rsid w:val="00041F52"/>
    <w:rsid w:val="0004200B"/>
    <w:rsid w:val="000421D8"/>
    <w:rsid w:val="0004240E"/>
    <w:rsid w:val="00042488"/>
    <w:rsid w:val="000426D5"/>
    <w:rsid w:val="00042701"/>
    <w:rsid w:val="000427DE"/>
    <w:rsid w:val="0004282A"/>
    <w:rsid w:val="0004288F"/>
    <w:rsid w:val="0004294A"/>
    <w:rsid w:val="00042981"/>
    <w:rsid w:val="0004298A"/>
    <w:rsid w:val="000429E6"/>
    <w:rsid w:val="00042A02"/>
    <w:rsid w:val="00042ADD"/>
    <w:rsid w:val="00042B8F"/>
    <w:rsid w:val="00042CF7"/>
    <w:rsid w:val="00042E30"/>
    <w:rsid w:val="00042E59"/>
    <w:rsid w:val="00042EA3"/>
    <w:rsid w:val="00042EC2"/>
    <w:rsid w:val="00042EDB"/>
    <w:rsid w:val="00042F45"/>
    <w:rsid w:val="00043234"/>
    <w:rsid w:val="00043639"/>
    <w:rsid w:val="00043782"/>
    <w:rsid w:val="000438F3"/>
    <w:rsid w:val="00043954"/>
    <w:rsid w:val="00043B13"/>
    <w:rsid w:val="00043BF4"/>
    <w:rsid w:val="00043DFD"/>
    <w:rsid w:val="00043F44"/>
    <w:rsid w:val="00043FCE"/>
    <w:rsid w:val="00044112"/>
    <w:rsid w:val="00044114"/>
    <w:rsid w:val="0004414B"/>
    <w:rsid w:val="000441C4"/>
    <w:rsid w:val="000441E1"/>
    <w:rsid w:val="000442B2"/>
    <w:rsid w:val="0004442C"/>
    <w:rsid w:val="000444C2"/>
    <w:rsid w:val="00044602"/>
    <w:rsid w:val="00044672"/>
    <w:rsid w:val="00044810"/>
    <w:rsid w:val="00044895"/>
    <w:rsid w:val="00044A42"/>
    <w:rsid w:val="00044A54"/>
    <w:rsid w:val="00044AD1"/>
    <w:rsid w:val="00044B11"/>
    <w:rsid w:val="00044C47"/>
    <w:rsid w:val="00044FD4"/>
    <w:rsid w:val="000450C8"/>
    <w:rsid w:val="000450CB"/>
    <w:rsid w:val="000450DE"/>
    <w:rsid w:val="0004515F"/>
    <w:rsid w:val="0004516B"/>
    <w:rsid w:val="0004524C"/>
    <w:rsid w:val="000453F7"/>
    <w:rsid w:val="00045484"/>
    <w:rsid w:val="00045531"/>
    <w:rsid w:val="00045559"/>
    <w:rsid w:val="0004558C"/>
    <w:rsid w:val="0004569A"/>
    <w:rsid w:val="00045A5A"/>
    <w:rsid w:val="00045BFC"/>
    <w:rsid w:val="00045D79"/>
    <w:rsid w:val="00045DB1"/>
    <w:rsid w:val="00046052"/>
    <w:rsid w:val="00046069"/>
    <w:rsid w:val="00046171"/>
    <w:rsid w:val="000461A3"/>
    <w:rsid w:val="00046268"/>
    <w:rsid w:val="000462BC"/>
    <w:rsid w:val="000463A0"/>
    <w:rsid w:val="0004642E"/>
    <w:rsid w:val="000465EC"/>
    <w:rsid w:val="0004672B"/>
    <w:rsid w:val="0004677E"/>
    <w:rsid w:val="000467A0"/>
    <w:rsid w:val="00046A30"/>
    <w:rsid w:val="00046B21"/>
    <w:rsid w:val="00046BC3"/>
    <w:rsid w:val="00046CC6"/>
    <w:rsid w:val="00046D74"/>
    <w:rsid w:val="00046D9C"/>
    <w:rsid w:val="00046E0C"/>
    <w:rsid w:val="00046F0E"/>
    <w:rsid w:val="0004705F"/>
    <w:rsid w:val="000471B9"/>
    <w:rsid w:val="000472A9"/>
    <w:rsid w:val="000472BF"/>
    <w:rsid w:val="0004730D"/>
    <w:rsid w:val="00047332"/>
    <w:rsid w:val="000473D2"/>
    <w:rsid w:val="00047412"/>
    <w:rsid w:val="0004755B"/>
    <w:rsid w:val="000476C7"/>
    <w:rsid w:val="000477C9"/>
    <w:rsid w:val="000477D4"/>
    <w:rsid w:val="00047817"/>
    <w:rsid w:val="000478DC"/>
    <w:rsid w:val="00047D76"/>
    <w:rsid w:val="00047E34"/>
    <w:rsid w:val="00047EB8"/>
    <w:rsid w:val="00047F06"/>
    <w:rsid w:val="00047F0B"/>
    <w:rsid w:val="00050052"/>
    <w:rsid w:val="0005017D"/>
    <w:rsid w:val="00050194"/>
    <w:rsid w:val="000502C7"/>
    <w:rsid w:val="000506FE"/>
    <w:rsid w:val="000508AB"/>
    <w:rsid w:val="000508E0"/>
    <w:rsid w:val="00050910"/>
    <w:rsid w:val="00050922"/>
    <w:rsid w:val="00050975"/>
    <w:rsid w:val="00050AC4"/>
    <w:rsid w:val="00050B67"/>
    <w:rsid w:val="00050C33"/>
    <w:rsid w:val="00050D76"/>
    <w:rsid w:val="00050E3A"/>
    <w:rsid w:val="00050F33"/>
    <w:rsid w:val="0005106D"/>
    <w:rsid w:val="000510CA"/>
    <w:rsid w:val="000515B9"/>
    <w:rsid w:val="0005198E"/>
    <w:rsid w:val="00051A36"/>
    <w:rsid w:val="00051A52"/>
    <w:rsid w:val="00051A72"/>
    <w:rsid w:val="00051B02"/>
    <w:rsid w:val="00051CD6"/>
    <w:rsid w:val="00051D54"/>
    <w:rsid w:val="00051E4A"/>
    <w:rsid w:val="0005228F"/>
    <w:rsid w:val="0005288D"/>
    <w:rsid w:val="000528F0"/>
    <w:rsid w:val="00052912"/>
    <w:rsid w:val="0005296C"/>
    <w:rsid w:val="000529E6"/>
    <w:rsid w:val="00052B10"/>
    <w:rsid w:val="00052B31"/>
    <w:rsid w:val="00052BE3"/>
    <w:rsid w:val="00052C29"/>
    <w:rsid w:val="00052C38"/>
    <w:rsid w:val="00052C6E"/>
    <w:rsid w:val="00052E18"/>
    <w:rsid w:val="00052EFC"/>
    <w:rsid w:val="00052FC7"/>
    <w:rsid w:val="00053151"/>
    <w:rsid w:val="000534B2"/>
    <w:rsid w:val="00053550"/>
    <w:rsid w:val="00053648"/>
    <w:rsid w:val="00053766"/>
    <w:rsid w:val="00053950"/>
    <w:rsid w:val="00053989"/>
    <w:rsid w:val="000539F4"/>
    <w:rsid w:val="000539F8"/>
    <w:rsid w:val="00053A4A"/>
    <w:rsid w:val="00053AAC"/>
    <w:rsid w:val="00053ACD"/>
    <w:rsid w:val="00053B08"/>
    <w:rsid w:val="00053C5C"/>
    <w:rsid w:val="00053DB9"/>
    <w:rsid w:val="00053DE3"/>
    <w:rsid w:val="00053EE8"/>
    <w:rsid w:val="00053F4E"/>
    <w:rsid w:val="000541AA"/>
    <w:rsid w:val="000541C8"/>
    <w:rsid w:val="000541FE"/>
    <w:rsid w:val="00054250"/>
    <w:rsid w:val="00054445"/>
    <w:rsid w:val="000544A4"/>
    <w:rsid w:val="00054580"/>
    <w:rsid w:val="000545BD"/>
    <w:rsid w:val="000545E2"/>
    <w:rsid w:val="00054609"/>
    <w:rsid w:val="000546B2"/>
    <w:rsid w:val="0005478A"/>
    <w:rsid w:val="000548C5"/>
    <w:rsid w:val="00054955"/>
    <w:rsid w:val="00054966"/>
    <w:rsid w:val="00054B11"/>
    <w:rsid w:val="00054C8E"/>
    <w:rsid w:val="00054D32"/>
    <w:rsid w:val="00054D3A"/>
    <w:rsid w:val="00054ECB"/>
    <w:rsid w:val="00054F33"/>
    <w:rsid w:val="000550D2"/>
    <w:rsid w:val="000551BD"/>
    <w:rsid w:val="000551FB"/>
    <w:rsid w:val="0005545C"/>
    <w:rsid w:val="00055648"/>
    <w:rsid w:val="000557C6"/>
    <w:rsid w:val="00055886"/>
    <w:rsid w:val="000558E4"/>
    <w:rsid w:val="00055923"/>
    <w:rsid w:val="000559D7"/>
    <w:rsid w:val="00055B81"/>
    <w:rsid w:val="00055CC4"/>
    <w:rsid w:val="00055D1E"/>
    <w:rsid w:val="00055E8C"/>
    <w:rsid w:val="000560AD"/>
    <w:rsid w:val="00056222"/>
    <w:rsid w:val="00056269"/>
    <w:rsid w:val="0005640E"/>
    <w:rsid w:val="00056416"/>
    <w:rsid w:val="0005651E"/>
    <w:rsid w:val="00056597"/>
    <w:rsid w:val="000566E8"/>
    <w:rsid w:val="0005675B"/>
    <w:rsid w:val="00056833"/>
    <w:rsid w:val="00056848"/>
    <w:rsid w:val="00056868"/>
    <w:rsid w:val="000569A5"/>
    <w:rsid w:val="00056A2D"/>
    <w:rsid w:val="00056E0A"/>
    <w:rsid w:val="00056F35"/>
    <w:rsid w:val="00057044"/>
    <w:rsid w:val="000570C2"/>
    <w:rsid w:val="000571E2"/>
    <w:rsid w:val="000572CB"/>
    <w:rsid w:val="00057379"/>
    <w:rsid w:val="000573B5"/>
    <w:rsid w:val="000573C1"/>
    <w:rsid w:val="0005754D"/>
    <w:rsid w:val="0005760B"/>
    <w:rsid w:val="000576D5"/>
    <w:rsid w:val="00057746"/>
    <w:rsid w:val="000577FB"/>
    <w:rsid w:val="0005780E"/>
    <w:rsid w:val="00057860"/>
    <w:rsid w:val="00057944"/>
    <w:rsid w:val="0005794B"/>
    <w:rsid w:val="00057AA2"/>
    <w:rsid w:val="00057B94"/>
    <w:rsid w:val="00057BAE"/>
    <w:rsid w:val="00057CDD"/>
    <w:rsid w:val="00057D24"/>
    <w:rsid w:val="00057D48"/>
    <w:rsid w:val="00057D7E"/>
    <w:rsid w:val="0006015D"/>
    <w:rsid w:val="000601A6"/>
    <w:rsid w:val="000601C0"/>
    <w:rsid w:val="0006025D"/>
    <w:rsid w:val="000602E2"/>
    <w:rsid w:val="000606C0"/>
    <w:rsid w:val="000606C3"/>
    <w:rsid w:val="000606F5"/>
    <w:rsid w:val="00060982"/>
    <w:rsid w:val="000609AA"/>
    <w:rsid w:val="00060A1F"/>
    <w:rsid w:val="00060AA8"/>
    <w:rsid w:val="00060AFB"/>
    <w:rsid w:val="00060BEA"/>
    <w:rsid w:val="00060C9E"/>
    <w:rsid w:val="00060D8B"/>
    <w:rsid w:val="00060DEA"/>
    <w:rsid w:val="00060F18"/>
    <w:rsid w:val="00060F26"/>
    <w:rsid w:val="00060FD9"/>
    <w:rsid w:val="00061029"/>
    <w:rsid w:val="000610AC"/>
    <w:rsid w:val="000610BB"/>
    <w:rsid w:val="000611A8"/>
    <w:rsid w:val="000611C6"/>
    <w:rsid w:val="000611C8"/>
    <w:rsid w:val="000612D5"/>
    <w:rsid w:val="00061379"/>
    <w:rsid w:val="00061453"/>
    <w:rsid w:val="0006149B"/>
    <w:rsid w:val="000616D7"/>
    <w:rsid w:val="000617B6"/>
    <w:rsid w:val="000618FA"/>
    <w:rsid w:val="000619E3"/>
    <w:rsid w:val="00061A3F"/>
    <w:rsid w:val="00061E8A"/>
    <w:rsid w:val="00061FE6"/>
    <w:rsid w:val="00061FF5"/>
    <w:rsid w:val="00062003"/>
    <w:rsid w:val="0006202F"/>
    <w:rsid w:val="000622A0"/>
    <w:rsid w:val="0006231E"/>
    <w:rsid w:val="00062340"/>
    <w:rsid w:val="000624E2"/>
    <w:rsid w:val="00062655"/>
    <w:rsid w:val="00062836"/>
    <w:rsid w:val="000628EF"/>
    <w:rsid w:val="00062A26"/>
    <w:rsid w:val="00062BBA"/>
    <w:rsid w:val="00062BC1"/>
    <w:rsid w:val="00063083"/>
    <w:rsid w:val="000632B8"/>
    <w:rsid w:val="00063446"/>
    <w:rsid w:val="000634EE"/>
    <w:rsid w:val="000637AF"/>
    <w:rsid w:val="000637E9"/>
    <w:rsid w:val="00063843"/>
    <w:rsid w:val="00063A18"/>
    <w:rsid w:val="00063B79"/>
    <w:rsid w:val="00063BFD"/>
    <w:rsid w:val="00063C48"/>
    <w:rsid w:val="00063D26"/>
    <w:rsid w:val="00063D53"/>
    <w:rsid w:val="00063DCE"/>
    <w:rsid w:val="00063FC1"/>
    <w:rsid w:val="00063FE2"/>
    <w:rsid w:val="00064025"/>
    <w:rsid w:val="0006407E"/>
    <w:rsid w:val="000641E2"/>
    <w:rsid w:val="00064204"/>
    <w:rsid w:val="00064279"/>
    <w:rsid w:val="00064297"/>
    <w:rsid w:val="000642B6"/>
    <w:rsid w:val="00064301"/>
    <w:rsid w:val="0006438C"/>
    <w:rsid w:val="0006445C"/>
    <w:rsid w:val="000644B4"/>
    <w:rsid w:val="000645CD"/>
    <w:rsid w:val="000646C5"/>
    <w:rsid w:val="000646EB"/>
    <w:rsid w:val="0006478A"/>
    <w:rsid w:val="000647C6"/>
    <w:rsid w:val="00064A8C"/>
    <w:rsid w:val="00064E19"/>
    <w:rsid w:val="00064E58"/>
    <w:rsid w:val="00064EF3"/>
    <w:rsid w:val="00064FF3"/>
    <w:rsid w:val="000650B1"/>
    <w:rsid w:val="000650ED"/>
    <w:rsid w:val="000651EF"/>
    <w:rsid w:val="000653DB"/>
    <w:rsid w:val="00065411"/>
    <w:rsid w:val="00065439"/>
    <w:rsid w:val="000654DA"/>
    <w:rsid w:val="000655C6"/>
    <w:rsid w:val="000656B7"/>
    <w:rsid w:val="00065A2E"/>
    <w:rsid w:val="00065A67"/>
    <w:rsid w:val="00065B81"/>
    <w:rsid w:val="00065BF3"/>
    <w:rsid w:val="00065CB2"/>
    <w:rsid w:val="00065D5E"/>
    <w:rsid w:val="00065FA3"/>
    <w:rsid w:val="0006635E"/>
    <w:rsid w:val="00066536"/>
    <w:rsid w:val="000665A3"/>
    <w:rsid w:val="00066629"/>
    <w:rsid w:val="0006699F"/>
    <w:rsid w:val="000669CE"/>
    <w:rsid w:val="00066B14"/>
    <w:rsid w:val="00066B42"/>
    <w:rsid w:val="00066BBC"/>
    <w:rsid w:val="00066C15"/>
    <w:rsid w:val="00066C46"/>
    <w:rsid w:val="00066CCD"/>
    <w:rsid w:val="00066DF4"/>
    <w:rsid w:val="000670E0"/>
    <w:rsid w:val="0006728F"/>
    <w:rsid w:val="0006742C"/>
    <w:rsid w:val="000674D9"/>
    <w:rsid w:val="000675B8"/>
    <w:rsid w:val="00067623"/>
    <w:rsid w:val="00067680"/>
    <w:rsid w:val="000677E7"/>
    <w:rsid w:val="0006781C"/>
    <w:rsid w:val="0006783B"/>
    <w:rsid w:val="00067B0B"/>
    <w:rsid w:val="00067B97"/>
    <w:rsid w:val="00067B98"/>
    <w:rsid w:val="00067BA3"/>
    <w:rsid w:val="00067C00"/>
    <w:rsid w:val="00067C25"/>
    <w:rsid w:val="00067CC7"/>
    <w:rsid w:val="00067F02"/>
    <w:rsid w:val="00067FDB"/>
    <w:rsid w:val="0007014D"/>
    <w:rsid w:val="00070361"/>
    <w:rsid w:val="000703B1"/>
    <w:rsid w:val="0007084B"/>
    <w:rsid w:val="00070CA3"/>
    <w:rsid w:val="00070CA9"/>
    <w:rsid w:val="00070D8D"/>
    <w:rsid w:val="00070E42"/>
    <w:rsid w:val="00071021"/>
    <w:rsid w:val="0007106F"/>
    <w:rsid w:val="00071171"/>
    <w:rsid w:val="000711D4"/>
    <w:rsid w:val="000712D4"/>
    <w:rsid w:val="000713AD"/>
    <w:rsid w:val="00071498"/>
    <w:rsid w:val="00071785"/>
    <w:rsid w:val="000717F1"/>
    <w:rsid w:val="0007187D"/>
    <w:rsid w:val="000718B3"/>
    <w:rsid w:val="0007191A"/>
    <w:rsid w:val="00071A1A"/>
    <w:rsid w:val="00071BDC"/>
    <w:rsid w:val="00071C14"/>
    <w:rsid w:val="00071C7F"/>
    <w:rsid w:val="00071D1F"/>
    <w:rsid w:val="00071DA4"/>
    <w:rsid w:val="0007201D"/>
    <w:rsid w:val="0007202E"/>
    <w:rsid w:val="000720C0"/>
    <w:rsid w:val="000721A6"/>
    <w:rsid w:val="000721F5"/>
    <w:rsid w:val="000722AB"/>
    <w:rsid w:val="00072387"/>
    <w:rsid w:val="00072530"/>
    <w:rsid w:val="0007275B"/>
    <w:rsid w:val="000729BD"/>
    <w:rsid w:val="00072BD5"/>
    <w:rsid w:val="00072CA9"/>
    <w:rsid w:val="00072D97"/>
    <w:rsid w:val="00072E45"/>
    <w:rsid w:val="00072E7B"/>
    <w:rsid w:val="00072F15"/>
    <w:rsid w:val="00072F53"/>
    <w:rsid w:val="00073059"/>
    <w:rsid w:val="0007316D"/>
    <w:rsid w:val="000731D2"/>
    <w:rsid w:val="00073256"/>
    <w:rsid w:val="000735A3"/>
    <w:rsid w:val="000736C5"/>
    <w:rsid w:val="000736DD"/>
    <w:rsid w:val="00073820"/>
    <w:rsid w:val="000738B4"/>
    <w:rsid w:val="00073966"/>
    <w:rsid w:val="00073A40"/>
    <w:rsid w:val="00073A45"/>
    <w:rsid w:val="00073A62"/>
    <w:rsid w:val="00073ABA"/>
    <w:rsid w:val="00073B71"/>
    <w:rsid w:val="00073BFB"/>
    <w:rsid w:val="00073D38"/>
    <w:rsid w:val="00073D49"/>
    <w:rsid w:val="00073DE4"/>
    <w:rsid w:val="00073E5C"/>
    <w:rsid w:val="00073E99"/>
    <w:rsid w:val="00074108"/>
    <w:rsid w:val="000741C8"/>
    <w:rsid w:val="000741E6"/>
    <w:rsid w:val="0007421E"/>
    <w:rsid w:val="0007437B"/>
    <w:rsid w:val="00074481"/>
    <w:rsid w:val="00074509"/>
    <w:rsid w:val="00074A0A"/>
    <w:rsid w:val="00074AF1"/>
    <w:rsid w:val="00074D1D"/>
    <w:rsid w:val="00074DE9"/>
    <w:rsid w:val="00074DF6"/>
    <w:rsid w:val="00074E09"/>
    <w:rsid w:val="00074E1E"/>
    <w:rsid w:val="00074F14"/>
    <w:rsid w:val="00074FD6"/>
    <w:rsid w:val="0007502B"/>
    <w:rsid w:val="00075089"/>
    <w:rsid w:val="00075152"/>
    <w:rsid w:val="00075200"/>
    <w:rsid w:val="000752A1"/>
    <w:rsid w:val="00075344"/>
    <w:rsid w:val="00075367"/>
    <w:rsid w:val="0007540A"/>
    <w:rsid w:val="0007541F"/>
    <w:rsid w:val="00075590"/>
    <w:rsid w:val="0007563A"/>
    <w:rsid w:val="0007569E"/>
    <w:rsid w:val="000756BB"/>
    <w:rsid w:val="000758E1"/>
    <w:rsid w:val="0007595C"/>
    <w:rsid w:val="00075A74"/>
    <w:rsid w:val="00075AFB"/>
    <w:rsid w:val="00075B13"/>
    <w:rsid w:val="00075F31"/>
    <w:rsid w:val="00075FF7"/>
    <w:rsid w:val="00076631"/>
    <w:rsid w:val="000768CE"/>
    <w:rsid w:val="00076B28"/>
    <w:rsid w:val="00076BCD"/>
    <w:rsid w:val="00076D81"/>
    <w:rsid w:val="00076F46"/>
    <w:rsid w:val="00076FAD"/>
    <w:rsid w:val="000771D7"/>
    <w:rsid w:val="00077421"/>
    <w:rsid w:val="000776F6"/>
    <w:rsid w:val="00077741"/>
    <w:rsid w:val="0007779B"/>
    <w:rsid w:val="00077819"/>
    <w:rsid w:val="00077931"/>
    <w:rsid w:val="000779AD"/>
    <w:rsid w:val="00077B2F"/>
    <w:rsid w:val="00077C6D"/>
    <w:rsid w:val="00077F6D"/>
    <w:rsid w:val="00077FCE"/>
    <w:rsid w:val="00080053"/>
    <w:rsid w:val="00080192"/>
    <w:rsid w:val="000803AF"/>
    <w:rsid w:val="000804FE"/>
    <w:rsid w:val="00080575"/>
    <w:rsid w:val="00080779"/>
    <w:rsid w:val="000808EC"/>
    <w:rsid w:val="0008091E"/>
    <w:rsid w:val="00080A15"/>
    <w:rsid w:val="00080A5C"/>
    <w:rsid w:val="00080C02"/>
    <w:rsid w:val="00080C09"/>
    <w:rsid w:val="00081378"/>
    <w:rsid w:val="000813AB"/>
    <w:rsid w:val="00081410"/>
    <w:rsid w:val="0008144F"/>
    <w:rsid w:val="000815E8"/>
    <w:rsid w:val="00081794"/>
    <w:rsid w:val="00081833"/>
    <w:rsid w:val="0008187B"/>
    <w:rsid w:val="00081901"/>
    <w:rsid w:val="0008192B"/>
    <w:rsid w:val="00081B52"/>
    <w:rsid w:val="00081C34"/>
    <w:rsid w:val="00081D02"/>
    <w:rsid w:val="00081D3C"/>
    <w:rsid w:val="000820D8"/>
    <w:rsid w:val="00082238"/>
    <w:rsid w:val="000822D8"/>
    <w:rsid w:val="000822EA"/>
    <w:rsid w:val="00082538"/>
    <w:rsid w:val="0008263F"/>
    <w:rsid w:val="0008277B"/>
    <w:rsid w:val="000827E3"/>
    <w:rsid w:val="000828CF"/>
    <w:rsid w:val="000829A3"/>
    <w:rsid w:val="00082A16"/>
    <w:rsid w:val="00082B0B"/>
    <w:rsid w:val="00082C6B"/>
    <w:rsid w:val="00082D23"/>
    <w:rsid w:val="00082D81"/>
    <w:rsid w:val="00082EF0"/>
    <w:rsid w:val="00082EFB"/>
    <w:rsid w:val="00082FA5"/>
    <w:rsid w:val="00082FFC"/>
    <w:rsid w:val="0008303D"/>
    <w:rsid w:val="00083150"/>
    <w:rsid w:val="00083170"/>
    <w:rsid w:val="00083178"/>
    <w:rsid w:val="000832AC"/>
    <w:rsid w:val="0008350F"/>
    <w:rsid w:val="00083691"/>
    <w:rsid w:val="000836EB"/>
    <w:rsid w:val="000836F2"/>
    <w:rsid w:val="00083934"/>
    <w:rsid w:val="000839B0"/>
    <w:rsid w:val="000839F8"/>
    <w:rsid w:val="00083BB7"/>
    <w:rsid w:val="00083CAC"/>
    <w:rsid w:val="00083D9E"/>
    <w:rsid w:val="00083DC0"/>
    <w:rsid w:val="00083DE1"/>
    <w:rsid w:val="00083E48"/>
    <w:rsid w:val="00083FC1"/>
    <w:rsid w:val="000840DB"/>
    <w:rsid w:val="0008417D"/>
    <w:rsid w:val="000841F9"/>
    <w:rsid w:val="000842BC"/>
    <w:rsid w:val="000842EE"/>
    <w:rsid w:val="00084758"/>
    <w:rsid w:val="0008489E"/>
    <w:rsid w:val="00084A50"/>
    <w:rsid w:val="00084B8D"/>
    <w:rsid w:val="00084E8E"/>
    <w:rsid w:val="00084EE1"/>
    <w:rsid w:val="00085123"/>
    <w:rsid w:val="0008577F"/>
    <w:rsid w:val="00085798"/>
    <w:rsid w:val="00085799"/>
    <w:rsid w:val="000857FD"/>
    <w:rsid w:val="00085857"/>
    <w:rsid w:val="000858B9"/>
    <w:rsid w:val="00085A3B"/>
    <w:rsid w:val="00085BFF"/>
    <w:rsid w:val="00085DDC"/>
    <w:rsid w:val="00085E0E"/>
    <w:rsid w:val="00085E30"/>
    <w:rsid w:val="00086038"/>
    <w:rsid w:val="0008605A"/>
    <w:rsid w:val="0008616C"/>
    <w:rsid w:val="00086244"/>
    <w:rsid w:val="000863C1"/>
    <w:rsid w:val="00086591"/>
    <w:rsid w:val="000865A9"/>
    <w:rsid w:val="000865EE"/>
    <w:rsid w:val="0008671A"/>
    <w:rsid w:val="000867BE"/>
    <w:rsid w:val="000868E5"/>
    <w:rsid w:val="00086B0D"/>
    <w:rsid w:val="00086BB8"/>
    <w:rsid w:val="00086BE7"/>
    <w:rsid w:val="00086C3F"/>
    <w:rsid w:val="00086C66"/>
    <w:rsid w:val="00086CB5"/>
    <w:rsid w:val="00086CEB"/>
    <w:rsid w:val="00086CEF"/>
    <w:rsid w:val="00086DF1"/>
    <w:rsid w:val="00086E98"/>
    <w:rsid w:val="00086F95"/>
    <w:rsid w:val="000871CF"/>
    <w:rsid w:val="0008722F"/>
    <w:rsid w:val="0008727D"/>
    <w:rsid w:val="00087379"/>
    <w:rsid w:val="00087462"/>
    <w:rsid w:val="0008756F"/>
    <w:rsid w:val="0008775C"/>
    <w:rsid w:val="00087771"/>
    <w:rsid w:val="00087A87"/>
    <w:rsid w:val="00087B5F"/>
    <w:rsid w:val="00087C63"/>
    <w:rsid w:val="00087D43"/>
    <w:rsid w:val="00087D50"/>
    <w:rsid w:val="000900B2"/>
    <w:rsid w:val="00090186"/>
    <w:rsid w:val="000901C1"/>
    <w:rsid w:val="00090201"/>
    <w:rsid w:val="0009032C"/>
    <w:rsid w:val="0009032D"/>
    <w:rsid w:val="00090363"/>
    <w:rsid w:val="0009048F"/>
    <w:rsid w:val="000904D5"/>
    <w:rsid w:val="00090781"/>
    <w:rsid w:val="000907EA"/>
    <w:rsid w:val="0009081C"/>
    <w:rsid w:val="000909E5"/>
    <w:rsid w:val="00090AD6"/>
    <w:rsid w:val="00090AF4"/>
    <w:rsid w:val="00090BEA"/>
    <w:rsid w:val="00090C69"/>
    <w:rsid w:val="00090EB2"/>
    <w:rsid w:val="00090EDE"/>
    <w:rsid w:val="00090F86"/>
    <w:rsid w:val="00091187"/>
    <w:rsid w:val="000911B5"/>
    <w:rsid w:val="00091320"/>
    <w:rsid w:val="000913A1"/>
    <w:rsid w:val="000913FE"/>
    <w:rsid w:val="0009181C"/>
    <w:rsid w:val="00091DCB"/>
    <w:rsid w:val="00091F47"/>
    <w:rsid w:val="00091FEC"/>
    <w:rsid w:val="00092069"/>
    <w:rsid w:val="000920BC"/>
    <w:rsid w:val="0009223E"/>
    <w:rsid w:val="00092536"/>
    <w:rsid w:val="0009266D"/>
    <w:rsid w:val="00092672"/>
    <w:rsid w:val="0009275D"/>
    <w:rsid w:val="0009287B"/>
    <w:rsid w:val="00092A4A"/>
    <w:rsid w:val="00092A6B"/>
    <w:rsid w:val="00092B21"/>
    <w:rsid w:val="00092D72"/>
    <w:rsid w:val="00092DD0"/>
    <w:rsid w:val="00093299"/>
    <w:rsid w:val="0009348E"/>
    <w:rsid w:val="00093548"/>
    <w:rsid w:val="00093652"/>
    <w:rsid w:val="000936C7"/>
    <w:rsid w:val="00093861"/>
    <w:rsid w:val="00093874"/>
    <w:rsid w:val="00093972"/>
    <w:rsid w:val="000939F8"/>
    <w:rsid w:val="00093C2D"/>
    <w:rsid w:val="00093C68"/>
    <w:rsid w:val="00093C88"/>
    <w:rsid w:val="000940B7"/>
    <w:rsid w:val="00094285"/>
    <w:rsid w:val="0009439A"/>
    <w:rsid w:val="00094453"/>
    <w:rsid w:val="000944BA"/>
    <w:rsid w:val="00094572"/>
    <w:rsid w:val="000949A2"/>
    <w:rsid w:val="00094A08"/>
    <w:rsid w:val="00094A9D"/>
    <w:rsid w:val="00094D4A"/>
    <w:rsid w:val="00094D87"/>
    <w:rsid w:val="00094E26"/>
    <w:rsid w:val="00094E38"/>
    <w:rsid w:val="00094E4C"/>
    <w:rsid w:val="00094F47"/>
    <w:rsid w:val="00094F9B"/>
    <w:rsid w:val="00095056"/>
    <w:rsid w:val="00095103"/>
    <w:rsid w:val="000951E1"/>
    <w:rsid w:val="000952BE"/>
    <w:rsid w:val="0009552B"/>
    <w:rsid w:val="000956DE"/>
    <w:rsid w:val="00095866"/>
    <w:rsid w:val="00095883"/>
    <w:rsid w:val="00095A07"/>
    <w:rsid w:val="00095A10"/>
    <w:rsid w:val="00095B81"/>
    <w:rsid w:val="00095E30"/>
    <w:rsid w:val="00095F40"/>
    <w:rsid w:val="00095F50"/>
    <w:rsid w:val="00095FD3"/>
    <w:rsid w:val="000962D7"/>
    <w:rsid w:val="00096355"/>
    <w:rsid w:val="0009636F"/>
    <w:rsid w:val="000963F4"/>
    <w:rsid w:val="00096635"/>
    <w:rsid w:val="0009666C"/>
    <w:rsid w:val="000966D0"/>
    <w:rsid w:val="0009678C"/>
    <w:rsid w:val="000969CD"/>
    <w:rsid w:val="00096CBF"/>
    <w:rsid w:val="00096E89"/>
    <w:rsid w:val="00096EC9"/>
    <w:rsid w:val="00096EF9"/>
    <w:rsid w:val="00096FDB"/>
    <w:rsid w:val="000970F8"/>
    <w:rsid w:val="00097107"/>
    <w:rsid w:val="000972EF"/>
    <w:rsid w:val="0009752A"/>
    <w:rsid w:val="000976F7"/>
    <w:rsid w:val="00097746"/>
    <w:rsid w:val="00097775"/>
    <w:rsid w:val="000977F6"/>
    <w:rsid w:val="0009785A"/>
    <w:rsid w:val="000978D1"/>
    <w:rsid w:val="00097A31"/>
    <w:rsid w:val="00097A67"/>
    <w:rsid w:val="00097AC1"/>
    <w:rsid w:val="00097AFB"/>
    <w:rsid w:val="00097B0B"/>
    <w:rsid w:val="00097B6B"/>
    <w:rsid w:val="00097BEA"/>
    <w:rsid w:val="00097EA9"/>
    <w:rsid w:val="000A01D7"/>
    <w:rsid w:val="000A025A"/>
    <w:rsid w:val="000A047A"/>
    <w:rsid w:val="000A04B6"/>
    <w:rsid w:val="000A0666"/>
    <w:rsid w:val="000A0695"/>
    <w:rsid w:val="000A075D"/>
    <w:rsid w:val="000A0761"/>
    <w:rsid w:val="000A07BB"/>
    <w:rsid w:val="000A083F"/>
    <w:rsid w:val="000A08D6"/>
    <w:rsid w:val="000A091C"/>
    <w:rsid w:val="000A0A19"/>
    <w:rsid w:val="000A0E24"/>
    <w:rsid w:val="000A0FCB"/>
    <w:rsid w:val="000A1029"/>
    <w:rsid w:val="000A10A8"/>
    <w:rsid w:val="000A11EB"/>
    <w:rsid w:val="000A11F7"/>
    <w:rsid w:val="000A122C"/>
    <w:rsid w:val="000A1286"/>
    <w:rsid w:val="000A1333"/>
    <w:rsid w:val="000A13FF"/>
    <w:rsid w:val="000A1477"/>
    <w:rsid w:val="000A16E1"/>
    <w:rsid w:val="000A180F"/>
    <w:rsid w:val="000A1992"/>
    <w:rsid w:val="000A19C5"/>
    <w:rsid w:val="000A1A2D"/>
    <w:rsid w:val="000A1A8F"/>
    <w:rsid w:val="000A1B02"/>
    <w:rsid w:val="000A1CDD"/>
    <w:rsid w:val="000A1D93"/>
    <w:rsid w:val="000A1EE7"/>
    <w:rsid w:val="000A202E"/>
    <w:rsid w:val="000A24D1"/>
    <w:rsid w:val="000A24D3"/>
    <w:rsid w:val="000A258D"/>
    <w:rsid w:val="000A25AC"/>
    <w:rsid w:val="000A2639"/>
    <w:rsid w:val="000A2962"/>
    <w:rsid w:val="000A2C21"/>
    <w:rsid w:val="000A2C44"/>
    <w:rsid w:val="000A2CE9"/>
    <w:rsid w:val="000A2D80"/>
    <w:rsid w:val="000A2ED9"/>
    <w:rsid w:val="000A311C"/>
    <w:rsid w:val="000A3621"/>
    <w:rsid w:val="000A3657"/>
    <w:rsid w:val="000A3707"/>
    <w:rsid w:val="000A3AA3"/>
    <w:rsid w:val="000A3BCE"/>
    <w:rsid w:val="000A3F4F"/>
    <w:rsid w:val="000A3F88"/>
    <w:rsid w:val="000A40A3"/>
    <w:rsid w:val="000A4167"/>
    <w:rsid w:val="000A418E"/>
    <w:rsid w:val="000A4365"/>
    <w:rsid w:val="000A4619"/>
    <w:rsid w:val="000A46E5"/>
    <w:rsid w:val="000A4717"/>
    <w:rsid w:val="000A47AF"/>
    <w:rsid w:val="000A48CF"/>
    <w:rsid w:val="000A4B6F"/>
    <w:rsid w:val="000A4B8F"/>
    <w:rsid w:val="000A4BCF"/>
    <w:rsid w:val="000A4C46"/>
    <w:rsid w:val="000A4D73"/>
    <w:rsid w:val="000A50A6"/>
    <w:rsid w:val="000A50D1"/>
    <w:rsid w:val="000A513C"/>
    <w:rsid w:val="000A5147"/>
    <w:rsid w:val="000A539D"/>
    <w:rsid w:val="000A53C9"/>
    <w:rsid w:val="000A5506"/>
    <w:rsid w:val="000A5524"/>
    <w:rsid w:val="000A5653"/>
    <w:rsid w:val="000A57EB"/>
    <w:rsid w:val="000A586B"/>
    <w:rsid w:val="000A58B7"/>
    <w:rsid w:val="000A5916"/>
    <w:rsid w:val="000A5A02"/>
    <w:rsid w:val="000A5C63"/>
    <w:rsid w:val="000A5D09"/>
    <w:rsid w:val="000A5D51"/>
    <w:rsid w:val="000A6012"/>
    <w:rsid w:val="000A607F"/>
    <w:rsid w:val="000A6233"/>
    <w:rsid w:val="000A62FE"/>
    <w:rsid w:val="000A64D2"/>
    <w:rsid w:val="000A64F4"/>
    <w:rsid w:val="000A6590"/>
    <w:rsid w:val="000A6712"/>
    <w:rsid w:val="000A6B06"/>
    <w:rsid w:val="000A6BC0"/>
    <w:rsid w:val="000A6BC2"/>
    <w:rsid w:val="000A6C9D"/>
    <w:rsid w:val="000A6DC4"/>
    <w:rsid w:val="000A6E2F"/>
    <w:rsid w:val="000A70EA"/>
    <w:rsid w:val="000A7135"/>
    <w:rsid w:val="000A718E"/>
    <w:rsid w:val="000A7217"/>
    <w:rsid w:val="000A735A"/>
    <w:rsid w:val="000A7496"/>
    <w:rsid w:val="000A74CE"/>
    <w:rsid w:val="000A74F2"/>
    <w:rsid w:val="000A762E"/>
    <w:rsid w:val="000A7633"/>
    <w:rsid w:val="000A77C9"/>
    <w:rsid w:val="000A789F"/>
    <w:rsid w:val="000A78BF"/>
    <w:rsid w:val="000A7A1E"/>
    <w:rsid w:val="000A7A35"/>
    <w:rsid w:val="000A7AAC"/>
    <w:rsid w:val="000A7B52"/>
    <w:rsid w:val="000A7B82"/>
    <w:rsid w:val="000A7BFF"/>
    <w:rsid w:val="000A7CDA"/>
    <w:rsid w:val="000A7D1E"/>
    <w:rsid w:val="000A7D6F"/>
    <w:rsid w:val="000A7D7B"/>
    <w:rsid w:val="000A7E7C"/>
    <w:rsid w:val="000A7EB8"/>
    <w:rsid w:val="000A7F44"/>
    <w:rsid w:val="000B002B"/>
    <w:rsid w:val="000B00D3"/>
    <w:rsid w:val="000B0117"/>
    <w:rsid w:val="000B01A2"/>
    <w:rsid w:val="000B02AB"/>
    <w:rsid w:val="000B0305"/>
    <w:rsid w:val="000B04AE"/>
    <w:rsid w:val="000B0645"/>
    <w:rsid w:val="000B0885"/>
    <w:rsid w:val="000B0977"/>
    <w:rsid w:val="000B0A81"/>
    <w:rsid w:val="000B0C8A"/>
    <w:rsid w:val="000B0D01"/>
    <w:rsid w:val="000B0DF0"/>
    <w:rsid w:val="000B0E9A"/>
    <w:rsid w:val="000B101B"/>
    <w:rsid w:val="000B105B"/>
    <w:rsid w:val="000B12A4"/>
    <w:rsid w:val="000B137F"/>
    <w:rsid w:val="000B1381"/>
    <w:rsid w:val="000B145D"/>
    <w:rsid w:val="000B1774"/>
    <w:rsid w:val="000B1782"/>
    <w:rsid w:val="000B1937"/>
    <w:rsid w:val="000B1A4F"/>
    <w:rsid w:val="000B1A6E"/>
    <w:rsid w:val="000B1B10"/>
    <w:rsid w:val="000B1B21"/>
    <w:rsid w:val="000B1BE2"/>
    <w:rsid w:val="000B1CA6"/>
    <w:rsid w:val="000B1CC4"/>
    <w:rsid w:val="000B1D1A"/>
    <w:rsid w:val="000B1EDE"/>
    <w:rsid w:val="000B1F58"/>
    <w:rsid w:val="000B20F4"/>
    <w:rsid w:val="000B23E7"/>
    <w:rsid w:val="000B2561"/>
    <w:rsid w:val="000B2593"/>
    <w:rsid w:val="000B2832"/>
    <w:rsid w:val="000B2AB4"/>
    <w:rsid w:val="000B2B61"/>
    <w:rsid w:val="000B2BFC"/>
    <w:rsid w:val="000B2CE7"/>
    <w:rsid w:val="000B2DF1"/>
    <w:rsid w:val="000B32D7"/>
    <w:rsid w:val="000B336A"/>
    <w:rsid w:val="000B3377"/>
    <w:rsid w:val="000B34CE"/>
    <w:rsid w:val="000B34EE"/>
    <w:rsid w:val="000B3518"/>
    <w:rsid w:val="000B36B8"/>
    <w:rsid w:val="000B36CC"/>
    <w:rsid w:val="000B376A"/>
    <w:rsid w:val="000B3777"/>
    <w:rsid w:val="000B37F8"/>
    <w:rsid w:val="000B383B"/>
    <w:rsid w:val="000B39A2"/>
    <w:rsid w:val="000B3A07"/>
    <w:rsid w:val="000B3B42"/>
    <w:rsid w:val="000B3B62"/>
    <w:rsid w:val="000B3BBA"/>
    <w:rsid w:val="000B3C16"/>
    <w:rsid w:val="000B3CAA"/>
    <w:rsid w:val="000B3D13"/>
    <w:rsid w:val="000B3D17"/>
    <w:rsid w:val="000B3D2A"/>
    <w:rsid w:val="000B40DB"/>
    <w:rsid w:val="000B4308"/>
    <w:rsid w:val="000B44C4"/>
    <w:rsid w:val="000B44F2"/>
    <w:rsid w:val="000B450E"/>
    <w:rsid w:val="000B45C0"/>
    <w:rsid w:val="000B45D5"/>
    <w:rsid w:val="000B4752"/>
    <w:rsid w:val="000B477E"/>
    <w:rsid w:val="000B4786"/>
    <w:rsid w:val="000B489B"/>
    <w:rsid w:val="000B4BBD"/>
    <w:rsid w:val="000B4BEB"/>
    <w:rsid w:val="000B4CFD"/>
    <w:rsid w:val="000B4EB8"/>
    <w:rsid w:val="000B4F08"/>
    <w:rsid w:val="000B524C"/>
    <w:rsid w:val="000B5364"/>
    <w:rsid w:val="000B5395"/>
    <w:rsid w:val="000B581D"/>
    <w:rsid w:val="000B588B"/>
    <w:rsid w:val="000B58F2"/>
    <w:rsid w:val="000B5957"/>
    <w:rsid w:val="000B5A8F"/>
    <w:rsid w:val="000B5CF6"/>
    <w:rsid w:val="000B5ED6"/>
    <w:rsid w:val="000B5F81"/>
    <w:rsid w:val="000B6316"/>
    <w:rsid w:val="000B6521"/>
    <w:rsid w:val="000B6588"/>
    <w:rsid w:val="000B6717"/>
    <w:rsid w:val="000B683C"/>
    <w:rsid w:val="000B6871"/>
    <w:rsid w:val="000B68BF"/>
    <w:rsid w:val="000B6A38"/>
    <w:rsid w:val="000B6BC4"/>
    <w:rsid w:val="000B6CC0"/>
    <w:rsid w:val="000B6CDC"/>
    <w:rsid w:val="000B6D83"/>
    <w:rsid w:val="000B6EC1"/>
    <w:rsid w:val="000B6F52"/>
    <w:rsid w:val="000B7000"/>
    <w:rsid w:val="000B711F"/>
    <w:rsid w:val="000B72C1"/>
    <w:rsid w:val="000B742F"/>
    <w:rsid w:val="000B75AA"/>
    <w:rsid w:val="000B77FC"/>
    <w:rsid w:val="000B782C"/>
    <w:rsid w:val="000B7A40"/>
    <w:rsid w:val="000B7C3A"/>
    <w:rsid w:val="000B7EE8"/>
    <w:rsid w:val="000C005B"/>
    <w:rsid w:val="000C0133"/>
    <w:rsid w:val="000C0228"/>
    <w:rsid w:val="000C041F"/>
    <w:rsid w:val="000C0467"/>
    <w:rsid w:val="000C057F"/>
    <w:rsid w:val="000C06DB"/>
    <w:rsid w:val="000C08B8"/>
    <w:rsid w:val="000C0A91"/>
    <w:rsid w:val="000C0C0D"/>
    <w:rsid w:val="000C0DE3"/>
    <w:rsid w:val="000C0ED9"/>
    <w:rsid w:val="000C115D"/>
    <w:rsid w:val="000C1467"/>
    <w:rsid w:val="000C148D"/>
    <w:rsid w:val="000C14AF"/>
    <w:rsid w:val="000C15CD"/>
    <w:rsid w:val="000C15DB"/>
    <w:rsid w:val="000C161E"/>
    <w:rsid w:val="000C16E2"/>
    <w:rsid w:val="000C18D2"/>
    <w:rsid w:val="000C19DC"/>
    <w:rsid w:val="000C1B71"/>
    <w:rsid w:val="000C1CE3"/>
    <w:rsid w:val="000C1EB9"/>
    <w:rsid w:val="000C1FAD"/>
    <w:rsid w:val="000C217C"/>
    <w:rsid w:val="000C21CC"/>
    <w:rsid w:val="000C21D4"/>
    <w:rsid w:val="000C2427"/>
    <w:rsid w:val="000C252D"/>
    <w:rsid w:val="000C2551"/>
    <w:rsid w:val="000C2720"/>
    <w:rsid w:val="000C2751"/>
    <w:rsid w:val="000C2C12"/>
    <w:rsid w:val="000C2C78"/>
    <w:rsid w:val="000C2D3B"/>
    <w:rsid w:val="000C2E9F"/>
    <w:rsid w:val="000C2EDE"/>
    <w:rsid w:val="000C2EEF"/>
    <w:rsid w:val="000C2FD8"/>
    <w:rsid w:val="000C306C"/>
    <w:rsid w:val="000C30EA"/>
    <w:rsid w:val="000C32F8"/>
    <w:rsid w:val="000C3354"/>
    <w:rsid w:val="000C33B1"/>
    <w:rsid w:val="000C364B"/>
    <w:rsid w:val="000C3671"/>
    <w:rsid w:val="000C3698"/>
    <w:rsid w:val="000C372D"/>
    <w:rsid w:val="000C3954"/>
    <w:rsid w:val="000C398B"/>
    <w:rsid w:val="000C39E5"/>
    <w:rsid w:val="000C3A8C"/>
    <w:rsid w:val="000C3BA7"/>
    <w:rsid w:val="000C3BE1"/>
    <w:rsid w:val="000C3C18"/>
    <w:rsid w:val="000C3D5E"/>
    <w:rsid w:val="000C3F1F"/>
    <w:rsid w:val="000C3F8B"/>
    <w:rsid w:val="000C3FC2"/>
    <w:rsid w:val="000C42FC"/>
    <w:rsid w:val="000C4328"/>
    <w:rsid w:val="000C4600"/>
    <w:rsid w:val="000C4761"/>
    <w:rsid w:val="000C487D"/>
    <w:rsid w:val="000C491E"/>
    <w:rsid w:val="000C493B"/>
    <w:rsid w:val="000C4991"/>
    <w:rsid w:val="000C4B82"/>
    <w:rsid w:val="000C4BD6"/>
    <w:rsid w:val="000C4C69"/>
    <w:rsid w:val="000C4CA8"/>
    <w:rsid w:val="000C4E7E"/>
    <w:rsid w:val="000C4F33"/>
    <w:rsid w:val="000C4F4B"/>
    <w:rsid w:val="000C5156"/>
    <w:rsid w:val="000C5289"/>
    <w:rsid w:val="000C5304"/>
    <w:rsid w:val="000C5368"/>
    <w:rsid w:val="000C5469"/>
    <w:rsid w:val="000C54F5"/>
    <w:rsid w:val="000C55F0"/>
    <w:rsid w:val="000C5645"/>
    <w:rsid w:val="000C5665"/>
    <w:rsid w:val="000C56A1"/>
    <w:rsid w:val="000C56C8"/>
    <w:rsid w:val="000C5756"/>
    <w:rsid w:val="000C57E6"/>
    <w:rsid w:val="000C57F2"/>
    <w:rsid w:val="000C584D"/>
    <w:rsid w:val="000C58C2"/>
    <w:rsid w:val="000C59DF"/>
    <w:rsid w:val="000C5B14"/>
    <w:rsid w:val="000C5B7A"/>
    <w:rsid w:val="000C5BE7"/>
    <w:rsid w:val="000C5D5D"/>
    <w:rsid w:val="000C5DCB"/>
    <w:rsid w:val="000C5E53"/>
    <w:rsid w:val="000C6093"/>
    <w:rsid w:val="000C611A"/>
    <w:rsid w:val="000C62BB"/>
    <w:rsid w:val="000C6333"/>
    <w:rsid w:val="000C6486"/>
    <w:rsid w:val="000C674C"/>
    <w:rsid w:val="000C6815"/>
    <w:rsid w:val="000C6919"/>
    <w:rsid w:val="000C69D2"/>
    <w:rsid w:val="000C6CC4"/>
    <w:rsid w:val="000C6EF0"/>
    <w:rsid w:val="000C72C1"/>
    <w:rsid w:val="000C735B"/>
    <w:rsid w:val="000C73EF"/>
    <w:rsid w:val="000C74DC"/>
    <w:rsid w:val="000C7506"/>
    <w:rsid w:val="000C76B4"/>
    <w:rsid w:val="000C76F7"/>
    <w:rsid w:val="000C770D"/>
    <w:rsid w:val="000C7807"/>
    <w:rsid w:val="000C7B36"/>
    <w:rsid w:val="000C7B5D"/>
    <w:rsid w:val="000C7F41"/>
    <w:rsid w:val="000C7F57"/>
    <w:rsid w:val="000D0345"/>
    <w:rsid w:val="000D038F"/>
    <w:rsid w:val="000D043C"/>
    <w:rsid w:val="000D0494"/>
    <w:rsid w:val="000D0538"/>
    <w:rsid w:val="000D053E"/>
    <w:rsid w:val="000D058A"/>
    <w:rsid w:val="000D0608"/>
    <w:rsid w:val="000D0656"/>
    <w:rsid w:val="000D0692"/>
    <w:rsid w:val="000D09F1"/>
    <w:rsid w:val="000D0CC8"/>
    <w:rsid w:val="000D0F08"/>
    <w:rsid w:val="000D1137"/>
    <w:rsid w:val="000D1585"/>
    <w:rsid w:val="000D168E"/>
    <w:rsid w:val="000D183C"/>
    <w:rsid w:val="000D1988"/>
    <w:rsid w:val="000D1A17"/>
    <w:rsid w:val="000D1A5F"/>
    <w:rsid w:val="000D1B56"/>
    <w:rsid w:val="000D1C47"/>
    <w:rsid w:val="000D1C6F"/>
    <w:rsid w:val="000D1D1E"/>
    <w:rsid w:val="000D1E11"/>
    <w:rsid w:val="000D1E48"/>
    <w:rsid w:val="000D1EAD"/>
    <w:rsid w:val="000D206E"/>
    <w:rsid w:val="000D20A3"/>
    <w:rsid w:val="000D24EC"/>
    <w:rsid w:val="000D2711"/>
    <w:rsid w:val="000D2775"/>
    <w:rsid w:val="000D2A84"/>
    <w:rsid w:val="000D2AF8"/>
    <w:rsid w:val="000D2B31"/>
    <w:rsid w:val="000D2B4A"/>
    <w:rsid w:val="000D2E19"/>
    <w:rsid w:val="000D2F74"/>
    <w:rsid w:val="000D2FF8"/>
    <w:rsid w:val="000D30F9"/>
    <w:rsid w:val="000D3128"/>
    <w:rsid w:val="000D3149"/>
    <w:rsid w:val="000D316A"/>
    <w:rsid w:val="000D33B9"/>
    <w:rsid w:val="000D3479"/>
    <w:rsid w:val="000D35C2"/>
    <w:rsid w:val="000D35CE"/>
    <w:rsid w:val="000D3904"/>
    <w:rsid w:val="000D39AE"/>
    <w:rsid w:val="000D39EB"/>
    <w:rsid w:val="000D3ADE"/>
    <w:rsid w:val="000D3CE3"/>
    <w:rsid w:val="000D3CF0"/>
    <w:rsid w:val="000D3DF4"/>
    <w:rsid w:val="000D3ECD"/>
    <w:rsid w:val="000D3FCA"/>
    <w:rsid w:val="000D40CB"/>
    <w:rsid w:val="000D415B"/>
    <w:rsid w:val="000D4297"/>
    <w:rsid w:val="000D429A"/>
    <w:rsid w:val="000D42E5"/>
    <w:rsid w:val="000D43ED"/>
    <w:rsid w:val="000D4585"/>
    <w:rsid w:val="000D4599"/>
    <w:rsid w:val="000D45B9"/>
    <w:rsid w:val="000D45BB"/>
    <w:rsid w:val="000D4778"/>
    <w:rsid w:val="000D4871"/>
    <w:rsid w:val="000D4AC8"/>
    <w:rsid w:val="000D4C04"/>
    <w:rsid w:val="000D4D52"/>
    <w:rsid w:val="000D4EC5"/>
    <w:rsid w:val="000D50D3"/>
    <w:rsid w:val="000D5138"/>
    <w:rsid w:val="000D5191"/>
    <w:rsid w:val="000D51B3"/>
    <w:rsid w:val="000D5364"/>
    <w:rsid w:val="000D5485"/>
    <w:rsid w:val="000D56CD"/>
    <w:rsid w:val="000D572D"/>
    <w:rsid w:val="000D5752"/>
    <w:rsid w:val="000D57B1"/>
    <w:rsid w:val="000D58E5"/>
    <w:rsid w:val="000D58EA"/>
    <w:rsid w:val="000D59A6"/>
    <w:rsid w:val="000D5ABF"/>
    <w:rsid w:val="000D5AE9"/>
    <w:rsid w:val="000D5B4C"/>
    <w:rsid w:val="000D5CFE"/>
    <w:rsid w:val="000D5D0C"/>
    <w:rsid w:val="000D5D1E"/>
    <w:rsid w:val="000D5E45"/>
    <w:rsid w:val="000D5E6D"/>
    <w:rsid w:val="000D5E84"/>
    <w:rsid w:val="000D60EC"/>
    <w:rsid w:val="000D643A"/>
    <w:rsid w:val="000D671C"/>
    <w:rsid w:val="000D6722"/>
    <w:rsid w:val="000D67A4"/>
    <w:rsid w:val="000D68CB"/>
    <w:rsid w:val="000D69F9"/>
    <w:rsid w:val="000D6AFE"/>
    <w:rsid w:val="000D6B18"/>
    <w:rsid w:val="000D6D07"/>
    <w:rsid w:val="000D6DA4"/>
    <w:rsid w:val="000D6E76"/>
    <w:rsid w:val="000D7010"/>
    <w:rsid w:val="000D7037"/>
    <w:rsid w:val="000D706C"/>
    <w:rsid w:val="000D70BC"/>
    <w:rsid w:val="000D7368"/>
    <w:rsid w:val="000D74F2"/>
    <w:rsid w:val="000D7699"/>
    <w:rsid w:val="000D76C6"/>
    <w:rsid w:val="000D782A"/>
    <w:rsid w:val="000D7953"/>
    <w:rsid w:val="000D79BA"/>
    <w:rsid w:val="000D7C21"/>
    <w:rsid w:val="000D7D70"/>
    <w:rsid w:val="000D7E5C"/>
    <w:rsid w:val="000D7E9B"/>
    <w:rsid w:val="000E00E1"/>
    <w:rsid w:val="000E010A"/>
    <w:rsid w:val="000E015F"/>
    <w:rsid w:val="000E0173"/>
    <w:rsid w:val="000E01FA"/>
    <w:rsid w:val="000E024E"/>
    <w:rsid w:val="000E02C4"/>
    <w:rsid w:val="000E03BE"/>
    <w:rsid w:val="000E0493"/>
    <w:rsid w:val="000E05CE"/>
    <w:rsid w:val="000E0642"/>
    <w:rsid w:val="000E0864"/>
    <w:rsid w:val="000E0972"/>
    <w:rsid w:val="000E09DB"/>
    <w:rsid w:val="000E0CB0"/>
    <w:rsid w:val="000E0CFA"/>
    <w:rsid w:val="000E0F70"/>
    <w:rsid w:val="000E0FE0"/>
    <w:rsid w:val="000E1340"/>
    <w:rsid w:val="000E1659"/>
    <w:rsid w:val="000E1AC7"/>
    <w:rsid w:val="000E1D9E"/>
    <w:rsid w:val="000E1F4C"/>
    <w:rsid w:val="000E228D"/>
    <w:rsid w:val="000E23FF"/>
    <w:rsid w:val="000E2431"/>
    <w:rsid w:val="000E2462"/>
    <w:rsid w:val="000E24F5"/>
    <w:rsid w:val="000E27E6"/>
    <w:rsid w:val="000E289D"/>
    <w:rsid w:val="000E2C49"/>
    <w:rsid w:val="000E2EEE"/>
    <w:rsid w:val="000E3060"/>
    <w:rsid w:val="000E3152"/>
    <w:rsid w:val="000E31C2"/>
    <w:rsid w:val="000E31FD"/>
    <w:rsid w:val="000E340A"/>
    <w:rsid w:val="000E3434"/>
    <w:rsid w:val="000E3859"/>
    <w:rsid w:val="000E3B27"/>
    <w:rsid w:val="000E3CD4"/>
    <w:rsid w:val="000E3CE7"/>
    <w:rsid w:val="000E3D1E"/>
    <w:rsid w:val="000E3DF2"/>
    <w:rsid w:val="000E3F2C"/>
    <w:rsid w:val="000E3FB0"/>
    <w:rsid w:val="000E4342"/>
    <w:rsid w:val="000E4399"/>
    <w:rsid w:val="000E4434"/>
    <w:rsid w:val="000E46FF"/>
    <w:rsid w:val="000E4A21"/>
    <w:rsid w:val="000E4A7F"/>
    <w:rsid w:val="000E4C1F"/>
    <w:rsid w:val="000E4DB0"/>
    <w:rsid w:val="000E4DF9"/>
    <w:rsid w:val="000E4FF6"/>
    <w:rsid w:val="000E52CF"/>
    <w:rsid w:val="000E5432"/>
    <w:rsid w:val="000E546F"/>
    <w:rsid w:val="000E5556"/>
    <w:rsid w:val="000E55DB"/>
    <w:rsid w:val="000E57C6"/>
    <w:rsid w:val="000E5854"/>
    <w:rsid w:val="000E5874"/>
    <w:rsid w:val="000E59CA"/>
    <w:rsid w:val="000E59D5"/>
    <w:rsid w:val="000E5A07"/>
    <w:rsid w:val="000E5B02"/>
    <w:rsid w:val="000E5B79"/>
    <w:rsid w:val="000E5C2A"/>
    <w:rsid w:val="000E5C32"/>
    <w:rsid w:val="000E5DF4"/>
    <w:rsid w:val="000E5EC6"/>
    <w:rsid w:val="000E5F0F"/>
    <w:rsid w:val="000E615A"/>
    <w:rsid w:val="000E6205"/>
    <w:rsid w:val="000E6473"/>
    <w:rsid w:val="000E6478"/>
    <w:rsid w:val="000E64FF"/>
    <w:rsid w:val="000E6768"/>
    <w:rsid w:val="000E67F2"/>
    <w:rsid w:val="000E6832"/>
    <w:rsid w:val="000E6863"/>
    <w:rsid w:val="000E6909"/>
    <w:rsid w:val="000E6A31"/>
    <w:rsid w:val="000E6AB8"/>
    <w:rsid w:val="000E6C2E"/>
    <w:rsid w:val="000E6D06"/>
    <w:rsid w:val="000E6D2C"/>
    <w:rsid w:val="000E6D8A"/>
    <w:rsid w:val="000E7033"/>
    <w:rsid w:val="000E706F"/>
    <w:rsid w:val="000E7245"/>
    <w:rsid w:val="000E7279"/>
    <w:rsid w:val="000E72B4"/>
    <w:rsid w:val="000E72FC"/>
    <w:rsid w:val="000E73A5"/>
    <w:rsid w:val="000E767C"/>
    <w:rsid w:val="000E769B"/>
    <w:rsid w:val="000E76CB"/>
    <w:rsid w:val="000E784F"/>
    <w:rsid w:val="000E79E7"/>
    <w:rsid w:val="000E7BA6"/>
    <w:rsid w:val="000E7C4B"/>
    <w:rsid w:val="000E7C60"/>
    <w:rsid w:val="000E7ECB"/>
    <w:rsid w:val="000F0002"/>
    <w:rsid w:val="000F027B"/>
    <w:rsid w:val="000F0317"/>
    <w:rsid w:val="000F0361"/>
    <w:rsid w:val="000F0804"/>
    <w:rsid w:val="000F0937"/>
    <w:rsid w:val="000F097E"/>
    <w:rsid w:val="000F0984"/>
    <w:rsid w:val="000F0A97"/>
    <w:rsid w:val="000F0C46"/>
    <w:rsid w:val="000F0C83"/>
    <w:rsid w:val="000F0CD0"/>
    <w:rsid w:val="000F0D84"/>
    <w:rsid w:val="000F1024"/>
    <w:rsid w:val="000F11D2"/>
    <w:rsid w:val="000F136D"/>
    <w:rsid w:val="000F1403"/>
    <w:rsid w:val="000F14EF"/>
    <w:rsid w:val="000F1522"/>
    <w:rsid w:val="000F182F"/>
    <w:rsid w:val="000F19A4"/>
    <w:rsid w:val="000F1AE9"/>
    <w:rsid w:val="000F1CFC"/>
    <w:rsid w:val="000F1D60"/>
    <w:rsid w:val="000F2161"/>
    <w:rsid w:val="000F21C9"/>
    <w:rsid w:val="000F2229"/>
    <w:rsid w:val="000F242B"/>
    <w:rsid w:val="000F2551"/>
    <w:rsid w:val="000F25FA"/>
    <w:rsid w:val="000F285B"/>
    <w:rsid w:val="000F28C6"/>
    <w:rsid w:val="000F28D5"/>
    <w:rsid w:val="000F2A06"/>
    <w:rsid w:val="000F2AE1"/>
    <w:rsid w:val="000F2AE2"/>
    <w:rsid w:val="000F2CF0"/>
    <w:rsid w:val="000F2DBB"/>
    <w:rsid w:val="000F2E29"/>
    <w:rsid w:val="000F2FD2"/>
    <w:rsid w:val="000F309B"/>
    <w:rsid w:val="000F3175"/>
    <w:rsid w:val="000F328D"/>
    <w:rsid w:val="000F32E1"/>
    <w:rsid w:val="000F3366"/>
    <w:rsid w:val="000F3444"/>
    <w:rsid w:val="000F353A"/>
    <w:rsid w:val="000F3581"/>
    <w:rsid w:val="000F35CC"/>
    <w:rsid w:val="000F366C"/>
    <w:rsid w:val="000F36AE"/>
    <w:rsid w:val="000F3708"/>
    <w:rsid w:val="000F37CB"/>
    <w:rsid w:val="000F3A31"/>
    <w:rsid w:val="000F3C10"/>
    <w:rsid w:val="000F3D1C"/>
    <w:rsid w:val="000F3FAE"/>
    <w:rsid w:val="000F3FD6"/>
    <w:rsid w:val="000F414E"/>
    <w:rsid w:val="000F41DB"/>
    <w:rsid w:val="000F4245"/>
    <w:rsid w:val="000F42E5"/>
    <w:rsid w:val="000F4375"/>
    <w:rsid w:val="000F438B"/>
    <w:rsid w:val="000F4399"/>
    <w:rsid w:val="000F45A1"/>
    <w:rsid w:val="000F45B7"/>
    <w:rsid w:val="000F466C"/>
    <w:rsid w:val="000F4680"/>
    <w:rsid w:val="000F46E2"/>
    <w:rsid w:val="000F47AB"/>
    <w:rsid w:val="000F48C4"/>
    <w:rsid w:val="000F491D"/>
    <w:rsid w:val="000F4972"/>
    <w:rsid w:val="000F4C9A"/>
    <w:rsid w:val="000F4CE2"/>
    <w:rsid w:val="000F4CF2"/>
    <w:rsid w:val="000F4EBE"/>
    <w:rsid w:val="000F4F24"/>
    <w:rsid w:val="000F5010"/>
    <w:rsid w:val="000F50D5"/>
    <w:rsid w:val="000F510D"/>
    <w:rsid w:val="000F51A2"/>
    <w:rsid w:val="000F52CA"/>
    <w:rsid w:val="000F5416"/>
    <w:rsid w:val="000F545A"/>
    <w:rsid w:val="000F55BA"/>
    <w:rsid w:val="000F57C8"/>
    <w:rsid w:val="000F58AA"/>
    <w:rsid w:val="000F5C26"/>
    <w:rsid w:val="000F5C72"/>
    <w:rsid w:val="000F5DB2"/>
    <w:rsid w:val="000F5EB7"/>
    <w:rsid w:val="000F5F10"/>
    <w:rsid w:val="000F5F4A"/>
    <w:rsid w:val="000F5FA8"/>
    <w:rsid w:val="000F5FDB"/>
    <w:rsid w:val="000F61F8"/>
    <w:rsid w:val="000F6335"/>
    <w:rsid w:val="000F6345"/>
    <w:rsid w:val="000F63F0"/>
    <w:rsid w:val="000F645F"/>
    <w:rsid w:val="000F648C"/>
    <w:rsid w:val="000F66D0"/>
    <w:rsid w:val="000F66F6"/>
    <w:rsid w:val="000F673D"/>
    <w:rsid w:val="000F6794"/>
    <w:rsid w:val="000F690B"/>
    <w:rsid w:val="000F6A99"/>
    <w:rsid w:val="000F6BBF"/>
    <w:rsid w:val="000F6BC1"/>
    <w:rsid w:val="000F6C7F"/>
    <w:rsid w:val="000F6CAB"/>
    <w:rsid w:val="000F6CE3"/>
    <w:rsid w:val="000F6CE7"/>
    <w:rsid w:val="000F6DB0"/>
    <w:rsid w:val="000F6EF1"/>
    <w:rsid w:val="000F6EF6"/>
    <w:rsid w:val="000F6F42"/>
    <w:rsid w:val="000F7152"/>
    <w:rsid w:val="000F718B"/>
    <w:rsid w:val="000F731A"/>
    <w:rsid w:val="000F73AB"/>
    <w:rsid w:val="000F73C8"/>
    <w:rsid w:val="000F73D7"/>
    <w:rsid w:val="000F7481"/>
    <w:rsid w:val="000F756B"/>
    <w:rsid w:val="000F765D"/>
    <w:rsid w:val="000F76EF"/>
    <w:rsid w:val="000F787D"/>
    <w:rsid w:val="000F7D82"/>
    <w:rsid w:val="000F7D96"/>
    <w:rsid w:val="000F7E95"/>
    <w:rsid w:val="00100030"/>
    <w:rsid w:val="00100172"/>
    <w:rsid w:val="00100188"/>
    <w:rsid w:val="001001A2"/>
    <w:rsid w:val="001001A8"/>
    <w:rsid w:val="001001D7"/>
    <w:rsid w:val="001002E0"/>
    <w:rsid w:val="001004AD"/>
    <w:rsid w:val="00100500"/>
    <w:rsid w:val="00100705"/>
    <w:rsid w:val="00100720"/>
    <w:rsid w:val="00100872"/>
    <w:rsid w:val="001009DE"/>
    <w:rsid w:val="00100A0F"/>
    <w:rsid w:val="00100B79"/>
    <w:rsid w:val="00100BCA"/>
    <w:rsid w:val="00100C55"/>
    <w:rsid w:val="00100D08"/>
    <w:rsid w:val="00100DC2"/>
    <w:rsid w:val="001010DA"/>
    <w:rsid w:val="00101400"/>
    <w:rsid w:val="001015A1"/>
    <w:rsid w:val="001016C5"/>
    <w:rsid w:val="001016D8"/>
    <w:rsid w:val="00101842"/>
    <w:rsid w:val="001018DC"/>
    <w:rsid w:val="00101A5C"/>
    <w:rsid w:val="00101AFC"/>
    <w:rsid w:val="00101B4B"/>
    <w:rsid w:val="00101E4E"/>
    <w:rsid w:val="00101E75"/>
    <w:rsid w:val="00101EDC"/>
    <w:rsid w:val="00101F83"/>
    <w:rsid w:val="00101FF7"/>
    <w:rsid w:val="0010202A"/>
    <w:rsid w:val="0010206D"/>
    <w:rsid w:val="001020B7"/>
    <w:rsid w:val="001021E2"/>
    <w:rsid w:val="001022AE"/>
    <w:rsid w:val="00102397"/>
    <w:rsid w:val="001023CA"/>
    <w:rsid w:val="001024F1"/>
    <w:rsid w:val="00102595"/>
    <w:rsid w:val="001025EF"/>
    <w:rsid w:val="001026AC"/>
    <w:rsid w:val="00102771"/>
    <w:rsid w:val="0010279F"/>
    <w:rsid w:val="001028E2"/>
    <w:rsid w:val="00102A7D"/>
    <w:rsid w:val="00102B94"/>
    <w:rsid w:val="00102BB9"/>
    <w:rsid w:val="00102BD4"/>
    <w:rsid w:val="00102CF6"/>
    <w:rsid w:val="00102DDD"/>
    <w:rsid w:val="00102E19"/>
    <w:rsid w:val="00102E2E"/>
    <w:rsid w:val="00102FB7"/>
    <w:rsid w:val="00103233"/>
    <w:rsid w:val="00103249"/>
    <w:rsid w:val="0010339B"/>
    <w:rsid w:val="00103402"/>
    <w:rsid w:val="00103419"/>
    <w:rsid w:val="001034B7"/>
    <w:rsid w:val="00103530"/>
    <w:rsid w:val="0010358C"/>
    <w:rsid w:val="0010363A"/>
    <w:rsid w:val="0010364E"/>
    <w:rsid w:val="001038CB"/>
    <w:rsid w:val="00103A0B"/>
    <w:rsid w:val="00103A22"/>
    <w:rsid w:val="00103AD7"/>
    <w:rsid w:val="00103B6D"/>
    <w:rsid w:val="00103BB4"/>
    <w:rsid w:val="00103DA7"/>
    <w:rsid w:val="00103DCB"/>
    <w:rsid w:val="00103E27"/>
    <w:rsid w:val="00103E87"/>
    <w:rsid w:val="00103EBD"/>
    <w:rsid w:val="00103F25"/>
    <w:rsid w:val="00103FA2"/>
    <w:rsid w:val="00104269"/>
    <w:rsid w:val="00104381"/>
    <w:rsid w:val="001043B9"/>
    <w:rsid w:val="00104660"/>
    <w:rsid w:val="0010466C"/>
    <w:rsid w:val="001047E9"/>
    <w:rsid w:val="001048BA"/>
    <w:rsid w:val="001048BC"/>
    <w:rsid w:val="001048BD"/>
    <w:rsid w:val="001048D9"/>
    <w:rsid w:val="00104AD8"/>
    <w:rsid w:val="00104B73"/>
    <w:rsid w:val="00104BCE"/>
    <w:rsid w:val="00104C32"/>
    <w:rsid w:val="00104C82"/>
    <w:rsid w:val="00104F93"/>
    <w:rsid w:val="00105038"/>
    <w:rsid w:val="00105115"/>
    <w:rsid w:val="00105215"/>
    <w:rsid w:val="001054EE"/>
    <w:rsid w:val="0010552D"/>
    <w:rsid w:val="00105680"/>
    <w:rsid w:val="0010583D"/>
    <w:rsid w:val="00105932"/>
    <w:rsid w:val="001059D8"/>
    <w:rsid w:val="00105A3C"/>
    <w:rsid w:val="00105D08"/>
    <w:rsid w:val="00105D98"/>
    <w:rsid w:val="00105DE3"/>
    <w:rsid w:val="00105E0F"/>
    <w:rsid w:val="00105FF5"/>
    <w:rsid w:val="0010615A"/>
    <w:rsid w:val="001061B3"/>
    <w:rsid w:val="0010621C"/>
    <w:rsid w:val="00106639"/>
    <w:rsid w:val="00106B43"/>
    <w:rsid w:val="00106DDE"/>
    <w:rsid w:val="00106DF1"/>
    <w:rsid w:val="00106E43"/>
    <w:rsid w:val="00106F48"/>
    <w:rsid w:val="00106FA2"/>
    <w:rsid w:val="00107008"/>
    <w:rsid w:val="00107056"/>
    <w:rsid w:val="001070FC"/>
    <w:rsid w:val="001072BB"/>
    <w:rsid w:val="00107302"/>
    <w:rsid w:val="00107385"/>
    <w:rsid w:val="00107495"/>
    <w:rsid w:val="001076C7"/>
    <w:rsid w:val="00107860"/>
    <w:rsid w:val="00107905"/>
    <w:rsid w:val="00107C42"/>
    <w:rsid w:val="00107CAC"/>
    <w:rsid w:val="00107CC5"/>
    <w:rsid w:val="00107E00"/>
    <w:rsid w:val="00110155"/>
    <w:rsid w:val="001103A5"/>
    <w:rsid w:val="001103A8"/>
    <w:rsid w:val="001104DF"/>
    <w:rsid w:val="001105C2"/>
    <w:rsid w:val="0011062D"/>
    <w:rsid w:val="00110639"/>
    <w:rsid w:val="00110651"/>
    <w:rsid w:val="00110777"/>
    <w:rsid w:val="00110845"/>
    <w:rsid w:val="00110921"/>
    <w:rsid w:val="00110BDF"/>
    <w:rsid w:val="00110C79"/>
    <w:rsid w:val="00110F08"/>
    <w:rsid w:val="00111056"/>
    <w:rsid w:val="00111402"/>
    <w:rsid w:val="0011155B"/>
    <w:rsid w:val="00111605"/>
    <w:rsid w:val="0011173F"/>
    <w:rsid w:val="00111788"/>
    <w:rsid w:val="0011184C"/>
    <w:rsid w:val="0011185D"/>
    <w:rsid w:val="00111866"/>
    <w:rsid w:val="001118E1"/>
    <w:rsid w:val="001119C0"/>
    <w:rsid w:val="00111B16"/>
    <w:rsid w:val="00111B94"/>
    <w:rsid w:val="00111D45"/>
    <w:rsid w:val="00111D5B"/>
    <w:rsid w:val="00111E13"/>
    <w:rsid w:val="00111F64"/>
    <w:rsid w:val="0011204A"/>
    <w:rsid w:val="00112454"/>
    <w:rsid w:val="001126BD"/>
    <w:rsid w:val="00112809"/>
    <w:rsid w:val="00112817"/>
    <w:rsid w:val="001128E3"/>
    <w:rsid w:val="00112965"/>
    <w:rsid w:val="001129F6"/>
    <w:rsid w:val="00112AD6"/>
    <w:rsid w:val="00112AFB"/>
    <w:rsid w:val="00112B0B"/>
    <w:rsid w:val="00112B12"/>
    <w:rsid w:val="00112B9C"/>
    <w:rsid w:val="00112BA7"/>
    <w:rsid w:val="00112F76"/>
    <w:rsid w:val="00113290"/>
    <w:rsid w:val="00113348"/>
    <w:rsid w:val="001133BE"/>
    <w:rsid w:val="001133D9"/>
    <w:rsid w:val="0011342C"/>
    <w:rsid w:val="001134A1"/>
    <w:rsid w:val="0011380F"/>
    <w:rsid w:val="0011385E"/>
    <w:rsid w:val="00113AC8"/>
    <w:rsid w:val="00113BA8"/>
    <w:rsid w:val="00113E72"/>
    <w:rsid w:val="00113E80"/>
    <w:rsid w:val="001140E2"/>
    <w:rsid w:val="001141B0"/>
    <w:rsid w:val="00114268"/>
    <w:rsid w:val="0011449B"/>
    <w:rsid w:val="0011495B"/>
    <w:rsid w:val="00114B7F"/>
    <w:rsid w:val="00114E82"/>
    <w:rsid w:val="0011504C"/>
    <w:rsid w:val="001150E6"/>
    <w:rsid w:val="001151C2"/>
    <w:rsid w:val="001152C8"/>
    <w:rsid w:val="001152CD"/>
    <w:rsid w:val="001154F6"/>
    <w:rsid w:val="00115667"/>
    <w:rsid w:val="00115686"/>
    <w:rsid w:val="001156FF"/>
    <w:rsid w:val="001158D7"/>
    <w:rsid w:val="00115924"/>
    <w:rsid w:val="00115A97"/>
    <w:rsid w:val="00115C53"/>
    <w:rsid w:val="00115E4D"/>
    <w:rsid w:val="00115FD4"/>
    <w:rsid w:val="0011605B"/>
    <w:rsid w:val="001163C9"/>
    <w:rsid w:val="00116420"/>
    <w:rsid w:val="00116479"/>
    <w:rsid w:val="0011681F"/>
    <w:rsid w:val="00116859"/>
    <w:rsid w:val="00116951"/>
    <w:rsid w:val="00116A28"/>
    <w:rsid w:val="00116A4A"/>
    <w:rsid w:val="00116BD0"/>
    <w:rsid w:val="00116BD9"/>
    <w:rsid w:val="00116EC2"/>
    <w:rsid w:val="00116F7F"/>
    <w:rsid w:val="00116FAE"/>
    <w:rsid w:val="00117002"/>
    <w:rsid w:val="00117013"/>
    <w:rsid w:val="00117041"/>
    <w:rsid w:val="00117069"/>
    <w:rsid w:val="001171D6"/>
    <w:rsid w:val="001171D9"/>
    <w:rsid w:val="001172BA"/>
    <w:rsid w:val="001173E7"/>
    <w:rsid w:val="0011744C"/>
    <w:rsid w:val="0011746F"/>
    <w:rsid w:val="00117550"/>
    <w:rsid w:val="0011787D"/>
    <w:rsid w:val="00117A2E"/>
    <w:rsid w:val="00117E31"/>
    <w:rsid w:val="00117E93"/>
    <w:rsid w:val="00120045"/>
    <w:rsid w:val="001200B7"/>
    <w:rsid w:val="001203DB"/>
    <w:rsid w:val="001204F6"/>
    <w:rsid w:val="00120623"/>
    <w:rsid w:val="001206CA"/>
    <w:rsid w:val="00120864"/>
    <w:rsid w:val="00120929"/>
    <w:rsid w:val="00120B94"/>
    <w:rsid w:val="00120C43"/>
    <w:rsid w:val="00120D9A"/>
    <w:rsid w:val="00120E62"/>
    <w:rsid w:val="00120F25"/>
    <w:rsid w:val="00121468"/>
    <w:rsid w:val="0012148C"/>
    <w:rsid w:val="0012149B"/>
    <w:rsid w:val="00121704"/>
    <w:rsid w:val="00121817"/>
    <w:rsid w:val="00121A12"/>
    <w:rsid w:val="00121D53"/>
    <w:rsid w:val="00121E21"/>
    <w:rsid w:val="0012207C"/>
    <w:rsid w:val="0012221A"/>
    <w:rsid w:val="00122703"/>
    <w:rsid w:val="00122895"/>
    <w:rsid w:val="0012296E"/>
    <w:rsid w:val="00122A23"/>
    <w:rsid w:val="00122AB2"/>
    <w:rsid w:val="00122AF0"/>
    <w:rsid w:val="00122C9F"/>
    <w:rsid w:val="00122F04"/>
    <w:rsid w:val="00122FCD"/>
    <w:rsid w:val="001230B6"/>
    <w:rsid w:val="001231C4"/>
    <w:rsid w:val="00123223"/>
    <w:rsid w:val="0012342E"/>
    <w:rsid w:val="00123893"/>
    <w:rsid w:val="001238AF"/>
    <w:rsid w:val="001238B9"/>
    <w:rsid w:val="001238DE"/>
    <w:rsid w:val="00123930"/>
    <w:rsid w:val="00123A42"/>
    <w:rsid w:val="00123A64"/>
    <w:rsid w:val="00123AA4"/>
    <w:rsid w:val="00123C33"/>
    <w:rsid w:val="00123DA1"/>
    <w:rsid w:val="00123E10"/>
    <w:rsid w:val="00123E62"/>
    <w:rsid w:val="00123F51"/>
    <w:rsid w:val="00123F84"/>
    <w:rsid w:val="00123F8A"/>
    <w:rsid w:val="00123F9A"/>
    <w:rsid w:val="0012401C"/>
    <w:rsid w:val="00124071"/>
    <w:rsid w:val="0012423F"/>
    <w:rsid w:val="00124298"/>
    <w:rsid w:val="001242BD"/>
    <w:rsid w:val="00124529"/>
    <w:rsid w:val="00124592"/>
    <w:rsid w:val="001245B2"/>
    <w:rsid w:val="001248BD"/>
    <w:rsid w:val="0012493D"/>
    <w:rsid w:val="001249BA"/>
    <w:rsid w:val="00124A59"/>
    <w:rsid w:val="00124A7A"/>
    <w:rsid w:val="00124BFE"/>
    <w:rsid w:val="00124C9A"/>
    <w:rsid w:val="00124E17"/>
    <w:rsid w:val="00124E1C"/>
    <w:rsid w:val="001256A4"/>
    <w:rsid w:val="001256DA"/>
    <w:rsid w:val="001258F9"/>
    <w:rsid w:val="001259C9"/>
    <w:rsid w:val="00125BBC"/>
    <w:rsid w:val="00125BC1"/>
    <w:rsid w:val="00125BC7"/>
    <w:rsid w:val="00125D20"/>
    <w:rsid w:val="00125EB6"/>
    <w:rsid w:val="00125ECD"/>
    <w:rsid w:val="00125EFE"/>
    <w:rsid w:val="00125FB5"/>
    <w:rsid w:val="00126063"/>
    <w:rsid w:val="001260E0"/>
    <w:rsid w:val="00126148"/>
    <w:rsid w:val="00126183"/>
    <w:rsid w:val="0012625C"/>
    <w:rsid w:val="00126627"/>
    <w:rsid w:val="001266F2"/>
    <w:rsid w:val="00126715"/>
    <w:rsid w:val="001267C1"/>
    <w:rsid w:val="001268C5"/>
    <w:rsid w:val="00126A6B"/>
    <w:rsid w:val="00126AD0"/>
    <w:rsid w:val="00126B42"/>
    <w:rsid w:val="00126B86"/>
    <w:rsid w:val="00126CCE"/>
    <w:rsid w:val="00127024"/>
    <w:rsid w:val="0012711E"/>
    <w:rsid w:val="00127338"/>
    <w:rsid w:val="0012757D"/>
    <w:rsid w:val="00127594"/>
    <w:rsid w:val="001275C7"/>
    <w:rsid w:val="001275D4"/>
    <w:rsid w:val="001275FC"/>
    <w:rsid w:val="00127671"/>
    <w:rsid w:val="00127A3D"/>
    <w:rsid w:val="00127A52"/>
    <w:rsid w:val="00127B7E"/>
    <w:rsid w:val="00127C15"/>
    <w:rsid w:val="00127CD5"/>
    <w:rsid w:val="00127F5E"/>
    <w:rsid w:val="001300A9"/>
    <w:rsid w:val="00130248"/>
    <w:rsid w:val="00130296"/>
    <w:rsid w:val="001302FB"/>
    <w:rsid w:val="00130307"/>
    <w:rsid w:val="001303AA"/>
    <w:rsid w:val="001303BF"/>
    <w:rsid w:val="00130426"/>
    <w:rsid w:val="00130518"/>
    <w:rsid w:val="00130741"/>
    <w:rsid w:val="00130794"/>
    <w:rsid w:val="0013085C"/>
    <w:rsid w:val="001308DA"/>
    <w:rsid w:val="001308E8"/>
    <w:rsid w:val="00130A83"/>
    <w:rsid w:val="00130A8D"/>
    <w:rsid w:val="00130BEB"/>
    <w:rsid w:val="00130BF2"/>
    <w:rsid w:val="00130C1D"/>
    <w:rsid w:val="00130D32"/>
    <w:rsid w:val="00130D5E"/>
    <w:rsid w:val="00131052"/>
    <w:rsid w:val="00131117"/>
    <w:rsid w:val="001312B7"/>
    <w:rsid w:val="0013130F"/>
    <w:rsid w:val="00131326"/>
    <w:rsid w:val="00131408"/>
    <w:rsid w:val="00131493"/>
    <w:rsid w:val="0013149E"/>
    <w:rsid w:val="00131554"/>
    <w:rsid w:val="00131689"/>
    <w:rsid w:val="00131830"/>
    <w:rsid w:val="0013194A"/>
    <w:rsid w:val="001319D4"/>
    <w:rsid w:val="00131B26"/>
    <w:rsid w:val="00131B41"/>
    <w:rsid w:val="00131BC5"/>
    <w:rsid w:val="00131C2A"/>
    <w:rsid w:val="00131C2C"/>
    <w:rsid w:val="00131C64"/>
    <w:rsid w:val="00131D4E"/>
    <w:rsid w:val="00131FDA"/>
    <w:rsid w:val="001320FD"/>
    <w:rsid w:val="00132119"/>
    <w:rsid w:val="00132228"/>
    <w:rsid w:val="00132333"/>
    <w:rsid w:val="0013238A"/>
    <w:rsid w:val="001323F8"/>
    <w:rsid w:val="00132433"/>
    <w:rsid w:val="001324FD"/>
    <w:rsid w:val="0013251F"/>
    <w:rsid w:val="001327A1"/>
    <w:rsid w:val="00132876"/>
    <w:rsid w:val="00132878"/>
    <w:rsid w:val="001329D8"/>
    <w:rsid w:val="00132B45"/>
    <w:rsid w:val="00132C18"/>
    <w:rsid w:val="00132D2A"/>
    <w:rsid w:val="00132D85"/>
    <w:rsid w:val="0013323A"/>
    <w:rsid w:val="001333B5"/>
    <w:rsid w:val="0013340B"/>
    <w:rsid w:val="00133471"/>
    <w:rsid w:val="00133940"/>
    <w:rsid w:val="00133AAA"/>
    <w:rsid w:val="00133D2A"/>
    <w:rsid w:val="00133F28"/>
    <w:rsid w:val="00133F6F"/>
    <w:rsid w:val="00134098"/>
    <w:rsid w:val="001340E8"/>
    <w:rsid w:val="0013414C"/>
    <w:rsid w:val="001342C0"/>
    <w:rsid w:val="00134527"/>
    <w:rsid w:val="0013454F"/>
    <w:rsid w:val="001345E4"/>
    <w:rsid w:val="001346BE"/>
    <w:rsid w:val="0013486D"/>
    <w:rsid w:val="0013488A"/>
    <w:rsid w:val="00134934"/>
    <w:rsid w:val="00134968"/>
    <w:rsid w:val="00134B50"/>
    <w:rsid w:val="00134B84"/>
    <w:rsid w:val="00134C4F"/>
    <w:rsid w:val="00134C9B"/>
    <w:rsid w:val="00134CED"/>
    <w:rsid w:val="00134DAD"/>
    <w:rsid w:val="00134ECF"/>
    <w:rsid w:val="00134F68"/>
    <w:rsid w:val="00134F93"/>
    <w:rsid w:val="00135065"/>
    <w:rsid w:val="001350E3"/>
    <w:rsid w:val="001350E6"/>
    <w:rsid w:val="00135100"/>
    <w:rsid w:val="0013522E"/>
    <w:rsid w:val="00135252"/>
    <w:rsid w:val="001353ED"/>
    <w:rsid w:val="0013541B"/>
    <w:rsid w:val="0013578D"/>
    <w:rsid w:val="00135AA1"/>
    <w:rsid w:val="00135AC0"/>
    <w:rsid w:val="00135BF2"/>
    <w:rsid w:val="00135EA1"/>
    <w:rsid w:val="00135F27"/>
    <w:rsid w:val="001360A4"/>
    <w:rsid w:val="0013611C"/>
    <w:rsid w:val="00136269"/>
    <w:rsid w:val="0013629F"/>
    <w:rsid w:val="00136302"/>
    <w:rsid w:val="00136395"/>
    <w:rsid w:val="00136401"/>
    <w:rsid w:val="00136643"/>
    <w:rsid w:val="001366C5"/>
    <w:rsid w:val="001366CF"/>
    <w:rsid w:val="00136B57"/>
    <w:rsid w:val="00136B81"/>
    <w:rsid w:val="00136BB1"/>
    <w:rsid w:val="00136C3E"/>
    <w:rsid w:val="00136C52"/>
    <w:rsid w:val="00136C7A"/>
    <w:rsid w:val="00136CAF"/>
    <w:rsid w:val="00136CDC"/>
    <w:rsid w:val="00136D13"/>
    <w:rsid w:val="00136D2C"/>
    <w:rsid w:val="00136DD9"/>
    <w:rsid w:val="00136F82"/>
    <w:rsid w:val="0013719E"/>
    <w:rsid w:val="001371E2"/>
    <w:rsid w:val="0013743D"/>
    <w:rsid w:val="0013752C"/>
    <w:rsid w:val="001376DA"/>
    <w:rsid w:val="0013772F"/>
    <w:rsid w:val="001378A9"/>
    <w:rsid w:val="0013792E"/>
    <w:rsid w:val="001379E1"/>
    <w:rsid w:val="00137B60"/>
    <w:rsid w:val="00137BEE"/>
    <w:rsid w:val="00137C8F"/>
    <w:rsid w:val="00140055"/>
    <w:rsid w:val="0014007A"/>
    <w:rsid w:val="00140149"/>
    <w:rsid w:val="001401B9"/>
    <w:rsid w:val="00140217"/>
    <w:rsid w:val="0014022B"/>
    <w:rsid w:val="001404B9"/>
    <w:rsid w:val="00140537"/>
    <w:rsid w:val="00140599"/>
    <w:rsid w:val="001407D9"/>
    <w:rsid w:val="001408AA"/>
    <w:rsid w:val="00140935"/>
    <w:rsid w:val="00140A05"/>
    <w:rsid w:val="00140A92"/>
    <w:rsid w:val="00140AB7"/>
    <w:rsid w:val="00140C9B"/>
    <w:rsid w:val="00140D65"/>
    <w:rsid w:val="00140E05"/>
    <w:rsid w:val="00140E5B"/>
    <w:rsid w:val="00140E5F"/>
    <w:rsid w:val="0014119E"/>
    <w:rsid w:val="001411B7"/>
    <w:rsid w:val="001411FC"/>
    <w:rsid w:val="00141203"/>
    <w:rsid w:val="001412A9"/>
    <w:rsid w:val="001412D8"/>
    <w:rsid w:val="00141302"/>
    <w:rsid w:val="0014132D"/>
    <w:rsid w:val="001414C1"/>
    <w:rsid w:val="00141507"/>
    <w:rsid w:val="001415D8"/>
    <w:rsid w:val="00141645"/>
    <w:rsid w:val="00141704"/>
    <w:rsid w:val="00141962"/>
    <w:rsid w:val="001419F9"/>
    <w:rsid w:val="00141A72"/>
    <w:rsid w:val="00141B04"/>
    <w:rsid w:val="00141CAA"/>
    <w:rsid w:val="00141CCC"/>
    <w:rsid w:val="00141DA0"/>
    <w:rsid w:val="00141E78"/>
    <w:rsid w:val="0014210D"/>
    <w:rsid w:val="0014241C"/>
    <w:rsid w:val="0014262D"/>
    <w:rsid w:val="00142968"/>
    <w:rsid w:val="001429D8"/>
    <w:rsid w:val="00142BB1"/>
    <w:rsid w:val="00142C4D"/>
    <w:rsid w:val="00142CB1"/>
    <w:rsid w:val="00142CE2"/>
    <w:rsid w:val="00142D23"/>
    <w:rsid w:val="0014300C"/>
    <w:rsid w:val="00143085"/>
    <w:rsid w:val="001430CE"/>
    <w:rsid w:val="00143111"/>
    <w:rsid w:val="001432DD"/>
    <w:rsid w:val="001434DC"/>
    <w:rsid w:val="001435CE"/>
    <w:rsid w:val="001435E9"/>
    <w:rsid w:val="00143608"/>
    <w:rsid w:val="00143637"/>
    <w:rsid w:val="00143869"/>
    <w:rsid w:val="00143968"/>
    <w:rsid w:val="00143BC1"/>
    <w:rsid w:val="00143D81"/>
    <w:rsid w:val="00143DFC"/>
    <w:rsid w:val="00143E58"/>
    <w:rsid w:val="00143EA7"/>
    <w:rsid w:val="00143F16"/>
    <w:rsid w:val="00143F97"/>
    <w:rsid w:val="0014402C"/>
    <w:rsid w:val="0014405C"/>
    <w:rsid w:val="001441A0"/>
    <w:rsid w:val="0014454E"/>
    <w:rsid w:val="0014472E"/>
    <w:rsid w:val="0014477F"/>
    <w:rsid w:val="001448A4"/>
    <w:rsid w:val="00144ECE"/>
    <w:rsid w:val="0014513C"/>
    <w:rsid w:val="001451F6"/>
    <w:rsid w:val="00145261"/>
    <w:rsid w:val="001452AC"/>
    <w:rsid w:val="00145319"/>
    <w:rsid w:val="001453FB"/>
    <w:rsid w:val="001455D0"/>
    <w:rsid w:val="00145682"/>
    <w:rsid w:val="001457A2"/>
    <w:rsid w:val="00145837"/>
    <w:rsid w:val="00145A41"/>
    <w:rsid w:val="00145B8D"/>
    <w:rsid w:val="00145BFC"/>
    <w:rsid w:val="00145CF1"/>
    <w:rsid w:val="00145D6E"/>
    <w:rsid w:val="00145DBB"/>
    <w:rsid w:val="00145EB2"/>
    <w:rsid w:val="00145F01"/>
    <w:rsid w:val="00146277"/>
    <w:rsid w:val="0014646C"/>
    <w:rsid w:val="001465C5"/>
    <w:rsid w:val="00146691"/>
    <w:rsid w:val="001466CB"/>
    <w:rsid w:val="00146C6C"/>
    <w:rsid w:val="00146D32"/>
    <w:rsid w:val="00146E9B"/>
    <w:rsid w:val="00146EEB"/>
    <w:rsid w:val="00146F49"/>
    <w:rsid w:val="00147088"/>
    <w:rsid w:val="001470D8"/>
    <w:rsid w:val="0014717D"/>
    <w:rsid w:val="001471F0"/>
    <w:rsid w:val="001478E3"/>
    <w:rsid w:val="00147919"/>
    <w:rsid w:val="00147989"/>
    <w:rsid w:val="00147BE2"/>
    <w:rsid w:val="00147C16"/>
    <w:rsid w:val="00147C88"/>
    <w:rsid w:val="00147CA6"/>
    <w:rsid w:val="00147DEF"/>
    <w:rsid w:val="00147F38"/>
    <w:rsid w:val="0015000E"/>
    <w:rsid w:val="00150342"/>
    <w:rsid w:val="0015036A"/>
    <w:rsid w:val="001503D0"/>
    <w:rsid w:val="001504B8"/>
    <w:rsid w:val="00150502"/>
    <w:rsid w:val="001505AD"/>
    <w:rsid w:val="0015067F"/>
    <w:rsid w:val="0015074E"/>
    <w:rsid w:val="00150769"/>
    <w:rsid w:val="00150879"/>
    <w:rsid w:val="00150B18"/>
    <w:rsid w:val="00150B9A"/>
    <w:rsid w:val="00150BF4"/>
    <w:rsid w:val="00150C9F"/>
    <w:rsid w:val="00150CC1"/>
    <w:rsid w:val="00150D5A"/>
    <w:rsid w:val="00151035"/>
    <w:rsid w:val="001511DA"/>
    <w:rsid w:val="0015130B"/>
    <w:rsid w:val="0015132F"/>
    <w:rsid w:val="00151339"/>
    <w:rsid w:val="00151394"/>
    <w:rsid w:val="00151426"/>
    <w:rsid w:val="0015146A"/>
    <w:rsid w:val="0015147A"/>
    <w:rsid w:val="001514BB"/>
    <w:rsid w:val="001515B3"/>
    <w:rsid w:val="001516FE"/>
    <w:rsid w:val="00151981"/>
    <w:rsid w:val="00151988"/>
    <w:rsid w:val="00151A07"/>
    <w:rsid w:val="00151A4D"/>
    <w:rsid w:val="00151C0A"/>
    <w:rsid w:val="00151DD6"/>
    <w:rsid w:val="00151EC7"/>
    <w:rsid w:val="00152013"/>
    <w:rsid w:val="0015213F"/>
    <w:rsid w:val="001523DA"/>
    <w:rsid w:val="0015240E"/>
    <w:rsid w:val="00152527"/>
    <w:rsid w:val="0015257A"/>
    <w:rsid w:val="00152649"/>
    <w:rsid w:val="00152722"/>
    <w:rsid w:val="00152855"/>
    <w:rsid w:val="001528C3"/>
    <w:rsid w:val="00152AC7"/>
    <w:rsid w:val="00152C7B"/>
    <w:rsid w:val="00152CD0"/>
    <w:rsid w:val="00152DC6"/>
    <w:rsid w:val="00152E41"/>
    <w:rsid w:val="00152EFF"/>
    <w:rsid w:val="00152F5B"/>
    <w:rsid w:val="00153222"/>
    <w:rsid w:val="001532FE"/>
    <w:rsid w:val="001533CD"/>
    <w:rsid w:val="001533E8"/>
    <w:rsid w:val="0015359A"/>
    <w:rsid w:val="0015360C"/>
    <w:rsid w:val="0015363A"/>
    <w:rsid w:val="0015385A"/>
    <w:rsid w:val="001538DC"/>
    <w:rsid w:val="001538F5"/>
    <w:rsid w:val="00153C76"/>
    <w:rsid w:val="00153D41"/>
    <w:rsid w:val="00153E9F"/>
    <w:rsid w:val="00153F8A"/>
    <w:rsid w:val="001540A8"/>
    <w:rsid w:val="001540B4"/>
    <w:rsid w:val="00154128"/>
    <w:rsid w:val="001541C7"/>
    <w:rsid w:val="00154402"/>
    <w:rsid w:val="00154465"/>
    <w:rsid w:val="001544CB"/>
    <w:rsid w:val="001544DD"/>
    <w:rsid w:val="00154566"/>
    <w:rsid w:val="001545E9"/>
    <w:rsid w:val="00154667"/>
    <w:rsid w:val="0015469A"/>
    <w:rsid w:val="001546B7"/>
    <w:rsid w:val="001546EC"/>
    <w:rsid w:val="0015478D"/>
    <w:rsid w:val="001547E2"/>
    <w:rsid w:val="0015499E"/>
    <w:rsid w:val="001549B4"/>
    <w:rsid w:val="00154ACB"/>
    <w:rsid w:val="00154ADE"/>
    <w:rsid w:val="00154B2C"/>
    <w:rsid w:val="00154BD2"/>
    <w:rsid w:val="00154C54"/>
    <w:rsid w:val="00154CBA"/>
    <w:rsid w:val="00154E4E"/>
    <w:rsid w:val="00154ECE"/>
    <w:rsid w:val="00154EE7"/>
    <w:rsid w:val="00154F1B"/>
    <w:rsid w:val="00154FA9"/>
    <w:rsid w:val="0015513E"/>
    <w:rsid w:val="00155165"/>
    <w:rsid w:val="001552B7"/>
    <w:rsid w:val="001552E7"/>
    <w:rsid w:val="00155308"/>
    <w:rsid w:val="0015538D"/>
    <w:rsid w:val="0015542C"/>
    <w:rsid w:val="001554E7"/>
    <w:rsid w:val="0015551B"/>
    <w:rsid w:val="00155538"/>
    <w:rsid w:val="001555BE"/>
    <w:rsid w:val="0015572C"/>
    <w:rsid w:val="00155851"/>
    <w:rsid w:val="0015587E"/>
    <w:rsid w:val="00155BDB"/>
    <w:rsid w:val="00155C8D"/>
    <w:rsid w:val="00155CAC"/>
    <w:rsid w:val="00155CB6"/>
    <w:rsid w:val="00155D42"/>
    <w:rsid w:val="00155D7F"/>
    <w:rsid w:val="00155F4E"/>
    <w:rsid w:val="0015606B"/>
    <w:rsid w:val="001561C5"/>
    <w:rsid w:val="001562AE"/>
    <w:rsid w:val="001562C9"/>
    <w:rsid w:val="00156331"/>
    <w:rsid w:val="00156634"/>
    <w:rsid w:val="00156692"/>
    <w:rsid w:val="0015686C"/>
    <w:rsid w:val="00156878"/>
    <w:rsid w:val="001568CA"/>
    <w:rsid w:val="0015698C"/>
    <w:rsid w:val="001569FD"/>
    <w:rsid w:val="00156BF6"/>
    <w:rsid w:val="00156C39"/>
    <w:rsid w:val="00156C7E"/>
    <w:rsid w:val="00156CD0"/>
    <w:rsid w:val="00156DBE"/>
    <w:rsid w:val="00156F5E"/>
    <w:rsid w:val="001570FE"/>
    <w:rsid w:val="0015718A"/>
    <w:rsid w:val="001571D4"/>
    <w:rsid w:val="0015729C"/>
    <w:rsid w:val="0015742C"/>
    <w:rsid w:val="001574D0"/>
    <w:rsid w:val="00157655"/>
    <w:rsid w:val="0015770D"/>
    <w:rsid w:val="0015785A"/>
    <w:rsid w:val="00157906"/>
    <w:rsid w:val="00157A09"/>
    <w:rsid w:val="00157B18"/>
    <w:rsid w:val="00157B7C"/>
    <w:rsid w:val="00157D8A"/>
    <w:rsid w:val="00157DBC"/>
    <w:rsid w:val="00157E08"/>
    <w:rsid w:val="00157F20"/>
    <w:rsid w:val="00160028"/>
    <w:rsid w:val="00160048"/>
    <w:rsid w:val="001600D0"/>
    <w:rsid w:val="001600EE"/>
    <w:rsid w:val="001603C2"/>
    <w:rsid w:val="0016040A"/>
    <w:rsid w:val="001604FF"/>
    <w:rsid w:val="00160570"/>
    <w:rsid w:val="00160588"/>
    <w:rsid w:val="00160779"/>
    <w:rsid w:val="001607AC"/>
    <w:rsid w:val="001607C0"/>
    <w:rsid w:val="00160803"/>
    <w:rsid w:val="00160842"/>
    <w:rsid w:val="001608B7"/>
    <w:rsid w:val="001609CD"/>
    <w:rsid w:val="001609F7"/>
    <w:rsid w:val="00160C0C"/>
    <w:rsid w:val="00160EC7"/>
    <w:rsid w:val="00160F57"/>
    <w:rsid w:val="00160F7B"/>
    <w:rsid w:val="0016106E"/>
    <w:rsid w:val="00161120"/>
    <w:rsid w:val="001614FA"/>
    <w:rsid w:val="001615FE"/>
    <w:rsid w:val="001616C9"/>
    <w:rsid w:val="0016180B"/>
    <w:rsid w:val="00161939"/>
    <w:rsid w:val="001619EB"/>
    <w:rsid w:val="00161A3B"/>
    <w:rsid w:val="00161AD5"/>
    <w:rsid w:val="00161BE0"/>
    <w:rsid w:val="00161C0E"/>
    <w:rsid w:val="00161CFC"/>
    <w:rsid w:val="00161E01"/>
    <w:rsid w:val="00161E47"/>
    <w:rsid w:val="00161E95"/>
    <w:rsid w:val="00161F9A"/>
    <w:rsid w:val="00162006"/>
    <w:rsid w:val="0016216C"/>
    <w:rsid w:val="001622F2"/>
    <w:rsid w:val="0016265D"/>
    <w:rsid w:val="00162873"/>
    <w:rsid w:val="00162972"/>
    <w:rsid w:val="001629A9"/>
    <w:rsid w:val="00162DFE"/>
    <w:rsid w:val="00162E2B"/>
    <w:rsid w:val="00162E59"/>
    <w:rsid w:val="00162F53"/>
    <w:rsid w:val="00163015"/>
    <w:rsid w:val="0016301D"/>
    <w:rsid w:val="0016313F"/>
    <w:rsid w:val="0016318E"/>
    <w:rsid w:val="00163436"/>
    <w:rsid w:val="00163459"/>
    <w:rsid w:val="0016353D"/>
    <w:rsid w:val="001635EE"/>
    <w:rsid w:val="00163803"/>
    <w:rsid w:val="001638F7"/>
    <w:rsid w:val="00163A80"/>
    <w:rsid w:val="00163A82"/>
    <w:rsid w:val="00163B9A"/>
    <w:rsid w:val="00163BB6"/>
    <w:rsid w:val="00163D04"/>
    <w:rsid w:val="0016420E"/>
    <w:rsid w:val="00164256"/>
    <w:rsid w:val="00164462"/>
    <w:rsid w:val="001646B1"/>
    <w:rsid w:val="001647DB"/>
    <w:rsid w:val="001648F6"/>
    <w:rsid w:val="00164B15"/>
    <w:rsid w:val="00164C50"/>
    <w:rsid w:val="00164C64"/>
    <w:rsid w:val="00164CD2"/>
    <w:rsid w:val="00164CF5"/>
    <w:rsid w:val="00164D04"/>
    <w:rsid w:val="00164F8D"/>
    <w:rsid w:val="001650BC"/>
    <w:rsid w:val="001651F1"/>
    <w:rsid w:val="001651F2"/>
    <w:rsid w:val="001652FA"/>
    <w:rsid w:val="001653C1"/>
    <w:rsid w:val="001653DF"/>
    <w:rsid w:val="001653E5"/>
    <w:rsid w:val="001655F5"/>
    <w:rsid w:val="0016565F"/>
    <w:rsid w:val="00165774"/>
    <w:rsid w:val="001658CF"/>
    <w:rsid w:val="001658FB"/>
    <w:rsid w:val="001659B8"/>
    <w:rsid w:val="001659FD"/>
    <w:rsid w:val="00165B28"/>
    <w:rsid w:val="00165BFE"/>
    <w:rsid w:val="00165C23"/>
    <w:rsid w:val="00165D28"/>
    <w:rsid w:val="00165D58"/>
    <w:rsid w:val="00165F82"/>
    <w:rsid w:val="00165F99"/>
    <w:rsid w:val="00165FBC"/>
    <w:rsid w:val="00166237"/>
    <w:rsid w:val="00166383"/>
    <w:rsid w:val="001663A1"/>
    <w:rsid w:val="00166405"/>
    <w:rsid w:val="00166520"/>
    <w:rsid w:val="00166565"/>
    <w:rsid w:val="00166697"/>
    <w:rsid w:val="001668EE"/>
    <w:rsid w:val="00166906"/>
    <w:rsid w:val="00167166"/>
    <w:rsid w:val="00167408"/>
    <w:rsid w:val="00167417"/>
    <w:rsid w:val="0016748A"/>
    <w:rsid w:val="00167554"/>
    <w:rsid w:val="00167558"/>
    <w:rsid w:val="001675CD"/>
    <w:rsid w:val="00167674"/>
    <w:rsid w:val="001677F2"/>
    <w:rsid w:val="00167981"/>
    <w:rsid w:val="00167A9A"/>
    <w:rsid w:val="00167AFD"/>
    <w:rsid w:val="00167C8E"/>
    <w:rsid w:val="00167D54"/>
    <w:rsid w:val="00167E44"/>
    <w:rsid w:val="00167E8C"/>
    <w:rsid w:val="00167F42"/>
    <w:rsid w:val="00167FE4"/>
    <w:rsid w:val="001702E1"/>
    <w:rsid w:val="0017036A"/>
    <w:rsid w:val="0017065F"/>
    <w:rsid w:val="00170787"/>
    <w:rsid w:val="001707C4"/>
    <w:rsid w:val="00170812"/>
    <w:rsid w:val="0017096B"/>
    <w:rsid w:val="00170AB4"/>
    <w:rsid w:val="00170CFF"/>
    <w:rsid w:val="00170DF1"/>
    <w:rsid w:val="00170F08"/>
    <w:rsid w:val="00171101"/>
    <w:rsid w:val="0017116B"/>
    <w:rsid w:val="00171262"/>
    <w:rsid w:val="00171371"/>
    <w:rsid w:val="001713AB"/>
    <w:rsid w:val="00171444"/>
    <w:rsid w:val="001714BA"/>
    <w:rsid w:val="0017197D"/>
    <w:rsid w:val="00171B9C"/>
    <w:rsid w:val="00172162"/>
    <w:rsid w:val="001721ED"/>
    <w:rsid w:val="001722F8"/>
    <w:rsid w:val="001724EF"/>
    <w:rsid w:val="00172516"/>
    <w:rsid w:val="0017255A"/>
    <w:rsid w:val="001725AD"/>
    <w:rsid w:val="00172626"/>
    <w:rsid w:val="001727E9"/>
    <w:rsid w:val="00172841"/>
    <w:rsid w:val="00172A2F"/>
    <w:rsid w:val="00172AF9"/>
    <w:rsid w:val="00172AFB"/>
    <w:rsid w:val="00172BBC"/>
    <w:rsid w:val="00172C0F"/>
    <w:rsid w:val="00172D8C"/>
    <w:rsid w:val="00172DC1"/>
    <w:rsid w:val="00172E79"/>
    <w:rsid w:val="00172FC1"/>
    <w:rsid w:val="00172FE0"/>
    <w:rsid w:val="0017302B"/>
    <w:rsid w:val="0017309A"/>
    <w:rsid w:val="001731CF"/>
    <w:rsid w:val="001738BD"/>
    <w:rsid w:val="00173B48"/>
    <w:rsid w:val="00173C07"/>
    <w:rsid w:val="00173FF3"/>
    <w:rsid w:val="0017427D"/>
    <w:rsid w:val="001749A5"/>
    <w:rsid w:val="00174A31"/>
    <w:rsid w:val="00174A5F"/>
    <w:rsid w:val="00174AC9"/>
    <w:rsid w:val="00174B0D"/>
    <w:rsid w:val="00174B8E"/>
    <w:rsid w:val="00174BF3"/>
    <w:rsid w:val="00174D8C"/>
    <w:rsid w:val="001755B2"/>
    <w:rsid w:val="001755FE"/>
    <w:rsid w:val="001758E2"/>
    <w:rsid w:val="00175A38"/>
    <w:rsid w:val="00175AE1"/>
    <w:rsid w:val="00175C30"/>
    <w:rsid w:val="00175D29"/>
    <w:rsid w:val="00175D7A"/>
    <w:rsid w:val="00175EAC"/>
    <w:rsid w:val="0017601F"/>
    <w:rsid w:val="001760E2"/>
    <w:rsid w:val="001760E8"/>
    <w:rsid w:val="0017611E"/>
    <w:rsid w:val="00176134"/>
    <w:rsid w:val="001761E3"/>
    <w:rsid w:val="001762E8"/>
    <w:rsid w:val="00176314"/>
    <w:rsid w:val="00176319"/>
    <w:rsid w:val="0017652F"/>
    <w:rsid w:val="00176616"/>
    <w:rsid w:val="00176696"/>
    <w:rsid w:val="00176775"/>
    <w:rsid w:val="00176831"/>
    <w:rsid w:val="0017688A"/>
    <w:rsid w:val="00176993"/>
    <w:rsid w:val="001769AF"/>
    <w:rsid w:val="00176A40"/>
    <w:rsid w:val="00176B01"/>
    <w:rsid w:val="00176B13"/>
    <w:rsid w:val="00176C97"/>
    <w:rsid w:val="00176E41"/>
    <w:rsid w:val="00176FEA"/>
    <w:rsid w:val="00177040"/>
    <w:rsid w:val="00177109"/>
    <w:rsid w:val="00177144"/>
    <w:rsid w:val="0017734A"/>
    <w:rsid w:val="0017737F"/>
    <w:rsid w:val="00177494"/>
    <w:rsid w:val="00177514"/>
    <w:rsid w:val="00177528"/>
    <w:rsid w:val="0017783E"/>
    <w:rsid w:val="00177946"/>
    <w:rsid w:val="0017795A"/>
    <w:rsid w:val="00177AEF"/>
    <w:rsid w:val="00177B20"/>
    <w:rsid w:val="00177B26"/>
    <w:rsid w:val="00177B49"/>
    <w:rsid w:val="00177C13"/>
    <w:rsid w:val="00177C63"/>
    <w:rsid w:val="00177EC7"/>
    <w:rsid w:val="00177EC8"/>
    <w:rsid w:val="00177F82"/>
    <w:rsid w:val="001802A2"/>
    <w:rsid w:val="001803AB"/>
    <w:rsid w:val="001803BB"/>
    <w:rsid w:val="00180402"/>
    <w:rsid w:val="0018056F"/>
    <w:rsid w:val="00180573"/>
    <w:rsid w:val="0018066C"/>
    <w:rsid w:val="0018078F"/>
    <w:rsid w:val="0018079D"/>
    <w:rsid w:val="0018079E"/>
    <w:rsid w:val="00180D39"/>
    <w:rsid w:val="00180D81"/>
    <w:rsid w:val="00180D88"/>
    <w:rsid w:val="00180D98"/>
    <w:rsid w:val="0018110D"/>
    <w:rsid w:val="0018111F"/>
    <w:rsid w:val="00181125"/>
    <w:rsid w:val="0018114C"/>
    <w:rsid w:val="001811C9"/>
    <w:rsid w:val="00181234"/>
    <w:rsid w:val="00181390"/>
    <w:rsid w:val="001813F1"/>
    <w:rsid w:val="00181573"/>
    <w:rsid w:val="001818F9"/>
    <w:rsid w:val="00181AE1"/>
    <w:rsid w:val="00181B8C"/>
    <w:rsid w:val="00181C40"/>
    <w:rsid w:val="00181C7D"/>
    <w:rsid w:val="00181CFD"/>
    <w:rsid w:val="00181D6E"/>
    <w:rsid w:val="00181FF0"/>
    <w:rsid w:val="0018200B"/>
    <w:rsid w:val="001820CF"/>
    <w:rsid w:val="0018210B"/>
    <w:rsid w:val="00182401"/>
    <w:rsid w:val="00182457"/>
    <w:rsid w:val="00182574"/>
    <w:rsid w:val="001826B8"/>
    <w:rsid w:val="0018278A"/>
    <w:rsid w:val="001827C0"/>
    <w:rsid w:val="0018285C"/>
    <w:rsid w:val="00182867"/>
    <w:rsid w:val="0018294B"/>
    <w:rsid w:val="0018299B"/>
    <w:rsid w:val="001829C7"/>
    <w:rsid w:val="00182A8D"/>
    <w:rsid w:val="00182AA7"/>
    <w:rsid w:val="00182AB1"/>
    <w:rsid w:val="00182C08"/>
    <w:rsid w:val="00182C7D"/>
    <w:rsid w:val="00182D94"/>
    <w:rsid w:val="00182F61"/>
    <w:rsid w:val="00182F6E"/>
    <w:rsid w:val="00183110"/>
    <w:rsid w:val="001831F4"/>
    <w:rsid w:val="00183320"/>
    <w:rsid w:val="001833DB"/>
    <w:rsid w:val="0018351C"/>
    <w:rsid w:val="001837D2"/>
    <w:rsid w:val="00183B75"/>
    <w:rsid w:val="00183DFE"/>
    <w:rsid w:val="00183F56"/>
    <w:rsid w:val="00183FA9"/>
    <w:rsid w:val="0018431B"/>
    <w:rsid w:val="00184325"/>
    <w:rsid w:val="00184437"/>
    <w:rsid w:val="0018489D"/>
    <w:rsid w:val="001848C6"/>
    <w:rsid w:val="00184952"/>
    <w:rsid w:val="00184B6D"/>
    <w:rsid w:val="00184C2B"/>
    <w:rsid w:val="00184DE8"/>
    <w:rsid w:val="00184E1A"/>
    <w:rsid w:val="00184E66"/>
    <w:rsid w:val="00184E84"/>
    <w:rsid w:val="00184FD1"/>
    <w:rsid w:val="00185054"/>
    <w:rsid w:val="0018530B"/>
    <w:rsid w:val="001853A8"/>
    <w:rsid w:val="00185531"/>
    <w:rsid w:val="001855ED"/>
    <w:rsid w:val="001857E9"/>
    <w:rsid w:val="0018584E"/>
    <w:rsid w:val="00185AF3"/>
    <w:rsid w:val="00185B79"/>
    <w:rsid w:val="00185DCD"/>
    <w:rsid w:val="00185E40"/>
    <w:rsid w:val="00185E8F"/>
    <w:rsid w:val="00185ED5"/>
    <w:rsid w:val="00185F59"/>
    <w:rsid w:val="00185FC2"/>
    <w:rsid w:val="00185FED"/>
    <w:rsid w:val="0018606C"/>
    <w:rsid w:val="00186090"/>
    <w:rsid w:val="0018625E"/>
    <w:rsid w:val="001862A5"/>
    <w:rsid w:val="00186640"/>
    <w:rsid w:val="001866AF"/>
    <w:rsid w:val="00186898"/>
    <w:rsid w:val="001868D2"/>
    <w:rsid w:val="001869DE"/>
    <w:rsid w:val="00186C62"/>
    <w:rsid w:val="00186D99"/>
    <w:rsid w:val="00186ECF"/>
    <w:rsid w:val="00186ED1"/>
    <w:rsid w:val="00186FB9"/>
    <w:rsid w:val="00187023"/>
    <w:rsid w:val="00187230"/>
    <w:rsid w:val="00187286"/>
    <w:rsid w:val="00187388"/>
    <w:rsid w:val="0018744A"/>
    <w:rsid w:val="0018759F"/>
    <w:rsid w:val="00187673"/>
    <w:rsid w:val="001876FF"/>
    <w:rsid w:val="001877B9"/>
    <w:rsid w:val="001877CB"/>
    <w:rsid w:val="00187A24"/>
    <w:rsid w:val="00187A81"/>
    <w:rsid w:val="00187BA5"/>
    <w:rsid w:val="00187E70"/>
    <w:rsid w:val="00187F53"/>
    <w:rsid w:val="001903E5"/>
    <w:rsid w:val="00190483"/>
    <w:rsid w:val="00190594"/>
    <w:rsid w:val="001907C3"/>
    <w:rsid w:val="00190886"/>
    <w:rsid w:val="00190D2E"/>
    <w:rsid w:val="00190D61"/>
    <w:rsid w:val="00190DAF"/>
    <w:rsid w:val="00190E36"/>
    <w:rsid w:val="00190FAF"/>
    <w:rsid w:val="001910DD"/>
    <w:rsid w:val="0019127F"/>
    <w:rsid w:val="001912FE"/>
    <w:rsid w:val="00191322"/>
    <w:rsid w:val="00191468"/>
    <w:rsid w:val="0019149F"/>
    <w:rsid w:val="00191850"/>
    <w:rsid w:val="00191A64"/>
    <w:rsid w:val="00191B12"/>
    <w:rsid w:val="00191B6A"/>
    <w:rsid w:val="00191E6F"/>
    <w:rsid w:val="00191FB3"/>
    <w:rsid w:val="001920B7"/>
    <w:rsid w:val="00192187"/>
    <w:rsid w:val="001921FC"/>
    <w:rsid w:val="00192207"/>
    <w:rsid w:val="0019247C"/>
    <w:rsid w:val="0019260F"/>
    <w:rsid w:val="001926BA"/>
    <w:rsid w:val="00192708"/>
    <w:rsid w:val="00192881"/>
    <w:rsid w:val="00192CAD"/>
    <w:rsid w:val="00192E90"/>
    <w:rsid w:val="00192EA5"/>
    <w:rsid w:val="0019314B"/>
    <w:rsid w:val="00193185"/>
    <w:rsid w:val="001931AF"/>
    <w:rsid w:val="0019329A"/>
    <w:rsid w:val="00193312"/>
    <w:rsid w:val="001933DC"/>
    <w:rsid w:val="001933EC"/>
    <w:rsid w:val="001934C1"/>
    <w:rsid w:val="001934DF"/>
    <w:rsid w:val="00193531"/>
    <w:rsid w:val="00193598"/>
    <w:rsid w:val="0019362F"/>
    <w:rsid w:val="00193660"/>
    <w:rsid w:val="00193ED9"/>
    <w:rsid w:val="00193F86"/>
    <w:rsid w:val="00194000"/>
    <w:rsid w:val="001940DE"/>
    <w:rsid w:val="001941DA"/>
    <w:rsid w:val="001943E0"/>
    <w:rsid w:val="00194506"/>
    <w:rsid w:val="001945DD"/>
    <w:rsid w:val="0019462C"/>
    <w:rsid w:val="001948EB"/>
    <w:rsid w:val="00194A3B"/>
    <w:rsid w:val="00194AB7"/>
    <w:rsid w:val="00194CCB"/>
    <w:rsid w:val="00194E86"/>
    <w:rsid w:val="00194E89"/>
    <w:rsid w:val="00194ED8"/>
    <w:rsid w:val="00194F2D"/>
    <w:rsid w:val="00195047"/>
    <w:rsid w:val="0019516E"/>
    <w:rsid w:val="0019529F"/>
    <w:rsid w:val="00195312"/>
    <w:rsid w:val="00195378"/>
    <w:rsid w:val="001953C1"/>
    <w:rsid w:val="0019547E"/>
    <w:rsid w:val="001954EE"/>
    <w:rsid w:val="00195579"/>
    <w:rsid w:val="001955B0"/>
    <w:rsid w:val="00195612"/>
    <w:rsid w:val="00195698"/>
    <w:rsid w:val="0019573A"/>
    <w:rsid w:val="001957A2"/>
    <w:rsid w:val="00195847"/>
    <w:rsid w:val="00195A0F"/>
    <w:rsid w:val="00195A8D"/>
    <w:rsid w:val="00195ACD"/>
    <w:rsid w:val="00195AE3"/>
    <w:rsid w:val="00195B51"/>
    <w:rsid w:val="00195B99"/>
    <w:rsid w:val="00195C45"/>
    <w:rsid w:val="00195C48"/>
    <w:rsid w:val="00195CB4"/>
    <w:rsid w:val="00195CD2"/>
    <w:rsid w:val="00195E3B"/>
    <w:rsid w:val="00195E74"/>
    <w:rsid w:val="00195F3A"/>
    <w:rsid w:val="00195F8A"/>
    <w:rsid w:val="00195F99"/>
    <w:rsid w:val="001960ED"/>
    <w:rsid w:val="00196104"/>
    <w:rsid w:val="001962F4"/>
    <w:rsid w:val="0019639A"/>
    <w:rsid w:val="001964A8"/>
    <w:rsid w:val="001964E3"/>
    <w:rsid w:val="001965B7"/>
    <w:rsid w:val="00196611"/>
    <w:rsid w:val="0019669B"/>
    <w:rsid w:val="001967F7"/>
    <w:rsid w:val="00196C59"/>
    <w:rsid w:val="00196CCC"/>
    <w:rsid w:val="00196E57"/>
    <w:rsid w:val="00196F4B"/>
    <w:rsid w:val="00197060"/>
    <w:rsid w:val="00197140"/>
    <w:rsid w:val="00197256"/>
    <w:rsid w:val="0019729C"/>
    <w:rsid w:val="001972CF"/>
    <w:rsid w:val="00197346"/>
    <w:rsid w:val="0019737A"/>
    <w:rsid w:val="00197741"/>
    <w:rsid w:val="0019782D"/>
    <w:rsid w:val="00197A52"/>
    <w:rsid w:val="00197AEF"/>
    <w:rsid w:val="00197C3B"/>
    <w:rsid w:val="00197C6C"/>
    <w:rsid w:val="00197CCF"/>
    <w:rsid w:val="00197E4B"/>
    <w:rsid w:val="00197EFD"/>
    <w:rsid w:val="001A0117"/>
    <w:rsid w:val="001A01BF"/>
    <w:rsid w:val="001A0305"/>
    <w:rsid w:val="001A039E"/>
    <w:rsid w:val="001A044D"/>
    <w:rsid w:val="001A048D"/>
    <w:rsid w:val="001A0667"/>
    <w:rsid w:val="001A0725"/>
    <w:rsid w:val="001A0727"/>
    <w:rsid w:val="001A09C2"/>
    <w:rsid w:val="001A0A16"/>
    <w:rsid w:val="001A0B19"/>
    <w:rsid w:val="001A0B9D"/>
    <w:rsid w:val="001A0C05"/>
    <w:rsid w:val="001A0CF7"/>
    <w:rsid w:val="001A1109"/>
    <w:rsid w:val="001A1270"/>
    <w:rsid w:val="001A12B1"/>
    <w:rsid w:val="001A135B"/>
    <w:rsid w:val="001A13C5"/>
    <w:rsid w:val="001A13CD"/>
    <w:rsid w:val="001A15A1"/>
    <w:rsid w:val="001A1773"/>
    <w:rsid w:val="001A180E"/>
    <w:rsid w:val="001A1888"/>
    <w:rsid w:val="001A1A3B"/>
    <w:rsid w:val="001A1B1D"/>
    <w:rsid w:val="001A1BA1"/>
    <w:rsid w:val="001A1BD4"/>
    <w:rsid w:val="001A1C24"/>
    <w:rsid w:val="001A1EF6"/>
    <w:rsid w:val="001A2082"/>
    <w:rsid w:val="001A2127"/>
    <w:rsid w:val="001A2166"/>
    <w:rsid w:val="001A233F"/>
    <w:rsid w:val="001A23D8"/>
    <w:rsid w:val="001A262D"/>
    <w:rsid w:val="001A26DA"/>
    <w:rsid w:val="001A27C8"/>
    <w:rsid w:val="001A282D"/>
    <w:rsid w:val="001A288D"/>
    <w:rsid w:val="001A289C"/>
    <w:rsid w:val="001A297D"/>
    <w:rsid w:val="001A2988"/>
    <w:rsid w:val="001A29AB"/>
    <w:rsid w:val="001A2AA1"/>
    <w:rsid w:val="001A2BA0"/>
    <w:rsid w:val="001A2C7E"/>
    <w:rsid w:val="001A2E33"/>
    <w:rsid w:val="001A2E3E"/>
    <w:rsid w:val="001A2E94"/>
    <w:rsid w:val="001A31C4"/>
    <w:rsid w:val="001A31F9"/>
    <w:rsid w:val="001A3282"/>
    <w:rsid w:val="001A3289"/>
    <w:rsid w:val="001A346C"/>
    <w:rsid w:val="001A3540"/>
    <w:rsid w:val="001A35D3"/>
    <w:rsid w:val="001A3628"/>
    <w:rsid w:val="001A3672"/>
    <w:rsid w:val="001A3769"/>
    <w:rsid w:val="001A3A4C"/>
    <w:rsid w:val="001A3EDF"/>
    <w:rsid w:val="001A4064"/>
    <w:rsid w:val="001A4071"/>
    <w:rsid w:val="001A40BD"/>
    <w:rsid w:val="001A40DC"/>
    <w:rsid w:val="001A41FB"/>
    <w:rsid w:val="001A44C6"/>
    <w:rsid w:val="001A4528"/>
    <w:rsid w:val="001A459C"/>
    <w:rsid w:val="001A48A9"/>
    <w:rsid w:val="001A48AC"/>
    <w:rsid w:val="001A48C8"/>
    <w:rsid w:val="001A495C"/>
    <w:rsid w:val="001A4A9A"/>
    <w:rsid w:val="001A4B88"/>
    <w:rsid w:val="001A4DAB"/>
    <w:rsid w:val="001A4E27"/>
    <w:rsid w:val="001A4EC3"/>
    <w:rsid w:val="001A4EF1"/>
    <w:rsid w:val="001A5117"/>
    <w:rsid w:val="001A516C"/>
    <w:rsid w:val="001A522A"/>
    <w:rsid w:val="001A5253"/>
    <w:rsid w:val="001A528E"/>
    <w:rsid w:val="001A536F"/>
    <w:rsid w:val="001A549F"/>
    <w:rsid w:val="001A54BA"/>
    <w:rsid w:val="001A5687"/>
    <w:rsid w:val="001A57F3"/>
    <w:rsid w:val="001A582E"/>
    <w:rsid w:val="001A59C2"/>
    <w:rsid w:val="001A5A36"/>
    <w:rsid w:val="001A5B12"/>
    <w:rsid w:val="001A5C2F"/>
    <w:rsid w:val="001A5D15"/>
    <w:rsid w:val="001A5D30"/>
    <w:rsid w:val="001A5E87"/>
    <w:rsid w:val="001A5F0C"/>
    <w:rsid w:val="001A5F1C"/>
    <w:rsid w:val="001A5F6D"/>
    <w:rsid w:val="001A6084"/>
    <w:rsid w:val="001A6170"/>
    <w:rsid w:val="001A6205"/>
    <w:rsid w:val="001A6540"/>
    <w:rsid w:val="001A6B60"/>
    <w:rsid w:val="001A6BF8"/>
    <w:rsid w:val="001A6C5E"/>
    <w:rsid w:val="001A6D23"/>
    <w:rsid w:val="001A6DE3"/>
    <w:rsid w:val="001A6F66"/>
    <w:rsid w:val="001A7158"/>
    <w:rsid w:val="001A722A"/>
    <w:rsid w:val="001A72D8"/>
    <w:rsid w:val="001A73AD"/>
    <w:rsid w:val="001A7529"/>
    <w:rsid w:val="001A762A"/>
    <w:rsid w:val="001A7653"/>
    <w:rsid w:val="001A76D8"/>
    <w:rsid w:val="001A788A"/>
    <w:rsid w:val="001A794A"/>
    <w:rsid w:val="001A7A34"/>
    <w:rsid w:val="001A7A51"/>
    <w:rsid w:val="001A7ACA"/>
    <w:rsid w:val="001A7D51"/>
    <w:rsid w:val="001A7E9E"/>
    <w:rsid w:val="001A7F1A"/>
    <w:rsid w:val="001B00FD"/>
    <w:rsid w:val="001B0217"/>
    <w:rsid w:val="001B0220"/>
    <w:rsid w:val="001B0344"/>
    <w:rsid w:val="001B03B6"/>
    <w:rsid w:val="001B070D"/>
    <w:rsid w:val="001B0719"/>
    <w:rsid w:val="001B073C"/>
    <w:rsid w:val="001B0AE1"/>
    <w:rsid w:val="001B0DFC"/>
    <w:rsid w:val="001B0EC6"/>
    <w:rsid w:val="001B0F0E"/>
    <w:rsid w:val="001B0F2E"/>
    <w:rsid w:val="001B0FE7"/>
    <w:rsid w:val="001B117B"/>
    <w:rsid w:val="001B1434"/>
    <w:rsid w:val="001B1542"/>
    <w:rsid w:val="001B17C2"/>
    <w:rsid w:val="001B19F3"/>
    <w:rsid w:val="001B1ABB"/>
    <w:rsid w:val="001B1D5C"/>
    <w:rsid w:val="001B1DAE"/>
    <w:rsid w:val="001B2350"/>
    <w:rsid w:val="001B2394"/>
    <w:rsid w:val="001B24A8"/>
    <w:rsid w:val="001B251A"/>
    <w:rsid w:val="001B2530"/>
    <w:rsid w:val="001B26D5"/>
    <w:rsid w:val="001B27C8"/>
    <w:rsid w:val="001B27DC"/>
    <w:rsid w:val="001B2AD5"/>
    <w:rsid w:val="001B2B11"/>
    <w:rsid w:val="001B2BBD"/>
    <w:rsid w:val="001B2CA7"/>
    <w:rsid w:val="001B2DCA"/>
    <w:rsid w:val="001B2E28"/>
    <w:rsid w:val="001B2E5C"/>
    <w:rsid w:val="001B2E6E"/>
    <w:rsid w:val="001B2E75"/>
    <w:rsid w:val="001B3218"/>
    <w:rsid w:val="001B322D"/>
    <w:rsid w:val="001B3330"/>
    <w:rsid w:val="001B348A"/>
    <w:rsid w:val="001B34CE"/>
    <w:rsid w:val="001B3560"/>
    <w:rsid w:val="001B3668"/>
    <w:rsid w:val="001B38EE"/>
    <w:rsid w:val="001B3AFF"/>
    <w:rsid w:val="001B3BC1"/>
    <w:rsid w:val="001B3CDD"/>
    <w:rsid w:val="001B3D5B"/>
    <w:rsid w:val="001B3D6D"/>
    <w:rsid w:val="001B3DA0"/>
    <w:rsid w:val="001B4114"/>
    <w:rsid w:val="001B4184"/>
    <w:rsid w:val="001B4241"/>
    <w:rsid w:val="001B427D"/>
    <w:rsid w:val="001B42AD"/>
    <w:rsid w:val="001B42E4"/>
    <w:rsid w:val="001B45C7"/>
    <w:rsid w:val="001B45E4"/>
    <w:rsid w:val="001B4699"/>
    <w:rsid w:val="001B4734"/>
    <w:rsid w:val="001B4A20"/>
    <w:rsid w:val="001B4A79"/>
    <w:rsid w:val="001B4BF7"/>
    <w:rsid w:val="001B4C68"/>
    <w:rsid w:val="001B4D60"/>
    <w:rsid w:val="001B4F52"/>
    <w:rsid w:val="001B4F53"/>
    <w:rsid w:val="001B4FB8"/>
    <w:rsid w:val="001B503F"/>
    <w:rsid w:val="001B5148"/>
    <w:rsid w:val="001B51EB"/>
    <w:rsid w:val="001B51F9"/>
    <w:rsid w:val="001B5253"/>
    <w:rsid w:val="001B53B3"/>
    <w:rsid w:val="001B5527"/>
    <w:rsid w:val="001B5540"/>
    <w:rsid w:val="001B5557"/>
    <w:rsid w:val="001B557E"/>
    <w:rsid w:val="001B5700"/>
    <w:rsid w:val="001B5755"/>
    <w:rsid w:val="001B57E5"/>
    <w:rsid w:val="001B59AD"/>
    <w:rsid w:val="001B59B9"/>
    <w:rsid w:val="001B5AD1"/>
    <w:rsid w:val="001B5B60"/>
    <w:rsid w:val="001B5B6E"/>
    <w:rsid w:val="001B5BEA"/>
    <w:rsid w:val="001B5BFA"/>
    <w:rsid w:val="001B5C31"/>
    <w:rsid w:val="001B5CED"/>
    <w:rsid w:val="001B5D05"/>
    <w:rsid w:val="001B5D37"/>
    <w:rsid w:val="001B5E90"/>
    <w:rsid w:val="001B5FF7"/>
    <w:rsid w:val="001B611F"/>
    <w:rsid w:val="001B62A2"/>
    <w:rsid w:val="001B65FB"/>
    <w:rsid w:val="001B6613"/>
    <w:rsid w:val="001B6934"/>
    <w:rsid w:val="001B69E0"/>
    <w:rsid w:val="001B6A45"/>
    <w:rsid w:val="001B6B4E"/>
    <w:rsid w:val="001B6D15"/>
    <w:rsid w:val="001B6E5F"/>
    <w:rsid w:val="001B70E9"/>
    <w:rsid w:val="001B7249"/>
    <w:rsid w:val="001B73AC"/>
    <w:rsid w:val="001B73D4"/>
    <w:rsid w:val="001B74A1"/>
    <w:rsid w:val="001B76E8"/>
    <w:rsid w:val="001B779C"/>
    <w:rsid w:val="001B79CD"/>
    <w:rsid w:val="001B7AAC"/>
    <w:rsid w:val="001B7BCC"/>
    <w:rsid w:val="001B7C82"/>
    <w:rsid w:val="001B7CBA"/>
    <w:rsid w:val="001B7D95"/>
    <w:rsid w:val="001B7DC4"/>
    <w:rsid w:val="001B7E55"/>
    <w:rsid w:val="001B7EEA"/>
    <w:rsid w:val="001C013A"/>
    <w:rsid w:val="001C0150"/>
    <w:rsid w:val="001C01BE"/>
    <w:rsid w:val="001C020C"/>
    <w:rsid w:val="001C023F"/>
    <w:rsid w:val="001C0317"/>
    <w:rsid w:val="001C048A"/>
    <w:rsid w:val="001C0576"/>
    <w:rsid w:val="001C062C"/>
    <w:rsid w:val="001C0631"/>
    <w:rsid w:val="001C067A"/>
    <w:rsid w:val="001C06F4"/>
    <w:rsid w:val="001C07B3"/>
    <w:rsid w:val="001C07FB"/>
    <w:rsid w:val="001C0831"/>
    <w:rsid w:val="001C08A3"/>
    <w:rsid w:val="001C08B5"/>
    <w:rsid w:val="001C09D2"/>
    <w:rsid w:val="001C0AE4"/>
    <w:rsid w:val="001C0CA3"/>
    <w:rsid w:val="001C0CEF"/>
    <w:rsid w:val="001C0E12"/>
    <w:rsid w:val="001C0FFB"/>
    <w:rsid w:val="001C1011"/>
    <w:rsid w:val="001C1035"/>
    <w:rsid w:val="001C12F7"/>
    <w:rsid w:val="001C1664"/>
    <w:rsid w:val="001C1816"/>
    <w:rsid w:val="001C1826"/>
    <w:rsid w:val="001C18B0"/>
    <w:rsid w:val="001C18D4"/>
    <w:rsid w:val="001C1CD7"/>
    <w:rsid w:val="001C1FE7"/>
    <w:rsid w:val="001C21BD"/>
    <w:rsid w:val="001C2223"/>
    <w:rsid w:val="001C236C"/>
    <w:rsid w:val="001C2487"/>
    <w:rsid w:val="001C24A0"/>
    <w:rsid w:val="001C24DA"/>
    <w:rsid w:val="001C2671"/>
    <w:rsid w:val="001C267D"/>
    <w:rsid w:val="001C270D"/>
    <w:rsid w:val="001C2768"/>
    <w:rsid w:val="001C27A1"/>
    <w:rsid w:val="001C2A89"/>
    <w:rsid w:val="001C2AF8"/>
    <w:rsid w:val="001C2BFF"/>
    <w:rsid w:val="001C2C0B"/>
    <w:rsid w:val="001C2D0C"/>
    <w:rsid w:val="001C2D2E"/>
    <w:rsid w:val="001C2F03"/>
    <w:rsid w:val="001C3010"/>
    <w:rsid w:val="001C34FD"/>
    <w:rsid w:val="001C357E"/>
    <w:rsid w:val="001C35D8"/>
    <w:rsid w:val="001C35E5"/>
    <w:rsid w:val="001C3631"/>
    <w:rsid w:val="001C3665"/>
    <w:rsid w:val="001C38B4"/>
    <w:rsid w:val="001C390D"/>
    <w:rsid w:val="001C39AD"/>
    <w:rsid w:val="001C3A2A"/>
    <w:rsid w:val="001C3A57"/>
    <w:rsid w:val="001C3A5E"/>
    <w:rsid w:val="001C3A7F"/>
    <w:rsid w:val="001C3AF6"/>
    <w:rsid w:val="001C3B69"/>
    <w:rsid w:val="001C3BA6"/>
    <w:rsid w:val="001C3C5A"/>
    <w:rsid w:val="001C3D07"/>
    <w:rsid w:val="001C3D4A"/>
    <w:rsid w:val="001C3DAA"/>
    <w:rsid w:val="001C3EE8"/>
    <w:rsid w:val="001C3F35"/>
    <w:rsid w:val="001C3F40"/>
    <w:rsid w:val="001C3FF6"/>
    <w:rsid w:val="001C43A8"/>
    <w:rsid w:val="001C4456"/>
    <w:rsid w:val="001C46B7"/>
    <w:rsid w:val="001C478F"/>
    <w:rsid w:val="001C4987"/>
    <w:rsid w:val="001C4A06"/>
    <w:rsid w:val="001C4A52"/>
    <w:rsid w:val="001C4BC3"/>
    <w:rsid w:val="001C4CDF"/>
    <w:rsid w:val="001C4EAF"/>
    <w:rsid w:val="001C4F55"/>
    <w:rsid w:val="001C5039"/>
    <w:rsid w:val="001C504B"/>
    <w:rsid w:val="001C52CC"/>
    <w:rsid w:val="001C5402"/>
    <w:rsid w:val="001C5422"/>
    <w:rsid w:val="001C5460"/>
    <w:rsid w:val="001C5B19"/>
    <w:rsid w:val="001C5C3F"/>
    <w:rsid w:val="001C5C78"/>
    <w:rsid w:val="001C6126"/>
    <w:rsid w:val="001C619E"/>
    <w:rsid w:val="001C61CD"/>
    <w:rsid w:val="001C6348"/>
    <w:rsid w:val="001C63D5"/>
    <w:rsid w:val="001C64EF"/>
    <w:rsid w:val="001C6751"/>
    <w:rsid w:val="001C679E"/>
    <w:rsid w:val="001C67BC"/>
    <w:rsid w:val="001C685B"/>
    <w:rsid w:val="001C6902"/>
    <w:rsid w:val="001C6DE0"/>
    <w:rsid w:val="001C6F4F"/>
    <w:rsid w:val="001C71DC"/>
    <w:rsid w:val="001C7359"/>
    <w:rsid w:val="001C735A"/>
    <w:rsid w:val="001C7545"/>
    <w:rsid w:val="001C768C"/>
    <w:rsid w:val="001C7709"/>
    <w:rsid w:val="001C79A4"/>
    <w:rsid w:val="001C7B00"/>
    <w:rsid w:val="001C7B86"/>
    <w:rsid w:val="001C7DD4"/>
    <w:rsid w:val="001C7DEF"/>
    <w:rsid w:val="001C7E42"/>
    <w:rsid w:val="001C7EC4"/>
    <w:rsid w:val="001D01ED"/>
    <w:rsid w:val="001D02F0"/>
    <w:rsid w:val="001D036D"/>
    <w:rsid w:val="001D03B3"/>
    <w:rsid w:val="001D0451"/>
    <w:rsid w:val="001D0538"/>
    <w:rsid w:val="001D07CC"/>
    <w:rsid w:val="001D08EF"/>
    <w:rsid w:val="001D0919"/>
    <w:rsid w:val="001D09A1"/>
    <w:rsid w:val="001D0A54"/>
    <w:rsid w:val="001D0ACD"/>
    <w:rsid w:val="001D0BD5"/>
    <w:rsid w:val="001D0D5C"/>
    <w:rsid w:val="001D0E1E"/>
    <w:rsid w:val="001D0E2C"/>
    <w:rsid w:val="001D0F98"/>
    <w:rsid w:val="001D104B"/>
    <w:rsid w:val="001D1192"/>
    <w:rsid w:val="001D12D0"/>
    <w:rsid w:val="001D130A"/>
    <w:rsid w:val="001D134E"/>
    <w:rsid w:val="001D13FB"/>
    <w:rsid w:val="001D178A"/>
    <w:rsid w:val="001D17C5"/>
    <w:rsid w:val="001D17C6"/>
    <w:rsid w:val="001D1860"/>
    <w:rsid w:val="001D18CF"/>
    <w:rsid w:val="001D19A9"/>
    <w:rsid w:val="001D19C4"/>
    <w:rsid w:val="001D1E6D"/>
    <w:rsid w:val="001D1ED2"/>
    <w:rsid w:val="001D2097"/>
    <w:rsid w:val="001D2164"/>
    <w:rsid w:val="001D21DC"/>
    <w:rsid w:val="001D23EB"/>
    <w:rsid w:val="001D243B"/>
    <w:rsid w:val="001D24DC"/>
    <w:rsid w:val="001D252F"/>
    <w:rsid w:val="001D2617"/>
    <w:rsid w:val="001D27AA"/>
    <w:rsid w:val="001D27EF"/>
    <w:rsid w:val="001D2841"/>
    <w:rsid w:val="001D2987"/>
    <w:rsid w:val="001D29D6"/>
    <w:rsid w:val="001D2A14"/>
    <w:rsid w:val="001D2A7D"/>
    <w:rsid w:val="001D2ABC"/>
    <w:rsid w:val="001D2B63"/>
    <w:rsid w:val="001D2D4F"/>
    <w:rsid w:val="001D2D95"/>
    <w:rsid w:val="001D320D"/>
    <w:rsid w:val="001D3291"/>
    <w:rsid w:val="001D32B3"/>
    <w:rsid w:val="001D34A3"/>
    <w:rsid w:val="001D3644"/>
    <w:rsid w:val="001D3785"/>
    <w:rsid w:val="001D3A38"/>
    <w:rsid w:val="001D3A7E"/>
    <w:rsid w:val="001D3AD6"/>
    <w:rsid w:val="001D3B2F"/>
    <w:rsid w:val="001D3B5B"/>
    <w:rsid w:val="001D3C25"/>
    <w:rsid w:val="001D3C8B"/>
    <w:rsid w:val="001D3CA5"/>
    <w:rsid w:val="001D3DD7"/>
    <w:rsid w:val="001D3DDA"/>
    <w:rsid w:val="001D3E8E"/>
    <w:rsid w:val="001D3E8F"/>
    <w:rsid w:val="001D3E9B"/>
    <w:rsid w:val="001D41D6"/>
    <w:rsid w:val="001D420A"/>
    <w:rsid w:val="001D4463"/>
    <w:rsid w:val="001D4497"/>
    <w:rsid w:val="001D44AE"/>
    <w:rsid w:val="001D4633"/>
    <w:rsid w:val="001D4875"/>
    <w:rsid w:val="001D4A14"/>
    <w:rsid w:val="001D4A2C"/>
    <w:rsid w:val="001D4AF6"/>
    <w:rsid w:val="001D4B9E"/>
    <w:rsid w:val="001D4C1D"/>
    <w:rsid w:val="001D5118"/>
    <w:rsid w:val="001D5220"/>
    <w:rsid w:val="001D5271"/>
    <w:rsid w:val="001D5653"/>
    <w:rsid w:val="001D56C6"/>
    <w:rsid w:val="001D56C9"/>
    <w:rsid w:val="001D577C"/>
    <w:rsid w:val="001D5B09"/>
    <w:rsid w:val="001D5B5F"/>
    <w:rsid w:val="001D5B74"/>
    <w:rsid w:val="001D5B9B"/>
    <w:rsid w:val="001D5BB8"/>
    <w:rsid w:val="001D5CBF"/>
    <w:rsid w:val="001D5D90"/>
    <w:rsid w:val="001D5DE8"/>
    <w:rsid w:val="001D5E71"/>
    <w:rsid w:val="001D5F11"/>
    <w:rsid w:val="001D5FAA"/>
    <w:rsid w:val="001D6063"/>
    <w:rsid w:val="001D6275"/>
    <w:rsid w:val="001D6276"/>
    <w:rsid w:val="001D666F"/>
    <w:rsid w:val="001D67B3"/>
    <w:rsid w:val="001D67FE"/>
    <w:rsid w:val="001D686B"/>
    <w:rsid w:val="001D6A31"/>
    <w:rsid w:val="001D6A4B"/>
    <w:rsid w:val="001D6B20"/>
    <w:rsid w:val="001D6BE1"/>
    <w:rsid w:val="001D6BF3"/>
    <w:rsid w:val="001D6C9A"/>
    <w:rsid w:val="001D6D8C"/>
    <w:rsid w:val="001D6DA4"/>
    <w:rsid w:val="001D6DEB"/>
    <w:rsid w:val="001D6E56"/>
    <w:rsid w:val="001D7103"/>
    <w:rsid w:val="001D72C5"/>
    <w:rsid w:val="001D73A1"/>
    <w:rsid w:val="001D73FA"/>
    <w:rsid w:val="001D7555"/>
    <w:rsid w:val="001D7626"/>
    <w:rsid w:val="001D78B4"/>
    <w:rsid w:val="001D78CB"/>
    <w:rsid w:val="001D7917"/>
    <w:rsid w:val="001D7ACA"/>
    <w:rsid w:val="001D7B6E"/>
    <w:rsid w:val="001D7B73"/>
    <w:rsid w:val="001D7C18"/>
    <w:rsid w:val="001D7C74"/>
    <w:rsid w:val="001D7ECE"/>
    <w:rsid w:val="001D7F47"/>
    <w:rsid w:val="001E003E"/>
    <w:rsid w:val="001E01F0"/>
    <w:rsid w:val="001E031C"/>
    <w:rsid w:val="001E0450"/>
    <w:rsid w:val="001E046E"/>
    <w:rsid w:val="001E09A1"/>
    <w:rsid w:val="001E0AAE"/>
    <w:rsid w:val="001E0E49"/>
    <w:rsid w:val="001E0EE2"/>
    <w:rsid w:val="001E101B"/>
    <w:rsid w:val="001E11E0"/>
    <w:rsid w:val="001E12E6"/>
    <w:rsid w:val="001E1376"/>
    <w:rsid w:val="001E141B"/>
    <w:rsid w:val="001E1420"/>
    <w:rsid w:val="001E19B8"/>
    <w:rsid w:val="001E1A3B"/>
    <w:rsid w:val="001E1C0C"/>
    <w:rsid w:val="001E1CCC"/>
    <w:rsid w:val="001E1D48"/>
    <w:rsid w:val="001E1F29"/>
    <w:rsid w:val="001E1F40"/>
    <w:rsid w:val="001E1FD2"/>
    <w:rsid w:val="001E207B"/>
    <w:rsid w:val="001E207F"/>
    <w:rsid w:val="001E2106"/>
    <w:rsid w:val="001E21E1"/>
    <w:rsid w:val="001E221C"/>
    <w:rsid w:val="001E227B"/>
    <w:rsid w:val="001E230B"/>
    <w:rsid w:val="001E2537"/>
    <w:rsid w:val="001E2555"/>
    <w:rsid w:val="001E285E"/>
    <w:rsid w:val="001E28C2"/>
    <w:rsid w:val="001E2984"/>
    <w:rsid w:val="001E2C18"/>
    <w:rsid w:val="001E2CEA"/>
    <w:rsid w:val="001E2E2C"/>
    <w:rsid w:val="001E2EDE"/>
    <w:rsid w:val="001E2FE4"/>
    <w:rsid w:val="001E300C"/>
    <w:rsid w:val="001E320E"/>
    <w:rsid w:val="001E3245"/>
    <w:rsid w:val="001E32FE"/>
    <w:rsid w:val="001E3314"/>
    <w:rsid w:val="001E36B1"/>
    <w:rsid w:val="001E381E"/>
    <w:rsid w:val="001E39C0"/>
    <w:rsid w:val="001E3A93"/>
    <w:rsid w:val="001E3ABC"/>
    <w:rsid w:val="001E3AE7"/>
    <w:rsid w:val="001E3B15"/>
    <w:rsid w:val="001E3BC1"/>
    <w:rsid w:val="001E3BF3"/>
    <w:rsid w:val="001E3EDD"/>
    <w:rsid w:val="001E417E"/>
    <w:rsid w:val="001E4352"/>
    <w:rsid w:val="001E44A3"/>
    <w:rsid w:val="001E44D2"/>
    <w:rsid w:val="001E44E1"/>
    <w:rsid w:val="001E45C3"/>
    <w:rsid w:val="001E46F3"/>
    <w:rsid w:val="001E476F"/>
    <w:rsid w:val="001E49FA"/>
    <w:rsid w:val="001E4C37"/>
    <w:rsid w:val="001E4CCE"/>
    <w:rsid w:val="001E4F24"/>
    <w:rsid w:val="001E5052"/>
    <w:rsid w:val="001E52A1"/>
    <w:rsid w:val="001E5312"/>
    <w:rsid w:val="001E53D2"/>
    <w:rsid w:val="001E55CC"/>
    <w:rsid w:val="001E55F6"/>
    <w:rsid w:val="001E56F6"/>
    <w:rsid w:val="001E57E6"/>
    <w:rsid w:val="001E5865"/>
    <w:rsid w:val="001E58F0"/>
    <w:rsid w:val="001E5AD4"/>
    <w:rsid w:val="001E5B80"/>
    <w:rsid w:val="001E5C67"/>
    <w:rsid w:val="001E5C95"/>
    <w:rsid w:val="001E5E3A"/>
    <w:rsid w:val="001E5EB9"/>
    <w:rsid w:val="001E5F02"/>
    <w:rsid w:val="001E5FE5"/>
    <w:rsid w:val="001E6248"/>
    <w:rsid w:val="001E634A"/>
    <w:rsid w:val="001E6354"/>
    <w:rsid w:val="001E6696"/>
    <w:rsid w:val="001E6752"/>
    <w:rsid w:val="001E67E2"/>
    <w:rsid w:val="001E6834"/>
    <w:rsid w:val="001E6848"/>
    <w:rsid w:val="001E6965"/>
    <w:rsid w:val="001E6AA2"/>
    <w:rsid w:val="001E6C66"/>
    <w:rsid w:val="001E6E16"/>
    <w:rsid w:val="001E6E45"/>
    <w:rsid w:val="001E6FE3"/>
    <w:rsid w:val="001E718A"/>
    <w:rsid w:val="001E7423"/>
    <w:rsid w:val="001E754E"/>
    <w:rsid w:val="001E756A"/>
    <w:rsid w:val="001E75EE"/>
    <w:rsid w:val="001E76AB"/>
    <w:rsid w:val="001E77BC"/>
    <w:rsid w:val="001E784D"/>
    <w:rsid w:val="001E78DA"/>
    <w:rsid w:val="001E78F9"/>
    <w:rsid w:val="001E7915"/>
    <w:rsid w:val="001E79DB"/>
    <w:rsid w:val="001E7A34"/>
    <w:rsid w:val="001E7A8E"/>
    <w:rsid w:val="001E7B23"/>
    <w:rsid w:val="001E7BB0"/>
    <w:rsid w:val="001E7C0F"/>
    <w:rsid w:val="001E7E10"/>
    <w:rsid w:val="001E7E54"/>
    <w:rsid w:val="001F00CF"/>
    <w:rsid w:val="001F015E"/>
    <w:rsid w:val="001F0470"/>
    <w:rsid w:val="001F0544"/>
    <w:rsid w:val="001F0DFA"/>
    <w:rsid w:val="001F0E46"/>
    <w:rsid w:val="001F0EDC"/>
    <w:rsid w:val="001F0FBB"/>
    <w:rsid w:val="001F100E"/>
    <w:rsid w:val="001F1034"/>
    <w:rsid w:val="001F1075"/>
    <w:rsid w:val="001F11F8"/>
    <w:rsid w:val="001F12B0"/>
    <w:rsid w:val="001F136A"/>
    <w:rsid w:val="001F1396"/>
    <w:rsid w:val="001F139A"/>
    <w:rsid w:val="001F15A8"/>
    <w:rsid w:val="001F167E"/>
    <w:rsid w:val="001F16AF"/>
    <w:rsid w:val="001F1A89"/>
    <w:rsid w:val="001F1AFE"/>
    <w:rsid w:val="001F1CAA"/>
    <w:rsid w:val="001F1CBF"/>
    <w:rsid w:val="001F1F7F"/>
    <w:rsid w:val="001F2003"/>
    <w:rsid w:val="001F201C"/>
    <w:rsid w:val="001F212F"/>
    <w:rsid w:val="001F21DA"/>
    <w:rsid w:val="001F232E"/>
    <w:rsid w:val="001F2349"/>
    <w:rsid w:val="001F2374"/>
    <w:rsid w:val="001F26C7"/>
    <w:rsid w:val="001F271A"/>
    <w:rsid w:val="001F27AA"/>
    <w:rsid w:val="001F27FD"/>
    <w:rsid w:val="001F28D2"/>
    <w:rsid w:val="001F28D6"/>
    <w:rsid w:val="001F291F"/>
    <w:rsid w:val="001F2946"/>
    <w:rsid w:val="001F2993"/>
    <w:rsid w:val="001F2A3A"/>
    <w:rsid w:val="001F2AB8"/>
    <w:rsid w:val="001F2CC4"/>
    <w:rsid w:val="001F2D9C"/>
    <w:rsid w:val="001F2DE5"/>
    <w:rsid w:val="001F2E0E"/>
    <w:rsid w:val="001F2FFB"/>
    <w:rsid w:val="001F30E1"/>
    <w:rsid w:val="001F32E8"/>
    <w:rsid w:val="001F33A5"/>
    <w:rsid w:val="001F33B6"/>
    <w:rsid w:val="001F3446"/>
    <w:rsid w:val="001F34B6"/>
    <w:rsid w:val="001F35AB"/>
    <w:rsid w:val="001F364B"/>
    <w:rsid w:val="001F36D0"/>
    <w:rsid w:val="001F37BD"/>
    <w:rsid w:val="001F37C5"/>
    <w:rsid w:val="001F38E4"/>
    <w:rsid w:val="001F39A8"/>
    <w:rsid w:val="001F3BD4"/>
    <w:rsid w:val="001F3CB5"/>
    <w:rsid w:val="001F3CE8"/>
    <w:rsid w:val="001F3CEA"/>
    <w:rsid w:val="001F3D3C"/>
    <w:rsid w:val="001F3D57"/>
    <w:rsid w:val="001F3E29"/>
    <w:rsid w:val="001F3E8E"/>
    <w:rsid w:val="001F3FA6"/>
    <w:rsid w:val="001F403C"/>
    <w:rsid w:val="001F4159"/>
    <w:rsid w:val="001F442B"/>
    <w:rsid w:val="001F4677"/>
    <w:rsid w:val="001F4724"/>
    <w:rsid w:val="001F4766"/>
    <w:rsid w:val="001F48F2"/>
    <w:rsid w:val="001F48FA"/>
    <w:rsid w:val="001F49B4"/>
    <w:rsid w:val="001F49B8"/>
    <w:rsid w:val="001F4A2D"/>
    <w:rsid w:val="001F4A3C"/>
    <w:rsid w:val="001F4AA2"/>
    <w:rsid w:val="001F4B1B"/>
    <w:rsid w:val="001F4BA4"/>
    <w:rsid w:val="001F4D14"/>
    <w:rsid w:val="001F4E5A"/>
    <w:rsid w:val="001F4E6B"/>
    <w:rsid w:val="001F4EB2"/>
    <w:rsid w:val="001F501F"/>
    <w:rsid w:val="001F503C"/>
    <w:rsid w:val="001F511D"/>
    <w:rsid w:val="001F51BD"/>
    <w:rsid w:val="001F54CD"/>
    <w:rsid w:val="001F58C8"/>
    <w:rsid w:val="001F5A40"/>
    <w:rsid w:val="001F5A97"/>
    <w:rsid w:val="001F5DF0"/>
    <w:rsid w:val="001F5E82"/>
    <w:rsid w:val="001F5FC7"/>
    <w:rsid w:val="001F5FCB"/>
    <w:rsid w:val="001F60A1"/>
    <w:rsid w:val="001F62E3"/>
    <w:rsid w:val="001F63F6"/>
    <w:rsid w:val="001F640D"/>
    <w:rsid w:val="001F6723"/>
    <w:rsid w:val="001F67A5"/>
    <w:rsid w:val="001F6827"/>
    <w:rsid w:val="001F6968"/>
    <w:rsid w:val="001F6F44"/>
    <w:rsid w:val="001F71A5"/>
    <w:rsid w:val="001F71C9"/>
    <w:rsid w:val="001F72F2"/>
    <w:rsid w:val="001F73A5"/>
    <w:rsid w:val="001F746C"/>
    <w:rsid w:val="001F7629"/>
    <w:rsid w:val="001F767E"/>
    <w:rsid w:val="001F777F"/>
    <w:rsid w:val="001F78D3"/>
    <w:rsid w:val="001F7A33"/>
    <w:rsid w:val="001F7A99"/>
    <w:rsid w:val="001F7B80"/>
    <w:rsid w:val="001F7BE9"/>
    <w:rsid w:val="001F7C0A"/>
    <w:rsid w:val="001F7C58"/>
    <w:rsid w:val="001F7F1D"/>
    <w:rsid w:val="00200004"/>
    <w:rsid w:val="0020006F"/>
    <w:rsid w:val="00200085"/>
    <w:rsid w:val="00200324"/>
    <w:rsid w:val="002003C0"/>
    <w:rsid w:val="002003E7"/>
    <w:rsid w:val="00200445"/>
    <w:rsid w:val="002004EE"/>
    <w:rsid w:val="0020055B"/>
    <w:rsid w:val="0020056E"/>
    <w:rsid w:val="002005EF"/>
    <w:rsid w:val="00200747"/>
    <w:rsid w:val="00200776"/>
    <w:rsid w:val="00200885"/>
    <w:rsid w:val="00200A10"/>
    <w:rsid w:val="00200AB2"/>
    <w:rsid w:val="00201168"/>
    <w:rsid w:val="00201171"/>
    <w:rsid w:val="0020117C"/>
    <w:rsid w:val="00201207"/>
    <w:rsid w:val="00201241"/>
    <w:rsid w:val="00201521"/>
    <w:rsid w:val="0020159A"/>
    <w:rsid w:val="00201690"/>
    <w:rsid w:val="0020170C"/>
    <w:rsid w:val="002018F3"/>
    <w:rsid w:val="0020190C"/>
    <w:rsid w:val="0020192A"/>
    <w:rsid w:val="002019A1"/>
    <w:rsid w:val="00201A82"/>
    <w:rsid w:val="00201AC2"/>
    <w:rsid w:val="00201B34"/>
    <w:rsid w:val="00201C95"/>
    <w:rsid w:val="00201E4B"/>
    <w:rsid w:val="00201EBA"/>
    <w:rsid w:val="00201F20"/>
    <w:rsid w:val="002023A5"/>
    <w:rsid w:val="00202407"/>
    <w:rsid w:val="0020255C"/>
    <w:rsid w:val="002025C3"/>
    <w:rsid w:val="00202742"/>
    <w:rsid w:val="0020274B"/>
    <w:rsid w:val="00202776"/>
    <w:rsid w:val="00202986"/>
    <w:rsid w:val="0020299F"/>
    <w:rsid w:val="00202A74"/>
    <w:rsid w:val="00202B72"/>
    <w:rsid w:val="00202D16"/>
    <w:rsid w:val="00202D23"/>
    <w:rsid w:val="00202E5B"/>
    <w:rsid w:val="00202F3C"/>
    <w:rsid w:val="00203064"/>
    <w:rsid w:val="0020327D"/>
    <w:rsid w:val="00203471"/>
    <w:rsid w:val="00203548"/>
    <w:rsid w:val="0020366A"/>
    <w:rsid w:val="002036C2"/>
    <w:rsid w:val="00203730"/>
    <w:rsid w:val="00203737"/>
    <w:rsid w:val="00203754"/>
    <w:rsid w:val="00203773"/>
    <w:rsid w:val="002037EE"/>
    <w:rsid w:val="00203840"/>
    <w:rsid w:val="002039D9"/>
    <w:rsid w:val="00203A72"/>
    <w:rsid w:val="00203B79"/>
    <w:rsid w:val="00203D18"/>
    <w:rsid w:val="00203E1F"/>
    <w:rsid w:val="00203E7B"/>
    <w:rsid w:val="00203EDA"/>
    <w:rsid w:val="00203F10"/>
    <w:rsid w:val="00203F1D"/>
    <w:rsid w:val="00203F4D"/>
    <w:rsid w:val="00204180"/>
    <w:rsid w:val="002041C0"/>
    <w:rsid w:val="00204265"/>
    <w:rsid w:val="0020429B"/>
    <w:rsid w:val="002043BD"/>
    <w:rsid w:val="00204470"/>
    <w:rsid w:val="002044A1"/>
    <w:rsid w:val="00204514"/>
    <w:rsid w:val="00204682"/>
    <w:rsid w:val="00204948"/>
    <w:rsid w:val="002049B5"/>
    <w:rsid w:val="00204B2A"/>
    <w:rsid w:val="00204BF1"/>
    <w:rsid w:val="00204C3F"/>
    <w:rsid w:val="00204D46"/>
    <w:rsid w:val="00204D4A"/>
    <w:rsid w:val="00204D4B"/>
    <w:rsid w:val="00204D90"/>
    <w:rsid w:val="00204F1E"/>
    <w:rsid w:val="00205170"/>
    <w:rsid w:val="002051DD"/>
    <w:rsid w:val="00205446"/>
    <w:rsid w:val="00205588"/>
    <w:rsid w:val="00205596"/>
    <w:rsid w:val="00205634"/>
    <w:rsid w:val="002056D1"/>
    <w:rsid w:val="002056F3"/>
    <w:rsid w:val="002057D5"/>
    <w:rsid w:val="0020590C"/>
    <w:rsid w:val="0020595E"/>
    <w:rsid w:val="00205A55"/>
    <w:rsid w:val="00205AA1"/>
    <w:rsid w:val="00205AF3"/>
    <w:rsid w:val="00205B98"/>
    <w:rsid w:val="00205BAF"/>
    <w:rsid w:val="00205BFD"/>
    <w:rsid w:val="00205CB1"/>
    <w:rsid w:val="00205CCA"/>
    <w:rsid w:val="00205CD8"/>
    <w:rsid w:val="00205DBB"/>
    <w:rsid w:val="00205FA3"/>
    <w:rsid w:val="00206025"/>
    <w:rsid w:val="00206123"/>
    <w:rsid w:val="00206271"/>
    <w:rsid w:val="0020635B"/>
    <w:rsid w:val="0020639D"/>
    <w:rsid w:val="002063D0"/>
    <w:rsid w:val="002063ED"/>
    <w:rsid w:val="002064E4"/>
    <w:rsid w:val="002065CE"/>
    <w:rsid w:val="00206888"/>
    <w:rsid w:val="002068EC"/>
    <w:rsid w:val="00206958"/>
    <w:rsid w:val="00206A0E"/>
    <w:rsid w:val="00206B5F"/>
    <w:rsid w:val="00206BBF"/>
    <w:rsid w:val="00206D1C"/>
    <w:rsid w:val="00206F47"/>
    <w:rsid w:val="0020703F"/>
    <w:rsid w:val="0020708E"/>
    <w:rsid w:val="0020711D"/>
    <w:rsid w:val="002074DE"/>
    <w:rsid w:val="0020757E"/>
    <w:rsid w:val="0020781C"/>
    <w:rsid w:val="002079BA"/>
    <w:rsid w:val="002079DC"/>
    <w:rsid w:val="00207A7A"/>
    <w:rsid w:val="00207AD4"/>
    <w:rsid w:val="00207BA1"/>
    <w:rsid w:val="00207C5C"/>
    <w:rsid w:val="00207C7E"/>
    <w:rsid w:val="00207FDB"/>
    <w:rsid w:val="00210236"/>
    <w:rsid w:val="0021035E"/>
    <w:rsid w:val="002103F5"/>
    <w:rsid w:val="00210459"/>
    <w:rsid w:val="00210494"/>
    <w:rsid w:val="002104B9"/>
    <w:rsid w:val="00210757"/>
    <w:rsid w:val="002107D0"/>
    <w:rsid w:val="00210843"/>
    <w:rsid w:val="0021087C"/>
    <w:rsid w:val="00210AEE"/>
    <w:rsid w:val="00210B34"/>
    <w:rsid w:val="00210B8D"/>
    <w:rsid w:val="00210C0D"/>
    <w:rsid w:val="00210CB4"/>
    <w:rsid w:val="00210D5C"/>
    <w:rsid w:val="00210E1C"/>
    <w:rsid w:val="00210EDE"/>
    <w:rsid w:val="0021103F"/>
    <w:rsid w:val="0021116A"/>
    <w:rsid w:val="0021147C"/>
    <w:rsid w:val="0021155F"/>
    <w:rsid w:val="00211632"/>
    <w:rsid w:val="00211646"/>
    <w:rsid w:val="0021177E"/>
    <w:rsid w:val="002118DD"/>
    <w:rsid w:val="002118EE"/>
    <w:rsid w:val="00211A15"/>
    <w:rsid w:val="00211A1F"/>
    <w:rsid w:val="00211B63"/>
    <w:rsid w:val="00211BC9"/>
    <w:rsid w:val="00211D78"/>
    <w:rsid w:val="00211DF9"/>
    <w:rsid w:val="00211E73"/>
    <w:rsid w:val="00211EC0"/>
    <w:rsid w:val="00211F9B"/>
    <w:rsid w:val="00212373"/>
    <w:rsid w:val="00212443"/>
    <w:rsid w:val="0021247A"/>
    <w:rsid w:val="002124C1"/>
    <w:rsid w:val="00212555"/>
    <w:rsid w:val="002125C1"/>
    <w:rsid w:val="00212623"/>
    <w:rsid w:val="0021262B"/>
    <w:rsid w:val="00212656"/>
    <w:rsid w:val="0021266D"/>
    <w:rsid w:val="00212851"/>
    <w:rsid w:val="00212ADD"/>
    <w:rsid w:val="00212B24"/>
    <w:rsid w:val="00212B92"/>
    <w:rsid w:val="00212B99"/>
    <w:rsid w:val="00212BCB"/>
    <w:rsid w:val="00212BE5"/>
    <w:rsid w:val="00212D09"/>
    <w:rsid w:val="00212DD1"/>
    <w:rsid w:val="00212DEC"/>
    <w:rsid w:val="00212F4F"/>
    <w:rsid w:val="00212F68"/>
    <w:rsid w:val="0021300C"/>
    <w:rsid w:val="00213011"/>
    <w:rsid w:val="002130ED"/>
    <w:rsid w:val="00213170"/>
    <w:rsid w:val="00213429"/>
    <w:rsid w:val="0021345C"/>
    <w:rsid w:val="0021349B"/>
    <w:rsid w:val="002137B5"/>
    <w:rsid w:val="002137C1"/>
    <w:rsid w:val="002138F5"/>
    <w:rsid w:val="002139C9"/>
    <w:rsid w:val="00213A40"/>
    <w:rsid w:val="00213B65"/>
    <w:rsid w:val="00213BC5"/>
    <w:rsid w:val="00213DC8"/>
    <w:rsid w:val="00213DEC"/>
    <w:rsid w:val="00213F58"/>
    <w:rsid w:val="00213FF5"/>
    <w:rsid w:val="00214105"/>
    <w:rsid w:val="002141A3"/>
    <w:rsid w:val="0021430D"/>
    <w:rsid w:val="0021436B"/>
    <w:rsid w:val="002144E1"/>
    <w:rsid w:val="00214570"/>
    <w:rsid w:val="00214615"/>
    <w:rsid w:val="0021466B"/>
    <w:rsid w:val="0021467C"/>
    <w:rsid w:val="0021468C"/>
    <w:rsid w:val="002147C1"/>
    <w:rsid w:val="00214A60"/>
    <w:rsid w:val="00214B00"/>
    <w:rsid w:val="00214BC4"/>
    <w:rsid w:val="00214DD5"/>
    <w:rsid w:val="00214FB8"/>
    <w:rsid w:val="00215094"/>
    <w:rsid w:val="00215329"/>
    <w:rsid w:val="00215343"/>
    <w:rsid w:val="00215377"/>
    <w:rsid w:val="002153DC"/>
    <w:rsid w:val="0021547F"/>
    <w:rsid w:val="002156EF"/>
    <w:rsid w:val="002157B9"/>
    <w:rsid w:val="002157C0"/>
    <w:rsid w:val="00215807"/>
    <w:rsid w:val="00215906"/>
    <w:rsid w:val="00215AFD"/>
    <w:rsid w:val="00215B86"/>
    <w:rsid w:val="00215D2D"/>
    <w:rsid w:val="00215DC4"/>
    <w:rsid w:val="00215E6B"/>
    <w:rsid w:val="00215EA7"/>
    <w:rsid w:val="00215F08"/>
    <w:rsid w:val="00216073"/>
    <w:rsid w:val="00216166"/>
    <w:rsid w:val="002162EA"/>
    <w:rsid w:val="0021639E"/>
    <w:rsid w:val="00216553"/>
    <w:rsid w:val="00216611"/>
    <w:rsid w:val="0021669B"/>
    <w:rsid w:val="00216762"/>
    <w:rsid w:val="002167AE"/>
    <w:rsid w:val="00216834"/>
    <w:rsid w:val="002169B3"/>
    <w:rsid w:val="00216A69"/>
    <w:rsid w:val="00216CB3"/>
    <w:rsid w:val="002170B8"/>
    <w:rsid w:val="00217250"/>
    <w:rsid w:val="00217487"/>
    <w:rsid w:val="002174F8"/>
    <w:rsid w:val="002175CA"/>
    <w:rsid w:val="00217628"/>
    <w:rsid w:val="00217898"/>
    <w:rsid w:val="002178A7"/>
    <w:rsid w:val="00217923"/>
    <w:rsid w:val="00217928"/>
    <w:rsid w:val="002179A4"/>
    <w:rsid w:val="00217C4D"/>
    <w:rsid w:val="00217CFA"/>
    <w:rsid w:val="002200B3"/>
    <w:rsid w:val="002200D8"/>
    <w:rsid w:val="0022011B"/>
    <w:rsid w:val="00220139"/>
    <w:rsid w:val="00220157"/>
    <w:rsid w:val="00220217"/>
    <w:rsid w:val="00220228"/>
    <w:rsid w:val="002202D8"/>
    <w:rsid w:val="0022046A"/>
    <w:rsid w:val="00220637"/>
    <w:rsid w:val="0022067C"/>
    <w:rsid w:val="00220760"/>
    <w:rsid w:val="002207F3"/>
    <w:rsid w:val="00220813"/>
    <w:rsid w:val="002208A6"/>
    <w:rsid w:val="00220A3F"/>
    <w:rsid w:val="00220A87"/>
    <w:rsid w:val="00220A8B"/>
    <w:rsid w:val="00220B6C"/>
    <w:rsid w:val="00220D14"/>
    <w:rsid w:val="00220D20"/>
    <w:rsid w:val="00220F83"/>
    <w:rsid w:val="00220F8F"/>
    <w:rsid w:val="0022109F"/>
    <w:rsid w:val="002211D9"/>
    <w:rsid w:val="00221229"/>
    <w:rsid w:val="00221273"/>
    <w:rsid w:val="00221529"/>
    <w:rsid w:val="00221540"/>
    <w:rsid w:val="002215B8"/>
    <w:rsid w:val="00221850"/>
    <w:rsid w:val="002218B9"/>
    <w:rsid w:val="00221C28"/>
    <w:rsid w:val="00221CCA"/>
    <w:rsid w:val="00221CD9"/>
    <w:rsid w:val="00221CF0"/>
    <w:rsid w:val="00221D00"/>
    <w:rsid w:val="00221DC0"/>
    <w:rsid w:val="00221E05"/>
    <w:rsid w:val="00221E80"/>
    <w:rsid w:val="00222068"/>
    <w:rsid w:val="00222098"/>
    <w:rsid w:val="002222D9"/>
    <w:rsid w:val="002224B4"/>
    <w:rsid w:val="002224BD"/>
    <w:rsid w:val="00222596"/>
    <w:rsid w:val="00222624"/>
    <w:rsid w:val="00222627"/>
    <w:rsid w:val="00222AAE"/>
    <w:rsid w:val="00222B8B"/>
    <w:rsid w:val="00222C0D"/>
    <w:rsid w:val="00222C45"/>
    <w:rsid w:val="00222DA9"/>
    <w:rsid w:val="00223020"/>
    <w:rsid w:val="00223029"/>
    <w:rsid w:val="00223139"/>
    <w:rsid w:val="0022313E"/>
    <w:rsid w:val="00223147"/>
    <w:rsid w:val="00223229"/>
    <w:rsid w:val="00223386"/>
    <w:rsid w:val="0022345C"/>
    <w:rsid w:val="00223571"/>
    <w:rsid w:val="00223752"/>
    <w:rsid w:val="002239C3"/>
    <w:rsid w:val="00223ABD"/>
    <w:rsid w:val="00223B6B"/>
    <w:rsid w:val="00223BA5"/>
    <w:rsid w:val="00223C3C"/>
    <w:rsid w:val="00223D56"/>
    <w:rsid w:val="00223DC6"/>
    <w:rsid w:val="00223DD0"/>
    <w:rsid w:val="00223F61"/>
    <w:rsid w:val="00223FAA"/>
    <w:rsid w:val="002240E0"/>
    <w:rsid w:val="00224186"/>
    <w:rsid w:val="002241DC"/>
    <w:rsid w:val="00224340"/>
    <w:rsid w:val="0022435A"/>
    <w:rsid w:val="0022435D"/>
    <w:rsid w:val="002244F5"/>
    <w:rsid w:val="002245EA"/>
    <w:rsid w:val="0022479E"/>
    <w:rsid w:val="00224899"/>
    <w:rsid w:val="00224ABF"/>
    <w:rsid w:val="00224B9F"/>
    <w:rsid w:val="00224C6E"/>
    <w:rsid w:val="00224EC2"/>
    <w:rsid w:val="002250EB"/>
    <w:rsid w:val="002255E2"/>
    <w:rsid w:val="0022565C"/>
    <w:rsid w:val="002256FB"/>
    <w:rsid w:val="00225765"/>
    <w:rsid w:val="0022578E"/>
    <w:rsid w:val="002259A5"/>
    <w:rsid w:val="00225D1B"/>
    <w:rsid w:val="00225D5C"/>
    <w:rsid w:val="00225DCE"/>
    <w:rsid w:val="00225FF7"/>
    <w:rsid w:val="00226120"/>
    <w:rsid w:val="002261CC"/>
    <w:rsid w:val="00226257"/>
    <w:rsid w:val="00226412"/>
    <w:rsid w:val="0022646F"/>
    <w:rsid w:val="00226543"/>
    <w:rsid w:val="002265D6"/>
    <w:rsid w:val="002265EF"/>
    <w:rsid w:val="002266C3"/>
    <w:rsid w:val="0022676A"/>
    <w:rsid w:val="00226804"/>
    <w:rsid w:val="0022687D"/>
    <w:rsid w:val="00226926"/>
    <w:rsid w:val="002269D6"/>
    <w:rsid w:val="00226B73"/>
    <w:rsid w:val="00226C6B"/>
    <w:rsid w:val="00226C7C"/>
    <w:rsid w:val="00226EC5"/>
    <w:rsid w:val="00226FFC"/>
    <w:rsid w:val="0022706D"/>
    <w:rsid w:val="0022715E"/>
    <w:rsid w:val="002273EF"/>
    <w:rsid w:val="002274D0"/>
    <w:rsid w:val="002274E1"/>
    <w:rsid w:val="00227574"/>
    <w:rsid w:val="00227831"/>
    <w:rsid w:val="002278B9"/>
    <w:rsid w:val="00227956"/>
    <w:rsid w:val="002279DC"/>
    <w:rsid w:val="00227A31"/>
    <w:rsid w:val="00227A3E"/>
    <w:rsid w:val="00227C35"/>
    <w:rsid w:val="00227D7C"/>
    <w:rsid w:val="00227DAA"/>
    <w:rsid w:val="00227E01"/>
    <w:rsid w:val="00230028"/>
    <w:rsid w:val="002300E2"/>
    <w:rsid w:val="00230140"/>
    <w:rsid w:val="002301CB"/>
    <w:rsid w:val="002301F6"/>
    <w:rsid w:val="00230350"/>
    <w:rsid w:val="00230413"/>
    <w:rsid w:val="0023042E"/>
    <w:rsid w:val="002304E8"/>
    <w:rsid w:val="002305E4"/>
    <w:rsid w:val="002307B0"/>
    <w:rsid w:val="002307FC"/>
    <w:rsid w:val="002309C3"/>
    <w:rsid w:val="00230A21"/>
    <w:rsid w:val="00230A5B"/>
    <w:rsid w:val="00230B7F"/>
    <w:rsid w:val="00230DC7"/>
    <w:rsid w:val="00230DE6"/>
    <w:rsid w:val="00230E50"/>
    <w:rsid w:val="00230E9C"/>
    <w:rsid w:val="002311B4"/>
    <w:rsid w:val="00231310"/>
    <w:rsid w:val="002313F0"/>
    <w:rsid w:val="00231559"/>
    <w:rsid w:val="0023159C"/>
    <w:rsid w:val="00231628"/>
    <w:rsid w:val="00231764"/>
    <w:rsid w:val="00231794"/>
    <w:rsid w:val="00231B96"/>
    <w:rsid w:val="00231BA4"/>
    <w:rsid w:val="00231EAD"/>
    <w:rsid w:val="00231F87"/>
    <w:rsid w:val="00231FF9"/>
    <w:rsid w:val="0023201A"/>
    <w:rsid w:val="00232363"/>
    <w:rsid w:val="00232557"/>
    <w:rsid w:val="0023286D"/>
    <w:rsid w:val="002328AF"/>
    <w:rsid w:val="00232B37"/>
    <w:rsid w:val="00232B70"/>
    <w:rsid w:val="00232C82"/>
    <w:rsid w:val="00232E27"/>
    <w:rsid w:val="0023308D"/>
    <w:rsid w:val="00233144"/>
    <w:rsid w:val="0023321B"/>
    <w:rsid w:val="002334CF"/>
    <w:rsid w:val="002335E5"/>
    <w:rsid w:val="0023368A"/>
    <w:rsid w:val="002336B2"/>
    <w:rsid w:val="00233750"/>
    <w:rsid w:val="00233783"/>
    <w:rsid w:val="002338FC"/>
    <w:rsid w:val="00233A3C"/>
    <w:rsid w:val="00233AA2"/>
    <w:rsid w:val="00233B0E"/>
    <w:rsid w:val="00233BC9"/>
    <w:rsid w:val="00233E2C"/>
    <w:rsid w:val="00233F7C"/>
    <w:rsid w:val="00234011"/>
    <w:rsid w:val="002341D2"/>
    <w:rsid w:val="00234313"/>
    <w:rsid w:val="0023459D"/>
    <w:rsid w:val="002345BC"/>
    <w:rsid w:val="002347A5"/>
    <w:rsid w:val="0023481F"/>
    <w:rsid w:val="0023492C"/>
    <w:rsid w:val="00234981"/>
    <w:rsid w:val="00234A85"/>
    <w:rsid w:val="00234C4B"/>
    <w:rsid w:val="00234C58"/>
    <w:rsid w:val="00234C64"/>
    <w:rsid w:val="00234C8D"/>
    <w:rsid w:val="00234DE7"/>
    <w:rsid w:val="00234E17"/>
    <w:rsid w:val="00234F32"/>
    <w:rsid w:val="00234F51"/>
    <w:rsid w:val="0023531D"/>
    <w:rsid w:val="002353D1"/>
    <w:rsid w:val="00235BDD"/>
    <w:rsid w:val="00235E72"/>
    <w:rsid w:val="00235F1F"/>
    <w:rsid w:val="00236004"/>
    <w:rsid w:val="00236144"/>
    <w:rsid w:val="0023640E"/>
    <w:rsid w:val="002365BE"/>
    <w:rsid w:val="002366D3"/>
    <w:rsid w:val="00236764"/>
    <w:rsid w:val="0023677C"/>
    <w:rsid w:val="00236787"/>
    <w:rsid w:val="0023679A"/>
    <w:rsid w:val="002367BB"/>
    <w:rsid w:val="00236839"/>
    <w:rsid w:val="002368A4"/>
    <w:rsid w:val="002368DF"/>
    <w:rsid w:val="00236945"/>
    <w:rsid w:val="002369FC"/>
    <w:rsid w:val="00236B46"/>
    <w:rsid w:val="00236B92"/>
    <w:rsid w:val="00236C1B"/>
    <w:rsid w:val="00236C9A"/>
    <w:rsid w:val="00236DBD"/>
    <w:rsid w:val="00236E82"/>
    <w:rsid w:val="00237124"/>
    <w:rsid w:val="0023712C"/>
    <w:rsid w:val="002373CC"/>
    <w:rsid w:val="002374E1"/>
    <w:rsid w:val="0023768C"/>
    <w:rsid w:val="00237816"/>
    <w:rsid w:val="002378C2"/>
    <w:rsid w:val="002378D1"/>
    <w:rsid w:val="0023793A"/>
    <w:rsid w:val="00237971"/>
    <w:rsid w:val="0023799D"/>
    <w:rsid w:val="002379D8"/>
    <w:rsid w:val="002379D9"/>
    <w:rsid w:val="00237B5D"/>
    <w:rsid w:val="00237BC0"/>
    <w:rsid w:val="00237C06"/>
    <w:rsid w:val="00237D69"/>
    <w:rsid w:val="00237F80"/>
    <w:rsid w:val="0024002D"/>
    <w:rsid w:val="00240099"/>
    <w:rsid w:val="00240190"/>
    <w:rsid w:val="002402BC"/>
    <w:rsid w:val="002403E6"/>
    <w:rsid w:val="0024055E"/>
    <w:rsid w:val="00240663"/>
    <w:rsid w:val="0024066A"/>
    <w:rsid w:val="002407B6"/>
    <w:rsid w:val="002409A9"/>
    <w:rsid w:val="00240AB2"/>
    <w:rsid w:val="00240DFA"/>
    <w:rsid w:val="00240E12"/>
    <w:rsid w:val="00240F09"/>
    <w:rsid w:val="00240FDB"/>
    <w:rsid w:val="002411D0"/>
    <w:rsid w:val="002414E1"/>
    <w:rsid w:val="002416BC"/>
    <w:rsid w:val="002416F0"/>
    <w:rsid w:val="002418D4"/>
    <w:rsid w:val="002419BE"/>
    <w:rsid w:val="00241B56"/>
    <w:rsid w:val="00241CFE"/>
    <w:rsid w:val="00241D90"/>
    <w:rsid w:val="00241FC3"/>
    <w:rsid w:val="00241FF2"/>
    <w:rsid w:val="00242084"/>
    <w:rsid w:val="002420F6"/>
    <w:rsid w:val="00242195"/>
    <w:rsid w:val="002422A3"/>
    <w:rsid w:val="0024239F"/>
    <w:rsid w:val="0024241A"/>
    <w:rsid w:val="002425EB"/>
    <w:rsid w:val="0024276D"/>
    <w:rsid w:val="0024284E"/>
    <w:rsid w:val="0024294C"/>
    <w:rsid w:val="00242A3C"/>
    <w:rsid w:val="00242F2D"/>
    <w:rsid w:val="002431DC"/>
    <w:rsid w:val="0024321E"/>
    <w:rsid w:val="002433DF"/>
    <w:rsid w:val="00243442"/>
    <w:rsid w:val="0024360D"/>
    <w:rsid w:val="00243745"/>
    <w:rsid w:val="0024381F"/>
    <w:rsid w:val="0024399C"/>
    <w:rsid w:val="00243ACD"/>
    <w:rsid w:val="00243B57"/>
    <w:rsid w:val="00243B7E"/>
    <w:rsid w:val="00243C5B"/>
    <w:rsid w:val="00243D9D"/>
    <w:rsid w:val="00243E26"/>
    <w:rsid w:val="002441B9"/>
    <w:rsid w:val="002441BD"/>
    <w:rsid w:val="002441E1"/>
    <w:rsid w:val="00244208"/>
    <w:rsid w:val="00244236"/>
    <w:rsid w:val="00244240"/>
    <w:rsid w:val="002443DF"/>
    <w:rsid w:val="00244412"/>
    <w:rsid w:val="00244630"/>
    <w:rsid w:val="002446B9"/>
    <w:rsid w:val="002448EE"/>
    <w:rsid w:val="00244924"/>
    <w:rsid w:val="00244927"/>
    <w:rsid w:val="00244A4A"/>
    <w:rsid w:val="00244ADD"/>
    <w:rsid w:val="00244BB6"/>
    <w:rsid w:val="00244D58"/>
    <w:rsid w:val="002450AA"/>
    <w:rsid w:val="00245155"/>
    <w:rsid w:val="0024525B"/>
    <w:rsid w:val="00245419"/>
    <w:rsid w:val="00245451"/>
    <w:rsid w:val="002454B4"/>
    <w:rsid w:val="002454C0"/>
    <w:rsid w:val="00245668"/>
    <w:rsid w:val="0024566C"/>
    <w:rsid w:val="00245777"/>
    <w:rsid w:val="00245D89"/>
    <w:rsid w:val="00245DEF"/>
    <w:rsid w:val="00245E03"/>
    <w:rsid w:val="00246020"/>
    <w:rsid w:val="0024609A"/>
    <w:rsid w:val="0024611F"/>
    <w:rsid w:val="0024619F"/>
    <w:rsid w:val="0024624D"/>
    <w:rsid w:val="002463B8"/>
    <w:rsid w:val="002463BF"/>
    <w:rsid w:val="00246439"/>
    <w:rsid w:val="0024651C"/>
    <w:rsid w:val="002465E1"/>
    <w:rsid w:val="00246655"/>
    <w:rsid w:val="002467C1"/>
    <w:rsid w:val="00246AD1"/>
    <w:rsid w:val="00246AF0"/>
    <w:rsid w:val="00246D6F"/>
    <w:rsid w:val="002470B8"/>
    <w:rsid w:val="0024740B"/>
    <w:rsid w:val="00247517"/>
    <w:rsid w:val="00247647"/>
    <w:rsid w:val="0024774F"/>
    <w:rsid w:val="00247750"/>
    <w:rsid w:val="0024787C"/>
    <w:rsid w:val="0024789B"/>
    <w:rsid w:val="00247905"/>
    <w:rsid w:val="00247A7D"/>
    <w:rsid w:val="00247B76"/>
    <w:rsid w:val="00247C81"/>
    <w:rsid w:val="00247E43"/>
    <w:rsid w:val="00247F06"/>
    <w:rsid w:val="00247F4C"/>
    <w:rsid w:val="00247F86"/>
    <w:rsid w:val="0025003F"/>
    <w:rsid w:val="00250169"/>
    <w:rsid w:val="002501BE"/>
    <w:rsid w:val="00250498"/>
    <w:rsid w:val="002504C9"/>
    <w:rsid w:val="0025052B"/>
    <w:rsid w:val="002506C6"/>
    <w:rsid w:val="00250733"/>
    <w:rsid w:val="00250D4E"/>
    <w:rsid w:val="00250D91"/>
    <w:rsid w:val="00251127"/>
    <w:rsid w:val="00251160"/>
    <w:rsid w:val="002512E0"/>
    <w:rsid w:val="00251330"/>
    <w:rsid w:val="00251332"/>
    <w:rsid w:val="00251391"/>
    <w:rsid w:val="00251449"/>
    <w:rsid w:val="00251731"/>
    <w:rsid w:val="002519EE"/>
    <w:rsid w:val="00251B09"/>
    <w:rsid w:val="00251BFD"/>
    <w:rsid w:val="00251CEC"/>
    <w:rsid w:val="00251E84"/>
    <w:rsid w:val="00251EBC"/>
    <w:rsid w:val="00251F84"/>
    <w:rsid w:val="00252106"/>
    <w:rsid w:val="002521BF"/>
    <w:rsid w:val="00252368"/>
    <w:rsid w:val="002523EF"/>
    <w:rsid w:val="00252521"/>
    <w:rsid w:val="002526BE"/>
    <w:rsid w:val="002526FD"/>
    <w:rsid w:val="0025282E"/>
    <w:rsid w:val="00252A56"/>
    <w:rsid w:val="00252A5E"/>
    <w:rsid w:val="00252C7F"/>
    <w:rsid w:val="00252F34"/>
    <w:rsid w:val="002530F7"/>
    <w:rsid w:val="00253207"/>
    <w:rsid w:val="00253297"/>
    <w:rsid w:val="002534C8"/>
    <w:rsid w:val="002535CF"/>
    <w:rsid w:val="002535F4"/>
    <w:rsid w:val="002537A2"/>
    <w:rsid w:val="00253815"/>
    <w:rsid w:val="00253834"/>
    <w:rsid w:val="0025384B"/>
    <w:rsid w:val="00253A42"/>
    <w:rsid w:val="00253A8A"/>
    <w:rsid w:val="00253B39"/>
    <w:rsid w:val="00253D53"/>
    <w:rsid w:val="00253DE9"/>
    <w:rsid w:val="00253F78"/>
    <w:rsid w:val="00253F88"/>
    <w:rsid w:val="00253FAE"/>
    <w:rsid w:val="00253FB8"/>
    <w:rsid w:val="00254086"/>
    <w:rsid w:val="002540E3"/>
    <w:rsid w:val="002541F6"/>
    <w:rsid w:val="00254203"/>
    <w:rsid w:val="002542A4"/>
    <w:rsid w:val="002543E8"/>
    <w:rsid w:val="00254438"/>
    <w:rsid w:val="00254772"/>
    <w:rsid w:val="0025482C"/>
    <w:rsid w:val="002548FC"/>
    <w:rsid w:val="00254CF1"/>
    <w:rsid w:val="00254D10"/>
    <w:rsid w:val="00254DF3"/>
    <w:rsid w:val="00254E2E"/>
    <w:rsid w:val="00255100"/>
    <w:rsid w:val="002552B5"/>
    <w:rsid w:val="002552D0"/>
    <w:rsid w:val="0025538F"/>
    <w:rsid w:val="0025556B"/>
    <w:rsid w:val="002556E0"/>
    <w:rsid w:val="0025572A"/>
    <w:rsid w:val="00255943"/>
    <w:rsid w:val="00255946"/>
    <w:rsid w:val="00255A89"/>
    <w:rsid w:val="00255C02"/>
    <w:rsid w:val="00255EB5"/>
    <w:rsid w:val="00255F63"/>
    <w:rsid w:val="00255FA5"/>
    <w:rsid w:val="00255FDE"/>
    <w:rsid w:val="00256092"/>
    <w:rsid w:val="0025625A"/>
    <w:rsid w:val="002564A5"/>
    <w:rsid w:val="00256783"/>
    <w:rsid w:val="00256888"/>
    <w:rsid w:val="00256C36"/>
    <w:rsid w:val="00256C68"/>
    <w:rsid w:val="00256CEA"/>
    <w:rsid w:val="00256DEF"/>
    <w:rsid w:val="00256E7E"/>
    <w:rsid w:val="00256F96"/>
    <w:rsid w:val="00256FB1"/>
    <w:rsid w:val="002570CD"/>
    <w:rsid w:val="0025712E"/>
    <w:rsid w:val="00257199"/>
    <w:rsid w:val="00257217"/>
    <w:rsid w:val="002573E0"/>
    <w:rsid w:val="002573F0"/>
    <w:rsid w:val="0025749C"/>
    <w:rsid w:val="00257643"/>
    <w:rsid w:val="002579F8"/>
    <w:rsid w:val="00257A83"/>
    <w:rsid w:val="00257AF7"/>
    <w:rsid w:val="00257B21"/>
    <w:rsid w:val="00257B83"/>
    <w:rsid w:val="00257D2E"/>
    <w:rsid w:val="00257DC5"/>
    <w:rsid w:val="00257DDE"/>
    <w:rsid w:val="00260123"/>
    <w:rsid w:val="002601D1"/>
    <w:rsid w:val="002601D9"/>
    <w:rsid w:val="002601DB"/>
    <w:rsid w:val="0026027F"/>
    <w:rsid w:val="002602B5"/>
    <w:rsid w:val="002602F8"/>
    <w:rsid w:val="0026051C"/>
    <w:rsid w:val="0026053B"/>
    <w:rsid w:val="0026057A"/>
    <w:rsid w:val="00260677"/>
    <w:rsid w:val="0026069F"/>
    <w:rsid w:val="002606D4"/>
    <w:rsid w:val="00260732"/>
    <w:rsid w:val="00260864"/>
    <w:rsid w:val="002609EE"/>
    <w:rsid w:val="002609FD"/>
    <w:rsid w:val="00260AA7"/>
    <w:rsid w:val="00260C15"/>
    <w:rsid w:val="00260D2F"/>
    <w:rsid w:val="00260DDC"/>
    <w:rsid w:val="00260DFD"/>
    <w:rsid w:val="00260E08"/>
    <w:rsid w:val="00260F2C"/>
    <w:rsid w:val="00260F36"/>
    <w:rsid w:val="00261010"/>
    <w:rsid w:val="0026108D"/>
    <w:rsid w:val="00261132"/>
    <w:rsid w:val="002613ED"/>
    <w:rsid w:val="0026155A"/>
    <w:rsid w:val="00261583"/>
    <w:rsid w:val="00261725"/>
    <w:rsid w:val="0026186C"/>
    <w:rsid w:val="002618C4"/>
    <w:rsid w:val="002619A4"/>
    <w:rsid w:val="00261B9D"/>
    <w:rsid w:val="00261E94"/>
    <w:rsid w:val="00261EB9"/>
    <w:rsid w:val="00261FD6"/>
    <w:rsid w:val="0026202D"/>
    <w:rsid w:val="0026237E"/>
    <w:rsid w:val="0026250E"/>
    <w:rsid w:val="00262519"/>
    <w:rsid w:val="0026253B"/>
    <w:rsid w:val="0026263F"/>
    <w:rsid w:val="00262658"/>
    <w:rsid w:val="00262699"/>
    <w:rsid w:val="0026273F"/>
    <w:rsid w:val="00262847"/>
    <w:rsid w:val="002628A6"/>
    <w:rsid w:val="002628E4"/>
    <w:rsid w:val="002628F4"/>
    <w:rsid w:val="00262C8D"/>
    <w:rsid w:val="00262D33"/>
    <w:rsid w:val="00262F89"/>
    <w:rsid w:val="00262F90"/>
    <w:rsid w:val="0026310F"/>
    <w:rsid w:val="00263154"/>
    <w:rsid w:val="002632D9"/>
    <w:rsid w:val="0026342C"/>
    <w:rsid w:val="00263673"/>
    <w:rsid w:val="00263761"/>
    <w:rsid w:val="00263774"/>
    <w:rsid w:val="002637C9"/>
    <w:rsid w:val="00263873"/>
    <w:rsid w:val="002638C6"/>
    <w:rsid w:val="002638E3"/>
    <w:rsid w:val="002639B5"/>
    <w:rsid w:val="00263A08"/>
    <w:rsid w:val="00263B7B"/>
    <w:rsid w:val="00263C22"/>
    <w:rsid w:val="00263E8A"/>
    <w:rsid w:val="00264024"/>
    <w:rsid w:val="002641AE"/>
    <w:rsid w:val="00264218"/>
    <w:rsid w:val="00264366"/>
    <w:rsid w:val="002643DE"/>
    <w:rsid w:val="00264485"/>
    <w:rsid w:val="002645FA"/>
    <w:rsid w:val="00264808"/>
    <w:rsid w:val="00264821"/>
    <w:rsid w:val="00264838"/>
    <w:rsid w:val="00264861"/>
    <w:rsid w:val="002648AC"/>
    <w:rsid w:val="00264DF0"/>
    <w:rsid w:val="00264E44"/>
    <w:rsid w:val="00264EA9"/>
    <w:rsid w:val="00264ED9"/>
    <w:rsid w:val="00264F2D"/>
    <w:rsid w:val="00265062"/>
    <w:rsid w:val="0026514A"/>
    <w:rsid w:val="00265239"/>
    <w:rsid w:val="002652CF"/>
    <w:rsid w:val="002654CB"/>
    <w:rsid w:val="00265563"/>
    <w:rsid w:val="00265619"/>
    <w:rsid w:val="002657E7"/>
    <w:rsid w:val="00265CB3"/>
    <w:rsid w:val="00265E22"/>
    <w:rsid w:val="00265EB5"/>
    <w:rsid w:val="00265F52"/>
    <w:rsid w:val="002661F5"/>
    <w:rsid w:val="0026620F"/>
    <w:rsid w:val="002663CF"/>
    <w:rsid w:val="0026644A"/>
    <w:rsid w:val="00266579"/>
    <w:rsid w:val="002665D0"/>
    <w:rsid w:val="002666CE"/>
    <w:rsid w:val="002667FD"/>
    <w:rsid w:val="002668EB"/>
    <w:rsid w:val="002669AF"/>
    <w:rsid w:val="00266A86"/>
    <w:rsid w:val="00266BD6"/>
    <w:rsid w:val="00266C27"/>
    <w:rsid w:val="00266C2A"/>
    <w:rsid w:val="00266DF7"/>
    <w:rsid w:val="00266E12"/>
    <w:rsid w:val="00266E28"/>
    <w:rsid w:val="00266E3B"/>
    <w:rsid w:val="00266E76"/>
    <w:rsid w:val="00266EF1"/>
    <w:rsid w:val="00266F6F"/>
    <w:rsid w:val="00267026"/>
    <w:rsid w:val="00267129"/>
    <w:rsid w:val="0026724F"/>
    <w:rsid w:val="002672D0"/>
    <w:rsid w:val="002673CA"/>
    <w:rsid w:val="00267429"/>
    <w:rsid w:val="00267479"/>
    <w:rsid w:val="002674AD"/>
    <w:rsid w:val="002675CA"/>
    <w:rsid w:val="002675F2"/>
    <w:rsid w:val="0026769C"/>
    <w:rsid w:val="002676B7"/>
    <w:rsid w:val="0026776E"/>
    <w:rsid w:val="0026782A"/>
    <w:rsid w:val="00267947"/>
    <w:rsid w:val="00267AD3"/>
    <w:rsid w:val="00267BD4"/>
    <w:rsid w:val="00267C3D"/>
    <w:rsid w:val="00267C5C"/>
    <w:rsid w:val="00267D79"/>
    <w:rsid w:val="00267D86"/>
    <w:rsid w:val="00267E3F"/>
    <w:rsid w:val="00267EA5"/>
    <w:rsid w:val="00267EC2"/>
    <w:rsid w:val="00267F8B"/>
    <w:rsid w:val="002700C7"/>
    <w:rsid w:val="002701CA"/>
    <w:rsid w:val="002703E9"/>
    <w:rsid w:val="00270536"/>
    <w:rsid w:val="0027068F"/>
    <w:rsid w:val="002706FC"/>
    <w:rsid w:val="0027076F"/>
    <w:rsid w:val="0027086D"/>
    <w:rsid w:val="002709FF"/>
    <w:rsid w:val="00270B49"/>
    <w:rsid w:val="00270BB1"/>
    <w:rsid w:val="00270DA4"/>
    <w:rsid w:val="00270DF4"/>
    <w:rsid w:val="00270E24"/>
    <w:rsid w:val="00270FB3"/>
    <w:rsid w:val="00271160"/>
    <w:rsid w:val="00271367"/>
    <w:rsid w:val="002713D2"/>
    <w:rsid w:val="00271462"/>
    <w:rsid w:val="002714B1"/>
    <w:rsid w:val="002716C2"/>
    <w:rsid w:val="00271767"/>
    <w:rsid w:val="002717A0"/>
    <w:rsid w:val="002717A1"/>
    <w:rsid w:val="002717B4"/>
    <w:rsid w:val="002717F2"/>
    <w:rsid w:val="00271979"/>
    <w:rsid w:val="002719F2"/>
    <w:rsid w:val="00271C16"/>
    <w:rsid w:val="00271D91"/>
    <w:rsid w:val="00271EF2"/>
    <w:rsid w:val="0027200C"/>
    <w:rsid w:val="0027220E"/>
    <w:rsid w:val="0027252D"/>
    <w:rsid w:val="00272579"/>
    <w:rsid w:val="0027267B"/>
    <w:rsid w:val="0027275D"/>
    <w:rsid w:val="0027280F"/>
    <w:rsid w:val="00272832"/>
    <w:rsid w:val="00272A53"/>
    <w:rsid w:val="00272A7F"/>
    <w:rsid w:val="00272B10"/>
    <w:rsid w:val="00272B9C"/>
    <w:rsid w:val="00272BAA"/>
    <w:rsid w:val="00272BB9"/>
    <w:rsid w:val="00272CAE"/>
    <w:rsid w:val="00272E28"/>
    <w:rsid w:val="00272EF8"/>
    <w:rsid w:val="0027303B"/>
    <w:rsid w:val="002730C9"/>
    <w:rsid w:val="002730EB"/>
    <w:rsid w:val="0027317B"/>
    <w:rsid w:val="00273199"/>
    <w:rsid w:val="00273214"/>
    <w:rsid w:val="002732F4"/>
    <w:rsid w:val="002733BA"/>
    <w:rsid w:val="00273558"/>
    <w:rsid w:val="0027358E"/>
    <w:rsid w:val="00273600"/>
    <w:rsid w:val="002736BB"/>
    <w:rsid w:val="002738B6"/>
    <w:rsid w:val="0027393D"/>
    <w:rsid w:val="00273943"/>
    <w:rsid w:val="0027399D"/>
    <w:rsid w:val="00273A1C"/>
    <w:rsid w:val="00273B13"/>
    <w:rsid w:val="00273CD7"/>
    <w:rsid w:val="00273D00"/>
    <w:rsid w:val="00273E95"/>
    <w:rsid w:val="00273EB6"/>
    <w:rsid w:val="00273F9D"/>
    <w:rsid w:val="00274079"/>
    <w:rsid w:val="00274090"/>
    <w:rsid w:val="0027414C"/>
    <w:rsid w:val="002742CE"/>
    <w:rsid w:val="00274435"/>
    <w:rsid w:val="00274529"/>
    <w:rsid w:val="002745AC"/>
    <w:rsid w:val="002745E6"/>
    <w:rsid w:val="002745F1"/>
    <w:rsid w:val="002746C1"/>
    <w:rsid w:val="002746E8"/>
    <w:rsid w:val="00274766"/>
    <w:rsid w:val="002747F6"/>
    <w:rsid w:val="002749D5"/>
    <w:rsid w:val="00274ACF"/>
    <w:rsid w:val="00274B85"/>
    <w:rsid w:val="00274BF5"/>
    <w:rsid w:val="00274C6E"/>
    <w:rsid w:val="00274DF9"/>
    <w:rsid w:val="00274EEF"/>
    <w:rsid w:val="00274F8A"/>
    <w:rsid w:val="00274FC3"/>
    <w:rsid w:val="00274FD3"/>
    <w:rsid w:val="0027505B"/>
    <w:rsid w:val="00275080"/>
    <w:rsid w:val="0027510E"/>
    <w:rsid w:val="00275187"/>
    <w:rsid w:val="00275218"/>
    <w:rsid w:val="0027521C"/>
    <w:rsid w:val="0027522F"/>
    <w:rsid w:val="0027525C"/>
    <w:rsid w:val="002752CC"/>
    <w:rsid w:val="002753C6"/>
    <w:rsid w:val="002755C4"/>
    <w:rsid w:val="0027560F"/>
    <w:rsid w:val="00275710"/>
    <w:rsid w:val="002757BE"/>
    <w:rsid w:val="002757D5"/>
    <w:rsid w:val="002757FE"/>
    <w:rsid w:val="002758E3"/>
    <w:rsid w:val="00275CA3"/>
    <w:rsid w:val="00275D16"/>
    <w:rsid w:val="00275D8E"/>
    <w:rsid w:val="00275F00"/>
    <w:rsid w:val="00275F81"/>
    <w:rsid w:val="00276170"/>
    <w:rsid w:val="00276217"/>
    <w:rsid w:val="002764E1"/>
    <w:rsid w:val="002765B2"/>
    <w:rsid w:val="0027671D"/>
    <w:rsid w:val="0027677B"/>
    <w:rsid w:val="00276786"/>
    <w:rsid w:val="002767DC"/>
    <w:rsid w:val="0027685E"/>
    <w:rsid w:val="0027686C"/>
    <w:rsid w:val="00276A65"/>
    <w:rsid w:val="00276B4B"/>
    <w:rsid w:val="00276BD1"/>
    <w:rsid w:val="00276D48"/>
    <w:rsid w:val="00276FC6"/>
    <w:rsid w:val="002770CD"/>
    <w:rsid w:val="0027719A"/>
    <w:rsid w:val="002771BC"/>
    <w:rsid w:val="00277465"/>
    <w:rsid w:val="002775F1"/>
    <w:rsid w:val="002775FE"/>
    <w:rsid w:val="00277694"/>
    <w:rsid w:val="00277791"/>
    <w:rsid w:val="00277814"/>
    <w:rsid w:val="00277A9B"/>
    <w:rsid w:val="00277B45"/>
    <w:rsid w:val="00277BDE"/>
    <w:rsid w:val="00277BE1"/>
    <w:rsid w:val="00277E67"/>
    <w:rsid w:val="00277EFA"/>
    <w:rsid w:val="00277FCA"/>
    <w:rsid w:val="0028038A"/>
    <w:rsid w:val="002803B8"/>
    <w:rsid w:val="002803CF"/>
    <w:rsid w:val="002805D0"/>
    <w:rsid w:val="00280757"/>
    <w:rsid w:val="0028082B"/>
    <w:rsid w:val="002808C9"/>
    <w:rsid w:val="002808CA"/>
    <w:rsid w:val="002808FB"/>
    <w:rsid w:val="00280924"/>
    <w:rsid w:val="00280940"/>
    <w:rsid w:val="00280A2A"/>
    <w:rsid w:val="00280B8A"/>
    <w:rsid w:val="00280C82"/>
    <w:rsid w:val="00280C8E"/>
    <w:rsid w:val="00280DAA"/>
    <w:rsid w:val="00280E80"/>
    <w:rsid w:val="00281029"/>
    <w:rsid w:val="0028103B"/>
    <w:rsid w:val="002810E5"/>
    <w:rsid w:val="002810F2"/>
    <w:rsid w:val="00281197"/>
    <w:rsid w:val="002812FA"/>
    <w:rsid w:val="0028137F"/>
    <w:rsid w:val="002814BB"/>
    <w:rsid w:val="00281643"/>
    <w:rsid w:val="002817F3"/>
    <w:rsid w:val="00281825"/>
    <w:rsid w:val="00281875"/>
    <w:rsid w:val="002818B3"/>
    <w:rsid w:val="002819D4"/>
    <w:rsid w:val="00281C3F"/>
    <w:rsid w:val="00281C8A"/>
    <w:rsid w:val="00281D63"/>
    <w:rsid w:val="00281D9E"/>
    <w:rsid w:val="00281EA1"/>
    <w:rsid w:val="0028214F"/>
    <w:rsid w:val="00282371"/>
    <w:rsid w:val="002824C5"/>
    <w:rsid w:val="00282552"/>
    <w:rsid w:val="002825E8"/>
    <w:rsid w:val="00282638"/>
    <w:rsid w:val="00282655"/>
    <w:rsid w:val="00282679"/>
    <w:rsid w:val="00282747"/>
    <w:rsid w:val="0028294B"/>
    <w:rsid w:val="00282AE7"/>
    <w:rsid w:val="00282C45"/>
    <w:rsid w:val="00282CA5"/>
    <w:rsid w:val="00282E36"/>
    <w:rsid w:val="00282EE9"/>
    <w:rsid w:val="002830CB"/>
    <w:rsid w:val="0028321A"/>
    <w:rsid w:val="0028323E"/>
    <w:rsid w:val="002832EB"/>
    <w:rsid w:val="002833CF"/>
    <w:rsid w:val="002834A3"/>
    <w:rsid w:val="002834C7"/>
    <w:rsid w:val="00283582"/>
    <w:rsid w:val="002835E6"/>
    <w:rsid w:val="00283670"/>
    <w:rsid w:val="002837B4"/>
    <w:rsid w:val="002837D4"/>
    <w:rsid w:val="00283884"/>
    <w:rsid w:val="00283947"/>
    <w:rsid w:val="002839B1"/>
    <w:rsid w:val="00283A35"/>
    <w:rsid w:val="00283AEF"/>
    <w:rsid w:val="00283B65"/>
    <w:rsid w:val="00283BC4"/>
    <w:rsid w:val="00284022"/>
    <w:rsid w:val="00284099"/>
    <w:rsid w:val="0028414D"/>
    <w:rsid w:val="002845A6"/>
    <w:rsid w:val="002845EE"/>
    <w:rsid w:val="0028467D"/>
    <w:rsid w:val="00284974"/>
    <w:rsid w:val="00284A78"/>
    <w:rsid w:val="00284B6B"/>
    <w:rsid w:val="00284C0E"/>
    <w:rsid w:val="00284C59"/>
    <w:rsid w:val="00284DE1"/>
    <w:rsid w:val="00284DF9"/>
    <w:rsid w:val="00285008"/>
    <w:rsid w:val="002850AF"/>
    <w:rsid w:val="00285124"/>
    <w:rsid w:val="0028517A"/>
    <w:rsid w:val="002851A6"/>
    <w:rsid w:val="002854C8"/>
    <w:rsid w:val="002856CC"/>
    <w:rsid w:val="00285844"/>
    <w:rsid w:val="00285A4A"/>
    <w:rsid w:val="00285B7A"/>
    <w:rsid w:val="00285C23"/>
    <w:rsid w:val="00285DD6"/>
    <w:rsid w:val="00285E2A"/>
    <w:rsid w:val="00286025"/>
    <w:rsid w:val="0028626F"/>
    <w:rsid w:val="0028639D"/>
    <w:rsid w:val="0028639F"/>
    <w:rsid w:val="00286438"/>
    <w:rsid w:val="0028654A"/>
    <w:rsid w:val="002865B9"/>
    <w:rsid w:val="002865CD"/>
    <w:rsid w:val="0028667C"/>
    <w:rsid w:val="00286770"/>
    <w:rsid w:val="002867C1"/>
    <w:rsid w:val="002869F9"/>
    <w:rsid w:val="00286B89"/>
    <w:rsid w:val="00286BBE"/>
    <w:rsid w:val="00286DC7"/>
    <w:rsid w:val="00286FD2"/>
    <w:rsid w:val="0028702E"/>
    <w:rsid w:val="002870A4"/>
    <w:rsid w:val="002870BD"/>
    <w:rsid w:val="002871C6"/>
    <w:rsid w:val="00287227"/>
    <w:rsid w:val="00287360"/>
    <w:rsid w:val="0028743D"/>
    <w:rsid w:val="00287445"/>
    <w:rsid w:val="00287473"/>
    <w:rsid w:val="0028752E"/>
    <w:rsid w:val="0028753B"/>
    <w:rsid w:val="002876D4"/>
    <w:rsid w:val="0028793E"/>
    <w:rsid w:val="00287A9A"/>
    <w:rsid w:val="00287CC0"/>
    <w:rsid w:val="00287E16"/>
    <w:rsid w:val="00287EFC"/>
    <w:rsid w:val="00287F81"/>
    <w:rsid w:val="002900A0"/>
    <w:rsid w:val="00290170"/>
    <w:rsid w:val="00290311"/>
    <w:rsid w:val="00290388"/>
    <w:rsid w:val="0029053D"/>
    <w:rsid w:val="00290560"/>
    <w:rsid w:val="002905C2"/>
    <w:rsid w:val="00290691"/>
    <w:rsid w:val="0029075C"/>
    <w:rsid w:val="002908C7"/>
    <w:rsid w:val="00290AB6"/>
    <w:rsid w:val="00290AD2"/>
    <w:rsid w:val="00290B22"/>
    <w:rsid w:val="00290B54"/>
    <w:rsid w:val="00290D4F"/>
    <w:rsid w:val="00290F11"/>
    <w:rsid w:val="00290F1C"/>
    <w:rsid w:val="00290F1D"/>
    <w:rsid w:val="00290FCF"/>
    <w:rsid w:val="002911E8"/>
    <w:rsid w:val="00291304"/>
    <w:rsid w:val="0029138B"/>
    <w:rsid w:val="002913F5"/>
    <w:rsid w:val="00291730"/>
    <w:rsid w:val="00291954"/>
    <w:rsid w:val="00291A8C"/>
    <w:rsid w:val="00291DBB"/>
    <w:rsid w:val="00291E0D"/>
    <w:rsid w:val="00291E2C"/>
    <w:rsid w:val="00291E7A"/>
    <w:rsid w:val="00291E9C"/>
    <w:rsid w:val="00291ED1"/>
    <w:rsid w:val="00291FE0"/>
    <w:rsid w:val="0029213E"/>
    <w:rsid w:val="002923B5"/>
    <w:rsid w:val="002923B6"/>
    <w:rsid w:val="002924BD"/>
    <w:rsid w:val="002924FB"/>
    <w:rsid w:val="0029252F"/>
    <w:rsid w:val="00292598"/>
    <w:rsid w:val="002925B6"/>
    <w:rsid w:val="00292602"/>
    <w:rsid w:val="00292646"/>
    <w:rsid w:val="002926A8"/>
    <w:rsid w:val="00292718"/>
    <w:rsid w:val="00292860"/>
    <w:rsid w:val="00292957"/>
    <w:rsid w:val="00292AE4"/>
    <w:rsid w:val="00292C17"/>
    <w:rsid w:val="00292E96"/>
    <w:rsid w:val="002930E4"/>
    <w:rsid w:val="002931C5"/>
    <w:rsid w:val="002932E7"/>
    <w:rsid w:val="0029350B"/>
    <w:rsid w:val="002936FC"/>
    <w:rsid w:val="002937B7"/>
    <w:rsid w:val="0029380D"/>
    <w:rsid w:val="002938C3"/>
    <w:rsid w:val="002939B9"/>
    <w:rsid w:val="002939BE"/>
    <w:rsid w:val="002939F1"/>
    <w:rsid w:val="00293A51"/>
    <w:rsid w:val="00293DDD"/>
    <w:rsid w:val="0029430B"/>
    <w:rsid w:val="002945B4"/>
    <w:rsid w:val="002945CF"/>
    <w:rsid w:val="002946AA"/>
    <w:rsid w:val="002946FC"/>
    <w:rsid w:val="002947B9"/>
    <w:rsid w:val="00294883"/>
    <w:rsid w:val="00294932"/>
    <w:rsid w:val="0029498B"/>
    <w:rsid w:val="00294C01"/>
    <w:rsid w:val="00294CBA"/>
    <w:rsid w:val="00294DA3"/>
    <w:rsid w:val="00294E2E"/>
    <w:rsid w:val="00294E7F"/>
    <w:rsid w:val="00294F2A"/>
    <w:rsid w:val="00295390"/>
    <w:rsid w:val="002953DD"/>
    <w:rsid w:val="00295952"/>
    <w:rsid w:val="00295A45"/>
    <w:rsid w:val="00295BE5"/>
    <w:rsid w:val="00295D32"/>
    <w:rsid w:val="00295D46"/>
    <w:rsid w:val="00295D7E"/>
    <w:rsid w:val="00295F38"/>
    <w:rsid w:val="00295F8B"/>
    <w:rsid w:val="0029603C"/>
    <w:rsid w:val="002960B9"/>
    <w:rsid w:val="002961DF"/>
    <w:rsid w:val="00296436"/>
    <w:rsid w:val="0029658F"/>
    <w:rsid w:val="0029670E"/>
    <w:rsid w:val="00296715"/>
    <w:rsid w:val="002967D1"/>
    <w:rsid w:val="0029689D"/>
    <w:rsid w:val="00296947"/>
    <w:rsid w:val="00296A9D"/>
    <w:rsid w:val="00296AB0"/>
    <w:rsid w:val="00296C78"/>
    <w:rsid w:val="00296DA4"/>
    <w:rsid w:val="00297297"/>
    <w:rsid w:val="002975A3"/>
    <w:rsid w:val="002976A3"/>
    <w:rsid w:val="00297705"/>
    <w:rsid w:val="0029781E"/>
    <w:rsid w:val="0029782F"/>
    <w:rsid w:val="002A00A0"/>
    <w:rsid w:val="002A00DE"/>
    <w:rsid w:val="002A0196"/>
    <w:rsid w:val="002A0247"/>
    <w:rsid w:val="002A0272"/>
    <w:rsid w:val="002A031E"/>
    <w:rsid w:val="002A0345"/>
    <w:rsid w:val="002A0416"/>
    <w:rsid w:val="002A0503"/>
    <w:rsid w:val="002A0543"/>
    <w:rsid w:val="002A05D5"/>
    <w:rsid w:val="002A061D"/>
    <w:rsid w:val="002A073C"/>
    <w:rsid w:val="002A0832"/>
    <w:rsid w:val="002A084D"/>
    <w:rsid w:val="002A09AA"/>
    <w:rsid w:val="002A0BF5"/>
    <w:rsid w:val="002A0D5C"/>
    <w:rsid w:val="002A0F19"/>
    <w:rsid w:val="002A1069"/>
    <w:rsid w:val="002A11B3"/>
    <w:rsid w:val="002A11C0"/>
    <w:rsid w:val="002A13EC"/>
    <w:rsid w:val="002A1463"/>
    <w:rsid w:val="002A14DB"/>
    <w:rsid w:val="002A17B6"/>
    <w:rsid w:val="002A17BA"/>
    <w:rsid w:val="002A199A"/>
    <w:rsid w:val="002A1A62"/>
    <w:rsid w:val="002A1F28"/>
    <w:rsid w:val="002A1F49"/>
    <w:rsid w:val="002A209D"/>
    <w:rsid w:val="002A2324"/>
    <w:rsid w:val="002A237A"/>
    <w:rsid w:val="002A257D"/>
    <w:rsid w:val="002A292B"/>
    <w:rsid w:val="002A2B69"/>
    <w:rsid w:val="002A2B8A"/>
    <w:rsid w:val="002A2E2A"/>
    <w:rsid w:val="002A2F1A"/>
    <w:rsid w:val="002A2F29"/>
    <w:rsid w:val="002A3087"/>
    <w:rsid w:val="002A3189"/>
    <w:rsid w:val="002A334F"/>
    <w:rsid w:val="002A34B1"/>
    <w:rsid w:val="002A3587"/>
    <w:rsid w:val="002A3663"/>
    <w:rsid w:val="002A3710"/>
    <w:rsid w:val="002A389F"/>
    <w:rsid w:val="002A3919"/>
    <w:rsid w:val="002A3A43"/>
    <w:rsid w:val="002A3D2E"/>
    <w:rsid w:val="002A3D79"/>
    <w:rsid w:val="002A3E61"/>
    <w:rsid w:val="002A3EB1"/>
    <w:rsid w:val="002A4006"/>
    <w:rsid w:val="002A40BB"/>
    <w:rsid w:val="002A41EE"/>
    <w:rsid w:val="002A4434"/>
    <w:rsid w:val="002A45A4"/>
    <w:rsid w:val="002A4793"/>
    <w:rsid w:val="002A493D"/>
    <w:rsid w:val="002A4C01"/>
    <w:rsid w:val="002A4D4E"/>
    <w:rsid w:val="002A4DD4"/>
    <w:rsid w:val="002A4E4F"/>
    <w:rsid w:val="002A4F45"/>
    <w:rsid w:val="002A4F47"/>
    <w:rsid w:val="002A4F7E"/>
    <w:rsid w:val="002A4FFA"/>
    <w:rsid w:val="002A50B1"/>
    <w:rsid w:val="002A5166"/>
    <w:rsid w:val="002A51A9"/>
    <w:rsid w:val="002A53A2"/>
    <w:rsid w:val="002A543D"/>
    <w:rsid w:val="002A5467"/>
    <w:rsid w:val="002A54C3"/>
    <w:rsid w:val="002A57AD"/>
    <w:rsid w:val="002A583F"/>
    <w:rsid w:val="002A589F"/>
    <w:rsid w:val="002A59CC"/>
    <w:rsid w:val="002A5A2B"/>
    <w:rsid w:val="002A5E3A"/>
    <w:rsid w:val="002A5E85"/>
    <w:rsid w:val="002A6001"/>
    <w:rsid w:val="002A6156"/>
    <w:rsid w:val="002A61FC"/>
    <w:rsid w:val="002A621E"/>
    <w:rsid w:val="002A626E"/>
    <w:rsid w:val="002A635E"/>
    <w:rsid w:val="002A6423"/>
    <w:rsid w:val="002A6740"/>
    <w:rsid w:val="002A674B"/>
    <w:rsid w:val="002A6925"/>
    <w:rsid w:val="002A6A82"/>
    <w:rsid w:val="002A6B7A"/>
    <w:rsid w:val="002A6B7D"/>
    <w:rsid w:val="002A6C45"/>
    <w:rsid w:val="002A6D1E"/>
    <w:rsid w:val="002A6D79"/>
    <w:rsid w:val="002A6E64"/>
    <w:rsid w:val="002A6E79"/>
    <w:rsid w:val="002A6F03"/>
    <w:rsid w:val="002A6F4B"/>
    <w:rsid w:val="002A6FA8"/>
    <w:rsid w:val="002A7167"/>
    <w:rsid w:val="002A71A2"/>
    <w:rsid w:val="002A730B"/>
    <w:rsid w:val="002A7510"/>
    <w:rsid w:val="002A7541"/>
    <w:rsid w:val="002A7907"/>
    <w:rsid w:val="002A79A4"/>
    <w:rsid w:val="002A79C7"/>
    <w:rsid w:val="002A7A37"/>
    <w:rsid w:val="002A7AB5"/>
    <w:rsid w:val="002A7C23"/>
    <w:rsid w:val="002A7C63"/>
    <w:rsid w:val="002A7CE7"/>
    <w:rsid w:val="002A7CEA"/>
    <w:rsid w:val="002A7EE5"/>
    <w:rsid w:val="002A7FBD"/>
    <w:rsid w:val="002A7FD3"/>
    <w:rsid w:val="002B0099"/>
    <w:rsid w:val="002B0125"/>
    <w:rsid w:val="002B03B0"/>
    <w:rsid w:val="002B03B7"/>
    <w:rsid w:val="002B05EC"/>
    <w:rsid w:val="002B05EF"/>
    <w:rsid w:val="002B06A9"/>
    <w:rsid w:val="002B06C1"/>
    <w:rsid w:val="002B086E"/>
    <w:rsid w:val="002B09D1"/>
    <w:rsid w:val="002B0AAF"/>
    <w:rsid w:val="002B0ADE"/>
    <w:rsid w:val="002B0BAA"/>
    <w:rsid w:val="002B0C6A"/>
    <w:rsid w:val="002B0D36"/>
    <w:rsid w:val="002B0E56"/>
    <w:rsid w:val="002B0EA0"/>
    <w:rsid w:val="002B118D"/>
    <w:rsid w:val="002B14F3"/>
    <w:rsid w:val="002B15BD"/>
    <w:rsid w:val="002B1662"/>
    <w:rsid w:val="002B181E"/>
    <w:rsid w:val="002B18C2"/>
    <w:rsid w:val="002B195A"/>
    <w:rsid w:val="002B1C32"/>
    <w:rsid w:val="002B1D81"/>
    <w:rsid w:val="002B1DAB"/>
    <w:rsid w:val="002B1E02"/>
    <w:rsid w:val="002B1F8E"/>
    <w:rsid w:val="002B2166"/>
    <w:rsid w:val="002B23EF"/>
    <w:rsid w:val="002B24C1"/>
    <w:rsid w:val="002B2529"/>
    <w:rsid w:val="002B2547"/>
    <w:rsid w:val="002B2693"/>
    <w:rsid w:val="002B26A1"/>
    <w:rsid w:val="002B26E5"/>
    <w:rsid w:val="002B2745"/>
    <w:rsid w:val="002B2770"/>
    <w:rsid w:val="002B28F6"/>
    <w:rsid w:val="002B298B"/>
    <w:rsid w:val="002B29DA"/>
    <w:rsid w:val="002B2A25"/>
    <w:rsid w:val="002B2C0A"/>
    <w:rsid w:val="002B2C1F"/>
    <w:rsid w:val="002B2C7C"/>
    <w:rsid w:val="002B2CF6"/>
    <w:rsid w:val="002B2DAA"/>
    <w:rsid w:val="002B2E46"/>
    <w:rsid w:val="002B3043"/>
    <w:rsid w:val="002B30FC"/>
    <w:rsid w:val="002B3179"/>
    <w:rsid w:val="002B3192"/>
    <w:rsid w:val="002B324B"/>
    <w:rsid w:val="002B33B0"/>
    <w:rsid w:val="002B33B2"/>
    <w:rsid w:val="002B3428"/>
    <w:rsid w:val="002B351F"/>
    <w:rsid w:val="002B3535"/>
    <w:rsid w:val="002B3557"/>
    <w:rsid w:val="002B37AF"/>
    <w:rsid w:val="002B3830"/>
    <w:rsid w:val="002B38D7"/>
    <w:rsid w:val="002B3B44"/>
    <w:rsid w:val="002B3DFA"/>
    <w:rsid w:val="002B3E6E"/>
    <w:rsid w:val="002B3F41"/>
    <w:rsid w:val="002B3F42"/>
    <w:rsid w:val="002B3F83"/>
    <w:rsid w:val="002B3FC3"/>
    <w:rsid w:val="002B401C"/>
    <w:rsid w:val="002B404B"/>
    <w:rsid w:val="002B4094"/>
    <w:rsid w:val="002B411D"/>
    <w:rsid w:val="002B413E"/>
    <w:rsid w:val="002B427A"/>
    <w:rsid w:val="002B436B"/>
    <w:rsid w:val="002B43E7"/>
    <w:rsid w:val="002B443A"/>
    <w:rsid w:val="002B4602"/>
    <w:rsid w:val="002B4652"/>
    <w:rsid w:val="002B46A1"/>
    <w:rsid w:val="002B482A"/>
    <w:rsid w:val="002B4945"/>
    <w:rsid w:val="002B4A24"/>
    <w:rsid w:val="002B4C2C"/>
    <w:rsid w:val="002B4DD5"/>
    <w:rsid w:val="002B5039"/>
    <w:rsid w:val="002B5157"/>
    <w:rsid w:val="002B51E1"/>
    <w:rsid w:val="002B5346"/>
    <w:rsid w:val="002B539F"/>
    <w:rsid w:val="002B57CB"/>
    <w:rsid w:val="002B5844"/>
    <w:rsid w:val="002B5988"/>
    <w:rsid w:val="002B5AB6"/>
    <w:rsid w:val="002B5C2C"/>
    <w:rsid w:val="002B5E38"/>
    <w:rsid w:val="002B5FF8"/>
    <w:rsid w:val="002B610B"/>
    <w:rsid w:val="002B6217"/>
    <w:rsid w:val="002B627B"/>
    <w:rsid w:val="002B62F1"/>
    <w:rsid w:val="002B6323"/>
    <w:rsid w:val="002B6385"/>
    <w:rsid w:val="002B6469"/>
    <w:rsid w:val="002B65EA"/>
    <w:rsid w:val="002B678B"/>
    <w:rsid w:val="002B689F"/>
    <w:rsid w:val="002B69C3"/>
    <w:rsid w:val="002B6BAD"/>
    <w:rsid w:val="002B6C28"/>
    <w:rsid w:val="002B6CA5"/>
    <w:rsid w:val="002B6DB0"/>
    <w:rsid w:val="002B7072"/>
    <w:rsid w:val="002B71C5"/>
    <w:rsid w:val="002B73ED"/>
    <w:rsid w:val="002B769A"/>
    <w:rsid w:val="002B7A58"/>
    <w:rsid w:val="002B7B68"/>
    <w:rsid w:val="002B7C54"/>
    <w:rsid w:val="002B7C58"/>
    <w:rsid w:val="002B7CBF"/>
    <w:rsid w:val="002B7D1D"/>
    <w:rsid w:val="002B7DDC"/>
    <w:rsid w:val="002B7E89"/>
    <w:rsid w:val="002C00AB"/>
    <w:rsid w:val="002C0152"/>
    <w:rsid w:val="002C02C1"/>
    <w:rsid w:val="002C0302"/>
    <w:rsid w:val="002C03E7"/>
    <w:rsid w:val="002C03FE"/>
    <w:rsid w:val="002C0426"/>
    <w:rsid w:val="002C0504"/>
    <w:rsid w:val="002C0514"/>
    <w:rsid w:val="002C063A"/>
    <w:rsid w:val="002C08FC"/>
    <w:rsid w:val="002C09BC"/>
    <w:rsid w:val="002C0AC2"/>
    <w:rsid w:val="002C0C34"/>
    <w:rsid w:val="002C0DF3"/>
    <w:rsid w:val="002C0E61"/>
    <w:rsid w:val="002C0F83"/>
    <w:rsid w:val="002C0F90"/>
    <w:rsid w:val="002C0F93"/>
    <w:rsid w:val="002C11B7"/>
    <w:rsid w:val="002C11EC"/>
    <w:rsid w:val="002C1378"/>
    <w:rsid w:val="002C13BF"/>
    <w:rsid w:val="002C1469"/>
    <w:rsid w:val="002C14E5"/>
    <w:rsid w:val="002C14E7"/>
    <w:rsid w:val="002C15D9"/>
    <w:rsid w:val="002C17B9"/>
    <w:rsid w:val="002C17BA"/>
    <w:rsid w:val="002C1875"/>
    <w:rsid w:val="002C1966"/>
    <w:rsid w:val="002C1967"/>
    <w:rsid w:val="002C1A72"/>
    <w:rsid w:val="002C1BD6"/>
    <w:rsid w:val="002C1D38"/>
    <w:rsid w:val="002C1DF1"/>
    <w:rsid w:val="002C1E54"/>
    <w:rsid w:val="002C1E67"/>
    <w:rsid w:val="002C1EF1"/>
    <w:rsid w:val="002C2104"/>
    <w:rsid w:val="002C212E"/>
    <w:rsid w:val="002C232B"/>
    <w:rsid w:val="002C2469"/>
    <w:rsid w:val="002C25ED"/>
    <w:rsid w:val="002C261D"/>
    <w:rsid w:val="002C27C5"/>
    <w:rsid w:val="002C293A"/>
    <w:rsid w:val="002C2966"/>
    <w:rsid w:val="002C29BD"/>
    <w:rsid w:val="002C2AE2"/>
    <w:rsid w:val="002C2B87"/>
    <w:rsid w:val="002C2DEB"/>
    <w:rsid w:val="002C2E31"/>
    <w:rsid w:val="002C2E6A"/>
    <w:rsid w:val="002C2EB0"/>
    <w:rsid w:val="002C2F0E"/>
    <w:rsid w:val="002C2F39"/>
    <w:rsid w:val="002C2F72"/>
    <w:rsid w:val="002C3137"/>
    <w:rsid w:val="002C314A"/>
    <w:rsid w:val="002C3181"/>
    <w:rsid w:val="002C3184"/>
    <w:rsid w:val="002C3493"/>
    <w:rsid w:val="002C377D"/>
    <w:rsid w:val="002C3793"/>
    <w:rsid w:val="002C395E"/>
    <w:rsid w:val="002C3A50"/>
    <w:rsid w:val="002C3BDD"/>
    <w:rsid w:val="002C3D4B"/>
    <w:rsid w:val="002C3EF9"/>
    <w:rsid w:val="002C43A3"/>
    <w:rsid w:val="002C463B"/>
    <w:rsid w:val="002C4695"/>
    <w:rsid w:val="002C4793"/>
    <w:rsid w:val="002C4996"/>
    <w:rsid w:val="002C4A03"/>
    <w:rsid w:val="002C4AFC"/>
    <w:rsid w:val="002C4BB7"/>
    <w:rsid w:val="002C4D58"/>
    <w:rsid w:val="002C4DA8"/>
    <w:rsid w:val="002C4DAD"/>
    <w:rsid w:val="002C50BD"/>
    <w:rsid w:val="002C5106"/>
    <w:rsid w:val="002C5212"/>
    <w:rsid w:val="002C5512"/>
    <w:rsid w:val="002C5593"/>
    <w:rsid w:val="002C561B"/>
    <w:rsid w:val="002C5945"/>
    <w:rsid w:val="002C5AA2"/>
    <w:rsid w:val="002C5BD3"/>
    <w:rsid w:val="002C5BEF"/>
    <w:rsid w:val="002C5BF0"/>
    <w:rsid w:val="002C5D15"/>
    <w:rsid w:val="002C5D28"/>
    <w:rsid w:val="002C5D32"/>
    <w:rsid w:val="002C5D7A"/>
    <w:rsid w:val="002C5E0A"/>
    <w:rsid w:val="002C5E4C"/>
    <w:rsid w:val="002C5F61"/>
    <w:rsid w:val="002C5F69"/>
    <w:rsid w:val="002C603F"/>
    <w:rsid w:val="002C60EF"/>
    <w:rsid w:val="002C6102"/>
    <w:rsid w:val="002C61DB"/>
    <w:rsid w:val="002C6205"/>
    <w:rsid w:val="002C6233"/>
    <w:rsid w:val="002C6305"/>
    <w:rsid w:val="002C63A5"/>
    <w:rsid w:val="002C66DD"/>
    <w:rsid w:val="002C69F9"/>
    <w:rsid w:val="002C69FB"/>
    <w:rsid w:val="002C6B88"/>
    <w:rsid w:val="002C6C7B"/>
    <w:rsid w:val="002C6CA9"/>
    <w:rsid w:val="002C6D9F"/>
    <w:rsid w:val="002C6F4C"/>
    <w:rsid w:val="002C6F59"/>
    <w:rsid w:val="002C7357"/>
    <w:rsid w:val="002C739D"/>
    <w:rsid w:val="002C7462"/>
    <w:rsid w:val="002C78B7"/>
    <w:rsid w:val="002C7ABD"/>
    <w:rsid w:val="002C7BDF"/>
    <w:rsid w:val="002C7D44"/>
    <w:rsid w:val="002C7DE2"/>
    <w:rsid w:val="002C7E43"/>
    <w:rsid w:val="002D0020"/>
    <w:rsid w:val="002D025C"/>
    <w:rsid w:val="002D0298"/>
    <w:rsid w:val="002D02CB"/>
    <w:rsid w:val="002D0356"/>
    <w:rsid w:val="002D03AA"/>
    <w:rsid w:val="002D03C2"/>
    <w:rsid w:val="002D03F0"/>
    <w:rsid w:val="002D03F6"/>
    <w:rsid w:val="002D0619"/>
    <w:rsid w:val="002D063F"/>
    <w:rsid w:val="002D069D"/>
    <w:rsid w:val="002D0760"/>
    <w:rsid w:val="002D08A5"/>
    <w:rsid w:val="002D09B5"/>
    <w:rsid w:val="002D0A37"/>
    <w:rsid w:val="002D0EAF"/>
    <w:rsid w:val="002D0F15"/>
    <w:rsid w:val="002D0F95"/>
    <w:rsid w:val="002D0F9E"/>
    <w:rsid w:val="002D11C5"/>
    <w:rsid w:val="002D124C"/>
    <w:rsid w:val="002D1388"/>
    <w:rsid w:val="002D14AB"/>
    <w:rsid w:val="002D18DF"/>
    <w:rsid w:val="002D1934"/>
    <w:rsid w:val="002D1CB6"/>
    <w:rsid w:val="002D1CF6"/>
    <w:rsid w:val="002D1DEA"/>
    <w:rsid w:val="002D20F9"/>
    <w:rsid w:val="002D2297"/>
    <w:rsid w:val="002D22C9"/>
    <w:rsid w:val="002D2397"/>
    <w:rsid w:val="002D24F5"/>
    <w:rsid w:val="002D25BB"/>
    <w:rsid w:val="002D2653"/>
    <w:rsid w:val="002D265E"/>
    <w:rsid w:val="002D26A4"/>
    <w:rsid w:val="002D2858"/>
    <w:rsid w:val="002D28B3"/>
    <w:rsid w:val="002D294D"/>
    <w:rsid w:val="002D29ED"/>
    <w:rsid w:val="002D2A8B"/>
    <w:rsid w:val="002D2B40"/>
    <w:rsid w:val="002D2D7A"/>
    <w:rsid w:val="002D2E47"/>
    <w:rsid w:val="002D2E95"/>
    <w:rsid w:val="002D2F2D"/>
    <w:rsid w:val="002D2F63"/>
    <w:rsid w:val="002D30D1"/>
    <w:rsid w:val="002D3154"/>
    <w:rsid w:val="002D31CB"/>
    <w:rsid w:val="002D333B"/>
    <w:rsid w:val="002D343B"/>
    <w:rsid w:val="002D3471"/>
    <w:rsid w:val="002D3691"/>
    <w:rsid w:val="002D37B1"/>
    <w:rsid w:val="002D387B"/>
    <w:rsid w:val="002D3895"/>
    <w:rsid w:val="002D395C"/>
    <w:rsid w:val="002D3B5B"/>
    <w:rsid w:val="002D3B7B"/>
    <w:rsid w:val="002D3D08"/>
    <w:rsid w:val="002D3D5F"/>
    <w:rsid w:val="002D3D73"/>
    <w:rsid w:val="002D3DA4"/>
    <w:rsid w:val="002D3DBF"/>
    <w:rsid w:val="002D3E97"/>
    <w:rsid w:val="002D3F24"/>
    <w:rsid w:val="002D4193"/>
    <w:rsid w:val="002D4713"/>
    <w:rsid w:val="002D4794"/>
    <w:rsid w:val="002D47D7"/>
    <w:rsid w:val="002D483B"/>
    <w:rsid w:val="002D493D"/>
    <w:rsid w:val="002D4A44"/>
    <w:rsid w:val="002D4C4D"/>
    <w:rsid w:val="002D4DAC"/>
    <w:rsid w:val="002D4DFA"/>
    <w:rsid w:val="002D50FE"/>
    <w:rsid w:val="002D5258"/>
    <w:rsid w:val="002D52D4"/>
    <w:rsid w:val="002D5412"/>
    <w:rsid w:val="002D544C"/>
    <w:rsid w:val="002D54F6"/>
    <w:rsid w:val="002D5695"/>
    <w:rsid w:val="002D569B"/>
    <w:rsid w:val="002D56DC"/>
    <w:rsid w:val="002D576D"/>
    <w:rsid w:val="002D577E"/>
    <w:rsid w:val="002D57A9"/>
    <w:rsid w:val="002D57B5"/>
    <w:rsid w:val="002D5A4A"/>
    <w:rsid w:val="002D5AA0"/>
    <w:rsid w:val="002D5BD9"/>
    <w:rsid w:val="002D5C55"/>
    <w:rsid w:val="002D5CC2"/>
    <w:rsid w:val="002D5CFA"/>
    <w:rsid w:val="002D5D73"/>
    <w:rsid w:val="002D5E45"/>
    <w:rsid w:val="002D6085"/>
    <w:rsid w:val="002D610E"/>
    <w:rsid w:val="002D63B6"/>
    <w:rsid w:val="002D641F"/>
    <w:rsid w:val="002D6544"/>
    <w:rsid w:val="002D65FD"/>
    <w:rsid w:val="002D675E"/>
    <w:rsid w:val="002D6779"/>
    <w:rsid w:val="002D6A49"/>
    <w:rsid w:val="002D6A5E"/>
    <w:rsid w:val="002D6C82"/>
    <w:rsid w:val="002D6CC7"/>
    <w:rsid w:val="002D6CE3"/>
    <w:rsid w:val="002D6DD1"/>
    <w:rsid w:val="002D6E9C"/>
    <w:rsid w:val="002D6F4C"/>
    <w:rsid w:val="002D70DB"/>
    <w:rsid w:val="002D7119"/>
    <w:rsid w:val="002D7159"/>
    <w:rsid w:val="002D723A"/>
    <w:rsid w:val="002D7342"/>
    <w:rsid w:val="002D73B3"/>
    <w:rsid w:val="002D7534"/>
    <w:rsid w:val="002D789C"/>
    <w:rsid w:val="002D7929"/>
    <w:rsid w:val="002D79F2"/>
    <w:rsid w:val="002D7AE6"/>
    <w:rsid w:val="002D7B23"/>
    <w:rsid w:val="002D7B8B"/>
    <w:rsid w:val="002D7E4F"/>
    <w:rsid w:val="002D7E84"/>
    <w:rsid w:val="002E0034"/>
    <w:rsid w:val="002E0137"/>
    <w:rsid w:val="002E021D"/>
    <w:rsid w:val="002E02EF"/>
    <w:rsid w:val="002E0333"/>
    <w:rsid w:val="002E0597"/>
    <w:rsid w:val="002E0604"/>
    <w:rsid w:val="002E0731"/>
    <w:rsid w:val="002E0827"/>
    <w:rsid w:val="002E086E"/>
    <w:rsid w:val="002E0950"/>
    <w:rsid w:val="002E09AD"/>
    <w:rsid w:val="002E0B34"/>
    <w:rsid w:val="002E0D66"/>
    <w:rsid w:val="002E0E25"/>
    <w:rsid w:val="002E109D"/>
    <w:rsid w:val="002E1197"/>
    <w:rsid w:val="002E1236"/>
    <w:rsid w:val="002E1369"/>
    <w:rsid w:val="002E13EC"/>
    <w:rsid w:val="002E166B"/>
    <w:rsid w:val="002E16DE"/>
    <w:rsid w:val="002E17C3"/>
    <w:rsid w:val="002E1876"/>
    <w:rsid w:val="002E18C5"/>
    <w:rsid w:val="002E1942"/>
    <w:rsid w:val="002E1B92"/>
    <w:rsid w:val="002E1BA8"/>
    <w:rsid w:val="002E1BF7"/>
    <w:rsid w:val="002E1C6C"/>
    <w:rsid w:val="002E1CF2"/>
    <w:rsid w:val="002E1D1F"/>
    <w:rsid w:val="002E1D2C"/>
    <w:rsid w:val="002E1E4E"/>
    <w:rsid w:val="002E1EE8"/>
    <w:rsid w:val="002E2083"/>
    <w:rsid w:val="002E2168"/>
    <w:rsid w:val="002E23A9"/>
    <w:rsid w:val="002E241E"/>
    <w:rsid w:val="002E24FA"/>
    <w:rsid w:val="002E2511"/>
    <w:rsid w:val="002E284F"/>
    <w:rsid w:val="002E2856"/>
    <w:rsid w:val="002E296E"/>
    <w:rsid w:val="002E29FA"/>
    <w:rsid w:val="002E2A2C"/>
    <w:rsid w:val="002E2D25"/>
    <w:rsid w:val="002E2D2B"/>
    <w:rsid w:val="002E2D9C"/>
    <w:rsid w:val="002E2EAC"/>
    <w:rsid w:val="002E2F28"/>
    <w:rsid w:val="002E2FD3"/>
    <w:rsid w:val="002E300B"/>
    <w:rsid w:val="002E30BE"/>
    <w:rsid w:val="002E30EC"/>
    <w:rsid w:val="002E328F"/>
    <w:rsid w:val="002E34C5"/>
    <w:rsid w:val="002E3685"/>
    <w:rsid w:val="002E36B5"/>
    <w:rsid w:val="002E36F2"/>
    <w:rsid w:val="002E3815"/>
    <w:rsid w:val="002E3AA9"/>
    <w:rsid w:val="002E3C1E"/>
    <w:rsid w:val="002E3C82"/>
    <w:rsid w:val="002E3CDF"/>
    <w:rsid w:val="002E3DD8"/>
    <w:rsid w:val="002E3EC8"/>
    <w:rsid w:val="002E402D"/>
    <w:rsid w:val="002E4073"/>
    <w:rsid w:val="002E4147"/>
    <w:rsid w:val="002E4251"/>
    <w:rsid w:val="002E4273"/>
    <w:rsid w:val="002E43F3"/>
    <w:rsid w:val="002E44D2"/>
    <w:rsid w:val="002E4ADA"/>
    <w:rsid w:val="002E4B7B"/>
    <w:rsid w:val="002E4C08"/>
    <w:rsid w:val="002E4CFF"/>
    <w:rsid w:val="002E4E43"/>
    <w:rsid w:val="002E4F51"/>
    <w:rsid w:val="002E4FED"/>
    <w:rsid w:val="002E5045"/>
    <w:rsid w:val="002E51EE"/>
    <w:rsid w:val="002E520F"/>
    <w:rsid w:val="002E52BE"/>
    <w:rsid w:val="002E53AC"/>
    <w:rsid w:val="002E53F1"/>
    <w:rsid w:val="002E5431"/>
    <w:rsid w:val="002E55EF"/>
    <w:rsid w:val="002E5676"/>
    <w:rsid w:val="002E56E6"/>
    <w:rsid w:val="002E57AE"/>
    <w:rsid w:val="002E57C5"/>
    <w:rsid w:val="002E5801"/>
    <w:rsid w:val="002E58B6"/>
    <w:rsid w:val="002E58F9"/>
    <w:rsid w:val="002E5D43"/>
    <w:rsid w:val="002E5E39"/>
    <w:rsid w:val="002E5E3D"/>
    <w:rsid w:val="002E5F2C"/>
    <w:rsid w:val="002E6082"/>
    <w:rsid w:val="002E60E3"/>
    <w:rsid w:val="002E60F3"/>
    <w:rsid w:val="002E6182"/>
    <w:rsid w:val="002E65A5"/>
    <w:rsid w:val="002E667C"/>
    <w:rsid w:val="002E67FD"/>
    <w:rsid w:val="002E697E"/>
    <w:rsid w:val="002E6AFC"/>
    <w:rsid w:val="002E6B72"/>
    <w:rsid w:val="002E6BA6"/>
    <w:rsid w:val="002E6C0C"/>
    <w:rsid w:val="002E6C37"/>
    <w:rsid w:val="002E6D34"/>
    <w:rsid w:val="002E6E93"/>
    <w:rsid w:val="002E6EFD"/>
    <w:rsid w:val="002E6F10"/>
    <w:rsid w:val="002E714F"/>
    <w:rsid w:val="002E71C5"/>
    <w:rsid w:val="002E7234"/>
    <w:rsid w:val="002E728F"/>
    <w:rsid w:val="002E740F"/>
    <w:rsid w:val="002E7890"/>
    <w:rsid w:val="002E78F6"/>
    <w:rsid w:val="002E796F"/>
    <w:rsid w:val="002E79A2"/>
    <w:rsid w:val="002E7B3D"/>
    <w:rsid w:val="002E7CAE"/>
    <w:rsid w:val="002E7D5A"/>
    <w:rsid w:val="002E7D73"/>
    <w:rsid w:val="002E7DA2"/>
    <w:rsid w:val="002E7E48"/>
    <w:rsid w:val="002E7F39"/>
    <w:rsid w:val="002F00EB"/>
    <w:rsid w:val="002F012A"/>
    <w:rsid w:val="002F0199"/>
    <w:rsid w:val="002F0207"/>
    <w:rsid w:val="002F02A7"/>
    <w:rsid w:val="002F02BC"/>
    <w:rsid w:val="002F0305"/>
    <w:rsid w:val="002F032E"/>
    <w:rsid w:val="002F0394"/>
    <w:rsid w:val="002F0434"/>
    <w:rsid w:val="002F056C"/>
    <w:rsid w:val="002F05B3"/>
    <w:rsid w:val="002F0621"/>
    <w:rsid w:val="002F079D"/>
    <w:rsid w:val="002F08F7"/>
    <w:rsid w:val="002F09A9"/>
    <w:rsid w:val="002F0AF6"/>
    <w:rsid w:val="002F0BF3"/>
    <w:rsid w:val="002F0C19"/>
    <w:rsid w:val="002F0CC6"/>
    <w:rsid w:val="002F0D8C"/>
    <w:rsid w:val="002F0DD2"/>
    <w:rsid w:val="002F0F73"/>
    <w:rsid w:val="002F10E7"/>
    <w:rsid w:val="002F11AF"/>
    <w:rsid w:val="002F11E9"/>
    <w:rsid w:val="002F1255"/>
    <w:rsid w:val="002F1267"/>
    <w:rsid w:val="002F14D2"/>
    <w:rsid w:val="002F1550"/>
    <w:rsid w:val="002F162D"/>
    <w:rsid w:val="002F17F5"/>
    <w:rsid w:val="002F1B27"/>
    <w:rsid w:val="002F1B79"/>
    <w:rsid w:val="002F1ED6"/>
    <w:rsid w:val="002F22D0"/>
    <w:rsid w:val="002F23C3"/>
    <w:rsid w:val="002F2469"/>
    <w:rsid w:val="002F2527"/>
    <w:rsid w:val="002F2529"/>
    <w:rsid w:val="002F27B7"/>
    <w:rsid w:val="002F2872"/>
    <w:rsid w:val="002F2999"/>
    <w:rsid w:val="002F2A9A"/>
    <w:rsid w:val="002F2AB6"/>
    <w:rsid w:val="002F2C83"/>
    <w:rsid w:val="002F2D40"/>
    <w:rsid w:val="002F2D7C"/>
    <w:rsid w:val="002F2E73"/>
    <w:rsid w:val="002F2EB5"/>
    <w:rsid w:val="002F2EBE"/>
    <w:rsid w:val="002F300F"/>
    <w:rsid w:val="002F304D"/>
    <w:rsid w:val="002F30AF"/>
    <w:rsid w:val="002F32E4"/>
    <w:rsid w:val="002F3329"/>
    <w:rsid w:val="002F338E"/>
    <w:rsid w:val="002F33CA"/>
    <w:rsid w:val="002F352E"/>
    <w:rsid w:val="002F3532"/>
    <w:rsid w:val="002F35A0"/>
    <w:rsid w:val="002F3932"/>
    <w:rsid w:val="002F3ADC"/>
    <w:rsid w:val="002F3B06"/>
    <w:rsid w:val="002F3B95"/>
    <w:rsid w:val="002F3B96"/>
    <w:rsid w:val="002F3C08"/>
    <w:rsid w:val="002F3C73"/>
    <w:rsid w:val="002F3CEA"/>
    <w:rsid w:val="002F3F87"/>
    <w:rsid w:val="002F4242"/>
    <w:rsid w:val="002F42E7"/>
    <w:rsid w:val="002F4551"/>
    <w:rsid w:val="002F468A"/>
    <w:rsid w:val="002F4776"/>
    <w:rsid w:val="002F484B"/>
    <w:rsid w:val="002F4F99"/>
    <w:rsid w:val="002F5046"/>
    <w:rsid w:val="002F504D"/>
    <w:rsid w:val="002F5410"/>
    <w:rsid w:val="002F54A0"/>
    <w:rsid w:val="002F54FE"/>
    <w:rsid w:val="002F5579"/>
    <w:rsid w:val="002F572D"/>
    <w:rsid w:val="002F58AA"/>
    <w:rsid w:val="002F5B19"/>
    <w:rsid w:val="002F5B54"/>
    <w:rsid w:val="002F5C1B"/>
    <w:rsid w:val="002F5E65"/>
    <w:rsid w:val="002F5F13"/>
    <w:rsid w:val="002F6067"/>
    <w:rsid w:val="002F6224"/>
    <w:rsid w:val="002F659D"/>
    <w:rsid w:val="002F664C"/>
    <w:rsid w:val="002F68A5"/>
    <w:rsid w:val="002F6CCF"/>
    <w:rsid w:val="002F6DDD"/>
    <w:rsid w:val="002F6EDD"/>
    <w:rsid w:val="002F6F56"/>
    <w:rsid w:val="002F6FFB"/>
    <w:rsid w:val="002F716B"/>
    <w:rsid w:val="002F71A9"/>
    <w:rsid w:val="002F7226"/>
    <w:rsid w:val="002F72C8"/>
    <w:rsid w:val="002F765B"/>
    <w:rsid w:val="002F7910"/>
    <w:rsid w:val="002F7A35"/>
    <w:rsid w:val="002F7BAA"/>
    <w:rsid w:val="002F7CCA"/>
    <w:rsid w:val="002F7CFD"/>
    <w:rsid w:val="002F7D6F"/>
    <w:rsid w:val="002F7DC5"/>
    <w:rsid w:val="002F7E38"/>
    <w:rsid w:val="002F7E65"/>
    <w:rsid w:val="002F7F01"/>
    <w:rsid w:val="002F7F23"/>
    <w:rsid w:val="003000E8"/>
    <w:rsid w:val="0030025C"/>
    <w:rsid w:val="0030025D"/>
    <w:rsid w:val="003002D7"/>
    <w:rsid w:val="0030033A"/>
    <w:rsid w:val="0030042E"/>
    <w:rsid w:val="00300591"/>
    <w:rsid w:val="0030062A"/>
    <w:rsid w:val="00300764"/>
    <w:rsid w:val="003007B1"/>
    <w:rsid w:val="00300A4F"/>
    <w:rsid w:val="00300A75"/>
    <w:rsid w:val="00300B40"/>
    <w:rsid w:val="00300B80"/>
    <w:rsid w:val="00300C5F"/>
    <w:rsid w:val="00300FD3"/>
    <w:rsid w:val="00300FDB"/>
    <w:rsid w:val="00301063"/>
    <w:rsid w:val="003010B9"/>
    <w:rsid w:val="00301108"/>
    <w:rsid w:val="003014BF"/>
    <w:rsid w:val="003014C4"/>
    <w:rsid w:val="003014CE"/>
    <w:rsid w:val="0030150F"/>
    <w:rsid w:val="00301535"/>
    <w:rsid w:val="00301585"/>
    <w:rsid w:val="003015B9"/>
    <w:rsid w:val="00301749"/>
    <w:rsid w:val="0030180D"/>
    <w:rsid w:val="0030186E"/>
    <w:rsid w:val="003018EF"/>
    <w:rsid w:val="0030195B"/>
    <w:rsid w:val="00301B68"/>
    <w:rsid w:val="00301E29"/>
    <w:rsid w:val="00301F12"/>
    <w:rsid w:val="00301F1C"/>
    <w:rsid w:val="003020BF"/>
    <w:rsid w:val="00302177"/>
    <w:rsid w:val="003021B6"/>
    <w:rsid w:val="003023EA"/>
    <w:rsid w:val="0030253A"/>
    <w:rsid w:val="00302587"/>
    <w:rsid w:val="003026FC"/>
    <w:rsid w:val="00302739"/>
    <w:rsid w:val="00302785"/>
    <w:rsid w:val="00302851"/>
    <w:rsid w:val="00302873"/>
    <w:rsid w:val="003028FF"/>
    <w:rsid w:val="003029BB"/>
    <w:rsid w:val="003029C8"/>
    <w:rsid w:val="00302A0A"/>
    <w:rsid w:val="00302B78"/>
    <w:rsid w:val="00302C03"/>
    <w:rsid w:val="00302C41"/>
    <w:rsid w:val="00302CB7"/>
    <w:rsid w:val="00302FB3"/>
    <w:rsid w:val="003030C3"/>
    <w:rsid w:val="0030312F"/>
    <w:rsid w:val="00303195"/>
    <w:rsid w:val="0030336C"/>
    <w:rsid w:val="003033AD"/>
    <w:rsid w:val="00303494"/>
    <w:rsid w:val="00303495"/>
    <w:rsid w:val="00303641"/>
    <w:rsid w:val="00303791"/>
    <w:rsid w:val="00303798"/>
    <w:rsid w:val="00303841"/>
    <w:rsid w:val="003039A3"/>
    <w:rsid w:val="00303A0B"/>
    <w:rsid w:val="00303C71"/>
    <w:rsid w:val="00304056"/>
    <w:rsid w:val="00304102"/>
    <w:rsid w:val="00304190"/>
    <w:rsid w:val="003042BB"/>
    <w:rsid w:val="0030448D"/>
    <w:rsid w:val="003044DF"/>
    <w:rsid w:val="00304630"/>
    <w:rsid w:val="003046F6"/>
    <w:rsid w:val="0030473F"/>
    <w:rsid w:val="0030477A"/>
    <w:rsid w:val="003047C7"/>
    <w:rsid w:val="003047D7"/>
    <w:rsid w:val="00304A69"/>
    <w:rsid w:val="00304AD5"/>
    <w:rsid w:val="00304AF1"/>
    <w:rsid w:val="00304BD6"/>
    <w:rsid w:val="00304BF7"/>
    <w:rsid w:val="00304CC4"/>
    <w:rsid w:val="00304ECC"/>
    <w:rsid w:val="00305048"/>
    <w:rsid w:val="00305164"/>
    <w:rsid w:val="00305174"/>
    <w:rsid w:val="003053CB"/>
    <w:rsid w:val="00305401"/>
    <w:rsid w:val="0030543B"/>
    <w:rsid w:val="0030568C"/>
    <w:rsid w:val="003057CF"/>
    <w:rsid w:val="003057E7"/>
    <w:rsid w:val="00305855"/>
    <w:rsid w:val="0030587A"/>
    <w:rsid w:val="003059ED"/>
    <w:rsid w:val="00305A23"/>
    <w:rsid w:val="00305A3B"/>
    <w:rsid w:val="00305B5A"/>
    <w:rsid w:val="00305C37"/>
    <w:rsid w:val="00305CAD"/>
    <w:rsid w:val="00305DC3"/>
    <w:rsid w:val="00305FA3"/>
    <w:rsid w:val="00306112"/>
    <w:rsid w:val="00306235"/>
    <w:rsid w:val="00306621"/>
    <w:rsid w:val="00306754"/>
    <w:rsid w:val="003067AF"/>
    <w:rsid w:val="00306A04"/>
    <w:rsid w:val="00306A99"/>
    <w:rsid w:val="00306B05"/>
    <w:rsid w:val="00306C34"/>
    <w:rsid w:val="00306DB6"/>
    <w:rsid w:val="00306E98"/>
    <w:rsid w:val="00306EDB"/>
    <w:rsid w:val="00306F5B"/>
    <w:rsid w:val="003070BE"/>
    <w:rsid w:val="00307312"/>
    <w:rsid w:val="0030738D"/>
    <w:rsid w:val="00307390"/>
    <w:rsid w:val="003073E3"/>
    <w:rsid w:val="00307539"/>
    <w:rsid w:val="0030777F"/>
    <w:rsid w:val="0030786C"/>
    <w:rsid w:val="003078BD"/>
    <w:rsid w:val="00307ADD"/>
    <w:rsid w:val="00307BE4"/>
    <w:rsid w:val="00307D8B"/>
    <w:rsid w:val="00307DA7"/>
    <w:rsid w:val="00307E3B"/>
    <w:rsid w:val="00307FCC"/>
    <w:rsid w:val="0031012D"/>
    <w:rsid w:val="00310177"/>
    <w:rsid w:val="00310184"/>
    <w:rsid w:val="0031019C"/>
    <w:rsid w:val="00310268"/>
    <w:rsid w:val="003102B1"/>
    <w:rsid w:val="0031042C"/>
    <w:rsid w:val="003104F0"/>
    <w:rsid w:val="00310554"/>
    <w:rsid w:val="0031070F"/>
    <w:rsid w:val="0031075C"/>
    <w:rsid w:val="00310907"/>
    <w:rsid w:val="00310998"/>
    <w:rsid w:val="00310A74"/>
    <w:rsid w:val="00310B4E"/>
    <w:rsid w:val="00310BE8"/>
    <w:rsid w:val="00310CB8"/>
    <w:rsid w:val="00310DBF"/>
    <w:rsid w:val="00310E7C"/>
    <w:rsid w:val="00310FA1"/>
    <w:rsid w:val="0031105F"/>
    <w:rsid w:val="0031132F"/>
    <w:rsid w:val="0031136B"/>
    <w:rsid w:val="003114E7"/>
    <w:rsid w:val="00311575"/>
    <w:rsid w:val="00311920"/>
    <w:rsid w:val="00311AB9"/>
    <w:rsid w:val="00311B24"/>
    <w:rsid w:val="00311B40"/>
    <w:rsid w:val="00311BDB"/>
    <w:rsid w:val="00311E1C"/>
    <w:rsid w:val="00311EEC"/>
    <w:rsid w:val="00311F83"/>
    <w:rsid w:val="0031200F"/>
    <w:rsid w:val="0031204B"/>
    <w:rsid w:val="003120CA"/>
    <w:rsid w:val="00312109"/>
    <w:rsid w:val="0031219E"/>
    <w:rsid w:val="0031226D"/>
    <w:rsid w:val="0031237D"/>
    <w:rsid w:val="003123E9"/>
    <w:rsid w:val="0031250B"/>
    <w:rsid w:val="0031253E"/>
    <w:rsid w:val="0031255C"/>
    <w:rsid w:val="00312584"/>
    <w:rsid w:val="003125EB"/>
    <w:rsid w:val="00312663"/>
    <w:rsid w:val="003126FD"/>
    <w:rsid w:val="003127D3"/>
    <w:rsid w:val="003128AE"/>
    <w:rsid w:val="003128F8"/>
    <w:rsid w:val="00312A65"/>
    <w:rsid w:val="00312B5A"/>
    <w:rsid w:val="00312BE5"/>
    <w:rsid w:val="00312BE6"/>
    <w:rsid w:val="00312CC8"/>
    <w:rsid w:val="00312D4A"/>
    <w:rsid w:val="00312D8A"/>
    <w:rsid w:val="00312DC2"/>
    <w:rsid w:val="00312E77"/>
    <w:rsid w:val="003131C8"/>
    <w:rsid w:val="003132AD"/>
    <w:rsid w:val="003132D5"/>
    <w:rsid w:val="003134A4"/>
    <w:rsid w:val="00313574"/>
    <w:rsid w:val="00313669"/>
    <w:rsid w:val="00313715"/>
    <w:rsid w:val="00313835"/>
    <w:rsid w:val="00313847"/>
    <w:rsid w:val="00313934"/>
    <w:rsid w:val="00313C9A"/>
    <w:rsid w:val="00313DCF"/>
    <w:rsid w:val="00313ED3"/>
    <w:rsid w:val="00313F3C"/>
    <w:rsid w:val="00314226"/>
    <w:rsid w:val="003142A5"/>
    <w:rsid w:val="00314508"/>
    <w:rsid w:val="0031458D"/>
    <w:rsid w:val="00314688"/>
    <w:rsid w:val="0031474A"/>
    <w:rsid w:val="00314890"/>
    <w:rsid w:val="003148DF"/>
    <w:rsid w:val="00314A17"/>
    <w:rsid w:val="00314A51"/>
    <w:rsid w:val="00314AA7"/>
    <w:rsid w:val="00314AB5"/>
    <w:rsid w:val="00314BBE"/>
    <w:rsid w:val="00314CAA"/>
    <w:rsid w:val="00315077"/>
    <w:rsid w:val="003151C9"/>
    <w:rsid w:val="003151D1"/>
    <w:rsid w:val="0031520D"/>
    <w:rsid w:val="00315366"/>
    <w:rsid w:val="003155D3"/>
    <w:rsid w:val="0031584E"/>
    <w:rsid w:val="003159FE"/>
    <w:rsid w:val="00315AD2"/>
    <w:rsid w:val="00315BA2"/>
    <w:rsid w:val="00315E8F"/>
    <w:rsid w:val="00315E9C"/>
    <w:rsid w:val="00315F77"/>
    <w:rsid w:val="00315FFB"/>
    <w:rsid w:val="0031605C"/>
    <w:rsid w:val="00316362"/>
    <w:rsid w:val="0031637C"/>
    <w:rsid w:val="003168F2"/>
    <w:rsid w:val="00316A55"/>
    <w:rsid w:val="00316C42"/>
    <w:rsid w:val="00316CFF"/>
    <w:rsid w:val="003170F9"/>
    <w:rsid w:val="00317297"/>
    <w:rsid w:val="00317304"/>
    <w:rsid w:val="003173DA"/>
    <w:rsid w:val="0031745B"/>
    <w:rsid w:val="003175AD"/>
    <w:rsid w:val="00317649"/>
    <w:rsid w:val="00317666"/>
    <w:rsid w:val="003176A0"/>
    <w:rsid w:val="00317790"/>
    <w:rsid w:val="003178C6"/>
    <w:rsid w:val="00317913"/>
    <w:rsid w:val="00317A6E"/>
    <w:rsid w:val="00317B29"/>
    <w:rsid w:val="00317BCC"/>
    <w:rsid w:val="00317C91"/>
    <w:rsid w:val="00317D9F"/>
    <w:rsid w:val="00317E28"/>
    <w:rsid w:val="00317F2B"/>
    <w:rsid w:val="00317F6E"/>
    <w:rsid w:val="00320050"/>
    <w:rsid w:val="00320076"/>
    <w:rsid w:val="00320118"/>
    <w:rsid w:val="0032029F"/>
    <w:rsid w:val="003204DC"/>
    <w:rsid w:val="003206B7"/>
    <w:rsid w:val="00320785"/>
    <w:rsid w:val="003207E2"/>
    <w:rsid w:val="00320816"/>
    <w:rsid w:val="0032094B"/>
    <w:rsid w:val="00320A93"/>
    <w:rsid w:val="00320B90"/>
    <w:rsid w:val="00320CF9"/>
    <w:rsid w:val="00320D06"/>
    <w:rsid w:val="00320E69"/>
    <w:rsid w:val="00320F28"/>
    <w:rsid w:val="00320FCC"/>
    <w:rsid w:val="00320FDD"/>
    <w:rsid w:val="003210C7"/>
    <w:rsid w:val="003210F2"/>
    <w:rsid w:val="003211EB"/>
    <w:rsid w:val="0032128D"/>
    <w:rsid w:val="003212DE"/>
    <w:rsid w:val="003212EB"/>
    <w:rsid w:val="0032130E"/>
    <w:rsid w:val="00321319"/>
    <w:rsid w:val="003214DB"/>
    <w:rsid w:val="00321661"/>
    <w:rsid w:val="003216CD"/>
    <w:rsid w:val="00321725"/>
    <w:rsid w:val="00321780"/>
    <w:rsid w:val="00321793"/>
    <w:rsid w:val="00321823"/>
    <w:rsid w:val="0032186F"/>
    <w:rsid w:val="003219B5"/>
    <w:rsid w:val="003219E3"/>
    <w:rsid w:val="00321A8D"/>
    <w:rsid w:val="00321AF1"/>
    <w:rsid w:val="00321B85"/>
    <w:rsid w:val="00321FCB"/>
    <w:rsid w:val="00321FDD"/>
    <w:rsid w:val="0032220F"/>
    <w:rsid w:val="00322265"/>
    <w:rsid w:val="0032234B"/>
    <w:rsid w:val="00322382"/>
    <w:rsid w:val="003224BB"/>
    <w:rsid w:val="003227D1"/>
    <w:rsid w:val="00322B49"/>
    <w:rsid w:val="00322EC2"/>
    <w:rsid w:val="003230F3"/>
    <w:rsid w:val="00323145"/>
    <w:rsid w:val="00323150"/>
    <w:rsid w:val="00323230"/>
    <w:rsid w:val="0032327E"/>
    <w:rsid w:val="003232CC"/>
    <w:rsid w:val="003232CD"/>
    <w:rsid w:val="0032332F"/>
    <w:rsid w:val="00323466"/>
    <w:rsid w:val="00323664"/>
    <w:rsid w:val="0032372C"/>
    <w:rsid w:val="00323780"/>
    <w:rsid w:val="00323851"/>
    <w:rsid w:val="00323864"/>
    <w:rsid w:val="00323A53"/>
    <w:rsid w:val="00323A8B"/>
    <w:rsid w:val="00323ADF"/>
    <w:rsid w:val="00323E4D"/>
    <w:rsid w:val="00323EB8"/>
    <w:rsid w:val="00323F7A"/>
    <w:rsid w:val="00324284"/>
    <w:rsid w:val="003243DB"/>
    <w:rsid w:val="0032440B"/>
    <w:rsid w:val="00324620"/>
    <w:rsid w:val="0032465C"/>
    <w:rsid w:val="0032480E"/>
    <w:rsid w:val="0032498F"/>
    <w:rsid w:val="00324C53"/>
    <w:rsid w:val="00324C92"/>
    <w:rsid w:val="00324D65"/>
    <w:rsid w:val="00324FDA"/>
    <w:rsid w:val="00325183"/>
    <w:rsid w:val="0032532A"/>
    <w:rsid w:val="003254B5"/>
    <w:rsid w:val="00325623"/>
    <w:rsid w:val="00325654"/>
    <w:rsid w:val="0032572D"/>
    <w:rsid w:val="0032593E"/>
    <w:rsid w:val="00325A90"/>
    <w:rsid w:val="00325BF8"/>
    <w:rsid w:val="00325D22"/>
    <w:rsid w:val="00325EAC"/>
    <w:rsid w:val="00326063"/>
    <w:rsid w:val="00326107"/>
    <w:rsid w:val="003261BA"/>
    <w:rsid w:val="003261F9"/>
    <w:rsid w:val="0032624E"/>
    <w:rsid w:val="00326298"/>
    <w:rsid w:val="003262F9"/>
    <w:rsid w:val="00326582"/>
    <w:rsid w:val="0032660A"/>
    <w:rsid w:val="0032660B"/>
    <w:rsid w:val="00326815"/>
    <w:rsid w:val="0032684C"/>
    <w:rsid w:val="0032693C"/>
    <w:rsid w:val="003269AA"/>
    <w:rsid w:val="00326A23"/>
    <w:rsid w:val="00326A4E"/>
    <w:rsid w:val="00326DE3"/>
    <w:rsid w:val="00326E72"/>
    <w:rsid w:val="00326FDF"/>
    <w:rsid w:val="003272B7"/>
    <w:rsid w:val="00327331"/>
    <w:rsid w:val="0032735B"/>
    <w:rsid w:val="003274BA"/>
    <w:rsid w:val="0032758E"/>
    <w:rsid w:val="0032766F"/>
    <w:rsid w:val="0032776F"/>
    <w:rsid w:val="003277D0"/>
    <w:rsid w:val="003278B0"/>
    <w:rsid w:val="00327907"/>
    <w:rsid w:val="0032795C"/>
    <w:rsid w:val="00327A94"/>
    <w:rsid w:val="00327AE2"/>
    <w:rsid w:val="00327B1A"/>
    <w:rsid w:val="00327BEF"/>
    <w:rsid w:val="00327F2E"/>
    <w:rsid w:val="003300EB"/>
    <w:rsid w:val="003300ED"/>
    <w:rsid w:val="0033019D"/>
    <w:rsid w:val="003301DE"/>
    <w:rsid w:val="00330252"/>
    <w:rsid w:val="00330298"/>
    <w:rsid w:val="00330342"/>
    <w:rsid w:val="00330418"/>
    <w:rsid w:val="003305F8"/>
    <w:rsid w:val="00330637"/>
    <w:rsid w:val="003306B2"/>
    <w:rsid w:val="00330753"/>
    <w:rsid w:val="003307BC"/>
    <w:rsid w:val="003308A4"/>
    <w:rsid w:val="00330B13"/>
    <w:rsid w:val="00330B49"/>
    <w:rsid w:val="00330BAC"/>
    <w:rsid w:val="00330C89"/>
    <w:rsid w:val="00330D3A"/>
    <w:rsid w:val="00330F6C"/>
    <w:rsid w:val="00330F96"/>
    <w:rsid w:val="00330FA8"/>
    <w:rsid w:val="00331282"/>
    <w:rsid w:val="00331520"/>
    <w:rsid w:val="003315C3"/>
    <w:rsid w:val="00331703"/>
    <w:rsid w:val="0033174E"/>
    <w:rsid w:val="0033182E"/>
    <w:rsid w:val="00331842"/>
    <w:rsid w:val="00331CA6"/>
    <w:rsid w:val="00331DA2"/>
    <w:rsid w:val="00331E56"/>
    <w:rsid w:val="00331E5B"/>
    <w:rsid w:val="00331E77"/>
    <w:rsid w:val="00331EFD"/>
    <w:rsid w:val="00332172"/>
    <w:rsid w:val="0033228F"/>
    <w:rsid w:val="00332484"/>
    <w:rsid w:val="003325AA"/>
    <w:rsid w:val="003326A4"/>
    <w:rsid w:val="00332872"/>
    <w:rsid w:val="00332896"/>
    <w:rsid w:val="003328E0"/>
    <w:rsid w:val="00332973"/>
    <w:rsid w:val="00332A18"/>
    <w:rsid w:val="00332B29"/>
    <w:rsid w:val="00332B9D"/>
    <w:rsid w:val="00332D22"/>
    <w:rsid w:val="00332DC6"/>
    <w:rsid w:val="00332DF1"/>
    <w:rsid w:val="00332ECD"/>
    <w:rsid w:val="00332F0A"/>
    <w:rsid w:val="0033315B"/>
    <w:rsid w:val="003331A7"/>
    <w:rsid w:val="00333394"/>
    <w:rsid w:val="00333403"/>
    <w:rsid w:val="0033340A"/>
    <w:rsid w:val="0033345F"/>
    <w:rsid w:val="00333578"/>
    <w:rsid w:val="003338C5"/>
    <w:rsid w:val="003339CB"/>
    <w:rsid w:val="00333C73"/>
    <w:rsid w:val="00333E94"/>
    <w:rsid w:val="00333EF2"/>
    <w:rsid w:val="00334350"/>
    <w:rsid w:val="0033445E"/>
    <w:rsid w:val="00334491"/>
    <w:rsid w:val="00334848"/>
    <w:rsid w:val="003348A7"/>
    <w:rsid w:val="00334940"/>
    <w:rsid w:val="00334A7E"/>
    <w:rsid w:val="00334B2D"/>
    <w:rsid w:val="00334D55"/>
    <w:rsid w:val="00334D5A"/>
    <w:rsid w:val="00334DA3"/>
    <w:rsid w:val="00334EE5"/>
    <w:rsid w:val="00334F8D"/>
    <w:rsid w:val="0033503C"/>
    <w:rsid w:val="00335064"/>
    <w:rsid w:val="0033515D"/>
    <w:rsid w:val="003352D9"/>
    <w:rsid w:val="00335359"/>
    <w:rsid w:val="003353F4"/>
    <w:rsid w:val="00335450"/>
    <w:rsid w:val="0033567F"/>
    <w:rsid w:val="003356C9"/>
    <w:rsid w:val="0033583E"/>
    <w:rsid w:val="003358A1"/>
    <w:rsid w:val="00335991"/>
    <w:rsid w:val="00335A6C"/>
    <w:rsid w:val="00335A84"/>
    <w:rsid w:val="00335AB9"/>
    <w:rsid w:val="00335B3D"/>
    <w:rsid w:val="00335D8F"/>
    <w:rsid w:val="00335E93"/>
    <w:rsid w:val="00335FD3"/>
    <w:rsid w:val="003360A6"/>
    <w:rsid w:val="003361FD"/>
    <w:rsid w:val="00336364"/>
    <w:rsid w:val="00336450"/>
    <w:rsid w:val="003365A6"/>
    <w:rsid w:val="003365BB"/>
    <w:rsid w:val="0033672D"/>
    <w:rsid w:val="00336788"/>
    <w:rsid w:val="00336925"/>
    <w:rsid w:val="00336B43"/>
    <w:rsid w:val="00336C0D"/>
    <w:rsid w:val="00336C40"/>
    <w:rsid w:val="00336D37"/>
    <w:rsid w:val="00336DC9"/>
    <w:rsid w:val="00337022"/>
    <w:rsid w:val="00337198"/>
    <w:rsid w:val="003371CB"/>
    <w:rsid w:val="003371CC"/>
    <w:rsid w:val="0033722B"/>
    <w:rsid w:val="00337279"/>
    <w:rsid w:val="00337410"/>
    <w:rsid w:val="00337464"/>
    <w:rsid w:val="003374D3"/>
    <w:rsid w:val="00337527"/>
    <w:rsid w:val="00337586"/>
    <w:rsid w:val="0033760E"/>
    <w:rsid w:val="00337618"/>
    <w:rsid w:val="003376AD"/>
    <w:rsid w:val="003376B9"/>
    <w:rsid w:val="00337824"/>
    <w:rsid w:val="00337999"/>
    <w:rsid w:val="00337A2B"/>
    <w:rsid w:val="00337AA4"/>
    <w:rsid w:val="00337BEB"/>
    <w:rsid w:val="00337CA5"/>
    <w:rsid w:val="00337D7E"/>
    <w:rsid w:val="00337F90"/>
    <w:rsid w:val="00340296"/>
    <w:rsid w:val="00340512"/>
    <w:rsid w:val="0034063C"/>
    <w:rsid w:val="00340692"/>
    <w:rsid w:val="003406B4"/>
    <w:rsid w:val="00340777"/>
    <w:rsid w:val="00340866"/>
    <w:rsid w:val="0034088F"/>
    <w:rsid w:val="003408A3"/>
    <w:rsid w:val="003408E6"/>
    <w:rsid w:val="003408F4"/>
    <w:rsid w:val="003409EE"/>
    <w:rsid w:val="00340BD6"/>
    <w:rsid w:val="00340BD7"/>
    <w:rsid w:val="00340EBB"/>
    <w:rsid w:val="003412BC"/>
    <w:rsid w:val="0034132C"/>
    <w:rsid w:val="0034141A"/>
    <w:rsid w:val="0034145B"/>
    <w:rsid w:val="0034145C"/>
    <w:rsid w:val="00341475"/>
    <w:rsid w:val="00341541"/>
    <w:rsid w:val="003415BE"/>
    <w:rsid w:val="003415F9"/>
    <w:rsid w:val="003417C0"/>
    <w:rsid w:val="00341A10"/>
    <w:rsid w:val="00341AF0"/>
    <w:rsid w:val="00341B4A"/>
    <w:rsid w:val="00341C79"/>
    <w:rsid w:val="00341CB0"/>
    <w:rsid w:val="00341DA2"/>
    <w:rsid w:val="00341F59"/>
    <w:rsid w:val="00341F77"/>
    <w:rsid w:val="00341FFC"/>
    <w:rsid w:val="00342005"/>
    <w:rsid w:val="00342185"/>
    <w:rsid w:val="0034218F"/>
    <w:rsid w:val="003422FF"/>
    <w:rsid w:val="00342312"/>
    <w:rsid w:val="003424CD"/>
    <w:rsid w:val="00342543"/>
    <w:rsid w:val="003425E9"/>
    <w:rsid w:val="00342615"/>
    <w:rsid w:val="00342784"/>
    <w:rsid w:val="0034280E"/>
    <w:rsid w:val="0034282B"/>
    <w:rsid w:val="003428BF"/>
    <w:rsid w:val="00342954"/>
    <w:rsid w:val="00342A55"/>
    <w:rsid w:val="00342B0B"/>
    <w:rsid w:val="00342B56"/>
    <w:rsid w:val="00342BE5"/>
    <w:rsid w:val="00342C31"/>
    <w:rsid w:val="00342D69"/>
    <w:rsid w:val="00342DBC"/>
    <w:rsid w:val="00342F80"/>
    <w:rsid w:val="00343063"/>
    <w:rsid w:val="003430A6"/>
    <w:rsid w:val="00343145"/>
    <w:rsid w:val="003431C5"/>
    <w:rsid w:val="00343233"/>
    <w:rsid w:val="0034327C"/>
    <w:rsid w:val="0034359E"/>
    <w:rsid w:val="003435C6"/>
    <w:rsid w:val="00343944"/>
    <w:rsid w:val="0034399A"/>
    <w:rsid w:val="00343A24"/>
    <w:rsid w:val="00343A3C"/>
    <w:rsid w:val="00343C62"/>
    <w:rsid w:val="00343CBD"/>
    <w:rsid w:val="00343D1D"/>
    <w:rsid w:val="00343DE5"/>
    <w:rsid w:val="00343F15"/>
    <w:rsid w:val="00343FBD"/>
    <w:rsid w:val="00344140"/>
    <w:rsid w:val="00344158"/>
    <w:rsid w:val="003441D7"/>
    <w:rsid w:val="003442D9"/>
    <w:rsid w:val="003442EE"/>
    <w:rsid w:val="00344513"/>
    <w:rsid w:val="003445B8"/>
    <w:rsid w:val="003445CF"/>
    <w:rsid w:val="0034469B"/>
    <w:rsid w:val="003447EF"/>
    <w:rsid w:val="003447F7"/>
    <w:rsid w:val="003447FD"/>
    <w:rsid w:val="0034485E"/>
    <w:rsid w:val="00344981"/>
    <w:rsid w:val="00344ABB"/>
    <w:rsid w:val="00344B43"/>
    <w:rsid w:val="00344B4D"/>
    <w:rsid w:val="00344BFC"/>
    <w:rsid w:val="00344D5D"/>
    <w:rsid w:val="00344EEB"/>
    <w:rsid w:val="0034500F"/>
    <w:rsid w:val="00345041"/>
    <w:rsid w:val="003452EE"/>
    <w:rsid w:val="0034544D"/>
    <w:rsid w:val="003454F8"/>
    <w:rsid w:val="00345539"/>
    <w:rsid w:val="003456BA"/>
    <w:rsid w:val="003456CA"/>
    <w:rsid w:val="003458A6"/>
    <w:rsid w:val="00345A0E"/>
    <w:rsid w:val="00345B21"/>
    <w:rsid w:val="00345CA7"/>
    <w:rsid w:val="00345FF8"/>
    <w:rsid w:val="003460DA"/>
    <w:rsid w:val="003461F8"/>
    <w:rsid w:val="0034625A"/>
    <w:rsid w:val="00346274"/>
    <w:rsid w:val="0034629F"/>
    <w:rsid w:val="003463DE"/>
    <w:rsid w:val="00346468"/>
    <w:rsid w:val="0034652C"/>
    <w:rsid w:val="0034656E"/>
    <w:rsid w:val="0034657B"/>
    <w:rsid w:val="003466ED"/>
    <w:rsid w:val="003466F1"/>
    <w:rsid w:val="0034670E"/>
    <w:rsid w:val="0034695B"/>
    <w:rsid w:val="00346A33"/>
    <w:rsid w:val="00346C5B"/>
    <w:rsid w:val="00346D4F"/>
    <w:rsid w:val="00346D5B"/>
    <w:rsid w:val="00346DB5"/>
    <w:rsid w:val="00346F3D"/>
    <w:rsid w:val="00347066"/>
    <w:rsid w:val="003471D9"/>
    <w:rsid w:val="003471DD"/>
    <w:rsid w:val="0034726A"/>
    <w:rsid w:val="0034729D"/>
    <w:rsid w:val="00347375"/>
    <w:rsid w:val="003473DE"/>
    <w:rsid w:val="00347591"/>
    <w:rsid w:val="003475E6"/>
    <w:rsid w:val="003477DE"/>
    <w:rsid w:val="003478E2"/>
    <w:rsid w:val="00347C15"/>
    <w:rsid w:val="00347E3D"/>
    <w:rsid w:val="00347ED8"/>
    <w:rsid w:val="003500AA"/>
    <w:rsid w:val="00350253"/>
    <w:rsid w:val="003502A0"/>
    <w:rsid w:val="003502C9"/>
    <w:rsid w:val="003503C4"/>
    <w:rsid w:val="003504D0"/>
    <w:rsid w:val="00350877"/>
    <w:rsid w:val="0035089D"/>
    <w:rsid w:val="00350971"/>
    <w:rsid w:val="0035099A"/>
    <w:rsid w:val="00350A68"/>
    <w:rsid w:val="00350ACC"/>
    <w:rsid w:val="00350BFF"/>
    <w:rsid w:val="00350C17"/>
    <w:rsid w:val="00350C3A"/>
    <w:rsid w:val="00350F3D"/>
    <w:rsid w:val="00351043"/>
    <w:rsid w:val="00351046"/>
    <w:rsid w:val="0035113B"/>
    <w:rsid w:val="003512D7"/>
    <w:rsid w:val="0035132E"/>
    <w:rsid w:val="0035136C"/>
    <w:rsid w:val="00351421"/>
    <w:rsid w:val="003514A4"/>
    <w:rsid w:val="003514C5"/>
    <w:rsid w:val="003516D4"/>
    <w:rsid w:val="00351750"/>
    <w:rsid w:val="00351764"/>
    <w:rsid w:val="0035180B"/>
    <w:rsid w:val="00351850"/>
    <w:rsid w:val="00351ACD"/>
    <w:rsid w:val="00351B64"/>
    <w:rsid w:val="00351BAF"/>
    <w:rsid w:val="00351BB4"/>
    <w:rsid w:val="00351C19"/>
    <w:rsid w:val="00351CC7"/>
    <w:rsid w:val="00351DA5"/>
    <w:rsid w:val="00351FDF"/>
    <w:rsid w:val="00352039"/>
    <w:rsid w:val="00352086"/>
    <w:rsid w:val="0035215F"/>
    <w:rsid w:val="00352282"/>
    <w:rsid w:val="00352283"/>
    <w:rsid w:val="00352299"/>
    <w:rsid w:val="003522EC"/>
    <w:rsid w:val="0035230D"/>
    <w:rsid w:val="0035241C"/>
    <w:rsid w:val="0035249F"/>
    <w:rsid w:val="00352774"/>
    <w:rsid w:val="00352846"/>
    <w:rsid w:val="00352919"/>
    <w:rsid w:val="00352AE2"/>
    <w:rsid w:val="00352B94"/>
    <w:rsid w:val="00352C0D"/>
    <w:rsid w:val="00352CE3"/>
    <w:rsid w:val="00352DE6"/>
    <w:rsid w:val="00352E36"/>
    <w:rsid w:val="0035337B"/>
    <w:rsid w:val="00353380"/>
    <w:rsid w:val="0035338A"/>
    <w:rsid w:val="0035338E"/>
    <w:rsid w:val="003534B2"/>
    <w:rsid w:val="0035358B"/>
    <w:rsid w:val="00353605"/>
    <w:rsid w:val="003537A9"/>
    <w:rsid w:val="0035386B"/>
    <w:rsid w:val="003538D4"/>
    <w:rsid w:val="003539F0"/>
    <w:rsid w:val="00353B4D"/>
    <w:rsid w:val="00353C05"/>
    <w:rsid w:val="00353D7E"/>
    <w:rsid w:val="00354224"/>
    <w:rsid w:val="00354282"/>
    <w:rsid w:val="003542D8"/>
    <w:rsid w:val="003543D3"/>
    <w:rsid w:val="00354489"/>
    <w:rsid w:val="003544F6"/>
    <w:rsid w:val="0035460B"/>
    <w:rsid w:val="00354684"/>
    <w:rsid w:val="00354831"/>
    <w:rsid w:val="00354BF1"/>
    <w:rsid w:val="00354C0A"/>
    <w:rsid w:val="00354C5F"/>
    <w:rsid w:val="00354D22"/>
    <w:rsid w:val="00354E59"/>
    <w:rsid w:val="00354EEA"/>
    <w:rsid w:val="00355015"/>
    <w:rsid w:val="0035501F"/>
    <w:rsid w:val="003550B8"/>
    <w:rsid w:val="003550E0"/>
    <w:rsid w:val="00355155"/>
    <w:rsid w:val="003552E3"/>
    <w:rsid w:val="0035537D"/>
    <w:rsid w:val="0035538D"/>
    <w:rsid w:val="00355429"/>
    <w:rsid w:val="00355474"/>
    <w:rsid w:val="003554B0"/>
    <w:rsid w:val="003555A3"/>
    <w:rsid w:val="00355677"/>
    <w:rsid w:val="003556ED"/>
    <w:rsid w:val="00355709"/>
    <w:rsid w:val="003557F1"/>
    <w:rsid w:val="003557F8"/>
    <w:rsid w:val="00355836"/>
    <w:rsid w:val="00355906"/>
    <w:rsid w:val="00355984"/>
    <w:rsid w:val="003559B6"/>
    <w:rsid w:val="00355B66"/>
    <w:rsid w:val="00355BCF"/>
    <w:rsid w:val="00355CF5"/>
    <w:rsid w:val="00355D7D"/>
    <w:rsid w:val="00355FCA"/>
    <w:rsid w:val="0035600C"/>
    <w:rsid w:val="003560F3"/>
    <w:rsid w:val="00356142"/>
    <w:rsid w:val="0035614F"/>
    <w:rsid w:val="003564A9"/>
    <w:rsid w:val="0035654F"/>
    <w:rsid w:val="003565B7"/>
    <w:rsid w:val="0035685D"/>
    <w:rsid w:val="00356927"/>
    <w:rsid w:val="0035692C"/>
    <w:rsid w:val="00356C75"/>
    <w:rsid w:val="00356CC9"/>
    <w:rsid w:val="00356D0D"/>
    <w:rsid w:val="00356E5F"/>
    <w:rsid w:val="00356F26"/>
    <w:rsid w:val="00356FE0"/>
    <w:rsid w:val="00356FF8"/>
    <w:rsid w:val="00357069"/>
    <w:rsid w:val="003570D5"/>
    <w:rsid w:val="003570EB"/>
    <w:rsid w:val="003570FA"/>
    <w:rsid w:val="003571FB"/>
    <w:rsid w:val="00357336"/>
    <w:rsid w:val="00357734"/>
    <w:rsid w:val="003577BD"/>
    <w:rsid w:val="00357905"/>
    <w:rsid w:val="00357931"/>
    <w:rsid w:val="0035798D"/>
    <w:rsid w:val="00357C13"/>
    <w:rsid w:val="00357D3F"/>
    <w:rsid w:val="00357D41"/>
    <w:rsid w:val="00357E85"/>
    <w:rsid w:val="00360064"/>
    <w:rsid w:val="0036017D"/>
    <w:rsid w:val="00360227"/>
    <w:rsid w:val="0036025B"/>
    <w:rsid w:val="0036042C"/>
    <w:rsid w:val="0036048E"/>
    <w:rsid w:val="003605A9"/>
    <w:rsid w:val="00360881"/>
    <w:rsid w:val="003608C0"/>
    <w:rsid w:val="003608F0"/>
    <w:rsid w:val="00360939"/>
    <w:rsid w:val="0036095E"/>
    <w:rsid w:val="00360AF0"/>
    <w:rsid w:val="00360BDF"/>
    <w:rsid w:val="00360D55"/>
    <w:rsid w:val="00360F9F"/>
    <w:rsid w:val="0036107D"/>
    <w:rsid w:val="00361134"/>
    <w:rsid w:val="003611D3"/>
    <w:rsid w:val="003614CF"/>
    <w:rsid w:val="003615A5"/>
    <w:rsid w:val="00361630"/>
    <w:rsid w:val="00361659"/>
    <w:rsid w:val="00361754"/>
    <w:rsid w:val="00361AAE"/>
    <w:rsid w:val="00361C5C"/>
    <w:rsid w:val="00361DD1"/>
    <w:rsid w:val="00361DFF"/>
    <w:rsid w:val="00361E2E"/>
    <w:rsid w:val="00361F61"/>
    <w:rsid w:val="00361F70"/>
    <w:rsid w:val="00361FDB"/>
    <w:rsid w:val="00361FE1"/>
    <w:rsid w:val="00362004"/>
    <w:rsid w:val="0036220C"/>
    <w:rsid w:val="003622F1"/>
    <w:rsid w:val="0036242B"/>
    <w:rsid w:val="003624C5"/>
    <w:rsid w:val="0036264F"/>
    <w:rsid w:val="0036268E"/>
    <w:rsid w:val="003626B1"/>
    <w:rsid w:val="003627C3"/>
    <w:rsid w:val="0036282B"/>
    <w:rsid w:val="00362977"/>
    <w:rsid w:val="003629E4"/>
    <w:rsid w:val="00362AD2"/>
    <w:rsid w:val="00362B38"/>
    <w:rsid w:val="00362C64"/>
    <w:rsid w:val="00362D42"/>
    <w:rsid w:val="00362F19"/>
    <w:rsid w:val="00362F72"/>
    <w:rsid w:val="00362F91"/>
    <w:rsid w:val="00362FE4"/>
    <w:rsid w:val="00363193"/>
    <w:rsid w:val="0036327F"/>
    <w:rsid w:val="00363298"/>
    <w:rsid w:val="003632E5"/>
    <w:rsid w:val="003633CD"/>
    <w:rsid w:val="00363871"/>
    <w:rsid w:val="003638E0"/>
    <w:rsid w:val="00363A67"/>
    <w:rsid w:val="00363ACF"/>
    <w:rsid w:val="00363B8D"/>
    <w:rsid w:val="00363D68"/>
    <w:rsid w:val="00363DC1"/>
    <w:rsid w:val="00363E33"/>
    <w:rsid w:val="00363E4D"/>
    <w:rsid w:val="00363E7C"/>
    <w:rsid w:val="00364168"/>
    <w:rsid w:val="003642F5"/>
    <w:rsid w:val="00364354"/>
    <w:rsid w:val="003643BA"/>
    <w:rsid w:val="003643E6"/>
    <w:rsid w:val="00364549"/>
    <w:rsid w:val="00364551"/>
    <w:rsid w:val="003645BE"/>
    <w:rsid w:val="00364649"/>
    <w:rsid w:val="00364786"/>
    <w:rsid w:val="00364841"/>
    <w:rsid w:val="003648D4"/>
    <w:rsid w:val="00364AA8"/>
    <w:rsid w:val="00364D69"/>
    <w:rsid w:val="00364E5F"/>
    <w:rsid w:val="00364EA4"/>
    <w:rsid w:val="00365025"/>
    <w:rsid w:val="00365121"/>
    <w:rsid w:val="003652D9"/>
    <w:rsid w:val="003653A9"/>
    <w:rsid w:val="003653DC"/>
    <w:rsid w:val="00365434"/>
    <w:rsid w:val="0036576D"/>
    <w:rsid w:val="0036578F"/>
    <w:rsid w:val="003658BC"/>
    <w:rsid w:val="0036590E"/>
    <w:rsid w:val="00365AAC"/>
    <w:rsid w:val="00365B51"/>
    <w:rsid w:val="00365C5A"/>
    <w:rsid w:val="00365CDF"/>
    <w:rsid w:val="00365E0F"/>
    <w:rsid w:val="00365E7A"/>
    <w:rsid w:val="00366112"/>
    <w:rsid w:val="00366134"/>
    <w:rsid w:val="003661F3"/>
    <w:rsid w:val="003662CE"/>
    <w:rsid w:val="003662DD"/>
    <w:rsid w:val="0036653E"/>
    <w:rsid w:val="0036673F"/>
    <w:rsid w:val="00366799"/>
    <w:rsid w:val="003667F0"/>
    <w:rsid w:val="003667FB"/>
    <w:rsid w:val="00366912"/>
    <w:rsid w:val="00366A41"/>
    <w:rsid w:val="00366A6C"/>
    <w:rsid w:val="00366BD7"/>
    <w:rsid w:val="00366D08"/>
    <w:rsid w:val="00366E67"/>
    <w:rsid w:val="0036700C"/>
    <w:rsid w:val="0036701A"/>
    <w:rsid w:val="003670CB"/>
    <w:rsid w:val="0036712B"/>
    <w:rsid w:val="00367241"/>
    <w:rsid w:val="003672AB"/>
    <w:rsid w:val="003674D1"/>
    <w:rsid w:val="00367536"/>
    <w:rsid w:val="003675D4"/>
    <w:rsid w:val="0036760B"/>
    <w:rsid w:val="00367643"/>
    <w:rsid w:val="0036768A"/>
    <w:rsid w:val="003676F9"/>
    <w:rsid w:val="003677D9"/>
    <w:rsid w:val="003678A5"/>
    <w:rsid w:val="003679AA"/>
    <w:rsid w:val="003679F8"/>
    <w:rsid w:val="00367A8C"/>
    <w:rsid w:val="00367ABB"/>
    <w:rsid w:val="00367AEF"/>
    <w:rsid w:val="00367B40"/>
    <w:rsid w:val="00367BF4"/>
    <w:rsid w:val="00367D35"/>
    <w:rsid w:val="00367E11"/>
    <w:rsid w:val="00367F8C"/>
    <w:rsid w:val="00370181"/>
    <w:rsid w:val="003703D5"/>
    <w:rsid w:val="00370412"/>
    <w:rsid w:val="00370488"/>
    <w:rsid w:val="0037058E"/>
    <w:rsid w:val="003706F8"/>
    <w:rsid w:val="003706FA"/>
    <w:rsid w:val="00370775"/>
    <w:rsid w:val="00370835"/>
    <w:rsid w:val="003709CE"/>
    <w:rsid w:val="003709F1"/>
    <w:rsid w:val="00370C5C"/>
    <w:rsid w:val="00370CE0"/>
    <w:rsid w:val="00370D0C"/>
    <w:rsid w:val="00370F0A"/>
    <w:rsid w:val="00371092"/>
    <w:rsid w:val="00371177"/>
    <w:rsid w:val="0037121F"/>
    <w:rsid w:val="00371308"/>
    <w:rsid w:val="0037131F"/>
    <w:rsid w:val="00371432"/>
    <w:rsid w:val="003714D0"/>
    <w:rsid w:val="003714E6"/>
    <w:rsid w:val="00371578"/>
    <w:rsid w:val="00371612"/>
    <w:rsid w:val="00371616"/>
    <w:rsid w:val="003716A5"/>
    <w:rsid w:val="0037184F"/>
    <w:rsid w:val="00371A5B"/>
    <w:rsid w:val="00371CA7"/>
    <w:rsid w:val="00371D56"/>
    <w:rsid w:val="0037201C"/>
    <w:rsid w:val="00372053"/>
    <w:rsid w:val="00372356"/>
    <w:rsid w:val="003723DE"/>
    <w:rsid w:val="003723F6"/>
    <w:rsid w:val="0037264D"/>
    <w:rsid w:val="003727DA"/>
    <w:rsid w:val="00372808"/>
    <w:rsid w:val="0037288A"/>
    <w:rsid w:val="00372956"/>
    <w:rsid w:val="00372A90"/>
    <w:rsid w:val="00372CC9"/>
    <w:rsid w:val="00372D28"/>
    <w:rsid w:val="00372EA3"/>
    <w:rsid w:val="00372EC6"/>
    <w:rsid w:val="00373183"/>
    <w:rsid w:val="003731A6"/>
    <w:rsid w:val="003733B0"/>
    <w:rsid w:val="00373426"/>
    <w:rsid w:val="003734E0"/>
    <w:rsid w:val="003734F3"/>
    <w:rsid w:val="00373662"/>
    <w:rsid w:val="00373694"/>
    <w:rsid w:val="00373888"/>
    <w:rsid w:val="003738FD"/>
    <w:rsid w:val="003739A1"/>
    <w:rsid w:val="00373A3B"/>
    <w:rsid w:val="00373B5C"/>
    <w:rsid w:val="00373F6D"/>
    <w:rsid w:val="0037404F"/>
    <w:rsid w:val="003740C3"/>
    <w:rsid w:val="00374380"/>
    <w:rsid w:val="00374386"/>
    <w:rsid w:val="0037442F"/>
    <w:rsid w:val="00374566"/>
    <w:rsid w:val="003745E4"/>
    <w:rsid w:val="003745F0"/>
    <w:rsid w:val="0037495F"/>
    <w:rsid w:val="00374B0A"/>
    <w:rsid w:val="00374CA0"/>
    <w:rsid w:val="00374EF0"/>
    <w:rsid w:val="00375185"/>
    <w:rsid w:val="003754CF"/>
    <w:rsid w:val="003755B9"/>
    <w:rsid w:val="003755DF"/>
    <w:rsid w:val="003755EB"/>
    <w:rsid w:val="00375725"/>
    <w:rsid w:val="00375755"/>
    <w:rsid w:val="00375812"/>
    <w:rsid w:val="00375834"/>
    <w:rsid w:val="00375AF1"/>
    <w:rsid w:val="00375C91"/>
    <w:rsid w:val="00375CB1"/>
    <w:rsid w:val="00375E31"/>
    <w:rsid w:val="00375E76"/>
    <w:rsid w:val="00375EE5"/>
    <w:rsid w:val="00375F01"/>
    <w:rsid w:val="00375FBE"/>
    <w:rsid w:val="00376115"/>
    <w:rsid w:val="0037619C"/>
    <w:rsid w:val="0037654A"/>
    <w:rsid w:val="0037658A"/>
    <w:rsid w:val="00376624"/>
    <w:rsid w:val="003766E7"/>
    <w:rsid w:val="00376802"/>
    <w:rsid w:val="003768EF"/>
    <w:rsid w:val="00376900"/>
    <w:rsid w:val="00376931"/>
    <w:rsid w:val="00376949"/>
    <w:rsid w:val="003769D1"/>
    <w:rsid w:val="00376A37"/>
    <w:rsid w:val="00376AB6"/>
    <w:rsid w:val="00376B56"/>
    <w:rsid w:val="00376C23"/>
    <w:rsid w:val="00376CF6"/>
    <w:rsid w:val="00376D29"/>
    <w:rsid w:val="00377007"/>
    <w:rsid w:val="00377144"/>
    <w:rsid w:val="0037751C"/>
    <w:rsid w:val="003775A0"/>
    <w:rsid w:val="003775CE"/>
    <w:rsid w:val="003776E9"/>
    <w:rsid w:val="00377740"/>
    <w:rsid w:val="00377803"/>
    <w:rsid w:val="003778D0"/>
    <w:rsid w:val="003779C0"/>
    <w:rsid w:val="003779E0"/>
    <w:rsid w:val="00377B9E"/>
    <w:rsid w:val="00377CF1"/>
    <w:rsid w:val="00377E0B"/>
    <w:rsid w:val="003800CF"/>
    <w:rsid w:val="003800EE"/>
    <w:rsid w:val="00380142"/>
    <w:rsid w:val="0038042F"/>
    <w:rsid w:val="0038061D"/>
    <w:rsid w:val="0038088D"/>
    <w:rsid w:val="00380AEC"/>
    <w:rsid w:val="00380D34"/>
    <w:rsid w:val="00380ED7"/>
    <w:rsid w:val="00380FFC"/>
    <w:rsid w:val="00381024"/>
    <w:rsid w:val="003811FD"/>
    <w:rsid w:val="003812EC"/>
    <w:rsid w:val="003814A5"/>
    <w:rsid w:val="003814B9"/>
    <w:rsid w:val="00381732"/>
    <w:rsid w:val="0038177D"/>
    <w:rsid w:val="00381937"/>
    <w:rsid w:val="00381A67"/>
    <w:rsid w:val="0038207C"/>
    <w:rsid w:val="003820B6"/>
    <w:rsid w:val="00382161"/>
    <w:rsid w:val="00382170"/>
    <w:rsid w:val="003821E2"/>
    <w:rsid w:val="0038229A"/>
    <w:rsid w:val="00382330"/>
    <w:rsid w:val="003823E0"/>
    <w:rsid w:val="00382717"/>
    <w:rsid w:val="00382783"/>
    <w:rsid w:val="00382C7E"/>
    <w:rsid w:val="00382D42"/>
    <w:rsid w:val="00382F6C"/>
    <w:rsid w:val="003830E8"/>
    <w:rsid w:val="00383235"/>
    <w:rsid w:val="003832E0"/>
    <w:rsid w:val="0038337E"/>
    <w:rsid w:val="003834AE"/>
    <w:rsid w:val="003834C1"/>
    <w:rsid w:val="0038357D"/>
    <w:rsid w:val="00383703"/>
    <w:rsid w:val="0038385C"/>
    <w:rsid w:val="0038387F"/>
    <w:rsid w:val="003838A3"/>
    <w:rsid w:val="003838A8"/>
    <w:rsid w:val="003838AF"/>
    <w:rsid w:val="00383BA7"/>
    <w:rsid w:val="00383C77"/>
    <w:rsid w:val="00383DEC"/>
    <w:rsid w:val="00383EB4"/>
    <w:rsid w:val="00383FF2"/>
    <w:rsid w:val="00384006"/>
    <w:rsid w:val="00384083"/>
    <w:rsid w:val="0038418B"/>
    <w:rsid w:val="003842E9"/>
    <w:rsid w:val="003842F2"/>
    <w:rsid w:val="0038435B"/>
    <w:rsid w:val="0038444B"/>
    <w:rsid w:val="0038445F"/>
    <w:rsid w:val="003844BE"/>
    <w:rsid w:val="00384550"/>
    <w:rsid w:val="00384751"/>
    <w:rsid w:val="0038492F"/>
    <w:rsid w:val="00384958"/>
    <w:rsid w:val="003849BE"/>
    <w:rsid w:val="00384B07"/>
    <w:rsid w:val="00384BAB"/>
    <w:rsid w:val="00384C19"/>
    <w:rsid w:val="00384C4E"/>
    <w:rsid w:val="00384D62"/>
    <w:rsid w:val="00384DD2"/>
    <w:rsid w:val="00384E38"/>
    <w:rsid w:val="00384F13"/>
    <w:rsid w:val="00384F75"/>
    <w:rsid w:val="00384FF0"/>
    <w:rsid w:val="00385078"/>
    <w:rsid w:val="0038508B"/>
    <w:rsid w:val="00385115"/>
    <w:rsid w:val="0038519B"/>
    <w:rsid w:val="00385200"/>
    <w:rsid w:val="00385295"/>
    <w:rsid w:val="0038531E"/>
    <w:rsid w:val="0038539C"/>
    <w:rsid w:val="00385419"/>
    <w:rsid w:val="0038553F"/>
    <w:rsid w:val="00385646"/>
    <w:rsid w:val="0038576E"/>
    <w:rsid w:val="00385877"/>
    <w:rsid w:val="00385929"/>
    <w:rsid w:val="00385A5F"/>
    <w:rsid w:val="00385BB2"/>
    <w:rsid w:val="00385BE4"/>
    <w:rsid w:val="00385CA3"/>
    <w:rsid w:val="00385ED9"/>
    <w:rsid w:val="00385F19"/>
    <w:rsid w:val="00385F48"/>
    <w:rsid w:val="00385FCE"/>
    <w:rsid w:val="00386225"/>
    <w:rsid w:val="003863D9"/>
    <w:rsid w:val="0038660B"/>
    <w:rsid w:val="003866F7"/>
    <w:rsid w:val="0038672F"/>
    <w:rsid w:val="003867E0"/>
    <w:rsid w:val="00386802"/>
    <w:rsid w:val="00386981"/>
    <w:rsid w:val="003869CE"/>
    <w:rsid w:val="00386B29"/>
    <w:rsid w:val="00386C13"/>
    <w:rsid w:val="00386C2C"/>
    <w:rsid w:val="00386DF0"/>
    <w:rsid w:val="00386ED0"/>
    <w:rsid w:val="00387399"/>
    <w:rsid w:val="00387406"/>
    <w:rsid w:val="00387457"/>
    <w:rsid w:val="00387496"/>
    <w:rsid w:val="00387774"/>
    <w:rsid w:val="00387B3C"/>
    <w:rsid w:val="00387B8E"/>
    <w:rsid w:val="00387C16"/>
    <w:rsid w:val="00387C81"/>
    <w:rsid w:val="00387CAF"/>
    <w:rsid w:val="00387D5A"/>
    <w:rsid w:val="00387DDE"/>
    <w:rsid w:val="00387E0A"/>
    <w:rsid w:val="00387E32"/>
    <w:rsid w:val="00387E6A"/>
    <w:rsid w:val="00387E96"/>
    <w:rsid w:val="00387F67"/>
    <w:rsid w:val="00387FBF"/>
    <w:rsid w:val="00390050"/>
    <w:rsid w:val="003901C7"/>
    <w:rsid w:val="003901ED"/>
    <w:rsid w:val="00390603"/>
    <w:rsid w:val="003906F1"/>
    <w:rsid w:val="00390756"/>
    <w:rsid w:val="0039081A"/>
    <w:rsid w:val="0039083F"/>
    <w:rsid w:val="00390AA0"/>
    <w:rsid w:val="00390C75"/>
    <w:rsid w:val="00390CCD"/>
    <w:rsid w:val="00390D03"/>
    <w:rsid w:val="00390F36"/>
    <w:rsid w:val="00390F67"/>
    <w:rsid w:val="00391047"/>
    <w:rsid w:val="00391118"/>
    <w:rsid w:val="00391490"/>
    <w:rsid w:val="003914BC"/>
    <w:rsid w:val="003914E8"/>
    <w:rsid w:val="003914F7"/>
    <w:rsid w:val="00391576"/>
    <w:rsid w:val="0039160B"/>
    <w:rsid w:val="003917CB"/>
    <w:rsid w:val="00391807"/>
    <w:rsid w:val="0039196E"/>
    <w:rsid w:val="003919C4"/>
    <w:rsid w:val="00391A05"/>
    <w:rsid w:val="00391A59"/>
    <w:rsid w:val="00391B3E"/>
    <w:rsid w:val="00391C59"/>
    <w:rsid w:val="00391D42"/>
    <w:rsid w:val="00391E81"/>
    <w:rsid w:val="00391F19"/>
    <w:rsid w:val="003920A3"/>
    <w:rsid w:val="003920D6"/>
    <w:rsid w:val="0039221E"/>
    <w:rsid w:val="00392253"/>
    <w:rsid w:val="00392337"/>
    <w:rsid w:val="003923B1"/>
    <w:rsid w:val="0039255C"/>
    <w:rsid w:val="0039259C"/>
    <w:rsid w:val="0039284C"/>
    <w:rsid w:val="00392C89"/>
    <w:rsid w:val="00392DB0"/>
    <w:rsid w:val="00392FD7"/>
    <w:rsid w:val="00393142"/>
    <w:rsid w:val="003932A1"/>
    <w:rsid w:val="003933AB"/>
    <w:rsid w:val="00393406"/>
    <w:rsid w:val="0039351A"/>
    <w:rsid w:val="00393575"/>
    <w:rsid w:val="0039361B"/>
    <w:rsid w:val="00393670"/>
    <w:rsid w:val="00393886"/>
    <w:rsid w:val="0039389C"/>
    <w:rsid w:val="003938A9"/>
    <w:rsid w:val="00393938"/>
    <w:rsid w:val="00393AA5"/>
    <w:rsid w:val="00393AAA"/>
    <w:rsid w:val="00393C82"/>
    <w:rsid w:val="00393CB0"/>
    <w:rsid w:val="00393CCC"/>
    <w:rsid w:val="00393CFE"/>
    <w:rsid w:val="00393D94"/>
    <w:rsid w:val="00393E55"/>
    <w:rsid w:val="00393EAC"/>
    <w:rsid w:val="00393EEC"/>
    <w:rsid w:val="00394080"/>
    <w:rsid w:val="00394188"/>
    <w:rsid w:val="003942EE"/>
    <w:rsid w:val="0039458A"/>
    <w:rsid w:val="003945C5"/>
    <w:rsid w:val="00394615"/>
    <w:rsid w:val="00394697"/>
    <w:rsid w:val="003946F1"/>
    <w:rsid w:val="003947EF"/>
    <w:rsid w:val="0039480B"/>
    <w:rsid w:val="00394853"/>
    <w:rsid w:val="0039489B"/>
    <w:rsid w:val="00394A2D"/>
    <w:rsid w:val="00394A35"/>
    <w:rsid w:val="00394A8E"/>
    <w:rsid w:val="00394A95"/>
    <w:rsid w:val="00394BE7"/>
    <w:rsid w:val="00394DAB"/>
    <w:rsid w:val="00394E20"/>
    <w:rsid w:val="00394F97"/>
    <w:rsid w:val="003950B0"/>
    <w:rsid w:val="0039519B"/>
    <w:rsid w:val="00395242"/>
    <w:rsid w:val="003952C3"/>
    <w:rsid w:val="003952F0"/>
    <w:rsid w:val="0039537A"/>
    <w:rsid w:val="00395621"/>
    <w:rsid w:val="0039566B"/>
    <w:rsid w:val="003956C2"/>
    <w:rsid w:val="00395796"/>
    <w:rsid w:val="00395808"/>
    <w:rsid w:val="00395889"/>
    <w:rsid w:val="0039594C"/>
    <w:rsid w:val="00395983"/>
    <w:rsid w:val="00395B13"/>
    <w:rsid w:val="00395B74"/>
    <w:rsid w:val="00395C40"/>
    <w:rsid w:val="00395D70"/>
    <w:rsid w:val="00395DAE"/>
    <w:rsid w:val="00395DB7"/>
    <w:rsid w:val="00395F74"/>
    <w:rsid w:val="00395F7D"/>
    <w:rsid w:val="00395FFB"/>
    <w:rsid w:val="003960CA"/>
    <w:rsid w:val="003962E0"/>
    <w:rsid w:val="00396378"/>
    <w:rsid w:val="003963F0"/>
    <w:rsid w:val="00396568"/>
    <w:rsid w:val="003965A6"/>
    <w:rsid w:val="00396642"/>
    <w:rsid w:val="00396645"/>
    <w:rsid w:val="00396732"/>
    <w:rsid w:val="0039678B"/>
    <w:rsid w:val="00396AF5"/>
    <w:rsid w:val="00396CC8"/>
    <w:rsid w:val="00397066"/>
    <w:rsid w:val="003970B7"/>
    <w:rsid w:val="0039716C"/>
    <w:rsid w:val="003971BE"/>
    <w:rsid w:val="0039721E"/>
    <w:rsid w:val="003972FA"/>
    <w:rsid w:val="00397434"/>
    <w:rsid w:val="003975BE"/>
    <w:rsid w:val="003979A6"/>
    <w:rsid w:val="00397A1B"/>
    <w:rsid w:val="00397A84"/>
    <w:rsid w:val="00397E0E"/>
    <w:rsid w:val="00397E41"/>
    <w:rsid w:val="00397E55"/>
    <w:rsid w:val="00397E84"/>
    <w:rsid w:val="003A0066"/>
    <w:rsid w:val="003A01AD"/>
    <w:rsid w:val="003A03A2"/>
    <w:rsid w:val="003A0416"/>
    <w:rsid w:val="003A0495"/>
    <w:rsid w:val="003A04C1"/>
    <w:rsid w:val="003A04F0"/>
    <w:rsid w:val="003A062A"/>
    <w:rsid w:val="003A0799"/>
    <w:rsid w:val="003A08BC"/>
    <w:rsid w:val="003A0A16"/>
    <w:rsid w:val="003A0A5D"/>
    <w:rsid w:val="003A0A8E"/>
    <w:rsid w:val="003A0BBF"/>
    <w:rsid w:val="003A0D23"/>
    <w:rsid w:val="003A0E67"/>
    <w:rsid w:val="003A0EF8"/>
    <w:rsid w:val="003A1018"/>
    <w:rsid w:val="003A1084"/>
    <w:rsid w:val="003A1158"/>
    <w:rsid w:val="003A11FA"/>
    <w:rsid w:val="003A1338"/>
    <w:rsid w:val="003A139E"/>
    <w:rsid w:val="003A1542"/>
    <w:rsid w:val="003A16F1"/>
    <w:rsid w:val="003A16F8"/>
    <w:rsid w:val="003A173A"/>
    <w:rsid w:val="003A1791"/>
    <w:rsid w:val="003A191B"/>
    <w:rsid w:val="003A1961"/>
    <w:rsid w:val="003A1969"/>
    <w:rsid w:val="003A1982"/>
    <w:rsid w:val="003A1A26"/>
    <w:rsid w:val="003A1B1D"/>
    <w:rsid w:val="003A1B6D"/>
    <w:rsid w:val="003A1BB9"/>
    <w:rsid w:val="003A1CC6"/>
    <w:rsid w:val="003A1CC7"/>
    <w:rsid w:val="003A202E"/>
    <w:rsid w:val="003A2143"/>
    <w:rsid w:val="003A21D3"/>
    <w:rsid w:val="003A2210"/>
    <w:rsid w:val="003A227D"/>
    <w:rsid w:val="003A229E"/>
    <w:rsid w:val="003A2472"/>
    <w:rsid w:val="003A2626"/>
    <w:rsid w:val="003A2666"/>
    <w:rsid w:val="003A28FA"/>
    <w:rsid w:val="003A29D5"/>
    <w:rsid w:val="003A2A13"/>
    <w:rsid w:val="003A2C5E"/>
    <w:rsid w:val="003A2CE2"/>
    <w:rsid w:val="003A2D29"/>
    <w:rsid w:val="003A2D96"/>
    <w:rsid w:val="003A2DBF"/>
    <w:rsid w:val="003A2E7B"/>
    <w:rsid w:val="003A2EC9"/>
    <w:rsid w:val="003A2ECE"/>
    <w:rsid w:val="003A2FF5"/>
    <w:rsid w:val="003A3548"/>
    <w:rsid w:val="003A36B6"/>
    <w:rsid w:val="003A3754"/>
    <w:rsid w:val="003A3829"/>
    <w:rsid w:val="003A3857"/>
    <w:rsid w:val="003A3892"/>
    <w:rsid w:val="003A38F1"/>
    <w:rsid w:val="003A397B"/>
    <w:rsid w:val="003A3993"/>
    <w:rsid w:val="003A39B1"/>
    <w:rsid w:val="003A39E2"/>
    <w:rsid w:val="003A3B13"/>
    <w:rsid w:val="003A3B17"/>
    <w:rsid w:val="003A3FFF"/>
    <w:rsid w:val="003A40AC"/>
    <w:rsid w:val="003A40E6"/>
    <w:rsid w:val="003A4107"/>
    <w:rsid w:val="003A41A8"/>
    <w:rsid w:val="003A41FF"/>
    <w:rsid w:val="003A442E"/>
    <w:rsid w:val="003A45E7"/>
    <w:rsid w:val="003A4659"/>
    <w:rsid w:val="003A49F0"/>
    <w:rsid w:val="003A4B82"/>
    <w:rsid w:val="003A4D2D"/>
    <w:rsid w:val="003A4E01"/>
    <w:rsid w:val="003A5046"/>
    <w:rsid w:val="003A52F0"/>
    <w:rsid w:val="003A53AD"/>
    <w:rsid w:val="003A54C5"/>
    <w:rsid w:val="003A561C"/>
    <w:rsid w:val="003A5664"/>
    <w:rsid w:val="003A59D2"/>
    <w:rsid w:val="003A5A29"/>
    <w:rsid w:val="003A5AD4"/>
    <w:rsid w:val="003A5BFF"/>
    <w:rsid w:val="003A5D4E"/>
    <w:rsid w:val="003A5F77"/>
    <w:rsid w:val="003A62DF"/>
    <w:rsid w:val="003A62F3"/>
    <w:rsid w:val="003A6853"/>
    <w:rsid w:val="003A68D7"/>
    <w:rsid w:val="003A690D"/>
    <w:rsid w:val="003A6979"/>
    <w:rsid w:val="003A6AA1"/>
    <w:rsid w:val="003A6B60"/>
    <w:rsid w:val="003A6D5C"/>
    <w:rsid w:val="003A6D7D"/>
    <w:rsid w:val="003A6DDF"/>
    <w:rsid w:val="003A6EF1"/>
    <w:rsid w:val="003A6F03"/>
    <w:rsid w:val="003A7229"/>
    <w:rsid w:val="003A72AD"/>
    <w:rsid w:val="003A74A0"/>
    <w:rsid w:val="003A74B4"/>
    <w:rsid w:val="003A752F"/>
    <w:rsid w:val="003A7709"/>
    <w:rsid w:val="003A773E"/>
    <w:rsid w:val="003A7CB4"/>
    <w:rsid w:val="003A7CCD"/>
    <w:rsid w:val="003A7E48"/>
    <w:rsid w:val="003B0159"/>
    <w:rsid w:val="003B018B"/>
    <w:rsid w:val="003B0241"/>
    <w:rsid w:val="003B045E"/>
    <w:rsid w:val="003B04A6"/>
    <w:rsid w:val="003B0530"/>
    <w:rsid w:val="003B05F2"/>
    <w:rsid w:val="003B05F4"/>
    <w:rsid w:val="003B06B0"/>
    <w:rsid w:val="003B0774"/>
    <w:rsid w:val="003B0795"/>
    <w:rsid w:val="003B09EB"/>
    <w:rsid w:val="003B0C15"/>
    <w:rsid w:val="003B0D0E"/>
    <w:rsid w:val="003B0D87"/>
    <w:rsid w:val="003B0E40"/>
    <w:rsid w:val="003B1021"/>
    <w:rsid w:val="003B102C"/>
    <w:rsid w:val="003B1113"/>
    <w:rsid w:val="003B1333"/>
    <w:rsid w:val="003B1572"/>
    <w:rsid w:val="003B158C"/>
    <w:rsid w:val="003B1643"/>
    <w:rsid w:val="003B1709"/>
    <w:rsid w:val="003B1837"/>
    <w:rsid w:val="003B19BB"/>
    <w:rsid w:val="003B19C4"/>
    <w:rsid w:val="003B1C62"/>
    <w:rsid w:val="003B1E50"/>
    <w:rsid w:val="003B20EE"/>
    <w:rsid w:val="003B2154"/>
    <w:rsid w:val="003B231A"/>
    <w:rsid w:val="003B24E6"/>
    <w:rsid w:val="003B2751"/>
    <w:rsid w:val="003B27D7"/>
    <w:rsid w:val="003B290A"/>
    <w:rsid w:val="003B299D"/>
    <w:rsid w:val="003B2A24"/>
    <w:rsid w:val="003B2AB6"/>
    <w:rsid w:val="003B2AFC"/>
    <w:rsid w:val="003B2BFE"/>
    <w:rsid w:val="003B2CA0"/>
    <w:rsid w:val="003B2EF6"/>
    <w:rsid w:val="003B3197"/>
    <w:rsid w:val="003B3294"/>
    <w:rsid w:val="003B32D7"/>
    <w:rsid w:val="003B35B9"/>
    <w:rsid w:val="003B35C9"/>
    <w:rsid w:val="003B35F5"/>
    <w:rsid w:val="003B362C"/>
    <w:rsid w:val="003B36A1"/>
    <w:rsid w:val="003B39AA"/>
    <w:rsid w:val="003B39B1"/>
    <w:rsid w:val="003B3A3C"/>
    <w:rsid w:val="003B3A98"/>
    <w:rsid w:val="003B3BDD"/>
    <w:rsid w:val="003B3CDF"/>
    <w:rsid w:val="003B3E2C"/>
    <w:rsid w:val="003B3E98"/>
    <w:rsid w:val="003B413B"/>
    <w:rsid w:val="003B413E"/>
    <w:rsid w:val="003B41EC"/>
    <w:rsid w:val="003B4254"/>
    <w:rsid w:val="003B429A"/>
    <w:rsid w:val="003B42BE"/>
    <w:rsid w:val="003B4482"/>
    <w:rsid w:val="003B4873"/>
    <w:rsid w:val="003B489A"/>
    <w:rsid w:val="003B48C0"/>
    <w:rsid w:val="003B4971"/>
    <w:rsid w:val="003B49E4"/>
    <w:rsid w:val="003B4A91"/>
    <w:rsid w:val="003B4B11"/>
    <w:rsid w:val="003B4B15"/>
    <w:rsid w:val="003B4D4F"/>
    <w:rsid w:val="003B4E43"/>
    <w:rsid w:val="003B5029"/>
    <w:rsid w:val="003B503C"/>
    <w:rsid w:val="003B5335"/>
    <w:rsid w:val="003B534B"/>
    <w:rsid w:val="003B538A"/>
    <w:rsid w:val="003B541E"/>
    <w:rsid w:val="003B54B1"/>
    <w:rsid w:val="003B55C8"/>
    <w:rsid w:val="003B56DC"/>
    <w:rsid w:val="003B5735"/>
    <w:rsid w:val="003B5773"/>
    <w:rsid w:val="003B588B"/>
    <w:rsid w:val="003B58AC"/>
    <w:rsid w:val="003B59B8"/>
    <w:rsid w:val="003B5AB5"/>
    <w:rsid w:val="003B5B60"/>
    <w:rsid w:val="003B5BC1"/>
    <w:rsid w:val="003B5C2D"/>
    <w:rsid w:val="003B5F88"/>
    <w:rsid w:val="003B613A"/>
    <w:rsid w:val="003B616F"/>
    <w:rsid w:val="003B6231"/>
    <w:rsid w:val="003B623B"/>
    <w:rsid w:val="003B6265"/>
    <w:rsid w:val="003B6307"/>
    <w:rsid w:val="003B64C8"/>
    <w:rsid w:val="003B65BE"/>
    <w:rsid w:val="003B66A2"/>
    <w:rsid w:val="003B67E1"/>
    <w:rsid w:val="003B689F"/>
    <w:rsid w:val="003B6AD0"/>
    <w:rsid w:val="003B6DA2"/>
    <w:rsid w:val="003B6EAC"/>
    <w:rsid w:val="003B7076"/>
    <w:rsid w:val="003B708D"/>
    <w:rsid w:val="003B72BC"/>
    <w:rsid w:val="003B72D2"/>
    <w:rsid w:val="003B72E7"/>
    <w:rsid w:val="003B72EF"/>
    <w:rsid w:val="003B730E"/>
    <w:rsid w:val="003B754E"/>
    <w:rsid w:val="003B75EE"/>
    <w:rsid w:val="003B7930"/>
    <w:rsid w:val="003B7A5C"/>
    <w:rsid w:val="003B7A60"/>
    <w:rsid w:val="003B7B32"/>
    <w:rsid w:val="003B7C6C"/>
    <w:rsid w:val="003B7CBC"/>
    <w:rsid w:val="003B7CCC"/>
    <w:rsid w:val="003B7F28"/>
    <w:rsid w:val="003C0129"/>
    <w:rsid w:val="003C01D5"/>
    <w:rsid w:val="003C01DF"/>
    <w:rsid w:val="003C0425"/>
    <w:rsid w:val="003C0669"/>
    <w:rsid w:val="003C06D1"/>
    <w:rsid w:val="003C071A"/>
    <w:rsid w:val="003C07D4"/>
    <w:rsid w:val="003C0877"/>
    <w:rsid w:val="003C092D"/>
    <w:rsid w:val="003C0BF1"/>
    <w:rsid w:val="003C0C88"/>
    <w:rsid w:val="003C0C89"/>
    <w:rsid w:val="003C0CFD"/>
    <w:rsid w:val="003C0D90"/>
    <w:rsid w:val="003C10B3"/>
    <w:rsid w:val="003C110D"/>
    <w:rsid w:val="003C1137"/>
    <w:rsid w:val="003C116D"/>
    <w:rsid w:val="003C13D2"/>
    <w:rsid w:val="003C142F"/>
    <w:rsid w:val="003C1499"/>
    <w:rsid w:val="003C167B"/>
    <w:rsid w:val="003C185A"/>
    <w:rsid w:val="003C190E"/>
    <w:rsid w:val="003C1AFF"/>
    <w:rsid w:val="003C1B74"/>
    <w:rsid w:val="003C1BE3"/>
    <w:rsid w:val="003C1BF9"/>
    <w:rsid w:val="003C1CD3"/>
    <w:rsid w:val="003C1D90"/>
    <w:rsid w:val="003C1DF3"/>
    <w:rsid w:val="003C1DF6"/>
    <w:rsid w:val="003C1E32"/>
    <w:rsid w:val="003C20C1"/>
    <w:rsid w:val="003C2128"/>
    <w:rsid w:val="003C2170"/>
    <w:rsid w:val="003C219E"/>
    <w:rsid w:val="003C2210"/>
    <w:rsid w:val="003C2423"/>
    <w:rsid w:val="003C2480"/>
    <w:rsid w:val="003C256E"/>
    <w:rsid w:val="003C25ED"/>
    <w:rsid w:val="003C2658"/>
    <w:rsid w:val="003C266D"/>
    <w:rsid w:val="003C26C2"/>
    <w:rsid w:val="003C273D"/>
    <w:rsid w:val="003C2750"/>
    <w:rsid w:val="003C2796"/>
    <w:rsid w:val="003C27CF"/>
    <w:rsid w:val="003C27D8"/>
    <w:rsid w:val="003C2AC7"/>
    <w:rsid w:val="003C2AD4"/>
    <w:rsid w:val="003C2CE2"/>
    <w:rsid w:val="003C2DC5"/>
    <w:rsid w:val="003C2EE1"/>
    <w:rsid w:val="003C2F69"/>
    <w:rsid w:val="003C2F92"/>
    <w:rsid w:val="003C30D0"/>
    <w:rsid w:val="003C30D1"/>
    <w:rsid w:val="003C31EC"/>
    <w:rsid w:val="003C32B9"/>
    <w:rsid w:val="003C3489"/>
    <w:rsid w:val="003C34AB"/>
    <w:rsid w:val="003C369A"/>
    <w:rsid w:val="003C36C7"/>
    <w:rsid w:val="003C3777"/>
    <w:rsid w:val="003C37DB"/>
    <w:rsid w:val="003C38CB"/>
    <w:rsid w:val="003C38EE"/>
    <w:rsid w:val="003C3EDD"/>
    <w:rsid w:val="003C3F38"/>
    <w:rsid w:val="003C42FB"/>
    <w:rsid w:val="003C434B"/>
    <w:rsid w:val="003C45AB"/>
    <w:rsid w:val="003C469D"/>
    <w:rsid w:val="003C4747"/>
    <w:rsid w:val="003C4912"/>
    <w:rsid w:val="003C4A2E"/>
    <w:rsid w:val="003C4A71"/>
    <w:rsid w:val="003C4BFC"/>
    <w:rsid w:val="003C4CAF"/>
    <w:rsid w:val="003C4DBC"/>
    <w:rsid w:val="003C4EDA"/>
    <w:rsid w:val="003C4FE7"/>
    <w:rsid w:val="003C5072"/>
    <w:rsid w:val="003C50BA"/>
    <w:rsid w:val="003C5103"/>
    <w:rsid w:val="003C5129"/>
    <w:rsid w:val="003C51F8"/>
    <w:rsid w:val="003C5273"/>
    <w:rsid w:val="003C5515"/>
    <w:rsid w:val="003C5525"/>
    <w:rsid w:val="003C576A"/>
    <w:rsid w:val="003C5931"/>
    <w:rsid w:val="003C5A9B"/>
    <w:rsid w:val="003C5AC1"/>
    <w:rsid w:val="003C5BFF"/>
    <w:rsid w:val="003C5C79"/>
    <w:rsid w:val="003C5E6E"/>
    <w:rsid w:val="003C5F4E"/>
    <w:rsid w:val="003C61BC"/>
    <w:rsid w:val="003C6533"/>
    <w:rsid w:val="003C6601"/>
    <w:rsid w:val="003C6944"/>
    <w:rsid w:val="003C6A27"/>
    <w:rsid w:val="003C6AB8"/>
    <w:rsid w:val="003C6AD9"/>
    <w:rsid w:val="003C6BBE"/>
    <w:rsid w:val="003C6C9A"/>
    <w:rsid w:val="003C6D51"/>
    <w:rsid w:val="003C6DFE"/>
    <w:rsid w:val="003C6E0C"/>
    <w:rsid w:val="003C6ECE"/>
    <w:rsid w:val="003C70D1"/>
    <w:rsid w:val="003C7107"/>
    <w:rsid w:val="003C7219"/>
    <w:rsid w:val="003C7289"/>
    <w:rsid w:val="003C7345"/>
    <w:rsid w:val="003C73AF"/>
    <w:rsid w:val="003C7430"/>
    <w:rsid w:val="003C74BD"/>
    <w:rsid w:val="003C75AA"/>
    <w:rsid w:val="003C75B4"/>
    <w:rsid w:val="003C76BA"/>
    <w:rsid w:val="003C76BC"/>
    <w:rsid w:val="003C786F"/>
    <w:rsid w:val="003C7891"/>
    <w:rsid w:val="003C78F4"/>
    <w:rsid w:val="003C78FB"/>
    <w:rsid w:val="003C7A47"/>
    <w:rsid w:val="003C7FB8"/>
    <w:rsid w:val="003D0086"/>
    <w:rsid w:val="003D022A"/>
    <w:rsid w:val="003D0230"/>
    <w:rsid w:val="003D0359"/>
    <w:rsid w:val="003D03CB"/>
    <w:rsid w:val="003D0416"/>
    <w:rsid w:val="003D0673"/>
    <w:rsid w:val="003D067F"/>
    <w:rsid w:val="003D068F"/>
    <w:rsid w:val="003D0B07"/>
    <w:rsid w:val="003D0B1D"/>
    <w:rsid w:val="003D0B52"/>
    <w:rsid w:val="003D0D3D"/>
    <w:rsid w:val="003D0E0A"/>
    <w:rsid w:val="003D111C"/>
    <w:rsid w:val="003D126F"/>
    <w:rsid w:val="003D137F"/>
    <w:rsid w:val="003D138C"/>
    <w:rsid w:val="003D1390"/>
    <w:rsid w:val="003D13B3"/>
    <w:rsid w:val="003D143B"/>
    <w:rsid w:val="003D14C1"/>
    <w:rsid w:val="003D1514"/>
    <w:rsid w:val="003D15F2"/>
    <w:rsid w:val="003D16AB"/>
    <w:rsid w:val="003D1717"/>
    <w:rsid w:val="003D179A"/>
    <w:rsid w:val="003D1802"/>
    <w:rsid w:val="003D1837"/>
    <w:rsid w:val="003D18A6"/>
    <w:rsid w:val="003D1921"/>
    <w:rsid w:val="003D1C07"/>
    <w:rsid w:val="003D1C57"/>
    <w:rsid w:val="003D1C83"/>
    <w:rsid w:val="003D1D58"/>
    <w:rsid w:val="003D1FFA"/>
    <w:rsid w:val="003D2203"/>
    <w:rsid w:val="003D2247"/>
    <w:rsid w:val="003D2367"/>
    <w:rsid w:val="003D240F"/>
    <w:rsid w:val="003D25C3"/>
    <w:rsid w:val="003D2677"/>
    <w:rsid w:val="003D2742"/>
    <w:rsid w:val="003D2961"/>
    <w:rsid w:val="003D29C3"/>
    <w:rsid w:val="003D29E6"/>
    <w:rsid w:val="003D2DF4"/>
    <w:rsid w:val="003D2E63"/>
    <w:rsid w:val="003D2E84"/>
    <w:rsid w:val="003D2EF4"/>
    <w:rsid w:val="003D2EF6"/>
    <w:rsid w:val="003D3179"/>
    <w:rsid w:val="003D32E5"/>
    <w:rsid w:val="003D3630"/>
    <w:rsid w:val="003D3664"/>
    <w:rsid w:val="003D37AD"/>
    <w:rsid w:val="003D37E6"/>
    <w:rsid w:val="003D3861"/>
    <w:rsid w:val="003D39CA"/>
    <w:rsid w:val="003D3A0C"/>
    <w:rsid w:val="003D3C28"/>
    <w:rsid w:val="003D3FEC"/>
    <w:rsid w:val="003D4034"/>
    <w:rsid w:val="003D40E0"/>
    <w:rsid w:val="003D42E4"/>
    <w:rsid w:val="003D4358"/>
    <w:rsid w:val="003D4372"/>
    <w:rsid w:val="003D4540"/>
    <w:rsid w:val="003D46AD"/>
    <w:rsid w:val="003D47F9"/>
    <w:rsid w:val="003D48B7"/>
    <w:rsid w:val="003D4972"/>
    <w:rsid w:val="003D49AB"/>
    <w:rsid w:val="003D4A39"/>
    <w:rsid w:val="003D4B12"/>
    <w:rsid w:val="003D4C84"/>
    <w:rsid w:val="003D4CAB"/>
    <w:rsid w:val="003D4D36"/>
    <w:rsid w:val="003D4F3A"/>
    <w:rsid w:val="003D4FDF"/>
    <w:rsid w:val="003D508F"/>
    <w:rsid w:val="003D5196"/>
    <w:rsid w:val="003D5282"/>
    <w:rsid w:val="003D52EB"/>
    <w:rsid w:val="003D5396"/>
    <w:rsid w:val="003D54E2"/>
    <w:rsid w:val="003D55B3"/>
    <w:rsid w:val="003D56A9"/>
    <w:rsid w:val="003D57AF"/>
    <w:rsid w:val="003D57F0"/>
    <w:rsid w:val="003D58C6"/>
    <w:rsid w:val="003D597E"/>
    <w:rsid w:val="003D59D4"/>
    <w:rsid w:val="003D59D7"/>
    <w:rsid w:val="003D59F9"/>
    <w:rsid w:val="003D5A35"/>
    <w:rsid w:val="003D5AE1"/>
    <w:rsid w:val="003D5B1B"/>
    <w:rsid w:val="003D5C60"/>
    <w:rsid w:val="003D5DCE"/>
    <w:rsid w:val="003D5F36"/>
    <w:rsid w:val="003D5FD4"/>
    <w:rsid w:val="003D62D6"/>
    <w:rsid w:val="003D63A0"/>
    <w:rsid w:val="003D671D"/>
    <w:rsid w:val="003D678E"/>
    <w:rsid w:val="003D682F"/>
    <w:rsid w:val="003D686A"/>
    <w:rsid w:val="003D6880"/>
    <w:rsid w:val="003D696F"/>
    <w:rsid w:val="003D6B0D"/>
    <w:rsid w:val="003D6BE8"/>
    <w:rsid w:val="003D6C06"/>
    <w:rsid w:val="003D6CD7"/>
    <w:rsid w:val="003D6D2B"/>
    <w:rsid w:val="003D6D52"/>
    <w:rsid w:val="003D6DB6"/>
    <w:rsid w:val="003D7113"/>
    <w:rsid w:val="003D7150"/>
    <w:rsid w:val="003D770D"/>
    <w:rsid w:val="003D798D"/>
    <w:rsid w:val="003D79DF"/>
    <w:rsid w:val="003D7A2F"/>
    <w:rsid w:val="003D7DCF"/>
    <w:rsid w:val="003D7E27"/>
    <w:rsid w:val="003D7E5F"/>
    <w:rsid w:val="003D7E91"/>
    <w:rsid w:val="003E0195"/>
    <w:rsid w:val="003E0215"/>
    <w:rsid w:val="003E0226"/>
    <w:rsid w:val="003E0287"/>
    <w:rsid w:val="003E04DB"/>
    <w:rsid w:val="003E04F4"/>
    <w:rsid w:val="003E054B"/>
    <w:rsid w:val="003E066E"/>
    <w:rsid w:val="003E06F1"/>
    <w:rsid w:val="003E0847"/>
    <w:rsid w:val="003E08C2"/>
    <w:rsid w:val="003E096A"/>
    <w:rsid w:val="003E09FD"/>
    <w:rsid w:val="003E0A27"/>
    <w:rsid w:val="003E0A7E"/>
    <w:rsid w:val="003E0DD2"/>
    <w:rsid w:val="003E0E27"/>
    <w:rsid w:val="003E1008"/>
    <w:rsid w:val="003E11A1"/>
    <w:rsid w:val="003E161E"/>
    <w:rsid w:val="003E195F"/>
    <w:rsid w:val="003E19B3"/>
    <w:rsid w:val="003E1C18"/>
    <w:rsid w:val="003E1D5D"/>
    <w:rsid w:val="003E1EE4"/>
    <w:rsid w:val="003E1F89"/>
    <w:rsid w:val="003E20BA"/>
    <w:rsid w:val="003E2189"/>
    <w:rsid w:val="003E225B"/>
    <w:rsid w:val="003E2350"/>
    <w:rsid w:val="003E23C8"/>
    <w:rsid w:val="003E23F6"/>
    <w:rsid w:val="003E26A6"/>
    <w:rsid w:val="003E2721"/>
    <w:rsid w:val="003E2AB8"/>
    <w:rsid w:val="003E2BAD"/>
    <w:rsid w:val="003E2D90"/>
    <w:rsid w:val="003E2E44"/>
    <w:rsid w:val="003E3262"/>
    <w:rsid w:val="003E3289"/>
    <w:rsid w:val="003E335B"/>
    <w:rsid w:val="003E33B8"/>
    <w:rsid w:val="003E3453"/>
    <w:rsid w:val="003E352E"/>
    <w:rsid w:val="003E3695"/>
    <w:rsid w:val="003E378A"/>
    <w:rsid w:val="003E38D4"/>
    <w:rsid w:val="003E3902"/>
    <w:rsid w:val="003E3986"/>
    <w:rsid w:val="003E39AC"/>
    <w:rsid w:val="003E39C6"/>
    <w:rsid w:val="003E3A0B"/>
    <w:rsid w:val="003E3DCE"/>
    <w:rsid w:val="003E3E73"/>
    <w:rsid w:val="003E3EA4"/>
    <w:rsid w:val="003E3F40"/>
    <w:rsid w:val="003E4028"/>
    <w:rsid w:val="003E4081"/>
    <w:rsid w:val="003E41E0"/>
    <w:rsid w:val="003E4381"/>
    <w:rsid w:val="003E4416"/>
    <w:rsid w:val="003E4478"/>
    <w:rsid w:val="003E45A1"/>
    <w:rsid w:val="003E47A3"/>
    <w:rsid w:val="003E47C6"/>
    <w:rsid w:val="003E47E2"/>
    <w:rsid w:val="003E4934"/>
    <w:rsid w:val="003E4D19"/>
    <w:rsid w:val="003E4D50"/>
    <w:rsid w:val="003E4D55"/>
    <w:rsid w:val="003E4F73"/>
    <w:rsid w:val="003E4FAA"/>
    <w:rsid w:val="003E503E"/>
    <w:rsid w:val="003E528E"/>
    <w:rsid w:val="003E541A"/>
    <w:rsid w:val="003E5421"/>
    <w:rsid w:val="003E54DD"/>
    <w:rsid w:val="003E553B"/>
    <w:rsid w:val="003E5552"/>
    <w:rsid w:val="003E5617"/>
    <w:rsid w:val="003E5668"/>
    <w:rsid w:val="003E56C6"/>
    <w:rsid w:val="003E5718"/>
    <w:rsid w:val="003E58D9"/>
    <w:rsid w:val="003E5A01"/>
    <w:rsid w:val="003E5A5C"/>
    <w:rsid w:val="003E5AB2"/>
    <w:rsid w:val="003E5B4A"/>
    <w:rsid w:val="003E5BB5"/>
    <w:rsid w:val="003E5D4B"/>
    <w:rsid w:val="003E5DF8"/>
    <w:rsid w:val="003E5F3C"/>
    <w:rsid w:val="003E5FB7"/>
    <w:rsid w:val="003E5FE4"/>
    <w:rsid w:val="003E60D0"/>
    <w:rsid w:val="003E6313"/>
    <w:rsid w:val="003E63A0"/>
    <w:rsid w:val="003E6586"/>
    <w:rsid w:val="003E6699"/>
    <w:rsid w:val="003E66CF"/>
    <w:rsid w:val="003E6721"/>
    <w:rsid w:val="003E69F7"/>
    <w:rsid w:val="003E6B33"/>
    <w:rsid w:val="003E6C79"/>
    <w:rsid w:val="003E6D3B"/>
    <w:rsid w:val="003E6DE3"/>
    <w:rsid w:val="003E6E48"/>
    <w:rsid w:val="003E6EFD"/>
    <w:rsid w:val="003E6FD2"/>
    <w:rsid w:val="003E7029"/>
    <w:rsid w:val="003E7036"/>
    <w:rsid w:val="003E7234"/>
    <w:rsid w:val="003E7290"/>
    <w:rsid w:val="003E7582"/>
    <w:rsid w:val="003E75A1"/>
    <w:rsid w:val="003E7604"/>
    <w:rsid w:val="003E76C1"/>
    <w:rsid w:val="003E7798"/>
    <w:rsid w:val="003E77A3"/>
    <w:rsid w:val="003E7826"/>
    <w:rsid w:val="003E79DF"/>
    <w:rsid w:val="003E7A30"/>
    <w:rsid w:val="003E7A5C"/>
    <w:rsid w:val="003E7B3F"/>
    <w:rsid w:val="003E7CBE"/>
    <w:rsid w:val="003E7F4A"/>
    <w:rsid w:val="003E7F6F"/>
    <w:rsid w:val="003E7FA2"/>
    <w:rsid w:val="003F00C4"/>
    <w:rsid w:val="003F00E5"/>
    <w:rsid w:val="003F0409"/>
    <w:rsid w:val="003F0455"/>
    <w:rsid w:val="003F04DC"/>
    <w:rsid w:val="003F0619"/>
    <w:rsid w:val="003F06C2"/>
    <w:rsid w:val="003F06F0"/>
    <w:rsid w:val="003F07A2"/>
    <w:rsid w:val="003F07BB"/>
    <w:rsid w:val="003F07CC"/>
    <w:rsid w:val="003F091F"/>
    <w:rsid w:val="003F09B9"/>
    <w:rsid w:val="003F0B17"/>
    <w:rsid w:val="003F0C30"/>
    <w:rsid w:val="003F0D2A"/>
    <w:rsid w:val="003F0D77"/>
    <w:rsid w:val="003F0F53"/>
    <w:rsid w:val="003F0F85"/>
    <w:rsid w:val="003F1144"/>
    <w:rsid w:val="003F11DE"/>
    <w:rsid w:val="003F125D"/>
    <w:rsid w:val="003F130F"/>
    <w:rsid w:val="003F16E0"/>
    <w:rsid w:val="003F1799"/>
    <w:rsid w:val="003F17B3"/>
    <w:rsid w:val="003F1928"/>
    <w:rsid w:val="003F1BE0"/>
    <w:rsid w:val="003F1D6D"/>
    <w:rsid w:val="003F1E93"/>
    <w:rsid w:val="003F20E9"/>
    <w:rsid w:val="003F2135"/>
    <w:rsid w:val="003F216B"/>
    <w:rsid w:val="003F21F1"/>
    <w:rsid w:val="003F2312"/>
    <w:rsid w:val="003F2576"/>
    <w:rsid w:val="003F25E6"/>
    <w:rsid w:val="003F2876"/>
    <w:rsid w:val="003F2B69"/>
    <w:rsid w:val="003F2C66"/>
    <w:rsid w:val="003F2D1A"/>
    <w:rsid w:val="003F2E29"/>
    <w:rsid w:val="003F2E53"/>
    <w:rsid w:val="003F2EF0"/>
    <w:rsid w:val="003F2F54"/>
    <w:rsid w:val="003F2FDE"/>
    <w:rsid w:val="003F3046"/>
    <w:rsid w:val="003F3067"/>
    <w:rsid w:val="003F31B9"/>
    <w:rsid w:val="003F3501"/>
    <w:rsid w:val="003F355D"/>
    <w:rsid w:val="003F3611"/>
    <w:rsid w:val="003F36CC"/>
    <w:rsid w:val="003F3774"/>
    <w:rsid w:val="003F38B7"/>
    <w:rsid w:val="003F3930"/>
    <w:rsid w:val="003F395D"/>
    <w:rsid w:val="003F3A97"/>
    <w:rsid w:val="003F3BAD"/>
    <w:rsid w:val="003F3F1B"/>
    <w:rsid w:val="003F415E"/>
    <w:rsid w:val="003F41C1"/>
    <w:rsid w:val="003F423D"/>
    <w:rsid w:val="003F429F"/>
    <w:rsid w:val="003F43B4"/>
    <w:rsid w:val="003F4487"/>
    <w:rsid w:val="003F4755"/>
    <w:rsid w:val="003F4894"/>
    <w:rsid w:val="003F4926"/>
    <w:rsid w:val="003F4954"/>
    <w:rsid w:val="003F4C9D"/>
    <w:rsid w:val="003F4D3B"/>
    <w:rsid w:val="003F4D8F"/>
    <w:rsid w:val="003F4D9D"/>
    <w:rsid w:val="003F4E2C"/>
    <w:rsid w:val="003F4E67"/>
    <w:rsid w:val="003F4E69"/>
    <w:rsid w:val="003F5052"/>
    <w:rsid w:val="003F50C0"/>
    <w:rsid w:val="003F50C8"/>
    <w:rsid w:val="003F51B0"/>
    <w:rsid w:val="003F520D"/>
    <w:rsid w:val="003F5244"/>
    <w:rsid w:val="003F527E"/>
    <w:rsid w:val="003F5447"/>
    <w:rsid w:val="003F54F7"/>
    <w:rsid w:val="003F5667"/>
    <w:rsid w:val="003F56C3"/>
    <w:rsid w:val="003F58DA"/>
    <w:rsid w:val="003F5928"/>
    <w:rsid w:val="003F59C1"/>
    <w:rsid w:val="003F59DA"/>
    <w:rsid w:val="003F5A1B"/>
    <w:rsid w:val="003F5B01"/>
    <w:rsid w:val="003F5B70"/>
    <w:rsid w:val="003F5C6B"/>
    <w:rsid w:val="003F5D14"/>
    <w:rsid w:val="003F5D3B"/>
    <w:rsid w:val="003F5E40"/>
    <w:rsid w:val="003F6012"/>
    <w:rsid w:val="003F60B5"/>
    <w:rsid w:val="003F6120"/>
    <w:rsid w:val="003F614A"/>
    <w:rsid w:val="003F6201"/>
    <w:rsid w:val="003F633B"/>
    <w:rsid w:val="003F63E3"/>
    <w:rsid w:val="003F6554"/>
    <w:rsid w:val="003F674F"/>
    <w:rsid w:val="003F69D2"/>
    <w:rsid w:val="003F6B6F"/>
    <w:rsid w:val="003F6B8B"/>
    <w:rsid w:val="003F6D2A"/>
    <w:rsid w:val="003F6EC5"/>
    <w:rsid w:val="003F71B4"/>
    <w:rsid w:val="003F71D9"/>
    <w:rsid w:val="003F73AE"/>
    <w:rsid w:val="003F74B0"/>
    <w:rsid w:val="003F75CB"/>
    <w:rsid w:val="003F7638"/>
    <w:rsid w:val="003F764E"/>
    <w:rsid w:val="003F776B"/>
    <w:rsid w:val="003F7893"/>
    <w:rsid w:val="003F7905"/>
    <w:rsid w:val="003F7EEA"/>
    <w:rsid w:val="0040006A"/>
    <w:rsid w:val="00400134"/>
    <w:rsid w:val="004001C6"/>
    <w:rsid w:val="00400241"/>
    <w:rsid w:val="0040029D"/>
    <w:rsid w:val="0040034E"/>
    <w:rsid w:val="0040036B"/>
    <w:rsid w:val="004003D0"/>
    <w:rsid w:val="00400465"/>
    <w:rsid w:val="00400523"/>
    <w:rsid w:val="004006EF"/>
    <w:rsid w:val="00400714"/>
    <w:rsid w:val="0040073E"/>
    <w:rsid w:val="00400902"/>
    <w:rsid w:val="00400943"/>
    <w:rsid w:val="00400AAB"/>
    <w:rsid w:val="00400E77"/>
    <w:rsid w:val="0040112D"/>
    <w:rsid w:val="0040117F"/>
    <w:rsid w:val="004013C5"/>
    <w:rsid w:val="004013DD"/>
    <w:rsid w:val="004016E4"/>
    <w:rsid w:val="004017B2"/>
    <w:rsid w:val="0040181E"/>
    <w:rsid w:val="00401870"/>
    <w:rsid w:val="004018F3"/>
    <w:rsid w:val="0040190D"/>
    <w:rsid w:val="00401931"/>
    <w:rsid w:val="00401A79"/>
    <w:rsid w:val="00401BF6"/>
    <w:rsid w:val="00401D65"/>
    <w:rsid w:val="00401DB7"/>
    <w:rsid w:val="00401E82"/>
    <w:rsid w:val="00401F18"/>
    <w:rsid w:val="0040203D"/>
    <w:rsid w:val="00402074"/>
    <w:rsid w:val="004020F2"/>
    <w:rsid w:val="0040218C"/>
    <w:rsid w:val="004021E5"/>
    <w:rsid w:val="00402383"/>
    <w:rsid w:val="004023F0"/>
    <w:rsid w:val="00402434"/>
    <w:rsid w:val="004024AB"/>
    <w:rsid w:val="004024D4"/>
    <w:rsid w:val="0040255F"/>
    <w:rsid w:val="004025A3"/>
    <w:rsid w:val="0040269D"/>
    <w:rsid w:val="004029B8"/>
    <w:rsid w:val="00402A64"/>
    <w:rsid w:val="00402B1B"/>
    <w:rsid w:val="00402B49"/>
    <w:rsid w:val="00402B5C"/>
    <w:rsid w:val="00402BC9"/>
    <w:rsid w:val="00402CB3"/>
    <w:rsid w:val="00402E18"/>
    <w:rsid w:val="00402EF5"/>
    <w:rsid w:val="00403061"/>
    <w:rsid w:val="0040315E"/>
    <w:rsid w:val="0040315F"/>
    <w:rsid w:val="004031FA"/>
    <w:rsid w:val="004034BF"/>
    <w:rsid w:val="00403513"/>
    <w:rsid w:val="004035A3"/>
    <w:rsid w:val="004035AF"/>
    <w:rsid w:val="0040365E"/>
    <w:rsid w:val="00403883"/>
    <w:rsid w:val="00403A39"/>
    <w:rsid w:val="00403A9C"/>
    <w:rsid w:val="00403ACD"/>
    <w:rsid w:val="00403AD0"/>
    <w:rsid w:val="00403B52"/>
    <w:rsid w:val="00403BA1"/>
    <w:rsid w:val="00403CF7"/>
    <w:rsid w:val="00403E99"/>
    <w:rsid w:val="004040E4"/>
    <w:rsid w:val="00404129"/>
    <w:rsid w:val="00404139"/>
    <w:rsid w:val="00404240"/>
    <w:rsid w:val="0040428E"/>
    <w:rsid w:val="0040473F"/>
    <w:rsid w:val="00404757"/>
    <w:rsid w:val="00404881"/>
    <w:rsid w:val="004048BC"/>
    <w:rsid w:val="00404971"/>
    <w:rsid w:val="004049EE"/>
    <w:rsid w:val="00404AB7"/>
    <w:rsid w:val="00404B02"/>
    <w:rsid w:val="00404BA3"/>
    <w:rsid w:val="00404CCD"/>
    <w:rsid w:val="00404DB5"/>
    <w:rsid w:val="00404DB9"/>
    <w:rsid w:val="00404EB6"/>
    <w:rsid w:val="00404FBE"/>
    <w:rsid w:val="00404FE1"/>
    <w:rsid w:val="00405009"/>
    <w:rsid w:val="00405033"/>
    <w:rsid w:val="004050F1"/>
    <w:rsid w:val="0040513F"/>
    <w:rsid w:val="00405601"/>
    <w:rsid w:val="004056AB"/>
    <w:rsid w:val="00405703"/>
    <w:rsid w:val="0040593C"/>
    <w:rsid w:val="00405AEC"/>
    <w:rsid w:val="00405B7A"/>
    <w:rsid w:val="00405C59"/>
    <w:rsid w:val="00405CBD"/>
    <w:rsid w:val="00405D1B"/>
    <w:rsid w:val="0040630C"/>
    <w:rsid w:val="00406355"/>
    <w:rsid w:val="004063F5"/>
    <w:rsid w:val="00406468"/>
    <w:rsid w:val="00406676"/>
    <w:rsid w:val="00406809"/>
    <w:rsid w:val="00406992"/>
    <w:rsid w:val="00406B13"/>
    <w:rsid w:val="00406B8B"/>
    <w:rsid w:val="00406C83"/>
    <w:rsid w:val="00406FC5"/>
    <w:rsid w:val="0040713C"/>
    <w:rsid w:val="00407161"/>
    <w:rsid w:val="004071E9"/>
    <w:rsid w:val="00407513"/>
    <w:rsid w:val="0040774A"/>
    <w:rsid w:val="00407756"/>
    <w:rsid w:val="004077AA"/>
    <w:rsid w:val="0040780D"/>
    <w:rsid w:val="0040787E"/>
    <w:rsid w:val="0040788E"/>
    <w:rsid w:val="00407913"/>
    <w:rsid w:val="004079D7"/>
    <w:rsid w:val="00407A6F"/>
    <w:rsid w:val="00407BC7"/>
    <w:rsid w:val="00407C1B"/>
    <w:rsid w:val="00407C39"/>
    <w:rsid w:val="00407F82"/>
    <w:rsid w:val="00410030"/>
    <w:rsid w:val="00410070"/>
    <w:rsid w:val="00410139"/>
    <w:rsid w:val="00410269"/>
    <w:rsid w:val="004103DD"/>
    <w:rsid w:val="004106FB"/>
    <w:rsid w:val="0041083C"/>
    <w:rsid w:val="00410A02"/>
    <w:rsid w:val="00410BDF"/>
    <w:rsid w:val="00410E05"/>
    <w:rsid w:val="00410F35"/>
    <w:rsid w:val="004110EC"/>
    <w:rsid w:val="004110F4"/>
    <w:rsid w:val="004111EE"/>
    <w:rsid w:val="004112B5"/>
    <w:rsid w:val="00411433"/>
    <w:rsid w:val="0041143E"/>
    <w:rsid w:val="0041161C"/>
    <w:rsid w:val="004116C2"/>
    <w:rsid w:val="004116C8"/>
    <w:rsid w:val="00411AEA"/>
    <w:rsid w:val="00411B1C"/>
    <w:rsid w:val="00411BD1"/>
    <w:rsid w:val="00411CD3"/>
    <w:rsid w:val="00412003"/>
    <w:rsid w:val="004121AF"/>
    <w:rsid w:val="004122A2"/>
    <w:rsid w:val="004122D0"/>
    <w:rsid w:val="00412370"/>
    <w:rsid w:val="00412394"/>
    <w:rsid w:val="00412512"/>
    <w:rsid w:val="00412770"/>
    <w:rsid w:val="00412837"/>
    <w:rsid w:val="0041286E"/>
    <w:rsid w:val="00412935"/>
    <w:rsid w:val="00412D01"/>
    <w:rsid w:val="00413180"/>
    <w:rsid w:val="004132CA"/>
    <w:rsid w:val="0041334A"/>
    <w:rsid w:val="004134A7"/>
    <w:rsid w:val="004135BB"/>
    <w:rsid w:val="00413689"/>
    <w:rsid w:val="0041368C"/>
    <w:rsid w:val="00413696"/>
    <w:rsid w:val="0041376C"/>
    <w:rsid w:val="00413808"/>
    <w:rsid w:val="00413872"/>
    <w:rsid w:val="00413919"/>
    <w:rsid w:val="00413946"/>
    <w:rsid w:val="00413A56"/>
    <w:rsid w:val="00413B16"/>
    <w:rsid w:val="00413B2B"/>
    <w:rsid w:val="00413D21"/>
    <w:rsid w:val="00413F0F"/>
    <w:rsid w:val="004141CE"/>
    <w:rsid w:val="004142F3"/>
    <w:rsid w:val="00414669"/>
    <w:rsid w:val="00414715"/>
    <w:rsid w:val="004147AD"/>
    <w:rsid w:val="004147F4"/>
    <w:rsid w:val="0041480B"/>
    <w:rsid w:val="00414973"/>
    <w:rsid w:val="004149DB"/>
    <w:rsid w:val="00414A58"/>
    <w:rsid w:val="00414BC9"/>
    <w:rsid w:val="00414C74"/>
    <w:rsid w:val="00414CCE"/>
    <w:rsid w:val="00414D92"/>
    <w:rsid w:val="00414D9A"/>
    <w:rsid w:val="00414E2E"/>
    <w:rsid w:val="00414ECC"/>
    <w:rsid w:val="00415012"/>
    <w:rsid w:val="004150EE"/>
    <w:rsid w:val="00415115"/>
    <w:rsid w:val="0041519D"/>
    <w:rsid w:val="0041526B"/>
    <w:rsid w:val="00415271"/>
    <w:rsid w:val="00415475"/>
    <w:rsid w:val="004154D7"/>
    <w:rsid w:val="004155C2"/>
    <w:rsid w:val="0041597C"/>
    <w:rsid w:val="0041598D"/>
    <w:rsid w:val="00415A26"/>
    <w:rsid w:val="00415A80"/>
    <w:rsid w:val="00415B2E"/>
    <w:rsid w:val="00415B4F"/>
    <w:rsid w:val="00415E60"/>
    <w:rsid w:val="00415F0F"/>
    <w:rsid w:val="00415FA0"/>
    <w:rsid w:val="004161BF"/>
    <w:rsid w:val="0041625D"/>
    <w:rsid w:val="004162D6"/>
    <w:rsid w:val="0041631D"/>
    <w:rsid w:val="004164F8"/>
    <w:rsid w:val="00416888"/>
    <w:rsid w:val="004168B0"/>
    <w:rsid w:val="00416906"/>
    <w:rsid w:val="00416AA5"/>
    <w:rsid w:val="00416B72"/>
    <w:rsid w:val="00416D86"/>
    <w:rsid w:val="00416DCC"/>
    <w:rsid w:val="00416E4A"/>
    <w:rsid w:val="00416F29"/>
    <w:rsid w:val="0041705E"/>
    <w:rsid w:val="0041707D"/>
    <w:rsid w:val="0041745B"/>
    <w:rsid w:val="0041748D"/>
    <w:rsid w:val="004177CC"/>
    <w:rsid w:val="0041788F"/>
    <w:rsid w:val="004178A8"/>
    <w:rsid w:val="00417A2F"/>
    <w:rsid w:val="00417A52"/>
    <w:rsid w:val="00417C69"/>
    <w:rsid w:val="00417DAE"/>
    <w:rsid w:val="00417DFD"/>
    <w:rsid w:val="00420195"/>
    <w:rsid w:val="004202CC"/>
    <w:rsid w:val="00420352"/>
    <w:rsid w:val="00420370"/>
    <w:rsid w:val="00420429"/>
    <w:rsid w:val="004204C3"/>
    <w:rsid w:val="00420656"/>
    <w:rsid w:val="004206F2"/>
    <w:rsid w:val="004208A0"/>
    <w:rsid w:val="00420A43"/>
    <w:rsid w:val="00420A97"/>
    <w:rsid w:val="00420AB7"/>
    <w:rsid w:val="00420B24"/>
    <w:rsid w:val="00420BDA"/>
    <w:rsid w:val="00420CD9"/>
    <w:rsid w:val="00420D29"/>
    <w:rsid w:val="00420DC0"/>
    <w:rsid w:val="00420E0F"/>
    <w:rsid w:val="00420E1B"/>
    <w:rsid w:val="00420E78"/>
    <w:rsid w:val="00420FF5"/>
    <w:rsid w:val="004210C3"/>
    <w:rsid w:val="0042126F"/>
    <w:rsid w:val="0042145B"/>
    <w:rsid w:val="0042166F"/>
    <w:rsid w:val="00421772"/>
    <w:rsid w:val="004217AD"/>
    <w:rsid w:val="004217CE"/>
    <w:rsid w:val="00421959"/>
    <w:rsid w:val="00421B58"/>
    <w:rsid w:val="00421F64"/>
    <w:rsid w:val="00422065"/>
    <w:rsid w:val="004220BE"/>
    <w:rsid w:val="004220D0"/>
    <w:rsid w:val="00422216"/>
    <w:rsid w:val="004225DB"/>
    <w:rsid w:val="00422732"/>
    <w:rsid w:val="004227D7"/>
    <w:rsid w:val="004227FF"/>
    <w:rsid w:val="00422839"/>
    <w:rsid w:val="00422962"/>
    <w:rsid w:val="00422B55"/>
    <w:rsid w:val="00422C6C"/>
    <w:rsid w:val="00422C8E"/>
    <w:rsid w:val="00422D33"/>
    <w:rsid w:val="00422D4A"/>
    <w:rsid w:val="00422E1F"/>
    <w:rsid w:val="00422EF8"/>
    <w:rsid w:val="004230A4"/>
    <w:rsid w:val="00423199"/>
    <w:rsid w:val="004232FE"/>
    <w:rsid w:val="00423479"/>
    <w:rsid w:val="004236C4"/>
    <w:rsid w:val="004236EB"/>
    <w:rsid w:val="004239FD"/>
    <w:rsid w:val="00423B5A"/>
    <w:rsid w:val="00423B5C"/>
    <w:rsid w:val="00423BD2"/>
    <w:rsid w:val="00423C56"/>
    <w:rsid w:val="00423C84"/>
    <w:rsid w:val="00423DE3"/>
    <w:rsid w:val="00423E09"/>
    <w:rsid w:val="00423FE7"/>
    <w:rsid w:val="00424016"/>
    <w:rsid w:val="004241B0"/>
    <w:rsid w:val="0042426D"/>
    <w:rsid w:val="00424349"/>
    <w:rsid w:val="00424667"/>
    <w:rsid w:val="004246CC"/>
    <w:rsid w:val="0042470A"/>
    <w:rsid w:val="004248E0"/>
    <w:rsid w:val="0042491A"/>
    <w:rsid w:val="00424938"/>
    <w:rsid w:val="0042494C"/>
    <w:rsid w:val="00424A9E"/>
    <w:rsid w:val="00424C61"/>
    <w:rsid w:val="00424D4E"/>
    <w:rsid w:val="00424E97"/>
    <w:rsid w:val="00424EB2"/>
    <w:rsid w:val="004251CB"/>
    <w:rsid w:val="004254F6"/>
    <w:rsid w:val="00425501"/>
    <w:rsid w:val="00425565"/>
    <w:rsid w:val="00425610"/>
    <w:rsid w:val="00425689"/>
    <w:rsid w:val="004257E5"/>
    <w:rsid w:val="004258FD"/>
    <w:rsid w:val="004259BE"/>
    <w:rsid w:val="00425A58"/>
    <w:rsid w:val="00425C2B"/>
    <w:rsid w:val="00425C8E"/>
    <w:rsid w:val="00425DDE"/>
    <w:rsid w:val="00425E1C"/>
    <w:rsid w:val="00425EB0"/>
    <w:rsid w:val="00425F01"/>
    <w:rsid w:val="00425FD8"/>
    <w:rsid w:val="00425FF7"/>
    <w:rsid w:val="00426006"/>
    <w:rsid w:val="0042619C"/>
    <w:rsid w:val="00426356"/>
    <w:rsid w:val="004264E1"/>
    <w:rsid w:val="00426539"/>
    <w:rsid w:val="00426635"/>
    <w:rsid w:val="00426739"/>
    <w:rsid w:val="0042675C"/>
    <w:rsid w:val="004267A5"/>
    <w:rsid w:val="00426992"/>
    <w:rsid w:val="004269D4"/>
    <w:rsid w:val="00426A77"/>
    <w:rsid w:val="00426B5B"/>
    <w:rsid w:val="00426B96"/>
    <w:rsid w:val="00426FFD"/>
    <w:rsid w:val="0042728F"/>
    <w:rsid w:val="004274A1"/>
    <w:rsid w:val="004275C0"/>
    <w:rsid w:val="004275D3"/>
    <w:rsid w:val="0042762B"/>
    <w:rsid w:val="00427692"/>
    <w:rsid w:val="00427854"/>
    <w:rsid w:val="0042793D"/>
    <w:rsid w:val="004279D9"/>
    <w:rsid w:val="00427B16"/>
    <w:rsid w:val="00427BB7"/>
    <w:rsid w:val="00427CB7"/>
    <w:rsid w:val="00427E34"/>
    <w:rsid w:val="004300B0"/>
    <w:rsid w:val="0043034E"/>
    <w:rsid w:val="004303A5"/>
    <w:rsid w:val="00430479"/>
    <w:rsid w:val="00430516"/>
    <w:rsid w:val="0043064E"/>
    <w:rsid w:val="00430673"/>
    <w:rsid w:val="00430803"/>
    <w:rsid w:val="0043082C"/>
    <w:rsid w:val="00430A1C"/>
    <w:rsid w:val="00430A54"/>
    <w:rsid w:val="00430EFF"/>
    <w:rsid w:val="00430F0E"/>
    <w:rsid w:val="00430F47"/>
    <w:rsid w:val="00431047"/>
    <w:rsid w:val="00431166"/>
    <w:rsid w:val="004311B0"/>
    <w:rsid w:val="004311DE"/>
    <w:rsid w:val="00431233"/>
    <w:rsid w:val="004312E1"/>
    <w:rsid w:val="004313EE"/>
    <w:rsid w:val="00431754"/>
    <w:rsid w:val="0043179B"/>
    <w:rsid w:val="00431869"/>
    <w:rsid w:val="00431F9F"/>
    <w:rsid w:val="00432172"/>
    <w:rsid w:val="00432207"/>
    <w:rsid w:val="004323D7"/>
    <w:rsid w:val="004324FD"/>
    <w:rsid w:val="00432716"/>
    <w:rsid w:val="0043276D"/>
    <w:rsid w:val="004327E0"/>
    <w:rsid w:val="00432813"/>
    <w:rsid w:val="0043289B"/>
    <w:rsid w:val="00432967"/>
    <w:rsid w:val="0043296C"/>
    <w:rsid w:val="004329FD"/>
    <w:rsid w:val="00432C3C"/>
    <w:rsid w:val="00432CAD"/>
    <w:rsid w:val="00432F9B"/>
    <w:rsid w:val="00433356"/>
    <w:rsid w:val="0043337B"/>
    <w:rsid w:val="004333BA"/>
    <w:rsid w:val="00433485"/>
    <w:rsid w:val="004334E7"/>
    <w:rsid w:val="0043351C"/>
    <w:rsid w:val="00433600"/>
    <w:rsid w:val="004337E4"/>
    <w:rsid w:val="004338F3"/>
    <w:rsid w:val="0043399C"/>
    <w:rsid w:val="00433B27"/>
    <w:rsid w:val="00433B4A"/>
    <w:rsid w:val="00433C29"/>
    <w:rsid w:val="00433DCB"/>
    <w:rsid w:val="00433E9E"/>
    <w:rsid w:val="00433F71"/>
    <w:rsid w:val="00433FEF"/>
    <w:rsid w:val="00434067"/>
    <w:rsid w:val="004341C2"/>
    <w:rsid w:val="0043422E"/>
    <w:rsid w:val="004342A7"/>
    <w:rsid w:val="004342B0"/>
    <w:rsid w:val="00434337"/>
    <w:rsid w:val="004343CB"/>
    <w:rsid w:val="004344AE"/>
    <w:rsid w:val="00434702"/>
    <w:rsid w:val="00434816"/>
    <w:rsid w:val="004348A2"/>
    <w:rsid w:val="0043491F"/>
    <w:rsid w:val="00434973"/>
    <w:rsid w:val="00434A97"/>
    <w:rsid w:val="00434B02"/>
    <w:rsid w:val="00434C95"/>
    <w:rsid w:val="00434D3A"/>
    <w:rsid w:val="00434EC3"/>
    <w:rsid w:val="00434EDE"/>
    <w:rsid w:val="004350D0"/>
    <w:rsid w:val="0043522D"/>
    <w:rsid w:val="0043542F"/>
    <w:rsid w:val="00435565"/>
    <w:rsid w:val="004355BF"/>
    <w:rsid w:val="004356AE"/>
    <w:rsid w:val="00435756"/>
    <w:rsid w:val="0043575D"/>
    <w:rsid w:val="00435897"/>
    <w:rsid w:val="004358FE"/>
    <w:rsid w:val="00435AD4"/>
    <w:rsid w:val="00435CD3"/>
    <w:rsid w:val="00435D61"/>
    <w:rsid w:val="00435E46"/>
    <w:rsid w:val="00435E72"/>
    <w:rsid w:val="00435FBF"/>
    <w:rsid w:val="00436304"/>
    <w:rsid w:val="004363BE"/>
    <w:rsid w:val="0043654B"/>
    <w:rsid w:val="00436552"/>
    <w:rsid w:val="00436555"/>
    <w:rsid w:val="0043668A"/>
    <w:rsid w:val="00436812"/>
    <w:rsid w:val="0043687F"/>
    <w:rsid w:val="00436896"/>
    <w:rsid w:val="0043692A"/>
    <w:rsid w:val="00436B5E"/>
    <w:rsid w:val="00436C75"/>
    <w:rsid w:val="00436D29"/>
    <w:rsid w:val="00436E55"/>
    <w:rsid w:val="00436E89"/>
    <w:rsid w:val="00436EC0"/>
    <w:rsid w:val="00436EE0"/>
    <w:rsid w:val="00437445"/>
    <w:rsid w:val="00437547"/>
    <w:rsid w:val="00437583"/>
    <w:rsid w:val="004376FC"/>
    <w:rsid w:val="0043790D"/>
    <w:rsid w:val="00437932"/>
    <w:rsid w:val="00437A61"/>
    <w:rsid w:val="00437BEB"/>
    <w:rsid w:val="00437C14"/>
    <w:rsid w:val="00437CC7"/>
    <w:rsid w:val="00437E6F"/>
    <w:rsid w:val="00437EA7"/>
    <w:rsid w:val="00437F4D"/>
    <w:rsid w:val="0044000C"/>
    <w:rsid w:val="00440071"/>
    <w:rsid w:val="00440132"/>
    <w:rsid w:val="004401B2"/>
    <w:rsid w:val="00440385"/>
    <w:rsid w:val="00440599"/>
    <w:rsid w:val="0044091B"/>
    <w:rsid w:val="00440C17"/>
    <w:rsid w:val="00440CEB"/>
    <w:rsid w:val="00440D7E"/>
    <w:rsid w:val="00440FE6"/>
    <w:rsid w:val="00440FFB"/>
    <w:rsid w:val="00441006"/>
    <w:rsid w:val="00441194"/>
    <w:rsid w:val="0044119C"/>
    <w:rsid w:val="00441310"/>
    <w:rsid w:val="004416AC"/>
    <w:rsid w:val="0044176A"/>
    <w:rsid w:val="004417B0"/>
    <w:rsid w:val="00441A0D"/>
    <w:rsid w:val="00441AD0"/>
    <w:rsid w:val="00441CDD"/>
    <w:rsid w:val="00441D51"/>
    <w:rsid w:val="00441DBB"/>
    <w:rsid w:val="00441E8D"/>
    <w:rsid w:val="00441EDB"/>
    <w:rsid w:val="00441F04"/>
    <w:rsid w:val="00441FD4"/>
    <w:rsid w:val="004420F4"/>
    <w:rsid w:val="00442137"/>
    <w:rsid w:val="004421CF"/>
    <w:rsid w:val="004421D7"/>
    <w:rsid w:val="0044226B"/>
    <w:rsid w:val="004423E1"/>
    <w:rsid w:val="004426A2"/>
    <w:rsid w:val="004426F4"/>
    <w:rsid w:val="00442747"/>
    <w:rsid w:val="00442758"/>
    <w:rsid w:val="00442780"/>
    <w:rsid w:val="00442922"/>
    <w:rsid w:val="00442A42"/>
    <w:rsid w:val="00442AF6"/>
    <w:rsid w:val="00442CD2"/>
    <w:rsid w:val="00442CF0"/>
    <w:rsid w:val="00442F49"/>
    <w:rsid w:val="00442FBB"/>
    <w:rsid w:val="00442FE8"/>
    <w:rsid w:val="00443075"/>
    <w:rsid w:val="0044316B"/>
    <w:rsid w:val="004431F5"/>
    <w:rsid w:val="00443266"/>
    <w:rsid w:val="00443338"/>
    <w:rsid w:val="00443356"/>
    <w:rsid w:val="004435B8"/>
    <w:rsid w:val="004436FF"/>
    <w:rsid w:val="00443734"/>
    <w:rsid w:val="00443764"/>
    <w:rsid w:val="004437E7"/>
    <w:rsid w:val="00443879"/>
    <w:rsid w:val="004438D5"/>
    <w:rsid w:val="00443AD0"/>
    <w:rsid w:val="00443B24"/>
    <w:rsid w:val="00443BB0"/>
    <w:rsid w:val="00443DE9"/>
    <w:rsid w:val="00443EBB"/>
    <w:rsid w:val="00443EDE"/>
    <w:rsid w:val="00443EF9"/>
    <w:rsid w:val="00443F5D"/>
    <w:rsid w:val="0044411B"/>
    <w:rsid w:val="00444144"/>
    <w:rsid w:val="004441E2"/>
    <w:rsid w:val="00444255"/>
    <w:rsid w:val="0044427C"/>
    <w:rsid w:val="0044435C"/>
    <w:rsid w:val="004443ED"/>
    <w:rsid w:val="00444453"/>
    <w:rsid w:val="004444B2"/>
    <w:rsid w:val="004448D8"/>
    <w:rsid w:val="00444ADA"/>
    <w:rsid w:val="00444BE8"/>
    <w:rsid w:val="00444D1C"/>
    <w:rsid w:val="00444D2B"/>
    <w:rsid w:val="00444DC0"/>
    <w:rsid w:val="00444EBC"/>
    <w:rsid w:val="0044501D"/>
    <w:rsid w:val="0044509C"/>
    <w:rsid w:val="004451FB"/>
    <w:rsid w:val="00445308"/>
    <w:rsid w:val="00445459"/>
    <w:rsid w:val="00445485"/>
    <w:rsid w:val="004455C8"/>
    <w:rsid w:val="004455CE"/>
    <w:rsid w:val="00445635"/>
    <w:rsid w:val="0044570C"/>
    <w:rsid w:val="004457E8"/>
    <w:rsid w:val="00445854"/>
    <w:rsid w:val="00445A04"/>
    <w:rsid w:val="00445B23"/>
    <w:rsid w:val="00445C17"/>
    <w:rsid w:val="00445C27"/>
    <w:rsid w:val="00445C87"/>
    <w:rsid w:val="00445D03"/>
    <w:rsid w:val="00445E68"/>
    <w:rsid w:val="00445E78"/>
    <w:rsid w:val="00445ECB"/>
    <w:rsid w:val="00445F93"/>
    <w:rsid w:val="00445FD4"/>
    <w:rsid w:val="00446024"/>
    <w:rsid w:val="00446050"/>
    <w:rsid w:val="0044625D"/>
    <w:rsid w:val="00446495"/>
    <w:rsid w:val="0044659D"/>
    <w:rsid w:val="0044662A"/>
    <w:rsid w:val="004466A4"/>
    <w:rsid w:val="00446825"/>
    <w:rsid w:val="004468FA"/>
    <w:rsid w:val="00446A4C"/>
    <w:rsid w:val="00446B44"/>
    <w:rsid w:val="00446BD2"/>
    <w:rsid w:val="00446C5C"/>
    <w:rsid w:val="00446D04"/>
    <w:rsid w:val="00446EDC"/>
    <w:rsid w:val="00446F76"/>
    <w:rsid w:val="00446FAD"/>
    <w:rsid w:val="0044734C"/>
    <w:rsid w:val="00447459"/>
    <w:rsid w:val="00447460"/>
    <w:rsid w:val="00447485"/>
    <w:rsid w:val="004475EB"/>
    <w:rsid w:val="00447655"/>
    <w:rsid w:val="00447739"/>
    <w:rsid w:val="00447758"/>
    <w:rsid w:val="004478E4"/>
    <w:rsid w:val="00447906"/>
    <w:rsid w:val="0044794F"/>
    <w:rsid w:val="0044797E"/>
    <w:rsid w:val="0044799D"/>
    <w:rsid w:val="00447B0C"/>
    <w:rsid w:val="00447B23"/>
    <w:rsid w:val="00447B36"/>
    <w:rsid w:val="00447C75"/>
    <w:rsid w:val="00447E60"/>
    <w:rsid w:val="00447F24"/>
    <w:rsid w:val="004500DE"/>
    <w:rsid w:val="00450223"/>
    <w:rsid w:val="0045032B"/>
    <w:rsid w:val="00450355"/>
    <w:rsid w:val="0045038F"/>
    <w:rsid w:val="00450399"/>
    <w:rsid w:val="004503E1"/>
    <w:rsid w:val="00450465"/>
    <w:rsid w:val="00450506"/>
    <w:rsid w:val="0045051D"/>
    <w:rsid w:val="004505B0"/>
    <w:rsid w:val="004505C4"/>
    <w:rsid w:val="004505D2"/>
    <w:rsid w:val="00450611"/>
    <w:rsid w:val="0045063D"/>
    <w:rsid w:val="004506B3"/>
    <w:rsid w:val="00450735"/>
    <w:rsid w:val="004507C0"/>
    <w:rsid w:val="004507D1"/>
    <w:rsid w:val="00450978"/>
    <w:rsid w:val="00450A88"/>
    <w:rsid w:val="00450B65"/>
    <w:rsid w:val="00450B83"/>
    <w:rsid w:val="00450C0F"/>
    <w:rsid w:val="00450C89"/>
    <w:rsid w:val="00450CA9"/>
    <w:rsid w:val="00450CCF"/>
    <w:rsid w:val="00450EF6"/>
    <w:rsid w:val="00450FAB"/>
    <w:rsid w:val="00451073"/>
    <w:rsid w:val="00451545"/>
    <w:rsid w:val="004515D8"/>
    <w:rsid w:val="0045164B"/>
    <w:rsid w:val="004517F8"/>
    <w:rsid w:val="00451844"/>
    <w:rsid w:val="00451907"/>
    <w:rsid w:val="00451D2F"/>
    <w:rsid w:val="00451F0E"/>
    <w:rsid w:val="00451FA1"/>
    <w:rsid w:val="00451FC2"/>
    <w:rsid w:val="0045200A"/>
    <w:rsid w:val="0045209A"/>
    <w:rsid w:val="00452256"/>
    <w:rsid w:val="004522F6"/>
    <w:rsid w:val="0045230A"/>
    <w:rsid w:val="00452450"/>
    <w:rsid w:val="00452496"/>
    <w:rsid w:val="004524DF"/>
    <w:rsid w:val="004526F6"/>
    <w:rsid w:val="00452727"/>
    <w:rsid w:val="00452842"/>
    <w:rsid w:val="00452B2B"/>
    <w:rsid w:val="00452B76"/>
    <w:rsid w:val="00452C2F"/>
    <w:rsid w:val="00452DC4"/>
    <w:rsid w:val="00452F95"/>
    <w:rsid w:val="00452FB1"/>
    <w:rsid w:val="00453035"/>
    <w:rsid w:val="0045314A"/>
    <w:rsid w:val="00453158"/>
    <w:rsid w:val="00453165"/>
    <w:rsid w:val="004531B5"/>
    <w:rsid w:val="004531D2"/>
    <w:rsid w:val="004532CB"/>
    <w:rsid w:val="0045339D"/>
    <w:rsid w:val="004533DA"/>
    <w:rsid w:val="00453487"/>
    <w:rsid w:val="004534A6"/>
    <w:rsid w:val="004534A7"/>
    <w:rsid w:val="004536F4"/>
    <w:rsid w:val="0045377C"/>
    <w:rsid w:val="004537DC"/>
    <w:rsid w:val="004537EC"/>
    <w:rsid w:val="00453A27"/>
    <w:rsid w:val="00453AF1"/>
    <w:rsid w:val="00453B13"/>
    <w:rsid w:val="0045418A"/>
    <w:rsid w:val="004541E2"/>
    <w:rsid w:val="00454412"/>
    <w:rsid w:val="00454482"/>
    <w:rsid w:val="004544BD"/>
    <w:rsid w:val="00454589"/>
    <w:rsid w:val="00454677"/>
    <w:rsid w:val="00454810"/>
    <w:rsid w:val="00454A00"/>
    <w:rsid w:val="00454AA5"/>
    <w:rsid w:val="00454AE5"/>
    <w:rsid w:val="00454B3B"/>
    <w:rsid w:val="00454C11"/>
    <w:rsid w:val="00454C73"/>
    <w:rsid w:val="00454CED"/>
    <w:rsid w:val="00454E83"/>
    <w:rsid w:val="00454FA5"/>
    <w:rsid w:val="00455219"/>
    <w:rsid w:val="00455267"/>
    <w:rsid w:val="004553F7"/>
    <w:rsid w:val="004554A2"/>
    <w:rsid w:val="004555AF"/>
    <w:rsid w:val="004555CA"/>
    <w:rsid w:val="004555E4"/>
    <w:rsid w:val="004556A5"/>
    <w:rsid w:val="004557F3"/>
    <w:rsid w:val="004558A2"/>
    <w:rsid w:val="00455A5E"/>
    <w:rsid w:val="00455AF4"/>
    <w:rsid w:val="00455DAF"/>
    <w:rsid w:val="00455DE4"/>
    <w:rsid w:val="00455F06"/>
    <w:rsid w:val="00455FF3"/>
    <w:rsid w:val="004564C4"/>
    <w:rsid w:val="0045652A"/>
    <w:rsid w:val="0045663E"/>
    <w:rsid w:val="00456688"/>
    <w:rsid w:val="00456690"/>
    <w:rsid w:val="004566D8"/>
    <w:rsid w:val="00456A73"/>
    <w:rsid w:val="00456B71"/>
    <w:rsid w:val="00456B91"/>
    <w:rsid w:val="00456D05"/>
    <w:rsid w:val="00456D4D"/>
    <w:rsid w:val="00456DB6"/>
    <w:rsid w:val="00457458"/>
    <w:rsid w:val="00457459"/>
    <w:rsid w:val="0045758C"/>
    <w:rsid w:val="0045758D"/>
    <w:rsid w:val="004575DB"/>
    <w:rsid w:val="00457796"/>
    <w:rsid w:val="004577E1"/>
    <w:rsid w:val="00457902"/>
    <w:rsid w:val="00457A25"/>
    <w:rsid w:val="00457B36"/>
    <w:rsid w:val="00457E75"/>
    <w:rsid w:val="00457FEF"/>
    <w:rsid w:val="0046019F"/>
    <w:rsid w:val="004601DF"/>
    <w:rsid w:val="00460228"/>
    <w:rsid w:val="0046024E"/>
    <w:rsid w:val="00460377"/>
    <w:rsid w:val="00460466"/>
    <w:rsid w:val="004604E3"/>
    <w:rsid w:val="00460590"/>
    <w:rsid w:val="004605DB"/>
    <w:rsid w:val="00460657"/>
    <w:rsid w:val="00460871"/>
    <w:rsid w:val="00460935"/>
    <w:rsid w:val="00460AAC"/>
    <w:rsid w:val="00460ABF"/>
    <w:rsid w:val="00460B76"/>
    <w:rsid w:val="00460BD6"/>
    <w:rsid w:val="00460E3D"/>
    <w:rsid w:val="00460F40"/>
    <w:rsid w:val="00461043"/>
    <w:rsid w:val="00461238"/>
    <w:rsid w:val="0046128C"/>
    <w:rsid w:val="00461321"/>
    <w:rsid w:val="0046136B"/>
    <w:rsid w:val="00461422"/>
    <w:rsid w:val="00461434"/>
    <w:rsid w:val="00461460"/>
    <w:rsid w:val="0046146F"/>
    <w:rsid w:val="004615B9"/>
    <w:rsid w:val="004615D2"/>
    <w:rsid w:val="00461601"/>
    <w:rsid w:val="00461604"/>
    <w:rsid w:val="0046186C"/>
    <w:rsid w:val="00461884"/>
    <w:rsid w:val="004618E4"/>
    <w:rsid w:val="00461903"/>
    <w:rsid w:val="00461917"/>
    <w:rsid w:val="004619AC"/>
    <w:rsid w:val="00461AFB"/>
    <w:rsid w:val="00461B08"/>
    <w:rsid w:val="00461C5C"/>
    <w:rsid w:val="00461C8A"/>
    <w:rsid w:val="00461DFB"/>
    <w:rsid w:val="00461E0B"/>
    <w:rsid w:val="00461FFF"/>
    <w:rsid w:val="00462192"/>
    <w:rsid w:val="00462368"/>
    <w:rsid w:val="0046236D"/>
    <w:rsid w:val="0046239A"/>
    <w:rsid w:val="0046245E"/>
    <w:rsid w:val="00462489"/>
    <w:rsid w:val="00462581"/>
    <w:rsid w:val="00462591"/>
    <w:rsid w:val="00462B43"/>
    <w:rsid w:val="00462C47"/>
    <w:rsid w:val="00462D22"/>
    <w:rsid w:val="00462E56"/>
    <w:rsid w:val="00462E64"/>
    <w:rsid w:val="00462F77"/>
    <w:rsid w:val="0046303D"/>
    <w:rsid w:val="0046305A"/>
    <w:rsid w:val="00463084"/>
    <w:rsid w:val="0046308D"/>
    <w:rsid w:val="004630B5"/>
    <w:rsid w:val="00463193"/>
    <w:rsid w:val="004633C4"/>
    <w:rsid w:val="00463409"/>
    <w:rsid w:val="00463554"/>
    <w:rsid w:val="004635D0"/>
    <w:rsid w:val="0046360D"/>
    <w:rsid w:val="004636A7"/>
    <w:rsid w:val="00463891"/>
    <w:rsid w:val="004638AB"/>
    <w:rsid w:val="004638F2"/>
    <w:rsid w:val="00463B29"/>
    <w:rsid w:val="00463B63"/>
    <w:rsid w:val="00463BED"/>
    <w:rsid w:val="00463C69"/>
    <w:rsid w:val="00463D32"/>
    <w:rsid w:val="00463D7C"/>
    <w:rsid w:val="00463DAB"/>
    <w:rsid w:val="00463DD7"/>
    <w:rsid w:val="00463E24"/>
    <w:rsid w:val="00463F9B"/>
    <w:rsid w:val="00464055"/>
    <w:rsid w:val="00464172"/>
    <w:rsid w:val="00464367"/>
    <w:rsid w:val="0046445E"/>
    <w:rsid w:val="004647FA"/>
    <w:rsid w:val="004648B7"/>
    <w:rsid w:val="00464A26"/>
    <w:rsid w:val="00464AE0"/>
    <w:rsid w:val="00464B0D"/>
    <w:rsid w:val="00464B7B"/>
    <w:rsid w:val="00464C08"/>
    <w:rsid w:val="00464C27"/>
    <w:rsid w:val="00464CBF"/>
    <w:rsid w:val="00464D27"/>
    <w:rsid w:val="00464D2A"/>
    <w:rsid w:val="00464D9E"/>
    <w:rsid w:val="00464E0D"/>
    <w:rsid w:val="00465121"/>
    <w:rsid w:val="004651D3"/>
    <w:rsid w:val="00465729"/>
    <w:rsid w:val="004658C8"/>
    <w:rsid w:val="00465A05"/>
    <w:rsid w:val="00465AC9"/>
    <w:rsid w:val="00465ACB"/>
    <w:rsid w:val="00465B36"/>
    <w:rsid w:val="00465C5F"/>
    <w:rsid w:val="00465C6C"/>
    <w:rsid w:val="00465C6E"/>
    <w:rsid w:val="00465D38"/>
    <w:rsid w:val="00466101"/>
    <w:rsid w:val="004662EE"/>
    <w:rsid w:val="0046637C"/>
    <w:rsid w:val="004664D2"/>
    <w:rsid w:val="004665DE"/>
    <w:rsid w:val="00466799"/>
    <w:rsid w:val="004667E3"/>
    <w:rsid w:val="0046682D"/>
    <w:rsid w:val="004668C1"/>
    <w:rsid w:val="0046693C"/>
    <w:rsid w:val="00466967"/>
    <w:rsid w:val="00466A07"/>
    <w:rsid w:val="00466A79"/>
    <w:rsid w:val="00466B9B"/>
    <w:rsid w:val="00466BAB"/>
    <w:rsid w:val="00466CFF"/>
    <w:rsid w:val="00466EA5"/>
    <w:rsid w:val="00466F04"/>
    <w:rsid w:val="00466FA0"/>
    <w:rsid w:val="00467197"/>
    <w:rsid w:val="004672EA"/>
    <w:rsid w:val="0046739A"/>
    <w:rsid w:val="00467428"/>
    <w:rsid w:val="00467479"/>
    <w:rsid w:val="0046750D"/>
    <w:rsid w:val="0046754B"/>
    <w:rsid w:val="004675B7"/>
    <w:rsid w:val="004675E0"/>
    <w:rsid w:val="00467634"/>
    <w:rsid w:val="0046766A"/>
    <w:rsid w:val="004677AB"/>
    <w:rsid w:val="0046787D"/>
    <w:rsid w:val="00467883"/>
    <w:rsid w:val="0046788B"/>
    <w:rsid w:val="00467983"/>
    <w:rsid w:val="00467BDF"/>
    <w:rsid w:val="00467D3A"/>
    <w:rsid w:val="00467DA1"/>
    <w:rsid w:val="00467DC2"/>
    <w:rsid w:val="00467E61"/>
    <w:rsid w:val="00467F03"/>
    <w:rsid w:val="004700FD"/>
    <w:rsid w:val="00470142"/>
    <w:rsid w:val="00470188"/>
    <w:rsid w:val="00470246"/>
    <w:rsid w:val="0047037C"/>
    <w:rsid w:val="00470494"/>
    <w:rsid w:val="00470505"/>
    <w:rsid w:val="00470569"/>
    <w:rsid w:val="00470634"/>
    <w:rsid w:val="004706E5"/>
    <w:rsid w:val="004707B0"/>
    <w:rsid w:val="004708FD"/>
    <w:rsid w:val="00470943"/>
    <w:rsid w:val="00470AA0"/>
    <w:rsid w:val="00470B70"/>
    <w:rsid w:val="00470C16"/>
    <w:rsid w:val="00470D4C"/>
    <w:rsid w:val="00470E6D"/>
    <w:rsid w:val="00470FBA"/>
    <w:rsid w:val="004710F4"/>
    <w:rsid w:val="00471103"/>
    <w:rsid w:val="0047125F"/>
    <w:rsid w:val="004712E7"/>
    <w:rsid w:val="00471339"/>
    <w:rsid w:val="0047136B"/>
    <w:rsid w:val="004714D3"/>
    <w:rsid w:val="0047156D"/>
    <w:rsid w:val="00471679"/>
    <w:rsid w:val="00471721"/>
    <w:rsid w:val="00471737"/>
    <w:rsid w:val="0047183E"/>
    <w:rsid w:val="004719C4"/>
    <w:rsid w:val="00471D1E"/>
    <w:rsid w:val="00471E05"/>
    <w:rsid w:val="00471EA7"/>
    <w:rsid w:val="00471F1D"/>
    <w:rsid w:val="00472032"/>
    <w:rsid w:val="004720E5"/>
    <w:rsid w:val="004721AB"/>
    <w:rsid w:val="00472767"/>
    <w:rsid w:val="00472882"/>
    <w:rsid w:val="004728D8"/>
    <w:rsid w:val="004728E7"/>
    <w:rsid w:val="004729BD"/>
    <w:rsid w:val="00472B49"/>
    <w:rsid w:val="00472B68"/>
    <w:rsid w:val="00472C83"/>
    <w:rsid w:val="00472CFA"/>
    <w:rsid w:val="00472E23"/>
    <w:rsid w:val="00472F3A"/>
    <w:rsid w:val="00472F46"/>
    <w:rsid w:val="00472F65"/>
    <w:rsid w:val="0047304F"/>
    <w:rsid w:val="00473093"/>
    <w:rsid w:val="0047339C"/>
    <w:rsid w:val="004735B4"/>
    <w:rsid w:val="004735FB"/>
    <w:rsid w:val="00473633"/>
    <w:rsid w:val="0047369B"/>
    <w:rsid w:val="004736BF"/>
    <w:rsid w:val="0047376C"/>
    <w:rsid w:val="004737CE"/>
    <w:rsid w:val="004737F2"/>
    <w:rsid w:val="00473896"/>
    <w:rsid w:val="004739C7"/>
    <w:rsid w:val="00473E4F"/>
    <w:rsid w:val="00473F68"/>
    <w:rsid w:val="00473FB6"/>
    <w:rsid w:val="00474026"/>
    <w:rsid w:val="00474184"/>
    <w:rsid w:val="0047418A"/>
    <w:rsid w:val="004744EF"/>
    <w:rsid w:val="004749F3"/>
    <w:rsid w:val="00474A7A"/>
    <w:rsid w:val="00474B17"/>
    <w:rsid w:val="00474EAA"/>
    <w:rsid w:val="00475160"/>
    <w:rsid w:val="0047524E"/>
    <w:rsid w:val="004752AB"/>
    <w:rsid w:val="004755B7"/>
    <w:rsid w:val="00475679"/>
    <w:rsid w:val="004756B2"/>
    <w:rsid w:val="004756F8"/>
    <w:rsid w:val="0047577B"/>
    <w:rsid w:val="004759D1"/>
    <w:rsid w:val="00475BA8"/>
    <w:rsid w:val="00475BB0"/>
    <w:rsid w:val="00475CA3"/>
    <w:rsid w:val="00475DEC"/>
    <w:rsid w:val="00475F14"/>
    <w:rsid w:val="00475F8D"/>
    <w:rsid w:val="00476119"/>
    <w:rsid w:val="004761BD"/>
    <w:rsid w:val="004763D8"/>
    <w:rsid w:val="004765FD"/>
    <w:rsid w:val="0047661C"/>
    <w:rsid w:val="0047676A"/>
    <w:rsid w:val="00476A01"/>
    <w:rsid w:val="00476ABA"/>
    <w:rsid w:val="00476BC1"/>
    <w:rsid w:val="00476CE7"/>
    <w:rsid w:val="00476E4D"/>
    <w:rsid w:val="00476F08"/>
    <w:rsid w:val="0047702E"/>
    <w:rsid w:val="004772E5"/>
    <w:rsid w:val="004773A5"/>
    <w:rsid w:val="0047754F"/>
    <w:rsid w:val="00477581"/>
    <w:rsid w:val="004778AA"/>
    <w:rsid w:val="004779D2"/>
    <w:rsid w:val="00477A12"/>
    <w:rsid w:val="00477BBC"/>
    <w:rsid w:val="00477EF6"/>
    <w:rsid w:val="00480013"/>
    <w:rsid w:val="0048002E"/>
    <w:rsid w:val="0048004C"/>
    <w:rsid w:val="00480107"/>
    <w:rsid w:val="004803B1"/>
    <w:rsid w:val="0048045F"/>
    <w:rsid w:val="00480475"/>
    <w:rsid w:val="0048049E"/>
    <w:rsid w:val="00480604"/>
    <w:rsid w:val="00480666"/>
    <w:rsid w:val="004807F0"/>
    <w:rsid w:val="0048086B"/>
    <w:rsid w:val="004809AC"/>
    <w:rsid w:val="004809F2"/>
    <w:rsid w:val="0048103A"/>
    <w:rsid w:val="004810F7"/>
    <w:rsid w:val="0048130F"/>
    <w:rsid w:val="00481441"/>
    <w:rsid w:val="004815E6"/>
    <w:rsid w:val="00481618"/>
    <w:rsid w:val="0048176B"/>
    <w:rsid w:val="00481BD7"/>
    <w:rsid w:val="00481C75"/>
    <w:rsid w:val="00481D04"/>
    <w:rsid w:val="00481D2C"/>
    <w:rsid w:val="00481DCF"/>
    <w:rsid w:val="00482180"/>
    <w:rsid w:val="004821B1"/>
    <w:rsid w:val="00482291"/>
    <w:rsid w:val="004822D3"/>
    <w:rsid w:val="0048239A"/>
    <w:rsid w:val="004823B8"/>
    <w:rsid w:val="004823E1"/>
    <w:rsid w:val="00482554"/>
    <w:rsid w:val="00482687"/>
    <w:rsid w:val="004826D6"/>
    <w:rsid w:val="00482772"/>
    <w:rsid w:val="004827D3"/>
    <w:rsid w:val="00482813"/>
    <w:rsid w:val="00482914"/>
    <w:rsid w:val="00482952"/>
    <w:rsid w:val="004829CF"/>
    <w:rsid w:val="004829FB"/>
    <w:rsid w:val="00482ADA"/>
    <w:rsid w:val="00482B0C"/>
    <w:rsid w:val="00482C65"/>
    <w:rsid w:val="00482C66"/>
    <w:rsid w:val="00482D44"/>
    <w:rsid w:val="00482FA2"/>
    <w:rsid w:val="00482FB4"/>
    <w:rsid w:val="0048308B"/>
    <w:rsid w:val="00483156"/>
    <w:rsid w:val="004831BD"/>
    <w:rsid w:val="00483656"/>
    <w:rsid w:val="0048369C"/>
    <w:rsid w:val="004837FE"/>
    <w:rsid w:val="00483819"/>
    <w:rsid w:val="004838C6"/>
    <w:rsid w:val="00483BCA"/>
    <w:rsid w:val="00483CD1"/>
    <w:rsid w:val="00483D30"/>
    <w:rsid w:val="00483D5A"/>
    <w:rsid w:val="00483DEF"/>
    <w:rsid w:val="00483E4F"/>
    <w:rsid w:val="00483F15"/>
    <w:rsid w:val="0048411C"/>
    <w:rsid w:val="004841A7"/>
    <w:rsid w:val="0048423C"/>
    <w:rsid w:val="004844A6"/>
    <w:rsid w:val="0048452E"/>
    <w:rsid w:val="004845FC"/>
    <w:rsid w:val="00484632"/>
    <w:rsid w:val="004847CE"/>
    <w:rsid w:val="00484A61"/>
    <w:rsid w:val="00484AA2"/>
    <w:rsid w:val="00484BA2"/>
    <w:rsid w:val="00484C14"/>
    <w:rsid w:val="00484C49"/>
    <w:rsid w:val="00484C88"/>
    <w:rsid w:val="004850AA"/>
    <w:rsid w:val="004851B3"/>
    <w:rsid w:val="004852A9"/>
    <w:rsid w:val="00485387"/>
    <w:rsid w:val="004853E6"/>
    <w:rsid w:val="00485400"/>
    <w:rsid w:val="0048569F"/>
    <w:rsid w:val="00485797"/>
    <w:rsid w:val="0048582B"/>
    <w:rsid w:val="0048591A"/>
    <w:rsid w:val="004859C4"/>
    <w:rsid w:val="00485BD1"/>
    <w:rsid w:val="00485BF6"/>
    <w:rsid w:val="00485C09"/>
    <w:rsid w:val="00485C66"/>
    <w:rsid w:val="00485CE8"/>
    <w:rsid w:val="00485E18"/>
    <w:rsid w:val="00485F7A"/>
    <w:rsid w:val="00485FE3"/>
    <w:rsid w:val="00485FEA"/>
    <w:rsid w:val="0048601D"/>
    <w:rsid w:val="004860B7"/>
    <w:rsid w:val="004860FD"/>
    <w:rsid w:val="00486134"/>
    <w:rsid w:val="0048621D"/>
    <w:rsid w:val="004866D2"/>
    <w:rsid w:val="004866F8"/>
    <w:rsid w:val="00486728"/>
    <w:rsid w:val="004868AD"/>
    <w:rsid w:val="00486AD6"/>
    <w:rsid w:val="00486D1A"/>
    <w:rsid w:val="00486E56"/>
    <w:rsid w:val="00486EAA"/>
    <w:rsid w:val="004870C8"/>
    <w:rsid w:val="00487321"/>
    <w:rsid w:val="00487362"/>
    <w:rsid w:val="00487628"/>
    <w:rsid w:val="0048776B"/>
    <w:rsid w:val="004877B3"/>
    <w:rsid w:val="00487BBB"/>
    <w:rsid w:val="00487C89"/>
    <w:rsid w:val="00487E97"/>
    <w:rsid w:val="00487FBD"/>
    <w:rsid w:val="00490071"/>
    <w:rsid w:val="0049017D"/>
    <w:rsid w:val="004901EE"/>
    <w:rsid w:val="0049037A"/>
    <w:rsid w:val="00490389"/>
    <w:rsid w:val="0049049A"/>
    <w:rsid w:val="004905CF"/>
    <w:rsid w:val="00490663"/>
    <w:rsid w:val="0049079B"/>
    <w:rsid w:val="004907B6"/>
    <w:rsid w:val="0049082C"/>
    <w:rsid w:val="004909FE"/>
    <w:rsid w:val="00490A32"/>
    <w:rsid w:val="00490DC1"/>
    <w:rsid w:val="00490F8C"/>
    <w:rsid w:val="00491000"/>
    <w:rsid w:val="0049105E"/>
    <w:rsid w:val="004913AD"/>
    <w:rsid w:val="00491596"/>
    <w:rsid w:val="00491689"/>
    <w:rsid w:val="00491861"/>
    <w:rsid w:val="00491966"/>
    <w:rsid w:val="004919FD"/>
    <w:rsid w:val="00491BDB"/>
    <w:rsid w:val="00491C65"/>
    <w:rsid w:val="00491CEF"/>
    <w:rsid w:val="00491E97"/>
    <w:rsid w:val="00491EFD"/>
    <w:rsid w:val="00491F10"/>
    <w:rsid w:val="00492142"/>
    <w:rsid w:val="004923F6"/>
    <w:rsid w:val="0049274F"/>
    <w:rsid w:val="004929BF"/>
    <w:rsid w:val="00492BF4"/>
    <w:rsid w:val="00492C9D"/>
    <w:rsid w:val="00492CFE"/>
    <w:rsid w:val="00492D5A"/>
    <w:rsid w:val="00492DE6"/>
    <w:rsid w:val="00492E1C"/>
    <w:rsid w:val="00492FD7"/>
    <w:rsid w:val="00493063"/>
    <w:rsid w:val="004931EE"/>
    <w:rsid w:val="00493309"/>
    <w:rsid w:val="00493313"/>
    <w:rsid w:val="0049332C"/>
    <w:rsid w:val="00493415"/>
    <w:rsid w:val="0049363A"/>
    <w:rsid w:val="004937D4"/>
    <w:rsid w:val="004939BB"/>
    <w:rsid w:val="00493A31"/>
    <w:rsid w:val="00493A81"/>
    <w:rsid w:val="00493BA8"/>
    <w:rsid w:val="00494059"/>
    <w:rsid w:val="004941B6"/>
    <w:rsid w:val="00494231"/>
    <w:rsid w:val="00494268"/>
    <w:rsid w:val="0049428D"/>
    <w:rsid w:val="00494316"/>
    <w:rsid w:val="004943A7"/>
    <w:rsid w:val="00494533"/>
    <w:rsid w:val="004945F0"/>
    <w:rsid w:val="00494B16"/>
    <w:rsid w:val="00494B30"/>
    <w:rsid w:val="00494BEE"/>
    <w:rsid w:val="00494C5D"/>
    <w:rsid w:val="00494D1A"/>
    <w:rsid w:val="00494D34"/>
    <w:rsid w:val="00494D5C"/>
    <w:rsid w:val="00494D6E"/>
    <w:rsid w:val="00494F32"/>
    <w:rsid w:val="00494F73"/>
    <w:rsid w:val="0049505A"/>
    <w:rsid w:val="004953BF"/>
    <w:rsid w:val="00495442"/>
    <w:rsid w:val="004956C3"/>
    <w:rsid w:val="00495710"/>
    <w:rsid w:val="00495734"/>
    <w:rsid w:val="00495C56"/>
    <w:rsid w:val="00495C8A"/>
    <w:rsid w:val="00495C8B"/>
    <w:rsid w:val="00495EEF"/>
    <w:rsid w:val="00495F4B"/>
    <w:rsid w:val="0049606E"/>
    <w:rsid w:val="00496471"/>
    <w:rsid w:val="00496541"/>
    <w:rsid w:val="00496711"/>
    <w:rsid w:val="0049688C"/>
    <w:rsid w:val="00496945"/>
    <w:rsid w:val="00496AB0"/>
    <w:rsid w:val="00496AE1"/>
    <w:rsid w:val="00496B02"/>
    <w:rsid w:val="00496CBB"/>
    <w:rsid w:val="00496D7B"/>
    <w:rsid w:val="00496D7C"/>
    <w:rsid w:val="00496E79"/>
    <w:rsid w:val="00496EED"/>
    <w:rsid w:val="004970C6"/>
    <w:rsid w:val="00497187"/>
    <w:rsid w:val="004971A1"/>
    <w:rsid w:val="004971B3"/>
    <w:rsid w:val="0049720B"/>
    <w:rsid w:val="00497268"/>
    <w:rsid w:val="004972D6"/>
    <w:rsid w:val="00497304"/>
    <w:rsid w:val="00497591"/>
    <w:rsid w:val="004978DF"/>
    <w:rsid w:val="004979DA"/>
    <w:rsid w:val="00497AC2"/>
    <w:rsid w:val="00497B61"/>
    <w:rsid w:val="00497B72"/>
    <w:rsid w:val="00497E43"/>
    <w:rsid w:val="00497F58"/>
    <w:rsid w:val="004A011F"/>
    <w:rsid w:val="004A01DC"/>
    <w:rsid w:val="004A01F4"/>
    <w:rsid w:val="004A020B"/>
    <w:rsid w:val="004A0381"/>
    <w:rsid w:val="004A0420"/>
    <w:rsid w:val="004A05A1"/>
    <w:rsid w:val="004A0787"/>
    <w:rsid w:val="004A07F5"/>
    <w:rsid w:val="004A094E"/>
    <w:rsid w:val="004A0B5A"/>
    <w:rsid w:val="004A0C84"/>
    <w:rsid w:val="004A0E1E"/>
    <w:rsid w:val="004A0F06"/>
    <w:rsid w:val="004A102A"/>
    <w:rsid w:val="004A109C"/>
    <w:rsid w:val="004A10D3"/>
    <w:rsid w:val="004A12C9"/>
    <w:rsid w:val="004A1379"/>
    <w:rsid w:val="004A14C0"/>
    <w:rsid w:val="004A14EA"/>
    <w:rsid w:val="004A1686"/>
    <w:rsid w:val="004A168F"/>
    <w:rsid w:val="004A16A1"/>
    <w:rsid w:val="004A1B8B"/>
    <w:rsid w:val="004A1E47"/>
    <w:rsid w:val="004A1E4E"/>
    <w:rsid w:val="004A20A0"/>
    <w:rsid w:val="004A2256"/>
    <w:rsid w:val="004A23A5"/>
    <w:rsid w:val="004A2881"/>
    <w:rsid w:val="004A28C9"/>
    <w:rsid w:val="004A295A"/>
    <w:rsid w:val="004A29F9"/>
    <w:rsid w:val="004A2C94"/>
    <w:rsid w:val="004A2E32"/>
    <w:rsid w:val="004A2EEE"/>
    <w:rsid w:val="004A2F0E"/>
    <w:rsid w:val="004A2F98"/>
    <w:rsid w:val="004A2FC6"/>
    <w:rsid w:val="004A316D"/>
    <w:rsid w:val="004A339C"/>
    <w:rsid w:val="004A33A0"/>
    <w:rsid w:val="004A33FE"/>
    <w:rsid w:val="004A348D"/>
    <w:rsid w:val="004A3523"/>
    <w:rsid w:val="004A35EB"/>
    <w:rsid w:val="004A3692"/>
    <w:rsid w:val="004A3711"/>
    <w:rsid w:val="004A3721"/>
    <w:rsid w:val="004A3902"/>
    <w:rsid w:val="004A39BE"/>
    <w:rsid w:val="004A3A52"/>
    <w:rsid w:val="004A3CD0"/>
    <w:rsid w:val="004A3D37"/>
    <w:rsid w:val="004A3DB6"/>
    <w:rsid w:val="004A3E45"/>
    <w:rsid w:val="004A3EEE"/>
    <w:rsid w:val="004A3F54"/>
    <w:rsid w:val="004A40BB"/>
    <w:rsid w:val="004A41B2"/>
    <w:rsid w:val="004A41F1"/>
    <w:rsid w:val="004A4245"/>
    <w:rsid w:val="004A42D1"/>
    <w:rsid w:val="004A42D4"/>
    <w:rsid w:val="004A4313"/>
    <w:rsid w:val="004A43AA"/>
    <w:rsid w:val="004A43F7"/>
    <w:rsid w:val="004A44C6"/>
    <w:rsid w:val="004A458C"/>
    <w:rsid w:val="004A4656"/>
    <w:rsid w:val="004A47AD"/>
    <w:rsid w:val="004A47E5"/>
    <w:rsid w:val="004A48E2"/>
    <w:rsid w:val="004A4B94"/>
    <w:rsid w:val="004A4B9C"/>
    <w:rsid w:val="004A4D8A"/>
    <w:rsid w:val="004A5035"/>
    <w:rsid w:val="004A5182"/>
    <w:rsid w:val="004A51E6"/>
    <w:rsid w:val="004A5350"/>
    <w:rsid w:val="004A5426"/>
    <w:rsid w:val="004A54C5"/>
    <w:rsid w:val="004A54C7"/>
    <w:rsid w:val="004A5760"/>
    <w:rsid w:val="004A57E7"/>
    <w:rsid w:val="004A594B"/>
    <w:rsid w:val="004A5B48"/>
    <w:rsid w:val="004A5C2A"/>
    <w:rsid w:val="004A5EDE"/>
    <w:rsid w:val="004A5F4B"/>
    <w:rsid w:val="004A5FF1"/>
    <w:rsid w:val="004A6127"/>
    <w:rsid w:val="004A6272"/>
    <w:rsid w:val="004A635D"/>
    <w:rsid w:val="004A6545"/>
    <w:rsid w:val="004A65FF"/>
    <w:rsid w:val="004A6695"/>
    <w:rsid w:val="004A66DF"/>
    <w:rsid w:val="004A6789"/>
    <w:rsid w:val="004A68D9"/>
    <w:rsid w:val="004A69A0"/>
    <w:rsid w:val="004A6B42"/>
    <w:rsid w:val="004A6BC3"/>
    <w:rsid w:val="004A6CCC"/>
    <w:rsid w:val="004A6D00"/>
    <w:rsid w:val="004A6D9A"/>
    <w:rsid w:val="004A7104"/>
    <w:rsid w:val="004A729D"/>
    <w:rsid w:val="004A736A"/>
    <w:rsid w:val="004A7543"/>
    <w:rsid w:val="004A7593"/>
    <w:rsid w:val="004A77CF"/>
    <w:rsid w:val="004A7902"/>
    <w:rsid w:val="004A7BA4"/>
    <w:rsid w:val="004A7BF9"/>
    <w:rsid w:val="004A7C16"/>
    <w:rsid w:val="004A7DA7"/>
    <w:rsid w:val="004A7F8F"/>
    <w:rsid w:val="004B0111"/>
    <w:rsid w:val="004B026D"/>
    <w:rsid w:val="004B02D6"/>
    <w:rsid w:val="004B03AA"/>
    <w:rsid w:val="004B05F7"/>
    <w:rsid w:val="004B063D"/>
    <w:rsid w:val="004B063F"/>
    <w:rsid w:val="004B06D1"/>
    <w:rsid w:val="004B0828"/>
    <w:rsid w:val="004B0A7C"/>
    <w:rsid w:val="004B0B98"/>
    <w:rsid w:val="004B0BB2"/>
    <w:rsid w:val="004B0BC5"/>
    <w:rsid w:val="004B0D27"/>
    <w:rsid w:val="004B0DEA"/>
    <w:rsid w:val="004B0ED3"/>
    <w:rsid w:val="004B0F93"/>
    <w:rsid w:val="004B1084"/>
    <w:rsid w:val="004B111B"/>
    <w:rsid w:val="004B136C"/>
    <w:rsid w:val="004B141C"/>
    <w:rsid w:val="004B14B6"/>
    <w:rsid w:val="004B14CB"/>
    <w:rsid w:val="004B14D7"/>
    <w:rsid w:val="004B184F"/>
    <w:rsid w:val="004B1868"/>
    <w:rsid w:val="004B18C6"/>
    <w:rsid w:val="004B1BB1"/>
    <w:rsid w:val="004B1D83"/>
    <w:rsid w:val="004B1F88"/>
    <w:rsid w:val="004B1FC2"/>
    <w:rsid w:val="004B215D"/>
    <w:rsid w:val="004B2205"/>
    <w:rsid w:val="004B23A1"/>
    <w:rsid w:val="004B2478"/>
    <w:rsid w:val="004B250A"/>
    <w:rsid w:val="004B26EB"/>
    <w:rsid w:val="004B26FF"/>
    <w:rsid w:val="004B2764"/>
    <w:rsid w:val="004B2808"/>
    <w:rsid w:val="004B2B61"/>
    <w:rsid w:val="004B2B9E"/>
    <w:rsid w:val="004B2BC3"/>
    <w:rsid w:val="004B2C95"/>
    <w:rsid w:val="004B2D2C"/>
    <w:rsid w:val="004B2E50"/>
    <w:rsid w:val="004B2F16"/>
    <w:rsid w:val="004B2FB3"/>
    <w:rsid w:val="004B338E"/>
    <w:rsid w:val="004B38BC"/>
    <w:rsid w:val="004B3945"/>
    <w:rsid w:val="004B3A4F"/>
    <w:rsid w:val="004B3A87"/>
    <w:rsid w:val="004B3DD5"/>
    <w:rsid w:val="004B3E3F"/>
    <w:rsid w:val="004B3EA4"/>
    <w:rsid w:val="004B3EC7"/>
    <w:rsid w:val="004B3F03"/>
    <w:rsid w:val="004B3F5C"/>
    <w:rsid w:val="004B3FEA"/>
    <w:rsid w:val="004B408F"/>
    <w:rsid w:val="004B419C"/>
    <w:rsid w:val="004B44A9"/>
    <w:rsid w:val="004B44DE"/>
    <w:rsid w:val="004B480D"/>
    <w:rsid w:val="004B4875"/>
    <w:rsid w:val="004B4973"/>
    <w:rsid w:val="004B4A0C"/>
    <w:rsid w:val="004B4B07"/>
    <w:rsid w:val="004B4BD3"/>
    <w:rsid w:val="004B4C97"/>
    <w:rsid w:val="004B4D27"/>
    <w:rsid w:val="004B4E44"/>
    <w:rsid w:val="004B4EFE"/>
    <w:rsid w:val="004B4FE3"/>
    <w:rsid w:val="004B502F"/>
    <w:rsid w:val="004B515A"/>
    <w:rsid w:val="004B515C"/>
    <w:rsid w:val="004B5197"/>
    <w:rsid w:val="004B51C2"/>
    <w:rsid w:val="004B51C7"/>
    <w:rsid w:val="004B5217"/>
    <w:rsid w:val="004B5306"/>
    <w:rsid w:val="004B53A3"/>
    <w:rsid w:val="004B53CD"/>
    <w:rsid w:val="004B5453"/>
    <w:rsid w:val="004B5531"/>
    <w:rsid w:val="004B5570"/>
    <w:rsid w:val="004B55C6"/>
    <w:rsid w:val="004B563D"/>
    <w:rsid w:val="004B56F3"/>
    <w:rsid w:val="004B5877"/>
    <w:rsid w:val="004B5922"/>
    <w:rsid w:val="004B5B91"/>
    <w:rsid w:val="004B633C"/>
    <w:rsid w:val="004B640A"/>
    <w:rsid w:val="004B64C5"/>
    <w:rsid w:val="004B65BD"/>
    <w:rsid w:val="004B66B9"/>
    <w:rsid w:val="004B674F"/>
    <w:rsid w:val="004B6819"/>
    <w:rsid w:val="004B6A23"/>
    <w:rsid w:val="004B6E1D"/>
    <w:rsid w:val="004B7070"/>
    <w:rsid w:val="004B730D"/>
    <w:rsid w:val="004B74AD"/>
    <w:rsid w:val="004B74F6"/>
    <w:rsid w:val="004B750E"/>
    <w:rsid w:val="004B7567"/>
    <w:rsid w:val="004B7782"/>
    <w:rsid w:val="004B779C"/>
    <w:rsid w:val="004B7977"/>
    <w:rsid w:val="004B7A55"/>
    <w:rsid w:val="004B7B22"/>
    <w:rsid w:val="004B7BF1"/>
    <w:rsid w:val="004B7C8C"/>
    <w:rsid w:val="004B7CA7"/>
    <w:rsid w:val="004B7F47"/>
    <w:rsid w:val="004C0044"/>
    <w:rsid w:val="004C018B"/>
    <w:rsid w:val="004C01AC"/>
    <w:rsid w:val="004C01FB"/>
    <w:rsid w:val="004C02DB"/>
    <w:rsid w:val="004C032B"/>
    <w:rsid w:val="004C063B"/>
    <w:rsid w:val="004C0768"/>
    <w:rsid w:val="004C0882"/>
    <w:rsid w:val="004C08C4"/>
    <w:rsid w:val="004C08F9"/>
    <w:rsid w:val="004C094B"/>
    <w:rsid w:val="004C0BAD"/>
    <w:rsid w:val="004C0BB2"/>
    <w:rsid w:val="004C0FB8"/>
    <w:rsid w:val="004C103F"/>
    <w:rsid w:val="004C1068"/>
    <w:rsid w:val="004C12AA"/>
    <w:rsid w:val="004C1315"/>
    <w:rsid w:val="004C1386"/>
    <w:rsid w:val="004C138B"/>
    <w:rsid w:val="004C139A"/>
    <w:rsid w:val="004C14B1"/>
    <w:rsid w:val="004C168A"/>
    <w:rsid w:val="004C19A1"/>
    <w:rsid w:val="004C1A85"/>
    <w:rsid w:val="004C1A8C"/>
    <w:rsid w:val="004C1D96"/>
    <w:rsid w:val="004C1E1A"/>
    <w:rsid w:val="004C1E57"/>
    <w:rsid w:val="004C1EEE"/>
    <w:rsid w:val="004C1F52"/>
    <w:rsid w:val="004C1F56"/>
    <w:rsid w:val="004C1F5E"/>
    <w:rsid w:val="004C1F5F"/>
    <w:rsid w:val="004C1F78"/>
    <w:rsid w:val="004C1FC1"/>
    <w:rsid w:val="004C20F6"/>
    <w:rsid w:val="004C213B"/>
    <w:rsid w:val="004C2302"/>
    <w:rsid w:val="004C23AE"/>
    <w:rsid w:val="004C2421"/>
    <w:rsid w:val="004C2503"/>
    <w:rsid w:val="004C2713"/>
    <w:rsid w:val="004C2717"/>
    <w:rsid w:val="004C2724"/>
    <w:rsid w:val="004C27D8"/>
    <w:rsid w:val="004C2902"/>
    <w:rsid w:val="004C2A45"/>
    <w:rsid w:val="004C2BB4"/>
    <w:rsid w:val="004C2C36"/>
    <w:rsid w:val="004C2E4D"/>
    <w:rsid w:val="004C3030"/>
    <w:rsid w:val="004C3339"/>
    <w:rsid w:val="004C337D"/>
    <w:rsid w:val="004C33C3"/>
    <w:rsid w:val="004C33EA"/>
    <w:rsid w:val="004C3436"/>
    <w:rsid w:val="004C35D3"/>
    <w:rsid w:val="004C383E"/>
    <w:rsid w:val="004C3AAD"/>
    <w:rsid w:val="004C3AB0"/>
    <w:rsid w:val="004C3AC3"/>
    <w:rsid w:val="004C3B46"/>
    <w:rsid w:val="004C3C3E"/>
    <w:rsid w:val="004C3C69"/>
    <w:rsid w:val="004C3F96"/>
    <w:rsid w:val="004C41E0"/>
    <w:rsid w:val="004C42A5"/>
    <w:rsid w:val="004C45D7"/>
    <w:rsid w:val="004C4600"/>
    <w:rsid w:val="004C4604"/>
    <w:rsid w:val="004C46C5"/>
    <w:rsid w:val="004C472B"/>
    <w:rsid w:val="004C4741"/>
    <w:rsid w:val="004C474F"/>
    <w:rsid w:val="004C4869"/>
    <w:rsid w:val="004C48E3"/>
    <w:rsid w:val="004C4989"/>
    <w:rsid w:val="004C49A9"/>
    <w:rsid w:val="004C4A72"/>
    <w:rsid w:val="004C4AF2"/>
    <w:rsid w:val="004C4B63"/>
    <w:rsid w:val="004C4C51"/>
    <w:rsid w:val="004C4CB8"/>
    <w:rsid w:val="004C4CCF"/>
    <w:rsid w:val="004C4D1D"/>
    <w:rsid w:val="004C4E7B"/>
    <w:rsid w:val="004C4EA9"/>
    <w:rsid w:val="004C4F7E"/>
    <w:rsid w:val="004C4F8A"/>
    <w:rsid w:val="004C52D6"/>
    <w:rsid w:val="004C53A8"/>
    <w:rsid w:val="004C547A"/>
    <w:rsid w:val="004C54A3"/>
    <w:rsid w:val="004C54CB"/>
    <w:rsid w:val="004C5605"/>
    <w:rsid w:val="004C59F9"/>
    <w:rsid w:val="004C5B21"/>
    <w:rsid w:val="004C5B51"/>
    <w:rsid w:val="004C5BA6"/>
    <w:rsid w:val="004C5BB0"/>
    <w:rsid w:val="004C5C46"/>
    <w:rsid w:val="004C5D4A"/>
    <w:rsid w:val="004C5DB8"/>
    <w:rsid w:val="004C5DD7"/>
    <w:rsid w:val="004C5E01"/>
    <w:rsid w:val="004C5E1F"/>
    <w:rsid w:val="004C5E6E"/>
    <w:rsid w:val="004C5FC9"/>
    <w:rsid w:val="004C5FCB"/>
    <w:rsid w:val="004C60E4"/>
    <w:rsid w:val="004C61D0"/>
    <w:rsid w:val="004C65A2"/>
    <w:rsid w:val="004C66D4"/>
    <w:rsid w:val="004C6861"/>
    <w:rsid w:val="004C69D3"/>
    <w:rsid w:val="004C6A2F"/>
    <w:rsid w:val="004C6B34"/>
    <w:rsid w:val="004C6BDF"/>
    <w:rsid w:val="004C6BF2"/>
    <w:rsid w:val="004C6C4A"/>
    <w:rsid w:val="004C6C64"/>
    <w:rsid w:val="004C6CA2"/>
    <w:rsid w:val="004C6CBC"/>
    <w:rsid w:val="004C6CEB"/>
    <w:rsid w:val="004C6E81"/>
    <w:rsid w:val="004C7114"/>
    <w:rsid w:val="004C7186"/>
    <w:rsid w:val="004C71CE"/>
    <w:rsid w:val="004C7592"/>
    <w:rsid w:val="004C77C7"/>
    <w:rsid w:val="004C78CF"/>
    <w:rsid w:val="004C7926"/>
    <w:rsid w:val="004C7968"/>
    <w:rsid w:val="004C7CB7"/>
    <w:rsid w:val="004C7CE8"/>
    <w:rsid w:val="004C7D00"/>
    <w:rsid w:val="004C7D8B"/>
    <w:rsid w:val="004C7DD6"/>
    <w:rsid w:val="004C7DF3"/>
    <w:rsid w:val="004C7E73"/>
    <w:rsid w:val="004C7E86"/>
    <w:rsid w:val="004C7E90"/>
    <w:rsid w:val="004C7F4C"/>
    <w:rsid w:val="004D00DF"/>
    <w:rsid w:val="004D00FD"/>
    <w:rsid w:val="004D014B"/>
    <w:rsid w:val="004D01A7"/>
    <w:rsid w:val="004D05EE"/>
    <w:rsid w:val="004D0797"/>
    <w:rsid w:val="004D07F2"/>
    <w:rsid w:val="004D0A92"/>
    <w:rsid w:val="004D0AF3"/>
    <w:rsid w:val="004D0B43"/>
    <w:rsid w:val="004D0CC4"/>
    <w:rsid w:val="004D0E23"/>
    <w:rsid w:val="004D0FB8"/>
    <w:rsid w:val="004D11F3"/>
    <w:rsid w:val="004D139E"/>
    <w:rsid w:val="004D141F"/>
    <w:rsid w:val="004D1465"/>
    <w:rsid w:val="004D147C"/>
    <w:rsid w:val="004D14AD"/>
    <w:rsid w:val="004D1551"/>
    <w:rsid w:val="004D1614"/>
    <w:rsid w:val="004D16A5"/>
    <w:rsid w:val="004D16BB"/>
    <w:rsid w:val="004D17F6"/>
    <w:rsid w:val="004D1902"/>
    <w:rsid w:val="004D1928"/>
    <w:rsid w:val="004D19BD"/>
    <w:rsid w:val="004D1A3E"/>
    <w:rsid w:val="004D1B41"/>
    <w:rsid w:val="004D1EA4"/>
    <w:rsid w:val="004D1FA3"/>
    <w:rsid w:val="004D1FFE"/>
    <w:rsid w:val="004D20F3"/>
    <w:rsid w:val="004D2213"/>
    <w:rsid w:val="004D2219"/>
    <w:rsid w:val="004D22A5"/>
    <w:rsid w:val="004D2625"/>
    <w:rsid w:val="004D2789"/>
    <w:rsid w:val="004D289D"/>
    <w:rsid w:val="004D2943"/>
    <w:rsid w:val="004D2A85"/>
    <w:rsid w:val="004D2AC3"/>
    <w:rsid w:val="004D2C08"/>
    <w:rsid w:val="004D2C60"/>
    <w:rsid w:val="004D2EEF"/>
    <w:rsid w:val="004D2FA9"/>
    <w:rsid w:val="004D2FDD"/>
    <w:rsid w:val="004D2FE8"/>
    <w:rsid w:val="004D3042"/>
    <w:rsid w:val="004D3068"/>
    <w:rsid w:val="004D30B8"/>
    <w:rsid w:val="004D30D1"/>
    <w:rsid w:val="004D3319"/>
    <w:rsid w:val="004D34B2"/>
    <w:rsid w:val="004D3576"/>
    <w:rsid w:val="004D35CF"/>
    <w:rsid w:val="004D36EF"/>
    <w:rsid w:val="004D39AC"/>
    <w:rsid w:val="004D3B49"/>
    <w:rsid w:val="004D3DBD"/>
    <w:rsid w:val="004D3DE8"/>
    <w:rsid w:val="004D3E07"/>
    <w:rsid w:val="004D4316"/>
    <w:rsid w:val="004D493F"/>
    <w:rsid w:val="004D4A4F"/>
    <w:rsid w:val="004D4AAD"/>
    <w:rsid w:val="004D4B5E"/>
    <w:rsid w:val="004D4C17"/>
    <w:rsid w:val="004D4EE6"/>
    <w:rsid w:val="004D4F69"/>
    <w:rsid w:val="004D518D"/>
    <w:rsid w:val="004D51FE"/>
    <w:rsid w:val="004D5210"/>
    <w:rsid w:val="004D52B3"/>
    <w:rsid w:val="004D52CD"/>
    <w:rsid w:val="004D532C"/>
    <w:rsid w:val="004D5349"/>
    <w:rsid w:val="004D5476"/>
    <w:rsid w:val="004D551E"/>
    <w:rsid w:val="004D5557"/>
    <w:rsid w:val="004D57A7"/>
    <w:rsid w:val="004D57F0"/>
    <w:rsid w:val="004D5840"/>
    <w:rsid w:val="004D5850"/>
    <w:rsid w:val="004D59BD"/>
    <w:rsid w:val="004D5A26"/>
    <w:rsid w:val="004D5B8D"/>
    <w:rsid w:val="004D5B99"/>
    <w:rsid w:val="004D5C1C"/>
    <w:rsid w:val="004D5CAB"/>
    <w:rsid w:val="004D5D7C"/>
    <w:rsid w:val="004D5DE0"/>
    <w:rsid w:val="004D5ED7"/>
    <w:rsid w:val="004D5F04"/>
    <w:rsid w:val="004D61D7"/>
    <w:rsid w:val="004D6208"/>
    <w:rsid w:val="004D63D9"/>
    <w:rsid w:val="004D64DB"/>
    <w:rsid w:val="004D6512"/>
    <w:rsid w:val="004D6546"/>
    <w:rsid w:val="004D6624"/>
    <w:rsid w:val="004D663A"/>
    <w:rsid w:val="004D66AF"/>
    <w:rsid w:val="004D6CF3"/>
    <w:rsid w:val="004D6EE7"/>
    <w:rsid w:val="004D6F92"/>
    <w:rsid w:val="004D6FA4"/>
    <w:rsid w:val="004D7056"/>
    <w:rsid w:val="004D70B7"/>
    <w:rsid w:val="004D71D4"/>
    <w:rsid w:val="004D7250"/>
    <w:rsid w:val="004D7269"/>
    <w:rsid w:val="004D7322"/>
    <w:rsid w:val="004D74FD"/>
    <w:rsid w:val="004D75CD"/>
    <w:rsid w:val="004D75E5"/>
    <w:rsid w:val="004D7787"/>
    <w:rsid w:val="004D7B35"/>
    <w:rsid w:val="004D7C3D"/>
    <w:rsid w:val="004D7D1E"/>
    <w:rsid w:val="004D7D46"/>
    <w:rsid w:val="004D7DE8"/>
    <w:rsid w:val="004E00D3"/>
    <w:rsid w:val="004E00DD"/>
    <w:rsid w:val="004E01D7"/>
    <w:rsid w:val="004E0207"/>
    <w:rsid w:val="004E02D9"/>
    <w:rsid w:val="004E0354"/>
    <w:rsid w:val="004E0547"/>
    <w:rsid w:val="004E0566"/>
    <w:rsid w:val="004E06D6"/>
    <w:rsid w:val="004E08BC"/>
    <w:rsid w:val="004E0B77"/>
    <w:rsid w:val="004E0BE3"/>
    <w:rsid w:val="004E0CA9"/>
    <w:rsid w:val="004E0E21"/>
    <w:rsid w:val="004E0EF6"/>
    <w:rsid w:val="004E0FC9"/>
    <w:rsid w:val="004E10A4"/>
    <w:rsid w:val="004E17AD"/>
    <w:rsid w:val="004E17D0"/>
    <w:rsid w:val="004E1889"/>
    <w:rsid w:val="004E1994"/>
    <w:rsid w:val="004E19CF"/>
    <w:rsid w:val="004E1C03"/>
    <w:rsid w:val="004E1C7F"/>
    <w:rsid w:val="004E1D79"/>
    <w:rsid w:val="004E1D7C"/>
    <w:rsid w:val="004E1E05"/>
    <w:rsid w:val="004E1ED0"/>
    <w:rsid w:val="004E2057"/>
    <w:rsid w:val="004E21DA"/>
    <w:rsid w:val="004E2323"/>
    <w:rsid w:val="004E23A4"/>
    <w:rsid w:val="004E23DE"/>
    <w:rsid w:val="004E24CB"/>
    <w:rsid w:val="004E25B6"/>
    <w:rsid w:val="004E26A4"/>
    <w:rsid w:val="004E26D8"/>
    <w:rsid w:val="004E297C"/>
    <w:rsid w:val="004E2AF3"/>
    <w:rsid w:val="004E2B56"/>
    <w:rsid w:val="004E2B81"/>
    <w:rsid w:val="004E2C3E"/>
    <w:rsid w:val="004E2C8F"/>
    <w:rsid w:val="004E2D01"/>
    <w:rsid w:val="004E2E42"/>
    <w:rsid w:val="004E2FA9"/>
    <w:rsid w:val="004E315F"/>
    <w:rsid w:val="004E32E7"/>
    <w:rsid w:val="004E3336"/>
    <w:rsid w:val="004E3560"/>
    <w:rsid w:val="004E3612"/>
    <w:rsid w:val="004E3687"/>
    <w:rsid w:val="004E375A"/>
    <w:rsid w:val="004E379E"/>
    <w:rsid w:val="004E37AD"/>
    <w:rsid w:val="004E3854"/>
    <w:rsid w:val="004E394B"/>
    <w:rsid w:val="004E39F7"/>
    <w:rsid w:val="004E3A8F"/>
    <w:rsid w:val="004E3BD5"/>
    <w:rsid w:val="004E3C32"/>
    <w:rsid w:val="004E3D70"/>
    <w:rsid w:val="004E3F24"/>
    <w:rsid w:val="004E3F63"/>
    <w:rsid w:val="004E3FE0"/>
    <w:rsid w:val="004E4227"/>
    <w:rsid w:val="004E43B6"/>
    <w:rsid w:val="004E45AC"/>
    <w:rsid w:val="004E45B7"/>
    <w:rsid w:val="004E473A"/>
    <w:rsid w:val="004E4878"/>
    <w:rsid w:val="004E4A56"/>
    <w:rsid w:val="004E4CA4"/>
    <w:rsid w:val="004E4CD7"/>
    <w:rsid w:val="004E4D23"/>
    <w:rsid w:val="004E4EC6"/>
    <w:rsid w:val="004E5286"/>
    <w:rsid w:val="004E52CD"/>
    <w:rsid w:val="004E5426"/>
    <w:rsid w:val="004E563B"/>
    <w:rsid w:val="004E5846"/>
    <w:rsid w:val="004E5986"/>
    <w:rsid w:val="004E5A1B"/>
    <w:rsid w:val="004E5B2D"/>
    <w:rsid w:val="004E5B46"/>
    <w:rsid w:val="004E5B4F"/>
    <w:rsid w:val="004E5CFC"/>
    <w:rsid w:val="004E5DC2"/>
    <w:rsid w:val="004E5DFC"/>
    <w:rsid w:val="004E5F92"/>
    <w:rsid w:val="004E615D"/>
    <w:rsid w:val="004E6184"/>
    <w:rsid w:val="004E6295"/>
    <w:rsid w:val="004E634A"/>
    <w:rsid w:val="004E636F"/>
    <w:rsid w:val="004E646F"/>
    <w:rsid w:val="004E6588"/>
    <w:rsid w:val="004E6626"/>
    <w:rsid w:val="004E672B"/>
    <w:rsid w:val="004E6993"/>
    <w:rsid w:val="004E6D5A"/>
    <w:rsid w:val="004E6D6C"/>
    <w:rsid w:val="004E6D6E"/>
    <w:rsid w:val="004E6DA9"/>
    <w:rsid w:val="004E6DDB"/>
    <w:rsid w:val="004E6EA5"/>
    <w:rsid w:val="004E6F93"/>
    <w:rsid w:val="004E6F9C"/>
    <w:rsid w:val="004E6FDF"/>
    <w:rsid w:val="004E7070"/>
    <w:rsid w:val="004E7246"/>
    <w:rsid w:val="004E732B"/>
    <w:rsid w:val="004E7600"/>
    <w:rsid w:val="004E7690"/>
    <w:rsid w:val="004E7854"/>
    <w:rsid w:val="004E7AFE"/>
    <w:rsid w:val="004E7B63"/>
    <w:rsid w:val="004E7CD6"/>
    <w:rsid w:val="004E7D7E"/>
    <w:rsid w:val="004E7EDF"/>
    <w:rsid w:val="004E7FAB"/>
    <w:rsid w:val="004F0027"/>
    <w:rsid w:val="004F00B4"/>
    <w:rsid w:val="004F0227"/>
    <w:rsid w:val="004F0241"/>
    <w:rsid w:val="004F0289"/>
    <w:rsid w:val="004F07E3"/>
    <w:rsid w:val="004F0808"/>
    <w:rsid w:val="004F0988"/>
    <w:rsid w:val="004F0AC4"/>
    <w:rsid w:val="004F0B9D"/>
    <w:rsid w:val="004F0C21"/>
    <w:rsid w:val="004F0D03"/>
    <w:rsid w:val="004F0E7D"/>
    <w:rsid w:val="004F0F7A"/>
    <w:rsid w:val="004F1196"/>
    <w:rsid w:val="004F146B"/>
    <w:rsid w:val="004F14A8"/>
    <w:rsid w:val="004F14DE"/>
    <w:rsid w:val="004F14F1"/>
    <w:rsid w:val="004F1551"/>
    <w:rsid w:val="004F15F2"/>
    <w:rsid w:val="004F164B"/>
    <w:rsid w:val="004F1792"/>
    <w:rsid w:val="004F17EB"/>
    <w:rsid w:val="004F1C1A"/>
    <w:rsid w:val="004F1D0B"/>
    <w:rsid w:val="004F1D3B"/>
    <w:rsid w:val="004F1D8A"/>
    <w:rsid w:val="004F1DC5"/>
    <w:rsid w:val="004F1EC0"/>
    <w:rsid w:val="004F200F"/>
    <w:rsid w:val="004F2027"/>
    <w:rsid w:val="004F204D"/>
    <w:rsid w:val="004F2248"/>
    <w:rsid w:val="004F2387"/>
    <w:rsid w:val="004F2438"/>
    <w:rsid w:val="004F25A0"/>
    <w:rsid w:val="004F25E0"/>
    <w:rsid w:val="004F278C"/>
    <w:rsid w:val="004F29A6"/>
    <w:rsid w:val="004F2C9F"/>
    <w:rsid w:val="004F2D5E"/>
    <w:rsid w:val="004F3064"/>
    <w:rsid w:val="004F3082"/>
    <w:rsid w:val="004F30B7"/>
    <w:rsid w:val="004F30CD"/>
    <w:rsid w:val="004F3254"/>
    <w:rsid w:val="004F36CE"/>
    <w:rsid w:val="004F3A3F"/>
    <w:rsid w:val="004F3A75"/>
    <w:rsid w:val="004F3B18"/>
    <w:rsid w:val="004F3B62"/>
    <w:rsid w:val="004F3C9A"/>
    <w:rsid w:val="004F3CCD"/>
    <w:rsid w:val="004F3CE1"/>
    <w:rsid w:val="004F3ED8"/>
    <w:rsid w:val="004F40FF"/>
    <w:rsid w:val="004F4182"/>
    <w:rsid w:val="004F42E4"/>
    <w:rsid w:val="004F4303"/>
    <w:rsid w:val="004F46F8"/>
    <w:rsid w:val="004F4753"/>
    <w:rsid w:val="004F47C7"/>
    <w:rsid w:val="004F49C7"/>
    <w:rsid w:val="004F4A70"/>
    <w:rsid w:val="004F4B2A"/>
    <w:rsid w:val="004F4D5C"/>
    <w:rsid w:val="004F4DA2"/>
    <w:rsid w:val="004F4E15"/>
    <w:rsid w:val="004F4E95"/>
    <w:rsid w:val="004F4EC1"/>
    <w:rsid w:val="004F4F32"/>
    <w:rsid w:val="004F5150"/>
    <w:rsid w:val="004F5162"/>
    <w:rsid w:val="004F5164"/>
    <w:rsid w:val="004F52A1"/>
    <w:rsid w:val="004F53DA"/>
    <w:rsid w:val="004F549B"/>
    <w:rsid w:val="004F5542"/>
    <w:rsid w:val="004F5572"/>
    <w:rsid w:val="004F573F"/>
    <w:rsid w:val="004F5873"/>
    <w:rsid w:val="004F59A4"/>
    <w:rsid w:val="004F5AF9"/>
    <w:rsid w:val="004F5B3A"/>
    <w:rsid w:val="004F5BC8"/>
    <w:rsid w:val="004F5BEB"/>
    <w:rsid w:val="004F5C44"/>
    <w:rsid w:val="004F5EBC"/>
    <w:rsid w:val="004F5F1C"/>
    <w:rsid w:val="004F639E"/>
    <w:rsid w:val="004F63D2"/>
    <w:rsid w:val="004F6452"/>
    <w:rsid w:val="004F646D"/>
    <w:rsid w:val="004F64F6"/>
    <w:rsid w:val="004F65A3"/>
    <w:rsid w:val="004F6864"/>
    <w:rsid w:val="004F68BB"/>
    <w:rsid w:val="004F6900"/>
    <w:rsid w:val="004F6A33"/>
    <w:rsid w:val="004F6A4A"/>
    <w:rsid w:val="004F6AE3"/>
    <w:rsid w:val="004F6CF6"/>
    <w:rsid w:val="004F6D60"/>
    <w:rsid w:val="004F6F3F"/>
    <w:rsid w:val="004F6FF3"/>
    <w:rsid w:val="004F7059"/>
    <w:rsid w:val="004F71B0"/>
    <w:rsid w:val="004F7384"/>
    <w:rsid w:val="004F73F6"/>
    <w:rsid w:val="004F7408"/>
    <w:rsid w:val="004F74CE"/>
    <w:rsid w:val="004F757B"/>
    <w:rsid w:val="004F7647"/>
    <w:rsid w:val="004F77B8"/>
    <w:rsid w:val="004F7873"/>
    <w:rsid w:val="004F790C"/>
    <w:rsid w:val="004F794A"/>
    <w:rsid w:val="004F79D0"/>
    <w:rsid w:val="004F7B81"/>
    <w:rsid w:val="004F7BA1"/>
    <w:rsid w:val="004F7BB3"/>
    <w:rsid w:val="004F7C22"/>
    <w:rsid w:val="004F7CAD"/>
    <w:rsid w:val="004F7D04"/>
    <w:rsid w:val="004F7D4E"/>
    <w:rsid w:val="004F7FD9"/>
    <w:rsid w:val="004F7FDC"/>
    <w:rsid w:val="00500038"/>
    <w:rsid w:val="00500144"/>
    <w:rsid w:val="005002E2"/>
    <w:rsid w:val="00500512"/>
    <w:rsid w:val="005005BB"/>
    <w:rsid w:val="0050064D"/>
    <w:rsid w:val="00500A3F"/>
    <w:rsid w:val="00500A5E"/>
    <w:rsid w:val="00500C43"/>
    <w:rsid w:val="00500C70"/>
    <w:rsid w:val="00500D1F"/>
    <w:rsid w:val="00500E54"/>
    <w:rsid w:val="00500EB1"/>
    <w:rsid w:val="00500F1F"/>
    <w:rsid w:val="00500F2C"/>
    <w:rsid w:val="0050101F"/>
    <w:rsid w:val="0050106F"/>
    <w:rsid w:val="00501087"/>
    <w:rsid w:val="005010D5"/>
    <w:rsid w:val="005010E2"/>
    <w:rsid w:val="005010F2"/>
    <w:rsid w:val="00501341"/>
    <w:rsid w:val="005014D2"/>
    <w:rsid w:val="0050157B"/>
    <w:rsid w:val="005015EC"/>
    <w:rsid w:val="0050162B"/>
    <w:rsid w:val="005018B1"/>
    <w:rsid w:val="00501C28"/>
    <w:rsid w:val="00501C7A"/>
    <w:rsid w:val="00501D8B"/>
    <w:rsid w:val="00501DC4"/>
    <w:rsid w:val="00501EE7"/>
    <w:rsid w:val="00502298"/>
    <w:rsid w:val="00502421"/>
    <w:rsid w:val="00502462"/>
    <w:rsid w:val="0050260D"/>
    <w:rsid w:val="00502663"/>
    <w:rsid w:val="005026C6"/>
    <w:rsid w:val="00502893"/>
    <w:rsid w:val="005028CA"/>
    <w:rsid w:val="00502956"/>
    <w:rsid w:val="00502983"/>
    <w:rsid w:val="00502A0A"/>
    <w:rsid w:val="00502CDD"/>
    <w:rsid w:val="00502D56"/>
    <w:rsid w:val="00502D7B"/>
    <w:rsid w:val="00502E46"/>
    <w:rsid w:val="00502EFA"/>
    <w:rsid w:val="00502F1C"/>
    <w:rsid w:val="00503146"/>
    <w:rsid w:val="00503276"/>
    <w:rsid w:val="00503339"/>
    <w:rsid w:val="0050358C"/>
    <w:rsid w:val="0050362D"/>
    <w:rsid w:val="0050367C"/>
    <w:rsid w:val="0050391A"/>
    <w:rsid w:val="005039F9"/>
    <w:rsid w:val="00503A06"/>
    <w:rsid w:val="00503B98"/>
    <w:rsid w:val="0050452D"/>
    <w:rsid w:val="005045A7"/>
    <w:rsid w:val="00504641"/>
    <w:rsid w:val="00504788"/>
    <w:rsid w:val="005047D9"/>
    <w:rsid w:val="00504A35"/>
    <w:rsid w:val="00504BCA"/>
    <w:rsid w:val="00504D9A"/>
    <w:rsid w:val="00504E06"/>
    <w:rsid w:val="00505045"/>
    <w:rsid w:val="00505144"/>
    <w:rsid w:val="00505150"/>
    <w:rsid w:val="00505156"/>
    <w:rsid w:val="00505396"/>
    <w:rsid w:val="00505430"/>
    <w:rsid w:val="0050544B"/>
    <w:rsid w:val="005054CC"/>
    <w:rsid w:val="005056F0"/>
    <w:rsid w:val="005057EA"/>
    <w:rsid w:val="0050582B"/>
    <w:rsid w:val="00505AE7"/>
    <w:rsid w:val="00505BE3"/>
    <w:rsid w:val="00505E9F"/>
    <w:rsid w:val="00505EF5"/>
    <w:rsid w:val="00505F10"/>
    <w:rsid w:val="00505F6E"/>
    <w:rsid w:val="00506015"/>
    <w:rsid w:val="005060AA"/>
    <w:rsid w:val="005060AE"/>
    <w:rsid w:val="005060B6"/>
    <w:rsid w:val="005061BA"/>
    <w:rsid w:val="0050624E"/>
    <w:rsid w:val="00506388"/>
    <w:rsid w:val="0050645C"/>
    <w:rsid w:val="0050650E"/>
    <w:rsid w:val="0050664D"/>
    <w:rsid w:val="00506675"/>
    <w:rsid w:val="0050675D"/>
    <w:rsid w:val="005068BE"/>
    <w:rsid w:val="005068CC"/>
    <w:rsid w:val="00506BD9"/>
    <w:rsid w:val="00506FC3"/>
    <w:rsid w:val="00507029"/>
    <w:rsid w:val="00507065"/>
    <w:rsid w:val="00507107"/>
    <w:rsid w:val="00507174"/>
    <w:rsid w:val="0050733E"/>
    <w:rsid w:val="005074AE"/>
    <w:rsid w:val="0050751D"/>
    <w:rsid w:val="00507620"/>
    <w:rsid w:val="0050765C"/>
    <w:rsid w:val="00507701"/>
    <w:rsid w:val="00507752"/>
    <w:rsid w:val="005077DA"/>
    <w:rsid w:val="00507896"/>
    <w:rsid w:val="005079F0"/>
    <w:rsid w:val="00507CC7"/>
    <w:rsid w:val="00507D9A"/>
    <w:rsid w:val="0051005E"/>
    <w:rsid w:val="00510119"/>
    <w:rsid w:val="005101D0"/>
    <w:rsid w:val="0051075E"/>
    <w:rsid w:val="005108AE"/>
    <w:rsid w:val="005109DD"/>
    <w:rsid w:val="00510A7A"/>
    <w:rsid w:val="00510AA0"/>
    <w:rsid w:val="00510B38"/>
    <w:rsid w:val="00510CBC"/>
    <w:rsid w:val="00510CE2"/>
    <w:rsid w:val="0051101E"/>
    <w:rsid w:val="005111AC"/>
    <w:rsid w:val="00511256"/>
    <w:rsid w:val="005112CC"/>
    <w:rsid w:val="00511390"/>
    <w:rsid w:val="005113E5"/>
    <w:rsid w:val="00511499"/>
    <w:rsid w:val="00511741"/>
    <w:rsid w:val="005117D2"/>
    <w:rsid w:val="0051187E"/>
    <w:rsid w:val="00511A21"/>
    <w:rsid w:val="00511AC0"/>
    <w:rsid w:val="00511BC5"/>
    <w:rsid w:val="00511C49"/>
    <w:rsid w:val="00511CEA"/>
    <w:rsid w:val="00511D73"/>
    <w:rsid w:val="00511E3A"/>
    <w:rsid w:val="00511F0D"/>
    <w:rsid w:val="0051210B"/>
    <w:rsid w:val="00512209"/>
    <w:rsid w:val="00512395"/>
    <w:rsid w:val="0051261A"/>
    <w:rsid w:val="0051261D"/>
    <w:rsid w:val="00512758"/>
    <w:rsid w:val="00512844"/>
    <w:rsid w:val="005128DF"/>
    <w:rsid w:val="005129A2"/>
    <w:rsid w:val="00512AE8"/>
    <w:rsid w:val="00512C07"/>
    <w:rsid w:val="00512C09"/>
    <w:rsid w:val="00512DA2"/>
    <w:rsid w:val="00513261"/>
    <w:rsid w:val="00513364"/>
    <w:rsid w:val="00513795"/>
    <w:rsid w:val="00513832"/>
    <w:rsid w:val="00513880"/>
    <w:rsid w:val="005138B8"/>
    <w:rsid w:val="00513A68"/>
    <w:rsid w:val="00513B6E"/>
    <w:rsid w:val="00513E4A"/>
    <w:rsid w:val="00513E90"/>
    <w:rsid w:val="00513F55"/>
    <w:rsid w:val="00514173"/>
    <w:rsid w:val="00514186"/>
    <w:rsid w:val="005144BF"/>
    <w:rsid w:val="005146F8"/>
    <w:rsid w:val="0051472B"/>
    <w:rsid w:val="00514991"/>
    <w:rsid w:val="00514A77"/>
    <w:rsid w:val="00514B76"/>
    <w:rsid w:val="00514D99"/>
    <w:rsid w:val="00514DC3"/>
    <w:rsid w:val="00514E13"/>
    <w:rsid w:val="00514F47"/>
    <w:rsid w:val="00515021"/>
    <w:rsid w:val="0051512C"/>
    <w:rsid w:val="0051514B"/>
    <w:rsid w:val="00515210"/>
    <w:rsid w:val="00515278"/>
    <w:rsid w:val="005153D0"/>
    <w:rsid w:val="0051551C"/>
    <w:rsid w:val="005155F4"/>
    <w:rsid w:val="00515698"/>
    <w:rsid w:val="00515A46"/>
    <w:rsid w:val="00515BD1"/>
    <w:rsid w:val="00516094"/>
    <w:rsid w:val="005160A2"/>
    <w:rsid w:val="005160F6"/>
    <w:rsid w:val="005161E3"/>
    <w:rsid w:val="00516282"/>
    <w:rsid w:val="005162B2"/>
    <w:rsid w:val="00516322"/>
    <w:rsid w:val="0051635E"/>
    <w:rsid w:val="0051637C"/>
    <w:rsid w:val="00516380"/>
    <w:rsid w:val="005163EF"/>
    <w:rsid w:val="00516405"/>
    <w:rsid w:val="00516552"/>
    <w:rsid w:val="00516588"/>
    <w:rsid w:val="00516696"/>
    <w:rsid w:val="00516890"/>
    <w:rsid w:val="005168B6"/>
    <w:rsid w:val="00516AB1"/>
    <w:rsid w:val="00516DE2"/>
    <w:rsid w:val="00516F54"/>
    <w:rsid w:val="00516FFC"/>
    <w:rsid w:val="005170E4"/>
    <w:rsid w:val="00517189"/>
    <w:rsid w:val="005171D6"/>
    <w:rsid w:val="00517343"/>
    <w:rsid w:val="005173AC"/>
    <w:rsid w:val="005173E2"/>
    <w:rsid w:val="005174E3"/>
    <w:rsid w:val="0051771A"/>
    <w:rsid w:val="00517728"/>
    <w:rsid w:val="0051795B"/>
    <w:rsid w:val="00517A72"/>
    <w:rsid w:val="00517B1F"/>
    <w:rsid w:val="00517BC2"/>
    <w:rsid w:val="00517BFE"/>
    <w:rsid w:val="00517C08"/>
    <w:rsid w:val="00517CF7"/>
    <w:rsid w:val="00517D82"/>
    <w:rsid w:val="00517E97"/>
    <w:rsid w:val="005201BE"/>
    <w:rsid w:val="005201E6"/>
    <w:rsid w:val="00520267"/>
    <w:rsid w:val="0052028F"/>
    <w:rsid w:val="00520382"/>
    <w:rsid w:val="005203FE"/>
    <w:rsid w:val="0052048A"/>
    <w:rsid w:val="0052049B"/>
    <w:rsid w:val="005204CA"/>
    <w:rsid w:val="0052053F"/>
    <w:rsid w:val="00520569"/>
    <w:rsid w:val="00520748"/>
    <w:rsid w:val="0052077C"/>
    <w:rsid w:val="00520849"/>
    <w:rsid w:val="00520889"/>
    <w:rsid w:val="005208E6"/>
    <w:rsid w:val="00520915"/>
    <w:rsid w:val="0052092F"/>
    <w:rsid w:val="005209FF"/>
    <w:rsid w:val="00520C62"/>
    <w:rsid w:val="00520CAB"/>
    <w:rsid w:val="00520D4D"/>
    <w:rsid w:val="00520D88"/>
    <w:rsid w:val="005211A5"/>
    <w:rsid w:val="0052137C"/>
    <w:rsid w:val="005214F4"/>
    <w:rsid w:val="005215A2"/>
    <w:rsid w:val="0052161B"/>
    <w:rsid w:val="00521682"/>
    <w:rsid w:val="005216AE"/>
    <w:rsid w:val="00521715"/>
    <w:rsid w:val="005217B9"/>
    <w:rsid w:val="00521882"/>
    <w:rsid w:val="00521993"/>
    <w:rsid w:val="005219B4"/>
    <w:rsid w:val="005219BC"/>
    <w:rsid w:val="005219D5"/>
    <w:rsid w:val="00521A82"/>
    <w:rsid w:val="00521A9E"/>
    <w:rsid w:val="00521B92"/>
    <w:rsid w:val="00521C24"/>
    <w:rsid w:val="00521D23"/>
    <w:rsid w:val="00521D6A"/>
    <w:rsid w:val="00521E1D"/>
    <w:rsid w:val="00521E4F"/>
    <w:rsid w:val="00521E70"/>
    <w:rsid w:val="00521F07"/>
    <w:rsid w:val="00521F1D"/>
    <w:rsid w:val="0052212D"/>
    <w:rsid w:val="00522205"/>
    <w:rsid w:val="00522276"/>
    <w:rsid w:val="005222DD"/>
    <w:rsid w:val="0052250F"/>
    <w:rsid w:val="00522516"/>
    <w:rsid w:val="005225AD"/>
    <w:rsid w:val="0052260D"/>
    <w:rsid w:val="00522622"/>
    <w:rsid w:val="00522868"/>
    <w:rsid w:val="005228A8"/>
    <w:rsid w:val="005228CE"/>
    <w:rsid w:val="00522A1D"/>
    <w:rsid w:val="00522AFE"/>
    <w:rsid w:val="00522C6B"/>
    <w:rsid w:val="00522DC7"/>
    <w:rsid w:val="00522E25"/>
    <w:rsid w:val="00522E7C"/>
    <w:rsid w:val="00523106"/>
    <w:rsid w:val="00523127"/>
    <w:rsid w:val="00523129"/>
    <w:rsid w:val="005231E3"/>
    <w:rsid w:val="00523483"/>
    <w:rsid w:val="005234AF"/>
    <w:rsid w:val="00523547"/>
    <w:rsid w:val="00523723"/>
    <w:rsid w:val="005237ED"/>
    <w:rsid w:val="00523849"/>
    <w:rsid w:val="005239CC"/>
    <w:rsid w:val="005239E1"/>
    <w:rsid w:val="005239E8"/>
    <w:rsid w:val="00523C55"/>
    <w:rsid w:val="00523D70"/>
    <w:rsid w:val="00523F66"/>
    <w:rsid w:val="00523F8E"/>
    <w:rsid w:val="00524375"/>
    <w:rsid w:val="0052443E"/>
    <w:rsid w:val="00524561"/>
    <w:rsid w:val="00524590"/>
    <w:rsid w:val="005245AC"/>
    <w:rsid w:val="00524602"/>
    <w:rsid w:val="005247D8"/>
    <w:rsid w:val="005249B7"/>
    <w:rsid w:val="00524A98"/>
    <w:rsid w:val="00524C0C"/>
    <w:rsid w:val="00524C19"/>
    <w:rsid w:val="00524CB7"/>
    <w:rsid w:val="00524D8A"/>
    <w:rsid w:val="00524E24"/>
    <w:rsid w:val="00524E2F"/>
    <w:rsid w:val="005250D8"/>
    <w:rsid w:val="00525138"/>
    <w:rsid w:val="00525168"/>
    <w:rsid w:val="005251CA"/>
    <w:rsid w:val="005251FB"/>
    <w:rsid w:val="00525209"/>
    <w:rsid w:val="005252E3"/>
    <w:rsid w:val="005253C3"/>
    <w:rsid w:val="005253DC"/>
    <w:rsid w:val="00525436"/>
    <w:rsid w:val="00525484"/>
    <w:rsid w:val="00525559"/>
    <w:rsid w:val="0052567A"/>
    <w:rsid w:val="0052571E"/>
    <w:rsid w:val="00525727"/>
    <w:rsid w:val="0052588D"/>
    <w:rsid w:val="00525966"/>
    <w:rsid w:val="00525AC6"/>
    <w:rsid w:val="00525AD8"/>
    <w:rsid w:val="00525B05"/>
    <w:rsid w:val="00525B60"/>
    <w:rsid w:val="00525C7F"/>
    <w:rsid w:val="00525C83"/>
    <w:rsid w:val="00525CE6"/>
    <w:rsid w:val="00525E62"/>
    <w:rsid w:val="00525EB0"/>
    <w:rsid w:val="00525FDC"/>
    <w:rsid w:val="005262B8"/>
    <w:rsid w:val="00526309"/>
    <w:rsid w:val="005263C7"/>
    <w:rsid w:val="005264D9"/>
    <w:rsid w:val="005265C0"/>
    <w:rsid w:val="005267A2"/>
    <w:rsid w:val="005267E8"/>
    <w:rsid w:val="00526853"/>
    <w:rsid w:val="0052688D"/>
    <w:rsid w:val="00526898"/>
    <w:rsid w:val="005268A4"/>
    <w:rsid w:val="005268D7"/>
    <w:rsid w:val="005268FA"/>
    <w:rsid w:val="0052699C"/>
    <w:rsid w:val="00526BEB"/>
    <w:rsid w:val="00526BF8"/>
    <w:rsid w:val="00526C71"/>
    <w:rsid w:val="00526CB0"/>
    <w:rsid w:val="00526CEB"/>
    <w:rsid w:val="00526E36"/>
    <w:rsid w:val="00526F31"/>
    <w:rsid w:val="0052701B"/>
    <w:rsid w:val="005273B0"/>
    <w:rsid w:val="005275DD"/>
    <w:rsid w:val="0052771C"/>
    <w:rsid w:val="0052773E"/>
    <w:rsid w:val="00527760"/>
    <w:rsid w:val="005278F1"/>
    <w:rsid w:val="00527B16"/>
    <w:rsid w:val="00527B4F"/>
    <w:rsid w:val="00527BCF"/>
    <w:rsid w:val="00527C62"/>
    <w:rsid w:val="00527D1A"/>
    <w:rsid w:val="00527F21"/>
    <w:rsid w:val="00527FB2"/>
    <w:rsid w:val="0053009F"/>
    <w:rsid w:val="00530121"/>
    <w:rsid w:val="005301C1"/>
    <w:rsid w:val="00530214"/>
    <w:rsid w:val="00530305"/>
    <w:rsid w:val="0053072B"/>
    <w:rsid w:val="005307A8"/>
    <w:rsid w:val="005308FD"/>
    <w:rsid w:val="00530945"/>
    <w:rsid w:val="005309C9"/>
    <w:rsid w:val="00530B61"/>
    <w:rsid w:val="00530BCC"/>
    <w:rsid w:val="00530BD3"/>
    <w:rsid w:val="00530BDB"/>
    <w:rsid w:val="00530C18"/>
    <w:rsid w:val="00530C6D"/>
    <w:rsid w:val="00530D32"/>
    <w:rsid w:val="00530E1E"/>
    <w:rsid w:val="00530E6E"/>
    <w:rsid w:val="00531056"/>
    <w:rsid w:val="005310D7"/>
    <w:rsid w:val="00531107"/>
    <w:rsid w:val="00531129"/>
    <w:rsid w:val="0053128E"/>
    <w:rsid w:val="005312FE"/>
    <w:rsid w:val="0053150A"/>
    <w:rsid w:val="00531598"/>
    <w:rsid w:val="00531822"/>
    <w:rsid w:val="00531917"/>
    <w:rsid w:val="00531C20"/>
    <w:rsid w:val="00531E48"/>
    <w:rsid w:val="00532142"/>
    <w:rsid w:val="00532284"/>
    <w:rsid w:val="0053237E"/>
    <w:rsid w:val="0053246C"/>
    <w:rsid w:val="0053247C"/>
    <w:rsid w:val="005324F8"/>
    <w:rsid w:val="0053252A"/>
    <w:rsid w:val="00532615"/>
    <w:rsid w:val="00532694"/>
    <w:rsid w:val="005326AF"/>
    <w:rsid w:val="00532774"/>
    <w:rsid w:val="005328AE"/>
    <w:rsid w:val="005329B1"/>
    <w:rsid w:val="00532A91"/>
    <w:rsid w:val="00532AB2"/>
    <w:rsid w:val="00532B69"/>
    <w:rsid w:val="00532CEC"/>
    <w:rsid w:val="00532E3C"/>
    <w:rsid w:val="00532F3C"/>
    <w:rsid w:val="00532F92"/>
    <w:rsid w:val="00532FB1"/>
    <w:rsid w:val="0053323A"/>
    <w:rsid w:val="00533552"/>
    <w:rsid w:val="00533584"/>
    <w:rsid w:val="005337CF"/>
    <w:rsid w:val="00533813"/>
    <w:rsid w:val="00533B79"/>
    <w:rsid w:val="00533CE8"/>
    <w:rsid w:val="00533E11"/>
    <w:rsid w:val="00533E95"/>
    <w:rsid w:val="00533F9C"/>
    <w:rsid w:val="00534451"/>
    <w:rsid w:val="005344EE"/>
    <w:rsid w:val="0053453D"/>
    <w:rsid w:val="0053462D"/>
    <w:rsid w:val="0053482C"/>
    <w:rsid w:val="00534993"/>
    <w:rsid w:val="00534A83"/>
    <w:rsid w:val="00534CC8"/>
    <w:rsid w:val="00534CE8"/>
    <w:rsid w:val="00534D8B"/>
    <w:rsid w:val="00534DB7"/>
    <w:rsid w:val="00534E9B"/>
    <w:rsid w:val="00535089"/>
    <w:rsid w:val="005350BB"/>
    <w:rsid w:val="00535122"/>
    <w:rsid w:val="0053526D"/>
    <w:rsid w:val="00535311"/>
    <w:rsid w:val="005353A1"/>
    <w:rsid w:val="00535516"/>
    <w:rsid w:val="005356F1"/>
    <w:rsid w:val="00535736"/>
    <w:rsid w:val="00535903"/>
    <w:rsid w:val="0053590A"/>
    <w:rsid w:val="00535A95"/>
    <w:rsid w:val="00535AC7"/>
    <w:rsid w:val="00535B35"/>
    <w:rsid w:val="00535D7E"/>
    <w:rsid w:val="00535DB6"/>
    <w:rsid w:val="00535DEE"/>
    <w:rsid w:val="00535F56"/>
    <w:rsid w:val="00536119"/>
    <w:rsid w:val="0053626B"/>
    <w:rsid w:val="00536382"/>
    <w:rsid w:val="005363D2"/>
    <w:rsid w:val="0053645D"/>
    <w:rsid w:val="005364B3"/>
    <w:rsid w:val="00536503"/>
    <w:rsid w:val="00536527"/>
    <w:rsid w:val="00536536"/>
    <w:rsid w:val="00536615"/>
    <w:rsid w:val="00536627"/>
    <w:rsid w:val="00536640"/>
    <w:rsid w:val="005366AA"/>
    <w:rsid w:val="0053690B"/>
    <w:rsid w:val="005369C2"/>
    <w:rsid w:val="00536B75"/>
    <w:rsid w:val="00536C35"/>
    <w:rsid w:val="00536CDE"/>
    <w:rsid w:val="00536D2C"/>
    <w:rsid w:val="00536DDB"/>
    <w:rsid w:val="00536E8A"/>
    <w:rsid w:val="00536F34"/>
    <w:rsid w:val="0053708A"/>
    <w:rsid w:val="005370AB"/>
    <w:rsid w:val="0053722D"/>
    <w:rsid w:val="00537283"/>
    <w:rsid w:val="00537296"/>
    <w:rsid w:val="0053734D"/>
    <w:rsid w:val="00537371"/>
    <w:rsid w:val="005373C9"/>
    <w:rsid w:val="005373E2"/>
    <w:rsid w:val="0053744C"/>
    <w:rsid w:val="0053746C"/>
    <w:rsid w:val="005374FB"/>
    <w:rsid w:val="00537586"/>
    <w:rsid w:val="005375B3"/>
    <w:rsid w:val="005375D9"/>
    <w:rsid w:val="00537636"/>
    <w:rsid w:val="00537770"/>
    <w:rsid w:val="00537789"/>
    <w:rsid w:val="005377D0"/>
    <w:rsid w:val="0053785F"/>
    <w:rsid w:val="0053786B"/>
    <w:rsid w:val="00537930"/>
    <w:rsid w:val="0053793A"/>
    <w:rsid w:val="00537A4E"/>
    <w:rsid w:val="00537AF6"/>
    <w:rsid w:val="00537D30"/>
    <w:rsid w:val="00537EAA"/>
    <w:rsid w:val="00537ED4"/>
    <w:rsid w:val="005400F8"/>
    <w:rsid w:val="0054011A"/>
    <w:rsid w:val="0054022C"/>
    <w:rsid w:val="00540529"/>
    <w:rsid w:val="005405D7"/>
    <w:rsid w:val="00540750"/>
    <w:rsid w:val="00540A09"/>
    <w:rsid w:val="00540A91"/>
    <w:rsid w:val="00540B4F"/>
    <w:rsid w:val="00540B83"/>
    <w:rsid w:val="00540D98"/>
    <w:rsid w:val="00540EDF"/>
    <w:rsid w:val="00540F53"/>
    <w:rsid w:val="005411FA"/>
    <w:rsid w:val="00541306"/>
    <w:rsid w:val="00541355"/>
    <w:rsid w:val="0054136D"/>
    <w:rsid w:val="005413AB"/>
    <w:rsid w:val="0054156A"/>
    <w:rsid w:val="0054165A"/>
    <w:rsid w:val="00541760"/>
    <w:rsid w:val="00541969"/>
    <w:rsid w:val="00541BA8"/>
    <w:rsid w:val="00541BE6"/>
    <w:rsid w:val="00541CB7"/>
    <w:rsid w:val="00541DC3"/>
    <w:rsid w:val="00541E61"/>
    <w:rsid w:val="00541EB6"/>
    <w:rsid w:val="00541F34"/>
    <w:rsid w:val="00542075"/>
    <w:rsid w:val="0054214C"/>
    <w:rsid w:val="00542203"/>
    <w:rsid w:val="00542305"/>
    <w:rsid w:val="005423C4"/>
    <w:rsid w:val="0054242F"/>
    <w:rsid w:val="00542636"/>
    <w:rsid w:val="00542784"/>
    <w:rsid w:val="005427CD"/>
    <w:rsid w:val="005427D2"/>
    <w:rsid w:val="005429B5"/>
    <w:rsid w:val="00542B31"/>
    <w:rsid w:val="00542BB9"/>
    <w:rsid w:val="00542DA8"/>
    <w:rsid w:val="00542F27"/>
    <w:rsid w:val="0054309B"/>
    <w:rsid w:val="005430D8"/>
    <w:rsid w:val="00543213"/>
    <w:rsid w:val="00543329"/>
    <w:rsid w:val="00543355"/>
    <w:rsid w:val="005433F3"/>
    <w:rsid w:val="005434DA"/>
    <w:rsid w:val="00543503"/>
    <w:rsid w:val="00543570"/>
    <w:rsid w:val="005436E9"/>
    <w:rsid w:val="005437AC"/>
    <w:rsid w:val="0054388A"/>
    <w:rsid w:val="005438B3"/>
    <w:rsid w:val="005439A6"/>
    <w:rsid w:val="00543A0D"/>
    <w:rsid w:val="00543A28"/>
    <w:rsid w:val="00543B39"/>
    <w:rsid w:val="00543B83"/>
    <w:rsid w:val="00543BE5"/>
    <w:rsid w:val="00543D77"/>
    <w:rsid w:val="00543EEE"/>
    <w:rsid w:val="00543FDA"/>
    <w:rsid w:val="00544002"/>
    <w:rsid w:val="0054410B"/>
    <w:rsid w:val="00544127"/>
    <w:rsid w:val="00544151"/>
    <w:rsid w:val="00544246"/>
    <w:rsid w:val="0054441E"/>
    <w:rsid w:val="00544441"/>
    <w:rsid w:val="00544806"/>
    <w:rsid w:val="0054484F"/>
    <w:rsid w:val="005449D0"/>
    <w:rsid w:val="00544ABF"/>
    <w:rsid w:val="00544AE8"/>
    <w:rsid w:val="00544BBC"/>
    <w:rsid w:val="00544EE8"/>
    <w:rsid w:val="005452BE"/>
    <w:rsid w:val="0054548B"/>
    <w:rsid w:val="00545A1F"/>
    <w:rsid w:val="00545AD8"/>
    <w:rsid w:val="00545B01"/>
    <w:rsid w:val="00545C48"/>
    <w:rsid w:val="00545C73"/>
    <w:rsid w:val="00545C94"/>
    <w:rsid w:val="00545D64"/>
    <w:rsid w:val="00545DD3"/>
    <w:rsid w:val="00545E78"/>
    <w:rsid w:val="00545EEF"/>
    <w:rsid w:val="00546030"/>
    <w:rsid w:val="005460F9"/>
    <w:rsid w:val="00546105"/>
    <w:rsid w:val="0054624D"/>
    <w:rsid w:val="00546693"/>
    <w:rsid w:val="00546699"/>
    <w:rsid w:val="005467A8"/>
    <w:rsid w:val="005467BC"/>
    <w:rsid w:val="00546825"/>
    <w:rsid w:val="00546881"/>
    <w:rsid w:val="0054697A"/>
    <w:rsid w:val="00546B2A"/>
    <w:rsid w:val="00546BAC"/>
    <w:rsid w:val="00546BE8"/>
    <w:rsid w:val="00546C5C"/>
    <w:rsid w:val="00546C6C"/>
    <w:rsid w:val="00546CA5"/>
    <w:rsid w:val="00546CE2"/>
    <w:rsid w:val="00546DBA"/>
    <w:rsid w:val="00546E7C"/>
    <w:rsid w:val="00546FA6"/>
    <w:rsid w:val="00547040"/>
    <w:rsid w:val="00547183"/>
    <w:rsid w:val="00547290"/>
    <w:rsid w:val="0054772E"/>
    <w:rsid w:val="0054774E"/>
    <w:rsid w:val="0054776C"/>
    <w:rsid w:val="005478CB"/>
    <w:rsid w:val="00547967"/>
    <w:rsid w:val="00547A3D"/>
    <w:rsid w:val="00547D8F"/>
    <w:rsid w:val="0055007C"/>
    <w:rsid w:val="0055009C"/>
    <w:rsid w:val="005500DA"/>
    <w:rsid w:val="005501D9"/>
    <w:rsid w:val="005501FE"/>
    <w:rsid w:val="00550373"/>
    <w:rsid w:val="005503E8"/>
    <w:rsid w:val="00550469"/>
    <w:rsid w:val="005505EB"/>
    <w:rsid w:val="005506F6"/>
    <w:rsid w:val="00550837"/>
    <w:rsid w:val="0055086F"/>
    <w:rsid w:val="00550A55"/>
    <w:rsid w:val="00550BF9"/>
    <w:rsid w:val="00550C99"/>
    <w:rsid w:val="00550F36"/>
    <w:rsid w:val="00550FF3"/>
    <w:rsid w:val="00551079"/>
    <w:rsid w:val="005514CF"/>
    <w:rsid w:val="005515B4"/>
    <w:rsid w:val="005517EC"/>
    <w:rsid w:val="0055185A"/>
    <w:rsid w:val="0055190F"/>
    <w:rsid w:val="0055194E"/>
    <w:rsid w:val="005519C6"/>
    <w:rsid w:val="00551BB0"/>
    <w:rsid w:val="00551FD8"/>
    <w:rsid w:val="00551FEC"/>
    <w:rsid w:val="00552079"/>
    <w:rsid w:val="0055207E"/>
    <w:rsid w:val="0055208C"/>
    <w:rsid w:val="00552092"/>
    <w:rsid w:val="005520E9"/>
    <w:rsid w:val="0055218E"/>
    <w:rsid w:val="00552412"/>
    <w:rsid w:val="0055258D"/>
    <w:rsid w:val="005526BB"/>
    <w:rsid w:val="00552885"/>
    <w:rsid w:val="005529AA"/>
    <w:rsid w:val="00552A0C"/>
    <w:rsid w:val="00552AAB"/>
    <w:rsid w:val="00552B69"/>
    <w:rsid w:val="00552CE4"/>
    <w:rsid w:val="00552DF9"/>
    <w:rsid w:val="00552E6D"/>
    <w:rsid w:val="00552E8D"/>
    <w:rsid w:val="00553075"/>
    <w:rsid w:val="005530BE"/>
    <w:rsid w:val="0055326C"/>
    <w:rsid w:val="005533CB"/>
    <w:rsid w:val="00553463"/>
    <w:rsid w:val="005536A9"/>
    <w:rsid w:val="0055371B"/>
    <w:rsid w:val="0055388E"/>
    <w:rsid w:val="00553992"/>
    <w:rsid w:val="005539B3"/>
    <w:rsid w:val="00553B05"/>
    <w:rsid w:val="00553D25"/>
    <w:rsid w:val="00553DE2"/>
    <w:rsid w:val="00553DF9"/>
    <w:rsid w:val="00553E01"/>
    <w:rsid w:val="00553E1B"/>
    <w:rsid w:val="00553EF1"/>
    <w:rsid w:val="00553F83"/>
    <w:rsid w:val="00554187"/>
    <w:rsid w:val="0055419A"/>
    <w:rsid w:val="00554306"/>
    <w:rsid w:val="005543A4"/>
    <w:rsid w:val="005543E9"/>
    <w:rsid w:val="00554465"/>
    <w:rsid w:val="0055464F"/>
    <w:rsid w:val="005546E8"/>
    <w:rsid w:val="005548B8"/>
    <w:rsid w:val="00554ABE"/>
    <w:rsid w:val="00554C80"/>
    <w:rsid w:val="00554E33"/>
    <w:rsid w:val="00554F33"/>
    <w:rsid w:val="005551EF"/>
    <w:rsid w:val="005552B2"/>
    <w:rsid w:val="00555569"/>
    <w:rsid w:val="0055558A"/>
    <w:rsid w:val="0055582C"/>
    <w:rsid w:val="0055589C"/>
    <w:rsid w:val="005558BC"/>
    <w:rsid w:val="005558CA"/>
    <w:rsid w:val="0055596C"/>
    <w:rsid w:val="00555986"/>
    <w:rsid w:val="00555CB8"/>
    <w:rsid w:val="00555CF0"/>
    <w:rsid w:val="00555DF1"/>
    <w:rsid w:val="00555E0B"/>
    <w:rsid w:val="00556034"/>
    <w:rsid w:val="00556035"/>
    <w:rsid w:val="0055610D"/>
    <w:rsid w:val="0055615C"/>
    <w:rsid w:val="0055616B"/>
    <w:rsid w:val="005561BF"/>
    <w:rsid w:val="0055634E"/>
    <w:rsid w:val="0055651F"/>
    <w:rsid w:val="0055655E"/>
    <w:rsid w:val="005566D2"/>
    <w:rsid w:val="0055687C"/>
    <w:rsid w:val="00556901"/>
    <w:rsid w:val="00556C7B"/>
    <w:rsid w:val="00556CA8"/>
    <w:rsid w:val="00556D46"/>
    <w:rsid w:val="00556E30"/>
    <w:rsid w:val="00556E6E"/>
    <w:rsid w:val="00556F8B"/>
    <w:rsid w:val="00557135"/>
    <w:rsid w:val="0055728B"/>
    <w:rsid w:val="005572DF"/>
    <w:rsid w:val="00557320"/>
    <w:rsid w:val="00557324"/>
    <w:rsid w:val="00557553"/>
    <w:rsid w:val="005576CA"/>
    <w:rsid w:val="005577BB"/>
    <w:rsid w:val="00557941"/>
    <w:rsid w:val="00557976"/>
    <w:rsid w:val="00557A38"/>
    <w:rsid w:val="00557ADD"/>
    <w:rsid w:val="00557C0C"/>
    <w:rsid w:val="00557C6F"/>
    <w:rsid w:val="00557CAF"/>
    <w:rsid w:val="00557F6C"/>
    <w:rsid w:val="00557FC6"/>
    <w:rsid w:val="00560294"/>
    <w:rsid w:val="0056034D"/>
    <w:rsid w:val="00560498"/>
    <w:rsid w:val="0056066A"/>
    <w:rsid w:val="005608F4"/>
    <w:rsid w:val="0056094C"/>
    <w:rsid w:val="00560AA9"/>
    <w:rsid w:val="00560AF6"/>
    <w:rsid w:val="00560B91"/>
    <w:rsid w:val="00560BD7"/>
    <w:rsid w:val="00560D67"/>
    <w:rsid w:val="00560D83"/>
    <w:rsid w:val="00560E65"/>
    <w:rsid w:val="00560ED9"/>
    <w:rsid w:val="00560EFD"/>
    <w:rsid w:val="00561698"/>
    <w:rsid w:val="0056187F"/>
    <w:rsid w:val="00561A7C"/>
    <w:rsid w:val="00561A86"/>
    <w:rsid w:val="00561AA6"/>
    <w:rsid w:val="00561BCD"/>
    <w:rsid w:val="00561C86"/>
    <w:rsid w:val="00561FC7"/>
    <w:rsid w:val="00561FD4"/>
    <w:rsid w:val="00561FE0"/>
    <w:rsid w:val="0056216B"/>
    <w:rsid w:val="00562291"/>
    <w:rsid w:val="00562318"/>
    <w:rsid w:val="00562343"/>
    <w:rsid w:val="00562421"/>
    <w:rsid w:val="0056261D"/>
    <w:rsid w:val="0056267D"/>
    <w:rsid w:val="00562AF0"/>
    <w:rsid w:val="00562B28"/>
    <w:rsid w:val="00562CA0"/>
    <w:rsid w:val="00562CD1"/>
    <w:rsid w:val="00562FB3"/>
    <w:rsid w:val="0056306B"/>
    <w:rsid w:val="005632A9"/>
    <w:rsid w:val="005632C3"/>
    <w:rsid w:val="00563440"/>
    <w:rsid w:val="00563489"/>
    <w:rsid w:val="00563490"/>
    <w:rsid w:val="005636BF"/>
    <w:rsid w:val="005636D6"/>
    <w:rsid w:val="0056376A"/>
    <w:rsid w:val="00563910"/>
    <w:rsid w:val="0056392C"/>
    <w:rsid w:val="00563945"/>
    <w:rsid w:val="00563999"/>
    <w:rsid w:val="00563A9A"/>
    <w:rsid w:val="00563B02"/>
    <w:rsid w:val="00563B4E"/>
    <w:rsid w:val="00563BB9"/>
    <w:rsid w:val="00563DD0"/>
    <w:rsid w:val="00563E0E"/>
    <w:rsid w:val="00563EF9"/>
    <w:rsid w:val="0056400C"/>
    <w:rsid w:val="005640E2"/>
    <w:rsid w:val="00564325"/>
    <w:rsid w:val="005643D5"/>
    <w:rsid w:val="0056454F"/>
    <w:rsid w:val="005646B3"/>
    <w:rsid w:val="00564728"/>
    <w:rsid w:val="005647B5"/>
    <w:rsid w:val="005648B4"/>
    <w:rsid w:val="005648F0"/>
    <w:rsid w:val="00564B50"/>
    <w:rsid w:val="00564C1A"/>
    <w:rsid w:val="00565079"/>
    <w:rsid w:val="0056519C"/>
    <w:rsid w:val="00565269"/>
    <w:rsid w:val="005653FD"/>
    <w:rsid w:val="0056561F"/>
    <w:rsid w:val="005656F6"/>
    <w:rsid w:val="00565856"/>
    <w:rsid w:val="00565935"/>
    <w:rsid w:val="00565A2E"/>
    <w:rsid w:val="00565D34"/>
    <w:rsid w:val="00565D7F"/>
    <w:rsid w:val="00565DFA"/>
    <w:rsid w:val="0056606C"/>
    <w:rsid w:val="0056620B"/>
    <w:rsid w:val="0056622A"/>
    <w:rsid w:val="00566258"/>
    <w:rsid w:val="005663B1"/>
    <w:rsid w:val="0056643E"/>
    <w:rsid w:val="00566678"/>
    <w:rsid w:val="005666C2"/>
    <w:rsid w:val="005666FA"/>
    <w:rsid w:val="00566758"/>
    <w:rsid w:val="005669FB"/>
    <w:rsid w:val="00566A2F"/>
    <w:rsid w:val="00566A5D"/>
    <w:rsid w:val="00566B16"/>
    <w:rsid w:val="00566B1F"/>
    <w:rsid w:val="00566BAA"/>
    <w:rsid w:val="00566D8C"/>
    <w:rsid w:val="00566DE9"/>
    <w:rsid w:val="005671CE"/>
    <w:rsid w:val="0056734E"/>
    <w:rsid w:val="005674C0"/>
    <w:rsid w:val="00567541"/>
    <w:rsid w:val="0056756D"/>
    <w:rsid w:val="00567585"/>
    <w:rsid w:val="00567629"/>
    <w:rsid w:val="00567707"/>
    <w:rsid w:val="005679D2"/>
    <w:rsid w:val="00567B46"/>
    <w:rsid w:val="00567B57"/>
    <w:rsid w:val="00567BE5"/>
    <w:rsid w:val="00567C47"/>
    <w:rsid w:val="00567FBF"/>
    <w:rsid w:val="00570055"/>
    <w:rsid w:val="005701D2"/>
    <w:rsid w:val="00570487"/>
    <w:rsid w:val="00570581"/>
    <w:rsid w:val="0057078A"/>
    <w:rsid w:val="00570885"/>
    <w:rsid w:val="00570901"/>
    <w:rsid w:val="00570999"/>
    <w:rsid w:val="005709E8"/>
    <w:rsid w:val="00570A69"/>
    <w:rsid w:val="00570ACA"/>
    <w:rsid w:val="00570BF3"/>
    <w:rsid w:val="00570C4C"/>
    <w:rsid w:val="00570CFD"/>
    <w:rsid w:val="00570D05"/>
    <w:rsid w:val="00570DD9"/>
    <w:rsid w:val="00570E75"/>
    <w:rsid w:val="00570F5C"/>
    <w:rsid w:val="00571069"/>
    <w:rsid w:val="00571097"/>
    <w:rsid w:val="00571110"/>
    <w:rsid w:val="005711D1"/>
    <w:rsid w:val="00571203"/>
    <w:rsid w:val="00571232"/>
    <w:rsid w:val="0057126C"/>
    <w:rsid w:val="005714BA"/>
    <w:rsid w:val="005714F6"/>
    <w:rsid w:val="00571548"/>
    <w:rsid w:val="005715B6"/>
    <w:rsid w:val="005716B7"/>
    <w:rsid w:val="00571703"/>
    <w:rsid w:val="0057176E"/>
    <w:rsid w:val="0057193C"/>
    <w:rsid w:val="00571CDF"/>
    <w:rsid w:val="00571D95"/>
    <w:rsid w:val="00571F88"/>
    <w:rsid w:val="00571FAA"/>
    <w:rsid w:val="00572021"/>
    <w:rsid w:val="005720B1"/>
    <w:rsid w:val="005720D9"/>
    <w:rsid w:val="00572160"/>
    <w:rsid w:val="0057221E"/>
    <w:rsid w:val="0057247F"/>
    <w:rsid w:val="005725AD"/>
    <w:rsid w:val="0057278F"/>
    <w:rsid w:val="00572868"/>
    <w:rsid w:val="00572CE8"/>
    <w:rsid w:val="00572CF9"/>
    <w:rsid w:val="00572D1F"/>
    <w:rsid w:val="00572E58"/>
    <w:rsid w:val="00572F32"/>
    <w:rsid w:val="00572FD7"/>
    <w:rsid w:val="0057314D"/>
    <w:rsid w:val="005731F9"/>
    <w:rsid w:val="0057363F"/>
    <w:rsid w:val="005737A4"/>
    <w:rsid w:val="0057380E"/>
    <w:rsid w:val="0057388C"/>
    <w:rsid w:val="00573A23"/>
    <w:rsid w:val="00573A40"/>
    <w:rsid w:val="00573F11"/>
    <w:rsid w:val="0057405E"/>
    <w:rsid w:val="00574101"/>
    <w:rsid w:val="00574323"/>
    <w:rsid w:val="0057435F"/>
    <w:rsid w:val="00574391"/>
    <w:rsid w:val="0057440C"/>
    <w:rsid w:val="005744E5"/>
    <w:rsid w:val="005745DC"/>
    <w:rsid w:val="00574628"/>
    <w:rsid w:val="0057467A"/>
    <w:rsid w:val="00574A6A"/>
    <w:rsid w:val="00574CBC"/>
    <w:rsid w:val="00574DE9"/>
    <w:rsid w:val="00574FCE"/>
    <w:rsid w:val="00574FE4"/>
    <w:rsid w:val="0057508A"/>
    <w:rsid w:val="00575329"/>
    <w:rsid w:val="00575338"/>
    <w:rsid w:val="00575438"/>
    <w:rsid w:val="0057547B"/>
    <w:rsid w:val="00575508"/>
    <w:rsid w:val="00575908"/>
    <w:rsid w:val="00575B06"/>
    <w:rsid w:val="00575B73"/>
    <w:rsid w:val="00575C0A"/>
    <w:rsid w:val="00575DCD"/>
    <w:rsid w:val="00575EBF"/>
    <w:rsid w:val="00575F1A"/>
    <w:rsid w:val="00576039"/>
    <w:rsid w:val="005760F8"/>
    <w:rsid w:val="005761D7"/>
    <w:rsid w:val="00576208"/>
    <w:rsid w:val="00576284"/>
    <w:rsid w:val="00576409"/>
    <w:rsid w:val="00576464"/>
    <w:rsid w:val="005764EE"/>
    <w:rsid w:val="00576760"/>
    <w:rsid w:val="0057677C"/>
    <w:rsid w:val="0057684C"/>
    <w:rsid w:val="00576855"/>
    <w:rsid w:val="00576876"/>
    <w:rsid w:val="005769DA"/>
    <w:rsid w:val="00576A7A"/>
    <w:rsid w:val="00576B3B"/>
    <w:rsid w:val="00576F7D"/>
    <w:rsid w:val="00576FDF"/>
    <w:rsid w:val="00576FE2"/>
    <w:rsid w:val="00577089"/>
    <w:rsid w:val="0057719F"/>
    <w:rsid w:val="00577458"/>
    <w:rsid w:val="0057757E"/>
    <w:rsid w:val="005775C1"/>
    <w:rsid w:val="0057764F"/>
    <w:rsid w:val="0057773C"/>
    <w:rsid w:val="005779DD"/>
    <w:rsid w:val="00577A21"/>
    <w:rsid w:val="00577A65"/>
    <w:rsid w:val="00577B07"/>
    <w:rsid w:val="00577E43"/>
    <w:rsid w:val="00580037"/>
    <w:rsid w:val="00580052"/>
    <w:rsid w:val="00580079"/>
    <w:rsid w:val="0058008F"/>
    <w:rsid w:val="005800D5"/>
    <w:rsid w:val="0058010B"/>
    <w:rsid w:val="00580120"/>
    <w:rsid w:val="0058019D"/>
    <w:rsid w:val="0058041A"/>
    <w:rsid w:val="0058043A"/>
    <w:rsid w:val="005805DD"/>
    <w:rsid w:val="00580768"/>
    <w:rsid w:val="00580901"/>
    <w:rsid w:val="00580AA4"/>
    <w:rsid w:val="00580BA7"/>
    <w:rsid w:val="00580BC1"/>
    <w:rsid w:val="00580CB0"/>
    <w:rsid w:val="00580D4A"/>
    <w:rsid w:val="00580FEA"/>
    <w:rsid w:val="0058110A"/>
    <w:rsid w:val="005811DF"/>
    <w:rsid w:val="005812A1"/>
    <w:rsid w:val="005812C1"/>
    <w:rsid w:val="00581363"/>
    <w:rsid w:val="00581449"/>
    <w:rsid w:val="005814BC"/>
    <w:rsid w:val="005814D8"/>
    <w:rsid w:val="00581528"/>
    <w:rsid w:val="005815C1"/>
    <w:rsid w:val="005817A1"/>
    <w:rsid w:val="00581873"/>
    <w:rsid w:val="00581894"/>
    <w:rsid w:val="005818D7"/>
    <w:rsid w:val="005819FE"/>
    <w:rsid w:val="00581C9F"/>
    <w:rsid w:val="00581CA3"/>
    <w:rsid w:val="00581D90"/>
    <w:rsid w:val="00581DE8"/>
    <w:rsid w:val="00581F36"/>
    <w:rsid w:val="00581FE0"/>
    <w:rsid w:val="005821C9"/>
    <w:rsid w:val="00582367"/>
    <w:rsid w:val="00582406"/>
    <w:rsid w:val="0058240D"/>
    <w:rsid w:val="00582650"/>
    <w:rsid w:val="00582709"/>
    <w:rsid w:val="0058273A"/>
    <w:rsid w:val="005827CE"/>
    <w:rsid w:val="005828B2"/>
    <w:rsid w:val="00582CF0"/>
    <w:rsid w:val="00582F7F"/>
    <w:rsid w:val="00582FB2"/>
    <w:rsid w:val="00583068"/>
    <w:rsid w:val="0058328C"/>
    <w:rsid w:val="0058333D"/>
    <w:rsid w:val="00583343"/>
    <w:rsid w:val="005833E7"/>
    <w:rsid w:val="005834D4"/>
    <w:rsid w:val="0058385C"/>
    <w:rsid w:val="005838C8"/>
    <w:rsid w:val="00583ABD"/>
    <w:rsid w:val="00583B67"/>
    <w:rsid w:val="00583BE8"/>
    <w:rsid w:val="00583E5E"/>
    <w:rsid w:val="00583F01"/>
    <w:rsid w:val="00583F91"/>
    <w:rsid w:val="00583FB4"/>
    <w:rsid w:val="00583FCC"/>
    <w:rsid w:val="00583FDF"/>
    <w:rsid w:val="00583FEF"/>
    <w:rsid w:val="005841FD"/>
    <w:rsid w:val="00584232"/>
    <w:rsid w:val="005842DC"/>
    <w:rsid w:val="0058435B"/>
    <w:rsid w:val="00584432"/>
    <w:rsid w:val="005844FF"/>
    <w:rsid w:val="0058481E"/>
    <w:rsid w:val="00584919"/>
    <w:rsid w:val="00584978"/>
    <w:rsid w:val="005849F6"/>
    <w:rsid w:val="00584B13"/>
    <w:rsid w:val="00584D72"/>
    <w:rsid w:val="00584DF3"/>
    <w:rsid w:val="00584E20"/>
    <w:rsid w:val="00584E2A"/>
    <w:rsid w:val="00584E60"/>
    <w:rsid w:val="00584F36"/>
    <w:rsid w:val="00584F83"/>
    <w:rsid w:val="00585011"/>
    <w:rsid w:val="0058526F"/>
    <w:rsid w:val="005852BC"/>
    <w:rsid w:val="00585309"/>
    <w:rsid w:val="0058531F"/>
    <w:rsid w:val="00585321"/>
    <w:rsid w:val="00585571"/>
    <w:rsid w:val="0058569A"/>
    <w:rsid w:val="0058573B"/>
    <w:rsid w:val="00585846"/>
    <w:rsid w:val="0058592B"/>
    <w:rsid w:val="00585AC2"/>
    <w:rsid w:val="00585BA4"/>
    <w:rsid w:val="00585C0B"/>
    <w:rsid w:val="00585C87"/>
    <w:rsid w:val="00585CC8"/>
    <w:rsid w:val="00585D4D"/>
    <w:rsid w:val="00585D7E"/>
    <w:rsid w:val="00585DB5"/>
    <w:rsid w:val="00585EB2"/>
    <w:rsid w:val="00585F1C"/>
    <w:rsid w:val="00585F85"/>
    <w:rsid w:val="005860A3"/>
    <w:rsid w:val="00586164"/>
    <w:rsid w:val="0058620B"/>
    <w:rsid w:val="00586513"/>
    <w:rsid w:val="0058693D"/>
    <w:rsid w:val="00586A74"/>
    <w:rsid w:val="0058708B"/>
    <w:rsid w:val="00587292"/>
    <w:rsid w:val="00587882"/>
    <w:rsid w:val="005878D1"/>
    <w:rsid w:val="00587A84"/>
    <w:rsid w:val="00587BDA"/>
    <w:rsid w:val="00587C2F"/>
    <w:rsid w:val="00587E6A"/>
    <w:rsid w:val="00587E84"/>
    <w:rsid w:val="00590015"/>
    <w:rsid w:val="005900F9"/>
    <w:rsid w:val="0059018D"/>
    <w:rsid w:val="005901DF"/>
    <w:rsid w:val="0059027C"/>
    <w:rsid w:val="005902D1"/>
    <w:rsid w:val="005903CC"/>
    <w:rsid w:val="005904B1"/>
    <w:rsid w:val="00590543"/>
    <w:rsid w:val="0059054B"/>
    <w:rsid w:val="00590596"/>
    <w:rsid w:val="0059064F"/>
    <w:rsid w:val="0059065D"/>
    <w:rsid w:val="00590738"/>
    <w:rsid w:val="0059078E"/>
    <w:rsid w:val="00590894"/>
    <w:rsid w:val="0059094B"/>
    <w:rsid w:val="005909B6"/>
    <w:rsid w:val="00590A2C"/>
    <w:rsid w:val="00590A3B"/>
    <w:rsid w:val="00590AEC"/>
    <w:rsid w:val="00590B9B"/>
    <w:rsid w:val="00590BC8"/>
    <w:rsid w:val="00590C15"/>
    <w:rsid w:val="00590C3F"/>
    <w:rsid w:val="00590C4F"/>
    <w:rsid w:val="00590CA2"/>
    <w:rsid w:val="00590F76"/>
    <w:rsid w:val="00591033"/>
    <w:rsid w:val="005911A5"/>
    <w:rsid w:val="005911F0"/>
    <w:rsid w:val="00591358"/>
    <w:rsid w:val="005914A8"/>
    <w:rsid w:val="005916DC"/>
    <w:rsid w:val="005917B7"/>
    <w:rsid w:val="00591860"/>
    <w:rsid w:val="005918D3"/>
    <w:rsid w:val="00591933"/>
    <w:rsid w:val="005919E2"/>
    <w:rsid w:val="00591A18"/>
    <w:rsid w:val="00591A81"/>
    <w:rsid w:val="00591C1E"/>
    <w:rsid w:val="00591CEF"/>
    <w:rsid w:val="00591D1C"/>
    <w:rsid w:val="00591D41"/>
    <w:rsid w:val="00591D8F"/>
    <w:rsid w:val="00591DEC"/>
    <w:rsid w:val="00591E54"/>
    <w:rsid w:val="00591E90"/>
    <w:rsid w:val="00591FD3"/>
    <w:rsid w:val="00591FF8"/>
    <w:rsid w:val="00592043"/>
    <w:rsid w:val="005920DC"/>
    <w:rsid w:val="00592165"/>
    <w:rsid w:val="00592260"/>
    <w:rsid w:val="00592298"/>
    <w:rsid w:val="005924C9"/>
    <w:rsid w:val="005926E1"/>
    <w:rsid w:val="00592772"/>
    <w:rsid w:val="00592831"/>
    <w:rsid w:val="005928C6"/>
    <w:rsid w:val="005929EC"/>
    <w:rsid w:val="00592A32"/>
    <w:rsid w:val="00592BB0"/>
    <w:rsid w:val="00592C64"/>
    <w:rsid w:val="00592CE4"/>
    <w:rsid w:val="00592D18"/>
    <w:rsid w:val="00592DC2"/>
    <w:rsid w:val="00592DE5"/>
    <w:rsid w:val="00592E38"/>
    <w:rsid w:val="0059329B"/>
    <w:rsid w:val="005932D4"/>
    <w:rsid w:val="005936F7"/>
    <w:rsid w:val="0059377C"/>
    <w:rsid w:val="00593896"/>
    <w:rsid w:val="00593977"/>
    <w:rsid w:val="005939C8"/>
    <w:rsid w:val="00593A77"/>
    <w:rsid w:val="00593B25"/>
    <w:rsid w:val="00593B67"/>
    <w:rsid w:val="00593C6C"/>
    <w:rsid w:val="00593E2C"/>
    <w:rsid w:val="005940D3"/>
    <w:rsid w:val="005940F4"/>
    <w:rsid w:val="005941E8"/>
    <w:rsid w:val="005941FF"/>
    <w:rsid w:val="00594280"/>
    <w:rsid w:val="005942FE"/>
    <w:rsid w:val="00594332"/>
    <w:rsid w:val="0059440C"/>
    <w:rsid w:val="00594500"/>
    <w:rsid w:val="0059465E"/>
    <w:rsid w:val="0059471E"/>
    <w:rsid w:val="0059484C"/>
    <w:rsid w:val="00594AC0"/>
    <w:rsid w:val="00594C61"/>
    <w:rsid w:val="00594D31"/>
    <w:rsid w:val="00594D66"/>
    <w:rsid w:val="00594E89"/>
    <w:rsid w:val="00594FF1"/>
    <w:rsid w:val="0059507F"/>
    <w:rsid w:val="00595135"/>
    <w:rsid w:val="00595234"/>
    <w:rsid w:val="00595238"/>
    <w:rsid w:val="0059538A"/>
    <w:rsid w:val="00595402"/>
    <w:rsid w:val="00595586"/>
    <w:rsid w:val="005957F1"/>
    <w:rsid w:val="00595A12"/>
    <w:rsid w:val="00595AD4"/>
    <w:rsid w:val="00595BF3"/>
    <w:rsid w:val="00595D61"/>
    <w:rsid w:val="0059600F"/>
    <w:rsid w:val="00596316"/>
    <w:rsid w:val="0059639A"/>
    <w:rsid w:val="0059642F"/>
    <w:rsid w:val="00596441"/>
    <w:rsid w:val="0059651F"/>
    <w:rsid w:val="0059699D"/>
    <w:rsid w:val="0059699E"/>
    <w:rsid w:val="005969A4"/>
    <w:rsid w:val="005969D6"/>
    <w:rsid w:val="005969FD"/>
    <w:rsid w:val="00596A40"/>
    <w:rsid w:val="00596ABB"/>
    <w:rsid w:val="00596B27"/>
    <w:rsid w:val="00596C00"/>
    <w:rsid w:val="00596C23"/>
    <w:rsid w:val="00596C36"/>
    <w:rsid w:val="00596C72"/>
    <w:rsid w:val="00596DC7"/>
    <w:rsid w:val="00596ECD"/>
    <w:rsid w:val="00596F3A"/>
    <w:rsid w:val="00596FC9"/>
    <w:rsid w:val="0059706D"/>
    <w:rsid w:val="0059709F"/>
    <w:rsid w:val="0059713E"/>
    <w:rsid w:val="0059736C"/>
    <w:rsid w:val="0059745B"/>
    <w:rsid w:val="005977A8"/>
    <w:rsid w:val="005977F9"/>
    <w:rsid w:val="00597C0E"/>
    <w:rsid w:val="00597DA8"/>
    <w:rsid w:val="00597E17"/>
    <w:rsid w:val="005A005B"/>
    <w:rsid w:val="005A00E5"/>
    <w:rsid w:val="005A015D"/>
    <w:rsid w:val="005A01C6"/>
    <w:rsid w:val="005A0322"/>
    <w:rsid w:val="005A03B8"/>
    <w:rsid w:val="005A04FE"/>
    <w:rsid w:val="005A058A"/>
    <w:rsid w:val="005A05D5"/>
    <w:rsid w:val="005A0709"/>
    <w:rsid w:val="005A0739"/>
    <w:rsid w:val="005A082E"/>
    <w:rsid w:val="005A08E6"/>
    <w:rsid w:val="005A0966"/>
    <w:rsid w:val="005A0B1C"/>
    <w:rsid w:val="005A0B5F"/>
    <w:rsid w:val="005A0C3E"/>
    <w:rsid w:val="005A0C97"/>
    <w:rsid w:val="005A0D2F"/>
    <w:rsid w:val="005A0E0F"/>
    <w:rsid w:val="005A0E8D"/>
    <w:rsid w:val="005A117E"/>
    <w:rsid w:val="005A1275"/>
    <w:rsid w:val="005A137F"/>
    <w:rsid w:val="005A1390"/>
    <w:rsid w:val="005A153D"/>
    <w:rsid w:val="005A1563"/>
    <w:rsid w:val="005A156F"/>
    <w:rsid w:val="005A1645"/>
    <w:rsid w:val="005A16CA"/>
    <w:rsid w:val="005A19C7"/>
    <w:rsid w:val="005A1B9A"/>
    <w:rsid w:val="005A1BE9"/>
    <w:rsid w:val="005A1C00"/>
    <w:rsid w:val="005A1C2B"/>
    <w:rsid w:val="005A1C5E"/>
    <w:rsid w:val="005A1C89"/>
    <w:rsid w:val="005A1DA8"/>
    <w:rsid w:val="005A1F59"/>
    <w:rsid w:val="005A2093"/>
    <w:rsid w:val="005A20AD"/>
    <w:rsid w:val="005A21F2"/>
    <w:rsid w:val="005A21F9"/>
    <w:rsid w:val="005A23BE"/>
    <w:rsid w:val="005A2515"/>
    <w:rsid w:val="005A252F"/>
    <w:rsid w:val="005A25DA"/>
    <w:rsid w:val="005A261C"/>
    <w:rsid w:val="005A275A"/>
    <w:rsid w:val="005A27A2"/>
    <w:rsid w:val="005A28F9"/>
    <w:rsid w:val="005A29DA"/>
    <w:rsid w:val="005A2A32"/>
    <w:rsid w:val="005A2C88"/>
    <w:rsid w:val="005A2C95"/>
    <w:rsid w:val="005A2CEB"/>
    <w:rsid w:val="005A2E2C"/>
    <w:rsid w:val="005A2EFA"/>
    <w:rsid w:val="005A2F23"/>
    <w:rsid w:val="005A3085"/>
    <w:rsid w:val="005A3160"/>
    <w:rsid w:val="005A319E"/>
    <w:rsid w:val="005A332F"/>
    <w:rsid w:val="005A35C1"/>
    <w:rsid w:val="005A367A"/>
    <w:rsid w:val="005A3742"/>
    <w:rsid w:val="005A376C"/>
    <w:rsid w:val="005A3873"/>
    <w:rsid w:val="005A3E78"/>
    <w:rsid w:val="005A401F"/>
    <w:rsid w:val="005A42B7"/>
    <w:rsid w:val="005A42E4"/>
    <w:rsid w:val="005A42E8"/>
    <w:rsid w:val="005A4365"/>
    <w:rsid w:val="005A43A0"/>
    <w:rsid w:val="005A43D2"/>
    <w:rsid w:val="005A447B"/>
    <w:rsid w:val="005A448A"/>
    <w:rsid w:val="005A4619"/>
    <w:rsid w:val="005A46A0"/>
    <w:rsid w:val="005A4783"/>
    <w:rsid w:val="005A4801"/>
    <w:rsid w:val="005A49D7"/>
    <w:rsid w:val="005A49E9"/>
    <w:rsid w:val="005A4C93"/>
    <w:rsid w:val="005A50B8"/>
    <w:rsid w:val="005A5103"/>
    <w:rsid w:val="005A5334"/>
    <w:rsid w:val="005A5466"/>
    <w:rsid w:val="005A5503"/>
    <w:rsid w:val="005A5655"/>
    <w:rsid w:val="005A57AF"/>
    <w:rsid w:val="005A585B"/>
    <w:rsid w:val="005A593B"/>
    <w:rsid w:val="005A5AF5"/>
    <w:rsid w:val="005A5C9F"/>
    <w:rsid w:val="005A5D37"/>
    <w:rsid w:val="005A5EE4"/>
    <w:rsid w:val="005A5F11"/>
    <w:rsid w:val="005A6018"/>
    <w:rsid w:val="005A605C"/>
    <w:rsid w:val="005A606D"/>
    <w:rsid w:val="005A6079"/>
    <w:rsid w:val="005A6220"/>
    <w:rsid w:val="005A63CA"/>
    <w:rsid w:val="005A6552"/>
    <w:rsid w:val="005A6613"/>
    <w:rsid w:val="005A66ED"/>
    <w:rsid w:val="005A6709"/>
    <w:rsid w:val="005A670D"/>
    <w:rsid w:val="005A6711"/>
    <w:rsid w:val="005A6725"/>
    <w:rsid w:val="005A672F"/>
    <w:rsid w:val="005A673C"/>
    <w:rsid w:val="005A6741"/>
    <w:rsid w:val="005A6816"/>
    <w:rsid w:val="005A6977"/>
    <w:rsid w:val="005A69BA"/>
    <w:rsid w:val="005A6B49"/>
    <w:rsid w:val="005A6B4A"/>
    <w:rsid w:val="005A6C57"/>
    <w:rsid w:val="005A6CB8"/>
    <w:rsid w:val="005A6D03"/>
    <w:rsid w:val="005A6DDB"/>
    <w:rsid w:val="005A6F55"/>
    <w:rsid w:val="005A7243"/>
    <w:rsid w:val="005A73F6"/>
    <w:rsid w:val="005A7418"/>
    <w:rsid w:val="005A759E"/>
    <w:rsid w:val="005A777F"/>
    <w:rsid w:val="005A7781"/>
    <w:rsid w:val="005A7796"/>
    <w:rsid w:val="005A77EC"/>
    <w:rsid w:val="005A7930"/>
    <w:rsid w:val="005A79CC"/>
    <w:rsid w:val="005A7A7D"/>
    <w:rsid w:val="005A7ACE"/>
    <w:rsid w:val="005A7B96"/>
    <w:rsid w:val="005A7CF5"/>
    <w:rsid w:val="005A7D93"/>
    <w:rsid w:val="005A7E07"/>
    <w:rsid w:val="005A7EF0"/>
    <w:rsid w:val="005B0045"/>
    <w:rsid w:val="005B00D2"/>
    <w:rsid w:val="005B012D"/>
    <w:rsid w:val="005B02D1"/>
    <w:rsid w:val="005B0302"/>
    <w:rsid w:val="005B04D3"/>
    <w:rsid w:val="005B0507"/>
    <w:rsid w:val="005B0641"/>
    <w:rsid w:val="005B073C"/>
    <w:rsid w:val="005B07AB"/>
    <w:rsid w:val="005B0813"/>
    <w:rsid w:val="005B098E"/>
    <w:rsid w:val="005B0A49"/>
    <w:rsid w:val="005B0B4B"/>
    <w:rsid w:val="005B0BC4"/>
    <w:rsid w:val="005B0C31"/>
    <w:rsid w:val="005B0E46"/>
    <w:rsid w:val="005B0E8F"/>
    <w:rsid w:val="005B0EE8"/>
    <w:rsid w:val="005B0F3D"/>
    <w:rsid w:val="005B0F9F"/>
    <w:rsid w:val="005B0FA8"/>
    <w:rsid w:val="005B11A5"/>
    <w:rsid w:val="005B11B0"/>
    <w:rsid w:val="005B137B"/>
    <w:rsid w:val="005B13C9"/>
    <w:rsid w:val="005B14B2"/>
    <w:rsid w:val="005B14F5"/>
    <w:rsid w:val="005B19A5"/>
    <w:rsid w:val="005B19E9"/>
    <w:rsid w:val="005B1A2E"/>
    <w:rsid w:val="005B1A5F"/>
    <w:rsid w:val="005B1B2C"/>
    <w:rsid w:val="005B1B50"/>
    <w:rsid w:val="005B1BD8"/>
    <w:rsid w:val="005B1C99"/>
    <w:rsid w:val="005B1D57"/>
    <w:rsid w:val="005B1DEE"/>
    <w:rsid w:val="005B1F73"/>
    <w:rsid w:val="005B1FDF"/>
    <w:rsid w:val="005B217C"/>
    <w:rsid w:val="005B21D6"/>
    <w:rsid w:val="005B224B"/>
    <w:rsid w:val="005B2296"/>
    <w:rsid w:val="005B22A1"/>
    <w:rsid w:val="005B236D"/>
    <w:rsid w:val="005B23FE"/>
    <w:rsid w:val="005B243F"/>
    <w:rsid w:val="005B2458"/>
    <w:rsid w:val="005B246A"/>
    <w:rsid w:val="005B24C8"/>
    <w:rsid w:val="005B264A"/>
    <w:rsid w:val="005B2695"/>
    <w:rsid w:val="005B26E1"/>
    <w:rsid w:val="005B2748"/>
    <w:rsid w:val="005B2853"/>
    <w:rsid w:val="005B287F"/>
    <w:rsid w:val="005B2939"/>
    <w:rsid w:val="005B294A"/>
    <w:rsid w:val="005B2AD1"/>
    <w:rsid w:val="005B2B38"/>
    <w:rsid w:val="005B2C37"/>
    <w:rsid w:val="005B2D46"/>
    <w:rsid w:val="005B2E08"/>
    <w:rsid w:val="005B2E18"/>
    <w:rsid w:val="005B2ED8"/>
    <w:rsid w:val="005B30A4"/>
    <w:rsid w:val="005B30E2"/>
    <w:rsid w:val="005B3113"/>
    <w:rsid w:val="005B3407"/>
    <w:rsid w:val="005B346C"/>
    <w:rsid w:val="005B354C"/>
    <w:rsid w:val="005B3587"/>
    <w:rsid w:val="005B35F9"/>
    <w:rsid w:val="005B3802"/>
    <w:rsid w:val="005B3877"/>
    <w:rsid w:val="005B38BE"/>
    <w:rsid w:val="005B391F"/>
    <w:rsid w:val="005B3943"/>
    <w:rsid w:val="005B39D2"/>
    <w:rsid w:val="005B3A9C"/>
    <w:rsid w:val="005B3C35"/>
    <w:rsid w:val="005B3C3C"/>
    <w:rsid w:val="005B3C8A"/>
    <w:rsid w:val="005B3E09"/>
    <w:rsid w:val="005B3E7E"/>
    <w:rsid w:val="005B3F03"/>
    <w:rsid w:val="005B4082"/>
    <w:rsid w:val="005B409E"/>
    <w:rsid w:val="005B439D"/>
    <w:rsid w:val="005B43C8"/>
    <w:rsid w:val="005B46AE"/>
    <w:rsid w:val="005B4708"/>
    <w:rsid w:val="005B4855"/>
    <w:rsid w:val="005B48F1"/>
    <w:rsid w:val="005B496D"/>
    <w:rsid w:val="005B4B2D"/>
    <w:rsid w:val="005B4C1E"/>
    <w:rsid w:val="005B4CA0"/>
    <w:rsid w:val="005B4CB2"/>
    <w:rsid w:val="005B4CD6"/>
    <w:rsid w:val="005B513F"/>
    <w:rsid w:val="005B528E"/>
    <w:rsid w:val="005B5392"/>
    <w:rsid w:val="005B53DF"/>
    <w:rsid w:val="005B5422"/>
    <w:rsid w:val="005B54A8"/>
    <w:rsid w:val="005B54D5"/>
    <w:rsid w:val="005B5517"/>
    <w:rsid w:val="005B55E4"/>
    <w:rsid w:val="005B5631"/>
    <w:rsid w:val="005B563C"/>
    <w:rsid w:val="005B56AE"/>
    <w:rsid w:val="005B56B4"/>
    <w:rsid w:val="005B574F"/>
    <w:rsid w:val="005B5805"/>
    <w:rsid w:val="005B59BC"/>
    <w:rsid w:val="005B5D47"/>
    <w:rsid w:val="005B5D4D"/>
    <w:rsid w:val="005B5D78"/>
    <w:rsid w:val="005B5FC8"/>
    <w:rsid w:val="005B6379"/>
    <w:rsid w:val="005B63A4"/>
    <w:rsid w:val="005B650C"/>
    <w:rsid w:val="005B65D0"/>
    <w:rsid w:val="005B674E"/>
    <w:rsid w:val="005B67EA"/>
    <w:rsid w:val="005B684D"/>
    <w:rsid w:val="005B689F"/>
    <w:rsid w:val="005B6924"/>
    <w:rsid w:val="005B69B4"/>
    <w:rsid w:val="005B6A2C"/>
    <w:rsid w:val="005B6A6C"/>
    <w:rsid w:val="005B6AB8"/>
    <w:rsid w:val="005B6BA9"/>
    <w:rsid w:val="005B6BD0"/>
    <w:rsid w:val="005B6CF9"/>
    <w:rsid w:val="005B6DE9"/>
    <w:rsid w:val="005B6DEB"/>
    <w:rsid w:val="005B6E89"/>
    <w:rsid w:val="005B6EB3"/>
    <w:rsid w:val="005B6FB4"/>
    <w:rsid w:val="005B731D"/>
    <w:rsid w:val="005B73AC"/>
    <w:rsid w:val="005B7415"/>
    <w:rsid w:val="005B7569"/>
    <w:rsid w:val="005B758F"/>
    <w:rsid w:val="005B7736"/>
    <w:rsid w:val="005B7808"/>
    <w:rsid w:val="005B780D"/>
    <w:rsid w:val="005B7947"/>
    <w:rsid w:val="005B79BC"/>
    <w:rsid w:val="005B7A06"/>
    <w:rsid w:val="005B7B9F"/>
    <w:rsid w:val="005B7BFA"/>
    <w:rsid w:val="005B7C7A"/>
    <w:rsid w:val="005B7D9D"/>
    <w:rsid w:val="005B7E53"/>
    <w:rsid w:val="005B7E77"/>
    <w:rsid w:val="005C004F"/>
    <w:rsid w:val="005C04F3"/>
    <w:rsid w:val="005C06B7"/>
    <w:rsid w:val="005C0C97"/>
    <w:rsid w:val="005C0D69"/>
    <w:rsid w:val="005C0E1A"/>
    <w:rsid w:val="005C0F44"/>
    <w:rsid w:val="005C109A"/>
    <w:rsid w:val="005C1184"/>
    <w:rsid w:val="005C11E8"/>
    <w:rsid w:val="005C1252"/>
    <w:rsid w:val="005C1408"/>
    <w:rsid w:val="005C141A"/>
    <w:rsid w:val="005C15F7"/>
    <w:rsid w:val="005C168F"/>
    <w:rsid w:val="005C16BF"/>
    <w:rsid w:val="005C16DD"/>
    <w:rsid w:val="005C1792"/>
    <w:rsid w:val="005C1901"/>
    <w:rsid w:val="005C1ABC"/>
    <w:rsid w:val="005C1B3F"/>
    <w:rsid w:val="005C1B5A"/>
    <w:rsid w:val="005C1C32"/>
    <w:rsid w:val="005C1C38"/>
    <w:rsid w:val="005C1E37"/>
    <w:rsid w:val="005C202D"/>
    <w:rsid w:val="005C20E9"/>
    <w:rsid w:val="005C2178"/>
    <w:rsid w:val="005C251A"/>
    <w:rsid w:val="005C2524"/>
    <w:rsid w:val="005C25C9"/>
    <w:rsid w:val="005C25DD"/>
    <w:rsid w:val="005C2647"/>
    <w:rsid w:val="005C272F"/>
    <w:rsid w:val="005C2CE6"/>
    <w:rsid w:val="005C2D7D"/>
    <w:rsid w:val="005C2E73"/>
    <w:rsid w:val="005C3115"/>
    <w:rsid w:val="005C32F7"/>
    <w:rsid w:val="005C342F"/>
    <w:rsid w:val="005C34B8"/>
    <w:rsid w:val="005C371E"/>
    <w:rsid w:val="005C37A2"/>
    <w:rsid w:val="005C3817"/>
    <w:rsid w:val="005C3909"/>
    <w:rsid w:val="005C39BE"/>
    <w:rsid w:val="005C3B6A"/>
    <w:rsid w:val="005C3B8A"/>
    <w:rsid w:val="005C3D52"/>
    <w:rsid w:val="005C3D82"/>
    <w:rsid w:val="005C3E3D"/>
    <w:rsid w:val="005C3F85"/>
    <w:rsid w:val="005C3FDF"/>
    <w:rsid w:val="005C401B"/>
    <w:rsid w:val="005C4083"/>
    <w:rsid w:val="005C4186"/>
    <w:rsid w:val="005C4361"/>
    <w:rsid w:val="005C437B"/>
    <w:rsid w:val="005C44A2"/>
    <w:rsid w:val="005C44EB"/>
    <w:rsid w:val="005C45BE"/>
    <w:rsid w:val="005C461B"/>
    <w:rsid w:val="005C487B"/>
    <w:rsid w:val="005C48AD"/>
    <w:rsid w:val="005C499A"/>
    <w:rsid w:val="005C4CBC"/>
    <w:rsid w:val="005C4DE1"/>
    <w:rsid w:val="005C4E0D"/>
    <w:rsid w:val="005C4F12"/>
    <w:rsid w:val="005C4F68"/>
    <w:rsid w:val="005C4F69"/>
    <w:rsid w:val="005C505E"/>
    <w:rsid w:val="005C50BA"/>
    <w:rsid w:val="005C5373"/>
    <w:rsid w:val="005C55BA"/>
    <w:rsid w:val="005C55BC"/>
    <w:rsid w:val="005C592A"/>
    <w:rsid w:val="005C59D5"/>
    <w:rsid w:val="005C5A91"/>
    <w:rsid w:val="005C5A96"/>
    <w:rsid w:val="005C5B46"/>
    <w:rsid w:val="005C5D87"/>
    <w:rsid w:val="005C5E75"/>
    <w:rsid w:val="005C5F95"/>
    <w:rsid w:val="005C5FC3"/>
    <w:rsid w:val="005C605A"/>
    <w:rsid w:val="005C6153"/>
    <w:rsid w:val="005C6154"/>
    <w:rsid w:val="005C61C7"/>
    <w:rsid w:val="005C6273"/>
    <w:rsid w:val="005C627E"/>
    <w:rsid w:val="005C62E0"/>
    <w:rsid w:val="005C636D"/>
    <w:rsid w:val="005C638D"/>
    <w:rsid w:val="005C6666"/>
    <w:rsid w:val="005C6679"/>
    <w:rsid w:val="005C66C7"/>
    <w:rsid w:val="005C6797"/>
    <w:rsid w:val="005C69AB"/>
    <w:rsid w:val="005C69BA"/>
    <w:rsid w:val="005C69F0"/>
    <w:rsid w:val="005C6A51"/>
    <w:rsid w:val="005C6BAA"/>
    <w:rsid w:val="005C6CD7"/>
    <w:rsid w:val="005C6CE1"/>
    <w:rsid w:val="005C6CE6"/>
    <w:rsid w:val="005C6DFE"/>
    <w:rsid w:val="005C6EB5"/>
    <w:rsid w:val="005C70F2"/>
    <w:rsid w:val="005C71BE"/>
    <w:rsid w:val="005C72A4"/>
    <w:rsid w:val="005C72D6"/>
    <w:rsid w:val="005C738B"/>
    <w:rsid w:val="005C7542"/>
    <w:rsid w:val="005C764A"/>
    <w:rsid w:val="005C76C2"/>
    <w:rsid w:val="005C78EE"/>
    <w:rsid w:val="005C7908"/>
    <w:rsid w:val="005C794C"/>
    <w:rsid w:val="005C7B17"/>
    <w:rsid w:val="005C7B98"/>
    <w:rsid w:val="005C7C72"/>
    <w:rsid w:val="005C7DC3"/>
    <w:rsid w:val="005C7DCD"/>
    <w:rsid w:val="005C7F6B"/>
    <w:rsid w:val="005C7FD4"/>
    <w:rsid w:val="005D02CB"/>
    <w:rsid w:val="005D0491"/>
    <w:rsid w:val="005D053D"/>
    <w:rsid w:val="005D05B5"/>
    <w:rsid w:val="005D0650"/>
    <w:rsid w:val="005D09C6"/>
    <w:rsid w:val="005D09ED"/>
    <w:rsid w:val="005D0A94"/>
    <w:rsid w:val="005D0AD1"/>
    <w:rsid w:val="005D0B27"/>
    <w:rsid w:val="005D0B66"/>
    <w:rsid w:val="005D0BE2"/>
    <w:rsid w:val="005D0C6B"/>
    <w:rsid w:val="005D0D56"/>
    <w:rsid w:val="005D1007"/>
    <w:rsid w:val="005D135F"/>
    <w:rsid w:val="005D1379"/>
    <w:rsid w:val="005D15FC"/>
    <w:rsid w:val="005D15FF"/>
    <w:rsid w:val="005D1605"/>
    <w:rsid w:val="005D1708"/>
    <w:rsid w:val="005D18E0"/>
    <w:rsid w:val="005D18E8"/>
    <w:rsid w:val="005D1DF8"/>
    <w:rsid w:val="005D200A"/>
    <w:rsid w:val="005D202A"/>
    <w:rsid w:val="005D21D2"/>
    <w:rsid w:val="005D220E"/>
    <w:rsid w:val="005D23FD"/>
    <w:rsid w:val="005D24B5"/>
    <w:rsid w:val="005D277A"/>
    <w:rsid w:val="005D27D9"/>
    <w:rsid w:val="005D29A4"/>
    <w:rsid w:val="005D2A31"/>
    <w:rsid w:val="005D2A50"/>
    <w:rsid w:val="005D2B1B"/>
    <w:rsid w:val="005D2B32"/>
    <w:rsid w:val="005D2C39"/>
    <w:rsid w:val="005D2CFF"/>
    <w:rsid w:val="005D2E38"/>
    <w:rsid w:val="005D30DF"/>
    <w:rsid w:val="005D30FF"/>
    <w:rsid w:val="005D325B"/>
    <w:rsid w:val="005D34D2"/>
    <w:rsid w:val="005D3589"/>
    <w:rsid w:val="005D395D"/>
    <w:rsid w:val="005D39A8"/>
    <w:rsid w:val="005D3AD5"/>
    <w:rsid w:val="005D3DE3"/>
    <w:rsid w:val="005D3E0C"/>
    <w:rsid w:val="005D4151"/>
    <w:rsid w:val="005D41A3"/>
    <w:rsid w:val="005D427F"/>
    <w:rsid w:val="005D430C"/>
    <w:rsid w:val="005D4351"/>
    <w:rsid w:val="005D4392"/>
    <w:rsid w:val="005D43B3"/>
    <w:rsid w:val="005D43C6"/>
    <w:rsid w:val="005D46E5"/>
    <w:rsid w:val="005D4856"/>
    <w:rsid w:val="005D48EF"/>
    <w:rsid w:val="005D4B5B"/>
    <w:rsid w:val="005D4C7B"/>
    <w:rsid w:val="005D4C7C"/>
    <w:rsid w:val="005D4DD6"/>
    <w:rsid w:val="005D5115"/>
    <w:rsid w:val="005D519A"/>
    <w:rsid w:val="005D537A"/>
    <w:rsid w:val="005D53CB"/>
    <w:rsid w:val="005D547D"/>
    <w:rsid w:val="005D5515"/>
    <w:rsid w:val="005D5517"/>
    <w:rsid w:val="005D5546"/>
    <w:rsid w:val="005D5710"/>
    <w:rsid w:val="005D579B"/>
    <w:rsid w:val="005D57AD"/>
    <w:rsid w:val="005D5A3D"/>
    <w:rsid w:val="005D5A94"/>
    <w:rsid w:val="005D5C34"/>
    <w:rsid w:val="005D5D45"/>
    <w:rsid w:val="005D5D96"/>
    <w:rsid w:val="005D5E41"/>
    <w:rsid w:val="005D5EB6"/>
    <w:rsid w:val="005D5F0D"/>
    <w:rsid w:val="005D6132"/>
    <w:rsid w:val="005D620F"/>
    <w:rsid w:val="005D622C"/>
    <w:rsid w:val="005D62FB"/>
    <w:rsid w:val="005D6489"/>
    <w:rsid w:val="005D64E2"/>
    <w:rsid w:val="005D64FA"/>
    <w:rsid w:val="005D6547"/>
    <w:rsid w:val="005D66AD"/>
    <w:rsid w:val="005D66FB"/>
    <w:rsid w:val="005D673A"/>
    <w:rsid w:val="005D6960"/>
    <w:rsid w:val="005D6B73"/>
    <w:rsid w:val="005D6E22"/>
    <w:rsid w:val="005D709E"/>
    <w:rsid w:val="005D710D"/>
    <w:rsid w:val="005D716C"/>
    <w:rsid w:val="005D71DC"/>
    <w:rsid w:val="005D724D"/>
    <w:rsid w:val="005D7342"/>
    <w:rsid w:val="005D740B"/>
    <w:rsid w:val="005D741A"/>
    <w:rsid w:val="005D745E"/>
    <w:rsid w:val="005D762D"/>
    <w:rsid w:val="005D7660"/>
    <w:rsid w:val="005D7919"/>
    <w:rsid w:val="005D79C3"/>
    <w:rsid w:val="005D7C28"/>
    <w:rsid w:val="005D7D4E"/>
    <w:rsid w:val="005E0042"/>
    <w:rsid w:val="005E010C"/>
    <w:rsid w:val="005E01FD"/>
    <w:rsid w:val="005E0231"/>
    <w:rsid w:val="005E02CC"/>
    <w:rsid w:val="005E0404"/>
    <w:rsid w:val="005E055D"/>
    <w:rsid w:val="005E05E9"/>
    <w:rsid w:val="005E0609"/>
    <w:rsid w:val="005E0719"/>
    <w:rsid w:val="005E0A70"/>
    <w:rsid w:val="005E0B01"/>
    <w:rsid w:val="005E0B9A"/>
    <w:rsid w:val="005E0BFD"/>
    <w:rsid w:val="005E0D37"/>
    <w:rsid w:val="005E0DA1"/>
    <w:rsid w:val="005E0DE3"/>
    <w:rsid w:val="005E0EE4"/>
    <w:rsid w:val="005E0FB5"/>
    <w:rsid w:val="005E1046"/>
    <w:rsid w:val="005E10A2"/>
    <w:rsid w:val="005E10D0"/>
    <w:rsid w:val="005E11FF"/>
    <w:rsid w:val="005E12A0"/>
    <w:rsid w:val="005E134D"/>
    <w:rsid w:val="005E1565"/>
    <w:rsid w:val="005E15AD"/>
    <w:rsid w:val="005E1712"/>
    <w:rsid w:val="005E1950"/>
    <w:rsid w:val="005E1B39"/>
    <w:rsid w:val="005E1D02"/>
    <w:rsid w:val="005E1D21"/>
    <w:rsid w:val="005E1D65"/>
    <w:rsid w:val="005E1EC6"/>
    <w:rsid w:val="005E2040"/>
    <w:rsid w:val="005E207A"/>
    <w:rsid w:val="005E20CB"/>
    <w:rsid w:val="005E2151"/>
    <w:rsid w:val="005E2213"/>
    <w:rsid w:val="005E233A"/>
    <w:rsid w:val="005E23C3"/>
    <w:rsid w:val="005E2501"/>
    <w:rsid w:val="005E25AC"/>
    <w:rsid w:val="005E2672"/>
    <w:rsid w:val="005E276C"/>
    <w:rsid w:val="005E2777"/>
    <w:rsid w:val="005E28D6"/>
    <w:rsid w:val="005E290B"/>
    <w:rsid w:val="005E298C"/>
    <w:rsid w:val="005E2A3F"/>
    <w:rsid w:val="005E2C22"/>
    <w:rsid w:val="005E2DAA"/>
    <w:rsid w:val="005E2F1A"/>
    <w:rsid w:val="005E2F89"/>
    <w:rsid w:val="005E304A"/>
    <w:rsid w:val="005E30EA"/>
    <w:rsid w:val="005E3135"/>
    <w:rsid w:val="005E3221"/>
    <w:rsid w:val="005E32F2"/>
    <w:rsid w:val="005E32F9"/>
    <w:rsid w:val="005E3306"/>
    <w:rsid w:val="005E3589"/>
    <w:rsid w:val="005E3604"/>
    <w:rsid w:val="005E36D4"/>
    <w:rsid w:val="005E3706"/>
    <w:rsid w:val="005E37E9"/>
    <w:rsid w:val="005E3937"/>
    <w:rsid w:val="005E39DD"/>
    <w:rsid w:val="005E3ABA"/>
    <w:rsid w:val="005E3C2D"/>
    <w:rsid w:val="005E3D65"/>
    <w:rsid w:val="005E3D8F"/>
    <w:rsid w:val="005E3F41"/>
    <w:rsid w:val="005E40D4"/>
    <w:rsid w:val="005E41B6"/>
    <w:rsid w:val="005E42FD"/>
    <w:rsid w:val="005E4360"/>
    <w:rsid w:val="005E4590"/>
    <w:rsid w:val="005E4792"/>
    <w:rsid w:val="005E47B8"/>
    <w:rsid w:val="005E47F2"/>
    <w:rsid w:val="005E48C6"/>
    <w:rsid w:val="005E49B7"/>
    <w:rsid w:val="005E49CC"/>
    <w:rsid w:val="005E4B46"/>
    <w:rsid w:val="005E4C4C"/>
    <w:rsid w:val="005E4D96"/>
    <w:rsid w:val="005E4DAE"/>
    <w:rsid w:val="005E4E91"/>
    <w:rsid w:val="005E4F97"/>
    <w:rsid w:val="005E5031"/>
    <w:rsid w:val="005E5188"/>
    <w:rsid w:val="005E538A"/>
    <w:rsid w:val="005E5485"/>
    <w:rsid w:val="005E5639"/>
    <w:rsid w:val="005E5645"/>
    <w:rsid w:val="005E571D"/>
    <w:rsid w:val="005E57A9"/>
    <w:rsid w:val="005E5818"/>
    <w:rsid w:val="005E5884"/>
    <w:rsid w:val="005E5B39"/>
    <w:rsid w:val="005E5E86"/>
    <w:rsid w:val="005E6095"/>
    <w:rsid w:val="005E60F2"/>
    <w:rsid w:val="005E60FD"/>
    <w:rsid w:val="005E62EB"/>
    <w:rsid w:val="005E62EF"/>
    <w:rsid w:val="005E6316"/>
    <w:rsid w:val="005E6442"/>
    <w:rsid w:val="005E64F7"/>
    <w:rsid w:val="005E65F1"/>
    <w:rsid w:val="005E6643"/>
    <w:rsid w:val="005E6830"/>
    <w:rsid w:val="005E686E"/>
    <w:rsid w:val="005E6993"/>
    <w:rsid w:val="005E6CAD"/>
    <w:rsid w:val="005E6D67"/>
    <w:rsid w:val="005E6E67"/>
    <w:rsid w:val="005E6F40"/>
    <w:rsid w:val="005E709F"/>
    <w:rsid w:val="005E7202"/>
    <w:rsid w:val="005E721B"/>
    <w:rsid w:val="005E7331"/>
    <w:rsid w:val="005E7548"/>
    <w:rsid w:val="005E76C4"/>
    <w:rsid w:val="005E7835"/>
    <w:rsid w:val="005E7923"/>
    <w:rsid w:val="005E7C7E"/>
    <w:rsid w:val="005E7C9A"/>
    <w:rsid w:val="005E7CF9"/>
    <w:rsid w:val="005E7D97"/>
    <w:rsid w:val="005F01C9"/>
    <w:rsid w:val="005F0301"/>
    <w:rsid w:val="005F05A7"/>
    <w:rsid w:val="005F0620"/>
    <w:rsid w:val="005F06BC"/>
    <w:rsid w:val="005F07C0"/>
    <w:rsid w:val="005F097B"/>
    <w:rsid w:val="005F0A1E"/>
    <w:rsid w:val="005F0B9B"/>
    <w:rsid w:val="005F0BA5"/>
    <w:rsid w:val="005F0D94"/>
    <w:rsid w:val="005F0D97"/>
    <w:rsid w:val="005F0DA8"/>
    <w:rsid w:val="005F0E23"/>
    <w:rsid w:val="005F0F8F"/>
    <w:rsid w:val="005F1490"/>
    <w:rsid w:val="005F14EE"/>
    <w:rsid w:val="005F1605"/>
    <w:rsid w:val="005F1658"/>
    <w:rsid w:val="005F17F3"/>
    <w:rsid w:val="005F182A"/>
    <w:rsid w:val="005F1867"/>
    <w:rsid w:val="005F19FC"/>
    <w:rsid w:val="005F1B74"/>
    <w:rsid w:val="005F1BF4"/>
    <w:rsid w:val="005F1CAA"/>
    <w:rsid w:val="005F1ED6"/>
    <w:rsid w:val="005F1EF0"/>
    <w:rsid w:val="005F1F15"/>
    <w:rsid w:val="005F20C8"/>
    <w:rsid w:val="005F216A"/>
    <w:rsid w:val="005F2218"/>
    <w:rsid w:val="005F25B1"/>
    <w:rsid w:val="005F266F"/>
    <w:rsid w:val="005F2821"/>
    <w:rsid w:val="005F2AEA"/>
    <w:rsid w:val="005F2C30"/>
    <w:rsid w:val="005F2C70"/>
    <w:rsid w:val="005F2C93"/>
    <w:rsid w:val="005F2E58"/>
    <w:rsid w:val="005F304B"/>
    <w:rsid w:val="005F3116"/>
    <w:rsid w:val="005F311B"/>
    <w:rsid w:val="005F31C7"/>
    <w:rsid w:val="005F323D"/>
    <w:rsid w:val="005F3342"/>
    <w:rsid w:val="005F339A"/>
    <w:rsid w:val="005F375E"/>
    <w:rsid w:val="005F3768"/>
    <w:rsid w:val="005F389C"/>
    <w:rsid w:val="005F38B0"/>
    <w:rsid w:val="005F398E"/>
    <w:rsid w:val="005F39B4"/>
    <w:rsid w:val="005F39F7"/>
    <w:rsid w:val="005F3A4A"/>
    <w:rsid w:val="005F3AAB"/>
    <w:rsid w:val="005F3C41"/>
    <w:rsid w:val="005F3DE4"/>
    <w:rsid w:val="005F3E71"/>
    <w:rsid w:val="005F3EB4"/>
    <w:rsid w:val="005F3F9E"/>
    <w:rsid w:val="005F4469"/>
    <w:rsid w:val="005F44E0"/>
    <w:rsid w:val="005F46CB"/>
    <w:rsid w:val="005F473E"/>
    <w:rsid w:val="005F47D2"/>
    <w:rsid w:val="005F47D4"/>
    <w:rsid w:val="005F495B"/>
    <w:rsid w:val="005F4A05"/>
    <w:rsid w:val="005F4B44"/>
    <w:rsid w:val="005F4BDD"/>
    <w:rsid w:val="005F4E0F"/>
    <w:rsid w:val="005F4E58"/>
    <w:rsid w:val="005F50F9"/>
    <w:rsid w:val="005F518A"/>
    <w:rsid w:val="005F51E8"/>
    <w:rsid w:val="005F5263"/>
    <w:rsid w:val="005F5370"/>
    <w:rsid w:val="005F53AA"/>
    <w:rsid w:val="005F5631"/>
    <w:rsid w:val="005F5812"/>
    <w:rsid w:val="005F5834"/>
    <w:rsid w:val="005F5AF8"/>
    <w:rsid w:val="005F5BF3"/>
    <w:rsid w:val="005F5C76"/>
    <w:rsid w:val="005F5D35"/>
    <w:rsid w:val="005F5D94"/>
    <w:rsid w:val="005F5F8B"/>
    <w:rsid w:val="005F600D"/>
    <w:rsid w:val="005F601B"/>
    <w:rsid w:val="005F60D2"/>
    <w:rsid w:val="005F6234"/>
    <w:rsid w:val="005F63A1"/>
    <w:rsid w:val="005F6433"/>
    <w:rsid w:val="005F6448"/>
    <w:rsid w:val="005F650B"/>
    <w:rsid w:val="005F652A"/>
    <w:rsid w:val="005F659E"/>
    <w:rsid w:val="005F66C9"/>
    <w:rsid w:val="005F67C0"/>
    <w:rsid w:val="005F682A"/>
    <w:rsid w:val="005F68D4"/>
    <w:rsid w:val="005F6B3F"/>
    <w:rsid w:val="005F6F3B"/>
    <w:rsid w:val="005F6F8B"/>
    <w:rsid w:val="005F6FE9"/>
    <w:rsid w:val="005F7032"/>
    <w:rsid w:val="005F7076"/>
    <w:rsid w:val="005F70DD"/>
    <w:rsid w:val="005F710A"/>
    <w:rsid w:val="005F723A"/>
    <w:rsid w:val="005F74A8"/>
    <w:rsid w:val="005F76B4"/>
    <w:rsid w:val="005F7712"/>
    <w:rsid w:val="005F77A2"/>
    <w:rsid w:val="005F7841"/>
    <w:rsid w:val="005F787F"/>
    <w:rsid w:val="005F7899"/>
    <w:rsid w:val="005F78E9"/>
    <w:rsid w:val="005F794F"/>
    <w:rsid w:val="005F79AB"/>
    <w:rsid w:val="005F79BE"/>
    <w:rsid w:val="005F7A97"/>
    <w:rsid w:val="005F7B09"/>
    <w:rsid w:val="005F7E7D"/>
    <w:rsid w:val="005F7FAA"/>
    <w:rsid w:val="0060004E"/>
    <w:rsid w:val="00600087"/>
    <w:rsid w:val="006000DB"/>
    <w:rsid w:val="0060014D"/>
    <w:rsid w:val="00600226"/>
    <w:rsid w:val="0060027A"/>
    <w:rsid w:val="00600359"/>
    <w:rsid w:val="006003A9"/>
    <w:rsid w:val="0060043B"/>
    <w:rsid w:val="006004E2"/>
    <w:rsid w:val="00600868"/>
    <w:rsid w:val="0060097C"/>
    <w:rsid w:val="00600B22"/>
    <w:rsid w:val="00600F6E"/>
    <w:rsid w:val="00600FCD"/>
    <w:rsid w:val="00601217"/>
    <w:rsid w:val="0060130E"/>
    <w:rsid w:val="00601315"/>
    <w:rsid w:val="00601345"/>
    <w:rsid w:val="0060142C"/>
    <w:rsid w:val="00601598"/>
    <w:rsid w:val="0060188E"/>
    <w:rsid w:val="006019FB"/>
    <w:rsid w:val="00601D59"/>
    <w:rsid w:val="00601E97"/>
    <w:rsid w:val="00601FA9"/>
    <w:rsid w:val="00601FC4"/>
    <w:rsid w:val="0060205A"/>
    <w:rsid w:val="006020CF"/>
    <w:rsid w:val="006021E5"/>
    <w:rsid w:val="00602485"/>
    <w:rsid w:val="0060264A"/>
    <w:rsid w:val="006026A2"/>
    <w:rsid w:val="006026AA"/>
    <w:rsid w:val="006026EB"/>
    <w:rsid w:val="006028F6"/>
    <w:rsid w:val="006029F4"/>
    <w:rsid w:val="00602A06"/>
    <w:rsid w:val="00602AC0"/>
    <w:rsid w:val="00602C62"/>
    <w:rsid w:val="00602CB5"/>
    <w:rsid w:val="00602D07"/>
    <w:rsid w:val="00602DA8"/>
    <w:rsid w:val="00602E24"/>
    <w:rsid w:val="00602E25"/>
    <w:rsid w:val="00603072"/>
    <w:rsid w:val="00603106"/>
    <w:rsid w:val="006031D7"/>
    <w:rsid w:val="00603351"/>
    <w:rsid w:val="006033B5"/>
    <w:rsid w:val="006034CC"/>
    <w:rsid w:val="0060375E"/>
    <w:rsid w:val="006038BE"/>
    <w:rsid w:val="006038C6"/>
    <w:rsid w:val="00603AB5"/>
    <w:rsid w:val="00603AF1"/>
    <w:rsid w:val="00603B28"/>
    <w:rsid w:val="00603B87"/>
    <w:rsid w:val="00603D3C"/>
    <w:rsid w:val="00603F0D"/>
    <w:rsid w:val="00604019"/>
    <w:rsid w:val="00604052"/>
    <w:rsid w:val="00604080"/>
    <w:rsid w:val="0060422E"/>
    <w:rsid w:val="0060427F"/>
    <w:rsid w:val="006042AA"/>
    <w:rsid w:val="00604466"/>
    <w:rsid w:val="006044AD"/>
    <w:rsid w:val="00604621"/>
    <w:rsid w:val="00604658"/>
    <w:rsid w:val="00604675"/>
    <w:rsid w:val="006046BE"/>
    <w:rsid w:val="00604701"/>
    <w:rsid w:val="006047D1"/>
    <w:rsid w:val="006048D4"/>
    <w:rsid w:val="00604917"/>
    <w:rsid w:val="00604925"/>
    <w:rsid w:val="00604957"/>
    <w:rsid w:val="006049CC"/>
    <w:rsid w:val="00604AD0"/>
    <w:rsid w:val="00604C65"/>
    <w:rsid w:val="00604C88"/>
    <w:rsid w:val="00604CCD"/>
    <w:rsid w:val="00604DA6"/>
    <w:rsid w:val="00604EBD"/>
    <w:rsid w:val="0060517E"/>
    <w:rsid w:val="0060533A"/>
    <w:rsid w:val="00605403"/>
    <w:rsid w:val="006054B4"/>
    <w:rsid w:val="006054B8"/>
    <w:rsid w:val="006054EE"/>
    <w:rsid w:val="006055CB"/>
    <w:rsid w:val="006055CE"/>
    <w:rsid w:val="0060575D"/>
    <w:rsid w:val="00605C92"/>
    <w:rsid w:val="00605CED"/>
    <w:rsid w:val="00605FD8"/>
    <w:rsid w:val="0060600D"/>
    <w:rsid w:val="00606246"/>
    <w:rsid w:val="00606324"/>
    <w:rsid w:val="0060648B"/>
    <w:rsid w:val="00606581"/>
    <w:rsid w:val="006065B6"/>
    <w:rsid w:val="00606609"/>
    <w:rsid w:val="006068A5"/>
    <w:rsid w:val="00606A41"/>
    <w:rsid w:val="00606A5C"/>
    <w:rsid w:val="00606B36"/>
    <w:rsid w:val="00606DC7"/>
    <w:rsid w:val="00607062"/>
    <w:rsid w:val="006071EA"/>
    <w:rsid w:val="00607247"/>
    <w:rsid w:val="00607321"/>
    <w:rsid w:val="0060750B"/>
    <w:rsid w:val="006075D0"/>
    <w:rsid w:val="00607992"/>
    <w:rsid w:val="00607995"/>
    <w:rsid w:val="00607D79"/>
    <w:rsid w:val="00607DBF"/>
    <w:rsid w:val="00607FC7"/>
    <w:rsid w:val="00610395"/>
    <w:rsid w:val="0061045C"/>
    <w:rsid w:val="0061051D"/>
    <w:rsid w:val="006105C2"/>
    <w:rsid w:val="00610790"/>
    <w:rsid w:val="00610A49"/>
    <w:rsid w:val="00610AE3"/>
    <w:rsid w:val="00610C4B"/>
    <w:rsid w:val="00610F68"/>
    <w:rsid w:val="00610FB1"/>
    <w:rsid w:val="0061106D"/>
    <w:rsid w:val="0061109D"/>
    <w:rsid w:val="00611129"/>
    <w:rsid w:val="0061119C"/>
    <w:rsid w:val="006114CE"/>
    <w:rsid w:val="00611578"/>
    <w:rsid w:val="006118BE"/>
    <w:rsid w:val="006118D8"/>
    <w:rsid w:val="006118DF"/>
    <w:rsid w:val="00611941"/>
    <w:rsid w:val="00611A38"/>
    <w:rsid w:val="00611AAF"/>
    <w:rsid w:val="00611AFA"/>
    <w:rsid w:val="00611B31"/>
    <w:rsid w:val="00611B6E"/>
    <w:rsid w:val="00611BF2"/>
    <w:rsid w:val="00611D1B"/>
    <w:rsid w:val="00611E2A"/>
    <w:rsid w:val="00611FCD"/>
    <w:rsid w:val="006120EF"/>
    <w:rsid w:val="006121E2"/>
    <w:rsid w:val="00612255"/>
    <w:rsid w:val="006124A6"/>
    <w:rsid w:val="006126F2"/>
    <w:rsid w:val="0061276F"/>
    <w:rsid w:val="00612863"/>
    <w:rsid w:val="006128C9"/>
    <w:rsid w:val="006129A7"/>
    <w:rsid w:val="006129ED"/>
    <w:rsid w:val="00612A1A"/>
    <w:rsid w:val="00612AA1"/>
    <w:rsid w:val="00612B04"/>
    <w:rsid w:val="00612D24"/>
    <w:rsid w:val="00612E37"/>
    <w:rsid w:val="00612FE5"/>
    <w:rsid w:val="00613175"/>
    <w:rsid w:val="00613176"/>
    <w:rsid w:val="00613247"/>
    <w:rsid w:val="006132A6"/>
    <w:rsid w:val="00613396"/>
    <w:rsid w:val="006133DF"/>
    <w:rsid w:val="00613496"/>
    <w:rsid w:val="006135E8"/>
    <w:rsid w:val="0061370A"/>
    <w:rsid w:val="00613A5F"/>
    <w:rsid w:val="00613D6E"/>
    <w:rsid w:val="00613D8A"/>
    <w:rsid w:val="00613DBC"/>
    <w:rsid w:val="00613DBF"/>
    <w:rsid w:val="00613DEB"/>
    <w:rsid w:val="00613E0A"/>
    <w:rsid w:val="006140AA"/>
    <w:rsid w:val="006141DF"/>
    <w:rsid w:val="006142CF"/>
    <w:rsid w:val="006143D5"/>
    <w:rsid w:val="006143EF"/>
    <w:rsid w:val="00614555"/>
    <w:rsid w:val="0061485A"/>
    <w:rsid w:val="006148C7"/>
    <w:rsid w:val="00614932"/>
    <w:rsid w:val="00614A67"/>
    <w:rsid w:val="00614AA7"/>
    <w:rsid w:val="00614C29"/>
    <w:rsid w:val="00614C9E"/>
    <w:rsid w:val="00614CBF"/>
    <w:rsid w:val="00614D45"/>
    <w:rsid w:val="00614D81"/>
    <w:rsid w:val="00614D9A"/>
    <w:rsid w:val="00614DA2"/>
    <w:rsid w:val="00614FF5"/>
    <w:rsid w:val="0061505B"/>
    <w:rsid w:val="0061521A"/>
    <w:rsid w:val="0061541A"/>
    <w:rsid w:val="00615465"/>
    <w:rsid w:val="0061563A"/>
    <w:rsid w:val="0061566F"/>
    <w:rsid w:val="006156F0"/>
    <w:rsid w:val="006157F8"/>
    <w:rsid w:val="00615A47"/>
    <w:rsid w:val="00615AA7"/>
    <w:rsid w:val="00615CB8"/>
    <w:rsid w:val="00615E0D"/>
    <w:rsid w:val="00615E28"/>
    <w:rsid w:val="00615F40"/>
    <w:rsid w:val="00615F57"/>
    <w:rsid w:val="00615FEB"/>
    <w:rsid w:val="006160FE"/>
    <w:rsid w:val="006169A2"/>
    <w:rsid w:val="006169D2"/>
    <w:rsid w:val="00616BD9"/>
    <w:rsid w:val="00616CB5"/>
    <w:rsid w:val="00616E8D"/>
    <w:rsid w:val="00616F52"/>
    <w:rsid w:val="00616F7A"/>
    <w:rsid w:val="00616FB7"/>
    <w:rsid w:val="00616FEF"/>
    <w:rsid w:val="0061704C"/>
    <w:rsid w:val="0061715A"/>
    <w:rsid w:val="0061716E"/>
    <w:rsid w:val="0061732D"/>
    <w:rsid w:val="006173B3"/>
    <w:rsid w:val="006174B9"/>
    <w:rsid w:val="006174BE"/>
    <w:rsid w:val="00617547"/>
    <w:rsid w:val="00617686"/>
    <w:rsid w:val="0061783B"/>
    <w:rsid w:val="00617A38"/>
    <w:rsid w:val="00617A3E"/>
    <w:rsid w:val="00617B98"/>
    <w:rsid w:val="00617CA9"/>
    <w:rsid w:val="00617DD6"/>
    <w:rsid w:val="00617E23"/>
    <w:rsid w:val="0062005D"/>
    <w:rsid w:val="0062024B"/>
    <w:rsid w:val="00620303"/>
    <w:rsid w:val="0062034E"/>
    <w:rsid w:val="00620359"/>
    <w:rsid w:val="006205B5"/>
    <w:rsid w:val="006206E6"/>
    <w:rsid w:val="00620771"/>
    <w:rsid w:val="006208D2"/>
    <w:rsid w:val="00620985"/>
    <w:rsid w:val="006209BD"/>
    <w:rsid w:val="006209E8"/>
    <w:rsid w:val="00620A35"/>
    <w:rsid w:val="00620C2B"/>
    <w:rsid w:val="00620D8E"/>
    <w:rsid w:val="00620DC0"/>
    <w:rsid w:val="00620E54"/>
    <w:rsid w:val="00620E5B"/>
    <w:rsid w:val="00620E61"/>
    <w:rsid w:val="0062106C"/>
    <w:rsid w:val="006210D9"/>
    <w:rsid w:val="006210E9"/>
    <w:rsid w:val="00621189"/>
    <w:rsid w:val="00621335"/>
    <w:rsid w:val="006215D0"/>
    <w:rsid w:val="0062177D"/>
    <w:rsid w:val="006218AD"/>
    <w:rsid w:val="006218D9"/>
    <w:rsid w:val="006219A5"/>
    <w:rsid w:val="00621AC2"/>
    <w:rsid w:val="00621AD7"/>
    <w:rsid w:val="00621B09"/>
    <w:rsid w:val="00622006"/>
    <w:rsid w:val="006220C5"/>
    <w:rsid w:val="00622178"/>
    <w:rsid w:val="006223BD"/>
    <w:rsid w:val="0062248B"/>
    <w:rsid w:val="006224AE"/>
    <w:rsid w:val="006226EF"/>
    <w:rsid w:val="00622739"/>
    <w:rsid w:val="00622855"/>
    <w:rsid w:val="00622925"/>
    <w:rsid w:val="00622A66"/>
    <w:rsid w:val="00622B09"/>
    <w:rsid w:val="00622BF7"/>
    <w:rsid w:val="00622C6A"/>
    <w:rsid w:val="00622C72"/>
    <w:rsid w:val="00622CF3"/>
    <w:rsid w:val="00622DA7"/>
    <w:rsid w:val="00622E6A"/>
    <w:rsid w:val="00622FD3"/>
    <w:rsid w:val="00622FEE"/>
    <w:rsid w:val="0062303B"/>
    <w:rsid w:val="006230F4"/>
    <w:rsid w:val="0062316E"/>
    <w:rsid w:val="006232E2"/>
    <w:rsid w:val="00623441"/>
    <w:rsid w:val="00623535"/>
    <w:rsid w:val="00623543"/>
    <w:rsid w:val="006235AA"/>
    <w:rsid w:val="006237BF"/>
    <w:rsid w:val="0062382F"/>
    <w:rsid w:val="0062383D"/>
    <w:rsid w:val="0062392E"/>
    <w:rsid w:val="00623940"/>
    <w:rsid w:val="00623C50"/>
    <w:rsid w:val="00623D4B"/>
    <w:rsid w:val="00623FBC"/>
    <w:rsid w:val="006240CB"/>
    <w:rsid w:val="0062411B"/>
    <w:rsid w:val="0062417C"/>
    <w:rsid w:val="006241DF"/>
    <w:rsid w:val="006243B8"/>
    <w:rsid w:val="00624499"/>
    <w:rsid w:val="006244E2"/>
    <w:rsid w:val="00624567"/>
    <w:rsid w:val="00624585"/>
    <w:rsid w:val="0062479E"/>
    <w:rsid w:val="006247D2"/>
    <w:rsid w:val="00624940"/>
    <w:rsid w:val="00624A77"/>
    <w:rsid w:val="00624BF5"/>
    <w:rsid w:val="00624C83"/>
    <w:rsid w:val="00624C84"/>
    <w:rsid w:val="00624D0B"/>
    <w:rsid w:val="00624F3A"/>
    <w:rsid w:val="00624F3C"/>
    <w:rsid w:val="0062502D"/>
    <w:rsid w:val="00625151"/>
    <w:rsid w:val="00625161"/>
    <w:rsid w:val="0062549C"/>
    <w:rsid w:val="00625670"/>
    <w:rsid w:val="00625764"/>
    <w:rsid w:val="006257D5"/>
    <w:rsid w:val="00625801"/>
    <w:rsid w:val="00625873"/>
    <w:rsid w:val="00625DD1"/>
    <w:rsid w:val="00625E56"/>
    <w:rsid w:val="00625FDA"/>
    <w:rsid w:val="006261B6"/>
    <w:rsid w:val="00626597"/>
    <w:rsid w:val="0062661C"/>
    <w:rsid w:val="00626661"/>
    <w:rsid w:val="00626715"/>
    <w:rsid w:val="0062687B"/>
    <w:rsid w:val="00626B3B"/>
    <w:rsid w:val="00626C86"/>
    <w:rsid w:val="00626CB4"/>
    <w:rsid w:val="00626E3D"/>
    <w:rsid w:val="00626E3E"/>
    <w:rsid w:val="00626FB2"/>
    <w:rsid w:val="006270F9"/>
    <w:rsid w:val="0062713E"/>
    <w:rsid w:val="00627285"/>
    <w:rsid w:val="006272B8"/>
    <w:rsid w:val="00627479"/>
    <w:rsid w:val="006275A5"/>
    <w:rsid w:val="0062774D"/>
    <w:rsid w:val="00627839"/>
    <w:rsid w:val="00627934"/>
    <w:rsid w:val="0062793B"/>
    <w:rsid w:val="00627952"/>
    <w:rsid w:val="006279C0"/>
    <w:rsid w:val="00627B32"/>
    <w:rsid w:val="00627C16"/>
    <w:rsid w:val="00627C19"/>
    <w:rsid w:val="00627D01"/>
    <w:rsid w:val="00627E53"/>
    <w:rsid w:val="00627F00"/>
    <w:rsid w:val="00627F5C"/>
    <w:rsid w:val="006300BF"/>
    <w:rsid w:val="0063026D"/>
    <w:rsid w:val="006302D6"/>
    <w:rsid w:val="006303AC"/>
    <w:rsid w:val="0063041F"/>
    <w:rsid w:val="0063049E"/>
    <w:rsid w:val="006304E7"/>
    <w:rsid w:val="00630603"/>
    <w:rsid w:val="00630627"/>
    <w:rsid w:val="00630BDB"/>
    <w:rsid w:val="00630BE6"/>
    <w:rsid w:val="00630DD6"/>
    <w:rsid w:val="00630DEB"/>
    <w:rsid w:val="00630F1F"/>
    <w:rsid w:val="00630FA6"/>
    <w:rsid w:val="006310B3"/>
    <w:rsid w:val="0063119D"/>
    <w:rsid w:val="006311D0"/>
    <w:rsid w:val="006313C1"/>
    <w:rsid w:val="00631428"/>
    <w:rsid w:val="006314CE"/>
    <w:rsid w:val="006314DB"/>
    <w:rsid w:val="00631719"/>
    <w:rsid w:val="006317A1"/>
    <w:rsid w:val="00631835"/>
    <w:rsid w:val="00631D65"/>
    <w:rsid w:val="00631DFB"/>
    <w:rsid w:val="00631EDE"/>
    <w:rsid w:val="00632152"/>
    <w:rsid w:val="006321E3"/>
    <w:rsid w:val="006322A3"/>
    <w:rsid w:val="0063239D"/>
    <w:rsid w:val="006323D6"/>
    <w:rsid w:val="006324B0"/>
    <w:rsid w:val="006324B1"/>
    <w:rsid w:val="006325EB"/>
    <w:rsid w:val="00632609"/>
    <w:rsid w:val="00632627"/>
    <w:rsid w:val="0063268F"/>
    <w:rsid w:val="006328C7"/>
    <w:rsid w:val="006328EB"/>
    <w:rsid w:val="00632A47"/>
    <w:rsid w:val="00632B23"/>
    <w:rsid w:val="00632C75"/>
    <w:rsid w:val="00632E99"/>
    <w:rsid w:val="00632EA1"/>
    <w:rsid w:val="00632EB9"/>
    <w:rsid w:val="00633304"/>
    <w:rsid w:val="00633310"/>
    <w:rsid w:val="00633410"/>
    <w:rsid w:val="0063354A"/>
    <w:rsid w:val="0063357A"/>
    <w:rsid w:val="006336D3"/>
    <w:rsid w:val="00633744"/>
    <w:rsid w:val="00633760"/>
    <w:rsid w:val="006337A7"/>
    <w:rsid w:val="006339B9"/>
    <w:rsid w:val="006339EE"/>
    <w:rsid w:val="00633C72"/>
    <w:rsid w:val="00633D37"/>
    <w:rsid w:val="00633DE3"/>
    <w:rsid w:val="00633E95"/>
    <w:rsid w:val="00633F1C"/>
    <w:rsid w:val="00633FAB"/>
    <w:rsid w:val="00634043"/>
    <w:rsid w:val="0063418F"/>
    <w:rsid w:val="00634207"/>
    <w:rsid w:val="00634273"/>
    <w:rsid w:val="0063433F"/>
    <w:rsid w:val="00634450"/>
    <w:rsid w:val="006345DB"/>
    <w:rsid w:val="006345E0"/>
    <w:rsid w:val="00634665"/>
    <w:rsid w:val="0063466C"/>
    <w:rsid w:val="0063469D"/>
    <w:rsid w:val="00634746"/>
    <w:rsid w:val="006347AF"/>
    <w:rsid w:val="00634C11"/>
    <w:rsid w:val="00634C4F"/>
    <w:rsid w:val="00634E29"/>
    <w:rsid w:val="00634F3A"/>
    <w:rsid w:val="00634FBD"/>
    <w:rsid w:val="00634FE3"/>
    <w:rsid w:val="0063504B"/>
    <w:rsid w:val="00635122"/>
    <w:rsid w:val="006351A9"/>
    <w:rsid w:val="00635401"/>
    <w:rsid w:val="0063545D"/>
    <w:rsid w:val="0063545E"/>
    <w:rsid w:val="006354BB"/>
    <w:rsid w:val="006354CE"/>
    <w:rsid w:val="006354D3"/>
    <w:rsid w:val="006358A3"/>
    <w:rsid w:val="00635915"/>
    <w:rsid w:val="00635976"/>
    <w:rsid w:val="006359E3"/>
    <w:rsid w:val="006359F0"/>
    <w:rsid w:val="00635D1D"/>
    <w:rsid w:val="00635D63"/>
    <w:rsid w:val="00635EE5"/>
    <w:rsid w:val="00636066"/>
    <w:rsid w:val="006360A5"/>
    <w:rsid w:val="006360CD"/>
    <w:rsid w:val="0063616E"/>
    <w:rsid w:val="00636190"/>
    <w:rsid w:val="0063620D"/>
    <w:rsid w:val="00636254"/>
    <w:rsid w:val="00636290"/>
    <w:rsid w:val="0063632F"/>
    <w:rsid w:val="00636464"/>
    <w:rsid w:val="00636472"/>
    <w:rsid w:val="00636478"/>
    <w:rsid w:val="0063652B"/>
    <w:rsid w:val="006366CE"/>
    <w:rsid w:val="00636956"/>
    <w:rsid w:val="006369FC"/>
    <w:rsid w:val="00636BCE"/>
    <w:rsid w:val="00636C40"/>
    <w:rsid w:val="00636EFB"/>
    <w:rsid w:val="00636F65"/>
    <w:rsid w:val="00636F89"/>
    <w:rsid w:val="00636F90"/>
    <w:rsid w:val="00636FEC"/>
    <w:rsid w:val="00637023"/>
    <w:rsid w:val="00637088"/>
    <w:rsid w:val="006370D6"/>
    <w:rsid w:val="00637204"/>
    <w:rsid w:val="00637464"/>
    <w:rsid w:val="00637682"/>
    <w:rsid w:val="006378C1"/>
    <w:rsid w:val="0063798E"/>
    <w:rsid w:val="00637B14"/>
    <w:rsid w:val="00637E73"/>
    <w:rsid w:val="00637F83"/>
    <w:rsid w:val="00637F97"/>
    <w:rsid w:val="00637FEF"/>
    <w:rsid w:val="006402B7"/>
    <w:rsid w:val="00640374"/>
    <w:rsid w:val="006403AB"/>
    <w:rsid w:val="00640474"/>
    <w:rsid w:val="006404F1"/>
    <w:rsid w:val="006407CC"/>
    <w:rsid w:val="0064083E"/>
    <w:rsid w:val="0064089D"/>
    <w:rsid w:val="00640974"/>
    <w:rsid w:val="00640DEB"/>
    <w:rsid w:val="00640DEF"/>
    <w:rsid w:val="00640DF8"/>
    <w:rsid w:val="00640EE0"/>
    <w:rsid w:val="006411D9"/>
    <w:rsid w:val="00641777"/>
    <w:rsid w:val="006417E6"/>
    <w:rsid w:val="006417E9"/>
    <w:rsid w:val="0064187E"/>
    <w:rsid w:val="006418F6"/>
    <w:rsid w:val="0064193A"/>
    <w:rsid w:val="006419E5"/>
    <w:rsid w:val="006419F7"/>
    <w:rsid w:val="00641B0A"/>
    <w:rsid w:val="00641B8E"/>
    <w:rsid w:val="00641C46"/>
    <w:rsid w:val="00641CB2"/>
    <w:rsid w:val="00641DCA"/>
    <w:rsid w:val="00641DF1"/>
    <w:rsid w:val="00641E5C"/>
    <w:rsid w:val="00641EB1"/>
    <w:rsid w:val="00641FC7"/>
    <w:rsid w:val="00641FDB"/>
    <w:rsid w:val="0064205D"/>
    <w:rsid w:val="0064206D"/>
    <w:rsid w:val="006420A2"/>
    <w:rsid w:val="0064230F"/>
    <w:rsid w:val="00642418"/>
    <w:rsid w:val="0064241C"/>
    <w:rsid w:val="00642426"/>
    <w:rsid w:val="00642458"/>
    <w:rsid w:val="006424C0"/>
    <w:rsid w:val="00642515"/>
    <w:rsid w:val="00642543"/>
    <w:rsid w:val="00642622"/>
    <w:rsid w:val="006427E9"/>
    <w:rsid w:val="006427EF"/>
    <w:rsid w:val="006429EE"/>
    <w:rsid w:val="00642BC9"/>
    <w:rsid w:val="00642BE3"/>
    <w:rsid w:val="00642BF6"/>
    <w:rsid w:val="00642C42"/>
    <w:rsid w:val="00642C5B"/>
    <w:rsid w:val="00642F11"/>
    <w:rsid w:val="00642F57"/>
    <w:rsid w:val="0064318C"/>
    <w:rsid w:val="006431E4"/>
    <w:rsid w:val="0064321A"/>
    <w:rsid w:val="0064325C"/>
    <w:rsid w:val="00643283"/>
    <w:rsid w:val="00643284"/>
    <w:rsid w:val="00643357"/>
    <w:rsid w:val="006437F1"/>
    <w:rsid w:val="00643896"/>
    <w:rsid w:val="0064398B"/>
    <w:rsid w:val="00643A13"/>
    <w:rsid w:val="00643A4F"/>
    <w:rsid w:val="00643B2E"/>
    <w:rsid w:val="00643B6C"/>
    <w:rsid w:val="00643D57"/>
    <w:rsid w:val="00643D7C"/>
    <w:rsid w:val="00643DC2"/>
    <w:rsid w:val="00643E03"/>
    <w:rsid w:val="00643EF9"/>
    <w:rsid w:val="00644051"/>
    <w:rsid w:val="006440BE"/>
    <w:rsid w:val="006444AC"/>
    <w:rsid w:val="00644683"/>
    <w:rsid w:val="00644774"/>
    <w:rsid w:val="0064489B"/>
    <w:rsid w:val="00644930"/>
    <w:rsid w:val="00644AC1"/>
    <w:rsid w:val="00644B15"/>
    <w:rsid w:val="00644B2C"/>
    <w:rsid w:val="00644C2E"/>
    <w:rsid w:val="00644C82"/>
    <w:rsid w:val="00644F19"/>
    <w:rsid w:val="00644F40"/>
    <w:rsid w:val="00644F89"/>
    <w:rsid w:val="0064501E"/>
    <w:rsid w:val="006451FD"/>
    <w:rsid w:val="0064521D"/>
    <w:rsid w:val="00645233"/>
    <w:rsid w:val="00645289"/>
    <w:rsid w:val="006452BC"/>
    <w:rsid w:val="006453D1"/>
    <w:rsid w:val="00645452"/>
    <w:rsid w:val="006454AB"/>
    <w:rsid w:val="006454C7"/>
    <w:rsid w:val="00645542"/>
    <w:rsid w:val="006455CD"/>
    <w:rsid w:val="006456DF"/>
    <w:rsid w:val="00645716"/>
    <w:rsid w:val="00645947"/>
    <w:rsid w:val="006459C0"/>
    <w:rsid w:val="006459ED"/>
    <w:rsid w:val="00645A3F"/>
    <w:rsid w:val="00645C64"/>
    <w:rsid w:val="00645CF4"/>
    <w:rsid w:val="00645D65"/>
    <w:rsid w:val="00645E1D"/>
    <w:rsid w:val="00646152"/>
    <w:rsid w:val="006463D3"/>
    <w:rsid w:val="00646411"/>
    <w:rsid w:val="006465CA"/>
    <w:rsid w:val="0064661C"/>
    <w:rsid w:val="006466AB"/>
    <w:rsid w:val="00646873"/>
    <w:rsid w:val="0064691C"/>
    <w:rsid w:val="00646AA1"/>
    <w:rsid w:val="00646AB5"/>
    <w:rsid w:val="00646AB8"/>
    <w:rsid w:val="00646B13"/>
    <w:rsid w:val="00646B43"/>
    <w:rsid w:val="00646BDC"/>
    <w:rsid w:val="00646BF8"/>
    <w:rsid w:val="00646C4C"/>
    <w:rsid w:val="00646C5E"/>
    <w:rsid w:val="00646C74"/>
    <w:rsid w:val="00646E7B"/>
    <w:rsid w:val="00646E9D"/>
    <w:rsid w:val="00646F84"/>
    <w:rsid w:val="00647102"/>
    <w:rsid w:val="00647272"/>
    <w:rsid w:val="006472FE"/>
    <w:rsid w:val="0064748B"/>
    <w:rsid w:val="006474AD"/>
    <w:rsid w:val="00647791"/>
    <w:rsid w:val="006478D3"/>
    <w:rsid w:val="00647967"/>
    <w:rsid w:val="00647BC5"/>
    <w:rsid w:val="00647C02"/>
    <w:rsid w:val="00647CE2"/>
    <w:rsid w:val="00647DA2"/>
    <w:rsid w:val="00647DCE"/>
    <w:rsid w:val="00647F80"/>
    <w:rsid w:val="00647FDE"/>
    <w:rsid w:val="0065004D"/>
    <w:rsid w:val="006500FA"/>
    <w:rsid w:val="0065027D"/>
    <w:rsid w:val="00650313"/>
    <w:rsid w:val="006503C6"/>
    <w:rsid w:val="00650581"/>
    <w:rsid w:val="006505AA"/>
    <w:rsid w:val="006505F8"/>
    <w:rsid w:val="006507F0"/>
    <w:rsid w:val="00650A2D"/>
    <w:rsid w:val="00650AE6"/>
    <w:rsid w:val="00650C6A"/>
    <w:rsid w:val="00650E87"/>
    <w:rsid w:val="00650F0E"/>
    <w:rsid w:val="00650FD0"/>
    <w:rsid w:val="0065105B"/>
    <w:rsid w:val="00651273"/>
    <w:rsid w:val="006513D7"/>
    <w:rsid w:val="00651518"/>
    <w:rsid w:val="0065156E"/>
    <w:rsid w:val="0065164B"/>
    <w:rsid w:val="0065180D"/>
    <w:rsid w:val="00651811"/>
    <w:rsid w:val="006518F1"/>
    <w:rsid w:val="0065197C"/>
    <w:rsid w:val="00651985"/>
    <w:rsid w:val="00651AE4"/>
    <w:rsid w:val="00651BEF"/>
    <w:rsid w:val="00651E41"/>
    <w:rsid w:val="00651E9B"/>
    <w:rsid w:val="00651F71"/>
    <w:rsid w:val="00651F80"/>
    <w:rsid w:val="00651F8A"/>
    <w:rsid w:val="0065258A"/>
    <w:rsid w:val="006525D2"/>
    <w:rsid w:val="00652614"/>
    <w:rsid w:val="006526AE"/>
    <w:rsid w:val="00652918"/>
    <w:rsid w:val="00652986"/>
    <w:rsid w:val="00652A7C"/>
    <w:rsid w:val="00652AD7"/>
    <w:rsid w:val="00652AE8"/>
    <w:rsid w:val="00652B1E"/>
    <w:rsid w:val="00652CF5"/>
    <w:rsid w:val="0065310F"/>
    <w:rsid w:val="00653126"/>
    <w:rsid w:val="00653346"/>
    <w:rsid w:val="00653570"/>
    <w:rsid w:val="0065361F"/>
    <w:rsid w:val="006538F7"/>
    <w:rsid w:val="006539DA"/>
    <w:rsid w:val="00653CB2"/>
    <w:rsid w:val="00653D7C"/>
    <w:rsid w:val="00653E64"/>
    <w:rsid w:val="00653E66"/>
    <w:rsid w:val="00654100"/>
    <w:rsid w:val="00654165"/>
    <w:rsid w:val="00654261"/>
    <w:rsid w:val="00654522"/>
    <w:rsid w:val="0065456B"/>
    <w:rsid w:val="0065462A"/>
    <w:rsid w:val="00654679"/>
    <w:rsid w:val="00654808"/>
    <w:rsid w:val="00654893"/>
    <w:rsid w:val="006548BC"/>
    <w:rsid w:val="00654A07"/>
    <w:rsid w:val="00654BAD"/>
    <w:rsid w:val="00654BFF"/>
    <w:rsid w:val="00654DAA"/>
    <w:rsid w:val="00654F2B"/>
    <w:rsid w:val="00654F3E"/>
    <w:rsid w:val="00654F74"/>
    <w:rsid w:val="00654F83"/>
    <w:rsid w:val="006550FA"/>
    <w:rsid w:val="00655309"/>
    <w:rsid w:val="00655334"/>
    <w:rsid w:val="006553C7"/>
    <w:rsid w:val="00655400"/>
    <w:rsid w:val="00655430"/>
    <w:rsid w:val="00655481"/>
    <w:rsid w:val="00655807"/>
    <w:rsid w:val="00655839"/>
    <w:rsid w:val="00655A3C"/>
    <w:rsid w:val="00655CB5"/>
    <w:rsid w:val="00655DAD"/>
    <w:rsid w:val="00655DE7"/>
    <w:rsid w:val="00656064"/>
    <w:rsid w:val="00656070"/>
    <w:rsid w:val="00656452"/>
    <w:rsid w:val="00656559"/>
    <w:rsid w:val="0065667F"/>
    <w:rsid w:val="0065699D"/>
    <w:rsid w:val="00656A62"/>
    <w:rsid w:val="00656A9F"/>
    <w:rsid w:val="00656BEC"/>
    <w:rsid w:val="00656CB6"/>
    <w:rsid w:val="00656D03"/>
    <w:rsid w:val="00656D5C"/>
    <w:rsid w:val="00656DBF"/>
    <w:rsid w:val="00656E97"/>
    <w:rsid w:val="00656ED2"/>
    <w:rsid w:val="00656EDF"/>
    <w:rsid w:val="00656F83"/>
    <w:rsid w:val="00657029"/>
    <w:rsid w:val="00657229"/>
    <w:rsid w:val="00657279"/>
    <w:rsid w:val="0065767A"/>
    <w:rsid w:val="006578F5"/>
    <w:rsid w:val="006579C6"/>
    <w:rsid w:val="00657CD3"/>
    <w:rsid w:val="00657CF6"/>
    <w:rsid w:val="00657D9E"/>
    <w:rsid w:val="00657E7B"/>
    <w:rsid w:val="00660074"/>
    <w:rsid w:val="006600C0"/>
    <w:rsid w:val="0066031F"/>
    <w:rsid w:val="00660393"/>
    <w:rsid w:val="00660465"/>
    <w:rsid w:val="0066059B"/>
    <w:rsid w:val="00660632"/>
    <w:rsid w:val="00660881"/>
    <w:rsid w:val="006608A2"/>
    <w:rsid w:val="00660A05"/>
    <w:rsid w:val="00660B60"/>
    <w:rsid w:val="00660BFC"/>
    <w:rsid w:val="00660D41"/>
    <w:rsid w:val="00660D82"/>
    <w:rsid w:val="00660ED5"/>
    <w:rsid w:val="00660FA3"/>
    <w:rsid w:val="00661069"/>
    <w:rsid w:val="00661073"/>
    <w:rsid w:val="00661107"/>
    <w:rsid w:val="0066124F"/>
    <w:rsid w:val="006614FB"/>
    <w:rsid w:val="0066155D"/>
    <w:rsid w:val="006615AD"/>
    <w:rsid w:val="006617F3"/>
    <w:rsid w:val="00661843"/>
    <w:rsid w:val="0066184C"/>
    <w:rsid w:val="00661E07"/>
    <w:rsid w:val="00661EFB"/>
    <w:rsid w:val="00661F9C"/>
    <w:rsid w:val="00661FE7"/>
    <w:rsid w:val="00662012"/>
    <w:rsid w:val="00662025"/>
    <w:rsid w:val="00662365"/>
    <w:rsid w:val="006623D1"/>
    <w:rsid w:val="006625DD"/>
    <w:rsid w:val="00662611"/>
    <w:rsid w:val="00662688"/>
    <w:rsid w:val="0066271F"/>
    <w:rsid w:val="006629D2"/>
    <w:rsid w:val="00662A81"/>
    <w:rsid w:val="00662B6B"/>
    <w:rsid w:val="00662C90"/>
    <w:rsid w:val="00662DEB"/>
    <w:rsid w:val="00662E92"/>
    <w:rsid w:val="006630BB"/>
    <w:rsid w:val="00663122"/>
    <w:rsid w:val="006632A6"/>
    <w:rsid w:val="006633AD"/>
    <w:rsid w:val="006634FB"/>
    <w:rsid w:val="00663784"/>
    <w:rsid w:val="00663841"/>
    <w:rsid w:val="00663AE6"/>
    <w:rsid w:val="00663B47"/>
    <w:rsid w:val="00663BFA"/>
    <w:rsid w:val="00663BFE"/>
    <w:rsid w:val="00663C05"/>
    <w:rsid w:val="00663C1C"/>
    <w:rsid w:val="00663C58"/>
    <w:rsid w:val="00663D60"/>
    <w:rsid w:val="00663D8C"/>
    <w:rsid w:val="00663E38"/>
    <w:rsid w:val="00664055"/>
    <w:rsid w:val="006641B0"/>
    <w:rsid w:val="00664212"/>
    <w:rsid w:val="0066428C"/>
    <w:rsid w:val="0066431F"/>
    <w:rsid w:val="00664343"/>
    <w:rsid w:val="0066440A"/>
    <w:rsid w:val="00664472"/>
    <w:rsid w:val="00664637"/>
    <w:rsid w:val="00664799"/>
    <w:rsid w:val="00664870"/>
    <w:rsid w:val="006649E3"/>
    <w:rsid w:val="006649E5"/>
    <w:rsid w:val="00664FA0"/>
    <w:rsid w:val="0066504B"/>
    <w:rsid w:val="006652EF"/>
    <w:rsid w:val="00665457"/>
    <w:rsid w:val="0066558E"/>
    <w:rsid w:val="0066568F"/>
    <w:rsid w:val="0066582E"/>
    <w:rsid w:val="00665870"/>
    <w:rsid w:val="006658D3"/>
    <w:rsid w:val="00665935"/>
    <w:rsid w:val="00665956"/>
    <w:rsid w:val="00665B7A"/>
    <w:rsid w:val="00665C5D"/>
    <w:rsid w:val="00665D97"/>
    <w:rsid w:val="00665DC1"/>
    <w:rsid w:val="00666021"/>
    <w:rsid w:val="006661B7"/>
    <w:rsid w:val="006661BD"/>
    <w:rsid w:val="006662E4"/>
    <w:rsid w:val="006662E9"/>
    <w:rsid w:val="006662F7"/>
    <w:rsid w:val="006662FF"/>
    <w:rsid w:val="00666369"/>
    <w:rsid w:val="00666806"/>
    <w:rsid w:val="006668CC"/>
    <w:rsid w:val="0066690D"/>
    <w:rsid w:val="00666C21"/>
    <w:rsid w:val="00666C74"/>
    <w:rsid w:val="00666E94"/>
    <w:rsid w:val="0066706D"/>
    <w:rsid w:val="006670A2"/>
    <w:rsid w:val="006670C6"/>
    <w:rsid w:val="00667151"/>
    <w:rsid w:val="006671E7"/>
    <w:rsid w:val="0066720B"/>
    <w:rsid w:val="006672CE"/>
    <w:rsid w:val="006672D2"/>
    <w:rsid w:val="006674DE"/>
    <w:rsid w:val="00667527"/>
    <w:rsid w:val="0066758D"/>
    <w:rsid w:val="0066768A"/>
    <w:rsid w:val="0066775A"/>
    <w:rsid w:val="00667779"/>
    <w:rsid w:val="00667790"/>
    <w:rsid w:val="006678A7"/>
    <w:rsid w:val="006678FC"/>
    <w:rsid w:val="00667A4D"/>
    <w:rsid w:val="00667B0B"/>
    <w:rsid w:val="00667B8F"/>
    <w:rsid w:val="00667C18"/>
    <w:rsid w:val="00667D2C"/>
    <w:rsid w:val="00667E19"/>
    <w:rsid w:val="00667E31"/>
    <w:rsid w:val="006700E4"/>
    <w:rsid w:val="006701B0"/>
    <w:rsid w:val="00670234"/>
    <w:rsid w:val="0067024C"/>
    <w:rsid w:val="0067033B"/>
    <w:rsid w:val="00670356"/>
    <w:rsid w:val="00670372"/>
    <w:rsid w:val="006703FC"/>
    <w:rsid w:val="00670543"/>
    <w:rsid w:val="006705E9"/>
    <w:rsid w:val="00670769"/>
    <w:rsid w:val="0067084B"/>
    <w:rsid w:val="00670A05"/>
    <w:rsid w:val="00670A63"/>
    <w:rsid w:val="00670FC3"/>
    <w:rsid w:val="0067115E"/>
    <w:rsid w:val="0067116B"/>
    <w:rsid w:val="0067119C"/>
    <w:rsid w:val="006711EC"/>
    <w:rsid w:val="006711FC"/>
    <w:rsid w:val="00671204"/>
    <w:rsid w:val="006712E3"/>
    <w:rsid w:val="00671483"/>
    <w:rsid w:val="006715B8"/>
    <w:rsid w:val="00671602"/>
    <w:rsid w:val="0067165F"/>
    <w:rsid w:val="00671758"/>
    <w:rsid w:val="00671909"/>
    <w:rsid w:val="00671AB0"/>
    <w:rsid w:val="00671CC7"/>
    <w:rsid w:val="00671D25"/>
    <w:rsid w:val="00671D8E"/>
    <w:rsid w:val="00671E95"/>
    <w:rsid w:val="00671EA5"/>
    <w:rsid w:val="00671F02"/>
    <w:rsid w:val="00672056"/>
    <w:rsid w:val="006720EA"/>
    <w:rsid w:val="006722A2"/>
    <w:rsid w:val="00672332"/>
    <w:rsid w:val="006724AA"/>
    <w:rsid w:val="00672592"/>
    <w:rsid w:val="00672596"/>
    <w:rsid w:val="00672601"/>
    <w:rsid w:val="006729BC"/>
    <w:rsid w:val="00672BA7"/>
    <w:rsid w:val="00672C20"/>
    <w:rsid w:val="00672C3E"/>
    <w:rsid w:val="00672CBF"/>
    <w:rsid w:val="00672F24"/>
    <w:rsid w:val="00673048"/>
    <w:rsid w:val="006730DC"/>
    <w:rsid w:val="006730DF"/>
    <w:rsid w:val="0067320A"/>
    <w:rsid w:val="00673650"/>
    <w:rsid w:val="00673685"/>
    <w:rsid w:val="006739EB"/>
    <w:rsid w:val="0067405E"/>
    <w:rsid w:val="006740F1"/>
    <w:rsid w:val="006742C1"/>
    <w:rsid w:val="00674424"/>
    <w:rsid w:val="00674440"/>
    <w:rsid w:val="0067446B"/>
    <w:rsid w:val="006744A0"/>
    <w:rsid w:val="0067461C"/>
    <w:rsid w:val="006746F1"/>
    <w:rsid w:val="00674B87"/>
    <w:rsid w:val="00674E4F"/>
    <w:rsid w:val="00674EA6"/>
    <w:rsid w:val="00674FA3"/>
    <w:rsid w:val="00674FF5"/>
    <w:rsid w:val="00675015"/>
    <w:rsid w:val="0067506E"/>
    <w:rsid w:val="006753A9"/>
    <w:rsid w:val="0067548C"/>
    <w:rsid w:val="00675539"/>
    <w:rsid w:val="00675561"/>
    <w:rsid w:val="00675719"/>
    <w:rsid w:val="0067582F"/>
    <w:rsid w:val="00675A82"/>
    <w:rsid w:val="00675E8A"/>
    <w:rsid w:val="0067610B"/>
    <w:rsid w:val="006761CD"/>
    <w:rsid w:val="00676225"/>
    <w:rsid w:val="0067624D"/>
    <w:rsid w:val="006762CA"/>
    <w:rsid w:val="00676325"/>
    <w:rsid w:val="00676370"/>
    <w:rsid w:val="006763A6"/>
    <w:rsid w:val="006763B9"/>
    <w:rsid w:val="00676431"/>
    <w:rsid w:val="00676533"/>
    <w:rsid w:val="00676567"/>
    <w:rsid w:val="00676598"/>
    <w:rsid w:val="0067671F"/>
    <w:rsid w:val="00676771"/>
    <w:rsid w:val="006767FD"/>
    <w:rsid w:val="00676822"/>
    <w:rsid w:val="00676A22"/>
    <w:rsid w:val="00676A28"/>
    <w:rsid w:val="00676AE5"/>
    <w:rsid w:val="00676C7D"/>
    <w:rsid w:val="00676DC7"/>
    <w:rsid w:val="00676F84"/>
    <w:rsid w:val="006770FA"/>
    <w:rsid w:val="006772A0"/>
    <w:rsid w:val="0067738C"/>
    <w:rsid w:val="006773C5"/>
    <w:rsid w:val="00677423"/>
    <w:rsid w:val="0067763F"/>
    <w:rsid w:val="00677898"/>
    <w:rsid w:val="006779EA"/>
    <w:rsid w:val="00677AD0"/>
    <w:rsid w:val="00677C11"/>
    <w:rsid w:val="00677C2F"/>
    <w:rsid w:val="00677E2F"/>
    <w:rsid w:val="00677EB7"/>
    <w:rsid w:val="00677EBA"/>
    <w:rsid w:val="00677FF8"/>
    <w:rsid w:val="0068000F"/>
    <w:rsid w:val="00680229"/>
    <w:rsid w:val="00680280"/>
    <w:rsid w:val="00680372"/>
    <w:rsid w:val="00680619"/>
    <w:rsid w:val="006806AC"/>
    <w:rsid w:val="0068088C"/>
    <w:rsid w:val="006808D2"/>
    <w:rsid w:val="0068099F"/>
    <w:rsid w:val="00680AF0"/>
    <w:rsid w:val="00680CAD"/>
    <w:rsid w:val="00680E5A"/>
    <w:rsid w:val="00681003"/>
    <w:rsid w:val="00681212"/>
    <w:rsid w:val="0068124F"/>
    <w:rsid w:val="006813BF"/>
    <w:rsid w:val="006814D7"/>
    <w:rsid w:val="00681739"/>
    <w:rsid w:val="00681759"/>
    <w:rsid w:val="00681AB8"/>
    <w:rsid w:val="00681B5B"/>
    <w:rsid w:val="00681BD2"/>
    <w:rsid w:val="00681D5B"/>
    <w:rsid w:val="00681D6D"/>
    <w:rsid w:val="00681D72"/>
    <w:rsid w:val="00681E2D"/>
    <w:rsid w:val="00681F49"/>
    <w:rsid w:val="00681FDC"/>
    <w:rsid w:val="0068202D"/>
    <w:rsid w:val="00682061"/>
    <w:rsid w:val="006824B7"/>
    <w:rsid w:val="006824CF"/>
    <w:rsid w:val="00682594"/>
    <w:rsid w:val="00682611"/>
    <w:rsid w:val="0068271D"/>
    <w:rsid w:val="0068283B"/>
    <w:rsid w:val="00682876"/>
    <w:rsid w:val="00682935"/>
    <w:rsid w:val="00682969"/>
    <w:rsid w:val="006829DE"/>
    <w:rsid w:val="00682A32"/>
    <w:rsid w:val="00682ABB"/>
    <w:rsid w:val="00682E22"/>
    <w:rsid w:val="00683050"/>
    <w:rsid w:val="00683062"/>
    <w:rsid w:val="00683165"/>
    <w:rsid w:val="00683481"/>
    <w:rsid w:val="006835E0"/>
    <w:rsid w:val="0068376E"/>
    <w:rsid w:val="00683797"/>
    <w:rsid w:val="0068387F"/>
    <w:rsid w:val="0068396D"/>
    <w:rsid w:val="00683A5E"/>
    <w:rsid w:val="00683B78"/>
    <w:rsid w:val="00683BC4"/>
    <w:rsid w:val="00683BE0"/>
    <w:rsid w:val="00683C12"/>
    <w:rsid w:val="00683CFC"/>
    <w:rsid w:val="00683EF8"/>
    <w:rsid w:val="00683F7B"/>
    <w:rsid w:val="00683FD4"/>
    <w:rsid w:val="006840E7"/>
    <w:rsid w:val="006841A7"/>
    <w:rsid w:val="00684343"/>
    <w:rsid w:val="006843B9"/>
    <w:rsid w:val="006845A0"/>
    <w:rsid w:val="006847FF"/>
    <w:rsid w:val="0068489A"/>
    <w:rsid w:val="006849C8"/>
    <w:rsid w:val="006849C9"/>
    <w:rsid w:val="00684A41"/>
    <w:rsid w:val="00684D4D"/>
    <w:rsid w:val="00684D58"/>
    <w:rsid w:val="006850FE"/>
    <w:rsid w:val="006851F0"/>
    <w:rsid w:val="0068524D"/>
    <w:rsid w:val="00685273"/>
    <w:rsid w:val="00685290"/>
    <w:rsid w:val="0068536D"/>
    <w:rsid w:val="00685492"/>
    <w:rsid w:val="006854EC"/>
    <w:rsid w:val="00685557"/>
    <w:rsid w:val="0068555D"/>
    <w:rsid w:val="00685790"/>
    <w:rsid w:val="006857A0"/>
    <w:rsid w:val="00685828"/>
    <w:rsid w:val="00685A47"/>
    <w:rsid w:val="00685A51"/>
    <w:rsid w:val="00685A6E"/>
    <w:rsid w:val="00685B1D"/>
    <w:rsid w:val="00685BB5"/>
    <w:rsid w:val="00685BDD"/>
    <w:rsid w:val="00685D97"/>
    <w:rsid w:val="006860F6"/>
    <w:rsid w:val="006861FB"/>
    <w:rsid w:val="00686208"/>
    <w:rsid w:val="00686299"/>
    <w:rsid w:val="006862AD"/>
    <w:rsid w:val="0068646B"/>
    <w:rsid w:val="006864E6"/>
    <w:rsid w:val="0068651F"/>
    <w:rsid w:val="00686825"/>
    <w:rsid w:val="00686940"/>
    <w:rsid w:val="0068697B"/>
    <w:rsid w:val="00686AA4"/>
    <w:rsid w:val="00686ADE"/>
    <w:rsid w:val="00686BB3"/>
    <w:rsid w:val="00686BE5"/>
    <w:rsid w:val="00686D8B"/>
    <w:rsid w:val="00687001"/>
    <w:rsid w:val="00687158"/>
    <w:rsid w:val="00687249"/>
    <w:rsid w:val="0068738A"/>
    <w:rsid w:val="0068754C"/>
    <w:rsid w:val="00687553"/>
    <w:rsid w:val="00687786"/>
    <w:rsid w:val="006878A7"/>
    <w:rsid w:val="006878B6"/>
    <w:rsid w:val="006878DF"/>
    <w:rsid w:val="00687900"/>
    <w:rsid w:val="00687903"/>
    <w:rsid w:val="00687AF6"/>
    <w:rsid w:val="00687B26"/>
    <w:rsid w:val="00687B9C"/>
    <w:rsid w:val="00687BC5"/>
    <w:rsid w:val="00687CAD"/>
    <w:rsid w:val="00687DAD"/>
    <w:rsid w:val="00687F4C"/>
    <w:rsid w:val="00690093"/>
    <w:rsid w:val="0069009F"/>
    <w:rsid w:val="006900C7"/>
    <w:rsid w:val="0069033B"/>
    <w:rsid w:val="00690488"/>
    <w:rsid w:val="006904F6"/>
    <w:rsid w:val="00690523"/>
    <w:rsid w:val="006905BB"/>
    <w:rsid w:val="00690894"/>
    <w:rsid w:val="0069094B"/>
    <w:rsid w:val="00690992"/>
    <w:rsid w:val="00690A09"/>
    <w:rsid w:val="00690A78"/>
    <w:rsid w:val="00690A96"/>
    <w:rsid w:val="00690B24"/>
    <w:rsid w:val="00690B80"/>
    <w:rsid w:val="00690C08"/>
    <w:rsid w:val="00690DAF"/>
    <w:rsid w:val="00690F80"/>
    <w:rsid w:val="00690FF1"/>
    <w:rsid w:val="006910A8"/>
    <w:rsid w:val="006911A3"/>
    <w:rsid w:val="0069138A"/>
    <w:rsid w:val="00691534"/>
    <w:rsid w:val="00691540"/>
    <w:rsid w:val="0069156E"/>
    <w:rsid w:val="006916BF"/>
    <w:rsid w:val="006916FD"/>
    <w:rsid w:val="0069178D"/>
    <w:rsid w:val="006917A7"/>
    <w:rsid w:val="00691951"/>
    <w:rsid w:val="006919AB"/>
    <w:rsid w:val="00691B22"/>
    <w:rsid w:val="00691B4A"/>
    <w:rsid w:val="00691D10"/>
    <w:rsid w:val="00691D43"/>
    <w:rsid w:val="00691DA7"/>
    <w:rsid w:val="00691E8E"/>
    <w:rsid w:val="00691F0F"/>
    <w:rsid w:val="00691FC6"/>
    <w:rsid w:val="00692008"/>
    <w:rsid w:val="00692045"/>
    <w:rsid w:val="00692068"/>
    <w:rsid w:val="00692182"/>
    <w:rsid w:val="006923C2"/>
    <w:rsid w:val="006924A5"/>
    <w:rsid w:val="00692518"/>
    <w:rsid w:val="00692639"/>
    <w:rsid w:val="00692751"/>
    <w:rsid w:val="006928BC"/>
    <w:rsid w:val="00692A2F"/>
    <w:rsid w:val="00692D0C"/>
    <w:rsid w:val="00692DCF"/>
    <w:rsid w:val="00692E8D"/>
    <w:rsid w:val="00692E98"/>
    <w:rsid w:val="00692F93"/>
    <w:rsid w:val="00692F94"/>
    <w:rsid w:val="0069301E"/>
    <w:rsid w:val="00693105"/>
    <w:rsid w:val="006931ED"/>
    <w:rsid w:val="00693206"/>
    <w:rsid w:val="0069334D"/>
    <w:rsid w:val="00693377"/>
    <w:rsid w:val="00693568"/>
    <w:rsid w:val="00693615"/>
    <w:rsid w:val="006936C3"/>
    <w:rsid w:val="006937DB"/>
    <w:rsid w:val="006937EB"/>
    <w:rsid w:val="00693850"/>
    <w:rsid w:val="0069390A"/>
    <w:rsid w:val="0069399D"/>
    <w:rsid w:val="00693A6D"/>
    <w:rsid w:val="00693BDC"/>
    <w:rsid w:val="00693C4C"/>
    <w:rsid w:val="00693D2C"/>
    <w:rsid w:val="00693D73"/>
    <w:rsid w:val="00693DBF"/>
    <w:rsid w:val="00694067"/>
    <w:rsid w:val="006940F1"/>
    <w:rsid w:val="00694446"/>
    <w:rsid w:val="006945F6"/>
    <w:rsid w:val="00694604"/>
    <w:rsid w:val="006946D1"/>
    <w:rsid w:val="006946E5"/>
    <w:rsid w:val="00694748"/>
    <w:rsid w:val="00694761"/>
    <w:rsid w:val="0069477B"/>
    <w:rsid w:val="00694A3B"/>
    <w:rsid w:val="00694C6E"/>
    <w:rsid w:val="00694CB4"/>
    <w:rsid w:val="00694CFB"/>
    <w:rsid w:val="00694DAC"/>
    <w:rsid w:val="00694FCD"/>
    <w:rsid w:val="006950E0"/>
    <w:rsid w:val="00695208"/>
    <w:rsid w:val="006953A6"/>
    <w:rsid w:val="00695616"/>
    <w:rsid w:val="00695692"/>
    <w:rsid w:val="006956D3"/>
    <w:rsid w:val="00695765"/>
    <w:rsid w:val="0069583A"/>
    <w:rsid w:val="00695979"/>
    <w:rsid w:val="006959AF"/>
    <w:rsid w:val="00695AC6"/>
    <w:rsid w:val="00695AF0"/>
    <w:rsid w:val="00695BC3"/>
    <w:rsid w:val="00695FAE"/>
    <w:rsid w:val="00695FDC"/>
    <w:rsid w:val="00696453"/>
    <w:rsid w:val="00696512"/>
    <w:rsid w:val="00696719"/>
    <w:rsid w:val="0069678D"/>
    <w:rsid w:val="006969DA"/>
    <w:rsid w:val="00696D8C"/>
    <w:rsid w:val="00697075"/>
    <w:rsid w:val="0069718D"/>
    <w:rsid w:val="00697270"/>
    <w:rsid w:val="006972B1"/>
    <w:rsid w:val="006972B5"/>
    <w:rsid w:val="00697382"/>
    <w:rsid w:val="006974CC"/>
    <w:rsid w:val="006977FE"/>
    <w:rsid w:val="00697985"/>
    <w:rsid w:val="00697EF1"/>
    <w:rsid w:val="006A0032"/>
    <w:rsid w:val="006A02D5"/>
    <w:rsid w:val="006A03D4"/>
    <w:rsid w:val="006A055C"/>
    <w:rsid w:val="006A0732"/>
    <w:rsid w:val="006A0845"/>
    <w:rsid w:val="006A09D0"/>
    <w:rsid w:val="006A0ABA"/>
    <w:rsid w:val="006A0CAC"/>
    <w:rsid w:val="006A0DE5"/>
    <w:rsid w:val="006A0F1C"/>
    <w:rsid w:val="006A10F7"/>
    <w:rsid w:val="006A1183"/>
    <w:rsid w:val="006A1213"/>
    <w:rsid w:val="006A1280"/>
    <w:rsid w:val="006A12F2"/>
    <w:rsid w:val="006A15DA"/>
    <w:rsid w:val="006A1641"/>
    <w:rsid w:val="006A173F"/>
    <w:rsid w:val="006A177C"/>
    <w:rsid w:val="006A19DB"/>
    <w:rsid w:val="006A1B54"/>
    <w:rsid w:val="006A1C5E"/>
    <w:rsid w:val="006A1EDA"/>
    <w:rsid w:val="006A1FD6"/>
    <w:rsid w:val="006A21E6"/>
    <w:rsid w:val="006A235E"/>
    <w:rsid w:val="006A23A2"/>
    <w:rsid w:val="006A2442"/>
    <w:rsid w:val="006A2470"/>
    <w:rsid w:val="006A26DA"/>
    <w:rsid w:val="006A28B9"/>
    <w:rsid w:val="006A2A36"/>
    <w:rsid w:val="006A2D61"/>
    <w:rsid w:val="006A2D76"/>
    <w:rsid w:val="006A3131"/>
    <w:rsid w:val="006A3177"/>
    <w:rsid w:val="006A31E6"/>
    <w:rsid w:val="006A3252"/>
    <w:rsid w:val="006A3280"/>
    <w:rsid w:val="006A3338"/>
    <w:rsid w:val="006A36A6"/>
    <w:rsid w:val="006A3722"/>
    <w:rsid w:val="006A372B"/>
    <w:rsid w:val="006A37B6"/>
    <w:rsid w:val="006A37D2"/>
    <w:rsid w:val="006A399B"/>
    <w:rsid w:val="006A3AD7"/>
    <w:rsid w:val="006A3BF3"/>
    <w:rsid w:val="006A3E21"/>
    <w:rsid w:val="006A3E47"/>
    <w:rsid w:val="006A3E9E"/>
    <w:rsid w:val="006A433F"/>
    <w:rsid w:val="006A435B"/>
    <w:rsid w:val="006A47D3"/>
    <w:rsid w:val="006A4C3B"/>
    <w:rsid w:val="006A4CAD"/>
    <w:rsid w:val="006A4CD6"/>
    <w:rsid w:val="006A4CFC"/>
    <w:rsid w:val="006A4D3E"/>
    <w:rsid w:val="006A4DEB"/>
    <w:rsid w:val="006A4E5A"/>
    <w:rsid w:val="006A4E84"/>
    <w:rsid w:val="006A4EC4"/>
    <w:rsid w:val="006A4FE2"/>
    <w:rsid w:val="006A503E"/>
    <w:rsid w:val="006A5049"/>
    <w:rsid w:val="006A50C5"/>
    <w:rsid w:val="006A50ED"/>
    <w:rsid w:val="006A5363"/>
    <w:rsid w:val="006A546C"/>
    <w:rsid w:val="006A553C"/>
    <w:rsid w:val="006A553E"/>
    <w:rsid w:val="006A55F0"/>
    <w:rsid w:val="006A562C"/>
    <w:rsid w:val="006A5653"/>
    <w:rsid w:val="006A5714"/>
    <w:rsid w:val="006A57B8"/>
    <w:rsid w:val="006A58C5"/>
    <w:rsid w:val="006A58CE"/>
    <w:rsid w:val="006A5961"/>
    <w:rsid w:val="006A5A48"/>
    <w:rsid w:val="006A5CEF"/>
    <w:rsid w:val="006A5E49"/>
    <w:rsid w:val="006A603A"/>
    <w:rsid w:val="006A6136"/>
    <w:rsid w:val="006A6260"/>
    <w:rsid w:val="006A6293"/>
    <w:rsid w:val="006A62C4"/>
    <w:rsid w:val="006A6353"/>
    <w:rsid w:val="006A6454"/>
    <w:rsid w:val="006A64DD"/>
    <w:rsid w:val="006A6544"/>
    <w:rsid w:val="006A65B7"/>
    <w:rsid w:val="006A661A"/>
    <w:rsid w:val="006A66FE"/>
    <w:rsid w:val="006A687A"/>
    <w:rsid w:val="006A6925"/>
    <w:rsid w:val="006A69D8"/>
    <w:rsid w:val="006A6C1F"/>
    <w:rsid w:val="006A6CA3"/>
    <w:rsid w:val="006A6CDA"/>
    <w:rsid w:val="006A6E2F"/>
    <w:rsid w:val="006A6FFB"/>
    <w:rsid w:val="006A70B5"/>
    <w:rsid w:val="006A70C0"/>
    <w:rsid w:val="006A72AD"/>
    <w:rsid w:val="006A72DD"/>
    <w:rsid w:val="006A731A"/>
    <w:rsid w:val="006A746F"/>
    <w:rsid w:val="006A7513"/>
    <w:rsid w:val="006A758E"/>
    <w:rsid w:val="006A75F4"/>
    <w:rsid w:val="006A77D1"/>
    <w:rsid w:val="006A7861"/>
    <w:rsid w:val="006A7949"/>
    <w:rsid w:val="006A797A"/>
    <w:rsid w:val="006A79AD"/>
    <w:rsid w:val="006A7AD3"/>
    <w:rsid w:val="006A7C36"/>
    <w:rsid w:val="006A7D69"/>
    <w:rsid w:val="006A7E45"/>
    <w:rsid w:val="006A7F04"/>
    <w:rsid w:val="006A7FC8"/>
    <w:rsid w:val="006B00AA"/>
    <w:rsid w:val="006B03EE"/>
    <w:rsid w:val="006B03F2"/>
    <w:rsid w:val="006B0480"/>
    <w:rsid w:val="006B04A3"/>
    <w:rsid w:val="006B04A7"/>
    <w:rsid w:val="006B057B"/>
    <w:rsid w:val="006B05EF"/>
    <w:rsid w:val="006B0686"/>
    <w:rsid w:val="006B0709"/>
    <w:rsid w:val="006B090F"/>
    <w:rsid w:val="006B096C"/>
    <w:rsid w:val="006B0C38"/>
    <w:rsid w:val="006B0C97"/>
    <w:rsid w:val="006B0DF0"/>
    <w:rsid w:val="006B0FB2"/>
    <w:rsid w:val="006B0FD8"/>
    <w:rsid w:val="006B1008"/>
    <w:rsid w:val="006B105A"/>
    <w:rsid w:val="006B11B4"/>
    <w:rsid w:val="006B11EA"/>
    <w:rsid w:val="006B1428"/>
    <w:rsid w:val="006B15EC"/>
    <w:rsid w:val="006B160A"/>
    <w:rsid w:val="006B165D"/>
    <w:rsid w:val="006B178C"/>
    <w:rsid w:val="006B193E"/>
    <w:rsid w:val="006B1AE9"/>
    <w:rsid w:val="006B1C22"/>
    <w:rsid w:val="006B1C6D"/>
    <w:rsid w:val="006B1D86"/>
    <w:rsid w:val="006B1DDC"/>
    <w:rsid w:val="006B1DF2"/>
    <w:rsid w:val="006B1F16"/>
    <w:rsid w:val="006B1F88"/>
    <w:rsid w:val="006B1FE4"/>
    <w:rsid w:val="006B2013"/>
    <w:rsid w:val="006B202F"/>
    <w:rsid w:val="006B2054"/>
    <w:rsid w:val="006B2136"/>
    <w:rsid w:val="006B2221"/>
    <w:rsid w:val="006B2236"/>
    <w:rsid w:val="006B2282"/>
    <w:rsid w:val="006B22AE"/>
    <w:rsid w:val="006B24C8"/>
    <w:rsid w:val="006B2640"/>
    <w:rsid w:val="006B274C"/>
    <w:rsid w:val="006B2A6E"/>
    <w:rsid w:val="006B2A88"/>
    <w:rsid w:val="006B2AAD"/>
    <w:rsid w:val="006B2CE2"/>
    <w:rsid w:val="006B2E6A"/>
    <w:rsid w:val="006B2F2F"/>
    <w:rsid w:val="006B2F91"/>
    <w:rsid w:val="006B2FF1"/>
    <w:rsid w:val="006B3044"/>
    <w:rsid w:val="006B30B9"/>
    <w:rsid w:val="006B3103"/>
    <w:rsid w:val="006B3229"/>
    <w:rsid w:val="006B336D"/>
    <w:rsid w:val="006B34F1"/>
    <w:rsid w:val="006B3574"/>
    <w:rsid w:val="006B36DC"/>
    <w:rsid w:val="006B38AA"/>
    <w:rsid w:val="006B38CE"/>
    <w:rsid w:val="006B3A70"/>
    <w:rsid w:val="006B3C85"/>
    <w:rsid w:val="006B3F28"/>
    <w:rsid w:val="006B4071"/>
    <w:rsid w:val="006B40A5"/>
    <w:rsid w:val="006B40EF"/>
    <w:rsid w:val="006B4196"/>
    <w:rsid w:val="006B41E9"/>
    <w:rsid w:val="006B4383"/>
    <w:rsid w:val="006B456B"/>
    <w:rsid w:val="006B457E"/>
    <w:rsid w:val="006B49B0"/>
    <w:rsid w:val="006B4A23"/>
    <w:rsid w:val="006B4A89"/>
    <w:rsid w:val="006B4A91"/>
    <w:rsid w:val="006B4CC4"/>
    <w:rsid w:val="006B4F4E"/>
    <w:rsid w:val="006B505F"/>
    <w:rsid w:val="006B50C3"/>
    <w:rsid w:val="006B540B"/>
    <w:rsid w:val="006B54DA"/>
    <w:rsid w:val="006B55E1"/>
    <w:rsid w:val="006B5673"/>
    <w:rsid w:val="006B56EC"/>
    <w:rsid w:val="006B581A"/>
    <w:rsid w:val="006B583C"/>
    <w:rsid w:val="006B59AA"/>
    <w:rsid w:val="006B5A4F"/>
    <w:rsid w:val="006B5DC9"/>
    <w:rsid w:val="006B5F53"/>
    <w:rsid w:val="006B5F64"/>
    <w:rsid w:val="006B5F9D"/>
    <w:rsid w:val="006B6438"/>
    <w:rsid w:val="006B6461"/>
    <w:rsid w:val="006B664E"/>
    <w:rsid w:val="006B6780"/>
    <w:rsid w:val="006B6960"/>
    <w:rsid w:val="006B69AD"/>
    <w:rsid w:val="006B6A77"/>
    <w:rsid w:val="006B6B7D"/>
    <w:rsid w:val="006B6C7D"/>
    <w:rsid w:val="006B7006"/>
    <w:rsid w:val="006B7061"/>
    <w:rsid w:val="006B7192"/>
    <w:rsid w:val="006B754F"/>
    <w:rsid w:val="006B757F"/>
    <w:rsid w:val="006B75FF"/>
    <w:rsid w:val="006B7618"/>
    <w:rsid w:val="006B794E"/>
    <w:rsid w:val="006B7B33"/>
    <w:rsid w:val="006B7E5C"/>
    <w:rsid w:val="006B7E63"/>
    <w:rsid w:val="006B7F43"/>
    <w:rsid w:val="006B7FD4"/>
    <w:rsid w:val="006C02AD"/>
    <w:rsid w:val="006C030E"/>
    <w:rsid w:val="006C031F"/>
    <w:rsid w:val="006C0387"/>
    <w:rsid w:val="006C0738"/>
    <w:rsid w:val="006C0962"/>
    <w:rsid w:val="006C0B8D"/>
    <w:rsid w:val="006C0B95"/>
    <w:rsid w:val="006C0E11"/>
    <w:rsid w:val="006C113E"/>
    <w:rsid w:val="006C130B"/>
    <w:rsid w:val="006C1397"/>
    <w:rsid w:val="006C14C7"/>
    <w:rsid w:val="006C15A6"/>
    <w:rsid w:val="006C162B"/>
    <w:rsid w:val="006C17F7"/>
    <w:rsid w:val="006C1800"/>
    <w:rsid w:val="006C195F"/>
    <w:rsid w:val="006C1971"/>
    <w:rsid w:val="006C19B9"/>
    <w:rsid w:val="006C1A1E"/>
    <w:rsid w:val="006C1A24"/>
    <w:rsid w:val="006C1A86"/>
    <w:rsid w:val="006C1AFA"/>
    <w:rsid w:val="006C1C06"/>
    <w:rsid w:val="006C1C35"/>
    <w:rsid w:val="006C1D13"/>
    <w:rsid w:val="006C1E3C"/>
    <w:rsid w:val="006C1FC1"/>
    <w:rsid w:val="006C20ED"/>
    <w:rsid w:val="006C2539"/>
    <w:rsid w:val="006C25DA"/>
    <w:rsid w:val="006C26E7"/>
    <w:rsid w:val="006C27C6"/>
    <w:rsid w:val="006C27CA"/>
    <w:rsid w:val="006C28AC"/>
    <w:rsid w:val="006C2AB8"/>
    <w:rsid w:val="006C2B1A"/>
    <w:rsid w:val="006C2BFF"/>
    <w:rsid w:val="006C2C15"/>
    <w:rsid w:val="006C2C17"/>
    <w:rsid w:val="006C2E2E"/>
    <w:rsid w:val="006C2F9D"/>
    <w:rsid w:val="006C3125"/>
    <w:rsid w:val="006C32BA"/>
    <w:rsid w:val="006C33FF"/>
    <w:rsid w:val="006C3442"/>
    <w:rsid w:val="006C34ED"/>
    <w:rsid w:val="006C357E"/>
    <w:rsid w:val="006C368A"/>
    <w:rsid w:val="006C36CE"/>
    <w:rsid w:val="006C36D5"/>
    <w:rsid w:val="006C37BB"/>
    <w:rsid w:val="006C385F"/>
    <w:rsid w:val="006C397C"/>
    <w:rsid w:val="006C3ACA"/>
    <w:rsid w:val="006C3AEF"/>
    <w:rsid w:val="006C3C42"/>
    <w:rsid w:val="006C3D16"/>
    <w:rsid w:val="006C3D5E"/>
    <w:rsid w:val="006C3DDB"/>
    <w:rsid w:val="006C3FED"/>
    <w:rsid w:val="006C4092"/>
    <w:rsid w:val="006C40B3"/>
    <w:rsid w:val="006C41C8"/>
    <w:rsid w:val="006C4241"/>
    <w:rsid w:val="006C4283"/>
    <w:rsid w:val="006C433E"/>
    <w:rsid w:val="006C457E"/>
    <w:rsid w:val="006C46B2"/>
    <w:rsid w:val="006C46F1"/>
    <w:rsid w:val="006C4781"/>
    <w:rsid w:val="006C47B3"/>
    <w:rsid w:val="006C48D8"/>
    <w:rsid w:val="006C49DF"/>
    <w:rsid w:val="006C4A40"/>
    <w:rsid w:val="006C4B79"/>
    <w:rsid w:val="006C4C5A"/>
    <w:rsid w:val="006C4D8E"/>
    <w:rsid w:val="006C4E10"/>
    <w:rsid w:val="006C4E47"/>
    <w:rsid w:val="006C5355"/>
    <w:rsid w:val="006C539B"/>
    <w:rsid w:val="006C53C5"/>
    <w:rsid w:val="006C545A"/>
    <w:rsid w:val="006C546B"/>
    <w:rsid w:val="006C54ED"/>
    <w:rsid w:val="006C5582"/>
    <w:rsid w:val="006C5673"/>
    <w:rsid w:val="006C5690"/>
    <w:rsid w:val="006C57A1"/>
    <w:rsid w:val="006C5801"/>
    <w:rsid w:val="006C590B"/>
    <w:rsid w:val="006C5963"/>
    <w:rsid w:val="006C5A4E"/>
    <w:rsid w:val="006C5BF5"/>
    <w:rsid w:val="006C5C28"/>
    <w:rsid w:val="006C5D1D"/>
    <w:rsid w:val="006C5EE2"/>
    <w:rsid w:val="006C5F1A"/>
    <w:rsid w:val="006C5F76"/>
    <w:rsid w:val="006C6010"/>
    <w:rsid w:val="006C60C0"/>
    <w:rsid w:val="006C6162"/>
    <w:rsid w:val="006C61B9"/>
    <w:rsid w:val="006C628B"/>
    <w:rsid w:val="006C62D4"/>
    <w:rsid w:val="006C6315"/>
    <w:rsid w:val="006C63B1"/>
    <w:rsid w:val="006C6434"/>
    <w:rsid w:val="006C643E"/>
    <w:rsid w:val="006C646A"/>
    <w:rsid w:val="006C6483"/>
    <w:rsid w:val="006C64AB"/>
    <w:rsid w:val="006C64C6"/>
    <w:rsid w:val="006C65D6"/>
    <w:rsid w:val="006C6842"/>
    <w:rsid w:val="006C68D7"/>
    <w:rsid w:val="006C6A29"/>
    <w:rsid w:val="006C6C7D"/>
    <w:rsid w:val="006C6C83"/>
    <w:rsid w:val="006C6C95"/>
    <w:rsid w:val="006C6F3A"/>
    <w:rsid w:val="006C7016"/>
    <w:rsid w:val="006C70A9"/>
    <w:rsid w:val="006C70B2"/>
    <w:rsid w:val="006C7218"/>
    <w:rsid w:val="006C7295"/>
    <w:rsid w:val="006C7354"/>
    <w:rsid w:val="006C73AE"/>
    <w:rsid w:val="006C73C8"/>
    <w:rsid w:val="006C7511"/>
    <w:rsid w:val="006C7669"/>
    <w:rsid w:val="006C7670"/>
    <w:rsid w:val="006C7A68"/>
    <w:rsid w:val="006C7BF1"/>
    <w:rsid w:val="006C7C7F"/>
    <w:rsid w:val="006C7CC7"/>
    <w:rsid w:val="006C7DBB"/>
    <w:rsid w:val="006D003F"/>
    <w:rsid w:val="006D011A"/>
    <w:rsid w:val="006D0169"/>
    <w:rsid w:val="006D0377"/>
    <w:rsid w:val="006D0406"/>
    <w:rsid w:val="006D0421"/>
    <w:rsid w:val="006D0522"/>
    <w:rsid w:val="006D05F4"/>
    <w:rsid w:val="006D0720"/>
    <w:rsid w:val="006D07C1"/>
    <w:rsid w:val="006D09E0"/>
    <w:rsid w:val="006D0B7E"/>
    <w:rsid w:val="006D0DA3"/>
    <w:rsid w:val="006D0E33"/>
    <w:rsid w:val="006D0F31"/>
    <w:rsid w:val="006D0F3C"/>
    <w:rsid w:val="006D0FDA"/>
    <w:rsid w:val="006D114A"/>
    <w:rsid w:val="006D114E"/>
    <w:rsid w:val="006D125D"/>
    <w:rsid w:val="006D12C2"/>
    <w:rsid w:val="006D149F"/>
    <w:rsid w:val="006D14B9"/>
    <w:rsid w:val="006D14EF"/>
    <w:rsid w:val="006D156A"/>
    <w:rsid w:val="006D15AA"/>
    <w:rsid w:val="006D167F"/>
    <w:rsid w:val="006D17BC"/>
    <w:rsid w:val="006D18CF"/>
    <w:rsid w:val="006D1E30"/>
    <w:rsid w:val="006D1E99"/>
    <w:rsid w:val="006D2086"/>
    <w:rsid w:val="006D22E2"/>
    <w:rsid w:val="006D22F6"/>
    <w:rsid w:val="006D238A"/>
    <w:rsid w:val="006D23EA"/>
    <w:rsid w:val="006D243D"/>
    <w:rsid w:val="006D2470"/>
    <w:rsid w:val="006D2817"/>
    <w:rsid w:val="006D29E9"/>
    <w:rsid w:val="006D2B9D"/>
    <w:rsid w:val="006D2BE6"/>
    <w:rsid w:val="006D2C39"/>
    <w:rsid w:val="006D2C96"/>
    <w:rsid w:val="006D2CA3"/>
    <w:rsid w:val="006D2CA5"/>
    <w:rsid w:val="006D2CDC"/>
    <w:rsid w:val="006D2DA0"/>
    <w:rsid w:val="006D2DC9"/>
    <w:rsid w:val="006D2DD4"/>
    <w:rsid w:val="006D2E77"/>
    <w:rsid w:val="006D2F9E"/>
    <w:rsid w:val="006D3088"/>
    <w:rsid w:val="006D319A"/>
    <w:rsid w:val="006D31B6"/>
    <w:rsid w:val="006D3307"/>
    <w:rsid w:val="006D332C"/>
    <w:rsid w:val="006D3395"/>
    <w:rsid w:val="006D3567"/>
    <w:rsid w:val="006D3649"/>
    <w:rsid w:val="006D3827"/>
    <w:rsid w:val="006D383A"/>
    <w:rsid w:val="006D3896"/>
    <w:rsid w:val="006D3AE7"/>
    <w:rsid w:val="006D3B34"/>
    <w:rsid w:val="006D3B58"/>
    <w:rsid w:val="006D3BFD"/>
    <w:rsid w:val="006D3DDC"/>
    <w:rsid w:val="006D3E39"/>
    <w:rsid w:val="006D3E9C"/>
    <w:rsid w:val="006D3EA6"/>
    <w:rsid w:val="006D3EAB"/>
    <w:rsid w:val="006D3F2D"/>
    <w:rsid w:val="006D4065"/>
    <w:rsid w:val="006D44D8"/>
    <w:rsid w:val="006D46CE"/>
    <w:rsid w:val="006D46DF"/>
    <w:rsid w:val="006D4795"/>
    <w:rsid w:val="006D47E2"/>
    <w:rsid w:val="006D482C"/>
    <w:rsid w:val="006D48C4"/>
    <w:rsid w:val="006D48E8"/>
    <w:rsid w:val="006D4A2B"/>
    <w:rsid w:val="006D4BE5"/>
    <w:rsid w:val="006D4BF7"/>
    <w:rsid w:val="006D4D5F"/>
    <w:rsid w:val="006D4D8A"/>
    <w:rsid w:val="006D4DC4"/>
    <w:rsid w:val="006D4E09"/>
    <w:rsid w:val="006D4F49"/>
    <w:rsid w:val="006D4F62"/>
    <w:rsid w:val="006D51BE"/>
    <w:rsid w:val="006D5417"/>
    <w:rsid w:val="006D5439"/>
    <w:rsid w:val="006D5451"/>
    <w:rsid w:val="006D5472"/>
    <w:rsid w:val="006D551E"/>
    <w:rsid w:val="006D55B8"/>
    <w:rsid w:val="006D56AA"/>
    <w:rsid w:val="006D56E6"/>
    <w:rsid w:val="006D575E"/>
    <w:rsid w:val="006D5786"/>
    <w:rsid w:val="006D5822"/>
    <w:rsid w:val="006D5963"/>
    <w:rsid w:val="006D5AD0"/>
    <w:rsid w:val="006D5C7E"/>
    <w:rsid w:val="006D5DF4"/>
    <w:rsid w:val="006D5F04"/>
    <w:rsid w:val="006D61C4"/>
    <w:rsid w:val="006D62EF"/>
    <w:rsid w:val="006D6339"/>
    <w:rsid w:val="006D63B6"/>
    <w:rsid w:val="006D6415"/>
    <w:rsid w:val="006D6428"/>
    <w:rsid w:val="006D64CF"/>
    <w:rsid w:val="006D651D"/>
    <w:rsid w:val="006D662E"/>
    <w:rsid w:val="006D668D"/>
    <w:rsid w:val="006D676E"/>
    <w:rsid w:val="006D6C0F"/>
    <w:rsid w:val="006D6FC9"/>
    <w:rsid w:val="006D6FE4"/>
    <w:rsid w:val="006D7293"/>
    <w:rsid w:val="006D7308"/>
    <w:rsid w:val="006D73D1"/>
    <w:rsid w:val="006D74D1"/>
    <w:rsid w:val="006D75C5"/>
    <w:rsid w:val="006D75DE"/>
    <w:rsid w:val="006D760D"/>
    <w:rsid w:val="006D7617"/>
    <w:rsid w:val="006D77A8"/>
    <w:rsid w:val="006D780F"/>
    <w:rsid w:val="006D790A"/>
    <w:rsid w:val="006D79B4"/>
    <w:rsid w:val="006D79FA"/>
    <w:rsid w:val="006D7A34"/>
    <w:rsid w:val="006D7D66"/>
    <w:rsid w:val="006D7D87"/>
    <w:rsid w:val="006D7E17"/>
    <w:rsid w:val="006D7E85"/>
    <w:rsid w:val="006D7E98"/>
    <w:rsid w:val="006E0209"/>
    <w:rsid w:val="006E026D"/>
    <w:rsid w:val="006E052E"/>
    <w:rsid w:val="006E05BA"/>
    <w:rsid w:val="006E07A0"/>
    <w:rsid w:val="006E08A7"/>
    <w:rsid w:val="006E0929"/>
    <w:rsid w:val="006E0A29"/>
    <w:rsid w:val="006E0AB0"/>
    <w:rsid w:val="006E0B48"/>
    <w:rsid w:val="006E0B57"/>
    <w:rsid w:val="006E0C08"/>
    <w:rsid w:val="006E0C16"/>
    <w:rsid w:val="006E0C9B"/>
    <w:rsid w:val="006E0FDA"/>
    <w:rsid w:val="006E1010"/>
    <w:rsid w:val="006E1121"/>
    <w:rsid w:val="006E1184"/>
    <w:rsid w:val="006E127D"/>
    <w:rsid w:val="006E12CE"/>
    <w:rsid w:val="006E14B9"/>
    <w:rsid w:val="006E183D"/>
    <w:rsid w:val="006E1859"/>
    <w:rsid w:val="006E1ABD"/>
    <w:rsid w:val="006E1EA8"/>
    <w:rsid w:val="006E1F1F"/>
    <w:rsid w:val="006E2170"/>
    <w:rsid w:val="006E21A2"/>
    <w:rsid w:val="006E21FB"/>
    <w:rsid w:val="006E225E"/>
    <w:rsid w:val="006E2283"/>
    <w:rsid w:val="006E2346"/>
    <w:rsid w:val="006E235C"/>
    <w:rsid w:val="006E2561"/>
    <w:rsid w:val="006E2611"/>
    <w:rsid w:val="006E264A"/>
    <w:rsid w:val="006E26E1"/>
    <w:rsid w:val="006E2703"/>
    <w:rsid w:val="006E2890"/>
    <w:rsid w:val="006E28B2"/>
    <w:rsid w:val="006E2985"/>
    <w:rsid w:val="006E2A32"/>
    <w:rsid w:val="006E2A3F"/>
    <w:rsid w:val="006E2A83"/>
    <w:rsid w:val="006E2B62"/>
    <w:rsid w:val="006E2BC1"/>
    <w:rsid w:val="006E2C45"/>
    <w:rsid w:val="006E2CF6"/>
    <w:rsid w:val="006E2DC8"/>
    <w:rsid w:val="006E2F78"/>
    <w:rsid w:val="006E2FAE"/>
    <w:rsid w:val="006E30A2"/>
    <w:rsid w:val="006E316F"/>
    <w:rsid w:val="006E35EB"/>
    <w:rsid w:val="006E37A3"/>
    <w:rsid w:val="006E3869"/>
    <w:rsid w:val="006E38DB"/>
    <w:rsid w:val="006E3990"/>
    <w:rsid w:val="006E3B7C"/>
    <w:rsid w:val="006E3CEF"/>
    <w:rsid w:val="006E3DB0"/>
    <w:rsid w:val="006E3E01"/>
    <w:rsid w:val="006E3E1B"/>
    <w:rsid w:val="006E3E1E"/>
    <w:rsid w:val="006E4050"/>
    <w:rsid w:val="006E4120"/>
    <w:rsid w:val="006E4234"/>
    <w:rsid w:val="006E4432"/>
    <w:rsid w:val="006E4602"/>
    <w:rsid w:val="006E4737"/>
    <w:rsid w:val="006E4798"/>
    <w:rsid w:val="006E47F5"/>
    <w:rsid w:val="006E4994"/>
    <w:rsid w:val="006E4A4A"/>
    <w:rsid w:val="006E4A96"/>
    <w:rsid w:val="006E4B66"/>
    <w:rsid w:val="006E4BE9"/>
    <w:rsid w:val="006E4C62"/>
    <w:rsid w:val="006E4C89"/>
    <w:rsid w:val="006E4D2A"/>
    <w:rsid w:val="006E4DDC"/>
    <w:rsid w:val="006E4F0B"/>
    <w:rsid w:val="006E4FE4"/>
    <w:rsid w:val="006E5011"/>
    <w:rsid w:val="006E5012"/>
    <w:rsid w:val="006E51E7"/>
    <w:rsid w:val="006E5292"/>
    <w:rsid w:val="006E52C9"/>
    <w:rsid w:val="006E548A"/>
    <w:rsid w:val="006E564B"/>
    <w:rsid w:val="006E5738"/>
    <w:rsid w:val="006E579D"/>
    <w:rsid w:val="006E57CD"/>
    <w:rsid w:val="006E5B27"/>
    <w:rsid w:val="006E5B91"/>
    <w:rsid w:val="006E5BE6"/>
    <w:rsid w:val="006E5D3F"/>
    <w:rsid w:val="006E5DC0"/>
    <w:rsid w:val="006E5EF5"/>
    <w:rsid w:val="006E5F03"/>
    <w:rsid w:val="006E6053"/>
    <w:rsid w:val="006E6285"/>
    <w:rsid w:val="006E63EC"/>
    <w:rsid w:val="006E64A1"/>
    <w:rsid w:val="006E67F6"/>
    <w:rsid w:val="006E68A8"/>
    <w:rsid w:val="006E68CC"/>
    <w:rsid w:val="006E6A3E"/>
    <w:rsid w:val="006E6A77"/>
    <w:rsid w:val="006E6C4B"/>
    <w:rsid w:val="006E6D55"/>
    <w:rsid w:val="006E6D9F"/>
    <w:rsid w:val="006E6DA2"/>
    <w:rsid w:val="006E6DE4"/>
    <w:rsid w:val="006E6DE6"/>
    <w:rsid w:val="006E6EB7"/>
    <w:rsid w:val="006E6F90"/>
    <w:rsid w:val="006E709F"/>
    <w:rsid w:val="006E711B"/>
    <w:rsid w:val="006E7473"/>
    <w:rsid w:val="006E75AA"/>
    <w:rsid w:val="006E75AE"/>
    <w:rsid w:val="006E75E5"/>
    <w:rsid w:val="006E765D"/>
    <w:rsid w:val="006E76A6"/>
    <w:rsid w:val="006E77A2"/>
    <w:rsid w:val="006E787D"/>
    <w:rsid w:val="006E7977"/>
    <w:rsid w:val="006E79C1"/>
    <w:rsid w:val="006E7B38"/>
    <w:rsid w:val="006E7B5D"/>
    <w:rsid w:val="006E7B5E"/>
    <w:rsid w:val="006E7C1F"/>
    <w:rsid w:val="006E7CB6"/>
    <w:rsid w:val="006E7CC2"/>
    <w:rsid w:val="006E7CEF"/>
    <w:rsid w:val="006E7EF6"/>
    <w:rsid w:val="006E7F02"/>
    <w:rsid w:val="006E7FD4"/>
    <w:rsid w:val="006E7FEC"/>
    <w:rsid w:val="006F001C"/>
    <w:rsid w:val="006F016C"/>
    <w:rsid w:val="006F040D"/>
    <w:rsid w:val="006F0579"/>
    <w:rsid w:val="006F07CD"/>
    <w:rsid w:val="006F0910"/>
    <w:rsid w:val="006F0951"/>
    <w:rsid w:val="006F09F4"/>
    <w:rsid w:val="006F0ABA"/>
    <w:rsid w:val="006F0AF3"/>
    <w:rsid w:val="006F0B99"/>
    <w:rsid w:val="006F0BA7"/>
    <w:rsid w:val="006F0CB6"/>
    <w:rsid w:val="006F114D"/>
    <w:rsid w:val="006F1150"/>
    <w:rsid w:val="006F127B"/>
    <w:rsid w:val="006F15BE"/>
    <w:rsid w:val="006F16C9"/>
    <w:rsid w:val="006F1717"/>
    <w:rsid w:val="006F191E"/>
    <w:rsid w:val="006F19AC"/>
    <w:rsid w:val="006F1B47"/>
    <w:rsid w:val="006F1C6F"/>
    <w:rsid w:val="006F1DB2"/>
    <w:rsid w:val="006F1E6D"/>
    <w:rsid w:val="006F1EE7"/>
    <w:rsid w:val="006F20D6"/>
    <w:rsid w:val="006F2101"/>
    <w:rsid w:val="006F212E"/>
    <w:rsid w:val="006F213C"/>
    <w:rsid w:val="006F2263"/>
    <w:rsid w:val="006F24B0"/>
    <w:rsid w:val="006F24D0"/>
    <w:rsid w:val="006F2536"/>
    <w:rsid w:val="006F266E"/>
    <w:rsid w:val="006F27C0"/>
    <w:rsid w:val="006F2A2E"/>
    <w:rsid w:val="006F2AE0"/>
    <w:rsid w:val="006F2D31"/>
    <w:rsid w:val="006F2FAC"/>
    <w:rsid w:val="006F3199"/>
    <w:rsid w:val="006F3207"/>
    <w:rsid w:val="006F3554"/>
    <w:rsid w:val="006F355D"/>
    <w:rsid w:val="006F3561"/>
    <w:rsid w:val="006F3692"/>
    <w:rsid w:val="006F36C4"/>
    <w:rsid w:val="006F3866"/>
    <w:rsid w:val="006F39E1"/>
    <w:rsid w:val="006F3B04"/>
    <w:rsid w:val="006F3BA7"/>
    <w:rsid w:val="006F3D33"/>
    <w:rsid w:val="006F3E75"/>
    <w:rsid w:val="006F4112"/>
    <w:rsid w:val="006F4319"/>
    <w:rsid w:val="006F4348"/>
    <w:rsid w:val="006F45EE"/>
    <w:rsid w:val="006F464D"/>
    <w:rsid w:val="006F481C"/>
    <w:rsid w:val="006F4841"/>
    <w:rsid w:val="006F487F"/>
    <w:rsid w:val="006F4898"/>
    <w:rsid w:val="006F48A8"/>
    <w:rsid w:val="006F4911"/>
    <w:rsid w:val="006F4989"/>
    <w:rsid w:val="006F4AD9"/>
    <w:rsid w:val="006F4C7E"/>
    <w:rsid w:val="006F4D16"/>
    <w:rsid w:val="006F4F0E"/>
    <w:rsid w:val="006F4F20"/>
    <w:rsid w:val="006F5077"/>
    <w:rsid w:val="006F5235"/>
    <w:rsid w:val="006F537E"/>
    <w:rsid w:val="006F5424"/>
    <w:rsid w:val="006F55AB"/>
    <w:rsid w:val="006F56EE"/>
    <w:rsid w:val="006F577E"/>
    <w:rsid w:val="006F5822"/>
    <w:rsid w:val="006F5938"/>
    <w:rsid w:val="006F5981"/>
    <w:rsid w:val="006F59E3"/>
    <w:rsid w:val="006F5A3C"/>
    <w:rsid w:val="006F5AE8"/>
    <w:rsid w:val="006F5CBE"/>
    <w:rsid w:val="006F5DAB"/>
    <w:rsid w:val="006F5E20"/>
    <w:rsid w:val="006F5EDB"/>
    <w:rsid w:val="006F606C"/>
    <w:rsid w:val="006F6677"/>
    <w:rsid w:val="006F679C"/>
    <w:rsid w:val="006F6945"/>
    <w:rsid w:val="006F6ACD"/>
    <w:rsid w:val="006F6B67"/>
    <w:rsid w:val="006F6BC6"/>
    <w:rsid w:val="006F6D05"/>
    <w:rsid w:val="006F6D19"/>
    <w:rsid w:val="006F6FE1"/>
    <w:rsid w:val="006F7159"/>
    <w:rsid w:val="006F71C3"/>
    <w:rsid w:val="006F7792"/>
    <w:rsid w:val="006F7824"/>
    <w:rsid w:val="006F788D"/>
    <w:rsid w:val="006F7A88"/>
    <w:rsid w:val="006F7B16"/>
    <w:rsid w:val="006F7B74"/>
    <w:rsid w:val="006F7C47"/>
    <w:rsid w:val="006F7C56"/>
    <w:rsid w:val="006F7CE6"/>
    <w:rsid w:val="006F7D11"/>
    <w:rsid w:val="006F7D50"/>
    <w:rsid w:val="006F7F91"/>
    <w:rsid w:val="00700139"/>
    <w:rsid w:val="007002C4"/>
    <w:rsid w:val="0070055F"/>
    <w:rsid w:val="007005A9"/>
    <w:rsid w:val="007007F0"/>
    <w:rsid w:val="0070087C"/>
    <w:rsid w:val="00700893"/>
    <w:rsid w:val="00700977"/>
    <w:rsid w:val="00700A87"/>
    <w:rsid w:val="00700B94"/>
    <w:rsid w:val="00700C64"/>
    <w:rsid w:val="00700C71"/>
    <w:rsid w:val="00700D1E"/>
    <w:rsid w:val="00701092"/>
    <w:rsid w:val="007012C7"/>
    <w:rsid w:val="007012D6"/>
    <w:rsid w:val="007018A6"/>
    <w:rsid w:val="0070191C"/>
    <w:rsid w:val="00701BF7"/>
    <w:rsid w:val="00701CC8"/>
    <w:rsid w:val="00701DA1"/>
    <w:rsid w:val="00701DE5"/>
    <w:rsid w:val="00701E1F"/>
    <w:rsid w:val="00701F1F"/>
    <w:rsid w:val="00701FAE"/>
    <w:rsid w:val="00702219"/>
    <w:rsid w:val="0070232B"/>
    <w:rsid w:val="00702377"/>
    <w:rsid w:val="00702693"/>
    <w:rsid w:val="0070278E"/>
    <w:rsid w:val="007027A0"/>
    <w:rsid w:val="00702900"/>
    <w:rsid w:val="00702903"/>
    <w:rsid w:val="00702B6D"/>
    <w:rsid w:val="00702E12"/>
    <w:rsid w:val="00702EF3"/>
    <w:rsid w:val="00702FCE"/>
    <w:rsid w:val="00702FD3"/>
    <w:rsid w:val="0070310F"/>
    <w:rsid w:val="00703282"/>
    <w:rsid w:val="0070358E"/>
    <w:rsid w:val="007035A8"/>
    <w:rsid w:val="00703767"/>
    <w:rsid w:val="00703892"/>
    <w:rsid w:val="00703A3B"/>
    <w:rsid w:val="00703A7C"/>
    <w:rsid w:val="00703C8B"/>
    <w:rsid w:val="00703E6C"/>
    <w:rsid w:val="00703EF1"/>
    <w:rsid w:val="00703F06"/>
    <w:rsid w:val="00703F21"/>
    <w:rsid w:val="00703FBF"/>
    <w:rsid w:val="00704146"/>
    <w:rsid w:val="007041C3"/>
    <w:rsid w:val="007042E6"/>
    <w:rsid w:val="00704470"/>
    <w:rsid w:val="007045DF"/>
    <w:rsid w:val="00704677"/>
    <w:rsid w:val="0070479E"/>
    <w:rsid w:val="0070483F"/>
    <w:rsid w:val="0070486B"/>
    <w:rsid w:val="00704E2E"/>
    <w:rsid w:val="00704F50"/>
    <w:rsid w:val="007050D1"/>
    <w:rsid w:val="007051FA"/>
    <w:rsid w:val="00705224"/>
    <w:rsid w:val="007055D1"/>
    <w:rsid w:val="00705683"/>
    <w:rsid w:val="00705755"/>
    <w:rsid w:val="007058A3"/>
    <w:rsid w:val="00705ACB"/>
    <w:rsid w:val="00705C39"/>
    <w:rsid w:val="00705C45"/>
    <w:rsid w:val="00705D14"/>
    <w:rsid w:val="00705E28"/>
    <w:rsid w:val="00705E87"/>
    <w:rsid w:val="00705E93"/>
    <w:rsid w:val="00705FA3"/>
    <w:rsid w:val="007061B3"/>
    <w:rsid w:val="0070639D"/>
    <w:rsid w:val="00706606"/>
    <w:rsid w:val="007067A3"/>
    <w:rsid w:val="007068F3"/>
    <w:rsid w:val="00706B11"/>
    <w:rsid w:val="00706B62"/>
    <w:rsid w:val="00706D0C"/>
    <w:rsid w:val="00706DFF"/>
    <w:rsid w:val="007070B4"/>
    <w:rsid w:val="007070BD"/>
    <w:rsid w:val="0070711D"/>
    <w:rsid w:val="00707171"/>
    <w:rsid w:val="00707255"/>
    <w:rsid w:val="0070757F"/>
    <w:rsid w:val="00707646"/>
    <w:rsid w:val="007076B3"/>
    <w:rsid w:val="007076FC"/>
    <w:rsid w:val="0070779B"/>
    <w:rsid w:val="0070780E"/>
    <w:rsid w:val="00707ACD"/>
    <w:rsid w:val="00707B6F"/>
    <w:rsid w:val="00707CDD"/>
    <w:rsid w:val="00707D31"/>
    <w:rsid w:val="00707D8F"/>
    <w:rsid w:val="00707DE8"/>
    <w:rsid w:val="00707ECD"/>
    <w:rsid w:val="007101F0"/>
    <w:rsid w:val="007102EF"/>
    <w:rsid w:val="007106DB"/>
    <w:rsid w:val="007106F8"/>
    <w:rsid w:val="0071074B"/>
    <w:rsid w:val="00710935"/>
    <w:rsid w:val="00710C0B"/>
    <w:rsid w:val="00710CDB"/>
    <w:rsid w:val="00710E14"/>
    <w:rsid w:val="00710E66"/>
    <w:rsid w:val="007110EF"/>
    <w:rsid w:val="00711147"/>
    <w:rsid w:val="00711255"/>
    <w:rsid w:val="0071139F"/>
    <w:rsid w:val="00711472"/>
    <w:rsid w:val="007115A1"/>
    <w:rsid w:val="007115AF"/>
    <w:rsid w:val="00711681"/>
    <w:rsid w:val="00711699"/>
    <w:rsid w:val="0071181D"/>
    <w:rsid w:val="00711B98"/>
    <w:rsid w:val="00711CF5"/>
    <w:rsid w:val="00712104"/>
    <w:rsid w:val="007121E3"/>
    <w:rsid w:val="00712486"/>
    <w:rsid w:val="00712583"/>
    <w:rsid w:val="0071261B"/>
    <w:rsid w:val="007126C7"/>
    <w:rsid w:val="00712702"/>
    <w:rsid w:val="00712778"/>
    <w:rsid w:val="00712906"/>
    <w:rsid w:val="0071298C"/>
    <w:rsid w:val="00712B28"/>
    <w:rsid w:val="00712B32"/>
    <w:rsid w:val="00712EB7"/>
    <w:rsid w:val="00712F60"/>
    <w:rsid w:val="00713101"/>
    <w:rsid w:val="0071325B"/>
    <w:rsid w:val="0071337C"/>
    <w:rsid w:val="00713399"/>
    <w:rsid w:val="007134C0"/>
    <w:rsid w:val="007135BF"/>
    <w:rsid w:val="007136B8"/>
    <w:rsid w:val="007136C5"/>
    <w:rsid w:val="007136E6"/>
    <w:rsid w:val="0071385F"/>
    <w:rsid w:val="00713B06"/>
    <w:rsid w:val="00713CEF"/>
    <w:rsid w:val="00713D76"/>
    <w:rsid w:val="00713E61"/>
    <w:rsid w:val="00713EE4"/>
    <w:rsid w:val="0071416B"/>
    <w:rsid w:val="0071422A"/>
    <w:rsid w:val="00714284"/>
    <w:rsid w:val="0071428C"/>
    <w:rsid w:val="007142A8"/>
    <w:rsid w:val="007144CE"/>
    <w:rsid w:val="00714622"/>
    <w:rsid w:val="00714685"/>
    <w:rsid w:val="00714817"/>
    <w:rsid w:val="007148B8"/>
    <w:rsid w:val="00714911"/>
    <w:rsid w:val="007149C0"/>
    <w:rsid w:val="00714A28"/>
    <w:rsid w:val="00714BE2"/>
    <w:rsid w:val="00714BF2"/>
    <w:rsid w:val="00714C19"/>
    <w:rsid w:val="00714D15"/>
    <w:rsid w:val="00714F32"/>
    <w:rsid w:val="00715106"/>
    <w:rsid w:val="00715240"/>
    <w:rsid w:val="00715277"/>
    <w:rsid w:val="00715405"/>
    <w:rsid w:val="00715463"/>
    <w:rsid w:val="0071548B"/>
    <w:rsid w:val="007154D3"/>
    <w:rsid w:val="00715546"/>
    <w:rsid w:val="00715602"/>
    <w:rsid w:val="00715613"/>
    <w:rsid w:val="007156C6"/>
    <w:rsid w:val="00715745"/>
    <w:rsid w:val="00715892"/>
    <w:rsid w:val="00715956"/>
    <w:rsid w:val="00715986"/>
    <w:rsid w:val="00715B24"/>
    <w:rsid w:val="00715C02"/>
    <w:rsid w:val="00715E15"/>
    <w:rsid w:val="00715F02"/>
    <w:rsid w:val="00715F1F"/>
    <w:rsid w:val="00716109"/>
    <w:rsid w:val="007164EA"/>
    <w:rsid w:val="0071659A"/>
    <w:rsid w:val="007165C2"/>
    <w:rsid w:val="007167FA"/>
    <w:rsid w:val="007168C4"/>
    <w:rsid w:val="00716C10"/>
    <w:rsid w:val="00716D5C"/>
    <w:rsid w:val="00716DCF"/>
    <w:rsid w:val="00716ED4"/>
    <w:rsid w:val="00716FC4"/>
    <w:rsid w:val="00717021"/>
    <w:rsid w:val="00717226"/>
    <w:rsid w:val="0071724F"/>
    <w:rsid w:val="007172D1"/>
    <w:rsid w:val="0071768B"/>
    <w:rsid w:val="007177CB"/>
    <w:rsid w:val="007177E1"/>
    <w:rsid w:val="0071787F"/>
    <w:rsid w:val="00717D67"/>
    <w:rsid w:val="00717D9A"/>
    <w:rsid w:val="00717DAB"/>
    <w:rsid w:val="00717FDA"/>
    <w:rsid w:val="007200CC"/>
    <w:rsid w:val="0072025E"/>
    <w:rsid w:val="00720294"/>
    <w:rsid w:val="007202CA"/>
    <w:rsid w:val="0072038F"/>
    <w:rsid w:val="00720472"/>
    <w:rsid w:val="007204AC"/>
    <w:rsid w:val="0072055A"/>
    <w:rsid w:val="00720A05"/>
    <w:rsid w:val="00720A4B"/>
    <w:rsid w:val="00720C35"/>
    <w:rsid w:val="00720C72"/>
    <w:rsid w:val="00720CED"/>
    <w:rsid w:val="00720D0F"/>
    <w:rsid w:val="00720D94"/>
    <w:rsid w:val="00720E6F"/>
    <w:rsid w:val="00720F11"/>
    <w:rsid w:val="00721487"/>
    <w:rsid w:val="007214D9"/>
    <w:rsid w:val="007216AD"/>
    <w:rsid w:val="007218D2"/>
    <w:rsid w:val="00721931"/>
    <w:rsid w:val="00721941"/>
    <w:rsid w:val="00721BB1"/>
    <w:rsid w:val="00721C55"/>
    <w:rsid w:val="00721D38"/>
    <w:rsid w:val="00721D4C"/>
    <w:rsid w:val="00721E7E"/>
    <w:rsid w:val="00721F37"/>
    <w:rsid w:val="00721FA1"/>
    <w:rsid w:val="0072201B"/>
    <w:rsid w:val="0072217E"/>
    <w:rsid w:val="00722472"/>
    <w:rsid w:val="0072248C"/>
    <w:rsid w:val="00722534"/>
    <w:rsid w:val="007228C4"/>
    <w:rsid w:val="007228F7"/>
    <w:rsid w:val="00722A28"/>
    <w:rsid w:val="00722ACF"/>
    <w:rsid w:val="00722B9F"/>
    <w:rsid w:val="00722CAB"/>
    <w:rsid w:val="00722D92"/>
    <w:rsid w:val="00722DEF"/>
    <w:rsid w:val="007231E6"/>
    <w:rsid w:val="007231E7"/>
    <w:rsid w:val="007233A3"/>
    <w:rsid w:val="00723590"/>
    <w:rsid w:val="007235C5"/>
    <w:rsid w:val="007235E3"/>
    <w:rsid w:val="00723684"/>
    <w:rsid w:val="007237CC"/>
    <w:rsid w:val="0072391F"/>
    <w:rsid w:val="007239F9"/>
    <w:rsid w:val="00723A53"/>
    <w:rsid w:val="00723A5E"/>
    <w:rsid w:val="00723C2E"/>
    <w:rsid w:val="00723C4C"/>
    <w:rsid w:val="00723CD6"/>
    <w:rsid w:val="00723D5C"/>
    <w:rsid w:val="00723DC4"/>
    <w:rsid w:val="00723E0A"/>
    <w:rsid w:val="00724096"/>
    <w:rsid w:val="0072418B"/>
    <w:rsid w:val="007241C6"/>
    <w:rsid w:val="00724297"/>
    <w:rsid w:val="007244A9"/>
    <w:rsid w:val="0072452A"/>
    <w:rsid w:val="007245D0"/>
    <w:rsid w:val="007245DB"/>
    <w:rsid w:val="0072466F"/>
    <w:rsid w:val="00724680"/>
    <w:rsid w:val="00724B4E"/>
    <w:rsid w:val="00724B6F"/>
    <w:rsid w:val="00724C9F"/>
    <w:rsid w:val="00724DFA"/>
    <w:rsid w:val="00724DFC"/>
    <w:rsid w:val="00724E07"/>
    <w:rsid w:val="00725152"/>
    <w:rsid w:val="00725236"/>
    <w:rsid w:val="007252CB"/>
    <w:rsid w:val="007252E8"/>
    <w:rsid w:val="007256C6"/>
    <w:rsid w:val="007257BD"/>
    <w:rsid w:val="00725890"/>
    <w:rsid w:val="00725937"/>
    <w:rsid w:val="007259B0"/>
    <w:rsid w:val="00725B50"/>
    <w:rsid w:val="00725B75"/>
    <w:rsid w:val="00725D49"/>
    <w:rsid w:val="00725FFF"/>
    <w:rsid w:val="007262AA"/>
    <w:rsid w:val="007262D1"/>
    <w:rsid w:val="007262F5"/>
    <w:rsid w:val="0072633F"/>
    <w:rsid w:val="007263EA"/>
    <w:rsid w:val="00726574"/>
    <w:rsid w:val="0072659F"/>
    <w:rsid w:val="00726685"/>
    <w:rsid w:val="007266AA"/>
    <w:rsid w:val="0072675A"/>
    <w:rsid w:val="007267BF"/>
    <w:rsid w:val="0072699E"/>
    <w:rsid w:val="00726AA8"/>
    <w:rsid w:val="00726AE1"/>
    <w:rsid w:val="00726DB9"/>
    <w:rsid w:val="00726DF5"/>
    <w:rsid w:val="00726E2E"/>
    <w:rsid w:val="00726EED"/>
    <w:rsid w:val="00726EFE"/>
    <w:rsid w:val="00726F33"/>
    <w:rsid w:val="0072708A"/>
    <w:rsid w:val="007270DC"/>
    <w:rsid w:val="0072711A"/>
    <w:rsid w:val="0072726D"/>
    <w:rsid w:val="007273FF"/>
    <w:rsid w:val="00727420"/>
    <w:rsid w:val="00727442"/>
    <w:rsid w:val="0072749B"/>
    <w:rsid w:val="00727524"/>
    <w:rsid w:val="007275A6"/>
    <w:rsid w:val="00727612"/>
    <w:rsid w:val="00727680"/>
    <w:rsid w:val="007276FB"/>
    <w:rsid w:val="00727705"/>
    <w:rsid w:val="007277E9"/>
    <w:rsid w:val="00727862"/>
    <w:rsid w:val="007279CE"/>
    <w:rsid w:val="007279E7"/>
    <w:rsid w:val="00727B0C"/>
    <w:rsid w:val="00727B13"/>
    <w:rsid w:val="00727BCB"/>
    <w:rsid w:val="00727BE5"/>
    <w:rsid w:val="00727BE6"/>
    <w:rsid w:val="00727C08"/>
    <w:rsid w:val="00727D1E"/>
    <w:rsid w:val="00727D78"/>
    <w:rsid w:val="00727DAC"/>
    <w:rsid w:val="00727DF8"/>
    <w:rsid w:val="007300F4"/>
    <w:rsid w:val="007301EE"/>
    <w:rsid w:val="0073029A"/>
    <w:rsid w:val="007303CC"/>
    <w:rsid w:val="007305B0"/>
    <w:rsid w:val="00730600"/>
    <w:rsid w:val="00730887"/>
    <w:rsid w:val="007308B5"/>
    <w:rsid w:val="00730A08"/>
    <w:rsid w:val="00730AB5"/>
    <w:rsid w:val="00730CAC"/>
    <w:rsid w:val="00730CCE"/>
    <w:rsid w:val="00730D23"/>
    <w:rsid w:val="00730EE9"/>
    <w:rsid w:val="00731067"/>
    <w:rsid w:val="0073115B"/>
    <w:rsid w:val="0073115D"/>
    <w:rsid w:val="007311FF"/>
    <w:rsid w:val="0073120A"/>
    <w:rsid w:val="00731264"/>
    <w:rsid w:val="00731286"/>
    <w:rsid w:val="007312B2"/>
    <w:rsid w:val="00731354"/>
    <w:rsid w:val="0073147C"/>
    <w:rsid w:val="0073163B"/>
    <w:rsid w:val="007317F9"/>
    <w:rsid w:val="0073187C"/>
    <w:rsid w:val="0073191F"/>
    <w:rsid w:val="00731A7F"/>
    <w:rsid w:val="00731C65"/>
    <w:rsid w:val="00731D32"/>
    <w:rsid w:val="0073206F"/>
    <w:rsid w:val="007320FC"/>
    <w:rsid w:val="00732471"/>
    <w:rsid w:val="007325F1"/>
    <w:rsid w:val="00732620"/>
    <w:rsid w:val="00732632"/>
    <w:rsid w:val="00732650"/>
    <w:rsid w:val="0073291B"/>
    <w:rsid w:val="00732B63"/>
    <w:rsid w:val="00732B68"/>
    <w:rsid w:val="00732D29"/>
    <w:rsid w:val="00732D56"/>
    <w:rsid w:val="00732DA3"/>
    <w:rsid w:val="00732EA5"/>
    <w:rsid w:val="00732FEF"/>
    <w:rsid w:val="00733018"/>
    <w:rsid w:val="007331A4"/>
    <w:rsid w:val="007331DC"/>
    <w:rsid w:val="00733212"/>
    <w:rsid w:val="007332C9"/>
    <w:rsid w:val="007332D0"/>
    <w:rsid w:val="007332D9"/>
    <w:rsid w:val="00733387"/>
    <w:rsid w:val="00733492"/>
    <w:rsid w:val="007335A8"/>
    <w:rsid w:val="0073360E"/>
    <w:rsid w:val="0073368C"/>
    <w:rsid w:val="007337E9"/>
    <w:rsid w:val="00733989"/>
    <w:rsid w:val="00733C23"/>
    <w:rsid w:val="00733CB7"/>
    <w:rsid w:val="00733D21"/>
    <w:rsid w:val="00733D29"/>
    <w:rsid w:val="00733EC3"/>
    <w:rsid w:val="00733ED1"/>
    <w:rsid w:val="00734015"/>
    <w:rsid w:val="007340A3"/>
    <w:rsid w:val="0073411B"/>
    <w:rsid w:val="007343BE"/>
    <w:rsid w:val="00734426"/>
    <w:rsid w:val="00734572"/>
    <w:rsid w:val="0073460F"/>
    <w:rsid w:val="007346B7"/>
    <w:rsid w:val="00734964"/>
    <w:rsid w:val="00734A96"/>
    <w:rsid w:val="00734B64"/>
    <w:rsid w:val="00734BE3"/>
    <w:rsid w:val="00734D60"/>
    <w:rsid w:val="00734D65"/>
    <w:rsid w:val="00734D70"/>
    <w:rsid w:val="00734E2B"/>
    <w:rsid w:val="00734ED2"/>
    <w:rsid w:val="00734FFF"/>
    <w:rsid w:val="0073537A"/>
    <w:rsid w:val="007353AB"/>
    <w:rsid w:val="007355AE"/>
    <w:rsid w:val="007356FB"/>
    <w:rsid w:val="00735788"/>
    <w:rsid w:val="007358E2"/>
    <w:rsid w:val="00735A4B"/>
    <w:rsid w:val="00735A7C"/>
    <w:rsid w:val="00735BC7"/>
    <w:rsid w:val="00735CFA"/>
    <w:rsid w:val="00735E43"/>
    <w:rsid w:val="00735F03"/>
    <w:rsid w:val="0073605A"/>
    <w:rsid w:val="00736071"/>
    <w:rsid w:val="007361A1"/>
    <w:rsid w:val="007361A9"/>
    <w:rsid w:val="0073621E"/>
    <w:rsid w:val="007364CD"/>
    <w:rsid w:val="00736654"/>
    <w:rsid w:val="0073665F"/>
    <w:rsid w:val="007366E2"/>
    <w:rsid w:val="0073682B"/>
    <w:rsid w:val="00736833"/>
    <w:rsid w:val="00736884"/>
    <w:rsid w:val="00736BEF"/>
    <w:rsid w:val="00736C63"/>
    <w:rsid w:val="00736C9C"/>
    <w:rsid w:val="00736FCC"/>
    <w:rsid w:val="0073721E"/>
    <w:rsid w:val="0073725B"/>
    <w:rsid w:val="0073734D"/>
    <w:rsid w:val="00737398"/>
    <w:rsid w:val="007373A8"/>
    <w:rsid w:val="007374FE"/>
    <w:rsid w:val="007376A6"/>
    <w:rsid w:val="00737D76"/>
    <w:rsid w:val="00737E1F"/>
    <w:rsid w:val="00737E24"/>
    <w:rsid w:val="00740200"/>
    <w:rsid w:val="007402E1"/>
    <w:rsid w:val="007402FC"/>
    <w:rsid w:val="0074031C"/>
    <w:rsid w:val="0074033B"/>
    <w:rsid w:val="00740385"/>
    <w:rsid w:val="0074044E"/>
    <w:rsid w:val="00740687"/>
    <w:rsid w:val="00740784"/>
    <w:rsid w:val="007407F9"/>
    <w:rsid w:val="00740BDF"/>
    <w:rsid w:val="00740D21"/>
    <w:rsid w:val="00741285"/>
    <w:rsid w:val="007414BB"/>
    <w:rsid w:val="0074153F"/>
    <w:rsid w:val="00741562"/>
    <w:rsid w:val="00741645"/>
    <w:rsid w:val="0074176D"/>
    <w:rsid w:val="00741814"/>
    <w:rsid w:val="00741892"/>
    <w:rsid w:val="00741913"/>
    <w:rsid w:val="00741A23"/>
    <w:rsid w:val="00741A75"/>
    <w:rsid w:val="00741AE4"/>
    <w:rsid w:val="00741BBC"/>
    <w:rsid w:val="00741C28"/>
    <w:rsid w:val="00741CD1"/>
    <w:rsid w:val="00741D35"/>
    <w:rsid w:val="00741DC9"/>
    <w:rsid w:val="00741EA7"/>
    <w:rsid w:val="00741ED0"/>
    <w:rsid w:val="0074203E"/>
    <w:rsid w:val="0074209C"/>
    <w:rsid w:val="007420E6"/>
    <w:rsid w:val="00742155"/>
    <w:rsid w:val="00742233"/>
    <w:rsid w:val="007424B5"/>
    <w:rsid w:val="007424DF"/>
    <w:rsid w:val="0074254E"/>
    <w:rsid w:val="007427FC"/>
    <w:rsid w:val="00742852"/>
    <w:rsid w:val="007429B8"/>
    <w:rsid w:val="00742B6F"/>
    <w:rsid w:val="00742BA6"/>
    <w:rsid w:val="00742BB0"/>
    <w:rsid w:val="00742BB9"/>
    <w:rsid w:val="00742C2F"/>
    <w:rsid w:val="00742CC9"/>
    <w:rsid w:val="00742E88"/>
    <w:rsid w:val="00743175"/>
    <w:rsid w:val="0074317A"/>
    <w:rsid w:val="007431F3"/>
    <w:rsid w:val="0074349E"/>
    <w:rsid w:val="007434ED"/>
    <w:rsid w:val="00743668"/>
    <w:rsid w:val="007436A0"/>
    <w:rsid w:val="007436B4"/>
    <w:rsid w:val="007436CD"/>
    <w:rsid w:val="007438B9"/>
    <w:rsid w:val="007438C0"/>
    <w:rsid w:val="00743C12"/>
    <w:rsid w:val="00743C68"/>
    <w:rsid w:val="00743C97"/>
    <w:rsid w:val="00743D06"/>
    <w:rsid w:val="00743D1B"/>
    <w:rsid w:val="00743DC3"/>
    <w:rsid w:val="00743FDB"/>
    <w:rsid w:val="00744057"/>
    <w:rsid w:val="007440CF"/>
    <w:rsid w:val="007441A5"/>
    <w:rsid w:val="007441D5"/>
    <w:rsid w:val="007441D6"/>
    <w:rsid w:val="0074424C"/>
    <w:rsid w:val="0074433B"/>
    <w:rsid w:val="00744474"/>
    <w:rsid w:val="007445EC"/>
    <w:rsid w:val="007445F9"/>
    <w:rsid w:val="00744AA5"/>
    <w:rsid w:val="00744CE7"/>
    <w:rsid w:val="00744F3A"/>
    <w:rsid w:val="00744F56"/>
    <w:rsid w:val="00744FF3"/>
    <w:rsid w:val="0074503C"/>
    <w:rsid w:val="00745047"/>
    <w:rsid w:val="00745167"/>
    <w:rsid w:val="007451C2"/>
    <w:rsid w:val="00745379"/>
    <w:rsid w:val="007454E3"/>
    <w:rsid w:val="00745514"/>
    <w:rsid w:val="0074551B"/>
    <w:rsid w:val="007456CB"/>
    <w:rsid w:val="007457AD"/>
    <w:rsid w:val="007457AE"/>
    <w:rsid w:val="007459A6"/>
    <w:rsid w:val="00745C00"/>
    <w:rsid w:val="00745C3D"/>
    <w:rsid w:val="00745CEC"/>
    <w:rsid w:val="00745D53"/>
    <w:rsid w:val="00745DAD"/>
    <w:rsid w:val="00745E71"/>
    <w:rsid w:val="00745E93"/>
    <w:rsid w:val="00745EEA"/>
    <w:rsid w:val="00745F06"/>
    <w:rsid w:val="00745F5F"/>
    <w:rsid w:val="0074636C"/>
    <w:rsid w:val="00746391"/>
    <w:rsid w:val="007464AF"/>
    <w:rsid w:val="007465AF"/>
    <w:rsid w:val="0074665C"/>
    <w:rsid w:val="0074667F"/>
    <w:rsid w:val="00746692"/>
    <w:rsid w:val="00746708"/>
    <w:rsid w:val="0074672C"/>
    <w:rsid w:val="00746764"/>
    <w:rsid w:val="0074685D"/>
    <w:rsid w:val="007469B9"/>
    <w:rsid w:val="00746A32"/>
    <w:rsid w:val="00746B05"/>
    <w:rsid w:val="00746B4F"/>
    <w:rsid w:val="00746B73"/>
    <w:rsid w:val="00746BD6"/>
    <w:rsid w:val="00746BDF"/>
    <w:rsid w:val="00746D16"/>
    <w:rsid w:val="00746D87"/>
    <w:rsid w:val="00746DFD"/>
    <w:rsid w:val="00747432"/>
    <w:rsid w:val="007474D5"/>
    <w:rsid w:val="007476A7"/>
    <w:rsid w:val="007476BE"/>
    <w:rsid w:val="007476EC"/>
    <w:rsid w:val="0074776D"/>
    <w:rsid w:val="007477B6"/>
    <w:rsid w:val="007477D8"/>
    <w:rsid w:val="00747893"/>
    <w:rsid w:val="00747894"/>
    <w:rsid w:val="00747916"/>
    <w:rsid w:val="00747AE9"/>
    <w:rsid w:val="00747C4E"/>
    <w:rsid w:val="00747D08"/>
    <w:rsid w:val="00747DA1"/>
    <w:rsid w:val="00747DBE"/>
    <w:rsid w:val="00747DF0"/>
    <w:rsid w:val="00747E86"/>
    <w:rsid w:val="00747F38"/>
    <w:rsid w:val="00750015"/>
    <w:rsid w:val="007500D5"/>
    <w:rsid w:val="007501EF"/>
    <w:rsid w:val="0075024E"/>
    <w:rsid w:val="0075025D"/>
    <w:rsid w:val="00750315"/>
    <w:rsid w:val="007503A1"/>
    <w:rsid w:val="0075046E"/>
    <w:rsid w:val="007504BF"/>
    <w:rsid w:val="0075056A"/>
    <w:rsid w:val="00750668"/>
    <w:rsid w:val="00750702"/>
    <w:rsid w:val="00750757"/>
    <w:rsid w:val="00750780"/>
    <w:rsid w:val="00750791"/>
    <w:rsid w:val="007508EC"/>
    <w:rsid w:val="00750945"/>
    <w:rsid w:val="007509B2"/>
    <w:rsid w:val="00750A84"/>
    <w:rsid w:val="00750C45"/>
    <w:rsid w:val="00750C9E"/>
    <w:rsid w:val="00750DDF"/>
    <w:rsid w:val="00750F69"/>
    <w:rsid w:val="0075107F"/>
    <w:rsid w:val="00751125"/>
    <w:rsid w:val="00751235"/>
    <w:rsid w:val="0075126E"/>
    <w:rsid w:val="0075129F"/>
    <w:rsid w:val="007514A6"/>
    <w:rsid w:val="007514B9"/>
    <w:rsid w:val="00751594"/>
    <w:rsid w:val="007515B2"/>
    <w:rsid w:val="007515D9"/>
    <w:rsid w:val="00751D57"/>
    <w:rsid w:val="00751F16"/>
    <w:rsid w:val="00751FF5"/>
    <w:rsid w:val="007520AF"/>
    <w:rsid w:val="0075222F"/>
    <w:rsid w:val="00752281"/>
    <w:rsid w:val="0075231C"/>
    <w:rsid w:val="0075243E"/>
    <w:rsid w:val="007524AE"/>
    <w:rsid w:val="007524B6"/>
    <w:rsid w:val="007526CA"/>
    <w:rsid w:val="007527A8"/>
    <w:rsid w:val="0075283E"/>
    <w:rsid w:val="0075286E"/>
    <w:rsid w:val="0075288B"/>
    <w:rsid w:val="00752938"/>
    <w:rsid w:val="00752E6B"/>
    <w:rsid w:val="00752EBA"/>
    <w:rsid w:val="00752F7D"/>
    <w:rsid w:val="00753155"/>
    <w:rsid w:val="0075320A"/>
    <w:rsid w:val="0075339D"/>
    <w:rsid w:val="0075343C"/>
    <w:rsid w:val="007534FE"/>
    <w:rsid w:val="007535AA"/>
    <w:rsid w:val="007535FF"/>
    <w:rsid w:val="00753647"/>
    <w:rsid w:val="0075369F"/>
    <w:rsid w:val="007536F8"/>
    <w:rsid w:val="00753767"/>
    <w:rsid w:val="007537BE"/>
    <w:rsid w:val="007538E2"/>
    <w:rsid w:val="007539A2"/>
    <w:rsid w:val="007539C6"/>
    <w:rsid w:val="00753B8C"/>
    <w:rsid w:val="00753CE3"/>
    <w:rsid w:val="00753D5F"/>
    <w:rsid w:val="00753DE7"/>
    <w:rsid w:val="00753F8B"/>
    <w:rsid w:val="007540EB"/>
    <w:rsid w:val="007542B7"/>
    <w:rsid w:val="007542CE"/>
    <w:rsid w:val="007542F2"/>
    <w:rsid w:val="00754586"/>
    <w:rsid w:val="00754619"/>
    <w:rsid w:val="007547C5"/>
    <w:rsid w:val="0075487C"/>
    <w:rsid w:val="007548E9"/>
    <w:rsid w:val="0075498E"/>
    <w:rsid w:val="00754DBC"/>
    <w:rsid w:val="00754F38"/>
    <w:rsid w:val="00755083"/>
    <w:rsid w:val="0075519E"/>
    <w:rsid w:val="007551F4"/>
    <w:rsid w:val="00755236"/>
    <w:rsid w:val="0075526A"/>
    <w:rsid w:val="00755341"/>
    <w:rsid w:val="0075552A"/>
    <w:rsid w:val="00755767"/>
    <w:rsid w:val="00755810"/>
    <w:rsid w:val="0075588A"/>
    <w:rsid w:val="00755910"/>
    <w:rsid w:val="0075593D"/>
    <w:rsid w:val="00755AB4"/>
    <w:rsid w:val="00755C17"/>
    <w:rsid w:val="00755EE0"/>
    <w:rsid w:val="00755F14"/>
    <w:rsid w:val="00756019"/>
    <w:rsid w:val="007561B0"/>
    <w:rsid w:val="007561F6"/>
    <w:rsid w:val="00756594"/>
    <w:rsid w:val="00756757"/>
    <w:rsid w:val="0075680E"/>
    <w:rsid w:val="00756907"/>
    <w:rsid w:val="00756A4E"/>
    <w:rsid w:val="00756AE1"/>
    <w:rsid w:val="00756AF5"/>
    <w:rsid w:val="00756BB4"/>
    <w:rsid w:val="00756D62"/>
    <w:rsid w:val="00756D86"/>
    <w:rsid w:val="00756EBF"/>
    <w:rsid w:val="00756EF7"/>
    <w:rsid w:val="00757045"/>
    <w:rsid w:val="007570A0"/>
    <w:rsid w:val="007572A2"/>
    <w:rsid w:val="00757378"/>
    <w:rsid w:val="00757431"/>
    <w:rsid w:val="0075756E"/>
    <w:rsid w:val="007575F9"/>
    <w:rsid w:val="007576C4"/>
    <w:rsid w:val="007578CA"/>
    <w:rsid w:val="00757943"/>
    <w:rsid w:val="00757A24"/>
    <w:rsid w:val="00757E11"/>
    <w:rsid w:val="00757FCF"/>
    <w:rsid w:val="0076020D"/>
    <w:rsid w:val="0076028D"/>
    <w:rsid w:val="00760374"/>
    <w:rsid w:val="007604B7"/>
    <w:rsid w:val="00760654"/>
    <w:rsid w:val="007606CA"/>
    <w:rsid w:val="0076070A"/>
    <w:rsid w:val="007607B5"/>
    <w:rsid w:val="007609CE"/>
    <w:rsid w:val="00760C19"/>
    <w:rsid w:val="00760CE6"/>
    <w:rsid w:val="00760D31"/>
    <w:rsid w:val="00760ED8"/>
    <w:rsid w:val="00760F96"/>
    <w:rsid w:val="0076129B"/>
    <w:rsid w:val="00761315"/>
    <w:rsid w:val="007613D9"/>
    <w:rsid w:val="007613E4"/>
    <w:rsid w:val="00761435"/>
    <w:rsid w:val="007614FA"/>
    <w:rsid w:val="007616D1"/>
    <w:rsid w:val="00761756"/>
    <w:rsid w:val="00761785"/>
    <w:rsid w:val="00761797"/>
    <w:rsid w:val="00761812"/>
    <w:rsid w:val="00761865"/>
    <w:rsid w:val="00761A76"/>
    <w:rsid w:val="00761DDE"/>
    <w:rsid w:val="00761E0F"/>
    <w:rsid w:val="00761EF3"/>
    <w:rsid w:val="00762129"/>
    <w:rsid w:val="0076218B"/>
    <w:rsid w:val="00762257"/>
    <w:rsid w:val="00762287"/>
    <w:rsid w:val="007622A4"/>
    <w:rsid w:val="0076236E"/>
    <w:rsid w:val="0076237F"/>
    <w:rsid w:val="007623AA"/>
    <w:rsid w:val="00762472"/>
    <w:rsid w:val="007625DC"/>
    <w:rsid w:val="00762622"/>
    <w:rsid w:val="0076267A"/>
    <w:rsid w:val="0076281F"/>
    <w:rsid w:val="00762846"/>
    <w:rsid w:val="00762A85"/>
    <w:rsid w:val="00762FBC"/>
    <w:rsid w:val="007630E6"/>
    <w:rsid w:val="0076323D"/>
    <w:rsid w:val="0076328B"/>
    <w:rsid w:val="00763303"/>
    <w:rsid w:val="007633AB"/>
    <w:rsid w:val="007633D9"/>
    <w:rsid w:val="007635A4"/>
    <w:rsid w:val="007635A7"/>
    <w:rsid w:val="007637C2"/>
    <w:rsid w:val="007637DB"/>
    <w:rsid w:val="007639B3"/>
    <w:rsid w:val="00763A66"/>
    <w:rsid w:val="00763B78"/>
    <w:rsid w:val="00763BE2"/>
    <w:rsid w:val="00763CC3"/>
    <w:rsid w:val="00763D05"/>
    <w:rsid w:val="00763D06"/>
    <w:rsid w:val="00763D78"/>
    <w:rsid w:val="00763ED8"/>
    <w:rsid w:val="00763EE5"/>
    <w:rsid w:val="00763F79"/>
    <w:rsid w:val="007640E0"/>
    <w:rsid w:val="00764227"/>
    <w:rsid w:val="007643D2"/>
    <w:rsid w:val="00764404"/>
    <w:rsid w:val="0076462C"/>
    <w:rsid w:val="00764701"/>
    <w:rsid w:val="0076478A"/>
    <w:rsid w:val="007649C0"/>
    <w:rsid w:val="00764B0E"/>
    <w:rsid w:val="00764BC4"/>
    <w:rsid w:val="00764BF7"/>
    <w:rsid w:val="00764CE9"/>
    <w:rsid w:val="00764E0D"/>
    <w:rsid w:val="00764F9E"/>
    <w:rsid w:val="00765104"/>
    <w:rsid w:val="00765195"/>
    <w:rsid w:val="00765235"/>
    <w:rsid w:val="00765385"/>
    <w:rsid w:val="007653D5"/>
    <w:rsid w:val="0076542D"/>
    <w:rsid w:val="00765505"/>
    <w:rsid w:val="0076554D"/>
    <w:rsid w:val="007655C9"/>
    <w:rsid w:val="007656D0"/>
    <w:rsid w:val="007659C5"/>
    <w:rsid w:val="00765A73"/>
    <w:rsid w:val="00765B23"/>
    <w:rsid w:val="00765B9F"/>
    <w:rsid w:val="00765CE9"/>
    <w:rsid w:val="00765EDB"/>
    <w:rsid w:val="0076609E"/>
    <w:rsid w:val="007660A5"/>
    <w:rsid w:val="007660E8"/>
    <w:rsid w:val="007661E1"/>
    <w:rsid w:val="00766304"/>
    <w:rsid w:val="007663F3"/>
    <w:rsid w:val="0076678E"/>
    <w:rsid w:val="00766840"/>
    <w:rsid w:val="00766AC1"/>
    <w:rsid w:val="00766B6F"/>
    <w:rsid w:val="00766DCA"/>
    <w:rsid w:val="00766E1C"/>
    <w:rsid w:val="00766FEC"/>
    <w:rsid w:val="00767063"/>
    <w:rsid w:val="0076709A"/>
    <w:rsid w:val="00767230"/>
    <w:rsid w:val="0076728A"/>
    <w:rsid w:val="007672F0"/>
    <w:rsid w:val="00767362"/>
    <w:rsid w:val="0076739C"/>
    <w:rsid w:val="00767450"/>
    <w:rsid w:val="007674BC"/>
    <w:rsid w:val="00767523"/>
    <w:rsid w:val="00767619"/>
    <w:rsid w:val="0076793D"/>
    <w:rsid w:val="00767A62"/>
    <w:rsid w:val="00767B07"/>
    <w:rsid w:val="00767B6E"/>
    <w:rsid w:val="00767E06"/>
    <w:rsid w:val="00767FE5"/>
    <w:rsid w:val="00770083"/>
    <w:rsid w:val="0077009B"/>
    <w:rsid w:val="007700DD"/>
    <w:rsid w:val="007701F3"/>
    <w:rsid w:val="00770246"/>
    <w:rsid w:val="0077039B"/>
    <w:rsid w:val="00770520"/>
    <w:rsid w:val="0077058E"/>
    <w:rsid w:val="007706B7"/>
    <w:rsid w:val="007707B1"/>
    <w:rsid w:val="007709B6"/>
    <w:rsid w:val="00770A26"/>
    <w:rsid w:val="00770A98"/>
    <w:rsid w:val="00770BF9"/>
    <w:rsid w:val="00770BFD"/>
    <w:rsid w:val="00770C45"/>
    <w:rsid w:val="00770F03"/>
    <w:rsid w:val="00770F8F"/>
    <w:rsid w:val="00771086"/>
    <w:rsid w:val="00771092"/>
    <w:rsid w:val="007710AC"/>
    <w:rsid w:val="007712AE"/>
    <w:rsid w:val="007712DB"/>
    <w:rsid w:val="007713B6"/>
    <w:rsid w:val="007713D9"/>
    <w:rsid w:val="00771456"/>
    <w:rsid w:val="007714E4"/>
    <w:rsid w:val="00771564"/>
    <w:rsid w:val="0077160E"/>
    <w:rsid w:val="007717D5"/>
    <w:rsid w:val="00771B9B"/>
    <w:rsid w:val="00771D58"/>
    <w:rsid w:val="00771FE3"/>
    <w:rsid w:val="0077202A"/>
    <w:rsid w:val="00772058"/>
    <w:rsid w:val="00772070"/>
    <w:rsid w:val="00772166"/>
    <w:rsid w:val="007723A4"/>
    <w:rsid w:val="00772449"/>
    <w:rsid w:val="00772475"/>
    <w:rsid w:val="007725F5"/>
    <w:rsid w:val="007725FD"/>
    <w:rsid w:val="00772752"/>
    <w:rsid w:val="0077280B"/>
    <w:rsid w:val="00772BBF"/>
    <w:rsid w:val="00772BE3"/>
    <w:rsid w:val="00772C0A"/>
    <w:rsid w:val="00772C51"/>
    <w:rsid w:val="00772DB0"/>
    <w:rsid w:val="00772E60"/>
    <w:rsid w:val="00772F40"/>
    <w:rsid w:val="00772FA1"/>
    <w:rsid w:val="00772FCC"/>
    <w:rsid w:val="00773019"/>
    <w:rsid w:val="0077303D"/>
    <w:rsid w:val="00773067"/>
    <w:rsid w:val="007730E5"/>
    <w:rsid w:val="00773293"/>
    <w:rsid w:val="007732ED"/>
    <w:rsid w:val="007734FA"/>
    <w:rsid w:val="00773556"/>
    <w:rsid w:val="00773914"/>
    <w:rsid w:val="00773B26"/>
    <w:rsid w:val="00773E58"/>
    <w:rsid w:val="007741F7"/>
    <w:rsid w:val="0077467A"/>
    <w:rsid w:val="007746B7"/>
    <w:rsid w:val="00774742"/>
    <w:rsid w:val="0077493D"/>
    <w:rsid w:val="00774943"/>
    <w:rsid w:val="0077499A"/>
    <w:rsid w:val="00774A4E"/>
    <w:rsid w:val="00774B5B"/>
    <w:rsid w:val="00774BE5"/>
    <w:rsid w:val="00774E1F"/>
    <w:rsid w:val="007751F3"/>
    <w:rsid w:val="0077564D"/>
    <w:rsid w:val="00775790"/>
    <w:rsid w:val="00775AAE"/>
    <w:rsid w:val="00775BA4"/>
    <w:rsid w:val="00775E18"/>
    <w:rsid w:val="00775E74"/>
    <w:rsid w:val="00776095"/>
    <w:rsid w:val="00776181"/>
    <w:rsid w:val="00776194"/>
    <w:rsid w:val="007762A9"/>
    <w:rsid w:val="00776415"/>
    <w:rsid w:val="00776554"/>
    <w:rsid w:val="00776608"/>
    <w:rsid w:val="00776803"/>
    <w:rsid w:val="007768C7"/>
    <w:rsid w:val="00776A04"/>
    <w:rsid w:val="00776AEE"/>
    <w:rsid w:val="00776B9A"/>
    <w:rsid w:val="00776C36"/>
    <w:rsid w:val="00776EB6"/>
    <w:rsid w:val="00776FAE"/>
    <w:rsid w:val="00777025"/>
    <w:rsid w:val="007770A2"/>
    <w:rsid w:val="0077716C"/>
    <w:rsid w:val="007771AD"/>
    <w:rsid w:val="007771EB"/>
    <w:rsid w:val="007771F9"/>
    <w:rsid w:val="00777224"/>
    <w:rsid w:val="007772DF"/>
    <w:rsid w:val="00777335"/>
    <w:rsid w:val="0077736C"/>
    <w:rsid w:val="007773D7"/>
    <w:rsid w:val="00777468"/>
    <w:rsid w:val="007774AB"/>
    <w:rsid w:val="00777790"/>
    <w:rsid w:val="00777990"/>
    <w:rsid w:val="00777A46"/>
    <w:rsid w:val="00777B40"/>
    <w:rsid w:val="00777D22"/>
    <w:rsid w:val="00777DAD"/>
    <w:rsid w:val="00777EC3"/>
    <w:rsid w:val="00777EF2"/>
    <w:rsid w:val="00777FDB"/>
    <w:rsid w:val="007801B4"/>
    <w:rsid w:val="007801F3"/>
    <w:rsid w:val="00780233"/>
    <w:rsid w:val="00780573"/>
    <w:rsid w:val="00780588"/>
    <w:rsid w:val="0078059A"/>
    <w:rsid w:val="0078062A"/>
    <w:rsid w:val="007806E2"/>
    <w:rsid w:val="00780784"/>
    <w:rsid w:val="00780976"/>
    <w:rsid w:val="00780B2A"/>
    <w:rsid w:val="00780B4A"/>
    <w:rsid w:val="00780B9B"/>
    <w:rsid w:val="0078119B"/>
    <w:rsid w:val="007811B4"/>
    <w:rsid w:val="00781413"/>
    <w:rsid w:val="00781487"/>
    <w:rsid w:val="0078155B"/>
    <w:rsid w:val="007817DA"/>
    <w:rsid w:val="007817EF"/>
    <w:rsid w:val="007818A3"/>
    <w:rsid w:val="007819CB"/>
    <w:rsid w:val="00781A50"/>
    <w:rsid w:val="00781B0A"/>
    <w:rsid w:val="00781B10"/>
    <w:rsid w:val="00781C28"/>
    <w:rsid w:val="00781CD6"/>
    <w:rsid w:val="00781E53"/>
    <w:rsid w:val="0078239A"/>
    <w:rsid w:val="007824E5"/>
    <w:rsid w:val="0078259A"/>
    <w:rsid w:val="00782601"/>
    <w:rsid w:val="00782679"/>
    <w:rsid w:val="0078268E"/>
    <w:rsid w:val="007829B3"/>
    <w:rsid w:val="00782ADC"/>
    <w:rsid w:val="00782B30"/>
    <w:rsid w:val="00782B87"/>
    <w:rsid w:val="00782C55"/>
    <w:rsid w:val="00782C6D"/>
    <w:rsid w:val="00782CB9"/>
    <w:rsid w:val="00782E57"/>
    <w:rsid w:val="00782ECA"/>
    <w:rsid w:val="007830EE"/>
    <w:rsid w:val="007832A6"/>
    <w:rsid w:val="0078346B"/>
    <w:rsid w:val="00783576"/>
    <w:rsid w:val="007836BD"/>
    <w:rsid w:val="007836CF"/>
    <w:rsid w:val="007837D8"/>
    <w:rsid w:val="00783A56"/>
    <w:rsid w:val="00783AD9"/>
    <w:rsid w:val="00783C30"/>
    <w:rsid w:val="00783C6E"/>
    <w:rsid w:val="00783D26"/>
    <w:rsid w:val="00783DB3"/>
    <w:rsid w:val="00783EA6"/>
    <w:rsid w:val="00784002"/>
    <w:rsid w:val="00784083"/>
    <w:rsid w:val="007840FF"/>
    <w:rsid w:val="00784108"/>
    <w:rsid w:val="0078445C"/>
    <w:rsid w:val="00784532"/>
    <w:rsid w:val="007846D4"/>
    <w:rsid w:val="00784748"/>
    <w:rsid w:val="00784802"/>
    <w:rsid w:val="007849E8"/>
    <w:rsid w:val="00784A1E"/>
    <w:rsid w:val="00784BA9"/>
    <w:rsid w:val="00784BF4"/>
    <w:rsid w:val="00784D68"/>
    <w:rsid w:val="00784E58"/>
    <w:rsid w:val="00784EEC"/>
    <w:rsid w:val="00784F31"/>
    <w:rsid w:val="00785024"/>
    <w:rsid w:val="007852DB"/>
    <w:rsid w:val="007854DE"/>
    <w:rsid w:val="00785510"/>
    <w:rsid w:val="007857FB"/>
    <w:rsid w:val="0078588B"/>
    <w:rsid w:val="00785993"/>
    <w:rsid w:val="007859EA"/>
    <w:rsid w:val="007859F5"/>
    <w:rsid w:val="00785B86"/>
    <w:rsid w:val="00785BA3"/>
    <w:rsid w:val="00785BE0"/>
    <w:rsid w:val="00785C6B"/>
    <w:rsid w:val="00785CD7"/>
    <w:rsid w:val="00785CD8"/>
    <w:rsid w:val="00785CE5"/>
    <w:rsid w:val="00785CFB"/>
    <w:rsid w:val="00785D25"/>
    <w:rsid w:val="00785D94"/>
    <w:rsid w:val="00785ED5"/>
    <w:rsid w:val="00785FF2"/>
    <w:rsid w:val="00786104"/>
    <w:rsid w:val="0078635B"/>
    <w:rsid w:val="007867F2"/>
    <w:rsid w:val="00786828"/>
    <w:rsid w:val="0078683F"/>
    <w:rsid w:val="0078688B"/>
    <w:rsid w:val="0078692D"/>
    <w:rsid w:val="007869B1"/>
    <w:rsid w:val="00786A1B"/>
    <w:rsid w:val="00786C49"/>
    <w:rsid w:val="00786D14"/>
    <w:rsid w:val="00786D9F"/>
    <w:rsid w:val="00786DD8"/>
    <w:rsid w:val="00786E93"/>
    <w:rsid w:val="00786EB0"/>
    <w:rsid w:val="00786EC4"/>
    <w:rsid w:val="00786F3F"/>
    <w:rsid w:val="0078709F"/>
    <w:rsid w:val="007870AD"/>
    <w:rsid w:val="007870EE"/>
    <w:rsid w:val="0078720D"/>
    <w:rsid w:val="00787317"/>
    <w:rsid w:val="00787449"/>
    <w:rsid w:val="00787783"/>
    <w:rsid w:val="0078788B"/>
    <w:rsid w:val="00787A5A"/>
    <w:rsid w:val="00787B65"/>
    <w:rsid w:val="00787BB1"/>
    <w:rsid w:val="00787DE2"/>
    <w:rsid w:val="00787F92"/>
    <w:rsid w:val="0079015C"/>
    <w:rsid w:val="007901E1"/>
    <w:rsid w:val="007902F0"/>
    <w:rsid w:val="00790484"/>
    <w:rsid w:val="00790595"/>
    <w:rsid w:val="00790596"/>
    <w:rsid w:val="007905E0"/>
    <w:rsid w:val="00790627"/>
    <w:rsid w:val="007906A9"/>
    <w:rsid w:val="007907A4"/>
    <w:rsid w:val="00790A66"/>
    <w:rsid w:val="00790B1A"/>
    <w:rsid w:val="00790CD7"/>
    <w:rsid w:val="00790CEC"/>
    <w:rsid w:val="00790DD8"/>
    <w:rsid w:val="00790E85"/>
    <w:rsid w:val="00790EAB"/>
    <w:rsid w:val="00790EE0"/>
    <w:rsid w:val="00790FDD"/>
    <w:rsid w:val="00790FDE"/>
    <w:rsid w:val="007912C9"/>
    <w:rsid w:val="007913D8"/>
    <w:rsid w:val="0079157D"/>
    <w:rsid w:val="007916DE"/>
    <w:rsid w:val="00791752"/>
    <w:rsid w:val="00791769"/>
    <w:rsid w:val="0079182A"/>
    <w:rsid w:val="007918B5"/>
    <w:rsid w:val="007919AA"/>
    <w:rsid w:val="00791F0D"/>
    <w:rsid w:val="00791F97"/>
    <w:rsid w:val="00792057"/>
    <w:rsid w:val="00792082"/>
    <w:rsid w:val="00792101"/>
    <w:rsid w:val="0079215D"/>
    <w:rsid w:val="007921C1"/>
    <w:rsid w:val="00792202"/>
    <w:rsid w:val="0079250F"/>
    <w:rsid w:val="0079255C"/>
    <w:rsid w:val="0079257F"/>
    <w:rsid w:val="0079269D"/>
    <w:rsid w:val="007926AC"/>
    <w:rsid w:val="0079271D"/>
    <w:rsid w:val="007927B1"/>
    <w:rsid w:val="0079280D"/>
    <w:rsid w:val="0079290B"/>
    <w:rsid w:val="00792A9A"/>
    <w:rsid w:val="00792B45"/>
    <w:rsid w:val="00792B46"/>
    <w:rsid w:val="00792C82"/>
    <w:rsid w:val="00792D33"/>
    <w:rsid w:val="00792FFC"/>
    <w:rsid w:val="00793069"/>
    <w:rsid w:val="00793101"/>
    <w:rsid w:val="007932F7"/>
    <w:rsid w:val="00793443"/>
    <w:rsid w:val="00793540"/>
    <w:rsid w:val="0079354D"/>
    <w:rsid w:val="007935C1"/>
    <w:rsid w:val="00793906"/>
    <w:rsid w:val="0079396B"/>
    <w:rsid w:val="007939C4"/>
    <w:rsid w:val="007939C6"/>
    <w:rsid w:val="007939D3"/>
    <w:rsid w:val="00793A70"/>
    <w:rsid w:val="00793C81"/>
    <w:rsid w:val="00793D3A"/>
    <w:rsid w:val="00793E4B"/>
    <w:rsid w:val="00793E7E"/>
    <w:rsid w:val="0079401D"/>
    <w:rsid w:val="00794051"/>
    <w:rsid w:val="00794161"/>
    <w:rsid w:val="007941AE"/>
    <w:rsid w:val="00794344"/>
    <w:rsid w:val="0079466D"/>
    <w:rsid w:val="0079473F"/>
    <w:rsid w:val="00794915"/>
    <w:rsid w:val="00794B16"/>
    <w:rsid w:val="00794B93"/>
    <w:rsid w:val="00794F43"/>
    <w:rsid w:val="00795058"/>
    <w:rsid w:val="00795365"/>
    <w:rsid w:val="00795399"/>
    <w:rsid w:val="00795537"/>
    <w:rsid w:val="00795737"/>
    <w:rsid w:val="00795887"/>
    <w:rsid w:val="0079592F"/>
    <w:rsid w:val="0079593A"/>
    <w:rsid w:val="0079596D"/>
    <w:rsid w:val="007959B2"/>
    <w:rsid w:val="00795B6D"/>
    <w:rsid w:val="00795BAA"/>
    <w:rsid w:val="00795C7C"/>
    <w:rsid w:val="00795D05"/>
    <w:rsid w:val="00795E08"/>
    <w:rsid w:val="00795F0B"/>
    <w:rsid w:val="00796074"/>
    <w:rsid w:val="007960AA"/>
    <w:rsid w:val="00796137"/>
    <w:rsid w:val="007961A0"/>
    <w:rsid w:val="0079629B"/>
    <w:rsid w:val="00796839"/>
    <w:rsid w:val="00796C90"/>
    <w:rsid w:val="00796DD1"/>
    <w:rsid w:val="00796DDB"/>
    <w:rsid w:val="00796E63"/>
    <w:rsid w:val="00796ED9"/>
    <w:rsid w:val="0079700E"/>
    <w:rsid w:val="0079712D"/>
    <w:rsid w:val="0079715A"/>
    <w:rsid w:val="00797591"/>
    <w:rsid w:val="00797691"/>
    <w:rsid w:val="0079799D"/>
    <w:rsid w:val="00797B6E"/>
    <w:rsid w:val="00797B9D"/>
    <w:rsid w:val="00797BE1"/>
    <w:rsid w:val="00797C96"/>
    <w:rsid w:val="00797D35"/>
    <w:rsid w:val="00797EE6"/>
    <w:rsid w:val="00797F84"/>
    <w:rsid w:val="007A00D9"/>
    <w:rsid w:val="007A00EC"/>
    <w:rsid w:val="007A01CC"/>
    <w:rsid w:val="007A0354"/>
    <w:rsid w:val="007A044C"/>
    <w:rsid w:val="007A04BD"/>
    <w:rsid w:val="007A04D1"/>
    <w:rsid w:val="007A05EB"/>
    <w:rsid w:val="007A074A"/>
    <w:rsid w:val="007A091B"/>
    <w:rsid w:val="007A0960"/>
    <w:rsid w:val="007A0A3E"/>
    <w:rsid w:val="007A0A7F"/>
    <w:rsid w:val="007A0C4F"/>
    <w:rsid w:val="007A0C7E"/>
    <w:rsid w:val="007A0D4F"/>
    <w:rsid w:val="007A0E1C"/>
    <w:rsid w:val="007A0F4A"/>
    <w:rsid w:val="007A1045"/>
    <w:rsid w:val="007A10BE"/>
    <w:rsid w:val="007A10CD"/>
    <w:rsid w:val="007A11D3"/>
    <w:rsid w:val="007A1272"/>
    <w:rsid w:val="007A1332"/>
    <w:rsid w:val="007A1544"/>
    <w:rsid w:val="007A15C1"/>
    <w:rsid w:val="007A16B6"/>
    <w:rsid w:val="007A173E"/>
    <w:rsid w:val="007A1902"/>
    <w:rsid w:val="007A1922"/>
    <w:rsid w:val="007A1976"/>
    <w:rsid w:val="007A1BF0"/>
    <w:rsid w:val="007A1DF0"/>
    <w:rsid w:val="007A1EE0"/>
    <w:rsid w:val="007A2150"/>
    <w:rsid w:val="007A22C9"/>
    <w:rsid w:val="007A27B7"/>
    <w:rsid w:val="007A2D7E"/>
    <w:rsid w:val="007A2DBC"/>
    <w:rsid w:val="007A2F54"/>
    <w:rsid w:val="007A3174"/>
    <w:rsid w:val="007A31D4"/>
    <w:rsid w:val="007A3204"/>
    <w:rsid w:val="007A3217"/>
    <w:rsid w:val="007A32AC"/>
    <w:rsid w:val="007A334A"/>
    <w:rsid w:val="007A336A"/>
    <w:rsid w:val="007A34E6"/>
    <w:rsid w:val="007A35D4"/>
    <w:rsid w:val="007A36B2"/>
    <w:rsid w:val="007A370F"/>
    <w:rsid w:val="007A3926"/>
    <w:rsid w:val="007A3A40"/>
    <w:rsid w:val="007A3A67"/>
    <w:rsid w:val="007A3B4D"/>
    <w:rsid w:val="007A3C6D"/>
    <w:rsid w:val="007A3D0D"/>
    <w:rsid w:val="007A3DE7"/>
    <w:rsid w:val="007A432E"/>
    <w:rsid w:val="007A4403"/>
    <w:rsid w:val="007A44F4"/>
    <w:rsid w:val="007A456D"/>
    <w:rsid w:val="007A4719"/>
    <w:rsid w:val="007A479D"/>
    <w:rsid w:val="007A4A65"/>
    <w:rsid w:val="007A4A95"/>
    <w:rsid w:val="007A4BAD"/>
    <w:rsid w:val="007A4C13"/>
    <w:rsid w:val="007A4C46"/>
    <w:rsid w:val="007A4D9D"/>
    <w:rsid w:val="007A4DA7"/>
    <w:rsid w:val="007A4DDA"/>
    <w:rsid w:val="007A4DF1"/>
    <w:rsid w:val="007A50AB"/>
    <w:rsid w:val="007A51BB"/>
    <w:rsid w:val="007A5264"/>
    <w:rsid w:val="007A52E7"/>
    <w:rsid w:val="007A5317"/>
    <w:rsid w:val="007A531B"/>
    <w:rsid w:val="007A5502"/>
    <w:rsid w:val="007A5605"/>
    <w:rsid w:val="007A5615"/>
    <w:rsid w:val="007A58A2"/>
    <w:rsid w:val="007A5926"/>
    <w:rsid w:val="007A5A78"/>
    <w:rsid w:val="007A5BDC"/>
    <w:rsid w:val="007A5D0B"/>
    <w:rsid w:val="007A5FD8"/>
    <w:rsid w:val="007A602C"/>
    <w:rsid w:val="007A61E0"/>
    <w:rsid w:val="007A6248"/>
    <w:rsid w:val="007A636B"/>
    <w:rsid w:val="007A6385"/>
    <w:rsid w:val="007A63A8"/>
    <w:rsid w:val="007A63D9"/>
    <w:rsid w:val="007A666F"/>
    <w:rsid w:val="007A67BF"/>
    <w:rsid w:val="007A6878"/>
    <w:rsid w:val="007A6A47"/>
    <w:rsid w:val="007A6AE3"/>
    <w:rsid w:val="007A6B7F"/>
    <w:rsid w:val="007A6BBB"/>
    <w:rsid w:val="007A6BE3"/>
    <w:rsid w:val="007A6D05"/>
    <w:rsid w:val="007A6DAB"/>
    <w:rsid w:val="007A6DE9"/>
    <w:rsid w:val="007A6FF8"/>
    <w:rsid w:val="007A70AD"/>
    <w:rsid w:val="007A72DA"/>
    <w:rsid w:val="007A74AC"/>
    <w:rsid w:val="007A7601"/>
    <w:rsid w:val="007A789B"/>
    <w:rsid w:val="007A78BC"/>
    <w:rsid w:val="007A79E2"/>
    <w:rsid w:val="007A7BAE"/>
    <w:rsid w:val="007A7BBB"/>
    <w:rsid w:val="007A7BDA"/>
    <w:rsid w:val="007A7EAA"/>
    <w:rsid w:val="007A7FA0"/>
    <w:rsid w:val="007B02EA"/>
    <w:rsid w:val="007B0404"/>
    <w:rsid w:val="007B0513"/>
    <w:rsid w:val="007B0593"/>
    <w:rsid w:val="007B059E"/>
    <w:rsid w:val="007B0620"/>
    <w:rsid w:val="007B0689"/>
    <w:rsid w:val="007B079E"/>
    <w:rsid w:val="007B07C7"/>
    <w:rsid w:val="007B08AB"/>
    <w:rsid w:val="007B0B50"/>
    <w:rsid w:val="007B0BDA"/>
    <w:rsid w:val="007B0C7A"/>
    <w:rsid w:val="007B0D67"/>
    <w:rsid w:val="007B0D90"/>
    <w:rsid w:val="007B0DB6"/>
    <w:rsid w:val="007B0DF0"/>
    <w:rsid w:val="007B0FF7"/>
    <w:rsid w:val="007B1152"/>
    <w:rsid w:val="007B11F2"/>
    <w:rsid w:val="007B12D0"/>
    <w:rsid w:val="007B12F1"/>
    <w:rsid w:val="007B1360"/>
    <w:rsid w:val="007B1423"/>
    <w:rsid w:val="007B1424"/>
    <w:rsid w:val="007B152F"/>
    <w:rsid w:val="007B15F0"/>
    <w:rsid w:val="007B15F8"/>
    <w:rsid w:val="007B179F"/>
    <w:rsid w:val="007B1839"/>
    <w:rsid w:val="007B1881"/>
    <w:rsid w:val="007B18AA"/>
    <w:rsid w:val="007B19DE"/>
    <w:rsid w:val="007B1DC2"/>
    <w:rsid w:val="007B1DC7"/>
    <w:rsid w:val="007B1E50"/>
    <w:rsid w:val="007B1E8A"/>
    <w:rsid w:val="007B2013"/>
    <w:rsid w:val="007B2099"/>
    <w:rsid w:val="007B2147"/>
    <w:rsid w:val="007B2178"/>
    <w:rsid w:val="007B230E"/>
    <w:rsid w:val="007B235C"/>
    <w:rsid w:val="007B2400"/>
    <w:rsid w:val="007B262E"/>
    <w:rsid w:val="007B265B"/>
    <w:rsid w:val="007B2814"/>
    <w:rsid w:val="007B28E8"/>
    <w:rsid w:val="007B29EA"/>
    <w:rsid w:val="007B2ADC"/>
    <w:rsid w:val="007B2BAB"/>
    <w:rsid w:val="007B2C10"/>
    <w:rsid w:val="007B2D85"/>
    <w:rsid w:val="007B2F01"/>
    <w:rsid w:val="007B3056"/>
    <w:rsid w:val="007B3094"/>
    <w:rsid w:val="007B3206"/>
    <w:rsid w:val="007B325D"/>
    <w:rsid w:val="007B34A7"/>
    <w:rsid w:val="007B35E2"/>
    <w:rsid w:val="007B3656"/>
    <w:rsid w:val="007B3658"/>
    <w:rsid w:val="007B3733"/>
    <w:rsid w:val="007B39EA"/>
    <w:rsid w:val="007B39F3"/>
    <w:rsid w:val="007B3A86"/>
    <w:rsid w:val="007B3B4C"/>
    <w:rsid w:val="007B3D55"/>
    <w:rsid w:val="007B3E6B"/>
    <w:rsid w:val="007B403E"/>
    <w:rsid w:val="007B41A8"/>
    <w:rsid w:val="007B43C6"/>
    <w:rsid w:val="007B4502"/>
    <w:rsid w:val="007B45C5"/>
    <w:rsid w:val="007B45FF"/>
    <w:rsid w:val="007B4611"/>
    <w:rsid w:val="007B4630"/>
    <w:rsid w:val="007B4633"/>
    <w:rsid w:val="007B464F"/>
    <w:rsid w:val="007B4665"/>
    <w:rsid w:val="007B4788"/>
    <w:rsid w:val="007B47BC"/>
    <w:rsid w:val="007B485B"/>
    <w:rsid w:val="007B489D"/>
    <w:rsid w:val="007B4B8A"/>
    <w:rsid w:val="007B4BCF"/>
    <w:rsid w:val="007B4C36"/>
    <w:rsid w:val="007B4C64"/>
    <w:rsid w:val="007B4DB5"/>
    <w:rsid w:val="007B4F46"/>
    <w:rsid w:val="007B4F58"/>
    <w:rsid w:val="007B50FE"/>
    <w:rsid w:val="007B5429"/>
    <w:rsid w:val="007B5926"/>
    <w:rsid w:val="007B59B0"/>
    <w:rsid w:val="007B59B6"/>
    <w:rsid w:val="007B5A5F"/>
    <w:rsid w:val="007B5C48"/>
    <w:rsid w:val="007B5C6B"/>
    <w:rsid w:val="007B5F86"/>
    <w:rsid w:val="007B5F8E"/>
    <w:rsid w:val="007B601E"/>
    <w:rsid w:val="007B60E8"/>
    <w:rsid w:val="007B6115"/>
    <w:rsid w:val="007B6320"/>
    <w:rsid w:val="007B6414"/>
    <w:rsid w:val="007B6546"/>
    <w:rsid w:val="007B6559"/>
    <w:rsid w:val="007B6571"/>
    <w:rsid w:val="007B657D"/>
    <w:rsid w:val="007B6774"/>
    <w:rsid w:val="007B67A0"/>
    <w:rsid w:val="007B67C2"/>
    <w:rsid w:val="007B6856"/>
    <w:rsid w:val="007B6869"/>
    <w:rsid w:val="007B68E0"/>
    <w:rsid w:val="007B69E1"/>
    <w:rsid w:val="007B6AF3"/>
    <w:rsid w:val="007B6D32"/>
    <w:rsid w:val="007B6F18"/>
    <w:rsid w:val="007B7017"/>
    <w:rsid w:val="007B72EE"/>
    <w:rsid w:val="007B7458"/>
    <w:rsid w:val="007B751B"/>
    <w:rsid w:val="007B75B5"/>
    <w:rsid w:val="007B75E0"/>
    <w:rsid w:val="007B77CD"/>
    <w:rsid w:val="007B782D"/>
    <w:rsid w:val="007B798A"/>
    <w:rsid w:val="007B79D3"/>
    <w:rsid w:val="007B7A7D"/>
    <w:rsid w:val="007B7B18"/>
    <w:rsid w:val="007B7B3E"/>
    <w:rsid w:val="007B7C90"/>
    <w:rsid w:val="007B7E14"/>
    <w:rsid w:val="007B7E2A"/>
    <w:rsid w:val="007B7F1E"/>
    <w:rsid w:val="007C0435"/>
    <w:rsid w:val="007C04A6"/>
    <w:rsid w:val="007C04C1"/>
    <w:rsid w:val="007C051D"/>
    <w:rsid w:val="007C0655"/>
    <w:rsid w:val="007C0757"/>
    <w:rsid w:val="007C07C2"/>
    <w:rsid w:val="007C082E"/>
    <w:rsid w:val="007C0ECA"/>
    <w:rsid w:val="007C10C1"/>
    <w:rsid w:val="007C1168"/>
    <w:rsid w:val="007C1180"/>
    <w:rsid w:val="007C1393"/>
    <w:rsid w:val="007C14E6"/>
    <w:rsid w:val="007C1590"/>
    <w:rsid w:val="007C15BF"/>
    <w:rsid w:val="007C187B"/>
    <w:rsid w:val="007C18D6"/>
    <w:rsid w:val="007C19DF"/>
    <w:rsid w:val="007C1B66"/>
    <w:rsid w:val="007C1B7B"/>
    <w:rsid w:val="007C1D90"/>
    <w:rsid w:val="007C1E73"/>
    <w:rsid w:val="007C1F84"/>
    <w:rsid w:val="007C2105"/>
    <w:rsid w:val="007C212D"/>
    <w:rsid w:val="007C2183"/>
    <w:rsid w:val="007C218F"/>
    <w:rsid w:val="007C2264"/>
    <w:rsid w:val="007C2281"/>
    <w:rsid w:val="007C24E9"/>
    <w:rsid w:val="007C2549"/>
    <w:rsid w:val="007C265B"/>
    <w:rsid w:val="007C27B0"/>
    <w:rsid w:val="007C2B25"/>
    <w:rsid w:val="007C2BC7"/>
    <w:rsid w:val="007C2CA0"/>
    <w:rsid w:val="007C2D05"/>
    <w:rsid w:val="007C2DEB"/>
    <w:rsid w:val="007C2DF3"/>
    <w:rsid w:val="007C306C"/>
    <w:rsid w:val="007C31AA"/>
    <w:rsid w:val="007C332F"/>
    <w:rsid w:val="007C3364"/>
    <w:rsid w:val="007C33E2"/>
    <w:rsid w:val="007C3404"/>
    <w:rsid w:val="007C3420"/>
    <w:rsid w:val="007C34C5"/>
    <w:rsid w:val="007C359D"/>
    <w:rsid w:val="007C37BF"/>
    <w:rsid w:val="007C3B1C"/>
    <w:rsid w:val="007C3C0C"/>
    <w:rsid w:val="007C3C7F"/>
    <w:rsid w:val="007C3CC2"/>
    <w:rsid w:val="007C3DC3"/>
    <w:rsid w:val="007C3DF1"/>
    <w:rsid w:val="007C3F91"/>
    <w:rsid w:val="007C3FFE"/>
    <w:rsid w:val="007C40FC"/>
    <w:rsid w:val="007C4367"/>
    <w:rsid w:val="007C437E"/>
    <w:rsid w:val="007C4423"/>
    <w:rsid w:val="007C4493"/>
    <w:rsid w:val="007C44F7"/>
    <w:rsid w:val="007C45B9"/>
    <w:rsid w:val="007C47AD"/>
    <w:rsid w:val="007C4825"/>
    <w:rsid w:val="007C49BB"/>
    <w:rsid w:val="007C4A34"/>
    <w:rsid w:val="007C4ABD"/>
    <w:rsid w:val="007C4B01"/>
    <w:rsid w:val="007C4B27"/>
    <w:rsid w:val="007C4B8E"/>
    <w:rsid w:val="007C4BDC"/>
    <w:rsid w:val="007C4C64"/>
    <w:rsid w:val="007C4C72"/>
    <w:rsid w:val="007C4CC4"/>
    <w:rsid w:val="007C4EDE"/>
    <w:rsid w:val="007C5034"/>
    <w:rsid w:val="007C509A"/>
    <w:rsid w:val="007C51B9"/>
    <w:rsid w:val="007C51F4"/>
    <w:rsid w:val="007C5203"/>
    <w:rsid w:val="007C5266"/>
    <w:rsid w:val="007C52DA"/>
    <w:rsid w:val="007C532F"/>
    <w:rsid w:val="007C543B"/>
    <w:rsid w:val="007C544D"/>
    <w:rsid w:val="007C555E"/>
    <w:rsid w:val="007C5610"/>
    <w:rsid w:val="007C56AE"/>
    <w:rsid w:val="007C56E2"/>
    <w:rsid w:val="007C5794"/>
    <w:rsid w:val="007C5800"/>
    <w:rsid w:val="007C581D"/>
    <w:rsid w:val="007C5956"/>
    <w:rsid w:val="007C5A6C"/>
    <w:rsid w:val="007C5AA0"/>
    <w:rsid w:val="007C5ADB"/>
    <w:rsid w:val="007C5AFD"/>
    <w:rsid w:val="007C5B8B"/>
    <w:rsid w:val="007C5BC1"/>
    <w:rsid w:val="007C5C09"/>
    <w:rsid w:val="007C5F07"/>
    <w:rsid w:val="007C5FA8"/>
    <w:rsid w:val="007C5FE0"/>
    <w:rsid w:val="007C6161"/>
    <w:rsid w:val="007C6236"/>
    <w:rsid w:val="007C6238"/>
    <w:rsid w:val="007C625C"/>
    <w:rsid w:val="007C63B7"/>
    <w:rsid w:val="007C6513"/>
    <w:rsid w:val="007C65AF"/>
    <w:rsid w:val="007C65FF"/>
    <w:rsid w:val="007C6608"/>
    <w:rsid w:val="007C66CA"/>
    <w:rsid w:val="007C66F9"/>
    <w:rsid w:val="007C6A4B"/>
    <w:rsid w:val="007C6B86"/>
    <w:rsid w:val="007C6BAE"/>
    <w:rsid w:val="007C6BB8"/>
    <w:rsid w:val="007C6D0E"/>
    <w:rsid w:val="007C6DC0"/>
    <w:rsid w:val="007C6DE8"/>
    <w:rsid w:val="007C6E15"/>
    <w:rsid w:val="007C6F75"/>
    <w:rsid w:val="007C6F7D"/>
    <w:rsid w:val="007C7118"/>
    <w:rsid w:val="007C71D5"/>
    <w:rsid w:val="007C727D"/>
    <w:rsid w:val="007C7584"/>
    <w:rsid w:val="007C7599"/>
    <w:rsid w:val="007C7704"/>
    <w:rsid w:val="007C775E"/>
    <w:rsid w:val="007C780D"/>
    <w:rsid w:val="007C7863"/>
    <w:rsid w:val="007C7B22"/>
    <w:rsid w:val="007C7B39"/>
    <w:rsid w:val="007C7C92"/>
    <w:rsid w:val="007C7CD5"/>
    <w:rsid w:val="007C7D96"/>
    <w:rsid w:val="007C7DFA"/>
    <w:rsid w:val="007C7F67"/>
    <w:rsid w:val="007D007F"/>
    <w:rsid w:val="007D0138"/>
    <w:rsid w:val="007D01A8"/>
    <w:rsid w:val="007D02FF"/>
    <w:rsid w:val="007D0519"/>
    <w:rsid w:val="007D07C5"/>
    <w:rsid w:val="007D08B6"/>
    <w:rsid w:val="007D0B80"/>
    <w:rsid w:val="007D0D54"/>
    <w:rsid w:val="007D0DBB"/>
    <w:rsid w:val="007D0F28"/>
    <w:rsid w:val="007D0F2A"/>
    <w:rsid w:val="007D1106"/>
    <w:rsid w:val="007D1184"/>
    <w:rsid w:val="007D11F5"/>
    <w:rsid w:val="007D124D"/>
    <w:rsid w:val="007D12EA"/>
    <w:rsid w:val="007D13D4"/>
    <w:rsid w:val="007D1600"/>
    <w:rsid w:val="007D1704"/>
    <w:rsid w:val="007D1774"/>
    <w:rsid w:val="007D17EA"/>
    <w:rsid w:val="007D199C"/>
    <w:rsid w:val="007D1C48"/>
    <w:rsid w:val="007D1E45"/>
    <w:rsid w:val="007D2005"/>
    <w:rsid w:val="007D21B0"/>
    <w:rsid w:val="007D2238"/>
    <w:rsid w:val="007D224E"/>
    <w:rsid w:val="007D2277"/>
    <w:rsid w:val="007D24A1"/>
    <w:rsid w:val="007D258B"/>
    <w:rsid w:val="007D258C"/>
    <w:rsid w:val="007D25BA"/>
    <w:rsid w:val="007D2778"/>
    <w:rsid w:val="007D2839"/>
    <w:rsid w:val="007D2855"/>
    <w:rsid w:val="007D2914"/>
    <w:rsid w:val="007D297A"/>
    <w:rsid w:val="007D29DD"/>
    <w:rsid w:val="007D2ABD"/>
    <w:rsid w:val="007D2DB2"/>
    <w:rsid w:val="007D2DD8"/>
    <w:rsid w:val="007D2FA4"/>
    <w:rsid w:val="007D311C"/>
    <w:rsid w:val="007D31A0"/>
    <w:rsid w:val="007D3389"/>
    <w:rsid w:val="007D341D"/>
    <w:rsid w:val="007D3519"/>
    <w:rsid w:val="007D3653"/>
    <w:rsid w:val="007D3A78"/>
    <w:rsid w:val="007D3B6C"/>
    <w:rsid w:val="007D3B79"/>
    <w:rsid w:val="007D3DB5"/>
    <w:rsid w:val="007D3ED3"/>
    <w:rsid w:val="007D40B8"/>
    <w:rsid w:val="007D416B"/>
    <w:rsid w:val="007D41B9"/>
    <w:rsid w:val="007D4357"/>
    <w:rsid w:val="007D4369"/>
    <w:rsid w:val="007D440A"/>
    <w:rsid w:val="007D444F"/>
    <w:rsid w:val="007D457F"/>
    <w:rsid w:val="007D45B4"/>
    <w:rsid w:val="007D4688"/>
    <w:rsid w:val="007D469C"/>
    <w:rsid w:val="007D46F3"/>
    <w:rsid w:val="007D474C"/>
    <w:rsid w:val="007D47F9"/>
    <w:rsid w:val="007D4843"/>
    <w:rsid w:val="007D4886"/>
    <w:rsid w:val="007D489B"/>
    <w:rsid w:val="007D48E0"/>
    <w:rsid w:val="007D48E3"/>
    <w:rsid w:val="007D4905"/>
    <w:rsid w:val="007D4BF6"/>
    <w:rsid w:val="007D4CA1"/>
    <w:rsid w:val="007D4CBC"/>
    <w:rsid w:val="007D4E05"/>
    <w:rsid w:val="007D4EAA"/>
    <w:rsid w:val="007D50B4"/>
    <w:rsid w:val="007D53B0"/>
    <w:rsid w:val="007D54C1"/>
    <w:rsid w:val="007D54F0"/>
    <w:rsid w:val="007D54F3"/>
    <w:rsid w:val="007D55CA"/>
    <w:rsid w:val="007D58EF"/>
    <w:rsid w:val="007D5A05"/>
    <w:rsid w:val="007D5AED"/>
    <w:rsid w:val="007D5C8E"/>
    <w:rsid w:val="007D5FB3"/>
    <w:rsid w:val="007D6104"/>
    <w:rsid w:val="007D62CE"/>
    <w:rsid w:val="007D63D5"/>
    <w:rsid w:val="007D6406"/>
    <w:rsid w:val="007D65FF"/>
    <w:rsid w:val="007D6625"/>
    <w:rsid w:val="007D6637"/>
    <w:rsid w:val="007D666A"/>
    <w:rsid w:val="007D66A1"/>
    <w:rsid w:val="007D6747"/>
    <w:rsid w:val="007D6753"/>
    <w:rsid w:val="007D6A50"/>
    <w:rsid w:val="007D6B87"/>
    <w:rsid w:val="007D6E94"/>
    <w:rsid w:val="007D7242"/>
    <w:rsid w:val="007D7588"/>
    <w:rsid w:val="007D764B"/>
    <w:rsid w:val="007D7806"/>
    <w:rsid w:val="007D7895"/>
    <w:rsid w:val="007D78BB"/>
    <w:rsid w:val="007D78E8"/>
    <w:rsid w:val="007D78FD"/>
    <w:rsid w:val="007D7A44"/>
    <w:rsid w:val="007D7C95"/>
    <w:rsid w:val="007D7D81"/>
    <w:rsid w:val="007E0131"/>
    <w:rsid w:val="007E013B"/>
    <w:rsid w:val="007E026A"/>
    <w:rsid w:val="007E02BB"/>
    <w:rsid w:val="007E034A"/>
    <w:rsid w:val="007E05F7"/>
    <w:rsid w:val="007E081C"/>
    <w:rsid w:val="007E087D"/>
    <w:rsid w:val="007E09A6"/>
    <w:rsid w:val="007E0AF5"/>
    <w:rsid w:val="007E0BEE"/>
    <w:rsid w:val="007E0C99"/>
    <w:rsid w:val="007E0D7C"/>
    <w:rsid w:val="007E0DCB"/>
    <w:rsid w:val="007E0E3A"/>
    <w:rsid w:val="007E0F0A"/>
    <w:rsid w:val="007E0FCB"/>
    <w:rsid w:val="007E103D"/>
    <w:rsid w:val="007E11B5"/>
    <w:rsid w:val="007E1277"/>
    <w:rsid w:val="007E12FA"/>
    <w:rsid w:val="007E13CE"/>
    <w:rsid w:val="007E13FC"/>
    <w:rsid w:val="007E1462"/>
    <w:rsid w:val="007E1539"/>
    <w:rsid w:val="007E16EB"/>
    <w:rsid w:val="007E176C"/>
    <w:rsid w:val="007E17BB"/>
    <w:rsid w:val="007E1A72"/>
    <w:rsid w:val="007E1B03"/>
    <w:rsid w:val="007E1BAB"/>
    <w:rsid w:val="007E1C20"/>
    <w:rsid w:val="007E1CE6"/>
    <w:rsid w:val="007E1D26"/>
    <w:rsid w:val="007E1D86"/>
    <w:rsid w:val="007E1D89"/>
    <w:rsid w:val="007E1E3A"/>
    <w:rsid w:val="007E1E48"/>
    <w:rsid w:val="007E1F9F"/>
    <w:rsid w:val="007E222C"/>
    <w:rsid w:val="007E25DD"/>
    <w:rsid w:val="007E28E1"/>
    <w:rsid w:val="007E290A"/>
    <w:rsid w:val="007E29B6"/>
    <w:rsid w:val="007E29C0"/>
    <w:rsid w:val="007E29C2"/>
    <w:rsid w:val="007E2A19"/>
    <w:rsid w:val="007E2A93"/>
    <w:rsid w:val="007E2C14"/>
    <w:rsid w:val="007E2E66"/>
    <w:rsid w:val="007E2F61"/>
    <w:rsid w:val="007E2FDF"/>
    <w:rsid w:val="007E3019"/>
    <w:rsid w:val="007E3517"/>
    <w:rsid w:val="007E3527"/>
    <w:rsid w:val="007E3584"/>
    <w:rsid w:val="007E35D2"/>
    <w:rsid w:val="007E36CA"/>
    <w:rsid w:val="007E3796"/>
    <w:rsid w:val="007E37D0"/>
    <w:rsid w:val="007E38FF"/>
    <w:rsid w:val="007E399E"/>
    <w:rsid w:val="007E3D96"/>
    <w:rsid w:val="007E3DAE"/>
    <w:rsid w:val="007E3EF5"/>
    <w:rsid w:val="007E3FA8"/>
    <w:rsid w:val="007E40A1"/>
    <w:rsid w:val="007E4114"/>
    <w:rsid w:val="007E4207"/>
    <w:rsid w:val="007E43D4"/>
    <w:rsid w:val="007E4478"/>
    <w:rsid w:val="007E4697"/>
    <w:rsid w:val="007E4730"/>
    <w:rsid w:val="007E49A2"/>
    <w:rsid w:val="007E4BA6"/>
    <w:rsid w:val="007E4C94"/>
    <w:rsid w:val="007E4D78"/>
    <w:rsid w:val="007E4F0B"/>
    <w:rsid w:val="007E510D"/>
    <w:rsid w:val="007E53C6"/>
    <w:rsid w:val="007E54E9"/>
    <w:rsid w:val="007E57FD"/>
    <w:rsid w:val="007E584D"/>
    <w:rsid w:val="007E58BE"/>
    <w:rsid w:val="007E5942"/>
    <w:rsid w:val="007E5A3D"/>
    <w:rsid w:val="007E5B0E"/>
    <w:rsid w:val="007E5B60"/>
    <w:rsid w:val="007E5C35"/>
    <w:rsid w:val="007E5D49"/>
    <w:rsid w:val="007E5D74"/>
    <w:rsid w:val="007E5DA5"/>
    <w:rsid w:val="007E5E25"/>
    <w:rsid w:val="007E5F4F"/>
    <w:rsid w:val="007E6144"/>
    <w:rsid w:val="007E6222"/>
    <w:rsid w:val="007E6227"/>
    <w:rsid w:val="007E650D"/>
    <w:rsid w:val="007E65BA"/>
    <w:rsid w:val="007E67C3"/>
    <w:rsid w:val="007E6A0C"/>
    <w:rsid w:val="007E6AA0"/>
    <w:rsid w:val="007E6AF3"/>
    <w:rsid w:val="007E6D2A"/>
    <w:rsid w:val="007E6D53"/>
    <w:rsid w:val="007E6E6A"/>
    <w:rsid w:val="007E713B"/>
    <w:rsid w:val="007E71F7"/>
    <w:rsid w:val="007E72A1"/>
    <w:rsid w:val="007E75BA"/>
    <w:rsid w:val="007E7650"/>
    <w:rsid w:val="007E7763"/>
    <w:rsid w:val="007E78E7"/>
    <w:rsid w:val="007E7986"/>
    <w:rsid w:val="007E7B12"/>
    <w:rsid w:val="007E7C4D"/>
    <w:rsid w:val="007E7C96"/>
    <w:rsid w:val="007E7D59"/>
    <w:rsid w:val="007E7DDB"/>
    <w:rsid w:val="007E7E39"/>
    <w:rsid w:val="007E7FFC"/>
    <w:rsid w:val="007F01C4"/>
    <w:rsid w:val="007F03B4"/>
    <w:rsid w:val="007F042F"/>
    <w:rsid w:val="007F0549"/>
    <w:rsid w:val="007F069B"/>
    <w:rsid w:val="007F0873"/>
    <w:rsid w:val="007F0949"/>
    <w:rsid w:val="007F0A33"/>
    <w:rsid w:val="007F0D01"/>
    <w:rsid w:val="007F0DE4"/>
    <w:rsid w:val="007F0DEA"/>
    <w:rsid w:val="007F0FCF"/>
    <w:rsid w:val="007F0FDE"/>
    <w:rsid w:val="007F11B9"/>
    <w:rsid w:val="007F12E9"/>
    <w:rsid w:val="007F1360"/>
    <w:rsid w:val="007F142E"/>
    <w:rsid w:val="007F1624"/>
    <w:rsid w:val="007F1755"/>
    <w:rsid w:val="007F1819"/>
    <w:rsid w:val="007F190D"/>
    <w:rsid w:val="007F1A15"/>
    <w:rsid w:val="007F1B2A"/>
    <w:rsid w:val="007F1B72"/>
    <w:rsid w:val="007F1C8A"/>
    <w:rsid w:val="007F1CD9"/>
    <w:rsid w:val="007F1DB6"/>
    <w:rsid w:val="007F1E21"/>
    <w:rsid w:val="007F1E97"/>
    <w:rsid w:val="007F1EE3"/>
    <w:rsid w:val="007F1F86"/>
    <w:rsid w:val="007F20A2"/>
    <w:rsid w:val="007F21B9"/>
    <w:rsid w:val="007F2487"/>
    <w:rsid w:val="007F251C"/>
    <w:rsid w:val="007F270F"/>
    <w:rsid w:val="007F2757"/>
    <w:rsid w:val="007F2827"/>
    <w:rsid w:val="007F2885"/>
    <w:rsid w:val="007F29C0"/>
    <w:rsid w:val="007F2E8E"/>
    <w:rsid w:val="007F3198"/>
    <w:rsid w:val="007F327E"/>
    <w:rsid w:val="007F3282"/>
    <w:rsid w:val="007F337E"/>
    <w:rsid w:val="007F33FE"/>
    <w:rsid w:val="007F34B7"/>
    <w:rsid w:val="007F35B7"/>
    <w:rsid w:val="007F35F6"/>
    <w:rsid w:val="007F36D0"/>
    <w:rsid w:val="007F38D2"/>
    <w:rsid w:val="007F3BB4"/>
    <w:rsid w:val="007F3C35"/>
    <w:rsid w:val="007F3DB8"/>
    <w:rsid w:val="007F3DEE"/>
    <w:rsid w:val="007F3FE0"/>
    <w:rsid w:val="007F40D4"/>
    <w:rsid w:val="007F426F"/>
    <w:rsid w:val="007F4477"/>
    <w:rsid w:val="007F4594"/>
    <w:rsid w:val="007F473E"/>
    <w:rsid w:val="007F4826"/>
    <w:rsid w:val="007F4854"/>
    <w:rsid w:val="007F4993"/>
    <w:rsid w:val="007F49B0"/>
    <w:rsid w:val="007F4A2E"/>
    <w:rsid w:val="007F4B71"/>
    <w:rsid w:val="007F4CAC"/>
    <w:rsid w:val="007F4D95"/>
    <w:rsid w:val="007F4EB3"/>
    <w:rsid w:val="007F4ED2"/>
    <w:rsid w:val="007F5241"/>
    <w:rsid w:val="007F52F7"/>
    <w:rsid w:val="007F556E"/>
    <w:rsid w:val="007F55DC"/>
    <w:rsid w:val="007F58DB"/>
    <w:rsid w:val="007F597B"/>
    <w:rsid w:val="007F59C0"/>
    <w:rsid w:val="007F5A05"/>
    <w:rsid w:val="007F5A43"/>
    <w:rsid w:val="007F5A5F"/>
    <w:rsid w:val="007F5C82"/>
    <w:rsid w:val="007F5D7F"/>
    <w:rsid w:val="007F5E26"/>
    <w:rsid w:val="007F5E65"/>
    <w:rsid w:val="007F5E70"/>
    <w:rsid w:val="007F5F4F"/>
    <w:rsid w:val="007F5F98"/>
    <w:rsid w:val="007F5FC4"/>
    <w:rsid w:val="007F5FD2"/>
    <w:rsid w:val="007F600C"/>
    <w:rsid w:val="007F6072"/>
    <w:rsid w:val="007F6156"/>
    <w:rsid w:val="007F61E3"/>
    <w:rsid w:val="007F6392"/>
    <w:rsid w:val="007F67BC"/>
    <w:rsid w:val="007F67FF"/>
    <w:rsid w:val="007F6A0D"/>
    <w:rsid w:val="007F6AD8"/>
    <w:rsid w:val="007F6C2D"/>
    <w:rsid w:val="007F6C9A"/>
    <w:rsid w:val="007F6CFD"/>
    <w:rsid w:val="007F6DD2"/>
    <w:rsid w:val="007F6FE6"/>
    <w:rsid w:val="007F709B"/>
    <w:rsid w:val="007F711E"/>
    <w:rsid w:val="007F75CF"/>
    <w:rsid w:val="007F7748"/>
    <w:rsid w:val="007F774A"/>
    <w:rsid w:val="007F7790"/>
    <w:rsid w:val="007F783F"/>
    <w:rsid w:val="007F78D3"/>
    <w:rsid w:val="007F7992"/>
    <w:rsid w:val="007F7B8F"/>
    <w:rsid w:val="007F7BDA"/>
    <w:rsid w:val="007F7DF7"/>
    <w:rsid w:val="007F7E67"/>
    <w:rsid w:val="007F7EF0"/>
    <w:rsid w:val="007F7F32"/>
    <w:rsid w:val="00800066"/>
    <w:rsid w:val="008001CA"/>
    <w:rsid w:val="0080043A"/>
    <w:rsid w:val="008005C7"/>
    <w:rsid w:val="008005FC"/>
    <w:rsid w:val="008007D4"/>
    <w:rsid w:val="008008C3"/>
    <w:rsid w:val="00800990"/>
    <w:rsid w:val="00800D4B"/>
    <w:rsid w:val="00800DDD"/>
    <w:rsid w:val="00800EF8"/>
    <w:rsid w:val="00800FC9"/>
    <w:rsid w:val="00801032"/>
    <w:rsid w:val="00801104"/>
    <w:rsid w:val="008012E7"/>
    <w:rsid w:val="0080137A"/>
    <w:rsid w:val="00801433"/>
    <w:rsid w:val="008015B0"/>
    <w:rsid w:val="00801779"/>
    <w:rsid w:val="008019B2"/>
    <w:rsid w:val="008019BB"/>
    <w:rsid w:val="008019F9"/>
    <w:rsid w:val="00801A39"/>
    <w:rsid w:val="00801A98"/>
    <w:rsid w:val="00801C81"/>
    <w:rsid w:val="00801CE7"/>
    <w:rsid w:val="00801D49"/>
    <w:rsid w:val="00801F6A"/>
    <w:rsid w:val="00801F92"/>
    <w:rsid w:val="00801FD8"/>
    <w:rsid w:val="0080201D"/>
    <w:rsid w:val="0080210D"/>
    <w:rsid w:val="008022F1"/>
    <w:rsid w:val="0080231D"/>
    <w:rsid w:val="0080233E"/>
    <w:rsid w:val="0080234B"/>
    <w:rsid w:val="008023C7"/>
    <w:rsid w:val="008024A3"/>
    <w:rsid w:val="00802571"/>
    <w:rsid w:val="008026DA"/>
    <w:rsid w:val="00802702"/>
    <w:rsid w:val="00802C73"/>
    <w:rsid w:val="00802FE2"/>
    <w:rsid w:val="00803160"/>
    <w:rsid w:val="00803342"/>
    <w:rsid w:val="00803869"/>
    <w:rsid w:val="008038A7"/>
    <w:rsid w:val="00803971"/>
    <w:rsid w:val="00803A26"/>
    <w:rsid w:val="00803B20"/>
    <w:rsid w:val="00803D4E"/>
    <w:rsid w:val="00803E7C"/>
    <w:rsid w:val="00803F23"/>
    <w:rsid w:val="00803F6F"/>
    <w:rsid w:val="00803F7E"/>
    <w:rsid w:val="008040D8"/>
    <w:rsid w:val="0080413C"/>
    <w:rsid w:val="00804366"/>
    <w:rsid w:val="0080443A"/>
    <w:rsid w:val="008044EC"/>
    <w:rsid w:val="0080461D"/>
    <w:rsid w:val="00804632"/>
    <w:rsid w:val="008046AF"/>
    <w:rsid w:val="00804775"/>
    <w:rsid w:val="008047FA"/>
    <w:rsid w:val="00804897"/>
    <w:rsid w:val="00804991"/>
    <w:rsid w:val="008049AB"/>
    <w:rsid w:val="00804A24"/>
    <w:rsid w:val="00804B77"/>
    <w:rsid w:val="00804C7C"/>
    <w:rsid w:val="00804ECC"/>
    <w:rsid w:val="00804F55"/>
    <w:rsid w:val="008050C3"/>
    <w:rsid w:val="0080520A"/>
    <w:rsid w:val="008052B4"/>
    <w:rsid w:val="008054FF"/>
    <w:rsid w:val="00805610"/>
    <w:rsid w:val="00805668"/>
    <w:rsid w:val="008056BA"/>
    <w:rsid w:val="00805B3A"/>
    <w:rsid w:val="00805BE1"/>
    <w:rsid w:val="00805BF6"/>
    <w:rsid w:val="00805C22"/>
    <w:rsid w:val="00805C87"/>
    <w:rsid w:val="00805CBA"/>
    <w:rsid w:val="00805CF5"/>
    <w:rsid w:val="00805E5C"/>
    <w:rsid w:val="00805ED3"/>
    <w:rsid w:val="008060CA"/>
    <w:rsid w:val="00806151"/>
    <w:rsid w:val="00806218"/>
    <w:rsid w:val="00806315"/>
    <w:rsid w:val="00806321"/>
    <w:rsid w:val="00806616"/>
    <w:rsid w:val="008066A4"/>
    <w:rsid w:val="008067B7"/>
    <w:rsid w:val="0080688B"/>
    <w:rsid w:val="00806B09"/>
    <w:rsid w:val="00806B18"/>
    <w:rsid w:val="00806F3E"/>
    <w:rsid w:val="00806F4A"/>
    <w:rsid w:val="00806FB6"/>
    <w:rsid w:val="0080726B"/>
    <w:rsid w:val="008074F8"/>
    <w:rsid w:val="00807562"/>
    <w:rsid w:val="008075FD"/>
    <w:rsid w:val="0080770A"/>
    <w:rsid w:val="00807C23"/>
    <w:rsid w:val="00807CD7"/>
    <w:rsid w:val="00807ECF"/>
    <w:rsid w:val="00807FAC"/>
    <w:rsid w:val="0081028F"/>
    <w:rsid w:val="008104C8"/>
    <w:rsid w:val="008104F0"/>
    <w:rsid w:val="00810865"/>
    <w:rsid w:val="00810944"/>
    <w:rsid w:val="008109B5"/>
    <w:rsid w:val="008109EF"/>
    <w:rsid w:val="00810A8D"/>
    <w:rsid w:val="00810B82"/>
    <w:rsid w:val="00810BB1"/>
    <w:rsid w:val="00810D77"/>
    <w:rsid w:val="00810DD9"/>
    <w:rsid w:val="00811084"/>
    <w:rsid w:val="008110AC"/>
    <w:rsid w:val="00811360"/>
    <w:rsid w:val="008113E5"/>
    <w:rsid w:val="008113E9"/>
    <w:rsid w:val="008114AF"/>
    <w:rsid w:val="00811513"/>
    <w:rsid w:val="0081159B"/>
    <w:rsid w:val="008115F7"/>
    <w:rsid w:val="00811807"/>
    <w:rsid w:val="008119F8"/>
    <w:rsid w:val="00811BEE"/>
    <w:rsid w:val="00811C04"/>
    <w:rsid w:val="00811CA8"/>
    <w:rsid w:val="00811E9B"/>
    <w:rsid w:val="00811F54"/>
    <w:rsid w:val="008120FB"/>
    <w:rsid w:val="0081231F"/>
    <w:rsid w:val="0081248D"/>
    <w:rsid w:val="008124B2"/>
    <w:rsid w:val="008124BB"/>
    <w:rsid w:val="00812779"/>
    <w:rsid w:val="00812856"/>
    <w:rsid w:val="008128D9"/>
    <w:rsid w:val="00812903"/>
    <w:rsid w:val="00812A89"/>
    <w:rsid w:val="00812B01"/>
    <w:rsid w:val="00812CB6"/>
    <w:rsid w:val="00812D2B"/>
    <w:rsid w:val="00812FAB"/>
    <w:rsid w:val="00812FFF"/>
    <w:rsid w:val="00813062"/>
    <w:rsid w:val="00813071"/>
    <w:rsid w:val="008130F1"/>
    <w:rsid w:val="00813396"/>
    <w:rsid w:val="0081354D"/>
    <w:rsid w:val="00813626"/>
    <w:rsid w:val="008137CD"/>
    <w:rsid w:val="00813802"/>
    <w:rsid w:val="0081395B"/>
    <w:rsid w:val="00813A45"/>
    <w:rsid w:val="00813A65"/>
    <w:rsid w:val="00813B10"/>
    <w:rsid w:val="00813C3E"/>
    <w:rsid w:val="00813CC1"/>
    <w:rsid w:val="00813DB0"/>
    <w:rsid w:val="00813DCC"/>
    <w:rsid w:val="00813E02"/>
    <w:rsid w:val="00813FC1"/>
    <w:rsid w:val="00813FCE"/>
    <w:rsid w:val="0081401E"/>
    <w:rsid w:val="00814065"/>
    <w:rsid w:val="008141BA"/>
    <w:rsid w:val="00814336"/>
    <w:rsid w:val="00814378"/>
    <w:rsid w:val="00814393"/>
    <w:rsid w:val="008146C7"/>
    <w:rsid w:val="008148C8"/>
    <w:rsid w:val="00814965"/>
    <w:rsid w:val="00814A0D"/>
    <w:rsid w:val="00814ADE"/>
    <w:rsid w:val="00814C21"/>
    <w:rsid w:val="00814E33"/>
    <w:rsid w:val="00814E44"/>
    <w:rsid w:val="00814EB1"/>
    <w:rsid w:val="00814FF9"/>
    <w:rsid w:val="0081513C"/>
    <w:rsid w:val="00815158"/>
    <w:rsid w:val="00815270"/>
    <w:rsid w:val="0081530D"/>
    <w:rsid w:val="00815413"/>
    <w:rsid w:val="0081541C"/>
    <w:rsid w:val="0081555F"/>
    <w:rsid w:val="00815568"/>
    <w:rsid w:val="00815570"/>
    <w:rsid w:val="00815585"/>
    <w:rsid w:val="00815663"/>
    <w:rsid w:val="00815771"/>
    <w:rsid w:val="00815843"/>
    <w:rsid w:val="00815858"/>
    <w:rsid w:val="008159EC"/>
    <w:rsid w:val="00815AEF"/>
    <w:rsid w:val="00815B93"/>
    <w:rsid w:val="00815F17"/>
    <w:rsid w:val="00816064"/>
    <w:rsid w:val="00816107"/>
    <w:rsid w:val="0081616A"/>
    <w:rsid w:val="00816206"/>
    <w:rsid w:val="00816553"/>
    <w:rsid w:val="0081666E"/>
    <w:rsid w:val="00816810"/>
    <w:rsid w:val="00816B12"/>
    <w:rsid w:val="00816B9B"/>
    <w:rsid w:val="00816EA2"/>
    <w:rsid w:val="00816F08"/>
    <w:rsid w:val="00817043"/>
    <w:rsid w:val="008170C2"/>
    <w:rsid w:val="00817220"/>
    <w:rsid w:val="008172BE"/>
    <w:rsid w:val="008172C7"/>
    <w:rsid w:val="00817308"/>
    <w:rsid w:val="0081734F"/>
    <w:rsid w:val="00817397"/>
    <w:rsid w:val="0081745E"/>
    <w:rsid w:val="00817581"/>
    <w:rsid w:val="008175E7"/>
    <w:rsid w:val="0081761B"/>
    <w:rsid w:val="00817710"/>
    <w:rsid w:val="0081794E"/>
    <w:rsid w:val="00817AD0"/>
    <w:rsid w:val="00817AEB"/>
    <w:rsid w:val="00817B4A"/>
    <w:rsid w:val="00817BC6"/>
    <w:rsid w:val="00817BE9"/>
    <w:rsid w:val="00817CA7"/>
    <w:rsid w:val="00817F28"/>
    <w:rsid w:val="00817FD7"/>
    <w:rsid w:val="00820048"/>
    <w:rsid w:val="008200BA"/>
    <w:rsid w:val="008200E4"/>
    <w:rsid w:val="008200F6"/>
    <w:rsid w:val="00820136"/>
    <w:rsid w:val="00820195"/>
    <w:rsid w:val="008201CA"/>
    <w:rsid w:val="00820300"/>
    <w:rsid w:val="00820331"/>
    <w:rsid w:val="00820423"/>
    <w:rsid w:val="00820454"/>
    <w:rsid w:val="008204AD"/>
    <w:rsid w:val="008204C7"/>
    <w:rsid w:val="0082067C"/>
    <w:rsid w:val="008206FC"/>
    <w:rsid w:val="00820722"/>
    <w:rsid w:val="00820C02"/>
    <w:rsid w:val="00820D0A"/>
    <w:rsid w:val="00820D5A"/>
    <w:rsid w:val="00820E0F"/>
    <w:rsid w:val="00820E16"/>
    <w:rsid w:val="00820F26"/>
    <w:rsid w:val="00820FB9"/>
    <w:rsid w:val="0082126F"/>
    <w:rsid w:val="00821454"/>
    <w:rsid w:val="00821557"/>
    <w:rsid w:val="008215C2"/>
    <w:rsid w:val="00821602"/>
    <w:rsid w:val="00821683"/>
    <w:rsid w:val="008217E2"/>
    <w:rsid w:val="0082184B"/>
    <w:rsid w:val="00821894"/>
    <w:rsid w:val="008218F0"/>
    <w:rsid w:val="00821AF6"/>
    <w:rsid w:val="00821B15"/>
    <w:rsid w:val="00821CA3"/>
    <w:rsid w:val="00821D6A"/>
    <w:rsid w:val="00821DB6"/>
    <w:rsid w:val="00821DEF"/>
    <w:rsid w:val="00821FD5"/>
    <w:rsid w:val="00822057"/>
    <w:rsid w:val="0082207F"/>
    <w:rsid w:val="008220F2"/>
    <w:rsid w:val="008221D1"/>
    <w:rsid w:val="008222C2"/>
    <w:rsid w:val="00822493"/>
    <w:rsid w:val="00822533"/>
    <w:rsid w:val="008225C4"/>
    <w:rsid w:val="008226C5"/>
    <w:rsid w:val="00822720"/>
    <w:rsid w:val="0082277E"/>
    <w:rsid w:val="00822858"/>
    <w:rsid w:val="00822BC4"/>
    <w:rsid w:val="00822EE8"/>
    <w:rsid w:val="00823002"/>
    <w:rsid w:val="0082302D"/>
    <w:rsid w:val="00823410"/>
    <w:rsid w:val="00823489"/>
    <w:rsid w:val="00823496"/>
    <w:rsid w:val="0082350D"/>
    <w:rsid w:val="0082355A"/>
    <w:rsid w:val="00823664"/>
    <w:rsid w:val="008237FE"/>
    <w:rsid w:val="00823940"/>
    <w:rsid w:val="00823C2D"/>
    <w:rsid w:val="00823DCC"/>
    <w:rsid w:val="00823DF7"/>
    <w:rsid w:val="00823E8C"/>
    <w:rsid w:val="00823F3F"/>
    <w:rsid w:val="00823FAA"/>
    <w:rsid w:val="00824017"/>
    <w:rsid w:val="00824092"/>
    <w:rsid w:val="008240A5"/>
    <w:rsid w:val="008241D8"/>
    <w:rsid w:val="00824202"/>
    <w:rsid w:val="0082428B"/>
    <w:rsid w:val="008242B7"/>
    <w:rsid w:val="008242E4"/>
    <w:rsid w:val="008243B7"/>
    <w:rsid w:val="008243E4"/>
    <w:rsid w:val="00824672"/>
    <w:rsid w:val="0082472C"/>
    <w:rsid w:val="00824778"/>
    <w:rsid w:val="00824A62"/>
    <w:rsid w:val="00824AD9"/>
    <w:rsid w:val="00824D8D"/>
    <w:rsid w:val="00824DCB"/>
    <w:rsid w:val="00824E1B"/>
    <w:rsid w:val="008250E0"/>
    <w:rsid w:val="0082512D"/>
    <w:rsid w:val="008252E1"/>
    <w:rsid w:val="00825438"/>
    <w:rsid w:val="008254A9"/>
    <w:rsid w:val="0082558A"/>
    <w:rsid w:val="008255CA"/>
    <w:rsid w:val="00825641"/>
    <w:rsid w:val="0082566B"/>
    <w:rsid w:val="0082569C"/>
    <w:rsid w:val="00825933"/>
    <w:rsid w:val="00825A8B"/>
    <w:rsid w:val="00825AEF"/>
    <w:rsid w:val="00825F74"/>
    <w:rsid w:val="0082616A"/>
    <w:rsid w:val="0082619C"/>
    <w:rsid w:val="008262B6"/>
    <w:rsid w:val="0082659B"/>
    <w:rsid w:val="008265C7"/>
    <w:rsid w:val="00826792"/>
    <w:rsid w:val="008267B9"/>
    <w:rsid w:val="008267CE"/>
    <w:rsid w:val="008269B4"/>
    <w:rsid w:val="008269CC"/>
    <w:rsid w:val="008269FE"/>
    <w:rsid w:val="00826A67"/>
    <w:rsid w:val="00826ACA"/>
    <w:rsid w:val="00826B56"/>
    <w:rsid w:val="00826D5D"/>
    <w:rsid w:val="00826E0B"/>
    <w:rsid w:val="00826E5B"/>
    <w:rsid w:val="00826F13"/>
    <w:rsid w:val="00827090"/>
    <w:rsid w:val="0082719B"/>
    <w:rsid w:val="00827397"/>
    <w:rsid w:val="00827434"/>
    <w:rsid w:val="00827678"/>
    <w:rsid w:val="008276EA"/>
    <w:rsid w:val="00827756"/>
    <w:rsid w:val="0082782E"/>
    <w:rsid w:val="00827882"/>
    <w:rsid w:val="00827B57"/>
    <w:rsid w:val="00827B89"/>
    <w:rsid w:val="00827C6A"/>
    <w:rsid w:val="00827CB9"/>
    <w:rsid w:val="00827DB4"/>
    <w:rsid w:val="00827EEF"/>
    <w:rsid w:val="00827F27"/>
    <w:rsid w:val="008301BB"/>
    <w:rsid w:val="00830210"/>
    <w:rsid w:val="0083022E"/>
    <w:rsid w:val="008304A8"/>
    <w:rsid w:val="00830512"/>
    <w:rsid w:val="00830527"/>
    <w:rsid w:val="00830536"/>
    <w:rsid w:val="00830559"/>
    <w:rsid w:val="00830A32"/>
    <w:rsid w:val="00830A76"/>
    <w:rsid w:val="00830AEA"/>
    <w:rsid w:val="00830C1D"/>
    <w:rsid w:val="00830C24"/>
    <w:rsid w:val="00830CA8"/>
    <w:rsid w:val="00830D25"/>
    <w:rsid w:val="00830FBD"/>
    <w:rsid w:val="00830FE0"/>
    <w:rsid w:val="00831059"/>
    <w:rsid w:val="00831095"/>
    <w:rsid w:val="0083147E"/>
    <w:rsid w:val="00831589"/>
    <w:rsid w:val="008315E0"/>
    <w:rsid w:val="008315F7"/>
    <w:rsid w:val="00831780"/>
    <w:rsid w:val="008317B2"/>
    <w:rsid w:val="008317F8"/>
    <w:rsid w:val="00831855"/>
    <w:rsid w:val="00831A0B"/>
    <w:rsid w:val="00831B4A"/>
    <w:rsid w:val="00831E8D"/>
    <w:rsid w:val="008321CB"/>
    <w:rsid w:val="00832231"/>
    <w:rsid w:val="008323DE"/>
    <w:rsid w:val="0083244A"/>
    <w:rsid w:val="00832492"/>
    <w:rsid w:val="0083250B"/>
    <w:rsid w:val="00832561"/>
    <w:rsid w:val="008327AA"/>
    <w:rsid w:val="008328D5"/>
    <w:rsid w:val="00832A7C"/>
    <w:rsid w:val="00832AD9"/>
    <w:rsid w:val="00832BE1"/>
    <w:rsid w:val="00832C90"/>
    <w:rsid w:val="00832CDC"/>
    <w:rsid w:val="00832ED4"/>
    <w:rsid w:val="00832F6B"/>
    <w:rsid w:val="00833089"/>
    <w:rsid w:val="008333C3"/>
    <w:rsid w:val="008333DF"/>
    <w:rsid w:val="00833533"/>
    <w:rsid w:val="008335E3"/>
    <w:rsid w:val="0083375A"/>
    <w:rsid w:val="0083375B"/>
    <w:rsid w:val="00833A2E"/>
    <w:rsid w:val="00833AF2"/>
    <w:rsid w:val="00833B9C"/>
    <w:rsid w:val="00833C8A"/>
    <w:rsid w:val="00833D63"/>
    <w:rsid w:val="00833F46"/>
    <w:rsid w:val="00833F75"/>
    <w:rsid w:val="00834338"/>
    <w:rsid w:val="00834594"/>
    <w:rsid w:val="008347F4"/>
    <w:rsid w:val="00834964"/>
    <w:rsid w:val="00834ACB"/>
    <w:rsid w:val="00834B25"/>
    <w:rsid w:val="00834C7E"/>
    <w:rsid w:val="00834D7F"/>
    <w:rsid w:val="00834E36"/>
    <w:rsid w:val="00834E86"/>
    <w:rsid w:val="00834E9D"/>
    <w:rsid w:val="00834FA2"/>
    <w:rsid w:val="00834FB7"/>
    <w:rsid w:val="008350F1"/>
    <w:rsid w:val="0083515E"/>
    <w:rsid w:val="00835160"/>
    <w:rsid w:val="008352D8"/>
    <w:rsid w:val="00835328"/>
    <w:rsid w:val="00835391"/>
    <w:rsid w:val="008353BC"/>
    <w:rsid w:val="008353DB"/>
    <w:rsid w:val="00835465"/>
    <w:rsid w:val="008354C7"/>
    <w:rsid w:val="0083556A"/>
    <w:rsid w:val="0083556D"/>
    <w:rsid w:val="008356C7"/>
    <w:rsid w:val="00835ADB"/>
    <w:rsid w:val="00835C29"/>
    <w:rsid w:val="00835CDF"/>
    <w:rsid w:val="00835DA7"/>
    <w:rsid w:val="00835FDC"/>
    <w:rsid w:val="008360B6"/>
    <w:rsid w:val="0083610D"/>
    <w:rsid w:val="00836471"/>
    <w:rsid w:val="0083672B"/>
    <w:rsid w:val="00836764"/>
    <w:rsid w:val="00836783"/>
    <w:rsid w:val="0083684E"/>
    <w:rsid w:val="0083685C"/>
    <w:rsid w:val="008369D1"/>
    <w:rsid w:val="00836A11"/>
    <w:rsid w:val="00836BF9"/>
    <w:rsid w:val="00836C07"/>
    <w:rsid w:val="00836C39"/>
    <w:rsid w:val="00836D88"/>
    <w:rsid w:val="00836E9B"/>
    <w:rsid w:val="00836EB2"/>
    <w:rsid w:val="00836F48"/>
    <w:rsid w:val="00836F73"/>
    <w:rsid w:val="00836FBA"/>
    <w:rsid w:val="00836FCE"/>
    <w:rsid w:val="008370A7"/>
    <w:rsid w:val="008376CD"/>
    <w:rsid w:val="0083770C"/>
    <w:rsid w:val="00837728"/>
    <w:rsid w:val="00837768"/>
    <w:rsid w:val="00837778"/>
    <w:rsid w:val="008379D8"/>
    <w:rsid w:val="00837AEB"/>
    <w:rsid w:val="00837EB6"/>
    <w:rsid w:val="00837ED4"/>
    <w:rsid w:val="00837EEB"/>
    <w:rsid w:val="008401C6"/>
    <w:rsid w:val="0084031E"/>
    <w:rsid w:val="00840408"/>
    <w:rsid w:val="0084076F"/>
    <w:rsid w:val="00840783"/>
    <w:rsid w:val="0084079B"/>
    <w:rsid w:val="00840841"/>
    <w:rsid w:val="00840AC8"/>
    <w:rsid w:val="00840BD4"/>
    <w:rsid w:val="00840C65"/>
    <w:rsid w:val="00840D3E"/>
    <w:rsid w:val="00840E78"/>
    <w:rsid w:val="00840EE5"/>
    <w:rsid w:val="00840FFB"/>
    <w:rsid w:val="00841031"/>
    <w:rsid w:val="00841190"/>
    <w:rsid w:val="008411F9"/>
    <w:rsid w:val="00841390"/>
    <w:rsid w:val="0084139B"/>
    <w:rsid w:val="008413FC"/>
    <w:rsid w:val="0084143E"/>
    <w:rsid w:val="0084150D"/>
    <w:rsid w:val="008415A7"/>
    <w:rsid w:val="008416F7"/>
    <w:rsid w:val="0084183D"/>
    <w:rsid w:val="0084194E"/>
    <w:rsid w:val="00841A5C"/>
    <w:rsid w:val="00841A7A"/>
    <w:rsid w:val="00841A9C"/>
    <w:rsid w:val="00841C80"/>
    <w:rsid w:val="00841E53"/>
    <w:rsid w:val="0084200C"/>
    <w:rsid w:val="0084213D"/>
    <w:rsid w:val="0084245A"/>
    <w:rsid w:val="00842967"/>
    <w:rsid w:val="00842B1B"/>
    <w:rsid w:val="00842C38"/>
    <w:rsid w:val="00842D4A"/>
    <w:rsid w:val="00842DE5"/>
    <w:rsid w:val="00842DED"/>
    <w:rsid w:val="00842EBD"/>
    <w:rsid w:val="008430CE"/>
    <w:rsid w:val="00843139"/>
    <w:rsid w:val="00843150"/>
    <w:rsid w:val="0084374D"/>
    <w:rsid w:val="00843774"/>
    <w:rsid w:val="00843862"/>
    <w:rsid w:val="00843948"/>
    <w:rsid w:val="00843C4A"/>
    <w:rsid w:val="00843F40"/>
    <w:rsid w:val="00843F47"/>
    <w:rsid w:val="00844062"/>
    <w:rsid w:val="008441F5"/>
    <w:rsid w:val="00844214"/>
    <w:rsid w:val="008442C4"/>
    <w:rsid w:val="008442D9"/>
    <w:rsid w:val="0084433D"/>
    <w:rsid w:val="00844386"/>
    <w:rsid w:val="00844521"/>
    <w:rsid w:val="0084488B"/>
    <w:rsid w:val="0084496A"/>
    <w:rsid w:val="00844A20"/>
    <w:rsid w:val="00844A5E"/>
    <w:rsid w:val="00844BCA"/>
    <w:rsid w:val="00844F4A"/>
    <w:rsid w:val="00845261"/>
    <w:rsid w:val="00845332"/>
    <w:rsid w:val="0084536E"/>
    <w:rsid w:val="0084543F"/>
    <w:rsid w:val="0084563B"/>
    <w:rsid w:val="008458AC"/>
    <w:rsid w:val="00845909"/>
    <w:rsid w:val="008459F7"/>
    <w:rsid w:val="00845B90"/>
    <w:rsid w:val="00845D5D"/>
    <w:rsid w:val="00845F0D"/>
    <w:rsid w:val="00845F85"/>
    <w:rsid w:val="00845F97"/>
    <w:rsid w:val="0084618D"/>
    <w:rsid w:val="008461EA"/>
    <w:rsid w:val="00846206"/>
    <w:rsid w:val="00846230"/>
    <w:rsid w:val="0084635A"/>
    <w:rsid w:val="00846463"/>
    <w:rsid w:val="008464FE"/>
    <w:rsid w:val="00846679"/>
    <w:rsid w:val="008469FA"/>
    <w:rsid w:val="00846BC3"/>
    <w:rsid w:val="00846D21"/>
    <w:rsid w:val="00846D63"/>
    <w:rsid w:val="00846DD6"/>
    <w:rsid w:val="00846E7B"/>
    <w:rsid w:val="00847092"/>
    <w:rsid w:val="008470A9"/>
    <w:rsid w:val="0084720C"/>
    <w:rsid w:val="00847234"/>
    <w:rsid w:val="008472C3"/>
    <w:rsid w:val="00847422"/>
    <w:rsid w:val="008476D8"/>
    <w:rsid w:val="008476EB"/>
    <w:rsid w:val="00847706"/>
    <w:rsid w:val="008477D6"/>
    <w:rsid w:val="008479D0"/>
    <w:rsid w:val="00847BCA"/>
    <w:rsid w:val="00847BD5"/>
    <w:rsid w:val="00847C64"/>
    <w:rsid w:val="00847CB6"/>
    <w:rsid w:val="00847D29"/>
    <w:rsid w:val="00847E16"/>
    <w:rsid w:val="00847E63"/>
    <w:rsid w:val="00847EDF"/>
    <w:rsid w:val="00847F85"/>
    <w:rsid w:val="008500C6"/>
    <w:rsid w:val="00850191"/>
    <w:rsid w:val="008501A5"/>
    <w:rsid w:val="00850232"/>
    <w:rsid w:val="00850332"/>
    <w:rsid w:val="0085033B"/>
    <w:rsid w:val="00850553"/>
    <w:rsid w:val="0085058B"/>
    <w:rsid w:val="008505F0"/>
    <w:rsid w:val="00850756"/>
    <w:rsid w:val="0085075E"/>
    <w:rsid w:val="008507A8"/>
    <w:rsid w:val="00850818"/>
    <w:rsid w:val="0085082B"/>
    <w:rsid w:val="00850867"/>
    <w:rsid w:val="00850939"/>
    <w:rsid w:val="0085099B"/>
    <w:rsid w:val="00850A71"/>
    <w:rsid w:val="00850CD6"/>
    <w:rsid w:val="008511D9"/>
    <w:rsid w:val="00851425"/>
    <w:rsid w:val="0085142C"/>
    <w:rsid w:val="008516CE"/>
    <w:rsid w:val="008516EE"/>
    <w:rsid w:val="00851929"/>
    <w:rsid w:val="00851A5D"/>
    <w:rsid w:val="00851C87"/>
    <w:rsid w:val="00851C90"/>
    <w:rsid w:val="00851CD1"/>
    <w:rsid w:val="00851CD6"/>
    <w:rsid w:val="00851D5E"/>
    <w:rsid w:val="00851E64"/>
    <w:rsid w:val="00851F51"/>
    <w:rsid w:val="00851F98"/>
    <w:rsid w:val="00852223"/>
    <w:rsid w:val="008522FE"/>
    <w:rsid w:val="00852469"/>
    <w:rsid w:val="008524F5"/>
    <w:rsid w:val="00852515"/>
    <w:rsid w:val="008525E8"/>
    <w:rsid w:val="008527FC"/>
    <w:rsid w:val="00852937"/>
    <w:rsid w:val="00852939"/>
    <w:rsid w:val="00852A62"/>
    <w:rsid w:val="00852B45"/>
    <w:rsid w:val="00852C3F"/>
    <w:rsid w:val="00852D44"/>
    <w:rsid w:val="00852D7D"/>
    <w:rsid w:val="00852E2D"/>
    <w:rsid w:val="00852E7E"/>
    <w:rsid w:val="00852F2B"/>
    <w:rsid w:val="00852F7F"/>
    <w:rsid w:val="00853254"/>
    <w:rsid w:val="008533CB"/>
    <w:rsid w:val="008533F2"/>
    <w:rsid w:val="0085341A"/>
    <w:rsid w:val="008534C2"/>
    <w:rsid w:val="008536A2"/>
    <w:rsid w:val="008537E9"/>
    <w:rsid w:val="0085388F"/>
    <w:rsid w:val="008538F0"/>
    <w:rsid w:val="00853A1F"/>
    <w:rsid w:val="00853C32"/>
    <w:rsid w:val="00853CE6"/>
    <w:rsid w:val="00853E1F"/>
    <w:rsid w:val="00853FBD"/>
    <w:rsid w:val="00854127"/>
    <w:rsid w:val="0085414F"/>
    <w:rsid w:val="00854289"/>
    <w:rsid w:val="0085456E"/>
    <w:rsid w:val="0085462D"/>
    <w:rsid w:val="0085465D"/>
    <w:rsid w:val="00854749"/>
    <w:rsid w:val="008548F0"/>
    <w:rsid w:val="00854932"/>
    <w:rsid w:val="00854957"/>
    <w:rsid w:val="008549D3"/>
    <w:rsid w:val="00854A2C"/>
    <w:rsid w:val="00854AB2"/>
    <w:rsid w:val="00854AC5"/>
    <w:rsid w:val="00854BFB"/>
    <w:rsid w:val="00854C5C"/>
    <w:rsid w:val="00854CB0"/>
    <w:rsid w:val="00854D7A"/>
    <w:rsid w:val="00854DD8"/>
    <w:rsid w:val="00854E49"/>
    <w:rsid w:val="00854EE4"/>
    <w:rsid w:val="00855167"/>
    <w:rsid w:val="00855270"/>
    <w:rsid w:val="008553D7"/>
    <w:rsid w:val="00855682"/>
    <w:rsid w:val="00855702"/>
    <w:rsid w:val="00855814"/>
    <w:rsid w:val="00855AB6"/>
    <w:rsid w:val="00855AC9"/>
    <w:rsid w:val="00855B96"/>
    <w:rsid w:val="00855CBB"/>
    <w:rsid w:val="00855D51"/>
    <w:rsid w:val="00855D74"/>
    <w:rsid w:val="00855DD8"/>
    <w:rsid w:val="00855F43"/>
    <w:rsid w:val="008560A0"/>
    <w:rsid w:val="0085612B"/>
    <w:rsid w:val="0085619D"/>
    <w:rsid w:val="008561CA"/>
    <w:rsid w:val="00856231"/>
    <w:rsid w:val="008562D9"/>
    <w:rsid w:val="00856322"/>
    <w:rsid w:val="008563A9"/>
    <w:rsid w:val="00856807"/>
    <w:rsid w:val="00856885"/>
    <w:rsid w:val="00856944"/>
    <w:rsid w:val="00856956"/>
    <w:rsid w:val="00856984"/>
    <w:rsid w:val="00856998"/>
    <w:rsid w:val="008569A7"/>
    <w:rsid w:val="00856A4D"/>
    <w:rsid w:val="00856A96"/>
    <w:rsid w:val="00856D13"/>
    <w:rsid w:val="00856DAB"/>
    <w:rsid w:val="00856E5E"/>
    <w:rsid w:val="00856F3C"/>
    <w:rsid w:val="00857076"/>
    <w:rsid w:val="008571FF"/>
    <w:rsid w:val="00857634"/>
    <w:rsid w:val="008576FD"/>
    <w:rsid w:val="008578E5"/>
    <w:rsid w:val="00857C62"/>
    <w:rsid w:val="00857C9C"/>
    <w:rsid w:val="00857E15"/>
    <w:rsid w:val="00857F3C"/>
    <w:rsid w:val="00860083"/>
    <w:rsid w:val="00860272"/>
    <w:rsid w:val="008603DB"/>
    <w:rsid w:val="008604A2"/>
    <w:rsid w:val="0086057C"/>
    <w:rsid w:val="00860594"/>
    <w:rsid w:val="008607CE"/>
    <w:rsid w:val="0086080F"/>
    <w:rsid w:val="008609FD"/>
    <w:rsid w:val="00860A3E"/>
    <w:rsid w:val="00860C79"/>
    <w:rsid w:val="00860E49"/>
    <w:rsid w:val="00861147"/>
    <w:rsid w:val="00861180"/>
    <w:rsid w:val="00861195"/>
    <w:rsid w:val="008613CD"/>
    <w:rsid w:val="0086148B"/>
    <w:rsid w:val="00861512"/>
    <w:rsid w:val="00861516"/>
    <w:rsid w:val="00861948"/>
    <w:rsid w:val="008619C8"/>
    <w:rsid w:val="00861D98"/>
    <w:rsid w:val="00861EFD"/>
    <w:rsid w:val="00861FCA"/>
    <w:rsid w:val="00861FF8"/>
    <w:rsid w:val="00862265"/>
    <w:rsid w:val="008623A7"/>
    <w:rsid w:val="0086260E"/>
    <w:rsid w:val="008626C3"/>
    <w:rsid w:val="00862785"/>
    <w:rsid w:val="00862850"/>
    <w:rsid w:val="008628CC"/>
    <w:rsid w:val="00862B61"/>
    <w:rsid w:val="00862B7A"/>
    <w:rsid w:val="00862BA9"/>
    <w:rsid w:val="00862C92"/>
    <w:rsid w:val="008630BD"/>
    <w:rsid w:val="008630EF"/>
    <w:rsid w:val="0086318D"/>
    <w:rsid w:val="008632AF"/>
    <w:rsid w:val="008633F3"/>
    <w:rsid w:val="0086345A"/>
    <w:rsid w:val="0086387F"/>
    <w:rsid w:val="00863950"/>
    <w:rsid w:val="008639E6"/>
    <w:rsid w:val="00863CAB"/>
    <w:rsid w:val="00863E18"/>
    <w:rsid w:val="00863F85"/>
    <w:rsid w:val="0086402E"/>
    <w:rsid w:val="00864475"/>
    <w:rsid w:val="00864488"/>
    <w:rsid w:val="0086458A"/>
    <w:rsid w:val="008645C0"/>
    <w:rsid w:val="008645FF"/>
    <w:rsid w:val="00864619"/>
    <w:rsid w:val="00864814"/>
    <w:rsid w:val="0086482B"/>
    <w:rsid w:val="00864941"/>
    <w:rsid w:val="0086496F"/>
    <w:rsid w:val="00864990"/>
    <w:rsid w:val="008649CD"/>
    <w:rsid w:val="00864CA1"/>
    <w:rsid w:val="00864DA6"/>
    <w:rsid w:val="00864EF8"/>
    <w:rsid w:val="00864F5C"/>
    <w:rsid w:val="0086503F"/>
    <w:rsid w:val="0086506C"/>
    <w:rsid w:val="00865189"/>
    <w:rsid w:val="008651AA"/>
    <w:rsid w:val="008651E8"/>
    <w:rsid w:val="008651FD"/>
    <w:rsid w:val="00865256"/>
    <w:rsid w:val="008652EC"/>
    <w:rsid w:val="0086536E"/>
    <w:rsid w:val="00865406"/>
    <w:rsid w:val="008654F1"/>
    <w:rsid w:val="008655EC"/>
    <w:rsid w:val="008657E4"/>
    <w:rsid w:val="00865862"/>
    <w:rsid w:val="008659F5"/>
    <w:rsid w:val="00865A5D"/>
    <w:rsid w:val="00865B29"/>
    <w:rsid w:val="00865B73"/>
    <w:rsid w:val="00865B81"/>
    <w:rsid w:val="00865D29"/>
    <w:rsid w:val="00865D5C"/>
    <w:rsid w:val="00865FB4"/>
    <w:rsid w:val="00865FC5"/>
    <w:rsid w:val="008660B2"/>
    <w:rsid w:val="008660B5"/>
    <w:rsid w:val="0086650B"/>
    <w:rsid w:val="00866700"/>
    <w:rsid w:val="008667CA"/>
    <w:rsid w:val="00866B72"/>
    <w:rsid w:val="00866BF5"/>
    <w:rsid w:val="00866C69"/>
    <w:rsid w:val="00866EB2"/>
    <w:rsid w:val="00867007"/>
    <w:rsid w:val="008671AB"/>
    <w:rsid w:val="008671B7"/>
    <w:rsid w:val="00867515"/>
    <w:rsid w:val="00867516"/>
    <w:rsid w:val="00867529"/>
    <w:rsid w:val="00867611"/>
    <w:rsid w:val="00867BC0"/>
    <w:rsid w:val="00867C1F"/>
    <w:rsid w:val="00867C3E"/>
    <w:rsid w:val="00867D70"/>
    <w:rsid w:val="00867E68"/>
    <w:rsid w:val="00867EA1"/>
    <w:rsid w:val="00867EC0"/>
    <w:rsid w:val="00870063"/>
    <w:rsid w:val="008700B8"/>
    <w:rsid w:val="008700F7"/>
    <w:rsid w:val="0087060B"/>
    <w:rsid w:val="00870748"/>
    <w:rsid w:val="00870825"/>
    <w:rsid w:val="00870917"/>
    <w:rsid w:val="00870B55"/>
    <w:rsid w:val="00870D3B"/>
    <w:rsid w:val="00870E29"/>
    <w:rsid w:val="00870E4B"/>
    <w:rsid w:val="00870F0A"/>
    <w:rsid w:val="00870F5A"/>
    <w:rsid w:val="00871017"/>
    <w:rsid w:val="0087103E"/>
    <w:rsid w:val="0087107D"/>
    <w:rsid w:val="008712CA"/>
    <w:rsid w:val="008712EF"/>
    <w:rsid w:val="008713C7"/>
    <w:rsid w:val="0087156C"/>
    <w:rsid w:val="008715AD"/>
    <w:rsid w:val="0087189F"/>
    <w:rsid w:val="008718B8"/>
    <w:rsid w:val="00871AAC"/>
    <w:rsid w:val="00871ADC"/>
    <w:rsid w:val="00871BFC"/>
    <w:rsid w:val="00871D64"/>
    <w:rsid w:val="00871E4B"/>
    <w:rsid w:val="00871E71"/>
    <w:rsid w:val="00872015"/>
    <w:rsid w:val="0087216A"/>
    <w:rsid w:val="00872486"/>
    <w:rsid w:val="0087286B"/>
    <w:rsid w:val="00872927"/>
    <w:rsid w:val="00872985"/>
    <w:rsid w:val="00872AC5"/>
    <w:rsid w:val="00872B18"/>
    <w:rsid w:val="00872B9A"/>
    <w:rsid w:val="00872D41"/>
    <w:rsid w:val="00872D61"/>
    <w:rsid w:val="00872D66"/>
    <w:rsid w:val="00872DD9"/>
    <w:rsid w:val="00872F0F"/>
    <w:rsid w:val="00873138"/>
    <w:rsid w:val="008731CA"/>
    <w:rsid w:val="0087327C"/>
    <w:rsid w:val="0087328B"/>
    <w:rsid w:val="00873301"/>
    <w:rsid w:val="0087334B"/>
    <w:rsid w:val="0087349A"/>
    <w:rsid w:val="008734C7"/>
    <w:rsid w:val="008735FE"/>
    <w:rsid w:val="00873B3E"/>
    <w:rsid w:val="00873DD9"/>
    <w:rsid w:val="00873E74"/>
    <w:rsid w:val="00874041"/>
    <w:rsid w:val="00874225"/>
    <w:rsid w:val="00874290"/>
    <w:rsid w:val="008744EE"/>
    <w:rsid w:val="008745D1"/>
    <w:rsid w:val="0087479C"/>
    <w:rsid w:val="008747A0"/>
    <w:rsid w:val="008747B1"/>
    <w:rsid w:val="008748ED"/>
    <w:rsid w:val="00874AA0"/>
    <w:rsid w:val="00874CE2"/>
    <w:rsid w:val="00874CE3"/>
    <w:rsid w:val="00874E2F"/>
    <w:rsid w:val="00874E61"/>
    <w:rsid w:val="00874EDF"/>
    <w:rsid w:val="00874F13"/>
    <w:rsid w:val="0087517D"/>
    <w:rsid w:val="0087529F"/>
    <w:rsid w:val="0087535E"/>
    <w:rsid w:val="00875487"/>
    <w:rsid w:val="008755A5"/>
    <w:rsid w:val="008755BB"/>
    <w:rsid w:val="00875817"/>
    <w:rsid w:val="008758BA"/>
    <w:rsid w:val="00875910"/>
    <w:rsid w:val="008759FC"/>
    <w:rsid w:val="00875A7B"/>
    <w:rsid w:val="00875B21"/>
    <w:rsid w:val="00875C22"/>
    <w:rsid w:val="00875DF6"/>
    <w:rsid w:val="008761D5"/>
    <w:rsid w:val="0087656C"/>
    <w:rsid w:val="008765FE"/>
    <w:rsid w:val="00876684"/>
    <w:rsid w:val="0087690B"/>
    <w:rsid w:val="00876986"/>
    <w:rsid w:val="008769FB"/>
    <w:rsid w:val="00876A16"/>
    <w:rsid w:val="00876B8B"/>
    <w:rsid w:val="00876B9F"/>
    <w:rsid w:val="00876E5B"/>
    <w:rsid w:val="0087701F"/>
    <w:rsid w:val="0087720D"/>
    <w:rsid w:val="00877316"/>
    <w:rsid w:val="008774EE"/>
    <w:rsid w:val="00877503"/>
    <w:rsid w:val="0087756C"/>
    <w:rsid w:val="00877630"/>
    <w:rsid w:val="00877790"/>
    <w:rsid w:val="008777A6"/>
    <w:rsid w:val="00877894"/>
    <w:rsid w:val="00877952"/>
    <w:rsid w:val="008779A7"/>
    <w:rsid w:val="008779DB"/>
    <w:rsid w:val="008779DE"/>
    <w:rsid w:val="00877AE6"/>
    <w:rsid w:val="00877B87"/>
    <w:rsid w:val="00877C66"/>
    <w:rsid w:val="00877FEF"/>
    <w:rsid w:val="00880017"/>
    <w:rsid w:val="0088001B"/>
    <w:rsid w:val="00880068"/>
    <w:rsid w:val="0088017E"/>
    <w:rsid w:val="00880242"/>
    <w:rsid w:val="008802AB"/>
    <w:rsid w:val="00880440"/>
    <w:rsid w:val="0088054B"/>
    <w:rsid w:val="008805D6"/>
    <w:rsid w:val="00880695"/>
    <w:rsid w:val="00880889"/>
    <w:rsid w:val="00880B30"/>
    <w:rsid w:val="00880BCD"/>
    <w:rsid w:val="00880BF2"/>
    <w:rsid w:val="00880E8D"/>
    <w:rsid w:val="00881026"/>
    <w:rsid w:val="00881050"/>
    <w:rsid w:val="008810AC"/>
    <w:rsid w:val="0088113E"/>
    <w:rsid w:val="00881212"/>
    <w:rsid w:val="0088129A"/>
    <w:rsid w:val="008812B6"/>
    <w:rsid w:val="0088130D"/>
    <w:rsid w:val="0088139E"/>
    <w:rsid w:val="008813E5"/>
    <w:rsid w:val="008815A0"/>
    <w:rsid w:val="008816A1"/>
    <w:rsid w:val="008816E3"/>
    <w:rsid w:val="0088172F"/>
    <w:rsid w:val="0088179D"/>
    <w:rsid w:val="008819E1"/>
    <w:rsid w:val="00881AB4"/>
    <w:rsid w:val="00881B29"/>
    <w:rsid w:val="00881B9C"/>
    <w:rsid w:val="00881CFA"/>
    <w:rsid w:val="00881F40"/>
    <w:rsid w:val="00881F82"/>
    <w:rsid w:val="00881FCF"/>
    <w:rsid w:val="008820FA"/>
    <w:rsid w:val="008821C0"/>
    <w:rsid w:val="00882270"/>
    <w:rsid w:val="0088252E"/>
    <w:rsid w:val="008825CE"/>
    <w:rsid w:val="008826EA"/>
    <w:rsid w:val="00882719"/>
    <w:rsid w:val="008828DD"/>
    <w:rsid w:val="00882949"/>
    <w:rsid w:val="00882A70"/>
    <w:rsid w:val="00882BD8"/>
    <w:rsid w:val="00882C74"/>
    <w:rsid w:val="00882D1B"/>
    <w:rsid w:val="00882DE5"/>
    <w:rsid w:val="00882E87"/>
    <w:rsid w:val="00883044"/>
    <w:rsid w:val="00883187"/>
    <w:rsid w:val="00883486"/>
    <w:rsid w:val="008834BB"/>
    <w:rsid w:val="008834E8"/>
    <w:rsid w:val="008835AF"/>
    <w:rsid w:val="008835BD"/>
    <w:rsid w:val="008836F5"/>
    <w:rsid w:val="008836FF"/>
    <w:rsid w:val="00883762"/>
    <w:rsid w:val="0088384B"/>
    <w:rsid w:val="008838DB"/>
    <w:rsid w:val="00883BAF"/>
    <w:rsid w:val="00883CBA"/>
    <w:rsid w:val="00883D43"/>
    <w:rsid w:val="00884117"/>
    <w:rsid w:val="0088426D"/>
    <w:rsid w:val="0088448C"/>
    <w:rsid w:val="008844F4"/>
    <w:rsid w:val="00884667"/>
    <w:rsid w:val="00884677"/>
    <w:rsid w:val="008846DD"/>
    <w:rsid w:val="0088474F"/>
    <w:rsid w:val="0088485D"/>
    <w:rsid w:val="00884AA2"/>
    <w:rsid w:val="00884B98"/>
    <w:rsid w:val="00884C86"/>
    <w:rsid w:val="00884CD9"/>
    <w:rsid w:val="00884CE3"/>
    <w:rsid w:val="00884D11"/>
    <w:rsid w:val="00884D48"/>
    <w:rsid w:val="00884DC8"/>
    <w:rsid w:val="00884E54"/>
    <w:rsid w:val="00884E96"/>
    <w:rsid w:val="00884EFB"/>
    <w:rsid w:val="00884F55"/>
    <w:rsid w:val="00884FC6"/>
    <w:rsid w:val="008852B9"/>
    <w:rsid w:val="0088550C"/>
    <w:rsid w:val="008856B2"/>
    <w:rsid w:val="00885A2D"/>
    <w:rsid w:val="00885B16"/>
    <w:rsid w:val="00885BB0"/>
    <w:rsid w:val="00885D46"/>
    <w:rsid w:val="00885D91"/>
    <w:rsid w:val="00885E38"/>
    <w:rsid w:val="00885E66"/>
    <w:rsid w:val="00885F6D"/>
    <w:rsid w:val="00886013"/>
    <w:rsid w:val="0088623D"/>
    <w:rsid w:val="00886522"/>
    <w:rsid w:val="00886530"/>
    <w:rsid w:val="008865CA"/>
    <w:rsid w:val="008865F1"/>
    <w:rsid w:val="008866F4"/>
    <w:rsid w:val="0088673B"/>
    <w:rsid w:val="008867A9"/>
    <w:rsid w:val="00886A2F"/>
    <w:rsid w:val="00886B5E"/>
    <w:rsid w:val="00886D31"/>
    <w:rsid w:val="00886DB8"/>
    <w:rsid w:val="00886F50"/>
    <w:rsid w:val="0088706A"/>
    <w:rsid w:val="00887225"/>
    <w:rsid w:val="0088744A"/>
    <w:rsid w:val="0088754B"/>
    <w:rsid w:val="008875ED"/>
    <w:rsid w:val="00887660"/>
    <w:rsid w:val="0088781D"/>
    <w:rsid w:val="00887A41"/>
    <w:rsid w:val="00887A51"/>
    <w:rsid w:val="00887B36"/>
    <w:rsid w:val="00887B74"/>
    <w:rsid w:val="00887CB0"/>
    <w:rsid w:val="00887CEF"/>
    <w:rsid w:val="00887DB4"/>
    <w:rsid w:val="00887E29"/>
    <w:rsid w:val="00887E50"/>
    <w:rsid w:val="00887EB6"/>
    <w:rsid w:val="00887EB9"/>
    <w:rsid w:val="00887ED5"/>
    <w:rsid w:val="00887F2D"/>
    <w:rsid w:val="00887FBE"/>
    <w:rsid w:val="0089012E"/>
    <w:rsid w:val="008901C9"/>
    <w:rsid w:val="008903C2"/>
    <w:rsid w:val="0089053A"/>
    <w:rsid w:val="00890774"/>
    <w:rsid w:val="00890AE9"/>
    <w:rsid w:val="00890B3D"/>
    <w:rsid w:val="00890BFF"/>
    <w:rsid w:val="00890C68"/>
    <w:rsid w:val="00890DAB"/>
    <w:rsid w:val="00890EE3"/>
    <w:rsid w:val="00890FA1"/>
    <w:rsid w:val="0089106A"/>
    <w:rsid w:val="008910F3"/>
    <w:rsid w:val="00891249"/>
    <w:rsid w:val="0089133B"/>
    <w:rsid w:val="008913CC"/>
    <w:rsid w:val="00891416"/>
    <w:rsid w:val="00891664"/>
    <w:rsid w:val="00891733"/>
    <w:rsid w:val="008917F9"/>
    <w:rsid w:val="00891829"/>
    <w:rsid w:val="00891870"/>
    <w:rsid w:val="00891911"/>
    <w:rsid w:val="00891923"/>
    <w:rsid w:val="0089193F"/>
    <w:rsid w:val="00891A9E"/>
    <w:rsid w:val="00891B79"/>
    <w:rsid w:val="00891C34"/>
    <w:rsid w:val="00891C49"/>
    <w:rsid w:val="00891CF2"/>
    <w:rsid w:val="00891D08"/>
    <w:rsid w:val="00891DF9"/>
    <w:rsid w:val="00891FC8"/>
    <w:rsid w:val="0089227F"/>
    <w:rsid w:val="008922E3"/>
    <w:rsid w:val="0089236A"/>
    <w:rsid w:val="00892465"/>
    <w:rsid w:val="008924FA"/>
    <w:rsid w:val="00892829"/>
    <w:rsid w:val="008928DB"/>
    <w:rsid w:val="008928FD"/>
    <w:rsid w:val="00892903"/>
    <w:rsid w:val="00892D08"/>
    <w:rsid w:val="00892F9B"/>
    <w:rsid w:val="008932AD"/>
    <w:rsid w:val="008933C7"/>
    <w:rsid w:val="008934DC"/>
    <w:rsid w:val="00893656"/>
    <w:rsid w:val="008937E2"/>
    <w:rsid w:val="008938A2"/>
    <w:rsid w:val="00893915"/>
    <w:rsid w:val="00893B5D"/>
    <w:rsid w:val="00893B68"/>
    <w:rsid w:val="00893D14"/>
    <w:rsid w:val="00893DC8"/>
    <w:rsid w:val="00893E4D"/>
    <w:rsid w:val="00894084"/>
    <w:rsid w:val="008940C4"/>
    <w:rsid w:val="0089410E"/>
    <w:rsid w:val="008942E6"/>
    <w:rsid w:val="00894346"/>
    <w:rsid w:val="0089442F"/>
    <w:rsid w:val="008944F2"/>
    <w:rsid w:val="008945FE"/>
    <w:rsid w:val="00894690"/>
    <w:rsid w:val="008947B4"/>
    <w:rsid w:val="008948AE"/>
    <w:rsid w:val="008948CB"/>
    <w:rsid w:val="008948EF"/>
    <w:rsid w:val="00894A6F"/>
    <w:rsid w:val="00894BF9"/>
    <w:rsid w:val="00894C20"/>
    <w:rsid w:val="00894D9E"/>
    <w:rsid w:val="00894DA9"/>
    <w:rsid w:val="00894F72"/>
    <w:rsid w:val="0089514B"/>
    <w:rsid w:val="008951FE"/>
    <w:rsid w:val="00895448"/>
    <w:rsid w:val="00895490"/>
    <w:rsid w:val="008955F0"/>
    <w:rsid w:val="008956DB"/>
    <w:rsid w:val="008957D0"/>
    <w:rsid w:val="008957F2"/>
    <w:rsid w:val="008958B6"/>
    <w:rsid w:val="008959EA"/>
    <w:rsid w:val="00895A5C"/>
    <w:rsid w:val="00895AD1"/>
    <w:rsid w:val="00895BF2"/>
    <w:rsid w:val="00895C3A"/>
    <w:rsid w:val="00895CAF"/>
    <w:rsid w:val="00895CBF"/>
    <w:rsid w:val="00895D41"/>
    <w:rsid w:val="00895DEE"/>
    <w:rsid w:val="00895ECE"/>
    <w:rsid w:val="00895F47"/>
    <w:rsid w:val="00895F5A"/>
    <w:rsid w:val="00896045"/>
    <w:rsid w:val="0089609D"/>
    <w:rsid w:val="00896119"/>
    <w:rsid w:val="008964F8"/>
    <w:rsid w:val="0089661F"/>
    <w:rsid w:val="0089676B"/>
    <w:rsid w:val="0089682C"/>
    <w:rsid w:val="00896998"/>
    <w:rsid w:val="008969ED"/>
    <w:rsid w:val="00896B2D"/>
    <w:rsid w:val="00896B42"/>
    <w:rsid w:val="00896B4B"/>
    <w:rsid w:val="00896B7B"/>
    <w:rsid w:val="00896D41"/>
    <w:rsid w:val="00896DBD"/>
    <w:rsid w:val="00896DE0"/>
    <w:rsid w:val="00897041"/>
    <w:rsid w:val="008970F4"/>
    <w:rsid w:val="0089742B"/>
    <w:rsid w:val="008974A3"/>
    <w:rsid w:val="00897504"/>
    <w:rsid w:val="008975C4"/>
    <w:rsid w:val="00897659"/>
    <w:rsid w:val="008976F4"/>
    <w:rsid w:val="008977C1"/>
    <w:rsid w:val="008977F6"/>
    <w:rsid w:val="00897B4D"/>
    <w:rsid w:val="00897B7F"/>
    <w:rsid w:val="00897C0A"/>
    <w:rsid w:val="00897C67"/>
    <w:rsid w:val="008A005C"/>
    <w:rsid w:val="008A0073"/>
    <w:rsid w:val="008A00EB"/>
    <w:rsid w:val="008A010D"/>
    <w:rsid w:val="008A0249"/>
    <w:rsid w:val="008A02CE"/>
    <w:rsid w:val="008A032D"/>
    <w:rsid w:val="008A0362"/>
    <w:rsid w:val="008A036C"/>
    <w:rsid w:val="008A03BD"/>
    <w:rsid w:val="008A055C"/>
    <w:rsid w:val="008A05F5"/>
    <w:rsid w:val="008A073A"/>
    <w:rsid w:val="008A0793"/>
    <w:rsid w:val="008A089F"/>
    <w:rsid w:val="008A0922"/>
    <w:rsid w:val="008A0A9C"/>
    <w:rsid w:val="008A0BA8"/>
    <w:rsid w:val="008A0C0E"/>
    <w:rsid w:val="008A0C36"/>
    <w:rsid w:val="008A0C3F"/>
    <w:rsid w:val="008A0D45"/>
    <w:rsid w:val="008A0D51"/>
    <w:rsid w:val="008A0EC1"/>
    <w:rsid w:val="008A0F87"/>
    <w:rsid w:val="008A1002"/>
    <w:rsid w:val="008A10B7"/>
    <w:rsid w:val="008A10CD"/>
    <w:rsid w:val="008A11CD"/>
    <w:rsid w:val="008A1258"/>
    <w:rsid w:val="008A13BE"/>
    <w:rsid w:val="008A1460"/>
    <w:rsid w:val="008A155F"/>
    <w:rsid w:val="008A15D4"/>
    <w:rsid w:val="008A16AD"/>
    <w:rsid w:val="008A16D0"/>
    <w:rsid w:val="008A1A0C"/>
    <w:rsid w:val="008A1B21"/>
    <w:rsid w:val="008A1CFC"/>
    <w:rsid w:val="008A1D68"/>
    <w:rsid w:val="008A21E8"/>
    <w:rsid w:val="008A22A4"/>
    <w:rsid w:val="008A23EC"/>
    <w:rsid w:val="008A253C"/>
    <w:rsid w:val="008A26E4"/>
    <w:rsid w:val="008A283F"/>
    <w:rsid w:val="008A287F"/>
    <w:rsid w:val="008A2897"/>
    <w:rsid w:val="008A2A9A"/>
    <w:rsid w:val="008A2B80"/>
    <w:rsid w:val="008A2F2D"/>
    <w:rsid w:val="008A2FC5"/>
    <w:rsid w:val="008A30CB"/>
    <w:rsid w:val="008A31FB"/>
    <w:rsid w:val="008A34AE"/>
    <w:rsid w:val="008A35E4"/>
    <w:rsid w:val="008A3794"/>
    <w:rsid w:val="008A37B6"/>
    <w:rsid w:val="008A3813"/>
    <w:rsid w:val="008A38FB"/>
    <w:rsid w:val="008A3965"/>
    <w:rsid w:val="008A3AA8"/>
    <w:rsid w:val="008A3C6C"/>
    <w:rsid w:val="008A3D13"/>
    <w:rsid w:val="008A3E6E"/>
    <w:rsid w:val="008A3EAA"/>
    <w:rsid w:val="008A40F4"/>
    <w:rsid w:val="008A41D4"/>
    <w:rsid w:val="008A433A"/>
    <w:rsid w:val="008A43B1"/>
    <w:rsid w:val="008A4472"/>
    <w:rsid w:val="008A46C3"/>
    <w:rsid w:val="008A4718"/>
    <w:rsid w:val="008A47E9"/>
    <w:rsid w:val="008A4867"/>
    <w:rsid w:val="008A4905"/>
    <w:rsid w:val="008A49F1"/>
    <w:rsid w:val="008A4A14"/>
    <w:rsid w:val="008A4B9A"/>
    <w:rsid w:val="008A4C04"/>
    <w:rsid w:val="008A4CAB"/>
    <w:rsid w:val="008A4D5A"/>
    <w:rsid w:val="008A4FF0"/>
    <w:rsid w:val="008A5139"/>
    <w:rsid w:val="008A514A"/>
    <w:rsid w:val="008A528C"/>
    <w:rsid w:val="008A5300"/>
    <w:rsid w:val="008A5325"/>
    <w:rsid w:val="008A533A"/>
    <w:rsid w:val="008A5392"/>
    <w:rsid w:val="008A54C7"/>
    <w:rsid w:val="008A5614"/>
    <w:rsid w:val="008A57ED"/>
    <w:rsid w:val="008A5801"/>
    <w:rsid w:val="008A5882"/>
    <w:rsid w:val="008A58B2"/>
    <w:rsid w:val="008A5904"/>
    <w:rsid w:val="008A5919"/>
    <w:rsid w:val="008A5922"/>
    <w:rsid w:val="008A59B6"/>
    <w:rsid w:val="008A5A44"/>
    <w:rsid w:val="008A5AAF"/>
    <w:rsid w:val="008A5BC4"/>
    <w:rsid w:val="008A5D6E"/>
    <w:rsid w:val="008A5E12"/>
    <w:rsid w:val="008A5E34"/>
    <w:rsid w:val="008A5F35"/>
    <w:rsid w:val="008A5FB5"/>
    <w:rsid w:val="008A60BA"/>
    <w:rsid w:val="008A613C"/>
    <w:rsid w:val="008A6275"/>
    <w:rsid w:val="008A6342"/>
    <w:rsid w:val="008A657E"/>
    <w:rsid w:val="008A668A"/>
    <w:rsid w:val="008A66A7"/>
    <w:rsid w:val="008A66D2"/>
    <w:rsid w:val="008A6937"/>
    <w:rsid w:val="008A6964"/>
    <w:rsid w:val="008A69A3"/>
    <w:rsid w:val="008A6CFE"/>
    <w:rsid w:val="008A6FA3"/>
    <w:rsid w:val="008A6FC8"/>
    <w:rsid w:val="008A7041"/>
    <w:rsid w:val="008A7591"/>
    <w:rsid w:val="008A75B9"/>
    <w:rsid w:val="008A76DA"/>
    <w:rsid w:val="008A7AB7"/>
    <w:rsid w:val="008A7BD3"/>
    <w:rsid w:val="008A7C94"/>
    <w:rsid w:val="008A7CF6"/>
    <w:rsid w:val="008A7DD2"/>
    <w:rsid w:val="008A7E95"/>
    <w:rsid w:val="008A7F4A"/>
    <w:rsid w:val="008B00CA"/>
    <w:rsid w:val="008B0235"/>
    <w:rsid w:val="008B027D"/>
    <w:rsid w:val="008B02DC"/>
    <w:rsid w:val="008B0308"/>
    <w:rsid w:val="008B039F"/>
    <w:rsid w:val="008B0418"/>
    <w:rsid w:val="008B06D8"/>
    <w:rsid w:val="008B07D9"/>
    <w:rsid w:val="008B0805"/>
    <w:rsid w:val="008B0909"/>
    <w:rsid w:val="008B09EB"/>
    <w:rsid w:val="008B0E90"/>
    <w:rsid w:val="008B0FED"/>
    <w:rsid w:val="008B10A0"/>
    <w:rsid w:val="008B1150"/>
    <w:rsid w:val="008B13DD"/>
    <w:rsid w:val="008B172B"/>
    <w:rsid w:val="008B17E3"/>
    <w:rsid w:val="008B18D5"/>
    <w:rsid w:val="008B1A08"/>
    <w:rsid w:val="008B1B14"/>
    <w:rsid w:val="008B1B43"/>
    <w:rsid w:val="008B1B4B"/>
    <w:rsid w:val="008B1D8C"/>
    <w:rsid w:val="008B1EEF"/>
    <w:rsid w:val="008B209D"/>
    <w:rsid w:val="008B20A2"/>
    <w:rsid w:val="008B22E6"/>
    <w:rsid w:val="008B2398"/>
    <w:rsid w:val="008B2455"/>
    <w:rsid w:val="008B24BD"/>
    <w:rsid w:val="008B262C"/>
    <w:rsid w:val="008B274F"/>
    <w:rsid w:val="008B281A"/>
    <w:rsid w:val="008B2977"/>
    <w:rsid w:val="008B2997"/>
    <w:rsid w:val="008B2A5E"/>
    <w:rsid w:val="008B2B29"/>
    <w:rsid w:val="008B2C09"/>
    <w:rsid w:val="008B2C38"/>
    <w:rsid w:val="008B2D1C"/>
    <w:rsid w:val="008B2EEF"/>
    <w:rsid w:val="008B2F17"/>
    <w:rsid w:val="008B2F1D"/>
    <w:rsid w:val="008B31A2"/>
    <w:rsid w:val="008B323F"/>
    <w:rsid w:val="008B337E"/>
    <w:rsid w:val="008B34EA"/>
    <w:rsid w:val="008B3651"/>
    <w:rsid w:val="008B3683"/>
    <w:rsid w:val="008B36CA"/>
    <w:rsid w:val="008B36E8"/>
    <w:rsid w:val="008B3783"/>
    <w:rsid w:val="008B37D8"/>
    <w:rsid w:val="008B37EF"/>
    <w:rsid w:val="008B38DD"/>
    <w:rsid w:val="008B397C"/>
    <w:rsid w:val="008B39F7"/>
    <w:rsid w:val="008B39FD"/>
    <w:rsid w:val="008B3BE2"/>
    <w:rsid w:val="008B3CA2"/>
    <w:rsid w:val="008B3F12"/>
    <w:rsid w:val="008B4030"/>
    <w:rsid w:val="008B41EB"/>
    <w:rsid w:val="008B43A1"/>
    <w:rsid w:val="008B43FF"/>
    <w:rsid w:val="008B45AC"/>
    <w:rsid w:val="008B4779"/>
    <w:rsid w:val="008B47B9"/>
    <w:rsid w:val="008B47CF"/>
    <w:rsid w:val="008B49DE"/>
    <w:rsid w:val="008B4D1C"/>
    <w:rsid w:val="008B4D38"/>
    <w:rsid w:val="008B4FD3"/>
    <w:rsid w:val="008B5051"/>
    <w:rsid w:val="008B52DB"/>
    <w:rsid w:val="008B53FD"/>
    <w:rsid w:val="008B5468"/>
    <w:rsid w:val="008B54DB"/>
    <w:rsid w:val="008B55AB"/>
    <w:rsid w:val="008B56D8"/>
    <w:rsid w:val="008B5A95"/>
    <w:rsid w:val="008B5BDB"/>
    <w:rsid w:val="008B5C30"/>
    <w:rsid w:val="008B5C5E"/>
    <w:rsid w:val="008B5C60"/>
    <w:rsid w:val="008B5CF3"/>
    <w:rsid w:val="008B5F3E"/>
    <w:rsid w:val="008B5F67"/>
    <w:rsid w:val="008B6019"/>
    <w:rsid w:val="008B60FE"/>
    <w:rsid w:val="008B6280"/>
    <w:rsid w:val="008B62E6"/>
    <w:rsid w:val="008B64D9"/>
    <w:rsid w:val="008B64FB"/>
    <w:rsid w:val="008B6628"/>
    <w:rsid w:val="008B6803"/>
    <w:rsid w:val="008B68CB"/>
    <w:rsid w:val="008B69BF"/>
    <w:rsid w:val="008B6A7E"/>
    <w:rsid w:val="008B6AD4"/>
    <w:rsid w:val="008B6B18"/>
    <w:rsid w:val="008B6B1E"/>
    <w:rsid w:val="008B6CF6"/>
    <w:rsid w:val="008B6CF9"/>
    <w:rsid w:val="008B6E0F"/>
    <w:rsid w:val="008B6E82"/>
    <w:rsid w:val="008B70C9"/>
    <w:rsid w:val="008B728A"/>
    <w:rsid w:val="008B7381"/>
    <w:rsid w:val="008B739C"/>
    <w:rsid w:val="008B74D5"/>
    <w:rsid w:val="008B76C0"/>
    <w:rsid w:val="008B78A3"/>
    <w:rsid w:val="008B7A03"/>
    <w:rsid w:val="008B7A46"/>
    <w:rsid w:val="008B7B4D"/>
    <w:rsid w:val="008B7CB9"/>
    <w:rsid w:val="008B7D0C"/>
    <w:rsid w:val="008B7D1F"/>
    <w:rsid w:val="008B7D8B"/>
    <w:rsid w:val="008B7DD8"/>
    <w:rsid w:val="008B7E6B"/>
    <w:rsid w:val="008B7F48"/>
    <w:rsid w:val="008C0050"/>
    <w:rsid w:val="008C00E2"/>
    <w:rsid w:val="008C0150"/>
    <w:rsid w:val="008C0489"/>
    <w:rsid w:val="008C04B7"/>
    <w:rsid w:val="008C050A"/>
    <w:rsid w:val="008C05B5"/>
    <w:rsid w:val="008C05BD"/>
    <w:rsid w:val="008C076F"/>
    <w:rsid w:val="008C07F5"/>
    <w:rsid w:val="008C081C"/>
    <w:rsid w:val="008C0855"/>
    <w:rsid w:val="008C0889"/>
    <w:rsid w:val="008C092A"/>
    <w:rsid w:val="008C092F"/>
    <w:rsid w:val="008C0993"/>
    <w:rsid w:val="008C09AC"/>
    <w:rsid w:val="008C0B35"/>
    <w:rsid w:val="008C0CCF"/>
    <w:rsid w:val="008C0F59"/>
    <w:rsid w:val="008C12AD"/>
    <w:rsid w:val="008C15DF"/>
    <w:rsid w:val="008C15EF"/>
    <w:rsid w:val="008C1787"/>
    <w:rsid w:val="008C1802"/>
    <w:rsid w:val="008C18C7"/>
    <w:rsid w:val="008C1970"/>
    <w:rsid w:val="008C1AE2"/>
    <w:rsid w:val="008C1B68"/>
    <w:rsid w:val="008C1BD2"/>
    <w:rsid w:val="008C1D48"/>
    <w:rsid w:val="008C1DCC"/>
    <w:rsid w:val="008C1FBD"/>
    <w:rsid w:val="008C2044"/>
    <w:rsid w:val="008C256C"/>
    <w:rsid w:val="008C25B0"/>
    <w:rsid w:val="008C2729"/>
    <w:rsid w:val="008C2850"/>
    <w:rsid w:val="008C2928"/>
    <w:rsid w:val="008C2A32"/>
    <w:rsid w:val="008C2A7E"/>
    <w:rsid w:val="008C2A9E"/>
    <w:rsid w:val="008C2CFB"/>
    <w:rsid w:val="008C2F3E"/>
    <w:rsid w:val="008C2FFA"/>
    <w:rsid w:val="008C312D"/>
    <w:rsid w:val="008C331F"/>
    <w:rsid w:val="008C3366"/>
    <w:rsid w:val="008C33B7"/>
    <w:rsid w:val="008C33B8"/>
    <w:rsid w:val="008C3424"/>
    <w:rsid w:val="008C3451"/>
    <w:rsid w:val="008C3637"/>
    <w:rsid w:val="008C3840"/>
    <w:rsid w:val="008C3904"/>
    <w:rsid w:val="008C3A5A"/>
    <w:rsid w:val="008C3AB3"/>
    <w:rsid w:val="008C3B67"/>
    <w:rsid w:val="008C3C64"/>
    <w:rsid w:val="008C3C7B"/>
    <w:rsid w:val="008C3D1C"/>
    <w:rsid w:val="008C3D46"/>
    <w:rsid w:val="008C3D4E"/>
    <w:rsid w:val="008C3EDD"/>
    <w:rsid w:val="008C3F47"/>
    <w:rsid w:val="008C3FFD"/>
    <w:rsid w:val="008C4205"/>
    <w:rsid w:val="008C4274"/>
    <w:rsid w:val="008C4361"/>
    <w:rsid w:val="008C44FF"/>
    <w:rsid w:val="008C45B2"/>
    <w:rsid w:val="008C46E7"/>
    <w:rsid w:val="008C4702"/>
    <w:rsid w:val="008C47E3"/>
    <w:rsid w:val="008C487A"/>
    <w:rsid w:val="008C48C9"/>
    <w:rsid w:val="008C490F"/>
    <w:rsid w:val="008C4D11"/>
    <w:rsid w:val="008C4E3C"/>
    <w:rsid w:val="008C4EC0"/>
    <w:rsid w:val="008C4F9B"/>
    <w:rsid w:val="008C509C"/>
    <w:rsid w:val="008C5145"/>
    <w:rsid w:val="008C524A"/>
    <w:rsid w:val="008C54E4"/>
    <w:rsid w:val="008C553B"/>
    <w:rsid w:val="008C567B"/>
    <w:rsid w:val="008C57B7"/>
    <w:rsid w:val="008C5A40"/>
    <w:rsid w:val="008C5A83"/>
    <w:rsid w:val="008C5BDC"/>
    <w:rsid w:val="008C5D8A"/>
    <w:rsid w:val="008C5DA7"/>
    <w:rsid w:val="008C5DD6"/>
    <w:rsid w:val="008C5E69"/>
    <w:rsid w:val="008C6040"/>
    <w:rsid w:val="008C632E"/>
    <w:rsid w:val="008C634A"/>
    <w:rsid w:val="008C6380"/>
    <w:rsid w:val="008C638B"/>
    <w:rsid w:val="008C63E2"/>
    <w:rsid w:val="008C64E1"/>
    <w:rsid w:val="008C6786"/>
    <w:rsid w:val="008C6807"/>
    <w:rsid w:val="008C68C1"/>
    <w:rsid w:val="008C69C4"/>
    <w:rsid w:val="008C6B1A"/>
    <w:rsid w:val="008C6B79"/>
    <w:rsid w:val="008C6EAC"/>
    <w:rsid w:val="008C6EC7"/>
    <w:rsid w:val="008C70CE"/>
    <w:rsid w:val="008C7211"/>
    <w:rsid w:val="008C78B8"/>
    <w:rsid w:val="008C7B6C"/>
    <w:rsid w:val="008C7BAF"/>
    <w:rsid w:val="008C7C27"/>
    <w:rsid w:val="008C7C94"/>
    <w:rsid w:val="008C7CDC"/>
    <w:rsid w:val="008C7E39"/>
    <w:rsid w:val="008C7EFC"/>
    <w:rsid w:val="008C7F2C"/>
    <w:rsid w:val="008C7F86"/>
    <w:rsid w:val="008D016C"/>
    <w:rsid w:val="008D03BE"/>
    <w:rsid w:val="008D042F"/>
    <w:rsid w:val="008D0560"/>
    <w:rsid w:val="008D0776"/>
    <w:rsid w:val="008D0892"/>
    <w:rsid w:val="008D09ED"/>
    <w:rsid w:val="008D0A6E"/>
    <w:rsid w:val="008D0AE7"/>
    <w:rsid w:val="008D0BFD"/>
    <w:rsid w:val="008D0EC8"/>
    <w:rsid w:val="008D1090"/>
    <w:rsid w:val="008D11FB"/>
    <w:rsid w:val="008D12C3"/>
    <w:rsid w:val="008D150C"/>
    <w:rsid w:val="008D152A"/>
    <w:rsid w:val="008D15D2"/>
    <w:rsid w:val="008D1B82"/>
    <w:rsid w:val="008D1BDD"/>
    <w:rsid w:val="008D1CCD"/>
    <w:rsid w:val="008D1D1A"/>
    <w:rsid w:val="008D1E87"/>
    <w:rsid w:val="008D1FAB"/>
    <w:rsid w:val="008D1FFC"/>
    <w:rsid w:val="008D2000"/>
    <w:rsid w:val="008D200A"/>
    <w:rsid w:val="008D2070"/>
    <w:rsid w:val="008D2222"/>
    <w:rsid w:val="008D2425"/>
    <w:rsid w:val="008D2447"/>
    <w:rsid w:val="008D246A"/>
    <w:rsid w:val="008D2571"/>
    <w:rsid w:val="008D2645"/>
    <w:rsid w:val="008D27C6"/>
    <w:rsid w:val="008D27D0"/>
    <w:rsid w:val="008D2871"/>
    <w:rsid w:val="008D29E9"/>
    <w:rsid w:val="008D2AF0"/>
    <w:rsid w:val="008D2CA8"/>
    <w:rsid w:val="008D2CD2"/>
    <w:rsid w:val="008D2E49"/>
    <w:rsid w:val="008D2F05"/>
    <w:rsid w:val="008D2FF2"/>
    <w:rsid w:val="008D315D"/>
    <w:rsid w:val="008D31F9"/>
    <w:rsid w:val="008D31FB"/>
    <w:rsid w:val="008D3280"/>
    <w:rsid w:val="008D33C1"/>
    <w:rsid w:val="008D345E"/>
    <w:rsid w:val="008D34A5"/>
    <w:rsid w:val="008D35FE"/>
    <w:rsid w:val="008D3629"/>
    <w:rsid w:val="008D3866"/>
    <w:rsid w:val="008D38E7"/>
    <w:rsid w:val="008D3A95"/>
    <w:rsid w:val="008D3B90"/>
    <w:rsid w:val="008D3BA9"/>
    <w:rsid w:val="008D3BE0"/>
    <w:rsid w:val="008D3BF3"/>
    <w:rsid w:val="008D3CAF"/>
    <w:rsid w:val="008D41AD"/>
    <w:rsid w:val="008D43C5"/>
    <w:rsid w:val="008D4434"/>
    <w:rsid w:val="008D4447"/>
    <w:rsid w:val="008D44F2"/>
    <w:rsid w:val="008D4B3A"/>
    <w:rsid w:val="008D4B51"/>
    <w:rsid w:val="008D4FCE"/>
    <w:rsid w:val="008D5200"/>
    <w:rsid w:val="008D567F"/>
    <w:rsid w:val="008D56F5"/>
    <w:rsid w:val="008D57F0"/>
    <w:rsid w:val="008D5A6C"/>
    <w:rsid w:val="008D5C55"/>
    <w:rsid w:val="008D5DFA"/>
    <w:rsid w:val="008D5E2A"/>
    <w:rsid w:val="008D5ED1"/>
    <w:rsid w:val="008D5F2C"/>
    <w:rsid w:val="008D5F94"/>
    <w:rsid w:val="008D60A8"/>
    <w:rsid w:val="008D6168"/>
    <w:rsid w:val="008D634E"/>
    <w:rsid w:val="008D63AD"/>
    <w:rsid w:val="008D642E"/>
    <w:rsid w:val="008D658C"/>
    <w:rsid w:val="008D66DC"/>
    <w:rsid w:val="008D681D"/>
    <w:rsid w:val="008D6D90"/>
    <w:rsid w:val="008D6F78"/>
    <w:rsid w:val="008D6FDC"/>
    <w:rsid w:val="008D7257"/>
    <w:rsid w:val="008D728A"/>
    <w:rsid w:val="008D728E"/>
    <w:rsid w:val="008D7519"/>
    <w:rsid w:val="008D7620"/>
    <w:rsid w:val="008D76B8"/>
    <w:rsid w:val="008D77FA"/>
    <w:rsid w:val="008D7845"/>
    <w:rsid w:val="008D7850"/>
    <w:rsid w:val="008D7852"/>
    <w:rsid w:val="008D79EA"/>
    <w:rsid w:val="008D7ADB"/>
    <w:rsid w:val="008D7C41"/>
    <w:rsid w:val="008D7CB7"/>
    <w:rsid w:val="008D7CC3"/>
    <w:rsid w:val="008D7D96"/>
    <w:rsid w:val="008D7E64"/>
    <w:rsid w:val="008E01A7"/>
    <w:rsid w:val="008E0200"/>
    <w:rsid w:val="008E021F"/>
    <w:rsid w:val="008E0269"/>
    <w:rsid w:val="008E0367"/>
    <w:rsid w:val="008E03E8"/>
    <w:rsid w:val="008E048E"/>
    <w:rsid w:val="008E07FE"/>
    <w:rsid w:val="008E0A5C"/>
    <w:rsid w:val="008E0B3D"/>
    <w:rsid w:val="008E0DA9"/>
    <w:rsid w:val="008E0F52"/>
    <w:rsid w:val="008E1011"/>
    <w:rsid w:val="008E10BF"/>
    <w:rsid w:val="008E1280"/>
    <w:rsid w:val="008E1374"/>
    <w:rsid w:val="008E1466"/>
    <w:rsid w:val="008E14FD"/>
    <w:rsid w:val="008E156D"/>
    <w:rsid w:val="008E1587"/>
    <w:rsid w:val="008E1592"/>
    <w:rsid w:val="008E1732"/>
    <w:rsid w:val="008E17AD"/>
    <w:rsid w:val="008E18E3"/>
    <w:rsid w:val="008E1979"/>
    <w:rsid w:val="008E19C7"/>
    <w:rsid w:val="008E1BE3"/>
    <w:rsid w:val="008E1C0F"/>
    <w:rsid w:val="008E1C42"/>
    <w:rsid w:val="008E1CC6"/>
    <w:rsid w:val="008E1EAD"/>
    <w:rsid w:val="008E2046"/>
    <w:rsid w:val="008E217A"/>
    <w:rsid w:val="008E22D2"/>
    <w:rsid w:val="008E22E0"/>
    <w:rsid w:val="008E29FE"/>
    <w:rsid w:val="008E2A37"/>
    <w:rsid w:val="008E2C32"/>
    <w:rsid w:val="008E2CFE"/>
    <w:rsid w:val="008E303A"/>
    <w:rsid w:val="008E30CD"/>
    <w:rsid w:val="008E3177"/>
    <w:rsid w:val="008E319A"/>
    <w:rsid w:val="008E319B"/>
    <w:rsid w:val="008E327A"/>
    <w:rsid w:val="008E329B"/>
    <w:rsid w:val="008E32CD"/>
    <w:rsid w:val="008E33A9"/>
    <w:rsid w:val="008E353C"/>
    <w:rsid w:val="008E3574"/>
    <w:rsid w:val="008E35E1"/>
    <w:rsid w:val="008E37C1"/>
    <w:rsid w:val="008E3945"/>
    <w:rsid w:val="008E3A98"/>
    <w:rsid w:val="008E3ACA"/>
    <w:rsid w:val="008E3B6A"/>
    <w:rsid w:val="008E3BB0"/>
    <w:rsid w:val="008E3D40"/>
    <w:rsid w:val="008E3DED"/>
    <w:rsid w:val="008E3EF1"/>
    <w:rsid w:val="008E4001"/>
    <w:rsid w:val="008E40D9"/>
    <w:rsid w:val="008E416C"/>
    <w:rsid w:val="008E41E1"/>
    <w:rsid w:val="008E4695"/>
    <w:rsid w:val="008E46C0"/>
    <w:rsid w:val="008E46E2"/>
    <w:rsid w:val="008E4852"/>
    <w:rsid w:val="008E4867"/>
    <w:rsid w:val="008E487E"/>
    <w:rsid w:val="008E49D1"/>
    <w:rsid w:val="008E49F5"/>
    <w:rsid w:val="008E4B77"/>
    <w:rsid w:val="008E4CD9"/>
    <w:rsid w:val="008E4D42"/>
    <w:rsid w:val="008E4E34"/>
    <w:rsid w:val="008E4F66"/>
    <w:rsid w:val="008E4FC4"/>
    <w:rsid w:val="008E512F"/>
    <w:rsid w:val="008E5144"/>
    <w:rsid w:val="008E537A"/>
    <w:rsid w:val="008E53A6"/>
    <w:rsid w:val="008E5565"/>
    <w:rsid w:val="008E55BB"/>
    <w:rsid w:val="008E576C"/>
    <w:rsid w:val="008E57CE"/>
    <w:rsid w:val="008E57F6"/>
    <w:rsid w:val="008E5930"/>
    <w:rsid w:val="008E59CF"/>
    <w:rsid w:val="008E59F7"/>
    <w:rsid w:val="008E5AA2"/>
    <w:rsid w:val="008E5E2D"/>
    <w:rsid w:val="008E5E8F"/>
    <w:rsid w:val="008E6043"/>
    <w:rsid w:val="008E620F"/>
    <w:rsid w:val="008E6373"/>
    <w:rsid w:val="008E6520"/>
    <w:rsid w:val="008E6537"/>
    <w:rsid w:val="008E6594"/>
    <w:rsid w:val="008E65D7"/>
    <w:rsid w:val="008E67C3"/>
    <w:rsid w:val="008E680D"/>
    <w:rsid w:val="008E693B"/>
    <w:rsid w:val="008E6ABE"/>
    <w:rsid w:val="008E6BCE"/>
    <w:rsid w:val="008E6C2F"/>
    <w:rsid w:val="008E6C70"/>
    <w:rsid w:val="008E6C77"/>
    <w:rsid w:val="008E6CDD"/>
    <w:rsid w:val="008E6D06"/>
    <w:rsid w:val="008E6E6E"/>
    <w:rsid w:val="008E6ECD"/>
    <w:rsid w:val="008E7028"/>
    <w:rsid w:val="008E7075"/>
    <w:rsid w:val="008E708F"/>
    <w:rsid w:val="008E720E"/>
    <w:rsid w:val="008E725C"/>
    <w:rsid w:val="008E74A3"/>
    <w:rsid w:val="008E76A8"/>
    <w:rsid w:val="008E76F4"/>
    <w:rsid w:val="008E777D"/>
    <w:rsid w:val="008E778B"/>
    <w:rsid w:val="008E7892"/>
    <w:rsid w:val="008E7A65"/>
    <w:rsid w:val="008E7A6C"/>
    <w:rsid w:val="008E7AC6"/>
    <w:rsid w:val="008E7D92"/>
    <w:rsid w:val="008E7E92"/>
    <w:rsid w:val="008E7EF3"/>
    <w:rsid w:val="008E7FC3"/>
    <w:rsid w:val="008E7FFC"/>
    <w:rsid w:val="008F0022"/>
    <w:rsid w:val="008F00A8"/>
    <w:rsid w:val="008F00B4"/>
    <w:rsid w:val="008F01FE"/>
    <w:rsid w:val="008F0217"/>
    <w:rsid w:val="008F033D"/>
    <w:rsid w:val="008F0373"/>
    <w:rsid w:val="008F03B6"/>
    <w:rsid w:val="008F04CF"/>
    <w:rsid w:val="008F04E3"/>
    <w:rsid w:val="008F0A41"/>
    <w:rsid w:val="008F0A4A"/>
    <w:rsid w:val="008F0A68"/>
    <w:rsid w:val="008F0ACF"/>
    <w:rsid w:val="008F0B31"/>
    <w:rsid w:val="008F0C03"/>
    <w:rsid w:val="008F0CD8"/>
    <w:rsid w:val="008F0D0C"/>
    <w:rsid w:val="008F0EE1"/>
    <w:rsid w:val="008F10DD"/>
    <w:rsid w:val="008F1275"/>
    <w:rsid w:val="008F12EF"/>
    <w:rsid w:val="008F12FE"/>
    <w:rsid w:val="008F1351"/>
    <w:rsid w:val="008F14C3"/>
    <w:rsid w:val="008F15B3"/>
    <w:rsid w:val="008F15FA"/>
    <w:rsid w:val="008F1651"/>
    <w:rsid w:val="008F1791"/>
    <w:rsid w:val="008F17A3"/>
    <w:rsid w:val="008F187C"/>
    <w:rsid w:val="008F1B05"/>
    <w:rsid w:val="008F1C9D"/>
    <w:rsid w:val="008F1CAF"/>
    <w:rsid w:val="008F1D98"/>
    <w:rsid w:val="008F1EE7"/>
    <w:rsid w:val="008F1F9C"/>
    <w:rsid w:val="008F1FCD"/>
    <w:rsid w:val="008F2010"/>
    <w:rsid w:val="008F2041"/>
    <w:rsid w:val="008F20DC"/>
    <w:rsid w:val="008F2190"/>
    <w:rsid w:val="008F22AF"/>
    <w:rsid w:val="008F2491"/>
    <w:rsid w:val="008F2736"/>
    <w:rsid w:val="008F29F0"/>
    <w:rsid w:val="008F2A69"/>
    <w:rsid w:val="008F2F45"/>
    <w:rsid w:val="008F2F7B"/>
    <w:rsid w:val="008F3031"/>
    <w:rsid w:val="008F30D7"/>
    <w:rsid w:val="008F32D4"/>
    <w:rsid w:val="008F331A"/>
    <w:rsid w:val="008F3323"/>
    <w:rsid w:val="008F3585"/>
    <w:rsid w:val="008F37DE"/>
    <w:rsid w:val="008F3911"/>
    <w:rsid w:val="008F3A4C"/>
    <w:rsid w:val="008F3A50"/>
    <w:rsid w:val="008F3DC4"/>
    <w:rsid w:val="008F4169"/>
    <w:rsid w:val="008F4279"/>
    <w:rsid w:val="008F438C"/>
    <w:rsid w:val="008F4500"/>
    <w:rsid w:val="008F456A"/>
    <w:rsid w:val="008F457C"/>
    <w:rsid w:val="008F45B9"/>
    <w:rsid w:val="008F467D"/>
    <w:rsid w:val="008F4A24"/>
    <w:rsid w:val="008F4B0C"/>
    <w:rsid w:val="008F4BE5"/>
    <w:rsid w:val="008F4F45"/>
    <w:rsid w:val="008F5196"/>
    <w:rsid w:val="008F51BF"/>
    <w:rsid w:val="008F528C"/>
    <w:rsid w:val="008F52A2"/>
    <w:rsid w:val="008F52E9"/>
    <w:rsid w:val="008F535C"/>
    <w:rsid w:val="008F53F4"/>
    <w:rsid w:val="008F55E1"/>
    <w:rsid w:val="008F56A4"/>
    <w:rsid w:val="008F56FC"/>
    <w:rsid w:val="008F5742"/>
    <w:rsid w:val="008F583E"/>
    <w:rsid w:val="008F5A30"/>
    <w:rsid w:val="008F5AA7"/>
    <w:rsid w:val="008F5AAC"/>
    <w:rsid w:val="008F5B4E"/>
    <w:rsid w:val="008F5CA0"/>
    <w:rsid w:val="008F5DF7"/>
    <w:rsid w:val="008F6005"/>
    <w:rsid w:val="008F6044"/>
    <w:rsid w:val="008F6101"/>
    <w:rsid w:val="008F618A"/>
    <w:rsid w:val="008F61F1"/>
    <w:rsid w:val="008F6257"/>
    <w:rsid w:val="008F6279"/>
    <w:rsid w:val="008F631D"/>
    <w:rsid w:val="008F63BF"/>
    <w:rsid w:val="008F63DB"/>
    <w:rsid w:val="008F6439"/>
    <w:rsid w:val="008F6519"/>
    <w:rsid w:val="008F65C1"/>
    <w:rsid w:val="008F6692"/>
    <w:rsid w:val="008F66E0"/>
    <w:rsid w:val="008F67F6"/>
    <w:rsid w:val="008F6822"/>
    <w:rsid w:val="008F6825"/>
    <w:rsid w:val="008F682C"/>
    <w:rsid w:val="008F6930"/>
    <w:rsid w:val="008F6A9B"/>
    <w:rsid w:val="008F6B38"/>
    <w:rsid w:val="008F6BA9"/>
    <w:rsid w:val="008F6C76"/>
    <w:rsid w:val="008F6ED6"/>
    <w:rsid w:val="008F7001"/>
    <w:rsid w:val="008F70A7"/>
    <w:rsid w:val="008F7110"/>
    <w:rsid w:val="008F725B"/>
    <w:rsid w:val="008F7318"/>
    <w:rsid w:val="008F7372"/>
    <w:rsid w:val="008F754F"/>
    <w:rsid w:val="008F7690"/>
    <w:rsid w:val="008F7770"/>
    <w:rsid w:val="008F78B9"/>
    <w:rsid w:val="008F79B3"/>
    <w:rsid w:val="008F7B26"/>
    <w:rsid w:val="008F7B79"/>
    <w:rsid w:val="008F7CB4"/>
    <w:rsid w:val="008F7EE6"/>
    <w:rsid w:val="008F7FC4"/>
    <w:rsid w:val="00900021"/>
    <w:rsid w:val="0090010C"/>
    <w:rsid w:val="0090011B"/>
    <w:rsid w:val="00900211"/>
    <w:rsid w:val="009002C3"/>
    <w:rsid w:val="0090040E"/>
    <w:rsid w:val="00900545"/>
    <w:rsid w:val="00900731"/>
    <w:rsid w:val="009007A6"/>
    <w:rsid w:val="00900813"/>
    <w:rsid w:val="0090086A"/>
    <w:rsid w:val="0090086B"/>
    <w:rsid w:val="0090089E"/>
    <w:rsid w:val="00900B7E"/>
    <w:rsid w:val="00900C2A"/>
    <w:rsid w:val="00900CB4"/>
    <w:rsid w:val="00900DE7"/>
    <w:rsid w:val="00900E39"/>
    <w:rsid w:val="00900F8B"/>
    <w:rsid w:val="00900FC1"/>
    <w:rsid w:val="00901018"/>
    <w:rsid w:val="009010A2"/>
    <w:rsid w:val="0090110E"/>
    <w:rsid w:val="009014C2"/>
    <w:rsid w:val="00901503"/>
    <w:rsid w:val="009015C5"/>
    <w:rsid w:val="009015DD"/>
    <w:rsid w:val="00901912"/>
    <w:rsid w:val="00901BA2"/>
    <w:rsid w:val="00901CF5"/>
    <w:rsid w:val="00901D17"/>
    <w:rsid w:val="00901D50"/>
    <w:rsid w:val="00901DDF"/>
    <w:rsid w:val="00901E7F"/>
    <w:rsid w:val="009022C0"/>
    <w:rsid w:val="00902332"/>
    <w:rsid w:val="009024AE"/>
    <w:rsid w:val="009024B4"/>
    <w:rsid w:val="009024EC"/>
    <w:rsid w:val="0090263C"/>
    <w:rsid w:val="00902A71"/>
    <w:rsid w:val="00902AF0"/>
    <w:rsid w:val="00902E1C"/>
    <w:rsid w:val="00902F53"/>
    <w:rsid w:val="00902FB5"/>
    <w:rsid w:val="009030BE"/>
    <w:rsid w:val="009031E4"/>
    <w:rsid w:val="00903314"/>
    <w:rsid w:val="009035AE"/>
    <w:rsid w:val="00903813"/>
    <w:rsid w:val="00903A0C"/>
    <w:rsid w:val="00903ABB"/>
    <w:rsid w:val="00903C0F"/>
    <w:rsid w:val="00903C69"/>
    <w:rsid w:val="00903DAB"/>
    <w:rsid w:val="00903DD2"/>
    <w:rsid w:val="00903EAE"/>
    <w:rsid w:val="00903F3A"/>
    <w:rsid w:val="00903F4C"/>
    <w:rsid w:val="00904081"/>
    <w:rsid w:val="009041D5"/>
    <w:rsid w:val="0090420A"/>
    <w:rsid w:val="009042A6"/>
    <w:rsid w:val="009042B0"/>
    <w:rsid w:val="0090442D"/>
    <w:rsid w:val="00904608"/>
    <w:rsid w:val="00904671"/>
    <w:rsid w:val="009047B3"/>
    <w:rsid w:val="009047B4"/>
    <w:rsid w:val="0090483F"/>
    <w:rsid w:val="00904A6E"/>
    <w:rsid w:val="00904B7C"/>
    <w:rsid w:val="00904C2F"/>
    <w:rsid w:val="00904D26"/>
    <w:rsid w:val="00904D40"/>
    <w:rsid w:val="00904F20"/>
    <w:rsid w:val="00904F67"/>
    <w:rsid w:val="0090524D"/>
    <w:rsid w:val="0090526F"/>
    <w:rsid w:val="009053B9"/>
    <w:rsid w:val="00905432"/>
    <w:rsid w:val="009055A9"/>
    <w:rsid w:val="0090574F"/>
    <w:rsid w:val="009059BA"/>
    <w:rsid w:val="009059FC"/>
    <w:rsid w:val="00905E81"/>
    <w:rsid w:val="00905FAA"/>
    <w:rsid w:val="009061CD"/>
    <w:rsid w:val="00906388"/>
    <w:rsid w:val="00906547"/>
    <w:rsid w:val="0090666C"/>
    <w:rsid w:val="00906711"/>
    <w:rsid w:val="0090675A"/>
    <w:rsid w:val="009067DD"/>
    <w:rsid w:val="00906943"/>
    <w:rsid w:val="009069EE"/>
    <w:rsid w:val="00906A07"/>
    <w:rsid w:val="00906B54"/>
    <w:rsid w:val="00906CC1"/>
    <w:rsid w:val="00906E55"/>
    <w:rsid w:val="00907097"/>
    <w:rsid w:val="00907189"/>
    <w:rsid w:val="009074ED"/>
    <w:rsid w:val="009076C3"/>
    <w:rsid w:val="00907781"/>
    <w:rsid w:val="00907798"/>
    <w:rsid w:val="009077F6"/>
    <w:rsid w:val="00907A1F"/>
    <w:rsid w:val="00907A4D"/>
    <w:rsid w:val="00907C6B"/>
    <w:rsid w:val="00907CA9"/>
    <w:rsid w:val="00907CDF"/>
    <w:rsid w:val="00907ED2"/>
    <w:rsid w:val="00907F1F"/>
    <w:rsid w:val="00907F8A"/>
    <w:rsid w:val="0091007F"/>
    <w:rsid w:val="00910093"/>
    <w:rsid w:val="009101A9"/>
    <w:rsid w:val="0091039D"/>
    <w:rsid w:val="0091061A"/>
    <w:rsid w:val="00910659"/>
    <w:rsid w:val="009106BC"/>
    <w:rsid w:val="00910804"/>
    <w:rsid w:val="00910899"/>
    <w:rsid w:val="00910903"/>
    <w:rsid w:val="00910AD5"/>
    <w:rsid w:val="00910BBE"/>
    <w:rsid w:val="00910CF3"/>
    <w:rsid w:val="00910EAD"/>
    <w:rsid w:val="00910F9E"/>
    <w:rsid w:val="009110DE"/>
    <w:rsid w:val="00911110"/>
    <w:rsid w:val="00911206"/>
    <w:rsid w:val="0091138D"/>
    <w:rsid w:val="009113C0"/>
    <w:rsid w:val="009114FB"/>
    <w:rsid w:val="0091156B"/>
    <w:rsid w:val="009116C4"/>
    <w:rsid w:val="009116C9"/>
    <w:rsid w:val="00911808"/>
    <w:rsid w:val="009118EF"/>
    <w:rsid w:val="00911946"/>
    <w:rsid w:val="00911A37"/>
    <w:rsid w:val="00911BDB"/>
    <w:rsid w:val="00911BF3"/>
    <w:rsid w:val="00911BF4"/>
    <w:rsid w:val="00911D77"/>
    <w:rsid w:val="00911DC9"/>
    <w:rsid w:val="00911E35"/>
    <w:rsid w:val="00911E44"/>
    <w:rsid w:val="00911EB1"/>
    <w:rsid w:val="00911EC6"/>
    <w:rsid w:val="00912087"/>
    <w:rsid w:val="0091217F"/>
    <w:rsid w:val="00912197"/>
    <w:rsid w:val="00912263"/>
    <w:rsid w:val="009122AF"/>
    <w:rsid w:val="0091239A"/>
    <w:rsid w:val="00912432"/>
    <w:rsid w:val="009124E6"/>
    <w:rsid w:val="009125C4"/>
    <w:rsid w:val="00912742"/>
    <w:rsid w:val="0091292C"/>
    <w:rsid w:val="009129AD"/>
    <w:rsid w:val="00912AC3"/>
    <w:rsid w:val="00912D4A"/>
    <w:rsid w:val="00912E42"/>
    <w:rsid w:val="00912EE7"/>
    <w:rsid w:val="00913179"/>
    <w:rsid w:val="009133B7"/>
    <w:rsid w:val="0091382A"/>
    <w:rsid w:val="009138B8"/>
    <w:rsid w:val="009138F9"/>
    <w:rsid w:val="00913A40"/>
    <w:rsid w:val="00913A76"/>
    <w:rsid w:val="00913D79"/>
    <w:rsid w:val="00913ED8"/>
    <w:rsid w:val="00913F90"/>
    <w:rsid w:val="009141A5"/>
    <w:rsid w:val="009144F8"/>
    <w:rsid w:val="009145A6"/>
    <w:rsid w:val="009148DD"/>
    <w:rsid w:val="0091493E"/>
    <w:rsid w:val="009149D5"/>
    <w:rsid w:val="00914A08"/>
    <w:rsid w:val="00914B54"/>
    <w:rsid w:val="00914ED8"/>
    <w:rsid w:val="00914F2E"/>
    <w:rsid w:val="00915056"/>
    <w:rsid w:val="0091519C"/>
    <w:rsid w:val="0091536C"/>
    <w:rsid w:val="009153A8"/>
    <w:rsid w:val="00915485"/>
    <w:rsid w:val="00915534"/>
    <w:rsid w:val="009155CE"/>
    <w:rsid w:val="009156D9"/>
    <w:rsid w:val="0091575B"/>
    <w:rsid w:val="00915838"/>
    <w:rsid w:val="00915872"/>
    <w:rsid w:val="00915887"/>
    <w:rsid w:val="009158D3"/>
    <w:rsid w:val="00915A2A"/>
    <w:rsid w:val="00915A6B"/>
    <w:rsid w:val="00915B05"/>
    <w:rsid w:val="00915C9D"/>
    <w:rsid w:val="00915D11"/>
    <w:rsid w:val="009160EC"/>
    <w:rsid w:val="0091619C"/>
    <w:rsid w:val="0091631B"/>
    <w:rsid w:val="0091631E"/>
    <w:rsid w:val="00916324"/>
    <w:rsid w:val="009163FD"/>
    <w:rsid w:val="00916445"/>
    <w:rsid w:val="0091651D"/>
    <w:rsid w:val="009165B5"/>
    <w:rsid w:val="00916625"/>
    <w:rsid w:val="009166FC"/>
    <w:rsid w:val="0091674D"/>
    <w:rsid w:val="0091675B"/>
    <w:rsid w:val="00916845"/>
    <w:rsid w:val="0091689B"/>
    <w:rsid w:val="00916A17"/>
    <w:rsid w:val="00916BFA"/>
    <w:rsid w:val="00916D2B"/>
    <w:rsid w:val="00916EEB"/>
    <w:rsid w:val="009170CE"/>
    <w:rsid w:val="009170FB"/>
    <w:rsid w:val="009172B9"/>
    <w:rsid w:val="0091750B"/>
    <w:rsid w:val="00917531"/>
    <w:rsid w:val="0091794F"/>
    <w:rsid w:val="00917A4A"/>
    <w:rsid w:val="00917B04"/>
    <w:rsid w:val="00917BD4"/>
    <w:rsid w:val="00917C76"/>
    <w:rsid w:val="0092025E"/>
    <w:rsid w:val="009202E5"/>
    <w:rsid w:val="009203EE"/>
    <w:rsid w:val="009203F6"/>
    <w:rsid w:val="00920468"/>
    <w:rsid w:val="00920480"/>
    <w:rsid w:val="0092072D"/>
    <w:rsid w:val="0092075F"/>
    <w:rsid w:val="009209EE"/>
    <w:rsid w:val="00920A8D"/>
    <w:rsid w:val="00920BD4"/>
    <w:rsid w:val="00920C57"/>
    <w:rsid w:val="00920D8F"/>
    <w:rsid w:val="00920DED"/>
    <w:rsid w:val="00920F23"/>
    <w:rsid w:val="00920FBB"/>
    <w:rsid w:val="00921095"/>
    <w:rsid w:val="00921219"/>
    <w:rsid w:val="009213AF"/>
    <w:rsid w:val="00921550"/>
    <w:rsid w:val="0092155A"/>
    <w:rsid w:val="00921699"/>
    <w:rsid w:val="009216C5"/>
    <w:rsid w:val="00921757"/>
    <w:rsid w:val="00921773"/>
    <w:rsid w:val="009217FF"/>
    <w:rsid w:val="00921CD1"/>
    <w:rsid w:val="00921D8E"/>
    <w:rsid w:val="00921DAD"/>
    <w:rsid w:val="00921F1B"/>
    <w:rsid w:val="00921F2A"/>
    <w:rsid w:val="00922197"/>
    <w:rsid w:val="00922237"/>
    <w:rsid w:val="00922536"/>
    <w:rsid w:val="00922581"/>
    <w:rsid w:val="00922792"/>
    <w:rsid w:val="009228DA"/>
    <w:rsid w:val="00922930"/>
    <w:rsid w:val="00922B2F"/>
    <w:rsid w:val="00922BF4"/>
    <w:rsid w:val="00922E8D"/>
    <w:rsid w:val="00922FD4"/>
    <w:rsid w:val="00922FF3"/>
    <w:rsid w:val="00923282"/>
    <w:rsid w:val="0092332A"/>
    <w:rsid w:val="00923439"/>
    <w:rsid w:val="009237C3"/>
    <w:rsid w:val="00923892"/>
    <w:rsid w:val="009238A8"/>
    <w:rsid w:val="0092394B"/>
    <w:rsid w:val="00923982"/>
    <w:rsid w:val="00923A81"/>
    <w:rsid w:val="00923DFF"/>
    <w:rsid w:val="00924054"/>
    <w:rsid w:val="00924099"/>
    <w:rsid w:val="00924184"/>
    <w:rsid w:val="0092422D"/>
    <w:rsid w:val="0092439B"/>
    <w:rsid w:val="00924403"/>
    <w:rsid w:val="009244D1"/>
    <w:rsid w:val="009244D5"/>
    <w:rsid w:val="009244E5"/>
    <w:rsid w:val="00924515"/>
    <w:rsid w:val="0092451E"/>
    <w:rsid w:val="0092455E"/>
    <w:rsid w:val="0092464C"/>
    <w:rsid w:val="00924798"/>
    <w:rsid w:val="00924820"/>
    <w:rsid w:val="00924A6D"/>
    <w:rsid w:val="00924C5E"/>
    <w:rsid w:val="00924C8B"/>
    <w:rsid w:val="00924CF6"/>
    <w:rsid w:val="00924F32"/>
    <w:rsid w:val="0092507A"/>
    <w:rsid w:val="009251E0"/>
    <w:rsid w:val="009252B1"/>
    <w:rsid w:val="0092535B"/>
    <w:rsid w:val="009254AB"/>
    <w:rsid w:val="009254AC"/>
    <w:rsid w:val="009254D5"/>
    <w:rsid w:val="0092550B"/>
    <w:rsid w:val="0092562A"/>
    <w:rsid w:val="0092564B"/>
    <w:rsid w:val="00925664"/>
    <w:rsid w:val="009256A6"/>
    <w:rsid w:val="009256AF"/>
    <w:rsid w:val="0092572F"/>
    <w:rsid w:val="009258AC"/>
    <w:rsid w:val="0092593F"/>
    <w:rsid w:val="009259FF"/>
    <w:rsid w:val="00925B90"/>
    <w:rsid w:val="00925B93"/>
    <w:rsid w:val="00925CEB"/>
    <w:rsid w:val="00925E58"/>
    <w:rsid w:val="00925F7D"/>
    <w:rsid w:val="00925FEB"/>
    <w:rsid w:val="0092600D"/>
    <w:rsid w:val="0092604F"/>
    <w:rsid w:val="009260C9"/>
    <w:rsid w:val="009260F6"/>
    <w:rsid w:val="00926354"/>
    <w:rsid w:val="00926471"/>
    <w:rsid w:val="009264D6"/>
    <w:rsid w:val="0092651B"/>
    <w:rsid w:val="009265E0"/>
    <w:rsid w:val="00926734"/>
    <w:rsid w:val="009268A0"/>
    <w:rsid w:val="009268A9"/>
    <w:rsid w:val="009270E1"/>
    <w:rsid w:val="009270F3"/>
    <w:rsid w:val="00927120"/>
    <w:rsid w:val="00927259"/>
    <w:rsid w:val="009274A6"/>
    <w:rsid w:val="00927554"/>
    <w:rsid w:val="00927671"/>
    <w:rsid w:val="00927838"/>
    <w:rsid w:val="00927A44"/>
    <w:rsid w:val="00927BAF"/>
    <w:rsid w:val="00927CAB"/>
    <w:rsid w:val="00927DE7"/>
    <w:rsid w:val="00927F05"/>
    <w:rsid w:val="00927FA0"/>
    <w:rsid w:val="00930281"/>
    <w:rsid w:val="0093051D"/>
    <w:rsid w:val="00930578"/>
    <w:rsid w:val="00930581"/>
    <w:rsid w:val="00930745"/>
    <w:rsid w:val="009307D0"/>
    <w:rsid w:val="009307FA"/>
    <w:rsid w:val="00930891"/>
    <w:rsid w:val="00930A22"/>
    <w:rsid w:val="00930ACE"/>
    <w:rsid w:val="00930CA6"/>
    <w:rsid w:val="00930CD2"/>
    <w:rsid w:val="00930CEE"/>
    <w:rsid w:val="00930DAB"/>
    <w:rsid w:val="00930FE2"/>
    <w:rsid w:val="009311C0"/>
    <w:rsid w:val="00931260"/>
    <w:rsid w:val="00931294"/>
    <w:rsid w:val="009312EF"/>
    <w:rsid w:val="00931318"/>
    <w:rsid w:val="00931338"/>
    <w:rsid w:val="00931413"/>
    <w:rsid w:val="009314D4"/>
    <w:rsid w:val="00931528"/>
    <w:rsid w:val="009319EF"/>
    <w:rsid w:val="00931B06"/>
    <w:rsid w:val="00931CDA"/>
    <w:rsid w:val="00931D07"/>
    <w:rsid w:val="00931D35"/>
    <w:rsid w:val="00931D9E"/>
    <w:rsid w:val="00931DFE"/>
    <w:rsid w:val="00931E50"/>
    <w:rsid w:val="00931EBE"/>
    <w:rsid w:val="00931F7D"/>
    <w:rsid w:val="00932097"/>
    <w:rsid w:val="00932136"/>
    <w:rsid w:val="00932148"/>
    <w:rsid w:val="0093216B"/>
    <w:rsid w:val="009321AE"/>
    <w:rsid w:val="009321EB"/>
    <w:rsid w:val="009322D6"/>
    <w:rsid w:val="009323BA"/>
    <w:rsid w:val="009324C7"/>
    <w:rsid w:val="009324E3"/>
    <w:rsid w:val="009324EE"/>
    <w:rsid w:val="009325BF"/>
    <w:rsid w:val="00932880"/>
    <w:rsid w:val="00932A70"/>
    <w:rsid w:val="00932A72"/>
    <w:rsid w:val="00932A8F"/>
    <w:rsid w:val="00932C6E"/>
    <w:rsid w:val="00932CFE"/>
    <w:rsid w:val="00932E20"/>
    <w:rsid w:val="00932F71"/>
    <w:rsid w:val="0093304D"/>
    <w:rsid w:val="0093309E"/>
    <w:rsid w:val="009336CE"/>
    <w:rsid w:val="00933865"/>
    <w:rsid w:val="00933A74"/>
    <w:rsid w:val="00933A94"/>
    <w:rsid w:val="00933BB5"/>
    <w:rsid w:val="00933CAA"/>
    <w:rsid w:val="00933CB4"/>
    <w:rsid w:val="00933D68"/>
    <w:rsid w:val="00933D99"/>
    <w:rsid w:val="00933E66"/>
    <w:rsid w:val="00933EF1"/>
    <w:rsid w:val="00933F47"/>
    <w:rsid w:val="00933FCF"/>
    <w:rsid w:val="00934129"/>
    <w:rsid w:val="0093431C"/>
    <w:rsid w:val="00934356"/>
    <w:rsid w:val="0093440D"/>
    <w:rsid w:val="00934718"/>
    <w:rsid w:val="0093471D"/>
    <w:rsid w:val="009347AA"/>
    <w:rsid w:val="00934928"/>
    <w:rsid w:val="00934A2F"/>
    <w:rsid w:val="00934CCF"/>
    <w:rsid w:val="00934CE6"/>
    <w:rsid w:val="00934E6C"/>
    <w:rsid w:val="009350E0"/>
    <w:rsid w:val="009351AC"/>
    <w:rsid w:val="009351B0"/>
    <w:rsid w:val="00935201"/>
    <w:rsid w:val="00935497"/>
    <w:rsid w:val="00935593"/>
    <w:rsid w:val="009356DE"/>
    <w:rsid w:val="009357DB"/>
    <w:rsid w:val="00935966"/>
    <w:rsid w:val="00935A0C"/>
    <w:rsid w:val="00935A2C"/>
    <w:rsid w:val="00935B3E"/>
    <w:rsid w:val="00935C74"/>
    <w:rsid w:val="00935CA5"/>
    <w:rsid w:val="00935CE7"/>
    <w:rsid w:val="00935DBE"/>
    <w:rsid w:val="00935E17"/>
    <w:rsid w:val="00935E6C"/>
    <w:rsid w:val="00936059"/>
    <w:rsid w:val="009360D7"/>
    <w:rsid w:val="00936326"/>
    <w:rsid w:val="00936419"/>
    <w:rsid w:val="009365D0"/>
    <w:rsid w:val="009365E3"/>
    <w:rsid w:val="00936740"/>
    <w:rsid w:val="0093676E"/>
    <w:rsid w:val="0093685C"/>
    <w:rsid w:val="00936A51"/>
    <w:rsid w:val="00936B2E"/>
    <w:rsid w:val="00936C13"/>
    <w:rsid w:val="00936DB0"/>
    <w:rsid w:val="00936E82"/>
    <w:rsid w:val="00936FA5"/>
    <w:rsid w:val="0093725D"/>
    <w:rsid w:val="009372F9"/>
    <w:rsid w:val="00937503"/>
    <w:rsid w:val="00937641"/>
    <w:rsid w:val="0093765D"/>
    <w:rsid w:val="009377A0"/>
    <w:rsid w:val="009377F4"/>
    <w:rsid w:val="0093781A"/>
    <w:rsid w:val="0093788C"/>
    <w:rsid w:val="0093792C"/>
    <w:rsid w:val="0093798D"/>
    <w:rsid w:val="009379E2"/>
    <w:rsid w:val="00937AAF"/>
    <w:rsid w:val="00937B82"/>
    <w:rsid w:val="00937DEB"/>
    <w:rsid w:val="00937E18"/>
    <w:rsid w:val="00937E47"/>
    <w:rsid w:val="00937E94"/>
    <w:rsid w:val="00937EEF"/>
    <w:rsid w:val="00940239"/>
    <w:rsid w:val="009402B7"/>
    <w:rsid w:val="009402EF"/>
    <w:rsid w:val="00940501"/>
    <w:rsid w:val="00940573"/>
    <w:rsid w:val="0094062B"/>
    <w:rsid w:val="00940797"/>
    <w:rsid w:val="0094093C"/>
    <w:rsid w:val="00940C76"/>
    <w:rsid w:val="00940D8C"/>
    <w:rsid w:val="00940DF7"/>
    <w:rsid w:val="009410AF"/>
    <w:rsid w:val="009410FE"/>
    <w:rsid w:val="00941155"/>
    <w:rsid w:val="00941218"/>
    <w:rsid w:val="0094121B"/>
    <w:rsid w:val="0094126F"/>
    <w:rsid w:val="0094130F"/>
    <w:rsid w:val="0094140F"/>
    <w:rsid w:val="00941570"/>
    <w:rsid w:val="009415B1"/>
    <w:rsid w:val="00941645"/>
    <w:rsid w:val="009418B2"/>
    <w:rsid w:val="00941B6E"/>
    <w:rsid w:val="00941D23"/>
    <w:rsid w:val="00941D79"/>
    <w:rsid w:val="00941ED5"/>
    <w:rsid w:val="00941EEA"/>
    <w:rsid w:val="00941FFC"/>
    <w:rsid w:val="009421FF"/>
    <w:rsid w:val="009422C8"/>
    <w:rsid w:val="009423F7"/>
    <w:rsid w:val="0094243D"/>
    <w:rsid w:val="009424CF"/>
    <w:rsid w:val="0094252D"/>
    <w:rsid w:val="009426C2"/>
    <w:rsid w:val="009428E2"/>
    <w:rsid w:val="00942ED6"/>
    <w:rsid w:val="009430CE"/>
    <w:rsid w:val="00943172"/>
    <w:rsid w:val="00943185"/>
    <w:rsid w:val="009431BF"/>
    <w:rsid w:val="009432FA"/>
    <w:rsid w:val="0094334E"/>
    <w:rsid w:val="0094346A"/>
    <w:rsid w:val="00943515"/>
    <w:rsid w:val="0094355C"/>
    <w:rsid w:val="00943784"/>
    <w:rsid w:val="009437D8"/>
    <w:rsid w:val="00943912"/>
    <w:rsid w:val="00943A85"/>
    <w:rsid w:val="00943C6D"/>
    <w:rsid w:val="009441CD"/>
    <w:rsid w:val="00944948"/>
    <w:rsid w:val="00944997"/>
    <w:rsid w:val="00944B59"/>
    <w:rsid w:val="00944C7C"/>
    <w:rsid w:val="00944D3B"/>
    <w:rsid w:val="00944D98"/>
    <w:rsid w:val="00944E73"/>
    <w:rsid w:val="00945039"/>
    <w:rsid w:val="00945162"/>
    <w:rsid w:val="009451F4"/>
    <w:rsid w:val="0094520E"/>
    <w:rsid w:val="009453AA"/>
    <w:rsid w:val="00945573"/>
    <w:rsid w:val="009455CE"/>
    <w:rsid w:val="00945663"/>
    <w:rsid w:val="00945670"/>
    <w:rsid w:val="0094583F"/>
    <w:rsid w:val="009458AF"/>
    <w:rsid w:val="009458B2"/>
    <w:rsid w:val="009459DB"/>
    <w:rsid w:val="00945A26"/>
    <w:rsid w:val="00945EA3"/>
    <w:rsid w:val="00945F62"/>
    <w:rsid w:val="0094600A"/>
    <w:rsid w:val="00946034"/>
    <w:rsid w:val="009460B6"/>
    <w:rsid w:val="0094627D"/>
    <w:rsid w:val="0094630B"/>
    <w:rsid w:val="009463A0"/>
    <w:rsid w:val="00946466"/>
    <w:rsid w:val="00946487"/>
    <w:rsid w:val="0094662E"/>
    <w:rsid w:val="009466C6"/>
    <w:rsid w:val="0094688E"/>
    <w:rsid w:val="009468D0"/>
    <w:rsid w:val="009469F0"/>
    <w:rsid w:val="009469F6"/>
    <w:rsid w:val="00946B41"/>
    <w:rsid w:val="00946B95"/>
    <w:rsid w:val="00946C2F"/>
    <w:rsid w:val="00946CE4"/>
    <w:rsid w:val="00946DB6"/>
    <w:rsid w:val="00946DBB"/>
    <w:rsid w:val="00946E57"/>
    <w:rsid w:val="00946ED8"/>
    <w:rsid w:val="00946F06"/>
    <w:rsid w:val="009470D7"/>
    <w:rsid w:val="00947179"/>
    <w:rsid w:val="009471C3"/>
    <w:rsid w:val="0094728F"/>
    <w:rsid w:val="00947357"/>
    <w:rsid w:val="00947418"/>
    <w:rsid w:val="0094741E"/>
    <w:rsid w:val="009479F7"/>
    <w:rsid w:val="00947A16"/>
    <w:rsid w:val="00947DBD"/>
    <w:rsid w:val="00947F7E"/>
    <w:rsid w:val="00947FC4"/>
    <w:rsid w:val="00950097"/>
    <w:rsid w:val="0095016E"/>
    <w:rsid w:val="00950337"/>
    <w:rsid w:val="00950376"/>
    <w:rsid w:val="009503A4"/>
    <w:rsid w:val="009505C3"/>
    <w:rsid w:val="009506A9"/>
    <w:rsid w:val="009506B1"/>
    <w:rsid w:val="00950969"/>
    <w:rsid w:val="00950971"/>
    <w:rsid w:val="009509B3"/>
    <w:rsid w:val="009509D8"/>
    <w:rsid w:val="00950AB3"/>
    <w:rsid w:val="00950B19"/>
    <w:rsid w:val="00950B1D"/>
    <w:rsid w:val="00950DC1"/>
    <w:rsid w:val="00950DCF"/>
    <w:rsid w:val="00950E15"/>
    <w:rsid w:val="00950E92"/>
    <w:rsid w:val="0095110B"/>
    <w:rsid w:val="00951184"/>
    <w:rsid w:val="009511E2"/>
    <w:rsid w:val="00951292"/>
    <w:rsid w:val="009513DE"/>
    <w:rsid w:val="009513EB"/>
    <w:rsid w:val="00951468"/>
    <w:rsid w:val="0095150A"/>
    <w:rsid w:val="009517BF"/>
    <w:rsid w:val="00951803"/>
    <w:rsid w:val="009519CA"/>
    <w:rsid w:val="009519D6"/>
    <w:rsid w:val="00951A1A"/>
    <w:rsid w:val="00951A3C"/>
    <w:rsid w:val="00951D39"/>
    <w:rsid w:val="00951D81"/>
    <w:rsid w:val="00951E64"/>
    <w:rsid w:val="00951ECA"/>
    <w:rsid w:val="00951F7B"/>
    <w:rsid w:val="00952036"/>
    <w:rsid w:val="009520B5"/>
    <w:rsid w:val="009520D9"/>
    <w:rsid w:val="00952102"/>
    <w:rsid w:val="0095256D"/>
    <w:rsid w:val="009527AA"/>
    <w:rsid w:val="00952830"/>
    <w:rsid w:val="009528B6"/>
    <w:rsid w:val="0095292A"/>
    <w:rsid w:val="009529D7"/>
    <w:rsid w:val="00952A08"/>
    <w:rsid w:val="00952A43"/>
    <w:rsid w:val="00952AA6"/>
    <w:rsid w:val="00952AEF"/>
    <w:rsid w:val="00952F0E"/>
    <w:rsid w:val="009532D4"/>
    <w:rsid w:val="0095353C"/>
    <w:rsid w:val="009536E4"/>
    <w:rsid w:val="00953998"/>
    <w:rsid w:val="00953BFE"/>
    <w:rsid w:val="00953EE9"/>
    <w:rsid w:val="009541AD"/>
    <w:rsid w:val="00954214"/>
    <w:rsid w:val="00954299"/>
    <w:rsid w:val="009544EB"/>
    <w:rsid w:val="00954533"/>
    <w:rsid w:val="00954553"/>
    <w:rsid w:val="0095456B"/>
    <w:rsid w:val="00954585"/>
    <w:rsid w:val="00954595"/>
    <w:rsid w:val="009545F1"/>
    <w:rsid w:val="0095479C"/>
    <w:rsid w:val="00954CF9"/>
    <w:rsid w:val="00954D76"/>
    <w:rsid w:val="00955092"/>
    <w:rsid w:val="009550FB"/>
    <w:rsid w:val="00955105"/>
    <w:rsid w:val="0095515D"/>
    <w:rsid w:val="0095519F"/>
    <w:rsid w:val="009551A9"/>
    <w:rsid w:val="0095537E"/>
    <w:rsid w:val="009553B2"/>
    <w:rsid w:val="009556DC"/>
    <w:rsid w:val="0095590A"/>
    <w:rsid w:val="00955A59"/>
    <w:rsid w:val="00955BBF"/>
    <w:rsid w:val="00955C8A"/>
    <w:rsid w:val="00955DCE"/>
    <w:rsid w:val="00955E6B"/>
    <w:rsid w:val="00955FCA"/>
    <w:rsid w:val="009562F1"/>
    <w:rsid w:val="009562F9"/>
    <w:rsid w:val="0095645B"/>
    <w:rsid w:val="00956499"/>
    <w:rsid w:val="00956630"/>
    <w:rsid w:val="009567F8"/>
    <w:rsid w:val="009568B3"/>
    <w:rsid w:val="00956985"/>
    <w:rsid w:val="009569C4"/>
    <w:rsid w:val="00956A45"/>
    <w:rsid w:val="00956BED"/>
    <w:rsid w:val="0095700B"/>
    <w:rsid w:val="00957225"/>
    <w:rsid w:val="0095730E"/>
    <w:rsid w:val="0095738E"/>
    <w:rsid w:val="009574A5"/>
    <w:rsid w:val="0095751F"/>
    <w:rsid w:val="00957583"/>
    <w:rsid w:val="009575F1"/>
    <w:rsid w:val="009576F8"/>
    <w:rsid w:val="009577CA"/>
    <w:rsid w:val="00957B81"/>
    <w:rsid w:val="00957C1E"/>
    <w:rsid w:val="00957C96"/>
    <w:rsid w:val="00957D35"/>
    <w:rsid w:val="00957E2D"/>
    <w:rsid w:val="00957FF5"/>
    <w:rsid w:val="00960114"/>
    <w:rsid w:val="00960144"/>
    <w:rsid w:val="00960145"/>
    <w:rsid w:val="009602A6"/>
    <w:rsid w:val="009602D7"/>
    <w:rsid w:val="00960301"/>
    <w:rsid w:val="00960620"/>
    <w:rsid w:val="009608FE"/>
    <w:rsid w:val="0096096C"/>
    <w:rsid w:val="009609D1"/>
    <w:rsid w:val="00960B15"/>
    <w:rsid w:val="00960D58"/>
    <w:rsid w:val="00960DC9"/>
    <w:rsid w:val="00960EBC"/>
    <w:rsid w:val="00960F30"/>
    <w:rsid w:val="00960F3A"/>
    <w:rsid w:val="009610C8"/>
    <w:rsid w:val="0096111B"/>
    <w:rsid w:val="009611D1"/>
    <w:rsid w:val="00961280"/>
    <w:rsid w:val="009613E8"/>
    <w:rsid w:val="009615DD"/>
    <w:rsid w:val="009615E9"/>
    <w:rsid w:val="009616C1"/>
    <w:rsid w:val="009616E8"/>
    <w:rsid w:val="009619C6"/>
    <w:rsid w:val="00961BF7"/>
    <w:rsid w:val="00961C5A"/>
    <w:rsid w:val="00961CDE"/>
    <w:rsid w:val="00961D5B"/>
    <w:rsid w:val="00961E33"/>
    <w:rsid w:val="00961ED3"/>
    <w:rsid w:val="00961F02"/>
    <w:rsid w:val="00961F38"/>
    <w:rsid w:val="00961F90"/>
    <w:rsid w:val="0096250F"/>
    <w:rsid w:val="009625A2"/>
    <w:rsid w:val="00962BDE"/>
    <w:rsid w:val="00962D3D"/>
    <w:rsid w:val="0096313A"/>
    <w:rsid w:val="009631AA"/>
    <w:rsid w:val="009632F0"/>
    <w:rsid w:val="00963356"/>
    <w:rsid w:val="00963359"/>
    <w:rsid w:val="009634BB"/>
    <w:rsid w:val="009634E8"/>
    <w:rsid w:val="0096357C"/>
    <w:rsid w:val="009635E4"/>
    <w:rsid w:val="00963699"/>
    <w:rsid w:val="009636C6"/>
    <w:rsid w:val="0096374E"/>
    <w:rsid w:val="009637F0"/>
    <w:rsid w:val="0096391D"/>
    <w:rsid w:val="0096398F"/>
    <w:rsid w:val="009639DE"/>
    <w:rsid w:val="00963A9A"/>
    <w:rsid w:val="00963CB3"/>
    <w:rsid w:val="00963D8E"/>
    <w:rsid w:val="00963F1D"/>
    <w:rsid w:val="00963F23"/>
    <w:rsid w:val="00963F90"/>
    <w:rsid w:val="00964163"/>
    <w:rsid w:val="009643D1"/>
    <w:rsid w:val="00964485"/>
    <w:rsid w:val="009644DE"/>
    <w:rsid w:val="009646A1"/>
    <w:rsid w:val="00964A8A"/>
    <w:rsid w:val="00964B90"/>
    <w:rsid w:val="00964C4C"/>
    <w:rsid w:val="00964CE1"/>
    <w:rsid w:val="00964EFE"/>
    <w:rsid w:val="00964F52"/>
    <w:rsid w:val="0096509A"/>
    <w:rsid w:val="009653A5"/>
    <w:rsid w:val="009654C2"/>
    <w:rsid w:val="00965503"/>
    <w:rsid w:val="0096568B"/>
    <w:rsid w:val="0096569B"/>
    <w:rsid w:val="0096571D"/>
    <w:rsid w:val="00965825"/>
    <w:rsid w:val="009658FA"/>
    <w:rsid w:val="0096599A"/>
    <w:rsid w:val="00965A24"/>
    <w:rsid w:val="00965AE5"/>
    <w:rsid w:val="00965AF3"/>
    <w:rsid w:val="00965C64"/>
    <w:rsid w:val="00965E55"/>
    <w:rsid w:val="00965E65"/>
    <w:rsid w:val="00965EA7"/>
    <w:rsid w:val="00965F9A"/>
    <w:rsid w:val="009661C8"/>
    <w:rsid w:val="009661E0"/>
    <w:rsid w:val="00966225"/>
    <w:rsid w:val="009662E6"/>
    <w:rsid w:val="009663A0"/>
    <w:rsid w:val="00966404"/>
    <w:rsid w:val="009664AA"/>
    <w:rsid w:val="00966585"/>
    <w:rsid w:val="009667D5"/>
    <w:rsid w:val="009668DA"/>
    <w:rsid w:val="009668ED"/>
    <w:rsid w:val="009668FF"/>
    <w:rsid w:val="009669D3"/>
    <w:rsid w:val="00966A7D"/>
    <w:rsid w:val="00966B7D"/>
    <w:rsid w:val="00966B91"/>
    <w:rsid w:val="00966DFA"/>
    <w:rsid w:val="00966FFF"/>
    <w:rsid w:val="009671B6"/>
    <w:rsid w:val="00967285"/>
    <w:rsid w:val="009673AA"/>
    <w:rsid w:val="009674A0"/>
    <w:rsid w:val="00967548"/>
    <w:rsid w:val="0096772A"/>
    <w:rsid w:val="009678A8"/>
    <w:rsid w:val="009678D6"/>
    <w:rsid w:val="009678FB"/>
    <w:rsid w:val="00967A9E"/>
    <w:rsid w:val="00967C06"/>
    <w:rsid w:val="00967C29"/>
    <w:rsid w:val="00967C47"/>
    <w:rsid w:val="00967C9C"/>
    <w:rsid w:val="00967E28"/>
    <w:rsid w:val="00967E8D"/>
    <w:rsid w:val="00967FF3"/>
    <w:rsid w:val="00970031"/>
    <w:rsid w:val="0097010E"/>
    <w:rsid w:val="009703F8"/>
    <w:rsid w:val="00970402"/>
    <w:rsid w:val="009706AD"/>
    <w:rsid w:val="009706B3"/>
    <w:rsid w:val="00970701"/>
    <w:rsid w:val="009707BE"/>
    <w:rsid w:val="009708C2"/>
    <w:rsid w:val="00970958"/>
    <w:rsid w:val="009709CC"/>
    <w:rsid w:val="00970C22"/>
    <w:rsid w:val="00971080"/>
    <w:rsid w:val="009713BB"/>
    <w:rsid w:val="00971709"/>
    <w:rsid w:val="009717CA"/>
    <w:rsid w:val="0097182C"/>
    <w:rsid w:val="00971B0E"/>
    <w:rsid w:val="00971C16"/>
    <w:rsid w:val="00971C17"/>
    <w:rsid w:val="00971C5C"/>
    <w:rsid w:val="00971DAA"/>
    <w:rsid w:val="00971E00"/>
    <w:rsid w:val="00972261"/>
    <w:rsid w:val="00972319"/>
    <w:rsid w:val="009723D7"/>
    <w:rsid w:val="00972927"/>
    <w:rsid w:val="00972935"/>
    <w:rsid w:val="00972A23"/>
    <w:rsid w:val="00972A28"/>
    <w:rsid w:val="00972BE7"/>
    <w:rsid w:val="00972C20"/>
    <w:rsid w:val="00972D2F"/>
    <w:rsid w:val="00972DB2"/>
    <w:rsid w:val="00972F85"/>
    <w:rsid w:val="00972FAF"/>
    <w:rsid w:val="00973160"/>
    <w:rsid w:val="00973190"/>
    <w:rsid w:val="00973329"/>
    <w:rsid w:val="009735A1"/>
    <w:rsid w:val="00973601"/>
    <w:rsid w:val="0097361C"/>
    <w:rsid w:val="00973645"/>
    <w:rsid w:val="009737DD"/>
    <w:rsid w:val="00973940"/>
    <w:rsid w:val="00973BA8"/>
    <w:rsid w:val="00973CE0"/>
    <w:rsid w:val="00973CFA"/>
    <w:rsid w:val="00974008"/>
    <w:rsid w:val="00974011"/>
    <w:rsid w:val="00974038"/>
    <w:rsid w:val="00974043"/>
    <w:rsid w:val="009740F1"/>
    <w:rsid w:val="00974329"/>
    <w:rsid w:val="0097434E"/>
    <w:rsid w:val="0097445E"/>
    <w:rsid w:val="0097448D"/>
    <w:rsid w:val="0097465F"/>
    <w:rsid w:val="009747D9"/>
    <w:rsid w:val="009748F7"/>
    <w:rsid w:val="00974942"/>
    <w:rsid w:val="009749AC"/>
    <w:rsid w:val="00974BAB"/>
    <w:rsid w:val="00974BB2"/>
    <w:rsid w:val="00974BC3"/>
    <w:rsid w:val="00974CCC"/>
    <w:rsid w:val="00974E4B"/>
    <w:rsid w:val="0097522E"/>
    <w:rsid w:val="009753FB"/>
    <w:rsid w:val="0097545E"/>
    <w:rsid w:val="0097546F"/>
    <w:rsid w:val="009755B9"/>
    <w:rsid w:val="009757AA"/>
    <w:rsid w:val="0097585D"/>
    <w:rsid w:val="009759B8"/>
    <w:rsid w:val="00975A7F"/>
    <w:rsid w:val="00975BDE"/>
    <w:rsid w:val="00975CC0"/>
    <w:rsid w:val="00975CF3"/>
    <w:rsid w:val="00975CF6"/>
    <w:rsid w:val="00975E65"/>
    <w:rsid w:val="00975F89"/>
    <w:rsid w:val="0097606A"/>
    <w:rsid w:val="0097606F"/>
    <w:rsid w:val="009760B0"/>
    <w:rsid w:val="009761AA"/>
    <w:rsid w:val="00976289"/>
    <w:rsid w:val="009762AB"/>
    <w:rsid w:val="00976370"/>
    <w:rsid w:val="009763ED"/>
    <w:rsid w:val="00976433"/>
    <w:rsid w:val="009765CC"/>
    <w:rsid w:val="009765CF"/>
    <w:rsid w:val="00976692"/>
    <w:rsid w:val="009769D7"/>
    <w:rsid w:val="00976A75"/>
    <w:rsid w:val="00976B47"/>
    <w:rsid w:val="00976BBD"/>
    <w:rsid w:val="00976DBB"/>
    <w:rsid w:val="00976E6D"/>
    <w:rsid w:val="00976EBC"/>
    <w:rsid w:val="00976F3A"/>
    <w:rsid w:val="00976FBA"/>
    <w:rsid w:val="00977022"/>
    <w:rsid w:val="00977112"/>
    <w:rsid w:val="00977144"/>
    <w:rsid w:val="009771B0"/>
    <w:rsid w:val="00977254"/>
    <w:rsid w:val="0097725A"/>
    <w:rsid w:val="00977763"/>
    <w:rsid w:val="009777FB"/>
    <w:rsid w:val="00977847"/>
    <w:rsid w:val="00977876"/>
    <w:rsid w:val="009778C9"/>
    <w:rsid w:val="0097798C"/>
    <w:rsid w:val="00977B01"/>
    <w:rsid w:val="00977B0D"/>
    <w:rsid w:val="00977B40"/>
    <w:rsid w:val="00977B54"/>
    <w:rsid w:val="00977C09"/>
    <w:rsid w:val="00977E5E"/>
    <w:rsid w:val="00977EEC"/>
    <w:rsid w:val="0098003C"/>
    <w:rsid w:val="009801E3"/>
    <w:rsid w:val="00980237"/>
    <w:rsid w:val="00980631"/>
    <w:rsid w:val="009806A7"/>
    <w:rsid w:val="0098094A"/>
    <w:rsid w:val="00980A0A"/>
    <w:rsid w:val="00980B13"/>
    <w:rsid w:val="00980CB2"/>
    <w:rsid w:val="00980CBA"/>
    <w:rsid w:val="00980DCE"/>
    <w:rsid w:val="00980E18"/>
    <w:rsid w:val="00980E42"/>
    <w:rsid w:val="00980E68"/>
    <w:rsid w:val="00981000"/>
    <w:rsid w:val="0098111D"/>
    <w:rsid w:val="009811D1"/>
    <w:rsid w:val="00981267"/>
    <w:rsid w:val="00981412"/>
    <w:rsid w:val="00981439"/>
    <w:rsid w:val="009814CC"/>
    <w:rsid w:val="00981564"/>
    <w:rsid w:val="00981651"/>
    <w:rsid w:val="00981682"/>
    <w:rsid w:val="009816ED"/>
    <w:rsid w:val="00981738"/>
    <w:rsid w:val="00981856"/>
    <w:rsid w:val="009818AF"/>
    <w:rsid w:val="009819A7"/>
    <w:rsid w:val="00981A5F"/>
    <w:rsid w:val="00981C64"/>
    <w:rsid w:val="00981CB4"/>
    <w:rsid w:val="00981DEA"/>
    <w:rsid w:val="00981E6E"/>
    <w:rsid w:val="00981F09"/>
    <w:rsid w:val="00981F16"/>
    <w:rsid w:val="00981F55"/>
    <w:rsid w:val="00981F91"/>
    <w:rsid w:val="00981FA7"/>
    <w:rsid w:val="00982062"/>
    <w:rsid w:val="00982088"/>
    <w:rsid w:val="00982156"/>
    <w:rsid w:val="00982176"/>
    <w:rsid w:val="0098253C"/>
    <w:rsid w:val="009825B6"/>
    <w:rsid w:val="00982687"/>
    <w:rsid w:val="009828FF"/>
    <w:rsid w:val="0098294E"/>
    <w:rsid w:val="00982A18"/>
    <w:rsid w:val="00982AC8"/>
    <w:rsid w:val="00982B10"/>
    <w:rsid w:val="00982C31"/>
    <w:rsid w:val="00982CDB"/>
    <w:rsid w:val="00982D20"/>
    <w:rsid w:val="00982D74"/>
    <w:rsid w:val="00982E18"/>
    <w:rsid w:val="00982F45"/>
    <w:rsid w:val="009830FB"/>
    <w:rsid w:val="00983183"/>
    <w:rsid w:val="00983298"/>
    <w:rsid w:val="009832DA"/>
    <w:rsid w:val="00983467"/>
    <w:rsid w:val="009834BE"/>
    <w:rsid w:val="00983504"/>
    <w:rsid w:val="00983656"/>
    <w:rsid w:val="00983783"/>
    <w:rsid w:val="009839E8"/>
    <w:rsid w:val="009839F7"/>
    <w:rsid w:val="00983B32"/>
    <w:rsid w:val="00983B90"/>
    <w:rsid w:val="00983DFB"/>
    <w:rsid w:val="00983F3B"/>
    <w:rsid w:val="00983F50"/>
    <w:rsid w:val="009840FA"/>
    <w:rsid w:val="00984314"/>
    <w:rsid w:val="009844F9"/>
    <w:rsid w:val="009845D8"/>
    <w:rsid w:val="009846A9"/>
    <w:rsid w:val="0098479B"/>
    <w:rsid w:val="00984813"/>
    <w:rsid w:val="00984894"/>
    <w:rsid w:val="00984905"/>
    <w:rsid w:val="009849C5"/>
    <w:rsid w:val="00984A8D"/>
    <w:rsid w:val="00984C32"/>
    <w:rsid w:val="00984C4C"/>
    <w:rsid w:val="00984C7C"/>
    <w:rsid w:val="00984CED"/>
    <w:rsid w:val="00984FB5"/>
    <w:rsid w:val="00984FFF"/>
    <w:rsid w:val="00985048"/>
    <w:rsid w:val="009851A1"/>
    <w:rsid w:val="009851F7"/>
    <w:rsid w:val="00985282"/>
    <w:rsid w:val="0098532D"/>
    <w:rsid w:val="00985507"/>
    <w:rsid w:val="00985508"/>
    <w:rsid w:val="00985675"/>
    <w:rsid w:val="00985680"/>
    <w:rsid w:val="009856DF"/>
    <w:rsid w:val="0098582D"/>
    <w:rsid w:val="0098599E"/>
    <w:rsid w:val="00985C3F"/>
    <w:rsid w:val="00985CF4"/>
    <w:rsid w:val="00985D21"/>
    <w:rsid w:val="00985D27"/>
    <w:rsid w:val="00985D91"/>
    <w:rsid w:val="00985D94"/>
    <w:rsid w:val="00985D96"/>
    <w:rsid w:val="00985DB0"/>
    <w:rsid w:val="00985EEF"/>
    <w:rsid w:val="0098614C"/>
    <w:rsid w:val="00986161"/>
    <w:rsid w:val="0098619E"/>
    <w:rsid w:val="00986234"/>
    <w:rsid w:val="0098626E"/>
    <w:rsid w:val="009865F5"/>
    <w:rsid w:val="0098667D"/>
    <w:rsid w:val="009867E0"/>
    <w:rsid w:val="0098690B"/>
    <w:rsid w:val="00986B19"/>
    <w:rsid w:val="00986CB1"/>
    <w:rsid w:val="00986D89"/>
    <w:rsid w:val="00986DC0"/>
    <w:rsid w:val="00986E47"/>
    <w:rsid w:val="0098711B"/>
    <w:rsid w:val="009871EE"/>
    <w:rsid w:val="009872F1"/>
    <w:rsid w:val="009874FC"/>
    <w:rsid w:val="0098756A"/>
    <w:rsid w:val="009877F5"/>
    <w:rsid w:val="0098793C"/>
    <w:rsid w:val="00987998"/>
    <w:rsid w:val="00987A83"/>
    <w:rsid w:val="00987B78"/>
    <w:rsid w:val="00987CB4"/>
    <w:rsid w:val="00987D9E"/>
    <w:rsid w:val="00987E02"/>
    <w:rsid w:val="00987E7D"/>
    <w:rsid w:val="00990016"/>
    <w:rsid w:val="00990152"/>
    <w:rsid w:val="00990349"/>
    <w:rsid w:val="00990396"/>
    <w:rsid w:val="009903D5"/>
    <w:rsid w:val="0099059C"/>
    <w:rsid w:val="009905D5"/>
    <w:rsid w:val="0099088F"/>
    <w:rsid w:val="009908E6"/>
    <w:rsid w:val="009909AD"/>
    <w:rsid w:val="00990BD7"/>
    <w:rsid w:val="00990C13"/>
    <w:rsid w:val="00990C51"/>
    <w:rsid w:val="00990C59"/>
    <w:rsid w:val="00990C6D"/>
    <w:rsid w:val="00990E38"/>
    <w:rsid w:val="00990EBF"/>
    <w:rsid w:val="00990F60"/>
    <w:rsid w:val="00990FF9"/>
    <w:rsid w:val="009910E0"/>
    <w:rsid w:val="0099117D"/>
    <w:rsid w:val="00991342"/>
    <w:rsid w:val="0099137C"/>
    <w:rsid w:val="009914C3"/>
    <w:rsid w:val="00991567"/>
    <w:rsid w:val="0099161D"/>
    <w:rsid w:val="00991663"/>
    <w:rsid w:val="00991991"/>
    <w:rsid w:val="00991A16"/>
    <w:rsid w:val="00991A35"/>
    <w:rsid w:val="00991C79"/>
    <w:rsid w:val="00991FF4"/>
    <w:rsid w:val="0099200B"/>
    <w:rsid w:val="0099208E"/>
    <w:rsid w:val="009921B8"/>
    <w:rsid w:val="009921E3"/>
    <w:rsid w:val="00992234"/>
    <w:rsid w:val="009922D9"/>
    <w:rsid w:val="009922ED"/>
    <w:rsid w:val="00992354"/>
    <w:rsid w:val="00992590"/>
    <w:rsid w:val="009926AB"/>
    <w:rsid w:val="00992735"/>
    <w:rsid w:val="009927EE"/>
    <w:rsid w:val="00992864"/>
    <w:rsid w:val="009929D0"/>
    <w:rsid w:val="00992B04"/>
    <w:rsid w:val="00992B40"/>
    <w:rsid w:val="00992C3C"/>
    <w:rsid w:val="00992C7E"/>
    <w:rsid w:val="00992D70"/>
    <w:rsid w:val="00992E21"/>
    <w:rsid w:val="00992EDC"/>
    <w:rsid w:val="0099339C"/>
    <w:rsid w:val="00993495"/>
    <w:rsid w:val="0099349A"/>
    <w:rsid w:val="00993598"/>
    <w:rsid w:val="009935BB"/>
    <w:rsid w:val="009935EB"/>
    <w:rsid w:val="00993616"/>
    <w:rsid w:val="00993654"/>
    <w:rsid w:val="0099365B"/>
    <w:rsid w:val="00993697"/>
    <w:rsid w:val="00993743"/>
    <w:rsid w:val="00993775"/>
    <w:rsid w:val="00993818"/>
    <w:rsid w:val="00993B05"/>
    <w:rsid w:val="00993B0A"/>
    <w:rsid w:val="00993B4F"/>
    <w:rsid w:val="00993C82"/>
    <w:rsid w:val="00993C9B"/>
    <w:rsid w:val="00993E1A"/>
    <w:rsid w:val="00993E2F"/>
    <w:rsid w:val="00993EC5"/>
    <w:rsid w:val="00993FA4"/>
    <w:rsid w:val="00993FAA"/>
    <w:rsid w:val="00993FC2"/>
    <w:rsid w:val="00994505"/>
    <w:rsid w:val="00994749"/>
    <w:rsid w:val="009947EB"/>
    <w:rsid w:val="00994BC0"/>
    <w:rsid w:val="00994BE8"/>
    <w:rsid w:val="00994C87"/>
    <w:rsid w:val="00994D2A"/>
    <w:rsid w:val="00994DC4"/>
    <w:rsid w:val="00994E34"/>
    <w:rsid w:val="009950CD"/>
    <w:rsid w:val="00995197"/>
    <w:rsid w:val="0099522C"/>
    <w:rsid w:val="009952C4"/>
    <w:rsid w:val="009952E8"/>
    <w:rsid w:val="00995317"/>
    <w:rsid w:val="0099534C"/>
    <w:rsid w:val="00995522"/>
    <w:rsid w:val="00995577"/>
    <w:rsid w:val="009956CB"/>
    <w:rsid w:val="00995AA2"/>
    <w:rsid w:val="00995CC2"/>
    <w:rsid w:val="00995DEC"/>
    <w:rsid w:val="00995E18"/>
    <w:rsid w:val="00995E64"/>
    <w:rsid w:val="00996029"/>
    <w:rsid w:val="0099602F"/>
    <w:rsid w:val="00996116"/>
    <w:rsid w:val="0099621E"/>
    <w:rsid w:val="009963A6"/>
    <w:rsid w:val="00996488"/>
    <w:rsid w:val="009966BA"/>
    <w:rsid w:val="009966FB"/>
    <w:rsid w:val="0099677B"/>
    <w:rsid w:val="00996AC4"/>
    <w:rsid w:val="00996BB6"/>
    <w:rsid w:val="00996CE8"/>
    <w:rsid w:val="00996E8E"/>
    <w:rsid w:val="00996EDA"/>
    <w:rsid w:val="00997042"/>
    <w:rsid w:val="00997059"/>
    <w:rsid w:val="009970F1"/>
    <w:rsid w:val="00997108"/>
    <w:rsid w:val="00997154"/>
    <w:rsid w:val="009972B7"/>
    <w:rsid w:val="0099741A"/>
    <w:rsid w:val="00997444"/>
    <w:rsid w:val="009976A1"/>
    <w:rsid w:val="00997771"/>
    <w:rsid w:val="009978A7"/>
    <w:rsid w:val="009979E5"/>
    <w:rsid w:val="00997AA4"/>
    <w:rsid w:val="00997B0A"/>
    <w:rsid w:val="00997CDD"/>
    <w:rsid w:val="00997D55"/>
    <w:rsid w:val="00997E36"/>
    <w:rsid w:val="00997F8C"/>
    <w:rsid w:val="009A0095"/>
    <w:rsid w:val="009A03DE"/>
    <w:rsid w:val="009A040D"/>
    <w:rsid w:val="009A09ED"/>
    <w:rsid w:val="009A0B83"/>
    <w:rsid w:val="009A0D09"/>
    <w:rsid w:val="009A0DF5"/>
    <w:rsid w:val="009A0FE8"/>
    <w:rsid w:val="009A11F0"/>
    <w:rsid w:val="009A13FB"/>
    <w:rsid w:val="009A14E9"/>
    <w:rsid w:val="009A166F"/>
    <w:rsid w:val="009A18F8"/>
    <w:rsid w:val="009A194E"/>
    <w:rsid w:val="009A1B03"/>
    <w:rsid w:val="009A1D1A"/>
    <w:rsid w:val="009A1E43"/>
    <w:rsid w:val="009A1E74"/>
    <w:rsid w:val="009A20C0"/>
    <w:rsid w:val="009A2139"/>
    <w:rsid w:val="009A21F7"/>
    <w:rsid w:val="009A21FA"/>
    <w:rsid w:val="009A224E"/>
    <w:rsid w:val="009A22D0"/>
    <w:rsid w:val="009A2553"/>
    <w:rsid w:val="009A2562"/>
    <w:rsid w:val="009A258C"/>
    <w:rsid w:val="009A2835"/>
    <w:rsid w:val="009A2902"/>
    <w:rsid w:val="009A29B6"/>
    <w:rsid w:val="009A2A73"/>
    <w:rsid w:val="009A2C47"/>
    <w:rsid w:val="009A3094"/>
    <w:rsid w:val="009A318B"/>
    <w:rsid w:val="009A339B"/>
    <w:rsid w:val="009A35F0"/>
    <w:rsid w:val="009A372C"/>
    <w:rsid w:val="009A373B"/>
    <w:rsid w:val="009A3B8C"/>
    <w:rsid w:val="009A3D78"/>
    <w:rsid w:val="009A3D89"/>
    <w:rsid w:val="009A3E09"/>
    <w:rsid w:val="009A3F00"/>
    <w:rsid w:val="009A3F99"/>
    <w:rsid w:val="009A3FA2"/>
    <w:rsid w:val="009A3FDB"/>
    <w:rsid w:val="009A4116"/>
    <w:rsid w:val="009A411B"/>
    <w:rsid w:val="009A4169"/>
    <w:rsid w:val="009A42C4"/>
    <w:rsid w:val="009A442E"/>
    <w:rsid w:val="009A4592"/>
    <w:rsid w:val="009A481A"/>
    <w:rsid w:val="009A481C"/>
    <w:rsid w:val="009A4927"/>
    <w:rsid w:val="009A4946"/>
    <w:rsid w:val="009A4963"/>
    <w:rsid w:val="009A4990"/>
    <w:rsid w:val="009A4BA8"/>
    <w:rsid w:val="009A4D08"/>
    <w:rsid w:val="009A4D59"/>
    <w:rsid w:val="009A4EAB"/>
    <w:rsid w:val="009A5249"/>
    <w:rsid w:val="009A56F1"/>
    <w:rsid w:val="009A57FE"/>
    <w:rsid w:val="009A59E8"/>
    <w:rsid w:val="009A5A34"/>
    <w:rsid w:val="009A5A3B"/>
    <w:rsid w:val="009A5B77"/>
    <w:rsid w:val="009A5B8B"/>
    <w:rsid w:val="009A5CA7"/>
    <w:rsid w:val="009A5D3D"/>
    <w:rsid w:val="009A5DE3"/>
    <w:rsid w:val="009A5E21"/>
    <w:rsid w:val="009A5EBD"/>
    <w:rsid w:val="009A5F70"/>
    <w:rsid w:val="009A5F82"/>
    <w:rsid w:val="009A6080"/>
    <w:rsid w:val="009A61C7"/>
    <w:rsid w:val="009A6273"/>
    <w:rsid w:val="009A638A"/>
    <w:rsid w:val="009A6417"/>
    <w:rsid w:val="009A641B"/>
    <w:rsid w:val="009A6502"/>
    <w:rsid w:val="009A650E"/>
    <w:rsid w:val="009A6601"/>
    <w:rsid w:val="009A670B"/>
    <w:rsid w:val="009A67F3"/>
    <w:rsid w:val="009A6A07"/>
    <w:rsid w:val="009A6BFB"/>
    <w:rsid w:val="009A6D4D"/>
    <w:rsid w:val="009A6D99"/>
    <w:rsid w:val="009A6DB0"/>
    <w:rsid w:val="009A6E26"/>
    <w:rsid w:val="009A6E74"/>
    <w:rsid w:val="009A6E81"/>
    <w:rsid w:val="009A7030"/>
    <w:rsid w:val="009A7130"/>
    <w:rsid w:val="009A71A9"/>
    <w:rsid w:val="009A72FF"/>
    <w:rsid w:val="009A7314"/>
    <w:rsid w:val="009A7628"/>
    <w:rsid w:val="009A769C"/>
    <w:rsid w:val="009A774B"/>
    <w:rsid w:val="009A776A"/>
    <w:rsid w:val="009A7AE7"/>
    <w:rsid w:val="009A7BB4"/>
    <w:rsid w:val="009A7C14"/>
    <w:rsid w:val="009A7C82"/>
    <w:rsid w:val="009A7CD4"/>
    <w:rsid w:val="009A7E44"/>
    <w:rsid w:val="009A7EC3"/>
    <w:rsid w:val="009A7FDB"/>
    <w:rsid w:val="009B001D"/>
    <w:rsid w:val="009B001F"/>
    <w:rsid w:val="009B0647"/>
    <w:rsid w:val="009B06DE"/>
    <w:rsid w:val="009B099E"/>
    <w:rsid w:val="009B0A1A"/>
    <w:rsid w:val="009B0A9C"/>
    <w:rsid w:val="009B0BA9"/>
    <w:rsid w:val="009B0C40"/>
    <w:rsid w:val="009B0CEC"/>
    <w:rsid w:val="009B0D60"/>
    <w:rsid w:val="009B0D76"/>
    <w:rsid w:val="009B0EEC"/>
    <w:rsid w:val="009B0F61"/>
    <w:rsid w:val="009B0FA3"/>
    <w:rsid w:val="009B1362"/>
    <w:rsid w:val="009B1388"/>
    <w:rsid w:val="009B160E"/>
    <w:rsid w:val="009B17D1"/>
    <w:rsid w:val="009B1D40"/>
    <w:rsid w:val="009B1E63"/>
    <w:rsid w:val="009B20B4"/>
    <w:rsid w:val="009B2143"/>
    <w:rsid w:val="009B21A9"/>
    <w:rsid w:val="009B2210"/>
    <w:rsid w:val="009B221C"/>
    <w:rsid w:val="009B2274"/>
    <w:rsid w:val="009B24D6"/>
    <w:rsid w:val="009B25A5"/>
    <w:rsid w:val="009B2635"/>
    <w:rsid w:val="009B2651"/>
    <w:rsid w:val="009B27CD"/>
    <w:rsid w:val="009B2AA0"/>
    <w:rsid w:val="009B2D80"/>
    <w:rsid w:val="009B2F70"/>
    <w:rsid w:val="009B2FAC"/>
    <w:rsid w:val="009B2FE1"/>
    <w:rsid w:val="009B30CB"/>
    <w:rsid w:val="009B31E7"/>
    <w:rsid w:val="009B31F8"/>
    <w:rsid w:val="009B32AA"/>
    <w:rsid w:val="009B33FB"/>
    <w:rsid w:val="009B3A34"/>
    <w:rsid w:val="009B3BA4"/>
    <w:rsid w:val="009B3CB6"/>
    <w:rsid w:val="009B3CFE"/>
    <w:rsid w:val="009B3DCF"/>
    <w:rsid w:val="009B4366"/>
    <w:rsid w:val="009B443B"/>
    <w:rsid w:val="009B4526"/>
    <w:rsid w:val="009B45D5"/>
    <w:rsid w:val="009B461B"/>
    <w:rsid w:val="009B4815"/>
    <w:rsid w:val="009B482C"/>
    <w:rsid w:val="009B485F"/>
    <w:rsid w:val="009B4956"/>
    <w:rsid w:val="009B49D9"/>
    <w:rsid w:val="009B4A43"/>
    <w:rsid w:val="009B4B1F"/>
    <w:rsid w:val="009B4B70"/>
    <w:rsid w:val="009B4B8A"/>
    <w:rsid w:val="009B4C24"/>
    <w:rsid w:val="009B4C8F"/>
    <w:rsid w:val="009B4ED0"/>
    <w:rsid w:val="009B4FAE"/>
    <w:rsid w:val="009B504E"/>
    <w:rsid w:val="009B50C0"/>
    <w:rsid w:val="009B511B"/>
    <w:rsid w:val="009B5125"/>
    <w:rsid w:val="009B5216"/>
    <w:rsid w:val="009B52A8"/>
    <w:rsid w:val="009B5485"/>
    <w:rsid w:val="009B54B1"/>
    <w:rsid w:val="009B54D4"/>
    <w:rsid w:val="009B54D8"/>
    <w:rsid w:val="009B552D"/>
    <w:rsid w:val="009B5541"/>
    <w:rsid w:val="009B55FE"/>
    <w:rsid w:val="009B565C"/>
    <w:rsid w:val="009B5705"/>
    <w:rsid w:val="009B5741"/>
    <w:rsid w:val="009B57B8"/>
    <w:rsid w:val="009B59D9"/>
    <w:rsid w:val="009B5A58"/>
    <w:rsid w:val="009B5B41"/>
    <w:rsid w:val="009B5B77"/>
    <w:rsid w:val="009B5C43"/>
    <w:rsid w:val="009B5D36"/>
    <w:rsid w:val="009B5D89"/>
    <w:rsid w:val="009B5DCF"/>
    <w:rsid w:val="009B5F4F"/>
    <w:rsid w:val="009B603C"/>
    <w:rsid w:val="009B6157"/>
    <w:rsid w:val="009B615F"/>
    <w:rsid w:val="009B619A"/>
    <w:rsid w:val="009B6207"/>
    <w:rsid w:val="009B623B"/>
    <w:rsid w:val="009B623E"/>
    <w:rsid w:val="009B652F"/>
    <w:rsid w:val="009B65C9"/>
    <w:rsid w:val="009B675B"/>
    <w:rsid w:val="009B67BD"/>
    <w:rsid w:val="009B67EF"/>
    <w:rsid w:val="009B6887"/>
    <w:rsid w:val="009B68AE"/>
    <w:rsid w:val="009B6930"/>
    <w:rsid w:val="009B6B53"/>
    <w:rsid w:val="009B6B84"/>
    <w:rsid w:val="009B6D5B"/>
    <w:rsid w:val="009B6EAD"/>
    <w:rsid w:val="009B6ED0"/>
    <w:rsid w:val="009B70B4"/>
    <w:rsid w:val="009B7146"/>
    <w:rsid w:val="009B71F8"/>
    <w:rsid w:val="009B74C8"/>
    <w:rsid w:val="009B7551"/>
    <w:rsid w:val="009B767B"/>
    <w:rsid w:val="009B76C3"/>
    <w:rsid w:val="009B7931"/>
    <w:rsid w:val="009B7C36"/>
    <w:rsid w:val="009B7CF6"/>
    <w:rsid w:val="009B7D2F"/>
    <w:rsid w:val="009B7D8E"/>
    <w:rsid w:val="009B7DCA"/>
    <w:rsid w:val="009B7E4F"/>
    <w:rsid w:val="009B7E74"/>
    <w:rsid w:val="009B7EA8"/>
    <w:rsid w:val="009C002B"/>
    <w:rsid w:val="009C009C"/>
    <w:rsid w:val="009C01B9"/>
    <w:rsid w:val="009C0336"/>
    <w:rsid w:val="009C03FD"/>
    <w:rsid w:val="009C0540"/>
    <w:rsid w:val="009C064A"/>
    <w:rsid w:val="009C09D2"/>
    <w:rsid w:val="009C0AEF"/>
    <w:rsid w:val="009C0B6E"/>
    <w:rsid w:val="009C0BA8"/>
    <w:rsid w:val="009C1026"/>
    <w:rsid w:val="009C11A0"/>
    <w:rsid w:val="009C136D"/>
    <w:rsid w:val="009C172B"/>
    <w:rsid w:val="009C1749"/>
    <w:rsid w:val="009C17EF"/>
    <w:rsid w:val="009C1818"/>
    <w:rsid w:val="009C1864"/>
    <w:rsid w:val="009C18CB"/>
    <w:rsid w:val="009C1918"/>
    <w:rsid w:val="009C1BB3"/>
    <w:rsid w:val="009C1D15"/>
    <w:rsid w:val="009C1D64"/>
    <w:rsid w:val="009C1EE5"/>
    <w:rsid w:val="009C2487"/>
    <w:rsid w:val="009C276B"/>
    <w:rsid w:val="009C279F"/>
    <w:rsid w:val="009C28BF"/>
    <w:rsid w:val="009C2992"/>
    <w:rsid w:val="009C29F8"/>
    <w:rsid w:val="009C2C9F"/>
    <w:rsid w:val="009C3011"/>
    <w:rsid w:val="009C30CE"/>
    <w:rsid w:val="009C30D8"/>
    <w:rsid w:val="009C3125"/>
    <w:rsid w:val="009C3275"/>
    <w:rsid w:val="009C329B"/>
    <w:rsid w:val="009C3314"/>
    <w:rsid w:val="009C368E"/>
    <w:rsid w:val="009C37A0"/>
    <w:rsid w:val="009C3A9D"/>
    <w:rsid w:val="009C3C1B"/>
    <w:rsid w:val="009C3D98"/>
    <w:rsid w:val="009C40E7"/>
    <w:rsid w:val="009C4277"/>
    <w:rsid w:val="009C464C"/>
    <w:rsid w:val="009C472E"/>
    <w:rsid w:val="009C47C8"/>
    <w:rsid w:val="009C4851"/>
    <w:rsid w:val="009C4858"/>
    <w:rsid w:val="009C4AE2"/>
    <w:rsid w:val="009C4B12"/>
    <w:rsid w:val="009C4B14"/>
    <w:rsid w:val="009C4B20"/>
    <w:rsid w:val="009C4CC4"/>
    <w:rsid w:val="009C4EA6"/>
    <w:rsid w:val="009C4EEB"/>
    <w:rsid w:val="009C4FFE"/>
    <w:rsid w:val="009C5077"/>
    <w:rsid w:val="009C511A"/>
    <w:rsid w:val="009C53AA"/>
    <w:rsid w:val="009C5473"/>
    <w:rsid w:val="009C54A6"/>
    <w:rsid w:val="009C54F3"/>
    <w:rsid w:val="009C5666"/>
    <w:rsid w:val="009C566D"/>
    <w:rsid w:val="009C56AC"/>
    <w:rsid w:val="009C5740"/>
    <w:rsid w:val="009C588F"/>
    <w:rsid w:val="009C5950"/>
    <w:rsid w:val="009C5D20"/>
    <w:rsid w:val="009C5E0A"/>
    <w:rsid w:val="009C5EC8"/>
    <w:rsid w:val="009C6323"/>
    <w:rsid w:val="009C6623"/>
    <w:rsid w:val="009C67BA"/>
    <w:rsid w:val="009C69B3"/>
    <w:rsid w:val="009C69BC"/>
    <w:rsid w:val="009C6A2B"/>
    <w:rsid w:val="009C6ABF"/>
    <w:rsid w:val="009C6BC8"/>
    <w:rsid w:val="009C6BE7"/>
    <w:rsid w:val="009C6C86"/>
    <w:rsid w:val="009C6D2E"/>
    <w:rsid w:val="009C6D36"/>
    <w:rsid w:val="009C6DB4"/>
    <w:rsid w:val="009C6F8F"/>
    <w:rsid w:val="009C6F97"/>
    <w:rsid w:val="009C704A"/>
    <w:rsid w:val="009C70BA"/>
    <w:rsid w:val="009C70D2"/>
    <w:rsid w:val="009C70E6"/>
    <w:rsid w:val="009C7240"/>
    <w:rsid w:val="009C7333"/>
    <w:rsid w:val="009C7468"/>
    <w:rsid w:val="009C7625"/>
    <w:rsid w:val="009C766B"/>
    <w:rsid w:val="009C781D"/>
    <w:rsid w:val="009C78A5"/>
    <w:rsid w:val="009C79C0"/>
    <w:rsid w:val="009C7A28"/>
    <w:rsid w:val="009C7AC1"/>
    <w:rsid w:val="009C7B11"/>
    <w:rsid w:val="009C7E39"/>
    <w:rsid w:val="009C7F03"/>
    <w:rsid w:val="009D00EE"/>
    <w:rsid w:val="009D010F"/>
    <w:rsid w:val="009D014F"/>
    <w:rsid w:val="009D02F7"/>
    <w:rsid w:val="009D0373"/>
    <w:rsid w:val="009D0561"/>
    <w:rsid w:val="009D0893"/>
    <w:rsid w:val="009D0A95"/>
    <w:rsid w:val="009D0CB3"/>
    <w:rsid w:val="009D0FDE"/>
    <w:rsid w:val="009D11C0"/>
    <w:rsid w:val="009D13F0"/>
    <w:rsid w:val="009D145C"/>
    <w:rsid w:val="009D14D1"/>
    <w:rsid w:val="009D14FF"/>
    <w:rsid w:val="009D1515"/>
    <w:rsid w:val="009D1A48"/>
    <w:rsid w:val="009D1A7B"/>
    <w:rsid w:val="009D1A83"/>
    <w:rsid w:val="009D1DBF"/>
    <w:rsid w:val="009D1E71"/>
    <w:rsid w:val="009D1F2E"/>
    <w:rsid w:val="009D201D"/>
    <w:rsid w:val="009D216D"/>
    <w:rsid w:val="009D220A"/>
    <w:rsid w:val="009D2325"/>
    <w:rsid w:val="009D2360"/>
    <w:rsid w:val="009D23C2"/>
    <w:rsid w:val="009D251E"/>
    <w:rsid w:val="009D2540"/>
    <w:rsid w:val="009D2557"/>
    <w:rsid w:val="009D2681"/>
    <w:rsid w:val="009D26DD"/>
    <w:rsid w:val="009D2779"/>
    <w:rsid w:val="009D28C6"/>
    <w:rsid w:val="009D2AA4"/>
    <w:rsid w:val="009D2AEE"/>
    <w:rsid w:val="009D2B16"/>
    <w:rsid w:val="009D2D32"/>
    <w:rsid w:val="009D2EF9"/>
    <w:rsid w:val="009D2FE3"/>
    <w:rsid w:val="009D3040"/>
    <w:rsid w:val="009D305B"/>
    <w:rsid w:val="009D3085"/>
    <w:rsid w:val="009D3268"/>
    <w:rsid w:val="009D32AB"/>
    <w:rsid w:val="009D3495"/>
    <w:rsid w:val="009D3583"/>
    <w:rsid w:val="009D3822"/>
    <w:rsid w:val="009D382C"/>
    <w:rsid w:val="009D398A"/>
    <w:rsid w:val="009D39EF"/>
    <w:rsid w:val="009D3A7C"/>
    <w:rsid w:val="009D3B2B"/>
    <w:rsid w:val="009D3B6D"/>
    <w:rsid w:val="009D3B75"/>
    <w:rsid w:val="009D3BEF"/>
    <w:rsid w:val="009D3D04"/>
    <w:rsid w:val="009D3D53"/>
    <w:rsid w:val="009D3DA6"/>
    <w:rsid w:val="009D3F84"/>
    <w:rsid w:val="009D4016"/>
    <w:rsid w:val="009D4021"/>
    <w:rsid w:val="009D4086"/>
    <w:rsid w:val="009D409E"/>
    <w:rsid w:val="009D440B"/>
    <w:rsid w:val="009D4458"/>
    <w:rsid w:val="009D4674"/>
    <w:rsid w:val="009D4702"/>
    <w:rsid w:val="009D4704"/>
    <w:rsid w:val="009D4735"/>
    <w:rsid w:val="009D47D2"/>
    <w:rsid w:val="009D47ED"/>
    <w:rsid w:val="009D4B76"/>
    <w:rsid w:val="009D4BA1"/>
    <w:rsid w:val="009D4DFD"/>
    <w:rsid w:val="009D4E21"/>
    <w:rsid w:val="009D4EDF"/>
    <w:rsid w:val="009D509A"/>
    <w:rsid w:val="009D50E1"/>
    <w:rsid w:val="009D51F8"/>
    <w:rsid w:val="009D5230"/>
    <w:rsid w:val="009D5314"/>
    <w:rsid w:val="009D540D"/>
    <w:rsid w:val="009D562F"/>
    <w:rsid w:val="009D56C6"/>
    <w:rsid w:val="009D5711"/>
    <w:rsid w:val="009D5EA8"/>
    <w:rsid w:val="009D5F9A"/>
    <w:rsid w:val="009D6060"/>
    <w:rsid w:val="009D6156"/>
    <w:rsid w:val="009D618C"/>
    <w:rsid w:val="009D61AA"/>
    <w:rsid w:val="009D626C"/>
    <w:rsid w:val="009D650F"/>
    <w:rsid w:val="009D6589"/>
    <w:rsid w:val="009D6734"/>
    <w:rsid w:val="009D6803"/>
    <w:rsid w:val="009D688D"/>
    <w:rsid w:val="009D69B1"/>
    <w:rsid w:val="009D6A45"/>
    <w:rsid w:val="009D6B77"/>
    <w:rsid w:val="009D6C6E"/>
    <w:rsid w:val="009D6F5F"/>
    <w:rsid w:val="009D7472"/>
    <w:rsid w:val="009D749E"/>
    <w:rsid w:val="009D74D5"/>
    <w:rsid w:val="009D766B"/>
    <w:rsid w:val="009D78EA"/>
    <w:rsid w:val="009D79D7"/>
    <w:rsid w:val="009D7B7A"/>
    <w:rsid w:val="009D7E50"/>
    <w:rsid w:val="009D7F6D"/>
    <w:rsid w:val="009E00B2"/>
    <w:rsid w:val="009E01CE"/>
    <w:rsid w:val="009E02AC"/>
    <w:rsid w:val="009E0356"/>
    <w:rsid w:val="009E03B4"/>
    <w:rsid w:val="009E0444"/>
    <w:rsid w:val="009E050E"/>
    <w:rsid w:val="009E0576"/>
    <w:rsid w:val="009E0620"/>
    <w:rsid w:val="009E0698"/>
    <w:rsid w:val="009E0A4B"/>
    <w:rsid w:val="009E0B39"/>
    <w:rsid w:val="009E0BC0"/>
    <w:rsid w:val="009E0BEE"/>
    <w:rsid w:val="009E0F44"/>
    <w:rsid w:val="009E1096"/>
    <w:rsid w:val="009E1201"/>
    <w:rsid w:val="009E1267"/>
    <w:rsid w:val="009E13E4"/>
    <w:rsid w:val="009E1438"/>
    <w:rsid w:val="009E15B8"/>
    <w:rsid w:val="009E1897"/>
    <w:rsid w:val="009E18D6"/>
    <w:rsid w:val="009E195C"/>
    <w:rsid w:val="009E19A9"/>
    <w:rsid w:val="009E1AB3"/>
    <w:rsid w:val="009E2410"/>
    <w:rsid w:val="009E2475"/>
    <w:rsid w:val="009E278B"/>
    <w:rsid w:val="009E27E0"/>
    <w:rsid w:val="009E2891"/>
    <w:rsid w:val="009E2903"/>
    <w:rsid w:val="009E2988"/>
    <w:rsid w:val="009E299D"/>
    <w:rsid w:val="009E2AFC"/>
    <w:rsid w:val="009E2CA8"/>
    <w:rsid w:val="009E2D5C"/>
    <w:rsid w:val="009E2D6A"/>
    <w:rsid w:val="009E2E16"/>
    <w:rsid w:val="009E2EBA"/>
    <w:rsid w:val="009E2F0D"/>
    <w:rsid w:val="009E30CA"/>
    <w:rsid w:val="009E333F"/>
    <w:rsid w:val="009E33EA"/>
    <w:rsid w:val="009E3522"/>
    <w:rsid w:val="009E369D"/>
    <w:rsid w:val="009E3756"/>
    <w:rsid w:val="009E37DE"/>
    <w:rsid w:val="009E38B5"/>
    <w:rsid w:val="009E39D7"/>
    <w:rsid w:val="009E3A5E"/>
    <w:rsid w:val="009E3B89"/>
    <w:rsid w:val="009E3C06"/>
    <w:rsid w:val="009E3C7E"/>
    <w:rsid w:val="009E3E97"/>
    <w:rsid w:val="009E3E9F"/>
    <w:rsid w:val="009E3F31"/>
    <w:rsid w:val="009E419E"/>
    <w:rsid w:val="009E426D"/>
    <w:rsid w:val="009E442E"/>
    <w:rsid w:val="009E4432"/>
    <w:rsid w:val="009E44E2"/>
    <w:rsid w:val="009E45B0"/>
    <w:rsid w:val="009E45CC"/>
    <w:rsid w:val="009E4609"/>
    <w:rsid w:val="009E46BE"/>
    <w:rsid w:val="009E4772"/>
    <w:rsid w:val="009E495F"/>
    <w:rsid w:val="009E4A3F"/>
    <w:rsid w:val="009E4EEA"/>
    <w:rsid w:val="009E508F"/>
    <w:rsid w:val="009E531E"/>
    <w:rsid w:val="009E5433"/>
    <w:rsid w:val="009E5646"/>
    <w:rsid w:val="009E5692"/>
    <w:rsid w:val="009E56AB"/>
    <w:rsid w:val="009E5897"/>
    <w:rsid w:val="009E5B0F"/>
    <w:rsid w:val="009E5B1A"/>
    <w:rsid w:val="009E5C2C"/>
    <w:rsid w:val="009E5D08"/>
    <w:rsid w:val="009E5DB3"/>
    <w:rsid w:val="009E5DEE"/>
    <w:rsid w:val="009E5EA3"/>
    <w:rsid w:val="009E602C"/>
    <w:rsid w:val="009E6215"/>
    <w:rsid w:val="009E62DC"/>
    <w:rsid w:val="009E6305"/>
    <w:rsid w:val="009E63BE"/>
    <w:rsid w:val="009E63C4"/>
    <w:rsid w:val="009E6494"/>
    <w:rsid w:val="009E6637"/>
    <w:rsid w:val="009E66E8"/>
    <w:rsid w:val="009E67E5"/>
    <w:rsid w:val="009E6998"/>
    <w:rsid w:val="009E69BC"/>
    <w:rsid w:val="009E69EF"/>
    <w:rsid w:val="009E6A12"/>
    <w:rsid w:val="009E6AF2"/>
    <w:rsid w:val="009E6DA5"/>
    <w:rsid w:val="009E6F54"/>
    <w:rsid w:val="009E703C"/>
    <w:rsid w:val="009E70EE"/>
    <w:rsid w:val="009E72BE"/>
    <w:rsid w:val="009E7350"/>
    <w:rsid w:val="009E7442"/>
    <w:rsid w:val="009E74C9"/>
    <w:rsid w:val="009E7715"/>
    <w:rsid w:val="009E774D"/>
    <w:rsid w:val="009E781B"/>
    <w:rsid w:val="009E78E1"/>
    <w:rsid w:val="009E79BB"/>
    <w:rsid w:val="009E7B7F"/>
    <w:rsid w:val="009E7B89"/>
    <w:rsid w:val="009E7B8E"/>
    <w:rsid w:val="009E7BBA"/>
    <w:rsid w:val="009E7CDD"/>
    <w:rsid w:val="009E7D28"/>
    <w:rsid w:val="009E7D2C"/>
    <w:rsid w:val="009E7D57"/>
    <w:rsid w:val="009E7F9D"/>
    <w:rsid w:val="009F0088"/>
    <w:rsid w:val="009F00A7"/>
    <w:rsid w:val="009F00D5"/>
    <w:rsid w:val="009F01C8"/>
    <w:rsid w:val="009F02BE"/>
    <w:rsid w:val="009F02F3"/>
    <w:rsid w:val="009F037F"/>
    <w:rsid w:val="009F0619"/>
    <w:rsid w:val="009F082B"/>
    <w:rsid w:val="009F0A12"/>
    <w:rsid w:val="009F0A30"/>
    <w:rsid w:val="009F0B33"/>
    <w:rsid w:val="009F0F25"/>
    <w:rsid w:val="009F1031"/>
    <w:rsid w:val="009F10C0"/>
    <w:rsid w:val="009F1535"/>
    <w:rsid w:val="009F15D2"/>
    <w:rsid w:val="009F17A3"/>
    <w:rsid w:val="009F18ED"/>
    <w:rsid w:val="009F1951"/>
    <w:rsid w:val="009F19DD"/>
    <w:rsid w:val="009F1A7D"/>
    <w:rsid w:val="009F1AFE"/>
    <w:rsid w:val="009F1B41"/>
    <w:rsid w:val="009F1DC4"/>
    <w:rsid w:val="009F2090"/>
    <w:rsid w:val="009F211A"/>
    <w:rsid w:val="009F2145"/>
    <w:rsid w:val="009F2312"/>
    <w:rsid w:val="009F233C"/>
    <w:rsid w:val="009F25D3"/>
    <w:rsid w:val="009F26C6"/>
    <w:rsid w:val="009F26D3"/>
    <w:rsid w:val="009F28EF"/>
    <w:rsid w:val="009F2966"/>
    <w:rsid w:val="009F2AD3"/>
    <w:rsid w:val="009F2D62"/>
    <w:rsid w:val="009F3087"/>
    <w:rsid w:val="009F3127"/>
    <w:rsid w:val="009F3173"/>
    <w:rsid w:val="009F31C9"/>
    <w:rsid w:val="009F3233"/>
    <w:rsid w:val="009F32BD"/>
    <w:rsid w:val="009F351A"/>
    <w:rsid w:val="009F355A"/>
    <w:rsid w:val="009F35A9"/>
    <w:rsid w:val="009F35D0"/>
    <w:rsid w:val="009F36EF"/>
    <w:rsid w:val="009F3723"/>
    <w:rsid w:val="009F38D9"/>
    <w:rsid w:val="009F391A"/>
    <w:rsid w:val="009F3972"/>
    <w:rsid w:val="009F39AF"/>
    <w:rsid w:val="009F3A92"/>
    <w:rsid w:val="009F3C6F"/>
    <w:rsid w:val="009F3C9C"/>
    <w:rsid w:val="009F3CD6"/>
    <w:rsid w:val="009F3CF9"/>
    <w:rsid w:val="009F3EBA"/>
    <w:rsid w:val="009F4075"/>
    <w:rsid w:val="009F4383"/>
    <w:rsid w:val="009F44CE"/>
    <w:rsid w:val="009F4535"/>
    <w:rsid w:val="009F4585"/>
    <w:rsid w:val="009F4597"/>
    <w:rsid w:val="009F46EF"/>
    <w:rsid w:val="009F4727"/>
    <w:rsid w:val="009F4878"/>
    <w:rsid w:val="009F48A3"/>
    <w:rsid w:val="009F493E"/>
    <w:rsid w:val="009F4AD3"/>
    <w:rsid w:val="009F4D09"/>
    <w:rsid w:val="009F4DAB"/>
    <w:rsid w:val="009F4DB1"/>
    <w:rsid w:val="009F4ED4"/>
    <w:rsid w:val="009F504C"/>
    <w:rsid w:val="009F516B"/>
    <w:rsid w:val="009F5185"/>
    <w:rsid w:val="009F51D0"/>
    <w:rsid w:val="009F53BB"/>
    <w:rsid w:val="009F53F9"/>
    <w:rsid w:val="009F5443"/>
    <w:rsid w:val="009F552C"/>
    <w:rsid w:val="009F557F"/>
    <w:rsid w:val="009F55F1"/>
    <w:rsid w:val="009F56B1"/>
    <w:rsid w:val="009F56B9"/>
    <w:rsid w:val="009F57D4"/>
    <w:rsid w:val="009F585C"/>
    <w:rsid w:val="009F5BA0"/>
    <w:rsid w:val="009F5BF8"/>
    <w:rsid w:val="009F5CA4"/>
    <w:rsid w:val="009F5E2C"/>
    <w:rsid w:val="009F5EE7"/>
    <w:rsid w:val="009F5F2C"/>
    <w:rsid w:val="009F6042"/>
    <w:rsid w:val="009F6049"/>
    <w:rsid w:val="009F6061"/>
    <w:rsid w:val="009F60AE"/>
    <w:rsid w:val="009F616F"/>
    <w:rsid w:val="009F6199"/>
    <w:rsid w:val="009F61FC"/>
    <w:rsid w:val="009F633B"/>
    <w:rsid w:val="009F63D4"/>
    <w:rsid w:val="009F6482"/>
    <w:rsid w:val="009F668E"/>
    <w:rsid w:val="009F684E"/>
    <w:rsid w:val="009F6E2D"/>
    <w:rsid w:val="009F6EBE"/>
    <w:rsid w:val="009F6EF1"/>
    <w:rsid w:val="009F6FB3"/>
    <w:rsid w:val="009F700C"/>
    <w:rsid w:val="009F711C"/>
    <w:rsid w:val="009F7244"/>
    <w:rsid w:val="009F736C"/>
    <w:rsid w:val="009F7394"/>
    <w:rsid w:val="009F7480"/>
    <w:rsid w:val="009F7624"/>
    <w:rsid w:val="009F7629"/>
    <w:rsid w:val="009F772B"/>
    <w:rsid w:val="009F776B"/>
    <w:rsid w:val="009F7947"/>
    <w:rsid w:val="009F7B82"/>
    <w:rsid w:val="009F7C69"/>
    <w:rsid w:val="009F7D7B"/>
    <w:rsid w:val="009F7E1C"/>
    <w:rsid w:val="009F7E67"/>
    <w:rsid w:val="009F7F24"/>
    <w:rsid w:val="009F7F59"/>
    <w:rsid w:val="00A000E1"/>
    <w:rsid w:val="00A00111"/>
    <w:rsid w:val="00A002E7"/>
    <w:rsid w:val="00A00321"/>
    <w:rsid w:val="00A00329"/>
    <w:rsid w:val="00A00350"/>
    <w:rsid w:val="00A005C9"/>
    <w:rsid w:val="00A0062C"/>
    <w:rsid w:val="00A0070D"/>
    <w:rsid w:val="00A009BB"/>
    <w:rsid w:val="00A00C46"/>
    <w:rsid w:val="00A00C4F"/>
    <w:rsid w:val="00A00CC0"/>
    <w:rsid w:val="00A00CDA"/>
    <w:rsid w:val="00A00D17"/>
    <w:rsid w:val="00A00FD2"/>
    <w:rsid w:val="00A0113E"/>
    <w:rsid w:val="00A01206"/>
    <w:rsid w:val="00A0124E"/>
    <w:rsid w:val="00A01293"/>
    <w:rsid w:val="00A01432"/>
    <w:rsid w:val="00A01C60"/>
    <w:rsid w:val="00A01CF9"/>
    <w:rsid w:val="00A01E3D"/>
    <w:rsid w:val="00A01FCD"/>
    <w:rsid w:val="00A02002"/>
    <w:rsid w:val="00A0208C"/>
    <w:rsid w:val="00A02103"/>
    <w:rsid w:val="00A022C1"/>
    <w:rsid w:val="00A02362"/>
    <w:rsid w:val="00A02376"/>
    <w:rsid w:val="00A023F5"/>
    <w:rsid w:val="00A0242D"/>
    <w:rsid w:val="00A02713"/>
    <w:rsid w:val="00A02733"/>
    <w:rsid w:val="00A0279A"/>
    <w:rsid w:val="00A028B4"/>
    <w:rsid w:val="00A02935"/>
    <w:rsid w:val="00A0293A"/>
    <w:rsid w:val="00A029C3"/>
    <w:rsid w:val="00A02B02"/>
    <w:rsid w:val="00A02B9F"/>
    <w:rsid w:val="00A02FC9"/>
    <w:rsid w:val="00A0321B"/>
    <w:rsid w:val="00A0331D"/>
    <w:rsid w:val="00A034CF"/>
    <w:rsid w:val="00A03538"/>
    <w:rsid w:val="00A035C9"/>
    <w:rsid w:val="00A03628"/>
    <w:rsid w:val="00A0366E"/>
    <w:rsid w:val="00A03718"/>
    <w:rsid w:val="00A03758"/>
    <w:rsid w:val="00A03763"/>
    <w:rsid w:val="00A037B2"/>
    <w:rsid w:val="00A0386F"/>
    <w:rsid w:val="00A038D4"/>
    <w:rsid w:val="00A03A9D"/>
    <w:rsid w:val="00A03BA5"/>
    <w:rsid w:val="00A03CD6"/>
    <w:rsid w:val="00A04118"/>
    <w:rsid w:val="00A04309"/>
    <w:rsid w:val="00A04616"/>
    <w:rsid w:val="00A0466E"/>
    <w:rsid w:val="00A046A1"/>
    <w:rsid w:val="00A048D5"/>
    <w:rsid w:val="00A048EF"/>
    <w:rsid w:val="00A049AB"/>
    <w:rsid w:val="00A04ABE"/>
    <w:rsid w:val="00A04AC9"/>
    <w:rsid w:val="00A04AD2"/>
    <w:rsid w:val="00A04DE1"/>
    <w:rsid w:val="00A0503C"/>
    <w:rsid w:val="00A050CA"/>
    <w:rsid w:val="00A050D1"/>
    <w:rsid w:val="00A05124"/>
    <w:rsid w:val="00A0532F"/>
    <w:rsid w:val="00A05359"/>
    <w:rsid w:val="00A054E7"/>
    <w:rsid w:val="00A05513"/>
    <w:rsid w:val="00A055E5"/>
    <w:rsid w:val="00A0592E"/>
    <w:rsid w:val="00A05A91"/>
    <w:rsid w:val="00A05B79"/>
    <w:rsid w:val="00A05BAE"/>
    <w:rsid w:val="00A05F1E"/>
    <w:rsid w:val="00A05F5C"/>
    <w:rsid w:val="00A06051"/>
    <w:rsid w:val="00A061C7"/>
    <w:rsid w:val="00A064BD"/>
    <w:rsid w:val="00A0668D"/>
    <w:rsid w:val="00A067B4"/>
    <w:rsid w:val="00A068D3"/>
    <w:rsid w:val="00A06933"/>
    <w:rsid w:val="00A069BB"/>
    <w:rsid w:val="00A069C8"/>
    <w:rsid w:val="00A06A9F"/>
    <w:rsid w:val="00A06C1E"/>
    <w:rsid w:val="00A06C38"/>
    <w:rsid w:val="00A06C94"/>
    <w:rsid w:val="00A06DB0"/>
    <w:rsid w:val="00A06DBD"/>
    <w:rsid w:val="00A06E21"/>
    <w:rsid w:val="00A06E75"/>
    <w:rsid w:val="00A06E8C"/>
    <w:rsid w:val="00A06ED4"/>
    <w:rsid w:val="00A07053"/>
    <w:rsid w:val="00A07114"/>
    <w:rsid w:val="00A0719C"/>
    <w:rsid w:val="00A071E4"/>
    <w:rsid w:val="00A072EC"/>
    <w:rsid w:val="00A07330"/>
    <w:rsid w:val="00A07413"/>
    <w:rsid w:val="00A0753F"/>
    <w:rsid w:val="00A07550"/>
    <w:rsid w:val="00A0775B"/>
    <w:rsid w:val="00A079AD"/>
    <w:rsid w:val="00A079CB"/>
    <w:rsid w:val="00A07A30"/>
    <w:rsid w:val="00A07C9C"/>
    <w:rsid w:val="00A07DAC"/>
    <w:rsid w:val="00A1007D"/>
    <w:rsid w:val="00A10179"/>
    <w:rsid w:val="00A10324"/>
    <w:rsid w:val="00A103A0"/>
    <w:rsid w:val="00A10525"/>
    <w:rsid w:val="00A10545"/>
    <w:rsid w:val="00A1064C"/>
    <w:rsid w:val="00A10694"/>
    <w:rsid w:val="00A106FD"/>
    <w:rsid w:val="00A108F1"/>
    <w:rsid w:val="00A10906"/>
    <w:rsid w:val="00A10B83"/>
    <w:rsid w:val="00A10CC0"/>
    <w:rsid w:val="00A10D14"/>
    <w:rsid w:val="00A10D74"/>
    <w:rsid w:val="00A10DC6"/>
    <w:rsid w:val="00A10E69"/>
    <w:rsid w:val="00A10EFC"/>
    <w:rsid w:val="00A10F25"/>
    <w:rsid w:val="00A10F86"/>
    <w:rsid w:val="00A11009"/>
    <w:rsid w:val="00A1104F"/>
    <w:rsid w:val="00A110C0"/>
    <w:rsid w:val="00A11178"/>
    <w:rsid w:val="00A113A1"/>
    <w:rsid w:val="00A113DC"/>
    <w:rsid w:val="00A1146B"/>
    <w:rsid w:val="00A11501"/>
    <w:rsid w:val="00A11518"/>
    <w:rsid w:val="00A115E2"/>
    <w:rsid w:val="00A1162C"/>
    <w:rsid w:val="00A117C6"/>
    <w:rsid w:val="00A119EE"/>
    <w:rsid w:val="00A11A1E"/>
    <w:rsid w:val="00A11B3E"/>
    <w:rsid w:val="00A11C7F"/>
    <w:rsid w:val="00A11E48"/>
    <w:rsid w:val="00A11E51"/>
    <w:rsid w:val="00A11E89"/>
    <w:rsid w:val="00A120E0"/>
    <w:rsid w:val="00A1234A"/>
    <w:rsid w:val="00A1237E"/>
    <w:rsid w:val="00A123E5"/>
    <w:rsid w:val="00A123E9"/>
    <w:rsid w:val="00A1247F"/>
    <w:rsid w:val="00A125FE"/>
    <w:rsid w:val="00A126F0"/>
    <w:rsid w:val="00A1282E"/>
    <w:rsid w:val="00A12880"/>
    <w:rsid w:val="00A128EC"/>
    <w:rsid w:val="00A12914"/>
    <w:rsid w:val="00A1299C"/>
    <w:rsid w:val="00A12A41"/>
    <w:rsid w:val="00A12D8A"/>
    <w:rsid w:val="00A12E6C"/>
    <w:rsid w:val="00A12EB7"/>
    <w:rsid w:val="00A12F41"/>
    <w:rsid w:val="00A1302A"/>
    <w:rsid w:val="00A13039"/>
    <w:rsid w:val="00A1334E"/>
    <w:rsid w:val="00A134CB"/>
    <w:rsid w:val="00A13583"/>
    <w:rsid w:val="00A13598"/>
    <w:rsid w:val="00A135B0"/>
    <w:rsid w:val="00A13605"/>
    <w:rsid w:val="00A136EB"/>
    <w:rsid w:val="00A1378A"/>
    <w:rsid w:val="00A137F1"/>
    <w:rsid w:val="00A13964"/>
    <w:rsid w:val="00A13E36"/>
    <w:rsid w:val="00A13E6A"/>
    <w:rsid w:val="00A13FDD"/>
    <w:rsid w:val="00A1448A"/>
    <w:rsid w:val="00A14540"/>
    <w:rsid w:val="00A14570"/>
    <w:rsid w:val="00A147AC"/>
    <w:rsid w:val="00A14818"/>
    <w:rsid w:val="00A148C6"/>
    <w:rsid w:val="00A148D4"/>
    <w:rsid w:val="00A148F5"/>
    <w:rsid w:val="00A14AD6"/>
    <w:rsid w:val="00A14CCD"/>
    <w:rsid w:val="00A14D33"/>
    <w:rsid w:val="00A14DDF"/>
    <w:rsid w:val="00A14E19"/>
    <w:rsid w:val="00A14E1B"/>
    <w:rsid w:val="00A14F0E"/>
    <w:rsid w:val="00A15096"/>
    <w:rsid w:val="00A15129"/>
    <w:rsid w:val="00A151B5"/>
    <w:rsid w:val="00A155FA"/>
    <w:rsid w:val="00A156CC"/>
    <w:rsid w:val="00A156CE"/>
    <w:rsid w:val="00A157C9"/>
    <w:rsid w:val="00A15822"/>
    <w:rsid w:val="00A159C5"/>
    <w:rsid w:val="00A15A6B"/>
    <w:rsid w:val="00A15AE9"/>
    <w:rsid w:val="00A15B8C"/>
    <w:rsid w:val="00A15BC0"/>
    <w:rsid w:val="00A15CE7"/>
    <w:rsid w:val="00A15F7F"/>
    <w:rsid w:val="00A160C2"/>
    <w:rsid w:val="00A160F2"/>
    <w:rsid w:val="00A16347"/>
    <w:rsid w:val="00A165D5"/>
    <w:rsid w:val="00A16622"/>
    <w:rsid w:val="00A16625"/>
    <w:rsid w:val="00A166FD"/>
    <w:rsid w:val="00A16727"/>
    <w:rsid w:val="00A16C27"/>
    <w:rsid w:val="00A16D1E"/>
    <w:rsid w:val="00A16D69"/>
    <w:rsid w:val="00A16EF0"/>
    <w:rsid w:val="00A1700B"/>
    <w:rsid w:val="00A1723B"/>
    <w:rsid w:val="00A1727B"/>
    <w:rsid w:val="00A173AF"/>
    <w:rsid w:val="00A174DD"/>
    <w:rsid w:val="00A176A5"/>
    <w:rsid w:val="00A176F1"/>
    <w:rsid w:val="00A17703"/>
    <w:rsid w:val="00A178EF"/>
    <w:rsid w:val="00A179D1"/>
    <w:rsid w:val="00A17C21"/>
    <w:rsid w:val="00A17F83"/>
    <w:rsid w:val="00A20373"/>
    <w:rsid w:val="00A205C8"/>
    <w:rsid w:val="00A20994"/>
    <w:rsid w:val="00A20AF5"/>
    <w:rsid w:val="00A20B9E"/>
    <w:rsid w:val="00A20C2E"/>
    <w:rsid w:val="00A20CE7"/>
    <w:rsid w:val="00A20F61"/>
    <w:rsid w:val="00A2106E"/>
    <w:rsid w:val="00A210B3"/>
    <w:rsid w:val="00A21166"/>
    <w:rsid w:val="00A2137C"/>
    <w:rsid w:val="00A216C1"/>
    <w:rsid w:val="00A2178E"/>
    <w:rsid w:val="00A21C39"/>
    <w:rsid w:val="00A21D1C"/>
    <w:rsid w:val="00A21E91"/>
    <w:rsid w:val="00A21F4E"/>
    <w:rsid w:val="00A21F4F"/>
    <w:rsid w:val="00A21FDF"/>
    <w:rsid w:val="00A22091"/>
    <w:rsid w:val="00A2222A"/>
    <w:rsid w:val="00A222A1"/>
    <w:rsid w:val="00A22533"/>
    <w:rsid w:val="00A226EA"/>
    <w:rsid w:val="00A22705"/>
    <w:rsid w:val="00A227DB"/>
    <w:rsid w:val="00A228A3"/>
    <w:rsid w:val="00A229E6"/>
    <w:rsid w:val="00A22A5E"/>
    <w:rsid w:val="00A22C1D"/>
    <w:rsid w:val="00A22D9D"/>
    <w:rsid w:val="00A22DA4"/>
    <w:rsid w:val="00A22F8A"/>
    <w:rsid w:val="00A23110"/>
    <w:rsid w:val="00A23190"/>
    <w:rsid w:val="00A23235"/>
    <w:rsid w:val="00A23301"/>
    <w:rsid w:val="00A233BA"/>
    <w:rsid w:val="00A235A2"/>
    <w:rsid w:val="00A235CC"/>
    <w:rsid w:val="00A23630"/>
    <w:rsid w:val="00A23728"/>
    <w:rsid w:val="00A23815"/>
    <w:rsid w:val="00A23A0C"/>
    <w:rsid w:val="00A23B03"/>
    <w:rsid w:val="00A23C09"/>
    <w:rsid w:val="00A23C19"/>
    <w:rsid w:val="00A23C43"/>
    <w:rsid w:val="00A23CAB"/>
    <w:rsid w:val="00A23D2F"/>
    <w:rsid w:val="00A23E33"/>
    <w:rsid w:val="00A23F89"/>
    <w:rsid w:val="00A240B7"/>
    <w:rsid w:val="00A24142"/>
    <w:rsid w:val="00A24240"/>
    <w:rsid w:val="00A24287"/>
    <w:rsid w:val="00A24381"/>
    <w:rsid w:val="00A243CD"/>
    <w:rsid w:val="00A24411"/>
    <w:rsid w:val="00A2462B"/>
    <w:rsid w:val="00A246D5"/>
    <w:rsid w:val="00A247A5"/>
    <w:rsid w:val="00A2499A"/>
    <w:rsid w:val="00A24AA3"/>
    <w:rsid w:val="00A24AA5"/>
    <w:rsid w:val="00A24C3C"/>
    <w:rsid w:val="00A24E1C"/>
    <w:rsid w:val="00A24EA0"/>
    <w:rsid w:val="00A24FF2"/>
    <w:rsid w:val="00A25166"/>
    <w:rsid w:val="00A255BA"/>
    <w:rsid w:val="00A25816"/>
    <w:rsid w:val="00A25819"/>
    <w:rsid w:val="00A25897"/>
    <w:rsid w:val="00A258DA"/>
    <w:rsid w:val="00A25910"/>
    <w:rsid w:val="00A25ABE"/>
    <w:rsid w:val="00A25E88"/>
    <w:rsid w:val="00A25EA2"/>
    <w:rsid w:val="00A25F7B"/>
    <w:rsid w:val="00A25FD2"/>
    <w:rsid w:val="00A25FFE"/>
    <w:rsid w:val="00A2604D"/>
    <w:rsid w:val="00A2610B"/>
    <w:rsid w:val="00A261EF"/>
    <w:rsid w:val="00A262A9"/>
    <w:rsid w:val="00A262E5"/>
    <w:rsid w:val="00A26355"/>
    <w:rsid w:val="00A263CD"/>
    <w:rsid w:val="00A26589"/>
    <w:rsid w:val="00A26683"/>
    <w:rsid w:val="00A266E2"/>
    <w:rsid w:val="00A26721"/>
    <w:rsid w:val="00A267FE"/>
    <w:rsid w:val="00A26940"/>
    <w:rsid w:val="00A26B14"/>
    <w:rsid w:val="00A26D37"/>
    <w:rsid w:val="00A26E20"/>
    <w:rsid w:val="00A26E61"/>
    <w:rsid w:val="00A26EC2"/>
    <w:rsid w:val="00A27155"/>
    <w:rsid w:val="00A2727D"/>
    <w:rsid w:val="00A2728B"/>
    <w:rsid w:val="00A272D7"/>
    <w:rsid w:val="00A2757E"/>
    <w:rsid w:val="00A27646"/>
    <w:rsid w:val="00A2767F"/>
    <w:rsid w:val="00A276A5"/>
    <w:rsid w:val="00A276CF"/>
    <w:rsid w:val="00A27704"/>
    <w:rsid w:val="00A27904"/>
    <w:rsid w:val="00A27927"/>
    <w:rsid w:val="00A27CE5"/>
    <w:rsid w:val="00A27EBA"/>
    <w:rsid w:val="00A30063"/>
    <w:rsid w:val="00A302F3"/>
    <w:rsid w:val="00A30322"/>
    <w:rsid w:val="00A3036C"/>
    <w:rsid w:val="00A303AD"/>
    <w:rsid w:val="00A3042A"/>
    <w:rsid w:val="00A30531"/>
    <w:rsid w:val="00A306C9"/>
    <w:rsid w:val="00A3071D"/>
    <w:rsid w:val="00A30735"/>
    <w:rsid w:val="00A3075D"/>
    <w:rsid w:val="00A3085D"/>
    <w:rsid w:val="00A308D0"/>
    <w:rsid w:val="00A30943"/>
    <w:rsid w:val="00A30982"/>
    <w:rsid w:val="00A30A9B"/>
    <w:rsid w:val="00A30B7A"/>
    <w:rsid w:val="00A30E0E"/>
    <w:rsid w:val="00A310B8"/>
    <w:rsid w:val="00A310EE"/>
    <w:rsid w:val="00A31119"/>
    <w:rsid w:val="00A3119E"/>
    <w:rsid w:val="00A312EF"/>
    <w:rsid w:val="00A3132A"/>
    <w:rsid w:val="00A313EF"/>
    <w:rsid w:val="00A314EA"/>
    <w:rsid w:val="00A314FB"/>
    <w:rsid w:val="00A31540"/>
    <w:rsid w:val="00A31666"/>
    <w:rsid w:val="00A318B7"/>
    <w:rsid w:val="00A319EB"/>
    <w:rsid w:val="00A31A07"/>
    <w:rsid w:val="00A31A2D"/>
    <w:rsid w:val="00A31AAE"/>
    <w:rsid w:val="00A31B40"/>
    <w:rsid w:val="00A32193"/>
    <w:rsid w:val="00A32206"/>
    <w:rsid w:val="00A3220B"/>
    <w:rsid w:val="00A3263F"/>
    <w:rsid w:val="00A326ED"/>
    <w:rsid w:val="00A327AF"/>
    <w:rsid w:val="00A32A5C"/>
    <w:rsid w:val="00A32A8E"/>
    <w:rsid w:val="00A32B09"/>
    <w:rsid w:val="00A32B24"/>
    <w:rsid w:val="00A32B91"/>
    <w:rsid w:val="00A32BDB"/>
    <w:rsid w:val="00A32C44"/>
    <w:rsid w:val="00A32C4E"/>
    <w:rsid w:val="00A32D46"/>
    <w:rsid w:val="00A33059"/>
    <w:rsid w:val="00A33133"/>
    <w:rsid w:val="00A331A6"/>
    <w:rsid w:val="00A33534"/>
    <w:rsid w:val="00A33684"/>
    <w:rsid w:val="00A336B5"/>
    <w:rsid w:val="00A33914"/>
    <w:rsid w:val="00A339F2"/>
    <w:rsid w:val="00A339F6"/>
    <w:rsid w:val="00A33B33"/>
    <w:rsid w:val="00A33BC0"/>
    <w:rsid w:val="00A33C2B"/>
    <w:rsid w:val="00A33C78"/>
    <w:rsid w:val="00A33E3F"/>
    <w:rsid w:val="00A33EBB"/>
    <w:rsid w:val="00A33EEF"/>
    <w:rsid w:val="00A34028"/>
    <w:rsid w:val="00A343F1"/>
    <w:rsid w:val="00A3450F"/>
    <w:rsid w:val="00A3461D"/>
    <w:rsid w:val="00A34620"/>
    <w:rsid w:val="00A3469F"/>
    <w:rsid w:val="00A34700"/>
    <w:rsid w:val="00A3478B"/>
    <w:rsid w:val="00A34898"/>
    <w:rsid w:val="00A34940"/>
    <w:rsid w:val="00A34977"/>
    <w:rsid w:val="00A34A95"/>
    <w:rsid w:val="00A34AB8"/>
    <w:rsid w:val="00A34BC5"/>
    <w:rsid w:val="00A34C5E"/>
    <w:rsid w:val="00A34C73"/>
    <w:rsid w:val="00A34CF3"/>
    <w:rsid w:val="00A34F14"/>
    <w:rsid w:val="00A34FED"/>
    <w:rsid w:val="00A34FFA"/>
    <w:rsid w:val="00A350CB"/>
    <w:rsid w:val="00A351F5"/>
    <w:rsid w:val="00A353A9"/>
    <w:rsid w:val="00A354F5"/>
    <w:rsid w:val="00A35568"/>
    <w:rsid w:val="00A355B0"/>
    <w:rsid w:val="00A35645"/>
    <w:rsid w:val="00A35693"/>
    <w:rsid w:val="00A358D8"/>
    <w:rsid w:val="00A3593B"/>
    <w:rsid w:val="00A359B7"/>
    <w:rsid w:val="00A35A42"/>
    <w:rsid w:val="00A35AD0"/>
    <w:rsid w:val="00A35AD5"/>
    <w:rsid w:val="00A35CE5"/>
    <w:rsid w:val="00A35DE5"/>
    <w:rsid w:val="00A35E78"/>
    <w:rsid w:val="00A35F59"/>
    <w:rsid w:val="00A3623F"/>
    <w:rsid w:val="00A3642E"/>
    <w:rsid w:val="00A364A4"/>
    <w:rsid w:val="00A366C1"/>
    <w:rsid w:val="00A36776"/>
    <w:rsid w:val="00A36808"/>
    <w:rsid w:val="00A36ACA"/>
    <w:rsid w:val="00A36B9E"/>
    <w:rsid w:val="00A36BFE"/>
    <w:rsid w:val="00A36DFE"/>
    <w:rsid w:val="00A36ED9"/>
    <w:rsid w:val="00A36EEA"/>
    <w:rsid w:val="00A36FDC"/>
    <w:rsid w:val="00A36FE2"/>
    <w:rsid w:val="00A371B7"/>
    <w:rsid w:val="00A37289"/>
    <w:rsid w:val="00A372D3"/>
    <w:rsid w:val="00A37317"/>
    <w:rsid w:val="00A3731A"/>
    <w:rsid w:val="00A373A1"/>
    <w:rsid w:val="00A374B8"/>
    <w:rsid w:val="00A376F3"/>
    <w:rsid w:val="00A37824"/>
    <w:rsid w:val="00A37876"/>
    <w:rsid w:val="00A37894"/>
    <w:rsid w:val="00A3792F"/>
    <w:rsid w:val="00A37A8D"/>
    <w:rsid w:val="00A37A90"/>
    <w:rsid w:val="00A37B0A"/>
    <w:rsid w:val="00A37CE4"/>
    <w:rsid w:val="00A37DDC"/>
    <w:rsid w:val="00A37F60"/>
    <w:rsid w:val="00A37FC3"/>
    <w:rsid w:val="00A37FE0"/>
    <w:rsid w:val="00A4009E"/>
    <w:rsid w:val="00A400D3"/>
    <w:rsid w:val="00A402BC"/>
    <w:rsid w:val="00A402BF"/>
    <w:rsid w:val="00A40622"/>
    <w:rsid w:val="00A407CD"/>
    <w:rsid w:val="00A40859"/>
    <w:rsid w:val="00A4089A"/>
    <w:rsid w:val="00A40C28"/>
    <w:rsid w:val="00A40C97"/>
    <w:rsid w:val="00A40E2A"/>
    <w:rsid w:val="00A40E44"/>
    <w:rsid w:val="00A40E98"/>
    <w:rsid w:val="00A40F3A"/>
    <w:rsid w:val="00A4119C"/>
    <w:rsid w:val="00A41294"/>
    <w:rsid w:val="00A41299"/>
    <w:rsid w:val="00A412A6"/>
    <w:rsid w:val="00A412BB"/>
    <w:rsid w:val="00A415D9"/>
    <w:rsid w:val="00A41785"/>
    <w:rsid w:val="00A418D8"/>
    <w:rsid w:val="00A41945"/>
    <w:rsid w:val="00A41A7D"/>
    <w:rsid w:val="00A42064"/>
    <w:rsid w:val="00A42145"/>
    <w:rsid w:val="00A42162"/>
    <w:rsid w:val="00A42239"/>
    <w:rsid w:val="00A4258D"/>
    <w:rsid w:val="00A425BC"/>
    <w:rsid w:val="00A426FD"/>
    <w:rsid w:val="00A427A0"/>
    <w:rsid w:val="00A4289F"/>
    <w:rsid w:val="00A42A0F"/>
    <w:rsid w:val="00A42AB1"/>
    <w:rsid w:val="00A42BE0"/>
    <w:rsid w:val="00A4316F"/>
    <w:rsid w:val="00A43209"/>
    <w:rsid w:val="00A432B7"/>
    <w:rsid w:val="00A433A3"/>
    <w:rsid w:val="00A43531"/>
    <w:rsid w:val="00A43833"/>
    <w:rsid w:val="00A43A0E"/>
    <w:rsid w:val="00A43C26"/>
    <w:rsid w:val="00A43DF5"/>
    <w:rsid w:val="00A43E62"/>
    <w:rsid w:val="00A43E7C"/>
    <w:rsid w:val="00A43F1F"/>
    <w:rsid w:val="00A4420A"/>
    <w:rsid w:val="00A44448"/>
    <w:rsid w:val="00A4465C"/>
    <w:rsid w:val="00A446A1"/>
    <w:rsid w:val="00A446F3"/>
    <w:rsid w:val="00A44711"/>
    <w:rsid w:val="00A44940"/>
    <w:rsid w:val="00A44B6C"/>
    <w:rsid w:val="00A44BE8"/>
    <w:rsid w:val="00A4537F"/>
    <w:rsid w:val="00A453A2"/>
    <w:rsid w:val="00A45476"/>
    <w:rsid w:val="00A454BB"/>
    <w:rsid w:val="00A45543"/>
    <w:rsid w:val="00A4562C"/>
    <w:rsid w:val="00A457E1"/>
    <w:rsid w:val="00A45807"/>
    <w:rsid w:val="00A45887"/>
    <w:rsid w:val="00A45921"/>
    <w:rsid w:val="00A45934"/>
    <w:rsid w:val="00A45A56"/>
    <w:rsid w:val="00A45B7F"/>
    <w:rsid w:val="00A45BC2"/>
    <w:rsid w:val="00A45BCC"/>
    <w:rsid w:val="00A45C9E"/>
    <w:rsid w:val="00A45D5D"/>
    <w:rsid w:val="00A45D7C"/>
    <w:rsid w:val="00A45DEF"/>
    <w:rsid w:val="00A460E8"/>
    <w:rsid w:val="00A46650"/>
    <w:rsid w:val="00A46659"/>
    <w:rsid w:val="00A46752"/>
    <w:rsid w:val="00A46A60"/>
    <w:rsid w:val="00A46BDB"/>
    <w:rsid w:val="00A46BF8"/>
    <w:rsid w:val="00A46D15"/>
    <w:rsid w:val="00A46DD6"/>
    <w:rsid w:val="00A46DF4"/>
    <w:rsid w:val="00A46F2D"/>
    <w:rsid w:val="00A4701A"/>
    <w:rsid w:val="00A47069"/>
    <w:rsid w:val="00A4707B"/>
    <w:rsid w:val="00A470F7"/>
    <w:rsid w:val="00A47108"/>
    <w:rsid w:val="00A47195"/>
    <w:rsid w:val="00A471E5"/>
    <w:rsid w:val="00A47269"/>
    <w:rsid w:val="00A472AD"/>
    <w:rsid w:val="00A4733C"/>
    <w:rsid w:val="00A476DA"/>
    <w:rsid w:val="00A4784E"/>
    <w:rsid w:val="00A47911"/>
    <w:rsid w:val="00A4798E"/>
    <w:rsid w:val="00A47BBA"/>
    <w:rsid w:val="00A47D47"/>
    <w:rsid w:val="00A47D8E"/>
    <w:rsid w:val="00A47EE9"/>
    <w:rsid w:val="00A47FA2"/>
    <w:rsid w:val="00A500D6"/>
    <w:rsid w:val="00A5016E"/>
    <w:rsid w:val="00A5017D"/>
    <w:rsid w:val="00A50260"/>
    <w:rsid w:val="00A50342"/>
    <w:rsid w:val="00A50474"/>
    <w:rsid w:val="00A5049B"/>
    <w:rsid w:val="00A50529"/>
    <w:rsid w:val="00A50633"/>
    <w:rsid w:val="00A507A3"/>
    <w:rsid w:val="00A50839"/>
    <w:rsid w:val="00A509D6"/>
    <w:rsid w:val="00A50A59"/>
    <w:rsid w:val="00A50B96"/>
    <w:rsid w:val="00A50C0D"/>
    <w:rsid w:val="00A50C93"/>
    <w:rsid w:val="00A50ECA"/>
    <w:rsid w:val="00A50EFA"/>
    <w:rsid w:val="00A50FA8"/>
    <w:rsid w:val="00A5104F"/>
    <w:rsid w:val="00A51135"/>
    <w:rsid w:val="00A51151"/>
    <w:rsid w:val="00A512E1"/>
    <w:rsid w:val="00A5147A"/>
    <w:rsid w:val="00A51876"/>
    <w:rsid w:val="00A51A0E"/>
    <w:rsid w:val="00A51A39"/>
    <w:rsid w:val="00A51AC5"/>
    <w:rsid w:val="00A51C34"/>
    <w:rsid w:val="00A51C9A"/>
    <w:rsid w:val="00A51E72"/>
    <w:rsid w:val="00A51F3A"/>
    <w:rsid w:val="00A51FE0"/>
    <w:rsid w:val="00A52077"/>
    <w:rsid w:val="00A52267"/>
    <w:rsid w:val="00A522D1"/>
    <w:rsid w:val="00A52364"/>
    <w:rsid w:val="00A52496"/>
    <w:rsid w:val="00A524CA"/>
    <w:rsid w:val="00A5263F"/>
    <w:rsid w:val="00A52645"/>
    <w:rsid w:val="00A52659"/>
    <w:rsid w:val="00A526EF"/>
    <w:rsid w:val="00A52739"/>
    <w:rsid w:val="00A529A7"/>
    <w:rsid w:val="00A52A39"/>
    <w:rsid w:val="00A52B10"/>
    <w:rsid w:val="00A52BE1"/>
    <w:rsid w:val="00A52F09"/>
    <w:rsid w:val="00A52F33"/>
    <w:rsid w:val="00A52FB3"/>
    <w:rsid w:val="00A53007"/>
    <w:rsid w:val="00A530C3"/>
    <w:rsid w:val="00A53535"/>
    <w:rsid w:val="00A535CE"/>
    <w:rsid w:val="00A536B1"/>
    <w:rsid w:val="00A536CB"/>
    <w:rsid w:val="00A53773"/>
    <w:rsid w:val="00A53780"/>
    <w:rsid w:val="00A5385B"/>
    <w:rsid w:val="00A5385D"/>
    <w:rsid w:val="00A5385F"/>
    <w:rsid w:val="00A53D00"/>
    <w:rsid w:val="00A53D38"/>
    <w:rsid w:val="00A53DB5"/>
    <w:rsid w:val="00A53E97"/>
    <w:rsid w:val="00A53EB3"/>
    <w:rsid w:val="00A53EEA"/>
    <w:rsid w:val="00A53FA8"/>
    <w:rsid w:val="00A53FD8"/>
    <w:rsid w:val="00A53FE2"/>
    <w:rsid w:val="00A541A8"/>
    <w:rsid w:val="00A54201"/>
    <w:rsid w:val="00A543D8"/>
    <w:rsid w:val="00A5446E"/>
    <w:rsid w:val="00A54507"/>
    <w:rsid w:val="00A545B8"/>
    <w:rsid w:val="00A54877"/>
    <w:rsid w:val="00A54A07"/>
    <w:rsid w:val="00A54A26"/>
    <w:rsid w:val="00A54BA8"/>
    <w:rsid w:val="00A54DA6"/>
    <w:rsid w:val="00A54E02"/>
    <w:rsid w:val="00A54E27"/>
    <w:rsid w:val="00A54E36"/>
    <w:rsid w:val="00A54E56"/>
    <w:rsid w:val="00A54E95"/>
    <w:rsid w:val="00A54FA3"/>
    <w:rsid w:val="00A550BE"/>
    <w:rsid w:val="00A5527A"/>
    <w:rsid w:val="00A552FD"/>
    <w:rsid w:val="00A55512"/>
    <w:rsid w:val="00A55675"/>
    <w:rsid w:val="00A556F5"/>
    <w:rsid w:val="00A55801"/>
    <w:rsid w:val="00A55908"/>
    <w:rsid w:val="00A55B62"/>
    <w:rsid w:val="00A55BB0"/>
    <w:rsid w:val="00A55BE1"/>
    <w:rsid w:val="00A55C8D"/>
    <w:rsid w:val="00A55D07"/>
    <w:rsid w:val="00A55D1D"/>
    <w:rsid w:val="00A55DA1"/>
    <w:rsid w:val="00A55EC6"/>
    <w:rsid w:val="00A55FD4"/>
    <w:rsid w:val="00A561CF"/>
    <w:rsid w:val="00A56267"/>
    <w:rsid w:val="00A563A2"/>
    <w:rsid w:val="00A563AF"/>
    <w:rsid w:val="00A5657B"/>
    <w:rsid w:val="00A56724"/>
    <w:rsid w:val="00A56767"/>
    <w:rsid w:val="00A56852"/>
    <w:rsid w:val="00A56889"/>
    <w:rsid w:val="00A569A8"/>
    <w:rsid w:val="00A56BC5"/>
    <w:rsid w:val="00A56DC3"/>
    <w:rsid w:val="00A56EC7"/>
    <w:rsid w:val="00A56F1E"/>
    <w:rsid w:val="00A56FA1"/>
    <w:rsid w:val="00A570DD"/>
    <w:rsid w:val="00A570F9"/>
    <w:rsid w:val="00A5712E"/>
    <w:rsid w:val="00A57243"/>
    <w:rsid w:val="00A572B2"/>
    <w:rsid w:val="00A57366"/>
    <w:rsid w:val="00A573CE"/>
    <w:rsid w:val="00A5742F"/>
    <w:rsid w:val="00A57498"/>
    <w:rsid w:val="00A5749A"/>
    <w:rsid w:val="00A57575"/>
    <w:rsid w:val="00A57587"/>
    <w:rsid w:val="00A5762C"/>
    <w:rsid w:val="00A57651"/>
    <w:rsid w:val="00A57BD0"/>
    <w:rsid w:val="00A57BDC"/>
    <w:rsid w:val="00A57CA2"/>
    <w:rsid w:val="00A57CAE"/>
    <w:rsid w:val="00A57CF4"/>
    <w:rsid w:val="00A57D52"/>
    <w:rsid w:val="00A57D77"/>
    <w:rsid w:val="00A57F4A"/>
    <w:rsid w:val="00A57FBA"/>
    <w:rsid w:val="00A60130"/>
    <w:rsid w:val="00A6054A"/>
    <w:rsid w:val="00A6060E"/>
    <w:rsid w:val="00A6066E"/>
    <w:rsid w:val="00A606C3"/>
    <w:rsid w:val="00A606C6"/>
    <w:rsid w:val="00A607AC"/>
    <w:rsid w:val="00A60846"/>
    <w:rsid w:val="00A60956"/>
    <w:rsid w:val="00A609A3"/>
    <w:rsid w:val="00A60AF7"/>
    <w:rsid w:val="00A60BA4"/>
    <w:rsid w:val="00A60E72"/>
    <w:rsid w:val="00A60EAD"/>
    <w:rsid w:val="00A60FAF"/>
    <w:rsid w:val="00A61073"/>
    <w:rsid w:val="00A61144"/>
    <w:rsid w:val="00A612E2"/>
    <w:rsid w:val="00A61511"/>
    <w:rsid w:val="00A61519"/>
    <w:rsid w:val="00A61530"/>
    <w:rsid w:val="00A61648"/>
    <w:rsid w:val="00A61677"/>
    <w:rsid w:val="00A61722"/>
    <w:rsid w:val="00A61856"/>
    <w:rsid w:val="00A6188E"/>
    <w:rsid w:val="00A61A9C"/>
    <w:rsid w:val="00A61BE7"/>
    <w:rsid w:val="00A61BF8"/>
    <w:rsid w:val="00A61C77"/>
    <w:rsid w:val="00A61C7E"/>
    <w:rsid w:val="00A61DEF"/>
    <w:rsid w:val="00A61E09"/>
    <w:rsid w:val="00A620E9"/>
    <w:rsid w:val="00A6245F"/>
    <w:rsid w:val="00A62463"/>
    <w:rsid w:val="00A62566"/>
    <w:rsid w:val="00A62589"/>
    <w:rsid w:val="00A6258D"/>
    <w:rsid w:val="00A62B22"/>
    <w:rsid w:val="00A62BFE"/>
    <w:rsid w:val="00A62D4E"/>
    <w:rsid w:val="00A62F55"/>
    <w:rsid w:val="00A6302C"/>
    <w:rsid w:val="00A63146"/>
    <w:rsid w:val="00A63179"/>
    <w:rsid w:val="00A63204"/>
    <w:rsid w:val="00A63534"/>
    <w:rsid w:val="00A6358B"/>
    <w:rsid w:val="00A6358C"/>
    <w:rsid w:val="00A63668"/>
    <w:rsid w:val="00A63815"/>
    <w:rsid w:val="00A6389C"/>
    <w:rsid w:val="00A63955"/>
    <w:rsid w:val="00A63993"/>
    <w:rsid w:val="00A63AAD"/>
    <w:rsid w:val="00A63CA0"/>
    <w:rsid w:val="00A63CEC"/>
    <w:rsid w:val="00A63DFE"/>
    <w:rsid w:val="00A63E31"/>
    <w:rsid w:val="00A64085"/>
    <w:rsid w:val="00A640E6"/>
    <w:rsid w:val="00A6413E"/>
    <w:rsid w:val="00A641A4"/>
    <w:rsid w:val="00A64245"/>
    <w:rsid w:val="00A642B6"/>
    <w:rsid w:val="00A6430D"/>
    <w:rsid w:val="00A64430"/>
    <w:rsid w:val="00A6448B"/>
    <w:rsid w:val="00A64683"/>
    <w:rsid w:val="00A6481C"/>
    <w:rsid w:val="00A6482A"/>
    <w:rsid w:val="00A648DA"/>
    <w:rsid w:val="00A64A75"/>
    <w:rsid w:val="00A64B18"/>
    <w:rsid w:val="00A64BE0"/>
    <w:rsid w:val="00A64C15"/>
    <w:rsid w:val="00A64DC2"/>
    <w:rsid w:val="00A64F10"/>
    <w:rsid w:val="00A64F74"/>
    <w:rsid w:val="00A6503A"/>
    <w:rsid w:val="00A65103"/>
    <w:rsid w:val="00A65167"/>
    <w:rsid w:val="00A655C6"/>
    <w:rsid w:val="00A65601"/>
    <w:rsid w:val="00A65925"/>
    <w:rsid w:val="00A6597F"/>
    <w:rsid w:val="00A65B07"/>
    <w:rsid w:val="00A65B9C"/>
    <w:rsid w:val="00A65DC7"/>
    <w:rsid w:val="00A66178"/>
    <w:rsid w:val="00A661DE"/>
    <w:rsid w:val="00A6632E"/>
    <w:rsid w:val="00A663CD"/>
    <w:rsid w:val="00A663E3"/>
    <w:rsid w:val="00A664AC"/>
    <w:rsid w:val="00A6654C"/>
    <w:rsid w:val="00A6655F"/>
    <w:rsid w:val="00A66714"/>
    <w:rsid w:val="00A6671C"/>
    <w:rsid w:val="00A667BA"/>
    <w:rsid w:val="00A66985"/>
    <w:rsid w:val="00A669EF"/>
    <w:rsid w:val="00A66A20"/>
    <w:rsid w:val="00A66B03"/>
    <w:rsid w:val="00A66D19"/>
    <w:rsid w:val="00A66E5B"/>
    <w:rsid w:val="00A66E5C"/>
    <w:rsid w:val="00A670A6"/>
    <w:rsid w:val="00A67117"/>
    <w:rsid w:val="00A67210"/>
    <w:rsid w:val="00A6726A"/>
    <w:rsid w:val="00A672A0"/>
    <w:rsid w:val="00A6734E"/>
    <w:rsid w:val="00A67356"/>
    <w:rsid w:val="00A674D2"/>
    <w:rsid w:val="00A67549"/>
    <w:rsid w:val="00A675DE"/>
    <w:rsid w:val="00A6763A"/>
    <w:rsid w:val="00A676C7"/>
    <w:rsid w:val="00A676CE"/>
    <w:rsid w:val="00A67714"/>
    <w:rsid w:val="00A67730"/>
    <w:rsid w:val="00A677AC"/>
    <w:rsid w:val="00A6798E"/>
    <w:rsid w:val="00A679F6"/>
    <w:rsid w:val="00A67A7A"/>
    <w:rsid w:val="00A67B6B"/>
    <w:rsid w:val="00A67C5A"/>
    <w:rsid w:val="00A67D12"/>
    <w:rsid w:val="00A67F64"/>
    <w:rsid w:val="00A67F82"/>
    <w:rsid w:val="00A70007"/>
    <w:rsid w:val="00A70041"/>
    <w:rsid w:val="00A7011A"/>
    <w:rsid w:val="00A7020D"/>
    <w:rsid w:val="00A702DD"/>
    <w:rsid w:val="00A70302"/>
    <w:rsid w:val="00A70474"/>
    <w:rsid w:val="00A705DB"/>
    <w:rsid w:val="00A7061E"/>
    <w:rsid w:val="00A70830"/>
    <w:rsid w:val="00A70847"/>
    <w:rsid w:val="00A70B8C"/>
    <w:rsid w:val="00A70D30"/>
    <w:rsid w:val="00A70D7E"/>
    <w:rsid w:val="00A70E3F"/>
    <w:rsid w:val="00A70F33"/>
    <w:rsid w:val="00A70F41"/>
    <w:rsid w:val="00A70F51"/>
    <w:rsid w:val="00A71004"/>
    <w:rsid w:val="00A710BA"/>
    <w:rsid w:val="00A71328"/>
    <w:rsid w:val="00A7142B"/>
    <w:rsid w:val="00A71433"/>
    <w:rsid w:val="00A71552"/>
    <w:rsid w:val="00A71670"/>
    <w:rsid w:val="00A71692"/>
    <w:rsid w:val="00A716F4"/>
    <w:rsid w:val="00A71700"/>
    <w:rsid w:val="00A718E0"/>
    <w:rsid w:val="00A71914"/>
    <w:rsid w:val="00A7193F"/>
    <w:rsid w:val="00A71AEB"/>
    <w:rsid w:val="00A71BCB"/>
    <w:rsid w:val="00A71CC1"/>
    <w:rsid w:val="00A71CE8"/>
    <w:rsid w:val="00A71D1F"/>
    <w:rsid w:val="00A71D2E"/>
    <w:rsid w:val="00A71F5E"/>
    <w:rsid w:val="00A71F6F"/>
    <w:rsid w:val="00A720A9"/>
    <w:rsid w:val="00A720D1"/>
    <w:rsid w:val="00A7210F"/>
    <w:rsid w:val="00A72142"/>
    <w:rsid w:val="00A72214"/>
    <w:rsid w:val="00A722C8"/>
    <w:rsid w:val="00A722D5"/>
    <w:rsid w:val="00A72634"/>
    <w:rsid w:val="00A72638"/>
    <w:rsid w:val="00A7264A"/>
    <w:rsid w:val="00A727C5"/>
    <w:rsid w:val="00A72900"/>
    <w:rsid w:val="00A7295B"/>
    <w:rsid w:val="00A72994"/>
    <w:rsid w:val="00A72A61"/>
    <w:rsid w:val="00A72A79"/>
    <w:rsid w:val="00A72AEB"/>
    <w:rsid w:val="00A72B34"/>
    <w:rsid w:val="00A72B38"/>
    <w:rsid w:val="00A72B8A"/>
    <w:rsid w:val="00A72C6F"/>
    <w:rsid w:val="00A72D0C"/>
    <w:rsid w:val="00A72D0F"/>
    <w:rsid w:val="00A72D79"/>
    <w:rsid w:val="00A72D9A"/>
    <w:rsid w:val="00A72DBC"/>
    <w:rsid w:val="00A72DD5"/>
    <w:rsid w:val="00A72EBE"/>
    <w:rsid w:val="00A733A2"/>
    <w:rsid w:val="00A7352D"/>
    <w:rsid w:val="00A73534"/>
    <w:rsid w:val="00A73800"/>
    <w:rsid w:val="00A73832"/>
    <w:rsid w:val="00A73902"/>
    <w:rsid w:val="00A73C3E"/>
    <w:rsid w:val="00A73D17"/>
    <w:rsid w:val="00A73D7D"/>
    <w:rsid w:val="00A73E0C"/>
    <w:rsid w:val="00A74236"/>
    <w:rsid w:val="00A74331"/>
    <w:rsid w:val="00A7445D"/>
    <w:rsid w:val="00A74643"/>
    <w:rsid w:val="00A74654"/>
    <w:rsid w:val="00A74673"/>
    <w:rsid w:val="00A7493A"/>
    <w:rsid w:val="00A74BE2"/>
    <w:rsid w:val="00A74C5A"/>
    <w:rsid w:val="00A74C9A"/>
    <w:rsid w:val="00A74D5A"/>
    <w:rsid w:val="00A74D94"/>
    <w:rsid w:val="00A74E9A"/>
    <w:rsid w:val="00A74EDD"/>
    <w:rsid w:val="00A74F90"/>
    <w:rsid w:val="00A74F9E"/>
    <w:rsid w:val="00A74FF5"/>
    <w:rsid w:val="00A7504E"/>
    <w:rsid w:val="00A75113"/>
    <w:rsid w:val="00A75350"/>
    <w:rsid w:val="00A7543D"/>
    <w:rsid w:val="00A754B2"/>
    <w:rsid w:val="00A75599"/>
    <w:rsid w:val="00A75942"/>
    <w:rsid w:val="00A759CF"/>
    <w:rsid w:val="00A75C18"/>
    <w:rsid w:val="00A76009"/>
    <w:rsid w:val="00A763A5"/>
    <w:rsid w:val="00A763A8"/>
    <w:rsid w:val="00A76444"/>
    <w:rsid w:val="00A764E3"/>
    <w:rsid w:val="00A766C5"/>
    <w:rsid w:val="00A7677F"/>
    <w:rsid w:val="00A7679B"/>
    <w:rsid w:val="00A767A6"/>
    <w:rsid w:val="00A767C9"/>
    <w:rsid w:val="00A76879"/>
    <w:rsid w:val="00A769E5"/>
    <w:rsid w:val="00A76B0E"/>
    <w:rsid w:val="00A76BAB"/>
    <w:rsid w:val="00A76C46"/>
    <w:rsid w:val="00A76D1F"/>
    <w:rsid w:val="00A76E97"/>
    <w:rsid w:val="00A76F36"/>
    <w:rsid w:val="00A77033"/>
    <w:rsid w:val="00A770B5"/>
    <w:rsid w:val="00A77119"/>
    <w:rsid w:val="00A77152"/>
    <w:rsid w:val="00A771EE"/>
    <w:rsid w:val="00A77261"/>
    <w:rsid w:val="00A77333"/>
    <w:rsid w:val="00A7733F"/>
    <w:rsid w:val="00A7740C"/>
    <w:rsid w:val="00A7742A"/>
    <w:rsid w:val="00A7747E"/>
    <w:rsid w:val="00A775D6"/>
    <w:rsid w:val="00A77775"/>
    <w:rsid w:val="00A777FC"/>
    <w:rsid w:val="00A778DF"/>
    <w:rsid w:val="00A77972"/>
    <w:rsid w:val="00A77B0D"/>
    <w:rsid w:val="00A77C02"/>
    <w:rsid w:val="00A77C43"/>
    <w:rsid w:val="00A77C6A"/>
    <w:rsid w:val="00A77CB8"/>
    <w:rsid w:val="00A77CBF"/>
    <w:rsid w:val="00A77D4A"/>
    <w:rsid w:val="00A77DC4"/>
    <w:rsid w:val="00A77E12"/>
    <w:rsid w:val="00A77F73"/>
    <w:rsid w:val="00A80032"/>
    <w:rsid w:val="00A8023B"/>
    <w:rsid w:val="00A80404"/>
    <w:rsid w:val="00A80458"/>
    <w:rsid w:val="00A804B0"/>
    <w:rsid w:val="00A80501"/>
    <w:rsid w:val="00A80571"/>
    <w:rsid w:val="00A8059B"/>
    <w:rsid w:val="00A8068D"/>
    <w:rsid w:val="00A80BCB"/>
    <w:rsid w:val="00A80BE7"/>
    <w:rsid w:val="00A80CEB"/>
    <w:rsid w:val="00A80DA1"/>
    <w:rsid w:val="00A80DAC"/>
    <w:rsid w:val="00A80E16"/>
    <w:rsid w:val="00A80E4D"/>
    <w:rsid w:val="00A81011"/>
    <w:rsid w:val="00A812D2"/>
    <w:rsid w:val="00A81399"/>
    <w:rsid w:val="00A8144F"/>
    <w:rsid w:val="00A81484"/>
    <w:rsid w:val="00A81523"/>
    <w:rsid w:val="00A8161E"/>
    <w:rsid w:val="00A81625"/>
    <w:rsid w:val="00A816A2"/>
    <w:rsid w:val="00A816D8"/>
    <w:rsid w:val="00A817AC"/>
    <w:rsid w:val="00A817CF"/>
    <w:rsid w:val="00A81947"/>
    <w:rsid w:val="00A819BC"/>
    <w:rsid w:val="00A819BF"/>
    <w:rsid w:val="00A81A5B"/>
    <w:rsid w:val="00A81BCA"/>
    <w:rsid w:val="00A81D45"/>
    <w:rsid w:val="00A81D67"/>
    <w:rsid w:val="00A81E2A"/>
    <w:rsid w:val="00A81E58"/>
    <w:rsid w:val="00A822A0"/>
    <w:rsid w:val="00A8236E"/>
    <w:rsid w:val="00A826E0"/>
    <w:rsid w:val="00A8272F"/>
    <w:rsid w:val="00A82A58"/>
    <w:rsid w:val="00A82A7C"/>
    <w:rsid w:val="00A82AD5"/>
    <w:rsid w:val="00A82C1A"/>
    <w:rsid w:val="00A82CD9"/>
    <w:rsid w:val="00A82E21"/>
    <w:rsid w:val="00A82E62"/>
    <w:rsid w:val="00A82E90"/>
    <w:rsid w:val="00A82FEC"/>
    <w:rsid w:val="00A830C3"/>
    <w:rsid w:val="00A83131"/>
    <w:rsid w:val="00A832C5"/>
    <w:rsid w:val="00A832DD"/>
    <w:rsid w:val="00A8359E"/>
    <w:rsid w:val="00A835C3"/>
    <w:rsid w:val="00A838A8"/>
    <w:rsid w:val="00A83A0E"/>
    <w:rsid w:val="00A83B02"/>
    <w:rsid w:val="00A83C0E"/>
    <w:rsid w:val="00A83DCF"/>
    <w:rsid w:val="00A83ECB"/>
    <w:rsid w:val="00A83ED2"/>
    <w:rsid w:val="00A8426A"/>
    <w:rsid w:val="00A842E5"/>
    <w:rsid w:val="00A84327"/>
    <w:rsid w:val="00A843D9"/>
    <w:rsid w:val="00A84575"/>
    <w:rsid w:val="00A8471B"/>
    <w:rsid w:val="00A84798"/>
    <w:rsid w:val="00A84813"/>
    <w:rsid w:val="00A8488B"/>
    <w:rsid w:val="00A84923"/>
    <w:rsid w:val="00A84927"/>
    <w:rsid w:val="00A84974"/>
    <w:rsid w:val="00A849A8"/>
    <w:rsid w:val="00A849F4"/>
    <w:rsid w:val="00A84ABB"/>
    <w:rsid w:val="00A84AF8"/>
    <w:rsid w:val="00A84B32"/>
    <w:rsid w:val="00A84C04"/>
    <w:rsid w:val="00A84CC2"/>
    <w:rsid w:val="00A84D5C"/>
    <w:rsid w:val="00A84DCF"/>
    <w:rsid w:val="00A84E7F"/>
    <w:rsid w:val="00A84EEF"/>
    <w:rsid w:val="00A8512A"/>
    <w:rsid w:val="00A85232"/>
    <w:rsid w:val="00A85328"/>
    <w:rsid w:val="00A855F5"/>
    <w:rsid w:val="00A8567F"/>
    <w:rsid w:val="00A8569E"/>
    <w:rsid w:val="00A8570A"/>
    <w:rsid w:val="00A857BE"/>
    <w:rsid w:val="00A8593A"/>
    <w:rsid w:val="00A8594E"/>
    <w:rsid w:val="00A85A65"/>
    <w:rsid w:val="00A85BC8"/>
    <w:rsid w:val="00A85E01"/>
    <w:rsid w:val="00A85FBA"/>
    <w:rsid w:val="00A85FBC"/>
    <w:rsid w:val="00A860E2"/>
    <w:rsid w:val="00A861C7"/>
    <w:rsid w:val="00A8640C"/>
    <w:rsid w:val="00A864D2"/>
    <w:rsid w:val="00A86597"/>
    <w:rsid w:val="00A86651"/>
    <w:rsid w:val="00A866BE"/>
    <w:rsid w:val="00A866CF"/>
    <w:rsid w:val="00A86873"/>
    <w:rsid w:val="00A86AE5"/>
    <w:rsid w:val="00A86BBB"/>
    <w:rsid w:val="00A86BC9"/>
    <w:rsid w:val="00A86C7A"/>
    <w:rsid w:val="00A86D6C"/>
    <w:rsid w:val="00A86DF2"/>
    <w:rsid w:val="00A86F4F"/>
    <w:rsid w:val="00A86F56"/>
    <w:rsid w:val="00A86FD2"/>
    <w:rsid w:val="00A870E6"/>
    <w:rsid w:val="00A871CF"/>
    <w:rsid w:val="00A8722C"/>
    <w:rsid w:val="00A87239"/>
    <w:rsid w:val="00A87258"/>
    <w:rsid w:val="00A87360"/>
    <w:rsid w:val="00A87365"/>
    <w:rsid w:val="00A875A3"/>
    <w:rsid w:val="00A876B5"/>
    <w:rsid w:val="00A877D4"/>
    <w:rsid w:val="00A878FE"/>
    <w:rsid w:val="00A87998"/>
    <w:rsid w:val="00A87A9B"/>
    <w:rsid w:val="00A87AA6"/>
    <w:rsid w:val="00A87B0C"/>
    <w:rsid w:val="00A87D1E"/>
    <w:rsid w:val="00A87D34"/>
    <w:rsid w:val="00A9009B"/>
    <w:rsid w:val="00A90111"/>
    <w:rsid w:val="00A9015D"/>
    <w:rsid w:val="00A9017B"/>
    <w:rsid w:val="00A90223"/>
    <w:rsid w:val="00A902B4"/>
    <w:rsid w:val="00A90418"/>
    <w:rsid w:val="00A90455"/>
    <w:rsid w:val="00A904B9"/>
    <w:rsid w:val="00A9061E"/>
    <w:rsid w:val="00A9079E"/>
    <w:rsid w:val="00A90A87"/>
    <w:rsid w:val="00A90AD2"/>
    <w:rsid w:val="00A90CBA"/>
    <w:rsid w:val="00A90EBB"/>
    <w:rsid w:val="00A90EBE"/>
    <w:rsid w:val="00A90EC5"/>
    <w:rsid w:val="00A91051"/>
    <w:rsid w:val="00A9107B"/>
    <w:rsid w:val="00A910F6"/>
    <w:rsid w:val="00A910FB"/>
    <w:rsid w:val="00A91102"/>
    <w:rsid w:val="00A91231"/>
    <w:rsid w:val="00A914A3"/>
    <w:rsid w:val="00A915F0"/>
    <w:rsid w:val="00A91A4C"/>
    <w:rsid w:val="00A91C5D"/>
    <w:rsid w:val="00A91E88"/>
    <w:rsid w:val="00A91ECF"/>
    <w:rsid w:val="00A91EEF"/>
    <w:rsid w:val="00A91F6F"/>
    <w:rsid w:val="00A91F82"/>
    <w:rsid w:val="00A91F84"/>
    <w:rsid w:val="00A9204C"/>
    <w:rsid w:val="00A92063"/>
    <w:rsid w:val="00A9217F"/>
    <w:rsid w:val="00A921D1"/>
    <w:rsid w:val="00A921D2"/>
    <w:rsid w:val="00A924DA"/>
    <w:rsid w:val="00A92536"/>
    <w:rsid w:val="00A9255A"/>
    <w:rsid w:val="00A9264F"/>
    <w:rsid w:val="00A92652"/>
    <w:rsid w:val="00A926AD"/>
    <w:rsid w:val="00A926CF"/>
    <w:rsid w:val="00A926DE"/>
    <w:rsid w:val="00A928E0"/>
    <w:rsid w:val="00A92983"/>
    <w:rsid w:val="00A92A03"/>
    <w:rsid w:val="00A92AD0"/>
    <w:rsid w:val="00A92AEB"/>
    <w:rsid w:val="00A92CFA"/>
    <w:rsid w:val="00A92D4E"/>
    <w:rsid w:val="00A92EEF"/>
    <w:rsid w:val="00A92F5A"/>
    <w:rsid w:val="00A932E7"/>
    <w:rsid w:val="00A93358"/>
    <w:rsid w:val="00A933B6"/>
    <w:rsid w:val="00A933C5"/>
    <w:rsid w:val="00A933F9"/>
    <w:rsid w:val="00A93401"/>
    <w:rsid w:val="00A93489"/>
    <w:rsid w:val="00A93581"/>
    <w:rsid w:val="00A935F2"/>
    <w:rsid w:val="00A9393E"/>
    <w:rsid w:val="00A93DB9"/>
    <w:rsid w:val="00A93F0F"/>
    <w:rsid w:val="00A93FA2"/>
    <w:rsid w:val="00A94090"/>
    <w:rsid w:val="00A940E5"/>
    <w:rsid w:val="00A9417E"/>
    <w:rsid w:val="00A9422F"/>
    <w:rsid w:val="00A9424F"/>
    <w:rsid w:val="00A94285"/>
    <w:rsid w:val="00A942A5"/>
    <w:rsid w:val="00A94390"/>
    <w:rsid w:val="00A945AD"/>
    <w:rsid w:val="00A94814"/>
    <w:rsid w:val="00A948E5"/>
    <w:rsid w:val="00A948F0"/>
    <w:rsid w:val="00A94AD5"/>
    <w:rsid w:val="00A94B2A"/>
    <w:rsid w:val="00A94B9E"/>
    <w:rsid w:val="00A94DA9"/>
    <w:rsid w:val="00A94FAA"/>
    <w:rsid w:val="00A94FD8"/>
    <w:rsid w:val="00A94FF5"/>
    <w:rsid w:val="00A952EB"/>
    <w:rsid w:val="00A9576F"/>
    <w:rsid w:val="00A95A09"/>
    <w:rsid w:val="00A95A75"/>
    <w:rsid w:val="00A95A87"/>
    <w:rsid w:val="00A95BF6"/>
    <w:rsid w:val="00A95BFA"/>
    <w:rsid w:val="00A95D92"/>
    <w:rsid w:val="00A95EA8"/>
    <w:rsid w:val="00A95F5E"/>
    <w:rsid w:val="00A95FBE"/>
    <w:rsid w:val="00A95FEE"/>
    <w:rsid w:val="00A95FFB"/>
    <w:rsid w:val="00A9607C"/>
    <w:rsid w:val="00A961AE"/>
    <w:rsid w:val="00A9629A"/>
    <w:rsid w:val="00A9631D"/>
    <w:rsid w:val="00A96342"/>
    <w:rsid w:val="00A96365"/>
    <w:rsid w:val="00A963FF"/>
    <w:rsid w:val="00A96483"/>
    <w:rsid w:val="00A96538"/>
    <w:rsid w:val="00A96597"/>
    <w:rsid w:val="00A966AE"/>
    <w:rsid w:val="00A969F5"/>
    <w:rsid w:val="00A96A47"/>
    <w:rsid w:val="00A96B08"/>
    <w:rsid w:val="00A96B50"/>
    <w:rsid w:val="00A96BAD"/>
    <w:rsid w:val="00A96D61"/>
    <w:rsid w:val="00A97094"/>
    <w:rsid w:val="00A971BE"/>
    <w:rsid w:val="00A97277"/>
    <w:rsid w:val="00A9740C"/>
    <w:rsid w:val="00A975DB"/>
    <w:rsid w:val="00A976AE"/>
    <w:rsid w:val="00A977C8"/>
    <w:rsid w:val="00A97857"/>
    <w:rsid w:val="00A97944"/>
    <w:rsid w:val="00A97A7C"/>
    <w:rsid w:val="00A97AEF"/>
    <w:rsid w:val="00A97C2A"/>
    <w:rsid w:val="00A97CD1"/>
    <w:rsid w:val="00A97E47"/>
    <w:rsid w:val="00A97E5B"/>
    <w:rsid w:val="00A97FAC"/>
    <w:rsid w:val="00AA0042"/>
    <w:rsid w:val="00AA00D5"/>
    <w:rsid w:val="00AA0156"/>
    <w:rsid w:val="00AA0184"/>
    <w:rsid w:val="00AA0878"/>
    <w:rsid w:val="00AA0941"/>
    <w:rsid w:val="00AA0989"/>
    <w:rsid w:val="00AA0ABA"/>
    <w:rsid w:val="00AA0AC1"/>
    <w:rsid w:val="00AA0D62"/>
    <w:rsid w:val="00AA0ED4"/>
    <w:rsid w:val="00AA0FA9"/>
    <w:rsid w:val="00AA1192"/>
    <w:rsid w:val="00AA1310"/>
    <w:rsid w:val="00AA1419"/>
    <w:rsid w:val="00AA149A"/>
    <w:rsid w:val="00AA1574"/>
    <w:rsid w:val="00AA1776"/>
    <w:rsid w:val="00AA18E8"/>
    <w:rsid w:val="00AA1A09"/>
    <w:rsid w:val="00AA1A26"/>
    <w:rsid w:val="00AA1BA7"/>
    <w:rsid w:val="00AA1C87"/>
    <w:rsid w:val="00AA1DD3"/>
    <w:rsid w:val="00AA1E51"/>
    <w:rsid w:val="00AA1F83"/>
    <w:rsid w:val="00AA20D2"/>
    <w:rsid w:val="00AA2164"/>
    <w:rsid w:val="00AA2183"/>
    <w:rsid w:val="00AA22D8"/>
    <w:rsid w:val="00AA232E"/>
    <w:rsid w:val="00AA23DB"/>
    <w:rsid w:val="00AA24C6"/>
    <w:rsid w:val="00AA26B1"/>
    <w:rsid w:val="00AA28DD"/>
    <w:rsid w:val="00AA2998"/>
    <w:rsid w:val="00AA2B44"/>
    <w:rsid w:val="00AA2E59"/>
    <w:rsid w:val="00AA2E90"/>
    <w:rsid w:val="00AA2F1F"/>
    <w:rsid w:val="00AA2FB0"/>
    <w:rsid w:val="00AA2FC5"/>
    <w:rsid w:val="00AA2FCC"/>
    <w:rsid w:val="00AA3130"/>
    <w:rsid w:val="00AA31C4"/>
    <w:rsid w:val="00AA3217"/>
    <w:rsid w:val="00AA330B"/>
    <w:rsid w:val="00AA3358"/>
    <w:rsid w:val="00AA341F"/>
    <w:rsid w:val="00AA3423"/>
    <w:rsid w:val="00AA35F0"/>
    <w:rsid w:val="00AA3696"/>
    <w:rsid w:val="00AA36CA"/>
    <w:rsid w:val="00AA37E7"/>
    <w:rsid w:val="00AA38AB"/>
    <w:rsid w:val="00AA38AC"/>
    <w:rsid w:val="00AA3A60"/>
    <w:rsid w:val="00AA3AB9"/>
    <w:rsid w:val="00AA3AED"/>
    <w:rsid w:val="00AA3BC6"/>
    <w:rsid w:val="00AA3DE5"/>
    <w:rsid w:val="00AA4057"/>
    <w:rsid w:val="00AA4312"/>
    <w:rsid w:val="00AA432B"/>
    <w:rsid w:val="00AA44DD"/>
    <w:rsid w:val="00AA4512"/>
    <w:rsid w:val="00AA4519"/>
    <w:rsid w:val="00AA46D0"/>
    <w:rsid w:val="00AA4759"/>
    <w:rsid w:val="00AA4806"/>
    <w:rsid w:val="00AA484E"/>
    <w:rsid w:val="00AA4882"/>
    <w:rsid w:val="00AA48C9"/>
    <w:rsid w:val="00AA4A4B"/>
    <w:rsid w:val="00AA4B0E"/>
    <w:rsid w:val="00AA4C00"/>
    <w:rsid w:val="00AA4C5C"/>
    <w:rsid w:val="00AA4DB8"/>
    <w:rsid w:val="00AA4F8C"/>
    <w:rsid w:val="00AA4F9C"/>
    <w:rsid w:val="00AA4F9E"/>
    <w:rsid w:val="00AA506C"/>
    <w:rsid w:val="00AA5101"/>
    <w:rsid w:val="00AA538A"/>
    <w:rsid w:val="00AA54E7"/>
    <w:rsid w:val="00AA56DF"/>
    <w:rsid w:val="00AA574B"/>
    <w:rsid w:val="00AA57BB"/>
    <w:rsid w:val="00AA591D"/>
    <w:rsid w:val="00AA5A8E"/>
    <w:rsid w:val="00AA5ADE"/>
    <w:rsid w:val="00AA5C6C"/>
    <w:rsid w:val="00AA5C95"/>
    <w:rsid w:val="00AA5CD4"/>
    <w:rsid w:val="00AA5DE3"/>
    <w:rsid w:val="00AA6053"/>
    <w:rsid w:val="00AA62EF"/>
    <w:rsid w:val="00AA6417"/>
    <w:rsid w:val="00AA641C"/>
    <w:rsid w:val="00AA64E6"/>
    <w:rsid w:val="00AA6540"/>
    <w:rsid w:val="00AA65C3"/>
    <w:rsid w:val="00AA67D5"/>
    <w:rsid w:val="00AA67FB"/>
    <w:rsid w:val="00AA6848"/>
    <w:rsid w:val="00AA6898"/>
    <w:rsid w:val="00AA68E5"/>
    <w:rsid w:val="00AA68EA"/>
    <w:rsid w:val="00AA6988"/>
    <w:rsid w:val="00AA6989"/>
    <w:rsid w:val="00AA69C9"/>
    <w:rsid w:val="00AA69FC"/>
    <w:rsid w:val="00AA6B11"/>
    <w:rsid w:val="00AA6B60"/>
    <w:rsid w:val="00AA6BF4"/>
    <w:rsid w:val="00AA6CFE"/>
    <w:rsid w:val="00AA6D1F"/>
    <w:rsid w:val="00AA6E22"/>
    <w:rsid w:val="00AA6EC1"/>
    <w:rsid w:val="00AA6F20"/>
    <w:rsid w:val="00AA6F26"/>
    <w:rsid w:val="00AA7148"/>
    <w:rsid w:val="00AA7343"/>
    <w:rsid w:val="00AA7411"/>
    <w:rsid w:val="00AA754D"/>
    <w:rsid w:val="00AA76FC"/>
    <w:rsid w:val="00AA7736"/>
    <w:rsid w:val="00AA7787"/>
    <w:rsid w:val="00AA7802"/>
    <w:rsid w:val="00AA784A"/>
    <w:rsid w:val="00AA7BCE"/>
    <w:rsid w:val="00AA7BFC"/>
    <w:rsid w:val="00AA7C23"/>
    <w:rsid w:val="00AA7C8E"/>
    <w:rsid w:val="00AA7EC0"/>
    <w:rsid w:val="00AA7F00"/>
    <w:rsid w:val="00AA7F74"/>
    <w:rsid w:val="00AB0012"/>
    <w:rsid w:val="00AB00D3"/>
    <w:rsid w:val="00AB0195"/>
    <w:rsid w:val="00AB032B"/>
    <w:rsid w:val="00AB0377"/>
    <w:rsid w:val="00AB03D7"/>
    <w:rsid w:val="00AB0410"/>
    <w:rsid w:val="00AB0458"/>
    <w:rsid w:val="00AB04FD"/>
    <w:rsid w:val="00AB067B"/>
    <w:rsid w:val="00AB06EE"/>
    <w:rsid w:val="00AB0773"/>
    <w:rsid w:val="00AB07BA"/>
    <w:rsid w:val="00AB081E"/>
    <w:rsid w:val="00AB08C4"/>
    <w:rsid w:val="00AB094E"/>
    <w:rsid w:val="00AB097F"/>
    <w:rsid w:val="00AB0BAB"/>
    <w:rsid w:val="00AB0CD8"/>
    <w:rsid w:val="00AB0FE6"/>
    <w:rsid w:val="00AB1173"/>
    <w:rsid w:val="00AB11BA"/>
    <w:rsid w:val="00AB1266"/>
    <w:rsid w:val="00AB12AC"/>
    <w:rsid w:val="00AB132F"/>
    <w:rsid w:val="00AB1497"/>
    <w:rsid w:val="00AB18BC"/>
    <w:rsid w:val="00AB19BC"/>
    <w:rsid w:val="00AB1A38"/>
    <w:rsid w:val="00AB1C8E"/>
    <w:rsid w:val="00AB1CA4"/>
    <w:rsid w:val="00AB1D09"/>
    <w:rsid w:val="00AB1D24"/>
    <w:rsid w:val="00AB1E39"/>
    <w:rsid w:val="00AB1F4C"/>
    <w:rsid w:val="00AB1FB6"/>
    <w:rsid w:val="00AB232D"/>
    <w:rsid w:val="00AB234B"/>
    <w:rsid w:val="00AB2432"/>
    <w:rsid w:val="00AB26A0"/>
    <w:rsid w:val="00AB2780"/>
    <w:rsid w:val="00AB27AC"/>
    <w:rsid w:val="00AB27EC"/>
    <w:rsid w:val="00AB2826"/>
    <w:rsid w:val="00AB298D"/>
    <w:rsid w:val="00AB29F8"/>
    <w:rsid w:val="00AB2A88"/>
    <w:rsid w:val="00AB2AA8"/>
    <w:rsid w:val="00AB2C5B"/>
    <w:rsid w:val="00AB2D94"/>
    <w:rsid w:val="00AB2E8B"/>
    <w:rsid w:val="00AB2F95"/>
    <w:rsid w:val="00AB2F9A"/>
    <w:rsid w:val="00AB2FC3"/>
    <w:rsid w:val="00AB2FD1"/>
    <w:rsid w:val="00AB30CD"/>
    <w:rsid w:val="00AB3170"/>
    <w:rsid w:val="00AB320B"/>
    <w:rsid w:val="00AB3342"/>
    <w:rsid w:val="00AB33DB"/>
    <w:rsid w:val="00AB3409"/>
    <w:rsid w:val="00AB3415"/>
    <w:rsid w:val="00AB36FA"/>
    <w:rsid w:val="00AB377D"/>
    <w:rsid w:val="00AB386B"/>
    <w:rsid w:val="00AB39E0"/>
    <w:rsid w:val="00AB3BCD"/>
    <w:rsid w:val="00AB3C4D"/>
    <w:rsid w:val="00AB3C9A"/>
    <w:rsid w:val="00AB3CFA"/>
    <w:rsid w:val="00AB3E1A"/>
    <w:rsid w:val="00AB3E9D"/>
    <w:rsid w:val="00AB3EA0"/>
    <w:rsid w:val="00AB3FB6"/>
    <w:rsid w:val="00AB3FD3"/>
    <w:rsid w:val="00AB3FD4"/>
    <w:rsid w:val="00AB4003"/>
    <w:rsid w:val="00AB4070"/>
    <w:rsid w:val="00AB4105"/>
    <w:rsid w:val="00AB411B"/>
    <w:rsid w:val="00AB4142"/>
    <w:rsid w:val="00AB425C"/>
    <w:rsid w:val="00AB425F"/>
    <w:rsid w:val="00AB42D6"/>
    <w:rsid w:val="00AB42E4"/>
    <w:rsid w:val="00AB433F"/>
    <w:rsid w:val="00AB43A1"/>
    <w:rsid w:val="00AB43C5"/>
    <w:rsid w:val="00AB456D"/>
    <w:rsid w:val="00AB45A3"/>
    <w:rsid w:val="00AB45C8"/>
    <w:rsid w:val="00AB4674"/>
    <w:rsid w:val="00AB4676"/>
    <w:rsid w:val="00AB4870"/>
    <w:rsid w:val="00AB4B0C"/>
    <w:rsid w:val="00AB4BD6"/>
    <w:rsid w:val="00AB4D22"/>
    <w:rsid w:val="00AB4DF0"/>
    <w:rsid w:val="00AB4EDF"/>
    <w:rsid w:val="00AB5087"/>
    <w:rsid w:val="00AB50F6"/>
    <w:rsid w:val="00AB513C"/>
    <w:rsid w:val="00AB51EE"/>
    <w:rsid w:val="00AB52CC"/>
    <w:rsid w:val="00AB5505"/>
    <w:rsid w:val="00AB5515"/>
    <w:rsid w:val="00AB55A4"/>
    <w:rsid w:val="00AB56F0"/>
    <w:rsid w:val="00AB5821"/>
    <w:rsid w:val="00AB58D9"/>
    <w:rsid w:val="00AB5A43"/>
    <w:rsid w:val="00AB5B21"/>
    <w:rsid w:val="00AB5B22"/>
    <w:rsid w:val="00AB5B7D"/>
    <w:rsid w:val="00AB5C8E"/>
    <w:rsid w:val="00AB5CE9"/>
    <w:rsid w:val="00AB5D91"/>
    <w:rsid w:val="00AB5E27"/>
    <w:rsid w:val="00AB5E8F"/>
    <w:rsid w:val="00AB613F"/>
    <w:rsid w:val="00AB6189"/>
    <w:rsid w:val="00AB61BF"/>
    <w:rsid w:val="00AB621F"/>
    <w:rsid w:val="00AB6343"/>
    <w:rsid w:val="00AB637F"/>
    <w:rsid w:val="00AB65A9"/>
    <w:rsid w:val="00AB699C"/>
    <w:rsid w:val="00AB69E3"/>
    <w:rsid w:val="00AB6A5C"/>
    <w:rsid w:val="00AB6DFB"/>
    <w:rsid w:val="00AB6E10"/>
    <w:rsid w:val="00AB6E26"/>
    <w:rsid w:val="00AB6F53"/>
    <w:rsid w:val="00AB7012"/>
    <w:rsid w:val="00AB7150"/>
    <w:rsid w:val="00AB7237"/>
    <w:rsid w:val="00AB73D1"/>
    <w:rsid w:val="00AB74A1"/>
    <w:rsid w:val="00AB74AB"/>
    <w:rsid w:val="00AB74BC"/>
    <w:rsid w:val="00AB755E"/>
    <w:rsid w:val="00AB789E"/>
    <w:rsid w:val="00AB7A10"/>
    <w:rsid w:val="00AB7BC9"/>
    <w:rsid w:val="00AB7BE5"/>
    <w:rsid w:val="00AB7F28"/>
    <w:rsid w:val="00AB7FBD"/>
    <w:rsid w:val="00AC01D3"/>
    <w:rsid w:val="00AC0206"/>
    <w:rsid w:val="00AC0234"/>
    <w:rsid w:val="00AC0244"/>
    <w:rsid w:val="00AC0248"/>
    <w:rsid w:val="00AC02BB"/>
    <w:rsid w:val="00AC056D"/>
    <w:rsid w:val="00AC05DD"/>
    <w:rsid w:val="00AC08BB"/>
    <w:rsid w:val="00AC097B"/>
    <w:rsid w:val="00AC0AB0"/>
    <w:rsid w:val="00AC0B73"/>
    <w:rsid w:val="00AC0BAF"/>
    <w:rsid w:val="00AC0C05"/>
    <w:rsid w:val="00AC0F33"/>
    <w:rsid w:val="00AC1159"/>
    <w:rsid w:val="00AC1178"/>
    <w:rsid w:val="00AC1306"/>
    <w:rsid w:val="00AC13B7"/>
    <w:rsid w:val="00AC1709"/>
    <w:rsid w:val="00AC177E"/>
    <w:rsid w:val="00AC1845"/>
    <w:rsid w:val="00AC1889"/>
    <w:rsid w:val="00AC19AB"/>
    <w:rsid w:val="00AC19FC"/>
    <w:rsid w:val="00AC1A51"/>
    <w:rsid w:val="00AC1B0C"/>
    <w:rsid w:val="00AC1B1E"/>
    <w:rsid w:val="00AC1B21"/>
    <w:rsid w:val="00AC1B79"/>
    <w:rsid w:val="00AC1BF6"/>
    <w:rsid w:val="00AC1D0F"/>
    <w:rsid w:val="00AC1D95"/>
    <w:rsid w:val="00AC2140"/>
    <w:rsid w:val="00AC2151"/>
    <w:rsid w:val="00AC2156"/>
    <w:rsid w:val="00AC24BD"/>
    <w:rsid w:val="00AC24E8"/>
    <w:rsid w:val="00AC2598"/>
    <w:rsid w:val="00AC2616"/>
    <w:rsid w:val="00AC266C"/>
    <w:rsid w:val="00AC280A"/>
    <w:rsid w:val="00AC281F"/>
    <w:rsid w:val="00AC291B"/>
    <w:rsid w:val="00AC2A9C"/>
    <w:rsid w:val="00AC2E10"/>
    <w:rsid w:val="00AC2F7F"/>
    <w:rsid w:val="00AC3016"/>
    <w:rsid w:val="00AC301C"/>
    <w:rsid w:val="00AC3179"/>
    <w:rsid w:val="00AC32A5"/>
    <w:rsid w:val="00AC3342"/>
    <w:rsid w:val="00AC336C"/>
    <w:rsid w:val="00AC33ED"/>
    <w:rsid w:val="00AC342D"/>
    <w:rsid w:val="00AC35B6"/>
    <w:rsid w:val="00AC3630"/>
    <w:rsid w:val="00AC36A7"/>
    <w:rsid w:val="00AC36C6"/>
    <w:rsid w:val="00AC36D5"/>
    <w:rsid w:val="00AC36ED"/>
    <w:rsid w:val="00AC3789"/>
    <w:rsid w:val="00AC3866"/>
    <w:rsid w:val="00AC387B"/>
    <w:rsid w:val="00AC3A1B"/>
    <w:rsid w:val="00AC3C20"/>
    <w:rsid w:val="00AC3CF4"/>
    <w:rsid w:val="00AC3DA5"/>
    <w:rsid w:val="00AC421E"/>
    <w:rsid w:val="00AC4278"/>
    <w:rsid w:val="00AC42DE"/>
    <w:rsid w:val="00AC42EE"/>
    <w:rsid w:val="00AC4384"/>
    <w:rsid w:val="00AC44F8"/>
    <w:rsid w:val="00AC4974"/>
    <w:rsid w:val="00AC4B10"/>
    <w:rsid w:val="00AC4B5F"/>
    <w:rsid w:val="00AC4C4D"/>
    <w:rsid w:val="00AC4E61"/>
    <w:rsid w:val="00AC4E7A"/>
    <w:rsid w:val="00AC4ECC"/>
    <w:rsid w:val="00AC4EF8"/>
    <w:rsid w:val="00AC4FA8"/>
    <w:rsid w:val="00AC4FD6"/>
    <w:rsid w:val="00AC52E1"/>
    <w:rsid w:val="00AC5359"/>
    <w:rsid w:val="00AC56ED"/>
    <w:rsid w:val="00AC57F0"/>
    <w:rsid w:val="00AC5803"/>
    <w:rsid w:val="00AC5807"/>
    <w:rsid w:val="00AC5854"/>
    <w:rsid w:val="00AC5883"/>
    <w:rsid w:val="00AC58DD"/>
    <w:rsid w:val="00AC59FD"/>
    <w:rsid w:val="00AC5A3F"/>
    <w:rsid w:val="00AC5B29"/>
    <w:rsid w:val="00AC5C0A"/>
    <w:rsid w:val="00AC5C13"/>
    <w:rsid w:val="00AC6038"/>
    <w:rsid w:val="00AC6098"/>
    <w:rsid w:val="00AC62F4"/>
    <w:rsid w:val="00AC62FA"/>
    <w:rsid w:val="00AC6516"/>
    <w:rsid w:val="00AC65A6"/>
    <w:rsid w:val="00AC661B"/>
    <w:rsid w:val="00AC6659"/>
    <w:rsid w:val="00AC66D9"/>
    <w:rsid w:val="00AC6782"/>
    <w:rsid w:val="00AC67C9"/>
    <w:rsid w:val="00AC67DC"/>
    <w:rsid w:val="00AC6A40"/>
    <w:rsid w:val="00AC6CB2"/>
    <w:rsid w:val="00AC6CC9"/>
    <w:rsid w:val="00AC6EE1"/>
    <w:rsid w:val="00AC6EF4"/>
    <w:rsid w:val="00AC6F45"/>
    <w:rsid w:val="00AC7081"/>
    <w:rsid w:val="00AC70C2"/>
    <w:rsid w:val="00AC72A1"/>
    <w:rsid w:val="00AC7492"/>
    <w:rsid w:val="00AC76F1"/>
    <w:rsid w:val="00AC7950"/>
    <w:rsid w:val="00AC799C"/>
    <w:rsid w:val="00AC7CC1"/>
    <w:rsid w:val="00AC7D52"/>
    <w:rsid w:val="00AC7EE0"/>
    <w:rsid w:val="00AC7FEC"/>
    <w:rsid w:val="00AD01A4"/>
    <w:rsid w:val="00AD01B6"/>
    <w:rsid w:val="00AD030F"/>
    <w:rsid w:val="00AD0352"/>
    <w:rsid w:val="00AD039B"/>
    <w:rsid w:val="00AD0616"/>
    <w:rsid w:val="00AD068F"/>
    <w:rsid w:val="00AD06BE"/>
    <w:rsid w:val="00AD07E2"/>
    <w:rsid w:val="00AD09C4"/>
    <w:rsid w:val="00AD0A6C"/>
    <w:rsid w:val="00AD0AC0"/>
    <w:rsid w:val="00AD0AEE"/>
    <w:rsid w:val="00AD0B6E"/>
    <w:rsid w:val="00AD0CC7"/>
    <w:rsid w:val="00AD0D00"/>
    <w:rsid w:val="00AD0D5B"/>
    <w:rsid w:val="00AD0E8D"/>
    <w:rsid w:val="00AD0EED"/>
    <w:rsid w:val="00AD0F01"/>
    <w:rsid w:val="00AD0FAC"/>
    <w:rsid w:val="00AD106A"/>
    <w:rsid w:val="00AD10B0"/>
    <w:rsid w:val="00AD10C0"/>
    <w:rsid w:val="00AD11D7"/>
    <w:rsid w:val="00AD11ED"/>
    <w:rsid w:val="00AD1492"/>
    <w:rsid w:val="00AD166F"/>
    <w:rsid w:val="00AD179E"/>
    <w:rsid w:val="00AD17A1"/>
    <w:rsid w:val="00AD182F"/>
    <w:rsid w:val="00AD19D6"/>
    <w:rsid w:val="00AD1A7F"/>
    <w:rsid w:val="00AD1AB2"/>
    <w:rsid w:val="00AD1BD1"/>
    <w:rsid w:val="00AD1F90"/>
    <w:rsid w:val="00AD1F9F"/>
    <w:rsid w:val="00AD1FB5"/>
    <w:rsid w:val="00AD2284"/>
    <w:rsid w:val="00AD22C5"/>
    <w:rsid w:val="00AD2314"/>
    <w:rsid w:val="00AD27DB"/>
    <w:rsid w:val="00AD2812"/>
    <w:rsid w:val="00AD2928"/>
    <w:rsid w:val="00AD2A83"/>
    <w:rsid w:val="00AD2A87"/>
    <w:rsid w:val="00AD2B6F"/>
    <w:rsid w:val="00AD2BC4"/>
    <w:rsid w:val="00AD2D3C"/>
    <w:rsid w:val="00AD2D5E"/>
    <w:rsid w:val="00AD2E02"/>
    <w:rsid w:val="00AD2F77"/>
    <w:rsid w:val="00AD309F"/>
    <w:rsid w:val="00AD33F1"/>
    <w:rsid w:val="00AD33FA"/>
    <w:rsid w:val="00AD351C"/>
    <w:rsid w:val="00AD3598"/>
    <w:rsid w:val="00AD35B5"/>
    <w:rsid w:val="00AD35C3"/>
    <w:rsid w:val="00AD3645"/>
    <w:rsid w:val="00AD36FB"/>
    <w:rsid w:val="00AD374A"/>
    <w:rsid w:val="00AD37F2"/>
    <w:rsid w:val="00AD380B"/>
    <w:rsid w:val="00AD3A66"/>
    <w:rsid w:val="00AD3C05"/>
    <w:rsid w:val="00AD3D5E"/>
    <w:rsid w:val="00AD3EB1"/>
    <w:rsid w:val="00AD3F2B"/>
    <w:rsid w:val="00AD3F48"/>
    <w:rsid w:val="00AD414D"/>
    <w:rsid w:val="00AD42AE"/>
    <w:rsid w:val="00AD44A9"/>
    <w:rsid w:val="00AD44C6"/>
    <w:rsid w:val="00AD4754"/>
    <w:rsid w:val="00AD477B"/>
    <w:rsid w:val="00AD4A51"/>
    <w:rsid w:val="00AD4B27"/>
    <w:rsid w:val="00AD4B85"/>
    <w:rsid w:val="00AD4BE4"/>
    <w:rsid w:val="00AD4BF3"/>
    <w:rsid w:val="00AD4D05"/>
    <w:rsid w:val="00AD4F51"/>
    <w:rsid w:val="00AD5159"/>
    <w:rsid w:val="00AD519A"/>
    <w:rsid w:val="00AD5205"/>
    <w:rsid w:val="00AD5221"/>
    <w:rsid w:val="00AD531E"/>
    <w:rsid w:val="00AD5530"/>
    <w:rsid w:val="00AD5699"/>
    <w:rsid w:val="00AD570A"/>
    <w:rsid w:val="00AD57B8"/>
    <w:rsid w:val="00AD58C7"/>
    <w:rsid w:val="00AD5AC2"/>
    <w:rsid w:val="00AD5B24"/>
    <w:rsid w:val="00AD5CA3"/>
    <w:rsid w:val="00AD5CB9"/>
    <w:rsid w:val="00AD5F87"/>
    <w:rsid w:val="00AD5FA2"/>
    <w:rsid w:val="00AD605E"/>
    <w:rsid w:val="00AD6070"/>
    <w:rsid w:val="00AD63DA"/>
    <w:rsid w:val="00AD6424"/>
    <w:rsid w:val="00AD65C5"/>
    <w:rsid w:val="00AD6718"/>
    <w:rsid w:val="00AD69B8"/>
    <w:rsid w:val="00AD6A03"/>
    <w:rsid w:val="00AD6A9F"/>
    <w:rsid w:val="00AD6CAB"/>
    <w:rsid w:val="00AD6CB3"/>
    <w:rsid w:val="00AD6D5B"/>
    <w:rsid w:val="00AD6D6C"/>
    <w:rsid w:val="00AD6D7B"/>
    <w:rsid w:val="00AD7204"/>
    <w:rsid w:val="00AD7783"/>
    <w:rsid w:val="00AD78C4"/>
    <w:rsid w:val="00AD79CB"/>
    <w:rsid w:val="00AD7A9C"/>
    <w:rsid w:val="00AD7EFF"/>
    <w:rsid w:val="00AD7F6D"/>
    <w:rsid w:val="00AD7F80"/>
    <w:rsid w:val="00AE0208"/>
    <w:rsid w:val="00AE03AF"/>
    <w:rsid w:val="00AE04E8"/>
    <w:rsid w:val="00AE0552"/>
    <w:rsid w:val="00AE06F8"/>
    <w:rsid w:val="00AE08E9"/>
    <w:rsid w:val="00AE0940"/>
    <w:rsid w:val="00AE094C"/>
    <w:rsid w:val="00AE09AE"/>
    <w:rsid w:val="00AE0A85"/>
    <w:rsid w:val="00AE0C0A"/>
    <w:rsid w:val="00AE0C40"/>
    <w:rsid w:val="00AE0D27"/>
    <w:rsid w:val="00AE0FD1"/>
    <w:rsid w:val="00AE1006"/>
    <w:rsid w:val="00AE10EC"/>
    <w:rsid w:val="00AE1281"/>
    <w:rsid w:val="00AE147E"/>
    <w:rsid w:val="00AE15FC"/>
    <w:rsid w:val="00AE18D1"/>
    <w:rsid w:val="00AE19BE"/>
    <w:rsid w:val="00AE1A21"/>
    <w:rsid w:val="00AE1B6C"/>
    <w:rsid w:val="00AE1BA4"/>
    <w:rsid w:val="00AE1BB6"/>
    <w:rsid w:val="00AE1C4F"/>
    <w:rsid w:val="00AE1C65"/>
    <w:rsid w:val="00AE1D86"/>
    <w:rsid w:val="00AE1E7D"/>
    <w:rsid w:val="00AE206F"/>
    <w:rsid w:val="00AE2075"/>
    <w:rsid w:val="00AE2594"/>
    <w:rsid w:val="00AE25F5"/>
    <w:rsid w:val="00AE2722"/>
    <w:rsid w:val="00AE278A"/>
    <w:rsid w:val="00AE2794"/>
    <w:rsid w:val="00AE2848"/>
    <w:rsid w:val="00AE2946"/>
    <w:rsid w:val="00AE29A8"/>
    <w:rsid w:val="00AE29FB"/>
    <w:rsid w:val="00AE2A84"/>
    <w:rsid w:val="00AE2B42"/>
    <w:rsid w:val="00AE2BC1"/>
    <w:rsid w:val="00AE2EE5"/>
    <w:rsid w:val="00AE2FDE"/>
    <w:rsid w:val="00AE3195"/>
    <w:rsid w:val="00AE33DC"/>
    <w:rsid w:val="00AE3414"/>
    <w:rsid w:val="00AE3415"/>
    <w:rsid w:val="00AE354B"/>
    <w:rsid w:val="00AE354E"/>
    <w:rsid w:val="00AE36B6"/>
    <w:rsid w:val="00AE3742"/>
    <w:rsid w:val="00AE3A0F"/>
    <w:rsid w:val="00AE3B06"/>
    <w:rsid w:val="00AE3B1B"/>
    <w:rsid w:val="00AE3C8A"/>
    <w:rsid w:val="00AE3E49"/>
    <w:rsid w:val="00AE3F3A"/>
    <w:rsid w:val="00AE4107"/>
    <w:rsid w:val="00AE41C7"/>
    <w:rsid w:val="00AE42AE"/>
    <w:rsid w:val="00AE43C3"/>
    <w:rsid w:val="00AE4534"/>
    <w:rsid w:val="00AE45FD"/>
    <w:rsid w:val="00AE475A"/>
    <w:rsid w:val="00AE485D"/>
    <w:rsid w:val="00AE4917"/>
    <w:rsid w:val="00AE49A1"/>
    <w:rsid w:val="00AE4BD1"/>
    <w:rsid w:val="00AE4CB3"/>
    <w:rsid w:val="00AE505B"/>
    <w:rsid w:val="00AE5065"/>
    <w:rsid w:val="00AE508C"/>
    <w:rsid w:val="00AE50D5"/>
    <w:rsid w:val="00AE519F"/>
    <w:rsid w:val="00AE53D6"/>
    <w:rsid w:val="00AE5526"/>
    <w:rsid w:val="00AE55D5"/>
    <w:rsid w:val="00AE56D2"/>
    <w:rsid w:val="00AE56E0"/>
    <w:rsid w:val="00AE5703"/>
    <w:rsid w:val="00AE5788"/>
    <w:rsid w:val="00AE586D"/>
    <w:rsid w:val="00AE5A7D"/>
    <w:rsid w:val="00AE5BEC"/>
    <w:rsid w:val="00AE5C2A"/>
    <w:rsid w:val="00AE5C82"/>
    <w:rsid w:val="00AE5E52"/>
    <w:rsid w:val="00AE6054"/>
    <w:rsid w:val="00AE61C9"/>
    <w:rsid w:val="00AE63AD"/>
    <w:rsid w:val="00AE6447"/>
    <w:rsid w:val="00AE6494"/>
    <w:rsid w:val="00AE652B"/>
    <w:rsid w:val="00AE6612"/>
    <w:rsid w:val="00AE698F"/>
    <w:rsid w:val="00AE69D5"/>
    <w:rsid w:val="00AE6A09"/>
    <w:rsid w:val="00AE6AB5"/>
    <w:rsid w:val="00AE6B4D"/>
    <w:rsid w:val="00AE6C80"/>
    <w:rsid w:val="00AE6DE4"/>
    <w:rsid w:val="00AE6EB5"/>
    <w:rsid w:val="00AE6EEE"/>
    <w:rsid w:val="00AE7168"/>
    <w:rsid w:val="00AE7331"/>
    <w:rsid w:val="00AE73C0"/>
    <w:rsid w:val="00AE73C6"/>
    <w:rsid w:val="00AE73DA"/>
    <w:rsid w:val="00AE7436"/>
    <w:rsid w:val="00AE755F"/>
    <w:rsid w:val="00AE7640"/>
    <w:rsid w:val="00AE785F"/>
    <w:rsid w:val="00AE7AC2"/>
    <w:rsid w:val="00AE7AF6"/>
    <w:rsid w:val="00AE7C03"/>
    <w:rsid w:val="00AE7CFF"/>
    <w:rsid w:val="00AE7D9B"/>
    <w:rsid w:val="00AE7E40"/>
    <w:rsid w:val="00AE7F5F"/>
    <w:rsid w:val="00AF0110"/>
    <w:rsid w:val="00AF0133"/>
    <w:rsid w:val="00AF0254"/>
    <w:rsid w:val="00AF032E"/>
    <w:rsid w:val="00AF0650"/>
    <w:rsid w:val="00AF0753"/>
    <w:rsid w:val="00AF0797"/>
    <w:rsid w:val="00AF0857"/>
    <w:rsid w:val="00AF0962"/>
    <w:rsid w:val="00AF0A79"/>
    <w:rsid w:val="00AF0B80"/>
    <w:rsid w:val="00AF0C48"/>
    <w:rsid w:val="00AF0D1F"/>
    <w:rsid w:val="00AF0D65"/>
    <w:rsid w:val="00AF0E4D"/>
    <w:rsid w:val="00AF0F27"/>
    <w:rsid w:val="00AF0F44"/>
    <w:rsid w:val="00AF0F4E"/>
    <w:rsid w:val="00AF1068"/>
    <w:rsid w:val="00AF1082"/>
    <w:rsid w:val="00AF1187"/>
    <w:rsid w:val="00AF138C"/>
    <w:rsid w:val="00AF153F"/>
    <w:rsid w:val="00AF159B"/>
    <w:rsid w:val="00AF15A0"/>
    <w:rsid w:val="00AF1C1D"/>
    <w:rsid w:val="00AF1ED8"/>
    <w:rsid w:val="00AF1F62"/>
    <w:rsid w:val="00AF1FB9"/>
    <w:rsid w:val="00AF2186"/>
    <w:rsid w:val="00AF21F7"/>
    <w:rsid w:val="00AF2363"/>
    <w:rsid w:val="00AF244D"/>
    <w:rsid w:val="00AF2463"/>
    <w:rsid w:val="00AF260E"/>
    <w:rsid w:val="00AF261F"/>
    <w:rsid w:val="00AF2696"/>
    <w:rsid w:val="00AF26B1"/>
    <w:rsid w:val="00AF27D0"/>
    <w:rsid w:val="00AF293A"/>
    <w:rsid w:val="00AF2A6C"/>
    <w:rsid w:val="00AF2A7B"/>
    <w:rsid w:val="00AF2C6E"/>
    <w:rsid w:val="00AF2C92"/>
    <w:rsid w:val="00AF2D19"/>
    <w:rsid w:val="00AF2ECC"/>
    <w:rsid w:val="00AF2EE9"/>
    <w:rsid w:val="00AF2FD0"/>
    <w:rsid w:val="00AF3011"/>
    <w:rsid w:val="00AF30FC"/>
    <w:rsid w:val="00AF31BF"/>
    <w:rsid w:val="00AF3211"/>
    <w:rsid w:val="00AF3242"/>
    <w:rsid w:val="00AF34CC"/>
    <w:rsid w:val="00AF34EE"/>
    <w:rsid w:val="00AF355A"/>
    <w:rsid w:val="00AF35E8"/>
    <w:rsid w:val="00AF366B"/>
    <w:rsid w:val="00AF3903"/>
    <w:rsid w:val="00AF39F1"/>
    <w:rsid w:val="00AF3BE5"/>
    <w:rsid w:val="00AF3BF3"/>
    <w:rsid w:val="00AF3C55"/>
    <w:rsid w:val="00AF3E32"/>
    <w:rsid w:val="00AF3EB6"/>
    <w:rsid w:val="00AF3F1B"/>
    <w:rsid w:val="00AF3F85"/>
    <w:rsid w:val="00AF4128"/>
    <w:rsid w:val="00AF41C4"/>
    <w:rsid w:val="00AF42D4"/>
    <w:rsid w:val="00AF430C"/>
    <w:rsid w:val="00AF44F0"/>
    <w:rsid w:val="00AF4632"/>
    <w:rsid w:val="00AF4825"/>
    <w:rsid w:val="00AF4A04"/>
    <w:rsid w:val="00AF4A19"/>
    <w:rsid w:val="00AF4B5E"/>
    <w:rsid w:val="00AF4F07"/>
    <w:rsid w:val="00AF4FA8"/>
    <w:rsid w:val="00AF4FFE"/>
    <w:rsid w:val="00AF512F"/>
    <w:rsid w:val="00AF51BD"/>
    <w:rsid w:val="00AF51F4"/>
    <w:rsid w:val="00AF52B5"/>
    <w:rsid w:val="00AF5304"/>
    <w:rsid w:val="00AF534F"/>
    <w:rsid w:val="00AF535F"/>
    <w:rsid w:val="00AF5467"/>
    <w:rsid w:val="00AF551C"/>
    <w:rsid w:val="00AF57F7"/>
    <w:rsid w:val="00AF58CE"/>
    <w:rsid w:val="00AF5A5A"/>
    <w:rsid w:val="00AF5C44"/>
    <w:rsid w:val="00AF5D66"/>
    <w:rsid w:val="00AF5E4F"/>
    <w:rsid w:val="00AF60B4"/>
    <w:rsid w:val="00AF60D6"/>
    <w:rsid w:val="00AF60FE"/>
    <w:rsid w:val="00AF61DC"/>
    <w:rsid w:val="00AF62D0"/>
    <w:rsid w:val="00AF62EB"/>
    <w:rsid w:val="00AF63B9"/>
    <w:rsid w:val="00AF63D8"/>
    <w:rsid w:val="00AF648C"/>
    <w:rsid w:val="00AF64C4"/>
    <w:rsid w:val="00AF6591"/>
    <w:rsid w:val="00AF65FF"/>
    <w:rsid w:val="00AF668C"/>
    <w:rsid w:val="00AF69C7"/>
    <w:rsid w:val="00AF6AAC"/>
    <w:rsid w:val="00AF6ACB"/>
    <w:rsid w:val="00AF6B04"/>
    <w:rsid w:val="00AF6B38"/>
    <w:rsid w:val="00AF6BD5"/>
    <w:rsid w:val="00AF6C73"/>
    <w:rsid w:val="00AF6C7F"/>
    <w:rsid w:val="00AF6D28"/>
    <w:rsid w:val="00AF6E30"/>
    <w:rsid w:val="00AF6E56"/>
    <w:rsid w:val="00AF6EA0"/>
    <w:rsid w:val="00AF70FD"/>
    <w:rsid w:val="00AF744D"/>
    <w:rsid w:val="00AF747A"/>
    <w:rsid w:val="00AF74DD"/>
    <w:rsid w:val="00AF7528"/>
    <w:rsid w:val="00AF7552"/>
    <w:rsid w:val="00AF757B"/>
    <w:rsid w:val="00AF7972"/>
    <w:rsid w:val="00AF79F5"/>
    <w:rsid w:val="00AF7A4C"/>
    <w:rsid w:val="00AF7BA7"/>
    <w:rsid w:val="00AF7BE7"/>
    <w:rsid w:val="00AF7E03"/>
    <w:rsid w:val="00AF7FAA"/>
    <w:rsid w:val="00AF7FF3"/>
    <w:rsid w:val="00B00221"/>
    <w:rsid w:val="00B0039F"/>
    <w:rsid w:val="00B0060A"/>
    <w:rsid w:val="00B00673"/>
    <w:rsid w:val="00B00703"/>
    <w:rsid w:val="00B00732"/>
    <w:rsid w:val="00B007A2"/>
    <w:rsid w:val="00B0086F"/>
    <w:rsid w:val="00B008BE"/>
    <w:rsid w:val="00B0096B"/>
    <w:rsid w:val="00B00989"/>
    <w:rsid w:val="00B009F0"/>
    <w:rsid w:val="00B00AA0"/>
    <w:rsid w:val="00B00BDC"/>
    <w:rsid w:val="00B00CDF"/>
    <w:rsid w:val="00B00CEF"/>
    <w:rsid w:val="00B00E33"/>
    <w:rsid w:val="00B00FA6"/>
    <w:rsid w:val="00B00FAF"/>
    <w:rsid w:val="00B0116D"/>
    <w:rsid w:val="00B01395"/>
    <w:rsid w:val="00B01585"/>
    <w:rsid w:val="00B01617"/>
    <w:rsid w:val="00B01894"/>
    <w:rsid w:val="00B018F9"/>
    <w:rsid w:val="00B019C6"/>
    <w:rsid w:val="00B019EC"/>
    <w:rsid w:val="00B019F3"/>
    <w:rsid w:val="00B01C38"/>
    <w:rsid w:val="00B01C4C"/>
    <w:rsid w:val="00B0223E"/>
    <w:rsid w:val="00B022A3"/>
    <w:rsid w:val="00B02605"/>
    <w:rsid w:val="00B02660"/>
    <w:rsid w:val="00B02734"/>
    <w:rsid w:val="00B027D8"/>
    <w:rsid w:val="00B02809"/>
    <w:rsid w:val="00B02811"/>
    <w:rsid w:val="00B0296D"/>
    <w:rsid w:val="00B02B3C"/>
    <w:rsid w:val="00B02E9F"/>
    <w:rsid w:val="00B02F85"/>
    <w:rsid w:val="00B02FC6"/>
    <w:rsid w:val="00B03020"/>
    <w:rsid w:val="00B03107"/>
    <w:rsid w:val="00B03142"/>
    <w:rsid w:val="00B03146"/>
    <w:rsid w:val="00B0315F"/>
    <w:rsid w:val="00B031F8"/>
    <w:rsid w:val="00B032D3"/>
    <w:rsid w:val="00B032EC"/>
    <w:rsid w:val="00B032F7"/>
    <w:rsid w:val="00B034CE"/>
    <w:rsid w:val="00B03595"/>
    <w:rsid w:val="00B035AD"/>
    <w:rsid w:val="00B035BF"/>
    <w:rsid w:val="00B0365D"/>
    <w:rsid w:val="00B03850"/>
    <w:rsid w:val="00B03874"/>
    <w:rsid w:val="00B0397C"/>
    <w:rsid w:val="00B039B1"/>
    <w:rsid w:val="00B03B02"/>
    <w:rsid w:val="00B03B21"/>
    <w:rsid w:val="00B03C69"/>
    <w:rsid w:val="00B03CF4"/>
    <w:rsid w:val="00B03ED1"/>
    <w:rsid w:val="00B041FF"/>
    <w:rsid w:val="00B04234"/>
    <w:rsid w:val="00B042F8"/>
    <w:rsid w:val="00B04422"/>
    <w:rsid w:val="00B04681"/>
    <w:rsid w:val="00B046DF"/>
    <w:rsid w:val="00B0473B"/>
    <w:rsid w:val="00B0480D"/>
    <w:rsid w:val="00B0495A"/>
    <w:rsid w:val="00B049B9"/>
    <w:rsid w:val="00B04A66"/>
    <w:rsid w:val="00B04AF4"/>
    <w:rsid w:val="00B04DC5"/>
    <w:rsid w:val="00B04E35"/>
    <w:rsid w:val="00B04EB3"/>
    <w:rsid w:val="00B04EB9"/>
    <w:rsid w:val="00B04EEF"/>
    <w:rsid w:val="00B04F72"/>
    <w:rsid w:val="00B04F84"/>
    <w:rsid w:val="00B05040"/>
    <w:rsid w:val="00B05139"/>
    <w:rsid w:val="00B05185"/>
    <w:rsid w:val="00B051F7"/>
    <w:rsid w:val="00B052C7"/>
    <w:rsid w:val="00B053AF"/>
    <w:rsid w:val="00B053D8"/>
    <w:rsid w:val="00B05526"/>
    <w:rsid w:val="00B05617"/>
    <w:rsid w:val="00B0563F"/>
    <w:rsid w:val="00B057CF"/>
    <w:rsid w:val="00B0581D"/>
    <w:rsid w:val="00B0593A"/>
    <w:rsid w:val="00B05C6E"/>
    <w:rsid w:val="00B05D49"/>
    <w:rsid w:val="00B05D5C"/>
    <w:rsid w:val="00B05D66"/>
    <w:rsid w:val="00B05D80"/>
    <w:rsid w:val="00B05DD7"/>
    <w:rsid w:val="00B05EB1"/>
    <w:rsid w:val="00B05F69"/>
    <w:rsid w:val="00B05F88"/>
    <w:rsid w:val="00B05FCF"/>
    <w:rsid w:val="00B06020"/>
    <w:rsid w:val="00B06036"/>
    <w:rsid w:val="00B0657A"/>
    <w:rsid w:val="00B065E1"/>
    <w:rsid w:val="00B06681"/>
    <w:rsid w:val="00B067C9"/>
    <w:rsid w:val="00B068C1"/>
    <w:rsid w:val="00B0699E"/>
    <w:rsid w:val="00B06A3F"/>
    <w:rsid w:val="00B06A43"/>
    <w:rsid w:val="00B06AA5"/>
    <w:rsid w:val="00B06B88"/>
    <w:rsid w:val="00B06BBA"/>
    <w:rsid w:val="00B06C9D"/>
    <w:rsid w:val="00B06CA2"/>
    <w:rsid w:val="00B06D79"/>
    <w:rsid w:val="00B06FCB"/>
    <w:rsid w:val="00B070E4"/>
    <w:rsid w:val="00B07227"/>
    <w:rsid w:val="00B0722A"/>
    <w:rsid w:val="00B072FA"/>
    <w:rsid w:val="00B07360"/>
    <w:rsid w:val="00B073E2"/>
    <w:rsid w:val="00B076A5"/>
    <w:rsid w:val="00B076F1"/>
    <w:rsid w:val="00B0794C"/>
    <w:rsid w:val="00B07977"/>
    <w:rsid w:val="00B07B9F"/>
    <w:rsid w:val="00B07BFA"/>
    <w:rsid w:val="00B07C61"/>
    <w:rsid w:val="00B07D47"/>
    <w:rsid w:val="00B07F66"/>
    <w:rsid w:val="00B07F6F"/>
    <w:rsid w:val="00B07FF0"/>
    <w:rsid w:val="00B10086"/>
    <w:rsid w:val="00B1015F"/>
    <w:rsid w:val="00B1019E"/>
    <w:rsid w:val="00B102F3"/>
    <w:rsid w:val="00B10404"/>
    <w:rsid w:val="00B104D9"/>
    <w:rsid w:val="00B104FF"/>
    <w:rsid w:val="00B105BE"/>
    <w:rsid w:val="00B1060F"/>
    <w:rsid w:val="00B1071E"/>
    <w:rsid w:val="00B1080E"/>
    <w:rsid w:val="00B1082D"/>
    <w:rsid w:val="00B10CDD"/>
    <w:rsid w:val="00B10D21"/>
    <w:rsid w:val="00B10F33"/>
    <w:rsid w:val="00B10F9C"/>
    <w:rsid w:val="00B10FE6"/>
    <w:rsid w:val="00B110CB"/>
    <w:rsid w:val="00B11130"/>
    <w:rsid w:val="00B1124F"/>
    <w:rsid w:val="00B11280"/>
    <w:rsid w:val="00B113B0"/>
    <w:rsid w:val="00B1141D"/>
    <w:rsid w:val="00B114A1"/>
    <w:rsid w:val="00B114FA"/>
    <w:rsid w:val="00B11510"/>
    <w:rsid w:val="00B11559"/>
    <w:rsid w:val="00B115FE"/>
    <w:rsid w:val="00B11633"/>
    <w:rsid w:val="00B1168B"/>
    <w:rsid w:val="00B11690"/>
    <w:rsid w:val="00B116FD"/>
    <w:rsid w:val="00B1172E"/>
    <w:rsid w:val="00B11873"/>
    <w:rsid w:val="00B11A65"/>
    <w:rsid w:val="00B11AC8"/>
    <w:rsid w:val="00B11B53"/>
    <w:rsid w:val="00B11D5B"/>
    <w:rsid w:val="00B11E57"/>
    <w:rsid w:val="00B11E71"/>
    <w:rsid w:val="00B11EA0"/>
    <w:rsid w:val="00B11FCB"/>
    <w:rsid w:val="00B121C7"/>
    <w:rsid w:val="00B121E8"/>
    <w:rsid w:val="00B12285"/>
    <w:rsid w:val="00B123A0"/>
    <w:rsid w:val="00B124D4"/>
    <w:rsid w:val="00B12543"/>
    <w:rsid w:val="00B12557"/>
    <w:rsid w:val="00B12570"/>
    <w:rsid w:val="00B12639"/>
    <w:rsid w:val="00B126AE"/>
    <w:rsid w:val="00B12776"/>
    <w:rsid w:val="00B127FD"/>
    <w:rsid w:val="00B1281F"/>
    <w:rsid w:val="00B12A77"/>
    <w:rsid w:val="00B12AA1"/>
    <w:rsid w:val="00B12AED"/>
    <w:rsid w:val="00B12B8A"/>
    <w:rsid w:val="00B12DE7"/>
    <w:rsid w:val="00B12F07"/>
    <w:rsid w:val="00B12FB4"/>
    <w:rsid w:val="00B1310E"/>
    <w:rsid w:val="00B13269"/>
    <w:rsid w:val="00B13291"/>
    <w:rsid w:val="00B13400"/>
    <w:rsid w:val="00B13651"/>
    <w:rsid w:val="00B136DD"/>
    <w:rsid w:val="00B137E1"/>
    <w:rsid w:val="00B13C9D"/>
    <w:rsid w:val="00B13CBB"/>
    <w:rsid w:val="00B13D59"/>
    <w:rsid w:val="00B14087"/>
    <w:rsid w:val="00B1419A"/>
    <w:rsid w:val="00B1427F"/>
    <w:rsid w:val="00B14503"/>
    <w:rsid w:val="00B147F6"/>
    <w:rsid w:val="00B14AC7"/>
    <w:rsid w:val="00B14B1B"/>
    <w:rsid w:val="00B14D1A"/>
    <w:rsid w:val="00B14DC9"/>
    <w:rsid w:val="00B14DCF"/>
    <w:rsid w:val="00B14EA7"/>
    <w:rsid w:val="00B15026"/>
    <w:rsid w:val="00B150CE"/>
    <w:rsid w:val="00B15243"/>
    <w:rsid w:val="00B152CC"/>
    <w:rsid w:val="00B152EE"/>
    <w:rsid w:val="00B1530F"/>
    <w:rsid w:val="00B1538E"/>
    <w:rsid w:val="00B15422"/>
    <w:rsid w:val="00B15483"/>
    <w:rsid w:val="00B15508"/>
    <w:rsid w:val="00B15547"/>
    <w:rsid w:val="00B156DD"/>
    <w:rsid w:val="00B15742"/>
    <w:rsid w:val="00B15903"/>
    <w:rsid w:val="00B15906"/>
    <w:rsid w:val="00B159F7"/>
    <w:rsid w:val="00B15A0E"/>
    <w:rsid w:val="00B15A2F"/>
    <w:rsid w:val="00B15CAA"/>
    <w:rsid w:val="00B15CF2"/>
    <w:rsid w:val="00B15DCF"/>
    <w:rsid w:val="00B15DF7"/>
    <w:rsid w:val="00B15DF8"/>
    <w:rsid w:val="00B15E83"/>
    <w:rsid w:val="00B15E8B"/>
    <w:rsid w:val="00B15F4A"/>
    <w:rsid w:val="00B15FBB"/>
    <w:rsid w:val="00B15FFF"/>
    <w:rsid w:val="00B1608D"/>
    <w:rsid w:val="00B1644F"/>
    <w:rsid w:val="00B16463"/>
    <w:rsid w:val="00B1692B"/>
    <w:rsid w:val="00B1693F"/>
    <w:rsid w:val="00B169B0"/>
    <w:rsid w:val="00B16A05"/>
    <w:rsid w:val="00B16AD6"/>
    <w:rsid w:val="00B16C30"/>
    <w:rsid w:val="00B16E89"/>
    <w:rsid w:val="00B16ED8"/>
    <w:rsid w:val="00B16F19"/>
    <w:rsid w:val="00B17228"/>
    <w:rsid w:val="00B1725B"/>
    <w:rsid w:val="00B17262"/>
    <w:rsid w:val="00B17282"/>
    <w:rsid w:val="00B1736E"/>
    <w:rsid w:val="00B17536"/>
    <w:rsid w:val="00B17562"/>
    <w:rsid w:val="00B177FD"/>
    <w:rsid w:val="00B17A2C"/>
    <w:rsid w:val="00B17BC9"/>
    <w:rsid w:val="00B17C62"/>
    <w:rsid w:val="00B17CA1"/>
    <w:rsid w:val="00B17CEB"/>
    <w:rsid w:val="00B17D73"/>
    <w:rsid w:val="00B17EAC"/>
    <w:rsid w:val="00B17F90"/>
    <w:rsid w:val="00B20066"/>
    <w:rsid w:val="00B200BD"/>
    <w:rsid w:val="00B2026E"/>
    <w:rsid w:val="00B20278"/>
    <w:rsid w:val="00B203B5"/>
    <w:rsid w:val="00B20571"/>
    <w:rsid w:val="00B207DB"/>
    <w:rsid w:val="00B20BC3"/>
    <w:rsid w:val="00B20C53"/>
    <w:rsid w:val="00B20C64"/>
    <w:rsid w:val="00B21144"/>
    <w:rsid w:val="00B2131B"/>
    <w:rsid w:val="00B216B3"/>
    <w:rsid w:val="00B21739"/>
    <w:rsid w:val="00B2187F"/>
    <w:rsid w:val="00B218D4"/>
    <w:rsid w:val="00B218EF"/>
    <w:rsid w:val="00B21A1B"/>
    <w:rsid w:val="00B21B4E"/>
    <w:rsid w:val="00B21CA3"/>
    <w:rsid w:val="00B21D14"/>
    <w:rsid w:val="00B21E31"/>
    <w:rsid w:val="00B21E68"/>
    <w:rsid w:val="00B21F79"/>
    <w:rsid w:val="00B21FE8"/>
    <w:rsid w:val="00B22033"/>
    <w:rsid w:val="00B22034"/>
    <w:rsid w:val="00B2210A"/>
    <w:rsid w:val="00B22342"/>
    <w:rsid w:val="00B22350"/>
    <w:rsid w:val="00B22446"/>
    <w:rsid w:val="00B2244C"/>
    <w:rsid w:val="00B224C0"/>
    <w:rsid w:val="00B22517"/>
    <w:rsid w:val="00B2288B"/>
    <w:rsid w:val="00B228DE"/>
    <w:rsid w:val="00B22A24"/>
    <w:rsid w:val="00B22A6F"/>
    <w:rsid w:val="00B22CD8"/>
    <w:rsid w:val="00B22E12"/>
    <w:rsid w:val="00B22E9B"/>
    <w:rsid w:val="00B22F4B"/>
    <w:rsid w:val="00B22F65"/>
    <w:rsid w:val="00B22F6D"/>
    <w:rsid w:val="00B2315D"/>
    <w:rsid w:val="00B231C9"/>
    <w:rsid w:val="00B23288"/>
    <w:rsid w:val="00B233FE"/>
    <w:rsid w:val="00B235FD"/>
    <w:rsid w:val="00B2364F"/>
    <w:rsid w:val="00B23688"/>
    <w:rsid w:val="00B23835"/>
    <w:rsid w:val="00B239E4"/>
    <w:rsid w:val="00B23AB7"/>
    <w:rsid w:val="00B23ADE"/>
    <w:rsid w:val="00B23C97"/>
    <w:rsid w:val="00B23CE1"/>
    <w:rsid w:val="00B23D0B"/>
    <w:rsid w:val="00B23D32"/>
    <w:rsid w:val="00B23E2A"/>
    <w:rsid w:val="00B23EE2"/>
    <w:rsid w:val="00B23FD7"/>
    <w:rsid w:val="00B24026"/>
    <w:rsid w:val="00B2405D"/>
    <w:rsid w:val="00B24175"/>
    <w:rsid w:val="00B242B6"/>
    <w:rsid w:val="00B242DE"/>
    <w:rsid w:val="00B2442F"/>
    <w:rsid w:val="00B244C0"/>
    <w:rsid w:val="00B24679"/>
    <w:rsid w:val="00B24720"/>
    <w:rsid w:val="00B24891"/>
    <w:rsid w:val="00B248B9"/>
    <w:rsid w:val="00B24909"/>
    <w:rsid w:val="00B249ED"/>
    <w:rsid w:val="00B24ACB"/>
    <w:rsid w:val="00B24B76"/>
    <w:rsid w:val="00B24D0B"/>
    <w:rsid w:val="00B24DE6"/>
    <w:rsid w:val="00B24F39"/>
    <w:rsid w:val="00B2510C"/>
    <w:rsid w:val="00B2519B"/>
    <w:rsid w:val="00B25247"/>
    <w:rsid w:val="00B252BF"/>
    <w:rsid w:val="00B254B6"/>
    <w:rsid w:val="00B254D1"/>
    <w:rsid w:val="00B25609"/>
    <w:rsid w:val="00B25814"/>
    <w:rsid w:val="00B25831"/>
    <w:rsid w:val="00B2588B"/>
    <w:rsid w:val="00B258BB"/>
    <w:rsid w:val="00B25A4A"/>
    <w:rsid w:val="00B25AB8"/>
    <w:rsid w:val="00B25B31"/>
    <w:rsid w:val="00B25CC3"/>
    <w:rsid w:val="00B25EAF"/>
    <w:rsid w:val="00B25F42"/>
    <w:rsid w:val="00B25F79"/>
    <w:rsid w:val="00B26191"/>
    <w:rsid w:val="00B26380"/>
    <w:rsid w:val="00B263F2"/>
    <w:rsid w:val="00B265CE"/>
    <w:rsid w:val="00B2661C"/>
    <w:rsid w:val="00B266E5"/>
    <w:rsid w:val="00B26749"/>
    <w:rsid w:val="00B267E6"/>
    <w:rsid w:val="00B268BA"/>
    <w:rsid w:val="00B2693B"/>
    <w:rsid w:val="00B26B36"/>
    <w:rsid w:val="00B26BFF"/>
    <w:rsid w:val="00B26D42"/>
    <w:rsid w:val="00B26D9E"/>
    <w:rsid w:val="00B26DC5"/>
    <w:rsid w:val="00B26F05"/>
    <w:rsid w:val="00B2709D"/>
    <w:rsid w:val="00B271AE"/>
    <w:rsid w:val="00B272D7"/>
    <w:rsid w:val="00B272EC"/>
    <w:rsid w:val="00B273C0"/>
    <w:rsid w:val="00B273D6"/>
    <w:rsid w:val="00B27560"/>
    <w:rsid w:val="00B275E5"/>
    <w:rsid w:val="00B276E7"/>
    <w:rsid w:val="00B278D6"/>
    <w:rsid w:val="00B2792E"/>
    <w:rsid w:val="00B27ADA"/>
    <w:rsid w:val="00B27ADD"/>
    <w:rsid w:val="00B27B67"/>
    <w:rsid w:val="00B27B6D"/>
    <w:rsid w:val="00B27C43"/>
    <w:rsid w:val="00B27CAE"/>
    <w:rsid w:val="00B27CC0"/>
    <w:rsid w:val="00B27F1F"/>
    <w:rsid w:val="00B30075"/>
    <w:rsid w:val="00B300B4"/>
    <w:rsid w:val="00B300E7"/>
    <w:rsid w:val="00B30265"/>
    <w:rsid w:val="00B3035F"/>
    <w:rsid w:val="00B30683"/>
    <w:rsid w:val="00B306E8"/>
    <w:rsid w:val="00B30780"/>
    <w:rsid w:val="00B30877"/>
    <w:rsid w:val="00B308B8"/>
    <w:rsid w:val="00B308D2"/>
    <w:rsid w:val="00B30B04"/>
    <w:rsid w:val="00B30B63"/>
    <w:rsid w:val="00B30B85"/>
    <w:rsid w:val="00B30BDD"/>
    <w:rsid w:val="00B30CAB"/>
    <w:rsid w:val="00B30CD6"/>
    <w:rsid w:val="00B30F45"/>
    <w:rsid w:val="00B3109A"/>
    <w:rsid w:val="00B3128A"/>
    <w:rsid w:val="00B313C1"/>
    <w:rsid w:val="00B31C60"/>
    <w:rsid w:val="00B31DAA"/>
    <w:rsid w:val="00B32102"/>
    <w:rsid w:val="00B3217E"/>
    <w:rsid w:val="00B321D0"/>
    <w:rsid w:val="00B32236"/>
    <w:rsid w:val="00B32339"/>
    <w:rsid w:val="00B32374"/>
    <w:rsid w:val="00B324A7"/>
    <w:rsid w:val="00B326E9"/>
    <w:rsid w:val="00B32955"/>
    <w:rsid w:val="00B32BEA"/>
    <w:rsid w:val="00B32C60"/>
    <w:rsid w:val="00B32E9C"/>
    <w:rsid w:val="00B32EF6"/>
    <w:rsid w:val="00B33149"/>
    <w:rsid w:val="00B331BE"/>
    <w:rsid w:val="00B331ED"/>
    <w:rsid w:val="00B332A0"/>
    <w:rsid w:val="00B332DF"/>
    <w:rsid w:val="00B33328"/>
    <w:rsid w:val="00B33368"/>
    <w:rsid w:val="00B334C9"/>
    <w:rsid w:val="00B33527"/>
    <w:rsid w:val="00B3371A"/>
    <w:rsid w:val="00B3387B"/>
    <w:rsid w:val="00B33BBE"/>
    <w:rsid w:val="00B33D5F"/>
    <w:rsid w:val="00B33D6E"/>
    <w:rsid w:val="00B33F29"/>
    <w:rsid w:val="00B33F6E"/>
    <w:rsid w:val="00B33FE8"/>
    <w:rsid w:val="00B34162"/>
    <w:rsid w:val="00B34198"/>
    <w:rsid w:val="00B341B1"/>
    <w:rsid w:val="00B341B6"/>
    <w:rsid w:val="00B341E7"/>
    <w:rsid w:val="00B34330"/>
    <w:rsid w:val="00B343B5"/>
    <w:rsid w:val="00B343F9"/>
    <w:rsid w:val="00B3453F"/>
    <w:rsid w:val="00B3462C"/>
    <w:rsid w:val="00B34690"/>
    <w:rsid w:val="00B3487B"/>
    <w:rsid w:val="00B34965"/>
    <w:rsid w:val="00B34B39"/>
    <w:rsid w:val="00B34BE8"/>
    <w:rsid w:val="00B34C7D"/>
    <w:rsid w:val="00B34D26"/>
    <w:rsid w:val="00B34E87"/>
    <w:rsid w:val="00B34FD8"/>
    <w:rsid w:val="00B351A9"/>
    <w:rsid w:val="00B352FA"/>
    <w:rsid w:val="00B35458"/>
    <w:rsid w:val="00B3557A"/>
    <w:rsid w:val="00B3563C"/>
    <w:rsid w:val="00B35757"/>
    <w:rsid w:val="00B357F7"/>
    <w:rsid w:val="00B35A98"/>
    <w:rsid w:val="00B35B3F"/>
    <w:rsid w:val="00B35B4B"/>
    <w:rsid w:val="00B35C76"/>
    <w:rsid w:val="00B35D1D"/>
    <w:rsid w:val="00B35EB9"/>
    <w:rsid w:val="00B35F11"/>
    <w:rsid w:val="00B36144"/>
    <w:rsid w:val="00B363EE"/>
    <w:rsid w:val="00B36582"/>
    <w:rsid w:val="00B367F7"/>
    <w:rsid w:val="00B3688C"/>
    <w:rsid w:val="00B368AC"/>
    <w:rsid w:val="00B369D5"/>
    <w:rsid w:val="00B36A1D"/>
    <w:rsid w:val="00B36A8F"/>
    <w:rsid w:val="00B36DD4"/>
    <w:rsid w:val="00B3704F"/>
    <w:rsid w:val="00B3719E"/>
    <w:rsid w:val="00B371DE"/>
    <w:rsid w:val="00B37249"/>
    <w:rsid w:val="00B372DC"/>
    <w:rsid w:val="00B37310"/>
    <w:rsid w:val="00B3733C"/>
    <w:rsid w:val="00B3740A"/>
    <w:rsid w:val="00B37644"/>
    <w:rsid w:val="00B37706"/>
    <w:rsid w:val="00B37916"/>
    <w:rsid w:val="00B37A1A"/>
    <w:rsid w:val="00B37A56"/>
    <w:rsid w:val="00B37A6B"/>
    <w:rsid w:val="00B37AA4"/>
    <w:rsid w:val="00B37B30"/>
    <w:rsid w:val="00B37C59"/>
    <w:rsid w:val="00B37CBF"/>
    <w:rsid w:val="00B37DBE"/>
    <w:rsid w:val="00B37EED"/>
    <w:rsid w:val="00B37F4E"/>
    <w:rsid w:val="00B401CB"/>
    <w:rsid w:val="00B402DF"/>
    <w:rsid w:val="00B403DC"/>
    <w:rsid w:val="00B40465"/>
    <w:rsid w:val="00B40472"/>
    <w:rsid w:val="00B40534"/>
    <w:rsid w:val="00B406A1"/>
    <w:rsid w:val="00B406C5"/>
    <w:rsid w:val="00B407AA"/>
    <w:rsid w:val="00B408D6"/>
    <w:rsid w:val="00B4095B"/>
    <w:rsid w:val="00B40B09"/>
    <w:rsid w:val="00B40CD1"/>
    <w:rsid w:val="00B40E34"/>
    <w:rsid w:val="00B40ECA"/>
    <w:rsid w:val="00B40F86"/>
    <w:rsid w:val="00B410B3"/>
    <w:rsid w:val="00B41348"/>
    <w:rsid w:val="00B41506"/>
    <w:rsid w:val="00B4153D"/>
    <w:rsid w:val="00B4177C"/>
    <w:rsid w:val="00B417EC"/>
    <w:rsid w:val="00B41910"/>
    <w:rsid w:val="00B41929"/>
    <w:rsid w:val="00B4197F"/>
    <w:rsid w:val="00B4199B"/>
    <w:rsid w:val="00B41A68"/>
    <w:rsid w:val="00B41B06"/>
    <w:rsid w:val="00B41B34"/>
    <w:rsid w:val="00B41C80"/>
    <w:rsid w:val="00B41CAF"/>
    <w:rsid w:val="00B41D29"/>
    <w:rsid w:val="00B41E1F"/>
    <w:rsid w:val="00B41E5B"/>
    <w:rsid w:val="00B41E64"/>
    <w:rsid w:val="00B4214D"/>
    <w:rsid w:val="00B422CC"/>
    <w:rsid w:val="00B422E3"/>
    <w:rsid w:val="00B42352"/>
    <w:rsid w:val="00B42385"/>
    <w:rsid w:val="00B4242B"/>
    <w:rsid w:val="00B426E2"/>
    <w:rsid w:val="00B42784"/>
    <w:rsid w:val="00B427E5"/>
    <w:rsid w:val="00B42853"/>
    <w:rsid w:val="00B428BD"/>
    <w:rsid w:val="00B42942"/>
    <w:rsid w:val="00B429A8"/>
    <w:rsid w:val="00B42AED"/>
    <w:rsid w:val="00B42AFD"/>
    <w:rsid w:val="00B42D52"/>
    <w:rsid w:val="00B42D62"/>
    <w:rsid w:val="00B42DE7"/>
    <w:rsid w:val="00B42E30"/>
    <w:rsid w:val="00B42EDB"/>
    <w:rsid w:val="00B43059"/>
    <w:rsid w:val="00B4309E"/>
    <w:rsid w:val="00B430A7"/>
    <w:rsid w:val="00B433EC"/>
    <w:rsid w:val="00B43463"/>
    <w:rsid w:val="00B435BF"/>
    <w:rsid w:val="00B43640"/>
    <w:rsid w:val="00B43655"/>
    <w:rsid w:val="00B436F3"/>
    <w:rsid w:val="00B43720"/>
    <w:rsid w:val="00B4387A"/>
    <w:rsid w:val="00B43B95"/>
    <w:rsid w:val="00B43D6C"/>
    <w:rsid w:val="00B43F9E"/>
    <w:rsid w:val="00B440EA"/>
    <w:rsid w:val="00B44114"/>
    <w:rsid w:val="00B44506"/>
    <w:rsid w:val="00B4453B"/>
    <w:rsid w:val="00B44588"/>
    <w:rsid w:val="00B449B7"/>
    <w:rsid w:val="00B44BAF"/>
    <w:rsid w:val="00B44CB1"/>
    <w:rsid w:val="00B44D1E"/>
    <w:rsid w:val="00B44EC1"/>
    <w:rsid w:val="00B44F77"/>
    <w:rsid w:val="00B44FA0"/>
    <w:rsid w:val="00B45083"/>
    <w:rsid w:val="00B45230"/>
    <w:rsid w:val="00B452F6"/>
    <w:rsid w:val="00B453B6"/>
    <w:rsid w:val="00B45416"/>
    <w:rsid w:val="00B45570"/>
    <w:rsid w:val="00B4570B"/>
    <w:rsid w:val="00B458CE"/>
    <w:rsid w:val="00B45B43"/>
    <w:rsid w:val="00B45D26"/>
    <w:rsid w:val="00B45E29"/>
    <w:rsid w:val="00B45EF5"/>
    <w:rsid w:val="00B45F87"/>
    <w:rsid w:val="00B461C8"/>
    <w:rsid w:val="00B4631F"/>
    <w:rsid w:val="00B46356"/>
    <w:rsid w:val="00B4636A"/>
    <w:rsid w:val="00B46451"/>
    <w:rsid w:val="00B464A3"/>
    <w:rsid w:val="00B464B0"/>
    <w:rsid w:val="00B465C4"/>
    <w:rsid w:val="00B466A7"/>
    <w:rsid w:val="00B46720"/>
    <w:rsid w:val="00B4681A"/>
    <w:rsid w:val="00B468CE"/>
    <w:rsid w:val="00B46950"/>
    <w:rsid w:val="00B46A5E"/>
    <w:rsid w:val="00B46A66"/>
    <w:rsid w:val="00B46B5D"/>
    <w:rsid w:val="00B46C8F"/>
    <w:rsid w:val="00B46CD5"/>
    <w:rsid w:val="00B46CE3"/>
    <w:rsid w:val="00B46CFE"/>
    <w:rsid w:val="00B4715F"/>
    <w:rsid w:val="00B47210"/>
    <w:rsid w:val="00B47259"/>
    <w:rsid w:val="00B4728A"/>
    <w:rsid w:val="00B4737A"/>
    <w:rsid w:val="00B47417"/>
    <w:rsid w:val="00B47836"/>
    <w:rsid w:val="00B47859"/>
    <w:rsid w:val="00B47883"/>
    <w:rsid w:val="00B4794B"/>
    <w:rsid w:val="00B47BF5"/>
    <w:rsid w:val="00B47C7B"/>
    <w:rsid w:val="00B47C7C"/>
    <w:rsid w:val="00B47FF0"/>
    <w:rsid w:val="00B500AD"/>
    <w:rsid w:val="00B503D7"/>
    <w:rsid w:val="00B50451"/>
    <w:rsid w:val="00B50481"/>
    <w:rsid w:val="00B504EF"/>
    <w:rsid w:val="00B5050F"/>
    <w:rsid w:val="00B5062A"/>
    <w:rsid w:val="00B50849"/>
    <w:rsid w:val="00B508BE"/>
    <w:rsid w:val="00B508F0"/>
    <w:rsid w:val="00B50905"/>
    <w:rsid w:val="00B509D4"/>
    <w:rsid w:val="00B50A1D"/>
    <w:rsid w:val="00B50B89"/>
    <w:rsid w:val="00B50D7A"/>
    <w:rsid w:val="00B50E5A"/>
    <w:rsid w:val="00B50E83"/>
    <w:rsid w:val="00B50EAE"/>
    <w:rsid w:val="00B51161"/>
    <w:rsid w:val="00B512B2"/>
    <w:rsid w:val="00B513F1"/>
    <w:rsid w:val="00B514FC"/>
    <w:rsid w:val="00B51548"/>
    <w:rsid w:val="00B51616"/>
    <w:rsid w:val="00B51646"/>
    <w:rsid w:val="00B516FF"/>
    <w:rsid w:val="00B51703"/>
    <w:rsid w:val="00B51785"/>
    <w:rsid w:val="00B517AD"/>
    <w:rsid w:val="00B517C3"/>
    <w:rsid w:val="00B517FE"/>
    <w:rsid w:val="00B5181D"/>
    <w:rsid w:val="00B519CE"/>
    <w:rsid w:val="00B51A0E"/>
    <w:rsid w:val="00B51ACA"/>
    <w:rsid w:val="00B51ACB"/>
    <w:rsid w:val="00B51B9E"/>
    <w:rsid w:val="00B51CD7"/>
    <w:rsid w:val="00B51DA0"/>
    <w:rsid w:val="00B51DC7"/>
    <w:rsid w:val="00B51F32"/>
    <w:rsid w:val="00B51FFD"/>
    <w:rsid w:val="00B52424"/>
    <w:rsid w:val="00B52462"/>
    <w:rsid w:val="00B524AA"/>
    <w:rsid w:val="00B5287A"/>
    <w:rsid w:val="00B52910"/>
    <w:rsid w:val="00B52945"/>
    <w:rsid w:val="00B52AF2"/>
    <w:rsid w:val="00B52B02"/>
    <w:rsid w:val="00B52B09"/>
    <w:rsid w:val="00B52BA9"/>
    <w:rsid w:val="00B5313C"/>
    <w:rsid w:val="00B531D5"/>
    <w:rsid w:val="00B53330"/>
    <w:rsid w:val="00B5345A"/>
    <w:rsid w:val="00B5348A"/>
    <w:rsid w:val="00B53606"/>
    <w:rsid w:val="00B5370E"/>
    <w:rsid w:val="00B537EE"/>
    <w:rsid w:val="00B538A7"/>
    <w:rsid w:val="00B538B0"/>
    <w:rsid w:val="00B5393C"/>
    <w:rsid w:val="00B53BDB"/>
    <w:rsid w:val="00B53D08"/>
    <w:rsid w:val="00B540CE"/>
    <w:rsid w:val="00B54387"/>
    <w:rsid w:val="00B543FA"/>
    <w:rsid w:val="00B5440A"/>
    <w:rsid w:val="00B54423"/>
    <w:rsid w:val="00B545FD"/>
    <w:rsid w:val="00B54688"/>
    <w:rsid w:val="00B54756"/>
    <w:rsid w:val="00B547C7"/>
    <w:rsid w:val="00B54849"/>
    <w:rsid w:val="00B548D3"/>
    <w:rsid w:val="00B54C15"/>
    <w:rsid w:val="00B54C32"/>
    <w:rsid w:val="00B54D6B"/>
    <w:rsid w:val="00B54E6A"/>
    <w:rsid w:val="00B54E72"/>
    <w:rsid w:val="00B54FF0"/>
    <w:rsid w:val="00B550C1"/>
    <w:rsid w:val="00B551B1"/>
    <w:rsid w:val="00B55247"/>
    <w:rsid w:val="00B55381"/>
    <w:rsid w:val="00B55425"/>
    <w:rsid w:val="00B555D7"/>
    <w:rsid w:val="00B555F2"/>
    <w:rsid w:val="00B55627"/>
    <w:rsid w:val="00B556F6"/>
    <w:rsid w:val="00B55F3C"/>
    <w:rsid w:val="00B566B0"/>
    <w:rsid w:val="00B566D8"/>
    <w:rsid w:val="00B56797"/>
    <w:rsid w:val="00B567EB"/>
    <w:rsid w:val="00B568E4"/>
    <w:rsid w:val="00B56AFA"/>
    <w:rsid w:val="00B56D9C"/>
    <w:rsid w:val="00B56DF9"/>
    <w:rsid w:val="00B56E31"/>
    <w:rsid w:val="00B56FD9"/>
    <w:rsid w:val="00B5705F"/>
    <w:rsid w:val="00B5716A"/>
    <w:rsid w:val="00B57318"/>
    <w:rsid w:val="00B57330"/>
    <w:rsid w:val="00B5733D"/>
    <w:rsid w:val="00B575A3"/>
    <w:rsid w:val="00B575C6"/>
    <w:rsid w:val="00B57839"/>
    <w:rsid w:val="00B578A1"/>
    <w:rsid w:val="00B578CC"/>
    <w:rsid w:val="00B57A10"/>
    <w:rsid w:val="00B57A3E"/>
    <w:rsid w:val="00B57A66"/>
    <w:rsid w:val="00B57B2A"/>
    <w:rsid w:val="00B57B93"/>
    <w:rsid w:val="00B57DDC"/>
    <w:rsid w:val="00B57E98"/>
    <w:rsid w:val="00B57EA3"/>
    <w:rsid w:val="00B57EEB"/>
    <w:rsid w:val="00B57F4F"/>
    <w:rsid w:val="00B57FA2"/>
    <w:rsid w:val="00B6001E"/>
    <w:rsid w:val="00B601CF"/>
    <w:rsid w:val="00B60260"/>
    <w:rsid w:val="00B60337"/>
    <w:rsid w:val="00B60542"/>
    <w:rsid w:val="00B60550"/>
    <w:rsid w:val="00B606BA"/>
    <w:rsid w:val="00B60966"/>
    <w:rsid w:val="00B6099C"/>
    <w:rsid w:val="00B60A1E"/>
    <w:rsid w:val="00B60A58"/>
    <w:rsid w:val="00B60B8B"/>
    <w:rsid w:val="00B60C50"/>
    <w:rsid w:val="00B60C99"/>
    <w:rsid w:val="00B60E50"/>
    <w:rsid w:val="00B60F4A"/>
    <w:rsid w:val="00B60FA6"/>
    <w:rsid w:val="00B610DF"/>
    <w:rsid w:val="00B6110E"/>
    <w:rsid w:val="00B611A8"/>
    <w:rsid w:val="00B6121D"/>
    <w:rsid w:val="00B61259"/>
    <w:rsid w:val="00B612BA"/>
    <w:rsid w:val="00B612EA"/>
    <w:rsid w:val="00B61426"/>
    <w:rsid w:val="00B6153A"/>
    <w:rsid w:val="00B61601"/>
    <w:rsid w:val="00B6174A"/>
    <w:rsid w:val="00B6181C"/>
    <w:rsid w:val="00B61897"/>
    <w:rsid w:val="00B618A0"/>
    <w:rsid w:val="00B619DD"/>
    <w:rsid w:val="00B61A9B"/>
    <w:rsid w:val="00B61D42"/>
    <w:rsid w:val="00B61E57"/>
    <w:rsid w:val="00B61E6A"/>
    <w:rsid w:val="00B61EA3"/>
    <w:rsid w:val="00B61EA6"/>
    <w:rsid w:val="00B61F1E"/>
    <w:rsid w:val="00B62146"/>
    <w:rsid w:val="00B6216B"/>
    <w:rsid w:val="00B621AA"/>
    <w:rsid w:val="00B6225F"/>
    <w:rsid w:val="00B622BB"/>
    <w:rsid w:val="00B6239D"/>
    <w:rsid w:val="00B623A6"/>
    <w:rsid w:val="00B623BE"/>
    <w:rsid w:val="00B623F9"/>
    <w:rsid w:val="00B62430"/>
    <w:rsid w:val="00B62453"/>
    <w:rsid w:val="00B6245F"/>
    <w:rsid w:val="00B624CA"/>
    <w:rsid w:val="00B62634"/>
    <w:rsid w:val="00B627F5"/>
    <w:rsid w:val="00B6283F"/>
    <w:rsid w:val="00B628C5"/>
    <w:rsid w:val="00B6296B"/>
    <w:rsid w:val="00B6297D"/>
    <w:rsid w:val="00B62A39"/>
    <w:rsid w:val="00B62A8F"/>
    <w:rsid w:val="00B62AB0"/>
    <w:rsid w:val="00B62B8A"/>
    <w:rsid w:val="00B62C54"/>
    <w:rsid w:val="00B62CF9"/>
    <w:rsid w:val="00B62D61"/>
    <w:rsid w:val="00B62D7D"/>
    <w:rsid w:val="00B62DB1"/>
    <w:rsid w:val="00B62F1E"/>
    <w:rsid w:val="00B63339"/>
    <w:rsid w:val="00B63380"/>
    <w:rsid w:val="00B63471"/>
    <w:rsid w:val="00B634C8"/>
    <w:rsid w:val="00B635D5"/>
    <w:rsid w:val="00B636F6"/>
    <w:rsid w:val="00B637B7"/>
    <w:rsid w:val="00B638BB"/>
    <w:rsid w:val="00B639DC"/>
    <w:rsid w:val="00B63BF5"/>
    <w:rsid w:val="00B63E8D"/>
    <w:rsid w:val="00B63EFA"/>
    <w:rsid w:val="00B64197"/>
    <w:rsid w:val="00B642F8"/>
    <w:rsid w:val="00B64359"/>
    <w:rsid w:val="00B6440A"/>
    <w:rsid w:val="00B64494"/>
    <w:rsid w:val="00B644B8"/>
    <w:rsid w:val="00B645A2"/>
    <w:rsid w:val="00B64786"/>
    <w:rsid w:val="00B64B30"/>
    <w:rsid w:val="00B64C35"/>
    <w:rsid w:val="00B64C6B"/>
    <w:rsid w:val="00B64D73"/>
    <w:rsid w:val="00B64F84"/>
    <w:rsid w:val="00B6515F"/>
    <w:rsid w:val="00B651AB"/>
    <w:rsid w:val="00B65275"/>
    <w:rsid w:val="00B65334"/>
    <w:rsid w:val="00B6541F"/>
    <w:rsid w:val="00B6544D"/>
    <w:rsid w:val="00B65755"/>
    <w:rsid w:val="00B657C4"/>
    <w:rsid w:val="00B658CB"/>
    <w:rsid w:val="00B658E2"/>
    <w:rsid w:val="00B65B19"/>
    <w:rsid w:val="00B65B62"/>
    <w:rsid w:val="00B65D07"/>
    <w:rsid w:val="00B65D32"/>
    <w:rsid w:val="00B65E05"/>
    <w:rsid w:val="00B65E10"/>
    <w:rsid w:val="00B65EA7"/>
    <w:rsid w:val="00B65FA1"/>
    <w:rsid w:val="00B65FC5"/>
    <w:rsid w:val="00B66178"/>
    <w:rsid w:val="00B664AB"/>
    <w:rsid w:val="00B66566"/>
    <w:rsid w:val="00B665AD"/>
    <w:rsid w:val="00B66845"/>
    <w:rsid w:val="00B66854"/>
    <w:rsid w:val="00B66905"/>
    <w:rsid w:val="00B66958"/>
    <w:rsid w:val="00B66A22"/>
    <w:rsid w:val="00B66A51"/>
    <w:rsid w:val="00B66AF8"/>
    <w:rsid w:val="00B66D27"/>
    <w:rsid w:val="00B66DAE"/>
    <w:rsid w:val="00B66E36"/>
    <w:rsid w:val="00B66EB6"/>
    <w:rsid w:val="00B66FB3"/>
    <w:rsid w:val="00B66FB9"/>
    <w:rsid w:val="00B670BD"/>
    <w:rsid w:val="00B6711F"/>
    <w:rsid w:val="00B67436"/>
    <w:rsid w:val="00B6757C"/>
    <w:rsid w:val="00B675E9"/>
    <w:rsid w:val="00B67603"/>
    <w:rsid w:val="00B67625"/>
    <w:rsid w:val="00B676B3"/>
    <w:rsid w:val="00B67717"/>
    <w:rsid w:val="00B677E3"/>
    <w:rsid w:val="00B6786D"/>
    <w:rsid w:val="00B67A18"/>
    <w:rsid w:val="00B67ADF"/>
    <w:rsid w:val="00B67AFE"/>
    <w:rsid w:val="00B67BDA"/>
    <w:rsid w:val="00B67BF4"/>
    <w:rsid w:val="00B67D86"/>
    <w:rsid w:val="00B67E7B"/>
    <w:rsid w:val="00B700CA"/>
    <w:rsid w:val="00B70131"/>
    <w:rsid w:val="00B70268"/>
    <w:rsid w:val="00B70285"/>
    <w:rsid w:val="00B70326"/>
    <w:rsid w:val="00B70348"/>
    <w:rsid w:val="00B70367"/>
    <w:rsid w:val="00B703CE"/>
    <w:rsid w:val="00B70460"/>
    <w:rsid w:val="00B70703"/>
    <w:rsid w:val="00B709B2"/>
    <w:rsid w:val="00B70B1B"/>
    <w:rsid w:val="00B70BC6"/>
    <w:rsid w:val="00B70CB6"/>
    <w:rsid w:val="00B70DDA"/>
    <w:rsid w:val="00B70FD0"/>
    <w:rsid w:val="00B71178"/>
    <w:rsid w:val="00B713A0"/>
    <w:rsid w:val="00B71525"/>
    <w:rsid w:val="00B71543"/>
    <w:rsid w:val="00B71590"/>
    <w:rsid w:val="00B71694"/>
    <w:rsid w:val="00B716BF"/>
    <w:rsid w:val="00B717E2"/>
    <w:rsid w:val="00B71848"/>
    <w:rsid w:val="00B71CE9"/>
    <w:rsid w:val="00B71D23"/>
    <w:rsid w:val="00B71D3B"/>
    <w:rsid w:val="00B71E3C"/>
    <w:rsid w:val="00B72067"/>
    <w:rsid w:val="00B721A6"/>
    <w:rsid w:val="00B7238D"/>
    <w:rsid w:val="00B723E6"/>
    <w:rsid w:val="00B72474"/>
    <w:rsid w:val="00B725BC"/>
    <w:rsid w:val="00B72686"/>
    <w:rsid w:val="00B72730"/>
    <w:rsid w:val="00B72812"/>
    <w:rsid w:val="00B72915"/>
    <w:rsid w:val="00B72A35"/>
    <w:rsid w:val="00B72AD3"/>
    <w:rsid w:val="00B72B71"/>
    <w:rsid w:val="00B72B7C"/>
    <w:rsid w:val="00B72B7F"/>
    <w:rsid w:val="00B72C0B"/>
    <w:rsid w:val="00B72C4F"/>
    <w:rsid w:val="00B72CA6"/>
    <w:rsid w:val="00B72DBF"/>
    <w:rsid w:val="00B72EDD"/>
    <w:rsid w:val="00B72EFC"/>
    <w:rsid w:val="00B72F93"/>
    <w:rsid w:val="00B73003"/>
    <w:rsid w:val="00B7306C"/>
    <w:rsid w:val="00B7307C"/>
    <w:rsid w:val="00B73082"/>
    <w:rsid w:val="00B7311C"/>
    <w:rsid w:val="00B7314D"/>
    <w:rsid w:val="00B73175"/>
    <w:rsid w:val="00B73259"/>
    <w:rsid w:val="00B732F7"/>
    <w:rsid w:val="00B73370"/>
    <w:rsid w:val="00B733D7"/>
    <w:rsid w:val="00B73472"/>
    <w:rsid w:val="00B73675"/>
    <w:rsid w:val="00B737D8"/>
    <w:rsid w:val="00B738A2"/>
    <w:rsid w:val="00B738AE"/>
    <w:rsid w:val="00B73915"/>
    <w:rsid w:val="00B73A11"/>
    <w:rsid w:val="00B73A6D"/>
    <w:rsid w:val="00B73A7E"/>
    <w:rsid w:val="00B73B79"/>
    <w:rsid w:val="00B73E8A"/>
    <w:rsid w:val="00B73EA5"/>
    <w:rsid w:val="00B73F38"/>
    <w:rsid w:val="00B73F55"/>
    <w:rsid w:val="00B73FCD"/>
    <w:rsid w:val="00B73FF2"/>
    <w:rsid w:val="00B74002"/>
    <w:rsid w:val="00B74112"/>
    <w:rsid w:val="00B74139"/>
    <w:rsid w:val="00B742FE"/>
    <w:rsid w:val="00B743AB"/>
    <w:rsid w:val="00B744AE"/>
    <w:rsid w:val="00B745C6"/>
    <w:rsid w:val="00B745F2"/>
    <w:rsid w:val="00B7468B"/>
    <w:rsid w:val="00B74911"/>
    <w:rsid w:val="00B74981"/>
    <w:rsid w:val="00B74A22"/>
    <w:rsid w:val="00B74E29"/>
    <w:rsid w:val="00B74E5B"/>
    <w:rsid w:val="00B74EC1"/>
    <w:rsid w:val="00B74F96"/>
    <w:rsid w:val="00B7506B"/>
    <w:rsid w:val="00B75167"/>
    <w:rsid w:val="00B751D6"/>
    <w:rsid w:val="00B752EB"/>
    <w:rsid w:val="00B7550F"/>
    <w:rsid w:val="00B755FC"/>
    <w:rsid w:val="00B7565C"/>
    <w:rsid w:val="00B7565F"/>
    <w:rsid w:val="00B75944"/>
    <w:rsid w:val="00B759D4"/>
    <w:rsid w:val="00B75A5F"/>
    <w:rsid w:val="00B75B89"/>
    <w:rsid w:val="00B75BA8"/>
    <w:rsid w:val="00B75C8E"/>
    <w:rsid w:val="00B75CE2"/>
    <w:rsid w:val="00B75E1C"/>
    <w:rsid w:val="00B76097"/>
    <w:rsid w:val="00B7621D"/>
    <w:rsid w:val="00B762A4"/>
    <w:rsid w:val="00B762B0"/>
    <w:rsid w:val="00B766D0"/>
    <w:rsid w:val="00B7688E"/>
    <w:rsid w:val="00B769A9"/>
    <w:rsid w:val="00B76AAE"/>
    <w:rsid w:val="00B76AB4"/>
    <w:rsid w:val="00B76AD7"/>
    <w:rsid w:val="00B76C8A"/>
    <w:rsid w:val="00B76CBD"/>
    <w:rsid w:val="00B76CC3"/>
    <w:rsid w:val="00B76D2C"/>
    <w:rsid w:val="00B76E2E"/>
    <w:rsid w:val="00B76E7A"/>
    <w:rsid w:val="00B76FBC"/>
    <w:rsid w:val="00B7740A"/>
    <w:rsid w:val="00B774C9"/>
    <w:rsid w:val="00B77508"/>
    <w:rsid w:val="00B77551"/>
    <w:rsid w:val="00B7776D"/>
    <w:rsid w:val="00B77891"/>
    <w:rsid w:val="00B77DE4"/>
    <w:rsid w:val="00B77E59"/>
    <w:rsid w:val="00B77F0F"/>
    <w:rsid w:val="00B80141"/>
    <w:rsid w:val="00B80223"/>
    <w:rsid w:val="00B8024D"/>
    <w:rsid w:val="00B80A1D"/>
    <w:rsid w:val="00B80C24"/>
    <w:rsid w:val="00B80D4D"/>
    <w:rsid w:val="00B80D53"/>
    <w:rsid w:val="00B80D7B"/>
    <w:rsid w:val="00B80E7B"/>
    <w:rsid w:val="00B8110B"/>
    <w:rsid w:val="00B8135C"/>
    <w:rsid w:val="00B81469"/>
    <w:rsid w:val="00B8148B"/>
    <w:rsid w:val="00B815A8"/>
    <w:rsid w:val="00B8161B"/>
    <w:rsid w:val="00B81B36"/>
    <w:rsid w:val="00B81B7B"/>
    <w:rsid w:val="00B81C0A"/>
    <w:rsid w:val="00B81CD9"/>
    <w:rsid w:val="00B81E49"/>
    <w:rsid w:val="00B81E65"/>
    <w:rsid w:val="00B81F19"/>
    <w:rsid w:val="00B82094"/>
    <w:rsid w:val="00B822BC"/>
    <w:rsid w:val="00B823D2"/>
    <w:rsid w:val="00B8251C"/>
    <w:rsid w:val="00B82527"/>
    <w:rsid w:val="00B825E3"/>
    <w:rsid w:val="00B826BA"/>
    <w:rsid w:val="00B8279C"/>
    <w:rsid w:val="00B827DA"/>
    <w:rsid w:val="00B82C87"/>
    <w:rsid w:val="00B82D23"/>
    <w:rsid w:val="00B8311A"/>
    <w:rsid w:val="00B833A9"/>
    <w:rsid w:val="00B833D3"/>
    <w:rsid w:val="00B834FB"/>
    <w:rsid w:val="00B8353A"/>
    <w:rsid w:val="00B8354E"/>
    <w:rsid w:val="00B83911"/>
    <w:rsid w:val="00B839C3"/>
    <w:rsid w:val="00B839D2"/>
    <w:rsid w:val="00B83C78"/>
    <w:rsid w:val="00B83D32"/>
    <w:rsid w:val="00B83D5D"/>
    <w:rsid w:val="00B83DF7"/>
    <w:rsid w:val="00B83EA4"/>
    <w:rsid w:val="00B83F87"/>
    <w:rsid w:val="00B83F97"/>
    <w:rsid w:val="00B841A5"/>
    <w:rsid w:val="00B84253"/>
    <w:rsid w:val="00B84278"/>
    <w:rsid w:val="00B84386"/>
    <w:rsid w:val="00B844C5"/>
    <w:rsid w:val="00B84579"/>
    <w:rsid w:val="00B84768"/>
    <w:rsid w:val="00B847DC"/>
    <w:rsid w:val="00B84946"/>
    <w:rsid w:val="00B8496E"/>
    <w:rsid w:val="00B84A1B"/>
    <w:rsid w:val="00B84A5C"/>
    <w:rsid w:val="00B84B04"/>
    <w:rsid w:val="00B84B2D"/>
    <w:rsid w:val="00B84B62"/>
    <w:rsid w:val="00B84D37"/>
    <w:rsid w:val="00B84D91"/>
    <w:rsid w:val="00B84E62"/>
    <w:rsid w:val="00B84FCC"/>
    <w:rsid w:val="00B850D0"/>
    <w:rsid w:val="00B851DD"/>
    <w:rsid w:val="00B8536D"/>
    <w:rsid w:val="00B85391"/>
    <w:rsid w:val="00B853F0"/>
    <w:rsid w:val="00B8544F"/>
    <w:rsid w:val="00B85479"/>
    <w:rsid w:val="00B8569A"/>
    <w:rsid w:val="00B85793"/>
    <w:rsid w:val="00B857D3"/>
    <w:rsid w:val="00B8580E"/>
    <w:rsid w:val="00B85884"/>
    <w:rsid w:val="00B85896"/>
    <w:rsid w:val="00B858CF"/>
    <w:rsid w:val="00B85A00"/>
    <w:rsid w:val="00B85AF4"/>
    <w:rsid w:val="00B85B77"/>
    <w:rsid w:val="00B85C60"/>
    <w:rsid w:val="00B85CA9"/>
    <w:rsid w:val="00B85DCB"/>
    <w:rsid w:val="00B85E8E"/>
    <w:rsid w:val="00B85EFF"/>
    <w:rsid w:val="00B85F8A"/>
    <w:rsid w:val="00B862EC"/>
    <w:rsid w:val="00B86353"/>
    <w:rsid w:val="00B8649A"/>
    <w:rsid w:val="00B8656B"/>
    <w:rsid w:val="00B865A0"/>
    <w:rsid w:val="00B8673A"/>
    <w:rsid w:val="00B867C7"/>
    <w:rsid w:val="00B867F6"/>
    <w:rsid w:val="00B86823"/>
    <w:rsid w:val="00B868BA"/>
    <w:rsid w:val="00B868C2"/>
    <w:rsid w:val="00B86B81"/>
    <w:rsid w:val="00B86DEC"/>
    <w:rsid w:val="00B86DF8"/>
    <w:rsid w:val="00B86E93"/>
    <w:rsid w:val="00B86EAA"/>
    <w:rsid w:val="00B870F0"/>
    <w:rsid w:val="00B87118"/>
    <w:rsid w:val="00B87160"/>
    <w:rsid w:val="00B87164"/>
    <w:rsid w:val="00B87179"/>
    <w:rsid w:val="00B87284"/>
    <w:rsid w:val="00B872E8"/>
    <w:rsid w:val="00B8731B"/>
    <w:rsid w:val="00B873DA"/>
    <w:rsid w:val="00B874ED"/>
    <w:rsid w:val="00B8762F"/>
    <w:rsid w:val="00B87689"/>
    <w:rsid w:val="00B87878"/>
    <w:rsid w:val="00B87996"/>
    <w:rsid w:val="00B879AF"/>
    <w:rsid w:val="00B87AE3"/>
    <w:rsid w:val="00B87BE6"/>
    <w:rsid w:val="00B90006"/>
    <w:rsid w:val="00B9006C"/>
    <w:rsid w:val="00B90074"/>
    <w:rsid w:val="00B900C6"/>
    <w:rsid w:val="00B9012A"/>
    <w:rsid w:val="00B90474"/>
    <w:rsid w:val="00B904CF"/>
    <w:rsid w:val="00B90569"/>
    <w:rsid w:val="00B906B1"/>
    <w:rsid w:val="00B90AF7"/>
    <w:rsid w:val="00B90B22"/>
    <w:rsid w:val="00B90CF4"/>
    <w:rsid w:val="00B90D25"/>
    <w:rsid w:val="00B9118D"/>
    <w:rsid w:val="00B912F4"/>
    <w:rsid w:val="00B9130A"/>
    <w:rsid w:val="00B9146D"/>
    <w:rsid w:val="00B91638"/>
    <w:rsid w:val="00B918CA"/>
    <w:rsid w:val="00B91959"/>
    <w:rsid w:val="00B91A4E"/>
    <w:rsid w:val="00B91ABD"/>
    <w:rsid w:val="00B91AF2"/>
    <w:rsid w:val="00B91B53"/>
    <w:rsid w:val="00B91C6D"/>
    <w:rsid w:val="00B91DD2"/>
    <w:rsid w:val="00B91DD3"/>
    <w:rsid w:val="00B91E5C"/>
    <w:rsid w:val="00B91F60"/>
    <w:rsid w:val="00B921E7"/>
    <w:rsid w:val="00B92253"/>
    <w:rsid w:val="00B923FB"/>
    <w:rsid w:val="00B92677"/>
    <w:rsid w:val="00B92770"/>
    <w:rsid w:val="00B92849"/>
    <w:rsid w:val="00B928A3"/>
    <w:rsid w:val="00B92C02"/>
    <w:rsid w:val="00B92D68"/>
    <w:rsid w:val="00B92D9F"/>
    <w:rsid w:val="00B92DBF"/>
    <w:rsid w:val="00B92DEE"/>
    <w:rsid w:val="00B92FA7"/>
    <w:rsid w:val="00B930C0"/>
    <w:rsid w:val="00B931AD"/>
    <w:rsid w:val="00B931B6"/>
    <w:rsid w:val="00B93219"/>
    <w:rsid w:val="00B9332A"/>
    <w:rsid w:val="00B93378"/>
    <w:rsid w:val="00B933D1"/>
    <w:rsid w:val="00B93675"/>
    <w:rsid w:val="00B937F3"/>
    <w:rsid w:val="00B93BCC"/>
    <w:rsid w:val="00B93D52"/>
    <w:rsid w:val="00B9402D"/>
    <w:rsid w:val="00B94116"/>
    <w:rsid w:val="00B941E8"/>
    <w:rsid w:val="00B942D4"/>
    <w:rsid w:val="00B94364"/>
    <w:rsid w:val="00B94414"/>
    <w:rsid w:val="00B944F6"/>
    <w:rsid w:val="00B94535"/>
    <w:rsid w:val="00B945A0"/>
    <w:rsid w:val="00B9475E"/>
    <w:rsid w:val="00B94767"/>
    <w:rsid w:val="00B94844"/>
    <w:rsid w:val="00B94904"/>
    <w:rsid w:val="00B949D0"/>
    <w:rsid w:val="00B94A39"/>
    <w:rsid w:val="00B94C85"/>
    <w:rsid w:val="00B94CCC"/>
    <w:rsid w:val="00B94E69"/>
    <w:rsid w:val="00B94E8F"/>
    <w:rsid w:val="00B94F12"/>
    <w:rsid w:val="00B95200"/>
    <w:rsid w:val="00B95237"/>
    <w:rsid w:val="00B95262"/>
    <w:rsid w:val="00B9543D"/>
    <w:rsid w:val="00B9549F"/>
    <w:rsid w:val="00B9550D"/>
    <w:rsid w:val="00B95636"/>
    <w:rsid w:val="00B9572B"/>
    <w:rsid w:val="00B958F6"/>
    <w:rsid w:val="00B95937"/>
    <w:rsid w:val="00B959D0"/>
    <w:rsid w:val="00B95B90"/>
    <w:rsid w:val="00B95F3E"/>
    <w:rsid w:val="00B95FB7"/>
    <w:rsid w:val="00B96231"/>
    <w:rsid w:val="00B9623C"/>
    <w:rsid w:val="00B9631F"/>
    <w:rsid w:val="00B963BF"/>
    <w:rsid w:val="00B965C8"/>
    <w:rsid w:val="00B96603"/>
    <w:rsid w:val="00B96662"/>
    <w:rsid w:val="00B967F2"/>
    <w:rsid w:val="00B9685F"/>
    <w:rsid w:val="00B969C1"/>
    <w:rsid w:val="00B96A12"/>
    <w:rsid w:val="00B96A71"/>
    <w:rsid w:val="00B96C15"/>
    <w:rsid w:val="00B96D97"/>
    <w:rsid w:val="00B96F75"/>
    <w:rsid w:val="00B970EE"/>
    <w:rsid w:val="00B97205"/>
    <w:rsid w:val="00B973C9"/>
    <w:rsid w:val="00B973F5"/>
    <w:rsid w:val="00B974A5"/>
    <w:rsid w:val="00B974E4"/>
    <w:rsid w:val="00B9758B"/>
    <w:rsid w:val="00B975CB"/>
    <w:rsid w:val="00B975E0"/>
    <w:rsid w:val="00B975EF"/>
    <w:rsid w:val="00B9768E"/>
    <w:rsid w:val="00B976E5"/>
    <w:rsid w:val="00B9786F"/>
    <w:rsid w:val="00B978B1"/>
    <w:rsid w:val="00B978CF"/>
    <w:rsid w:val="00B97D13"/>
    <w:rsid w:val="00B97D26"/>
    <w:rsid w:val="00B97E3A"/>
    <w:rsid w:val="00B97E74"/>
    <w:rsid w:val="00BA00F1"/>
    <w:rsid w:val="00BA0127"/>
    <w:rsid w:val="00BA01AE"/>
    <w:rsid w:val="00BA01E1"/>
    <w:rsid w:val="00BA0216"/>
    <w:rsid w:val="00BA0231"/>
    <w:rsid w:val="00BA0293"/>
    <w:rsid w:val="00BA05C7"/>
    <w:rsid w:val="00BA06DB"/>
    <w:rsid w:val="00BA08B4"/>
    <w:rsid w:val="00BA094A"/>
    <w:rsid w:val="00BA097B"/>
    <w:rsid w:val="00BA0984"/>
    <w:rsid w:val="00BA0A93"/>
    <w:rsid w:val="00BA0BC3"/>
    <w:rsid w:val="00BA0BFC"/>
    <w:rsid w:val="00BA0E96"/>
    <w:rsid w:val="00BA0EFF"/>
    <w:rsid w:val="00BA1035"/>
    <w:rsid w:val="00BA10E3"/>
    <w:rsid w:val="00BA11D7"/>
    <w:rsid w:val="00BA129C"/>
    <w:rsid w:val="00BA139A"/>
    <w:rsid w:val="00BA1423"/>
    <w:rsid w:val="00BA149E"/>
    <w:rsid w:val="00BA1568"/>
    <w:rsid w:val="00BA1572"/>
    <w:rsid w:val="00BA1644"/>
    <w:rsid w:val="00BA17DF"/>
    <w:rsid w:val="00BA1875"/>
    <w:rsid w:val="00BA19C0"/>
    <w:rsid w:val="00BA1B9B"/>
    <w:rsid w:val="00BA1C0A"/>
    <w:rsid w:val="00BA1D76"/>
    <w:rsid w:val="00BA1E7F"/>
    <w:rsid w:val="00BA1E95"/>
    <w:rsid w:val="00BA1EA2"/>
    <w:rsid w:val="00BA1FB3"/>
    <w:rsid w:val="00BA1FB6"/>
    <w:rsid w:val="00BA2152"/>
    <w:rsid w:val="00BA2232"/>
    <w:rsid w:val="00BA2315"/>
    <w:rsid w:val="00BA27B0"/>
    <w:rsid w:val="00BA2847"/>
    <w:rsid w:val="00BA2AF8"/>
    <w:rsid w:val="00BA2AFE"/>
    <w:rsid w:val="00BA2B2D"/>
    <w:rsid w:val="00BA2BAB"/>
    <w:rsid w:val="00BA2BBB"/>
    <w:rsid w:val="00BA2D56"/>
    <w:rsid w:val="00BA2DDF"/>
    <w:rsid w:val="00BA2F74"/>
    <w:rsid w:val="00BA2FBC"/>
    <w:rsid w:val="00BA303A"/>
    <w:rsid w:val="00BA3144"/>
    <w:rsid w:val="00BA315E"/>
    <w:rsid w:val="00BA33FF"/>
    <w:rsid w:val="00BA3411"/>
    <w:rsid w:val="00BA3555"/>
    <w:rsid w:val="00BA370F"/>
    <w:rsid w:val="00BA375A"/>
    <w:rsid w:val="00BA3868"/>
    <w:rsid w:val="00BA3952"/>
    <w:rsid w:val="00BA3A11"/>
    <w:rsid w:val="00BA3AC7"/>
    <w:rsid w:val="00BA3B34"/>
    <w:rsid w:val="00BA3D08"/>
    <w:rsid w:val="00BA4004"/>
    <w:rsid w:val="00BA402F"/>
    <w:rsid w:val="00BA4160"/>
    <w:rsid w:val="00BA4478"/>
    <w:rsid w:val="00BA4719"/>
    <w:rsid w:val="00BA47F2"/>
    <w:rsid w:val="00BA485F"/>
    <w:rsid w:val="00BA4A4A"/>
    <w:rsid w:val="00BA4BB8"/>
    <w:rsid w:val="00BA4DE8"/>
    <w:rsid w:val="00BA4F7B"/>
    <w:rsid w:val="00BA5012"/>
    <w:rsid w:val="00BA507D"/>
    <w:rsid w:val="00BA50D7"/>
    <w:rsid w:val="00BA5181"/>
    <w:rsid w:val="00BA5220"/>
    <w:rsid w:val="00BA527B"/>
    <w:rsid w:val="00BA53C7"/>
    <w:rsid w:val="00BA53CD"/>
    <w:rsid w:val="00BA53EF"/>
    <w:rsid w:val="00BA54F1"/>
    <w:rsid w:val="00BA5744"/>
    <w:rsid w:val="00BA57BC"/>
    <w:rsid w:val="00BA5830"/>
    <w:rsid w:val="00BA5858"/>
    <w:rsid w:val="00BA5AFE"/>
    <w:rsid w:val="00BA5AFF"/>
    <w:rsid w:val="00BA5B2C"/>
    <w:rsid w:val="00BA5B3A"/>
    <w:rsid w:val="00BA5BE1"/>
    <w:rsid w:val="00BA5BF5"/>
    <w:rsid w:val="00BA5C2F"/>
    <w:rsid w:val="00BA5C53"/>
    <w:rsid w:val="00BA5D32"/>
    <w:rsid w:val="00BA5D65"/>
    <w:rsid w:val="00BA5EC0"/>
    <w:rsid w:val="00BA5EE0"/>
    <w:rsid w:val="00BA5F0C"/>
    <w:rsid w:val="00BA5F72"/>
    <w:rsid w:val="00BA5FEE"/>
    <w:rsid w:val="00BA6099"/>
    <w:rsid w:val="00BA6111"/>
    <w:rsid w:val="00BA617D"/>
    <w:rsid w:val="00BA6302"/>
    <w:rsid w:val="00BA6659"/>
    <w:rsid w:val="00BA69FC"/>
    <w:rsid w:val="00BA6A08"/>
    <w:rsid w:val="00BA6AF7"/>
    <w:rsid w:val="00BA6B4D"/>
    <w:rsid w:val="00BA6BD3"/>
    <w:rsid w:val="00BA6E37"/>
    <w:rsid w:val="00BA6F7E"/>
    <w:rsid w:val="00BA6FFE"/>
    <w:rsid w:val="00BA7158"/>
    <w:rsid w:val="00BA7212"/>
    <w:rsid w:val="00BA7365"/>
    <w:rsid w:val="00BA74AD"/>
    <w:rsid w:val="00BA777A"/>
    <w:rsid w:val="00BA7803"/>
    <w:rsid w:val="00BA79B1"/>
    <w:rsid w:val="00BA79D7"/>
    <w:rsid w:val="00BA7BB9"/>
    <w:rsid w:val="00BA7DDA"/>
    <w:rsid w:val="00BA7E99"/>
    <w:rsid w:val="00BA7EC0"/>
    <w:rsid w:val="00BA7F06"/>
    <w:rsid w:val="00BB00B7"/>
    <w:rsid w:val="00BB0165"/>
    <w:rsid w:val="00BB0274"/>
    <w:rsid w:val="00BB03B3"/>
    <w:rsid w:val="00BB03E8"/>
    <w:rsid w:val="00BB04D5"/>
    <w:rsid w:val="00BB057A"/>
    <w:rsid w:val="00BB06E1"/>
    <w:rsid w:val="00BB0BD1"/>
    <w:rsid w:val="00BB0C50"/>
    <w:rsid w:val="00BB0D93"/>
    <w:rsid w:val="00BB107B"/>
    <w:rsid w:val="00BB1244"/>
    <w:rsid w:val="00BB1270"/>
    <w:rsid w:val="00BB15CF"/>
    <w:rsid w:val="00BB15D9"/>
    <w:rsid w:val="00BB16A5"/>
    <w:rsid w:val="00BB17A3"/>
    <w:rsid w:val="00BB17C5"/>
    <w:rsid w:val="00BB1A61"/>
    <w:rsid w:val="00BB1A73"/>
    <w:rsid w:val="00BB1A95"/>
    <w:rsid w:val="00BB1AED"/>
    <w:rsid w:val="00BB1B86"/>
    <w:rsid w:val="00BB1BAE"/>
    <w:rsid w:val="00BB1BDC"/>
    <w:rsid w:val="00BB1C9A"/>
    <w:rsid w:val="00BB1D6A"/>
    <w:rsid w:val="00BB1F51"/>
    <w:rsid w:val="00BB202E"/>
    <w:rsid w:val="00BB204E"/>
    <w:rsid w:val="00BB20A9"/>
    <w:rsid w:val="00BB211C"/>
    <w:rsid w:val="00BB247D"/>
    <w:rsid w:val="00BB261A"/>
    <w:rsid w:val="00BB2734"/>
    <w:rsid w:val="00BB2757"/>
    <w:rsid w:val="00BB2785"/>
    <w:rsid w:val="00BB27CE"/>
    <w:rsid w:val="00BB282B"/>
    <w:rsid w:val="00BB2876"/>
    <w:rsid w:val="00BB28F7"/>
    <w:rsid w:val="00BB2917"/>
    <w:rsid w:val="00BB296C"/>
    <w:rsid w:val="00BB29B9"/>
    <w:rsid w:val="00BB2ACE"/>
    <w:rsid w:val="00BB2AF1"/>
    <w:rsid w:val="00BB2C87"/>
    <w:rsid w:val="00BB2FA4"/>
    <w:rsid w:val="00BB314A"/>
    <w:rsid w:val="00BB3197"/>
    <w:rsid w:val="00BB31FE"/>
    <w:rsid w:val="00BB3309"/>
    <w:rsid w:val="00BB34F3"/>
    <w:rsid w:val="00BB350F"/>
    <w:rsid w:val="00BB3523"/>
    <w:rsid w:val="00BB36CE"/>
    <w:rsid w:val="00BB3716"/>
    <w:rsid w:val="00BB3764"/>
    <w:rsid w:val="00BB393E"/>
    <w:rsid w:val="00BB3979"/>
    <w:rsid w:val="00BB39DD"/>
    <w:rsid w:val="00BB3AB4"/>
    <w:rsid w:val="00BB3B55"/>
    <w:rsid w:val="00BB3B8E"/>
    <w:rsid w:val="00BB3CD8"/>
    <w:rsid w:val="00BB40E0"/>
    <w:rsid w:val="00BB40EF"/>
    <w:rsid w:val="00BB4360"/>
    <w:rsid w:val="00BB43BD"/>
    <w:rsid w:val="00BB43ED"/>
    <w:rsid w:val="00BB43F5"/>
    <w:rsid w:val="00BB44CC"/>
    <w:rsid w:val="00BB45CB"/>
    <w:rsid w:val="00BB45D0"/>
    <w:rsid w:val="00BB4678"/>
    <w:rsid w:val="00BB4933"/>
    <w:rsid w:val="00BB496D"/>
    <w:rsid w:val="00BB4C15"/>
    <w:rsid w:val="00BB4CA9"/>
    <w:rsid w:val="00BB4D4C"/>
    <w:rsid w:val="00BB4D4F"/>
    <w:rsid w:val="00BB4D8C"/>
    <w:rsid w:val="00BB50C9"/>
    <w:rsid w:val="00BB5183"/>
    <w:rsid w:val="00BB5346"/>
    <w:rsid w:val="00BB53AE"/>
    <w:rsid w:val="00BB53D4"/>
    <w:rsid w:val="00BB550F"/>
    <w:rsid w:val="00BB5674"/>
    <w:rsid w:val="00BB56BF"/>
    <w:rsid w:val="00BB5705"/>
    <w:rsid w:val="00BB5798"/>
    <w:rsid w:val="00BB5834"/>
    <w:rsid w:val="00BB583C"/>
    <w:rsid w:val="00BB5849"/>
    <w:rsid w:val="00BB58A5"/>
    <w:rsid w:val="00BB598E"/>
    <w:rsid w:val="00BB5BD8"/>
    <w:rsid w:val="00BB5DF1"/>
    <w:rsid w:val="00BB5F74"/>
    <w:rsid w:val="00BB5FC3"/>
    <w:rsid w:val="00BB64B3"/>
    <w:rsid w:val="00BB671A"/>
    <w:rsid w:val="00BB67F4"/>
    <w:rsid w:val="00BB6849"/>
    <w:rsid w:val="00BB68A4"/>
    <w:rsid w:val="00BB691C"/>
    <w:rsid w:val="00BB6949"/>
    <w:rsid w:val="00BB696D"/>
    <w:rsid w:val="00BB6ACA"/>
    <w:rsid w:val="00BB6ACD"/>
    <w:rsid w:val="00BB6B39"/>
    <w:rsid w:val="00BB6B7B"/>
    <w:rsid w:val="00BB6BA3"/>
    <w:rsid w:val="00BB6CE4"/>
    <w:rsid w:val="00BB6DFA"/>
    <w:rsid w:val="00BB6E3A"/>
    <w:rsid w:val="00BB6E6C"/>
    <w:rsid w:val="00BB6F56"/>
    <w:rsid w:val="00BB70D4"/>
    <w:rsid w:val="00BB7336"/>
    <w:rsid w:val="00BB7419"/>
    <w:rsid w:val="00BB743F"/>
    <w:rsid w:val="00BB74EF"/>
    <w:rsid w:val="00BB7761"/>
    <w:rsid w:val="00BB796F"/>
    <w:rsid w:val="00BB79D7"/>
    <w:rsid w:val="00BB7A2C"/>
    <w:rsid w:val="00BB7A7E"/>
    <w:rsid w:val="00BB7A80"/>
    <w:rsid w:val="00BB7BB7"/>
    <w:rsid w:val="00BB7D4C"/>
    <w:rsid w:val="00BB7D71"/>
    <w:rsid w:val="00BB7DA9"/>
    <w:rsid w:val="00BB7E78"/>
    <w:rsid w:val="00BB7EFD"/>
    <w:rsid w:val="00BB7F3A"/>
    <w:rsid w:val="00BC0070"/>
    <w:rsid w:val="00BC0089"/>
    <w:rsid w:val="00BC0147"/>
    <w:rsid w:val="00BC018D"/>
    <w:rsid w:val="00BC034D"/>
    <w:rsid w:val="00BC03E3"/>
    <w:rsid w:val="00BC049E"/>
    <w:rsid w:val="00BC04A4"/>
    <w:rsid w:val="00BC0521"/>
    <w:rsid w:val="00BC0569"/>
    <w:rsid w:val="00BC075E"/>
    <w:rsid w:val="00BC0B66"/>
    <w:rsid w:val="00BC0B8D"/>
    <w:rsid w:val="00BC0C73"/>
    <w:rsid w:val="00BC0DB5"/>
    <w:rsid w:val="00BC0DE1"/>
    <w:rsid w:val="00BC0E42"/>
    <w:rsid w:val="00BC0EF4"/>
    <w:rsid w:val="00BC1077"/>
    <w:rsid w:val="00BC1233"/>
    <w:rsid w:val="00BC12A4"/>
    <w:rsid w:val="00BC1370"/>
    <w:rsid w:val="00BC15B5"/>
    <w:rsid w:val="00BC1739"/>
    <w:rsid w:val="00BC1849"/>
    <w:rsid w:val="00BC1889"/>
    <w:rsid w:val="00BC19B9"/>
    <w:rsid w:val="00BC1BA3"/>
    <w:rsid w:val="00BC1CD7"/>
    <w:rsid w:val="00BC1D52"/>
    <w:rsid w:val="00BC1DD6"/>
    <w:rsid w:val="00BC1E5F"/>
    <w:rsid w:val="00BC1F1A"/>
    <w:rsid w:val="00BC1F6D"/>
    <w:rsid w:val="00BC1F98"/>
    <w:rsid w:val="00BC1FC4"/>
    <w:rsid w:val="00BC2230"/>
    <w:rsid w:val="00BC22CA"/>
    <w:rsid w:val="00BC2515"/>
    <w:rsid w:val="00BC262D"/>
    <w:rsid w:val="00BC26D1"/>
    <w:rsid w:val="00BC28FF"/>
    <w:rsid w:val="00BC2D9B"/>
    <w:rsid w:val="00BC2E9C"/>
    <w:rsid w:val="00BC2ED9"/>
    <w:rsid w:val="00BC2F5A"/>
    <w:rsid w:val="00BC2F9E"/>
    <w:rsid w:val="00BC3068"/>
    <w:rsid w:val="00BC32BD"/>
    <w:rsid w:val="00BC3438"/>
    <w:rsid w:val="00BC344D"/>
    <w:rsid w:val="00BC348C"/>
    <w:rsid w:val="00BC34B3"/>
    <w:rsid w:val="00BC36CF"/>
    <w:rsid w:val="00BC3789"/>
    <w:rsid w:val="00BC385A"/>
    <w:rsid w:val="00BC39B4"/>
    <w:rsid w:val="00BC3A0B"/>
    <w:rsid w:val="00BC3A35"/>
    <w:rsid w:val="00BC3AFD"/>
    <w:rsid w:val="00BC3B5A"/>
    <w:rsid w:val="00BC3B66"/>
    <w:rsid w:val="00BC3C14"/>
    <w:rsid w:val="00BC3D1A"/>
    <w:rsid w:val="00BC3D60"/>
    <w:rsid w:val="00BC3ECC"/>
    <w:rsid w:val="00BC3F47"/>
    <w:rsid w:val="00BC3F61"/>
    <w:rsid w:val="00BC3FD2"/>
    <w:rsid w:val="00BC40AF"/>
    <w:rsid w:val="00BC4110"/>
    <w:rsid w:val="00BC4275"/>
    <w:rsid w:val="00BC42D3"/>
    <w:rsid w:val="00BC4325"/>
    <w:rsid w:val="00BC452A"/>
    <w:rsid w:val="00BC459B"/>
    <w:rsid w:val="00BC461B"/>
    <w:rsid w:val="00BC474C"/>
    <w:rsid w:val="00BC47C1"/>
    <w:rsid w:val="00BC4957"/>
    <w:rsid w:val="00BC4A89"/>
    <w:rsid w:val="00BC4B24"/>
    <w:rsid w:val="00BC4B51"/>
    <w:rsid w:val="00BC4B71"/>
    <w:rsid w:val="00BC4BC3"/>
    <w:rsid w:val="00BC4D47"/>
    <w:rsid w:val="00BC5295"/>
    <w:rsid w:val="00BC544A"/>
    <w:rsid w:val="00BC5669"/>
    <w:rsid w:val="00BC5684"/>
    <w:rsid w:val="00BC580A"/>
    <w:rsid w:val="00BC5962"/>
    <w:rsid w:val="00BC5A50"/>
    <w:rsid w:val="00BC5A65"/>
    <w:rsid w:val="00BC5A6F"/>
    <w:rsid w:val="00BC5BE2"/>
    <w:rsid w:val="00BC5CF3"/>
    <w:rsid w:val="00BC5D14"/>
    <w:rsid w:val="00BC5DE2"/>
    <w:rsid w:val="00BC5F66"/>
    <w:rsid w:val="00BC5F75"/>
    <w:rsid w:val="00BC5FCF"/>
    <w:rsid w:val="00BC60E4"/>
    <w:rsid w:val="00BC61AB"/>
    <w:rsid w:val="00BC61CC"/>
    <w:rsid w:val="00BC6268"/>
    <w:rsid w:val="00BC62F3"/>
    <w:rsid w:val="00BC63BB"/>
    <w:rsid w:val="00BC67F2"/>
    <w:rsid w:val="00BC69F3"/>
    <w:rsid w:val="00BC6A2A"/>
    <w:rsid w:val="00BC6C19"/>
    <w:rsid w:val="00BC6C1A"/>
    <w:rsid w:val="00BC6D85"/>
    <w:rsid w:val="00BC6DCF"/>
    <w:rsid w:val="00BC6EA1"/>
    <w:rsid w:val="00BC6EB7"/>
    <w:rsid w:val="00BC6ED3"/>
    <w:rsid w:val="00BC70A2"/>
    <w:rsid w:val="00BC70A8"/>
    <w:rsid w:val="00BC71AA"/>
    <w:rsid w:val="00BC732B"/>
    <w:rsid w:val="00BC73EF"/>
    <w:rsid w:val="00BC74F9"/>
    <w:rsid w:val="00BC76D5"/>
    <w:rsid w:val="00BC7755"/>
    <w:rsid w:val="00BC7868"/>
    <w:rsid w:val="00BC7887"/>
    <w:rsid w:val="00BC79D9"/>
    <w:rsid w:val="00BC79E2"/>
    <w:rsid w:val="00BC7ADC"/>
    <w:rsid w:val="00BC7B6C"/>
    <w:rsid w:val="00BC7C2D"/>
    <w:rsid w:val="00BC7C8B"/>
    <w:rsid w:val="00BC7E13"/>
    <w:rsid w:val="00BC7F28"/>
    <w:rsid w:val="00BD0294"/>
    <w:rsid w:val="00BD0305"/>
    <w:rsid w:val="00BD040A"/>
    <w:rsid w:val="00BD0479"/>
    <w:rsid w:val="00BD0495"/>
    <w:rsid w:val="00BD059D"/>
    <w:rsid w:val="00BD05EA"/>
    <w:rsid w:val="00BD079B"/>
    <w:rsid w:val="00BD07C4"/>
    <w:rsid w:val="00BD0C99"/>
    <w:rsid w:val="00BD0DB1"/>
    <w:rsid w:val="00BD0F4D"/>
    <w:rsid w:val="00BD0FAC"/>
    <w:rsid w:val="00BD10B3"/>
    <w:rsid w:val="00BD11E9"/>
    <w:rsid w:val="00BD1267"/>
    <w:rsid w:val="00BD12F7"/>
    <w:rsid w:val="00BD1332"/>
    <w:rsid w:val="00BD1353"/>
    <w:rsid w:val="00BD13DE"/>
    <w:rsid w:val="00BD1469"/>
    <w:rsid w:val="00BD149C"/>
    <w:rsid w:val="00BD14D4"/>
    <w:rsid w:val="00BD16CA"/>
    <w:rsid w:val="00BD1A3B"/>
    <w:rsid w:val="00BD1AB5"/>
    <w:rsid w:val="00BD1B88"/>
    <w:rsid w:val="00BD1EDB"/>
    <w:rsid w:val="00BD1EDE"/>
    <w:rsid w:val="00BD1F0F"/>
    <w:rsid w:val="00BD1F1F"/>
    <w:rsid w:val="00BD20EE"/>
    <w:rsid w:val="00BD215D"/>
    <w:rsid w:val="00BD2296"/>
    <w:rsid w:val="00BD2639"/>
    <w:rsid w:val="00BD2795"/>
    <w:rsid w:val="00BD299E"/>
    <w:rsid w:val="00BD2ABB"/>
    <w:rsid w:val="00BD2AFB"/>
    <w:rsid w:val="00BD2B4E"/>
    <w:rsid w:val="00BD2B82"/>
    <w:rsid w:val="00BD2B96"/>
    <w:rsid w:val="00BD2DBB"/>
    <w:rsid w:val="00BD2EA9"/>
    <w:rsid w:val="00BD358D"/>
    <w:rsid w:val="00BD36C4"/>
    <w:rsid w:val="00BD37EB"/>
    <w:rsid w:val="00BD38C0"/>
    <w:rsid w:val="00BD38ED"/>
    <w:rsid w:val="00BD3BAE"/>
    <w:rsid w:val="00BD3D61"/>
    <w:rsid w:val="00BD3E27"/>
    <w:rsid w:val="00BD3E4C"/>
    <w:rsid w:val="00BD4080"/>
    <w:rsid w:val="00BD40CC"/>
    <w:rsid w:val="00BD4228"/>
    <w:rsid w:val="00BD4520"/>
    <w:rsid w:val="00BD4675"/>
    <w:rsid w:val="00BD4718"/>
    <w:rsid w:val="00BD4752"/>
    <w:rsid w:val="00BD47A4"/>
    <w:rsid w:val="00BD47E6"/>
    <w:rsid w:val="00BD4846"/>
    <w:rsid w:val="00BD4917"/>
    <w:rsid w:val="00BD4A79"/>
    <w:rsid w:val="00BD4B59"/>
    <w:rsid w:val="00BD4D9B"/>
    <w:rsid w:val="00BD4E1B"/>
    <w:rsid w:val="00BD4E6E"/>
    <w:rsid w:val="00BD4EE9"/>
    <w:rsid w:val="00BD51E0"/>
    <w:rsid w:val="00BD5256"/>
    <w:rsid w:val="00BD52C4"/>
    <w:rsid w:val="00BD53BE"/>
    <w:rsid w:val="00BD540C"/>
    <w:rsid w:val="00BD5462"/>
    <w:rsid w:val="00BD54BD"/>
    <w:rsid w:val="00BD54D0"/>
    <w:rsid w:val="00BD571F"/>
    <w:rsid w:val="00BD574E"/>
    <w:rsid w:val="00BD5950"/>
    <w:rsid w:val="00BD59F1"/>
    <w:rsid w:val="00BD5AA0"/>
    <w:rsid w:val="00BD5AB5"/>
    <w:rsid w:val="00BD5CF5"/>
    <w:rsid w:val="00BD5D04"/>
    <w:rsid w:val="00BD5D7D"/>
    <w:rsid w:val="00BD5E89"/>
    <w:rsid w:val="00BD5EFF"/>
    <w:rsid w:val="00BD5FB1"/>
    <w:rsid w:val="00BD600A"/>
    <w:rsid w:val="00BD6047"/>
    <w:rsid w:val="00BD62B8"/>
    <w:rsid w:val="00BD6392"/>
    <w:rsid w:val="00BD63C2"/>
    <w:rsid w:val="00BD646C"/>
    <w:rsid w:val="00BD6507"/>
    <w:rsid w:val="00BD65A4"/>
    <w:rsid w:val="00BD6625"/>
    <w:rsid w:val="00BD67C9"/>
    <w:rsid w:val="00BD6B9C"/>
    <w:rsid w:val="00BD6FE7"/>
    <w:rsid w:val="00BD6FE8"/>
    <w:rsid w:val="00BD6FF6"/>
    <w:rsid w:val="00BD713D"/>
    <w:rsid w:val="00BD7163"/>
    <w:rsid w:val="00BD717C"/>
    <w:rsid w:val="00BD7240"/>
    <w:rsid w:val="00BD729D"/>
    <w:rsid w:val="00BD72B7"/>
    <w:rsid w:val="00BD736C"/>
    <w:rsid w:val="00BD746C"/>
    <w:rsid w:val="00BD74B4"/>
    <w:rsid w:val="00BD763A"/>
    <w:rsid w:val="00BD7724"/>
    <w:rsid w:val="00BD776A"/>
    <w:rsid w:val="00BD7845"/>
    <w:rsid w:val="00BD789B"/>
    <w:rsid w:val="00BD78EA"/>
    <w:rsid w:val="00BD790B"/>
    <w:rsid w:val="00BD7914"/>
    <w:rsid w:val="00BD7998"/>
    <w:rsid w:val="00BD79E2"/>
    <w:rsid w:val="00BD7B8F"/>
    <w:rsid w:val="00BD7B98"/>
    <w:rsid w:val="00BD7BCC"/>
    <w:rsid w:val="00BD7C2E"/>
    <w:rsid w:val="00BD7C72"/>
    <w:rsid w:val="00BD7EE7"/>
    <w:rsid w:val="00BD7F04"/>
    <w:rsid w:val="00BE00C2"/>
    <w:rsid w:val="00BE011B"/>
    <w:rsid w:val="00BE0149"/>
    <w:rsid w:val="00BE01C2"/>
    <w:rsid w:val="00BE052C"/>
    <w:rsid w:val="00BE05C2"/>
    <w:rsid w:val="00BE069D"/>
    <w:rsid w:val="00BE07DB"/>
    <w:rsid w:val="00BE0803"/>
    <w:rsid w:val="00BE09FB"/>
    <w:rsid w:val="00BE0C05"/>
    <w:rsid w:val="00BE0CDB"/>
    <w:rsid w:val="00BE0E12"/>
    <w:rsid w:val="00BE0E5A"/>
    <w:rsid w:val="00BE0E89"/>
    <w:rsid w:val="00BE107B"/>
    <w:rsid w:val="00BE11C6"/>
    <w:rsid w:val="00BE126B"/>
    <w:rsid w:val="00BE129A"/>
    <w:rsid w:val="00BE1348"/>
    <w:rsid w:val="00BE136A"/>
    <w:rsid w:val="00BE1945"/>
    <w:rsid w:val="00BE1BCF"/>
    <w:rsid w:val="00BE1C79"/>
    <w:rsid w:val="00BE1D55"/>
    <w:rsid w:val="00BE1E71"/>
    <w:rsid w:val="00BE1EC4"/>
    <w:rsid w:val="00BE1F3A"/>
    <w:rsid w:val="00BE2152"/>
    <w:rsid w:val="00BE240B"/>
    <w:rsid w:val="00BE2413"/>
    <w:rsid w:val="00BE263E"/>
    <w:rsid w:val="00BE273D"/>
    <w:rsid w:val="00BE280C"/>
    <w:rsid w:val="00BE2874"/>
    <w:rsid w:val="00BE28FE"/>
    <w:rsid w:val="00BE2CEC"/>
    <w:rsid w:val="00BE2E11"/>
    <w:rsid w:val="00BE3111"/>
    <w:rsid w:val="00BE31CB"/>
    <w:rsid w:val="00BE32D5"/>
    <w:rsid w:val="00BE3490"/>
    <w:rsid w:val="00BE34C0"/>
    <w:rsid w:val="00BE34DD"/>
    <w:rsid w:val="00BE35D6"/>
    <w:rsid w:val="00BE36BC"/>
    <w:rsid w:val="00BE38C6"/>
    <w:rsid w:val="00BE393D"/>
    <w:rsid w:val="00BE39A7"/>
    <w:rsid w:val="00BE3B80"/>
    <w:rsid w:val="00BE3BFE"/>
    <w:rsid w:val="00BE3FA0"/>
    <w:rsid w:val="00BE3FC5"/>
    <w:rsid w:val="00BE43BF"/>
    <w:rsid w:val="00BE444E"/>
    <w:rsid w:val="00BE44DA"/>
    <w:rsid w:val="00BE468F"/>
    <w:rsid w:val="00BE4795"/>
    <w:rsid w:val="00BE4818"/>
    <w:rsid w:val="00BE4848"/>
    <w:rsid w:val="00BE4851"/>
    <w:rsid w:val="00BE4A1B"/>
    <w:rsid w:val="00BE4A1F"/>
    <w:rsid w:val="00BE4A62"/>
    <w:rsid w:val="00BE4C24"/>
    <w:rsid w:val="00BE4C49"/>
    <w:rsid w:val="00BE4CF0"/>
    <w:rsid w:val="00BE4FA9"/>
    <w:rsid w:val="00BE5054"/>
    <w:rsid w:val="00BE5151"/>
    <w:rsid w:val="00BE5279"/>
    <w:rsid w:val="00BE52E4"/>
    <w:rsid w:val="00BE53BE"/>
    <w:rsid w:val="00BE54B6"/>
    <w:rsid w:val="00BE54E6"/>
    <w:rsid w:val="00BE5664"/>
    <w:rsid w:val="00BE5993"/>
    <w:rsid w:val="00BE5A76"/>
    <w:rsid w:val="00BE5A8A"/>
    <w:rsid w:val="00BE5AF7"/>
    <w:rsid w:val="00BE5E4D"/>
    <w:rsid w:val="00BE5E92"/>
    <w:rsid w:val="00BE5FFE"/>
    <w:rsid w:val="00BE656C"/>
    <w:rsid w:val="00BE6591"/>
    <w:rsid w:val="00BE66A1"/>
    <w:rsid w:val="00BE6757"/>
    <w:rsid w:val="00BE6760"/>
    <w:rsid w:val="00BE6815"/>
    <w:rsid w:val="00BE6817"/>
    <w:rsid w:val="00BE6823"/>
    <w:rsid w:val="00BE6920"/>
    <w:rsid w:val="00BE69ED"/>
    <w:rsid w:val="00BE69FE"/>
    <w:rsid w:val="00BE6B4F"/>
    <w:rsid w:val="00BE6C42"/>
    <w:rsid w:val="00BE6D6B"/>
    <w:rsid w:val="00BE7208"/>
    <w:rsid w:val="00BE73BF"/>
    <w:rsid w:val="00BE7475"/>
    <w:rsid w:val="00BE7711"/>
    <w:rsid w:val="00BE773E"/>
    <w:rsid w:val="00BE77FA"/>
    <w:rsid w:val="00BE7A18"/>
    <w:rsid w:val="00BE7E35"/>
    <w:rsid w:val="00BE7F19"/>
    <w:rsid w:val="00BF0038"/>
    <w:rsid w:val="00BF00D5"/>
    <w:rsid w:val="00BF02BD"/>
    <w:rsid w:val="00BF02E8"/>
    <w:rsid w:val="00BF04AD"/>
    <w:rsid w:val="00BF05DE"/>
    <w:rsid w:val="00BF0815"/>
    <w:rsid w:val="00BF0845"/>
    <w:rsid w:val="00BF0847"/>
    <w:rsid w:val="00BF0917"/>
    <w:rsid w:val="00BF09E6"/>
    <w:rsid w:val="00BF0A37"/>
    <w:rsid w:val="00BF0AFE"/>
    <w:rsid w:val="00BF0DD1"/>
    <w:rsid w:val="00BF0DD3"/>
    <w:rsid w:val="00BF0EB9"/>
    <w:rsid w:val="00BF100C"/>
    <w:rsid w:val="00BF1179"/>
    <w:rsid w:val="00BF11C4"/>
    <w:rsid w:val="00BF11FF"/>
    <w:rsid w:val="00BF1436"/>
    <w:rsid w:val="00BF1534"/>
    <w:rsid w:val="00BF1612"/>
    <w:rsid w:val="00BF1615"/>
    <w:rsid w:val="00BF169A"/>
    <w:rsid w:val="00BF16E4"/>
    <w:rsid w:val="00BF1823"/>
    <w:rsid w:val="00BF1851"/>
    <w:rsid w:val="00BF1957"/>
    <w:rsid w:val="00BF1965"/>
    <w:rsid w:val="00BF19CE"/>
    <w:rsid w:val="00BF1CB8"/>
    <w:rsid w:val="00BF1D1A"/>
    <w:rsid w:val="00BF1D24"/>
    <w:rsid w:val="00BF2005"/>
    <w:rsid w:val="00BF2203"/>
    <w:rsid w:val="00BF228D"/>
    <w:rsid w:val="00BF22A9"/>
    <w:rsid w:val="00BF2359"/>
    <w:rsid w:val="00BF2417"/>
    <w:rsid w:val="00BF24BC"/>
    <w:rsid w:val="00BF2526"/>
    <w:rsid w:val="00BF2A59"/>
    <w:rsid w:val="00BF2C3A"/>
    <w:rsid w:val="00BF2C5E"/>
    <w:rsid w:val="00BF2CC8"/>
    <w:rsid w:val="00BF2CCC"/>
    <w:rsid w:val="00BF2E58"/>
    <w:rsid w:val="00BF2E76"/>
    <w:rsid w:val="00BF305D"/>
    <w:rsid w:val="00BF3354"/>
    <w:rsid w:val="00BF336D"/>
    <w:rsid w:val="00BF3382"/>
    <w:rsid w:val="00BF3387"/>
    <w:rsid w:val="00BF33B8"/>
    <w:rsid w:val="00BF3406"/>
    <w:rsid w:val="00BF3419"/>
    <w:rsid w:val="00BF34BC"/>
    <w:rsid w:val="00BF3600"/>
    <w:rsid w:val="00BF3634"/>
    <w:rsid w:val="00BF37C1"/>
    <w:rsid w:val="00BF38AC"/>
    <w:rsid w:val="00BF39F4"/>
    <w:rsid w:val="00BF3A92"/>
    <w:rsid w:val="00BF3BA8"/>
    <w:rsid w:val="00BF3D3B"/>
    <w:rsid w:val="00BF3DEA"/>
    <w:rsid w:val="00BF3FF6"/>
    <w:rsid w:val="00BF4048"/>
    <w:rsid w:val="00BF42E1"/>
    <w:rsid w:val="00BF432A"/>
    <w:rsid w:val="00BF4381"/>
    <w:rsid w:val="00BF4400"/>
    <w:rsid w:val="00BF44A5"/>
    <w:rsid w:val="00BF46CA"/>
    <w:rsid w:val="00BF46DA"/>
    <w:rsid w:val="00BF470C"/>
    <w:rsid w:val="00BF481B"/>
    <w:rsid w:val="00BF4854"/>
    <w:rsid w:val="00BF4879"/>
    <w:rsid w:val="00BF487A"/>
    <w:rsid w:val="00BF48DB"/>
    <w:rsid w:val="00BF4935"/>
    <w:rsid w:val="00BF4990"/>
    <w:rsid w:val="00BF4B43"/>
    <w:rsid w:val="00BF4B70"/>
    <w:rsid w:val="00BF4C59"/>
    <w:rsid w:val="00BF4CAB"/>
    <w:rsid w:val="00BF51BA"/>
    <w:rsid w:val="00BF5291"/>
    <w:rsid w:val="00BF53E9"/>
    <w:rsid w:val="00BF5476"/>
    <w:rsid w:val="00BF552C"/>
    <w:rsid w:val="00BF55BF"/>
    <w:rsid w:val="00BF57B6"/>
    <w:rsid w:val="00BF58D8"/>
    <w:rsid w:val="00BF5988"/>
    <w:rsid w:val="00BF59FF"/>
    <w:rsid w:val="00BF5A96"/>
    <w:rsid w:val="00BF5C0A"/>
    <w:rsid w:val="00BF5DEB"/>
    <w:rsid w:val="00BF5F97"/>
    <w:rsid w:val="00BF6109"/>
    <w:rsid w:val="00BF6271"/>
    <w:rsid w:val="00BF6357"/>
    <w:rsid w:val="00BF64FA"/>
    <w:rsid w:val="00BF66C5"/>
    <w:rsid w:val="00BF6964"/>
    <w:rsid w:val="00BF69F1"/>
    <w:rsid w:val="00BF6AF0"/>
    <w:rsid w:val="00BF6B3A"/>
    <w:rsid w:val="00BF6BCB"/>
    <w:rsid w:val="00BF6D75"/>
    <w:rsid w:val="00BF6D8E"/>
    <w:rsid w:val="00BF6DF3"/>
    <w:rsid w:val="00BF6E34"/>
    <w:rsid w:val="00BF6E56"/>
    <w:rsid w:val="00BF6EB0"/>
    <w:rsid w:val="00BF702F"/>
    <w:rsid w:val="00BF70AE"/>
    <w:rsid w:val="00BF70EB"/>
    <w:rsid w:val="00BF7144"/>
    <w:rsid w:val="00BF715A"/>
    <w:rsid w:val="00BF7283"/>
    <w:rsid w:val="00BF728C"/>
    <w:rsid w:val="00BF7554"/>
    <w:rsid w:val="00BF755B"/>
    <w:rsid w:val="00BF7570"/>
    <w:rsid w:val="00BF7653"/>
    <w:rsid w:val="00BF768E"/>
    <w:rsid w:val="00BF77A0"/>
    <w:rsid w:val="00BF78C8"/>
    <w:rsid w:val="00BF78E5"/>
    <w:rsid w:val="00BF79A5"/>
    <w:rsid w:val="00BF7A48"/>
    <w:rsid w:val="00BF7D3D"/>
    <w:rsid w:val="00BF7DDC"/>
    <w:rsid w:val="00BF7E59"/>
    <w:rsid w:val="00BF7F64"/>
    <w:rsid w:val="00C0000B"/>
    <w:rsid w:val="00C000C3"/>
    <w:rsid w:val="00C00289"/>
    <w:rsid w:val="00C0034C"/>
    <w:rsid w:val="00C003D6"/>
    <w:rsid w:val="00C0066F"/>
    <w:rsid w:val="00C00676"/>
    <w:rsid w:val="00C00762"/>
    <w:rsid w:val="00C008B0"/>
    <w:rsid w:val="00C008B2"/>
    <w:rsid w:val="00C00915"/>
    <w:rsid w:val="00C00950"/>
    <w:rsid w:val="00C00F19"/>
    <w:rsid w:val="00C00FF5"/>
    <w:rsid w:val="00C0108F"/>
    <w:rsid w:val="00C01204"/>
    <w:rsid w:val="00C0131F"/>
    <w:rsid w:val="00C0155E"/>
    <w:rsid w:val="00C01791"/>
    <w:rsid w:val="00C017E7"/>
    <w:rsid w:val="00C018A0"/>
    <w:rsid w:val="00C0199C"/>
    <w:rsid w:val="00C01B2A"/>
    <w:rsid w:val="00C01BB5"/>
    <w:rsid w:val="00C01D72"/>
    <w:rsid w:val="00C01F3F"/>
    <w:rsid w:val="00C01F75"/>
    <w:rsid w:val="00C01FCB"/>
    <w:rsid w:val="00C020CC"/>
    <w:rsid w:val="00C0217E"/>
    <w:rsid w:val="00C021E6"/>
    <w:rsid w:val="00C023C4"/>
    <w:rsid w:val="00C02404"/>
    <w:rsid w:val="00C02509"/>
    <w:rsid w:val="00C02517"/>
    <w:rsid w:val="00C0257F"/>
    <w:rsid w:val="00C026E9"/>
    <w:rsid w:val="00C027CE"/>
    <w:rsid w:val="00C0292C"/>
    <w:rsid w:val="00C029FE"/>
    <w:rsid w:val="00C02B59"/>
    <w:rsid w:val="00C02BEB"/>
    <w:rsid w:val="00C02CBE"/>
    <w:rsid w:val="00C02D6A"/>
    <w:rsid w:val="00C02EB9"/>
    <w:rsid w:val="00C0306C"/>
    <w:rsid w:val="00C03153"/>
    <w:rsid w:val="00C0315B"/>
    <w:rsid w:val="00C03163"/>
    <w:rsid w:val="00C0317D"/>
    <w:rsid w:val="00C031BB"/>
    <w:rsid w:val="00C0338E"/>
    <w:rsid w:val="00C03436"/>
    <w:rsid w:val="00C0353C"/>
    <w:rsid w:val="00C035E7"/>
    <w:rsid w:val="00C03604"/>
    <w:rsid w:val="00C036A6"/>
    <w:rsid w:val="00C036F9"/>
    <w:rsid w:val="00C03754"/>
    <w:rsid w:val="00C037E7"/>
    <w:rsid w:val="00C039DD"/>
    <w:rsid w:val="00C039FE"/>
    <w:rsid w:val="00C03AC2"/>
    <w:rsid w:val="00C03B02"/>
    <w:rsid w:val="00C03D14"/>
    <w:rsid w:val="00C03E50"/>
    <w:rsid w:val="00C03F32"/>
    <w:rsid w:val="00C03F6E"/>
    <w:rsid w:val="00C03F76"/>
    <w:rsid w:val="00C04119"/>
    <w:rsid w:val="00C04180"/>
    <w:rsid w:val="00C0437A"/>
    <w:rsid w:val="00C04389"/>
    <w:rsid w:val="00C043AF"/>
    <w:rsid w:val="00C043E4"/>
    <w:rsid w:val="00C0442A"/>
    <w:rsid w:val="00C04450"/>
    <w:rsid w:val="00C044C0"/>
    <w:rsid w:val="00C045F4"/>
    <w:rsid w:val="00C0467B"/>
    <w:rsid w:val="00C04784"/>
    <w:rsid w:val="00C0481E"/>
    <w:rsid w:val="00C0486E"/>
    <w:rsid w:val="00C04882"/>
    <w:rsid w:val="00C049DE"/>
    <w:rsid w:val="00C04BBB"/>
    <w:rsid w:val="00C04CE5"/>
    <w:rsid w:val="00C04D14"/>
    <w:rsid w:val="00C04DFA"/>
    <w:rsid w:val="00C04E11"/>
    <w:rsid w:val="00C04F0A"/>
    <w:rsid w:val="00C05043"/>
    <w:rsid w:val="00C0508A"/>
    <w:rsid w:val="00C05378"/>
    <w:rsid w:val="00C053D4"/>
    <w:rsid w:val="00C05417"/>
    <w:rsid w:val="00C05423"/>
    <w:rsid w:val="00C05446"/>
    <w:rsid w:val="00C054BC"/>
    <w:rsid w:val="00C055E9"/>
    <w:rsid w:val="00C05656"/>
    <w:rsid w:val="00C05708"/>
    <w:rsid w:val="00C05747"/>
    <w:rsid w:val="00C05823"/>
    <w:rsid w:val="00C05855"/>
    <w:rsid w:val="00C05916"/>
    <w:rsid w:val="00C0597C"/>
    <w:rsid w:val="00C05A7A"/>
    <w:rsid w:val="00C05E26"/>
    <w:rsid w:val="00C05F66"/>
    <w:rsid w:val="00C05F7C"/>
    <w:rsid w:val="00C06052"/>
    <w:rsid w:val="00C060FD"/>
    <w:rsid w:val="00C0610D"/>
    <w:rsid w:val="00C061EC"/>
    <w:rsid w:val="00C06319"/>
    <w:rsid w:val="00C06388"/>
    <w:rsid w:val="00C065FB"/>
    <w:rsid w:val="00C0660F"/>
    <w:rsid w:val="00C066B7"/>
    <w:rsid w:val="00C06717"/>
    <w:rsid w:val="00C0672F"/>
    <w:rsid w:val="00C06754"/>
    <w:rsid w:val="00C06789"/>
    <w:rsid w:val="00C0685A"/>
    <w:rsid w:val="00C06876"/>
    <w:rsid w:val="00C068CA"/>
    <w:rsid w:val="00C068DA"/>
    <w:rsid w:val="00C06AB6"/>
    <w:rsid w:val="00C06BBC"/>
    <w:rsid w:val="00C06DBE"/>
    <w:rsid w:val="00C06FF4"/>
    <w:rsid w:val="00C070DE"/>
    <w:rsid w:val="00C07197"/>
    <w:rsid w:val="00C07230"/>
    <w:rsid w:val="00C073E3"/>
    <w:rsid w:val="00C07615"/>
    <w:rsid w:val="00C07742"/>
    <w:rsid w:val="00C0791A"/>
    <w:rsid w:val="00C0791C"/>
    <w:rsid w:val="00C07978"/>
    <w:rsid w:val="00C07A87"/>
    <w:rsid w:val="00C07ADA"/>
    <w:rsid w:val="00C07B5E"/>
    <w:rsid w:val="00C07BBF"/>
    <w:rsid w:val="00C07C03"/>
    <w:rsid w:val="00C07D1A"/>
    <w:rsid w:val="00C07E4A"/>
    <w:rsid w:val="00C07E67"/>
    <w:rsid w:val="00C07EA4"/>
    <w:rsid w:val="00C100CD"/>
    <w:rsid w:val="00C1021E"/>
    <w:rsid w:val="00C103E3"/>
    <w:rsid w:val="00C1041A"/>
    <w:rsid w:val="00C10548"/>
    <w:rsid w:val="00C105FF"/>
    <w:rsid w:val="00C1073E"/>
    <w:rsid w:val="00C10847"/>
    <w:rsid w:val="00C109D7"/>
    <w:rsid w:val="00C10A78"/>
    <w:rsid w:val="00C10B78"/>
    <w:rsid w:val="00C10C1B"/>
    <w:rsid w:val="00C10D57"/>
    <w:rsid w:val="00C10F6F"/>
    <w:rsid w:val="00C112A1"/>
    <w:rsid w:val="00C114BE"/>
    <w:rsid w:val="00C114F5"/>
    <w:rsid w:val="00C116B2"/>
    <w:rsid w:val="00C1184A"/>
    <w:rsid w:val="00C119D1"/>
    <w:rsid w:val="00C11B08"/>
    <w:rsid w:val="00C11B3A"/>
    <w:rsid w:val="00C11C2B"/>
    <w:rsid w:val="00C11C46"/>
    <w:rsid w:val="00C11CA5"/>
    <w:rsid w:val="00C11DBA"/>
    <w:rsid w:val="00C11DEC"/>
    <w:rsid w:val="00C11E8D"/>
    <w:rsid w:val="00C11EA6"/>
    <w:rsid w:val="00C12045"/>
    <w:rsid w:val="00C1206A"/>
    <w:rsid w:val="00C12161"/>
    <w:rsid w:val="00C12162"/>
    <w:rsid w:val="00C121BE"/>
    <w:rsid w:val="00C122C1"/>
    <w:rsid w:val="00C12635"/>
    <w:rsid w:val="00C126BF"/>
    <w:rsid w:val="00C12966"/>
    <w:rsid w:val="00C12B3D"/>
    <w:rsid w:val="00C12B49"/>
    <w:rsid w:val="00C12BA8"/>
    <w:rsid w:val="00C12D34"/>
    <w:rsid w:val="00C12E60"/>
    <w:rsid w:val="00C12E67"/>
    <w:rsid w:val="00C12F16"/>
    <w:rsid w:val="00C12FF9"/>
    <w:rsid w:val="00C1323F"/>
    <w:rsid w:val="00C13302"/>
    <w:rsid w:val="00C13340"/>
    <w:rsid w:val="00C1342F"/>
    <w:rsid w:val="00C134AD"/>
    <w:rsid w:val="00C134C8"/>
    <w:rsid w:val="00C135CC"/>
    <w:rsid w:val="00C1368A"/>
    <w:rsid w:val="00C13B0B"/>
    <w:rsid w:val="00C13C7A"/>
    <w:rsid w:val="00C13DA0"/>
    <w:rsid w:val="00C13EF8"/>
    <w:rsid w:val="00C13FA3"/>
    <w:rsid w:val="00C1414E"/>
    <w:rsid w:val="00C141D8"/>
    <w:rsid w:val="00C14417"/>
    <w:rsid w:val="00C14425"/>
    <w:rsid w:val="00C1450E"/>
    <w:rsid w:val="00C1464C"/>
    <w:rsid w:val="00C1476F"/>
    <w:rsid w:val="00C147BD"/>
    <w:rsid w:val="00C14938"/>
    <w:rsid w:val="00C14A0F"/>
    <w:rsid w:val="00C14A13"/>
    <w:rsid w:val="00C14ACC"/>
    <w:rsid w:val="00C14B03"/>
    <w:rsid w:val="00C14BD3"/>
    <w:rsid w:val="00C14C84"/>
    <w:rsid w:val="00C14D1D"/>
    <w:rsid w:val="00C14D80"/>
    <w:rsid w:val="00C14FF8"/>
    <w:rsid w:val="00C150E0"/>
    <w:rsid w:val="00C1511B"/>
    <w:rsid w:val="00C15227"/>
    <w:rsid w:val="00C15247"/>
    <w:rsid w:val="00C153A1"/>
    <w:rsid w:val="00C15473"/>
    <w:rsid w:val="00C1574E"/>
    <w:rsid w:val="00C157F9"/>
    <w:rsid w:val="00C1589A"/>
    <w:rsid w:val="00C15A8E"/>
    <w:rsid w:val="00C15C92"/>
    <w:rsid w:val="00C15D7C"/>
    <w:rsid w:val="00C15E0C"/>
    <w:rsid w:val="00C15E36"/>
    <w:rsid w:val="00C1604D"/>
    <w:rsid w:val="00C1607A"/>
    <w:rsid w:val="00C1652F"/>
    <w:rsid w:val="00C165B8"/>
    <w:rsid w:val="00C165F6"/>
    <w:rsid w:val="00C16890"/>
    <w:rsid w:val="00C168D9"/>
    <w:rsid w:val="00C169F0"/>
    <w:rsid w:val="00C16C34"/>
    <w:rsid w:val="00C16D32"/>
    <w:rsid w:val="00C16E53"/>
    <w:rsid w:val="00C16E6C"/>
    <w:rsid w:val="00C16EED"/>
    <w:rsid w:val="00C16F20"/>
    <w:rsid w:val="00C16FD9"/>
    <w:rsid w:val="00C1704E"/>
    <w:rsid w:val="00C170FC"/>
    <w:rsid w:val="00C1711A"/>
    <w:rsid w:val="00C171A3"/>
    <w:rsid w:val="00C17423"/>
    <w:rsid w:val="00C17488"/>
    <w:rsid w:val="00C1754A"/>
    <w:rsid w:val="00C1780C"/>
    <w:rsid w:val="00C17941"/>
    <w:rsid w:val="00C17D02"/>
    <w:rsid w:val="00C17D23"/>
    <w:rsid w:val="00C17E0D"/>
    <w:rsid w:val="00C200D7"/>
    <w:rsid w:val="00C203FD"/>
    <w:rsid w:val="00C20407"/>
    <w:rsid w:val="00C20686"/>
    <w:rsid w:val="00C20776"/>
    <w:rsid w:val="00C20800"/>
    <w:rsid w:val="00C20B0A"/>
    <w:rsid w:val="00C20B26"/>
    <w:rsid w:val="00C20C32"/>
    <w:rsid w:val="00C20CA5"/>
    <w:rsid w:val="00C20CB8"/>
    <w:rsid w:val="00C20CBF"/>
    <w:rsid w:val="00C20E37"/>
    <w:rsid w:val="00C20E6A"/>
    <w:rsid w:val="00C20F3A"/>
    <w:rsid w:val="00C20F60"/>
    <w:rsid w:val="00C21091"/>
    <w:rsid w:val="00C21217"/>
    <w:rsid w:val="00C21319"/>
    <w:rsid w:val="00C21385"/>
    <w:rsid w:val="00C213BF"/>
    <w:rsid w:val="00C213EA"/>
    <w:rsid w:val="00C21535"/>
    <w:rsid w:val="00C21669"/>
    <w:rsid w:val="00C21678"/>
    <w:rsid w:val="00C2167B"/>
    <w:rsid w:val="00C21720"/>
    <w:rsid w:val="00C21853"/>
    <w:rsid w:val="00C21AF7"/>
    <w:rsid w:val="00C21BB8"/>
    <w:rsid w:val="00C21BD9"/>
    <w:rsid w:val="00C21BF4"/>
    <w:rsid w:val="00C21CE7"/>
    <w:rsid w:val="00C21D39"/>
    <w:rsid w:val="00C21D4D"/>
    <w:rsid w:val="00C21E68"/>
    <w:rsid w:val="00C21E8F"/>
    <w:rsid w:val="00C21F05"/>
    <w:rsid w:val="00C22068"/>
    <w:rsid w:val="00C221A1"/>
    <w:rsid w:val="00C2231A"/>
    <w:rsid w:val="00C22551"/>
    <w:rsid w:val="00C22612"/>
    <w:rsid w:val="00C22624"/>
    <w:rsid w:val="00C22730"/>
    <w:rsid w:val="00C22847"/>
    <w:rsid w:val="00C22870"/>
    <w:rsid w:val="00C229A6"/>
    <w:rsid w:val="00C22B2C"/>
    <w:rsid w:val="00C22B5D"/>
    <w:rsid w:val="00C22C2F"/>
    <w:rsid w:val="00C22CFD"/>
    <w:rsid w:val="00C22E2F"/>
    <w:rsid w:val="00C22EF3"/>
    <w:rsid w:val="00C2330C"/>
    <w:rsid w:val="00C2331C"/>
    <w:rsid w:val="00C23385"/>
    <w:rsid w:val="00C2361B"/>
    <w:rsid w:val="00C238E4"/>
    <w:rsid w:val="00C23A44"/>
    <w:rsid w:val="00C23A97"/>
    <w:rsid w:val="00C23C11"/>
    <w:rsid w:val="00C23EB7"/>
    <w:rsid w:val="00C23F72"/>
    <w:rsid w:val="00C23FCF"/>
    <w:rsid w:val="00C24002"/>
    <w:rsid w:val="00C2409B"/>
    <w:rsid w:val="00C241BD"/>
    <w:rsid w:val="00C243A9"/>
    <w:rsid w:val="00C244F7"/>
    <w:rsid w:val="00C244F9"/>
    <w:rsid w:val="00C24514"/>
    <w:rsid w:val="00C2451D"/>
    <w:rsid w:val="00C2463C"/>
    <w:rsid w:val="00C2464C"/>
    <w:rsid w:val="00C246A8"/>
    <w:rsid w:val="00C24738"/>
    <w:rsid w:val="00C24A20"/>
    <w:rsid w:val="00C24AD4"/>
    <w:rsid w:val="00C24B81"/>
    <w:rsid w:val="00C24B88"/>
    <w:rsid w:val="00C24B8B"/>
    <w:rsid w:val="00C24CE1"/>
    <w:rsid w:val="00C24DB4"/>
    <w:rsid w:val="00C24DEB"/>
    <w:rsid w:val="00C24F16"/>
    <w:rsid w:val="00C255D5"/>
    <w:rsid w:val="00C25651"/>
    <w:rsid w:val="00C25707"/>
    <w:rsid w:val="00C25864"/>
    <w:rsid w:val="00C259B1"/>
    <w:rsid w:val="00C259C7"/>
    <w:rsid w:val="00C25A70"/>
    <w:rsid w:val="00C25AC6"/>
    <w:rsid w:val="00C25B99"/>
    <w:rsid w:val="00C25C05"/>
    <w:rsid w:val="00C25CDE"/>
    <w:rsid w:val="00C25DE2"/>
    <w:rsid w:val="00C25ED6"/>
    <w:rsid w:val="00C26180"/>
    <w:rsid w:val="00C262A7"/>
    <w:rsid w:val="00C263C8"/>
    <w:rsid w:val="00C264E7"/>
    <w:rsid w:val="00C264E9"/>
    <w:rsid w:val="00C26513"/>
    <w:rsid w:val="00C2656A"/>
    <w:rsid w:val="00C266B0"/>
    <w:rsid w:val="00C2674B"/>
    <w:rsid w:val="00C270E6"/>
    <w:rsid w:val="00C271F9"/>
    <w:rsid w:val="00C27233"/>
    <w:rsid w:val="00C27496"/>
    <w:rsid w:val="00C275A2"/>
    <w:rsid w:val="00C27725"/>
    <w:rsid w:val="00C2791F"/>
    <w:rsid w:val="00C27A29"/>
    <w:rsid w:val="00C27A8F"/>
    <w:rsid w:val="00C27ABA"/>
    <w:rsid w:val="00C27AE2"/>
    <w:rsid w:val="00C27AF1"/>
    <w:rsid w:val="00C27AF4"/>
    <w:rsid w:val="00C27B53"/>
    <w:rsid w:val="00C27D07"/>
    <w:rsid w:val="00C27DC6"/>
    <w:rsid w:val="00C27FD5"/>
    <w:rsid w:val="00C30197"/>
    <w:rsid w:val="00C3028C"/>
    <w:rsid w:val="00C304F3"/>
    <w:rsid w:val="00C30609"/>
    <w:rsid w:val="00C30658"/>
    <w:rsid w:val="00C30671"/>
    <w:rsid w:val="00C307A7"/>
    <w:rsid w:val="00C30BF4"/>
    <w:rsid w:val="00C30D3A"/>
    <w:rsid w:val="00C3102D"/>
    <w:rsid w:val="00C31168"/>
    <w:rsid w:val="00C313B0"/>
    <w:rsid w:val="00C313C9"/>
    <w:rsid w:val="00C31528"/>
    <w:rsid w:val="00C3166A"/>
    <w:rsid w:val="00C31772"/>
    <w:rsid w:val="00C319CA"/>
    <w:rsid w:val="00C31A72"/>
    <w:rsid w:val="00C31B99"/>
    <w:rsid w:val="00C31BA7"/>
    <w:rsid w:val="00C31BE0"/>
    <w:rsid w:val="00C31E77"/>
    <w:rsid w:val="00C31EA8"/>
    <w:rsid w:val="00C31F6F"/>
    <w:rsid w:val="00C32046"/>
    <w:rsid w:val="00C32047"/>
    <w:rsid w:val="00C321C4"/>
    <w:rsid w:val="00C321CE"/>
    <w:rsid w:val="00C321EA"/>
    <w:rsid w:val="00C32279"/>
    <w:rsid w:val="00C3296E"/>
    <w:rsid w:val="00C32B54"/>
    <w:rsid w:val="00C32C47"/>
    <w:rsid w:val="00C32F41"/>
    <w:rsid w:val="00C33095"/>
    <w:rsid w:val="00C330CD"/>
    <w:rsid w:val="00C331A1"/>
    <w:rsid w:val="00C332D7"/>
    <w:rsid w:val="00C333C6"/>
    <w:rsid w:val="00C33684"/>
    <w:rsid w:val="00C337F5"/>
    <w:rsid w:val="00C33902"/>
    <w:rsid w:val="00C33947"/>
    <w:rsid w:val="00C33A29"/>
    <w:rsid w:val="00C33B0F"/>
    <w:rsid w:val="00C33D96"/>
    <w:rsid w:val="00C33ECB"/>
    <w:rsid w:val="00C33EEA"/>
    <w:rsid w:val="00C33F86"/>
    <w:rsid w:val="00C34007"/>
    <w:rsid w:val="00C340B5"/>
    <w:rsid w:val="00C34340"/>
    <w:rsid w:val="00C343DD"/>
    <w:rsid w:val="00C344C6"/>
    <w:rsid w:val="00C344D3"/>
    <w:rsid w:val="00C344EF"/>
    <w:rsid w:val="00C34514"/>
    <w:rsid w:val="00C34525"/>
    <w:rsid w:val="00C34537"/>
    <w:rsid w:val="00C3456F"/>
    <w:rsid w:val="00C34727"/>
    <w:rsid w:val="00C34738"/>
    <w:rsid w:val="00C34797"/>
    <w:rsid w:val="00C347FF"/>
    <w:rsid w:val="00C34808"/>
    <w:rsid w:val="00C34899"/>
    <w:rsid w:val="00C348B6"/>
    <w:rsid w:val="00C349A3"/>
    <w:rsid w:val="00C34A02"/>
    <w:rsid w:val="00C34B2B"/>
    <w:rsid w:val="00C34EE8"/>
    <w:rsid w:val="00C34F4E"/>
    <w:rsid w:val="00C351ED"/>
    <w:rsid w:val="00C35218"/>
    <w:rsid w:val="00C35306"/>
    <w:rsid w:val="00C353FE"/>
    <w:rsid w:val="00C3552D"/>
    <w:rsid w:val="00C35550"/>
    <w:rsid w:val="00C355F4"/>
    <w:rsid w:val="00C35684"/>
    <w:rsid w:val="00C35761"/>
    <w:rsid w:val="00C35853"/>
    <w:rsid w:val="00C35930"/>
    <w:rsid w:val="00C35A54"/>
    <w:rsid w:val="00C35A6B"/>
    <w:rsid w:val="00C35A93"/>
    <w:rsid w:val="00C35B41"/>
    <w:rsid w:val="00C35C76"/>
    <w:rsid w:val="00C35CCA"/>
    <w:rsid w:val="00C35CEB"/>
    <w:rsid w:val="00C35DFC"/>
    <w:rsid w:val="00C35E40"/>
    <w:rsid w:val="00C35EC6"/>
    <w:rsid w:val="00C35FF4"/>
    <w:rsid w:val="00C364E0"/>
    <w:rsid w:val="00C36517"/>
    <w:rsid w:val="00C365F5"/>
    <w:rsid w:val="00C367F7"/>
    <w:rsid w:val="00C36831"/>
    <w:rsid w:val="00C368E1"/>
    <w:rsid w:val="00C369B5"/>
    <w:rsid w:val="00C369D4"/>
    <w:rsid w:val="00C36A8C"/>
    <w:rsid w:val="00C36A98"/>
    <w:rsid w:val="00C36B81"/>
    <w:rsid w:val="00C36C64"/>
    <w:rsid w:val="00C36C90"/>
    <w:rsid w:val="00C36D29"/>
    <w:rsid w:val="00C36DB1"/>
    <w:rsid w:val="00C36FD9"/>
    <w:rsid w:val="00C37068"/>
    <w:rsid w:val="00C37399"/>
    <w:rsid w:val="00C373DA"/>
    <w:rsid w:val="00C3742E"/>
    <w:rsid w:val="00C3755E"/>
    <w:rsid w:val="00C375DD"/>
    <w:rsid w:val="00C37761"/>
    <w:rsid w:val="00C37904"/>
    <w:rsid w:val="00C37939"/>
    <w:rsid w:val="00C37B95"/>
    <w:rsid w:val="00C37C87"/>
    <w:rsid w:val="00C37CE6"/>
    <w:rsid w:val="00C37CED"/>
    <w:rsid w:val="00C37D4E"/>
    <w:rsid w:val="00C37D92"/>
    <w:rsid w:val="00C37D9B"/>
    <w:rsid w:val="00C37E60"/>
    <w:rsid w:val="00C37F33"/>
    <w:rsid w:val="00C40035"/>
    <w:rsid w:val="00C400DD"/>
    <w:rsid w:val="00C40120"/>
    <w:rsid w:val="00C401D5"/>
    <w:rsid w:val="00C404F2"/>
    <w:rsid w:val="00C4080A"/>
    <w:rsid w:val="00C40952"/>
    <w:rsid w:val="00C409AD"/>
    <w:rsid w:val="00C409B8"/>
    <w:rsid w:val="00C40A64"/>
    <w:rsid w:val="00C40B6A"/>
    <w:rsid w:val="00C40B99"/>
    <w:rsid w:val="00C40DF2"/>
    <w:rsid w:val="00C40EC2"/>
    <w:rsid w:val="00C40F89"/>
    <w:rsid w:val="00C41083"/>
    <w:rsid w:val="00C41274"/>
    <w:rsid w:val="00C41689"/>
    <w:rsid w:val="00C41717"/>
    <w:rsid w:val="00C418CB"/>
    <w:rsid w:val="00C41B45"/>
    <w:rsid w:val="00C41B74"/>
    <w:rsid w:val="00C41B8F"/>
    <w:rsid w:val="00C41EE2"/>
    <w:rsid w:val="00C41EE4"/>
    <w:rsid w:val="00C4205A"/>
    <w:rsid w:val="00C422B4"/>
    <w:rsid w:val="00C422EE"/>
    <w:rsid w:val="00C42387"/>
    <w:rsid w:val="00C42535"/>
    <w:rsid w:val="00C425D9"/>
    <w:rsid w:val="00C42622"/>
    <w:rsid w:val="00C426DC"/>
    <w:rsid w:val="00C4292C"/>
    <w:rsid w:val="00C4292D"/>
    <w:rsid w:val="00C429C7"/>
    <w:rsid w:val="00C42A3F"/>
    <w:rsid w:val="00C42AA6"/>
    <w:rsid w:val="00C42AAA"/>
    <w:rsid w:val="00C42AE2"/>
    <w:rsid w:val="00C42AF5"/>
    <w:rsid w:val="00C42D28"/>
    <w:rsid w:val="00C42D88"/>
    <w:rsid w:val="00C4318A"/>
    <w:rsid w:val="00C431FE"/>
    <w:rsid w:val="00C43240"/>
    <w:rsid w:val="00C43267"/>
    <w:rsid w:val="00C434DE"/>
    <w:rsid w:val="00C43515"/>
    <w:rsid w:val="00C43586"/>
    <w:rsid w:val="00C436D1"/>
    <w:rsid w:val="00C4373B"/>
    <w:rsid w:val="00C43772"/>
    <w:rsid w:val="00C43894"/>
    <w:rsid w:val="00C439C0"/>
    <w:rsid w:val="00C43AA4"/>
    <w:rsid w:val="00C43B1E"/>
    <w:rsid w:val="00C43C8A"/>
    <w:rsid w:val="00C43ECA"/>
    <w:rsid w:val="00C44009"/>
    <w:rsid w:val="00C44029"/>
    <w:rsid w:val="00C44115"/>
    <w:rsid w:val="00C44123"/>
    <w:rsid w:val="00C444EB"/>
    <w:rsid w:val="00C445CB"/>
    <w:rsid w:val="00C446D6"/>
    <w:rsid w:val="00C44785"/>
    <w:rsid w:val="00C448FC"/>
    <w:rsid w:val="00C44A11"/>
    <w:rsid w:val="00C44B6D"/>
    <w:rsid w:val="00C44C96"/>
    <w:rsid w:val="00C44DE3"/>
    <w:rsid w:val="00C44E30"/>
    <w:rsid w:val="00C44E4B"/>
    <w:rsid w:val="00C44E65"/>
    <w:rsid w:val="00C44F0B"/>
    <w:rsid w:val="00C4520C"/>
    <w:rsid w:val="00C4561B"/>
    <w:rsid w:val="00C45936"/>
    <w:rsid w:val="00C4595C"/>
    <w:rsid w:val="00C459B1"/>
    <w:rsid w:val="00C45A6F"/>
    <w:rsid w:val="00C45AC1"/>
    <w:rsid w:val="00C45B3E"/>
    <w:rsid w:val="00C45D30"/>
    <w:rsid w:val="00C45D7D"/>
    <w:rsid w:val="00C45E41"/>
    <w:rsid w:val="00C45E97"/>
    <w:rsid w:val="00C45EF4"/>
    <w:rsid w:val="00C45F5C"/>
    <w:rsid w:val="00C4627D"/>
    <w:rsid w:val="00C46661"/>
    <w:rsid w:val="00C4671D"/>
    <w:rsid w:val="00C4675D"/>
    <w:rsid w:val="00C46789"/>
    <w:rsid w:val="00C46886"/>
    <w:rsid w:val="00C46B67"/>
    <w:rsid w:val="00C46D35"/>
    <w:rsid w:val="00C46D9D"/>
    <w:rsid w:val="00C46DC2"/>
    <w:rsid w:val="00C4717F"/>
    <w:rsid w:val="00C47180"/>
    <w:rsid w:val="00C4726E"/>
    <w:rsid w:val="00C4759E"/>
    <w:rsid w:val="00C4777F"/>
    <w:rsid w:val="00C47897"/>
    <w:rsid w:val="00C4789D"/>
    <w:rsid w:val="00C478F5"/>
    <w:rsid w:val="00C479F8"/>
    <w:rsid w:val="00C47C0E"/>
    <w:rsid w:val="00C47C77"/>
    <w:rsid w:val="00C47C8B"/>
    <w:rsid w:val="00C47DB4"/>
    <w:rsid w:val="00C5006E"/>
    <w:rsid w:val="00C500F2"/>
    <w:rsid w:val="00C501C3"/>
    <w:rsid w:val="00C50529"/>
    <w:rsid w:val="00C50532"/>
    <w:rsid w:val="00C5054C"/>
    <w:rsid w:val="00C50805"/>
    <w:rsid w:val="00C50830"/>
    <w:rsid w:val="00C5084C"/>
    <w:rsid w:val="00C50B67"/>
    <w:rsid w:val="00C50B6F"/>
    <w:rsid w:val="00C50D2C"/>
    <w:rsid w:val="00C50DF1"/>
    <w:rsid w:val="00C50F43"/>
    <w:rsid w:val="00C50FDA"/>
    <w:rsid w:val="00C511B3"/>
    <w:rsid w:val="00C5124E"/>
    <w:rsid w:val="00C512AE"/>
    <w:rsid w:val="00C512E2"/>
    <w:rsid w:val="00C51361"/>
    <w:rsid w:val="00C5146A"/>
    <w:rsid w:val="00C514F9"/>
    <w:rsid w:val="00C51641"/>
    <w:rsid w:val="00C5164D"/>
    <w:rsid w:val="00C51717"/>
    <w:rsid w:val="00C517B2"/>
    <w:rsid w:val="00C518AA"/>
    <w:rsid w:val="00C51A12"/>
    <w:rsid w:val="00C51AAA"/>
    <w:rsid w:val="00C51B9F"/>
    <w:rsid w:val="00C51BD3"/>
    <w:rsid w:val="00C520D7"/>
    <w:rsid w:val="00C521F1"/>
    <w:rsid w:val="00C5227C"/>
    <w:rsid w:val="00C523E9"/>
    <w:rsid w:val="00C526D2"/>
    <w:rsid w:val="00C526E0"/>
    <w:rsid w:val="00C5279F"/>
    <w:rsid w:val="00C52873"/>
    <w:rsid w:val="00C52950"/>
    <w:rsid w:val="00C529DC"/>
    <w:rsid w:val="00C52ABE"/>
    <w:rsid w:val="00C52AD9"/>
    <w:rsid w:val="00C52AE8"/>
    <w:rsid w:val="00C52AEA"/>
    <w:rsid w:val="00C52D29"/>
    <w:rsid w:val="00C52D2D"/>
    <w:rsid w:val="00C52D8A"/>
    <w:rsid w:val="00C53041"/>
    <w:rsid w:val="00C53094"/>
    <w:rsid w:val="00C53153"/>
    <w:rsid w:val="00C53161"/>
    <w:rsid w:val="00C533C3"/>
    <w:rsid w:val="00C533EE"/>
    <w:rsid w:val="00C5364B"/>
    <w:rsid w:val="00C5368C"/>
    <w:rsid w:val="00C536DF"/>
    <w:rsid w:val="00C536FA"/>
    <w:rsid w:val="00C53725"/>
    <w:rsid w:val="00C5380E"/>
    <w:rsid w:val="00C53834"/>
    <w:rsid w:val="00C539E9"/>
    <w:rsid w:val="00C53B16"/>
    <w:rsid w:val="00C53B1D"/>
    <w:rsid w:val="00C53B4E"/>
    <w:rsid w:val="00C53CC0"/>
    <w:rsid w:val="00C53D60"/>
    <w:rsid w:val="00C53D92"/>
    <w:rsid w:val="00C53E63"/>
    <w:rsid w:val="00C5406D"/>
    <w:rsid w:val="00C54250"/>
    <w:rsid w:val="00C542E9"/>
    <w:rsid w:val="00C54336"/>
    <w:rsid w:val="00C544DA"/>
    <w:rsid w:val="00C546C4"/>
    <w:rsid w:val="00C54796"/>
    <w:rsid w:val="00C549B0"/>
    <w:rsid w:val="00C54A5B"/>
    <w:rsid w:val="00C54A6A"/>
    <w:rsid w:val="00C54ACE"/>
    <w:rsid w:val="00C54DD0"/>
    <w:rsid w:val="00C54E7E"/>
    <w:rsid w:val="00C54EC7"/>
    <w:rsid w:val="00C55059"/>
    <w:rsid w:val="00C550C5"/>
    <w:rsid w:val="00C5517C"/>
    <w:rsid w:val="00C55290"/>
    <w:rsid w:val="00C5555F"/>
    <w:rsid w:val="00C555CB"/>
    <w:rsid w:val="00C55617"/>
    <w:rsid w:val="00C55624"/>
    <w:rsid w:val="00C55896"/>
    <w:rsid w:val="00C55927"/>
    <w:rsid w:val="00C5594A"/>
    <w:rsid w:val="00C559BF"/>
    <w:rsid w:val="00C55C7A"/>
    <w:rsid w:val="00C56035"/>
    <w:rsid w:val="00C56041"/>
    <w:rsid w:val="00C561BD"/>
    <w:rsid w:val="00C561FB"/>
    <w:rsid w:val="00C5629D"/>
    <w:rsid w:val="00C562E4"/>
    <w:rsid w:val="00C563E0"/>
    <w:rsid w:val="00C564A1"/>
    <w:rsid w:val="00C56529"/>
    <w:rsid w:val="00C56559"/>
    <w:rsid w:val="00C5699E"/>
    <w:rsid w:val="00C569AD"/>
    <w:rsid w:val="00C569C5"/>
    <w:rsid w:val="00C56A15"/>
    <w:rsid w:val="00C56A1A"/>
    <w:rsid w:val="00C56AAE"/>
    <w:rsid w:val="00C56BB1"/>
    <w:rsid w:val="00C56C12"/>
    <w:rsid w:val="00C56DD0"/>
    <w:rsid w:val="00C56DE5"/>
    <w:rsid w:val="00C56E13"/>
    <w:rsid w:val="00C56FBF"/>
    <w:rsid w:val="00C56FCC"/>
    <w:rsid w:val="00C570BB"/>
    <w:rsid w:val="00C5714C"/>
    <w:rsid w:val="00C57246"/>
    <w:rsid w:val="00C5725A"/>
    <w:rsid w:val="00C5733B"/>
    <w:rsid w:val="00C575D2"/>
    <w:rsid w:val="00C57761"/>
    <w:rsid w:val="00C57956"/>
    <w:rsid w:val="00C57994"/>
    <w:rsid w:val="00C5799F"/>
    <w:rsid w:val="00C57C0C"/>
    <w:rsid w:val="00C57DE0"/>
    <w:rsid w:val="00C57F33"/>
    <w:rsid w:val="00C60024"/>
    <w:rsid w:val="00C6032F"/>
    <w:rsid w:val="00C6038C"/>
    <w:rsid w:val="00C603EC"/>
    <w:rsid w:val="00C604CC"/>
    <w:rsid w:val="00C60633"/>
    <w:rsid w:val="00C60700"/>
    <w:rsid w:val="00C6071A"/>
    <w:rsid w:val="00C608E9"/>
    <w:rsid w:val="00C6094F"/>
    <w:rsid w:val="00C609D5"/>
    <w:rsid w:val="00C60B3D"/>
    <w:rsid w:val="00C60DC9"/>
    <w:rsid w:val="00C60F4B"/>
    <w:rsid w:val="00C60FF0"/>
    <w:rsid w:val="00C61193"/>
    <w:rsid w:val="00C611D1"/>
    <w:rsid w:val="00C6136C"/>
    <w:rsid w:val="00C61390"/>
    <w:rsid w:val="00C614CE"/>
    <w:rsid w:val="00C61598"/>
    <w:rsid w:val="00C616D0"/>
    <w:rsid w:val="00C617AD"/>
    <w:rsid w:val="00C617EF"/>
    <w:rsid w:val="00C618E8"/>
    <w:rsid w:val="00C61936"/>
    <w:rsid w:val="00C61A19"/>
    <w:rsid w:val="00C61A7D"/>
    <w:rsid w:val="00C61B1C"/>
    <w:rsid w:val="00C61D07"/>
    <w:rsid w:val="00C61FF8"/>
    <w:rsid w:val="00C62068"/>
    <w:rsid w:val="00C620BB"/>
    <w:rsid w:val="00C62339"/>
    <w:rsid w:val="00C62369"/>
    <w:rsid w:val="00C6238A"/>
    <w:rsid w:val="00C624BB"/>
    <w:rsid w:val="00C625EA"/>
    <w:rsid w:val="00C625FB"/>
    <w:rsid w:val="00C6283C"/>
    <w:rsid w:val="00C62890"/>
    <w:rsid w:val="00C6299B"/>
    <w:rsid w:val="00C62A28"/>
    <w:rsid w:val="00C62A39"/>
    <w:rsid w:val="00C62A6D"/>
    <w:rsid w:val="00C62DE6"/>
    <w:rsid w:val="00C62EC5"/>
    <w:rsid w:val="00C62F90"/>
    <w:rsid w:val="00C630A1"/>
    <w:rsid w:val="00C63474"/>
    <w:rsid w:val="00C635BB"/>
    <w:rsid w:val="00C635BC"/>
    <w:rsid w:val="00C635C1"/>
    <w:rsid w:val="00C63679"/>
    <w:rsid w:val="00C636DC"/>
    <w:rsid w:val="00C63714"/>
    <w:rsid w:val="00C63738"/>
    <w:rsid w:val="00C637F4"/>
    <w:rsid w:val="00C638B4"/>
    <w:rsid w:val="00C63C38"/>
    <w:rsid w:val="00C63DDB"/>
    <w:rsid w:val="00C63E73"/>
    <w:rsid w:val="00C63E74"/>
    <w:rsid w:val="00C63EB2"/>
    <w:rsid w:val="00C63FCA"/>
    <w:rsid w:val="00C64351"/>
    <w:rsid w:val="00C64411"/>
    <w:rsid w:val="00C64440"/>
    <w:rsid w:val="00C6470F"/>
    <w:rsid w:val="00C64966"/>
    <w:rsid w:val="00C64ACB"/>
    <w:rsid w:val="00C64EE9"/>
    <w:rsid w:val="00C64F8E"/>
    <w:rsid w:val="00C651D4"/>
    <w:rsid w:val="00C6520D"/>
    <w:rsid w:val="00C65240"/>
    <w:rsid w:val="00C653E2"/>
    <w:rsid w:val="00C653F2"/>
    <w:rsid w:val="00C654FF"/>
    <w:rsid w:val="00C65539"/>
    <w:rsid w:val="00C655B8"/>
    <w:rsid w:val="00C6574C"/>
    <w:rsid w:val="00C657EF"/>
    <w:rsid w:val="00C65969"/>
    <w:rsid w:val="00C659A4"/>
    <w:rsid w:val="00C65A40"/>
    <w:rsid w:val="00C65B38"/>
    <w:rsid w:val="00C65CE1"/>
    <w:rsid w:val="00C66009"/>
    <w:rsid w:val="00C66019"/>
    <w:rsid w:val="00C661C0"/>
    <w:rsid w:val="00C6620F"/>
    <w:rsid w:val="00C662E3"/>
    <w:rsid w:val="00C66344"/>
    <w:rsid w:val="00C665CD"/>
    <w:rsid w:val="00C66642"/>
    <w:rsid w:val="00C66705"/>
    <w:rsid w:val="00C66764"/>
    <w:rsid w:val="00C66790"/>
    <w:rsid w:val="00C66972"/>
    <w:rsid w:val="00C66B57"/>
    <w:rsid w:val="00C66BDD"/>
    <w:rsid w:val="00C66D83"/>
    <w:rsid w:val="00C67046"/>
    <w:rsid w:val="00C67058"/>
    <w:rsid w:val="00C67082"/>
    <w:rsid w:val="00C671D1"/>
    <w:rsid w:val="00C67237"/>
    <w:rsid w:val="00C672DF"/>
    <w:rsid w:val="00C673D8"/>
    <w:rsid w:val="00C67458"/>
    <w:rsid w:val="00C674BC"/>
    <w:rsid w:val="00C67657"/>
    <w:rsid w:val="00C676BA"/>
    <w:rsid w:val="00C676D8"/>
    <w:rsid w:val="00C6781D"/>
    <w:rsid w:val="00C67925"/>
    <w:rsid w:val="00C6793F"/>
    <w:rsid w:val="00C67AC6"/>
    <w:rsid w:val="00C67F8E"/>
    <w:rsid w:val="00C70047"/>
    <w:rsid w:val="00C700D2"/>
    <w:rsid w:val="00C70262"/>
    <w:rsid w:val="00C7027D"/>
    <w:rsid w:val="00C70366"/>
    <w:rsid w:val="00C70404"/>
    <w:rsid w:val="00C7076F"/>
    <w:rsid w:val="00C7078B"/>
    <w:rsid w:val="00C70813"/>
    <w:rsid w:val="00C70B12"/>
    <w:rsid w:val="00C70B28"/>
    <w:rsid w:val="00C70B5B"/>
    <w:rsid w:val="00C70D3A"/>
    <w:rsid w:val="00C70D3D"/>
    <w:rsid w:val="00C70E24"/>
    <w:rsid w:val="00C70E36"/>
    <w:rsid w:val="00C70EC2"/>
    <w:rsid w:val="00C7108D"/>
    <w:rsid w:val="00C7131B"/>
    <w:rsid w:val="00C714A9"/>
    <w:rsid w:val="00C7178F"/>
    <w:rsid w:val="00C719EE"/>
    <w:rsid w:val="00C71B9E"/>
    <w:rsid w:val="00C71C04"/>
    <w:rsid w:val="00C72129"/>
    <w:rsid w:val="00C72142"/>
    <w:rsid w:val="00C7219D"/>
    <w:rsid w:val="00C7234D"/>
    <w:rsid w:val="00C726AA"/>
    <w:rsid w:val="00C728DC"/>
    <w:rsid w:val="00C72B54"/>
    <w:rsid w:val="00C72C4E"/>
    <w:rsid w:val="00C72DE4"/>
    <w:rsid w:val="00C72E40"/>
    <w:rsid w:val="00C72E9A"/>
    <w:rsid w:val="00C72FA9"/>
    <w:rsid w:val="00C7306F"/>
    <w:rsid w:val="00C732C7"/>
    <w:rsid w:val="00C73311"/>
    <w:rsid w:val="00C73431"/>
    <w:rsid w:val="00C735DF"/>
    <w:rsid w:val="00C7361B"/>
    <w:rsid w:val="00C73760"/>
    <w:rsid w:val="00C73838"/>
    <w:rsid w:val="00C738C8"/>
    <w:rsid w:val="00C73B5F"/>
    <w:rsid w:val="00C73BC3"/>
    <w:rsid w:val="00C73D5E"/>
    <w:rsid w:val="00C73DBE"/>
    <w:rsid w:val="00C73E3A"/>
    <w:rsid w:val="00C73EA2"/>
    <w:rsid w:val="00C73F7E"/>
    <w:rsid w:val="00C74212"/>
    <w:rsid w:val="00C7427A"/>
    <w:rsid w:val="00C74342"/>
    <w:rsid w:val="00C7447D"/>
    <w:rsid w:val="00C744D0"/>
    <w:rsid w:val="00C744F0"/>
    <w:rsid w:val="00C74575"/>
    <w:rsid w:val="00C745EA"/>
    <w:rsid w:val="00C746DF"/>
    <w:rsid w:val="00C74742"/>
    <w:rsid w:val="00C74798"/>
    <w:rsid w:val="00C7485C"/>
    <w:rsid w:val="00C748BA"/>
    <w:rsid w:val="00C749F1"/>
    <w:rsid w:val="00C74ACB"/>
    <w:rsid w:val="00C74BCC"/>
    <w:rsid w:val="00C74C55"/>
    <w:rsid w:val="00C74DB4"/>
    <w:rsid w:val="00C74E20"/>
    <w:rsid w:val="00C74F11"/>
    <w:rsid w:val="00C74F21"/>
    <w:rsid w:val="00C74FC2"/>
    <w:rsid w:val="00C75103"/>
    <w:rsid w:val="00C75150"/>
    <w:rsid w:val="00C7528E"/>
    <w:rsid w:val="00C75390"/>
    <w:rsid w:val="00C7566D"/>
    <w:rsid w:val="00C756CF"/>
    <w:rsid w:val="00C75811"/>
    <w:rsid w:val="00C759C5"/>
    <w:rsid w:val="00C75A94"/>
    <w:rsid w:val="00C75AA0"/>
    <w:rsid w:val="00C75BB5"/>
    <w:rsid w:val="00C75BE1"/>
    <w:rsid w:val="00C75C09"/>
    <w:rsid w:val="00C75C2D"/>
    <w:rsid w:val="00C75C3C"/>
    <w:rsid w:val="00C75C44"/>
    <w:rsid w:val="00C75CFF"/>
    <w:rsid w:val="00C75D8B"/>
    <w:rsid w:val="00C761B4"/>
    <w:rsid w:val="00C76406"/>
    <w:rsid w:val="00C765E8"/>
    <w:rsid w:val="00C766B0"/>
    <w:rsid w:val="00C76835"/>
    <w:rsid w:val="00C76928"/>
    <w:rsid w:val="00C76967"/>
    <w:rsid w:val="00C76A2B"/>
    <w:rsid w:val="00C76AB2"/>
    <w:rsid w:val="00C76AB5"/>
    <w:rsid w:val="00C76AB8"/>
    <w:rsid w:val="00C76B46"/>
    <w:rsid w:val="00C76C02"/>
    <w:rsid w:val="00C76C5F"/>
    <w:rsid w:val="00C76D99"/>
    <w:rsid w:val="00C76DAD"/>
    <w:rsid w:val="00C76DE0"/>
    <w:rsid w:val="00C76E11"/>
    <w:rsid w:val="00C76E60"/>
    <w:rsid w:val="00C76F10"/>
    <w:rsid w:val="00C76FCA"/>
    <w:rsid w:val="00C76FF4"/>
    <w:rsid w:val="00C77137"/>
    <w:rsid w:val="00C77169"/>
    <w:rsid w:val="00C7720F"/>
    <w:rsid w:val="00C77283"/>
    <w:rsid w:val="00C772B0"/>
    <w:rsid w:val="00C7741B"/>
    <w:rsid w:val="00C776E2"/>
    <w:rsid w:val="00C77770"/>
    <w:rsid w:val="00C77A2D"/>
    <w:rsid w:val="00C77A41"/>
    <w:rsid w:val="00C77B3F"/>
    <w:rsid w:val="00C77BD1"/>
    <w:rsid w:val="00C77C7E"/>
    <w:rsid w:val="00C77D65"/>
    <w:rsid w:val="00C77E2A"/>
    <w:rsid w:val="00C77E3E"/>
    <w:rsid w:val="00C80122"/>
    <w:rsid w:val="00C8013C"/>
    <w:rsid w:val="00C802A1"/>
    <w:rsid w:val="00C8039A"/>
    <w:rsid w:val="00C803BB"/>
    <w:rsid w:val="00C80567"/>
    <w:rsid w:val="00C80568"/>
    <w:rsid w:val="00C805C6"/>
    <w:rsid w:val="00C806D3"/>
    <w:rsid w:val="00C80916"/>
    <w:rsid w:val="00C8095C"/>
    <w:rsid w:val="00C809EA"/>
    <w:rsid w:val="00C80A45"/>
    <w:rsid w:val="00C80AA5"/>
    <w:rsid w:val="00C80ABC"/>
    <w:rsid w:val="00C80C68"/>
    <w:rsid w:val="00C80C7C"/>
    <w:rsid w:val="00C80FE0"/>
    <w:rsid w:val="00C81035"/>
    <w:rsid w:val="00C812DE"/>
    <w:rsid w:val="00C81695"/>
    <w:rsid w:val="00C8169C"/>
    <w:rsid w:val="00C816B2"/>
    <w:rsid w:val="00C816B8"/>
    <w:rsid w:val="00C816C2"/>
    <w:rsid w:val="00C8175A"/>
    <w:rsid w:val="00C8179A"/>
    <w:rsid w:val="00C8184B"/>
    <w:rsid w:val="00C818CD"/>
    <w:rsid w:val="00C81950"/>
    <w:rsid w:val="00C81A60"/>
    <w:rsid w:val="00C81B25"/>
    <w:rsid w:val="00C81CB5"/>
    <w:rsid w:val="00C81CB9"/>
    <w:rsid w:val="00C81D40"/>
    <w:rsid w:val="00C81D51"/>
    <w:rsid w:val="00C81E50"/>
    <w:rsid w:val="00C81FE8"/>
    <w:rsid w:val="00C82013"/>
    <w:rsid w:val="00C8220C"/>
    <w:rsid w:val="00C82235"/>
    <w:rsid w:val="00C82399"/>
    <w:rsid w:val="00C824D2"/>
    <w:rsid w:val="00C826AA"/>
    <w:rsid w:val="00C82702"/>
    <w:rsid w:val="00C828BC"/>
    <w:rsid w:val="00C82954"/>
    <w:rsid w:val="00C82B88"/>
    <w:rsid w:val="00C82B8C"/>
    <w:rsid w:val="00C82C79"/>
    <w:rsid w:val="00C82CB6"/>
    <w:rsid w:val="00C82DA8"/>
    <w:rsid w:val="00C82EA6"/>
    <w:rsid w:val="00C82F24"/>
    <w:rsid w:val="00C82F5A"/>
    <w:rsid w:val="00C83120"/>
    <w:rsid w:val="00C83159"/>
    <w:rsid w:val="00C83261"/>
    <w:rsid w:val="00C833DD"/>
    <w:rsid w:val="00C834C0"/>
    <w:rsid w:val="00C834EF"/>
    <w:rsid w:val="00C835ED"/>
    <w:rsid w:val="00C83664"/>
    <w:rsid w:val="00C839B6"/>
    <w:rsid w:val="00C83A81"/>
    <w:rsid w:val="00C83E07"/>
    <w:rsid w:val="00C84192"/>
    <w:rsid w:val="00C84320"/>
    <w:rsid w:val="00C8436B"/>
    <w:rsid w:val="00C8438A"/>
    <w:rsid w:val="00C8449C"/>
    <w:rsid w:val="00C844B4"/>
    <w:rsid w:val="00C84702"/>
    <w:rsid w:val="00C84A34"/>
    <w:rsid w:val="00C84B3B"/>
    <w:rsid w:val="00C84B95"/>
    <w:rsid w:val="00C84C8E"/>
    <w:rsid w:val="00C84DEC"/>
    <w:rsid w:val="00C84F12"/>
    <w:rsid w:val="00C84F27"/>
    <w:rsid w:val="00C85049"/>
    <w:rsid w:val="00C85183"/>
    <w:rsid w:val="00C851A7"/>
    <w:rsid w:val="00C85249"/>
    <w:rsid w:val="00C8537D"/>
    <w:rsid w:val="00C8553B"/>
    <w:rsid w:val="00C85559"/>
    <w:rsid w:val="00C855D1"/>
    <w:rsid w:val="00C85698"/>
    <w:rsid w:val="00C85741"/>
    <w:rsid w:val="00C85837"/>
    <w:rsid w:val="00C8594D"/>
    <w:rsid w:val="00C85A9F"/>
    <w:rsid w:val="00C85BA3"/>
    <w:rsid w:val="00C85CCC"/>
    <w:rsid w:val="00C85D5F"/>
    <w:rsid w:val="00C86004"/>
    <w:rsid w:val="00C860CA"/>
    <w:rsid w:val="00C86109"/>
    <w:rsid w:val="00C863A7"/>
    <w:rsid w:val="00C868AC"/>
    <w:rsid w:val="00C86977"/>
    <w:rsid w:val="00C86AD9"/>
    <w:rsid w:val="00C86B43"/>
    <w:rsid w:val="00C86B69"/>
    <w:rsid w:val="00C86B71"/>
    <w:rsid w:val="00C86C69"/>
    <w:rsid w:val="00C86EFE"/>
    <w:rsid w:val="00C8710C"/>
    <w:rsid w:val="00C87165"/>
    <w:rsid w:val="00C871FB"/>
    <w:rsid w:val="00C87219"/>
    <w:rsid w:val="00C87236"/>
    <w:rsid w:val="00C87286"/>
    <w:rsid w:val="00C87635"/>
    <w:rsid w:val="00C87695"/>
    <w:rsid w:val="00C876C2"/>
    <w:rsid w:val="00C876DD"/>
    <w:rsid w:val="00C87717"/>
    <w:rsid w:val="00C877B2"/>
    <w:rsid w:val="00C8780E"/>
    <w:rsid w:val="00C8783B"/>
    <w:rsid w:val="00C87844"/>
    <w:rsid w:val="00C87957"/>
    <w:rsid w:val="00C879F5"/>
    <w:rsid w:val="00C87AB1"/>
    <w:rsid w:val="00C87BF0"/>
    <w:rsid w:val="00C87C59"/>
    <w:rsid w:val="00C87D4E"/>
    <w:rsid w:val="00C87D8F"/>
    <w:rsid w:val="00C87FA1"/>
    <w:rsid w:val="00C87FC6"/>
    <w:rsid w:val="00C9017E"/>
    <w:rsid w:val="00C90257"/>
    <w:rsid w:val="00C902CB"/>
    <w:rsid w:val="00C90402"/>
    <w:rsid w:val="00C9045E"/>
    <w:rsid w:val="00C90490"/>
    <w:rsid w:val="00C905E0"/>
    <w:rsid w:val="00C9060C"/>
    <w:rsid w:val="00C9087C"/>
    <w:rsid w:val="00C90899"/>
    <w:rsid w:val="00C90950"/>
    <w:rsid w:val="00C909D6"/>
    <w:rsid w:val="00C90A9F"/>
    <w:rsid w:val="00C90CFA"/>
    <w:rsid w:val="00C91071"/>
    <w:rsid w:val="00C91075"/>
    <w:rsid w:val="00C911CF"/>
    <w:rsid w:val="00C912FA"/>
    <w:rsid w:val="00C9143E"/>
    <w:rsid w:val="00C914AF"/>
    <w:rsid w:val="00C91627"/>
    <w:rsid w:val="00C916A8"/>
    <w:rsid w:val="00C9188A"/>
    <w:rsid w:val="00C9190D"/>
    <w:rsid w:val="00C919B2"/>
    <w:rsid w:val="00C919E3"/>
    <w:rsid w:val="00C91ACF"/>
    <w:rsid w:val="00C91BB7"/>
    <w:rsid w:val="00C91CB2"/>
    <w:rsid w:val="00C91DAF"/>
    <w:rsid w:val="00C91E00"/>
    <w:rsid w:val="00C9201B"/>
    <w:rsid w:val="00C9275A"/>
    <w:rsid w:val="00C9285A"/>
    <w:rsid w:val="00C9285F"/>
    <w:rsid w:val="00C92941"/>
    <w:rsid w:val="00C9296F"/>
    <w:rsid w:val="00C92CE9"/>
    <w:rsid w:val="00C92D51"/>
    <w:rsid w:val="00C92DAB"/>
    <w:rsid w:val="00C92F38"/>
    <w:rsid w:val="00C93189"/>
    <w:rsid w:val="00C9336A"/>
    <w:rsid w:val="00C93446"/>
    <w:rsid w:val="00C93990"/>
    <w:rsid w:val="00C93B5C"/>
    <w:rsid w:val="00C93EB5"/>
    <w:rsid w:val="00C93FBC"/>
    <w:rsid w:val="00C942BD"/>
    <w:rsid w:val="00C943BE"/>
    <w:rsid w:val="00C9444E"/>
    <w:rsid w:val="00C944C2"/>
    <w:rsid w:val="00C9480A"/>
    <w:rsid w:val="00C94961"/>
    <w:rsid w:val="00C94A97"/>
    <w:rsid w:val="00C94B53"/>
    <w:rsid w:val="00C94BEE"/>
    <w:rsid w:val="00C94C2B"/>
    <w:rsid w:val="00C94EAF"/>
    <w:rsid w:val="00C94F21"/>
    <w:rsid w:val="00C9501C"/>
    <w:rsid w:val="00C9508C"/>
    <w:rsid w:val="00C950F8"/>
    <w:rsid w:val="00C951AE"/>
    <w:rsid w:val="00C953D4"/>
    <w:rsid w:val="00C95618"/>
    <w:rsid w:val="00C956E4"/>
    <w:rsid w:val="00C95738"/>
    <w:rsid w:val="00C957DD"/>
    <w:rsid w:val="00C95811"/>
    <w:rsid w:val="00C9587A"/>
    <w:rsid w:val="00C95991"/>
    <w:rsid w:val="00C95B5F"/>
    <w:rsid w:val="00C95BA8"/>
    <w:rsid w:val="00C95BE4"/>
    <w:rsid w:val="00C95C04"/>
    <w:rsid w:val="00C95C4E"/>
    <w:rsid w:val="00C95D5D"/>
    <w:rsid w:val="00C95F15"/>
    <w:rsid w:val="00C95FEE"/>
    <w:rsid w:val="00C96097"/>
    <w:rsid w:val="00C96285"/>
    <w:rsid w:val="00C96363"/>
    <w:rsid w:val="00C964A8"/>
    <w:rsid w:val="00C96805"/>
    <w:rsid w:val="00C9680B"/>
    <w:rsid w:val="00C968F8"/>
    <w:rsid w:val="00C96998"/>
    <w:rsid w:val="00C96C5D"/>
    <w:rsid w:val="00C96CA6"/>
    <w:rsid w:val="00C96CB2"/>
    <w:rsid w:val="00C96CFE"/>
    <w:rsid w:val="00C96E54"/>
    <w:rsid w:val="00C96E6E"/>
    <w:rsid w:val="00C96F1D"/>
    <w:rsid w:val="00C96FF8"/>
    <w:rsid w:val="00C97040"/>
    <w:rsid w:val="00C97100"/>
    <w:rsid w:val="00C9713C"/>
    <w:rsid w:val="00C97175"/>
    <w:rsid w:val="00C9729F"/>
    <w:rsid w:val="00C972F5"/>
    <w:rsid w:val="00C974F1"/>
    <w:rsid w:val="00C97555"/>
    <w:rsid w:val="00C975A6"/>
    <w:rsid w:val="00C975A9"/>
    <w:rsid w:val="00C976CC"/>
    <w:rsid w:val="00C97723"/>
    <w:rsid w:val="00C97962"/>
    <w:rsid w:val="00C979CC"/>
    <w:rsid w:val="00C97A2B"/>
    <w:rsid w:val="00C97B22"/>
    <w:rsid w:val="00C97BE0"/>
    <w:rsid w:val="00C97D82"/>
    <w:rsid w:val="00C97EFE"/>
    <w:rsid w:val="00C97FC1"/>
    <w:rsid w:val="00CA01CD"/>
    <w:rsid w:val="00CA01FB"/>
    <w:rsid w:val="00CA0219"/>
    <w:rsid w:val="00CA0285"/>
    <w:rsid w:val="00CA034B"/>
    <w:rsid w:val="00CA0358"/>
    <w:rsid w:val="00CA05AA"/>
    <w:rsid w:val="00CA0632"/>
    <w:rsid w:val="00CA068A"/>
    <w:rsid w:val="00CA06D4"/>
    <w:rsid w:val="00CA07A2"/>
    <w:rsid w:val="00CA0803"/>
    <w:rsid w:val="00CA0A3E"/>
    <w:rsid w:val="00CA0AEA"/>
    <w:rsid w:val="00CA0AF1"/>
    <w:rsid w:val="00CA0C22"/>
    <w:rsid w:val="00CA0CAC"/>
    <w:rsid w:val="00CA11D1"/>
    <w:rsid w:val="00CA1292"/>
    <w:rsid w:val="00CA1640"/>
    <w:rsid w:val="00CA169A"/>
    <w:rsid w:val="00CA175A"/>
    <w:rsid w:val="00CA1A37"/>
    <w:rsid w:val="00CA1AF2"/>
    <w:rsid w:val="00CA1B27"/>
    <w:rsid w:val="00CA1BCC"/>
    <w:rsid w:val="00CA1BFF"/>
    <w:rsid w:val="00CA1C72"/>
    <w:rsid w:val="00CA1D94"/>
    <w:rsid w:val="00CA1DEB"/>
    <w:rsid w:val="00CA1E39"/>
    <w:rsid w:val="00CA1F0D"/>
    <w:rsid w:val="00CA1F54"/>
    <w:rsid w:val="00CA20B3"/>
    <w:rsid w:val="00CA213D"/>
    <w:rsid w:val="00CA220B"/>
    <w:rsid w:val="00CA2383"/>
    <w:rsid w:val="00CA247B"/>
    <w:rsid w:val="00CA24C2"/>
    <w:rsid w:val="00CA2551"/>
    <w:rsid w:val="00CA25E1"/>
    <w:rsid w:val="00CA2736"/>
    <w:rsid w:val="00CA2744"/>
    <w:rsid w:val="00CA27E2"/>
    <w:rsid w:val="00CA27F3"/>
    <w:rsid w:val="00CA2A00"/>
    <w:rsid w:val="00CA2B37"/>
    <w:rsid w:val="00CA2C81"/>
    <w:rsid w:val="00CA2D3D"/>
    <w:rsid w:val="00CA2DB3"/>
    <w:rsid w:val="00CA2DE9"/>
    <w:rsid w:val="00CA30D6"/>
    <w:rsid w:val="00CA31F9"/>
    <w:rsid w:val="00CA3255"/>
    <w:rsid w:val="00CA332A"/>
    <w:rsid w:val="00CA33DD"/>
    <w:rsid w:val="00CA360C"/>
    <w:rsid w:val="00CA3631"/>
    <w:rsid w:val="00CA37BC"/>
    <w:rsid w:val="00CA3826"/>
    <w:rsid w:val="00CA393F"/>
    <w:rsid w:val="00CA3B0B"/>
    <w:rsid w:val="00CA3B61"/>
    <w:rsid w:val="00CA3BDB"/>
    <w:rsid w:val="00CA3C4C"/>
    <w:rsid w:val="00CA3D76"/>
    <w:rsid w:val="00CA3EEB"/>
    <w:rsid w:val="00CA3FB0"/>
    <w:rsid w:val="00CA3FC8"/>
    <w:rsid w:val="00CA3FCE"/>
    <w:rsid w:val="00CA4003"/>
    <w:rsid w:val="00CA40EA"/>
    <w:rsid w:val="00CA413C"/>
    <w:rsid w:val="00CA4153"/>
    <w:rsid w:val="00CA415E"/>
    <w:rsid w:val="00CA42E9"/>
    <w:rsid w:val="00CA432A"/>
    <w:rsid w:val="00CA45F3"/>
    <w:rsid w:val="00CA4723"/>
    <w:rsid w:val="00CA4763"/>
    <w:rsid w:val="00CA476A"/>
    <w:rsid w:val="00CA4792"/>
    <w:rsid w:val="00CA47C3"/>
    <w:rsid w:val="00CA480F"/>
    <w:rsid w:val="00CA4907"/>
    <w:rsid w:val="00CA4B59"/>
    <w:rsid w:val="00CA4C97"/>
    <w:rsid w:val="00CA4CCC"/>
    <w:rsid w:val="00CA4F16"/>
    <w:rsid w:val="00CA5057"/>
    <w:rsid w:val="00CA50C6"/>
    <w:rsid w:val="00CA510E"/>
    <w:rsid w:val="00CA518D"/>
    <w:rsid w:val="00CA53EC"/>
    <w:rsid w:val="00CA5408"/>
    <w:rsid w:val="00CA5409"/>
    <w:rsid w:val="00CA5508"/>
    <w:rsid w:val="00CA566B"/>
    <w:rsid w:val="00CA5741"/>
    <w:rsid w:val="00CA574E"/>
    <w:rsid w:val="00CA580A"/>
    <w:rsid w:val="00CA5832"/>
    <w:rsid w:val="00CA5976"/>
    <w:rsid w:val="00CA5A17"/>
    <w:rsid w:val="00CA5A43"/>
    <w:rsid w:val="00CA5B5C"/>
    <w:rsid w:val="00CA5B75"/>
    <w:rsid w:val="00CA5C54"/>
    <w:rsid w:val="00CA5F7E"/>
    <w:rsid w:val="00CA6011"/>
    <w:rsid w:val="00CA601F"/>
    <w:rsid w:val="00CA62EB"/>
    <w:rsid w:val="00CA6367"/>
    <w:rsid w:val="00CA6411"/>
    <w:rsid w:val="00CA64E4"/>
    <w:rsid w:val="00CA686E"/>
    <w:rsid w:val="00CA6B02"/>
    <w:rsid w:val="00CA6BB5"/>
    <w:rsid w:val="00CA6C59"/>
    <w:rsid w:val="00CA6CE3"/>
    <w:rsid w:val="00CA6D00"/>
    <w:rsid w:val="00CA6E68"/>
    <w:rsid w:val="00CA6ED7"/>
    <w:rsid w:val="00CA6F4A"/>
    <w:rsid w:val="00CA6F4F"/>
    <w:rsid w:val="00CA70EA"/>
    <w:rsid w:val="00CA713F"/>
    <w:rsid w:val="00CA7151"/>
    <w:rsid w:val="00CA73A1"/>
    <w:rsid w:val="00CA73B4"/>
    <w:rsid w:val="00CA75BE"/>
    <w:rsid w:val="00CA76B1"/>
    <w:rsid w:val="00CA7766"/>
    <w:rsid w:val="00CA7931"/>
    <w:rsid w:val="00CA796B"/>
    <w:rsid w:val="00CA7985"/>
    <w:rsid w:val="00CA7A3B"/>
    <w:rsid w:val="00CA7B46"/>
    <w:rsid w:val="00CA7DE9"/>
    <w:rsid w:val="00CA7FB4"/>
    <w:rsid w:val="00CB00FB"/>
    <w:rsid w:val="00CB0211"/>
    <w:rsid w:val="00CB0229"/>
    <w:rsid w:val="00CB024B"/>
    <w:rsid w:val="00CB0300"/>
    <w:rsid w:val="00CB0532"/>
    <w:rsid w:val="00CB06BE"/>
    <w:rsid w:val="00CB0747"/>
    <w:rsid w:val="00CB0759"/>
    <w:rsid w:val="00CB0974"/>
    <w:rsid w:val="00CB09B4"/>
    <w:rsid w:val="00CB0BA6"/>
    <w:rsid w:val="00CB0BFE"/>
    <w:rsid w:val="00CB0D2F"/>
    <w:rsid w:val="00CB0DE8"/>
    <w:rsid w:val="00CB0E0E"/>
    <w:rsid w:val="00CB0EBF"/>
    <w:rsid w:val="00CB0F7C"/>
    <w:rsid w:val="00CB0FA5"/>
    <w:rsid w:val="00CB0FEA"/>
    <w:rsid w:val="00CB117A"/>
    <w:rsid w:val="00CB1298"/>
    <w:rsid w:val="00CB139A"/>
    <w:rsid w:val="00CB13CD"/>
    <w:rsid w:val="00CB13DD"/>
    <w:rsid w:val="00CB13EC"/>
    <w:rsid w:val="00CB1466"/>
    <w:rsid w:val="00CB146C"/>
    <w:rsid w:val="00CB1658"/>
    <w:rsid w:val="00CB1671"/>
    <w:rsid w:val="00CB1684"/>
    <w:rsid w:val="00CB17FE"/>
    <w:rsid w:val="00CB1A91"/>
    <w:rsid w:val="00CB1B5D"/>
    <w:rsid w:val="00CB1B92"/>
    <w:rsid w:val="00CB1BCC"/>
    <w:rsid w:val="00CB1DCD"/>
    <w:rsid w:val="00CB1E93"/>
    <w:rsid w:val="00CB1FD8"/>
    <w:rsid w:val="00CB20BB"/>
    <w:rsid w:val="00CB22A6"/>
    <w:rsid w:val="00CB243F"/>
    <w:rsid w:val="00CB2498"/>
    <w:rsid w:val="00CB25AF"/>
    <w:rsid w:val="00CB263E"/>
    <w:rsid w:val="00CB2647"/>
    <w:rsid w:val="00CB265B"/>
    <w:rsid w:val="00CB2730"/>
    <w:rsid w:val="00CB2AC9"/>
    <w:rsid w:val="00CB2B1E"/>
    <w:rsid w:val="00CB2B32"/>
    <w:rsid w:val="00CB2BA9"/>
    <w:rsid w:val="00CB2C2C"/>
    <w:rsid w:val="00CB2C2F"/>
    <w:rsid w:val="00CB2C32"/>
    <w:rsid w:val="00CB2DF3"/>
    <w:rsid w:val="00CB3071"/>
    <w:rsid w:val="00CB30A8"/>
    <w:rsid w:val="00CB30C3"/>
    <w:rsid w:val="00CB3103"/>
    <w:rsid w:val="00CB3123"/>
    <w:rsid w:val="00CB322C"/>
    <w:rsid w:val="00CB34FF"/>
    <w:rsid w:val="00CB367A"/>
    <w:rsid w:val="00CB36BC"/>
    <w:rsid w:val="00CB38A7"/>
    <w:rsid w:val="00CB38C8"/>
    <w:rsid w:val="00CB38CB"/>
    <w:rsid w:val="00CB38F5"/>
    <w:rsid w:val="00CB3977"/>
    <w:rsid w:val="00CB39C3"/>
    <w:rsid w:val="00CB3B37"/>
    <w:rsid w:val="00CB3B86"/>
    <w:rsid w:val="00CB3C5D"/>
    <w:rsid w:val="00CB3D1E"/>
    <w:rsid w:val="00CB3D53"/>
    <w:rsid w:val="00CB3E1B"/>
    <w:rsid w:val="00CB3F09"/>
    <w:rsid w:val="00CB3F67"/>
    <w:rsid w:val="00CB3F8E"/>
    <w:rsid w:val="00CB4062"/>
    <w:rsid w:val="00CB410B"/>
    <w:rsid w:val="00CB4220"/>
    <w:rsid w:val="00CB4490"/>
    <w:rsid w:val="00CB459A"/>
    <w:rsid w:val="00CB459B"/>
    <w:rsid w:val="00CB46A9"/>
    <w:rsid w:val="00CB49F3"/>
    <w:rsid w:val="00CB4C98"/>
    <w:rsid w:val="00CB4E17"/>
    <w:rsid w:val="00CB4E60"/>
    <w:rsid w:val="00CB4E7B"/>
    <w:rsid w:val="00CB4F7D"/>
    <w:rsid w:val="00CB4F94"/>
    <w:rsid w:val="00CB4FC6"/>
    <w:rsid w:val="00CB500C"/>
    <w:rsid w:val="00CB50D0"/>
    <w:rsid w:val="00CB5156"/>
    <w:rsid w:val="00CB5225"/>
    <w:rsid w:val="00CB5389"/>
    <w:rsid w:val="00CB53FD"/>
    <w:rsid w:val="00CB54D4"/>
    <w:rsid w:val="00CB54FE"/>
    <w:rsid w:val="00CB5530"/>
    <w:rsid w:val="00CB55C9"/>
    <w:rsid w:val="00CB573A"/>
    <w:rsid w:val="00CB57BC"/>
    <w:rsid w:val="00CB587F"/>
    <w:rsid w:val="00CB58AD"/>
    <w:rsid w:val="00CB58B4"/>
    <w:rsid w:val="00CB5A10"/>
    <w:rsid w:val="00CB5A21"/>
    <w:rsid w:val="00CB5A69"/>
    <w:rsid w:val="00CB5BFB"/>
    <w:rsid w:val="00CB5CF2"/>
    <w:rsid w:val="00CB5E81"/>
    <w:rsid w:val="00CB5E90"/>
    <w:rsid w:val="00CB5ED5"/>
    <w:rsid w:val="00CB5EF5"/>
    <w:rsid w:val="00CB62E1"/>
    <w:rsid w:val="00CB636F"/>
    <w:rsid w:val="00CB63A1"/>
    <w:rsid w:val="00CB64D6"/>
    <w:rsid w:val="00CB65A6"/>
    <w:rsid w:val="00CB6679"/>
    <w:rsid w:val="00CB6692"/>
    <w:rsid w:val="00CB673B"/>
    <w:rsid w:val="00CB67C9"/>
    <w:rsid w:val="00CB6879"/>
    <w:rsid w:val="00CB6898"/>
    <w:rsid w:val="00CB68C4"/>
    <w:rsid w:val="00CB693E"/>
    <w:rsid w:val="00CB6951"/>
    <w:rsid w:val="00CB6CA9"/>
    <w:rsid w:val="00CB6ED3"/>
    <w:rsid w:val="00CB731E"/>
    <w:rsid w:val="00CB7377"/>
    <w:rsid w:val="00CB74D3"/>
    <w:rsid w:val="00CB751E"/>
    <w:rsid w:val="00CB7786"/>
    <w:rsid w:val="00CB77DE"/>
    <w:rsid w:val="00CB7866"/>
    <w:rsid w:val="00CB789D"/>
    <w:rsid w:val="00CB7903"/>
    <w:rsid w:val="00CB79CE"/>
    <w:rsid w:val="00CB7AFE"/>
    <w:rsid w:val="00CB7BB4"/>
    <w:rsid w:val="00CB7C54"/>
    <w:rsid w:val="00CB7D4F"/>
    <w:rsid w:val="00CB7E25"/>
    <w:rsid w:val="00CB7E73"/>
    <w:rsid w:val="00CB7F29"/>
    <w:rsid w:val="00CB7FC8"/>
    <w:rsid w:val="00CC0028"/>
    <w:rsid w:val="00CC01A4"/>
    <w:rsid w:val="00CC01D4"/>
    <w:rsid w:val="00CC026F"/>
    <w:rsid w:val="00CC03B6"/>
    <w:rsid w:val="00CC04E8"/>
    <w:rsid w:val="00CC0515"/>
    <w:rsid w:val="00CC0589"/>
    <w:rsid w:val="00CC08B2"/>
    <w:rsid w:val="00CC0977"/>
    <w:rsid w:val="00CC0AD1"/>
    <w:rsid w:val="00CC0B79"/>
    <w:rsid w:val="00CC0B80"/>
    <w:rsid w:val="00CC0C42"/>
    <w:rsid w:val="00CC0D8F"/>
    <w:rsid w:val="00CC0DDF"/>
    <w:rsid w:val="00CC13DC"/>
    <w:rsid w:val="00CC1458"/>
    <w:rsid w:val="00CC199A"/>
    <w:rsid w:val="00CC19AF"/>
    <w:rsid w:val="00CC1B87"/>
    <w:rsid w:val="00CC1C48"/>
    <w:rsid w:val="00CC1CCD"/>
    <w:rsid w:val="00CC1D16"/>
    <w:rsid w:val="00CC1D82"/>
    <w:rsid w:val="00CC1D96"/>
    <w:rsid w:val="00CC1DD2"/>
    <w:rsid w:val="00CC1ED3"/>
    <w:rsid w:val="00CC1EF6"/>
    <w:rsid w:val="00CC1F84"/>
    <w:rsid w:val="00CC1FA2"/>
    <w:rsid w:val="00CC210C"/>
    <w:rsid w:val="00CC2114"/>
    <w:rsid w:val="00CC23A4"/>
    <w:rsid w:val="00CC259D"/>
    <w:rsid w:val="00CC263B"/>
    <w:rsid w:val="00CC286A"/>
    <w:rsid w:val="00CC2904"/>
    <w:rsid w:val="00CC29DD"/>
    <w:rsid w:val="00CC29F8"/>
    <w:rsid w:val="00CC2AE3"/>
    <w:rsid w:val="00CC2CD2"/>
    <w:rsid w:val="00CC2EDC"/>
    <w:rsid w:val="00CC306D"/>
    <w:rsid w:val="00CC30C1"/>
    <w:rsid w:val="00CC3278"/>
    <w:rsid w:val="00CC3288"/>
    <w:rsid w:val="00CC32B3"/>
    <w:rsid w:val="00CC35F1"/>
    <w:rsid w:val="00CC36E1"/>
    <w:rsid w:val="00CC373C"/>
    <w:rsid w:val="00CC37BB"/>
    <w:rsid w:val="00CC3915"/>
    <w:rsid w:val="00CC3B00"/>
    <w:rsid w:val="00CC3BFC"/>
    <w:rsid w:val="00CC3DB5"/>
    <w:rsid w:val="00CC3E7C"/>
    <w:rsid w:val="00CC3F5B"/>
    <w:rsid w:val="00CC3F7A"/>
    <w:rsid w:val="00CC3FE4"/>
    <w:rsid w:val="00CC4019"/>
    <w:rsid w:val="00CC4176"/>
    <w:rsid w:val="00CC41AE"/>
    <w:rsid w:val="00CC420C"/>
    <w:rsid w:val="00CC42D5"/>
    <w:rsid w:val="00CC431E"/>
    <w:rsid w:val="00CC4325"/>
    <w:rsid w:val="00CC4475"/>
    <w:rsid w:val="00CC4508"/>
    <w:rsid w:val="00CC4630"/>
    <w:rsid w:val="00CC46C8"/>
    <w:rsid w:val="00CC46D9"/>
    <w:rsid w:val="00CC47B9"/>
    <w:rsid w:val="00CC47DF"/>
    <w:rsid w:val="00CC4831"/>
    <w:rsid w:val="00CC48D8"/>
    <w:rsid w:val="00CC48D9"/>
    <w:rsid w:val="00CC4A1F"/>
    <w:rsid w:val="00CC4E5D"/>
    <w:rsid w:val="00CC4F99"/>
    <w:rsid w:val="00CC510C"/>
    <w:rsid w:val="00CC5112"/>
    <w:rsid w:val="00CC5133"/>
    <w:rsid w:val="00CC520A"/>
    <w:rsid w:val="00CC5286"/>
    <w:rsid w:val="00CC5372"/>
    <w:rsid w:val="00CC5513"/>
    <w:rsid w:val="00CC552E"/>
    <w:rsid w:val="00CC558A"/>
    <w:rsid w:val="00CC55A1"/>
    <w:rsid w:val="00CC5687"/>
    <w:rsid w:val="00CC5719"/>
    <w:rsid w:val="00CC5726"/>
    <w:rsid w:val="00CC58CF"/>
    <w:rsid w:val="00CC5B75"/>
    <w:rsid w:val="00CC5CE0"/>
    <w:rsid w:val="00CC5E19"/>
    <w:rsid w:val="00CC60AD"/>
    <w:rsid w:val="00CC60BB"/>
    <w:rsid w:val="00CC6225"/>
    <w:rsid w:val="00CC6247"/>
    <w:rsid w:val="00CC624F"/>
    <w:rsid w:val="00CC62FB"/>
    <w:rsid w:val="00CC64EF"/>
    <w:rsid w:val="00CC65C0"/>
    <w:rsid w:val="00CC662E"/>
    <w:rsid w:val="00CC674D"/>
    <w:rsid w:val="00CC69CA"/>
    <w:rsid w:val="00CC6AD1"/>
    <w:rsid w:val="00CC6E12"/>
    <w:rsid w:val="00CC709B"/>
    <w:rsid w:val="00CC70FC"/>
    <w:rsid w:val="00CC722F"/>
    <w:rsid w:val="00CC72AD"/>
    <w:rsid w:val="00CC7379"/>
    <w:rsid w:val="00CC73CA"/>
    <w:rsid w:val="00CC7623"/>
    <w:rsid w:val="00CC763D"/>
    <w:rsid w:val="00CC7704"/>
    <w:rsid w:val="00CC7744"/>
    <w:rsid w:val="00CC77C5"/>
    <w:rsid w:val="00CC792D"/>
    <w:rsid w:val="00CC7AE2"/>
    <w:rsid w:val="00CC7B2E"/>
    <w:rsid w:val="00CC7C16"/>
    <w:rsid w:val="00CC7C29"/>
    <w:rsid w:val="00CC7CA9"/>
    <w:rsid w:val="00CC7CCD"/>
    <w:rsid w:val="00CC7DC9"/>
    <w:rsid w:val="00CD0156"/>
    <w:rsid w:val="00CD0209"/>
    <w:rsid w:val="00CD030A"/>
    <w:rsid w:val="00CD03FC"/>
    <w:rsid w:val="00CD0431"/>
    <w:rsid w:val="00CD05F3"/>
    <w:rsid w:val="00CD0641"/>
    <w:rsid w:val="00CD0665"/>
    <w:rsid w:val="00CD076C"/>
    <w:rsid w:val="00CD0828"/>
    <w:rsid w:val="00CD089A"/>
    <w:rsid w:val="00CD08F0"/>
    <w:rsid w:val="00CD0940"/>
    <w:rsid w:val="00CD098E"/>
    <w:rsid w:val="00CD0991"/>
    <w:rsid w:val="00CD0B15"/>
    <w:rsid w:val="00CD0BBF"/>
    <w:rsid w:val="00CD0BD0"/>
    <w:rsid w:val="00CD0D2B"/>
    <w:rsid w:val="00CD0D48"/>
    <w:rsid w:val="00CD0FBD"/>
    <w:rsid w:val="00CD1086"/>
    <w:rsid w:val="00CD10E7"/>
    <w:rsid w:val="00CD10F7"/>
    <w:rsid w:val="00CD119F"/>
    <w:rsid w:val="00CD11FB"/>
    <w:rsid w:val="00CD138F"/>
    <w:rsid w:val="00CD142C"/>
    <w:rsid w:val="00CD1443"/>
    <w:rsid w:val="00CD157D"/>
    <w:rsid w:val="00CD15FB"/>
    <w:rsid w:val="00CD16F6"/>
    <w:rsid w:val="00CD176D"/>
    <w:rsid w:val="00CD17B0"/>
    <w:rsid w:val="00CD17F4"/>
    <w:rsid w:val="00CD180B"/>
    <w:rsid w:val="00CD1A3F"/>
    <w:rsid w:val="00CD1AA5"/>
    <w:rsid w:val="00CD1C53"/>
    <w:rsid w:val="00CD1D26"/>
    <w:rsid w:val="00CD1E0A"/>
    <w:rsid w:val="00CD209A"/>
    <w:rsid w:val="00CD218C"/>
    <w:rsid w:val="00CD21FA"/>
    <w:rsid w:val="00CD22B9"/>
    <w:rsid w:val="00CD22E4"/>
    <w:rsid w:val="00CD238C"/>
    <w:rsid w:val="00CD23E8"/>
    <w:rsid w:val="00CD248F"/>
    <w:rsid w:val="00CD2507"/>
    <w:rsid w:val="00CD25C8"/>
    <w:rsid w:val="00CD270B"/>
    <w:rsid w:val="00CD287C"/>
    <w:rsid w:val="00CD28CD"/>
    <w:rsid w:val="00CD28D4"/>
    <w:rsid w:val="00CD29F3"/>
    <w:rsid w:val="00CD2AC0"/>
    <w:rsid w:val="00CD2BFE"/>
    <w:rsid w:val="00CD2F31"/>
    <w:rsid w:val="00CD2FE4"/>
    <w:rsid w:val="00CD3136"/>
    <w:rsid w:val="00CD313D"/>
    <w:rsid w:val="00CD314D"/>
    <w:rsid w:val="00CD31E0"/>
    <w:rsid w:val="00CD32DF"/>
    <w:rsid w:val="00CD33A9"/>
    <w:rsid w:val="00CD374E"/>
    <w:rsid w:val="00CD380E"/>
    <w:rsid w:val="00CD384F"/>
    <w:rsid w:val="00CD38BA"/>
    <w:rsid w:val="00CD3A6B"/>
    <w:rsid w:val="00CD3C3D"/>
    <w:rsid w:val="00CD3DF4"/>
    <w:rsid w:val="00CD3E5E"/>
    <w:rsid w:val="00CD3E7C"/>
    <w:rsid w:val="00CD401B"/>
    <w:rsid w:val="00CD418F"/>
    <w:rsid w:val="00CD4390"/>
    <w:rsid w:val="00CD43C6"/>
    <w:rsid w:val="00CD4456"/>
    <w:rsid w:val="00CD4474"/>
    <w:rsid w:val="00CD44D9"/>
    <w:rsid w:val="00CD453F"/>
    <w:rsid w:val="00CD4588"/>
    <w:rsid w:val="00CD45AD"/>
    <w:rsid w:val="00CD45BC"/>
    <w:rsid w:val="00CD468D"/>
    <w:rsid w:val="00CD481E"/>
    <w:rsid w:val="00CD4919"/>
    <w:rsid w:val="00CD4AC5"/>
    <w:rsid w:val="00CD4C21"/>
    <w:rsid w:val="00CD4CD8"/>
    <w:rsid w:val="00CD4E07"/>
    <w:rsid w:val="00CD4E3C"/>
    <w:rsid w:val="00CD4ED2"/>
    <w:rsid w:val="00CD5066"/>
    <w:rsid w:val="00CD518A"/>
    <w:rsid w:val="00CD51B3"/>
    <w:rsid w:val="00CD527F"/>
    <w:rsid w:val="00CD5412"/>
    <w:rsid w:val="00CD54BA"/>
    <w:rsid w:val="00CD54C4"/>
    <w:rsid w:val="00CD55BA"/>
    <w:rsid w:val="00CD5602"/>
    <w:rsid w:val="00CD585B"/>
    <w:rsid w:val="00CD5AAE"/>
    <w:rsid w:val="00CD5C59"/>
    <w:rsid w:val="00CD5D95"/>
    <w:rsid w:val="00CD5E26"/>
    <w:rsid w:val="00CD5EFB"/>
    <w:rsid w:val="00CD5FB8"/>
    <w:rsid w:val="00CD601A"/>
    <w:rsid w:val="00CD6251"/>
    <w:rsid w:val="00CD6425"/>
    <w:rsid w:val="00CD6437"/>
    <w:rsid w:val="00CD674C"/>
    <w:rsid w:val="00CD68E8"/>
    <w:rsid w:val="00CD6A68"/>
    <w:rsid w:val="00CD6B95"/>
    <w:rsid w:val="00CD6C48"/>
    <w:rsid w:val="00CD6D11"/>
    <w:rsid w:val="00CD6D89"/>
    <w:rsid w:val="00CD6DB7"/>
    <w:rsid w:val="00CD7151"/>
    <w:rsid w:val="00CD71BB"/>
    <w:rsid w:val="00CD7214"/>
    <w:rsid w:val="00CD7286"/>
    <w:rsid w:val="00CD72E1"/>
    <w:rsid w:val="00CD7385"/>
    <w:rsid w:val="00CD738B"/>
    <w:rsid w:val="00CD7435"/>
    <w:rsid w:val="00CD7449"/>
    <w:rsid w:val="00CD747E"/>
    <w:rsid w:val="00CD778F"/>
    <w:rsid w:val="00CD7A58"/>
    <w:rsid w:val="00CD7ACC"/>
    <w:rsid w:val="00CD7C92"/>
    <w:rsid w:val="00CD7EBA"/>
    <w:rsid w:val="00CD7F04"/>
    <w:rsid w:val="00CE0291"/>
    <w:rsid w:val="00CE0626"/>
    <w:rsid w:val="00CE0773"/>
    <w:rsid w:val="00CE08D9"/>
    <w:rsid w:val="00CE0A30"/>
    <w:rsid w:val="00CE0A62"/>
    <w:rsid w:val="00CE0A8E"/>
    <w:rsid w:val="00CE0C62"/>
    <w:rsid w:val="00CE0CC4"/>
    <w:rsid w:val="00CE0DC1"/>
    <w:rsid w:val="00CE1034"/>
    <w:rsid w:val="00CE10E2"/>
    <w:rsid w:val="00CE1177"/>
    <w:rsid w:val="00CE11F4"/>
    <w:rsid w:val="00CE14A7"/>
    <w:rsid w:val="00CE154E"/>
    <w:rsid w:val="00CE163B"/>
    <w:rsid w:val="00CE17F1"/>
    <w:rsid w:val="00CE1889"/>
    <w:rsid w:val="00CE19AC"/>
    <w:rsid w:val="00CE1A8E"/>
    <w:rsid w:val="00CE1BD7"/>
    <w:rsid w:val="00CE1C51"/>
    <w:rsid w:val="00CE1CBA"/>
    <w:rsid w:val="00CE1D0D"/>
    <w:rsid w:val="00CE1D2E"/>
    <w:rsid w:val="00CE1DF0"/>
    <w:rsid w:val="00CE2291"/>
    <w:rsid w:val="00CE2350"/>
    <w:rsid w:val="00CE236C"/>
    <w:rsid w:val="00CE23FD"/>
    <w:rsid w:val="00CE2466"/>
    <w:rsid w:val="00CE24C7"/>
    <w:rsid w:val="00CE276B"/>
    <w:rsid w:val="00CE2803"/>
    <w:rsid w:val="00CE2841"/>
    <w:rsid w:val="00CE2866"/>
    <w:rsid w:val="00CE2A7C"/>
    <w:rsid w:val="00CE2A7F"/>
    <w:rsid w:val="00CE2B8F"/>
    <w:rsid w:val="00CE2C19"/>
    <w:rsid w:val="00CE2CFE"/>
    <w:rsid w:val="00CE2D52"/>
    <w:rsid w:val="00CE2D57"/>
    <w:rsid w:val="00CE2E23"/>
    <w:rsid w:val="00CE2FD8"/>
    <w:rsid w:val="00CE32D7"/>
    <w:rsid w:val="00CE32F5"/>
    <w:rsid w:val="00CE33E1"/>
    <w:rsid w:val="00CE34C4"/>
    <w:rsid w:val="00CE3524"/>
    <w:rsid w:val="00CE356C"/>
    <w:rsid w:val="00CE35DA"/>
    <w:rsid w:val="00CE3821"/>
    <w:rsid w:val="00CE3932"/>
    <w:rsid w:val="00CE3A53"/>
    <w:rsid w:val="00CE3ACA"/>
    <w:rsid w:val="00CE3AD6"/>
    <w:rsid w:val="00CE3AE1"/>
    <w:rsid w:val="00CE3DD5"/>
    <w:rsid w:val="00CE3EA6"/>
    <w:rsid w:val="00CE40F3"/>
    <w:rsid w:val="00CE422A"/>
    <w:rsid w:val="00CE42C9"/>
    <w:rsid w:val="00CE436F"/>
    <w:rsid w:val="00CE4395"/>
    <w:rsid w:val="00CE46A4"/>
    <w:rsid w:val="00CE4701"/>
    <w:rsid w:val="00CE473D"/>
    <w:rsid w:val="00CE4741"/>
    <w:rsid w:val="00CE4882"/>
    <w:rsid w:val="00CE4949"/>
    <w:rsid w:val="00CE4B14"/>
    <w:rsid w:val="00CE4C81"/>
    <w:rsid w:val="00CE4D63"/>
    <w:rsid w:val="00CE4E09"/>
    <w:rsid w:val="00CE5108"/>
    <w:rsid w:val="00CE5477"/>
    <w:rsid w:val="00CE5511"/>
    <w:rsid w:val="00CE5591"/>
    <w:rsid w:val="00CE588B"/>
    <w:rsid w:val="00CE58B4"/>
    <w:rsid w:val="00CE596C"/>
    <w:rsid w:val="00CE5B2F"/>
    <w:rsid w:val="00CE5DA7"/>
    <w:rsid w:val="00CE5E22"/>
    <w:rsid w:val="00CE6128"/>
    <w:rsid w:val="00CE6175"/>
    <w:rsid w:val="00CE618A"/>
    <w:rsid w:val="00CE61EB"/>
    <w:rsid w:val="00CE6232"/>
    <w:rsid w:val="00CE6248"/>
    <w:rsid w:val="00CE6330"/>
    <w:rsid w:val="00CE63A6"/>
    <w:rsid w:val="00CE6441"/>
    <w:rsid w:val="00CE6554"/>
    <w:rsid w:val="00CE663B"/>
    <w:rsid w:val="00CE6884"/>
    <w:rsid w:val="00CE692C"/>
    <w:rsid w:val="00CE6940"/>
    <w:rsid w:val="00CE695F"/>
    <w:rsid w:val="00CE6ABD"/>
    <w:rsid w:val="00CE6AE5"/>
    <w:rsid w:val="00CE6C2D"/>
    <w:rsid w:val="00CE6D90"/>
    <w:rsid w:val="00CE6E0D"/>
    <w:rsid w:val="00CE6E38"/>
    <w:rsid w:val="00CE6EAF"/>
    <w:rsid w:val="00CE6EF1"/>
    <w:rsid w:val="00CE7190"/>
    <w:rsid w:val="00CE7205"/>
    <w:rsid w:val="00CE724B"/>
    <w:rsid w:val="00CE742C"/>
    <w:rsid w:val="00CE7443"/>
    <w:rsid w:val="00CE7526"/>
    <w:rsid w:val="00CE7856"/>
    <w:rsid w:val="00CE7895"/>
    <w:rsid w:val="00CE7939"/>
    <w:rsid w:val="00CE79FF"/>
    <w:rsid w:val="00CE7B6F"/>
    <w:rsid w:val="00CE7C58"/>
    <w:rsid w:val="00CE7CB6"/>
    <w:rsid w:val="00CE7CC3"/>
    <w:rsid w:val="00CE7D72"/>
    <w:rsid w:val="00CF0019"/>
    <w:rsid w:val="00CF00CA"/>
    <w:rsid w:val="00CF016E"/>
    <w:rsid w:val="00CF03C9"/>
    <w:rsid w:val="00CF04CD"/>
    <w:rsid w:val="00CF06C9"/>
    <w:rsid w:val="00CF078B"/>
    <w:rsid w:val="00CF086B"/>
    <w:rsid w:val="00CF08EA"/>
    <w:rsid w:val="00CF0931"/>
    <w:rsid w:val="00CF0966"/>
    <w:rsid w:val="00CF0A48"/>
    <w:rsid w:val="00CF0B2C"/>
    <w:rsid w:val="00CF0F7E"/>
    <w:rsid w:val="00CF0FD6"/>
    <w:rsid w:val="00CF108D"/>
    <w:rsid w:val="00CF10C4"/>
    <w:rsid w:val="00CF1139"/>
    <w:rsid w:val="00CF1194"/>
    <w:rsid w:val="00CF11CC"/>
    <w:rsid w:val="00CF13A4"/>
    <w:rsid w:val="00CF177A"/>
    <w:rsid w:val="00CF1851"/>
    <w:rsid w:val="00CF188F"/>
    <w:rsid w:val="00CF189B"/>
    <w:rsid w:val="00CF1988"/>
    <w:rsid w:val="00CF1A22"/>
    <w:rsid w:val="00CF1E5B"/>
    <w:rsid w:val="00CF1EF6"/>
    <w:rsid w:val="00CF1F3D"/>
    <w:rsid w:val="00CF2318"/>
    <w:rsid w:val="00CF24D4"/>
    <w:rsid w:val="00CF2550"/>
    <w:rsid w:val="00CF2646"/>
    <w:rsid w:val="00CF26B6"/>
    <w:rsid w:val="00CF26D2"/>
    <w:rsid w:val="00CF27EA"/>
    <w:rsid w:val="00CF2893"/>
    <w:rsid w:val="00CF2A15"/>
    <w:rsid w:val="00CF2A51"/>
    <w:rsid w:val="00CF2AB3"/>
    <w:rsid w:val="00CF2C02"/>
    <w:rsid w:val="00CF2C5E"/>
    <w:rsid w:val="00CF2CC4"/>
    <w:rsid w:val="00CF2E1D"/>
    <w:rsid w:val="00CF2E78"/>
    <w:rsid w:val="00CF2EB9"/>
    <w:rsid w:val="00CF2EC5"/>
    <w:rsid w:val="00CF2F5F"/>
    <w:rsid w:val="00CF30CB"/>
    <w:rsid w:val="00CF30E7"/>
    <w:rsid w:val="00CF3147"/>
    <w:rsid w:val="00CF33F9"/>
    <w:rsid w:val="00CF35E0"/>
    <w:rsid w:val="00CF35EC"/>
    <w:rsid w:val="00CF37E0"/>
    <w:rsid w:val="00CF3A4D"/>
    <w:rsid w:val="00CF3D25"/>
    <w:rsid w:val="00CF3D65"/>
    <w:rsid w:val="00CF3D82"/>
    <w:rsid w:val="00CF3E1C"/>
    <w:rsid w:val="00CF3E5D"/>
    <w:rsid w:val="00CF3F3E"/>
    <w:rsid w:val="00CF422B"/>
    <w:rsid w:val="00CF4267"/>
    <w:rsid w:val="00CF42C5"/>
    <w:rsid w:val="00CF430C"/>
    <w:rsid w:val="00CF436D"/>
    <w:rsid w:val="00CF43D6"/>
    <w:rsid w:val="00CF44BB"/>
    <w:rsid w:val="00CF472F"/>
    <w:rsid w:val="00CF4786"/>
    <w:rsid w:val="00CF481E"/>
    <w:rsid w:val="00CF48BB"/>
    <w:rsid w:val="00CF495D"/>
    <w:rsid w:val="00CF4B49"/>
    <w:rsid w:val="00CF4B8A"/>
    <w:rsid w:val="00CF4CA9"/>
    <w:rsid w:val="00CF4CCB"/>
    <w:rsid w:val="00CF4CE1"/>
    <w:rsid w:val="00CF4E7E"/>
    <w:rsid w:val="00CF4EB6"/>
    <w:rsid w:val="00CF4ECC"/>
    <w:rsid w:val="00CF4F28"/>
    <w:rsid w:val="00CF4F3E"/>
    <w:rsid w:val="00CF4F54"/>
    <w:rsid w:val="00CF50B7"/>
    <w:rsid w:val="00CF51F0"/>
    <w:rsid w:val="00CF549A"/>
    <w:rsid w:val="00CF57D0"/>
    <w:rsid w:val="00CF5860"/>
    <w:rsid w:val="00CF58A1"/>
    <w:rsid w:val="00CF5A39"/>
    <w:rsid w:val="00CF5AF7"/>
    <w:rsid w:val="00CF5CBA"/>
    <w:rsid w:val="00CF5CBE"/>
    <w:rsid w:val="00CF5F03"/>
    <w:rsid w:val="00CF5F05"/>
    <w:rsid w:val="00CF5FD9"/>
    <w:rsid w:val="00CF62C6"/>
    <w:rsid w:val="00CF62C7"/>
    <w:rsid w:val="00CF62F0"/>
    <w:rsid w:val="00CF6323"/>
    <w:rsid w:val="00CF634D"/>
    <w:rsid w:val="00CF63CA"/>
    <w:rsid w:val="00CF65BF"/>
    <w:rsid w:val="00CF65CC"/>
    <w:rsid w:val="00CF66B2"/>
    <w:rsid w:val="00CF672E"/>
    <w:rsid w:val="00CF68B1"/>
    <w:rsid w:val="00CF68EE"/>
    <w:rsid w:val="00CF6939"/>
    <w:rsid w:val="00CF6A24"/>
    <w:rsid w:val="00CF6C48"/>
    <w:rsid w:val="00CF6DAB"/>
    <w:rsid w:val="00CF6DCB"/>
    <w:rsid w:val="00CF6EE0"/>
    <w:rsid w:val="00CF6F78"/>
    <w:rsid w:val="00CF7139"/>
    <w:rsid w:val="00CF714B"/>
    <w:rsid w:val="00CF71D2"/>
    <w:rsid w:val="00CF71FA"/>
    <w:rsid w:val="00CF72BB"/>
    <w:rsid w:val="00CF736B"/>
    <w:rsid w:val="00CF750F"/>
    <w:rsid w:val="00CF7551"/>
    <w:rsid w:val="00CF7555"/>
    <w:rsid w:val="00CF75B0"/>
    <w:rsid w:val="00CF76D7"/>
    <w:rsid w:val="00CF7818"/>
    <w:rsid w:val="00CF78AE"/>
    <w:rsid w:val="00CF7915"/>
    <w:rsid w:val="00CF79C8"/>
    <w:rsid w:val="00CF7B8A"/>
    <w:rsid w:val="00CF7C91"/>
    <w:rsid w:val="00CF7CA5"/>
    <w:rsid w:val="00CF7CE0"/>
    <w:rsid w:val="00CF7E32"/>
    <w:rsid w:val="00CF7F2A"/>
    <w:rsid w:val="00D0003E"/>
    <w:rsid w:val="00D00095"/>
    <w:rsid w:val="00D001AB"/>
    <w:rsid w:val="00D0023D"/>
    <w:rsid w:val="00D00669"/>
    <w:rsid w:val="00D00693"/>
    <w:rsid w:val="00D007B9"/>
    <w:rsid w:val="00D00890"/>
    <w:rsid w:val="00D00A10"/>
    <w:rsid w:val="00D00A1E"/>
    <w:rsid w:val="00D00B58"/>
    <w:rsid w:val="00D00C55"/>
    <w:rsid w:val="00D00C68"/>
    <w:rsid w:val="00D00D85"/>
    <w:rsid w:val="00D00E65"/>
    <w:rsid w:val="00D00F0E"/>
    <w:rsid w:val="00D01139"/>
    <w:rsid w:val="00D01146"/>
    <w:rsid w:val="00D012C1"/>
    <w:rsid w:val="00D012C7"/>
    <w:rsid w:val="00D012E0"/>
    <w:rsid w:val="00D012FE"/>
    <w:rsid w:val="00D01336"/>
    <w:rsid w:val="00D0134C"/>
    <w:rsid w:val="00D0140D"/>
    <w:rsid w:val="00D015C2"/>
    <w:rsid w:val="00D01659"/>
    <w:rsid w:val="00D01692"/>
    <w:rsid w:val="00D019BF"/>
    <w:rsid w:val="00D01A1F"/>
    <w:rsid w:val="00D01A32"/>
    <w:rsid w:val="00D01B26"/>
    <w:rsid w:val="00D01BEF"/>
    <w:rsid w:val="00D01C29"/>
    <w:rsid w:val="00D01DAD"/>
    <w:rsid w:val="00D01E40"/>
    <w:rsid w:val="00D01F10"/>
    <w:rsid w:val="00D01F3F"/>
    <w:rsid w:val="00D01FBD"/>
    <w:rsid w:val="00D020FD"/>
    <w:rsid w:val="00D021DA"/>
    <w:rsid w:val="00D02462"/>
    <w:rsid w:val="00D024A4"/>
    <w:rsid w:val="00D02529"/>
    <w:rsid w:val="00D02551"/>
    <w:rsid w:val="00D02873"/>
    <w:rsid w:val="00D028AE"/>
    <w:rsid w:val="00D02933"/>
    <w:rsid w:val="00D0294A"/>
    <w:rsid w:val="00D029A9"/>
    <w:rsid w:val="00D029F9"/>
    <w:rsid w:val="00D02BD6"/>
    <w:rsid w:val="00D02C30"/>
    <w:rsid w:val="00D02E76"/>
    <w:rsid w:val="00D02F4E"/>
    <w:rsid w:val="00D02FA4"/>
    <w:rsid w:val="00D0306C"/>
    <w:rsid w:val="00D0310B"/>
    <w:rsid w:val="00D0311B"/>
    <w:rsid w:val="00D0313D"/>
    <w:rsid w:val="00D03254"/>
    <w:rsid w:val="00D0337E"/>
    <w:rsid w:val="00D03470"/>
    <w:rsid w:val="00D034F1"/>
    <w:rsid w:val="00D03561"/>
    <w:rsid w:val="00D03614"/>
    <w:rsid w:val="00D03661"/>
    <w:rsid w:val="00D0389F"/>
    <w:rsid w:val="00D038F4"/>
    <w:rsid w:val="00D03917"/>
    <w:rsid w:val="00D03994"/>
    <w:rsid w:val="00D03A38"/>
    <w:rsid w:val="00D03A3E"/>
    <w:rsid w:val="00D03ACA"/>
    <w:rsid w:val="00D03D2F"/>
    <w:rsid w:val="00D03D5C"/>
    <w:rsid w:val="00D04617"/>
    <w:rsid w:val="00D046C7"/>
    <w:rsid w:val="00D047B2"/>
    <w:rsid w:val="00D04916"/>
    <w:rsid w:val="00D049E0"/>
    <w:rsid w:val="00D04AD4"/>
    <w:rsid w:val="00D04B3B"/>
    <w:rsid w:val="00D04C20"/>
    <w:rsid w:val="00D04C64"/>
    <w:rsid w:val="00D04C79"/>
    <w:rsid w:val="00D04D30"/>
    <w:rsid w:val="00D04DC4"/>
    <w:rsid w:val="00D04EF5"/>
    <w:rsid w:val="00D05093"/>
    <w:rsid w:val="00D05598"/>
    <w:rsid w:val="00D0576D"/>
    <w:rsid w:val="00D0586C"/>
    <w:rsid w:val="00D058B2"/>
    <w:rsid w:val="00D05BAD"/>
    <w:rsid w:val="00D05C44"/>
    <w:rsid w:val="00D05FF6"/>
    <w:rsid w:val="00D0662F"/>
    <w:rsid w:val="00D06703"/>
    <w:rsid w:val="00D067D4"/>
    <w:rsid w:val="00D0686A"/>
    <w:rsid w:val="00D0694B"/>
    <w:rsid w:val="00D06AF3"/>
    <w:rsid w:val="00D06B76"/>
    <w:rsid w:val="00D06C2A"/>
    <w:rsid w:val="00D06ECD"/>
    <w:rsid w:val="00D06F65"/>
    <w:rsid w:val="00D0704F"/>
    <w:rsid w:val="00D0707C"/>
    <w:rsid w:val="00D071B3"/>
    <w:rsid w:val="00D0726C"/>
    <w:rsid w:val="00D07433"/>
    <w:rsid w:val="00D07466"/>
    <w:rsid w:val="00D076D4"/>
    <w:rsid w:val="00D0789C"/>
    <w:rsid w:val="00D0797D"/>
    <w:rsid w:val="00D079B0"/>
    <w:rsid w:val="00D079B6"/>
    <w:rsid w:val="00D07A1B"/>
    <w:rsid w:val="00D07A8E"/>
    <w:rsid w:val="00D07BDC"/>
    <w:rsid w:val="00D07BEA"/>
    <w:rsid w:val="00D07C62"/>
    <w:rsid w:val="00D07CF2"/>
    <w:rsid w:val="00D07D42"/>
    <w:rsid w:val="00D07DFD"/>
    <w:rsid w:val="00D07E70"/>
    <w:rsid w:val="00D07EE5"/>
    <w:rsid w:val="00D07F1B"/>
    <w:rsid w:val="00D1008B"/>
    <w:rsid w:val="00D103BA"/>
    <w:rsid w:val="00D104C4"/>
    <w:rsid w:val="00D10550"/>
    <w:rsid w:val="00D105ED"/>
    <w:rsid w:val="00D10830"/>
    <w:rsid w:val="00D1098F"/>
    <w:rsid w:val="00D109D8"/>
    <w:rsid w:val="00D109E3"/>
    <w:rsid w:val="00D10ADF"/>
    <w:rsid w:val="00D10B4D"/>
    <w:rsid w:val="00D10E12"/>
    <w:rsid w:val="00D10E46"/>
    <w:rsid w:val="00D10F0C"/>
    <w:rsid w:val="00D10F29"/>
    <w:rsid w:val="00D111B5"/>
    <w:rsid w:val="00D11234"/>
    <w:rsid w:val="00D11256"/>
    <w:rsid w:val="00D11411"/>
    <w:rsid w:val="00D1149E"/>
    <w:rsid w:val="00D11510"/>
    <w:rsid w:val="00D115E5"/>
    <w:rsid w:val="00D115ED"/>
    <w:rsid w:val="00D1161C"/>
    <w:rsid w:val="00D1165A"/>
    <w:rsid w:val="00D1167F"/>
    <w:rsid w:val="00D11718"/>
    <w:rsid w:val="00D11842"/>
    <w:rsid w:val="00D118B9"/>
    <w:rsid w:val="00D118E2"/>
    <w:rsid w:val="00D11932"/>
    <w:rsid w:val="00D11B4C"/>
    <w:rsid w:val="00D11C97"/>
    <w:rsid w:val="00D11CF4"/>
    <w:rsid w:val="00D11DED"/>
    <w:rsid w:val="00D11E45"/>
    <w:rsid w:val="00D11EC3"/>
    <w:rsid w:val="00D12121"/>
    <w:rsid w:val="00D12135"/>
    <w:rsid w:val="00D1218D"/>
    <w:rsid w:val="00D12272"/>
    <w:rsid w:val="00D12529"/>
    <w:rsid w:val="00D125E2"/>
    <w:rsid w:val="00D12779"/>
    <w:rsid w:val="00D1277A"/>
    <w:rsid w:val="00D12887"/>
    <w:rsid w:val="00D12BDC"/>
    <w:rsid w:val="00D12D8A"/>
    <w:rsid w:val="00D12EE3"/>
    <w:rsid w:val="00D12F5B"/>
    <w:rsid w:val="00D12F96"/>
    <w:rsid w:val="00D13039"/>
    <w:rsid w:val="00D13074"/>
    <w:rsid w:val="00D1313D"/>
    <w:rsid w:val="00D13183"/>
    <w:rsid w:val="00D131AD"/>
    <w:rsid w:val="00D13271"/>
    <w:rsid w:val="00D1332F"/>
    <w:rsid w:val="00D133A9"/>
    <w:rsid w:val="00D13430"/>
    <w:rsid w:val="00D134F6"/>
    <w:rsid w:val="00D13CE4"/>
    <w:rsid w:val="00D13F37"/>
    <w:rsid w:val="00D14138"/>
    <w:rsid w:val="00D144B0"/>
    <w:rsid w:val="00D1452B"/>
    <w:rsid w:val="00D14569"/>
    <w:rsid w:val="00D147A1"/>
    <w:rsid w:val="00D14972"/>
    <w:rsid w:val="00D14ACA"/>
    <w:rsid w:val="00D14DA3"/>
    <w:rsid w:val="00D14DD6"/>
    <w:rsid w:val="00D14E70"/>
    <w:rsid w:val="00D150B4"/>
    <w:rsid w:val="00D150BC"/>
    <w:rsid w:val="00D15208"/>
    <w:rsid w:val="00D15266"/>
    <w:rsid w:val="00D1533D"/>
    <w:rsid w:val="00D153B8"/>
    <w:rsid w:val="00D15404"/>
    <w:rsid w:val="00D1551C"/>
    <w:rsid w:val="00D158C9"/>
    <w:rsid w:val="00D158CD"/>
    <w:rsid w:val="00D15BE0"/>
    <w:rsid w:val="00D15D94"/>
    <w:rsid w:val="00D15F41"/>
    <w:rsid w:val="00D16297"/>
    <w:rsid w:val="00D16520"/>
    <w:rsid w:val="00D16679"/>
    <w:rsid w:val="00D1676D"/>
    <w:rsid w:val="00D16786"/>
    <w:rsid w:val="00D167CD"/>
    <w:rsid w:val="00D1688E"/>
    <w:rsid w:val="00D16C2D"/>
    <w:rsid w:val="00D16DB0"/>
    <w:rsid w:val="00D16ED0"/>
    <w:rsid w:val="00D16F24"/>
    <w:rsid w:val="00D16F99"/>
    <w:rsid w:val="00D16FA9"/>
    <w:rsid w:val="00D170CE"/>
    <w:rsid w:val="00D17164"/>
    <w:rsid w:val="00D171C5"/>
    <w:rsid w:val="00D172FC"/>
    <w:rsid w:val="00D1733D"/>
    <w:rsid w:val="00D1740B"/>
    <w:rsid w:val="00D17581"/>
    <w:rsid w:val="00D1758B"/>
    <w:rsid w:val="00D177A7"/>
    <w:rsid w:val="00D1789F"/>
    <w:rsid w:val="00D17A5B"/>
    <w:rsid w:val="00D17A6F"/>
    <w:rsid w:val="00D17B00"/>
    <w:rsid w:val="00D17BAF"/>
    <w:rsid w:val="00D17BF2"/>
    <w:rsid w:val="00D17C8E"/>
    <w:rsid w:val="00D17ED2"/>
    <w:rsid w:val="00D20265"/>
    <w:rsid w:val="00D2028E"/>
    <w:rsid w:val="00D202B9"/>
    <w:rsid w:val="00D20504"/>
    <w:rsid w:val="00D2066A"/>
    <w:rsid w:val="00D206BC"/>
    <w:rsid w:val="00D207BE"/>
    <w:rsid w:val="00D208EB"/>
    <w:rsid w:val="00D20A68"/>
    <w:rsid w:val="00D20B03"/>
    <w:rsid w:val="00D20BC1"/>
    <w:rsid w:val="00D20BFC"/>
    <w:rsid w:val="00D20C18"/>
    <w:rsid w:val="00D20C25"/>
    <w:rsid w:val="00D20D3C"/>
    <w:rsid w:val="00D20D69"/>
    <w:rsid w:val="00D20E15"/>
    <w:rsid w:val="00D2103B"/>
    <w:rsid w:val="00D2119F"/>
    <w:rsid w:val="00D211A1"/>
    <w:rsid w:val="00D211BD"/>
    <w:rsid w:val="00D21300"/>
    <w:rsid w:val="00D2136A"/>
    <w:rsid w:val="00D21423"/>
    <w:rsid w:val="00D21493"/>
    <w:rsid w:val="00D217A3"/>
    <w:rsid w:val="00D218DB"/>
    <w:rsid w:val="00D218E4"/>
    <w:rsid w:val="00D2192B"/>
    <w:rsid w:val="00D2193C"/>
    <w:rsid w:val="00D21A99"/>
    <w:rsid w:val="00D21A9C"/>
    <w:rsid w:val="00D21DED"/>
    <w:rsid w:val="00D21E54"/>
    <w:rsid w:val="00D2202F"/>
    <w:rsid w:val="00D22050"/>
    <w:rsid w:val="00D22064"/>
    <w:rsid w:val="00D2216F"/>
    <w:rsid w:val="00D2220A"/>
    <w:rsid w:val="00D22255"/>
    <w:rsid w:val="00D222D8"/>
    <w:rsid w:val="00D222FA"/>
    <w:rsid w:val="00D223E7"/>
    <w:rsid w:val="00D2259B"/>
    <w:rsid w:val="00D2298E"/>
    <w:rsid w:val="00D22B45"/>
    <w:rsid w:val="00D22B84"/>
    <w:rsid w:val="00D22BE9"/>
    <w:rsid w:val="00D22FB6"/>
    <w:rsid w:val="00D23007"/>
    <w:rsid w:val="00D230EF"/>
    <w:rsid w:val="00D23177"/>
    <w:rsid w:val="00D23547"/>
    <w:rsid w:val="00D235E8"/>
    <w:rsid w:val="00D2361F"/>
    <w:rsid w:val="00D23832"/>
    <w:rsid w:val="00D238E1"/>
    <w:rsid w:val="00D23910"/>
    <w:rsid w:val="00D2394C"/>
    <w:rsid w:val="00D23A39"/>
    <w:rsid w:val="00D23AB5"/>
    <w:rsid w:val="00D23E8D"/>
    <w:rsid w:val="00D241BD"/>
    <w:rsid w:val="00D2467C"/>
    <w:rsid w:val="00D24693"/>
    <w:rsid w:val="00D24720"/>
    <w:rsid w:val="00D247F3"/>
    <w:rsid w:val="00D24878"/>
    <w:rsid w:val="00D2491F"/>
    <w:rsid w:val="00D2493A"/>
    <w:rsid w:val="00D249E7"/>
    <w:rsid w:val="00D24AB9"/>
    <w:rsid w:val="00D24AEC"/>
    <w:rsid w:val="00D24D7E"/>
    <w:rsid w:val="00D24EAF"/>
    <w:rsid w:val="00D24EB0"/>
    <w:rsid w:val="00D24FCE"/>
    <w:rsid w:val="00D250F9"/>
    <w:rsid w:val="00D2518B"/>
    <w:rsid w:val="00D2519C"/>
    <w:rsid w:val="00D251BB"/>
    <w:rsid w:val="00D25258"/>
    <w:rsid w:val="00D2547F"/>
    <w:rsid w:val="00D25624"/>
    <w:rsid w:val="00D25697"/>
    <w:rsid w:val="00D25768"/>
    <w:rsid w:val="00D257B0"/>
    <w:rsid w:val="00D257B2"/>
    <w:rsid w:val="00D257D4"/>
    <w:rsid w:val="00D2592F"/>
    <w:rsid w:val="00D25AFE"/>
    <w:rsid w:val="00D25B6B"/>
    <w:rsid w:val="00D25BC8"/>
    <w:rsid w:val="00D25BF3"/>
    <w:rsid w:val="00D25D2A"/>
    <w:rsid w:val="00D25D58"/>
    <w:rsid w:val="00D25D6D"/>
    <w:rsid w:val="00D260D1"/>
    <w:rsid w:val="00D262AF"/>
    <w:rsid w:val="00D263FC"/>
    <w:rsid w:val="00D26442"/>
    <w:rsid w:val="00D26497"/>
    <w:rsid w:val="00D26555"/>
    <w:rsid w:val="00D26704"/>
    <w:rsid w:val="00D2678F"/>
    <w:rsid w:val="00D26913"/>
    <w:rsid w:val="00D269B5"/>
    <w:rsid w:val="00D26A50"/>
    <w:rsid w:val="00D26B4D"/>
    <w:rsid w:val="00D26CC6"/>
    <w:rsid w:val="00D26D12"/>
    <w:rsid w:val="00D26DAC"/>
    <w:rsid w:val="00D26DDA"/>
    <w:rsid w:val="00D26F32"/>
    <w:rsid w:val="00D26F40"/>
    <w:rsid w:val="00D27024"/>
    <w:rsid w:val="00D270A0"/>
    <w:rsid w:val="00D271D9"/>
    <w:rsid w:val="00D27374"/>
    <w:rsid w:val="00D2740E"/>
    <w:rsid w:val="00D27448"/>
    <w:rsid w:val="00D2755B"/>
    <w:rsid w:val="00D276EB"/>
    <w:rsid w:val="00D2789E"/>
    <w:rsid w:val="00D278B6"/>
    <w:rsid w:val="00D27A12"/>
    <w:rsid w:val="00D27B84"/>
    <w:rsid w:val="00D27E09"/>
    <w:rsid w:val="00D3009E"/>
    <w:rsid w:val="00D300A7"/>
    <w:rsid w:val="00D30370"/>
    <w:rsid w:val="00D30441"/>
    <w:rsid w:val="00D3058E"/>
    <w:rsid w:val="00D3066A"/>
    <w:rsid w:val="00D3085E"/>
    <w:rsid w:val="00D3093F"/>
    <w:rsid w:val="00D30DD1"/>
    <w:rsid w:val="00D30F13"/>
    <w:rsid w:val="00D30F6A"/>
    <w:rsid w:val="00D30F91"/>
    <w:rsid w:val="00D30FC3"/>
    <w:rsid w:val="00D310A7"/>
    <w:rsid w:val="00D3131F"/>
    <w:rsid w:val="00D31381"/>
    <w:rsid w:val="00D313EF"/>
    <w:rsid w:val="00D31465"/>
    <w:rsid w:val="00D31529"/>
    <w:rsid w:val="00D3165A"/>
    <w:rsid w:val="00D316AD"/>
    <w:rsid w:val="00D316C7"/>
    <w:rsid w:val="00D3198A"/>
    <w:rsid w:val="00D3199C"/>
    <w:rsid w:val="00D31AA5"/>
    <w:rsid w:val="00D31BBE"/>
    <w:rsid w:val="00D31C8B"/>
    <w:rsid w:val="00D31C95"/>
    <w:rsid w:val="00D31CF6"/>
    <w:rsid w:val="00D31F8C"/>
    <w:rsid w:val="00D32116"/>
    <w:rsid w:val="00D32211"/>
    <w:rsid w:val="00D32255"/>
    <w:rsid w:val="00D322D5"/>
    <w:rsid w:val="00D322E6"/>
    <w:rsid w:val="00D324D6"/>
    <w:rsid w:val="00D32783"/>
    <w:rsid w:val="00D3278D"/>
    <w:rsid w:val="00D329B2"/>
    <w:rsid w:val="00D329CD"/>
    <w:rsid w:val="00D32A31"/>
    <w:rsid w:val="00D32BC2"/>
    <w:rsid w:val="00D32BC6"/>
    <w:rsid w:val="00D32BE6"/>
    <w:rsid w:val="00D32C28"/>
    <w:rsid w:val="00D32DA6"/>
    <w:rsid w:val="00D32E39"/>
    <w:rsid w:val="00D32E8F"/>
    <w:rsid w:val="00D32E9B"/>
    <w:rsid w:val="00D32EF3"/>
    <w:rsid w:val="00D32F6B"/>
    <w:rsid w:val="00D32FBA"/>
    <w:rsid w:val="00D330DE"/>
    <w:rsid w:val="00D330F0"/>
    <w:rsid w:val="00D33126"/>
    <w:rsid w:val="00D33145"/>
    <w:rsid w:val="00D33322"/>
    <w:rsid w:val="00D3339A"/>
    <w:rsid w:val="00D33486"/>
    <w:rsid w:val="00D336C3"/>
    <w:rsid w:val="00D338DB"/>
    <w:rsid w:val="00D33998"/>
    <w:rsid w:val="00D339C0"/>
    <w:rsid w:val="00D33C1F"/>
    <w:rsid w:val="00D33C32"/>
    <w:rsid w:val="00D33C66"/>
    <w:rsid w:val="00D33CDE"/>
    <w:rsid w:val="00D33D54"/>
    <w:rsid w:val="00D33E53"/>
    <w:rsid w:val="00D33F70"/>
    <w:rsid w:val="00D340D4"/>
    <w:rsid w:val="00D34171"/>
    <w:rsid w:val="00D341D2"/>
    <w:rsid w:val="00D34300"/>
    <w:rsid w:val="00D3452C"/>
    <w:rsid w:val="00D345B1"/>
    <w:rsid w:val="00D345B4"/>
    <w:rsid w:val="00D34683"/>
    <w:rsid w:val="00D3497F"/>
    <w:rsid w:val="00D34AD3"/>
    <w:rsid w:val="00D34B6E"/>
    <w:rsid w:val="00D34B78"/>
    <w:rsid w:val="00D34C3D"/>
    <w:rsid w:val="00D34D02"/>
    <w:rsid w:val="00D34FEA"/>
    <w:rsid w:val="00D3526B"/>
    <w:rsid w:val="00D35389"/>
    <w:rsid w:val="00D3539A"/>
    <w:rsid w:val="00D353EE"/>
    <w:rsid w:val="00D35758"/>
    <w:rsid w:val="00D357F3"/>
    <w:rsid w:val="00D35B16"/>
    <w:rsid w:val="00D35BC2"/>
    <w:rsid w:val="00D36051"/>
    <w:rsid w:val="00D360B9"/>
    <w:rsid w:val="00D3625F"/>
    <w:rsid w:val="00D36382"/>
    <w:rsid w:val="00D363C6"/>
    <w:rsid w:val="00D363CB"/>
    <w:rsid w:val="00D364A8"/>
    <w:rsid w:val="00D364ED"/>
    <w:rsid w:val="00D36644"/>
    <w:rsid w:val="00D36697"/>
    <w:rsid w:val="00D36716"/>
    <w:rsid w:val="00D3682C"/>
    <w:rsid w:val="00D36901"/>
    <w:rsid w:val="00D369D8"/>
    <w:rsid w:val="00D36A52"/>
    <w:rsid w:val="00D36A98"/>
    <w:rsid w:val="00D36AAB"/>
    <w:rsid w:val="00D36ABA"/>
    <w:rsid w:val="00D36B04"/>
    <w:rsid w:val="00D36C03"/>
    <w:rsid w:val="00D36C44"/>
    <w:rsid w:val="00D36D69"/>
    <w:rsid w:val="00D36F04"/>
    <w:rsid w:val="00D3701A"/>
    <w:rsid w:val="00D370ED"/>
    <w:rsid w:val="00D3716C"/>
    <w:rsid w:val="00D371CD"/>
    <w:rsid w:val="00D371DA"/>
    <w:rsid w:val="00D3739B"/>
    <w:rsid w:val="00D373B1"/>
    <w:rsid w:val="00D3764F"/>
    <w:rsid w:val="00D376E9"/>
    <w:rsid w:val="00D37741"/>
    <w:rsid w:val="00D3783E"/>
    <w:rsid w:val="00D37851"/>
    <w:rsid w:val="00D378F9"/>
    <w:rsid w:val="00D37997"/>
    <w:rsid w:val="00D37A06"/>
    <w:rsid w:val="00D37A55"/>
    <w:rsid w:val="00D37A82"/>
    <w:rsid w:val="00D37CD9"/>
    <w:rsid w:val="00D40078"/>
    <w:rsid w:val="00D40405"/>
    <w:rsid w:val="00D40452"/>
    <w:rsid w:val="00D404E8"/>
    <w:rsid w:val="00D40623"/>
    <w:rsid w:val="00D40682"/>
    <w:rsid w:val="00D40704"/>
    <w:rsid w:val="00D40727"/>
    <w:rsid w:val="00D408B6"/>
    <w:rsid w:val="00D408C7"/>
    <w:rsid w:val="00D40AC9"/>
    <w:rsid w:val="00D40B2C"/>
    <w:rsid w:val="00D40D20"/>
    <w:rsid w:val="00D40D8D"/>
    <w:rsid w:val="00D40DEC"/>
    <w:rsid w:val="00D40ED2"/>
    <w:rsid w:val="00D41165"/>
    <w:rsid w:val="00D41414"/>
    <w:rsid w:val="00D414AC"/>
    <w:rsid w:val="00D4162E"/>
    <w:rsid w:val="00D416F4"/>
    <w:rsid w:val="00D417E0"/>
    <w:rsid w:val="00D418AF"/>
    <w:rsid w:val="00D4199C"/>
    <w:rsid w:val="00D421A4"/>
    <w:rsid w:val="00D421E7"/>
    <w:rsid w:val="00D4224D"/>
    <w:rsid w:val="00D42305"/>
    <w:rsid w:val="00D42514"/>
    <w:rsid w:val="00D4252D"/>
    <w:rsid w:val="00D42617"/>
    <w:rsid w:val="00D428DF"/>
    <w:rsid w:val="00D42933"/>
    <w:rsid w:val="00D42A19"/>
    <w:rsid w:val="00D42AAD"/>
    <w:rsid w:val="00D42D52"/>
    <w:rsid w:val="00D42F72"/>
    <w:rsid w:val="00D42F7A"/>
    <w:rsid w:val="00D43043"/>
    <w:rsid w:val="00D43141"/>
    <w:rsid w:val="00D431BA"/>
    <w:rsid w:val="00D4321E"/>
    <w:rsid w:val="00D43379"/>
    <w:rsid w:val="00D433D0"/>
    <w:rsid w:val="00D43599"/>
    <w:rsid w:val="00D43750"/>
    <w:rsid w:val="00D43761"/>
    <w:rsid w:val="00D43917"/>
    <w:rsid w:val="00D43BCD"/>
    <w:rsid w:val="00D43CD6"/>
    <w:rsid w:val="00D43E53"/>
    <w:rsid w:val="00D44005"/>
    <w:rsid w:val="00D44064"/>
    <w:rsid w:val="00D4421A"/>
    <w:rsid w:val="00D44235"/>
    <w:rsid w:val="00D4432F"/>
    <w:rsid w:val="00D44411"/>
    <w:rsid w:val="00D4442A"/>
    <w:rsid w:val="00D44434"/>
    <w:rsid w:val="00D44463"/>
    <w:rsid w:val="00D444FD"/>
    <w:rsid w:val="00D44573"/>
    <w:rsid w:val="00D44578"/>
    <w:rsid w:val="00D44804"/>
    <w:rsid w:val="00D448F3"/>
    <w:rsid w:val="00D4495A"/>
    <w:rsid w:val="00D449C3"/>
    <w:rsid w:val="00D44A41"/>
    <w:rsid w:val="00D44AEA"/>
    <w:rsid w:val="00D44B82"/>
    <w:rsid w:val="00D44DCE"/>
    <w:rsid w:val="00D44EB2"/>
    <w:rsid w:val="00D4524E"/>
    <w:rsid w:val="00D453FB"/>
    <w:rsid w:val="00D45632"/>
    <w:rsid w:val="00D4585F"/>
    <w:rsid w:val="00D458BC"/>
    <w:rsid w:val="00D45ACD"/>
    <w:rsid w:val="00D45D70"/>
    <w:rsid w:val="00D45D78"/>
    <w:rsid w:val="00D45E3D"/>
    <w:rsid w:val="00D46027"/>
    <w:rsid w:val="00D4620E"/>
    <w:rsid w:val="00D46292"/>
    <w:rsid w:val="00D462E1"/>
    <w:rsid w:val="00D46375"/>
    <w:rsid w:val="00D46386"/>
    <w:rsid w:val="00D463A3"/>
    <w:rsid w:val="00D46401"/>
    <w:rsid w:val="00D4642A"/>
    <w:rsid w:val="00D4673A"/>
    <w:rsid w:val="00D46882"/>
    <w:rsid w:val="00D46A23"/>
    <w:rsid w:val="00D46A84"/>
    <w:rsid w:val="00D46BCF"/>
    <w:rsid w:val="00D46BD7"/>
    <w:rsid w:val="00D46DFB"/>
    <w:rsid w:val="00D46E27"/>
    <w:rsid w:val="00D46EA8"/>
    <w:rsid w:val="00D4714B"/>
    <w:rsid w:val="00D47322"/>
    <w:rsid w:val="00D47463"/>
    <w:rsid w:val="00D4746A"/>
    <w:rsid w:val="00D474BC"/>
    <w:rsid w:val="00D475A5"/>
    <w:rsid w:val="00D475E6"/>
    <w:rsid w:val="00D47690"/>
    <w:rsid w:val="00D476FC"/>
    <w:rsid w:val="00D47749"/>
    <w:rsid w:val="00D477B9"/>
    <w:rsid w:val="00D47B0C"/>
    <w:rsid w:val="00D47B27"/>
    <w:rsid w:val="00D47C38"/>
    <w:rsid w:val="00D47C4F"/>
    <w:rsid w:val="00D50037"/>
    <w:rsid w:val="00D5003E"/>
    <w:rsid w:val="00D5028D"/>
    <w:rsid w:val="00D502BE"/>
    <w:rsid w:val="00D50411"/>
    <w:rsid w:val="00D50465"/>
    <w:rsid w:val="00D504E2"/>
    <w:rsid w:val="00D50555"/>
    <w:rsid w:val="00D505B6"/>
    <w:rsid w:val="00D5064F"/>
    <w:rsid w:val="00D50724"/>
    <w:rsid w:val="00D507E0"/>
    <w:rsid w:val="00D50A9D"/>
    <w:rsid w:val="00D50AF0"/>
    <w:rsid w:val="00D50C4C"/>
    <w:rsid w:val="00D50CED"/>
    <w:rsid w:val="00D50D00"/>
    <w:rsid w:val="00D50D07"/>
    <w:rsid w:val="00D50DCF"/>
    <w:rsid w:val="00D50E61"/>
    <w:rsid w:val="00D50E73"/>
    <w:rsid w:val="00D50F1B"/>
    <w:rsid w:val="00D50FE1"/>
    <w:rsid w:val="00D50FFB"/>
    <w:rsid w:val="00D51037"/>
    <w:rsid w:val="00D51140"/>
    <w:rsid w:val="00D511EF"/>
    <w:rsid w:val="00D5125E"/>
    <w:rsid w:val="00D512C4"/>
    <w:rsid w:val="00D51348"/>
    <w:rsid w:val="00D5136B"/>
    <w:rsid w:val="00D513EA"/>
    <w:rsid w:val="00D5148C"/>
    <w:rsid w:val="00D514CD"/>
    <w:rsid w:val="00D515CD"/>
    <w:rsid w:val="00D5175B"/>
    <w:rsid w:val="00D51887"/>
    <w:rsid w:val="00D518E3"/>
    <w:rsid w:val="00D519FF"/>
    <w:rsid w:val="00D51BFB"/>
    <w:rsid w:val="00D51C44"/>
    <w:rsid w:val="00D5224F"/>
    <w:rsid w:val="00D522F3"/>
    <w:rsid w:val="00D523AA"/>
    <w:rsid w:val="00D523AC"/>
    <w:rsid w:val="00D524C3"/>
    <w:rsid w:val="00D52568"/>
    <w:rsid w:val="00D525F0"/>
    <w:rsid w:val="00D525F1"/>
    <w:rsid w:val="00D52690"/>
    <w:rsid w:val="00D52763"/>
    <w:rsid w:val="00D5281A"/>
    <w:rsid w:val="00D52967"/>
    <w:rsid w:val="00D52ADE"/>
    <w:rsid w:val="00D52B73"/>
    <w:rsid w:val="00D52C1B"/>
    <w:rsid w:val="00D52CC5"/>
    <w:rsid w:val="00D52F0B"/>
    <w:rsid w:val="00D52FB8"/>
    <w:rsid w:val="00D5326D"/>
    <w:rsid w:val="00D53280"/>
    <w:rsid w:val="00D53339"/>
    <w:rsid w:val="00D5341E"/>
    <w:rsid w:val="00D53477"/>
    <w:rsid w:val="00D53493"/>
    <w:rsid w:val="00D536C0"/>
    <w:rsid w:val="00D5383F"/>
    <w:rsid w:val="00D539B1"/>
    <w:rsid w:val="00D539D9"/>
    <w:rsid w:val="00D53B63"/>
    <w:rsid w:val="00D53BAD"/>
    <w:rsid w:val="00D53D73"/>
    <w:rsid w:val="00D53DF5"/>
    <w:rsid w:val="00D540C5"/>
    <w:rsid w:val="00D54126"/>
    <w:rsid w:val="00D5414D"/>
    <w:rsid w:val="00D5415C"/>
    <w:rsid w:val="00D541CE"/>
    <w:rsid w:val="00D541E4"/>
    <w:rsid w:val="00D5434F"/>
    <w:rsid w:val="00D546DA"/>
    <w:rsid w:val="00D548FC"/>
    <w:rsid w:val="00D54A45"/>
    <w:rsid w:val="00D54A9C"/>
    <w:rsid w:val="00D54BA8"/>
    <w:rsid w:val="00D54BB1"/>
    <w:rsid w:val="00D54C28"/>
    <w:rsid w:val="00D54C84"/>
    <w:rsid w:val="00D54CB8"/>
    <w:rsid w:val="00D54E05"/>
    <w:rsid w:val="00D54EF5"/>
    <w:rsid w:val="00D55004"/>
    <w:rsid w:val="00D550E7"/>
    <w:rsid w:val="00D55377"/>
    <w:rsid w:val="00D55411"/>
    <w:rsid w:val="00D5551C"/>
    <w:rsid w:val="00D5561A"/>
    <w:rsid w:val="00D55677"/>
    <w:rsid w:val="00D557D9"/>
    <w:rsid w:val="00D55999"/>
    <w:rsid w:val="00D55C8F"/>
    <w:rsid w:val="00D55DEA"/>
    <w:rsid w:val="00D55E5C"/>
    <w:rsid w:val="00D55EB9"/>
    <w:rsid w:val="00D55EC6"/>
    <w:rsid w:val="00D56058"/>
    <w:rsid w:val="00D561A8"/>
    <w:rsid w:val="00D562E6"/>
    <w:rsid w:val="00D56335"/>
    <w:rsid w:val="00D5634E"/>
    <w:rsid w:val="00D5645F"/>
    <w:rsid w:val="00D564CC"/>
    <w:rsid w:val="00D5654D"/>
    <w:rsid w:val="00D5660C"/>
    <w:rsid w:val="00D56754"/>
    <w:rsid w:val="00D567FE"/>
    <w:rsid w:val="00D5685A"/>
    <w:rsid w:val="00D56997"/>
    <w:rsid w:val="00D56C29"/>
    <w:rsid w:val="00D56C6F"/>
    <w:rsid w:val="00D56D3A"/>
    <w:rsid w:val="00D56DFD"/>
    <w:rsid w:val="00D56F73"/>
    <w:rsid w:val="00D56F87"/>
    <w:rsid w:val="00D5709A"/>
    <w:rsid w:val="00D570A3"/>
    <w:rsid w:val="00D570AE"/>
    <w:rsid w:val="00D57373"/>
    <w:rsid w:val="00D573AA"/>
    <w:rsid w:val="00D575D4"/>
    <w:rsid w:val="00D57605"/>
    <w:rsid w:val="00D5782B"/>
    <w:rsid w:val="00D57833"/>
    <w:rsid w:val="00D57BAF"/>
    <w:rsid w:val="00D57DBA"/>
    <w:rsid w:val="00D57F4F"/>
    <w:rsid w:val="00D57FE5"/>
    <w:rsid w:val="00D60127"/>
    <w:rsid w:val="00D601A7"/>
    <w:rsid w:val="00D60258"/>
    <w:rsid w:val="00D602A2"/>
    <w:rsid w:val="00D602D4"/>
    <w:rsid w:val="00D60304"/>
    <w:rsid w:val="00D60445"/>
    <w:rsid w:val="00D6045F"/>
    <w:rsid w:val="00D604E9"/>
    <w:rsid w:val="00D604F1"/>
    <w:rsid w:val="00D6065D"/>
    <w:rsid w:val="00D607AC"/>
    <w:rsid w:val="00D6090D"/>
    <w:rsid w:val="00D60A86"/>
    <w:rsid w:val="00D60BD7"/>
    <w:rsid w:val="00D60BF7"/>
    <w:rsid w:val="00D60CCD"/>
    <w:rsid w:val="00D60CE7"/>
    <w:rsid w:val="00D60D09"/>
    <w:rsid w:val="00D60D64"/>
    <w:rsid w:val="00D60DD3"/>
    <w:rsid w:val="00D60E5C"/>
    <w:rsid w:val="00D60F23"/>
    <w:rsid w:val="00D60F65"/>
    <w:rsid w:val="00D610C4"/>
    <w:rsid w:val="00D61128"/>
    <w:rsid w:val="00D6127B"/>
    <w:rsid w:val="00D61435"/>
    <w:rsid w:val="00D61456"/>
    <w:rsid w:val="00D6168B"/>
    <w:rsid w:val="00D61785"/>
    <w:rsid w:val="00D6190C"/>
    <w:rsid w:val="00D61A53"/>
    <w:rsid w:val="00D61ADC"/>
    <w:rsid w:val="00D61C62"/>
    <w:rsid w:val="00D61FDF"/>
    <w:rsid w:val="00D6201A"/>
    <w:rsid w:val="00D621E2"/>
    <w:rsid w:val="00D624D7"/>
    <w:rsid w:val="00D624E2"/>
    <w:rsid w:val="00D62727"/>
    <w:rsid w:val="00D62730"/>
    <w:rsid w:val="00D6289A"/>
    <w:rsid w:val="00D6296D"/>
    <w:rsid w:val="00D629C4"/>
    <w:rsid w:val="00D62A45"/>
    <w:rsid w:val="00D62A79"/>
    <w:rsid w:val="00D62C2C"/>
    <w:rsid w:val="00D62C9A"/>
    <w:rsid w:val="00D62D33"/>
    <w:rsid w:val="00D62D86"/>
    <w:rsid w:val="00D62E36"/>
    <w:rsid w:val="00D62E90"/>
    <w:rsid w:val="00D62FCD"/>
    <w:rsid w:val="00D630D0"/>
    <w:rsid w:val="00D63169"/>
    <w:rsid w:val="00D631BC"/>
    <w:rsid w:val="00D631CA"/>
    <w:rsid w:val="00D6321E"/>
    <w:rsid w:val="00D6337A"/>
    <w:rsid w:val="00D6347D"/>
    <w:rsid w:val="00D6351C"/>
    <w:rsid w:val="00D63755"/>
    <w:rsid w:val="00D6377F"/>
    <w:rsid w:val="00D63A11"/>
    <w:rsid w:val="00D63A43"/>
    <w:rsid w:val="00D63AE7"/>
    <w:rsid w:val="00D63BF7"/>
    <w:rsid w:val="00D63C75"/>
    <w:rsid w:val="00D63CEE"/>
    <w:rsid w:val="00D63DAE"/>
    <w:rsid w:val="00D63DDD"/>
    <w:rsid w:val="00D63DF3"/>
    <w:rsid w:val="00D63DF4"/>
    <w:rsid w:val="00D63E19"/>
    <w:rsid w:val="00D64200"/>
    <w:rsid w:val="00D6421A"/>
    <w:rsid w:val="00D64225"/>
    <w:rsid w:val="00D6431F"/>
    <w:rsid w:val="00D6433C"/>
    <w:rsid w:val="00D64620"/>
    <w:rsid w:val="00D64744"/>
    <w:rsid w:val="00D649B5"/>
    <w:rsid w:val="00D649FF"/>
    <w:rsid w:val="00D64A4B"/>
    <w:rsid w:val="00D64BD4"/>
    <w:rsid w:val="00D64C83"/>
    <w:rsid w:val="00D64E03"/>
    <w:rsid w:val="00D64E97"/>
    <w:rsid w:val="00D6517B"/>
    <w:rsid w:val="00D651FE"/>
    <w:rsid w:val="00D6525E"/>
    <w:rsid w:val="00D6548A"/>
    <w:rsid w:val="00D65491"/>
    <w:rsid w:val="00D654DA"/>
    <w:rsid w:val="00D6559C"/>
    <w:rsid w:val="00D6569E"/>
    <w:rsid w:val="00D6572D"/>
    <w:rsid w:val="00D657FB"/>
    <w:rsid w:val="00D65934"/>
    <w:rsid w:val="00D65A0E"/>
    <w:rsid w:val="00D65AE8"/>
    <w:rsid w:val="00D65C19"/>
    <w:rsid w:val="00D65D25"/>
    <w:rsid w:val="00D65D46"/>
    <w:rsid w:val="00D65EA7"/>
    <w:rsid w:val="00D65F37"/>
    <w:rsid w:val="00D65F8F"/>
    <w:rsid w:val="00D66033"/>
    <w:rsid w:val="00D662F8"/>
    <w:rsid w:val="00D66503"/>
    <w:rsid w:val="00D6660B"/>
    <w:rsid w:val="00D66677"/>
    <w:rsid w:val="00D66697"/>
    <w:rsid w:val="00D66813"/>
    <w:rsid w:val="00D669F2"/>
    <w:rsid w:val="00D66B24"/>
    <w:rsid w:val="00D66C0D"/>
    <w:rsid w:val="00D66E09"/>
    <w:rsid w:val="00D66F0B"/>
    <w:rsid w:val="00D66F78"/>
    <w:rsid w:val="00D6705A"/>
    <w:rsid w:val="00D67142"/>
    <w:rsid w:val="00D6722A"/>
    <w:rsid w:val="00D67309"/>
    <w:rsid w:val="00D67338"/>
    <w:rsid w:val="00D673CF"/>
    <w:rsid w:val="00D675C5"/>
    <w:rsid w:val="00D675E6"/>
    <w:rsid w:val="00D67673"/>
    <w:rsid w:val="00D67735"/>
    <w:rsid w:val="00D67802"/>
    <w:rsid w:val="00D678FB"/>
    <w:rsid w:val="00D6797B"/>
    <w:rsid w:val="00D67C16"/>
    <w:rsid w:val="00D67C1C"/>
    <w:rsid w:val="00D67D99"/>
    <w:rsid w:val="00D67DC4"/>
    <w:rsid w:val="00D67DC6"/>
    <w:rsid w:val="00D67E26"/>
    <w:rsid w:val="00D67EA0"/>
    <w:rsid w:val="00D67FEA"/>
    <w:rsid w:val="00D70147"/>
    <w:rsid w:val="00D70204"/>
    <w:rsid w:val="00D70325"/>
    <w:rsid w:val="00D70339"/>
    <w:rsid w:val="00D7048C"/>
    <w:rsid w:val="00D706B2"/>
    <w:rsid w:val="00D707C0"/>
    <w:rsid w:val="00D70A49"/>
    <w:rsid w:val="00D70B45"/>
    <w:rsid w:val="00D70C01"/>
    <w:rsid w:val="00D70C6A"/>
    <w:rsid w:val="00D70CA5"/>
    <w:rsid w:val="00D70CD5"/>
    <w:rsid w:val="00D70D0D"/>
    <w:rsid w:val="00D70E3B"/>
    <w:rsid w:val="00D70ECA"/>
    <w:rsid w:val="00D70F0A"/>
    <w:rsid w:val="00D70F6A"/>
    <w:rsid w:val="00D710C4"/>
    <w:rsid w:val="00D71146"/>
    <w:rsid w:val="00D7118F"/>
    <w:rsid w:val="00D71232"/>
    <w:rsid w:val="00D714E6"/>
    <w:rsid w:val="00D71527"/>
    <w:rsid w:val="00D717D6"/>
    <w:rsid w:val="00D717F4"/>
    <w:rsid w:val="00D71840"/>
    <w:rsid w:val="00D71888"/>
    <w:rsid w:val="00D71949"/>
    <w:rsid w:val="00D71971"/>
    <w:rsid w:val="00D71A4F"/>
    <w:rsid w:val="00D71C90"/>
    <w:rsid w:val="00D71E84"/>
    <w:rsid w:val="00D71F59"/>
    <w:rsid w:val="00D720A8"/>
    <w:rsid w:val="00D720F4"/>
    <w:rsid w:val="00D72129"/>
    <w:rsid w:val="00D721A3"/>
    <w:rsid w:val="00D721AD"/>
    <w:rsid w:val="00D72258"/>
    <w:rsid w:val="00D724BF"/>
    <w:rsid w:val="00D724C3"/>
    <w:rsid w:val="00D725A0"/>
    <w:rsid w:val="00D725B7"/>
    <w:rsid w:val="00D725B9"/>
    <w:rsid w:val="00D725E5"/>
    <w:rsid w:val="00D72614"/>
    <w:rsid w:val="00D7262C"/>
    <w:rsid w:val="00D7263E"/>
    <w:rsid w:val="00D72887"/>
    <w:rsid w:val="00D72A35"/>
    <w:rsid w:val="00D72A6C"/>
    <w:rsid w:val="00D72BD8"/>
    <w:rsid w:val="00D72D36"/>
    <w:rsid w:val="00D72E94"/>
    <w:rsid w:val="00D72F16"/>
    <w:rsid w:val="00D7301C"/>
    <w:rsid w:val="00D7316B"/>
    <w:rsid w:val="00D73292"/>
    <w:rsid w:val="00D73471"/>
    <w:rsid w:val="00D7350F"/>
    <w:rsid w:val="00D73659"/>
    <w:rsid w:val="00D737B2"/>
    <w:rsid w:val="00D737EA"/>
    <w:rsid w:val="00D73898"/>
    <w:rsid w:val="00D739C6"/>
    <w:rsid w:val="00D73A77"/>
    <w:rsid w:val="00D73B8B"/>
    <w:rsid w:val="00D73BFE"/>
    <w:rsid w:val="00D74081"/>
    <w:rsid w:val="00D740D1"/>
    <w:rsid w:val="00D742F1"/>
    <w:rsid w:val="00D742F3"/>
    <w:rsid w:val="00D743B9"/>
    <w:rsid w:val="00D743EB"/>
    <w:rsid w:val="00D743F0"/>
    <w:rsid w:val="00D744F5"/>
    <w:rsid w:val="00D746FE"/>
    <w:rsid w:val="00D74794"/>
    <w:rsid w:val="00D74904"/>
    <w:rsid w:val="00D74B16"/>
    <w:rsid w:val="00D74B29"/>
    <w:rsid w:val="00D74B79"/>
    <w:rsid w:val="00D74B9A"/>
    <w:rsid w:val="00D74DF6"/>
    <w:rsid w:val="00D74EF9"/>
    <w:rsid w:val="00D75011"/>
    <w:rsid w:val="00D7510A"/>
    <w:rsid w:val="00D751DD"/>
    <w:rsid w:val="00D752C3"/>
    <w:rsid w:val="00D756DE"/>
    <w:rsid w:val="00D75733"/>
    <w:rsid w:val="00D75742"/>
    <w:rsid w:val="00D7588A"/>
    <w:rsid w:val="00D75F76"/>
    <w:rsid w:val="00D75FD4"/>
    <w:rsid w:val="00D76143"/>
    <w:rsid w:val="00D76145"/>
    <w:rsid w:val="00D7615A"/>
    <w:rsid w:val="00D76248"/>
    <w:rsid w:val="00D76282"/>
    <w:rsid w:val="00D762E8"/>
    <w:rsid w:val="00D763C5"/>
    <w:rsid w:val="00D76564"/>
    <w:rsid w:val="00D765DF"/>
    <w:rsid w:val="00D76B65"/>
    <w:rsid w:val="00D76B83"/>
    <w:rsid w:val="00D76DBE"/>
    <w:rsid w:val="00D76E36"/>
    <w:rsid w:val="00D76E55"/>
    <w:rsid w:val="00D76E5D"/>
    <w:rsid w:val="00D76EDB"/>
    <w:rsid w:val="00D770D7"/>
    <w:rsid w:val="00D770F3"/>
    <w:rsid w:val="00D77166"/>
    <w:rsid w:val="00D7721E"/>
    <w:rsid w:val="00D77220"/>
    <w:rsid w:val="00D7750D"/>
    <w:rsid w:val="00D776A9"/>
    <w:rsid w:val="00D7788B"/>
    <w:rsid w:val="00D778AE"/>
    <w:rsid w:val="00D77972"/>
    <w:rsid w:val="00D77AE8"/>
    <w:rsid w:val="00D77C5F"/>
    <w:rsid w:val="00D77D1C"/>
    <w:rsid w:val="00D77DE6"/>
    <w:rsid w:val="00D77E32"/>
    <w:rsid w:val="00D77F41"/>
    <w:rsid w:val="00D8008D"/>
    <w:rsid w:val="00D800DA"/>
    <w:rsid w:val="00D80175"/>
    <w:rsid w:val="00D801C7"/>
    <w:rsid w:val="00D801DF"/>
    <w:rsid w:val="00D802EF"/>
    <w:rsid w:val="00D803AD"/>
    <w:rsid w:val="00D80415"/>
    <w:rsid w:val="00D804D5"/>
    <w:rsid w:val="00D80646"/>
    <w:rsid w:val="00D8089E"/>
    <w:rsid w:val="00D809EB"/>
    <w:rsid w:val="00D80A06"/>
    <w:rsid w:val="00D80ABC"/>
    <w:rsid w:val="00D80AF3"/>
    <w:rsid w:val="00D80DA2"/>
    <w:rsid w:val="00D81057"/>
    <w:rsid w:val="00D81319"/>
    <w:rsid w:val="00D81546"/>
    <w:rsid w:val="00D8158E"/>
    <w:rsid w:val="00D81680"/>
    <w:rsid w:val="00D817B0"/>
    <w:rsid w:val="00D8186C"/>
    <w:rsid w:val="00D818BA"/>
    <w:rsid w:val="00D81A26"/>
    <w:rsid w:val="00D81A50"/>
    <w:rsid w:val="00D81A7D"/>
    <w:rsid w:val="00D81AC5"/>
    <w:rsid w:val="00D82001"/>
    <w:rsid w:val="00D82006"/>
    <w:rsid w:val="00D82408"/>
    <w:rsid w:val="00D82498"/>
    <w:rsid w:val="00D8251D"/>
    <w:rsid w:val="00D82550"/>
    <w:rsid w:val="00D825E5"/>
    <w:rsid w:val="00D82753"/>
    <w:rsid w:val="00D8280E"/>
    <w:rsid w:val="00D828D3"/>
    <w:rsid w:val="00D82A44"/>
    <w:rsid w:val="00D82C5C"/>
    <w:rsid w:val="00D82F64"/>
    <w:rsid w:val="00D8303F"/>
    <w:rsid w:val="00D830CF"/>
    <w:rsid w:val="00D832D4"/>
    <w:rsid w:val="00D833D5"/>
    <w:rsid w:val="00D8343D"/>
    <w:rsid w:val="00D8377D"/>
    <w:rsid w:val="00D83859"/>
    <w:rsid w:val="00D8385B"/>
    <w:rsid w:val="00D83905"/>
    <w:rsid w:val="00D83959"/>
    <w:rsid w:val="00D83985"/>
    <w:rsid w:val="00D83994"/>
    <w:rsid w:val="00D8399E"/>
    <w:rsid w:val="00D83A7C"/>
    <w:rsid w:val="00D83B9B"/>
    <w:rsid w:val="00D83D37"/>
    <w:rsid w:val="00D83DC3"/>
    <w:rsid w:val="00D83E7A"/>
    <w:rsid w:val="00D83E83"/>
    <w:rsid w:val="00D83FC4"/>
    <w:rsid w:val="00D84030"/>
    <w:rsid w:val="00D8405D"/>
    <w:rsid w:val="00D841A1"/>
    <w:rsid w:val="00D84225"/>
    <w:rsid w:val="00D8425F"/>
    <w:rsid w:val="00D842CA"/>
    <w:rsid w:val="00D84405"/>
    <w:rsid w:val="00D846B3"/>
    <w:rsid w:val="00D8490A"/>
    <w:rsid w:val="00D84AA3"/>
    <w:rsid w:val="00D84AEC"/>
    <w:rsid w:val="00D84B14"/>
    <w:rsid w:val="00D84B4E"/>
    <w:rsid w:val="00D84B4F"/>
    <w:rsid w:val="00D84BC3"/>
    <w:rsid w:val="00D84DA2"/>
    <w:rsid w:val="00D84E01"/>
    <w:rsid w:val="00D84ED6"/>
    <w:rsid w:val="00D84EE8"/>
    <w:rsid w:val="00D84F3C"/>
    <w:rsid w:val="00D84FA6"/>
    <w:rsid w:val="00D85221"/>
    <w:rsid w:val="00D85229"/>
    <w:rsid w:val="00D852DA"/>
    <w:rsid w:val="00D8530C"/>
    <w:rsid w:val="00D85370"/>
    <w:rsid w:val="00D853D2"/>
    <w:rsid w:val="00D855F8"/>
    <w:rsid w:val="00D856D3"/>
    <w:rsid w:val="00D858E7"/>
    <w:rsid w:val="00D85905"/>
    <w:rsid w:val="00D859C9"/>
    <w:rsid w:val="00D85B9B"/>
    <w:rsid w:val="00D85DA5"/>
    <w:rsid w:val="00D85E50"/>
    <w:rsid w:val="00D85FD5"/>
    <w:rsid w:val="00D86020"/>
    <w:rsid w:val="00D86226"/>
    <w:rsid w:val="00D863F0"/>
    <w:rsid w:val="00D8649F"/>
    <w:rsid w:val="00D86576"/>
    <w:rsid w:val="00D865A7"/>
    <w:rsid w:val="00D868A9"/>
    <w:rsid w:val="00D86914"/>
    <w:rsid w:val="00D86A18"/>
    <w:rsid w:val="00D86B7E"/>
    <w:rsid w:val="00D86D49"/>
    <w:rsid w:val="00D86D5C"/>
    <w:rsid w:val="00D86D8B"/>
    <w:rsid w:val="00D86E22"/>
    <w:rsid w:val="00D86E39"/>
    <w:rsid w:val="00D86F60"/>
    <w:rsid w:val="00D87076"/>
    <w:rsid w:val="00D8708F"/>
    <w:rsid w:val="00D873D7"/>
    <w:rsid w:val="00D87565"/>
    <w:rsid w:val="00D875CE"/>
    <w:rsid w:val="00D8767B"/>
    <w:rsid w:val="00D87979"/>
    <w:rsid w:val="00D87B2F"/>
    <w:rsid w:val="00D87B74"/>
    <w:rsid w:val="00D87C3B"/>
    <w:rsid w:val="00D90049"/>
    <w:rsid w:val="00D90082"/>
    <w:rsid w:val="00D900F9"/>
    <w:rsid w:val="00D9011A"/>
    <w:rsid w:val="00D90255"/>
    <w:rsid w:val="00D90647"/>
    <w:rsid w:val="00D90657"/>
    <w:rsid w:val="00D90A9A"/>
    <w:rsid w:val="00D90AA3"/>
    <w:rsid w:val="00D90BE2"/>
    <w:rsid w:val="00D90F24"/>
    <w:rsid w:val="00D90FB9"/>
    <w:rsid w:val="00D9110D"/>
    <w:rsid w:val="00D91148"/>
    <w:rsid w:val="00D9118B"/>
    <w:rsid w:val="00D91298"/>
    <w:rsid w:val="00D91377"/>
    <w:rsid w:val="00D913B5"/>
    <w:rsid w:val="00D914E9"/>
    <w:rsid w:val="00D91777"/>
    <w:rsid w:val="00D917EE"/>
    <w:rsid w:val="00D919DE"/>
    <w:rsid w:val="00D91B39"/>
    <w:rsid w:val="00D91C0E"/>
    <w:rsid w:val="00D91D22"/>
    <w:rsid w:val="00D91DF7"/>
    <w:rsid w:val="00D91E45"/>
    <w:rsid w:val="00D91E69"/>
    <w:rsid w:val="00D91ECC"/>
    <w:rsid w:val="00D91F09"/>
    <w:rsid w:val="00D91F5E"/>
    <w:rsid w:val="00D91F8F"/>
    <w:rsid w:val="00D9202E"/>
    <w:rsid w:val="00D92100"/>
    <w:rsid w:val="00D92236"/>
    <w:rsid w:val="00D92270"/>
    <w:rsid w:val="00D9231F"/>
    <w:rsid w:val="00D9236E"/>
    <w:rsid w:val="00D925F3"/>
    <w:rsid w:val="00D92843"/>
    <w:rsid w:val="00D92B17"/>
    <w:rsid w:val="00D92EBB"/>
    <w:rsid w:val="00D930F7"/>
    <w:rsid w:val="00D931EB"/>
    <w:rsid w:val="00D931FD"/>
    <w:rsid w:val="00D93263"/>
    <w:rsid w:val="00D93423"/>
    <w:rsid w:val="00D935AA"/>
    <w:rsid w:val="00D93AFD"/>
    <w:rsid w:val="00D93B01"/>
    <w:rsid w:val="00D93D16"/>
    <w:rsid w:val="00D93D2F"/>
    <w:rsid w:val="00D93D5E"/>
    <w:rsid w:val="00D93DBD"/>
    <w:rsid w:val="00D93E7C"/>
    <w:rsid w:val="00D93ECC"/>
    <w:rsid w:val="00D93F3B"/>
    <w:rsid w:val="00D93F76"/>
    <w:rsid w:val="00D94227"/>
    <w:rsid w:val="00D9432D"/>
    <w:rsid w:val="00D94350"/>
    <w:rsid w:val="00D94351"/>
    <w:rsid w:val="00D94404"/>
    <w:rsid w:val="00D94441"/>
    <w:rsid w:val="00D94459"/>
    <w:rsid w:val="00D94474"/>
    <w:rsid w:val="00D944C0"/>
    <w:rsid w:val="00D94555"/>
    <w:rsid w:val="00D9465F"/>
    <w:rsid w:val="00D946EE"/>
    <w:rsid w:val="00D94776"/>
    <w:rsid w:val="00D94898"/>
    <w:rsid w:val="00D94974"/>
    <w:rsid w:val="00D94975"/>
    <w:rsid w:val="00D9498D"/>
    <w:rsid w:val="00D94A0E"/>
    <w:rsid w:val="00D94BF3"/>
    <w:rsid w:val="00D94C95"/>
    <w:rsid w:val="00D94CAF"/>
    <w:rsid w:val="00D94E05"/>
    <w:rsid w:val="00D94FC1"/>
    <w:rsid w:val="00D950B3"/>
    <w:rsid w:val="00D950F7"/>
    <w:rsid w:val="00D95103"/>
    <w:rsid w:val="00D95147"/>
    <w:rsid w:val="00D95359"/>
    <w:rsid w:val="00D95415"/>
    <w:rsid w:val="00D954E0"/>
    <w:rsid w:val="00D957FF"/>
    <w:rsid w:val="00D95A68"/>
    <w:rsid w:val="00D95B04"/>
    <w:rsid w:val="00D95BC8"/>
    <w:rsid w:val="00D95C4D"/>
    <w:rsid w:val="00D95D03"/>
    <w:rsid w:val="00D95D37"/>
    <w:rsid w:val="00D95E78"/>
    <w:rsid w:val="00D95FF7"/>
    <w:rsid w:val="00D9613C"/>
    <w:rsid w:val="00D9614C"/>
    <w:rsid w:val="00D9617E"/>
    <w:rsid w:val="00D96322"/>
    <w:rsid w:val="00D96479"/>
    <w:rsid w:val="00D96485"/>
    <w:rsid w:val="00D9658D"/>
    <w:rsid w:val="00D966C4"/>
    <w:rsid w:val="00D96740"/>
    <w:rsid w:val="00D967FE"/>
    <w:rsid w:val="00D9680E"/>
    <w:rsid w:val="00D96838"/>
    <w:rsid w:val="00D96861"/>
    <w:rsid w:val="00D968D1"/>
    <w:rsid w:val="00D96960"/>
    <w:rsid w:val="00D969C5"/>
    <w:rsid w:val="00D96A38"/>
    <w:rsid w:val="00D96A7D"/>
    <w:rsid w:val="00D96BF6"/>
    <w:rsid w:val="00D96C46"/>
    <w:rsid w:val="00D96D22"/>
    <w:rsid w:val="00D96F32"/>
    <w:rsid w:val="00D96F40"/>
    <w:rsid w:val="00D96F68"/>
    <w:rsid w:val="00D97003"/>
    <w:rsid w:val="00D9706C"/>
    <w:rsid w:val="00D971DA"/>
    <w:rsid w:val="00D972D5"/>
    <w:rsid w:val="00D9743D"/>
    <w:rsid w:val="00D9751A"/>
    <w:rsid w:val="00D97527"/>
    <w:rsid w:val="00D975AE"/>
    <w:rsid w:val="00D97744"/>
    <w:rsid w:val="00D97B37"/>
    <w:rsid w:val="00D97B4A"/>
    <w:rsid w:val="00D97C33"/>
    <w:rsid w:val="00D97CB1"/>
    <w:rsid w:val="00D97EBB"/>
    <w:rsid w:val="00D97EBC"/>
    <w:rsid w:val="00DA00B7"/>
    <w:rsid w:val="00DA0251"/>
    <w:rsid w:val="00DA034A"/>
    <w:rsid w:val="00DA0372"/>
    <w:rsid w:val="00DA03A1"/>
    <w:rsid w:val="00DA04AD"/>
    <w:rsid w:val="00DA055F"/>
    <w:rsid w:val="00DA0716"/>
    <w:rsid w:val="00DA0861"/>
    <w:rsid w:val="00DA086E"/>
    <w:rsid w:val="00DA093B"/>
    <w:rsid w:val="00DA096B"/>
    <w:rsid w:val="00DA0C92"/>
    <w:rsid w:val="00DA0D56"/>
    <w:rsid w:val="00DA0E5D"/>
    <w:rsid w:val="00DA0E78"/>
    <w:rsid w:val="00DA0F33"/>
    <w:rsid w:val="00DA1050"/>
    <w:rsid w:val="00DA11E3"/>
    <w:rsid w:val="00DA120E"/>
    <w:rsid w:val="00DA12B3"/>
    <w:rsid w:val="00DA12C5"/>
    <w:rsid w:val="00DA1507"/>
    <w:rsid w:val="00DA166B"/>
    <w:rsid w:val="00DA16FE"/>
    <w:rsid w:val="00DA17A9"/>
    <w:rsid w:val="00DA1AAC"/>
    <w:rsid w:val="00DA1AE3"/>
    <w:rsid w:val="00DA1B4E"/>
    <w:rsid w:val="00DA2086"/>
    <w:rsid w:val="00DA213B"/>
    <w:rsid w:val="00DA21DC"/>
    <w:rsid w:val="00DA221F"/>
    <w:rsid w:val="00DA224B"/>
    <w:rsid w:val="00DA232E"/>
    <w:rsid w:val="00DA24DC"/>
    <w:rsid w:val="00DA265A"/>
    <w:rsid w:val="00DA276B"/>
    <w:rsid w:val="00DA2938"/>
    <w:rsid w:val="00DA2B9E"/>
    <w:rsid w:val="00DA2BFD"/>
    <w:rsid w:val="00DA2C70"/>
    <w:rsid w:val="00DA2CE1"/>
    <w:rsid w:val="00DA2D75"/>
    <w:rsid w:val="00DA2F62"/>
    <w:rsid w:val="00DA309B"/>
    <w:rsid w:val="00DA30B7"/>
    <w:rsid w:val="00DA30C4"/>
    <w:rsid w:val="00DA30D3"/>
    <w:rsid w:val="00DA32EA"/>
    <w:rsid w:val="00DA33EA"/>
    <w:rsid w:val="00DA3567"/>
    <w:rsid w:val="00DA35B5"/>
    <w:rsid w:val="00DA3657"/>
    <w:rsid w:val="00DA3987"/>
    <w:rsid w:val="00DA3A27"/>
    <w:rsid w:val="00DA3A39"/>
    <w:rsid w:val="00DA3B2A"/>
    <w:rsid w:val="00DA3EB1"/>
    <w:rsid w:val="00DA4277"/>
    <w:rsid w:val="00DA42AF"/>
    <w:rsid w:val="00DA436B"/>
    <w:rsid w:val="00DA4461"/>
    <w:rsid w:val="00DA44A1"/>
    <w:rsid w:val="00DA4772"/>
    <w:rsid w:val="00DA4823"/>
    <w:rsid w:val="00DA49FB"/>
    <w:rsid w:val="00DA4C0B"/>
    <w:rsid w:val="00DA4C2B"/>
    <w:rsid w:val="00DA4C86"/>
    <w:rsid w:val="00DA5027"/>
    <w:rsid w:val="00DA52AB"/>
    <w:rsid w:val="00DA52D9"/>
    <w:rsid w:val="00DA5549"/>
    <w:rsid w:val="00DA56CD"/>
    <w:rsid w:val="00DA5822"/>
    <w:rsid w:val="00DA5A7E"/>
    <w:rsid w:val="00DA5EAD"/>
    <w:rsid w:val="00DA5F83"/>
    <w:rsid w:val="00DA6037"/>
    <w:rsid w:val="00DA6056"/>
    <w:rsid w:val="00DA612F"/>
    <w:rsid w:val="00DA61CF"/>
    <w:rsid w:val="00DA63C9"/>
    <w:rsid w:val="00DA6453"/>
    <w:rsid w:val="00DA64B1"/>
    <w:rsid w:val="00DA65E4"/>
    <w:rsid w:val="00DA674D"/>
    <w:rsid w:val="00DA680C"/>
    <w:rsid w:val="00DA681A"/>
    <w:rsid w:val="00DA68F5"/>
    <w:rsid w:val="00DA69DD"/>
    <w:rsid w:val="00DA69F5"/>
    <w:rsid w:val="00DA6ADA"/>
    <w:rsid w:val="00DA6BFC"/>
    <w:rsid w:val="00DA6D5B"/>
    <w:rsid w:val="00DA6D81"/>
    <w:rsid w:val="00DA6DC8"/>
    <w:rsid w:val="00DA6DEE"/>
    <w:rsid w:val="00DA6E30"/>
    <w:rsid w:val="00DA6EC6"/>
    <w:rsid w:val="00DA6FB9"/>
    <w:rsid w:val="00DA7019"/>
    <w:rsid w:val="00DA7156"/>
    <w:rsid w:val="00DA7298"/>
    <w:rsid w:val="00DA7313"/>
    <w:rsid w:val="00DA7324"/>
    <w:rsid w:val="00DA73C1"/>
    <w:rsid w:val="00DA73E1"/>
    <w:rsid w:val="00DA73FC"/>
    <w:rsid w:val="00DA75A9"/>
    <w:rsid w:val="00DA75DB"/>
    <w:rsid w:val="00DA75FD"/>
    <w:rsid w:val="00DA7709"/>
    <w:rsid w:val="00DA775C"/>
    <w:rsid w:val="00DA7796"/>
    <w:rsid w:val="00DA77E8"/>
    <w:rsid w:val="00DA789D"/>
    <w:rsid w:val="00DA78E3"/>
    <w:rsid w:val="00DA7936"/>
    <w:rsid w:val="00DA79EF"/>
    <w:rsid w:val="00DA7AF2"/>
    <w:rsid w:val="00DA7CC1"/>
    <w:rsid w:val="00DA7CF6"/>
    <w:rsid w:val="00DA7ED4"/>
    <w:rsid w:val="00DA7FDC"/>
    <w:rsid w:val="00DA7FF3"/>
    <w:rsid w:val="00DB0178"/>
    <w:rsid w:val="00DB019C"/>
    <w:rsid w:val="00DB01AF"/>
    <w:rsid w:val="00DB0251"/>
    <w:rsid w:val="00DB043B"/>
    <w:rsid w:val="00DB0481"/>
    <w:rsid w:val="00DB07C2"/>
    <w:rsid w:val="00DB07D6"/>
    <w:rsid w:val="00DB08E0"/>
    <w:rsid w:val="00DB0A3D"/>
    <w:rsid w:val="00DB0AD2"/>
    <w:rsid w:val="00DB0B6A"/>
    <w:rsid w:val="00DB0BD0"/>
    <w:rsid w:val="00DB0C8E"/>
    <w:rsid w:val="00DB0CB4"/>
    <w:rsid w:val="00DB0D3E"/>
    <w:rsid w:val="00DB113D"/>
    <w:rsid w:val="00DB12F1"/>
    <w:rsid w:val="00DB130C"/>
    <w:rsid w:val="00DB1384"/>
    <w:rsid w:val="00DB141A"/>
    <w:rsid w:val="00DB144B"/>
    <w:rsid w:val="00DB1609"/>
    <w:rsid w:val="00DB170A"/>
    <w:rsid w:val="00DB1965"/>
    <w:rsid w:val="00DB1A3E"/>
    <w:rsid w:val="00DB1B2A"/>
    <w:rsid w:val="00DB1B39"/>
    <w:rsid w:val="00DB1BA0"/>
    <w:rsid w:val="00DB1C28"/>
    <w:rsid w:val="00DB1D10"/>
    <w:rsid w:val="00DB1DA9"/>
    <w:rsid w:val="00DB1E7F"/>
    <w:rsid w:val="00DB1EC4"/>
    <w:rsid w:val="00DB1F1A"/>
    <w:rsid w:val="00DB1FF1"/>
    <w:rsid w:val="00DB20D7"/>
    <w:rsid w:val="00DB2194"/>
    <w:rsid w:val="00DB21F0"/>
    <w:rsid w:val="00DB21FE"/>
    <w:rsid w:val="00DB220C"/>
    <w:rsid w:val="00DB2379"/>
    <w:rsid w:val="00DB2399"/>
    <w:rsid w:val="00DB24A8"/>
    <w:rsid w:val="00DB24B6"/>
    <w:rsid w:val="00DB24B7"/>
    <w:rsid w:val="00DB24C7"/>
    <w:rsid w:val="00DB2593"/>
    <w:rsid w:val="00DB2753"/>
    <w:rsid w:val="00DB27E9"/>
    <w:rsid w:val="00DB28A1"/>
    <w:rsid w:val="00DB2A0A"/>
    <w:rsid w:val="00DB2A14"/>
    <w:rsid w:val="00DB2AA0"/>
    <w:rsid w:val="00DB2BC2"/>
    <w:rsid w:val="00DB2C2E"/>
    <w:rsid w:val="00DB2C6D"/>
    <w:rsid w:val="00DB2CCA"/>
    <w:rsid w:val="00DB2CEA"/>
    <w:rsid w:val="00DB2D01"/>
    <w:rsid w:val="00DB2EA0"/>
    <w:rsid w:val="00DB2EC7"/>
    <w:rsid w:val="00DB2F20"/>
    <w:rsid w:val="00DB31B6"/>
    <w:rsid w:val="00DB3328"/>
    <w:rsid w:val="00DB3358"/>
    <w:rsid w:val="00DB3393"/>
    <w:rsid w:val="00DB3493"/>
    <w:rsid w:val="00DB363F"/>
    <w:rsid w:val="00DB3797"/>
    <w:rsid w:val="00DB37AD"/>
    <w:rsid w:val="00DB3859"/>
    <w:rsid w:val="00DB3895"/>
    <w:rsid w:val="00DB3914"/>
    <w:rsid w:val="00DB3A45"/>
    <w:rsid w:val="00DB3A5D"/>
    <w:rsid w:val="00DB3B5B"/>
    <w:rsid w:val="00DB3B74"/>
    <w:rsid w:val="00DB3BDB"/>
    <w:rsid w:val="00DB3BF7"/>
    <w:rsid w:val="00DB3D9F"/>
    <w:rsid w:val="00DB3EDA"/>
    <w:rsid w:val="00DB416A"/>
    <w:rsid w:val="00DB41F7"/>
    <w:rsid w:val="00DB42D9"/>
    <w:rsid w:val="00DB433B"/>
    <w:rsid w:val="00DB4352"/>
    <w:rsid w:val="00DB43DA"/>
    <w:rsid w:val="00DB4630"/>
    <w:rsid w:val="00DB468A"/>
    <w:rsid w:val="00DB46D0"/>
    <w:rsid w:val="00DB46D6"/>
    <w:rsid w:val="00DB470A"/>
    <w:rsid w:val="00DB47C3"/>
    <w:rsid w:val="00DB4837"/>
    <w:rsid w:val="00DB4953"/>
    <w:rsid w:val="00DB4A55"/>
    <w:rsid w:val="00DB4B4B"/>
    <w:rsid w:val="00DB4BA4"/>
    <w:rsid w:val="00DB4CC6"/>
    <w:rsid w:val="00DB4D11"/>
    <w:rsid w:val="00DB4DD3"/>
    <w:rsid w:val="00DB4E3F"/>
    <w:rsid w:val="00DB4F2E"/>
    <w:rsid w:val="00DB5009"/>
    <w:rsid w:val="00DB502F"/>
    <w:rsid w:val="00DB51ED"/>
    <w:rsid w:val="00DB5322"/>
    <w:rsid w:val="00DB5346"/>
    <w:rsid w:val="00DB5379"/>
    <w:rsid w:val="00DB54DA"/>
    <w:rsid w:val="00DB5542"/>
    <w:rsid w:val="00DB555E"/>
    <w:rsid w:val="00DB564D"/>
    <w:rsid w:val="00DB5682"/>
    <w:rsid w:val="00DB5802"/>
    <w:rsid w:val="00DB5873"/>
    <w:rsid w:val="00DB5936"/>
    <w:rsid w:val="00DB5A6B"/>
    <w:rsid w:val="00DB5AA2"/>
    <w:rsid w:val="00DB5C21"/>
    <w:rsid w:val="00DB5CD9"/>
    <w:rsid w:val="00DB5E4F"/>
    <w:rsid w:val="00DB5EBE"/>
    <w:rsid w:val="00DB5F5B"/>
    <w:rsid w:val="00DB6097"/>
    <w:rsid w:val="00DB63AB"/>
    <w:rsid w:val="00DB63AE"/>
    <w:rsid w:val="00DB645B"/>
    <w:rsid w:val="00DB658A"/>
    <w:rsid w:val="00DB66F2"/>
    <w:rsid w:val="00DB6766"/>
    <w:rsid w:val="00DB6777"/>
    <w:rsid w:val="00DB69BE"/>
    <w:rsid w:val="00DB6AC6"/>
    <w:rsid w:val="00DB6B8F"/>
    <w:rsid w:val="00DB6B91"/>
    <w:rsid w:val="00DB6BF0"/>
    <w:rsid w:val="00DB6C67"/>
    <w:rsid w:val="00DB6C99"/>
    <w:rsid w:val="00DB7005"/>
    <w:rsid w:val="00DB70E3"/>
    <w:rsid w:val="00DB70E9"/>
    <w:rsid w:val="00DB710F"/>
    <w:rsid w:val="00DB7131"/>
    <w:rsid w:val="00DB717D"/>
    <w:rsid w:val="00DB72BA"/>
    <w:rsid w:val="00DB72C9"/>
    <w:rsid w:val="00DB732A"/>
    <w:rsid w:val="00DB734B"/>
    <w:rsid w:val="00DB7371"/>
    <w:rsid w:val="00DB7668"/>
    <w:rsid w:val="00DB785E"/>
    <w:rsid w:val="00DB7965"/>
    <w:rsid w:val="00DB79CD"/>
    <w:rsid w:val="00DB7AED"/>
    <w:rsid w:val="00DB7B28"/>
    <w:rsid w:val="00DB7BE8"/>
    <w:rsid w:val="00DB7D0D"/>
    <w:rsid w:val="00DB7D1C"/>
    <w:rsid w:val="00DB7D3D"/>
    <w:rsid w:val="00DB7D7D"/>
    <w:rsid w:val="00DB7E8E"/>
    <w:rsid w:val="00DB7EFB"/>
    <w:rsid w:val="00DC005B"/>
    <w:rsid w:val="00DC00F0"/>
    <w:rsid w:val="00DC0114"/>
    <w:rsid w:val="00DC0222"/>
    <w:rsid w:val="00DC024D"/>
    <w:rsid w:val="00DC0345"/>
    <w:rsid w:val="00DC03E7"/>
    <w:rsid w:val="00DC05FF"/>
    <w:rsid w:val="00DC0713"/>
    <w:rsid w:val="00DC074A"/>
    <w:rsid w:val="00DC087E"/>
    <w:rsid w:val="00DC09ED"/>
    <w:rsid w:val="00DC0C1B"/>
    <w:rsid w:val="00DC0D08"/>
    <w:rsid w:val="00DC0D81"/>
    <w:rsid w:val="00DC0DF8"/>
    <w:rsid w:val="00DC1085"/>
    <w:rsid w:val="00DC13E5"/>
    <w:rsid w:val="00DC1536"/>
    <w:rsid w:val="00DC155D"/>
    <w:rsid w:val="00DC1585"/>
    <w:rsid w:val="00DC173B"/>
    <w:rsid w:val="00DC173D"/>
    <w:rsid w:val="00DC1B4E"/>
    <w:rsid w:val="00DC1BB9"/>
    <w:rsid w:val="00DC2397"/>
    <w:rsid w:val="00DC2428"/>
    <w:rsid w:val="00DC2488"/>
    <w:rsid w:val="00DC2564"/>
    <w:rsid w:val="00DC2686"/>
    <w:rsid w:val="00DC270F"/>
    <w:rsid w:val="00DC2779"/>
    <w:rsid w:val="00DC2784"/>
    <w:rsid w:val="00DC299E"/>
    <w:rsid w:val="00DC2B06"/>
    <w:rsid w:val="00DC2B6E"/>
    <w:rsid w:val="00DC2D70"/>
    <w:rsid w:val="00DC2DEF"/>
    <w:rsid w:val="00DC2E89"/>
    <w:rsid w:val="00DC2EF0"/>
    <w:rsid w:val="00DC2F1F"/>
    <w:rsid w:val="00DC2F25"/>
    <w:rsid w:val="00DC2F4B"/>
    <w:rsid w:val="00DC3033"/>
    <w:rsid w:val="00DC305A"/>
    <w:rsid w:val="00DC30D6"/>
    <w:rsid w:val="00DC3298"/>
    <w:rsid w:val="00DC32E6"/>
    <w:rsid w:val="00DC3310"/>
    <w:rsid w:val="00DC340E"/>
    <w:rsid w:val="00DC345B"/>
    <w:rsid w:val="00DC34BE"/>
    <w:rsid w:val="00DC3540"/>
    <w:rsid w:val="00DC3605"/>
    <w:rsid w:val="00DC3686"/>
    <w:rsid w:val="00DC3691"/>
    <w:rsid w:val="00DC370F"/>
    <w:rsid w:val="00DC3BEA"/>
    <w:rsid w:val="00DC3C3D"/>
    <w:rsid w:val="00DC3CCB"/>
    <w:rsid w:val="00DC3DDA"/>
    <w:rsid w:val="00DC3E6E"/>
    <w:rsid w:val="00DC3EAC"/>
    <w:rsid w:val="00DC3FB4"/>
    <w:rsid w:val="00DC4115"/>
    <w:rsid w:val="00DC4160"/>
    <w:rsid w:val="00DC429E"/>
    <w:rsid w:val="00DC42BE"/>
    <w:rsid w:val="00DC42DD"/>
    <w:rsid w:val="00DC42EA"/>
    <w:rsid w:val="00DC4314"/>
    <w:rsid w:val="00DC4362"/>
    <w:rsid w:val="00DC45D6"/>
    <w:rsid w:val="00DC4637"/>
    <w:rsid w:val="00DC46AD"/>
    <w:rsid w:val="00DC47B1"/>
    <w:rsid w:val="00DC486D"/>
    <w:rsid w:val="00DC4880"/>
    <w:rsid w:val="00DC48AD"/>
    <w:rsid w:val="00DC4915"/>
    <w:rsid w:val="00DC499C"/>
    <w:rsid w:val="00DC4A64"/>
    <w:rsid w:val="00DC4B37"/>
    <w:rsid w:val="00DC4CF9"/>
    <w:rsid w:val="00DC4D2F"/>
    <w:rsid w:val="00DC4D99"/>
    <w:rsid w:val="00DC517E"/>
    <w:rsid w:val="00DC532C"/>
    <w:rsid w:val="00DC5480"/>
    <w:rsid w:val="00DC5527"/>
    <w:rsid w:val="00DC5547"/>
    <w:rsid w:val="00DC5561"/>
    <w:rsid w:val="00DC5771"/>
    <w:rsid w:val="00DC5781"/>
    <w:rsid w:val="00DC5861"/>
    <w:rsid w:val="00DC5950"/>
    <w:rsid w:val="00DC5DA6"/>
    <w:rsid w:val="00DC5EBD"/>
    <w:rsid w:val="00DC6007"/>
    <w:rsid w:val="00DC60D1"/>
    <w:rsid w:val="00DC610E"/>
    <w:rsid w:val="00DC618C"/>
    <w:rsid w:val="00DC62A1"/>
    <w:rsid w:val="00DC6540"/>
    <w:rsid w:val="00DC65F7"/>
    <w:rsid w:val="00DC6676"/>
    <w:rsid w:val="00DC682D"/>
    <w:rsid w:val="00DC6839"/>
    <w:rsid w:val="00DC69C6"/>
    <w:rsid w:val="00DC6A6F"/>
    <w:rsid w:val="00DC6B8E"/>
    <w:rsid w:val="00DC6BB9"/>
    <w:rsid w:val="00DC6BDF"/>
    <w:rsid w:val="00DC6D94"/>
    <w:rsid w:val="00DC6F92"/>
    <w:rsid w:val="00DC6FAA"/>
    <w:rsid w:val="00DC6FFA"/>
    <w:rsid w:val="00DC7035"/>
    <w:rsid w:val="00DC70B9"/>
    <w:rsid w:val="00DC712A"/>
    <w:rsid w:val="00DC714C"/>
    <w:rsid w:val="00DC7352"/>
    <w:rsid w:val="00DC73C4"/>
    <w:rsid w:val="00DC73DB"/>
    <w:rsid w:val="00DC74AC"/>
    <w:rsid w:val="00DC74DB"/>
    <w:rsid w:val="00DC74EA"/>
    <w:rsid w:val="00DC7632"/>
    <w:rsid w:val="00DC76CA"/>
    <w:rsid w:val="00DC772A"/>
    <w:rsid w:val="00DC78AE"/>
    <w:rsid w:val="00DC78DA"/>
    <w:rsid w:val="00DC7D11"/>
    <w:rsid w:val="00DC7D47"/>
    <w:rsid w:val="00DC7F2D"/>
    <w:rsid w:val="00DD002E"/>
    <w:rsid w:val="00DD0030"/>
    <w:rsid w:val="00DD00C0"/>
    <w:rsid w:val="00DD00E5"/>
    <w:rsid w:val="00DD0285"/>
    <w:rsid w:val="00DD030A"/>
    <w:rsid w:val="00DD04C1"/>
    <w:rsid w:val="00DD05ED"/>
    <w:rsid w:val="00DD062F"/>
    <w:rsid w:val="00DD0735"/>
    <w:rsid w:val="00DD0797"/>
    <w:rsid w:val="00DD0819"/>
    <w:rsid w:val="00DD087C"/>
    <w:rsid w:val="00DD0AE5"/>
    <w:rsid w:val="00DD0AFA"/>
    <w:rsid w:val="00DD0B0A"/>
    <w:rsid w:val="00DD0B42"/>
    <w:rsid w:val="00DD0C69"/>
    <w:rsid w:val="00DD0C82"/>
    <w:rsid w:val="00DD0CED"/>
    <w:rsid w:val="00DD0F09"/>
    <w:rsid w:val="00DD0F10"/>
    <w:rsid w:val="00DD104B"/>
    <w:rsid w:val="00DD1053"/>
    <w:rsid w:val="00DD10E9"/>
    <w:rsid w:val="00DD11A9"/>
    <w:rsid w:val="00DD130E"/>
    <w:rsid w:val="00DD1399"/>
    <w:rsid w:val="00DD149B"/>
    <w:rsid w:val="00DD14C4"/>
    <w:rsid w:val="00DD1550"/>
    <w:rsid w:val="00DD157E"/>
    <w:rsid w:val="00DD158B"/>
    <w:rsid w:val="00DD18C4"/>
    <w:rsid w:val="00DD18E7"/>
    <w:rsid w:val="00DD1A2D"/>
    <w:rsid w:val="00DD1A6A"/>
    <w:rsid w:val="00DD1BEA"/>
    <w:rsid w:val="00DD1C75"/>
    <w:rsid w:val="00DD1CBB"/>
    <w:rsid w:val="00DD1CE4"/>
    <w:rsid w:val="00DD1D8B"/>
    <w:rsid w:val="00DD1F6E"/>
    <w:rsid w:val="00DD1F89"/>
    <w:rsid w:val="00DD203F"/>
    <w:rsid w:val="00DD2116"/>
    <w:rsid w:val="00DD2151"/>
    <w:rsid w:val="00DD2263"/>
    <w:rsid w:val="00DD2378"/>
    <w:rsid w:val="00DD23F4"/>
    <w:rsid w:val="00DD2469"/>
    <w:rsid w:val="00DD246C"/>
    <w:rsid w:val="00DD24DE"/>
    <w:rsid w:val="00DD265F"/>
    <w:rsid w:val="00DD267B"/>
    <w:rsid w:val="00DD279C"/>
    <w:rsid w:val="00DD29CF"/>
    <w:rsid w:val="00DD2AE0"/>
    <w:rsid w:val="00DD2BC9"/>
    <w:rsid w:val="00DD2BED"/>
    <w:rsid w:val="00DD2C78"/>
    <w:rsid w:val="00DD2CF3"/>
    <w:rsid w:val="00DD3109"/>
    <w:rsid w:val="00DD310E"/>
    <w:rsid w:val="00DD3198"/>
    <w:rsid w:val="00DD3354"/>
    <w:rsid w:val="00DD33E1"/>
    <w:rsid w:val="00DD362B"/>
    <w:rsid w:val="00DD3695"/>
    <w:rsid w:val="00DD37A2"/>
    <w:rsid w:val="00DD3A2A"/>
    <w:rsid w:val="00DD3BA3"/>
    <w:rsid w:val="00DD3E19"/>
    <w:rsid w:val="00DD3EF6"/>
    <w:rsid w:val="00DD3FA6"/>
    <w:rsid w:val="00DD4094"/>
    <w:rsid w:val="00DD4242"/>
    <w:rsid w:val="00DD424E"/>
    <w:rsid w:val="00DD42FF"/>
    <w:rsid w:val="00DD44CD"/>
    <w:rsid w:val="00DD4606"/>
    <w:rsid w:val="00DD4791"/>
    <w:rsid w:val="00DD4873"/>
    <w:rsid w:val="00DD4A5D"/>
    <w:rsid w:val="00DD4A9D"/>
    <w:rsid w:val="00DD4ADB"/>
    <w:rsid w:val="00DD4E19"/>
    <w:rsid w:val="00DD4FB4"/>
    <w:rsid w:val="00DD5027"/>
    <w:rsid w:val="00DD50C4"/>
    <w:rsid w:val="00DD52A2"/>
    <w:rsid w:val="00DD53C4"/>
    <w:rsid w:val="00DD5403"/>
    <w:rsid w:val="00DD5431"/>
    <w:rsid w:val="00DD543A"/>
    <w:rsid w:val="00DD55F6"/>
    <w:rsid w:val="00DD567B"/>
    <w:rsid w:val="00DD56B2"/>
    <w:rsid w:val="00DD5A35"/>
    <w:rsid w:val="00DD5A78"/>
    <w:rsid w:val="00DD5AE8"/>
    <w:rsid w:val="00DD5B0E"/>
    <w:rsid w:val="00DD5B90"/>
    <w:rsid w:val="00DD5C5D"/>
    <w:rsid w:val="00DD5D89"/>
    <w:rsid w:val="00DD5F98"/>
    <w:rsid w:val="00DD6096"/>
    <w:rsid w:val="00DD617F"/>
    <w:rsid w:val="00DD6393"/>
    <w:rsid w:val="00DD63C4"/>
    <w:rsid w:val="00DD63D1"/>
    <w:rsid w:val="00DD67F4"/>
    <w:rsid w:val="00DD6802"/>
    <w:rsid w:val="00DD6906"/>
    <w:rsid w:val="00DD69B5"/>
    <w:rsid w:val="00DD69C6"/>
    <w:rsid w:val="00DD69D7"/>
    <w:rsid w:val="00DD6A1F"/>
    <w:rsid w:val="00DD6A5A"/>
    <w:rsid w:val="00DD6AA8"/>
    <w:rsid w:val="00DD6DED"/>
    <w:rsid w:val="00DD6E22"/>
    <w:rsid w:val="00DD6F2B"/>
    <w:rsid w:val="00DD6FE2"/>
    <w:rsid w:val="00DD7043"/>
    <w:rsid w:val="00DD7164"/>
    <w:rsid w:val="00DD7241"/>
    <w:rsid w:val="00DD74A1"/>
    <w:rsid w:val="00DD7556"/>
    <w:rsid w:val="00DD76D5"/>
    <w:rsid w:val="00DD78A2"/>
    <w:rsid w:val="00DD7949"/>
    <w:rsid w:val="00DD79AD"/>
    <w:rsid w:val="00DD7BC9"/>
    <w:rsid w:val="00DD7C52"/>
    <w:rsid w:val="00DD7CCD"/>
    <w:rsid w:val="00DD7D4D"/>
    <w:rsid w:val="00DD7D7E"/>
    <w:rsid w:val="00DD7EFF"/>
    <w:rsid w:val="00DD7F5C"/>
    <w:rsid w:val="00DD7F80"/>
    <w:rsid w:val="00DD7FD0"/>
    <w:rsid w:val="00DE006D"/>
    <w:rsid w:val="00DE00C4"/>
    <w:rsid w:val="00DE00C8"/>
    <w:rsid w:val="00DE0205"/>
    <w:rsid w:val="00DE035E"/>
    <w:rsid w:val="00DE03D6"/>
    <w:rsid w:val="00DE04CE"/>
    <w:rsid w:val="00DE057C"/>
    <w:rsid w:val="00DE0668"/>
    <w:rsid w:val="00DE07B6"/>
    <w:rsid w:val="00DE0836"/>
    <w:rsid w:val="00DE090B"/>
    <w:rsid w:val="00DE09EB"/>
    <w:rsid w:val="00DE09F9"/>
    <w:rsid w:val="00DE0A7C"/>
    <w:rsid w:val="00DE0AF0"/>
    <w:rsid w:val="00DE0B59"/>
    <w:rsid w:val="00DE0BA0"/>
    <w:rsid w:val="00DE0D74"/>
    <w:rsid w:val="00DE0E57"/>
    <w:rsid w:val="00DE0E73"/>
    <w:rsid w:val="00DE11C8"/>
    <w:rsid w:val="00DE11F7"/>
    <w:rsid w:val="00DE1450"/>
    <w:rsid w:val="00DE165A"/>
    <w:rsid w:val="00DE178E"/>
    <w:rsid w:val="00DE18EE"/>
    <w:rsid w:val="00DE1A2B"/>
    <w:rsid w:val="00DE1BAA"/>
    <w:rsid w:val="00DE1F00"/>
    <w:rsid w:val="00DE1F6D"/>
    <w:rsid w:val="00DE209B"/>
    <w:rsid w:val="00DE21BC"/>
    <w:rsid w:val="00DE221F"/>
    <w:rsid w:val="00DE2241"/>
    <w:rsid w:val="00DE22EE"/>
    <w:rsid w:val="00DE22F2"/>
    <w:rsid w:val="00DE2441"/>
    <w:rsid w:val="00DE2768"/>
    <w:rsid w:val="00DE27DD"/>
    <w:rsid w:val="00DE27E6"/>
    <w:rsid w:val="00DE2809"/>
    <w:rsid w:val="00DE2959"/>
    <w:rsid w:val="00DE2975"/>
    <w:rsid w:val="00DE2A4A"/>
    <w:rsid w:val="00DE2B25"/>
    <w:rsid w:val="00DE2DEF"/>
    <w:rsid w:val="00DE2E07"/>
    <w:rsid w:val="00DE2F4C"/>
    <w:rsid w:val="00DE3227"/>
    <w:rsid w:val="00DE3528"/>
    <w:rsid w:val="00DE3546"/>
    <w:rsid w:val="00DE379C"/>
    <w:rsid w:val="00DE37F2"/>
    <w:rsid w:val="00DE382C"/>
    <w:rsid w:val="00DE3A30"/>
    <w:rsid w:val="00DE4044"/>
    <w:rsid w:val="00DE413E"/>
    <w:rsid w:val="00DE414A"/>
    <w:rsid w:val="00DE41DE"/>
    <w:rsid w:val="00DE42A5"/>
    <w:rsid w:val="00DE4324"/>
    <w:rsid w:val="00DE4387"/>
    <w:rsid w:val="00DE4478"/>
    <w:rsid w:val="00DE459F"/>
    <w:rsid w:val="00DE45DA"/>
    <w:rsid w:val="00DE464A"/>
    <w:rsid w:val="00DE493B"/>
    <w:rsid w:val="00DE49FA"/>
    <w:rsid w:val="00DE4A34"/>
    <w:rsid w:val="00DE4B55"/>
    <w:rsid w:val="00DE4C30"/>
    <w:rsid w:val="00DE4CD5"/>
    <w:rsid w:val="00DE4DFC"/>
    <w:rsid w:val="00DE4EBA"/>
    <w:rsid w:val="00DE518C"/>
    <w:rsid w:val="00DE52B3"/>
    <w:rsid w:val="00DE560A"/>
    <w:rsid w:val="00DE5682"/>
    <w:rsid w:val="00DE586C"/>
    <w:rsid w:val="00DE5926"/>
    <w:rsid w:val="00DE5984"/>
    <w:rsid w:val="00DE5A84"/>
    <w:rsid w:val="00DE5AF7"/>
    <w:rsid w:val="00DE5F9B"/>
    <w:rsid w:val="00DE6122"/>
    <w:rsid w:val="00DE61CE"/>
    <w:rsid w:val="00DE62EB"/>
    <w:rsid w:val="00DE63C6"/>
    <w:rsid w:val="00DE6437"/>
    <w:rsid w:val="00DE6458"/>
    <w:rsid w:val="00DE6794"/>
    <w:rsid w:val="00DE6857"/>
    <w:rsid w:val="00DE6943"/>
    <w:rsid w:val="00DE6A0B"/>
    <w:rsid w:val="00DE6C8A"/>
    <w:rsid w:val="00DE6E1A"/>
    <w:rsid w:val="00DE6E9C"/>
    <w:rsid w:val="00DE7074"/>
    <w:rsid w:val="00DE71B9"/>
    <w:rsid w:val="00DE72B0"/>
    <w:rsid w:val="00DE731D"/>
    <w:rsid w:val="00DE7490"/>
    <w:rsid w:val="00DE755F"/>
    <w:rsid w:val="00DE79D2"/>
    <w:rsid w:val="00DE79DF"/>
    <w:rsid w:val="00DE7B2C"/>
    <w:rsid w:val="00DE7BAF"/>
    <w:rsid w:val="00DE7C0E"/>
    <w:rsid w:val="00DE7CCB"/>
    <w:rsid w:val="00DE7D44"/>
    <w:rsid w:val="00DE7E87"/>
    <w:rsid w:val="00DF011D"/>
    <w:rsid w:val="00DF01AA"/>
    <w:rsid w:val="00DF05F0"/>
    <w:rsid w:val="00DF0692"/>
    <w:rsid w:val="00DF08A8"/>
    <w:rsid w:val="00DF0A8B"/>
    <w:rsid w:val="00DF0AC8"/>
    <w:rsid w:val="00DF0ACD"/>
    <w:rsid w:val="00DF0C6E"/>
    <w:rsid w:val="00DF0CFD"/>
    <w:rsid w:val="00DF0D0A"/>
    <w:rsid w:val="00DF0D17"/>
    <w:rsid w:val="00DF0D5A"/>
    <w:rsid w:val="00DF0DE5"/>
    <w:rsid w:val="00DF103F"/>
    <w:rsid w:val="00DF1124"/>
    <w:rsid w:val="00DF118B"/>
    <w:rsid w:val="00DF123B"/>
    <w:rsid w:val="00DF1370"/>
    <w:rsid w:val="00DF1427"/>
    <w:rsid w:val="00DF1528"/>
    <w:rsid w:val="00DF1590"/>
    <w:rsid w:val="00DF159B"/>
    <w:rsid w:val="00DF1682"/>
    <w:rsid w:val="00DF170C"/>
    <w:rsid w:val="00DF189B"/>
    <w:rsid w:val="00DF18BA"/>
    <w:rsid w:val="00DF1B2D"/>
    <w:rsid w:val="00DF1D98"/>
    <w:rsid w:val="00DF1DAF"/>
    <w:rsid w:val="00DF1F18"/>
    <w:rsid w:val="00DF2024"/>
    <w:rsid w:val="00DF20F8"/>
    <w:rsid w:val="00DF2145"/>
    <w:rsid w:val="00DF2186"/>
    <w:rsid w:val="00DF2222"/>
    <w:rsid w:val="00DF2294"/>
    <w:rsid w:val="00DF23C0"/>
    <w:rsid w:val="00DF23FD"/>
    <w:rsid w:val="00DF2425"/>
    <w:rsid w:val="00DF249D"/>
    <w:rsid w:val="00DF2562"/>
    <w:rsid w:val="00DF29F6"/>
    <w:rsid w:val="00DF2AFB"/>
    <w:rsid w:val="00DF2D3A"/>
    <w:rsid w:val="00DF2DD9"/>
    <w:rsid w:val="00DF2DF6"/>
    <w:rsid w:val="00DF2EC5"/>
    <w:rsid w:val="00DF2F21"/>
    <w:rsid w:val="00DF31AE"/>
    <w:rsid w:val="00DF31C0"/>
    <w:rsid w:val="00DF3291"/>
    <w:rsid w:val="00DF3325"/>
    <w:rsid w:val="00DF3377"/>
    <w:rsid w:val="00DF33BB"/>
    <w:rsid w:val="00DF345B"/>
    <w:rsid w:val="00DF3633"/>
    <w:rsid w:val="00DF3651"/>
    <w:rsid w:val="00DF36A8"/>
    <w:rsid w:val="00DF37C9"/>
    <w:rsid w:val="00DF3BD5"/>
    <w:rsid w:val="00DF3DFB"/>
    <w:rsid w:val="00DF42C8"/>
    <w:rsid w:val="00DF4323"/>
    <w:rsid w:val="00DF4389"/>
    <w:rsid w:val="00DF438F"/>
    <w:rsid w:val="00DF4554"/>
    <w:rsid w:val="00DF4910"/>
    <w:rsid w:val="00DF4A49"/>
    <w:rsid w:val="00DF4B0C"/>
    <w:rsid w:val="00DF4BB8"/>
    <w:rsid w:val="00DF4C1C"/>
    <w:rsid w:val="00DF4DD8"/>
    <w:rsid w:val="00DF4ED5"/>
    <w:rsid w:val="00DF51AB"/>
    <w:rsid w:val="00DF51D4"/>
    <w:rsid w:val="00DF51D9"/>
    <w:rsid w:val="00DF5395"/>
    <w:rsid w:val="00DF53FA"/>
    <w:rsid w:val="00DF5461"/>
    <w:rsid w:val="00DF5713"/>
    <w:rsid w:val="00DF5874"/>
    <w:rsid w:val="00DF5A3B"/>
    <w:rsid w:val="00DF5B80"/>
    <w:rsid w:val="00DF5BD5"/>
    <w:rsid w:val="00DF5BDB"/>
    <w:rsid w:val="00DF5CC7"/>
    <w:rsid w:val="00DF5D3F"/>
    <w:rsid w:val="00DF5D95"/>
    <w:rsid w:val="00DF5DDC"/>
    <w:rsid w:val="00DF5ECE"/>
    <w:rsid w:val="00DF5F69"/>
    <w:rsid w:val="00DF6136"/>
    <w:rsid w:val="00DF62F2"/>
    <w:rsid w:val="00DF62F7"/>
    <w:rsid w:val="00DF64DC"/>
    <w:rsid w:val="00DF6702"/>
    <w:rsid w:val="00DF6BF9"/>
    <w:rsid w:val="00DF6CFF"/>
    <w:rsid w:val="00DF6ECF"/>
    <w:rsid w:val="00DF712B"/>
    <w:rsid w:val="00DF7193"/>
    <w:rsid w:val="00DF725E"/>
    <w:rsid w:val="00DF739F"/>
    <w:rsid w:val="00DF73C9"/>
    <w:rsid w:val="00DF746E"/>
    <w:rsid w:val="00DF7498"/>
    <w:rsid w:val="00DF751B"/>
    <w:rsid w:val="00DF766D"/>
    <w:rsid w:val="00DF76A8"/>
    <w:rsid w:val="00DF76D6"/>
    <w:rsid w:val="00DF7917"/>
    <w:rsid w:val="00DF7A91"/>
    <w:rsid w:val="00DF7CBC"/>
    <w:rsid w:val="00DF7D74"/>
    <w:rsid w:val="00DF7DDA"/>
    <w:rsid w:val="00DF7F8A"/>
    <w:rsid w:val="00E00043"/>
    <w:rsid w:val="00E00276"/>
    <w:rsid w:val="00E00331"/>
    <w:rsid w:val="00E0039C"/>
    <w:rsid w:val="00E0044E"/>
    <w:rsid w:val="00E00481"/>
    <w:rsid w:val="00E0051E"/>
    <w:rsid w:val="00E005A0"/>
    <w:rsid w:val="00E006CA"/>
    <w:rsid w:val="00E006F4"/>
    <w:rsid w:val="00E0084D"/>
    <w:rsid w:val="00E008C8"/>
    <w:rsid w:val="00E00966"/>
    <w:rsid w:val="00E00C08"/>
    <w:rsid w:val="00E00D06"/>
    <w:rsid w:val="00E00D2C"/>
    <w:rsid w:val="00E00D3B"/>
    <w:rsid w:val="00E00D48"/>
    <w:rsid w:val="00E00E76"/>
    <w:rsid w:val="00E011B7"/>
    <w:rsid w:val="00E0126A"/>
    <w:rsid w:val="00E0193D"/>
    <w:rsid w:val="00E01990"/>
    <w:rsid w:val="00E01D39"/>
    <w:rsid w:val="00E01D3B"/>
    <w:rsid w:val="00E01F64"/>
    <w:rsid w:val="00E01FEB"/>
    <w:rsid w:val="00E02036"/>
    <w:rsid w:val="00E02246"/>
    <w:rsid w:val="00E02283"/>
    <w:rsid w:val="00E02375"/>
    <w:rsid w:val="00E02466"/>
    <w:rsid w:val="00E0277D"/>
    <w:rsid w:val="00E02901"/>
    <w:rsid w:val="00E02AB0"/>
    <w:rsid w:val="00E02B85"/>
    <w:rsid w:val="00E02C07"/>
    <w:rsid w:val="00E02C31"/>
    <w:rsid w:val="00E02D98"/>
    <w:rsid w:val="00E02E42"/>
    <w:rsid w:val="00E03039"/>
    <w:rsid w:val="00E031FD"/>
    <w:rsid w:val="00E03252"/>
    <w:rsid w:val="00E03253"/>
    <w:rsid w:val="00E03390"/>
    <w:rsid w:val="00E03671"/>
    <w:rsid w:val="00E0372B"/>
    <w:rsid w:val="00E038C6"/>
    <w:rsid w:val="00E0396B"/>
    <w:rsid w:val="00E03D21"/>
    <w:rsid w:val="00E0401A"/>
    <w:rsid w:val="00E0409A"/>
    <w:rsid w:val="00E0413B"/>
    <w:rsid w:val="00E04335"/>
    <w:rsid w:val="00E04412"/>
    <w:rsid w:val="00E045ED"/>
    <w:rsid w:val="00E04899"/>
    <w:rsid w:val="00E0489D"/>
    <w:rsid w:val="00E048BC"/>
    <w:rsid w:val="00E048C1"/>
    <w:rsid w:val="00E04A8C"/>
    <w:rsid w:val="00E04AF5"/>
    <w:rsid w:val="00E04B2D"/>
    <w:rsid w:val="00E04C0D"/>
    <w:rsid w:val="00E04C73"/>
    <w:rsid w:val="00E04CD0"/>
    <w:rsid w:val="00E04DFA"/>
    <w:rsid w:val="00E04F2B"/>
    <w:rsid w:val="00E04F84"/>
    <w:rsid w:val="00E04FBE"/>
    <w:rsid w:val="00E0500A"/>
    <w:rsid w:val="00E051D5"/>
    <w:rsid w:val="00E05276"/>
    <w:rsid w:val="00E053BA"/>
    <w:rsid w:val="00E053C4"/>
    <w:rsid w:val="00E05400"/>
    <w:rsid w:val="00E055D5"/>
    <w:rsid w:val="00E0564F"/>
    <w:rsid w:val="00E057AF"/>
    <w:rsid w:val="00E05811"/>
    <w:rsid w:val="00E058E6"/>
    <w:rsid w:val="00E05985"/>
    <w:rsid w:val="00E059D9"/>
    <w:rsid w:val="00E05A1D"/>
    <w:rsid w:val="00E05B75"/>
    <w:rsid w:val="00E05B94"/>
    <w:rsid w:val="00E05D7A"/>
    <w:rsid w:val="00E05DA0"/>
    <w:rsid w:val="00E05E3E"/>
    <w:rsid w:val="00E05E55"/>
    <w:rsid w:val="00E05ED0"/>
    <w:rsid w:val="00E060F2"/>
    <w:rsid w:val="00E061E9"/>
    <w:rsid w:val="00E062AD"/>
    <w:rsid w:val="00E066C6"/>
    <w:rsid w:val="00E066D9"/>
    <w:rsid w:val="00E06923"/>
    <w:rsid w:val="00E069C7"/>
    <w:rsid w:val="00E06D1E"/>
    <w:rsid w:val="00E06F75"/>
    <w:rsid w:val="00E06F94"/>
    <w:rsid w:val="00E07097"/>
    <w:rsid w:val="00E07099"/>
    <w:rsid w:val="00E07184"/>
    <w:rsid w:val="00E072DE"/>
    <w:rsid w:val="00E0736D"/>
    <w:rsid w:val="00E07410"/>
    <w:rsid w:val="00E0745E"/>
    <w:rsid w:val="00E074C3"/>
    <w:rsid w:val="00E07592"/>
    <w:rsid w:val="00E075A5"/>
    <w:rsid w:val="00E07653"/>
    <w:rsid w:val="00E07711"/>
    <w:rsid w:val="00E07743"/>
    <w:rsid w:val="00E077F5"/>
    <w:rsid w:val="00E07953"/>
    <w:rsid w:val="00E07AFA"/>
    <w:rsid w:val="00E07B65"/>
    <w:rsid w:val="00E07DB3"/>
    <w:rsid w:val="00E10075"/>
    <w:rsid w:val="00E1048A"/>
    <w:rsid w:val="00E10531"/>
    <w:rsid w:val="00E105A6"/>
    <w:rsid w:val="00E105B3"/>
    <w:rsid w:val="00E106E2"/>
    <w:rsid w:val="00E107A6"/>
    <w:rsid w:val="00E1084B"/>
    <w:rsid w:val="00E10962"/>
    <w:rsid w:val="00E10A3A"/>
    <w:rsid w:val="00E10B6E"/>
    <w:rsid w:val="00E10B81"/>
    <w:rsid w:val="00E10C80"/>
    <w:rsid w:val="00E10CD6"/>
    <w:rsid w:val="00E10D58"/>
    <w:rsid w:val="00E10D62"/>
    <w:rsid w:val="00E10DE2"/>
    <w:rsid w:val="00E10E1C"/>
    <w:rsid w:val="00E10E78"/>
    <w:rsid w:val="00E10F9E"/>
    <w:rsid w:val="00E11108"/>
    <w:rsid w:val="00E1126E"/>
    <w:rsid w:val="00E112B4"/>
    <w:rsid w:val="00E112D4"/>
    <w:rsid w:val="00E1150B"/>
    <w:rsid w:val="00E116D4"/>
    <w:rsid w:val="00E11794"/>
    <w:rsid w:val="00E1188B"/>
    <w:rsid w:val="00E11D27"/>
    <w:rsid w:val="00E11D68"/>
    <w:rsid w:val="00E11E16"/>
    <w:rsid w:val="00E11F85"/>
    <w:rsid w:val="00E11FC9"/>
    <w:rsid w:val="00E1219C"/>
    <w:rsid w:val="00E126DC"/>
    <w:rsid w:val="00E128A6"/>
    <w:rsid w:val="00E128CB"/>
    <w:rsid w:val="00E128DD"/>
    <w:rsid w:val="00E12903"/>
    <w:rsid w:val="00E129FA"/>
    <w:rsid w:val="00E12A04"/>
    <w:rsid w:val="00E12B0C"/>
    <w:rsid w:val="00E12B1A"/>
    <w:rsid w:val="00E12C3F"/>
    <w:rsid w:val="00E12C66"/>
    <w:rsid w:val="00E12EF0"/>
    <w:rsid w:val="00E130A4"/>
    <w:rsid w:val="00E132C0"/>
    <w:rsid w:val="00E132FB"/>
    <w:rsid w:val="00E13327"/>
    <w:rsid w:val="00E13349"/>
    <w:rsid w:val="00E13351"/>
    <w:rsid w:val="00E13551"/>
    <w:rsid w:val="00E137A0"/>
    <w:rsid w:val="00E1396D"/>
    <w:rsid w:val="00E13B04"/>
    <w:rsid w:val="00E13BA3"/>
    <w:rsid w:val="00E13C07"/>
    <w:rsid w:val="00E13C4B"/>
    <w:rsid w:val="00E13C99"/>
    <w:rsid w:val="00E13CC9"/>
    <w:rsid w:val="00E13DB8"/>
    <w:rsid w:val="00E13E46"/>
    <w:rsid w:val="00E13EB2"/>
    <w:rsid w:val="00E13FBF"/>
    <w:rsid w:val="00E14041"/>
    <w:rsid w:val="00E140AA"/>
    <w:rsid w:val="00E14228"/>
    <w:rsid w:val="00E1426A"/>
    <w:rsid w:val="00E145F8"/>
    <w:rsid w:val="00E147AD"/>
    <w:rsid w:val="00E1481F"/>
    <w:rsid w:val="00E14979"/>
    <w:rsid w:val="00E149E3"/>
    <w:rsid w:val="00E14A7D"/>
    <w:rsid w:val="00E14AEA"/>
    <w:rsid w:val="00E14C17"/>
    <w:rsid w:val="00E14C1D"/>
    <w:rsid w:val="00E14D3D"/>
    <w:rsid w:val="00E14E34"/>
    <w:rsid w:val="00E14FD5"/>
    <w:rsid w:val="00E15065"/>
    <w:rsid w:val="00E1506B"/>
    <w:rsid w:val="00E150AC"/>
    <w:rsid w:val="00E15259"/>
    <w:rsid w:val="00E1525B"/>
    <w:rsid w:val="00E152B3"/>
    <w:rsid w:val="00E15368"/>
    <w:rsid w:val="00E1559C"/>
    <w:rsid w:val="00E155BC"/>
    <w:rsid w:val="00E155FC"/>
    <w:rsid w:val="00E15675"/>
    <w:rsid w:val="00E15687"/>
    <w:rsid w:val="00E156C7"/>
    <w:rsid w:val="00E158CD"/>
    <w:rsid w:val="00E15996"/>
    <w:rsid w:val="00E15A91"/>
    <w:rsid w:val="00E15EF0"/>
    <w:rsid w:val="00E15F3C"/>
    <w:rsid w:val="00E16057"/>
    <w:rsid w:val="00E1606F"/>
    <w:rsid w:val="00E160CD"/>
    <w:rsid w:val="00E16219"/>
    <w:rsid w:val="00E16227"/>
    <w:rsid w:val="00E162DE"/>
    <w:rsid w:val="00E16321"/>
    <w:rsid w:val="00E16494"/>
    <w:rsid w:val="00E16521"/>
    <w:rsid w:val="00E165B3"/>
    <w:rsid w:val="00E165DF"/>
    <w:rsid w:val="00E167DA"/>
    <w:rsid w:val="00E16924"/>
    <w:rsid w:val="00E16933"/>
    <w:rsid w:val="00E16956"/>
    <w:rsid w:val="00E16978"/>
    <w:rsid w:val="00E16BA3"/>
    <w:rsid w:val="00E16CF3"/>
    <w:rsid w:val="00E16FFB"/>
    <w:rsid w:val="00E17118"/>
    <w:rsid w:val="00E1718E"/>
    <w:rsid w:val="00E17211"/>
    <w:rsid w:val="00E1721F"/>
    <w:rsid w:val="00E1763C"/>
    <w:rsid w:val="00E17658"/>
    <w:rsid w:val="00E1766B"/>
    <w:rsid w:val="00E1776F"/>
    <w:rsid w:val="00E177CA"/>
    <w:rsid w:val="00E178AF"/>
    <w:rsid w:val="00E17BD6"/>
    <w:rsid w:val="00E17BE8"/>
    <w:rsid w:val="00E17CC8"/>
    <w:rsid w:val="00E17D0E"/>
    <w:rsid w:val="00E17E86"/>
    <w:rsid w:val="00E17F3F"/>
    <w:rsid w:val="00E17F72"/>
    <w:rsid w:val="00E200F9"/>
    <w:rsid w:val="00E20187"/>
    <w:rsid w:val="00E20351"/>
    <w:rsid w:val="00E2039B"/>
    <w:rsid w:val="00E20400"/>
    <w:rsid w:val="00E2056C"/>
    <w:rsid w:val="00E205AF"/>
    <w:rsid w:val="00E208B9"/>
    <w:rsid w:val="00E20A24"/>
    <w:rsid w:val="00E20AD3"/>
    <w:rsid w:val="00E20C26"/>
    <w:rsid w:val="00E20C2F"/>
    <w:rsid w:val="00E20DBC"/>
    <w:rsid w:val="00E20E48"/>
    <w:rsid w:val="00E20F92"/>
    <w:rsid w:val="00E20FF9"/>
    <w:rsid w:val="00E2113C"/>
    <w:rsid w:val="00E212BA"/>
    <w:rsid w:val="00E213D0"/>
    <w:rsid w:val="00E21414"/>
    <w:rsid w:val="00E21471"/>
    <w:rsid w:val="00E21629"/>
    <w:rsid w:val="00E21749"/>
    <w:rsid w:val="00E2177E"/>
    <w:rsid w:val="00E21803"/>
    <w:rsid w:val="00E2181B"/>
    <w:rsid w:val="00E218CB"/>
    <w:rsid w:val="00E21A9C"/>
    <w:rsid w:val="00E21ADB"/>
    <w:rsid w:val="00E21B3B"/>
    <w:rsid w:val="00E21C1E"/>
    <w:rsid w:val="00E21D2C"/>
    <w:rsid w:val="00E21DC5"/>
    <w:rsid w:val="00E21DFE"/>
    <w:rsid w:val="00E21EED"/>
    <w:rsid w:val="00E21F5D"/>
    <w:rsid w:val="00E22194"/>
    <w:rsid w:val="00E22247"/>
    <w:rsid w:val="00E223B9"/>
    <w:rsid w:val="00E223F6"/>
    <w:rsid w:val="00E2241C"/>
    <w:rsid w:val="00E224E6"/>
    <w:rsid w:val="00E22663"/>
    <w:rsid w:val="00E22816"/>
    <w:rsid w:val="00E22817"/>
    <w:rsid w:val="00E22886"/>
    <w:rsid w:val="00E22CFD"/>
    <w:rsid w:val="00E23022"/>
    <w:rsid w:val="00E2310F"/>
    <w:rsid w:val="00E2319C"/>
    <w:rsid w:val="00E231A1"/>
    <w:rsid w:val="00E2323F"/>
    <w:rsid w:val="00E23252"/>
    <w:rsid w:val="00E232BD"/>
    <w:rsid w:val="00E2333D"/>
    <w:rsid w:val="00E2334E"/>
    <w:rsid w:val="00E2345A"/>
    <w:rsid w:val="00E2353E"/>
    <w:rsid w:val="00E23569"/>
    <w:rsid w:val="00E235B1"/>
    <w:rsid w:val="00E23863"/>
    <w:rsid w:val="00E2386A"/>
    <w:rsid w:val="00E2391F"/>
    <w:rsid w:val="00E23ABE"/>
    <w:rsid w:val="00E23AF7"/>
    <w:rsid w:val="00E23B1C"/>
    <w:rsid w:val="00E23C2C"/>
    <w:rsid w:val="00E23D30"/>
    <w:rsid w:val="00E23E2F"/>
    <w:rsid w:val="00E23F4D"/>
    <w:rsid w:val="00E23F59"/>
    <w:rsid w:val="00E241F0"/>
    <w:rsid w:val="00E2428D"/>
    <w:rsid w:val="00E24790"/>
    <w:rsid w:val="00E24860"/>
    <w:rsid w:val="00E24942"/>
    <w:rsid w:val="00E24A94"/>
    <w:rsid w:val="00E24AB0"/>
    <w:rsid w:val="00E24C7B"/>
    <w:rsid w:val="00E24D40"/>
    <w:rsid w:val="00E24DA8"/>
    <w:rsid w:val="00E24E20"/>
    <w:rsid w:val="00E24E3D"/>
    <w:rsid w:val="00E24F3E"/>
    <w:rsid w:val="00E24FAF"/>
    <w:rsid w:val="00E251E2"/>
    <w:rsid w:val="00E253C3"/>
    <w:rsid w:val="00E2541E"/>
    <w:rsid w:val="00E2563E"/>
    <w:rsid w:val="00E25777"/>
    <w:rsid w:val="00E257EF"/>
    <w:rsid w:val="00E25A13"/>
    <w:rsid w:val="00E25A7A"/>
    <w:rsid w:val="00E25DE2"/>
    <w:rsid w:val="00E25E12"/>
    <w:rsid w:val="00E25E50"/>
    <w:rsid w:val="00E25E60"/>
    <w:rsid w:val="00E25EBE"/>
    <w:rsid w:val="00E26055"/>
    <w:rsid w:val="00E26134"/>
    <w:rsid w:val="00E261F4"/>
    <w:rsid w:val="00E26388"/>
    <w:rsid w:val="00E2647F"/>
    <w:rsid w:val="00E26554"/>
    <w:rsid w:val="00E2660D"/>
    <w:rsid w:val="00E2664D"/>
    <w:rsid w:val="00E2669E"/>
    <w:rsid w:val="00E266D8"/>
    <w:rsid w:val="00E26890"/>
    <w:rsid w:val="00E269E7"/>
    <w:rsid w:val="00E26A4F"/>
    <w:rsid w:val="00E26C7F"/>
    <w:rsid w:val="00E26D69"/>
    <w:rsid w:val="00E26E2B"/>
    <w:rsid w:val="00E27087"/>
    <w:rsid w:val="00E27143"/>
    <w:rsid w:val="00E27238"/>
    <w:rsid w:val="00E273DB"/>
    <w:rsid w:val="00E274ED"/>
    <w:rsid w:val="00E27741"/>
    <w:rsid w:val="00E27787"/>
    <w:rsid w:val="00E2793F"/>
    <w:rsid w:val="00E27AE7"/>
    <w:rsid w:val="00E27B2C"/>
    <w:rsid w:val="00E27BBA"/>
    <w:rsid w:val="00E27D64"/>
    <w:rsid w:val="00E27E87"/>
    <w:rsid w:val="00E27EFE"/>
    <w:rsid w:val="00E300F3"/>
    <w:rsid w:val="00E30171"/>
    <w:rsid w:val="00E301E5"/>
    <w:rsid w:val="00E302E2"/>
    <w:rsid w:val="00E302F0"/>
    <w:rsid w:val="00E302F1"/>
    <w:rsid w:val="00E30350"/>
    <w:rsid w:val="00E303A8"/>
    <w:rsid w:val="00E303C4"/>
    <w:rsid w:val="00E3048E"/>
    <w:rsid w:val="00E305CC"/>
    <w:rsid w:val="00E306CF"/>
    <w:rsid w:val="00E30827"/>
    <w:rsid w:val="00E30AA2"/>
    <w:rsid w:val="00E30BE4"/>
    <w:rsid w:val="00E30C52"/>
    <w:rsid w:val="00E30CC5"/>
    <w:rsid w:val="00E30D2D"/>
    <w:rsid w:val="00E30F6F"/>
    <w:rsid w:val="00E311A2"/>
    <w:rsid w:val="00E3173D"/>
    <w:rsid w:val="00E317FC"/>
    <w:rsid w:val="00E319AF"/>
    <w:rsid w:val="00E31AC5"/>
    <w:rsid w:val="00E31BA8"/>
    <w:rsid w:val="00E31E3F"/>
    <w:rsid w:val="00E31F93"/>
    <w:rsid w:val="00E32033"/>
    <w:rsid w:val="00E320B0"/>
    <w:rsid w:val="00E3219F"/>
    <w:rsid w:val="00E322AB"/>
    <w:rsid w:val="00E322CE"/>
    <w:rsid w:val="00E32647"/>
    <w:rsid w:val="00E32692"/>
    <w:rsid w:val="00E326CA"/>
    <w:rsid w:val="00E3290C"/>
    <w:rsid w:val="00E32A73"/>
    <w:rsid w:val="00E32BC5"/>
    <w:rsid w:val="00E32C03"/>
    <w:rsid w:val="00E32C2D"/>
    <w:rsid w:val="00E32DDE"/>
    <w:rsid w:val="00E32E70"/>
    <w:rsid w:val="00E32F50"/>
    <w:rsid w:val="00E32FCC"/>
    <w:rsid w:val="00E3306A"/>
    <w:rsid w:val="00E33077"/>
    <w:rsid w:val="00E33104"/>
    <w:rsid w:val="00E33414"/>
    <w:rsid w:val="00E334F3"/>
    <w:rsid w:val="00E336E5"/>
    <w:rsid w:val="00E336FF"/>
    <w:rsid w:val="00E338DF"/>
    <w:rsid w:val="00E338F5"/>
    <w:rsid w:val="00E33902"/>
    <w:rsid w:val="00E3394A"/>
    <w:rsid w:val="00E33DCA"/>
    <w:rsid w:val="00E33E11"/>
    <w:rsid w:val="00E33F32"/>
    <w:rsid w:val="00E340CA"/>
    <w:rsid w:val="00E341D2"/>
    <w:rsid w:val="00E34232"/>
    <w:rsid w:val="00E34240"/>
    <w:rsid w:val="00E342E6"/>
    <w:rsid w:val="00E34556"/>
    <w:rsid w:val="00E3464A"/>
    <w:rsid w:val="00E3469E"/>
    <w:rsid w:val="00E346D7"/>
    <w:rsid w:val="00E346E5"/>
    <w:rsid w:val="00E349F0"/>
    <w:rsid w:val="00E34B7A"/>
    <w:rsid w:val="00E34D73"/>
    <w:rsid w:val="00E34DC5"/>
    <w:rsid w:val="00E34FC4"/>
    <w:rsid w:val="00E35065"/>
    <w:rsid w:val="00E35210"/>
    <w:rsid w:val="00E352E8"/>
    <w:rsid w:val="00E3537E"/>
    <w:rsid w:val="00E355D3"/>
    <w:rsid w:val="00E355D6"/>
    <w:rsid w:val="00E3566E"/>
    <w:rsid w:val="00E35679"/>
    <w:rsid w:val="00E3584E"/>
    <w:rsid w:val="00E358DB"/>
    <w:rsid w:val="00E35927"/>
    <w:rsid w:val="00E3595D"/>
    <w:rsid w:val="00E35999"/>
    <w:rsid w:val="00E35A97"/>
    <w:rsid w:val="00E35C7D"/>
    <w:rsid w:val="00E35D56"/>
    <w:rsid w:val="00E35E4E"/>
    <w:rsid w:val="00E35E93"/>
    <w:rsid w:val="00E3610D"/>
    <w:rsid w:val="00E36187"/>
    <w:rsid w:val="00E361F3"/>
    <w:rsid w:val="00E36439"/>
    <w:rsid w:val="00E368AC"/>
    <w:rsid w:val="00E369CE"/>
    <w:rsid w:val="00E36BB2"/>
    <w:rsid w:val="00E36C11"/>
    <w:rsid w:val="00E36CAA"/>
    <w:rsid w:val="00E36CB7"/>
    <w:rsid w:val="00E36EED"/>
    <w:rsid w:val="00E36FB9"/>
    <w:rsid w:val="00E371C2"/>
    <w:rsid w:val="00E372AB"/>
    <w:rsid w:val="00E37479"/>
    <w:rsid w:val="00E3757C"/>
    <w:rsid w:val="00E37611"/>
    <w:rsid w:val="00E37756"/>
    <w:rsid w:val="00E3776C"/>
    <w:rsid w:val="00E379AB"/>
    <w:rsid w:val="00E37EA7"/>
    <w:rsid w:val="00E37EB8"/>
    <w:rsid w:val="00E37F6A"/>
    <w:rsid w:val="00E4003B"/>
    <w:rsid w:val="00E40247"/>
    <w:rsid w:val="00E402CC"/>
    <w:rsid w:val="00E404E4"/>
    <w:rsid w:val="00E40684"/>
    <w:rsid w:val="00E40710"/>
    <w:rsid w:val="00E4077D"/>
    <w:rsid w:val="00E4081B"/>
    <w:rsid w:val="00E40B9C"/>
    <w:rsid w:val="00E40BA7"/>
    <w:rsid w:val="00E40D47"/>
    <w:rsid w:val="00E40D54"/>
    <w:rsid w:val="00E40DCF"/>
    <w:rsid w:val="00E40DDC"/>
    <w:rsid w:val="00E40F4B"/>
    <w:rsid w:val="00E40F80"/>
    <w:rsid w:val="00E40FC2"/>
    <w:rsid w:val="00E41084"/>
    <w:rsid w:val="00E41175"/>
    <w:rsid w:val="00E411EB"/>
    <w:rsid w:val="00E4126F"/>
    <w:rsid w:val="00E41286"/>
    <w:rsid w:val="00E413FA"/>
    <w:rsid w:val="00E414E4"/>
    <w:rsid w:val="00E416BA"/>
    <w:rsid w:val="00E4174A"/>
    <w:rsid w:val="00E4185A"/>
    <w:rsid w:val="00E41A29"/>
    <w:rsid w:val="00E41B08"/>
    <w:rsid w:val="00E41C06"/>
    <w:rsid w:val="00E41C0C"/>
    <w:rsid w:val="00E41CDF"/>
    <w:rsid w:val="00E41E10"/>
    <w:rsid w:val="00E41E6B"/>
    <w:rsid w:val="00E41EF0"/>
    <w:rsid w:val="00E41F66"/>
    <w:rsid w:val="00E41FBF"/>
    <w:rsid w:val="00E42290"/>
    <w:rsid w:val="00E42567"/>
    <w:rsid w:val="00E42664"/>
    <w:rsid w:val="00E42687"/>
    <w:rsid w:val="00E4280A"/>
    <w:rsid w:val="00E42845"/>
    <w:rsid w:val="00E429FB"/>
    <w:rsid w:val="00E42AFC"/>
    <w:rsid w:val="00E42BEC"/>
    <w:rsid w:val="00E42D40"/>
    <w:rsid w:val="00E42E39"/>
    <w:rsid w:val="00E42F5D"/>
    <w:rsid w:val="00E43027"/>
    <w:rsid w:val="00E430A0"/>
    <w:rsid w:val="00E4329C"/>
    <w:rsid w:val="00E4345C"/>
    <w:rsid w:val="00E434E3"/>
    <w:rsid w:val="00E4378D"/>
    <w:rsid w:val="00E4398A"/>
    <w:rsid w:val="00E43A94"/>
    <w:rsid w:val="00E43B1B"/>
    <w:rsid w:val="00E43B4A"/>
    <w:rsid w:val="00E43BE8"/>
    <w:rsid w:val="00E43C51"/>
    <w:rsid w:val="00E43C5C"/>
    <w:rsid w:val="00E43C82"/>
    <w:rsid w:val="00E43D6F"/>
    <w:rsid w:val="00E43FA1"/>
    <w:rsid w:val="00E44314"/>
    <w:rsid w:val="00E44350"/>
    <w:rsid w:val="00E443DA"/>
    <w:rsid w:val="00E44478"/>
    <w:rsid w:val="00E44686"/>
    <w:rsid w:val="00E44691"/>
    <w:rsid w:val="00E4481F"/>
    <w:rsid w:val="00E44C3C"/>
    <w:rsid w:val="00E44D18"/>
    <w:rsid w:val="00E44DC3"/>
    <w:rsid w:val="00E44DC8"/>
    <w:rsid w:val="00E44F1E"/>
    <w:rsid w:val="00E44FA7"/>
    <w:rsid w:val="00E44FF2"/>
    <w:rsid w:val="00E4510A"/>
    <w:rsid w:val="00E4526A"/>
    <w:rsid w:val="00E453BE"/>
    <w:rsid w:val="00E45454"/>
    <w:rsid w:val="00E45661"/>
    <w:rsid w:val="00E456AF"/>
    <w:rsid w:val="00E45A29"/>
    <w:rsid w:val="00E45ABD"/>
    <w:rsid w:val="00E45D6D"/>
    <w:rsid w:val="00E45EFA"/>
    <w:rsid w:val="00E4612C"/>
    <w:rsid w:val="00E4641E"/>
    <w:rsid w:val="00E46516"/>
    <w:rsid w:val="00E4671D"/>
    <w:rsid w:val="00E46742"/>
    <w:rsid w:val="00E4680F"/>
    <w:rsid w:val="00E46900"/>
    <w:rsid w:val="00E4690E"/>
    <w:rsid w:val="00E46925"/>
    <w:rsid w:val="00E469FD"/>
    <w:rsid w:val="00E46B26"/>
    <w:rsid w:val="00E46CDA"/>
    <w:rsid w:val="00E46E1B"/>
    <w:rsid w:val="00E46E98"/>
    <w:rsid w:val="00E46EA0"/>
    <w:rsid w:val="00E46EFC"/>
    <w:rsid w:val="00E46F20"/>
    <w:rsid w:val="00E46F47"/>
    <w:rsid w:val="00E46F63"/>
    <w:rsid w:val="00E470B5"/>
    <w:rsid w:val="00E47314"/>
    <w:rsid w:val="00E4745C"/>
    <w:rsid w:val="00E47647"/>
    <w:rsid w:val="00E47948"/>
    <w:rsid w:val="00E47C8C"/>
    <w:rsid w:val="00E47E78"/>
    <w:rsid w:val="00E47E99"/>
    <w:rsid w:val="00E5025F"/>
    <w:rsid w:val="00E50267"/>
    <w:rsid w:val="00E502BA"/>
    <w:rsid w:val="00E5037E"/>
    <w:rsid w:val="00E503B9"/>
    <w:rsid w:val="00E503D0"/>
    <w:rsid w:val="00E504CF"/>
    <w:rsid w:val="00E504D1"/>
    <w:rsid w:val="00E5056A"/>
    <w:rsid w:val="00E50708"/>
    <w:rsid w:val="00E5072C"/>
    <w:rsid w:val="00E5075E"/>
    <w:rsid w:val="00E508FD"/>
    <w:rsid w:val="00E509A5"/>
    <w:rsid w:val="00E50A4F"/>
    <w:rsid w:val="00E50CBD"/>
    <w:rsid w:val="00E50DAC"/>
    <w:rsid w:val="00E50DFD"/>
    <w:rsid w:val="00E50E4A"/>
    <w:rsid w:val="00E50EE3"/>
    <w:rsid w:val="00E50FCE"/>
    <w:rsid w:val="00E5104A"/>
    <w:rsid w:val="00E51101"/>
    <w:rsid w:val="00E511ED"/>
    <w:rsid w:val="00E5147A"/>
    <w:rsid w:val="00E5156F"/>
    <w:rsid w:val="00E51710"/>
    <w:rsid w:val="00E517F4"/>
    <w:rsid w:val="00E518F1"/>
    <w:rsid w:val="00E51D7E"/>
    <w:rsid w:val="00E51E9F"/>
    <w:rsid w:val="00E51F22"/>
    <w:rsid w:val="00E51F6C"/>
    <w:rsid w:val="00E520CE"/>
    <w:rsid w:val="00E520DA"/>
    <w:rsid w:val="00E52470"/>
    <w:rsid w:val="00E5248D"/>
    <w:rsid w:val="00E525A8"/>
    <w:rsid w:val="00E525D9"/>
    <w:rsid w:val="00E52625"/>
    <w:rsid w:val="00E52643"/>
    <w:rsid w:val="00E5267F"/>
    <w:rsid w:val="00E52848"/>
    <w:rsid w:val="00E52910"/>
    <w:rsid w:val="00E52AD8"/>
    <w:rsid w:val="00E52E22"/>
    <w:rsid w:val="00E52E2C"/>
    <w:rsid w:val="00E52EFA"/>
    <w:rsid w:val="00E53099"/>
    <w:rsid w:val="00E532F8"/>
    <w:rsid w:val="00E5342A"/>
    <w:rsid w:val="00E53600"/>
    <w:rsid w:val="00E53663"/>
    <w:rsid w:val="00E537D3"/>
    <w:rsid w:val="00E537D7"/>
    <w:rsid w:val="00E538E8"/>
    <w:rsid w:val="00E5397C"/>
    <w:rsid w:val="00E53A5B"/>
    <w:rsid w:val="00E53B03"/>
    <w:rsid w:val="00E53BD8"/>
    <w:rsid w:val="00E53EB5"/>
    <w:rsid w:val="00E53EBC"/>
    <w:rsid w:val="00E53F51"/>
    <w:rsid w:val="00E53F75"/>
    <w:rsid w:val="00E53FDB"/>
    <w:rsid w:val="00E54066"/>
    <w:rsid w:val="00E54088"/>
    <w:rsid w:val="00E54114"/>
    <w:rsid w:val="00E541D4"/>
    <w:rsid w:val="00E543B4"/>
    <w:rsid w:val="00E544AB"/>
    <w:rsid w:val="00E54514"/>
    <w:rsid w:val="00E546E8"/>
    <w:rsid w:val="00E5483A"/>
    <w:rsid w:val="00E548B1"/>
    <w:rsid w:val="00E5490A"/>
    <w:rsid w:val="00E5494A"/>
    <w:rsid w:val="00E54999"/>
    <w:rsid w:val="00E549A9"/>
    <w:rsid w:val="00E54A00"/>
    <w:rsid w:val="00E54C27"/>
    <w:rsid w:val="00E54EFC"/>
    <w:rsid w:val="00E5510B"/>
    <w:rsid w:val="00E55150"/>
    <w:rsid w:val="00E5524A"/>
    <w:rsid w:val="00E55438"/>
    <w:rsid w:val="00E554C7"/>
    <w:rsid w:val="00E55662"/>
    <w:rsid w:val="00E55757"/>
    <w:rsid w:val="00E55898"/>
    <w:rsid w:val="00E559B4"/>
    <w:rsid w:val="00E55A1F"/>
    <w:rsid w:val="00E55E3A"/>
    <w:rsid w:val="00E55F93"/>
    <w:rsid w:val="00E55FB2"/>
    <w:rsid w:val="00E56103"/>
    <w:rsid w:val="00E5619D"/>
    <w:rsid w:val="00E561BD"/>
    <w:rsid w:val="00E56232"/>
    <w:rsid w:val="00E56283"/>
    <w:rsid w:val="00E562EE"/>
    <w:rsid w:val="00E563F5"/>
    <w:rsid w:val="00E56462"/>
    <w:rsid w:val="00E5647D"/>
    <w:rsid w:val="00E5647F"/>
    <w:rsid w:val="00E564A7"/>
    <w:rsid w:val="00E5650C"/>
    <w:rsid w:val="00E5652E"/>
    <w:rsid w:val="00E5685C"/>
    <w:rsid w:val="00E569F3"/>
    <w:rsid w:val="00E56C89"/>
    <w:rsid w:val="00E56F08"/>
    <w:rsid w:val="00E56F10"/>
    <w:rsid w:val="00E56FE7"/>
    <w:rsid w:val="00E5705C"/>
    <w:rsid w:val="00E57077"/>
    <w:rsid w:val="00E5709F"/>
    <w:rsid w:val="00E57243"/>
    <w:rsid w:val="00E57362"/>
    <w:rsid w:val="00E57364"/>
    <w:rsid w:val="00E57374"/>
    <w:rsid w:val="00E57545"/>
    <w:rsid w:val="00E575C5"/>
    <w:rsid w:val="00E5769D"/>
    <w:rsid w:val="00E57754"/>
    <w:rsid w:val="00E577BA"/>
    <w:rsid w:val="00E577EF"/>
    <w:rsid w:val="00E5797C"/>
    <w:rsid w:val="00E579AD"/>
    <w:rsid w:val="00E57BE4"/>
    <w:rsid w:val="00E57C0A"/>
    <w:rsid w:val="00E57C7D"/>
    <w:rsid w:val="00E57CA2"/>
    <w:rsid w:val="00E57E5E"/>
    <w:rsid w:val="00E57E69"/>
    <w:rsid w:val="00E57FAD"/>
    <w:rsid w:val="00E57FE0"/>
    <w:rsid w:val="00E60094"/>
    <w:rsid w:val="00E60134"/>
    <w:rsid w:val="00E60204"/>
    <w:rsid w:val="00E60226"/>
    <w:rsid w:val="00E606DF"/>
    <w:rsid w:val="00E60756"/>
    <w:rsid w:val="00E60766"/>
    <w:rsid w:val="00E60B0F"/>
    <w:rsid w:val="00E60B38"/>
    <w:rsid w:val="00E60B50"/>
    <w:rsid w:val="00E60B62"/>
    <w:rsid w:val="00E60C32"/>
    <w:rsid w:val="00E60D0A"/>
    <w:rsid w:val="00E60EC4"/>
    <w:rsid w:val="00E60F8D"/>
    <w:rsid w:val="00E60FC7"/>
    <w:rsid w:val="00E611A0"/>
    <w:rsid w:val="00E616CD"/>
    <w:rsid w:val="00E61937"/>
    <w:rsid w:val="00E61C57"/>
    <w:rsid w:val="00E61C84"/>
    <w:rsid w:val="00E61CF4"/>
    <w:rsid w:val="00E61D59"/>
    <w:rsid w:val="00E61D96"/>
    <w:rsid w:val="00E61FB5"/>
    <w:rsid w:val="00E62036"/>
    <w:rsid w:val="00E620AE"/>
    <w:rsid w:val="00E6213D"/>
    <w:rsid w:val="00E62152"/>
    <w:rsid w:val="00E622B4"/>
    <w:rsid w:val="00E6244A"/>
    <w:rsid w:val="00E6254C"/>
    <w:rsid w:val="00E625AD"/>
    <w:rsid w:val="00E625C5"/>
    <w:rsid w:val="00E6262B"/>
    <w:rsid w:val="00E62649"/>
    <w:rsid w:val="00E62823"/>
    <w:rsid w:val="00E6282F"/>
    <w:rsid w:val="00E63034"/>
    <w:rsid w:val="00E6305B"/>
    <w:rsid w:val="00E63065"/>
    <w:rsid w:val="00E63109"/>
    <w:rsid w:val="00E6327D"/>
    <w:rsid w:val="00E633D7"/>
    <w:rsid w:val="00E6345A"/>
    <w:rsid w:val="00E634B7"/>
    <w:rsid w:val="00E6360E"/>
    <w:rsid w:val="00E63854"/>
    <w:rsid w:val="00E6387C"/>
    <w:rsid w:val="00E63A8A"/>
    <w:rsid w:val="00E63B7D"/>
    <w:rsid w:val="00E63CD2"/>
    <w:rsid w:val="00E63CE7"/>
    <w:rsid w:val="00E63D1E"/>
    <w:rsid w:val="00E63F52"/>
    <w:rsid w:val="00E63FF7"/>
    <w:rsid w:val="00E640DF"/>
    <w:rsid w:val="00E64177"/>
    <w:rsid w:val="00E645A5"/>
    <w:rsid w:val="00E645B2"/>
    <w:rsid w:val="00E64601"/>
    <w:rsid w:val="00E64657"/>
    <w:rsid w:val="00E646EB"/>
    <w:rsid w:val="00E64816"/>
    <w:rsid w:val="00E64828"/>
    <w:rsid w:val="00E6499E"/>
    <w:rsid w:val="00E649D7"/>
    <w:rsid w:val="00E64A11"/>
    <w:rsid w:val="00E64B8D"/>
    <w:rsid w:val="00E64D91"/>
    <w:rsid w:val="00E65182"/>
    <w:rsid w:val="00E65276"/>
    <w:rsid w:val="00E65485"/>
    <w:rsid w:val="00E65523"/>
    <w:rsid w:val="00E65859"/>
    <w:rsid w:val="00E658FC"/>
    <w:rsid w:val="00E65A28"/>
    <w:rsid w:val="00E65B90"/>
    <w:rsid w:val="00E65CC3"/>
    <w:rsid w:val="00E65FFB"/>
    <w:rsid w:val="00E6605E"/>
    <w:rsid w:val="00E662B8"/>
    <w:rsid w:val="00E662C2"/>
    <w:rsid w:val="00E66302"/>
    <w:rsid w:val="00E66489"/>
    <w:rsid w:val="00E66676"/>
    <w:rsid w:val="00E666E6"/>
    <w:rsid w:val="00E667A9"/>
    <w:rsid w:val="00E6692E"/>
    <w:rsid w:val="00E66A8D"/>
    <w:rsid w:val="00E66CD0"/>
    <w:rsid w:val="00E66D91"/>
    <w:rsid w:val="00E66DC3"/>
    <w:rsid w:val="00E66E24"/>
    <w:rsid w:val="00E66E6E"/>
    <w:rsid w:val="00E66E9F"/>
    <w:rsid w:val="00E66FC9"/>
    <w:rsid w:val="00E671A4"/>
    <w:rsid w:val="00E67338"/>
    <w:rsid w:val="00E6735E"/>
    <w:rsid w:val="00E67451"/>
    <w:rsid w:val="00E674D8"/>
    <w:rsid w:val="00E6753C"/>
    <w:rsid w:val="00E67571"/>
    <w:rsid w:val="00E675BF"/>
    <w:rsid w:val="00E67614"/>
    <w:rsid w:val="00E67684"/>
    <w:rsid w:val="00E676FD"/>
    <w:rsid w:val="00E677EE"/>
    <w:rsid w:val="00E6780A"/>
    <w:rsid w:val="00E678CF"/>
    <w:rsid w:val="00E679B9"/>
    <w:rsid w:val="00E679E2"/>
    <w:rsid w:val="00E67A0A"/>
    <w:rsid w:val="00E67C1E"/>
    <w:rsid w:val="00E67DD4"/>
    <w:rsid w:val="00E67ED5"/>
    <w:rsid w:val="00E67F3C"/>
    <w:rsid w:val="00E70000"/>
    <w:rsid w:val="00E70198"/>
    <w:rsid w:val="00E70637"/>
    <w:rsid w:val="00E70706"/>
    <w:rsid w:val="00E707BD"/>
    <w:rsid w:val="00E7082A"/>
    <w:rsid w:val="00E7089C"/>
    <w:rsid w:val="00E70AFF"/>
    <w:rsid w:val="00E70B6E"/>
    <w:rsid w:val="00E70D3C"/>
    <w:rsid w:val="00E70F46"/>
    <w:rsid w:val="00E70F6C"/>
    <w:rsid w:val="00E70FC9"/>
    <w:rsid w:val="00E7107B"/>
    <w:rsid w:val="00E710F7"/>
    <w:rsid w:val="00E71153"/>
    <w:rsid w:val="00E711B9"/>
    <w:rsid w:val="00E711C3"/>
    <w:rsid w:val="00E71223"/>
    <w:rsid w:val="00E71228"/>
    <w:rsid w:val="00E71289"/>
    <w:rsid w:val="00E71626"/>
    <w:rsid w:val="00E71755"/>
    <w:rsid w:val="00E7185C"/>
    <w:rsid w:val="00E7187C"/>
    <w:rsid w:val="00E71935"/>
    <w:rsid w:val="00E71AD2"/>
    <w:rsid w:val="00E71AF3"/>
    <w:rsid w:val="00E71B3E"/>
    <w:rsid w:val="00E71B5D"/>
    <w:rsid w:val="00E71BFE"/>
    <w:rsid w:val="00E71C63"/>
    <w:rsid w:val="00E71D2C"/>
    <w:rsid w:val="00E71F13"/>
    <w:rsid w:val="00E71F76"/>
    <w:rsid w:val="00E71FAC"/>
    <w:rsid w:val="00E7203B"/>
    <w:rsid w:val="00E7203C"/>
    <w:rsid w:val="00E7219E"/>
    <w:rsid w:val="00E723B7"/>
    <w:rsid w:val="00E724E4"/>
    <w:rsid w:val="00E72558"/>
    <w:rsid w:val="00E725AA"/>
    <w:rsid w:val="00E725BC"/>
    <w:rsid w:val="00E72BDF"/>
    <w:rsid w:val="00E72C60"/>
    <w:rsid w:val="00E72C8E"/>
    <w:rsid w:val="00E72D45"/>
    <w:rsid w:val="00E72FD9"/>
    <w:rsid w:val="00E7306D"/>
    <w:rsid w:val="00E73084"/>
    <w:rsid w:val="00E73122"/>
    <w:rsid w:val="00E7315C"/>
    <w:rsid w:val="00E731BB"/>
    <w:rsid w:val="00E7366A"/>
    <w:rsid w:val="00E73686"/>
    <w:rsid w:val="00E73871"/>
    <w:rsid w:val="00E73885"/>
    <w:rsid w:val="00E7394C"/>
    <w:rsid w:val="00E73A5D"/>
    <w:rsid w:val="00E73AE8"/>
    <w:rsid w:val="00E73ECA"/>
    <w:rsid w:val="00E73F16"/>
    <w:rsid w:val="00E740B3"/>
    <w:rsid w:val="00E7436B"/>
    <w:rsid w:val="00E74453"/>
    <w:rsid w:val="00E74729"/>
    <w:rsid w:val="00E74730"/>
    <w:rsid w:val="00E74763"/>
    <w:rsid w:val="00E7477A"/>
    <w:rsid w:val="00E74923"/>
    <w:rsid w:val="00E74DF6"/>
    <w:rsid w:val="00E74E67"/>
    <w:rsid w:val="00E74EF1"/>
    <w:rsid w:val="00E75017"/>
    <w:rsid w:val="00E75065"/>
    <w:rsid w:val="00E750E7"/>
    <w:rsid w:val="00E7515B"/>
    <w:rsid w:val="00E751A3"/>
    <w:rsid w:val="00E75210"/>
    <w:rsid w:val="00E752D6"/>
    <w:rsid w:val="00E75305"/>
    <w:rsid w:val="00E754C5"/>
    <w:rsid w:val="00E7574F"/>
    <w:rsid w:val="00E7577D"/>
    <w:rsid w:val="00E757AD"/>
    <w:rsid w:val="00E75A24"/>
    <w:rsid w:val="00E75A83"/>
    <w:rsid w:val="00E75B0F"/>
    <w:rsid w:val="00E75D1E"/>
    <w:rsid w:val="00E76073"/>
    <w:rsid w:val="00E7607B"/>
    <w:rsid w:val="00E7619F"/>
    <w:rsid w:val="00E7620C"/>
    <w:rsid w:val="00E76261"/>
    <w:rsid w:val="00E762B8"/>
    <w:rsid w:val="00E7635C"/>
    <w:rsid w:val="00E7636F"/>
    <w:rsid w:val="00E764D8"/>
    <w:rsid w:val="00E7656A"/>
    <w:rsid w:val="00E765FE"/>
    <w:rsid w:val="00E76612"/>
    <w:rsid w:val="00E7669B"/>
    <w:rsid w:val="00E76896"/>
    <w:rsid w:val="00E768A5"/>
    <w:rsid w:val="00E769F5"/>
    <w:rsid w:val="00E7709B"/>
    <w:rsid w:val="00E770A2"/>
    <w:rsid w:val="00E77152"/>
    <w:rsid w:val="00E77183"/>
    <w:rsid w:val="00E771F6"/>
    <w:rsid w:val="00E77421"/>
    <w:rsid w:val="00E775A2"/>
    <w:rsid w:val="00E775C6"/>
    <w:rsid w:val="00E779EF"/>
    <w:rsid w:val="00E77A17"/>
    <w:rsid w:val="00E77A93"/>
    <w:rsid w:val="00E77B8B"/>
    <w:rsid w:val="00E77D92"/>
    <w:rsid w:val="00E77D97"/>
    <w:rsid w:val="00E77DB4"/>
    <w:rsid w:val="00E77DDF"/>
    <w:rsid w:val="00E77FDD"/>
    <w:rsid w:val="00E80227"/>
    <w:rsid w:val="00E80319"/>
    <w:rsid w:val="00E80420"/>
    <w:rsid w:val="00E806AC"/>
    <w:rsid w:val="00E806B4"/>
    <w:rsid w:val="00E80707"/>
    <w:rsid w:val="00E8079B"/>
    <w:rsid w:val="00E8086D"/>
    <w:rsid w:val="00E80889"/>
    <w:rsid w:val="00E80A28"/>
    <w:rsid w:val="00E80A40"/>
    <w:rsid w:val="00E80B9B"/>
    <w:rsid w:val="00E80D01"/>
    <w:rsid w:val="00E80EB5"/>
    <w:rsid w:val="00E80F52"/>
    <w:rsid w:val="00E80F5E"/>
    <w:rsid w:val="00E80FA5"/>
    <w:rsid w:val="00E80FC1"/>
    <w:rsid w:val="00E810B4"/>
    <w:rsid w:val="00E814DA"/>
    <w:rsid w:val="00E81616"/>
    <w:rsid w:val="00E816D1"/>
    <w:rsid w:val="00E8192A"/>
    <w:rsid w:val="00E8195E"/>
    <w:rsid w:val="00E819CB"/>
    <w:rsid w:val="00E81A60"/>
    <w:rsid w:val="00E81AF2"/>
    <w:rsid w:val="00E81BC3"/>
    <w:rsid w:val="00E81BCC"/>
    <w:rsid w:val="00E81C98"/>
    <w:rsid w:val="00E81CC3"/>
    <w:rsid w:val="00E81CCC"/>
    <w:rsid w:val="00E81CFE"/>
    <w:rsid w:val="00E81D7D"/>
    <w:rsid w:val="00E81E13"/>
    <w:rsid w:val="00E81E59"/>
    <w:rsid w:val="00E81F58"/>
    <w:rsid w:val="00E81FCB"/>
    <w:rsid w:val="00E82043"/>
    <w:rsid w:val="00E820F7"/>
    <w:rsid w:val="00E8229E"/>
    <w:rsid w:val="00E822FC"/>
    <w:rsid w:val="00E823D5"/>
    <w:rsid w:val="00E8253F"/>
    <w:rsid w:val="00E82762"/>
    <w:rsid w:val="00E827DC"/>
    <w:rsid w:val="00E8281C"/>
    <w:rsid w:val="00E8292E"/>
    <w:rsid w:val="00E829F8"/>
    <w:rsid w:val="00E82A34"/>
    <w:rsid w:val="00E82A5B"/>
    <w:rsid w:val="00E82D0C"/>
    <w:rsid w:val="00E82DAA"/>
    <w:rsid w:val="00E82E0F"/>
    <w:rsid w:val="00E82EDB"/>
    <w:rsid w:val="00E82F80"/>
    <w:rsid w:val="00E830E3"/>
    <w:rsid w:val="00E83119"/>
    <w:rsid w:val="00E833B6"/>
    <w:rsid w:val="00E833C5"/>
    <w:rsid w:val="00E833F6"/>
    <w:rsid w:val="00E83504"/>
    <w:rsid w:val="00E83548"/>
    <w:rsid w:val="00E83614"/>
    <w:rsid w:val="00E8361E"/>
    <w:rsid w:val="00E83811"/>
    <w:rsid w:val="00E83852"/>
    <w:rsid w:val="00E838C4"/>
    <w:rsid w:val="00E83980"/>
    <w:rsid w:val="00E839B0"/>
    <w:rsid w:val="00E83B5B"/>
    <w:rsid w:val="00E83CBB"/>
    <w:rsid w:val="00E83CF7"/>
    <w:rsid w:val="00E8404A"/>
    <w:rsid w:val="00E8409F"/>
    <w:rsid w:val="00E84143"/>
    <w:rsid w:val="00E84355"/>
    <w:rsid w:val="00E847AE"/>
    <w:rsid w:val="00E8483D"/>
    <w:rsid w:val="00E84927"/>
    <w:rsid w:val="00E849B8"/>
    <w:rsid w:val="00E84AC0"/>
    <w:rsid w:val="00E84B0E"/>
    <w:rsid w:val="00E84B19"/>
    <w:rsid w:val="00E84BC7"/>
    <w:rsid w:val="00E84CF8"/>
    <w:rsid w:val="00E84F13"/>
    <w:rsid w:val="00E85008"/>
    <w:rsid w:val="00E8505A"/>
    <w:rsid w:val="00E8505B"/>
    <w:rsid w:val="00E85179"/>
    <w:rsid w:val="00E851C1"/>
    <w:rsid w:val="00E851FF"/>
    <w:rsid w:val="00E853F3"/>
    <w:rsid w:val="00E853F8"/>
    <w:rsid w:val="00E85446"/>
    <w:rsid w:val="00E855D0"/>
    <w:rsid w:val="00E85619"/>
    <w:rsid w:val="00E85685"/>
    <w:rsid w:val="00E856A6"/>
    <w:rsid w:val="00E8572F"/>
    <w:rsid w:val="00E85A24"/>
    <w:rsid w:val="00E85A37"/>
    <w:rsid w:val="00E85BDE"/>
    <w:rsid w:val="00E85C7E"/>
    <w:rsid w:val="00E85D08"/>
    <w:rsid w:val="00E85D14"/>
    <w:rsid w:val="00E85E4B"/>
    <w:rsid w:val="00E85E67"/>
    <w:rsid w:val="00E85F41"/>
    <w:rsid w:val="00E85F5D"/>
    <w:rsid w:val="00E860DA"/>
    <w:rsid w:val="00E860F9"/>
    <w:rsid w:val="00E861CF"/>
    <w:rsid w:val="00E8625F"/>
    <w:rsid w:val="00E86367"/>
    <w:rsid w:val="00E86446"/>
    <w:rsid w:val="00E8659A"/>
    <w:rsid w:val="00E865BA"/>
    <w:rsid w:val="00E8667E"/>
    <w:rsid w:val="00E866C7"/>
    <w:rsid w:val="00E8694B"/>
    <w:rsid w:val="00E86A81"/>
    <w:rsid w:val="00E86CC1"/>
    <w:rsid w:val="00E86CFC"/>
    <w:rsid w:val="00E86DCC"/>
    <w:rsid w:val="00E86F64"/>
    <w:rsid w:val="00E87058"/>
    <w:rsid w:val="00E87063"/>
    <w:rsid w:val="00E870A6"/>
    <w:rsid w:val="00E870B9"/>
    <w:rsid w:val="00E872B3"/>
    <w:rsid w:val="00E8765E"/>
    <w:rsid w:val="00E87712"/>
    <w:rsid w:val="00E87807"/>
    <w:rsid w:val="00E87909"/>
    <w:rsid w:val="00E87A41"/>
    <w:rsid w:val="00E87B06"/>
    <w:rsid w:val="00E87B57"/>
    <w:rsid w:val="00E87BFA"/>
    <w:rsid w:val="00E87C11"/>
    <w:rsid w:val="00E87CDD"/>
    <w:rsid w:val="00E87E6D"/>
    <w:rsid w:val="00E901A1"/>
    <w:rsid w:val="00E9035B"/>
    <w:rsid w:val="00E90374"/>
    <w:rsid w:val="00E905BB"/>
    <w:rsid w:val="00E905BE"/>
    <w:rsid w:val="00E90731"/>
    <w:rsid w:val="00E907EB"/>
    <w:rsid w:val="00E907F9"/>
    <w:rsid w:val="00E908D0"/>
    <w:rsid w:val="00E90AB7"/>
    <w:rsid w:val="00E90C09"/>
    <w:rsid w:val="00E90D95"/>
    <w:rsid w:val="00E9110C"/>
    <w:rsid w:val="00E912CC"/>
    <w:rsid w:val="00E91315"/>
    <w:rsid w:val="00E91344"/>
    <w:rsid w:val="00E913BF"/>
    <w:rsid w:val="00E913C6"/>
    <w:rsid w:val="00E9148E"/>
    <w:rsid w:val="00E91496"/>
    <w:rsid w:val="00E91511"/>
    <w:rsid w:val="00E9158F"/>
    <w:rsid w:val="00E916D0"/>
    <w:rsid w:val="00E9170E"/>
    <w:rsid w:val="00E91A41"/>
    <w:rsid w:val="00E91A76"/>
    <w:rsid w:val="00E91C49"/>
    <w:rsid w:val="00E91EED"/>
    <w:rsid w:val="00E9216D"/>
    <w:rsid w:val="00E921D3"/>
    <w:rsid w:val="00E921F6"/>
    <w:rsid w:val="00E92428"/>
    <w:rsid w:val="00E924BE"/>
    <w:rsid w:val="00E92543"/>
    <w:rsid w:val="00E925E2"/>
    <w:rsid w:val="00E925FC"/>
    <w:rsid w:val="00E9272B"/>
    <w:rsid w:val="00E92903"/>
    <w:rsid w:val="00E92975"/>
    <w:rsid w:val="00E92A29"/>
    <w:rsid w:val="00E92A9D"/>
    <w:rsid w:val="00E92C04"/>
    <w:rsid w:val="00E92CAF"/>
    <w:rsid w:val="00E92E54"/>
    <w:rsid w:val="00E92E9D"/>
    <w:rsid w:val="00E92EA2"/>
    <w:rsid w:val="00E92EFC"/>
    <w:rsid w:val="00E92F64"/>
    <w:rsid w:val="00E93041"/>
    <w:rsid w:val="00E93064"/>
    <w:rsid w:val="00E93215"/>
    <w:rsid w:val="00E93297"/>
    <w:rsid w:val="00E9333E"/>
    <w:rsid w:val="00E935D4"/>
    <w:rsid w:val="00E9377F"/>
    <w:rsid w:val="00E93789"/>
    <w:rsid w:val="00E937FD"/>
    <w:rsid w:val="00E9391C"/>
    <w:rsid w:val="00E939F6"/>
    <w:rsid w:val="00E93A20"/>
    <w:rsid w:val="00E93C7B"/>
    <w:rsid w:val="00E93CFF"/>
    <w:rsid w:val="00E93F18"/>
    <w:rsid w:val="00E93F61"/>
    <w:rsid w:val="00E93FA7"/>
    <w:rsid w:val="00E942CE"/>
    <w:rsid w:val="00E942FA"/>
    <w:rsid w:val="00E94400"/>
    <w:rsid w:val="00E947E5"/>
    <w:rsid w:val="00E947E6"/>
    <w:rsid w:val="00E94808"/>
    <w:rsid w:val="00E94AA5"/>
    <w:rsid w:val="00E94D31"/>
    <w:rsid w:val="00E94DED"/>
    <w:rsid w:val="00E94F2B"/>
    <w:rsid w:val="00E94F4E"/>
    <w:rsid w:val="00E95085"/>
    <w:rsid w:val="00E9537C"/>
    <w:rsid w:val="00E954A3"/>
    <w:rsid w:val="00E955C8"/>
    <w:rsid w:val="00E956D0"/>
    <w:rsid w:val="00E9583C"/>
    <w:rsid w:val="00E958BF"/>
    <w:rsid w:val="00E95900"/>
    <w:rsid w:val="00E95910"/>
    <w:rsid w:val="00E95A24"/>
    <w:rsid w:val="00E95A2C"/>
    <w:rsid w:val="00E95B2E"/>
    <w:rsid w:val="00E95B96"/>
    <w:rsid w:val="00E95BC7"/>
    <w:rsid w:val="00E95CA1"/>
    <w:rsid w:val="00E95E98"/>
    <w:rsid w:val="00E96136"/>
    <w:rsid w:val="00E965C4"/>
    <w:rsid w:val="00E965FB"/>
    <w:rsid w:val="00E96672"/>
    <w:rsid w:val="00E966DD"/>
    <w:rsid w:val="00E9670F"/>
    <w:rsid w:val="00E9694F"/>
    <w:rsid w:val="00E96B67"/>
    <w:rsid w:val="00E96DDE"/>
    <w:rsid w:val="00E96E2A"/>
    <w:rsid w:val="00E96E3A"/>
    <w:rsid w:val="00E96E7A"/>
    <w:rsid w:val="00E96E90"/>
    <w:rsid w:val="00E96F30"/>
    <w:rsid w:val="00E9708A"/>
    <w:rsid w:val="00E971CE"/>
    <w:rsid w:val="00E973A2"/>
    <w:rsid w:val="00E973AA"/>
    <w:rsid w:val="00E97411"/>
    <w:rsid w:val="00E97432"/>
    <w:rsid w:val="00E9751A"/>
    <w:rsid w:val="00E975A9"/>
    <w:rsid w:val="00E97677"/>
    <w:rsid w:val="00E97687"/>
    <w:rsid w:val="00E976EB"/>
    <w:rsid w:val="00E9770F"/>
    <w:rsid w:val="00E97740"/>
    <w:rsid w:val="00E9776E"/>
    <w:rsid w:val="00E977C1"/>
    <w:rsid w:val="00E97813"/>
    <w:rsid w:val="00E979EC"/>
    <w:rsid w:val="00E97A52"/>
    <w:rsid w:val="00E97A72"/>
    <w:rsid w:val="00E97AB1"/>
    <w:rsid w:val="00E97B4C"/>
    <w:rsid w:val="00E97CF2"/>
    <w:rsid w:val="00E97D21"/>
    <w:rsid w:val="00E97DFB"/>
    <w:rsid w:val="00EA008A"/>
    <w:rsid w:val="00EA0241"/>
    <w:rsid w:val="00EA0277"/>
    <w:rsid w:val="00EA0317"/>
    <w:rsid w:val="00EA03F1"/>
    <w:rsid w:val="00EA041D"/>
    <w:rsid w:val="00EA0453"/>
    <w:rsid w:val="00EA0465"/>
    <w:rsid w:val="00EA066D"/>
    <w:rsid w:val="00EA0744"/>
    <w:rsid w:val="00EA08C9"/>
    <w:rsid w:val="00EA0925"/>
    <w:rsid w:val="00EA093D"/>
    <w:rsid w:val="00EA097F"/>
    <w:rsid w:val="00EA0C6C"/>
    <w:rsid w:val="00EA11ED"/>
    <w:rsid w:val="00EA128F"/>
    <w:rsid w:val="00EA12B3"/>
    <w:rsid w:val="00EA12DC"/>
    <w:rsid w:val="00EA1302"/>
    <w:rsid w:val="00EA1386"/>
    <w:rsid w:val="00EA1494"/>
    <w:rsid w:val="00EA1598"/>
    <w:rsid w:val="00EA1632"/>
    <w:rsid w:val="00EA17C0"/>
    <w:rsid w:val="00EA1973"/>
    <w:rsid w:val="00EA1A68"/>
    <w:rsid w:val="00EA1AFE"/>
    <w:rsid w:val="00EA1CCD"/>
    <w:rsid w:val="00EA1D48"/>
    <w:rsid w:val="00EA1DFD"/>
    <w:rsid w:val="00EA1E45"/>
    <w:rsid w:val="00EA1E69"/>
    <w:rsid w:val="00EA1EE0"/>
    <w:rsid w:val="00EA1FCB"/>
    <w:rsid w:val="00EA2023"/>
    <w:rsid w:val="00EA22EA"/>
    <w:rsid w:val="00EA2386"/>
    <w:rsid w:val="00EA239E"/>
    <w:rsid w:val="00EA23F2"/>
    <w:rsid w:val="00EA2435"/>
    <w:rsid w:val="00EA26A1"/>
    <w:rsid w:val="00EA2923"/>
    <w:rsid w:val="00EA2ABD"/>
    <w:rsid w:val="00EA2B27"/>
    <w:rsid w:val="00EA2BE6"/>
    <w:rsid w:val="00EA2C75"/>
    <w:rsid w:val="00EA2C9F"/>
    <w:rsid w:val="00EA2EF8"/>
    <w:rsid w:val="00EA303F"/>
    <w:rsid w:val="00EA30D8"/>
    <w:rsid w:val="00EA3143"/>
    <w:rsid w:val="00EA3222"/>
    <w:rsid w:val="00EA330C"/>
    <w:rsid w:val="00EA33F4"/>
    <w:rsid w:val="00EA33FA"/>
    <w:rsid w:val="00EA355E"/>
    <w:rsid w:val="00EA356B"/>
    <w:rsid w:val="00EA3588"/>
    <w:rsid w:val="00EA371A"/>
    <w:rsid w:val="00EA3772"/>
    <w:rsid w:val="00EA37E6"/>
    <w:rsid w:val="00EA3838"/>
    <w:rsid w:val="00EA387D"/>
    <w:rsid w:val="00EA3BA0"/>
    <w:rsid w:val="00EA3CA4"/>
    <w:rsid w:val="00EA3DAC"/>
    <w:rsid w:val="00EA3EB7"/>
    <w:rsid w:val="00EA3EF5"/>
    <w:rsid w:val="00EA40A2"/>
    <w:rsid w:val="00EA40A5"/>
    <w:rsid w:val="00EA40C7"/>
    <w:rsid w:val="00EA4148"/>
    <w:rsid w:val="00EA41A2"/>
    <w:rsid w:val="00EA4691"/>
    <w:rsid w:val="00EA46E4"/>
    <w:rsid w:val="00EA4A76"/>
    <w:rsid w:val="00EA4BEE"/>
    <w:rsid w:val="00EA4C32"/>
    <w:rsid w:val="00EA4C67"/>
    <w:rsid w:val="00EA4C6B"/>
    <w:rsid w:val="00EA4C7E"/>
    <w:rsid w:val="00EA4DBA"/>
    <w:rsid w:val="00EA4DDB"/>
    <w:rsid w:val="00EA4E22"/>
    <w:rsid w:val="00EA4EC6"/>
    <w:rsid w:val="00EA4F34"/>
    <w:rsid w:val="00EA4F37"/>
    <w:rsid w:val="00EA5204"/>
    <w:rsid w:val="00EA52B5"/>
    <w:rsid w:val="00EA53D5"/>
    <w:rsid w:val="00EA5452"/>
    <w:rsid w:val="00EA56B6"/>
    <w:rsid w:val="00EA57E8"/>
    <w:rsid w:val="00EA5872"/>
    <w:rsid w:val="00EA58B7"/>
    <w:rsid w:val="00EA590B"/>
    <w:rsid w:val="00EA5972"/>
    <w:rsid w:val="00EA59D8"/>
    <w:rsid w:val="00EA59E9"/>
    <w:rsid w:val="00EA5AAC"/>
    <w:rsid w:val="00EA5BCB"/>
    <w:rsid w:val="00EA5BEB"/>
    <w:rsid w:val="00EA5CB3"/>
    <w:rsid w:val="00EA5DC5"/>
    <w:rsid w:val="00EA5DF6"/>
    <w:rsid w:val="00EA600E"/>
    <w:rsid w:val="00EA626E"/>
    <w:rsid w:val="00EA627D"/>
    <w:rsid w:val="00EA63C3"/>
    <w:rsid w:val="00EA64F8"/>
    <w:rsid w:val="00EA6523"/>
    <w:rsid w:val="00EA67FC"/>
    <w:rsid w:val="00EA6844"/>
    <w:rsid w:val="00EA69CC"/>
    <w:rsid w:val="00EA6A99"/>
    <w:rsid w:val="00EA6C2C"/>
    <w:rsid w:val="00EA6D51"/>
    <w:rsid w:val="00EA6D60"/>
    <w:rsid w:val="00EA6DEF"/>
    <w:rsid w:val="00EA6E1E"/>
    <w:rsid w:val="00EA6ED8"/>
    <w:rsid w:val="00EA6F39"/>
    <w:rsid w:val="00EA6F81"/>
    <w:rsid w:val="00EA70C2"/>
    <w:rsid w:val="00EA7202"/>
    <w:rsid w:val="00EA720D"/>
    <w:rsid w:val="00EA723B"/>
    <w:rsid w:val="00EA72AE"/>
    <w:rsid w:val="00EA72F1"/>
    <w:rsid w:val="00EA736A"/>
    <w:rsid w:val="00EA73ED"/>
    <w:rsid w:val="00EA753C"/>
    <w:rsid w:val="00EA76B6"/>
    <w:rsid w:val="00EA79CA"/>
    <w:rsid w:val="00EA7A62"/>
    <w:rsid w:val="00EA7A63"/>
    <w:rsid w:val="00EA7AE6"/>
    <w:rsid w:val="00EA7C1C"/>
    <w:rsid w:val="00EA7DB6"/>
    <w:rsid w:val="00EA7E91"/>
    <w:rsid w:val="00EA7F70"/>
    <w:rsid w:val="00EA7FAE"/>
    <w:rsid w:val="00EB0023"/>
    <w:rsid w:val="00EB009E"/>
    <w:rsid w:val="00EB014B"/>
    <w:rsid w:val="00EB0427"/>
    <w:rsid w:val="00EB056C"/>
    <w:rsid w:val="00EB061B"/>
    <w:rsid w:val="00EB077D"/>
    <w:rsid w:val="00EB078A"/>
    <w:rsid w:val="00EB07BB"/>
    <w:rsid w:val="00EB07DC"/>
    <w:rsid w:val="00EB0913"/>
    <w:rsid w:val="00EB0962"/>
    <w:rsid w:val="00EB097C"/>
    <w:rsid w:val="00EB0B86"/>
    <w:rsid w:val="00EB0D15"/>
    <w:rsid w:val="00EB0DDE"/>
    <w:rsid w:val="00EB0E33"/>
    <w:rsid w:val="00EB101F"/>
    <w:rsid w:val="00EB107F"/>
    <w:rsid w:val="00EB123E"/>
    <w:rsid w:val="00EB131D"/>
    <w:rsid w:val="00EB1332"/>
    <w:rsid w:val="00EB13CA"/>
    <w:rsid w:val="00EB163B"/>
    <w:rsid w:val="00EB1661"/>
    <w:rsid w:val="00EB17CB"/>
    <w:rsid w:val="00EB191C"/>
    <w:rsid w:val="00EB1BB6"/>
    <w:rsid w:val="00EB1C58"/>
    <w:rsid w:val="00EB1C5D"/>
    <w:rsid w:val="00EB1C95"/>
    <w:rsid w:val="00EB1D27"/>
    <w:rsid w:val="00EB1D97"/>
    <w:rsid w:val="00EB1FA2"/>
    <w:rsid w:val="00EB1FF1"/>
    <w:rsid w:val="00EB2043"/>
    <w:rsid w:val="00EB2084"/>
    <w:rsid w:val="00EB20B4"/>
    <w:rsid w:val="00EB21CA"/>
    <w:rsid w:val="00EB231A"/>
    <w:rsid w:val="00EB231C"/>
    <w:rsid w:val="00EB23B9"/>
    <w:rsid w:val="00EB26D8"/>
    <w:rsid w:val="00EB28B0"/>
    <w:rsid w:val="00EB28BD"/>
    <w:rsid w:val="00EB29EE"/>
    <w:rsid w:val="00EB2B9B"/>
    <w:rsid w:val="00EB2E4F"/>
    <w:rsid w:val="00EB2EB9"/>
    <w:rsid w:val="00EB2F26"/>
    <w:rsid w:val="00EB2FDB"/>
    <w:rsid w:val="00EB30C2"/>
    <w:rsid w:val="00EB3179"/>
    <w:rsid w:val="00EB3231"/>
    <w:rsid w:val="00EB3336"/>
    <w:rsid w:val="00EB3391"/>
    <w:rsid w:val="00EB3766"/>
    <w:rsid w:val="00EB3816"/>
    <w:rsid w:val="00EB3831"/>
    <w:rsid w:val="00EB383E"/>
    <w:rsid w:val="00EB384C"/>
    <w:rsid w:val="00EB38B1"/>
    <w:rsid w:val="00EB3D3F"/>
    <w:rsid w:val="00EB3D64"/>
    <w:rsid w:val="00EB3D8E"/>
    <w:rsid w:val="00EB3DA4"/>
    <w:rsid w:val="00EB3E79"/>
    <w:rsid w:val="00EB3F7F"/>
    <w:rsid w:val="00EB3F81"/>
    <w:rsid w:val="00EB3FE4"/>
    <w:rsid w:val="00EB42DE"/>
    <w:rsid w:val="00EB438E"/>
    <w:rsid w:val="00EB45E6"/>
    <w:rsid w:val="00EB4703"/>
    <w:rsid w:val="00EB476F"/>
    <w:rsid w:val="00EB4913"/>
    <w:rsid w:val="00EB49FB"/>
    <w:rsid w:val="00EB4A06"/>
    <w:rsid w:val="00EB4A5E"/>
    <w:rsid w:val="00EB4BA8"/>
    <w:rsid w:val="00EB4C1B"/>
    <w:rsid w:val="00EB4C70"/>
    <w:rsid w:val="00EB4D4E"/>
    <w:rsid w:val="00EB4EB1"/>
    <w:rsid w:val="00EB511F"/>
    <w:rsid w:val="00EB5124"/>
    <w:rsid w:val="00EB5126"/>
    <w:rsid w:val="00EB5503"/>
    <w:rsid w:val="00EB57F6"/>
    <w:rsid w:val="00EB583B"/>
    <w:rsid w:val="00EB5885"/>
    <w:rsid w:val="00EB5B47"/>
    <w:rsid w:val="00EB5BF7"/>
    <w:rsid w:val="00EB5C90"/>
    <w:rsid w:val="00EB5CB4"/>
    <w:rsid w:val="00EB5F57"/>
    <w:rsid w:val="00EB5F94"/>
    <w:rsid w:val="00EB6000"/>
    <w:rsid w:val="00EB6451"/>
    <w:rsid w:val="00EB64DE"/>
    <w:rsid w:val="00EB652F"/>
    <w:rsid w:val="00EB6562"/>
    <w:rsid w:val="00EB65FA"/>
    <w:rsid w:val="00EB6778"/>
    <w:rsid w:val="00EB68E7"/>
    <w:rsid w:val="00EB6918"/>
    <w:rsid w:val="00EB698E"/>
    <w:rsid w:val="00EB69C1"/>
    <w:rsid w:val="00EB6AC0"/>
    <w:rsid w:val="00EB6AD7"/>
    <w:rsid w:val="00EB6B51"/>
    <w:rsid w:val="00EB6CAA"/>
    <w:rsid w:val="00EB6D7F"/>
    <w:rsid w:val="00EB6F2A"/>
    <w:rsid w:val="00EB70B7"/>
    <w:rsid w:val="00EB71FC"/>
    <w:rsid w:val="00EB742C"/>
    <w:rsid w:val="00EB74A1"/>
    <w:rsid w:val="00EB74BF"/>
    <w:rsid w:val="00EB759D"/>
    <w:rsid w:val="00EB760D"/>
    <w:rsid w:val="00EB77A7"/>
    <w:rsid w:val="00EB7857"/>
    <w:rsid w:val="00EB78B4"/>
    <w:rsid w:val="00EB7937"/>
    <w:rsid w:val="00EB7993"/>
    <w:rsid w:val="00EB79CB"/>
    <w:rsid w:val="00EB7A8C"/>
    <w:rsid w:val="00EB7AC8"/>
    <w:rsid w:val="00EB7BBB"/>
    <w:rsid w:val="00EB7D47"/>
    <w:rsid w:val="00EB7E0E"/>
    <w:rsid w:val="00EB7E20"/>
    <w:rsid w:val="00EB7E32"/>
    <w:rsid w:val="00EC00E4"/>
    <w:rsid w:val="00EC0142"/>
    <w:rsid w:val="00EC01E3"/>
    <w:rsid w:val="00EC02A1"/>
    <w:rsid w:val="00EC0301"/>
    <w:rsid w:val="00EC0305"/>
    <w:rsid w:val="00EC0370"/>
    <w:rsid w:val="00EC0558"/>
    <w:rsid w:val="00EC0583"/>
    <w:rsid w:val="00EC0603"/>
    <w:rsid w:val="00EC0676"/>
    <w:rsid w:val="00EC078B"/>
    <w:rsid w:val="00EC07F4"/>
    <w:rsid w:val="00EC0C7F"/>
    <w:rsid w:val="00EC0C8C"/>
    <w:rsid w:val="00EC0DC1"/>
    <w:rsid w:val="00EC0E8A"/>
    <w:rsid w:val="00EC105F"/>
    <w:rsid w:val="00EC1087"/>
    <w:rsid w:val="00EC113C"/>
    <w:rsid w:val="00EC1203"/>
    <w:rsid w:val="00EC1237"/>
    <w:rsid w:val="00EC1286"/>
    <w:rsid w:val="00EC13BC"/>
    <w:rsid w:val="00EC141C"/>
    <w:rsid w:val="00EC14CF"/>
    <w:rsid w:val="00EC16D1"/>
    <w:rsid w:val="00EC17BD"/>
    <w:rsid w:val="00EC18C2"/>
    <w:rsid w:val="00EC19F6"/>
    <w:rsid w:val="00EC1A1A"/>
    <w:rsid w:val="00EC1A67"/>
    <w:rsid w:val="00EC1AD5"/>
    <w:rsid w:val="00EC1B18"/>
    <w:rsid w:val="00EC1F95"/>
    <w:rsid w:val="00EC1FAF"/>
    <w:rsid w:val="00EC1FD4"/>
    <w:rsid w:val="00EC20DD"/>
    <w:rsid w:val="00EC22AA"/>
    <w:rsid w:val="00EC22E7"/>
    <w:rsid w:val="00EC2311"/>
    <w:rsid w:val="00EC2312"/>
    <w:rsid w:val="00EC257E"/>
    <w:rsid w:val="00EC25C4"/>
    <w:rsid w:val="00EC272B"/>
    <w:rsid w:val="00EC2776"/>
    <w:rsid w:val="00EC286E"/>
    <w:rsid w:val="00EC28CE"/>
    <w:rsid w:val="00EC2A36"/>
    <w:rsid w:val="00EC2A96"/>
    <w:rsid w:val="00EC2AA7"/>
    <w:rsid w:val="00EC2B31"/>
    <w:rsid w:val="00EC2B58"/>
    <w:rsid w:val="00EC2B72"/>
    <w:rsid w:val="00EC2BA0"/>
    <w:rsid w:val="00EC2BBF"/>
    <w:rsid w:val="00EC2BDE"/>
    <w:rsid w:val="00EC2C6E"/>
    <w:rsid w:val="00EC2CDB"/>
    <w:rsid w:val="00EC2CF4"/>
    <w:rsid w:val="00EC2DD5"/>
    <w:rsid w:val="00EC2E56"/>
    <w:rsid w:val="00EC308C"/>
    <w:rsid w:val="00EC337E"/>
    <w:rsid w:val="00EC33B1"/>
    <w:rsid w:val="00EC3512"/>
    <w:rsid w:val="00EC36B6"/>
    <w:rsid w:val="00EC36B9"/>
    <w:rsid w:val="00EC377C"/>
    <w:rsid w:val="00EC37D1"/>
    <w:rsid w:val="00EC38FC"/>
    <w:rsid w:val="00EC396E"/>
    <w:rsid w:val="00EC39A4"/>
    <w:rsid w:val="00EC39DD"/>
    <w:rsid w:val="00EC3B31"/>
    <w:rsid w:val="00EC3C40"/>
    <w:rsid w:val="00EC3EAB"/>
    <w:rsid w:val="00EC3ED8"/>
    <w:rsid w:val="00EC3F38"/>
    <w:rsid w:val="00EC4075"/>
    <w:rsid w:val="00EC418A"/>
    <w:rsid w:val="00EC4397"/>
    <w:rsid w:val="00EC45A1"/>
    <w:rsid w:val="00EC4620"/>
    <w:rsid w:val="00EC468A"/>
    <w:rsid w:val="00EC46ED"/>
    <w:rsid w:val="00EC478F"/>
    <w:rsid w:val="00EC483B"/>
    <w:rsid w:val="00EC48C3"/>
    <w:rsid w:val="00EC4923"/>
    <w:rsid w:val="00EC4A0A"/>
    <w:rsid w:val="00EC4B17"/>
    <w:rsid w:val="00EC4B48"/>
    <w:rsid w:val="00EC4C55"/>
    <w:rsid w:val="00EC4CDA"/>
    <w:rsid w:val="00EC4F78"/>
    <w:rsid w:val="00EC4F92"/>
    <w:rsid w:val="00EC5051"/>
    <w:rsid w:val="00EC50FE"/>
    <w:rsid w:val="00EC5220"/>
    <w:rsid w:val="00EC526A"/>
    <w:rsid w:val="00EC553B"/>
    <w:rsid w:val="00EC5597"/>
    <w:rsid w:val="00EC55C0"/>
    <w:rsid w:val="00EC56A7"/>
    <w:rsid w:val="00EC56E9"/>
    <w:rsid w:val="00EC56F9"/>
    <w:rsid w:val="00EC574B"/>
    <w:rsid w:val="00EC5ADE"/>
    <w:rsid w:val="00EC5B53"/>
    <w:rsid w:val="00EC5C41"/>
    <w:rsid w:val="00EC6015"/>
    <w:rsid w:val="00EC60B2"/>
    <w:rsid w:val="00EC626D"/>
    <w:rsid w:val="00EC64E9"/>
    <w:rsid w:val="00EC6761"/>
    <w:rsid w:val="00EC67B6"/>
    <w:rsid w:val="00EC67D7"/>
    <w:rsid w:val="00EC6890"/>
    <w:rsid w:val="00EC691A"/>
    <w:rsid w:val="00EC6DAB"/>
    <w:rsid w:val="00EC6E15"/>
    <w:rsid w:val="00EC6E27"/>
    <w:rsid w:val="00EC7054"/>
    <w:rsid w:val="00EC715D"/>
    <w:rsid w:val="00EC7559"/>
    <w:rsid w:val="00EC76E1"/>
    <w:rsid w:val="00EC7B0D"/>
    <w:rsid w:val="00ED0116"/>
    <w:rsid w:val="00ED0522"/>
    <w:rsid w:val="00ED0524"/>
    <w:rsid w:val="00ED05EC"/>
    <w:rsid w:val="00ED0674"/>
    <w:rsid w:val="00ED0876"/>
    <w:rsid w:val="00ED0972"/>
    <w:rsid w:val="00ED0A78"/>
    <w:rsid w:val="00ED0B4B"/>
    <w:rsid w:val="00ED0C53"/>
    <w:rsid w:val="00ED0C86"/>
    <w:rsid w:val="00ED0F82"/>
    <w:rsid w:val="00ED14ED"/>
    <w:rsid w:val="00ED1546"/>
    <w:rsid w:val="00ED16C9"/>
    <w:rsid w:val="00ED17BF"/>
    <w:rsid w:val="00ED1879"/>
    <w:rsid w:val="00ED192C"/>
    <w:rsid w:val="00ED19B9"/>
    <w:rsid w:val="00ED1B61"/>
    <w:rsid w:val="00ED1BB0"/>
    <w:rsid w:val="00ED1C20"/>
    <w:rsid w:val="00ED1CDD"/>
    <w:rsid w:val="00ED1CF5"/>
    <w:rsid w:val="00ED1E2E"/>
    <w:rsid w:val="00ED20D0"/>
    <w:rsid w:val="00ED21C4"/>
    <w:rsid w:val="00ED22F1"/>
    <w:rsid w:val="00ED2481"/>
    <w:rsid w:val="00ED2519"/>
    <w:rsid w:val="00ED2573"/>
    <w:rsid w:val="00ED25B0"/>
    <w:rsid w:val="00ED260B"/>
    <w:rsid w:val="00ED28D3"/>
    <w:rsid w:val="00ED2A05"/>
    <w:rsid w:val="00ED2AF4"/>
    <w:rsid w:val="00ED2BA7"/>
    <w:rsid w:val="00ED2C1E"/>
    <w:rsid w:val="00ED2CDD"/>
    <w:rsid w:val="00ED2CE0"/>
    <w:rsid w:val="00ED2CF7"/>
    <w:rsid w:val="00ED2D83"/>
    <w:rsid w:val="00ED2F4B"/>
    <w:rsid w:val="00ED2F93"/>
    <w:rsid w:val="00ED327D"/>
    <w:rsid w:val="00ED32E8"/>
    <w:rsid w:val="00ED32E9"/>
    <w:rsid w:val="00ED33C5"/>
    <w:rsid w:val="00ED33CF"/>
    <w:rsid w:val="00ED351A"/>
    <w:rsid w:val="00ED353A"/>
    <w:rsid w:val="00ED356C"/>
    <w:rsid w:val="00ED3715"/>
    <w:rsid w:val="00ED3747"/>
    <w:rsid w:val="00ED3824"/>
    <w:rsid w:val="00ED3830"/>
    <w:rsid w:val="00ED3935"/>
    <w:rsid w:val="00ED3A66"/>
    <w:rsid w:val="00ED3B12"/>
    <w:rsid w:val="00ED3B5A"/>
    <w:rsid w:val="00ED3BA5"/>
    <w:rsid w:val="00ED3BF6"/>
    <w:rsid w:val="00ED3C14"/>
    <w:rsid w:val="00ED3C32"/>
    <w:rsid w:val="00ED3C51"/>
    <w:rsid w:val="00ED3CDD"/>
    <w:rsid w:val="00ED3D09"/>
    <w:rsid w:val="00ED3E81"/>
    <w:rsid w:val="00ED3F0D"/>
    <w:rsid w:val="00ED3F4D"/>
    <w:rsid w:val="00ED41B2"/>
    <w:rsid w:val="00ED423B"/>
    <w:rsid w:val="00ED4396"/>
    <w:rsid w:val="00ED44ED"/>
    <w:rsid w:val="00ED44FF"/>
    <w:rsid w:val="00ED4612"/>
    <w:rsid w:val="00ED4701"/>
    <w:rsid w:val="00ED4765"/>
    <w:rsid w:val="00ED4926"/>
    <w:rsid w:val="00ED495E"/>
    <w:rsid w:val="00ED49F4"/>
    <w:rsid w:val="00ED4BED"/>
    <w:rsid w:val="00ED4CD1"/>
    <w:rsid w:val="00ED508F"/>
    <w:rsid w:val="00ED513E"/>
    <w:rsid w:val="00ED51E1"/>
    <w:rsid w:val="00ED52CE"/>
    <w:rsid w:val="00ED5666"/>
    <w:rsid w:val="00ED5732"/>
    <w:rsid w:val="00ED580D"/>
    <w:rsid w:val="00ED5980"/>
    <w:rsid w:val="00ED59BA"/>
    <w:rsid w:val="00ED5B93"/>
    <w:rsid w:val="00ED5D81"/>
    <w:rsid w:val="00ED5DD0"/>
    <w:rsid w:val="00ED5E1A"/>
    <w:rsid w:val="00ED5F47"/>
    <w:rsid w:val="00ED5FB0"/>
    <w:rsid w:val="00ED5FCE"/>
    <w:rsid w:val="00ED60A7"/>
    <w:rsid w:val="00ED63CA"/>
    <w:rsid w:val="00ED6403"/>
    <w:rsid w:val="00ED6446"/>
    <w:rsid w:val="00ED655B"/>
    <w:rsid w:val="00ED65AD"/>
    <w:rsid w:val="00ED68D3"/>
    <w:rsid w:val="00ED68D6"/>
    <w:rsid w:val="00ED6960"/>
    <w:rsid w:val="00ED6966"/>
    <w:rsid w:val="00ED6A15"/>
    <w:rsid w:val="00ED6ACB"/>
    <w:rsid w:val="00ED6DBC"/>
    <w:rsid w:val="00ED6DD1"/>
    <w:rsid w:val="00ED6E3C"/>
    <w:rsid w:val="00ED7051"/>
    <w:rsid w:val="00ED70D9"/>
    <w:rsid w:val="00ED729F"/>
    <w:rsid w:val="00ED7547"/>
    <w:rsid w:val="00ED7557"/>
    <w:rsid w:val="00ED75AC"/>
    <w:rsid w:val="00ED7722"/>
    <w:rsid w:val="00ED77D9"/>
    <w:rsid w:val="00ED78A2"/>
    <w:rsid w:val="00ED79D1"/>
    <w:rsid w:val="00ED7BFF"/>
    <w:rsid w:val="00ED7CE1"/>
    <w:rsid w:val="00ED7D03"/>
    <w:rsid w:val="00ED7E18"/>
    <w:rsid w:val="00EE00D5"/>
    <w:rsid w:val="00EE00DC"/>
    <w:rsid w:val="00EE02A1"/>
    <w:rsid w:val="00EE034A"/>
    <w:rsid w:val="00EE03A6"/>
    <w:rsid w:val="00EE04E0"/>
    <w:rsid w:val="00EE0534"/>
    <w:rsid w:val="00EE0717"/>
    <w:rsid w:val="00EE0733"/>
    <w:rsid w:val="00EE0812"/>
    <w:rsid w:val="00EE08C1"/>
    <w:rsid w:val="00EE09A7"/>
    <w:rsid w:val="00EE0BF7"/>
    <w:rsid w:val="00EE0D8E"/>
    <w:rsid w:val="00EE0E01"/>
    <w:rsid w:val="00EE0E2D"/>
    <w:rsid w:val="00EE0FCB"/>
    <w:rsid w:val="00EE10D7"/>
    <w:rsid w:val="00EE12FB"/>
    <w:rsid w:val="00EE13A0"/>
    <w:rsid w:val="00EE1469"/>
    <w:rsid w:val="00EE14B5"/>
    <w:rsid w:val="00EE1753"/>
    <w:rsid w:val="00EE177A"/>
    <w:rsid w:val="00EE177D"/>
    <w:rsid w:val="00EE182F"/>
    <w:rsid w:val="00EE1879"/>
    <w:rsid w:val="00EE18EB"/>
    <w:rsid w:val="00EE19A6"/>
    <w:rsid w:val="00EE1A37"/>
    <w:rsid w:val="00EE1BE5"/>
    <w:rsid w:val="00EE1C36"/>
    <w:rsid w:val="00EE1C6B"/>
    <w:rsid w:val="00EE1D18"/>
    <w:rsid w:val="00EE1E19"/>
    <w:rsid w:val="00EE1EDC"/>
    <w:rsid w:val="00EE1F95"/>
    <w:rsid w:val="00EE1FBE"/>
    <w:rsid w:val="00EE206E"/>
    <w:rsid w:val="00EE227B"/>
    <w:rsid w:val="00EE22F2"/>
    <w:rsid w:val="00EE246E"/>
    <w:rsid w:val="00EE2553"/>
    <w:rsid w:val="00EE26B4"/>
    <w:rsid w:val="00EE2935"/>
    <w:rsid w:val="00EE2B44"/>
    <w:rsid w:val="00EE2F43"/>
    <w:rsid w:val="00EE306E"/>
    <w:rsid w:val="00EE3386"/>
    <w:rsid w:val="00EE33A0"/>
    <w:rsid w:val="00EE33C0"/>
    <w:rsid w:val="00EE33F4"/>
    <w:rsid w:val="00EE3402"/>
    <w:rsid w:val="00EE34A1"/>
    <w:rsid w:val="00EE37BD"/>
    <w:rsid w:val="00EE383B"/>
    <w:rsid w:val="00EE3875"/>
    <w:rsid w:val="00EE3910"/>
    <w:rsid w:val="00EE3A04"/>
    <w:rsid w:val="00EE3AE2"/>
    <w:rsid w:val="00EE3C33"/>
    <w:rsid w:val="00EE3C55"/>
    <w:rsid w:val="00EE3E3C"/>
    <w:rsid w:val="00EE3EEB"/>
    <w:rsid w:val="00EE420F"/>
    <w:rsid w:val="00EE421C"/>
    <w:rsid w:val="00EE422A"/>
    <w:rsid w:val="00EE43D4"/>
    <w:rsid w:val="00EE4427"/>
    <w:rsid w:val="00EE454F"/>
    <w:rsid w:val="00EE47B5"/>
    <w:rsid w:val="00EE490A"/>
    <w:rsid w:val="00EE4BE6"/>
    <w:rsid w:val="00EE4CC8"/>
    <w:rsid w:val="00EE4D0E"/>
    <w:rsid w:val="00EE4DD6"/>
    <w:rsid w:val="00EE4EAB"/>
    <w:rsid w:val="00EE4F6F"/>
    <w:rsid w:val="00EE5030"/>
    <w:rsid w:val="00EE53C9"/>
    <w:rsid w:val="00EE54DA"/>
    <w:rsid w:val="00EE55C4"/>
    <w:rsid w:val="00EE56DA"/>
    <w:rsid w:val="00EE57D0"/>
    <w:rsid w:val="00EE5CAF"/>
    <w:rsid w:val="00EE5D53"/>
    <w:rsid w:val="00EE5E71"/>
    <w:rsid w:val="00EE5FBD"/>
    <w:rsid w:val="00EE603E"/>
    <w:rsid w:val="00EE6066"/>
    <w:rsid w:val="00EE6236"/>
    <w:rsid w:val="00EE6239"/>
    <w:rsid w:val="00EE64D2"/>
    <w:rsid w:val="00EE650F"/>
    <w:rsid w:val="00EE65BE"/>
    <w:rsid w:val="00EE66A5"/>
    <w:rsid w:val="00EE68B3"/>
    <w:rsid w:val="00EE6A23"/>
    <w:rsid w:val="00EE6A86"/>
    <w:rsid w:val="00EE6BC1"/>
    <w:rsid w:val="00EE6CC3"/>
    <w:rsid w:val="00EE7113"/>
    <w:rsid w:val="00EE7208"/>
    <w:rsid w:val="00EE73E9"/>
    <w:rsid w:val="00EE76FD"/>
    <w:rsid w:val="00EE7716"/>
    <w:rsid w:val="00EE77E9"/>
    <w:rsid w:val="00EE78E9"/>
    <w:rsid w:val="00EE7BDB"/>
    <w:rsid w:val="00EE7CC8"/>
    <w:rsid w:val="00EE7F16"/>
    <w:rsid w:val="00EF0024"/>
    <w:rsid w:val="00EF0075"/>
    <w:rsid w:val="00EF00B6"/>
    <w:rsid w:val="00EF0226"/>
    <w:rsid w:val="00EF02B6"/>
    <w:rsid w:val="00EF042D"/>
    <w:rsid w:val="00EF0534"/>
    <w:rsid w:val="00EF057D"/>
    <w:rsid w:val="00EF062F"/>
    <w:rsid w:val="00EF0660"/>
    <w:rsid w:val="00EF0823"/>
    <w:rsid w:val="00EF0981"/>
    <w:rsid w:val="00EF09D3"/>
    <w:rsid w:val="00EF0A49"/>
    <w:rsid w:val="00EF0AEC"/>
    <w:rsid w:val="00EF0C67"/>
    <w:rsid w:val="00EF0CBC"/>
    <w:rsid w:val="00EF0D10"/>
    <w:rsid w:val="00EF0DDD"/>
    <w:rsid w:val="00EF1215"/>
    <w:rsid w:val="00EF123F"/>
    <w:rsid w:val="00EF12E4"/>
    <w:rsid w:val="00EF14BB"/>
    <w:rsid w:val="00EF1771"/>
    <w:rsid w:val="00EF18BB"/>
    <w:rsid w:val="00EF1B0F"/>
    <w:rsid w:val="00EF1B60"/>
    <w:rsid w:val="00EF1BCC"/>
    <w:rsid w:val="00EF1D3F"/>
    <w:rsid w:val="00EF1F8D"/>
    <w:rsid w:val="00EF1FD7"/>
    <w:rsid w:val="00EF2027"/>
    <w:rsid w:val="00EF2157"/>
    <w:rsid w:val="00EF21E2"/>
    <w:rsid w:val="00EF221D"/>
    <w:rsid w:val="00EF2262"/>
    <w:rsid w:val="00EF2354"/>
    <w:rsid w:val="00EF2399"/>
    <w:rsid w:val="00EF23BD"/>
    <w:rsid w:val="00EF24EE"/>
    <w:rsid w:val="00EF24F6"/>
    <w:rsid w:val="00EF27D0"/>
    <w:rsid w:val="00EF2C76"/>
    <w:rsid w:val="00EF2E64"/>
    <w:rsid w:val="00EF2E85"/>
    <w:rsid w:val="00EF2EE8"/>
    <w:rsid w:val="00EF2F61"/>
    <w:rsid w:val="00EF2F9A"/>
    <w:rsid w:val="00EF3124"/>
    <w:rsid w:val="00EF31CD"/>
    <w:rsid w:val="00EF3239"/>
    <w:rsid w:val="00EF35EB"/>
    <w:rsid w:val="00EF36CF"/>
    <w:rsid w:val="00EF3736"/>
    <w:rsid w:val="00EF383C"/>
    <w:rsid w:val="00EF384A"/>
    <w:rsid w:val="00EF3B83"/>
    <w:rsid w:val="00EF3C46"/>
    <w:rsid w:val="00EF3DF2"/>
    <w:rsid w:val="00EF3F75"/>
    <w:rsid w:val="00EF3FE1"/>
    <w:rsid w:val="00EF456E"/>
    <w:rsid w:val="00EF47C3"/>
    <w:rsid w:val="00EF47D5"/>
    <w:rsid w:val="00EF499E"/>
    <w:rsid w:val="00EF4A2F"/>
    <w:rsid w:val="00EF4AFF"/>
    <w:rsid w:val="00EF4BBC"/>
    <w:rsid w:val="00EF4EB3"/>
    <w:rsid w:val="00EF4F3C"/>
    <w:rsid w:val="00EF502D"/>
    <w:rsid w:val="00EF5047"/>
    <w:rsid w:val="00EF504B"/>
    <w:rsid w:val="00EF509F"/>
    <w:rsid w:val="00EF511C"/>
    <w:rsid w:val="00EF518E"/>
    <w:rsid w:val="00EF5240"/>
    <w:rsid w:val="00EF54A8"/>
    <w:rsid w:val="00EF5564"/>
    <w:rsid w:val="00EF5730"/>
    <w:rsid w:val="00EF588C"/>
    <w:rsid w:val="00EF5965"/>
    <w:rsid w:val="00EF59F5"/>
    <w:rsid w:val="00EF5B01"/>
    <w:rsid w:val="00EF5D96"/>
    <w:rsid w:val="00EF5E6F"/>
    <w:rsid w:val="00EF603E"/>
    <w:rsid w:val="00EF6297"/>
    <w:rsid w:val="00EF6478"/>
    <w:rsid w:val="00EF6544"/>
    <w:rsid w:val="00EF65A6"/>
    <w:rsid w:val="00EF66E1"/>
    <w:rsid w:val="00EF6710"/>
    <w:rsid w:val="00EF686C"/>
    <w:rsid w:val="00EF6901"/>
    <w:rsid w:val="00EF6C94"/>
    <w:rsid w:val="00EF6D08"/>
    <w:rsid w:val="00EF6E72"/>
    <w:rsid w:val="00EF6E76"/>
    <w:rsid w:val="00EF6F52"/>
    <w:rsid w:val="00EF7033"/>
    <w:rsid w:val="00EF71AF"/>
    <w:rsid w:val="00EF71D0"/>
    <w:rsid w:val="00EF738F"/>
    <w:rsid w:val="00EF7492"/>
    <w:rsid w:val="00EF755A"/>
    <w:rsid w:val="00EF7689"/>
    <w:rsid w:val="00EF786E"/>
    <w:rsid w:val="00EF789D"/>
    <w:rsid w:val="00EF7B67"/>
    <w:rsid w:val="00EF7B6D"/>
    <w:rsid w:val="00EF7BE9"/>
    <w:rsid w:val="00EF7BFA"/>
    <w:rsid w:val="00EF7D2F"/>
    <w:rsid w:val="00EF7D54"/>
    <w:rsid w:val="00F0006F"/>
    <w:rsid w:val="00F0036D"/>
    <w:rsid w:val="00F00486"/>
    <w:rsid w:val="00F004B3"/>
    <w:rsid w:val="00F005D8"/>
    <w:rsid w:val="00F0066F"/>
    <w:rsid w:val="00F006DB"/>
    <w:rsid w:val="00F0083F"/>
    <w:rsid w:val="00F00A3A"/>
    <w:rsid w:val="00F00B83"/>
    <w:rsid w:val="00F00C8A"/>
    <w:rsid w:val="00F00CD3"/>
    <w:rsid w:val="00F00CD4"/>
    <w:rsid w:val="00F00D2D"/>
    <w:rsid w:val="00F00D3D"/>
    <w:rsid w:val="00F00E8E"/>
    <w:rsid w:val="00F00F20"/>
    <w:rsid w:val="00F010CB"/>
    <w:rsid w:val="00F011F2"/>
    <w:rsid w:val="00F01310"/>
    <w:rsid w:val="00F01393"/>
    <w:rsid w:val="00F0147B"/>
    <w:rsid w:val="00F0166E"/>
    <w:rsid w:val="00F01688"/>
    <w:rsid w:val="00F016E3"/>
    <w:rsid w:val="00F017F4"/>
    <w:rsid w:val="00F01860"/>
    <w:rsid w:val="00F01914"/>
    <w:rsid w:val="00F01982"/>
    <w:rsid w:val="00F01AFE"/>
    <w:rsid w:val="00F01B71"/>
    <w:rsid w:val="00F01C40"/>
    <w:rsid w:val="00F01D6D"/>
    <w:rsid w:val="00F01E69"/>
    <w:rsid w:val="00F0204A"/>
    <w:rsid w:val="00F023A0"/>
    <w:rsid w:val="00F024D0"/>
    <w:rsid w:val="00F024D3"/>
    <w:rsid w:val="00F0267F"/>
    <w:rsid w:val="00F026D8"/>
    <w:rsid w:val="00F0272D"/>
    <w:rsid w:val="00F0288B"/>
    <w:rsid w:val="00F028A9"/>
    <w:rsid w:val="00F029BE"/>
    <w:rsid w:val="00F029D5"/>
    <w:rsid w:val="00F029E4"/>
    <w:rsid w:val="00F02B50"/>
    <w:rsid w:val="00F02CA8"/>
    <w:rsid w:val="00F02DAB"/>
    <w:rsid w:val="00F02DE3"/>
    <w:rsid w:val="00F02E12"/>
    <w:rsid w:val="00F03143"/>
    <w:rsid w:val="00F0319D"/>
    <w:rsid w:val="00F0327D"/>
    <w:rsid w:val="00F0328A"/>
    <w:rsid w:val="00F03324"/>
    <w:rsid w:val="00F0345E"/>
    <w:rsid w:val="00F034B7"/>
    <w:rsid w:val="00F0366D"/>
    <w:rsid w:val="00F036D5"/>
    <w:rsid w:val="00F0383A"/>
    <w:rsid w:val="00F03913"/>
    <w:rsid w:val="00F03923"/>
    <w:rsid w:val="00F03A3E"/>
    <w:rsid w:val="00F03AFC"/>
    <w:rsid w:val="00F03B43"/>
    <w:rsid w:val="00F03BD7"/>
    <w:rsid w:val="00F03CB3"/>
    <w:rsid w:val="00F03DB9"/>
    <w:rsid w:val="00F0403D"/>
    <w:rsid w:val="00F04102"/>
    <w:rsid w:val="00F04193"/>
    <w:rsid w:val="00F04221"/>
    <w:rsid w:val="00F04227"/>
    <w:rsid w:val="00F0429D"/>
    <w:rsid w:val="00F042F2"/>
    <w:rsid w:val="00F04325"/>
    <w:rsid w:val="00F04332"/>
    <w:rsid w:val="00F043B6"/>
    <w:rsid w:val="00F043BB"/>
    <w:rsid w:val="00F043EC"/>
    <w:rsid w:val="00F04632"/>
    <w:rsid w:val="00F04935"/>
    <w:rsid w:val="00F04CE4"/>
    <w:rsid w:val="00F04D0A"/>
    <w:rsid w:val="00F04D1E"/>
    <w:rsid w:val="00F04D9F"/>
    <w:rsid w:val="00F04E5B"/>
    <w:rsid w:val="00F04E94"/>
    <w:rsid w:val="00F04EE6"/>
    <w:rsid w:val="00F04F27"/>
    <w:rsid w:val="00F050B6"/>
    <w:rsid w:val="00F050E1"/>
    <w:rsid w:val="00F05226"/>
    <w:rsid w:val="00F05273"/>
    <w:rsid w:val="00F054B6"/>
    <w:rsid w:val="00F054FE"/>
    <w:rsid w:val="00F05514"/>
    <w:rsid w:val="00F05639"/>
    <w:rsid w:val="00F057C9"/>
    <w:rsid w:val="00F05959"/>
    <w:rsid w:val="00F05B05"/>
    <w:rsid w:val="00F05C57"/>
    <w:rsid w:val="00F05D95"/>
    <w:rsid w:val="00F05DAC"/>
    <w:rsid w:val="00F05E76"/>
    <w:rsid w:val="00F06218"/>
    <w:rsid w:val="00F062E6"/>
    <w:rsid w:val="00F06306"/>
    <w:rsid w:val="00F063A5"/>
    <w:rsid w:val="00F06472"/>
    <w:rsid w:val="00F064AA"/>
    <w:rsid w:val="00F064ED"/>
    <w:rsid w:val="00F06531"/>
    <w:rsid w:val="00F06559"/>
    <w:rsid w:val="00F06649"/>
    <w:rsid w:val="00F06697"/>
    <w:rsid w:val="00F06891"/>
    <w:rsid w:val="00F06923"/>
    <w:rsid w:val="00F069A5"/>
    <w:rsid w:val="00F06A82"/>
    <w:rsid w:val="00F06ABB"/>
    <w:rsid w:val="00F06CFC"/>
    <w:rsid w:val="00F06D2A"/>
    <w:rsid w:val="00F06DD2"/>
    <w:rsid w:val="00F070C4"/>
    <w:rsid w:val="00F070E3"/>
    <w:rsid w:val="00F0714C"/>
    <w:rsid w:val="00F0717D"/>
    <w:rsid w:val="00F0719D"/>
    <w:rsid w:val="00F07210"/>
    <w:rsid w:val="00F07244"/>
    <w:rsid w:val="00F073A0"/>
    <w:rsid w:val="00F074DA"/>
    <w:rsid w:val="00F075D5"/>
    <w:rsid w:val="00F07691"/>
    <w:rsid w:val="00F07791"/>
    <w:rsid w:val="00F077FF"/>
    <w:rsid w:val="00F07893"/>
    <w:rsid w:val="00F078C9"/>
    <w:rsid w:val="00F07938"/>
    <w:rsid w:val="00F07A74"/>
    <w:rsid w:val="00F07A76"/>
    <w:rsid w:val="00F07ACF"/>
    <w:rsid w:val="00F07E3F"/>
    <w:rsid w:val="00F07F60"/>
    <w:rsid w:val="00F07F79"/>
    <w:rsid w:val="00F07F98"/>
    <w:rsid w:val="00F07F9C"/>
    <w:rsid w:val="00F10097"/>
    <w:rsid w:val="00F1020C"/>
    <w:rsid w:val="00F1061B"/>
    <w:rsid w:val="00F10636"/>
    <w:rsid w:val="00F10883"/>
    <w:rsid w:val="00F1088B"/>
    <w:rsid w:val="00F108E0"/>
    <w:rsid w:val="00F10B06"/>
    <w:rsid w:val="00F10B5A"/>
    <w:rsid w:val="00F10C0D"/>
    <w:rsid w:val="00F10C32"/>
    <w:rsid w:val="00F10D40"/>
    <w:rsid w:val="00F10E38"/>
    <w:rsid w:val="00F10EEE"/>
    <w:rsid w:val="00F11122"/>
    <w:rsid w:val="00F1120E"/>
    <w:rsid w:val="00F112BD"/>
    <w:rsid w:val="00F112F1"/>
    <w:rsid w:val="00F11546"/>
    <w:rsid w:val="00F1160F"/>
    <w:rsid w:val="00F116E3"/>
    <w:rsid w:val="00F11844"/>
    <w:rsid w:val="00F11846"/>
    <w:rsid w:val="00F11924"/>
    <w:rsid w:val="00F11935"/>
    <w:rsid w:val="00F119CE"/>
    <w:rsid w:val="00F11A28"/>
    <w:rsid w:val="00F11A61"/>
    <w:rsid w:val="00F11B28"/>
    <w:rsid w:val="00F11C14"/>
    <w:rsid w:val="00F11DD3"/>
    <w:rsid w:val="00F11FC6"/>
    <w:rsid w:val="00F12071"/>
    <w:rsid w:val="00F12091"/>
    <w:rsid w:val="00F1209C"/>
    <w:rsid w:val="00F1214C"/>
    <w:rsid w:val="00F1218A"/>
    <w:rsid w:val="00F12398"/>
    <w:rsid w:val="00F12535"/>
    <w:rsid w:val="00F125D7"/>
    <w:rsid w:val="00F126C1"/>
    <w:rsid w:val="00F12889"/>
    <w:rsid w:val="00F128DB"/>
    <w:rsid w:val="00F1292C"/>
    <w:rsid w:val="00F129DC"/>
    <w:rsid w:val="00F12ACB"/>
    <w:rsid w:val="00F12E44"/>
    <w:rsid w:val="00F12EB1"/>
    <w:rsid w:val="00F12EB5"/>
    <w:rsid w:val="00F12EBD"/>
    <w:rsid w:val="00F12EE8"/>
    <w:rsid w:val="00F12F6C"/>
    <w:rsid w:val="00F1310E"/>
    <w:rsid w:val="00F1312F"/>
    <w:rsid w:val="00F1313B"/>
    <w:rsid w:val="00F13267"/>
    <w:rsid w:val="00F13438"/>
    <w:rsid w:val="00F1350E"/>
    <w:rsid w:val="00F13571"/>
    <w:rsid w:val="00F1357A"/>
    <w:rsid w:val="00F1362F"/>
    <w:rsid w:val="00F13683"/>
    <w:rsid w:val="00F137CA"/>
    <w:rsid w:val="00F1397C"/>
    <w:rsid w:val="00F139D7"/>
    <w:rsid w:val="00F139F8"/>
    <w:rsid w:val="00F13A13"/>
    <w:rsid w:val="00F13A49"/>
    <w:rsid w:val="00F13B61"/>
    <w:rsid w:val="00F13C01"/>
    <w:rsid w:val="00F13C4D"/>
    <w:rsid w:val="00F13D02"/>
    <w:rsid w:val="00F1405A"/>
    <w:rsid w:val="00F140BC"/>
    <w:rsid w:val="00F14182"/>
    <w:rsid w:val="00F141E7"/>
    <w:rsid w:val="00F1420A"/>
    <w:rsid w:val="00F142DA"/>
    <w:rsid w:val="00F143FD"/>
    <w:rsid w:val="00F145D3"/>
    <w:rsid w:val="00F147CF"/>
    <w:rsid w:val="00F14810"/>
    <w:rsid w:val="00F1481E"/>
    <w:rsid w:val="00F149F6"/>
    <w:rsid w:val="00F149FC"/>
    <w:rsid w:val="00F14A17"/>
    <w:rsid w:val="00F14A72"/>
    <w:rsid w:val="00F14AA5"/>
    <w:rsid w:val="00F14F3D"/>
    <w:rsid w:val="00F150C6"/>
    <w:rsid w:val="00F151DA"/>
    <w:rsid w:val="00F152A1"/>
    <w:rsid w:val="00F154DA"/>
    <w:rsid w:val="00F155D7"/>
    <w:rsid w:val="00F155FE"/>
    <w:rsid w:val="00F1574D"/>
    <w:rsid w:val="00F1583B"/>
    <w:rsid w:val="00F15877"/>
    <w:rsid w:val="00F15A66"/>
    <w:rsid w:val="00F15AFC"/>
    <w:rsid w:val="00F15B28"/>
    <w:rsid w:val="00F15B54"/>
    <w:rsid w:val="00F15B8D"/>
    <w:rsid w:val="00F15C24"/>
    <w:rsid w:val="00F15CD3"/>
    <w:rsid w:val="00F15D51"/>
    <w:rsid w:val="00F15E85"/>
    <w:rsid w:val="00F15FCE"/>
    <w:rsid w:val="00F161B9"/>
    <w:rsid w:val="00F1656B"/>
    <w:rsid w:val="00F1659D"/>
    <w:rsid w:val="00F165E1"/>
    <w:rsid w:val="00F1674B"/>
    <w:rsid w:val="00F16837"/>
    <w:rsid w:val="00F16A3A"/>
    <w:rsid w:val="00F16B0D"/>
    <w:rsid w:val="00F16C69"/>
    <w:rsid w:val="00F16D25"/>
    <w:rsid w:val="00F16D83"/>
    <w:rsid w:val="00F16DAA"/>
    <w:rsid w:val="00F16EC2"/>
    <w:rsid w:val="00F171A7"/>
    <w:rsid w:val="00F171E0"/>
    <w:rsid w:val="00F1730A"/>
    <w:rsid w:val="00F1731B"/>
    <w:rsid w:val="00F17426"/>
    <w:rsid w:val="00F175B3"/>
    <w:rsid w:val="00F1774C"/>
    <w:rsid w:val="00F1776A"/>
    <w:rsid w:val="00F1776B"/>
    <w:rsid w:val="00F17AA9"/>
    <w:rsid w:val="00F17CBC"/>
    <w:rsid w:val="00F17E1C"/>
    <w:rsid w:val="00F17ED9"/>
    <w:rsid w:val="00F17F6B"/>
    <w:rsid w:val="00F20006"/>
    <w:rsid w:val="00F201F8"/>
    <w:rsid w:val="00F203CB"/>
    <w:rsid w:val="00F20648"/>
    <w:rsid w:val="00F2072B"/>
    <w:rsid w:val="00F20898"/>
    <w:rsid w:val="00F2089D"/>
    <w:rsid w:val="00F20906"/>
    <w:rsid w:val="00F20AA5"/>
    <w:rsid w:val="00F20D0B"/>
    <w:rsid w:val="00F20DD7"/>
    <w:rsid w:val="00F20DDA"/>
    <w:rsid w:val="00F20F4F"/>
    <w:rsid w:val="00F21083"/>
    <w:rsid w:val="00F211C2"/>
    <w:rsid w:val="00F21236"/>
    <w:rsid w:val="00F213E1"/>
    <w:rsid w:val="00F2172D"/>
    <w:rsid w:val="00F217B2"/>
    <w:rsid w:val="00F21858"/>
    <w:rsid w:val="00F21913"/>
    <w:rsid w:val="00F21A84"/>
    <w:rsid w:val="00F21ACE"/>
    <w:rsid w:val="00F21ADB"/>
    <w:rsid w:val="00F21B1D"/>
    <w:rsid w:val="00F21CA2"/>
    <w:rsid w:val="00F21E80"/>
    <w:rsid w:val="00F21EBE"/>
    <w:rsid w:val="00F22000"/>
    <w:rsid w:val="00F220EC"/>
    <w:rsid w:val="00F2225C"/>
    <w:rsid w:val="00F22269"/>
    <w:rsid w:val="00F222C3"/>
    <w:rsid w:val="00F22339"/>
    <w:rsid w:val="00F22384"/>
    <w:rsid w:val="00F2238E"/>
    <w:rsid w:val="00F223B6"/>
    <w:rsid w:val="00F223D1"/>
    <w:rsid w:val="00F22567"/>
    <w:rsid w:val="00F22837"/>
    <w:rsid w:val="00F2292D"/>
    <w:rsid w:val="00F229C3"/>
    <w:rsid w:val="00F22AA0"/>
    <w:rsid w:val="00F22AC3"/>
    <w:rsid w:val="00F22B9B"/>
    <w:rsid w:val="00F22C1E"/>
    <w:rsid w:val="00F22CA8"/>
    <w:rsid w:val="00F22EBA"/>
    <w:rsid w:val="00F22F92"/>
    <w:rsid w:val="00F23046"/>
    <w:rsid w:val="00F2315B"/>
    <w:rsid w:val="00F233AE"/>
    <w:rsid w:val="00F234B9"/>
    <w:rsid w:val="00F237B8"/>
    <w:rsid w:val="00F23AC0"/>
    <w:rsid w:val="00F23BB6"/>
    <w:rsid w:val="00F23C39"/>
    <w:rsid w:val="00F23DFF"/>
    <w:rsid w:val="00F23FB5"/>
    <w:rsid w:val="00F2404D"/>
    <w:rsid w:val="00F241C4"/>
    <w:rsid w:val="00F242BA"/>
    <w:rsid w:val="00F24503"/>
    <w:rsid w:val="00F24504"/>
    <w:rsid w:val="00F24764"/>
    <w:rsid w:val="00F247C9"/>
    <w:rsid w:val="00F24807"/>
    <w:rsid w:val="00F24C48"/>
    <w:rsid w:val="00F24C51"/>
    <w:rsid w:val="00F24C9A"/>
    <w:rsid w:val="00F24C9B"/>
    <w:rsid w:val="00F24D22"/>
    <w:rsid w:val="00F24DBB"/>
    <w:rsid w:val="00F24DF4"/>
    <w:rsid w:val="00F24DFE"/>
    <w:rsid w:val="00F24E6D"/>
    <w:rsid w:val="00F24E78"/>
    <w:rsid w:val="00F2505C"/>
    <w:rsid w:val="00F25223"/>
    <w:rsid w:val="00F25226"/>
    <w:rsid w:val="00F253F5"/>
    <w:rsid w:val="00F25469"/>
    <w:rsid w:val="00F2559B"/>
    <w:rsid w:val="00F258F9"/>
    <w:rsid w:val="00F25AAE"/>
    <w:rsid w:val="00F25AE4"/>
    <w:rsid w:val="00F25CFD"/>
    <w:rsid w:val="00F25D5C"/>
    <w:rsid w:val="00F25E3B"/>
    <w:rsid w:val="00F25E55"/>
    <w:rsid w:val="00F25EB0"/>
    <w:rsid w:val="00F25EC3"/>
    <w:rsid w:val="00F25EC7"/>
    <w:rsid w:val="00F25ED4"/>
    <w:rsid w:val="00F261C1"/>
    <w:rsid w:val="00F2629F"/>
    <w:rsid w:val="00F2632F"/>
    <w:rsid w:val="00F26578"/>
    <w:rsid w:val="00F266B9"/>
    <w:rsid w:val="00F268F4"/>
    <w:rsid w:val="00F2697C"/>
    <w:rsid w:val="00F26A2F"/>
    <w:rsid w:val="00F26A9C"/>
    <w:rsid w:val="00F26B45"/>
    <w:rsid w:val="00F26CF5"/>
    <w:rsid w:val="00F26D70"/>
    <w:rsid w:val="00F27354"/>
    <w:rsid w:val="00F2754C"/>
    <w:rsid w:val="00F27570"/>
    <w:rsid w:val="00F27808"/>
    <w:rsid w:val="00F27894"/>
    <w:rsid w:val="00F27908"/>
    <w:rsid w:val="00F27935"/>
    <w:rsid w:val="00F27956"/>
    <w:rsid w:val="00F27993"/>
    <w:rsid w:val="00F279C2"/>
    <w:rsid w:val="00F279E0"/>
    <w:rsid w:val="00F27CB1"/>
    <w:rsid w:val="00F27CC6"/>
    <w:rsid w:val="00F27D1A"/>
    <w:rsid w:val="00F27DCB"/>
    <w:rsid w:val="00F27EEE"/>
    <w:rsid w:val="00F301F0"/>
    <w:rsid w:val="00F30241"/>
    <w:rsid w:val="00F30274"/>
    <w:rsid w:val="00F302E0"/>
    <w:rsid w:val="00F30300"/>
    <w:rsid w:val="00F303C6"/>
    <w:rsid w:val="00F303FF"/>
    <w:rsid w:val="00F30429"/>
    <w:rsid w:val="00F30477"/>
    <w:rsid w:val="00F304B9"/>
    <w:rsid w:val="00F30672"/>
    <w:rsid w:val="00F30682"/>
    <w:rsid w:val="00F306DF"/>
    <w:rsid w:val="00F30727"/>
    <w:rsid w:val="00F307A5"/>
    <w:rsid w:val="00F307B0"/>
    <w:rsid w:val="00F30AC3"/>
    <w:rsid w:val="00F30D8D"/>
    <w:rsid w:val="00F30DB0"/>
    <w:rsid w:val="00F30E8F"/>
    <w:rsid w:val="00F30EDE"/>
    <w:rsid w:val="00F3117B"/>
    <w:rsid w:val="00F312AD"/>
    <w:rsid w:val="00F312C1"/>
    <w:rsid w:val="00F3137D"/>
    <w:rsid w:val="00F31558"/>
    <w:rsid w:val="00F315DC"/>
    <w:rsid w:val="00F316EB"/>
    <w:rsid w:val="00F31830"/>
    <w:rsid w:val="00F31841"/>
    <w:rsid w:val="00F31868"/>
    <w:rsid w:val="00F31887"/>
    <w:rsid w:val="00F318D9"/>
    <w:rsid w:val="00F319B7"/>
    <w:rsid w:val="00F31C27"/>
    <w:rsid w:val="00F31DA4"/>
    <w:rsid w:val="00F31E8C"/>
    <w:rsid w:val="00F31F18"/>
    <w:rsid w:val="00F32185"/>
    <w:rsid w:val="00F321E6"/>
    <w:rsid w:val="00F322A0"/>
    <w:rsid w:val="00F3232C"/>
    <w:rsid w:val="00F32334"/>
    <w:rsid w:val="00F32407"/>
    <w:rsid w:val="00F3243B"/>
    <w:rsid w:val="00F326C3"/>
    <w:rsid w:val="00F32756"/>
    <w:rsid w:val="00F32831"/>
    <w:rsid w:val="00F328BE"/>
    <w:rsid w:val="00F329BC"/>
    <w:rsid w:val="00F329F9"/>
    <w:rsid w:val="00F32AC4"/>
    <w:rsid w:val="00F32BF2"/>
    <w:rsid w:val="00F32C4C"/>
    <w:rsid w:val="00F32CAE"/>
    <w:rsid w:val="00F32F49"/>
    <w:rsid w:val="00F32F9F"/>
    <w:rsid w:val="00F32FD6"/>
    <w:rsid w:val="00F33007"/>
    <w:rsid w:val="00F3304A"/>
    <w:rsid w:val="00F33094"/>
    <w:rsid w:val="00F3313D"/>
    <w:rsid w:val="00F33169"/>
    <w:rsid w:val="00F33197"/>
    <w:rsid w:val="00F3321D"/>
    <w:rsid w:val="00F33237"/>
    <w:rsid w:val="00F33393"/>
    <w:rsid w:val="00F333A6"/>
    <w:rsid w:val="00F334B9"/>
    <w:rsid w:val="00F335A5"/>
    <w:rsid w:val="00F335C8"/>
    <w:rsid w:val="00F33606"/>
    <w:rsid w:val="00F3360C"/>
    <w:rsid w:val="00F336EC"/>
    <w:rsid w:val="00F3393E"/>
    <w:rsid w:val="00F33950"/>
    <w:rsid w:val="00F33C85"/>
    <w:rsid w:val="00F33D89"/>
    <w:rsid w:val="00F33F33"/>
    <w:rsid w:val="00F340F9"/>
    <w:rsid w:val="00F342F1"/>
    <w:rsid w:val="00F3441E"/>
    <w:rsid w:val="00F34425"/>
    <w:rsid w:val="00F344EC"/>
    <w:rsid w:val="00F34642"/>
    <w:rsid w:val="00F3467E"/>
    <w:rsid w:val="00F34737"/>
    <w:rsid w:val="00F3475A"/>
    <w:rsid w:val="00F3476E"/>
    <w:rsid w:val="00F349AB"/>
    <w:rsid w:val="00F34D41"/>
    <w:rsid w:val="00F34E16"/>
    <w:rsid w:val="00F34E24"/>
    <w:rsid w:val="00F34E89"/>
    <w:rsid w:val="00F35112"/>
    <w:rsid w:val="00F35129"/>
    <w:rsid w:val="00F351F1"/>
    <w:rsid w:val="00F3536E"/>
    <w:rsid w:val="00F3543E"/>
    <w:rsid w:val="00F35749"/>
    <w:rsid w:val="00F357EE"/>
    <w:rsid w:val="00F359CE"/>
    <w:rsid w:val="00F35B67"/>
    <w:rsid w:val="00F35BCB"/>
    <w:rsid w:val="00F35C8F"/>
    <w:rsid w:val="00F35D71"/>
    <w:rsid w:val="00F35FEF"/>
    <w:rsid w:val="00F3606E"/>
    <w:rsid w:val="00F3613D"/>
    <w:rsid w:val="00F363A1"/>
    <w:rsid w:val="00F363C3"/>
    <w:rsid w:val="00F363D3"/>
    <w:rsid w:val="00F36654"/>
    <w:rsid w:val="00F3671F"/>
    <w:rsid w:val="00F367F8"/>
    <w:rsid w:val="00F3684D"/>
    <w:rsid w:val="00F368BD"/>
    <w:rsid w:val="00F36A9F"/>
    <w:rsid w:val="00F36ADA"/>
    <w:rsid w:val="00F36B61"/>
    <w:rsid w:val="00F36B69"/>
    <w:rsid w:val="00F36C35"/>
    <w:rsid w:val="00F36C9C"/>
    <w:rsid w:val="00F36D89"/>
    <w:rsid w:val="00F36D99"/>
    <w:rsid w:val="00F36E18"/>
    <w:rsid w:val="00F36EE0"/>
    <w:rsid w:val="00F36F27"/>
    <w:rsid w:val="00F37463"/>
    <w:rsid w:val="00F374D1"/>
    <w:rsid w:val="00F3757E"/>
    <w:rsid w:val="00F37651"/>
    <w:rsid w:val="00F37989"/>
    <w:rsid w:val="00F37ABC"/>
    <w:rsid w:val="00F37C9B"/>
    <w:rsid w:val="00F37D59"/>
    <w:rsid w:val="00F401DE"/>
    <w:rsid w:val="00F40252"/>
    <w:rsid w:val="00F4031E"/>
    <w:rsid w:val="00F404A7"/>
    <w:rsid w:val="00F404D2"/>
    <w:rsid w:val="00F404F3"/>
    <w:rsid w:val="00F40563"/>
    <w:rsid w:val="00F405C5"/>
    <w:rsid w:val="00F4065F"/>
    <w:rsid w:val="00F406BF"/>
    <w:rsid w:val="00F4071C"/>
    <w:rsid w:val="00F4072B"/>
    <w:rsid w:val="00F408E5"/>
    <w:rsid w:val="00F40A5C"/>
    <w:rsid w:val="00F40C0A"/>
    <w:rsid w:val="00F40C22"/>
    <w:rsid w:val="00F40D89"/>
    <w:rsid w:val="00F40DF0"/>
    <w:rsid w:val="00F40E11"/>
    <w:rsid w:val="00F40E93"/>
    <w:rsid w:val="00F40EED"/>
    <w:rsid w:val="00F40F85"/>
    <w:rsid w:val="00F4118F"/>
    <w:rsid w:val="00F413C0"/>
    <w:rsid w:val="00F414B6"/>
    <w:rsid w:val="00F416A1"/>
    <w:rsid w:val="00F416B1"/>
    <w:rsid w:val="00F417B1"/>
    <w:rsid w:val="00F417EE"/>
    <w:rsid w:val="00F41842"/>
    <w:rsid w:val="00F41A66"/>
    <w:rsid w:val="00F41BE8"/>
    <w:rsid w:val="00F41E25"/>
    <w:rsid w:val="00F41EF6"/>
    <w:rsid w:val="00F4205F"/>
    <w:rsid w:val="00F42072"/>
    <w:rsid w:val="00F4211D"/>
    <w:rsid w:val="00F4219C"/>
    <w:rsid w:val="00F421A5"/>
    <w:rsid w:val="00F421C6"/>
    <w:rsid w:val="00F42383"/>
    <w:rsid w:val="00F42439"/>
    <w:rsid w:val="00F42576"/>
    <w:rsid w:val="00F4258E"/>
    <w:rsid w:val="00F42757"/>
    <w:rsid w:val="00F427CC"/>
    <w:rsid w:val="00F4288F"/>
    <w:rsid w:val="00F42908"/>
    <w:rsid w:val="00F42965"/>
    <w:rsid w:val="00F429B8"/>
    <w:rsid w:val="00F429F6"/>
    <w:rsid w:val="00F42A37"/>
    <w:rsid w:val="00F42A87"/>
    <w:rsid w:val="00F42B66"/>
    <w:rsid w:val="00F42B83"/>
    <w:rsid w:val="00F42C13"/>
    <w:rsid w:val="00F42D03"/>
    <w:rsid w:val="00F42D2B"/>
    <w:rsid w:val="00F42EBD"/>
    <w:rsid w:val="00F42F34"/>
    <w:rsid w:val="00F42F35"/>
    <w:rsid w:val="00F42FD5"/>
    <w:rsid w:val="00F4301F"/>
    <w:rsid w:val="00F4307E"/>
    <w:rsid w:val="00F4309C"/>
    <w:rsid w:val="00F430D8"/>
    <w:rsid w:val="00F43179"/>
    <w:rsid w:val="00F433A9"/>
    <w:rsid w:val="00F434FB"/>
    <w:rsid w:val="00F4366A"/>
    <w:rsid w:val="00F43702"/>
    <w:rsid w:val="00F438EF"/>
    <w:rsid w:val="00F438F1"/>
    <w:rsid w:val="00F43B14"/>
    <w:rsid w:val="00F43B6F"/>
    <w:rsid w:val="00F43BBC"/>
    <w:rsid w:val="00F43E13"/>
    <w:rsid w:val="00F43FAA"/>
    <w:rsid w:val="00F43FD2"/>
    <w:rsid w:val="00F44036"/>
    <w:rsid w:val="00F44071"/>
    <w:rsid w:val="00F44256"/>
    <w:rsid w:val="00F44266"/>
    <w:rsid w:val="00F44361"/>
    <w:rsid w:val="00F44394"/>
    <w:rsid w:val="00F445C5"/>
    <w:rsid w:val="00F44675"/>
    <w:rsid w:val="00F44710"/>
    <w:rsid w:val="00F44780"/>
    <w:rsid w:val="00F44786"/>
    <w:rsid w:val="00F449D7"/>
    <w:rsid w:val="00F449FF"/>
    <w:rsid w:val="00F44A78"/>
    <w:rsid w:val="00F44DFE"/>
    <w:rsid w:val="00F44EDA"/>
    <w:rsid w:val="00F44EFE"/>
    <w:rsid w:val="00F44F4D"/>
    <w:rsid w:val="00F4528B"/>
    <w:rsid w:val="00F45364"/>
    <w:rsid w:val="00F45479"/>
    <w:rsid w:val="00F4556D"/>
    <w:rsid w:val="00F45587"/>
    <w:rsid w:val="00F4558A"/>
    <w:rsid w:val="00F45621"/>
    <w:rsid w:val="00F456A7"/>
    <w:rsid w:val="00F45906"/>
    <w:rsid w:val="00F45AA4"/>
    <w:rsid w:val="00F45ABB"/>
    <w:rsid w:val="00F45D0D"/>
    <w:rsid w:val="00F45D3F"/>
    <w:rsid w:val="00F45E43"/>
    <w:rsid w:val="00F45E49"/>
    <w:rsid w:val="00F460B3"/>
    <w:rsid w:val="00F461A1"/>
    <w:rsid w:val="00F462B5"/>
    <w:rsid w:val="00F462D7"/>
    <w:rsid w:val="00F463A1"/>
    <w:rsid w:val="00F464BB"/>
    <w:rsid w:val="00F4656A"/>
    <w:rsid w:val="00F4668C"/>
    <w:rsid w:val="00F466F6"/>
    <w:rsid w:val="00F4670F"/>
    <w:rsid w:val="00F46848"/>
    <w:rsid w:val="00F46870"/>
    <w:rsid w:val="00F4690B"/>
    <w:rsid w:val="00F46961"/>
    <w:rsid w:val="00F46979"/>
    <w:rsid w:val="00F46B2C"/>
    <w:rsid w:val="00F46BB1"/>
    <w:rsid w:val="00F46E81"/>
    <w:rsid w:val="00F46EA0"/>
    <w:rsid w:val="00F471CD"/>
    <w:rsid w:val="00F471D2"/>
    <w:rsid w:val="00F4722B"/>
    <w:rsid w:val="00F47377"/>
    <w:rsid w:val="00F474D2"/>
    <w:rsid w:val="00F474F3"/>
    <w:rsid w:val="00F47C2B"/>
    <w:rsid w:val="00F47C94"/>
    <w:rsid w:val="00F47D9D"/>
    <w:rsid w:val="00F47EAB"/>
    <w:rsid w:val="00F47F83"/>
    <w:rsid w:val="00F500FE"/>
    <w:rsid w:val="00F5043F"/>
    <w:rsid w:val="00F5048D"/>
    <w:rsid w:val="00F504BA"/>
    <w:rsid w:val="00F5053C"/>
    <w:rsid w:val="00F505B7"/>
    <w:rsid w:val="00F50609"/>
    <w:rsid w:val="00F506F6"/>
    <w:rsid w:val="00F5082F"/>
    <w:rsid w:val="00F50D3D"/>
    <w:rsid w:val="00F51016"/>
    <w:rsid w:val="00F5117D"/>
    <w:rsid w:val="00F512D8"/>
    <w:rsid w:val="00F51303"/>
    <w:rsid w:val="00F513E8"/>
    <w:rsid w:val="00F513F2"/>
    <w:rsid w:val="00F514A7"/>
    <w:rsid w:val="00F51508"/>
    <w:rsid w:val="00F51549"/>
    <w:rsid w:val="00F5163E"/>
    <w:rsid w:val="00F5169F"/>
    <w:rsid w:val="00F5180E"/>
    <w:rsid w:val="00F5190F"/>
    <w:rsid w:val="00F5193D"/>
    <w:rsid w:val="00F519BB"/>
    <w:rsid w:val="00F51B0F"/>
    <w:rsid w:val="00F51DE5"/>
    <w:rsid w:val="00F51E65"/>
    <w:rsid w:val="00F51E92"/>
    <w:rsid w:val="00F52036"/>
    <w:rsid w:val="00F52176"/>
    <w:rsid w:val="00F52566"/>
    <w:rsid w:val="00F5267D"/>
    <w:rsid w:val="00F526FD"/>
    <w:rsid w:val="00F52775"/>
    <w:rsid w:val="00F52847"/>
    <w:rsid w:val="00F5294F"/>
    <w:rsid w:val="00F529A1"/>
    <w:rsid w:val="00F52B02"/>
    <w:rsid w:val="00F52D8F"/>
    <w:rsid w:val="00F52E97"/>
    <w:rsid w:val="00F530FD"/>
    <w:rsid w:val="00F53182"/>
    <w:rsid w:val="00F5321D"/>
    <w:rsid w:val="00F532CA"/>
    <w:rsid w:val="00F533F4"/>
    <w:rsid w:val="00F53501"/>
    <w:rsid w:val="00F53574"/>
    <w:rsid w:val="00F535FF"/>
    <w:rsid w:val="00F5371A"/>
    <w:rsid w:val="00F5371D"/>
    <w:rsid w:val="00F5376E"/>
    <w:rsid w:val="00F53B5E"/>
    <w:rsid w:val="00F53BB5"/>
    <w:rsid w:val="00F53CEC"/>
    <w:rsid w:val="00F53D76"/>
    <w:rsid w:val="00F53E5D"/>
    <w:rsid w:val="00F53F41"/>
    <w:rsid w:val="00F540D1"/>
    <w:rsid w:val="00F54134"/>
    <w:rsid w:val="00F54184"/>
    <w:rsid w:val="00F54398"/>
    <w:rsid w:val="00F543A1"/>
    <w:rsid w:val="00F543F4"/>
    <w:rsid w:val="00F54448"/>
    <w:rsid w:val="00F5457D"/>
    <w:rsid w:val="00F5467E"/>
    <w:rsid w:val="00F546DE"/>
    <w:rsid w:val="00F547FB"/>
    <w:rsid w:val="00F54A43"/>
    <w:rsid w:val="00F54A48"/>
    <w:rsid w:val="00F54B49"/>
    <w:rsid w:val="00F54B5D"/>
    <w:rsid w:val="00F54DA4"/>
    <w:rsid w:val="00F5504F"/>
    <w:rsid w:val="00F55302"/>
    <w:rsid w:val="00F553C7"/>
    <w:rsid w:val="00F55737"/>
    <w:rsid w:val="00F557D3"/>
    <w:rsid w:val="00F557DE"/>
    <w:rsid w:val="00F558B2"/>
    <w:rsid w:val="00F55A88"/>
    <w:rsid w:val="00F55AC9"/>
    <w:rsid w:val="00F55B23"/>
    <w:rsid w:val="00F55BEB"/>
    <w:rsid w:val="00F55D58"/>
    <w:rsid w:val="00F55E13"/>
    <w:rsid w:val="00F55E3F"/>
    <w:rsid w:val="00F55E65"/>
    <w:rsid w:val="00F55E6B"/>
    <w:rsid w:val="00F55FB7"/>
    <w:rsid w:val="00F5601D"/>
    <w:rsid w:val="00F5602B"/>
    <w:rsid w:val="00F56040"/>
    <w:rsid w:val="00F5618B"/>
    <w:rsid w:val="00F561AE"/>
    <w:rsid w:val="00F5628A"/>
    <w:rsid w:val="00F563A2"/>
    <w:rsid w:val="00F563BA"/>
    <w:rsid w:val="00F56663"/>
    <w:rsid w:val="00F5667B"/>
    <w:rsid w:val="00F567DE"/>
    <w:rsid w:val="00F56896"/>
    <w:rsid w:val="00F569D1"/>
    <w:rsid w:val="00F56A50"/>
    <w:rsid w:val="00F56A63"/>
    <w:rsid w:val="00F56A9D"/>
    <w:rsid w:val="00F56D55"/>
    <w:rsid w:val="00F56DBF"/>
    <w:rsid w:val="00F56F36"/>
    <w:rsid w:val="00F56F39"/>
    <w:rsid w:val="00F57040"/>
    <w:rsid w:val="00F5715B"/>
    <w:rsid w:val="00F571EB"/>
    <w:rsid w:val="00F57272"/>
    <w:rsid w:val="00F57330"/>
    <w:rsid w:val="00F573BC"/>
    <w:rsid w:val="00F5754B"/>
    <w:rsid w:val="00F575FF"/>
    <w:rsid w:val="00F576A0"/>
    <w:rsid w:val="00F576E6"/>
    <w:rsid w:val="00F57726"/>
    <w:rsid w:val="00F5778D"/>
    <w:rsid w:val="00F5789F"/>
    <w:rsid w:val="00F578B8"/>
    <w:rsid w:val="00F578D3"/>
    <w:rsid w:val="00F578FE"/>
    <w:rsid w:val="00F57A94"/>
    <w:rsid w:val="00F57AB8"/>
    <w:rsid w:val="00F57B4B"/>
    <w:rsid w:val="00F57C72"/>
    <w:rsid w:val="00F57C76"/>
    <w:rsid w:val="00F57EE5"/>
    <w:rsid w:val="00F600F6"/>
    <w:rsid w:val="00F6010F"/>
    <w:rsid w:val="00F602A1"/>
    <w:rsid w:val="00F605A9"/>
    <w:rsid w:val="00F605C7"/>
    <w:rsid w:val="00F606D7"/>
    <w:rsid w:val="00F6076B"/>
    <w:rsid w:val="00F60779"/>
    <w:rsid w:val="00F607D7"/>
    <w:rsid w:val="00F60C4B"/>
    <w:rsid w:val="00F60DE5"/>
    <w:rsid w:val="00F60E9A"/>
    <w:rsid w:val="00F60F84"/>
    <w:rsid w:val="00F60FE4"/>
    <w:rsid w:val="00F61083"/>
    <w:rsid w:val="00F61169"/>
    <w:rsid w:val="00F612BE"/>
    <w:rsid w:val="00F612CB"/>
    <w:rsid w:val="00F61324"/>
    <w:rsid w:val="00F613B0"/>
    <w:rsid w:val="00F61575"/>
    <w:rsid w:val="00F615DD"/>
    <w:rsid w:val="00F61944"/>
    <w:rsid w:val="00F61A51"/>
    <w:rsid w:val="00F61AA2"/>
    <w:rsid w:val="00F61CCF"/>
    <w:rsid w:val="00F61CF8"/>
    <w:rsid w:val="00F61D89"/>
    <w:rsid w:val="00F61E0C"/>
    <w:rsid w:val="00F61E8E"/>
    <w:rsid w:val="00F62058"/>
    <w:rsid w:val="00F62192"/>
    <w:rsid w:val="00F623BF"/>
    <w:rsid w:val="00F62508"/>
    <w:rsid w:val="00F6289F"/>
    <w:rsid w:val="00F628FF"/>
    <w:rsid w:val="00F62AE4"/>
    <w:rsid w:val="00F62B50"/>
    <w:rsid w:val="00F62BB4"/>
    <w:rsid w:val="00F62D4E"/>
    <w:rsid w:val="00F62F01"/>
    <w:rsid w:val="00F6302F"/>
    <w:rsid w:val="00F63150"/>
    <w:rsid w:val="00F63185"/>
    <w:rsid w:val="00F631E6"/>
    <w:rsid w:val="00F631FE"/>
    <w:rsid w:val="00F63277"/>
    <w:rsid w:val="00F632AE"/>
    <w:rsid w:val="00F632D7"/>
    <w:rsid w:val="00F632DB"/>
    <w:rsid w:val="00F634CA"/>
    <w:rsid w:val="00F63572"/>
    <w:rsid w:val="00F63881"/>
    <w:rsid w:val="00F63889"/>
    <w:rsid w:val="00F639BC"/>
    <w:rsid w:val="00F63A56"/>
    <w:rsid w:val="00F63A57"/>
    <w:rsid w:val="00F63A5C"/>
    <w:rsid w:val="00F63A8A"/>
    <w:rsid w:val="00F63C18"/>
    <w:rsid w:val="00F63E5D"/>
    <w:rsid w:val="00F64267"/>
    <w:rsid w:val="00F64273"/>
    <w:rsid w:val="00F64327"/>
    <w:rsid w:val="00F64762"/>
    <w:rsid w:val="00F647EA"/>
    <w:rsid w:val="00F64849"/>
    <w:rsid w:val="00F648EF"/>
    <w:rsid w:val="00F64B8C"/>
    <w:rsid w:val="00F64ECF"/>
    <w:rsid w:val="00F64ED4"/>
    <w:rsid w:val="00F64EEB"/>
    <w:rsid w:val="00F64F29"/>
    <w:rsid w:val="00F64F70"/>
    <w:rsid w:val="00F65129"/>
    <w:rsid w:val="00F6540A"/>
    <w:rsid w:val="00F65660"/>
    <w:rsid w:val="00F6566B"/>
    <w:rsid w:val="00F6585A"/>
    <w:rsid w:val="00F65884"/>
    <w:rsid w:val="00F6593F"/>
    <w:rsid w:val="00F659A0"/>
    <w:rsid w:val="00F65DEF"/>
    <w:rsid w:val="00F65EE3"/>
    <w:rsid w:val="00F65F84"/>
    <w:rsid w:val="00F66035"/>
    <w:rsid w:val="00F66318"/>
    <w:rsid w:val="00F6635E"/>
    <w:rsid w:val="00F66363"/>
    <w:rsid w:val="00F66449"/>
    <w:rsid w:val="00F6648E"/>
    <w:rsid w:val="00F6649F"/>
    <w:rsid w:val="00F66699"/>
    <w:rsid w:val="00F6670E"/>
    <w:rsid w:val="00F66950"/>
    <w:rsid w:val="00F66958"/>
    <w:rsid w:val="00F66A8F"/>
    <w:rsid w:val="00F66B7B"/>
    <w:rsid w:val="00F66BA0"/>
    <w:rsid w:val="00F67228"/>
    <w:rsid w:val="00F672CF"/>
    <w:rsid w:val="00F6755D"/>
    <w:rsid w:val="00F6763D"/>
    <w:rsid w:val="00F67798"/>
    <w:rsid w:val="00F67887"/>
    <w:rsid w:val="00F6795D"/>
    <w:rsid w:val="00F67A8E"/>
    <w:rsid w:val="00F67AC4"/>
    <w:rsid w:val="00F67B97"/>
    <w:rsid w:val="00F67C58"/>
    <w:rsid w:val="00F67D85"/>
    <w:rsid w:val="00F67E07"/>
    <w:rsid w:val="00F70162"/>
    <w:rsid w:val="00F701A7"/>
    <w:rsid w:val="00F70332"/>
    <w:rsid w:val="00F7035C"/>
    <w:rsid w:val="00F70369"/>
    <w:rsid w:val="00F7043C"/>
    <w:rsid w:val="00F70538"/>
    <w:rsid w:val="00F706C4"/>
    <w:rsid w:val="00F706C6"/>
    <w:rsid w:val="00F706CC"/>
    <w:rsid w:val="00F7093B"/>
    <w:rsid w:val="00F709E1"/>
    <w:rsid w:val="00F709EF"/>
    <w:rsid w:val="00F70A2E"/>
    <w:rsid w:val="00F70AE1"/>
    <w:rsid w:val="00F70AE2"/>
    <w:rsid w:val="00F70C42"/>
    <w:rsid w:val="00F70E46"/>
    <w:rsid w:val="00F70F30"/>
    <w:rsid w:val="00F710D8"/>
    <w:rsid w:val="00F7144C"/>
    <w:rsid w:val="00F7148F"/>
    <w:rsid w:val="00F71767"/>
    <w:rsid w:val="00F71A2F"/>
    <w:rsid w:val="00F71C75"/>
    <w:rsid w:val="00F71CA3"/>
    <w:rsid w:val="00F71CA4"/>
    <w:rsid w:val="00F71CB7"/>
    <w:rsid w:val="00F71D5C"/>
    <w:rsid w:val="00F71DAE"/>
    <w:rsid w:val="00F720BA"/>
    <w:rsid w:val="00F720C7"/>
    <w:rsid w:val="00F72182"/>
    <w:rsid w:val="00F7233F"/>
    <w:rsid w:val="00F72814"/>
    <w:rsid w:val="00F72873"/>
    <w:rsid w:val="00F7293C"/>
    <w:rsid w:val="00F72A40"/>
    <w:rsid w:val="00F72A56"/>
    <w:rsid w:val="00F72B19"/>
    <w:rsid w:val="00F72D3D"/>
    <w:rsid w:val="00F72E62"/>
    <w:rsid w:val="00F72E7C"/>
    <w:rsid w:val="00F72F07"/>
    <w:rsid w:val="00F73096"/>
    <w:rsid w:val="00F730A5"/>
    <w:rsid w:val="00F73398"/>
    <w:rsid w:val="00F73557"/>
    <w:rsid w:val="00F73857"/>
    <w:rsid w:val="00F7388F"/>
    <w:rsid w:val="00F73A0D"/>
    <w:rsid w:val="00F73A34"/>
    <w:rsid w:val="00F73ACA"/>
    <w:rsid w:val="00F73CDA"/>
    <w:rsid w:val="00F73ECE"/>
    <w:rsid w:val="00F73FD9"/>
    <w:rsid w:val="00F74004"/>
    <w:rsid w:val="00F7429D"/>
    <w:rsid w:val="00F74344"/>
    <w:rsid w:val="00F74383"/>
    <w:rsid w:val="00F7441B"/>
    <w:rsid w:val="00F744E0"/>
    <w:rsid w:val="00F7450A"/>
    <w:rsid w:val="00F745BE"/>
    <w:rsid w:val="00F7465D"/>
    <w:rsid w:val="00F746F3"/>
    <w:rsid w:val="00F74787"/>
    <w:rsid w:val="00F747BA"/>
    <w:rsid w:val="00F749F6"/>
    <w:rsid w:val="00F74B02"/>
    <w:rsid w:val="00F74B5A"/>
    <w:rsid w:val="00F74C15"/>
    <w:rsid w:val="00F74E62"/>
    <w:rsid w:val="00F74E6F"/>
    <w:rsid w:val="00F74EDC"/>
    <w:rsid w:val="00F74F16"/>
    <w:rsid w:val="00F74F18"/>
    <w:rsid w:val="00F74F4A"/>
    <w:rsid w:val="00F74FDC"/>
    <w:rsid w:val="00F74FFE"/>
    <w:rsid w:val="00F75329"/>
    <w:rsid w:val="00F75417"/>
    <w:rsid w:val="00F755D5"/>
    <w:rsid w:val="00F755E1"/>
    <w:rsid w:val="00F755E5"/>
    <w:rsid w:val="00F7563A"/>
    <w:rsid w:val="00F756C0"/>
    <w:rsid w:val="00F756EA"/>
    <w:rsid w:val="00F757D1"/>
    <w:rsid w:val="00F75817"/>
    <w:rsid w:val="00F758D8"/>
    <w:rsid w:val="00F75AE5"/>
    <w:rsid w:val="00F75CB0"/>
    <w:rsid w:val="00F75D4B"/>
    <w:rsid w:val="00F75F00"/>
    <w:rsid w:val="00F7608D"/>
    <w:rsid w:val="00F76182"/>
    <w:rsid w:val="00F76214"/>
    <w:rsid w:val="00F7643E"/>
    <w:rsid w:val="00F764E4"/>
    <w:rsid w:val="00F7669F"/>
    <w:rsid w:val="00F766FD"/>
    <w:rsid w:val="00F76879"/>
    <w:rsid w:val="00F76ACA"/>
    <w:rsid w:val="00F76B8C"/>
    <w:rsid w:val="00F76D83"/>
    <w:rsid w:val="00F76FEA"/>
    <w:rsid w:val="00F770E6"/>
    <w:rsid w:val="00F776FF"/>
    <w:rsid w:val="00F777F3"/>
    <w:rsid w:val="00F77C64"/>
    <w:rsid w:val="00F77CE2"/>
    <w:rsid w:val="00F77DBD"/>
    <w:rsid w:val="00F77EC7"/>
    <w:rsid w:val="00F77F70"/>
    <w:rsid w:val="00F80026"/>
    <w:rsid w:val="00F80090"/>
    <w:rsid w:val="00F80403"/>
    <w:rsid w:val="00F80658"/>
    <w:rsid w:val="00F806CD"/>
    <w:rsid w:val="00F8076F"/>
    <w:rsid w:val="00F80854"/>
    <w:rsid w:val="00F80915"/>
    <w:rsid w:val="00F80C43"/>
    <w:rsid w:val="00F80CD3"/>
    <w:rsid w:val="00F80D78"/>
    <w:rsid w:val="00F80DE4"/>
    <w:rsid w:val="00F80EBD"/>
    <w:rsid w:val="00F81052"/>
    <w:rsid w:val="00F81203"/>
    <w:rsid w:val="00F81463"/>
    <w:rsid w:val="00F814BB"/>
    <w:rsid w:val="00F815B9"/>
    <w:rsid w:val="00F815F2"/>
    <w:rsid w:val="00F816C3"/>
    <w:rsid w:val="00F816FB"/>
    <w:rsid w:val="00F817F7"/>
    <w:rsid w:val="00F818E1"/>
    <w:rsid w:val="00F8193A"/>
    <w:rsid w:val="00F81A4B"/>
    <w:rsid w:val="00F81A74"/>
    <w:rsid w:val="00F81ACA"/>
    <w:rsid w:val="00F81BB7"/>
    <w:rsid w:val="00F81C71"/>
    <w:rsid w:val="00F81D42"/>
    <w:rsid w:val="00F81F4E"/>
    <w:rsid w:val="00F81F53"/>
    <w:rsid w:val="00F82035"/>
    <w:rsid w:val="00F8211E"/>
    <w:rsid w:val="00F82146"/>
    <w:rsid w:val="00F82184"/>
    <w:rsid w:val="00F821AD"/>
    <w:rsid w:val="00F821BE"/>
    <w:rsid w:val="00F8227C"/>
    <w:rsid w:val="00F82357"/>
    <w:rsid w:val="00F8297E"/>
    <w:rsid w:val="00F82A23"/>
    <w:rsid w:val="00F82A90"/>
    <w:rsid w:val="00F82E25"/>
    <w:rsid w:val="00F82E31"/>
    <w:rsid w:val="00F82F54"/>
    <w:rsid w:val="00F83062"/>
    <w:rsid w:val="00F83421"/>
    <w:rsid w:val="00F8347F"/>
    <w:rsid w:val="00F834A0"/>
    <w:rsid w:val="00F8354E"/>
    <w:rsid w:val="00F837ED"/>
    <w:rsid w:val="00F838E6"/>
    <w:rsid w:val="00F838EF"/>
    <w:rsid w:val="00F839C8"/>
    <w:rsid w:val="00F839F5"/>
    <w:rsid w:val="00F83A36"/>
    <w:rsid w:val="00F83A66"/>
    <w:rsid w:val="00F83A6B"/>
    <w:rsid w:val="00F83C8C"/>
    <w:rsid w:val="00F83CA2"/>
    <w:rsid w:val="00F83CE3"/>
    <w:rsid w:val="00F83DCD"/>
    <w:rsid w:val="00F83E9E"/>
    <w:rsid w:val="00F83F6A"/>
    <w:rsid w:val="00F83F8F"/>
    <w:rsid w:val="00F83FB1"/>
    <w:rsid w:val="00F84214"/>
    <w:rsid w:val="00F842C5"/>
    <w:rsid w:val="00F84376"/>
    <w:rsid w:val="00F844DC"/>
    <w:rsid w:val="00F84572"/>
    <w:rsid w:val="00F846A7"/>
    <w:rsid w:val="00F846DE"/>
    <w:rsid w:val="00F84869"/>
    <w:rsid w:val="00F8486A"/>
    <w:rsid w:val="00F848B4"/>
    <w:rsid w:val="00F8496E"/>
    <w:rsid w:val="00F84979"/>
    <w:rsid w:val="00F849FE"/>
    <w:rsid w:val="00F84A80"/>
    <w:rsid w:val="00F84B5C"/>
    <w:rsid w:val="00F84D77"/>
    <w:rsid w:val="00F85059"/>
    <w:rsid w:val="00F85250"/>
    <w:rsid w:val="00F85318"/>
    <w:rsid w:val="00F85369"/>
    <w:rsid w:val="00F856A9"/>
    <w:rsid w:val="00F85726"/>
    <w:rsid w:val="00F8577E"/>
    <w:rsid w:val="00F858B3"/>
    <w:rsid w:val="00F858B7"/>
    <w:rsid w:val="00F859DD"/>
    <w:rsid w:val="00F859E6"/>
    <w:rsid w:val="00F85AEB"/>
    <w:rsid w:val="00F85B2C"/>
    <w:rsid w:val="00F85D88"/>
    <w:rsid w:val="00F85DA2"/>
    <w:rsid w:val="00F85F93"/>
    <w:rsid w:val="00F8604D"/>
    <w:rsid w:val="00F86073"/>
    <w:rsid w:val="00F861B6"/>
    <w:rsid w:val="00F86665"/>
    <w:rsid w:val="00F866F8"/>
    <w:rsid w:val="00F86780"/>
    <w:rsid w:val="00F86908"/>
    <w:rsid w:val="00F86AA7"/>
    <w:rsid w:val="00F86B4C"/>
    <w:rsid w:val="00F86C86"/>
    <w:rsid w:val="00F86E3A"/>
    <w:rsid w:val="00F86E5B"/>
    <w:rsid w:val="00F87270"/>
    <w:rsid w:val="00F8728B"/>
    <w:rsid w:val="00F87449"/>
    <w:rsid w:val="00F874D1"/>
    <w:rsid w:val="00F87704"/>
    <w:rsid w:val="00F87769"/>
    <w:rsid w:val="00F877A1"/>
    <w:rsid w:val="00F87857"/>
    <w:rsid w:val="00F878C0"/>
    <w:rsid w:val="00F879EF"/>
    <w:rsid w:val="00F87A11"/>
    <w:rsid w:val="00F87A68"/>
    <w:rsid w:val="00F87B89"/>
    <w:rsid w:val="00F87E72"/>
    <w:rsid w:val="00F9000A"/>
    <w:rsid w:val="00F9001B"/>
    <w:rsid w:val="00F90057"/>
    <w:rsid w:val="00F900BC"/>
    <w:rsid w:val="00F9017B"/>
    <w:rsid w:val="00F9027E"/>
    <w:rsid w:val="00F90552"/>
    <w:rsid w:val="00F90566"/>
    <w:rsid w:val="00F905A0"/>
    <w:rsid w:val="00F905B0"/>
    <w:rsid w:val="00F9066B"/>
    <w:rsid w:val="00F90693"/>
    <w:rsid w:val="00F90704"/>
    <w:rsid w:val="00F908AB"/>
    <w:rsid w:val="00F90940"/>
    <w:rsid w:val="00F90BF4"/>
    <w:rsid w:val="00F90CF0"/>
    <w:rsid w:val="00F90DD0"/>
    <w:rsid w:val="00F90DD9"/>
    <w:rsid w:val="00F90F96"/>
    <w:rsid w:val="00F910D8"/>
    <w:rsid w:val="00F911F1"/>
    <w:rsid w:val="00F91200"/>
    <w:rsid w:val="00F91695"/>
    <w:rsid w:val="00F9192A"/>
    <w:rsid w:val="00F91973"/>
    <w:rsid w:val="00F91D40"/>
    <w:rsid w:val="00F91F85"/>
    <w:rsid w:val="00F91FB4"/>
    <w:rsid w:val="00F9209A"/>
    <w:rsid w:val="00F9226F"/>
    <w:rsid w:val="00F92345"/>
    <w:rsid w:val="00F92769"/>
    <w:rsid w:val="00F928E5"/>
    <w:rsid w:val="00F929E2"/>
    <w:rsid w:val="00F92A07"/>
    <w:rsid w:val="00F92AF8"/>
    <w:rsid w:val="00F92B06"/>
    <w:rsid w:val="00F92FB7"/>
    <w:rsid w:val="00F93217"/>
    <w:rsid w:val="00F93244"/>
    <w:rsid w:val="00F93258"/>
    <w:rsid w:val="00F9336A"/>
    <w:rsid w:val="00F9338D"/>
    <w:rsid w:val="00F93434"/>
    <w:rsid w:val="00F93463"/>
    <w:rsid w:val="00F93560"/>
    <w:rsid w:val="00F93597"/>
    <w:rsid w:val="00F9367E"/>
    <w:rsid w:val="00F93718"/>
    <w:rsid w:val="00F937AB"/>
    <w:rsid w:val="00F937F3"/>
    <w:rsid w:val="00F939A4"/>
    <w:rsid w:val="00F93C68"/>
    <w:rsid w:val="00F93CCE"/>
    <w:rsid w:val="00F93D22"/>
    <w:rsid w:val="00F93D64"/>
    <w:rsid w:val="00F93D9D"/>
    <w:rsid w:val="00F93DA2"/>
    <w:rsid w:val="00F9419A"/>
    <w:rsid w:val="00F941A4"/>
    <w:rsid w:val="00F94231"/>
    <w:rsid w:val="00F94403"/>
    <w:rsid w:val="00F94484"/>
    <w:rsid w:val="00F945B2"/>
    <w:rsid w:val="00F9461D"/>
    <w:rsid w:val="00F948A9"/>
    <w:rsid w:val="00F948FF"/>
    <w:rsid w:val="00F94AC6"/>
    <w:rsid w:val="00F94CD8"/>
    <w:rsid w:val="00F94CE1"/>
    <w:rsid w:val="00F94DBB"/>
    <w:rsid w:val="00F94E07"/>
    <w:rsid w:val="00F94F7D"/>
    <w:rsid w:val="00F95021"/>
    <w:rsid w:val="00F950C3"/>
    <w:rsid w:val="00F95119"/>
    <w:rsid w:val="00F952DD"/>
    <w:rsid w:val="00F9530A"/>
    <w:rsid w:val="00F9534F"/>
    <w:rsid w:val="00F95354"/>
    <w:rsid w:val="00F95395"/>
    <w:rsid w:val="00F954EB"/>
    <w:rsid w:val="00F95593"/>
    <w:rsid w:val="00F955E1"/>
    <w:rsid w:val="00F955E6"/>
    <w:rsid w:val="00F95661"/>
    <w:rsid w:val="00F95742"/>
    <w:rsid w:val="00F95848"/>
    <w:rsid w:val="00F9586D"/>
    <w:rsid w:val="00F95889"/>
    <w:rsid w:val="00F958FE"/>
    <w:rsid w:val="00F95B05"/>
    <w:rsid w:val="00F95C8F"/>
    <w:rsid w:val="00F95F28"/>
    <w:rsid w:val="00F960B1"/>
    <w:rsid w:val="00F960B8"/>
    <w:rsid w:val="00F960D6"/>
    <w:rsid w:val="00F961EE"/>
    <w:rsid w:val="00F9627A"/>
    <w:rsid w:val="00F962BF"/>
    <w:rsid w:val="00F96349"/>
    <w:rsid w:val="00F9638B"/>
    <w:rsid w:val="00F967C1"/>
    <w:rsid w:val="00F96800"/>
    <w:rsid w:val="00F96A85"/>
    <w:rsid w:val="00F96C5E"/>
    <w:rsid w:val="00F96DA8"/>
    <w:rsid w:val="00F96E23"/>
    <w:rsid w:val="00F96ED2"/>
    <w:rsid w:val="00F96F11"/>
    <w:rsid w:val="00F97125"/>
    <w:rsid w:val="00F971AA"/>
    <w:rsid w:val="00F971EF"/>
    <w:rsid w:val="00F971FD"/>
    <w:rsid w:val="00F97371"/>
    <w:rsid w:val="00F97374"/>
    <w:rsid w:val="00F97A34"/>
    <w:rsid w:val="00F97A81"/>
    <w:rsid w:val="00F97C20"/>
    <w:rsid w:val="00F97C61"/>
    <w:rsid w:val="00F97DB7"/>
    <w:rsid w:val="00F97DBF"/>
    <w:rsid w:val="00F97F14"/>
    <w:rsid w:val="00FA00F5"/>
    <w:rsid w:val="00FA01DC"/>
    <w:rsid w:val="00FA02AA"/>
    <w:rsid w:val="00FA02C1"/>
    <w:rsid w:val="00FA0353"/>
    <w:rsid w:val="00FA055B"/>
    <w:rsid w:val="00FA074E"/>
    <w:rsid w:val="00FA078C"/>
    <w:rsid w:val="00FA0908"/>
    <w:rsid w:val="00FA0A98"/>
    <w:rsid w:val="00FA0D5D"/>
    <w:rsid w:val="00FA0EBE"/>
    <w:rsid w:val="00FA1001"/>
    <w:rsid w:val="00FA1008"/>
    <w:rsid w:val="00FA107A"/>
    <w:rsid w:val="00FA114E"/>
    <w:rsid w:val="00FA1207"/>
    <w:rsid w:val="00FA1385"/>
    <w:rsid w:val="00FA1694"/>
    <w:rsid w:val="00FA1723"/>
    <w:rsid w:val="00FA1811"/>
    <w:rsid w:val="00FA1833"/>
    <w:rsid w:val="00FA192A"/>
    <w:rsid w:val="00FA1BC5"/>
    <w:rsid w:val="00FA1D3C"/>
    <w:rsid w:val="00FA1F7B"/>
    <w:rsid w:val="00FA209A"/>
    <w:rsid w:val="00FA211B"/>
    <w:rsid w:val="00FA22A1"/>
    <w:rsid w:val="00FA23BC"/>
    <w:rsid w:val="00FA2539"/>
    <w:rsid w:val="00FA25D2"/>
    <w:rsid w:val="00FA26F5"/>
    <w:rsid w:val="00FA2749"/>
    <w:rsid w:val="00FA276B"/>
    <w:rsid w:val="00FA27BC"/>
    <w:rsid w:val="00FA286C"/>
    <w:rsid w:val="00FA288C"/>
    <w:rsid w:val="00FA2AAE"/>
    <w:rsid w:val="00FA2B12"/>
    <w:rsid w:val="00FA2C2A"/>
    <w:rsid w:val="00FA2C7C"/>
    <w:rsid w:val="00FA2D47"/>
    <w:rsid w:val="00FA3193"/>
    <w:rsid w:val="00FA31FF"/>
    <w:rsid w:val="00FA3211"/>
    <w:rsid w:val="00FA325C"/>
    <w:rsid w:val="00FA325F"/>
    <w:rsid w:val="00FA32DC"/>
    <w:rsid w:val="00FA3344"/>
    <w:rsid w:val="00FA3451"/>
    <w:rsid w:val="00FA38AE"/>
    <w:rsid w:val="00FA3CF9"/>
    <w:rsid w:val="00FA3D59"/>
    <w:rsid w:val="00FA3DE4"/>
    <w:rsid w:val="00FA3F42"/>
    <w:rsid w:val="00FA404E"/>
    <w:rsid w:val="00FA40BD"/>
    <w:rsid w:val="00FA4138"/>
    <w:rsid w:val="00FA41FB"/>
    <w:rsid w:val="00FA4213"/>
    <w:rsid w:val="00FA4256"/>
    <w:rsid w:val="00FA4490"/>
    <w:rsid w:val="00FA4509"/>
    <w:rsid w:val="00FA4553"/>
    <w:rsid w:val="00FA45A1"/>
    <w:rsid w:val="00FA4661"/>
    <w:rsid w:val="00FA488D"/>
    <w:rsid w:val="00FA4916"/>
    <w:rsid w:val="00FA4954"/>
    <w:rsid w:val="00FA498B"/>
    <w:rsid w:val="00FA4A8E"/>
    <w:rsid w:val="00FA4AD9"/>
    <w:rsid w:val="00FA4AEC"/>
    <w:rsid w:val="00FA4C68"/>
    <w:rsid w:val="00FA4CB4"/>
    <w:rsid w:val="00FA4EE9"/>
    <w:rsid w:val="00FA4EF8"/>
    <w:rsid w:val="00FA4F8D"/>
    <w:rsid w:val="00FA5061"/>
    <w:rsid w:val="00FA5090"/>
    <w:rsid w:val="00FA512A"/>
    <w:rsid w:val="00FA523A"/>
    <w:rsid w:val="00FA52EE"/>
    <w:rsid w:val="00FA53CB"/>
    <w:rsid w:val="00FA5555"/>
    <w:rsid w:val="00FA56B5"/>
    <w:rsid w:val="00FA574A"/>
    <w:rsid w:val="00FA58C8"/>
    <w:rsid w:val="00FA5A12"/>
    <w:rsid w:val="00FA5A2D"/>
    <w:rsid w:val="00FA5DE3"/>
    <w:rsid w:val="00FA61FD"/>
    <w:rsid w:val="00FA62C3"/>
    <w:rsid w:val="00FA64F9"/>
    <w:rsid w:val="00FA6863"/>
    <w:rsid w:val="00FA6886"/>
    <w:rsid w:val="00FA692E"/>
    <w:rsid w:val="00FA6938"/>
    <w:rsid w:val="00FA693D"/>
    <w:rsid w:val="00FA69B0"/>
    <w:rsid w:val="00FA6B51"/>
    <w:rsid w:val="00FA6BA2"/>
    <w:rsid w:val="00FA6D95"/>
    <w:rsid w:val="00FA7014"/>
    <w:rsid w:val="00FA733F"/>
    <w:rsid w:val="00FA74DB"/>
    <w:rsid w:val="00FA76CD"/>
    <w:rsid w:val="00FA77A7"/>
    <w:rsid w:val="00FA77B5"/>
    <w:rsid w:val="00FA780F"/>
    <w:rsid w:val="00FA7989"/>
    <w:rsid w:val="00FA7AB1"/>
    <w:rsid w:val="00FA7E5E"/>
    <w:rsid w:val="00FA7F33"/>
    <w:rsid w:val="00FA7F81"/>
    <w:rsid w:val="00FB0128"/>
    <w:rsid w:val="00FB0403"/>
    <w:rsid w:val="00FB040C"/>
    <w:rsid w:val="00FB05C6"/>
    <w:rsid w:val="00FB0633"/>
    <w:rsid w:val="00FB0900"/>
    <w:rsid w:val="00FB09EA"/>
    <w:rsid w:val="00FB0A23"/>
    <w:rsid w:val="00FB0D3F"/>
    <w:rsid w:val="00FB0DDA"/>
    <w:rsid w:val="00FB0E51"/>
    <w:rsid w:val="00FB0E6A"/>
    <w:rsid w:val="00FB0F80"/>
    <w:rsid w:val="00FB0FC8"/>
    <w:rsid w:val="00FB1049"/>
    <w:rsid w:val="00FB10EB"/>
    <w:rsid w:val="00FB1205"/>
    <w:rsid w:val="00FB1220"/>
    <w:rsid w:val="00FB12A0"/>
    <w:rsid w:val="00FB1554"/>
    <w:rsid w:val="00FB1571"/>
    <w:rsid w:val="00FB15BF"/>
    <w:rsid w:val="00FB15C1"/>
    <w:rsid w:val="00FB1624"/>
    <w:rsid w:val="00FB1692"/>
    <w:rsid w:val="00FB16FC"/>
    <w:rsid w:val="00FB1927"/>
    <w:rsid w:val="00FB1985"/>
    <w:rsid w:val="00FB1B74"/>
    <w:rsid w:val="00FB1C21"/>
    <w:rsid w:val="00FB1C76"/>
    <w:rsid w:val="00FB1D8A"/>
    <w:rsid w:val="00FB1DFB"/>
    <w:rsid w:val="00FB1E96"/>
    <w:rsid w:val="00FB1EF9"/>
    <w:rsid w:val="00FB2191"/>
    <w:rsid w:val="00FB21BC"/>
    <w:rsid w:val="00FB2331"/>
    <w:rsid w:val="00FB25A2"/>
    <w:rsid w:val="00FB2791"/>
    <w:rsid w:val="00FB27DC"/>
    <w:rsid w:val="00FB28AB"/>
    <w:rsid w:val="00FB28D1"/>
    <w:rsid w:val="00FB2AA9"/>
    <w:rsid w:val="00FB2C6B"/>
    <w:rsid w:val="00FB2CFD"/>
    <w:rsid w:val="00FB2D56"/>
    <w:rsid w:val="00FB2DA8"/>
    <w:rsid w:val="00FB2E90"/>
    <w:rsid w:val="00FB2F07"/>
    <w:rsid w:val="00FB2F3D"/>
    <w:rsid w:val="00FB2FDD"/>
    <w:rsid w:val="00FB306C"/>
    <w:rsid w:val="00FB308F"/>
    <w:rsid w:val="00FB30E4"/>
    <w:rsid w:val="00FB32CD"/>
    <w:rsid w:val="00FB337F"/>
    <w:rsid w:val="00FB33E4"/>
    <w:rsid w:val="00FB3511"/>
    <w:rsid w:val="00FB3573"/>
    <w:rsid w:val="00FB35CE"/>
    <w:rsid w:val="00FB35D6"/>
    <w:rsid w:val="00FB3738"/>
    <w:rsid w:val="00FB3840"/>
    <w:rsid w:val="00FB3848"/>
    <w:rsid w:val="00FB390F"/>
    <w:rsid w:val="00FB39FE"/>
    <w:rsid w:val="00FB3A64"/>
    <w:rsid w:val="00FB3AF1"/>
    <w:rsid w:val="00FB3B87"/>
    <w:rsid w:val="00FB3BC2"/>
    <w:rsid w:val="00FB3C8D"/>
    <w:rsid w:val="00FB3CD0"/>
    <w:rsid w:val="00FB3D06"/>
    <w:rsid w:val="00FB3DCC"/>
    <w:rsid w:val="00FB41EA"/>
    <w:rsid w:val="00FB449F"/>
    <w:rsid w:val="00FB45A7"/>
    <w:rsid w:val="00FB45AE"/>
    <w:rsid w:val="00FB460D"/>
    <w:rsid w:val="00FB4850"/>
    <w:rsid w:val="00FB48C9"/>
    <w:rsid w:val="00FB48FA"/>
    <w:rsid w:val="00FB4937"/>
    <w:rsid w:val="00FB49B1"/>
    <w:rsid w:val="00FB4A59"/>
    <w:rsid w:val="00FB4B48"/>
    <w:rsid w:val="00FB4C01"/>
    <w:rsid w:val="00FB4D48"/>
    <w:rsid w:val="00FB4D97"/>
    <w:rsid w:val="00FB4E9F"/>
    <w:rsid w:val="00FB4EF3"/>
    <w:rsid w:val="00FB5067"/>
    <w:rsid w:val="00FB50EE"/>
    <w:rsid w:val="00FB5156"/>
    <w:rsid w:val="00FB51C5"/>
    <w:rsid w:val="00FB55F9"/>
    <w:rsid w:val="00FB5779"/>
    <w:rsid w:val="00FB578D"/>
    <w:rsid w:val="00FB58E1"/>
    <w:rsid w:val="00FB5A05"/>
    <w:rsid w:val="00FB5B89"/>
    <w:rsid w:val="00FB5DEA"/>
    <w:rsid w:val="00FB5F0A"/>
    <w:rsid w:val="00FB60E0"/>
    <w:rsid w:val="00FB60FF"/>
    <w:rsid w:val="00FB617F"/>
    <w:rsid w:val="00FB644C"/>
    <w:rsid w:val="00FB64DD"/>
    <w:rsid w:val="00FB651F"/>
    <w:rsid w:val="00FB67F9"/>
    <w:rsid w:val="00FB67FD"/>
    <w:rsid w:val="00FB682D"/>
    <w:rsid w:val="00FB68BE"/>
    <w:rsid w:val="00FB6A45"/>
    <w:rsid w:val="00FB6A76"/>
    <w:rsid w:val="00FB6BB5"/>
    <w:rsid w:val="00FB6BEF"/>
    <w:rsid w:val="00FB6C9C"/>
    <w:rsid w:val="00FB6CE1"/>
    <w:rsid w:val="00FB6F37"/>
    <w:rsid w:val="00FB6F81"/>
    <w:rsid w:val="00FB6FD3"/>
    <w:rsid w:val="00FB6FDC"/>
    <w:rsid w:val="00FB71B4"/>
    <w:rsid w:val="00FB73A8"/>
    <w:rsid w:val="00FB7400"/>
    <w:rsid w:val="00FB74BD"/>
    <w:rsid w:val="00FB755F"/>
    <w:rsid w:val="00FB756B"/>
    <w:rsid w:val="00FB767D"/>
    <w:rsid w:val="00FB775E"/>
    <w:rsid w:val="00FB79E0"/>
    <w:rsid w:val="00FB7A77"/>
    <w:rsid w:val="00FB7B93"/>
    <w:rsid w:val="00FB7D84"/>
    <w:rsid w:val="00FB7E0B"/>
    <w:rsid w:val="00FB7EE0"/>
    <w:rsid w:val="00FC00FE"/>
    <w:rsid w:val="00FC0249"/>
    <w:rsid w:val="00FC04FC"/>
    <w:rsid w:val="00FC06BB"/>
    <w:rsid w:val="00FC094A"/>
    <w:rsid w:val="00FC09A7"/>
    <w:rsid w:val="00FC09B5"/>
    <w:rsid w:val="00FC0ACF"/>
    <w:rsid w:val="00FC0BF1"/>
    <w:rsid w:val="00FC0E0A"/>
    <w:rsid w:val="00FC0E34"/>
    <w:rsid w:val="00FC0E67"/>
    <w:rsid w:val="00FC0EA1"/>
    <w:rsid w:val="00FC0F9F"/>
    <w:rsid w:val="00FC1055"/>
    <w:rsid w:val="00FC130F"/>
    <w:rsid w:val="00FC1363"/>
    <w:rsid w:val="00FC1474"/>
    <w:rsid w:val="00FC14F8"/>
    <w:rsid w:val="00FC1584"/>
    <w:rsid w:val="00FC1609"/>
    <w:rsid w:val="00FC16F0"/>
    <w:rsid w:val="00FC1752"/>
    <w:rsid w:val="00FC17CC"/>
    <w:rsid w:val="00FC18A8"/>
    <w:rsid w:val="00FC18BB"/>
    <w:rsid w:val="00FC18E7"/>
    <w:rsid w:val="00FC1980"/>
    <w:rsid w:val="00FC1A8E"/>
    <w:rsid w:val="00FC1B5A"/>
    <w:rsid w:val="00FC1B93"/>
    <w:rsid w:val="00FC1BFB"/>
    <w:rsid w:val="00FC1E95"/>
    <w:rsid w:val="00FC1F4B"/>
    <w:rsid w:val="00FC20D3"/>
    <w:rsid w:val="00FC20E4"/>
    <w:rsid w:val="00FC20F2"/>
    <w:rsid w:val="00FC2111"/>
    <w:rsid w:val="00FC2643"/>
    <w:rsid w:val="00FC2647"/>
    <w:rsid w:val="00FC264D"/>
    <w:rsid w:val="00FC266C"/>
    <w:rsid w:val="00FC2809"/>
    <w:rsid w:val="00FC284D"/>
    <w:rsid w:val="00FC28DC"/>
    <w:rsid w:val="00FC2902"/>
    <w:rsid w:val="00FC2949"/>
    <w:rsid w:val="00FC2DEF"/>
    <w:rsid w:val="00FC2F0D"/>
    <w:rsid w:val="00FC2F6C"/>
    <w:rsid w:val="00FC30D3"/>
    <w:rsid w:val="00FC313B"/>
    <w:rsid w:val="00FC3193"/>
    <w:rsid w:val="00FC3246"/>
    <w:rsid w:val="00FC332D"/>
    <w:rsid w:val="00FC333B"/>
    <w:rsid w:val="00FC335B"/>
    <w:rsid w:val="00FC3411"/>
    <w:rsid w:val="00FC3937"/>
    <w:rsid w:val="00FC3943"/>
    <w:rsid w:val="00FC39AC"/>
    <w:rsid w:val="00FC3A26"/>
    <w:rsid w:val="00FC3AA7"/>
    <w:rsid w:val="00FC3BA9"/>
    <w:rsid w:val="00FC3C52"/>
    <w:rsid w:val="00FC3C9F"/>
    <w:rsid w:val="00FC3D31"/>
    <w:rsid w:val="00FC3D68"/>
    <w:rsid w:val="00FC3F80"/>
    <w:rsid w:val="00FC406B"/>
    <w:rsid w:val="00FC4115"/>
    <w:rsid w:val="00FC414E"/>
    <w:rsid w:val="00FC4166"/>
    <w:rsid w:val="00FC41A3"/>
    <w:rsid w:val="00FC41A6"/>
    <w:rsid w:val="00FC4267"/>
    <w:rsid w:val="00FC42D6"/>
    <w:rsid w:val="00FC4600"/>
    <w:rsid w:val="00FC4656"/>
    <w:rsid w:val="00FC479E"/>
    <w:rsid w:val="00FC47C7"/>
    <w:rsid w:val="00FC481E"/>
    <w:rsid w:val="00FC4872"/>
    <w:rsid w:val="00FC49A1"/>
    <w:rsid w:val="00FC4A53"/>
    <w:rsid w:val="00FC4A9F"/>
    <w:rsid w:val="00FC4AC9"/>
    <w:rsid w:val="00FC4B09"/>
    <w:rsid w:val="00FC4BC0"/>
    <w:rsid w:val="00FC4BC4"/>
    <w:rsid w:val="00FC4D80"/>
    <w:rsid w:val="00FC4D9F"/>
    <w:rsid w:val="00FC5028"/>
    <w:rsid w:val="00FC5097"/>
    <w:rsid w:val="00FC514E"/>
    <w:rsid w:val="00FC5154"/>
    <w:rsid w:val="00FC51C4"/>
    <w:rsid w:val="00FC51D5"/>
    <w:rsid w:val="00FC51FA"/>
    <w:rsid w:val="00FC523F"/>
    <w:rsid w:val="00FC5317"/>
    <w:rsid w:val="00FC53FF"/>
    <w:rsid w:val="00FC543D"/>
    <w:rsid w:val="00FC55B0"/>
    <w:rsid w:val="00FC5617"/>
    <w:rsid w:val="00FC562F"/>
    <w:rsid w:val="00FC56D3"/>
    <w:rsid w:val="00FC5A65"/>
    <w:rsid w:val="00FC5E80"/>
    <w:rsid w:val="00FC602F"/>
    <w:rsid w:val="00FC603B"/>
    <w:rsid w:val="00FC60F2"/>
    <w:rsid w:val="00FC62DC"/>
    <w:rsid w:val="00FC63BF"/>
    <w:rsid w:val="00FC6470"/>
    <w:rsid w:val="00FC65C5"/>
    <w:rsid w:val="00FC65DF"/>
    <w:rsid w:val="00FC6610"/>
    <w:rsid w:val="00FC675B"/>
    <w:rsid w:val="00FC68E4"/>
    <w:rsid w:val="00FC68EC"/>
    <w:rsid w:val="00FC69C2"/>
    <w:rsid w:val="00FC69EB"/>
    <w:rsid w:val="00FC6B55"/>
    <w:rsid w:val="00FC6BD6"/>
    <w:rsid w:val="00FC6C1C"/>
    <w:rsid w:val="00FC6C3D"/>
    <w:rsid w:val="00FC6C4A"/>
    <w:rsid w:val="00FC6C56"/>
    <w:rsid w:val="00FC6C64"/>
    <w:rsid w:val="00FC6C77"/>
    <w:rsid w:val="00FC6DC2"/>
    <w:rsid w:val="00FC6DE3"/>
    <w:rsid w:val="00FC6EDB"/>
    <w:rsid w:val="00FC7009"/>
    <w:rsid w:val="00FC70C2"/>
    <w:rsid w:val="00FC70C3"/>
    <w:rsid w:val="00FC7350"/>
    <w:rsid w:val="00FC7427"/>
    <w:rsid w:val="00FC75D4"/>
    <w:rsid w:val="00FC782F"/>
    <w:rsid w:val="00FC7A1B"/>
    <w:rsid w:val="00FC7C05"/>
    <w:rsid w:val="00FC7CC3"/>
    <w:rsid w:val="00FC7E55"/>
    <w:rsid w:val="00FC7FA2"/>
    <w:rsid w:val="00FD007F"/>
    <w:rsid w:val="00FD0086"/>
    <w:rsid w:val="00FD0090"/>
    <w:rsid w:val="00FD03E2"/>
    <w:rsid w:val="00FD051B"/>
    <w:rsid w:val="00FD073A"/>
    <w:rsid w:val="00FD079D"/>
    <w:rsid w:val="00FD095D"/>
    <w:rsid w:val="00FD0BD4"/>
    <w:rsid w:val="00FD0C6F"/>
    <w:rsid w:val="00FD0CCD"/>
    <w:rsid w:val="00FD0E2E"/>
    <w:rsid w:val="00FD0E75"/>
    <w:rsid w:val="00FD0ECB"/>
    <w:rsid w:val="00FD0EF8"/>
    <w:rsid w:val="00FD0F3F"/>
    <w:rsid w:val="00FD1317"/>
    <w:rsid w:val="00FD133F"/>
    <w:rsid w:val="00FD1411"/>
    <w:rsid w:val="00FD1416"/>
    <w:rsid w:val="00FD151D"/>
    <w:rsid w:val="00FD160E"/>
    <w:rsid w:val="00FD1678"/>
    <w:rsid w:val="00FD1686"/>
    <w:rsid w:val="00FD1769"/>
    <w:rsid w:val="00FD17A0"/>
    <w:rsid w:val="00FD1990"/>
    <w:rsid w:val="00FD1A06"/>
    <w:rsid w:val="00FD1B6E"/>
    <w:rsid w:val="00FD1C29"/>
    <w:rsid w:val="00FD1D1A"/>
    <w:rsid w:val="00FD1D77"/>
    <w:rsid w:val="00FD1F08"/>
    <w:rsid w:val="00FD1F6D"/>
    <w:rsid w:val="00FD1F91"/>
    <w:rsid w:val="00FD1FE5"/>
    <w:rsid w:val="00FD217E"/>
    <w:rsid w:val="00FD21E1"/>
    <w:rsid w:val="00FD2566"/>
    <w:rsid w:val="00FD259D"/>
    <w:rsid w:val="00FD25EB"/>
    <w:rsid w:val="00FD27CB"/>
    <w:rsid w:val="00FD29BF"/>
    <w:rsid w:val="00FD2A9E"/>
    <w:rsid w:val="00FD2B77"/>
    <w:rsid w:val="00FD2D48"/>
    <w:rsid w:val="00FD2DD0"/>
    <w:rsid w:val="00FD2E2E"/>
    <w:rsid w:val="00FD2E7B"/>
    <w:rsid w:val="00FD2F36"/>
    <w:rsid w:val="00FD2FFF"/>
    <w:rsid w:val="00FD31CA"/>
    <w:rsid w:val="00FD323C"/>
    <w:rsid w:val="00FD330F"/>
    <w:rsid w:val="00FD35A5"/>
    <w:rsid w:val="00FD3645"/>
    <w:rsid w:val="00FD3732"/>
    <w:rsid w:val="00FD3783"/>
    <w:rsid w:val="00FD3883"/>
    <w:rsid w:val="00FD3AEF"/>
    <w:rsid w:val="00FD3B7A"/>
    <w:rsid w:val="00FD3C7D"/>
    <w:rsid w:val="00FD3ED1"/>
    <w:rsid w:val="00FD4009"/>
    <w:rsid w:val="00FD404B"/>
    <w:rsid w:val="00FD407A"/>
    <w:rsid w:val="00FD40A9"/>
    <w:rsid w:val="00FD435A"/>
    <w:rsid w:val="00FD43C5"/>
    <w:rsid w:val="00FD44AF"/>
    <w:rsid w:val="00FD452A"/>
    <w:rsid w:val="00FD45F5"/>
    <w:rsid w:val="00FD463F"/>
    <w:rsid w:val="00FD46B2"/>
    <w:rsid w:val="00FD4825"/>
    <w:rsid w:val="00FD4861"/>
    <w:rsid w:val="00FD4904"/>
    <w:rsid w:val="00FD4974"/>
    <w:rsid w:val="00FD49C5"/>
    <w:rsid w:val="00FD4ABA"/>
    <w:rsid w:val="00FD4AEC"/>
    <w:rsid w:val="00FD4C1D"/>
    <w:rsid w:val="00FD4F55"/>
    <w:rsid w:val="00FD510F"/>
    <w:rsid w:val="00FD511C"/>
    <w:rsid w:val="00FD515D"/>
    <w:rsid w:val="00FD52DE"/>
    <w:rsid w:val="00FD5333"/>
    <w:rsid w:val="00FD53FB"/>
    <w:rsid w:val="00FD5456"/>
    <w:rsid w:val="00FD5469"/>
    <w:rsid w:val="00FD551F"/>
    <w:rsid w:val="00FD5550"/>
    <w:rsid w:val="00FD5701"/>
    <w:rsid w:val="00FD577A"/>
    <w:rsid w:val="00FD57B1"/>
    <w:rsid w:val="00FD57C4"/>
    <w:rsid w:val="00FD5A3A"/>
    <w:rsid w:val="00FD5B3D"/>
    <w:rsid w:val="00FD6016"/>
    <w:rsid w:val="00FD61EC"/>
    <w:rsid w:val="00FD636D"/>
    <w:rsid w:val="00FD6380"/>
    <w:rsid w:val="00FD6438"/>
    <w:rsid w:val="00FD644B"/>
    <w:rsid w:val="00FD67D3"/>
    <w:rsid w:val="00FD6ADC"/>
    <w:rsid w:val="00FD6B05"/>
    <w:rsid w:val="00FD6B7E"/>
    <w:rsid w:val="00FD6B9B"/>
    <w:rsid w:val="00FD6CFE"/>
    <w:rsid w:val="00FD6D7D"/>
    <w:rsid w:val="00FD71DC"/>
    <w:rsid w:val="00FD71EE"/>
    <w:rsid w:val="00FD72EA"/>
    <w:rsid w:val="00FD7641"/>
    <w:rsid w:val="00FD76B9"/>
    <w:rsid w:val="00FD7743"/>
    <w:rsid w:val="00FD78CF"/>
    <w:rsid w:val="00FD78F8"/>
    <w:rsid w:val="00FD794C"/>
    <w:rsid w:val="00FD798B"/>
    <w:rsid w:val="00FD7A75"/>
    <w:rsid w:val="00FD7AD4"/>
    <w:rsid w:val="00FD7B0B"/>
    <w:rsid w:val="00FD7DB6"/>
    <w:rsid w:val="00FD7DE2"/>
    <w:rsid w:val="00FD7E0B"/>
    <w:rsid w:val="00FD7F35"/>
    <w:rsid w:val="00FE0041"/>
    <w:rsid w:val="00FE0612"/>
    <w:rsid w:val="00FE073A"/>
    <w:rsid w:val="00FE0802"/>
    <w:rsid w:val="00FE0965"/>
    <w:rsid w:val="00FE0A6A"/>
    <w:rsid w:val="00FE0AB1"/>
    <w:rsid w:val="00FE0D0A"/>
    <w:rsid w:val="00FE0D43"/>
    <w:rsid w:val="00FE0D86"/>
    <w:rsid w:val="00FE0DC7"/>
    <w:rsid w:val="00FE0EFD"/>
    <w:rsid w:val="00FE0F6C"/>
    <w:rsid w:val="00FE106A"/>
    <w:rsid w:val="00FE10F3"/>
    <w:rsid w:val="00FE132B"/>
    <w:rsid w:val="00FE1363"/>
    <w:rsid w:val="00FE14B2"/>
    <w:rsid w:val="00FE1706"/>
    <w:rsid w:val="00FE1990"/>
    <w:rsid w:val="00FE19AC"/>
    <w:rsid w:val="00FE1A6A"/>
    <w:rsid w:val="00FE1BC5"/>
    <w:rsid w:val="00FE1F64"/>
    <w:rsid w:val="00FE2122"/>
    <w:rsid w:val="00FE2192"/>
    <w:rsid w:val="00FE23C8"/>
    <w:rsid w:val="00FE24EB"/>
    <w:rsid w:val="00FE25A0"/>
    <w:rsid w:val="00FE2692"/>
    <w:rsid w:val="00FE272D"/>
    <w:rsid w:val="00FE28D6"/>
    <w:rsid w:val="00FE290A"/>
    <w:rsid w:val="00FE2A54"/>
    <w:rsid w:val="00FE2AF3"/>
    <w:rsid w:val="00FE2C30"/>
    <w:rsid w:val="00FE2CD4"/>
    <w:rsid w:val="00FE3228"/>
    <w:rsid w:val="00FE3238"/>
    <w:rsid w:val="00FE32E9"/>
    <w:rsid w:val="00FE32F4"/>
    <w:rsid w:val="00FE3397"/>
    <w:rsid w:val="00FE33D7"/>
    <w:rsid w:val="00FE3510"/>
    <w:rsid w:val="00FE3528"/>
    <w:rsid w:val="00FE353E"/>
    <w:rsid w:val="00FE367F"/>
    <w:rsid w:val="00FE36B7"/>
    <w:rsid w:val="00FE36DA"/>
    <w:rsid w:val="00FE3805"/>
    <w:rsid w:val="00FE38CE"/>
    <w:rsid w:val="00FE39F8"/>
    <w:rsid w:val="00FE3A55"/>
    <w:rsid w:val="00FE3A9B"/>
    <w:rsid w:val="00FE3EF4"/>
    <w:rsid w:val="00FE3FB1"/>
    <w:rsid w:val="00FE3FF7"/>
    <w:rsid w:val="00FE4067"/>
    <w:rsid w:val="00FE4072"/>
    <w:rsid w:val="00FE40FB"/>
    <w:rsid w:val="00FE430D"/>
    <w:rsid w:val="00FE43BD"/>
    <w:rsid w:val="00FE440D"/>
    <w:rsid w:val="00FE4454"/>
    <w:rsid w:val="00FE4489"/>
    <w:rsid w:val="00FE4894"/>
    <w:rsid w:val="00FE48C4"/>
    <w:rsid w:val="00FE494F"/>
    <w:rsid w:val="00FE495E"/>
    <w:rsid w:val="00FE4965"/>
    <w:rsid w:val="00FE4B39"/>
    <w:rsid w:val="00FE4B5F"/>
    <w:rsid w:val="00FE4D65"/>
    <w:rsid w:val="00FE4D87"/>
    <w:rsid w:val="00FE4E20"/>
    <w:rsid w:val="00FE4E69"/>
    <w:rsid w:val="00FE5032"/>
    <w:rsid w:val="00FE5048"/>
    <w:rsid w:val="00FE51F9"/>
    <w:rsid w:val="00FE53A8"/>
    <w:rsid w:val="00FE54AF"/>
    <w:rsid w:val="00FE54C0"/>
    <w:rsid w:val="00FE553C"/>
    <w:rsid w:val="00FE5540"/>
    <w:rsid w:val="00FE5702"/>
    <w:rsid w:val="00FE5878"/>
    <w:rsid w:val="00FE599D"/>
    <w:rsid w:val="00FE59DA"/>
    <w:rsid w:val="00FE5A76"/>
    <w:rsid w:val="00FE5B01"/>
    <w:rsid w:val="00FE5C54"/>
    <w:rsid w:val="00FE5CFB"/>
    <w:rsid w:val="00FE5FDC"/>
    <w:rsid w:val="00FE606A"/>
    <w:rsid w:val="00FE64DB"/>
    <w:rsid w:val="00FE65DB"/>
    <w:rsid w:val="00FE6675"/>
    <w:rsid w:val="00FE66BB"/>
    <w:rsid w:val="00FE6727"/>
    <w:rsid w:val="00FE68AB"/>
    <w:rsid w:val="00FE68C7"/>
    <w:rsid w:val="00FE6BBE"/>
    <w:rsid w:val="00FE6D16"/>
    <w:rsid w:val="00FE6D4B"/>
    <w:rsid w:val="00FE7127"/>
    <w:rsid w:val="00FE7166"/>
    <w:rsid w:val="00FE7257"/>
    <w:rsid w:val="00FE72E2"/>
    <w:rsid w:val="00FE751F"/>
    <w:rsid w:val="00FE75B6"/>
    <w:rsid w:val="00FE75E0"/>
    <w:rsid w:val="00FE77E0"/>
    <w:rsid w:val="00FE7802"/>
    <w:rsid w:val="00FE784B"/>
    <w:rsid w:val="00FE78CB"/>
    <w:rsid w:val="00FE7925"/>
    <w:rsid w:val="00FE79C8"/>
    <w:rsid w:val="00FE7ABD"/>
    <w:rsid w:val="00FE7AC5"/>
    <w:rsid w:val="00FE7B06"/>
    <w:rsid w:val="00FE7B34"/>
    <w:rsid w:val="00FE7B4E"/>
    <w:rsid w:val="00FE7BF1"/>
    <w:rsid w:val="00FE7CB9"/>
    <w:rsid w:val="00FE7D69"/>
    <w:rsid w:val="00FE7D89"/>
    <w:rsid w:val="00FE7E5E"/>
    <w:rsid w:val="00FE7FA2"/>
    <w:rsid w:val="00FE7FE3"/>
    <w:rsid w:val="00FF0035"/>
    <w:rsid w:val="00FF013D"/>
    <w:rsid w:val="00FF02E5"/>
    <w:rsid w:val="00FF02F3"/>
    <w:rsid w:val="00FF03C6"/>
    <w:rsid w:val="00FF04B4"/>
    <w:rsid w:val="00FF0CCD"/>
    <w:rsid w:val="00FF0E99"/>
    <w:rsid w:val="00FF0FF4"/>
    <w:rsid w:val="00FF1279"/>
    <w:rsid w:val="00FF1448"/>
    <w:rsid w:val="00FF15DD"/>
    <w:rsid w:val="00FF16A7"/>
    <w:rsid w:val="00FF16C0"/>
    <w:rsid w:val="00FF179C"/>
    <w:rsid w:val="00FF181F"/>
    <w:rsid w:val="00FF197D"/>
    <w:rsid w:val="00FF1AE3"/>
    <w:rsid w:val="00FF1F19"/>
    <w:rsid w:val="00FF1F1D"/>
    <w:rsid w:val="00FF1F95"/>
    <w:rsid w:val="00FF1FA2"/>
    <w:rsid w:val="00FF20B5"/>
    <w:rsid w:val="00FF20C8"/>
    <w:rsid w:val="00FF20D1"/>
    <w:rsid w:val="00FF210B"/>
    <w:rsid w:val="00FF2199"/>
    <w:rsid w:val="00FF21A9"/>
    <w:rsid w:val="00FF225C"/>
    <w:rsid w:val="00FF227E"/>
    <w:rsid w:val="00FF256F"/>
    <w:rsid w:val="00FF2722"/>
    <w:rsid w:val="00FF27F8"/>
    <w:rsid w:val="00FF28A8"/>
    <w:rsid w:val="00FF292E"/>
    <w:rsid w:val="00FF29D2"/>
    <w:rsid w:val="00FF2AE0"/>
    <w:rsid w:val="00FF2CFE"/>
    <w:rsid w:val="00FF3002"/>
    <w:rsid w:val="00FF3027"/>
    <w:rsid w:val="00FF302A"/>
    <w:rsid w:val="00FF3416"/>
    <w:rsid w:val="00FF34EF"/>
    <w:rsid w:val="00FF3561"/>
    <w:rsid w:val="00FF36A5"/>
    <w:rsid w:val="00FF3702"/>
    <w:rsid w:val="00FF3737"/>
    <w:rsid w:val="00FF3849"/>
    <w:rsid w:val="00FF38B1"/>
    <w:rsid w:val="00FF3A8B"/>
    <w:rsid w:val="00FF3B3A"/>
    <w:rsid w:val="00FF3EE7"/>
    <w:rsid w:val="00FF4074"/>
    <w:rsid w:val="00FF4141"/>
    <w:rsid w:val="00FF417F"/>
    <w:rsid w:val="00FF440B"/>
    <w:rsid w:val="00FF4461"/>
    <w:rsid w:val="00FF458D"/>
    <w:rsid w:val="00FF4622"/>
    <w:rsid w:val="00FF4795"/>
    <w:rsid w:val="00FF47A0"/>
    <w:rsid w:val="00FF47BA"/>
    <w:rsid w:val="00FF47BC"/>
    <w:rsid w:val="00FF48AD"/>
    <w:rsid w:val="00FF49DF"/>
    <w:rsid w:val="00FF4A2E"/>
    <w:rsid w:val="00FF4AA8"/>
    <w:rsid w:val="00FF4B2B"/>
    <w:rsid w:val="00FF4C9D"/>
    <w:rsid w:val="00FF4E0B"/>
    <w:rsid w:val="00FF4EF4"/>
    <w:rsid w:val="00FF4F0E"/>
    <w:rsid w:val="00FF4F55"/>
    <w:rsid w:val="00FF4F58"/>
    <w:rsid w:val="00FF509C"/>
    <w:rsid w:val="00FF51E1"/>
    <w:rsid w:val="00FF5203"/>
    <w:rsid w:val="00FF52E2"/>
    <w:rsid w:val="00FF563C"/>
    <w:rsid w:val="00FF5971"/>
    <w:rsid w:val="00FF5C32"/>
    <w:rsid w:val="00FF5D89"/>
    <w:rsid w:val="00FF5D93"/>
    <w:rsid w:val="00FF5FFB"/>
    <w:rsid w:val="00FF6029"/>
    <w:rsid w:val="00FF62AF"/>
    <w:rsid w:val="00FF62EF"/>
    <w:rsid w:val="00FF631B"/>
    <w:rsid w:val="00FF6325"/>
    <w:rsid w:val="00FF6334"/>
    <w:rsid w:val="00FF66F4"/>
    <w:rsid w:val="00FF675E"/>
    <w:rsid w:val="00FF6BF2"/>
    <w:rsid w:val="00FF6C28"/>
    <w:rsid w:val="00FF709D"/>
    <w:rsid w:val="00FF70DF"/>
    <w:rsid w:val="00FF7500"/>
    <w:rsid w:val="00FF761D"/>
    <w:rsid w:val="00FF7A36"/>
    <w:rsid w:val="00FF7B3B"/>
    <w:rsid w:val="00FF7D66"/>
    <w:rsid w:val="00FF7D86"/>
    <w:rsid w:val="00FF7DE9"/>
    <w:rsid w:val="00FF7E0E"/>
    <w:rsid w:val="00FF7E2A"/>
    <w:rsid w:val="00FF7FA0"/>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gray"/>
    </o:shapedefaults>
    <o:shapelayout v:ext="edit">
      <o:idmap v:ext="edit" data="2"/>
    </o:shapelayout>
  </w:shapeDefaults>
  <w:decimalSymbol w:val="."/>
  <w:listSeparator w:val=","/>
  <w14:docId w14:val="6AED3162"/>
  <w15:docId w15:val="{4AC206C2-D707-4270-AC19-A8A1DFE4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13"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BD0"/>
    <w:pPr>
      <w:adjustRightInd w:val="0"/>
      <w:snapToGrid w:val="0"/>
    </w:pPr>
    <w:rPr>
      <w:rFonts w:ascii="Times New Roman" w:hAnsi="Times New Roman"/>
      <w:sz w:val="21"/>
    </w:rPr>
  </w:style>
  <w:style w:type="paragraph" w:styleId="1">
    <w:name w:val="heading 1"/>
    <w:next w:val="a"/>
    <w:link w:val="10"/>
    <w:qFormat/>
    <w:rsid w:val="000C364B"/>
    <w:pPr>
      <w:keepNext/>
      <w:keepLines/>
      <w:numPr>
        <w:numId w:val="1"/>
      </w:numPr>
      <w:contextualSpacing/>
      <w:outlineLvl w:val="0"/>
    </w:pPr>
    <w:rPr>
      <w:rFonts w:ascii="宋体" w:eastAsia="宋体" w:hAnsi="宋体" w:cstheme="majorBidi"/>
      <w:b/>
      <w:bCs/>
      <w:color w:val="000000" w:themeColor="text1"/>
      <w:sz w:val="21"/>
      <w:szCs w:val="28"/>
    </w:rPr>
  </w:style>
  <w:style w:type="paragraph" w:styleId="2">
    <w:name w:val="heading 2"/>
    <w:next w:val="a"/>
    <w:link w:val="20"/>
    <w:unhideWhenUsed/>
    <w:qFormat/>
    <w:rsid w:val="000C364B"/>
    <w:pPr>
      <w:numPr>
        <w:ilvl w:val="1"/>
      </w:numPr>
      <w:ind w:left="1080" w:hanging="360"/>
      <w:contextualSpacing/>
      <w:outlineLvl w:val="1"/>
    </w:pPr>
    <w:rPr>
      <w:rFonts w:ascii="宋体" w:hAnsi="宋体"/>
      <w:b/>
      <w:color w:val="000000" w:themeColor="text1"/>
      <w:sz w:val="21"/>
      <w:szCs w:val="26"/>
    </w:rPr>
  </w:style>
  <w:style w:type="paragraph" w:styleId="3">
    <w:name w:val="heading 3"/>
    <w:next w:val="a"/>
    <w:link w:val="30"/>
    <w:unhideWhenUsed/>
    <w:qFormat/>
    <w:rsid w:val="00B0296D"/>
    <w:pPr>
      <w:numPr>
        <w:ilvl w:val="2"/>
      </w:numPr>
      <w:spacing w:before="240" w:after="120"/>
      <w:contextualSpacing/>
      <w:outlineLvl w:val="2"/>
    </w:pPr>
    <w:rPr>
      <w:rFonts w:eastAsiaTheme="majorEastAsia" w:cstheme="majorBidi"/>
      <w:b/>
      <w:bCs/>
      <w:color w:val="3C8A2E" w:themeColor="accent4"/>
      <w:sz w:val="24"/>
      <w:szCs w:val="28"/>
    </w:rPr>
  </w:style>
  <w:style w:type="paragraph" w:styleId="4">
    <w:name w:val="heading 4"/>
    <w:next w:val="a"/>
    <w:link w:val="40"/>
    <w:unhideWhenUsed/>
    <w:qFormat/>
    <w:rsid w:val="00B0296D"/>
    <w:pPr>
      <w:numPr>
        <w:ilvl w:val="3"/>
      </w:numPr>
      <w:spacing w:before="240" w:after="120"/>
      <w:contextualSpacing/>
      <w:outlineLvl w:val="3"/>
    </w:pPr>
    <w:rPr>
      <w:rFonts w:eastAsiaTheme="majorEastAsia" w:cstheme="majorBidi"/>
      <w:b/>
      <w:bCs/>
      <w:color w:val="00A1DE" w:themeColor="accent1"/>
      <w:sz w:val="24"/>
      <w:szCs w:val="28"/>
    </w:rPr>
  </w:style>
  <w:style w:type="paragraph" w:styleId="5">
    <w:name w:val="heading 5"/>
    <w:next w:val="a"/>
    <w:link w:val="50"/>
    <w:unhideWhenUsed/>
    <w:qFormat/>
    <w:rsid w:val="00B0296D"/>
    <w:pPr>
      <w:numPr>
        <w:ilvl w:val="4"/>
      </w:numPr>
      <w:spacing w:before="240" w:after="120"/>
      <w:contextualSpacing/>
      <w:outlineLvl w:val="4"/>
    </w:pPr>
    <w:rPr>
      <w:rFonts w:eastAsiaTheme="majorEastAsia" w:cstheme="majorBidi"/>
      <w:b/>
      <w:bCs/>
      <w:color w:val="92D400" w:themeColor="accent2"/>
      <w:sz w:val="24"/>
      <w:szCs w:val="28"/>
    </w:rPr>
  </w:style>
  <w:style w:type="paragraph" w:styleId="6">
    <w:name w:val="heading 6"/>
    <w:next w:val="a"/>
    <w:link w:val="60"/>
    <w:unhideWhenUsed/>
    <w:qFormat/>
    <w:rsid w:val="00B0296D"/>
    <w:pPr>
      <w:numPr>
        <w:ilvl w:val="5"/>
      </w:numPr>
      <w:spacing w:before="240" w:after="120"/>
      <w:contextualSpacing/>
      <w:outlineLvl w:val="5"/>
    </w:pPr>
    <w:rPr>
      <w:rFonts w:eastAsiaTheme="majorEastAsia" w:cstheme="majorBidi"/>
      <w:b/>
      <w:bCs/>
      <w:color w:val="72C7E7" w:themeColor="accent3"/>
      <w:sz w:val="24"/>
      <w:szCs w:val="28"/>
    </w:rPr>
  </w:style>
  <w:style w:type="paragraph" w:styleId="7">
    <w:name w:val="heading 7"/>
    <w:next w:val="a"/>
    <w:link w:val="70"/>
    <w:unhideWhenUsed/>
    <w:qFormat/>
    <w:rsid w:val="00B0296D"/>
    <w:pPr>
      <w:numPr>
        <w:ilvl w:val="6"/>
      </w:numPr>
      <w:spacing w:before="240" w:after="120"/>
      <w:contextualSpacing/>
      <w:outlineLvl w:val="6"/>
    </w:pPr>
    <w:rPr>
      <w:rFonts w:eastAsiaTheme="majorEastAsia" w:cstheme="majorBidi"/>
      <w:b/>
      <w:bCs/>
      <w:color w:val="C9DD03" w:themeColor="accent6"/>
      <w:sz w:val="24"/>
      <w:szCs w:val="28"/>
    </w:rPr>
  </w:style>
  <w:style w:type="paragraph" w:styleId="8">
    <w:name w:val="heading 8"/>
    <w:next w:val="a"/>
    <w:link w:val="80"/>
    <w:unhideWhenUsed/>
    <w:qFormat/>
    <w:rsid w:val="00B0296D"/>
    <w:pPr>
      <w:numPr>
        <w:ilvl w:val="7"/>
      </w:numPr>
      <w:spacing w:before="240" w:after="120"/>
      <w:contextualSpacing/>
      <w:outlineLvl w:val="7"/>
    </w:pPr>
    <w:rPr>
      <w:rFonts w:eastAsiaTheme="majorEastAsia" w:cstheme="majorBidi"/>
      <w:b/>
      <w:bCs/>
      <w:i/>
      <w:sz w:val="24"/>
      <w:szCs w:val="28"/>
    </w:rPr>
  </w:style>
  <w:style w:type="paragraph" w:styleId="9">
    <w:name w:val="heading 9"/>
    <w:next w:val="a"/>
    <w:link w:val="90"/>
    <w:unhideWhenUsed/>
    <w:qFormat/>
    <w:rsid w:val="00B0296D"/>
    <w:pPr>
      <w:numPr>
        <w:ilvl w:val="8"/>
      </w:numPr>
      <w:spacing w:before="240" w:after="120"/>
      <w:contextualSpacing/>
      <w:outlineLvl w:val="8"/>
    </w:pPr>
    <w:rPr>
      <w:rFonts w:eastAsiaTheme="majorEastAsia" w:cstheme="majorBidi"/>
      <w:bCs/>
      <w:i/>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C364B"/>
    <w:rPr>
      <w:rFonts w:ascii="宋体" w:eastAsia="宋体" w:hAnsi="宋体" w:cstheme="majorBidi"/>
      <w:b/>
      <w:bCs/>
      <w:color w:val="000000" w:themeColor="text1"/>
      <w:sz w:val="21"/>
      <w:szCs w:val="28"/>
    </w:rPr>
  </w:style>
  <w:style w:type="character" w:customStyle="1" w:styleId="20">
    <w:name w:val="标题 2 字符"/>
    <w:basedOn w:val="a0"/>
    <w:link w:val="2"/>
    <w:rsid w:val="000C364B"/>
    <w:rPr>
      <w:rFonts w:ascii="宋体" w:hAnsi="宋体"/>
      <w:b/>
      <w:color w:val="000000" w:themeColor="text1"/>
      <w:sz w:val="21"/>
      <w:szCs w:val="26"/>
    </w:rPr>
  </w:style>
  <w:style w:type="character" w:customStyle="1" w:styleId="30">
    <w:name w:val="标题 3 字符"/>
    <w:basedOn w:val="a0"/>
    <w:link w:val="3"/>
    <w:rsid w:val="00B0296D"/>
    <w:rPr>
      <w:rFonts w:eastAsiaTheme="majorEastAsia" w:cstheme="majorBidi"/>
      <w:b/>
      <w:bCs/>
      <w:color w:val="3C8A2E" w:themeColor="accent4"/>
      <w:sz w:val="24"/>
      <w:szCs w:val="28"/>
    </w:rPr>
  </w:style>
  <w:style w:type="character" w:customStyle="1" w:styleId="40">
    <w:name w:val="标题 4 字符"/>
    <w:basedOn w:val="a0"/>
    <w:link w:val="4"/>
    <w:rsid w:val="00B0296D"/>
    <w:rPr>
      <w:rFonts w:eastAsiaTheme="majorEastAsia" w:cstheme="majorBidi"/>
      <w:b/>
      <w:bCs/>
      <w:color w:val="00A1DE" w:themeColor="accent1"/>
      <w:sz w:val="24"/>
      <w:szCs w:val="28"/>
    </w:rPr>
  </w:style>
  <w:style w:type="character" w:customStyle="1" w:styleId="50">
    <w:name w:val="标题 5 字符"/>
    <w:basedOn w:val="a0"/>
    <w:link w:val="5"/>
    <w:rsid w:val="00B0296D"/>
    <w:rPr>
      <w:rFonts w:eastAsiaTheme="majorEastAsia" w:cstheme="majorBidi"/>
      <w:b/>
      <w:bCs/>
      <w:color w:val="92D400" w:themeColor="accent2"/>
      <w:sz w:val="24"/>
      <w:szCs w:val="28"/>
    </w:rPr>
  </w:style>
  <w:style w:type="character" w:customStyle="1" w:styleId="60">
    <w:name w:val="标题 6 字符"/>
    <w:basedOn w:val="a0"/>
    <w:link w:val="6"/>
    <w:rsid w:val="00B0296D"/>
    <w:rPr>
      <w:rFonts w:eastAsiaTheme="majorEastAsia" w:cstheme="majorBidi"/>
      <w:b/>
      <w:bCs/>
      <w:color w:val="72C7E7" w:themeColor="accent3"/>
      <w:sz w:val="24"/>
      <w:szCs w:val="28"/>
    </w:rPr>
  </w:style>
  <w:style w:type="character" w:customStyle="1" w:styleId="70">
    <w:name w:val="标题 7 字符"/>
    <w:basedOn w:val="a0"/>
    <w:link w:val="7"/>
    <w:rsid w:val="00B0296D"/>
    <w:rPr>
      <w:rFonts w:eastAsiaTheme="majorEastAsia" w:cstheme="majorBidi"/>
      <w:b/>
      <w:bCs/>
      <w:color w:val="C9DD03" w:themeColor="accent6"/>
      <w:sz w:val="24"/>
      <w:szCs w:val="28"/>
    </w:rPr>
  </w:style>
  <w:style w:type="character" w:customStyle="1" w:styleId="80">
    <w:name w:val="标题 8 字符"/>
    <w:basedOn w:val="a0"/>
    <w:link w:val="8"/>
    <w:rsid w:val="00B0296D"/>
    <w:rPr>
      <w:rFonts w:eastAsiaTheme="majorEastAsia" w:cstheme="majorBidi"/>
      <w:b/>
      <w:bCs/>
      <w:i/>
      <w:sz w:val="24"/>
      <w:szCs w:val="28"/>
    </w:rPr>
  </w:style>
  <w:style w:type="character" w:customStyle="1" w:styleId="90">
    <w:name w:val="标题 9 字符"/>
    <w:basedOn w:val="a0"/>
    <w:link w:val="9"/>
    <w:rsid w:val="00B0296D"/>
    <w:rPr>
      <w:rFonts w:eastAsiaTheme="majorEastAsia" w:cstheme="majorBidi"/>
      <w:bCs/>
      <w:i/>
      <w:sz w:val="24"/>
      <w:szCs w:val="28"/>
    </w:rPr>
  </w:style>
  <w:style w:type="paragraph" w:styleId="TOC1">
    <w:name w:val="toc 1"/>
    <w:basedOn w:val="a"/>
    <w:next w:val="a"/>
    <w:autoRedefine/>
    <w:uiPriority w:val="39"/>
    <w:semiHidden/>
    <w:unhideWhenUsed/>
    <w:qFormat/>
    <w:rsid w:val="00B0296D"/>
  </w:style>
  <w:style w:type="paragraph" w:styleId="TOC2">
    <w:name w:val="toc 2"/>
    <w:basedOn w:val="TOC1"/>
    <w:next w:val="a"/>
    <w:autoRedefine/>
    <w:uiPriority w:val="39"/>
    <w:semiHidden/>
    <w:unhideWhenUsed/>
    <w:qFormat/>
    <w:rsid w:val="00B0296D"/>
    <w:pPr>
      <w:ind w:left="142"/>
    </w:pPr>
  </w:style>
  <w:style w:type="paragraph" w:styleId="TOC3">
    <w:name w:val="toc 3"/>
    <w:basedOn w:val="TOC1"/>
    <w:next w:val="a"/>
    <w:autoRedefine/>
    <w:uiPriority w:val="39"/>
    <w:semiHidden/>
    <w:unhideWhenUsed/>
    <w:qFormat/>
    <w:rsid w:val="00B0296D"/>
    <w:pPr>
      <w:ind w:left="284"/>
    </w:pPr>
  </w:style>
  <w:style w:type="paragraph" w:styleId="a3">
    <w:name w:val="caption"/>
    <w:basedOn w:val="a"/>
    <w:uiPriority w:val="37"/>
    <w:semiHidden/>
    <w:qFormat/>
    <w:rsid w:val="00B0296D"/>
    <w:rPr>
      <w:b/>
      <w:bCs/>
      <w:sz w:val="16"/>
      <w:szCs w:val="18"/>
    </w:rPr>
  </w:style>
  <w:style w:type="paragraph" w:styleId="a4">
    <w:name w:val="Title"/>
    <w:next w:val="a5"/>
    <w:link w:val="a6"/>
    <w:qFormat/>
    <w:rsid w:val="00B0296D"/>
    <w:pPr>
      <w:framePr w:wrap="notBeside" w:vAnchor="text" w:hAnchor="text" w:y="1"/>
      <w:spacing w:before="1200" w:after="240"/>
      <w:contextualSpacing/>
    </w:pPr>
    <w:rPr>
      <w:rFonts w:asciiTheme="majorHAnsi" w:eastAsiaTheme="majorEastAsia" w:hAnsiTheme="majorHAnsi" w:cstheme="majorBidi"/>
      <w:bCs/>
      <w:color w:val="002776" w:themeColor="text2"/>
      <w:sz w:val="72"/>
      <w:szCs w:val="28"/>
    </w:rPr>
  </w:style>
  <w:style w:type="character" w:customStyle="1" w:styleId="a6">
    <w:name w:val="标题 字符"/>
    <w:basedOn w:val="a0"/>
    <w:link w:val="a4"/>
    <w:rsid w:val="00B0296D"/>
    <w:rPr>
      <w:rFonts w:asciiTheme="majorHAnsi" w:eastAsiaTheme="majorEastAsia" w:hAnsiTheme="majorHAnsi" w:cstheme="majorBidi"/>
      <w:bCs/>
      <w:color w:val="002776" w:themeColor="text2"/>
      <w:sz w:val="72"/>
      <w:szCs w:val="28"/>
    </w:rPr>
  </w:style>
  <w:style w:type="paragraph" w:styleId="a5">
    <w:name w:val="Subtitle"/>
    <w:basedOn w:val="a4"/>
    <w:next w:val="a"/>
    <w:link w:val="a7"/>
    <w:qFormat/>
    <w:rsid w:val="00B0296D"/>
    <w:pPr>
      <w:framePr w:wrap="notBeside"/>
      <w:spacing w:before="0" w:after="1200"/>
    </w:pPr>
    <w:rPr>
      <w:color w:val="92D400" w:themeColor="accent2"/>
    </w:rPr>
  </w:style>
  <w:style w:type="character" w:customStyle="1" w:styleId="a7">
    <w:name w:val="副标题 字符"/>
    <w:basedOn w:val="a0"/>
    <w:link w:val="a5"/>
    <w:rsid w:val="00B0296D"/>
    <w:rPr>
      <w:rFonts w:asciiTheme="majorHAnsi" w:eastAsiaTheme="majorEastAsia" w:hAnsiTheme="majorHAnsi" w:cstheme="majorBidi"/>
      <w:bCs/>
      <w:color w:val="92D400" w:themeColor="accent2"/>
      <w:sz w:val="72"/>
      <w:szCs w:val="28"/>
    </w:rPr>
  </w:style>
  <w:style w:type="paragraph" w:styleId="a8">
    <w:name w:val="Quote"/>
    <w:link w:val="a9"/>
    <w:uiPriority w:val="12"/>
    <w:qFormat/>
    <w:rsid w:val="00B0296D"/>
    <w:pPr>
      <w:framePr w:wrap="notBeside" w:vAnchor="text" w:hAnchor="text" w:y="1"/>
      <w:spacing w:before="360" w:after="360"/>
      <w:contextualSpacing/>
    </w:pPr>
    <w:rPr>
      <w:rFonts w:asciiTheme="majorHAnsi" w:eastAsiaTheme="majorEastAsia" w:hAnsiTheme="majorHAnsi" w:cstheme="majorBidi"/>
      <w:bCs/>
      <w:color w:val="00A1DE" w:themeColor="accent1"/>
      <w:sz w:val="32"/>
      <w:szCs w:val="28"/>
    </w:rPr>
  </w:style>
  <w:style w:type="character" w:customStyle="1" w:styleId="a9">
    <w:name w:val="引用 字符"/>
    <w:basedOn w:val="a0"/>
    <w:link w:val="a8"/>
    <w:uiPriority w:val="12"/>
    <w:rsid w:val="00B0296D"/>
    <w:rPr>
      <w:rFonts w:asciiTheme="majorHAnsi" w:eastAsiaTheme="majorEastAsia" w:hAnsiTheme="majorHAnsi" w:cstheme="majorBidi"/>
      <w:bCs/>
      <w:color w:val="00A1DE" w:themeColor="accent1"/>
      <w:sz w:val="32"/>
      <w:szCs w:val="28"/>
    </w:rPr>
  </w:style>
  <w:style w:type="paragraph" w:styleId="aa">
    <w:name w:val="Intense Quote"/>
    <w:basedOn w:val="a8"/>
    <w:link w:val="ab"/>
    <w:uiPriority w:val="13"/>
    <w:qFormat/>
    <w:rsid w:val="00B0296D"/>
    <w:pPr>
      <w:framePr w:wrap="notBeside"/>
    </w:pPr>
    <w:rPr>
      <w:color w:val="3C8A2E" w:themeColor="accent4"/>
    </w:rPr>
  </w:style>
  <w:style w:type="character" w:customStyle="1" w:styleId="ab">
    <w:name w:val="明显引用 字符"/>
    <w:basedOn w:val="a0"/>
    <w:link w:val="aa"/>
    <w:uiPriority w:val="13"/>
    <w:rsid w:val="00B0296D"/>
    <w:rPr>
      <w:rFonts w:asciiTheme="majorHAnsi" w:eastAsiaTheme="majorEastAsia" w:hAnsiTheme="majorHAnsi" w:cstheme="majorBidi"/>
      <w:bCs/>
      <w:color w:val="3C8A2E" w:themeColor="accent4"/>
      <w:sz w:val="32"/>
      <w:szCs w:val="28"/>
    </w:rPr>
  </w:style>
  <w:style w:type="paragraph" w:styleId="TOC">
    <w:name w:val="TOC Heading"/>
    <w:basedOn w:val="1"/>
    <w:next w:val="a"/>
    <w:uiPriority w:val="39"/>
    <w:semiHidden/>
    <w:unhideWhenUsed/>
    <w:qFormat/>
    <w:rsid w:val="00B0296D"/>
    <w:pPr>
      <w:outlineLvl w:val="9"/>
    </w:pPr>
    <w:rPr>
      <w:color w:val="00A1DE" w:themeColor="accent1"/>
    </w:rPr>
  </w:style>
  <w:style w:type="paragraph" w:styleId="ac">
    <w:name w:val="header"/>
    <w:basedOn w:val="a"/>
    <w:link w:val="ad"/>
    <w:uiPriority w:val="99"/>
    <w:unhideWhenUsed/>
    <w:rsid w:val="00EB5124"/>
    <w:pPr>
      <w:tabs>
        <w:tab w:val="center" w:pos="4320"/>
        <w:tab w:val="right" w:pos="8640"/>
      </w:tabs>
    </w:pPr>
  </w:style>
  <w:style w:type="character" w:customStyle="1" w:styleId="ad">
    <w:name w:val="页眉 字符"/>
    <w:basedOn w:val="a0"/>
    <w:link w:val="ac"/>
    <w:uiPriority w:val="99"/>
    <w:rsid w:val="00EB5124"/>
  </w:style>
  <w:style w:type="paragraph" w:styleId="ae">
    <w:name w:val="footer"/>
    <w:basedOn w:val="a"/>
    <w:link w:val="af"/>
    <w:uiPriority w:val="99"/>
    <w:unhideWhenUsed/>
    <w:rsid w:val="00EB5124"/>
    <w:pPr>
      <w:tabs>
        <w:tab w:val="center" w:pos="4320"/>
        <w:tab w:val="right" w:pos="8640"/>
      </w:tabs>
    </w:pPr>
  </w:style>
  <w:style w:type="character" w:customStyle="1" w:styleId="af">
    <w:name w:val="页脚 字符"/>
    <w:basedOn w:val="a0"/>
    <w:link w:val="ae"/>
    <w:uiPriority w:val="99"/>
    <w:rsid w:val="00EB5124"/>
  </w:style>
  <w:style w:type="numbering" w:customStyle="1" w:styleId="NoList1">
    <w:name w:val="No List1"/>
    <w:next w:val="a2"/>
    <w:uiPriority w:val="99"/>
    <w:semiHidden/>
    <w:unhideWhenUsed/>
    <w:rsid w:val="00B755FC"/>
  </w:style>
  <w:style w:type="character" w:styleId="af0">
    <w:name w:val="Hyperlink"/>
    <w:uiPriority w:val="99"/>
    <w:rsid w:val="00B755FC"/>
    <w:rPr>
      <w:color w:val="0000FF"/>
      <w:u w:val="single"/>
    </w:rPr>
  </w:style>
  <w:style w:type="character" w:styleId="af1">
    <w:name w:val="FollowedHyperlink"/>
    <w:rsid w:val="00B755FC"/>
    <w:rPr>
      <w:color w:val="800080"/>
      <w:u w:val="single"/>
    </w:rPr>
  </w:style>
  <w:style w:type="paragraph" w:styleId="af2">
    <w:name w:val="annotation text"/>
    <w:aliases w:val="Char15,Char3 Char Char Char Char Char Char Char Char,Char3 Char Char Char Char Char1 Char Char Char,Char3 Char Char Char Char Char Char, Char15,Char3 Char Char Char Char Char Char Char Char Char Char Char Char"/>
    <w:basedOn w:val="a"/>
    <w:link w:val="af3"/>
    <w:uiPriority w:val="99"/>
    <w:qFormat/>
    <w:rsid w:val="00B755FC"/>
    <w:pPr>
      <w:widowControl w:val="0"/>
    </w:pPr>
    <w:rPr>
      <w:rFonts w:eastAsia="宋体" w:cs="Times New Roman"/>
      <w:kern w:val="2"/>
      <w:szCs w:val="24"/>
    </w:rPr>
  </w:style>
  <w:style w:type="character" w:customStyle="1" w:styleId="af3">
    <w:name w:val="批注文字 字符"/>
    <w:aliases w:val="Char15 字符,Char3 Char Char Char Char Char Char Char Char 字符,Char3 Char Char Char Char Char1 Char Char Char 字符,Char3 Char Char Char Char Char Char 字符, Char15 字符,Char3 Char Char Char Char Char Char Char Char Char Char Char Char 字符"/>
    <w:basedOn w:val="a0"/>
    <w:link w:val="af2"/>
    <w:uiPriority w:val="99"/>
    <w:qFormat/>
    <w:rsid w:val="00B755FC"/>
    <w:rPr>
      <w:rFonts w:ascii="Times New Roman" w:eastAsia="宋体" w:hAnsi="Times New Roman" w:cs="Times New Roman"/>
      <w:kern w:val="2"/>
      <w:sz w:val="21"/>
      <w:szCs w:val="24"/>
    </w:rPr>
  </w:style>
  <w:style w:type="paragraph" w:styleId="af4">
    <w:name w:val="endnote text"/>
    <w:basedOn w:val="a"/>
    <w:link w:val="af5"/>
    <w:rsid w:val="00B755FC"/>
    <w:rPr>
      <w:rFonts w:eastAsia="宋体" w:cs="Times New Roman"/>
    </w:rPr>
  </w:style>
  <w:style w:type="character" w:customStyle="1" w:styleId="af5">
    <w:name w:val="尾注文本 字符"/>
    <w:basedOn w:val="a0"/>
    <w:link w:val="af4"/>
    <w:rsid w:val="00B755FC"/>
    <w:rPr>
      <w:rFonts w:ascii="Times New Roman" w:eastAsia="宋体" w:hAnsi="Times New Roman" w:cs="Times New Roman"/>
    </w:rPr>
  </w:style>
  <w:style w:type="paragraph" w:styleId="af6">
    <w:name w:val="Body Text Indent"/>
    <w:basedOn w:val="a"/>
    <w:link w:val="af7"/>
    <w:rsid w:val="00B755FC"/>
    <w:pPr>
      <w:ind w:left="132"/>
    </w:pPr>
    <w:rPr>
      <w:rFonts w:ascii="宋体" w:eastAsia="宋体" w:hAnsi="宋体" w:cs="Times New Roman"/>
      <w:sz w:val="22"/>
      <w:szCs w:val="24"/>
    </w:rPr>
  </w:style>
  <w:style w:type="character" w:customStyle="1" w:styleId="af7">
    <w:name w:val="正文文本缩进 字符"/>
    <w:basedOn w:val="a0"/>
    <w:link w:val="af6"/>
    <w:rsid w:val="00B755FC"/>
    <w:rPr>
      <w:rFonts w:ascii="宋体" w:eastAsia="宋体" w:hAnsi="宋体" w:cs="Times New Roman"/>
      <w:sz w:val="22"/>
      <w:szCs w:val="24"/>
    </w:rPr>
  </w:style>
  <w:style w:type="paragraph" w:styleId="af8">
    <w:name w:val="Salutation"/>
    <w:basedOn w:val="a"/>
    <w:next w:val="a"/>
    <w:link w:val="af9"/>
    <w:rsid w:val="00B755FC"/>
    <w:pPr>
      <w:widowControl w:val="0"/>
      <w:jc w:val="both"/>
    </w:pPr>
    <w:rPr>
      <w:rFonts w:eastAsia="宋体" w:cs="Times New Roman"/>
      <w:kern w:val="2"/>
      <w:szCs w:val="21"/>
    </w:rPr>
  </w:style>
  <w:style w:type="character" w:customStyle="1" w:styleId="af9">
    <w:name w:val="称呼 字符"/>
    <w:basedOn w:val="a0"/>
    <w:link w:val="af8"/>
    <w:rsid w:val="00B755FC"/>
    <w:rPr>
      <w:rFonts w:ascii="Times New Roman" w:eastAsia="宋体" w:hAnsi="Times New Roman" w:cs="Times New Roman"/>
      <w:kern w:val="2"/>
      <w:sz w:val="21"/>
      <w:szCs w:val="21"/>
    </w:rPr>
  </w:style>
  <w:style w:type="paragraph" w:styleId="afa">
    <w:name w:val="Date"/>
    <w:basedOn w:val="a"/>
    <w:next w:val="a"/>
    <w:link w:val="afb"/>
    <w:rsid w:val="00B755FC"/>
    <w:rPr>
      <w:rFonts w:eastAsia="宋体" w:cs="Times New Roman"/>
      <w:szCs w:val="24"/>
    </w:rPr>
  </w:style>
  <w:style w:type="character" w:customStyle="1" w:styleId="afb">
    <w:name w:val="日期 字符"/>
    <w:basedOn w:val="a0"/>
    <w:link w:val="afa"/>
    <w:rsid w:val="00B755FC"/>
    <w:rPr>
      <w:rFonts w:ascii="Times New Roman" w:eastAsia="宋体" w:hAnsi="Times New Roman" w:cs="Times New Roman"/>
      <w:sz w:val="21"/>
      <w:szCs w:val="24"/>
    </w:rPr>
  </w:style>
  <w:style w:type="paragraph" w:styleId="21">
    <w:name w:val="Body Text Indent 2"/>
    <w:basedOn w:val="a"/>
    <w:link w:val="22"/>
    <w:rsid w:val="00B755FC"/>
    <w:pPr>
      <w:tabs>
        <w:tab w:val="left" w:pos="-2160"/>
      </w:tabs>
      <w:spacing w:line="380" w:lineRule="atLeast"/>
      <w:ind w:left="360"/>
      <w:jc w:val="both"/>
    </w:pPr>
    <w:rPr>
      <w:rFonts w:ascii="宋体" w:eastAsia="宋体" w:cs="Times New Roman"/>
      <w:lang w:eastAsia="en-US"/>
    </w:rPr>
  </w:style>
  <w:style w:type="character" w:customStyle="1" w:styleId="22">
    <w:name w:val="正文文本缩进 2 字符"/>
    <w:basedOn w:val="a0"/>
    <w:link w:val="21"/>
    <w:rsid w:val="00B755FC"/>
    <w:rPr>
      <w:rFonts w:ascii="宋体" w:eastAsia="宋体" w:hAnsi="Times New Roman" w:cs="Times New Roman"/>
      <w:sz w:val="21"/>
      <w:lang w:eastAsia="en-US"/>
    </w:rPr>
  </w:style>
  <w:style w:type="paragraph" w:styleId="31">
    <w:name w:val="Body Text Indent 3"/>
    <w:basedOn w:val="a"/>
    <w:link w:val="32"/>
    <w:rsid w:val="00B755FC"/>
    <w:pPr>
      <w:ind w:left="448"/>
      <w:jc w:val="both"/>
    </w:pPr>
    <w:rPr>
      <w:rFonts w:ascii="宋体" w:eastAsia="宋体" w:cs="Times New Roman"/>
    </w:rPr>
  </w:style>
  <w:style w:type="character" w:customStyle="1" w:styleId="32">
    <w:name w:val="正文文本缩进 3 字符"/>
    <w:basedOn w:val="a0"/>
    <w:link w:val="31"/>
    <w:rsid w:val="00B755FC"/>
    <w:rPr>
      <w:rFonts w:ascii="宋体" w:eastAsia="宋体" w:hAnsi="Times New Roman" w:cs="Times New Roman"/>
      <w:sz w:val="21"/>
    </w:rPr>
  </w:style>
  <w:style w:type="paragraph" w:styleId="afc">
    <w:name w:val="annotation subject"/>
    <w:basedOn w:val="af2"/>
    <w:next w:val="af2"/>
    <w:link w:val="afd"/>
    <w:rsid w:val="00B755FC"/>
    <w:pPr>
      <w:widowControl/>
    </w:pPr>
    <w:rPr>
      <w:b/>
      <w:bCs/>
      <w:sz w:val="24"/>
    </w:rPr>
  </w:style>
  <w:style w:type="character" w:customStyle="1" w:styleId="afd">
    <w:name w:val="批注主题 字符"/>
    <w:basedOn w:val="af3"/>
    <w:link w:val="afc"/>
    <w:rsid w:val="00B755FC"/>
    <w:rPr>
      <w:rFonts w:ascii="Times New Roman" w:eastAsia="宋体" w:hAnsi="Times New Roman" w:cs="Times New Roman"/>
      <w:b/>
      <w:bCs/>
      <w:kern w:val="2"/>
      <w:sz w:val="24"/>
      <w:szCs w:val="24"/>
    </w:rPr>
  </w:style>
  <w:style w:type="paragraph" w:styleId="afe">
    <w:name w:val="Balloon Text"/>
    <w:basedOn w:val="a"/>
    <w:link w:val="aff"/>
    <w:rsid w:val="00B755FC"/>
    <w:rPr>
      <w:rFonts w:ascii="Tahoma" w:eastAsia="宋体" w:hAnsi="Tahoma" w:cs="Times New Roman"/>
      <w:sz w:val="16"/>
      <w:szCs w:val="16"/>
      <w:lang w:val="x-none" w:eastAsia="x-none"/>
    </w:rPr>
  </w:style>
  <w:style w:type="character" w:customStyle="1" w:styleId="aff">
    <w:name w:val="批注框文本 字符"/>
    <w:basedOn w:val="a0"/>
    <w:link w:val="afe"/>
    <w:rsid w:val="00B755FC"/>
    <w:rPr>
      <w:rFonts w:ascii="Tahoma" w:eastAsia="宋体" w:hAnsi="Tahoma" w:cs="Times New Roman"/>
      <w:sz w:val="16"/>
      <w:szCs w:val="16"/>
      <w:lang w:val="x-none" w:eastAsia="x-none"/>
    </w:rPr>
  </w:style>
  <w:style w:type="paragraph" w:styleId="aff0">
    <w:name w:val="Revision"/>
    <w:uiPriority w:val="99"/>
    <w:semiHidden/>
    <w:rsid w:val="00B755FC"/>
    <w:rPr>
      <w:rFonts w:ascii="Times New Roman" w:eastAsia="宋体" w:hAnsi="Times New Roman" w:cs="Times New Roman"/>
      <w:sz w:val="24"/>
      <w:szCs w:val="24"/>
    </w:rPr>
  </w:style>
  <w:style w:type="paragraph" w:styleId="aff1">
    <w:name w:val="List Paragraph"/>
    <w:basedOn w:val="a"/>
    <w:link w:val="aff2"/>
    <w:uiPriority w:val="34"/>
    <w:qFormat/>
    <w:rsid w:val="00B755FC"/>
    <w:pPr>
      <w:ind w:firstLineChars="200" w:firstLine="420"/>
    </w:pPr>
    <w:rPr>
      <w:rFonts w:eastAsia="宋体" w:cs="Times New Roman"/>
      <w:szCs w:val="24"/>
    </w:rPr>
  </w:style>
  <w:style w:type="paragraph" w:customStyle="1" w:styleId="Style1">
    <w:name w:val="Style1"/>
    <w:basedOn w:val="1"/>
    <w:rsid w:val="00B755FC"/>
    <w:pPr>
      <w:keepNext w:val="0"/>
      <w:keepLines w:val="0"/>
      <w:contextualSpacing w:val="0"/>
    </w:pPr>
    <w:rPr>
      <w:rFonts w:ascii="Times New Roman" w:hAnsi="Times New Roman" w:cs="Times New Roman"/>
      <w:b w:val="0"/>
      <w:color w:val="auto"/>
      <w:szCs w:val="32"/>
    </w:rPr>
  </w:style>
  <w:style w:type="paragraph" w:customStyle="1" w:styleId="CharChar1CharCharCharChar1">
    <w:name w:val="Char Char1 Char Char Char Char1"/>
    <w:basedOn w:val="a"/>
    <w:rsid w:val="00B755FC"/>
    <w:pPr>
      <w:spacing w:after="160" w:line="240" w:lineRule="exact"/>
    </w:pPr>
    <w:rPr>
      <w:rFonts w:ascii="Verdana" w:eastAsia="Times New Roman" w:hAnsi="Verdana" w:cs="Times New Roman"/>
      <w:lang w:eastAsia="en-US"/>
    </w:rPr>
  </w:style>
  <w:style w:type="paragraph" w:customStyle="1" w:styleId="CharCharCharCharCharChar">
    <w:name w:val="Char Char Char Char Char Char"/>
    <w:basedOn w:val="a"/>
    <w:rsid w:val="00B755FC"/>
    <w:pPr>
      <w:spacing w:after="160" w:line="240" w:lineRule="exact"/>
    </w:pPr>
    <w:rPr>
      <w:rFonts w:ascii="Verdana" w:eastAsia="Times New Roman" w:hAnsi="Verdana" w:cs="Times New Roman"/>
      <w:lang w:eastAsia="en-US"/>
    </w:rPr>
  </w:style>
  <w:style w:type="paragraph" w:customStyle="1" w:styleId="Revision1">
    <w:name w:val="Revision1"/>
    <w:uiPriority w:val="99"/>
    <w:semiHidden/>
    <w:rsid w:val="00B755FC"/>
    <w:rPr>
      <w:rFonts w:ascii="Times New Roman" w:eastAsia="宋体" w:hAnsi="Times New Roman" w:cs="Times New Roman"/>
      <w:sz w:val="24"/>
      <w:szCs w:val="24"/>
    </w:rPr>
  </w:style>
  <w:style w:type="paragraph" w:customStyle="1" w:styleId="Style4">
    <w:name w:val="Style4"/>
    <w:basedOn w:val="4"/>
    <w:rsid w:val="00B755FC"/>
    <w:pPr>
      <w:keepNext/>
      <w:numPr>
        <w:ilvl w:val="0"/>
      </w:numPr>
      <w:spacing w:after="60"/>
      <w:contextualSpacing w:val="0"/>
    </w:pPr>
    <w:rPr>
      <w:rFonts w:ascii="Times New Roman" w:eastAsia="宋体" w:hAnsi="Times New Roman" w:cs="Times New Roman"/>
      <w:color w:val="auto"/>
      <w:sz w:val="21"/>
    </w:rPr>
  </w:style>
  <w:style w:type="paragraph" w:customStyle="1" w:styleId="Default">
    <w:name w:val="Default"/>
    <w:rsid w:val="00B755FC"/>
    <w:pPr>
      <w:widowControl w:val="0"/>
      <w:autoSpaceDE w:val="0"/>
      <w:autoSpaceDN w:val="0"/>
      <w:adjustRightInd w:val="0"/>
    </w:pPr>
    <w:rPr>
      <w:rFonts w:ascii="华文中宋" w:eastAsia="华文中宋" w:hAnsi="Times New Roman" w:cs="华文中宋"/>
      <w:color w:val="000000"/>
      <w:sz w:val="24"/>
      <w:szCs w:val="24"/>
    </w:rPr>
  </w:style>
  <w:style w:type="paragraph" w:customStyle="1" w:styleId="11">
    <w:name w:val="列出段落1"/>
    <w:basedOn w:val="a"/>
    <w:uiPriority w:val="34"/>
    <w:qFormat/>
    <w:rsid w:val="00B755FC"/>
    <w:pPr>
      <w:widowControl w:val="0"/>
      <w:ind w:left="720"/>
      <w:contextualSpacing/>
      <w:jc w:val="both"/>
    </w:pPr>
    <w:rPr>
      <w:rFonts w:eastAsia="宋体" w:cs="Times New Roman"/>
      <w:kern w:val="2"/>
      <w:szCs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
    <w:rsid w:val="00B755FC"/>
    <w:pPr>
      <w:widowControl w:val="0"/>
      <w:spacing w:line="400" w:lineRule="exact"/>
      <w:jc w:val="both"/>
    </w:pPr>
    <w:rPr>
      <w:rFonts w:ascii="Tahoma" w:eastAsia="宋体" w:hAnsi="Tahoma" w:cs="Times New Roman"/>
      <w:kern w:val="2"/>
    </w:rPr>
  </w:style>
  <w:style w:type="character" w:styleId="aff3">
    <w:name w:val="annotation reference"/>
    <w:uiPriority w:val="99"/>
    <w:qFormat/>
    <w:rsid w:val="00B755FC"/>
    <w:rPr>
      <w:sz w:val="16"/>
      <w:szCs w:val="16"/>
    </w:rPr>
  </w:style>
  <w:style w:type="character" w:styleId="aff4">
    <w:name w:val="endnote reference"/>
    <w:rsid w:val="00B755FC"/>
    <w:rPr>
      <w:vertAlign w:val="superscript"/>
    </w:rPr>
  </w:style>
  <w:style w:type="character" w:customStyle="1" w:styleId="HeaderChar1">
    <w:name w:val="Header Char1"/>
    <w:uiPriority w:val="99"/>
    <w:locked/>
    <w:rsid w:val="00B755FC"/>
    <w:rPr>
      <w:sz w:val="24"/>
      <w:szCs w:val="24"/>
    </w:rPr>
  </w:style>
  <w:style w:type="table" w:styleId="aff5">
    <w:name w:val="Table Grid"/>
    <w:basedOn w:val="a1"/>
    <w:uiPriority w:val="59"/>
    <w:qFormat/>
    <w:rsid w:val="00B755FC"/>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page number"/>
    <w:uiPriority w:val="99"/>
    <w:unhideWhenUsed/>
    <w:rsid w:val="00B755FC"/>
  </w:style>
  <w:style w:type="character" w:styleId="aff7">
    <w:name w:val="Emphasis"/>
    <w:basedOn w:val="a0"/>
    <w:uiPriority w:val="20"/>
    <w:qFormat/>
    <w:rsid w:val="00755C17"/>
    <w:rPr>
      <w:i w:val="0"/>
      <w:iCs w:val="0"/>
      <w:color w:val="CC0000"/>
    </w:rPr>
  </w:style>
  <w:style w:type="character" w:customStyle="1" w:styleId="BodyTextChar">
    <w:name w:val="Body Text Char"/>
    <w:basedOn w:val="a0"/>
    <w:link w:val="BodyText1"/>
    <w:locked/>
    <w:rsid w:val="00877894"/>
    <w:rPr>
      <w:rFonts w:ascii="Georgia" w:hAnsi="Georgia"/>
    </w:rPr>
  </w:style>
  <w:style w:type="paragraph" w:customStyle="1" w:styleId="BodyText1">
    <w:name w:val="Body Text1"/>
    <w:basedOn w:val="a"/>
    <w:link w:val="BodyTextChar"/>
    <w:rsid w:val="00877894"/>
    <w:pPr>
      <w:widowControl w:val="0"/>
      <w:jc w:val="both"/>
    </w:pPr>
    <w:rPr>
      <w:rFonts w:ascii="Georgia" w:hAnsi="Georgia"/>
    </w:rPr>
  </w:style>
  <w:style w:type="paragraph" w:styleId="aff8">
    <w:name w:val="Normal (Web)"/>
    <w:basedOn w:val="a"/>
    <w:uiPriority w:val="99"/>
    <w:unhideWhenUsed/>
    <w:rsid w:val="00BF46CA"/>
    <w:pPr>
      <w:spacing w:before="100" w:beforeAutospacing="1" w:after="100" w:afterAutospacing="1"/>
    </w:pPr>
    <w:rPr>
      <w:rFonts w:eastAsia="Times New Roman" w:cs="Times New Roman"/>
      <w:sz w:val="24"/>
      <w:szCs w:val="24"/>
    </w:rPr>
  </w:style>
  <w:style w:type="paragraph" w:styleId="aff9">
    <w:name w:val="Body Text"/>
    <w:basedOn w:val="a"/>
    <w:link w:val="affa"/>
    <w:uiPriority w:val="99"/>
    <w:semiHidden/>
    <w:unhideWhenUsed/>
    <w:rsid w:val="00195E3B"/>
    <w:pPr>
      <w:spacing w:after="120"/>
    </w:pPr>
  </w:style>
  <w:style w:type="character" w:customStyle="1" w:styleId="affa">
    <w:name w:val="正文文本 字符"/>
    <w:basedOn w:val="a0"/>
    <w:link w:val="aff9"/>
    <w:uiPriority w:val="99"/>
    <w:semiHidden/>
    <w:rsid w:val="00195E3B"/>
  </w:style>
  <w:style w:type="paragraph" w:customStyle="1" w:styleId="TableParagraph">
    <w:name w:val="Table Paragraph"/>
    <w:basedOn w:val="a"/>
    <w:uiPriority w:val="1"/>
    <w:qFormat/>
    <w:rsid w:val="00195E3B"/>
    <w:pPr>
      <w:widowControl w:val="0"/>
      <w:spacing w:line="236" w:lineRule="exact"/>
      <w:ind w:left="100"/>
    </w:pPr>
    <w:rPr>
      <w:rFonts w:ascii="宋体" w:eastAsia="宋体" w:hAnsi="宋体" w:cs="宋体"/>
      <w:sz w:val="22"/>
      <w:szCs w:val="22"/>
      <w:lang w:eastAsia="en-US"/>
    </w:rPr>
  </w:style>
  <w:style w:type="paragraph" w:customStyle="1" w:styleId="response">
    <w:name w:val="response"/>
    <w:basedOn w:val="a"/>
    <w:rsid w:val="0006783B"/>
    <w:pPr>
      <w:spacing w:before="120" w:after="120"/>
    </w:pPr>
    <w:rPr>
      <w:rFonts w:cs="Times New Roman"/>
      <w:lang w:eastAsia="en-US"/>
    </w:rPr>
  </w:style>
  <w:style w:type="table" w:customStyle="1" w:styleId="TableGrid">
    <w:name w:val="TableGrid"/>
    <w:rsid w:val="00AA7C8E"/>
    <w:rPr>
      <w:kern w:val="2"/>
      <w:sz w:val="21"/>
      <w:szCs w:val="22"/>
    </w:rPr>
    <w:tblPr>
      <w:tblCellMar>
        <w:top w:w="0" w:type="dxa"/>
        <w:left w:w="0" w:type="dxa"/>
        <w:bottom w:w="0" w:type="dxa"/>
        <w:right w:w="0" w:type="dxa"/>
      </w:tblCellMar>
    </w:tblPr>
  </w:style>
  <w:style w:type="paragraph" w:styleId="affb">
    <w:name w:val="footnote text"/>
    <w:basedOn w:val="a"/>
    <w:link w:val="affc"/>
    <w:rsid w:val="00C11C46"/>
    <w:pPr>
      <w:adjustRightInd/>
    </w:pPr>
    <w:rPr>
      <w:rFonts w:eastAsia="宋体" w:cs="Times New Roman"/>
      <w:kern w:val="2"/>
      <w:sz w:val="18"/>
      <w:szCs w:val="18"/>
    </w:rPr>
  </w:style>
  <w:style w:type="character" w:customStyle="1" w:styleId="affc">
    <w:name w:val="脚注文本 字符"/>
    <w:basedOn w:val="a0"/>
    <w:link w:val="affb"/>
    <w:rsid w:val="00C11C46"/>
    <w:rPr>
      <w:rFonts w:ascii="Times New Roman" w:eastAsia="宋体" w:hAnsi="Times New Roman" w:cs="Times New Roman"/>
      <w:kern w:val="2"/>
      <w:sz w:val="18"/>
      <w:szCs w:val="18"/>
    </w:rPr>
  </w:style>
  <w:style w:type="character" w:customStyle="1" w:styleId="aff2">
    <w:name w:val="列表段落 字符"/>
    <w:basedOn w:val="a0"/>
    <w:link w:val="aff1"/>
    <w:uiPriority w:val="34"/>
    <w:locked/>
    <w:rsid w:val="006A0732"/>
    <w:rPr>
      <w:rFonts w:ascii="Times New Roman" w:eastAsia="宋体" w:hAnsi="Times New Roman" w:cs="Times New Roman"/>
      <w:sz w:val="21"/>
      <w:szCs w:val="24"/>
    </w:rPr>
  </w:style>
  <w:style w:type="table" w:customStyle="1" w:styleId="TableGrid1">
    <w:name w:val="Table Grid1"/>
    <w:basedOn w:val="a1"/>
    <w:rsid w:val="000076CA"/>
    <w:pPr>
      <w:widowControl w:val="0"/>
      <w:jc w:val="both"/>
    </w:pPr>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d">
    <w:name w:val="footnote reference"/>
    <w:basedOn w:val="a0"/>
    <w:uiPriority w:val="99"/>
    <w:semiHidden/>
    <w:unhideWhenUsed/>
    <w:rsid w:val="000F5FDB"/>
    <w:rPr>
      <w:vertAlign w:val="superscript"/>
    </w:rPr>
  </w:style>
  <w:style w:type="character" w:customStyle="1" w:styleId="005Char">
    <w:name w:val="005正文 Char"/>
    <w:link w:val="005"/>
    <w:qFormat/>
    <w:rsid w:val="0096772A"/>
    <w:rPr>
      <w:rFonts w:ascii="Times New Roman" w:hAnsi="Times New Roman" w:cs="Times New Roman"/>
      <w:kern w:val="2"/>
      <w:sz w:val="24"/>
      <w:szCs w:val="22"/>
    </w:rPr>
  </w:style>
  <w:style w:type="paragraph" w:customStyle="1" w:styleId="005">
    <w:name w:val="005正文"/>
    <w:link w:val="005Char"/>
    <w:qFormat/>
    <w:rsid w:val="0096772A"/>
    <w:pPr>
      <w:widowControl w:val="0"/>
      <w:spacing w:beforeLines="50" w:before="50" w:line="360" w:lineRule="auto"/>
      <w:ind w:firstLineChars="200" w:firstLine="200"/>
      <w:jc w:val="both"/>
    </w:pPr>
    <w:rPr>
      <w:rFonts w:ascii="Times New Roman" w:hAnsi="Times New Roman" w:cs="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43">
      <w:bodyDiv w:val="1"/>
      <w:marLeft w:val="0"/>
      <w:marRight w:val="0"/>
      <w:marTop w:val="0"/>
      <w:marBottom w:val="0"/>
      <w:divBdr>
        <w:top w:val="none" w:sz="0" w:space="0" w:color="auto"/>
        <w:left w:val="none" w:sz="0" w:space="0" w:color="auto"/>
        <w:bottom w:val="none" w:sz="0" w:space="0" w:color="auto"/>
        <w:right w:val="none" w:sz="0" w:space="0" w:color="auto"/>
      </w:divBdr>
    </w:div>
    <w:div w:id="400849">
      <w:bodyDiv w:val="1"/>
      <w:marLeft w:val="0"/>
      <w:marRight w:val="0"/>
      <w:marTop w:val="0"/>
      <w:marBottom w:val="0"/>
      <w:divBdr>
        <w:top w:val="none" w:sz="0" w:space="0" w:color="auto"/>
        <w:left w:val="none" w:sz="0" w:space="0" w:color="auto"/>
        <w:bottom w:val="none" w:sz="0" w:space="0" w:color="auto"/>
        <w:right w:val="none" w:sz="0" w:space="0" w:color="auto"/>
      </w:divBdr>
    </w:div>
    <w:div w:id="864435">
      <w:bodyDiv w:val="1"/>
      <w:marLeft w:val="0"/>
      <w:marRight w:val="0"/>
      <w:marTop w:val="0"/>
      <w:marBottom w:val="0"/>
      <w:divBdr>
        <w:top w:val="none" w:sz="0" w:space="0" w:color="auto"/>
        <w:left w:val="none" w:sz="0" w:space="0" w:color="auto"/>
        <w:bottom w:val="none" w:sz="0" w:space="0" w:color="auto"/>
        <w:right w:val="none" w:sz="0" w:space="0" w:color="auto"/>
      </w:divBdr>
    </w:div>
    <w:div w:id="1856735">
      <w:bodyDiv w:val="1"/>
      <w:marLeft w:val="0"/>
      <w:marRight w:val="0"/>
      <w:marTop w:val="0"/>
      <w:marBottom w:val="0"/>
      <w:divBdr>
        <w:top w:val="none" w:sz="0" w:space="0" w:color="auto"/>
        <w:left w:val="none" w:sz="0" w:space="0" w:color="auto"/>
        <w:bottom w:val="none" w:sz="0" w:space="0" w:color="auto"/>
        <w:right w:val="none" w:sz="0" w:space="0" w:color="auto"/>
      </w:divBdr>
    </w:div>
    <w:div w:id="3824987">
      <w:bodyDiv w:val="1"/>
      <w:marLeft w:val="0"/>
      <w:marRight w:val="0"/>
      <w:marTop w:val="0"/>
      <w:marBottom w:val="0"/>
      <w:divBdr>
        <w:top w:val="none" w:sz="0" w:space="0" w:color="auto"/>
        <w:left w:val="none" w:sz="0" w:space="0" w:color="auto"/>
        <w:bottom w:val="none" w:sz="0" w:space="0" w:color="auto"/>
        <w:right w:val="none" w:sz="0" w:space="0" w:color="auto"/>
      </w:divBdr>
    </w:div>
    <w:div w:id="4401760">
      <w:bodyDiv w:val="1"/>
      <w:marLeft w:val="0"/>
      <w:marRight w:val="0"/>
      <w:marTop w:val="0"/>
      <w:marBottom w:val="0"/>
      <w:divBdr>
        <w:top w:val="none" w:sz="0" w:space="0" w:color="auto"/>
        <w:left w:val="none" w:sz="0" w:space="0" w:color="auto"/>
        <w:bottom w:val="none" w:sz="0" w:space="0" w:color="auto"/>
        <w:right w:val="none" w:sz="0" w:space="0" w:color="auto"/>
      </w:divBdr>
    </w:div>
    <w:div w:id="4600546">
      <w:bodyDiv w:val="1"/>
      <w:marLeft w:val="0"/>
      <w:marRight w:val="0"/>
      <w:marTop w:val="0"/>
      <w:marBottom w:val="0"/>
      <w:divBdr>
        <w:top w:val="none" w:sz="0" w:space="0" w:color="auto"/>
        <w:left w:val="none" w:sz="0" w:space="0" w:color="auto"/>
        <w:bottom w:val="none" w:sz="0" w:space="0" w:color="auto"/>
        <w:right w:val="none" w:sz="0" w:space="0" w:color="auto"/>
      </w:divBdr>
    </w:div>
    <w:div w:id="4795300">
      <w:bodyDiv w:val="1"/>
      <w:marLeft w:val="0"/>
      <w:marRight w:val="0"/>
      <w:marTop w:val="0"/>
      <w:marBottom w:val="0"/>
      <w:divBdr>
        <w:top w:val="none" w:sz="0" w:space="0" w:color="auto"/>
        <w:left w:val="none" w:sz="0" w:space="0" w:color="auto"/>
        <w:bottom w:val="none" w:sz="0" w:space="0" w:color="auto"/>
        <w:right w:val="none" w:sz="0" w:space="0" w:color="auto"/>
      </w:divBdr>
    </w:div>
    <w:div w:id="4988671">
      <w:bodyDiv w:val="1"/>
      <w:marLeft w:val="0"/>
      <w:marRight w:val="0"/>
      <w:marTop w:val="0"/>
      <w:marBottom w:val="0"/>
      <w:divBdr>
        <w:top w:val="none" w:sz="0" w:space="0" w:color="auto"/>
        <w:left w:val="none" w:sz="0" w:space="0" w:color="auto"/>
        <w:bottom w:val="none" w:sz="0" w:space="0" w:color="auto"/>
        <w:right w:val="none" w:sz="0" w:space="0" w:color="auto"/>
      </w:divBdr>
    </w:div>
    <w:div w:id="5179355">
      <w:bodyDiv w:val="1"/>
      <w:marLeft w:val="0"/>
      <w:marRight w:val="0"/>
      <w:marTop w:val="0"/>
      <w:marBottom w:val="0"/>
      <w:divBdr>
        <w:top w:val="none" w:sz="0" w:space="0" w:color="auto"/>
        <w:left w:val="none" w:sz="0" w:space="0" w:color="auto"/>
        <w:bottom w:val="none" w:sz="0" w:space="0" w:color="auto"/>
        <w:right w:val="none" w:sz="0" w:space="0" w:color="auto"/>
      </w:divBdr>
    </w:div>
    <w:div w:id="5519510">
      <w:bodyDiv w:val="1"/>
      <w:marLeft w:val="0"/>
      <w:marRight w:val="0"/>
      <w:marTop w:val="0"/>
      <w:marBottom w:val="0"/>
      <w:divBdr>
        <w:top w:val="none" w:sz="0" w:space="0" w:color="auto"/>
        <w:left w:val="none" w:sz="0" w:space="0" w:color="auto"/>
        <w:bottom w:val="none" w:sz="0" w:space="0" w:color="auto"/>
        <w:right w:val="none" w:sz="0" w:space="0" w:color="auto"/>
      </w:divBdr>
    </w:div>
    <w:div w:id="7030752">
      <w:bodyDiv w:val="1"/>
      <w:marLeft w:val="0"/>
      <w:marRight w:val="0"/>
      <w:marTop w:val="0"/>
      <w:marBottom w:val="0"/>
      <w:divBdr>
        <w:top w:val="none" w:sz="0" w:space="0" w:color="auto"/>
        <w:left w:val="none" w:sz="0" w:space="0" w:color="auto"/>
        <w:bottom w:val="none" w:sz="0" w:space="0" w:color="auto"/>
        <w:right w:val="none" w:sz="0" w:space="0" w:color="auto"/>
      </w:divBdr>
    </w:div>
    <w:div w:id="7145254">
      <w:bodyDiv w:val="1"/>
      <w:marLeft w:val="0"/>
      <w:marRight w:val="0"/>
      <w:marTop w:val="0"/>
      <w:marBottom w:val="0"/>
      <w:divBdr>
        <w:top w:val="none" w:sz="0" w:space="0" w:color="auto"/>
        <w:left w:val="none" w:sz="0" w:space="0" w:color="auto"/>
        <w:bottom w:val="none" w:sz="0" w:space="0" w:color="auto"/>
        <w:right w:val="none" w:sz="0" w:space="0" w:color="auto"/>
      </w:divBdr>
    </w:div>
    <w:div w:id="7489950">
      <w:bodyDiv w:val="1"/>
      <w:marLeft w:val="0"/>
      <w:marRight w:val="0"/>
      <w:marTop w:val="0"/>
      <w:marBottom w:val="0"/>
      <w:divBdr>
        <w:top w:val="none" w:sz="0" w:space="0" w:color="auto"/>
        <w:left w:val="none" w:sz="0" w:space="0" w:color="auto"/>
        <w:bottom w:val="none" w:sz="0" w:space="0" w:color="auto"/>
        <w:right w:val="none" w:sz="0" w:space="0" w:color="auto"/>
      </w:divBdr>
    </w:div>
    <w:div w:id="8534722">
      <w:bodyDiv w:val="1"/>
      <w:marLeft w:val="0"/>
      <w:marRight w:val="0"/>
      <w:marTop w:val="0"/>
      <w:marBottom w:val="0"/>
      <w:divBdr>
        <w:top w:val="none" w:sz="0" w:space="0" w:color="auto"/>
        <w:left w:val="none" w:sz="0" w:space="0" w:color="auto"/>
        <w:bottom w:val="none" w:sz="0" w:space="0" w:color="auto"/>
        <w:right w:val="none" w:sz="0" w:space="0" w:color="auto"/>
      </w:divBdr>
    </w:div>
    <w:div w:id="9066692">
      <w:bodyDiv w:val="1"/>
      <w:marLeft w:val="0"/>
      <w:marRight w:val="0"/>
      <w:marTop w:val="0"/>
      <w:marBottom w:val="0"/>
      <w:divBdr>
        <w:top w:val="none" w:sz="0" w:space="0" w:color="auto"/>
        <w:left w:val="none" w:sz="0" w:space="0" w:color="auto"/>
        <w:bottom w:val="none" w:sz="0" w:space="0" w:color="auto"/>
        <w:right w:val="none" w:sz="0" w:space="0" w:color="auto"/>
      </w:divBdr>
    </w:div>
    <w:div w:id="9069558">
      <w:bodyDiv w:val="1"/>
      <w:marLeft w:val="0"/>
      <w:marRight w:val="0"/>
      <w:marTop w:val="0"/>
      <w:marBottom w:val="0"/>
      <w:divBdr>
        <w:top w:val="none" w:sz="0" w:space="0" w:color="auto"/>
        <w:left w:val="none" w:sz="0" w:space="0" w:color="auto"/>
        <w:bottom w:val="none" w:sz="0" w:space="0" w:color="auto"/>
        <w:right w:val="none" w:sz="0" w:space="0" w:color="auto"/>
      </w:divBdr>
    </w:div>
    <w:div w:id="9072004">
      <w:bodyDiv w:val="1"/>
      <w:marLeft w:val="0"/>
      <w:marRight w:val="0"/>
      <w:marTop w:val="0"/>
      <w:marBottom w:val="0"/>
      <w:divBdr>
        <w:top w:val="none" w:sz="0" w:space="0" w:color="auto"/>
        <w:left w:val="none" w:sz="0" w:space="0" w:color="auto"/>
        <w:bottom w:val="none" w:sz="0" w:space="0" w:color="auto"/>
        <w:right w:val="none" w:sz="0" w:space="0" w:color="auto"/>
      </w:divBdr>
    </w:div>
    <w:div w:id="10762017">
      <w:bodyDiv w:val="1"/>
      <w:marLeft w:val="0"/>
      <w:marRight w:val="0"/>
      <w:marTop w:val="0"/>
      <w:marBottom w:val="0"/>
      <w:divBdr>
        <w:top w:val="none" w:sz="0" w:space="0" w:color="auto"/>
        <w:left w:val="none" w:sz="0" w:space="0" w:color="auto"/>
        <w:bottom w:val="none" w:sz="0" w:space="0" w:color="auto"/>
        <w:right w:val="none" w:sz="0" w:space="0" w:color="auto"/>
      </w:divBdr>
    </w:div>
    <w:div w:id="11417996">
      <w:bodyDiv w:val="1"/>
      <w:marLeft w:val="0"/>
      <w:marRight w:val="0"/>
      <w:marTop w:val="0"/>
      <w:marBottom w:val="0"/>
      <w:divBdr>
        <w:top w:val="none" w:sz="0" w:space="0" w:color="auto"/>
        <w:left w:val="none" w:sz="0" w:space="0" w:color="auto"/>
        <w:bottom w:val="none" w:sz="0" w:space="0" w:color="auto"/>
        <w:right w:val="none" w:sz="0" w:space="0" w:color="auto"/>
      </w:divBdr>
    </w:div>
    <w:div w:id="11805776">
      <w:bodyDiv w:val="1"/>
      <w:marLeft w:val="0"/>
      <w:marRight w:val="0"/>
      <w:marTop w:val="0"/>
      <w:marBottom w:val="0"/>
      <w:divBdr>
        <w:top w:val="none" w:sz="0" w:space="0" w:color="auto"/>
        <w:left w:val="none" w:sz="0" w:space="0" w:color="auto"/>
        <w:bottom w:val="none" w:sz="0" w:space="0" w:color="auto"/>
        <w:right w:val="none" w:sz="0" w:space="0" w:color="auto"/>
      </w:divBdr>
    </w:div>
    <w:div w:id="12809657">
      <w:bodyDiv w:val="1"/>
      <w:marLeft w:val="0"/>
      <w:marRight w:val="0"/>
      <w:marTop w:val="0"/>
      <w:marBottom w:val="0"/>
      <w:divBdr>
        <w:top w:val="none" w:sz="0" w:space="0" w:color="auto"/>
        <w:left w:val="none" w:sz="0" w:space="0" w:color="auto"/>
        <w:bottom w:val="none" w:sz="0" w:space="0" w:color="auto"/>
        <w:right w:val="none" w:sz="0" w:space="0" w:color="auto"/>
      </w:divBdr>
    </w:div>
    <w:div w:id="14041362">
      <w:bodyDiv w:val="1"/>
      <w:marLeft w:val="0"/>
      <w:marRight w:val="0"/>
      <w:marTop w:val="0"/>
      <w:marBottom w:val="0"/>
      <w:divBdr>
        <w:top w:val="none" w:sz="0" w:space="0" w:color="auto"/>
        <w:left w:val="none" w:sz="0" w:space="0" w:color="auto"/>
        <w:bottom w:val="none" w:sz="0" w:space="0" w:color="auto"/>
        <w:right w:val="none" w:sz="0" w:space="0" w:color="auto"/>
      </w:divBdr>
    </w:div>
    <w:div w:id="14233613">
      <w:bodyDiv w:val="1"/>
      <w:marLeft w:val="0"/>
      <w:marRight w:val="0"/>
      <w:marTop w:val="0"/>
      <w:marBottom w:val="0"/>
      <w:divBdr>
        <w:top w:val="none" w:sz="0" w:space="0" w:color="auto"/>
        <w:left w:val="none" w:sz="0" w:space="0" w:color="auto"/>
        <w:bottom w:val="none" w:sz="0" w:space="0" w:color="auto"/>
        <w:right w:val="none" w:sz="0" w:space="0" w:color="auto"/>
      </w:divBdr>
    </w:div>
    <w:div w:id="14423395">
      <w:bodyDiv w:val="1"/>
      <w:marLeft w:val="0"/>
      <w:marRight w:val="0"/>
      <w:marTop w:val="0"/>
      <w:marBottom w:val="0"/>
      <w:divBdr>
        <w:top w:val="none" w:sz="0" w:space="0" w:color="auto"/>
        <w:left w:val="none" w:sz="0" w:space="0" w:color="auto"/>
        <w:bottom w:val="none" w:sz="0" w:space="0" w:color="auto"/>
        <w:right w:val="none" w:sz="0" w:space="0" w:color="auto"/>
      </w:divBdr>
    </w:div>
    <w:div w:id="16349638">
      <w:bodyDiv w:val="1"/>
      <w:marLeft w:val="0"/>
      <w:marRight w:val="0"/>
      <w:marTop w:val="0"/>
      <w:marBottom w:val="0"/>
      <w:divBdr>
        <w:top w:val="none" w:sz="0" w:space="0" w:color="auto"/>
        <w:left w:val="none" w:sz="0" w:space="0" w:color="auto"/>
        <w:bottom w:val="none" w:sz="0" w:space="0" w:color="auto"/>
        <w:right w:val="none" w:sz="0" w:space="0" w:color="auto"/>
      </w:divBdr>
    </w:div>
    <w:div w:id="16856872">
      <w:bodyDiv w:val="1"/>
      <w:marLeft w:val="0"/>
      <w:marRight w:val="0"/>
      <w:marTop w:val="0"/>
      <w:marBottom w:val="0"/>
      <w:divBdr>
        <w:top w:val="none" w:sz="0" w:space="0" w:color="auto"/>
        <w:left w:val="none" w:sz="0" w:space="0" w:color="auto"/>
        <w:bottom w:val="none" w:sz="0" w:space="0" w:color="auto"/>
        <w:right w:val="none" w:sz="0" w:space="0" w:color="auto"/>
      </w:divBdr>
    </w:div>
    <w:div w:id="17122729">
      <w:bodyDiv w:val="1"/>
      <w:marLeft w:val="0"/>
      <w:marRight w:val="0"/>
      <w:marTop w:val="0"/>
      <w:marBottom w:val="0"/>
      <w:divBdr>
        <w:top w:val="none" w:sz="0" w:space="0" w:color="auto"/>
        <w:left w:val="none" w:sz="0" w:space="0" w:color="auto"/>
        <w:bottom w:val="none" w:sz="0" w:space="0" w:color="auto"/>
        <w:right w:val="none" w:sz="0" w:space="0" w:color="auto"/>
      </w:divBdr>
    </w:div>
    <w:div w:id="17583082">
      <w:bodyDiv w:val="1"/>
      <w:marLeft w:val="0"/>
      <w:marRight w:val="0"/>
      <w:marTop w:val="0"/>
      <w:marBottom w:val="0"/>
      <w:divBdr>
        <w:top w:val="none" w:sz="0" w:space="0" w:color="auto"/>
        <w:left w:val="none" w:sz="0" w:space="0" w:color="auto"/>
        <w:bottom w:val="none" w:sz="0" w:space="0" w:color="auto"/>
        <w:right w:val="none" w:sz="0" w:space="0" w:color="auto"/>
      </w:divBdr>
    </w:div>
    <w:div w:id="19403611">
      <w:bodyDiv w:val="1"/>
      <w:marLeft w:val="0"/>
      <w:marRight w:val="0"/>
      <w:marTop w:val="0"/>
      <w:marBottom w:val="0"/>
      <w:divBdr>
        <w:top w:val="none" w:sz="0" w:space="0" w:color="auto"/>
        <w:left w:val="none" w:sz="0" w:space="0" w:color="auto"/>
        <w:bottom w:val="none" w:sz="0" w:space="0" w:color="auto"/>
        <w:right w:val="none" w:sz="0" w:space="0" w:color="auto"/>
      </w:divBdr>
    </w:div>
    <w:div w:id="19627946">
      <w:bodyDiv w:val="1"/>
      <w:marLeft w:val="0"/>
      <w:marRight w:val="0"/>
      <w:marTop w:val="0"/>
      <w:marBottom w:val="0"/>
      <w:divBdr>
        <w:top w:val="none" w:sz="0" w:space="0" w:color="auto"/>
        <w:left w:val="none" w:sz="0" w:space="0" w:color="auto"/>
        <w:bottom w:val="none" w:sz="0" w:space="0" w:color="auto"/>
        <w:right w:val="none" w:sz="0" w:space="0" w:color="auto"/>
      </w:divBdr>
    </w:div>
    <w:div w:id="20713642">
      <w:bodyDiv w:val="1"/>
      <w:marLeft w:val="0"/>
      <w:marRight w:val="0"/>
      <w:marTop w:val="0"/>
      <w:marBottom w:val="0"/>
      <w:divBdr>
        <w:top w:val="none" w:sz="0" w:space="0" w:color="auto"/>
        <w:left w:val="none" w:sz="0" w:space="0" w:color="auto"/>
        <w:bottom w:val="none" w:sz="0" w:space="0" w:color="auto"/>
        <w:right w:val="none" w:sz="0" w:space="0" w:color="auto"/>
      </w:divBdr>
    </w:div>
    <w:div w:id="22678833">
      <w:bodyDiv w:val="1"/>
      <w:marLeft w:val="0"/>
      <w:marRight w:val="0"/>
      <w:marTop w:val="0"/>
      <w:marBottom w:val="0"/>
      <w:divBdr>
        <w:top w:val="none" w:sz="0" w:space="0" w:color="auto"/>
        <w:left w:val="none" w:sz="0" w:space="0" w:color="auto"/>
        <w:bottom w:val="none" w:sz="0" w:space="0" w:color="auto"/>
        <w:right w:val="none" w:sz="0" w:space="0" w:color="auto"/>
      </w:divBdr>
    </w:div>
    <w:div w:id="22941824">
      <w:bodyDiv w:val="1"/>
      <w:marLeft w:val="0"/>
      <w:marRight w:val="0"/>
      <w:marTop w:val="0"/>
      <w:marBottom w:val="0"/>
      <w:divBdr>
        <w:top w:val="none" w:sz="0" w:space="0" w:color="auto"/>
        <w:left w:val="none" w:sz="0" w:space="0" w:color="auto"/>
        <w:bottom w:val="none" w:sz="0" w:space="0" w:color="auto"/>
        <w:right w:val="none" w:sz="0" w:space="0" w:color="auto"/>
      </w:divBdr>
    </w:div>
    <w:div w:id="24989799">
      <w:bodyDiv w:val="1"/>
      <w:marLeft w:val="0"/>
      <w:marRight w:val="0"/>
      <w:marTop w:val="0"/>
      <w:marBottom w:val="0"/>
      <w:divBdr>
        <w:top w:val="none" w:sz="0" w:space="0" w:color="auto"/>
        <w:left w:val="none" w:sz="0" w:space="0" w:color="auto"/>
        <w:bottom w:val="none" w:sz="0" w:space="0" w:color="auto"/>
        <w:right w:val="none" w:sz="0" w:space="0" w:color="auto"/>
      </w:divBdr>
    </w:div>
    <w:div w:id="25302844">
      <w:bodyDiv w:val="1"/>
      <w:marLeft w:val="0"/>
      <w:marRight w:val="0"/>
      <w:marTop w:val="0"/>
      <w:marBottom w:val="0"/>
      <w:divBdr>
        <w:top w:val="none" w:sz="0" w:space="0" w:color="auto"/>
        <w:left w:val="none" w:sz="0" w:space="0" w:color="auto"/>
        <w:bottom w:val="none" w:sz="0" w:space="0" w:color="auto"/>
        <w:right w:val="none" w:sz="0" w:space="0" w:color="auto"/>
      </w:divBdr>
    </w:div>
    <w:div w:id="25639353">
      <w:bodyDiv w:val="1"/>
      <w:marLeft w:val="0"/>
      <w:marRight w:val="0"/>
      <w:marTop w:val="0"/>
      <w:marBottom w:val="0"/>
      <w:divBdr>
        <w:top w:val="none" w:sz="0" w:space="0" w:color="auto"/>
        <w:left w:val="none" w:sz="0" w:space="0" w:color="auto"/>
        <w:bottom w:val="none" w:sz="0" w:space="0" w:color="auto"/>
        <w:right w:val="none" w:sz="0" w:space="0" w:color="auto"/>
      </w:divBdr>
    </w:div>
    <w:div w:id="26489091">
      <w:bodyDiv w:val="1"/>
      <w:marLeft w:val="0"/>
      <w:marRight w:val="0"/>
      <w:marTop w:val="0"/>
      <w:marBottom w:val="0"/>
      <w:divBdr>
        <w:top w:val="none" w:sz="0" w:space="0" w:color="auto"/>
        <w:left w:val="none" w:sz="0" w:space="0" w:color="auto"/>
        <w:bottom w:val="none" w:sz="0" w:space="0" w:color="auto"/>
        <w:right w:val="none" w:sz="0" w:space="0" w:color="auto"/>
      </w:divBdr>
    </w:div>
    <w:div w:id="26755227">
      <w:bodyDiv w:val="1"/>
      <w:marLeft w:val="0"/>
      <w:marRight w:val="0"/>
      <w:marTop w:val="0"/>
      <w:marBottom w:val="0"/>
      <w:divBdr>
        <w:top w:val="none" w:sz="0" w:space="0" w:color="auto"/>
        <w:left w:val="none" w:sz="0" w:space="0" w:color="auto"/>
        <w:bottom w:val="none" w:sz="0" w:space="0" w:color="auto"/>
        <w:right w:val="none" w:sz="0" w:space="0" w:color="auto"/>
      </w:divBdr>
    </w:div>
    <w:div w:id="27536698">
      <w:bodyDiv w:val="1"/>
      <w:marLeft w:val="0"/>
      <w:marRight w:val="0"/>
      <w:marTop w:val="0"/>
      <w:marBottom w:val="0"/>
      <w:divBdr>
        <w:top w:val="none" w:sz="0" w:space="0" w:color="auto"/>
        <w:left w:val="none" w:sz="0" w:space="0" w:color="auto"/>
        <w:bottom w:val="none" w:sz="0" w:space="0" w:color="auto"/>
        <w:right w:val="none" w:sz="0" w:space="0" w:color="auto"/>
      </w:divBdr>
    </w:div>
    <w:div w:id="28066491">
      <w:bodyDiv w:val="1"/>
      <w:marLeft w:val="0"/>
      <w:marRight w:val="0"/>
      <w:marTop w:val="0"/>
      <w:marBottom w:val="0"/>
      <w:divBdr>
        <w:top w:val="none" w:sz="0" w:space="0" w:color="auto"/>
        <w:left w:val="none" w:sz="0" w:space="0" w:color="auto"/>
        <w:bottom w:val="none" w:sz="0" w:space="0" w:color="auto"/>
        <w:right w:val="none" w:sz="0" w:space="0" w:color="auto"/>
      </w:divBdr>
    </w:div>
    <w:div w:id="28070671">
      <w:bodyDiv w:val="1"/>
      <w:marLeft w:val="0"/>
      <w:marRight w:val="0"/>
      <w:marTop w:val="0"/>
      <w:marBottom w:val="0"/>
      <w:divBdr>
        <w:top w:val="none" w:sz="0" w:space="0" w:color="auto"/>
        <w:left w:val="none" w:sz="0" w:space="0" w:color="auto"/>
        <w:bottom w:val="none" w:sz="0" w:space="0" w:color="auto"/>
        <w:right w:val="none" w:sz="0" w:space="0" w:color="auto"/>
      </w:divBdr>
    </w:div>
    <w:div w:id="28454526">
      <w:bodyDiv w:val="1"/>
      <w:marLeft w:val="0"/>
      <w:marRight w:val="0"/>
      <w:marTop w:val="0"/>
      <w:marBottom w:val="0"/>
      <w:divBdr>
        <w:top w:val="none" w:sz="0" w:space="0" w:color="auto"/>
        <w:left w:val="none" w:sz="0" w:space="0" w:color="auto"/>
        <w:bottom w:val="none" w:sz="0" w:space="0" w:color="auto"/>
        <w:right w:val="none" w:sz="0" w:space="0" w:color="auto"/>
      </w:divBdr>
    </w:div>
    <w:div w:id="30155204">
      <w:bodyDiv w:val="1"/>
      <w:marLeft w:val="0"/>
      <w:marRight w:val="0"/>
      <w:marTop w:val="0"/>
      <w:marBottom w:val="0"/>
      <w:divBdr>
        <w:top w:val="none" w:sz="0" w:space="0" w:color="auto"/>
        <w:left w:val="none" w:sz="0" w:space="0" w:color="auto"/>
        <w:bottom w:val="none" w:sz="0" w:space="0" w:color="auto"/>
        <w:right w:val="none" w:sz="0" w:space="0" w:color="auto"/>
      </w:divBdr>
    </w:div>
    <w:div w:id="31271349">
      <w:bodyDiv w:val="1"/>
      <w:marLeft w:val="0"/>
      <w:marRight w:val="0"/>
      <w:marTop w:val="0"/>
      <w:marBottom w:val="0"/>
      <w:divBdr>
        <w:top w:val="none" w:sz="0" w:space="0" w:color="auto"/>
        <w:left w:val="none" w:sz="0" w:space="0" w:color="auto"/>
        <w:bottom w:val="none" w:sz="0" w:space="0" w:color="auto"/>
        <w:right w:val="none" w:sz="0" w:space="0" w:color="auto"/>
      </w:divBdr>
    </w:div>
    <w:div w:id="31275344">
      <w:bodyDiv w:val="1"/>
      <w:marLeft w:val="0"/>
      <w:marRight w:val="0"/>
      <w:marTop w:val="0"/>
      <w:marBottom w:val="0"/>
      <w:divBdr>
        <w:top w:val="none" w:sz="0" w:space="0" w:color="auto"/>
        <w:left w:val="none" w:sz="0" w:space="0" w:color="auto"/>
        <w:bottom w:val="none" w:sz="0" w:space="0" w:color="auto"/>
        <w:right w:val="none" w:sz="0" w:space="0" w:color="auto"/>
      </w:divBdr>
    </w:div>
    <w:div w:id="32386563">
      <w:bodyDiv w:val="1"/>
      <w:marLeft w:val="0"/>
      <w:marRight w:val="0"/>
      <w:marTop w:val="0"/>
      <w:marBottom w:val="0"/>
      <w:divBdr>
        <w:top w:val="none" w:sz="0" w:space="0" w:color="auto"/>
        <w:left w:val="none" w:sz="0" w:space="0" w:color="auto"/>
        <w:bottom w:val="none" w:sz="0" w:space="0" w:color="auto"/>
        <w:right w:val="none" w:sz="0" w:space="0" w:color="auto"/>
      </w:divBdr>
    </w:div>
    <w:div w:id="32392113">
      <w:bodyDiv w:val="1"/>
      <w:marLeft w:val="0"/>
      <w:marRight w:val="0"/>
      <w:marTop w:val="0"/>
      <w:marBottom w:val="0"/>
      <w:divBdr>
        <w:top w:val="none" w:sz="0" w:space="0" w:color="auto"/>
        <w:left w:val="none" w:sz="0" w:space="0" w:color="auto"/>
        <w:bottom w:val="none" w:sz="0" w:space="0" w:color="auto"/>
        <w:right w:val="none" w:sz="0" w:space="0" w:color="auto"/>
      </w:divBdr>
    </w:div>
    <w:div w:id="33045327">
      <w:bodyDiv w:val="1"/>
      <w:marLeft w:val="0"/>
      <w:marRight w:val="0"/>
      <w:marTop w:val="0"/>
      <w:marBottom w:val="0"/>
      <w:divBdr>
        <w:top w:val="none" w:sz="0" w:space="0" w:color="auto"/>
        <w:left w:val="none" w:sz="0" w:space="0" w:color="auto"/>
        <w:bottom w:val="none" w:sz="0" w:space="0" w:color="auto"/>
        <w:right w:val="none" w:sz="0" w:space="0" w:color="auto"/>
      </w:divBdr>
    </w:div>
    <w:div w:id="33191954">
      <w:bodyDiv w:val="1"/>
      <w:marLeft w:val="0"/>
      <w:marRight w:val="0"/>
      <w:marTop w:val="0"/>
      <w:marBottom w:val="0"/>
      <w:divBdr>
        <w:top w:val="none" w:sz="0" w:space="0" w:color="auto"/>
        <w:left w:val="none" w:sz="0" w:space="0" w:color="auto"/>
        <w:bottom w:val="none" w:sz="0" w:space="0" w:color="auto"/>
        <w:right w:val="none" w:sz="0" w:space="0" w:color="auto"/>
      </w:divBdr>
    </w:div>
    <w:div w:id="33236128">
      <w:bodyDiv w:val="1"/>
      <w:marLeft w:val="0"/>
      <w:marRight w:val="0"/>
      <w:marTop w:val="0"/>
      <w:marBottom w:val="0"/>
      <w:divBdr>
        <w:top w:val="none" w:sz="0" w:space="0" w:color="auto"/>
        <w:left w:val="none" w:sz="0" w:space="0" w:color="auto"/>
        <w:bottom w:val="none" w:sz="0" w:space="0" w:color="auto"/>
        <w:right w:val="none" w:sz="0" w:space="0" w:color="auto"/>
      </w:divBdr>
    </w:div>
    <w:div w:id="34043848">
      <w:bodyDiv w:val="1"/>
      <w:marLeft w:val="0"/>
      <w:marRight w:val="0"/>
      <w:marTop w:val="0"/>
      <w:marBottom w:val="0"/>
      <w:divBdr>
        <w:top w:val="none" w:sz="0" w:space="0" w:color="auto"/>
        <w:left w:val="none" w:sz="0" w:space="0" w:color="auto"/>
        <w:bottom w:val="none" w:sz="0" w:space="0" w:color="auto"/>
        <w:right w:val="none" w:sz="0" w:space="0" w:color="auto"/>
      </w:divBdr>
    </w:div>
    <w:div w:id="34086391">
      <w:bodyDiv w:val="1"/>
      <w:marLeft w:val="0"/>
      <w:marRight w:val="0"/>
      <w:marTop w:val="0"/>
      <w:marBottom w:val="0"/>
      <w:divBdr>
        <w:top w:val="none" w:sz="0" w:space="0" w:color="auto"/>
        <w:left w:val="none" w:sz="0" w:space="0" w:color="auto"/>
        <w:bottom w:val="none" w:sz="0" w:space="0" w:color="auto"/>
        <w:right w:val="none" w:sz="0" w:space="0" w:color="auto"/>
      </w:divBdr>
    </w:div>
    <w:div w:id="34163582">
      <w:bodyDiv w:val="1"/>
      <w:marLeft w:val="0"/>
      <w:marRight w:val="0"/>
      <w:marTop w:val="0"/>
      <w:marBottom w:val="0"/>
      <w:divBdr>
        <w:top w:val="none" w:sz="0" w:space="0" w:color="auto"/>
        <w:left w:val="none" w:sz="0" w:space="0" w:color="auto"/>
        <w:bottom w:val="none" w:sz="0" w:space="0" w:color="auto"/>
        <w:right w:val="none" w:sz="0" w:space="0" w:color="auto"/>
      </w:divBdr>
    </w:div>
    <w:div w:id="34621566">
      <w:bodyDiv w:val="1"/>
      <w:marLeft w:val="0"/>
      <w:marRight w:val="0"/>
      <w:marTop w:val="0"/>
      <w:marBottom w:val="0"/>
      <w:divBdr>
        <w:top w:val="none" w:sz="0" w:space="0" w:color="auto"/>
        <w:left w:val="none" w:sz="0" w:space="0" w:color="auto"/>
        <w:bottom w:val="none" w:sz="0" w:space="0" w:color="auto"/>
        <w:right w:val="none" w:sz="0" w:space="0" w:color="auto"/>
      </w:divBdr>
    </w:div>
    <w:div w:id="34818340">
      <w:bodyDiv w:val="1"/>
      <w:marLeft w:val="0"/>
      <w:marRight w:val="0"/>
      <w:marTop w:val="0"/>
      <w:marBottom w:val="0"/>
      <w:divBdr>
        <w:top w:val="none" w:sz="0" w:space="0" w:color="auto"/>
        <w:left w:val="none" w:sz="0" w:space="0" w:color="auto"/>
        <w:bottom w:val="none" w:sz="0" w:space="0" w:color="auto"/>
        <w:right w:val="none" w:sz="0" w:space="0" w:color="auto"/>
      </w:divBdr>
    </w:div>
    <w:div w:id="36009976">
      <w:bodyDiv w:val="1"/>
      <w:marLeft w:val="0"/>
      <w:marRight w:val="0"/>
      <w:marTop w:val="0"/>
      <w:marBottom w:val="0"/>
      <w:divBdr>
        <w:top w:val="none" w:sz="0" w:space="0" w:color="auto"/>
        <w:left w:val="none" w:sz="0" w:space="0" w:color="auto"/>
        <w:bottom w:val="none" w:sz="0" w:space="0" w:color="auto"/>
        <w:right w:val="none" w:sz="0" w:space="0" w:color="auto"/>
      </w:divBdr>
    </w:div>
    <w:div w:id="36979875">
      <w:bodyDiv w:val="1"/>
      <w:marLeft w:val="0"/>
      <w:marRight w:val="0"/>
      <w:marTop w:val="0"/>
      <w:marBottom w:val="0"/>
      <w:divBdr>
        <w:top w:val="none" w:sz="0" w:space="0" w:color="auto"/>
        <w:left w:val="none" w:sz="0" w:space="0" w:color="auto"/>
        <w:bottom w:val="none" w:sz="0" w:space="0" w:color="auto"/>
        <w:right w:val="none" w:sz="0" w:space="0" w:color="auto"/>
      </w:divBdr>
    </w:div>
    <w:div w:id="37553858">
      <w:bodyDiv w:val="1"/>
      <w:marLeft w:val="0"/>
      <w:marRight w:val="0"/>
      <w:marTop w:val="0"/>
      <w:marBottom w:val="0"/>
      <w:divBdr>
        <w:top w:val="none" w:sz="0" w:space="0" w:color="auto"/>
        <w:left w:val="none" w:sz="0" w:space="0" w:color="auto"/>
        <w:bottom w:val="none" w:sz="0" w:space="0" w:color="auto"/>
        <w:right w:val="none" w:sz="0" w:space="0" w:color="auto"/>
      </w:divBdr>
    </w:div>
    <w:div w:id="38169182">
      <w:bodyDiv w:val="1"/>
      <w:marLeft w:val="0"/>
      <w:marRight w:val="0"/>
      <w:marTop w:val="0"/>
      <w:marBottom w:val="0"/>
      <w:divBdr>
        <w:top w:val="none" w:sz="0" w:space="0" w:color="auto"/>
        <w:left w:val="none" w:sz="0" w:space="0" w:color="auto"/>
        <w:bottom w:val="none" w:sz="0" w:space="0" w:color="auto"/>
        <w:right w:val="none" w:sz="0" w:space="0" w:color="auto"/>
      </w:divBdr>
    </w:div>
    <w:div w:id="39130615">
      <w:bodyDiv w:val="1"/>
      <w:marLeft w:val="0"/>
      <w:marRight w:val="0"/>
      <w:marTop w:val="0"/>
      <w:marBottom w:val="0"/>
      <w:divBdr>
        <w:top w:val="none" w:sz="0" w:space="0" w:color="auto"/>
        <w:left w:val="none" w:sz="0" w:space="0" w:color="auto"/>
        <w:bottom w:val="none" w:sz="0" w:space="0" w:color="auto"/>
        <w:right w:val="none" w:sz="0" w:space="0" w:color="auto"/>
      </w:divBdr>
    </w:div>
    <w:div w:id="39208396">
      <w:bodyDiv w:val="1"/>
      <w:marLeft w:val="0"/>
      <w:marRight w:val="0"/>
      <w:marTop w:val="0"/>
      <w:marBottom w:val="0"/>
      <w:divBdr>
        <w:top w:val="none" w:sz="0" w:space="0" w:color="auto"/>
        <w:left w:val="none" w:sz="0" w:space="0" w:color="auto"/>
        <w:bottom w:val="none" w:sz="0" w:space="0" w:color="auto"/>
        <w:right w:val="none" w:sz="0" w:space="0" w:color="auto"/>
      </w:divBdr>
    </w:div>
    <w:div w:id="40251338">
      <w:bodyDiv w:val="1"/>
      <w:marLeft w:val="0"/>
      <w:marRight w:val="0"/>
      <w:marTop w:val="0"/>
      <w:marBottom w:val="0"/>
      <w:divBdr>
        <w:top w:val="none" w:sz="0" w:space="0" w:color="auto"/>
        <w:left w:val="none" w:sz="0" w:space="0" w:color="auto"/>
        <w:bottom w:val="none" w:sz="0" w:space="0" w:color="auto"/>
        <w:right w:val="none" w:sz="0" w:space="0" w:color="auto"/>
      </w:divBdr>
    </w:div>
    <w:div w:id="40448174">
      <w:bodyDiv w:val="1"/>
      <w:marLeft w:val="0"/>
      <w:marRight w:val="0"/>
      <w:marTop w:val="0"/>
      <w:marBottom w:val="0"/>
      <w:divBdr>
        <w:top w:val="none" w:sz="0" w:space="0" w:color="auto"/>
        <w:left w:val="none" w:sz="0" w:space="0" w:color="auto"/>
        <w:bottom w:val="none" w:sz="0" w:space="0" w:color="auto"/>
        <w:right w:val="none" w:sz="0" w:space="0" w:color="auto"/>
      </w:divBdr>
    </w:div>
    <w:div w:id="40635453">
      <w:bodyDiv w:val="1"/>
      <w:marLeft w:val="0"/>
      <w:marRight w:val="0"/>
      <w:marTop w:val="0"/>
      <w:marBottom w:val="0"/>
      <w:divBdr>
        <w:top w:val="none" w:sz="0" w:space="0" w:color="auto"/>
        <w:left w:val="none" w:sz="0" w:space="0" w:color="auto"/>
        <w:bottom w:val="none" w:sz="0" w:space="0" w:color="auto"/>
        <w:right w:val="none" w:sz="0" w:space="0" w:color="auto"/>
      </w:divBdr>
    </w:div>
    <w:div w:id="41951712">
      <w:bodyDiv w:val="1"/>
      <w:marLeft w:val="0"/>
      <w:marRight w:val="0"/>
      <w:marTop w:val="0"/>
      <w:marBottom w:val="0"/>
      <w:divBdr>
        <w:top w:val="none" w:sz="0" w:space="0" w:color="auto"/>
        <w:left w:val="none" w:sz="0" w:space="0" w:color="auto"/>
        <w:bottom w:val="none" w:sz="0" w:space="0" w:color="auto"/>
        <w:right w:val="none" w:sz="0" w:space="0" w:color="auto"/>
      </w:divBdr>
    </w:div>
    <w:div w:id="42219218">
      <w:bodyDiv w:val="1"/>
      <w:marLeft w:val="0"/>
      <w:marRight w:val="0"/>
      <w:marTop w:val="0"/>
      <w:marBottom w:val="0"/>
      <w:divBdr>
        <w:top w:val="none" w:sz="0" w:space="0" w:color="auto"/>
        <w:left w:val="none" w:sz="0" w:space="0" w:color="auto"/>
        <w:bottom w:val="none" w:sz="0" w:space="0" w:color="auto"/>
        <w:right w:val="none" w:sz="0" w:space="0" w:color="auto"/>
      </w:divBdr>
    </w:div>
    <w:div w:id="43338591">
      <w:bodyDiv w:val="1"/>
      <w:marLeft w:val="0"/>
      <w:marRight w:val="0"/>
      <w:marTop w:val="0"/>
      <w:marBottom w:val="0"/>
      <w:divBdr>
        <w:top w:val="none" w:sz="0" w:space="0" w:color="auto"/>
        <w:left w:val="none" w:sz="0" w:space="0" w:color="auto"/>
        <w:bottom w:val="none" w:sz="0" w:space="0" w:color="auto"/>
        <w:right w:val="none" w:sz="0" w:space="0" w:color="auto"/>
      </w:divBdr>
    </w:div>
    <w:div w:id="43407911">
      <w:bodyDiv w:val="1"/>
      <w:marLeft w:val="0"/>
      <w:marRight w:val="0"/>
      <w:marTop w:val="0"/>
      <w:marBottom w:val="0"/>
      <w:divBdr>
        <w:top w:val="none" w:sz="0" w:space="0" w:color="auto"/>
        <w:left w:val="none" w:sz="0" w:space="0" w:color="auto"/>
        <w:bottom w:val="none" w:sz="0" w:space="0" w:color="auto"/>
        <w:right w:val="none" w:sz="0" w:space="0" w:color="auto"/>
      </w:divBdr>
    </w:div>
    <w:div w:id="43868795">
      <w:bodyDiv w:val="1"/>
      <w:marLeft w:val="0"/>
      <w:marRight w:val="0"/>
      <w:marTop w:val="0"/>
      <w:marBottom w:val="0"/>
      <w:divBdr>
        <w:top w:val="none" w:sz="0" w:space="0" w:color="auto"/>
        <w:left w:val="none" w:sz="0" w:space="0" w:color="auto"/>
        <w:bottom w:val="none" w:sz="0" w:space="0" w:color="auto"/>
        <w:right w:val="none" w:sz="0" w:space="0" w:color="auto"/>
      </w:divBdr>
    </w:div>
    <w:div w:id="44455350">
      <w:bodyDiv w:val="1"/>
      <w:marLeft w:val="0"/>
      <w:marRight w:val="0"/>
      <w:marTop w:val="0"/>
      <w:marBottom w:val="0"/>
      <w:divBdr>
        <w:top w:val="none" w:sz="0" w:space="0" w:color="auto"/>
        <w:left w:val="none" w:sz="0" w:space="0" w:color="auto"/>
        <w:bottom w:val="none" w:sz="0" w:space="0" w:color="auto"/>
        <w:right w:val="none" w:sz="0" w:space="0" w:color="auto"/>
      </w:divBdr>
    </w:div>
    <w:div w:id="44720849">
      <w:bodyDiv w:val="1"/>
      <w:marLeft w:val="0"/>
      <w:marRight w:val="0"/>
      <w:marTop w:val="0"/>
      <w:marBottom w:val="0"/>
      <w:divBdr>
        <w:top w:val="none" w:sz="0" w:space="0" w:color="auto"/>
        <w:left w:val="none" w:sz="0" w:space="0" w:color="auto"/>
        <w:bottom w:val="none" w:sz="0" w:space="0" w:color="auto"/>
        <w:right w:val="none" w:sz="0" w:space="0" w:color="auto"/>
      </w:divBdr>
    </w:div>
    <w:div w:id="44761646">
      <w:bodyDiv w:val="1"/>
      <w:marLeft w:val="0"/>
      <w:marRight w:val="0"/>
      <w:marTop w:val="0"/>
      <w:marBottom w:val="0"/>
      <w:divBdr>
        <w:top w:val="none" w:sz="0" w:space="0" w:color="auto"/>
        <w:left w:val="none" w:sz="0" w:space="0" w:color="auto"/>
        <w:bottom w:val="none" w:sz="0" w:space="0" w:color="auto"/>
        <w:right w:val="none" w:sz="0" w:space="0" w:color="auto"/>
      </w:divBdr>
    </w:div>
    <w:div w:id="45571832">
      <w:bodyDiv w:val="1"/>
      <w:marLeft w:val="0"/>
      <w:marRight w:val="0"/>
      <w:marTop w:val="0"/>
      <w:marBottom w:val="0"/>
      <w:divBdr>
        <w:top w:val="none" w:sz="0" w:space="0" w:color="auto"/>
        <w:left w:val="none" w:sz="0" w:space="0" w:color="auto"/>
        <w:bottom w:val="none" w:sz="0" w:space="0" w:color="auto"/>
        <w:right w:val="none" w:sz="0" w:space="0" w:color="auto"/>
      </w:divBdr>
    </w:div>
    <w:div w:id="46806986">
      <w:bodyDiv w:val="1"/>
      <w:marLeft w:val="0"/>
      <w:marRight w:val="0"/>
      <w:marTop w:val="0"/>
      <w:marBottom w:val="0"/>
      <w:divBdr>
        <w:top w:val="none" w:sz="0" w:space="0" w:color="auto"/>
        <w:left w:val="none" w:sz="0" w:space="0" w:color="auto"/>
        <w:bottom w:val="none" w:sz="0" w:space="0" w:color="auto"/>
        <w:right w:val="none" w:sz="0" w:space="0" w:color="auto"/>
      </w:divBdr>
    </w:div>
    <w:div w:id="48573739">
      <w:bodyDiv w:val="1"/>
      <w:marLeft w:val="0"/>
      <w:marRight w:val="0"/>
      <w:marTop w:val="0"/>
      <w:marBottom w:val="0"/>
      <w:divBdr>
        <w:top w:val="none" w:sz="0" w:space="0" w:color="auto"/>
        <w:left w:val="none" w:sz="0" w:space="0" w:color="auto"/>
        <w:bottom w:val="none" w:sz="0" w:space="0" w:color="auto"/>
        <w:right w:val="none" w:sz="0" w:space="0" w:color="auto"/>
      </w:divBdr>
    </w:div>
    <w:div w:id="48647894">
      <w:bodyDiv w:val="1"/>
      <w:marLeft w:val="0"/>
      <w:marRight w:val="0"/>
      <w:marTop w:val="0"/>
      <w:marBottom w:val="0"/>
      <w:divBdr>
        <w:top w:val="none" w:sz="0" w:space="0" w:color="auto"/>
        <w:left w:val="none" w:sz="0" w:space="0" w:color="auto"/>
        <w:bottom w:val="none" w:sz="0" w:space="0" w:color="auto"/>
        <w:right w:val="none" w:sz="0" w:space="0" w:color="auto"/>
      </w:divBdr>
    </w:div>
    <w:div w:id="48966438">
      <w:bodyDiv w:val="1"/>
      <w:marLeft w:val="0"/>
      <w:marRight w:val="0"/>
      <w:marTop w:val="0"/>
      <w:marBottom w:val="0"/>
      <w:divBdr>
        <w:top w:val="none" w:sz="0" w:space="0" w:color="auto"/>
        <w:left w:val="none" w:sz="0" w:space="0" w:color="auto"/>
        <w:bottom w:val="none" w:sz="0" w:space="0" w:color="auto"/>
        <w:right w:val="none" w:sz="0" w:space="0" w:color="auto"/>
      </w:divBdr>
    </w:div>
    <w:div w:id="49118434">
      <w:bodyDiv w:val="1"/>
      <w:marLeft w:val="0"/>
      <w:marRight w:val="0"/>
      <w:marTop w:val="0"/>
      <w:marBottom w:val="0"/>
      <w:divBdr>
        <w:top w:val="none" w:sz="0" w:space="0" w:color="auto"/>
        <w:left w:val="none" w:sz="0" w:space="0" w:color="auto"/>
        <w:bottom w:val="none" w:sz="0" w:space="0" w:color="auto"/>
        <w:right w:val="none" w:sz="0" w:space="0" w:color="auto"/>
      </w:divBdr>
    </w:div>
    <w:div w:id="49966249">
      <w:bodyDiv w:val="1"/>
      <w:marLeft w:val="0"/>
      <w:marRight w:val="0"/>
      <w:marTop w:val="0"/>
      <w:marBottom w:val="0"/>
      <w:divBdr>
        <w:top w:val="none" w:sz="0" w:space="0" w:color="auto"/>
        <w:left w:val="none" w:sz="0" w:space="0" w:color="auto"/>
        <w:bottom w:val="none" w:sz="0" w:space="0" w:color="auto"/>
        <w:right w:val="none" w:sz="0" w:space="0" w:color="auto"/>
      </w:divBdr>
    </w:div>
    <w:div w:id="50546989">
      <w:bodyDiv w:val="1"/>
      <w:marLeft w:val="0"/>
      <w:marRight w:val="0"/>
      <w:marTop w:val="0"/>
      <w:marBottom w:val="0"/>
      <w:divBdr>
        <w:top w:val="none" w:sz="0" w:space="0" w:color="auto"/>
        <w:left w:val="none" w:sz="0" w:space="0" w:color="auto"/>
        <w:bottom w:val="none" w:sz="0" w:space="0" w:color="auto"/>
        <w:right w:val="none" w:sz="0" w:space="0" w:color="auto"/>
      </w:divBdr>
    </w:div>
    <w:div w:id="51588200">
      <w:bodyDiv w:val="1"/>
      <w:marLeft w:val="0"/>
      <w:marRight w:val="0"/>
      <w:marTop w:val="0"/>
      <w:marBottom w:val="0"/>
      <w:divBdr>
        <w:top w:val="none" w:sz="0" w:space="0" w:color="auto"/>
        <w:left w:val="none" w:sz="0" w:space="0" w:color="auto"/>
        <w:bottom w:val="none" w:sz="0" w:space="0" w:color="auto"/>
        <w:right w:val="none" w:sz="0" w:space="0" w:color="auto"/>
      </w:divBdr>
    </w:div>
    <w:div w:id="52851705">
      <w:bodyDiv w:val="1"/>
      <w:marLeft w:val="0"/>
      <w:marRight w:val="0"/>
      <w:marTop w:val="0"/>
      <w:marBottom w:val="0"/>
      <w:divBdr>
        <w:top w:val="none" w:sz="0" w:space="0" w:color="auto"/>
        <w:left w:val="none" w:sz="0" w:space="0" w:color="auto"/>
        <w:bottom w:val="none" w:sz="0" w:space="0" w:color="auto"/>
        <w:right w:val="none" w:sz="0" w:space="0" w:color="auto"/>
      </w:divBdr>
    </w:div>
    <w:div w:id="54396004">
      <w:bodyDiv w:val="1"/>
      <w:marLeft w:val="0"/>
      <w:marRight w:val="0"/>
      <w:marTop w:val="0"/>
      <w:marBottom w:val="0"/>
      <w:divBdr>
        <w:top w:val="none" w:sz="0" w:space="0" w:color="auto"/>
        <w:left w:val="none" w:sz="0" w:space="0" w:color="auto"/>
        <w:bottom w:val="none" w:sz="0" w:space="0" w:color="auto"/>
        <w:right w:val="none" w:sz="0" w:space="0" w:color="auto"/>
      </w:divBdr>
    </w:div>
    <w:div w:id="55513218">
      <w:bodyDiv w:val="1"/>
      <w:marLeft w:val="0"/>
      <w:marRight w:val="0"/>
      <w:marTop w:val="0"/>
      <w:marBottom w:val="0"/>
      <w:divBdr>
        <w:top w:val="none" w:sz="0" w:space="0" w:color="auto"/>
        <w:left w:val="none" w:sz="0" w:space="0" w:color="auto"/>
        <w:bottom w:val="none" w:sz="0" w:space="0" w:color="auto"/>
        <w:right w:val="none" w:sz="0" w:space="0" w:color="auto"/>
      </w:divBdr>
    </w:div>
    <w:div w:id="56515852">
      <w:bodyDiv w:val="1"/>
      <w:marLeft w:val="0"/>
      <w:marRight w:val="0"/>
      <w:marTop w:val="0"/>
      <w:marBottom w:val="0"/>
      <w:divBdr>
        <w:top w:val="none" w:sz="0" w:space="0" w:color="auto"/>
        <w:left w:val="none" w:sz="0" w:space="0" w:color="auto"/>
        <w:bottom w:val="none" w:sz="0" w:space="0" w:color="auto"/>
        <w:right w:val="none" w:sz="0" w:space="0" w:color="auto"/>
      </w:divBdr>
    </w:div>
    <w:div w:id="57824190">
      <w:bodyDiv w:val="1"/>
      <w:marLeft w:val="0"/>
      <w:marRight w:val="0"/>
      <w:marTop w:val="0"/>
      <w:marBottom w:val="0"/>
      <w:divBdr>
        <w:top w:val="none" w:sz="0" w:space="0" w:color="auto"/>
        <w:left w:val="none" w:sz="0" w:space="0" w:color="auto"/>
        <w:bottom w:val="none" w:sz="0" w:space="0" w:color="auto"/>
        <w:right w:val="none" w:sz="0" w:space="0" w:color="auto"/>
      </w:divBdr>
    </w:div>
    <w:div w:id="58328757">
      <w:bodyDiv w:val="1"/>
      <w:marLeft w:val="0"/>
      <w:marRight w:val="0"/>
      <w:marTop w:val="0"/>
      <w:marBottom w:val="0"/>
      <w:divBdr>
        <w:top w:val="none" w:sz="0" w:space="0" w:color="auto"/>
        <w:left w:val="none" w:sz="0" w:space="0" w:color="auto"/>
        <w:bottom w:val="none" w:sz="0" w:space="0" w:color="auto"/>
        <w:right w:val="none" w:sz="0" w:space="0" w:color="auto"/>
      </w:divBdr>
    </w:div>
    <w:div w:id="59988644">
      <w:bodyDiv w:val="1"/>
      <w:marLeft w:val="0"/>
      <w:marRight w:val="0"/>
      <w:marTop w:val="0"/>
      <w:marBottom w:val="0"/>
      <w:divBdr>
        <w:top w:val="none" w:sz="0" w:space="0" w:color="auto"/>
        <w:left w:val="none" w:sz="0" w:space="0" w:color="auto"/>
        <w:bottom w:val="none" w:sz="0" w:space="0" w:color="auto"/>
        <w:right w:val="none" w:sz="0" w:space="0" w:color="auto"/>
      </w:divBdr>
    </w:div>
    <w:div w:id="60061389">
      <w:bodyDiv w:val="1"/>
      <w:marLeft w:val="0"/>
      <w:marRight w:val="0"/>
      <w:marTop w:val="0"/>
      <w:marBottom w:val="0"/>
      <w:divBdr>
        <w:top w:val="none" w:sz="0" w:space="0" w:color="auto"/>
        <w:left w:val="none" w:sz="0" w:space="0" w:color="auto"/>
        <w:bottom w:val="none" w:sz="0" w:space="0" w:color="auto"/>
        <w:right w:val="none" w:sz="0" w:space="0" w:color="auto"/>
      </w:divBdr>
    </w:div>
    <w:div w:id="60955234">
      <w:bodyDiv w:val="1"/>
      <w:marLeft w:val="0"/>
      <w:marRight w:val="0"/>
      <w:marTop w:val="0"/>
      <w:marBottom w:val="0"/>
      <w:divBdr>
        <w:top w:val="none" w:sz="0" w:space="0" w:color="auto"/>
        <w:left w:val="none" w:sz="0" w:space="0" w:color="auto"/>
        <w:bottom w:val="none" w:sz="0" w:space="0" w:color="auto"/>
        <w:right w:val="none" w:sz="0" w:space="0" w:color="auto"/>
      </w:divBdr>
    </w:div>
    <w:div w:id="61683021">
      <w:bodyDiv w:val="1"/>
      <w:marLeft w:val="0"/>
      <w:marRight w:val="0"/>
      <w:marTop w:val="0"/>
      <w:marBottom w:val="0"/>
      <w:divBdr>
        <w:top w:val="none" w:sz="0" w:space="0" w:color="auto"/>
        <w:left w:val="none" w:sz="0" w:space="0" w:color="auto"/>
        <w:bottom w:val="none" w:sz="0" w:space="0" w:color="auto"/>
        <w:right w:val="none" w:sz="0" w:space="0" w:color="auto"/>
      </w:divBdr>
    </w:div>
    <w:div w:id="61684610">
      <w:bodyDiv w:val="1"/>
      <w:marLeft w:val="0"/>
      <w:marRight w:val="0"/>
      <w:marTop w:val="0"/>
      <w:marBottom w:val="0"/>
      <w:divBdr>
        <w:top w:val="none" w:sz="0" w:space="0" w:color="auto"/>
        <w:left w:val="none" w:sz="0" w:space="0" w:color="auto"/>
        <w:bottom w:val="none" w:sz="0" w:space="0" w:color="auto"/>
        <w:right w:val="none" w:sz="0" w:space="0" w:color="auto"/>
      </w:divBdr>
    </w:div>
    <w:div w:id="62652676">
      <w:bodyDiv w:val="1"/>
      <w:marLeft w:val="0"/>
      <w:marRight w:val="0"/>
      <w:marTop w:val="0"/>
      <w:marBottom w:val="0"/>
      <w:divBdr>
        <w:top w:val="none" w:sz="0" w:space="0" w:color="auto"/>
        <w:left w:val="none" w:sz="0" w:space="0" w:color="auto"/>
        <w:bottom w:val="none" w:sz="0" w:space="0" w:color="auto"/>
        <w:right w:val="none" w:sz="0" w:space="0" w:color="auto"/>
      </w:divBdr>
    </w:div>
    <w:div w:id="63111924">
      <w:bodyDiv w:val="1"/>
      <w:marLeft w:val="0"/>
      <w:marRight w:val="0"/>
      <w:marTop w:val="0"/>
      <w:marBottom w:val="0"/>
      <w:divBdr>
        <w:top w:val="none" w:sz="0" w:space="0" w:color="auto"/>
        <w:left w:val="none" w:sz="0" w:space="0" w:color="auto"/>
        <w:bottom w:val="none" w:sz="0" w:space="0" w:color="auto"/>
        <w:right w:val="none" w:sz="0" w:space="0" w:color="auto"/>
      </w:divBdr>
    </w:div>
    <w:div w:id="63184424">
      <w:bodyDiv w:val="1"/>
      <w:marLeft w:val="0"/>
      <w:marRight w:val="0"/>
      <w:marTop w:val="0"/>
      <w:marBottom w:val="0"/>
      <w:divBdr>
        <w:top w:val="none" w:sz="0" w:space="0" w:color="auto"/>
        <w:left w:val="none" w:sz="0" w:space="0" w:color="auto"/>
        <w:bottom w:val="none" w:sz="0" w:space="0" w:color="auto"/>
        <w:right w:val="none" w:sz="0" w:space="0" w:color="auto"/>
      </w:divBdr>
    </w:div>
    <w:div w:id="63378453">
      <w:bodyDiv w:val="1"/>
      <w:marLeft w:val="0"/>
      <w:marRight w:val="0"/>
      <w:marTop w:val="0"/>
      <w:marBottom w:val="0"/>
      <w:divBdr>
        <w:top w:val="none" w:sz="0" w:space="0" w:color="auto"/>
        <w:left w:val="none" w:sz="0" w:space="0" w:color="auto"/>
        <w:bottom w:val="none" w:sz="0" w:space="0" w:color="auto"/>
        <w:right w:val="none" w:sz="0" w:space="0" w:color="auto"/>
      </w:divBdr>
    </w:div>
    <w:div w:id="63601276">
      <w:bodyDiv w:val="1"/>
      <w:marLeft w:val="0"/>
      <w:marRight w:val="0"/>
      <w:marTop w:val="0"/>
      <w:marBottom w:val="0"/>
      <w:divBdr>
        <w:top w:val="none" w:sz="0" w:space="0" w:color="auto"/>
        <w:left w:val="none" w:sz="0" w:space="0" w:color="auto"/>
        <w:bottom w:val="none" w:sz="0" w:space="0" w:color="auto"/>
        <w:right w:val="none" w:sz="0" w:space="0" w:color="auto"/>
      </w:divBdr>
    </w:div>
    <w:div w:id="63846020">
      <w:bodyDiv w:val="1"/>
      <w:marLeft w:val="0"/>
      <w:marRight w:val="0"/>
      <w:marTop w:val="0"/>
      <w:marBottom w:val="0"/>
      <w:divBdr>
        <w:top w:val="none" w:sz="0" w:space="0" w:color="auto"/>
        <w:left w:val="none" w:sz="0" w:space="0" w:color="auto"/>
        <w:bottom w:val="none" w:sz="0" w:space="0" w:color="auto"/>
        <w:right w:val="none" w:sz="0" w:space="0" w:color="auto"/>
      </w:divBdr>
    </w:div>
    <w:div w:id="63963313">
      <w:bodyDiv w:val="1"/>
      <w:marLeft w:val="0"/>
      <w:marRight w:val="0"/>
      <w:marTop w:val="0"/>
      <w:marBottom w:val="0"/>
      <w:divBdr>
        <w:top w:val="none" w:sz="0" w:space="0" w:color="auto"/>
        <w:left w:val="none" w:sz="0" w:space="0" w:color="auto"/>
        <w:bottom w:val="none" w:sz="0" w:space="0" w:color="auto"/>
        <w:right w:val="none" w:sz="0" w:space="0" w:color="auto"/>
      </w:divBdr>
    </w:div>
    <w:div w:id="65617513">
      <w:bodyDiv w:val="1"/>
      <w:marLeft w:val="0"/>
      <w:marRight w:val="0"/>
      <w:marTop w:val="0"/>
      <w:marBottom w:val="0"/>
      <w:divBdr>
        <w:top w:val="none" w:sz="0" w:space="0" w:color="auto"/>
        <w:left w:val="none" w:sz="0" w:space="0" w:color="auto"/>
        <w:bottom w:val="none" w:sz="0" w:space="0" w:color="auto"/>
        <w:right w:val="none" w:sz="0" w:space="0" w:color="auto"/>
      </w:divBdr>
    </w:div>
    <w:div w:id="67119571">
      <w:bodyDiv w:val="1"/>
      <w:marLeft w:val="0"/>
      <w:marRight w:val="0"/>
      <w:marTop w:val="0"/>
      <w:marBottom w:val="0"/>
      <w:divBdr>
        <w:top w:val="none" w:sz="0" w:space="0" w:color="auto"/>
        <w:left w:val="none" w:sz="0" w:space="0" w:color="auto"/>
        <w:bottom w:val="none" w:sz="0" w:space="0" w:color="auto"/>
        <w:right w:val="none" w:sz="0" w:space="0" w:color="auto"/>
      </w:divBdr>
    </w:div>
    <w:div w:id="68503087">
      <w:bodyDiv w:val="1"/>
      <w:marLeft w:val="0"/>
      <w:marRight w:val="0"/>
      <w:marTop w:val="0"/>
      <w:marBottom w:val="0"/>
      <w:divBdr>
        <w:top w:val="none" w:sz="0" w:space="0" w:color="auto"/>
        <w:left w:val="none" w:sz="0" w:space="0" w:color="auto"/>
        <w:bottom w:val="none" w:sz="0" w:space="0" w:color="auto"/>
        <w:right w:val="none" w:sz="0" w:space="0" w:color="auto"/>
      </w:divBdr>
    </w:div>
    <w:div w:id="69206327">
      <w:bodyDiv w:val="1"/>
      <w:marLeft w:val="0"/>
      <w:marRight w:val="0"/>
      <w:marTop w:val="0"/>
      <w:marBottom w:val="0"/>
      <w:divBdr>
        <w:top w:val="none" w:sz="0" w:space="0" w:color="auto"/>
        <w:left w:val="none" w:sz="0" w:space="0" w:color="auto"/>
        <w:bottom w:val="none" w:sz="0" w:space="0" w:color="auto"/>
        <w:right w:val="none" w:sz="0" w:space="0" w:color="auto"/>
      </w:divBdr>
    </w:div>
    <w:div w:id="70083468">
      <w:bodyDiv w:val="1"/>
      <w:marLeft w:val="0"/>
      <w:marRight w:val="0"/>
      <w:marTop w:val="0"/>
      <w:marBottom w:val="0"/>
      <w:divBdr>
        <w:top w:val="none" w:sz="0" w:space="0" w:color="auto"/>
        <w:left w:val="none" w:sz="0" w:space="0" w:color="auto"/>
        <w:bottom w:val="none" w:sz="0" w:space="0" w:color="auto"/>
        <w:right w:val="none" w:sz="0" w:space="0" w:color="auto"/>
      </w:divBdr>
    </w:div>
    <w:div w:id="70930950">
      <w:bodyDiv w:val="1"/>
      <w:marLeft w:val="0"/>
      <w:marRight w:val="0"/>
      <w:marTop w:val="0"/>
      <w:marBottom w:val="0"/>
      <w:divBdr>
        <w:top w:val="none" w:sz="0" w:space="0" w:color="auto"/>
        <w:left w:val="none" w:sz="0" w:space="0" w:color="auto"/>
        <w:bottom w:val="none" w:sz="0" w:space="0" w:color="auto"/>
        <w:right w:val="none" w:sz="0" w:space="0" w:color="auto"/>
      </w:divBdr>
    </w:div>
    <w:div w:id="71781352">
      <w:bodyDiv w:val="1"/>
      <w:marLeft w:val="0"/>
      <w:marRight w:val="0"/>
      <w:marTop w:val="0"/>
      <w:marBottom w:val="0"/>
      <w:divBdr>
        <w:top w:val="none" w:sz="0" w:space="0" w:color="auto"/>
        <w:left w:val="none" w:sz="0" w:space="0" w:color="auto"/>
        <w:bottom w:val="none" w:sz="0" w:space="0" w:color="auto"/>
        <w:right w:val="none" w:sz="0" w:space="0" w:color="auto"/>
      </w:divBdr>
    </w:div>
    <w:div w:id="71858663">
      <w:bodyDiv w:val="1"/>
      <w:marLeft w:val="0"/>
      <w:marRight w:val="0"/>
      <w:marTop w:val="0"/>
      <w:marBottom w:val="0"/>
      <w:divBdr>
        <w:top w:val="none" w:sz="0" w:space="0" w:color="auto"/>
        <w:left w:val="none" w:sz="0" w:space="0" w:color="auto"/>
        <w:bottom w:val="none" w:sz="0" w:space="0" w:color="auto"/>
        <w:right w:val="none" w:sz="0" w:space="0" w:color="auto"/>
      </w:divBdr>
    </w:div>
    <w:div w:id="7282641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3406617">
      <w:bodyDiv w:val="1"/>
      <w:marLeft w:val="0"/>
      <w:marRight w:val="0"/>
      <w:marTop w:val="0"/>
      <w:marBottom w:val="0"/>
      <w:divBdr>
        <w:top w:val="none" w:sz="0" w:space="0" w:color="auto"/>
        <w:left w:val="none" w:sz="0" w:space="0" w:color="auto"/>
        <w:bottom w:val="none" w:sz="0" w:space="0" w:color="auto"/>
        <w:right w:val="none" w:sz="0" w:space="0" w:color="auto"/>
      </w:divBdr>
    </w:div>
    <w:div w:id="74010792">
      <w:bodyDiv w:val="1"/>
      <w:marLeft w:val="0"/>
      <w:marRight w:val="0"/>
      <w:marTop w:val="0"/>
      <w:marBottom w:val="0"/>
      <w:divBdr>
        <w:top w:val="none" w:sz="0" w:space="0" w:color="auto"/>
        <w:left w:val="none" w:sz="0" w:space="0" w:color="auto"/>
        <w:bottom w:val="none" w:sz="0" w:space="0" w:color="auto"/>
        <w:right w:val="none" w:sz="0" w:space="0" w:color="auto"/>
      </w:divBdr>
    </w:div>
    <w:div w:id="74478940">
      <w:bodyDiv w:val="1"/>
      <w:marLeft w:val="0"/>
      <w:marRight w:val="0"/>
      <w:marTop w:val="0"/>
      <w:marBottom w:val="0"/>
      <w:divBdr>
        <w:top w:val="none" w:sz="0" w:space="0" w:color="auto"/>
        <w:left w:val="none" w:sz="0" w:space="0" w:color="auto"/>
        <w:bottom w:val="none" w:sz="0" w:space="0" w:color="auto"/>
        <w:right w:val="none" w:sz="0" w:space="0" w:color="auto"/>
      </w:divBdr>
    </w:div>
    <w:div w:id="74980678">
      <w:bodyDiv w:val="1"/>
      <w:marLeft w:val="0"/>
      <w:marRight w:val="0"/>
      <w:marTop w:val="0"/>
      <w:marBottom w:val="0"/>
      <w:divBdr>
        <w:top w:val="none" w:sz="0" w:space="0" w:color="auto"/>
        <w:left w:val="none" w:sz="0" w:space="0" w:color="auto"/>
        <w:bottom w:val="none" w:sz="0" w:space="0" w:color="auto"/>
        <w:right w:val="none" w:sz="0" w:space="0" w:color="auto"/>
      </w:divBdr>
    </w:div>
    <w:div w:id="76488665">
      <w:bodyDiv w:val="1"/>
      <w:marLeft w:val="0"/>
      <w:marRight w:val="0"/>
      <w:marTop w:val="0"/>
      <w:marBottom w:val="0"/>
      <w:divBdr>
        <w:top w:val="none" w:sz="0" w:space="0" w:color="auto"/>
        <w:left w:val="none" w:sz="0" w:space="0" w:color="auto"/>
        <w:bottom w:val="none" w:sz="0" w:space="0" w:color="auto"/>
        <w:right w:val="none" w:sz="0" w:space="0" w:color="auto"/>
      </w:divBdr>
    </w:div>
    <w:div w:id="76560209">
      <w:bodyDiv w:val="1"/>
      <w:marLeft w:val="0"/>
      <w:marRight w:val="0"/>
      <w:marTop w:val="0"/>
      <w:marBottom w:val="0"/>
      <w:divBdr>
        <w:top w:val="none" w:sz="0" w:space="0" w:color="auto"/>
        <w:left w:val="none" w:sz="0" w:space="0" w:color="auto"/>
        <w:bottom w:val="none" w:sz="0" w:space="0" w:color="auto"/>
        <w:right w:val="none" w:sz="0" w:space="0" w:color="auto"/>
      </w:divBdr>
    </w:div>
    <w:div w:id="76829867">
      <w:bodyDiv w:val="1"/>
      <w:marLeft w:val="0"/>
      <w:marRight w:val="0"/>
      <w:marTop w:val="0"/>
      <w:marBottom w:val="0"/>
      <w:divBdr>
        <w:top w:val="none" w:sz="0" w:space="0" w:color="auto"/>
        <w:left w:val="none" w:sz="0" w:space="0" w:color="auto"/>
        <w:bottom w:val="none" w:sz="0" w:space="0" w:color="auto"/>
        <w:right w:val="none" w:sz="0" w:space="0" w:color="auto"/>
      </w:divBdr>
    </w:div>
    <w:div w:id="78136601">
      <w:bodyDiv w:val="1"/>
      <w:marLeft w:val="0"/>
      <w:marRight w:val="0"/>
      <w:marTop w:val="0"/>
      <w:marBottom w:val="0"/>
      <w:divBdr>
        <w:top w:val="none" w:sz="0" w:space="0" w:color="auto"/>
        <w:left w:val="none" w:sz="0" w:space="0" w:color="auto"/>
        <w:bottom w:val="none" w:sz="0" w:space="0" w:color="auto"/>
        <w:right w:val="none" w:sz="0" w:space="0" w:color="auto"/>
      </w:divBdr>
    </w:div>
    <w:div w:id="79447874">
      <w:bodyDiv w:val="1"/>
      <w:marLeft w:val="0"/>
      <w:marRight w:val="0"/>
      <w:marTop w:val="0"/>
      <w:marBottom w:val="0"/>
      <w:divBdr>
        <w:top w:val="none" w:sz="0" w:space="0" w:color="auto"/>
        <w:left w:val="none" w:sz="0" w:space="0" w:color="auto"/>
        <w:bottom w:val="none" w:sz="0" w:space="0" w:color="auto"/>
        <w:right w:val="none" w:sz="0" w:space="0" w:color="auto"/>
      </w:divBdr>
    </w:div>
    <w:div w:id="81100352">
      <w:bodyDiv w:val="1"/>
      <w:marLeft w:val="0"/>
      <w:marRight w:val="0"/>
      <w:marTop w:val="0"/>
      <w:marBottom w:val="0"/>
      <w:divBdr>
        <w:top w:val="none" w:sz="0" w:space="0" w:color="auto"/>
        <w:left w:val="none" w:sz="0" w:space="0" w:color="auto"/>
        <w:bottom w:val="none" w:sz="0" w:space="0" w:color="auto"/>
        <w:right w:val="none" w:sz="0" w:space="0" w:color="auto"/>
      </w:divBdr>
    </w:div>
    <w:div w:id="82576060">
      <w:bodyDiv w:val="1"/>
      <w:marLeft w:val="0"/>
      <w:marRight w:val="0"/>
      <w:marTop w:val="0"/>
      <w:marBottom w:val="0"/>
      <w:divBdr>
        <w:top w:val="none" w:sz="0" w:space="0" w:color="auto"/>
        <w:left w:val="none" w:sz="0" w:space="0" w:color="auto"/>
        <w:bottom w:val="none" w:sz="0" w:space="0" w:color="auto"/>
        <w:right w:val="none" w:sz="0" w:space="0" w:color="auto"/>
      </w:divBdr>
    </w:div>
    <w:div w:id="83571860">
      <w:bodyDiv w:val="1"/>
      <w:marLeft w:val="0"/>
      <w:marRight w:val="0"/>
      <w:marTop w:val="0"/>
      <w:marBottom w:val="0"/>
      <w:divBdr>
        <w:top w:val="none" w:sz="0" w:space="0" w:color="auto"/>
        <w:left w:val="none" w:sz="0" w:space="0" w:color="auto"/>
        <w:bottom w:val="none" w:sz="0" w:space="0" w:color="auto"/>
        <w:right w:val="none" w:sz="0" w:space="0" w:color="auto"/>
      </w:divBdr>
    </w:div>
    <w:div w:id="83769700">
      <w:bodyDiv w:val="1"/>
      <w:marLeft w:val="0"/>
      <w:marRight w:val="0"/>
      <w:marTop w:val="0"/>
      <w:marBottom w:val="0"/>
      <w:divBdr>
        <w:top w:val="none" w:sz="0" w:space="0" w:color="auto"/>
        <w:left w:val="none" w:sz="0" w:space="0" w:color="auto"/>
        <w:bottom w:val="none" w:sz="0" w:space="0" w:color="auto"/>
        <w:right w:val="none" w:sz="0" w:space="0" w:color="auto"/>
      </w:divBdr>
    </w:div>
    <w:div w:id="83847054">
      <w:bodyDiv w:val="1"/>
      <w:marLeft w:val="0"/>
      <w:marRight w:val="0"/>
      <w:marTop w:val="0"/>
      <w:marBottom w:val="0"/>
      <w:divBdr>
        <w:top w:val="none" w:sz="0" w:space="0" w:color="auto"/>
        <w:left w:val="none" w:sz="0" w:space="0" w:color="auto"/>
        <w:bottom w:val="none" w:sz="0" w:space="0" w:color="auto"/>
        <w:right w:val="none" w:sz="0" w:space="0" w:color="auto"/>
      </w:divBdr>
    </w:div>
    <w:div w:id="85001963">
      <w:bodyDiv w:val="1"/>
      <w:marLeft w:val="0"/>
      <w:marRight w:val="0"/>
      <w:marTop w:val="0"/>
      <w:marBottom w:val="0"/>
      <w:divBdr>
        <w:top w:val="none" w:sz="0" w:space="0" w:color="auto"/>
        <w:left w:val="none" w:sz="0" w:space="0" w:color="auto"/>
        <w:bottom w:val="none" w:sz="0" w:space="0" w:color="auto"/>
        <w:right w:val="none" w:sz="0" w:space="0" w:color="auto"/>
      </w:divBdr>
    </w:div>
    <w:div w:id="85032574">
      <w:bodyDiv w:val="1"/>
      <w:marLeft w:val="0"/>
      <w:marRight w:val="0"/>
      <w:marTop w:val="0"/>
      <w:marBottom w:val="0"/>
      <w:divBdr>
        <w:top w:val="none" w:sz="0" w:space="0" w:color="auto"/>
        <w:left w:val="none" w:sz="0" w:space="0" w:color="auto"/>
        <w:bottom w:val="none" w:sz="0" w:space="0" w:color="auto"/>
        <w:right w:val="none" w:sz="0" w:space="0" w:color="auto"/>
      </w:divBdr>
    </w:div>
    <w:div w:id="85155646">
      <w:bodyDiv w:val="1"/>
      <w:marLeft w:val="0"/>
      <w:marRight w:val="0"/>
      <w:marTop w:val="0"/>
      <w:marBottom w:val="0"/>
      <w:divBdr>
        <w:top w:val="none" w:sz="0" w:space="0" w:color="auto"/>
        <w:left w:val="none" w:sz="0" w:space="0" w:color="auto"/>
        <w:bottom w:val="none" w:sz="0" w:space="0" w:color="auto"/>
        <w:right w:val="none" w:sz="0" w:space="0" w:color="auto"/>
      </w:divBdr>
    </w:div>
    <w:div w:id="85806992">
      <w:bodyDiv w:val="1"/>
      <w:marLeft w:val="0"/>
      <w:marRight w:val="0"/>
      <w:marTop w:val="0"/>
      <w:marBottom w:val="0"/>
      <w:divBdr>
        <w:top w:val="none" w:sz="0" w:space="0" w:color="auto"/>
        <w:left w:val="none" w:sz="0" w:space="0" w:color="auto"/>
        <w:bottom w:val="none" w:sz="0" w:space="0" w:color="auto"/>
        <w:right w:val="none" w:sz="0" w:space="0" w:color="auto"/>
      </w:divBdr>
    </w:div>
    <w:div w:id="87241163">
      <w:bodyDiv w:val="1"/>
      <w:marLeft w:val="0"/>
      <w:marRight w:val="0"/>
      <w:marTop w:val="0"/>
      <w:marBottom w:val="0"/>
      <w:divBdr>
        <w:top w:val="none" w:sz="0" w:space="0" w:color="auto"/>
        <w:left w:val="none" w:sz="0" w:space="0" w:color="auto"/>
        <w:bottom w:val="none" w:sz="0" w:space="0" w:color="auto"/>
        <w:right w:val="none" w:sz="0" w:space="0" w:color="auto"/>
      </w:divBdr>
    </w:div>
    <w:div w:id="87241644">
      <w:bodyDiv w:val="1"/>
      <w:marLeft w:val="0"/>
      <w:marRight w:val="0"/>
      <w:marTop w:val="0"/>
      <w:marBottom w:val="0"/>
      <w:divBdr>
        <w:top w:val="none" w:sz="0" w:space="0" w:color="auto"/>
        <w:left w:val="none" w:sz="0" w:space="0" w:color="auto"/>
        <w:bottom w:val="none" w:sz="0" w:space="0" w:color="auto"/>
        <w:right w:val="none" w:sz="0" w:space="0" w:color="auto"/>
      </w:divBdr>
    </w:div>
    <w:div w:id="87586675">
      <w:bodyDiv w:val="1"/>
      <w:marLeft w:val="0"/>
      <w:marRight w:val="0"/>
      <w:marTop w:val="0"/>
      <w:marBottom w:val="0"/>
      <w:divBdr>
        <w:top w:val="none" w:sz="0" w:space="0" w:color="auto"/>
        <w:left w:val="none" w:sz="0" w:space="0" w:color="auto"/>
        <w:bottom w:val="none" w:sz="0" w:space="0" w:color="auto"/>
        <w:right w:val="none" w:sz="0" w:space="0" w:color="auto"/>
      </w:divBdr>
    </w:div>
    <w:div w:id="88624086">
      <w:bodyDiv w:val="1"/>
      <w:marLeft w:val="0"/>
      <w:marRight w:val="0"/>
      <w:marTop w:val="0"/>
      <w:marBottom w:val="0"/>
      <w:divBdr>
        <w:top w:val="none" w:sz="0" w:space="0" w:color="auto"/>
        <w:left w:val="none" w:sz="0" w:space="0" w:color="auto"/>
        <w:bottom w:val="none" w:sz="0" w:space="0" w:color="auto"/>
        <w:right w:val="none" w:sz="0" w:space="0" w:color="auto"/>
      </w:divBdr>
    </w:div>
    <w:div w:id="89592099">
      <w:bodyDiv w:val="1"/>
      <w:marLeft w:val="0"/>
      <w:marRight w:val="0"/>
      <w:marTop w:val="0"/>
      <w:marBottom w:val="0"/>
      <w:divBdr>
        <w:top w:val="none" w:sz="0" w:space="0" w:color="auto"/>
        <w:left w:val="none" w:sz="0" w:space="0" w:color="auto"/>
        <w:bottom w:val="none" w:sz="0" w:space="0" w:color="auto"/>
        <w:right w:val="none" w:sz="0" w:space="0" w:color="auto"/>
      </w:divBdr>
    </w:div>
    <w:div w:id="90126352">
      <w:bodyDiv w:val="1"/>
      <w:marLeft w:val="0"/>
      <w:marRight w:val="0"/>
      <w:marTop w:val="0"/>
      <w:marBottom w:val="0"/>
      <w:divBdr>
        <w:top w:val="none" w:sz="0" w:space="0" w:color="auto"/>
        <w:left w:val="none" w:sz="0" w:space="0" w:color="auto"/>
        <w:bottom w:val="none" w:sz="0" w:space="0" w:color="auto"/>
        <w:right w:val="none" w:sz="0" w:space="0" w:color="auto"/>
      </w:divBdr>
    </w:div>
    <w:div w:id="90317530">
      <w:bodyDiv w:val="1"/>
      <w:marLeft w:val="0"/>
      <w:marRight w:val="0"/>
      <w:marTop w:val="0"/>
      <w:marBottom w:val="0"/>
      <w:divBdr>
        <w:top w:val="none" w:sz="0" w:space="0" w:color="auto"/>
        <w:left w:val="none" w:sz="0" w:space="0" w:color="auto"/>
        <w:bottom w:val="none" w:sz="0" w:space="0" w:color="auto"/>
        <w:right w:val="none" w:sz="0" w:space="0" w:color="auto"/>
      </w:divBdr>
    </w:div>
    <w:div w:id="91902149">
      <w:bodyDiv w:val="1"/>
      <w:marLeft w:val="0"/>
      <w:marRight w:val="0"/>
      <w:marTop w:val="0"/>
      <w:marBottom w:val="0"/>
      <w:divBdr>
        <w:top w:val="none" w:sz="0" w:space="0" w:color="auto"/>
        <w:left w:val="none" w:sz="0" w:space="0" w:color="auto"/>
        <w:bottom w:val="none" w:sz="0" w:space="0" w:color="auto"/>
        <w:right w:val="none" w:sz="0" w:space="0" w:color="auto"/>
      </w:divBdr>
    </w:div>
    <w:div w:id="92671558">
      <w:bodyDiv w:val="1"/>
      <w:marLeft w:val="0"/>
      <w:marRight w:val="0"/>
      <w:marTop w:val="0"/>
      <w:marBottom w:val="0"/>
      <w:divBdr>
        <w:top w:val="none" w:sz="0" w:space="0" w:color="auto"/>
        <w:left w:val="none" w:sz="0" w:space="0" w:color="auto"/>
        <w:bottom w:val="none" w:sz="0" w:space="0" w:color="auto"/>
        <w:right w:val="none" w:sz="0" w:space="0" w:color="auto"/>
      </w:divBdr>
    </w:div>
    <w:div w:id="92823897">
      <w:bodyDiv w:val="1"/>
      <w:marLeft w:val="0"/>
      <w:marRight w:val="0"/>
      <w:marTop w:val="0"/>
      <w:marBottom w:val="0"/>
      <w:divBdr>
        <w:top w:val="none" w:sz="0" w:space="0" w:color="auto"/>
        <w:left w:val="none" w:sz="0" w:space="0" w:color="auto"/>
        <w:bottom w:val="none" w:sz="0" w:space="0" w:color="auto"/>
        <w:right w:val="none" w:sz="0" w:space="0" w:color="auto"/>
      </w:divBdr>
    </w:div>
    <w:div w:id="93717201">
      <w:bodyDiv w:val="1"/>
      <w:marLeft w:val="0"/>
      <w:marRight w:val="0"/>
      <w:marTop w:val="0"/>
      <w:marBottom w:val="0"/>
      <w:divBdr>
        <w:top w:val="none" w:sz="0" w:space="0" w:color="auto"/>
        <w:left w:val="none" w:sz="0" w:space="0" w:color="auto"/>
        <w:bottom w:val="none" w:sz="0" w:space="0" w:color="auto"/>
        <w:right w:val="none" w:sz="0" w:space="0" w:color="auto"/>
      </w:divBdr>
    </w:div>
    <w:div w:id="93987068">
      <w:bodyDiv w:val="1"/>
      <w:marLeft w:val="0"/>
      <w:marRight w:val="0"/>
      <w:marTop w:val="0"/>
      <w:marBottom w:val="0"/>
      <w:divBdr>
        <w:top w:val="none" w:sz="0" w:space="0" w:color="auto"/>
        <w:left w:val="none" w:sz="0" w:space="0" w:color="auto"/>
        <w:bottom w:val="none" w:sz="0" w:space="0" w:color="auto"/>
        <w:right w:val="none" w:sz="0" w:space="0" w:color="auto"/>
      </w:divBdr>
    </w:div>
    <w:div w:id="94176647">
      <w:bodyDiv w:val="1"/>
      <w:marLeft w:val="0"/>
      <w:marRight w:val="0"/>
      <w:marTop w:val="0"/>
      <w:marBottom w:val="0"/>
      <w:divBdr>
        <w:top w:val="none" w:sz="0" w:space="0" w:color="auto"/>
        <w:left w:val="none" w:sz="0" w:space="0" w:color="auto"/>
        <w:bottom w:val="none" w:sz="0" w:space="0" w:color="auto"/>
        <w:right w:val="none" w:sz="0" w:space="0" w:color="auto"/>
      </w:divBdr>
    </w:div>
    <w:div w:id="94443640">
      <w:bodyDiv w:val="1"/>
      <w:marLeft w:val="0"/>
      <w:marRight w:val="0"/>
      <w:marTop w:val="0"/>
      <w:marBottom w:val="0"/>
      <w:divBdr>
        <w:top w:val="none" w:sz="0" w:space="0" w:color="auto"/>
        <w:left w:val="none" w:sz="0" w:space="0" w:color="auto"/>
        <w:bottom w:val="none" w:sz="0" w:space="0" w:color="auto"/>
        <w:right w:val="none" w:sz="0" w:space="0" w:color="auto"/>
      </w:divBdr>
    </w:div>
    <w:div w:id="96874313">
      <w:bodyDiv w:val="1"/>
      <w:marLeft w:val="0"/>
      <w:marRight w:val="0"/>
      <w:marTop w:val="0"/>
      <w:marBottom w:val="0"/>
      <w:divBdr>
        <w:top w:val="none" w:sz="0" w:space="0" w:color="auto"/>
        <w:left w:val="none" w:sz="0" w:space="0" w:color="auto"/>
        <w:bottom w:val="none" w:sz="0" w:space="0" w:color="auto"/>
        <w:right w:val="none" w:sz="0" w:space="0" w:color="auto"/>
      </w:divBdr>
    </w:div>
    <w:div w:id="97022297">
      <w:bodyDiv w:val="1"/>
      <w:marLeft w:val="0"/>
      <w:marRight w:val="0"/>
      <w:marTop w:val="0"/>
      <w:marBottom w:val="0"/>
      <w:divBdr>
        <w:top w:val="none" w:sz="0" w:space="0" w:color="auto"/>
        <w:left w:val="none" w:sz="0" w:space="0" w:color="auto"/>
        <w:bottom w:val="none" w:sz="0" w:space="0" w:color="auto"/>
        <w:right w:val="none" w:sz="0" w:space="0" w:color="auto"/>
      </w:divBdr>
    </w:div>
    <w:div w:id="98570191">
      <w:bodyDiv w:val="1"/>
      <w:marLeft w:val="0"/>
      <w:marRight w:val="0"/>
      <w:marTop w:val="0"/>
      <w:marBottom w:val="0"/>
      <w:divBdr>
        <w:top w:val="none" w:sz="0" w:space="0" w:color="auto"/>
        <w:left w:val="none" w:sz="0" w:space="0" w:color="auto"/>
        <w:bottom w:val="none" w:sz="0" w:space="0" w:color="auto"/>
        <w:right w:val="none" w:sz="0" w:space="0" w:color="auto"/>
      </w:divBdr>
    </w:div>
    <w:div w:id="98646420">
      <w:bodyDiv w:val="1"/>
      <w:marLeft w:val="0"/>
      <w:marRight w:val="0"/>
      <w:marTop w:val="0"/>
      <w:marBottom w:val="0"/>
      <w:divBdr>
        <w:top w:val="none" w:sz="0" w:space="0" w:color="auto"/>
        <w:left w:val="none" w:sz="0" w:space="0" w:color="auto"/>
        <w:bottom w:val="none" w:sz="0" w:space="0" w:color="auto"/>
        <w:right w:val="none" w:sz="0" w:space="0" w:color="auto"/>
      </w:divBdr>
    </w:div>
    <w:div w:id="99106827">
      <w:bodyDiv w:val="1"/>
      <w:marLeft w:val="0"/>
      <w:marRight w:val="0"/>
      <w:marTop w:val="0"/>
      <w:marBottom w:val="0"/>
      <w:divBdr>
        <w:top w:val="none" w:sz="0" w:space="0" w:color="auto"/>
        <w:left w:val="none" w:sz="0" w:space="0" w:color="auto"/>
        <w:bottom w:val="none" w:sz="0" w:space="0" w:color="auto"/>
        <w:right w:val="none" w:sz="0" w:space="0" w:color="auto"/>
      </w:divBdr>
    </w:div>
    <w:div w:id="102116603">
      <w:bodyDiv w:val="1"/>
      <w:marLeft w:val="0"/>
      <w:marRight w:val="0"/>
      <w:marTop w:val="0"/>
      <w:marBottom w:val="0"/>
      <w:divBdr>
        <w:top w:val="none" w:sz="0" w:space="0" w:color="auto"/>
        <w:left w:val="none" w:sz="0" w:space="0" w:color="auto"/>
        <w:bottom w:val="none" w:sz="0" w:space="0" w:color="auto"/>
        <w:right w:val="none" w:sz="0" w:space="0" w:color="auto"/>
      </w:divBdr>
    </w:div>
    <w:div w:id="102505896">
      <w:bodyDiv w:val="1"/>
      <w:marLeft w:val="0"/>
      <w:marRight w:val="0"/>
      <w:marTop w:val="0"/>
      <w:marBottom w:val="0"/>
      <w:divBdr>
        <w:top w:val="none" w:sz="0" w:space="0" w:color="auto"/>
        <w:left w:val="none" w:sz="0" w:space="0" w:color="auto"/>
        <w:bottom w:val="none" w:sz="0" w:space="0" w:color="auto"/>
        <w:right w:val="none" w:sz="0" w:space="0" w:color="auto"/>
      </w:divBdr>
    </w:div>
    <w:div w:id="102843513">
      <w:bodyDiv w:val="1"/>
      <w:marLeft w:val="0"/>
      <w:marRight w:val="0"/>
      <w:marTop w:val="0"/>
      <w:marBottom w:val="0"/>
      <w:divBdr>
        <w:top w:val="none" w:sz="0" w:space="0" w:color="auto"/>
        <w:left w:val="none" w:sz="0" w:space="0" w:color="auto"/>
        <w:bottom w:val="none" w:sz="0" w:space="0" w:color="auto"/>
        <w:right w:val="none" w:sz="0" w:space="0" w:color="auto"/>
      </w:divBdr>
    </w:div>
    <w:div w:id="103232311">
      <w:bodyDiv w:val="1"/>
      <w:marLeft w:val="0"/>
      <w:marRight w:val="0"/>
      <w:marTop w:val="0"/>
      <w:marBottom w:val="0"/>
      <w:divBdr>
        <w:top w:val="none" w:sz="0" w:space="0" w:color="auto"/>
        <w:left w:val="none" w:sz="0" w:space="0" w:color="auto"/>
        <w:bottom w:val="none" w:sz="0" w:space="0" w:color="auto"/>
        <w:right w:val="none" w:sz="0" w:space="0" w:color="auto"/>
      </w:divBdr>
    </w:div>
    <w:div w:id="103575466">
      <w:bodyDiv w:val="1"/>
      <w:marLeft w:val="0"/>
      <w:marRight w:val="0"/>
      <w:marTop w:val="0"/>
      <w:marBottom w:val="0"/>
      <w:divBdr>
        <w:top w:val="none" w:sz="0" w:space="0" w:color="auto"/>
        <w:left w:val="none" w:sz="0" w:space="0" w:color="auto"/>
        <w:bottom w:val="none" w:sz="0" w:space="0" w:color="auto"/>
        <w:right w:val="none" w:sz="0" w:space="0" w:color="auto"/>
      </w:divBdr>
    </w:div>
    <w:div w:id="104038170">
      <w:bodyDiv w:val="1"/>
      <w:marLeft w:val="0"/>
      <w:marRight w:val="0"/>
      <w:marTop w:val="0"/>
      <w:marBottom w:val="0"/>
      <w:divBdr>
        <w:top w:val="none" w:sz="0" w:space="0" w:color="auto"/>
        <w:left w:val="none" w:sz="0" w:space="0" w:color="auto"/>
        <w:bottom w:val="none" w:sz="0" w:space="0" w:color="auto"/>
        <w:right w:val="none" w:sz="0" w:space="0" w:color="auto"/>
      </w:divBdr>
    </w:div>
    <w:div w:id="108403366">
      <w:bodyDiv w:val="1"/>
      <w:marLeft w:val="0"/>
      <w:marRight w:val="0"/>
      <w:marTop w:val="0"/>
      <w:marBottom w:val="0"/>
      <w:divBdr>
        <w:top w:val="none" w:sz="0" w:space="0" w:color="auto"/>
        <w:left w:val="none" w:sz="0" w:space="0" w:color="auto"/>
        <w:bottom w:val="none" w:sz="0" w:space="0" w:color="auto"/>
        <w:right w:val="none" w:sz="0" w:space="0" w:color="auto"/>
      </w:divBdr>
    </w:div>
    <w:div w:id="108821771">
      <w:bodyDiv w:val="1"/>
      <w:marLeft w:val="0"/>
      <w:marRight w:val="0"/>
      <w:marTop w:val="0"/>
      <w:marBottom w:val="0"/>
      <w:divBdr>
        <w:top w:val="none" w:sz="0" w:space="0" w:color="auto"/>
        <w:left w:val="none" w:sz="0" w:space="0" w:color="auto"/>
        <w:bottom w:val="none" w:sz="0" w:space="0" w:color="auto"/>
        <w:right w:val="none" w:sz="0" w:space="0" w:color="auto"/>
      </w:divBdr>
    </w:div>
    <w:div w:id="109445379">
      <w:bodyDiv w:val="1"/>
      <w:marLeft w:val="0"/>
      <w:marRight w:val="0"/>
      <w:marTop w:val="0"/>
      <w:marBottom w:val="0"/>
      <w:divBdr>
        <w:top w:val="none" w:sz="0" w:space="0" w:color="auto"/>
        <w:left w:val="none" w:sz="0" w:space="0" w:color="auto"/>
        <w:bottom w:val="none" w:sz="0" w:space="0" w:color="auto"/>
        <w:right w:val="none" w:sz="0" w:space="0" w:color="auto"/>
      </w:divBdr>
    </w:div>
    <w:div w:id="109476706">
      <w:bodyDiv w:val="1"/>
      <w:marLeft w:val="0"/>
      <w:marRight w:val="0"/>
      <w:marTop w:val="0"/>
      <w:marBottom w:val="0"/>
      <w:divBdr>
        <w:top w:val="none" w:sz="0" w:space="0" w:color="auto"/>
        <w:left w:val="none" w:sz="0" w:space="0" w:color="auto"/>
        <w:bottom w:val="none" w:sz="0" w:space="0" w:color="auto"/>
        <w:right w:val="none" w:sz="0" w:space="0" w:color="auto"/>
      </w:divBdr>
    </w:div>
    <w:div w:id="109739997">
      <w:bodyDiv w:val="1"/>
      <w:marLeft w:val="0"/>
      <w:marRight w:val="0"/>
      <w:marTop w:val="0"/>
      <w:marBottom w:val="0"/>
      <w:divBdr>
        <w:top w:val="none" w:sz="0" w:space="0" w:color="auto"/>
        <w:left w:val="none" w:sz="0" w:space="0" w:color="auto"/>
        <w:bottom w:val="none" w:sz="0" w:space="0" w:color="auto"/>
        <w:right w:val="none" w:sz="0" w:space="0" w:color="auto"/>
      </w:divBdr>
    </w:div>
    <w:div w:id="109856407">
      <w:bodyDiv w:val="1"/>
      <w:marLeft w:val="0"/>
      <w:marRight w:val="0"/>
      <w:marTop w:val="0"/>
      <w:marBottom w:val="0"/>
      <w:divBdr>
        <w:top w:val="none" w:sz="0" w:space="0" w:color="auto"/>
        <w:left w:val="none" w:sz="0" w:space="0" w:color="auto"/>
        <w:bottom w:val="none" w:sz="0" w:space="0" w:color="auto"/>
        <w:right w:val="none" w:sz="0" w:space="0" w:color="auto"/>
      </w:divBdr>
    </w:div>
    <w:div w:id="109982818">
      <w:bodyDiv w:val="1"/>
      <w:marLeft w:val="0"/>
      <w:marRight w:val="0"/>
      <w:marTop w:val="0"/>
      <w:marBottom w:val="0"/>
      <w:divBdr>
        <w:top w:val="none" w:sz="0" w:space="0" w:color="auto"/>
        <w:left w:val="none" w:sz="0" w:space="0" w:color="auto"/>
        <w:bottom w:val="none" w:sz="0" w:space="0" w:color="auto"/>
        <w:right w:val="none" w:sz="0" w:space="0" w:color="auto"/>
      </w:divBdr>
    </w:div>
    <w:div w:id="110174688">
      <w:bodyDiv w:val="1"/>
      <w:marLeft w:val="0"/>
      <w:marRight w:val="0"/>
      <w:marTop w:val="0"/>
      <w:marBottom w:val="0"/>
      <w:divBdr>
        <w:top w:val="none" w:sz="0" w:space="0" w:color="auto"/>
        <w:left w:val="none" w:sz="0" w:space="0" w:color="auto"/>
        <w:bottom w:val="none" w:sz="0" w:space="0" w:color="auto"/>
        <w:right w:val="none" w:sz="0" w:space="0" w:color="auto"/>
      </w:divBdr>
    </w:div>
    <w:div w:id="111050311">
      <w:bodyDiv w:val="1"/>
      <w:marLeft w:val="0"/>
      <w:marRight w:val="0"/>
      <w:marTop w:val="0"/>
      <w:marBottom w:val="0"/>
      <w:divBdr>
        <w:top w:val="none" w:sz="0" w:space="0" w:color="auto"/>
        <w:left w:val="none" w:sz="0" w:space="0" w:color="auto"/>
        <w:bottom w:val="none" w:sz="0" w:space="0" w:color="auto"/>
        <w:right w:val="none" w:sz="0" w:space="0" w:color="auto"/>
      </w:divBdr>
    </w:div>
    <w:div w:id="111636694">
      <w:bodyDiv w:val="1"/>
      <w:marLeft w:val="0"/>
      <w:marRight w:val="0"/>
      <w:marTop w:val="0"/>
      <w:marBottom w:val="0"/>
      <w:divBdr>
        <w:top w:val="none" w:sz="0" w:space="0" w:color="auto"/>
        <w:left w:val="none" w:sz="0" w:space="0" w:color="auto"/>
        <w:bottom w:val="none" w:sz="0" w:space="0" w:color="auto"/>
        <w:right w:val="none" w:sz="0" w:space="0" w:color="auto"/>
      </w:divBdr>
    </w:div>
    <w:div w:id="111898774">
      <w:bodyDiv w:val="1"/>
      <w:marLeft w:val="0"/>
      <w:marRight w:val="0"/>
      <w:marTop w:val="0"/>
      <w:marBottom w:val="0"/>
      <w:divBdr>
        <w:top w:val="none" w:sz="0" w:space="0" w:color="auto"/>
        <w:left w:val="none" w:sz="0" w:space="0" w:color="auto"/>
        <w:bottom w:val="none" w:sz="0" w:space="0" w:color="auto"/>
        <w:right w:val="none" w:sz="0" w:space="0" w:color="auto"/>
      </w:divBdr>
    </w:div>
    <w:div w:id="112864916">
      <w:bodyDiv w:val="1"/>
      <w:marLeft w:val="0"/>
      <w:marRight w:val="0"/>
      <w:marTop w:val="0"/>
      <w:marBottom w:val="0"/>
      <w:divBdr>
        <w:top w:val="none" w:sz="0" w:space="0" w:color="auto"/>
        <w:left w:val="none" w:sz="0" w:space="0" w:color="auto"/>
        <w:bottom w:val="none" w:sz="0" w:space="0" w:color="auto"/>
        <w:right w:val="none" w:sz="0" w:space="0" w:color="auto"/>
      </w:divBdr>
    </w:div>
    <w:div w:id="113182136">
      <w:bodyDiv w:val="1"/>
      <w:marLeft w:val="0"/>
      <w:marRight w:val="0"/>
      <w:marTop w:val="0"/>
      <w:marBottom w:val="0"/>
      <w:divBdr>
        <w:top w:val="none" w:sz="0" w:space="0" w:color="auto"/>
        <w:left w:val="none" w:sz="0" w:space="0" w:color="auto"/>
        <w:bottom w:val="none" w:sz="0" w:space="0" w:color="auto"/>
        <w:right w:val="none" w:sz="0" w:space="0" w:color="auto"/>
      </w:divBdr>
    </w:div>
    <w:div w:id="113208204">
      <w:bodyDiv w:val="1"/>
      <w:marLeft w:val="0"/>
      <w:marRight w:val="0"/>
      <w:marTop w:val="0"/>
      <w:marBottom w:val="0"/>
      <w:divBdr>
        <w:top w:val="none" w:sz="0" w:space="0" w:color="auto"/>
        <w:left w:val="none" w:sz="0" w:space="0" w:color="auto"/>
        <w:bottom w:val="none" w:sz="0" w:space="0" w:color="auto"/>
        <w:right w:val="none" w:sz="0" w:space="0" w:color="auto"/>
      </w:divBdr>
    </w:div>
    <w:div w:id="115681898">
      <w:bodyDiv w:val="1"/>
      <w:marLeft w:val="0"/>
      <w:marRight w:val="0"/>
      <w:marTop w:val="0"/>
      <w:marBottom w:val="0"/>
      <w:divBdr>
        <w:top w:val="none" w:sz="0" w:space="0" w:color="auto"/>
        <w:left w:val="none" w:sz="0" w:space="0" w:color="auto"/>
        <w:bottom w:val="none" w:sz="0" w:space="0" w:color="auto"/>
        <w:right w:val="none" w:sz="0" w:space="0" w:color="auto"/>
      </w:divBdr>
    </w:div>
    <w:div w:id="115873509">
      <w:bodyDiv w:val="1"/>
      <w:marLeft w:val="0"/>
      <w:marRight w:val="0"/>
      <w:marTop w:val="0"/>
      <w:marBottom w:val="0"/>
      <w:divBdr>
        <w:top w:val="none" w:sz="0" w:space="0" w:color="auto"/>
        <w:left w:val="none" w:sz="0" w:space="0" w:color="auto"/>
        <w:bottom w:val="none" w:sz="0" w:space="0" w:color="auto"/>
        <w:right w:val="none" w:sz="0" w:space="0" w:color="auto"/>
      </w:divBdr>
    </w:div>
    <w:div w:id="116262676">
      <w:bodyDiv w:val="1"/>
      <w:marLeft w:val="0"/>
      <w:marRight w:val="0"/>
      <w:marTop w:val="0"/>
      <w:marBottom w:val="0"/>
      <w:divBdr>
        <w:top w:val="none" w:sz="0" w:space="0" w:color="auto"/>
        <w:left w:val="none" w:sz="0" w:space="0" w:color="auto"/>
        <w:bottom w:val="none" w:sz="0" w:space="0" w:color="auto"/>
        <w:right w:val="none" w:sz="0" w:space="0" w:color="auto"/>
      </w:divBdr>
    </w:div>
    <w:div w:id="116722022">
      <w:bodyDiv w:val="1"/>
      <w:marLeft w:val="0"/>
      <w:marRight w:val="0"/>
      <w:marTop w:val="0"/>
      <w:marBottom w:val="0"/>
      <w:divBdr>
        <w:top w:val="none" w:sz="0" w:space="0" w:color="auto"/>
        <w:left w:val="none" w:sz="0" w:space="0" w:color="auto"/>
        <w:bottom w:val="none" w:sz="0" w:space="0" w:color="auto"/>
        <w:right w:val="none" w:sz="0" w:space="0" w:color="auto"/>
      </w:divBdr>
    </w:div>
    <w:div w:id="116921552">
      <w:bodyDiv w:val="1"/>
      <w:marLeft w:val="0"/>
      <w:marRight w:val="0"/>
      <w:marTop w:val="0"/>
      <w:marBottom w:val="0"/>
      <w:divBdr>
        <w:top w:val="none" w:sz="0" w:space="0" w:color="auto"/>
        <w:left w:val="none" w:sz="0" w:space="0" w:color="auto"/>
        <w:bottom w:val="none" w:sz="0" w:space="0" w:color="auto"/>
        <w:right w:val="none" w:sz="0" w:space="0" w:color="auto"/>
      </w:divBdr>
    </w:div>
    <w:div w:id="117338635">
      <w:bodyDiv w:val="1"/>
      <w:marLeft w:val="0"/>
      <w:marRight w:val="0"/>
      <w:marTop w:val="0"/>
      <w:marBottom w:val="0"/>
      <w:divBdr>
        <w:top w:val="none" w:sz="0" w:space="0" w:color="auto"/>
        <w:left w:val="none" w:sz="0" w:space="0" w:color="auto"/>
        <w:bottom w:val="none" w:sz="0" w:space="0" w:color="auto"/>
        <w:right w:val="none" w:sz="0" w:space="0" w:color="auto"/>
      </w:divBdr>
    </w:div>
    <w:div w:id="117527327">
      <w:bodyDiv w:val="1"/>
      <w:marLeft w:val="0"/>
      <w:marRight w:val="0"/>
      <w:marTop w:val="0"/>
      <w:marBottom w:val="0"/>
      <w:divBdr>
        <w:top w:val="none" w:sz="0" w:space="0" w:color="auto"/>
        <w:left w:val="none" w:sz="0" w:space="0" w:color="auto"/>
        <w:bottom w:val="none" w:sz="0" w:space="0" w:color="auto"/>
        <w:right w:val="none" w:sz="0" w:space="0" w:color="auto"/>
      </w:divBdr>
    </w:div>
    <w:div w:id="117920737">
      <w:bodyDiv w:val="1"/>
      <w:marLeft w:val="0"/>
      <w:marRight w:val="0"/>
      <w:marTop w:val="0"/>
      <w:marBottom w:val="0"/>
      <w:divBdr>
        <w:top w:val="none" w:sz="0" w:space="0" w:color="auto"/>
        <w:left w:val="none" w:sz="0" w:space="0" w:color="auto"/>
        <w:bottom w:val="none" w:sz="0" w:space="0" w:color="auto"/>
        <w:right w:val="none" w:sz="0" w:space="0" w:color="auto"/>
      </w:divBdr>
    </w:div>
    <w:div w:id="118767938">
      <w:bodyDiv w:val="1"/>
      <w:marLeft w:val="0"/>
      <w:marRight w:val="0"/>
      <w:marTop w:val="0"/>
      <w:marBottom w:val="0"/>
      <w:divBdr>
        <w:top w:val="none" w:sz="0" w:space="0" w:color="auto"/>
        <w:left w:val="none" w:sz="0" w:space="0" w:color="auto"/>
        <w:bottom w:val="none" w:sz="0" w:space="0" w:color="auto"/>
        <w:right w:val="none" w:sz="0" w:space="0" w:color="auto"/>
      </w:divBdr>
    </w:div>
    <w:div w:id="118839081">
      <w:bodyDiv w:val="1"/>
      <w:marLeft w:val="0"/>
      <w:marRight w:val="0"/>
      <w:marTop w:val="0"/>
      <w:marBottom w:val="0"/>
      <w:divBdr>
        <w:top w:val="none" w:sz="0" w:space="0" w:color="auto"/>
        <w:left w:val="none" w:sz="0" w:space="0" w:color="auto"/>
        <w:bottom w:val="none" w:sz="0" w:space="0" w:color="auto"/>
        <w:right w:val="none" w:sz="0" w:space="0" w:color="auto"/>
      </w:divBdr>
    </w:div>
    <w:div w:id="119148099">
      <w:bodyDiv w:val="1"/>
      <w:marLeft w:val="0"/>
      <w:marRight w:val="0"/>
      <w:marTop w:val="0"/>
      <w:marBottom w:val="0"/>
      <w:divBdr>
        <w:top w:val="none" w:sz="0" w:space="0" w:color="auto"/>
        <w:left w:val="none" w:sz="0" w:space="0" w:color="auto"/>
        <w:bottom w:val="none" w:sz="0" w:space="0" w:color="auto"/>
        <w:right w:val="none" w:sz="0" w:space="0" w:color="auto"/>
      </w:divBdr>
    </w:div>
    <w:div w:id="119807072">
      <w:bodyDiv w:val="1"/>
      <w:marLeft w:val="0"/>
      <w:marRight w:val="0"/>
      <w:marTop w:val="0"/>
      <w:marBottom w:val="0"/>
      <w:divBdr>
        <w:top w:val="none" w:sz="0" w:space="0" w:color="auto"/>
        <w:left w:val="none" w:sz="0" w:space="0" w:color="auto"/>
        <w:bottom w:val="none" w:sz="0" w:space="0" w:color="auto"/>
        <w:right w:val="none" w:sz="0" w:space="0" w:color="auto"/>
      </w:divBdr>
    </w:div>
    <w:div w:id="120072483">
      <w:bodyDiv w:val="1"/>
      <w:marLeft w:val="0"/>
      <w:marRight w:val="0"/>
      <w:marTop w:val="0"/>
      <w:marBottom w:val="0"/>
      <w:divBdr>
        <w:top w:val="none" w:sz="0" w:space="0" w:color="auto"/>
        <w:left w:val="none" w:sz="0" w:space="0" w:color="auto"/>
        <w:bottom w:val="none" w:sz="0" w:space="0" w:color="auto"/>
        <w:right w:val="none" w:sz="0" w:space="0" w:color="auto"/>
      </w:divBdr>
    </w:div>
    <w:div w:id="120999400">
      <w:bodyDiv w:val="1"/>
      <w:marLeft w:val="0"/>
      <w:marRight w:val="0"/>
      <w:marTop w:val="0"/>
      <w:marBottom w:val="0"/>
      <w:divBdr>
        <w:top w:val="none" w:sz="0" w:space="0" w:color="auto"/>
        <w:left w:val="none" w:sz="0" w:space="0" w:color="auto"/>
        <w:bottom w:val="none" w:sz="0" w:space="0" w:color="auto"/>
        <w:right w:val="none" w:sz="0" w:space="0" w:color="auto"/>
      </w:divBdr>
    </w:div>
    <w:div w:id="122387750">
      <w:bodyDiv w:val="1"/>
      <w:marLeft w:val="0"/>
      <w:marRight w:val="0"/>
      <w:marTop w:val="0"/>
      <w:marBottom w:val="0"/>
      <w:divBdr>
        <w:top w:val="none" w:sz="0" w:space="0" w:color="auto"/>
        <w:left w:val="none" w:sz="0" w:space="0" w:color="auto"/>
        <w:bottom w:val="none" w:sz="0" w:space="0" w:color="auto"/>
        <w:right w:val="none" w:sz="0" w:space="0" w:color="auto"/>
      </w:divBdr>
    </w:div>
    <w:div w:id="123085287">
      <w:bodyDiv w:val="1"/>
      <w:marLeft w:val="0"/>
      <w:marRight w:val="0"/>
      <w:marTop w:val="0"/>
      <w:marBottom w:val="0"/>
      <w:divBdr>
        <w:top w:val="none" w:sz="0" w:space="0" w:color="auto"/>
        <w:left w:val="none" w:sz="0" w:space="0" w:color="auto"/>
        <w:bottom w:val="none" w:sz="0" w:space="0" w:color="auto"/>
        <w:right w:val="none" w:sz="0" w:space="0" w:color="auto"/>
      </w:divBdr>
    </w:div>
    <w:div w:id="123546994">
      <w:bodyDiv w:val="1"/>
      <w:marLeft w:val="0"/>
      <w:marRight w:val="0"/>
      <w:marTop w:val="0"/>
      <w:marBottom w:val="0"/>
      <w:divBdr>
        <w:top w:val="none" w:sz="0" w:space="0" w:color="auto"/>
        <w:left w:val="none" w:sz="0" w:space="0" w:color="auto"/>
        <w:bottom w:val="none" w:sz="0" w:space="0" w:color="auto"/>
        <w:right w:val="none" w:sz="0" w:space="0" w:color="auto"/>
      </w:divBdr>
    </w:div>
    <w:div w:id="125271498">
      <w:bodyDiv w:val="1"/>
      <w:marLeft w:val="0"/>
      <w:marRight w:val="0"/>
      <w:marTop w:val="0"/>
      <w:marBottom w:val="0"/>
      <w:divBdr>
        <w:top w:val="none" w:sz="0" w:space="0" w:color="auto"/>
        <w:left w:val="none" w:sz="0" w:space="0" w:color="auto"/>
        <w:bottom w:val="none" w:sz="0" w:space="0" w:color="auto"/>
        <w:right w:val="none" w:sz="0" w:space="0" w:color="auto"/>
      </w:divBdr>
    </w:div>
    <w:div w:id="126704279">
      <w:bodyDiv w:val="1"/>
      <w:marLeft w:val="0"/>
      <w:marRight w:val="0"/>
      <w:marTop w:val="0"/>
      <w:marBottom w:val="0"/>
      <w:divBdr>
        <w:top w:val="none" w:sz="0" w:space="0" w:color="auto"/>
        <w:left w:val="none" w:sz="0" w:space="0" w:color="auto"/>
        <w:bottom w:val="none" w:sz="0" w:space="0" w:color="auto"/>
        <w:right w:val="none" w:sz="0" w:space="0" w:color="auto"/>
      </w:divBdr>
    </w:div>
    <w:div w:id="126969264">
      <w:bodyDiv w:val="1"/>
      <w:marLeft w:val="0"/>
      <w:marRight w:val="0"/>
      <w:marTop w:val="0"/>
      <w:marBottom w:val="0"/>
      <w:divBdr>
        <w:top w:val="none" w:sz="0" w:space="0" w:color="auto"/>
        <w:left w:val="none" w:sz="0" w:space="0" w:color="auto"/>
        <w:bottom w:val="none" w:sz="0" w:space="0" w:color="auto"/>
        <w:right w:val="none" w:sz="0" w:space="0" w:color="auto"/>
      </w:divBdr>
    </w:div>
    <w:div w:id="127402439">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30220596">
      <w:bodyDiv w:val="1"/>
      <w:marLeft w:val="0"/>
      <w:marRight w:val="0"/>
      <w:marTop w:val="0"/>
      <w:marBottom w:val="0"/>
      <w:divBdr>
        <w:top w:val="none" w:sz="0" w:space="0" w:color="auto"/>
        <w:left w:val="none" w:sz="0" w:space="0" w:color="auto"/>
        <w:bottom w:val="none" w:sz="0" w:space="0" w:color="auto"/>
        <w:right w:val="none" w:sz="0" w:space="0" w:color="auto"/>
      </w:divBdr>
    </w:div>
    <w:div w:id="130293776">
      <w:bodyDiv w:val="1"/>
      <w:marLeft w:val="0"/>
      <w:marRight w:val="0"/>
      <w:marTop w:val="0"/>
      <w:marBottom w:val="0"/>
      <w:divBdr>
        <w:top w:val="none" w:sz="0" w:space="0" w:color="auto"/>
        <w:left w:val="none" w:sz="0" w:space="0" w:color="auto"/>
        <w:bottom w:val="none" w:sz="0" w:space="0" w:color="auto"/>
        <w:right w:val="none" w:sz="0" w:space="0" w:color="auto"/>
      </w:divBdr>
    </w:div>
    <w:div w:id="131145289">
      <w:bodyDiv w:val="1"/>
      <w:marLeft w:val="0"/>
      <w:marRight w:val="0"/>
      <w:marTop w:val="0"/>
      <w:marBottom w:val="0"/>
      <w:divBdr>
        <w:top w:val="none" w:sz="0" w:space="0" w:color="auto"/>
        <w:left w:val="none" w:sz="0" w:space="0" w:color="auto"/>
        <w:bottom w:val="none" w:sz="0" w:space="0" w:color="auto"/>
        <w:right w:val="none" w:sz="0" w:space="0" w:color="auto"/>
      </w:divBdr>
    </w:div>
    <w:div w:id="131489411">
      <w:bodyDiv w:val="1"/>
      <w:marLeft w:val="0"/>
      <w:marRight w:val="0"/>
      <w:marTop w:val="0"/>
      <w:marBottom w:val="0"/>
      <w:divBdr>
        <w:top w:val="none" w:sz="0" w:space="0" w:color="auto"/>
        <w:left w:val="none" w:sz="0" w:space="0" w:color="auto"/>
        <w:bottom w:val="none" w:sz="0" w:space="0" w:color="auto"/>
        <w:right w:val="none" w:sz="0" w:space="0" w:color="auto"/>
      </w:divBdr>
    </w:div>
    <w:div w:id="132186904">
      <w:bodyDiv w:val="1"/>
      <w:marLeft w:val="0"/>
      <w:marRight w:val="0"/>
      <w:marTop w:val="0"/>
      <w:marBottom w:val="0"/>
      <w:divBdr>
        <w:top w:val="none" w:sz="0" w:space="0" w:color="auto"/>
        <w:left w:val="none" w:sz="0" w:space="0" w:color="auto"/>
        <w:bottom w:val="none" w:sz="0" w:space="0" w:color="auto"/>
        <w:right w:val="none" w:sz="0" w:space="0" w:color="auto"/>
      </w:divBdr>
    </w:div>
    <w:div w:id="132332467">
      <w:bodyDiv w:val="1"/>
      <w:marLeft w:val="0"/>
      <w:marRight w:val="0"/>
      <w:marTop w:val="0"/>
      <w:marBottom w:val="0"/>
      <w:divBdr>
        <w:top w:val="none" w:sz="0" w:space="0" w:color="auto"/>
        <w:left w:val="none" w:sz="0" w:space="0" w:color="auto"/>
        <w:bottom w:val="none" w:sz="0" w:space="0" w:color="auto"/>
        <w:right w:val="none" w:sz="0" w:space="0" w:color="auto"/>
      </w:divBdr>
    </w:div>
    <w:div w:id="132724569">
      <w:bodyDiv w:val="1"/>
      <w:marLeft w:val="0"/>
      <w:marRight w:val="0"/>
      <w:marTop w:val="0"/>
      <w:marBottom w:val="0"/>
      <w:divBdr>
        <w:top w:val="none" w:sz="0" w:space="0" w:color="auto"/>
        <w:left w:val="none" w:sz="0" w:space="0" w:color="auto"/>
        <w:bottom w:val="none" w:sz="0" w:space="0" w:color="auto"/>
        <w:right w:val="none" w:sz="0" w:space="0" w:color="auto"/>
      </w:divBdr>
    </w:div>
    <w:div w:id="132868894">
      <w:bodyDiv w:val="1"/>
      <w:marLeft w:val="0"/>
      <w:marRight w:val="0"/>
      <w:marTop w:val="0"/>
      <w:marBottom w:val="0"/>
      <w:divBdr>
        <w:top w:val="none" w:sz="0" w:space="0" w:color="auto"/>
        <w:left w:val="none" w:sz="0" w:space="0" w:color="auto"/>
        <w:bottom w:val="none" w:sz="0" w:space="0" w:color="auto"/>
        <w:right w:val="none" w:sz="0" w:space="0" w:color="auto"/>
      </w:divBdr>
    </w:div>
    <w:div w:id="133330860">
      <w:bodyDiv w:val="1"/>
      <w:marLeft w:val="0"/>
      <w:marRight w:val="0"/>
      <w:marTop w:val="0"/>
      <w:marBottom w:val="0"/>
      <w:divBdr>
        <w:top w:val="none" w:sz="0" w:space="0" w:color="auto"/>
        <w:left w:val="none" w:sz="0" w:space="0" w:color="auto"/>
        <w:bottom w:val="none" w:sz="0" w:space="0" w:color="auto"/>
        <w:right w:val="none" w:sz="0" w:space="0" w:color="auto"/>
      </w:divBdr>
    </w:div>
    <w:div w:id="133983700">
      <w:bodyDiv w:val="1"/>
      <w:marLeft w:val="0"/>
      <w:marRight w:val="0"/>
      <w:marTop w:val="0"/>
      <w:marBottom w:val="0"/>
      <w:divBdr>
        <w:top w:val="none" w:sz="0" w:space="0" w:color="auto"/>
        <w:left w:val="none" w:sz="0" w:space="0" w:color="auto"/>
        <w:bottom w:val="none" w:sz="0" w:space="0" w:color="auto"/>
        <w:right w:val="none" w:sz="0" w:space="0" w:color="auto"/>
      </w:divBdr>
    </w:div>
    <w:div w:id="133984044">
      <w:bodyDiv w:val="1"/>
      <w:marLeft w:val="0"/>
      <w:marRight w:val="0"/>
      <w:marTop w:val="0"/>
      <w:marBottom w:val="0"/>
      <w:divBdr>
        <w:top w:val="none" w:sz="0" w:space="0" w:color="auto"/>
        <w:left w:val="none" w:sz="0" w:space="0" w:color="auto"/>
        <w:bottom w:val="none" w:sz="0" w:space="0" w:color="auto"/>
        <w:right w:val="none" w:sz="0" w:space="0" w:color="auto"/>
      </w:divBdr>
    </w:div>
    <w:div w:id="134414640">
      <w:bodyDiv w:val="1"/>
      <w:marLeft w:val="0"/>
      <w:marRight w:val="0"/>
      <w:marTop w:val="0"/>
      <w:marBottom w:val="0"/>
      <w:divBdr>
        <w:top w:val="none" w:sz="0" w:space="0" w:color="auto"/>
        <w:left w:val="none" w:sz="0" w:space="0" w:color="auto"/>
        <w:bottom w:val="none" w:sz="0" w:space="0" w:color="auto"/>
        <w:right w:val="none" w:sz="0" w:space="0" w:color="auto"/>
      </w:divBdr>
    </w:div>
    <w:div w:id="135031798">
      <w:bodyDiv w:val="1"/>
      <w:marLeft w:val="0"/>
      <w:marRight w:val="0"/>
      <w:marTop w:val="0"/>
      <w:marBottom w:val="0"/>
      <w:divBdr>
        <w:top w:val="none" w:sz="0" w:space="0" w:color="auto"/>
        <w:left w:val="none" w:sz="0" w:space="0" w:color="auto"/>
        <w:bottom w:val="none" w:sz="0" w:space="0" w:color="auto"/>
        <w:right w:val="none" w:sz="0" w:space="0" w:color="auto"/>
      </w:divBdr>
    </w:div>
    <w:div w:id="136608804">
      <w:bodyDiv w:val="1"/>
      <w:marLeft w:val="0"/>
      <w:marRight w:val="0"/>
      <w:marTop w:val="0"/>
      <w:marBottom w:val="0"/>
      <w:divBdr>
        <w:top w:val="none" w:sz="0" w:space="0" w:color="auto"/>
        <w:left w:val="none" w:sz="0" w:space="0" w:color="auto"/>
        <w:bottom w:val="none" w:sz="0" w:space="0" w:color="auto"/>
        <w:right w:val="none" w:sz="0" w:space="0" w:color="auto"/>
      </w:divBdr>
    </w:div>
    <w:div w:id="136724487">
      <w:bodyDiv w:val="1"/>
      <w:marLeft w:val="0"/>
      <w:marRight w:val="0"/>
      <w:marTop w:val="0"/>
      <w:marBottom w:val="0"/>
      <w:divBdr>
        <w:top w:val="none" w:sz="0" w:space="0" w:color="auto"/>
        <w:left w:val="none" w:sz="0" w:space="0" w:color="auto"/>
        <w:bottom w:val="none" w:sz="0" w:space="0" w:color="auto"/>
        <w:right w:val="none" w:sz="0" w:space="0" w:color="auto"/>
      </w:divBdr>
    </w:div>
    <w:div w:id="137190474">
      <w:bodyDiv w:val="1"/>
      <w:marLeft w:val="0"/>
      <w:marRight w:val="0"/>
      <w:marTop w:val="0"/>
      <w:marBottom w:val="0"/>
      <w:divBdr>
        <w:top w:val="none" w:sz="0" w:space="0" w:color="auto"/>
        <w:left w:val="none" w:sz="0" w:space="0" w:color="auto"/>
        <w:bottom w:val="none" w:sz="0" w:space="0" w:color="auto"/>
        <w:right w:val="none" w:sz="0" w:space="0" w:color="auto"/>
      </w:divBdr>
    </w:div>
    <w:div w:id="138158206">
      <w:bodyDiv w:val="1"/>
      <w:marLeft w:val="0"/>
      <w:marRight w:val="0"/>
      <w:marTop w:val="0"/>
      <w:marBottom w:val="0"/>
      <w:divBdr>
        <w:top w:val="none" w:sz="0" w:space="0" w:color="auto"/>
        <w:left w:val="none" w:sz="0" w:space="0" w:color="auto"/>
        <w:bottom w:val="none" w:sz="0" w:space="0" w:color="auto"/>
        <w:right w:val="none" w:sz="0" w:space="0" w:color="auto"/>
      </w:divBdr>
    </w:div>
    <w:div w:id="139003114">
      <w:bodyDiv w:val="1"/>
      <w:marLeft w:val="0"/>
      <w:marRight w:val="0"/>
      <w:marTop w:val="0"/>
      <w:marBottom w:val="0"/>
      <w:divBdr>
        <w:top w:val="none" w:sz="0" w:space="0" w:color="auto"/>
        <w:left w:val="none" w:sz="0" w:space="0" w:color="auto"/>
        <w:bottom w:val="none" w:sz="0" w:space="0" w:color="auto"/>
        <w:right w:val="none" w:sz="0" w:space="0" w:color="auto"/>
      </w:divBdr>
    </w:div>
    <w:div w:id="140001491">
      <w:bodyDiv w:val="1"/>
      <w:marLeft w:val="0"/>
      <w:marRight w:val="0"/>
      <w:marTop w:val="0"/>
      <w:marBottom w:val="0"/>
      <w:divBdr>
        <w:top w:val="none" w:sz="0" w:space="0" w:color="auto"/>
        <w:left w:val="none" w:sz="0" w:space="0" w:color="auto"/>
        <w:bottom w:val="none" w:sz="0" w:space="0" w:color="auto"/>
        <w:right w:val="none" w:sz="0" w:space="0" w:color="auto"/>
      </w:divBdr>
    </w:div>
    <w:div w:id="140001933">
      <w:bodyDiv w:val="1"/>
      <w:marLeft w:val="0"/>
      <w:marRight w:val="0"/>
      <w:marTop w:val="0"/>
      <w:marBottom w:val="0"/>
      <w:divBdr>
        <w:top w:val="none" w:sz="0" w:space="0" w:color="auto"/>
        <w:left w:val="none" w:sz="0" w:space="0" w:color="auto"/>
        <w:bottom w:val="none" w:sz="0" w:space="0" w:color="auto"/>
        <w:right w:val="none" w:sz="0" w:space="0" w:color="auto"/>
      </w:divBdr>
    </w:div>
    <w:div w:id="140267514">
      <w:bodyDiv w:val="1"/>
      <w:marLeft w:val="0"/>
      <w:marRight w:val="0"/>
      <w:marTop w:val="0"/>
      <w:marBottom w:val="0"/>
      <w:divBdr>
        <w:top w:val="none" w:sz="0" w:space="0" w:color="auto"/>
        <w:left w:val="none" w:sz="0" w:space="0" w:color="auto"/>
        <w:bottom w:val="none" w:sz="0" w:space="0" w:color="auto"/>
        <w:right w:val="none" w:sz="0" w:space="0" w:color="auto"/>
      </w:divBdr>
    </w:div>
    <w:div w:id="140468053">
      <w:bodyDiv w:val="1"/>
      <w:marLeft w:val="0"/>
      <w:marRight w:val="0"/>
      <w:marTop w:val="0"/>
      <w:marBottom w:val="0"/>
      <w:divBdr>
        <w:top w:val="none" w:sz="0" w:space="0" w:color="auto"/>
        <w:left w:val="none" w:sz="0" w:space="0" w:color="auto"/>
        <w:bottom w:val="none" w:sz="0" w:space="0" w:color="auto"/>
        <w:right w:val="none" w:sz="0" w:space="0" w:color="auto"/>
      </w:divBdr>
    </w:div>
    <w:div w:id="140972447">
      <w:bodyDiv w:val="1"/>
      <w:marLeft w:val="0"/>
      <w:marRight w:val="0"/>
      <w:marTop w:val="0"/>
      <w:marBottom w:val="0"/>
      <w:divBdr>
        <w:top w:val="none" w:sz="0" w:space="0" w:color="auto"/>
        <w:left w:val="none" w:sz="0" w:space="0" w:color="auto"/>
        <w:bottom w:val="none" w:sz="0" w:space="0" w:color="auto"/>
        <w:right w:val="none" w:sz="0" w:space="0" w:color="auto"/>
      </w:divBdr>
    </w:div>
    <w:div w:id="141124397">
      <w:bodyDiv w:val="1"/>
      <w:marLeft w:val="0"/>
      <w:marRight w:val="0"/>
      <w:marTop w:val="0"/>
      <w:marBottom w:val="0"/>
      <w:divBdr>
        <w:top w:val="none" w:sz="0" w:space="0" w:color="auto"/>
        <w:left w:val="none" w:sz="0" w:space="0" w:color="auto"/>
        <w:bottom w:val="none" w:sz="0" w:space="0" w:color="auto"/>
        <w:right w:val="none" w:sz="0" w:space="0" w:color="auto"/>
      </w:divBdr>
    </w:div>
    <w:div w:id="141771703">
      <w:bodyDiv w:val="1"/>
      <w:marLeft w:val="0"/>
      <w:marRight w:val="0"/>
      <w:marTop w:val="0"/>
      <w:marBottom w:val="0"/>
      <w:divBdr>
        <w:top w:val="none" w:sz="0" w:space="0" w:color="auto"/>
        <w:left w:val="none" w:sz="0" w:space="0" w:color="auto"/>
        <w:bottom w:val="none" w:sz="0" w:space="0" w:color="auto"/>
        <w:right w:val="none" w:sz="0" w:space="0" w:color="auto"/>
      </w:divBdr>
    </w:div>
    <w:div w:id="141779765">
      <w:bodyDiv w:val="1"/>
      <w:marLeft w:val="0"/>
      <w:marRight w:val="0"/>
      <w:marTop w:val="0"/>
      <w:marBottom w:val="0"/>
      <w:divBdr>
        <w:top w:val="none" w:sz="0" w:space="0" w:color="auto"/>
        <w:left w:val="none" w:sz="0" w:space="0" w:color="auto"/>
        <w:bottom w:val="none" w:sz="0" w:space="0" w:color="auto"/>
        <w:right w:val="none" w:sz="0" w:space="0" w:color="auto"/>
      </w:divBdr>
    </w:div>
    <w:div w:id="143277992">
      <w:bodyDiv w:val="1"/>
      <w:marLeft w:val="0"/>
      <w:marRight w:val="0"/>
      <w:marTop w:val="0"/>
      <w:marBottom w:val="0"/>
      <w:divBdr>
        <w:top w:val="none" w:sz="0" w:space="0" w:color="auto"/>
        <w:left w:val="none" w:sz="0" w:space="0" w:color="auto"/>
        <w:bottom w:val="none" w:sz="0" w:space="0" w:color="auto"/>
        <w:right w:val="none" w:sz="0" w:space="0" w:color="auto"/>
      </w:divBdr>
    </w:div>
    <w:div w:id="143787271">
      <w:bodyDiv w:val="1"/>
      <w:marLeft w:val="0"/>
      <w:marRight w:val="0"/>
      <w:marTop w:val="0"/>
      <w:marBottom w:val="0"/>
      <w:divBdr>
        <w:top w:val="none" w:sz="0" w:space="0" w:color="auto"/>
        <w:left w:val="none" w:sz="0" w:space="0" w:color="auto"/>
        <w:bottom w:val="none" w:sz="0" w:space="0" w:color="auto"/>
        <w:right w:val="none" w:sz="0" w:space="0" w:color="auto"/>
      </w:divBdr>
    </w:div>
    <w:div w:id="144124320">
      <w:bodyDiv w:val="1"/>
      <w:marLeft w:val="0"/>
      <w:marRight w:val="0"/>
      <w:marTop w:val="0"/>
      <w:marBottom w:val="0"/>
      <w:divBdr>
        <w:top w:val="none" w:sz="0" w:space="0" w:color="auto"/>
        <w:left w:val="none" w:sz="0" w:space="0" w:color="auto"/>
        <w:bottom w:val="none" w:sz="0" w:space="0" w:color="auto"/>
        <w:right w:val="none" w:sz="0" w:space="0" w:color="auto"/>
      </w:divBdr>
    </w:div>
    <w:div w:id="144249971">
      <w:bodyDiv w:val="1"/>
      <w:marLeft w:val="0"/>
      <w:marRight w:val="0"/>
      <w:marTop w:val="0"/>
      <w:marBottom w:val="0"/>
      <w:divBdr>
        <w:top w:val="none" w:sz="0" w:space="0" w:color="auto"/>
        <w:left w:val="none" w:sz="0" w:space="0" w:color="auto"/>
        <w:bottom w:val="none" w:sz="0" w:space="0" w:color="auto"/>
        <w:right w:val="none" w:sz="0" w:space="0" w:color="auto"/>
      </w:divBdr>
    </w:div>
    <w:div w:id="144274744">
      <w:bodyDiv w:val="1"/>
      <w:marLeft w:val="0"/>
      <w:marRight w:val="0"/>
      <w:marTop w:val="0"/>
      <w:marBottom w:val="0"/>
      <w:divBdr>
        <w:top w:val="none" w:sz="0" w:space="0" w:color="auto"/>
        <w:left w:val="none" w:sz="0" w:space="0" w:color="auto"/>
        <w:bottom w:val="none" w:sz="0" w:space="0" w:color="auto"/>
        <w:right w:val="none" w:sz="0" w:space="0" w:color="auto"/>
      </w:divBdr>
    </w:div>
    <w:div w:id="145436647">
      <w:bodyDiv w:val="1"/>
      <w:marLeft w:val="0"/>
      <w:marRight w:val="0"/>
      <w:marTop w:val="0"/>
      <w:marBottom w:val="0"/>
      <w:divBdr>
        <w:top w:val="none" w:sz="0" w:space="0" w:color="auto"/>
        <w:left w:val="none" w:sz="0" w:space="0" w:color="auto"/>
        <w:bottom w:val="none" w:sz="0" w:space="0" w:color="auto"/>
        <w:right w:val="none" w:sz="0" w:space="0" w:color="auto"/>
      </w:divBdr>
    </w:div>
    <w:div w:id="146092117">
      <w:bodyDiv w:val="1"/>
      <w:marLeft w:val="0"/>
      <w:marRight w:val="0"/>
      <w:marTop w:val="0"/>
      <w:marBottom w:val="0"/>
      <w:divBdr>
        <w:top w:val="none" w:sz="0" w:space="0" w:color="auto"/>
        <w:left w:val="none" w:sz="0" w:space="0" w:color="auto"/>
        <w:bottom w:val="none" w:sz="0" w:space="0" w:color="auto"/>
        <w:right w:val="none" w:sz="0" w:space="0" w:color="auto"/>
      </w:divBdr>
    </w:div>
    <w:div w:id="146173331">
      <w:bodyDiv w:val="1"/>
      <w:marLeft w:val="0"/>
      <w:marRight w:val="0"/>
      <w:marTop w:val="0"/>
      <w:marBottom w:val="0"/>
      <w:divBdr>
        <w:top w:val="none" w:sz="0" w:space="0" w:color="auto"/>
        <w:left w:val="none" w:sz="0" w:space="0" w:color="auto"/>
        <w:bottom w:val="none" w:sz="0" w:space="0" w:color="auto"/>
        <w:right w:val="none" w:sz="0" w:space="0" w:color="auto"/>
      </w:divBdr>
    </w:div>
    <w:div w:id="146283464">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47669819">
      <w:bodyDiv w:val="1"/>
      <w:marLeft w:val="0"/>
      <w:marRight w:val="0"/>
      <w:marTop w:val="0"/>
      <w:marBottom w:val="0"/>
      <w:divBdr>
        <w:top w:val="none" w:sz="0" w:space="0" w:color="auto"/>
        <w:left w:val="none" w:sz="0" w:space="0" w:color="auto"/>
        <w:bottom w:val="none" w:sz="0" w:space="0" w:color="auto"/>
        <w:right w:val="none" w:sz="0" w:space="0" w:color="auto"/>
      </w:divBdr>
    </w:div>
    <w:div w:id="148638951">
      <w:bodyDiv w:val="1"/>
      <w:marLeft w:val="0"/>
      <w:marRight w:val="0"/>
      <w:marTop w:val="0"/>
      <w:marBottom w:val="0"/>
      <w:divBdr>
        <w:top w:val="none" w:sz="0" w:space="0" w:color="auto"/>
        <w:left w:val="none" w:sz="0" w:space="0" w:color="auto"/>
        <w:bottom w:val="none" w:sz="0" w:space="0" w:color="auto"/>
        <w:right w:val="none" w:sz="0" w:space="0" w:color="auto"/>
      </w:divBdr>
    </w:div>
    <w:div w:id="149251665">
      <w:bodyDiv w:val="1"/>
      <w:marLeft w:val="0"/>
      <w:marRight w:val="0"/>
      <w:marTop w:val="0"/>
      <w:marBottom w:val="0"/>
      <w:divBdr>
        <w:top w:val="none" w:sz="0" w:space="0" w:color="auto"/>
        <w:left w:val="none" w:sz="0" w:space="0" w:color="auto"/>
        <w:bottom w:val="none" w:sz="0" w:space="0" w:color="auto"/>
        <w:right w:val="none" w:sz="0" w:space="0" w:color="auto"/>
      </w:divBdr>
    </w:div>
    <w:div w:id="149910816">
      <w:bodyDiv w:val="1"/>
      <w:marLeft w:val="0"/>
      <w:marRight w:val="0"/>
      <w:marTop w:val="0"/>
      <w:marBottom w:val="0"/>
      <w:divBdr>
        <w:top w:val="none" w:sz="0" w:space="0" w:color="auto"/>
        <w:left w:val="none" w:sz="0" w:space="0" w:color="auto"/>
        <w:bottom w:val="none" w:sz="0" w:space="0" w:color="auto"/>
        <w:right w:val="none" w:sz="0" w:space="0" w:color="auto"/>
      </w:divBdr>
    </w:div>
    <w:div w:id="150410915">
      <w:bodyDiv w:val="1"/>
      <w:marLeft w:val="0"/>
      <w:marRight w:val="0"/>
      <w:marTop w:val="0"/>
      <w:marBottom w:val="0"/>
      <w:divBdr>
        <w:top w:val="none" w:sz="0" w:space="0" w:color="auto"/>
        <w:left w:val="none" w:sz="0" w:space="0" w:color="auto"/>
        <w:bottom w:val="none" w:sz="0" w:space="0" w:color="auto"/>
        <w:right w:val="none" w:sz="0" w:space="0" w:color="auto"/>
      </w:divBdr>
    </w:div>
    <w:div w:id="150753432">
      <w:bodyDiv w:val="1"/>
      <w:marLeft w:val="0"/>
      <w:marRight w:val="0"/>
      <w:marTop w:val="0"/>
      <w:marBottom w:val="0"/>
      <w:divBdr>
        <w:top w:val="none" w:sz="0" w:space="0" w:color="auto"/>
        <w:left w:val="none" w:sz="0" w:space="0" w:color="auto"/>
        <w:bottom w:val="none" w:sz="0" w:space="0" w:color="auto"/>
        <w:right w:val="none" w:sz="0" w:space="0" w:color="auto"/>
      </w:divBdr>
    </w:div>
    <w:div w:id="151265483">
      <w:bodyDiv w:val="1"/>
      <w:marLeft w:val="0"/>
      <w:marRight w:val="0"/>
      <w:marTop w:val="0"/>
      <w:marBottom w:val="0"/>
      <w:divBdr>
        <w:top w:val="none" w:sz="0" w:space="0" w:color="auto"/>
        <w:left w:val="none" w:sz="0" w:space="0" w:color="auto"/>
        <w:bottom w:val="none" w:sz="0" w:space="0" w:color="auto"/>
        <w:right w:val="none" w:sz="0" w:space="0" w:color="auto"/>
      </w:divBdr>
    </w:div>
    <w:div w:id="152330861">
      <w:bodyDiv w:val="1"/>
      <w:marLeft w:val="0"/>
      <w:marRight w:val="0"/>
      <w:marTop w:val="0"/>
      <w:marBottom w:val="0"/>
      <w:divBdr>
        <w:top w:val="none" w:sz="0" w:space="0" w:color="auto"/>
        <w:left w:val="none" w:sz="0" w:space="0" w:color="auto"/>
        <w:bottom w:val="none" w:sz="0" w:space="0" w:color="auto"/>
        <w:right w:val="none" w:sz="0" w:space="0" w:color="auto"/>
      </w:divBdr>
    </w:div>
    <w:div w:id="152379741">
      <w:bodyDiv w:val="1"/>
      <w:marLeft w:val="0"/>
      <w:marRight w:val="0"/>
      <w:marTop w:val="0"/>
      <w:marBottom w:val="0"/>
      <w:divBdr>
        <w:top w:val="none" w:sz="0" w:space="0" w:color="auto"/>
        <w:left w:val="none" w:sz="0" w:space="0" w:color="auto"/>
        <w:bottom w:val="none" w:sz="0" w:space="0" w:color="auto"/>
        <w:right w:val="none" w:sz="0" w:space="0" w:color="auto"/>
      </w:divBdr>
    </w:div>
    <w:div w:id="152796919">
      <w:bodyDiv w:val="1"/>
      <w:marLeft w:val="0"/>
      <w:marRight w:val="0"/>
      <w:marTop w:val="0"/>
      <w:marBottom w:val="0"/>
      <w:divBdr>
        <w:top w:val="none" w:sz="0" w:space="0" w:color="auto"/>
        <w:left w:val="none" w:sz="0" w:space="0" w:color="auto"/>
        <w:bottom w:val="none" w:sz="0" w:space="0" w:color="auto"/>
        <w:right w:val="none" w:sz="0" w:space="0" w:color="auto"/>
      </w:divBdr>
    </w:div>
    <w:div w:id="153835004">
      <w:bodyDiv w:val="1"/>
      <w:marLeft w:val="0"/>
      <w:marRight w:val="0"/>
      <w:marTop w:val="0"/>
      <w:marBottom w:val="0"/>
      <w:divBdr>
        <w:top w:val="none" w:sz="0" w:space="0" w:color="auto"/>
        <w:left w:val="none" w:sz="0" w:space="0" w:color="auto"/>
        <w:bottom w:val="none" w:sz="0" w:space="0" w:color="auto"/>
        <w:right w:val="none" w:sz="0" w:space="0" w:color="auto"/>
      </w:divBdr>
    </w:div>
    <w:div w:id="153840853">
      <w:bodyDiv w:val="1"/>
      <w:marLeft w:val="0"/>
      <w:marRight w:val="0"/>
      <w:marTop w:val="0"/>
      <w:marBottom w:val="0"/>
      <w:divBdr>
        <w:top w:val="none" w:sz="0" w:space="0" w:color="auto"/>
        <w:left w:val="none" w:sz="0" w:space="0" w:color="auto"/>
        <w:bottom w:val="none" w:sz="0" w:space="0" w:color="auto"/>
        <w:right w:val="none" w:sz="0" w:space="0" w:color="auto"/>
      </w:divBdr>
    </w:div>
    <w:div w:id="154076328">
      <w:bodyDiv w:val="1"/>
      <w:marLeft w:val="0"/>
      <w:marRight w:val="0"/>
      <w:marTop w:val="0"/>
      <w:marBottom w:val="0"/>
      <w:divBdr>
        <w:top w:val="none" w:sz="0" w:space="0" w:color="auto"/>
        <w:left w:val="none" w:sz="0" w:space="0" w:color="auto"/>
        <w:bottom w:val="none" w:sz="0" w:space="0" w:color="auto"/>
        <w:right w:val="none" w:sz="0" w:space="0" w:color="auto"/>
      </w:divBdr>
    </w:div>
    <w:div w:id="154490620">
      <w:bodyDiv w:val="1"/>
      <w:marLeft w:val="0"/>
      <w:marRight w:val="0"/>
      <w:marTop w:val="0"/>
      <w:marBottom w:val="0"/>
      <w:divBdr>
        <w:top w:val="none" w:sz="0" w:space="0" w:color="auto"/>
        <w:left w:val="none" w:sz="0" w:space="0" w:color="auto"/>
        <w:bottom w:val="none" w:sz="0" w:space="0" w:color="auto"/>
        <w:right w:val="none" w:sz="0" w:space="0" w:color="auto"/>
      </w:divBdr>
      <w:divsChild>
        <w:div w:id="315766614">
          <w:marLeft w:val="0"/>
          <w:marRight w:val="0"/>
          <w:marTop w:val="0"/>
          <w:marBottom w:val="0"/>
          <w:divBdr>
            <w:top w:val="none" w:sz="0" w:space="0" w:color="auto"/>
            <w:left w:val="none" w:sz="0" w:space="0" w:color="auto"/>
            <w:bottom w:val="none" w:sz="0" w:space="0" w:color="auto"/>
            <w:right w:val="none" w:sz="0" w:space="0" w:color="auto"/>
          </w:divBdr>
        </w:div>
      </w:divsChild>
    </w:div>
    <w:div w:id="156385261">
      <w:bodyDiv w:val="1"/>
      <w:marLeft w:val="0"/>
      <w:marRight w:val="0"/>
      <w:marTop w:val="0"/>
      <w:marBottom w:val="0"/>
      <w:divBdr>
        <w:top w:val="none" w:sz="0" w:space="0" w:color="auto"/>
        <w:left w:val="none" w:sz="0" w:space="0" w:color="auto"/>
        <w:bottom w:val="none" w:sz="0" w:space="0" w:color="auto"/>
        <w:right w:val="none" w:sz="0" w:space="0" w:color="auto"/>
      </w:divBdr>
    </w:div>
    <w:div w:id="157623541">
      <w:bodyDiv w:val="1"/>
      <w:marLeft w:val="0"/>
      <w:marRight w:val="0"/>
      <w:marTop w:val="0"/>
      <w:marBottom w:val="0"/>
      <w:divBdr>
        <w:top w:val="none" w:sz="0" w:space="0" w:color="auto"/>
        <w:left w:val="none" w:sz="0" w:space="0" w:color="auto"/>
        <w:bottom w:val="none" w:sz="0" w:space="0" w:color="auto"/>
        <w:right w:val="none" w:sz="0" w:space="0" w:color="auto"/>
      </w:divBdr>
    </w:div>
    <w:div w:id="157699781">
      <w:bodyDiv w:val="1"/>
      <w:marLeft w:val="0"/>
      <w:marRight w:val="0"/>
      <w:marTop w:val="0"/>
      <w:marBottom w:val="0"/>
      <w:divBdr>
        <w:top w:val="none" w:sz="0" w:space="0" w:color="auto"/>
        <w:left w:val="none" w:sz="0" w:space="0" w:color="auto"/>
        <w:bottom w:val="none" w:sz="0" w:space="0" w:color="auto"/>
        <w:right w:val="none" w:sz="0" w:space="0" w:color="auto"/>
      </w:divBdr>
    </w:div>
    <w:div w:id="157885757">
      <w:bodyDiv w:val="1"/>
      <w:marLeft w:val="0"/>
      <w:marRight w:val="0"/>
      <w:marTop w:val="0"/>
      <w:marBottom w:val="0"/>
      <w:divBdr>
        <w:top w:val="none" w:sz="0" w:space="0" w:color="auto"/>
        <w:left w:val="none" w:sz="0" w:space="0" w:color="auto"/>
        <w:bottom w:val="none" w:sz="0" w:space="0" w:color="auto"/>
        <w:right w:val="none" w:sz="0" w:space="0" w:color="auto"/>
      </w:divBdr>
    </w:div>
    <w:div w:id="158429776">
      <w:bodyDiv w:val="1"/>
      <w:marLeft w:val="0"/>
      <w:marRight w:val="0"/>
      <w:marTop w:val="0"/>
      <w:marBottom w:val="0"/>
      <w:divBdr>
        <w:top w:val="none" w:sz="0" w:space="0" w:color="auto"/>
        <w:left w:val="none" w:sz="0" w:space="0" w:color="auto"/>
        <w:bottom w:val="none" w:sz="0" w:space="0" w:color="auto"/>
        <w:right w:val="none" w:sz="0" w:space="0" w:color="auto"/>
      </w:divBdr>
    </w:div>
    <w:div w:id="158741815">
      <w:bodyDiv w:val="1"/>
      <w:marLeft w:val="0"/>
      <w:marRight w:val="0"/>
      <w:marTop w:val="0"/>
      <w:marBottom w:val="0"/>
      <w:divBdr>
        <w:top w:val="none" w:sz="0" w:space="0" w:color="auto"/>
        <w:left w:val="none" w:sz="0" w:space="0" w:color="auto"/>
        <w:bottom w:val="none" w:sz="0" w:space="0" w:color="auto"/>
        <w:right w:val="none" w:sz="0" w:space="0" w:color="auto"/>
      </w:divBdr>
    </w:div>
    <w:div w:id="159932970">
      <w:bodyDiv w:val="1"/>
      <w:marLeft w:val="0"/>
      <w:marRight w:val="0"/>
      <w:marTop w:val="0"/>
      <w:marBottom w:val="0"/>
      <w:divBdr>
        <w:top w:val="none" w:sz="0" w:space="0" w:color="auto"/>
        <w:left w:val="none" w:sz="0" w:space="0" w:color="auto"/>
        <w:bottom w:val="none" w:sz="0" w:space="0" w:color="auto"/>
        <w:right w:val="none" w:sz="0" w:space="0" w:color="auto"/>
      </w:divBdr>
    </w:div>
    <w:div w:id="162479929">
      <w:bodyDiv w:val="1"/>
      <w:marLeft w:val="0"/>
      <w:marRight w:val="0"/>
      <w:marTop w:val="0"/>
      <w:marBottom w:val="0"/>
      <w:divBdr>
        <w:top w:val="none" w:sz="0" w:space="0" w:color="auto"/>
        <w:left w:val="none" w:sz="0" w:space="0" w:color="auto"/>
        <w:bottom w:val="none" w:sz="0" w:space="0" w:color="auto"/>
        <w:right w:val="none" w:sz="0" w:space="0" w:color="auto"/>
      </w:divBdr>
    </w:div>
    <w:div w:id="164823605">
      <w:bodyDiv w:val="1"/>
      <w:marLeft w:val="0"/>
      <w:marRight w:val="0"/>
      <w:marTop w:val="0"/>
      <w:marBottom w:val="0"/>
      <w:divBdr>
        <w:top w:val="none" w:sz="0" w:space="0" w:color="auto"/>
        <w:left w:val="none" w:sz="0" w:space="0" w:color="auto"/>
        <w:bottom w:val="none" w:sz="0" w:space="0" w:color="auto"/>
        <w:right w:val="none" w:sz="0" w:space="0" w:color="auto"/>
      </w:divBdr>
    </w:div>
    <w:div w:id="164975668">
      <w:bodyDiv w:val="1"/>
      <w:marLeft w:val="0"/>
      <w:marRight w:val="0"/>
      <w:marTop w:val="0"/>
      <w:marBottom w:val="0"/>
      <w:divBdr>
        <w:top w:val="none" w:sz="0" w:space="0" w:color="auto"/>
        <w:left w:val="none" w:sz="0" w:space="0" w:color="auto"/>
        <w:bottom w:val="none" w:sz="0" w:space="0" w:color="auto"/>
        <w:right w:val="none" w:sz="0" w:space="0" w:color="auto"/>
      </w:divBdr>
    </w:div>
    <w:div w:id="165826234">
      <w:bodyDiv w:val="1"/>
      <w:marLeft w:val="0"/>
      <w:marRight w:val="0"/>
      <w:marTop w:val="0"/>
      <w:marBottom w:val="0"/>
      <w:divBdr>
        <w:top w:val="none" w:sz="0" w:space="0" w:color="auto"/>
        <w:left w:val="none" w:sz="0" w:space="0" w:color="auto"/>
        <w:bottom w:val="none" w:sz="0" w:space="0" w:color="auto"/>
        <w:right w:val="none" w:sz="0" w:space="0" w:color="auto"/>
      </w:divBdr>
    </w:div>
    <w:div w:id="167646177">
      <w:bodyDiv w:val="1"/>
      <w:marLeft w:val="0"/>
      <w:marRight w:val="0"/>
      <w:marTop w:val="0"/>
      <w:marBottom w:val="0"/>
      <w:divBdr>
        <w:top w:val="none" w:sz="0" w:space="0" w:color="auto"/>
        <w:left w:val="none" w:sz="0" w:space="0" w:color="auto"/>
        <w:bottom w:val="none" w:sz="0" w:space="0" w:color="auto"/>
        <w:right w:val="none" w:sz="0" w:space="0" w:color="auto"/>
      </w:divBdr>
    </w:div>
    <w:div w:id="168570472">
      <w:bodyDiv w:val="1"/>
      <w:marLeft w:val="0"/>
      <w:marRight w:val="0"/>
      <w:marTop w:val="0"/>
      <w:marBottom w:val="0"/>
      <w:divBdr>
        <w:top w:val="none" w:sz="0" w:space="0" w:color="auto"/>
        <w:left w:val="none" w:sz="0" w:space="0" w:color="auto"/>
        <w:bottom w:val="none" w:sz="0" w:space="0" w:color="auto"/>
        <w:right w:val="none" w:sz="0" w:space="0" w:color="auto"/>
      </w:divBdr>
    </w:div>
    <w:div w:id="168641964">
      <w:bodyDiv w:val="1"/>
      <w:marLeft w:val="0"/>
      <w:marRight w:val="0"/>
      <w:marTop w:val="0"/>
      <w:marBottom w:val="0"/>
      <w:divBdr>
        <w:top w:val="none" w:sz="0" w:space="0" w:color="auto"/>
        <w:left w:val="none" w:sz="0" w:space="0" w:color="auto"/>
        <w:bottom w:val="none" w:sz="0" w:space="0" w:color="auto"/>
        <w:right w:val="none" w:sz="0" w:space="0" w:color="auto"/>
      </w:divBdr>
    </w:div>
    <w:div w:id="168712849">
      <w:bodyDiv w:val="1"/>
      <w:marLeft w:val="0"/>
      <w:marRight w:val="0"/>
      <w:marTop w:val="0"/>
      <w:marBottom w:val="0"/>
      <w:divBdr>
        <w:top w:val="none" w:sz="0" w:space="0" w:color="auto"/>
        <w:left w:val="none" w:sz="0" w:space="0" w:color="auto"/>
        <w:bottom w:val="none" w:sz="0" w:space="0" w:color="auto"/>
        <w:right w:val="none" w:sz="0" w:space="0" w:color="auto"/>
      </w:divBdr>
    </w:div>
    <w:div w:id="170529912">
      <w:bodyDiv w:val="1"/>
      <w:marLeft w:val="0"/>
      <w:marRight w:val="0"/>
      <w:marTop w:val="0"/>
      <w:marBottom w:val="0"/>
      <w:divBdr>
        <w:top w:val="none" w:sz="0" w:space="0" w:color="auto"/>
        <w:left w:val="none" w:sz="0" w:space="0" w:color="auto"/>
        <w:bottom w:val="none" w:sz="0" w:space="0" w:color="auto"/>
        <w:right w:val="none" w:sz="0" w:space="0" w:color="auto"/>
      </w:divBdr>
    </w:div>
    <w:div w:id="170992035">
      <w:bodyDiv w:val="1"/>
      <w:marLeft w:val="0"/>
      <w:marRight w:val="0"/>
      <w:marTop w:val="0"/>
      <w:marBottom w:val="0"/>
      <w:divBdr>
        <w:top w:val="none" w:sz="0" w:space="0" w:color="auto"/>
        <w:left w:val="none" w:sz="0" w:space="0" w:color="auto"/>
        <w:bottom w:val="none" w:sz="0" w:space="0" w:color="auto"/>
        <w:right w:val="none" w:sz="0" w:space="0" w:color="auto"/>
      </w:divBdr>
    </w:div>
    <w:div w:id="172037946">
      <w:bodyDiv w:val="1"/>
      <w:marLeft w:val="0"/>
      <w:marRight w:val="0"/>
      <w:marTop w:val="0"/>
      <w:marBottom w:val="0"/>
      <w:divBdr>
        <w:top w:val="none" w:sz="0" w:space="0" w:color="auto"/>
        <w:left w:val="none" w:sz="0" w:space="0" w:color="auto"/>
        <w:bottom w:val="none" w:sz="0" w:space="0" w:color="auto"/>
        <w:right w:val="none" w:sz="0" w:space="0" w:color="auto"/>
      </w:divBdr>
    </w:div>
    <w:div w:id="174343992">
      <w:bodyDiv w:val="1"/>
      <w:marLeft w:val="0"/>
      <w:marRight w:val="0"/>
      <w:marTop w:val="0"/>
      <w:marBottom w:val="0"/>
      <w:divBdr>
        <w:top w:val="none" w:sz="0" w:space="0" w:color="auto"/>
        <w:left w:val="none" w:sz="0" w:space="0" w:color="auto"/>
        <w:bottom w:val="none" w:sz="0" w:space="0" w:color="auto"/>
        <w:right w:val="none" w:sz="0" w:space="0" w:color="auto"/>
      </w:divBdr>
    </w:div>
    <w:div w:id="175967707">
      <w:bodyDiv w:val="1"/>
      <w:marLeft w:val="0"/>
      <w:marRight w:val="0"/>
      <w:marTop w:val="0"/>
      <w:marBottom w:val="0"/>
      <w:divBdr>
        <w:top w:val="none" w:sz="0" w:space="0" w:color="auto"/>
        <w:left w:val="none" w:sz="0" w:space="0" w:color="auto"/>
        <w:bottom w:val="none" w:sz="0" w:space="0" w:color="auto"/>
        <w:right w:val="none" w:sz="0" w:space="0" w:color="auto"/>
      </w:divBdr>
    </w:div>
    <w:div w:id="176121547">
      <w:bodyDiv w:val="1"/>
      <w:marLeft w:val="0"/>
      <w:marRight w:val="0"/>
      <w:marTop w:val="0"/>
      <w:marBottom w:val="0"/>
      <w:divBdr>
        <w:top w:val="none" w:sz="0" w:space="0" w:color="auto"/>
        <w:left w:val="none" w:sz="0" w:space="0" w:color="auto"/>
        <w:bottom w:val="none" w:sz="0" w:space="0" w:color="auto"/>
        <w:right w:val="none" w:sz="0" w:space="0" w:color="auto"/>
      </w:divBdr>
    </w:div>
    <w:div w:id="176164201">
      <w:bodyDiv w:val="1"/>
      <w:marLeft w:val="0"/>
      <w:marRight w:val="0"/>
      <w:marTop w:val="0"/>
      <w:marBottom w:val="0"/>
      <w:divBdr>
        <w:top w:val="none" w:sz="0" w:space="0" w:color="auto"/>
        <w:left w:val="none" w:sz="0" w:space="0" w:color="auto"/>
        <w:bottom w:val="none" w:sz="0" w:space="0" w:color="auto"/>
        <w:right w:val="none" w:sz="0" w:space="0" w:color="auto"/>
      </w:divBdr>
    </w:div>
    <w:div w:id="176307890">
      <w:bodyDiv w:val="1"/>
      <w:marLeft w:val="0"/>
      <w:marRight w:val="0"/>
      <w:marTop w:val="0"/>
      <w:marBottom w:val="0"/>
      <w:divBdr>
        <w:top w:val="none" w:sz="0" w:space="0" w:color="auto"/>
        <w:left w:val="none" w:sz="0" w:space="0" w:color="auto"/>
        <w:bottom w:val="none" w:sz="0" w:space="0" w:color="auto"/>
        <w:right w:val="none" w:sz="0" w:space="0" w:color="auto"/>
      </w:divBdr>
    </w:div>
    <w:div w:id="176577413">
      <w:bodyDiv w:val="1"/>
      <w:marLeft w:val="0"/>
      <w:marRight w:val="0"/>
      <w:marTop w:val="0"/>
      <w:marBottom w:val="0"/>
      <w:divBdr>
        <w:top w:val="none" w:sz="0" w:space="0" w:color="auto"/>
        <w:left w:val="none" w:sz="0" w:space="0" w:color="auto"/>
        <w:bottom w:val="none" w:sz="0" w:space="0" w:color="auto"/>
        <w:right w:val="none" w:sz="0" w:space="0" w:color="auto"/>
      </w:divBdr>
    </w:div>
    <w:div w:id="176775300">
      <w:bodyDiv w:val="1"/>
      <w:marLeft w:val="0"/>
      <w:marRight w:val="0"/>
      <w:marTop w:val="0"/>
      <w:marBottom w:val="0"/>
      <w:divBdr>
        <w:top w:val="none" w:sz="0" w:space="0" w:color="auto"/>
        <w:left w:val="none" w:sz="0" w:space="0" w:color="auto"/>
        <w:bottom w:val="none" w:sz="0" w:space="0" w:color="auto"/>
        <w:right w:val="none" w:sz="0" w:space="0" w:color="auto"/>
      </w:divBdr>
    </w:div>
    <w:div w:id="177080462">
      <w:bodyDiv w:val="1"/>
      <w:marLeft w:val="0"/>
      <w:marRight w:val="0"/>
      <w:marTop w:val="0"/>
      <w:marBottom w:val="0"/>
      <w:divBdr>
        <w:top w:val="none" w:sz="0" w:space="0" w:color="auto"/>
        <w:left w:val="none" w:sz="0" w:space="0" w:color="auto"/>
        <w:bottom w:val="none" w:sz="0" w:space="0" w:color="auto"/>
        <w:right w:val="none" w:sz="0" w:space="0" w:color="auto"/>
      </w:divBdr>
    </w:div>
    <w:div w:id="177627170">
      <w:bodyDiv w:val="1"/>
      <w:marLeft w:val="0"/>
      <w:marRight w:val="0"/>
      <w:marTop w:val="0"/>
      <w:marBottom w:val="0"/>
      <w:divBdr>
        <w:top w:val="none" w:sz="0" w:space="0" w:color="auto"/>
        <w:left w:val="none" w:sz="0" w:space="0" w:color="auto"/>
        <w:bottom w:val="none" w:sz="0" w:space="0" w:color="auto"/>
        <w:right w:val="none" w:sz="0" w:space="0" w:color="auto"/>
      </w:divBdr>
    </w:div>
    <w:div w:id="177814585">
      <w:bodyDiv w:val="1"/>
      <w:marLeft w:val="0"/>
      <w:marRight w:val="0"/>
      <w:marTop w:val="0"/>
      <w:marBottom w:val="0"/>
      <w:divBdr>
        <w:top w:val="none" w:sz="0" w:space="0" w:color="auto"/>
        <w:left w:val="none" w:sz="0" w:space="0" w:color="auto"/>
        <w:bottom w:val="none" w:sz="0" w:space="0" w:color="auto"/>
        <w:right w:val="none" w:sz="0" w:space="0" w:color="auto"/>
      </w:divBdr>
    </w:div>
    <w:div w:id="179054463">
      <w:bodyDiv w:val="1"/>
      <w:marLeft w:val="0"/>
      <w:marRight w:val="0"/>
      <w:marTop w:val="0"/>
      <w:marBottom w:val="0"/>
      <w:divBdr>
        <w:top w:val="none" w:sz="0" w:space="0" w:color="auto"/>
        <w:left w:val="none" w:sz="0" w:space="0" w:color="auto"/>
        <w:bottom w:val="none" w:sz="0" w:space="0" w:color="auto"/>
        <w:right w:val="none" w:sz="0" w:space="0" w:color="auto"/>
      </w:divBdr>
    </w:div>
    <w:div w:id="179323102">
      <w:bodyDiv w:val="1"/>
      <w:marLeft w:val="0"/>
      <w:marRight w:val="0"/>
      <w:marTop w:val="0"/>
      <w:marBottom w:val="0"/>
      <w:divBdr>
        <w:top w:val="none" w:sz="0" w:space="0" w:color="auto"/>
        <w:left w:val="none" w:sz="0" w:space="0" w:color="auto"/>
        <w:bottom w:val="none" w:sz="0" w:space="0" w:color="auto"/>
        <w:right w:val="none" w:sz="0" w:space="0" w:color="auto"/>
      </w:divBdr>
    </w:div>
    <w:div w:id="179511571">
      <w:bodyDiv w:val="1"/>
      <w:marLeft w:val="0"/>
      <w:marRight w:val="0"/>
      <w:marTop w:val="0"/>
      <w:marBottom w:val="0"/>
      <w:divBdr>
        <w:top w:val="none" w:sz="0" w:space="0" w:color="auto"/>
        <w:left w:val="none" w:sz="0" w:space="0" w:color="auto"/>
        <w:bottom w:val="none" w:sz="0" w:space="0" w:color="auto"/>
        <w:right w:val="none" w:sz="0" w:space="0" w:color="auto"/>
      </w:divBdr>
    </w:div>
    <w:div w:id="180511496">
      <w:bodyDiv w:val="1"/>
      <w:marLeft w:val="0"/>
      <w:marRight w:val="0"/>
      <w:marTop w:val="0"/>
      <w:marBottom w:val="0"/>
      <w:divBdr>
        <w:top w:val="none" w:sz="0" w:space="0" w:color="auto"/>
        <w:left w:val="none" w:sz="0" w:space="0" w:color="auto"/>
        <w:bottom w:val="none" w:sz="0" w:space="0" w:color="auto"/>
        <w:right w:val="none" w:sz="0" w:space="0" w:color="auto"/>
      </w:divBdr>
    </w:div>
    <w:div w:id="180514818">
      <w:bodyDiv w:val="1"/>
      <w:marLeft w:val="0"/>
      <w:marRight w:val="0"/>
      <w:marTop w:val="0"/>
      <w:marBottom w:val="0"/>
      <w:divBdr>
        <w:top w:val="none" w:sz="0" w:space="0" w:color="auto"/>
        <w:left w:val="none" w:sz="0" w:space="0" w:color="auto"/>
        <w:bottom w:val="none" w:sz="0" w:space="0" w:color="auto"/>
        <w:right w:val="none" w:sz="0" w:space="0" w:color="auto"/>
      </w:divBdr>
    </w:div>
    <w:div w:id="181672542">
      <w:bodyDiv w:val="1"/>
      <w:marLeft w:val="0"/>
      <w:marRight w:val="0"/>
      <w:marTop w:val="0"/>
      <w:marBottom w:val="0"/>
      <w:divBdr>
        <w:top w:val="none" w:sz="0" w:space="0" w:color="auto"/>
        <w:left w:val="none" w:sz="0" w:space="0" w:color="auto"/>
        <w:bottom w:val="none" w:sz="0" w:space="0" w:color="auto"/>
        <w:right w:val="none" w:sz="0" w:space="0" w:color="auto"/>
      </w:divBdr>
    </w:div>
    <w:div w:id="181937720">
      <w:bodyDiv w:val="1"/>
      <w:marLeft w:val="0"/>
      <w:marRight w:val="0"/>
      <w:marTop w:val="0"/>
      <w:marBottom w:val="0"/>
      <w:divBdr>
        <w:top w:val="none" w:sz="0" w:space="0" w:color="auto"/>
        <w:left w:val="none" w:sz="0" w:space="0" w:color="auto"/>
        <w:bottom w:val="none" w:sz="0" w:space="0" w:color="auto"/>
        <w:right w:val="none" w:sz="0" w:space="0" w:color="auto"/>
      </w:divBdr>
    </w:div>
    <w:div w:id="182473352">
      <w:bodyDiv w:val="1"/>
      <w:marLeft w:val="0"/>
      <w:marRight w:val="0"/>
      <w:marTop w:val="0"/>
      <w:marBottom w:val="0"/>
      <w:divBdr>
        <w:top w:val="none" w:sz="0" w:space="0" w:color="auto"/>
        <w:left w:val="none" w:sz="0" w:space="0" w:color="auto"/>
        <w:bottom w:val="none" w:sz="0" w:space="0" w:color="auto"/>
        <w:right w:val="none" w:sz="0" w:space="0" w:color="auto"/>
      </w:divBdr>
    </w:div>
    <w:div w:id="183061131">
      <w:bodyDiv w:val="1"/>
      <w:marLeft w:val="0"/>
      <w:marRight w:val="0"/>
      <w:marTop w:val="0"/>
      <w:marBottom w:val="0"/>
      <w:divBdr>
        <w:top w:val="none" w:sz="0" w:space="0" w:color="auto"/>
        <w:left w:val="none" w:sz="0" w:space="0" w:color="auto"/>
        <w:bottom w:val="none" w:sz="0" w:space="0" w:color="auto"/>
        <w:right w:val="none" w:sz="0" w:space="0" w:color="auto"/>
      </w:divBdr>
    </w:div>
    <w:div w:id="183441218">
      <w:bodyDiv w:val="1"/>
      <w:marLeft w:val="0"/>
      <w:marRight w:val="0"/>
      <w:marTop w:val="0"/>
      <w:marBottom w:val="0"/>
      <w:divBdr>
        <w:top w:val="none" w:sz="0" w:space="0" w:color="auto"/>
        <w:left w:val="none" w:sz="0" w:space="0" w:color="auto"/>
        <w:bottom w:val="none" w:sz="0" w:space="0" w:color="auto"/>
        <w:right w:val="none" w:sz="0" w:space="0" w:color="auto"/>
      </w:divBdr>
    </w:div>
    <w:div w:id="184640686">
      <w:bodyDiv w:val="1"/>
      <w:marLeft w:val="0"/>
      <w:marRight w:val="0"/>
      <w:marTop w:val="0"/>
      <w:marBottom w:val="0"/>
      <w:divBdr>
        <w:top w:val="none" w:sz="0" w:space="0" w:color="auto"/>
        <w:left w:val="none" w:sz="0" w:space="0" w:color="auto"/>
        <w:bottom w:val="none" w:sz="0" w:space="0" w:color="auto"/>
        <w:right w:val="none" w:sz="0" w:space="0" w:color="auto"/>
      </w:divBdr>
    </w:div>
    <w:div w:id="185024670">
      <w:bodyDiv w:val="1"/>
      <w:marLeft w:val="0"/>
      <w:marRight w:val="0"/>
      <w:marTop w:val="0"/>
      <w:marBottom w:val="0"/>
      <w:divBdr>
        <w:top w:val="none" w:sz="0" w:space="0" w:color="auto"/>
        <w:left w:val="none" w:sz="0" w:space="0" w:color="auto"/>
        <w:bottom w:val="none" w:sz="0" w:space="0" w:color="auto"/>
        <w:right w:val="none" w:sz="0" w:space="0" w:color="auto"/>
      </w:divBdr>
    </w:div>
    <w:div w:id="186141977">
      <w:bodyDiv w:val="1"/>
      <w:marLeft w:val="0"/>
      <w:marRight w:val="0"/>
      <w:marTop w:val="0"/>
      <w:marBottom w:val="0"/>
      <w:divBdr>
        <w:top w:val="none" w:sz="0" w:space="0" w:color="auto"/>
        <w:left w:val="none" w:sz="0" w:space="0" w:color="auto"/>
        <w:bottom w:val="none" w:sz="0" w:space="0" w:color="auto"/>
        <w:right w:val="none" w:sz="0" w:space="0" w:color="auto"/>
      </w:divBdr>
    </w:div>
    <w:div w:id="186989652">
      <w:bodyDiv w:val="1"/>
      <w:marLeft w:val="0"/>
      <w:marRight w:val="0"/>
      <w:marTop w:val="0"/>
      <w:marBottom w:val="0"/>
      <w:divBdr>
        <w:top w:val="none" w:sz="0" w:space="0" w:color="auto"/>
        <w:left w:val="none" w:sz="0" w:space="0" w:color="auto"/>
        <w:bottom w:val="none" w:sz="0" w:space="0" w:color="auto"/>
        <w:right w:val="none" w:sz="0" w:space="0" w:color="auto"/>
      </w:divBdr>
    </w:div>
    <w:div w:id="189807461">
      <w:bodyDiv w:val="1"/>
      <w:marLeft w:val="0"/>
      <w:marRight w:val="0"/>
      <w:marTop w:val="0"/>
      <w:marBottom w:val="0"/>
      <w:divBdr>
        <w:top w:val="none" w:sz="0" w:space="0" w:color="auto"/>
        <w:left w:val="none" w:sz="0" w:space="0" w:color="auto"/>
        <w:bottom w:val="none" w:sz="0" w:space="0" w:color="auto"/>
        <w:right w:val="none" w:sz="0" w:space="0" w:color="auto"/>
      </w:divBdr>
    </w:div>
    <w:div w:id="189993255">
      <w:bodyDiv w:val="1"/>
      <w:marLeft w:val="0"/>
      <w:marRight w:val="0"/>
      <w:marTop w:val="0"/>
      <w:marBottom w:val="0"/>
      <w:divBdr>
        <w:top w:val="none" w:sz="0" w:space="0" w:color="auto"/>
        <w:left w:val="none" w:sz="0" w:space="0" w:color="auto"/>
        <w:bottom w:val="none" w:sz="0" w:space="0" w:color="auto"/>
        <w:right w:val="none" w:sz="0" w:space="0" w:color="auto"/>
      </w:divBdr>
    </w:div>
    <w:div w:id="190076150">
      <w:bodyDiv w:val="1"/>
      <w:marLeft w:val="0"/>
      <w:marRight w:val="0"/>
      <w:marTop w:val="0"/>
      <w:marBottom w:val="0"/>
      <w:divBdr>
        <w:top w:val="none" w:sz="0" w:space="0" w:color="auto"/>
        <w:left w:val="none" w:sz="0" w:space="0" w:color="auto"/>
        <w:bottom w:val="none" w:sz="0" w:space="0" w:color="auto"/>
        <w:right w:val="none" w:sz="0" w:space="0" w:color="auto"/>
      </w:divBdr>
    </w:div>
    <w:div w:id="190459732">
      <w:bodyDiv w:val="1"/>
      <w:marLeft w:val="0"/>
      <w:marRight w:val="0"/>
      <w:marTop w:val="0"/>
      <w:marBottom w:val="0"/>
      <w:divBdr>
        <w:top w:val="none" w:sz="0" w:space="0" w:color="auto"/>
        <w:left w:val="none" w:sz="0" w:space="0" w:color="auto"/>
        <w:bottom w:val="none" w:sz="0" w:space="0" w:color="auto"/>
        <w:right w:val="none" w:sz="0" w:space="0" w:color="auto"/>
      </w:divBdr>
    </w:div>
    <w:div w:id="190539045">
      <w:bodyDiv w:val="1"/>
      <w:marLeft w:val="0"/>
      <w:marRight w:val="0"/>
      <w:marTop w:val="0"/>
      <w:marBottom w:val="0"/>
      <w:divBdr>
        <w:top w:val="none" w:sz="0" w:space="0" w:color="auto"/>
        <w:left w:val="none" w:sz="0" w:space="0" w:color="auto"/>
        <w:bottom w:val="none" w:sz="0" w:space="0" w:color="auto"/>
        <w:right w:val="none" w:sz="0" w:space="0" w:color="auto"/>
      </w:divBdr>
    </w:div>
    <w:div w:id="190610475">
      <w:bodyDiv w:val="1"/>
      <w:marLeft w:val="0"/>
      <w:marRight w:val="0"/>
      <w:marTop w:val="0"/>
      <w:marBottom w:val="0"/>
      <w:divBdr>
        <w:top w:val="none" w:sz="0" w:space="0" w:color="auto"/>
        <w:left w:val="none" w:sz="0" w:space="0" w:color="auto"/>
        <w:bottom w:val="none" w:sz="0" w:space="0" w:color="auto"/>
        <w:right w:val="none" w:sz="0" w:space="0" w:color="auto"/>
      </w:divBdr>
    </w:div>
    <w:div w:id="191117052">
      <w:bodyDiv w:val="1"/>
      <w:marLeft w:val="0"/>
      <w:marRight w:val="0"/>
      <w:marTop w:val="0"/>
      <w:marBottom w:val="0"/>
      <w:divBdr>
        <w:top w:val="none" w:sz="0" w:space="0" w:color="auto"/>
        <w:left w:val="none" w:sz="0" w:space="0" w:color="auto"/>
        <w:bottom w:val="none" w:sz="0" w:space="0" w:color="auto"/>
        <w:right w:val="none" w:sz="0" w:space="0" w:color="auto"/>
      </w:divBdr>
    </w:div>
    <w:div w:id="191262181">
      <w:bodyDiv w:val="1"/>
      <w:marLeft w:val="0"/>
      <w:marRight w:val="0"/>
      <w:marTop w:val="0"/>
      <w:marBottom w:val="0"/>
      <w:divBdr>
        <w:top w:val="none" w:sz="0" w:space="0" w:color="auto"/>
        <w:left w:val="none" w:sz="0" w:space="0" w:color="auto"/>
        <w:bottom w:val="none" w:sz="0" w:space="0" w:color="auto"/>
        <w:right w:val="none" w:sz="0" w:space="0" w:color="auto"/>
      </w:divBdr>
    </w:div>
    <w:div w:id="191265123">
      <w:bodyDiv w:val="1"/>
      <w:marLeft w:val="0"/>
      <w:marRight w:val="0"/>
      <w:marTop w:val="0"/>
      <w:marBottom w:val="0"/>
      <w:divBdr>
        <w:top w:val="none" w:sz="0" w:space="0" w:color="auto"/>
        <w:left w:val="none" w:sz="0" w:space="0" w:color="auto"/>
        <w:bottom w:val="none" w:sz="0" w:space="0" w:color="auto"/>
        <w:right w:val="none" w:sz="0" w:space="0" w:color="auto"/>
      </w:divBdr>
    </w:div>
    <w:div w:id="192230419">
      <w:bodyDiv w:val="1"/>
      <w:marLeft w:val="0"/>
      <w:marRight w:val="0"/>
      <w:marTop w:val="0"/>
      <w:marBottom w:val="0"/>
      <w:divBdr>
        <w:top w:val="none" w:sz="0" w:space="0" w:color="auto"/>
        <w:left w:val="none" w:sz="0" w:space="0" w:color="auto"/>
        <w:bottom w:val="none" w:sz="0" w:space="0" w:color="auto"/>
        <w:right w:val="none" w:sz="0" w:space="0" w:color="auto"/>
      </w:divBdr>
    </w:div>
    <w:div w:id="192427387">
      <w:bodyDiv w:val="1"/>
      <w:marLeft w:val="0"/>
      <w:marRight w:val="0"/>
      <w:marTop w:val="0"/>
      <w:marBottom w:val="0"/>
      <w:divBdr>
        <w:top w:val="none" w:sz="0" w:space="0" w:color="auto"/>
        <w:left w:val="none" w:sz="0" w:space="0" w:color="auto"/>
        <w:bottom w:val="none" w:sz="0" w:space="0" w:color="auto"/>
        <w:right w:val="none" w:sz="0" w:space="0" w:color="auto"/>
      </w:divBdr>
    </w:div>
    <w:div w:id="193080532">
      <w:bodyDiv w:val="1"/>
      <w:marLeft w:val="0"/>
      <w:marRight w:val="0"/>
      <w:marTop w:val="0"/>
      <w:marBottom w:val="0"/>
      <w:divBdr>
        <w:top w:val="none" w:sz="0" w:space="0" w:color="auto"/>
        <w:left w:val="none" w:sz="0" w:space="0" w:color="auto"/>
        <w:bottom w:val="none" w:sz="0" w:space="0" w:color="auto"/>
        <w:right w:val="none" w:sz="0" w:space="0" w:color="auto"/>
      </w:divBdr>
    </w:div>
    <w:div w:id="193277599">
      <w:bodyDiv w:val="1"/>
      <w:marLeft w:val="0"/>
      <w:marRight w:val="0"/>
      <w:marTop w:val="0"/>
      <w:marBottom w:val="0"/>
      <w:divBdr>
        <w:top w:val="none" w:sz="0" w:space="0" w:color="auto"/>
        <w:left w:val="none" w:sz="0" w:space="0" w:color="auto"/>
        <w:bottom w:val="none" w:sz="0" w:space="0" w:color="auto"/>
        <w:right w:val="none" w:sz="0" w:space="0" w:color="auto"/>
      </w:divBdr>
    </w:div>
    <w:div w:id="195972999">
      <w:bodyDiv w:val="1"/>
      <w:marLeft w:val="0"/>
      <w:marRight w:val="0"/>
      <w:marTop w:val="0"/>
      <w:marBottom w:val="0"/>
      <w:divBdr>
        <w:top w:val="none" w:sz="0" w:space="0" w:color="auto"/>
        <w:left w:val="none" w:sz="0" w:space="0" w:color="auto"/>
        <w:bottom w:val="none" w:sz="0" w:space="0" w:color="auto"/>
        <w:right w:val="none" w:sz="0" w:space="0" w:color="auto"/>
      </w:divBdr>
    </w:div>
    <w:div w:id="196161917">
      <w:bodyDiv w:val="1"/>
      <w:marLeft w:val="0"/>
      <w:marRight w:val="0"/>
      <w:marTop w:val="0"/>
      <w:marBottom w:val="0"/>
      <w:divBdr>
        <w:top w:val="none" w:sz="0" w:space="0" w:color="auto"/>
        <w:left w:val="none" w:sz="0" w:space="0" w:color="auto"/>
        <w:bottom w:val="none" w:sz="0" w:space="0" w:color="auto"/>
        <w:right w:val="none" w:sz="0" w:space="0" w:color="auto"/>
      </w:divBdr>
    </w:div>
    <w:div w:id="196739685">
      <w:bodyDiv w:val="1"/>
      <w:marLeft w:val="0"/>
      <w:marRight w:val="0"/>
      <w:marTop w:val="0"/>
      <w:marBottom w:val="0"/>
      <w:divBdr>
        <w:top w:val="none" w:sz="0" w:space="0" w:color="auto"/>
        <w:left w:val="none" w:sz="0" w:space="0" w:color="auto"/>
        <w:bottom w:val="none" w:sz="0" w:space="0" w:color="auto"/>
        <w:right w:val="none" w:sz="0" w:space="0" w:color="auto"/>
      </w:divBdr>
    </w:div>
    <w:div w:id="197545176">
      <w:bodyDiv w:val="1"/>
      <w:marLeft w:val="0"/>
      <w:marRight w:val="0"/>
      <w:marTop w:val="0"/>
      <w:marBottom w:val="0"/>
      <w:divBdr>
        <w:top w:val="none" w:sz="0" w:space="0" w:color="auto"/>
        <w:left w:val="none" w:sz="0" w:space="0" w:color="auto"/>
        <w:bottom w:val="none" w:sz="0" w:space="0" w:color="auto"/>
        <w:right w:val="none" w:sz="0" w:space="0" w:color="auto"/>
      </w:divBdr>
    </w:div>
    <w:div w:id="199129697">
      <w:bodyDiv w:val="1"/>
      <w:marLeft w:val="0"/>
      <w:marRight w:val="0"/>
      <w:marTop w:val="0"/>
      <w:marBottom w:val="0"/>
      <w:divBdr>
        <w:top w:val="none" w:sz="0" w:space="0" w:color="auto"/>
        <w:left w:val="none" w:sz="0" w:space="0" w:color="auto"/>
        <w:bottom w:val="none" w:sz="0" w:space="0" w:color="auto"/>
        <w:right w:val="none" w:sz="0" w:space="0" w:color="auto"/>
      </w:divBdr>
    </w:div>
    <w:div w:id="199824035">
      <w:bodyDiv w:val="1"/>
      <w:marLeft w:val="0"/>
      <w:marRight w:val="0"/>
      <w:marTop w:val="0"/>
      <w:marBottom w:val="0"/>
      <w:divBdr>
        <w:top w:val="none" w:sz="0" w:space="0" w:color="auto"/>
        <w:left w:val="none" w:sz="0" w:space="0" w:color="auto"/>
        <w:bottom w:val="none" w:sz="0" w:space="0" w:color="auto"/>
        <w:right w:val="none" w:sz="0" w:space="0" w:color="auto"/>
      </w:divBdr>
    </w:div>
    <w:div w:id="200898461">
      <w:bodyDiv w:val="1"/>
      <w:marLeft w:val="0"/>
      <w:marRight w:val="0"/>
      <w:marTop w:val="0"/>
      <w:marBottom w:val="0"/>
      <w:divBdr>
        <w:top w:val="none" w:sz="0" w:space="0" w:color="auto"/>
        <w:left w:val="none" w:sz="0" w:space="0" w:color="auto"/>
        <w:bottom w:val="none" w:sz="0" w:space="0" w:color="auto"/>
        <w:right w:val="none" w:sz="0" w:space="0" w:color="auto"/>
      </w:divBdr>
    </w:div>
    <w:div w:id="203762168">
      <w:bodyDiv w:val="1"/>
      <w:marLeft w:val="0"/>
      <w:marRight w:val="0"/>
      <w:marTop w:val="0"/>
      <w:marBottom w:val="0"/>
      <w:divBdr>
        <w:top w:val="none" w:sz="0" w:space="0" w:color="auto"/>
        <w:left w:val="none" w:sz="0" w:space="0" w:color="auto"/>
        <w:bottom w:val="none" w:sz="0" w:space="0" w:color="auto"/>
        <w:right w:val="none" w:sz="0" w:space="0" w:color="auto"/>
      </w:divBdr>
    </w:div>
    <w:div w:id="204292483">
      <w:bodyDiv w:val="1"/>
      <w:marLeft w:val="0"/>
      <w:marRight w:val="0"/>
      <w:marTop w:val="0"/>
      <w:marBottom w:val="0"/>
      <w:divBdr>
        <w:top w:val="none" w:sz="0" w:space="0" w:color="auto"/>
        <w:left w:val="none" w:sz="0" w:space="0" w:color="auto"/>
        <w:bottom w:val="none" w:sz="0" w:space="0" w:color="auto"/>
        <w:right w:val="none" w:sz="0" w:space="0" w:color="auto"/>
      </w:divBdr>
    </w:div>
    <w:div w:id="205528564">
      <w:bodyDiv w:val="1"/>
      <w:marLeft w:val="0"/>
      <w:marRight w:val="0"/>
      <w:marTop w:val="0"/>
      <w:marBottom w:val="0"/>
      <w:divBdr>
        <w:top w:val="none" w:sz="0" w:space="0" w:color="auto"/>
        <w:left w:val="none" w:sz="0" w:space="0" w:color="auto"/>
        <w:bottom w:val="none" w:sz="0" w:space="0" w:color="auto"/>
        <w:right w:val="none" w:sz="0" w:space="0" w:color="auto"/>
      </w:divBdr>
    </w:div>
    <w:div w:id="206307514">
      <w:bodyDiv w:val="1"/>
      <w:marLeft w:val="0"/>
      <w:marRight w:val="0"/>
      <w:marTop w:val="0"/>
      <w:marBottom w:val="0"/>
      <w:divBdr>
        <w:top w:val="none" w:sz="0" w:space="0" w:color="auto"/>
        <w:left w:val="none" w:sz="0" w:space="0" w:color="auto"/>
        <w:bottom w:val="none" w:sz="0" w:space="0" w:color="auto"/>
        <w:right w:val="none" w:sz="0" w:space="0" w:color="auto"/>
      </w:divBdr>
    </w:div>
    <w:div w:id="206652369">
      <w:bodyDiv w:val="1"/>
      <w:marLeft w:val="0"/>
      <w:marRight w:val="0"/>
      <w:marTop w:val="0"/>
      <w:marBottom w:val="0"/>
      <w:divBdr>
        <w:top w:val="none" w:sz="0" w:space="0" w:color="auto"/>
        <w:left w:val="none" w:sz="0" w:space="0" w:color="auto"/>
        <w:bottom w:val="none" w:sz="0" w:space="0" w:color="auto"/>
        <w:right w:val="none" w:sz="0" w:space="0" w:color="auto"/>
      </w:divBdr>
    </w:div>
    <w:div w:id="207424083">
      <w:bodyDiv w:val="1"/>
      <w:marLeft w:val="0"/>
      <w:marRight w:val="0"/>
      <w:marTop w:val="0"/>
      <w:marBottom w:val="0"/>
      <w:divBdr>
        <w:top w:val="none" w:sz="0" w:space="0" w:color="auto"/>
        <w:left w:val="none" w:sz="0" w:space="0" w:color="auto"/>
        <w:bottom w:val="none" w:sz="0" w:space="0" w:color="auto"/>
        <w:right w:val="none" w:sz="0" w:space="0" w:color="auto"/>
      </w:divBdr>
    </w:div>
    <w:div w:id="207687705">
      <w:bodyDiv w:val="1"/>
      <w:marLeft w:val="0"/>
      <w:marRight w:val="0"/>
      <w:marTop w:val="0"/>
      <w:marBottom w:val="0"/>
      <w:divBdr>
        <w:top w:val="none" w:sz="0" w:space="0" w:color="auto"/>
        <w:left w:val="none" w:sz="0" w:space="0" w:color="auto"/>
        <w:bottom w:val="none" w:sz="0" w:space="0" w:color="auto"/>
        <w:right w:val="none" w:sz="0" w:space="0" w:color="auto"/>
      </w:divBdr>
    </w:div>
    <w:div w:id="207910951">
      <w:bodyDiv w:val="1"/>
      <w:marLeft w:val="0"/>
      <w:marRight w:val="0"/>
      <w:marTop w:val="0"/>
      <w:marBottom w:val="0"/>
      <w:divBdr>
        <w:top w:val="none" w:sz="0" w:space="0" w:color="auto"/>
        <w:left w:val="none" w:sz="0" w:space="0" w:color="auto"/>
        <w:bottom w:val="none" w:sz="0" w:space="0" w:color="auto"/>
        <w:right w:val="none" w:sz="0" w:space="0" w:color="auto"/>
      </w:divBdr>
    </w:div>
    <w:div w:id="208301456">
      <w:bodyDiv w:val="1"/>
      <w:marLeft w:val="0"/>
      <w:marRight w:val="0"/>
      <w:marTop w:val="0"/>
      <w:marBottom w:val="0"/>
      <w:divBdr>
        <w:top w:val="none" w:sz="0" w:space="0" w:color="auto"/>
        <w:left w:val="none" w:sz="0" w:space="0" w:color="auto"/>
        <w:bottom w:val="none" w:sz="0" w:space="0" w:color="auto"/>
        <w:right w:val="none" w:sz="0" w:space="0" w:color="auto"/>
      </w:divBdr>
    </w:div>
    <w:div w:id="208417263">
      <w:bodyDiv w:val="1"/>
      <w:marLeft w:val="0"/>
      <w:marRight w:val="0"/>
      <w:marTop w:val="0"/>
      <w:marBottom w:val="0"/>
      <w:divBdr>
        <w:top w:val="none" w:sz="0" w:space="0" w:color="auto"/>
        <w:left w:val="none" w:sz="0" w:space="0" w:color="auto"/>
        <w:bottom w:val="none" w:sz="0" w:space="0" w:color="auto"/>
        <w:right w:val="none" w:sz="0" w:space="0" w:color="auto"/>
      </w:divBdr>
    </w:div>
    <w:div w:id="208536466">
      <w:bodyDiv w:val="1"/>
      <w:marLeft w:val="0"/>
      <w:marRight w:val="0"/>
      <w:marTop w:val="0"/>
      <w:marBottom w:val="0"/>
      <w:divBdr>
        <w:top w:val="none" w:sz="0" w:space="0" w:color="auto"/>
        <w:left w:val="none" w:sz="0" w:space="0" w:color="auto"/>
        <w:bottom w:val="none" w:sz="0" w:space="0" w:color="auto"/>
        <w:right w:val="none" w:sz="0" w:space="0" w:color="auto"/>
      </w:divBdr>
    </w:div>
    <w:div w:id="209810830">
      <w:bodyDiv w:val="1"/>
      <w:marLeft w:val="0"/>
      <w:marRight w:val="0"/>
      <w:marTop w:val="0"/>
      <w:marBottom w:val="0"/>
      <w:divBdr>
        <w:top w:val="none" w:sz="0" w:space="0" w:color="auto"/>
        <w:left w:val="none" w:sz="0" w:space="0" w:color="auto"/>
        <w:bottom w:val="none" w:sz="0" w:space="0" w:color="auto"/>
        <w:right w:val="none" w:sz="0" w:space="0" w:color="auto"/>
      </w:divBdr>
    </w:div>
    <w:div w:id="210963760">
      <w:bodyDiv w:val="1"/>
      <w:marLeft w:val="0"/>
      <w:marRight w:val="0"/>
      <w:marTop w:val="0"/>
      <w:marBottom w:val="0"/>
      <w:divBdr>
        <w:top w:val="none" w:sz="0" w:space="0" w:color="auto"/>
        <w:left w:val="none" w:sz="0" w:space="0" w:color="auto"/>
        <w:bottom w:val="none" w:sz="0" w:space="0" w:color="auto"/>
        <w:right w:val="none" w:sz="0" w:space="0" w:color="auto"/>
      </w:divBdr>
    </w:div>
    <w:div w:id="211036521">
      <w:bodyDiv w:val="1"/>
      <w:marLeft w:val="0"/>
      <w:marRight w:val="0"/>
      <w:marTop w:val="0"/>
      <w:marBottom w:val="0"/>
      <w:divBdr>
        <w:top w:val="none" w:sz="0" w:space="0" w:color="auto"/>
        <w:left w:val="none" w:sz="0" w:space="0" w:color="auto"/>
        <w:bottom w:val="none" w:sz="0" w:space="0" w:color="auto"/>
        <w:right w:val="none" w:sz="0" w:space="0" w:color="auto"/>
      </w:divBdr>
    </w:div>
    <w:div w:id="211424084">
      <w:bodyDiv w:val="1"/>
      <w:marLeft w:val="0"/>
      <w:marRight w:val="0"/>
      <w:marTop w:val="0"/>
      <w:marBottom w:val="0"/>
      <w:divBdr>
        <w:top w:val="none" w:sz="0" w:space="0" w:color="auto"/>
        <w:left w:val="none" w:sz="0" w:space="0" w:color="auto"/>
        <w:bottom w:val="none" w:sz="0" w:space="0" w:color="auto"/>
        <w:right w:val="none" w:sz="0" w:space="0" w:color="auto"/>
      </w:divBdr>
    </w:div>
    <w:div w:id="211617296">
      <w:bodyDiv w:val="1"/>
      <w:marLeft w:val="0"/>
      <w:marRight w:val="0"/>
      <w:marTop w:val="0"/>
      <w:marBottom w:val="0"/>
      <w:divBdr>
        <w:top w:val="none" w:sz="0" w:space="0" w:color="auto"/>
        <w:left w:val="none" w:sz="0" w:space="0" w:color="auto"/>
        <w:bottom w:val="none" w:sz="0" w:space="0" w:color="auto"/>
        <w:right w:val="none" w:sz="0" w:space="0" w:color="auto"/>
      </w:divBdr>
    </w:div>
    <w:div w:id="212085770">
      <w:bodyDiv w:val="1"/>
      <w:marLeft w:val="0"/>
      <w:marRight w:val="0"/>
      <w:marTop w:val="0"/>
      <w:marBottom w:val="0"/>
      <w:divBdr>
        <w:top w:val="none" w:sz="0" w:space="0" w:color="auto"/>
        <w:left w:val="none" w:sz="0" w:space="0" w:color="auto"/>
        <w:bottom w:val="none" w:sz="0" w:space="0" w:color="auto"/>
        <w:right w:val="none" w:sz="0" w:space="0" w:color="auto"/>
      </w:divBdr>
    </w:div>
    <w:div w:id="212352235">
      <w:bodyDiv w:val="1"/>
      <w:marLeft w:val="0"/>
      <w:marRight w:val="0"/>
      <w:marTop w:val="0"/>
      <w:marBottom w:val="0"/>
      <w:divBdr>
        <w:top w:val="none" w:sz="0" w:space="0" w:color="auto"/>
        <w:left w:val="none" w:sz="0" w:space="0" w:color="auto"/>
        <w:bottom w:val="none" w:sz="0" w:space="0" w:color="auto"/>
        <w:right w:val="none" w:sz="0" w:space="0" w:color="auto"/>
      </w:divBdr>
    </w:div>
    <w:div w:id="213929147">
      <w:bodyDiv w:val="1"/>
      <w:marLeft w:val="0"/>
      <w:marRight w:val="0"/>
      <w:marTop w:val="0"/>
      <w:marBottom w:val="0"/>
      <w:divBdr>
        <w:top w:val="none" w:sz="0" w:space="0" w:color="auto"/>
        <w:left w:val="none" w:sz="0" w:space="0" w:color="auto"/>
        <w:bottom w:val="none" w:sz="0" w:space="0" w:color="auto"/>
        <w:right w:val="none" w:sz="0" w:space="0" w:color="auto"/>
      </w:divBdr>
    </w:div>
    <w:div w:id="214046395">
      <w:bodyDiv w:val="1"/>
      <w:marLeft w:val="0"/>
      <w:marRight w:val="0"/>
      <w:marTop w:val="0"/>
      <w:marBottom w:val="0"/>
      <w:divBdr>
        <w:top w:val="none" w:sz="0" w:space="0" w:color="auto"/>
        <w:left w:val="none" w:sz="0" w:space="0" w:color="auto"/>
        <w:bottom w:val="none" w:sz="0" w:space="0" w:color="auto"/>
        <w:right w:val="none" w:sz="0" w:space="0" w:color="auto"/>
      </w:divBdr>
    </w:div>
    <w:div w:id="215361997">
      <w:bodyDiv w:val="1"/>
      <w:marLeft w:val="0"/>
      <w:marRight w:val="0"/>
      <w:marTop w:val="0"/>
      <w:marBottom w:val="0"/>
      <w:divBdr>
        <w:top w:val="none" w:sz="0" w:space="0" w:color="auto"/>
        <w:left w:val="none" w:sz="0" w:space="0" w:color="auto"/>
        <w:bottom w:val="none" w:sz="0" w:space="0" w:color="auto"/>
        <w:right w:val="none" w:sz="0" w:space="0" w:color="auto"/>
      </w:divBdr>
    </w:div>
    <w:div w:id="216211362">
      <w:bodyDiv w:val="1"/>
      <w:marLeft w:val="0"/>
      <w:marRight w:val="0"/>
      <w:marTop w:val="0"/>
      <w:marBottom w:val="0"/>
      <w:divBdr>
        <w:top w:val="none" w:sz="0" w:space="0" w:color="auto"/>
        <w:left w:val="none" w:sz="0" w:space="0" w:color="auto"/>
        <w:bottom w:val="none" w:sz="0" w:space="0" w:color="auto"/>
        <w:right w:val="none" w:sz="0" w:space="0" w:color="auto"/>
      </w:divBdr>
    </w:div>
    <w:div w:id="216355742">
      <w:bodyDiv w:val="1"/>
      <w:marLeft w:val="0"/>
      <w:marRight w:val="0"/>
      <w:marTop w:val="0"/>
      <w:marBottom w:val="0"/>
      <w:divBdr>
        <w:top w:val="none" w:sz="0" w:space="0" w:color="auto"/>
        <w:left w:val="none" w:sz="0" w:space="0" w:color="auto"/>
        <w:bottom w:val="none" w:sz="0" w:space="0" w:color="auto"/>
        <w:right w:val="none" w:sz="0" w:space="0" w:color="auto"/>
      </w:divBdr>
    </w:div>
    <w:div w:id="216549738">
      <w:bodyDiv w:val="1"/>
      <w:marLeft w:val="0"/>
      <w:marRight w:val="0"/>
      <w:marTop w:val="0"/>
      <w:marBottom w:val="0"/>
      <w:divBdr>
        <w:top w:val="none" w:sz="0" w:space="0" w:color="auto"/>
        <w:left w:val="none" w:sz="0" w:space="0" w:color="auto"/>
        <w:bottom w:val="none" w:sz="0" w:space="0" w:color="auto"/>
        <w:right w:val="none" w:sz="0" w:space="0" w:color="auto"/>
      </w:divBdr>
    </w:div>
    <w:div w:id="216668718">
      <w:bodyDiv w:val="1"/>
      <w:marLeft w:val="0"/>
      <w:marRight w:val="0"/>
      <w:marTop w:val="0"/>
      <w:marBottom w:val="0"/>
      <w:divBdr>
        <w:top w:val="none" w:sz="0" w:space="0" w:color="auto"/>
        <w:left w:val="none" w:sz="0" w:space="0" w:color="auto"/>
        <w:bottom w:val="none" w:sz="0" w:space="0" w:color="auto"/>
        <w:right w:val="none" w:sz="0" w:space="0" w:color="auto"/>
      </w:divBdr>
    </w:div>
    <w:div w:id="218976810">
      <w:bodyDiv w:val="1"/>
      <w:marLeft w:val="0"/>
      <w:marRight w:val="0"/>
      <w:marTop w:val="0"/>
      <w:marBottom w:val="0"/>
      <w:divBdr>
        <w:top w:val="none" w:sz="0" w:space="0" w:color="auto"/>
        <w:left w:val="none" w:sz="0" w:space="0" w:color="auto"/>
        <w:bottom w:val="none" w:sz="0" w:space="0" w:color="auto"/>
        <w:right w:val="none" w:sz="0" w:space="0" w:color="auto"/>
      </w:divBdr>
    </w:div>
    <w:div w:id="219096435">
      <w:bodyDiv w:val="1"/>
      <w:marLeft w:val="0"/>
      <w:marRight w:val="0"/>
      <w:marTop w:val="0"/>
      <w:marBottom w:val="0"/>
      <w:divBdr>
        <w:top w:val="none" w:sz="0" w:space="0" w:color="auto"/>
        <w:left w:val="none" w:sz="0" w:space="0" w:color="auto"/>
        <w:bottom w:val="none" w:sz="0" w:space="0" w:color="auto"/>
        <w:right w:val="none" w:sz="0" w:space="0" w:color="auto"/>
      </w:divBdr>
    </w:div>
    <w:div w:id="220333253">
      <w:bodyDiv w:val="1"/>
      <w:marLeft w:val="0"/>
      <w:marRight w:val="0"/>
      <w:marTop w:val="0"/>
      <w:marBottom w:val="0"/>
      <w:divBdr>
        <w:top w:val="none" w:sz="0" w:space="0" w:color="auto"/>
        <w:left w:val="none" w:sz="0" w:space="0" w:color="auto"/>
        <w:bottom w:val="none" w:sz="0" w:space="0" w:color="auto"/>
        <w:right w:val="none" w:sz="0" w:space="0" w:color="auto"/>
      </w:divBdr>
    </w:div>
    <w:div w:id="220947475">
      <w:bodyDiv w:val="1"/>
      <w:marLeft w:val="0"/>
      <w:marRight w:val="0"/>
      <w:marTop w:val="0"/>
      <w:marBottom w:val="0"/>
      <w:divBdr>
        <w:top w:val="none" w:sz="0" w:space="0" w:color="auto"/>
        <w:left w:val="none" w:sz="0" w:space="0" w:color="auto"/>
        <w:bottom w:val="none" w:sz="0" w:space="0" w:color="auto"/>
        <w:right w:val="none" w:sz="0" w:space="0" w:color="auto"/>
      </w:divBdr>
    </w:div>
    <w:div w:id="221409791">
      <w:bodyDiv w:val="1"/>
      <w:marLeft w:val="0"/>
      <w:marRight w:val="0"/>
      <w:marTop w:val="0"/>
      <w:marBottom w:val="0"/>
      <w:divBdr>
        <w:top w:val="none" w:sz="0" w:space="0" w:color="auto"/>
        <w:left w:val="none" w:sz="0" w:space="0" w:color="auto"/>
        <w:bottom w:val="none" w:sz="0" w:space="0" w:color="auto"/>
        <w:right w:val="none" w:sz="0" w:space="0" w:color="auto"/>
      </w:divBdr>
    </w:div>
    <w:div w:id="221796147">
      <w:bodyDiv w:val="1"/>
      <w:marLeft w:val="0"/>
      <w:marRight w:val="0"/>
      <w:marTop w:val="0"/>
      <w:marBottom w:val="0"/>
      <w:divBdr>
        <w:top w:val="none" w:sz="0" w:space="0" w:color="auto"/>
        <w:left w:val="none" w:sz="0" w:space="0" w:color="auto"/>
        <w:bottom w:val="none" w:sz="0" w:space="0" w:color="auto"/>
        <w:right w:val="none" w:sz="0" w:space="0" w:color="auto"/>
      </w:divBdr>
    </w:div>
    <w:div w:id="222638672">
      <w:bodyDiv w:val="1"/>
      <w:marLeft w:val="0"/>
      <w:marRight w:val="0"/>
      <w:marTop w:val="0"/>
      <w:marBottom w:val="0"/>
      <w:divBdr>
        <w:top w:val="none" w:sz="0" w:space="0" w:color="auto"/>
        <w:left w:val="none" w:sz="0" w:space="0" w:color="auto"/>
        <w:bottom w:val="none" w:sz="0" w:space="0" w:color="auto"/>
        <w:right w:val="none" w:sz="0" w:space="0" w:color="auto"/>
      </w:divBdr>
    </w:div>
    <w:div w:id="222910664">
      <w:bodyDiv w:val="1"/>
      <w:marLeft w:val="0"/>
      <w:marRight w:val="0"/>
      <w:marTop w:val="0"/>
      <w:marBottom w:val="0"/>
      <w:divBdr>
        <w:top w:val="none" w:sz="0" w:space="0" w:color="auto"/>
        <w:left w:val="none" w:sz="0" w:space="0" w:color="auto"/>
        <w:bottom w:val="none" w:sz="0" w:space="0" w:color="auto"/>
        <w:right w:val="none" w:sz="0" w:space="0" w:color="auto"/>
      </w:divBdr>
    </w:div>
    <w:div w:id="223182473">
      <w:bodyDiv w:val="1"/>
      <w:marLeft w:val="0"/>
      <w:marRight w:val="0"/>
      <w:marTop w:val="0"/>
      <w:marBottom w:val="0"/>
      <w:divBdr>
        <w:top w:val="none" w:sz="0" w:space="0" w:color="auto"/>
        <w:left w:val="none" w:sz="0" w:space="0" w:color="auto"/>
        <w:bottom w:val="none" w:sz="0" w:space="0" w:color="auto"/>
        <w:right w:val="none" w:sz="0" w:space="0" w:color="auto"/>
      </w:divBdr>
    </w:div>
    <w:div w:id="224606281">
      <w:bodyDiv w:val="1"/>
      <w:marLeft w:val="0"/>
      <w:marRight w:val="0"/>
      <w:marTop w:val="0"/>
      <w:marBottom w:val="0"/>
      <w:divBdr>
        <w:top w:val="none" w:sz="0" w:space="0" w:color="auto"/>
        <w:left w:val="none" w:sz="0" w:space="0" w:color="auto"/>
        <w:bottom w:val="none" w:sz="0" w:space="0" w:color="auto"/>
        <w:right w:val="none" w:sz="0" w:space="0" w:color="auto"/>
      </w:divBdr>
    </w:div>
    <w:div w:id="224681207">
      <w:bodyDiv w:val="1"/>
      <w:marLeft w:val="0"/>
      <w:marRight w:val="0"/>
      <w:marTop w:val="0"/>
      <w:marBottom w:val="0"/>
      <w:divBdr>
        <w:top w:val="none" w:sz="0" w:space="0" w:color="auto"/>
        <w:left w:val="none" w:sz="0" w:space="0" w:color="auto"/>
        <w:bottom w:val="none" w:sz="0" w:space="0" w:color="auto"/>
        <w:right w:val="none" w:sz="0" w:space="0" w:color="auto"/>
      </w:divBdr>
    </w:div>
    <w:div w:id="224880947">
      <w:bodyDiv w:val="1"/>
      <w:marLeft w:val="0"/>
      <w:marRight w:val="0"/>
      <w:marTop w:val="0"/>
      <w:marBottom w:val="0"/>
      <w:divBdr>
        <w:top w:val="none" w:sz="0" w:space="0" w:color="auto"/>
        <w:left w:val="none" w:sz="0" w:space="0" w:color="auto"/>
        <w:bottom w:val="none" w:sz="0" w:space="0" w:color="auto"/>
        <w:right w:val="none" w:sz="0" w:space="0" w:color="auto"/>
      </w:divBdr>
    </w:div>
    <w:div w:id="225460010">
      <w:bodyDiv w:val="1"/>
      <w:marLeft w:val="0"/>
      <w:marRight w:val="0"/>
      <w:marTop w:val="0"/>
      <w:marBottom w:val="0"/>
      <w:divBdr>
        <w:top w:val="none" w:sz="0" w:space="0" w:color="auto"/>
        <w:left w:val="none" w:sz="0" w:space="0" w:color="auto"/>
        <w:bottom w:val="none" w:sz="0" w:space="0" w:color="auto"/>
        <w:right w:val="none" w:sz="0" w:space="0" w:color="auto"/>
      </w:divBdr>
    </w:div>
    <w:div w:id="226116130">
      <w:bodyDiv w:val="1"/>
      <w:marLeft w:val="0"/>
      <w:marRight w:val="0"/>
      <w:marTop w:val="0"/>
      <w:marBottom w:val="0"/>
      <w:divBdr>
        <w:top w:val="none" w:sz="0" w:space="0" w:color="auto"/>
        <w:left w:val="none" w:sz="0" w:space="0" w:color="auto"/>
        <w:bottom w:val="none" w:sz="0" w:space="0" w:color="auto"/>
        <w:right w:val="none" w:sz="0" w:space="0" w:color="auto"/>
      </w:divBdr>
    </w:div>
    <w:div w:id="226961672">
      <w:bodyDiv w:val="1"/>
      <w:marLeft w:val="0"/>
      <w:marRight w:val="0"/>
      <w:marTop w:val="0"/>
      <w:marBottom w:val="0"/>
      <w:divBdr>
        <w:top w:val="none" w:sz="0" w:space="0" w:color="auto"/>
        <w:left w:val="none" w:sz="0" w:space="0" w:color="auto"/>
        <w:bottom w:val="none" w:sz="0" w:space="0" w:color="auto"/>
        <w:right w:val="none" w:sz="0" w:space="0" w:color="auto"/>
      </w:divBdr>
    </w:div>
    <w:div w:id="227345461">
      <w:bodyDiv w:val="1"/>
      <w:marLeft w:val="0"/>
      <w:marRight w:val="0"/>
      <w:marTop w:val="0"/>
      <w:marBottom w:val="0"/>
      <w:divBdr>
        <w:top w:val="none" w:sz="0" w:space="0" w:color="auto"/>
        <w:left w:val="none" w:sz="0" w:space="0" w:color="auto"/>
        <w:bottom w:val="none" w:sz="0" w:space="0" w:color="auto"/>
        <w:right w:val="none" w:sz="0" w:space="0" w:color="auto"/>
      </w:divBdr>
    </w:div>
    <w:div w:id="227613740">
      <w:bodyDiv w:val="1"/>
      <w:marLeft w:val="0"/>
      <w:marRight w:val="0"/>
      <w:marTop w:val="0"/>
      <w:marBottom w:val="0"/>
      <w:divBdr>
        <w:top w:val="none" w:sz="0" w:space="0" w:color="auto"/>
        <w:left w:val="none" w:sz="0" w:space="0" w:color="auto"/>
        <w:bottom w:val="none" w:sz="0" w:space="0" w:color="auto"/>
        <w:right w:val="none" w:sz="0" w:space="0" w:color="auto"/>
      </w:divBdr>
    </w:div>
    <w:div w:id="227812094">
      <w:bodyDiv w:val="1"/>
      <w:marLeft w:val="0"/>
      <w:marRight w:val="0"/>
      <w:marTop w:val="0"/>
      <w:marBottom w:val="0"/>
      <w:divBdr>
        <w:top w:val="none" w:sz="0" w:space="0" w:color="auto"/>
        <w:left w:val="none" w:sz="0" w:space="0" w:color="auto"/>
        <w:bottom w:val="none" w:sz="0" w:space="0" w:color="auto"/>
        <w:right w:val="none" w:sz="0" w:space="0" w:color="auto"/>
      </w:divBdr>
    </w:div>
    <w:div w:id="228462091">
      <w:bodyDiv w:val="1"/>
      <w:marLeft w:val="0"/>
      <w:marRight w:val="0"/>
      <w:marTop w:val="0"/>
      <w:marBottom w:val="0"/>
      <w:divBdr>
        <w:top w:val="none" w:sz="0" w:space="0" w:color="auto"/>
        <w:left w:val="none" w:sz="0" w:space="0" w:color="auto"/>
        <w:bottom w:val="none" w:sz="0" w:space="0" w:color="auto"/>
        <w:right w:val="none" w:sz="0" w:space="0" w:color="auto"/>
      </w:divBdr>
    </w:div>
    <w:div w:id="228537297">
      <w:bodyDiv w:val="1"/>
      <w:marLeft w:val="0"/>
      <w:marRight w:val="0"/>
      <w:marTop w:val="0"/>
      <w:marBottom w:val="0"/>
      <w:divBdr>
        <w:top w:val="none" w:sz="0" w:space="0" w:color="auto"/>
        <w:left w:val="none" w:sz="0" w:space="0" w:color="auto"/>
        <w:bottom w:val="none" w:sz="0" w:space="0" w:color="auto"/>
        <w:right w:val="none" w:sz="0" w:space="0" w:color="auto"/>
      </w:divBdr>
    </w:div>
    <w:div w:id="228930678">
      <w:bodyDiv w:val="1"/>
      <w:marLeft w:val="0"/>
      <w:marRight w:val="0"/>
      <w:marTop w:val="0"/>
      <w:marBottom w:val="0"/>
      <w:divBdr>
        <w:top w:val="none" w:sz="0" w:space="0" w:color="auto"/>
        <w:left w:val="none" w:sz="0" w:space="0" w:color="auto"/>
        <w:bottom w:val="none" w:sz="0" w:space="0" w:color="auto"/>
        <w:right w:val="none" w:sz="0" w:space="0" w:color="auto"/>
      </w:divBdr>
    </w:div>
    <w:div w:id="230163380">
      <w:bodyDiv w:val="1"/>
      <w:marLeft w:val="0"/>
      <w:marRight w:val="0"/>
      <w:marTop w:val="0"/>
      <w:marBottom w:val="0"/>
      <w:divBdr>
        <w:top w:val="none" w:sz="0" w:space="0" w:color="auto"/>
        <w:left w:val="none" w:sz="0" w:space="0" w:color="auto"/>
        <w:bottom w:val="none" w:sz="0" w:space="0" w:color="auto"/>
        <w:right w:val="none" w:sz="0" w:space="0" w:color="auto"/>
      </w:divBdr>
    </w:div>
    <w:div w:id="230503493">
      <w:bodyDiv w:val="1"/>
      <w:marLeft w:val="0"/>
      <w:marRight w:val="0"/>
      <w:marTop w:val="0"/>
      <w:marBottom w:val="0"/>
      <w:divBdr>
        <w:top w:val="none" w:sz="0" w:space="0" w:color="auto"/>
        <w:left w:val="none" w:sz="0" w:space="0" w:color="auto"/>
        <w:bottom w:val="none" w:sz="0" w:space="0" w:color="auto"/>
        <w:right w:val="none" w:sz="0" w:space="0" w:color="auto"/>
      </w:divBdr>
    </w:div>
    <w:div w:id="230582465">
      <w:bodyDiv w:val="1"/>
      <w:marLeft w:val="0"/>
      <w:marRight w:val="0"/>
      <w:marTop w:val="0"/>
      <w:marBottom w:val="0"/>
      <w:divBdr>
        <w:top w:val="none" w:sz="0" w:space="0" w:color="auto"/>
        <w:left w:val="none" w:sz="0" w:space="0" w:color="auto"/>
        <w:bottom w:val="none" w:sz="0" w:space="0" w:color="auto"/>
        <w:right w:val="none" w:sz="0" w:space="0" w:color="auto"/>
      </w:divBdr>
    </w:div>
    <w:div w:id="231549117">
      <w:bodyDiv w:val="1"/>
      <w:marLeft w:val="0"/>
      <w:marRight w:val="0"/>
      <w:marTop w:val="0"/>
      <w:marBottom w:val="0"/>
      <w:divBdr>
        <w:top w:val="none" w:sz="0" w:space="0" w:color="auto"/>
        <w:left w:val="none" w:sz="0" w:space="0" w:color="auto"/>
        <w:bottom w:val="none" w:sz="0" w:space="0" w:color="auto"/>
        <w:right w:val="none" w:sz="0" w:space="0" w:color="auto"/>
      </w:divBdr>
    </w:div>
    <w:div w:id="234434485">
      <w:bodyDiv w:val="1"/>
      <w:marLeft w:val="0"/>
      <w:marRight w:val="0"/>
      <w:marTop w:val="0"/>
      <w:marBottom w:val="0"/>
      <w:divBdr>
        <w:top w:val="none" w:sz="0" w:space="0" w:color="auto"/>
        <w:left w:val="none" w:sz="0" w:space="0" w:color="auto"/>
        <w:bottom w:val="none" w:sz="0" w:space="0" w:color="auto"/>
        <w:right w:val="none" w:sz="0" w:space="0" w:color="auto"/>
      </w:divBdr>
    </w:div>
    <w:div w:id="234819421">
      <w:bodyDiv w:val="1"/>
      <w:marLeft w:val="0"/>
      <w:marRight w:val="0"/>
      <w:marTop w:val="0"/>
      <w:marBottom w:val="0"/>
      <w:divBdr>
        <w:top w:val="none" w:sz="0" w:space="0" w:color="auto"/>
        <w:left w:val="none" w:sz="0" w:space="0" w:color="auto"/>
        <w:bottom w:val="none" w:sz="0" w:space="0" w:color="auto"/>
        <w:right w:val="none" w:sz="0" w:space="0" w:color="auto"/>
      </w:divBdr>
    </w:div>
    <w:div w:id="235630184">
      <w:bodyDiv w:val="1"/>
      <w:marLeft w:val="0"/>
      <w:marRight w:val="0"/>
      <w:marTop w:val="0"/>
      <w:marBottom w:val="0"/>
      <w:divBdr>
        <w:top w:val="none" w:sz="0" w:space="0" w:color="auto"/>
        <w:left w:val="none" w:sz="0" w:space="0" w:color="auto"/>
        <w:bottom w:val="none" w:sz="0" w:space="0" w:color="auto"/>
        <w:right w:val="none" w:sz="0" w:space="0" w:color="auto"/>
      </w:divBdr>
    </w:div>
    <w:div w:id="235744640">
      <w:bodyDiv w:val="1"/>
      <w:marLeft w:val="0"/>
      <w:marRight w:val="0"/>
      <w:marTop w:val="0"/>
      <w:marBottom w:val="0"/>
      <w:divBdr>
        <w:top w:val="none" w:sz="0" w:space="0" w:color="auto"/>
        <w:left w:val="none" w:sz="0" w:space="0" w:color="auto"/>
        <w:bottom w:val="none" w:sz="0" w:space="0" w:color="auto"/>
        <w:right w:val="none" w:sz="0" w:space="0" w:color="auto"/>
      </w:divBdr>
    </w:div>
    <w:div w:id="235746054">
      <w:bodyDiv w:val="1"/>
      <w:marLeft w:val="0"/>
      <w:marRight w:val="0"/>
      <w:marTop w:val="0"/>
      <w:marBottom w:val="0"/>
      <w:divBdr>
        <w:top w:val="none" w:sz="0" w:space="0" w:color="auto"/>
        <w:left w:val="none" w:sz="0" w:space="0" w:color="auto"/>
        <w:bottom w:val="none" w:sz="0" w:space="0" w:color="auto"/>
        <w:right w:val="none" w:sz="0" w:space="0" w:color="auto"/>
      </w:divBdr>
    </w:div>
    <w:div w:id="235942096">
      <w:bodyDiv w:val="1"/>
      <w:marLeft w:val="0"/>
      <w:marRight w:val="0"/>
      <w:marTop w:val="0"/>
      <w:marBottom w:val="0"/>
      <w:divBdr>
        <w:top w:val="none" w:sz="0" w:space="0" w:color="auto"/>
        <w:left w:val="none" w:sz="0" w:space="0" w:color="auto"/>
        <w:bottom w:val="none" w:sz="0" w:space="0" w:color="auto"/>
        <w:right w:val="none" w:sz="0" w:space="0" w:color="auto"/>
      </w:divBdr>
    </w:div>
    <w:div w:id="236981696">
      <w:bodyDiv w:val="1"/>
      <w:marLeft w:val="0"/>
      <w:marRight w:val="0"/>
      <w:marTop w:val="0"/>
      <w:marBottom w:val="0"/>
      <w:divBdr>
        <w:top w:val="none" w:sz="0" w:space="0" w:color="auto"/>
        <w:left w:val="none" w:sz="0" w:space="0" w:color="auto"/>
        <w:bottom w:val="none" w:sz="0" w:space="0" w:color="auto"/>
        <w:right w:val="none" w:sz="0" w:space="0" w:color="auto"/>
      </w:divBdr>
    </w:div>
    <w:div w:id="237059746">
      <w:bodyDiv w:val="1"/>
      <w:marLeft w:val="0"/>
      <w:marRight w:val="0"/>
      <w:marTop w:val="0"/>
      <w:marBottom w:val="0"/>
      <w:divBdr>
        <w:top w:val="none" w:sz="0" w:space="0" w:color="auto"/>
        <w:left w:val="none" w:sz="0" w:space="0" w:color="auto"/>
        <w:bottom w:val="none" w:sz="0" w:space="0" w:color="auto"/>
        <w:right w:val="none" w:sz="0" w:space="0" w:color="auto"/>
      </w:divBdr>
    </w:div>
    <w:div w:id="237398026">
      <w:bodyDiv w:val="1"/>
      <w:marLeft w:val="0"/>
      <w:marRight w:val="0"/>
      <w:marTop w:val="0"/>
      <w:marBottom w:val="0"/>
      <w:divBdr>
        <w:top w:val="none" w:sz="0" w:space="0" w:color="auto"/>
        <w:left w:val="none" w:sz="0" w:space="0" w:color="auto"/>
        <w:bottom w:val="none" w:sz="0" w:space="0" w:color="auto"/>
        <w:right w:val="none" w:sz="0" w:space="0" w:color="auto"/>
      </w:divBdr>
    </w:div>
    <w:div w:id="238252762">
      <w:bodyDiv w:val="1"/>
      <w:marLeft w:val="0"/>
      <w:marRight w:val="0"/>
      <w:marTop w:val="0"/>
      <w:marBottom w:val="0"/>
      <w:divBdr>
        <w:top w:val="none" w:sz="0" w:space="0" w:color="auto"/>
        <w:left w:val="none" w:sz="0" w:space="0" w:color="auto"/>
        <w:bottom w:val="none" w:sz="0" w:space="0" w:color="auto"/>
        <w:right w:val="none" w:sz="0" w:space="0" w:color="auto"/>
      </w:divBdr>
    </w:div>
    <w:div w:id="239366088">
      <w:bodyDiv w:val="1"/>
      <w:marLeft w:val="0"/>
      <w:marRight w:val="0"/>
      <w:marTop w:val="0"/>
      <w:marBottom w:val="0"/>
      <w:divBdr>
        <w:top w:val="none" w:sz="0" w:space="0" w:color="auto"/>
        <w:left w:val="none" w:sz="0" w:space="0" w:color="auto"/>
        <w:bottom w:val="none" w:sz="0" w:space="0" w:color="auto"/>
        <w:right w:val="none" w:sz="0" w:space="0" w:color="auto"/>
      </w:divBdr>
    </w:div>
    <w:div w:id="239366091">
      <w:bodyDiv w:val="1"/>
      <w:marLeft w:val="0"/>
      <w:marRight w:val="0"/>
      <w:marTop w:val="0"/>
      <w:marBottom w:val="0"/>
      <w:divBdr>
        <w:top w:val="none" w:sz="0" w:space="0" w:color="auto"/>
        <w:left w:val="none" w:sz="0" w:space="0" w:color="auto"/>
        <w:bottom w:val="none" w:sz="0" w:space="0" w:color="auto"/>
        <w:right w:val="none" w:sz="0" w:space="0" w:color="auto"/>
      </w:divBdr>
    </w:div>
    <w:div w:id="239485578">
      <w:bodyDiv w:val="1"/>
      <w:marLeft w:val="0"/>
      <w:marRight w:val="0"/>
      <w:marTop w:val="0"/>
      <w:marBottom w:val="0"/>
      <w:divBdr>
        <w:top w:val="none" w:sz="0" w:space="0" w:color="auto"/>
        <w:left w:val="none" w:sz="0" w:space="0" w:color="auto"/>
        <w:bottom w:val="none" w:sz="0" w:space="0" w:color="auto"/>
        <w:right w:val="none" w:sz="0" w:space="0" w:color="auto"/>
      </w:divBdr>
    </w:div>
    <w:div w:id="239563340">
      <w:bodyDiv w:val="1"/>
      <w:marLeft w:val="0"/>
      <w:marRight w:val="0"/>
      <w:marTop w:val="0"/>
      <w:marBottom w:val="0"/>
      <w:divBdr>
        <w:top w:val="none" w:sz="0" w:space="0" w:color="auto"/>
        <w:left w:val="none" w:sz="0" w:space="0" w:color="auto"/>
        <w:bottom w:val="none" w:sz="0" w:space="0" w:color="auto"/>
        <w:right w:val="none" w:sz="0" w:space="0" w:color="auto"/>
      </w:divBdr>
    </w:div>
    <w:div w:id="241717444">
      <w:bodyDiv w:val="1"/>
      <w:marLeft w:val="0"/>
      <w:marRight w:val="0"/>
      <w:marTop w:val="0"/>
      <w:marBottom w:val="0"/>
      <w:divBdr>
        <w:top w:val="none" w:sz="0" w:space="0" w:color="auto"/>
        <w:left w:val="none" w:sz="0" w:space="0" w:color="auto"/>
        <w:bottom w:val="none" w:sz="0" w:space="0" w:color="auto"/>
        <w:right w:val="none" w:sz="0" w:space="0" w:color="auto"/>
      </w:divBdr>
    </w:div>
    <w:div w:id="241764681">
      <w:bodyDiv w:val="1"/>
      <w:marLeft w:val="0"/>
      <w:marRight w:val="0"/>
      <w:marTop w:val="0"/>
      <w:marBottom w:val="0"/>
      <w:divBdr>
        <w:top w:val="none" w:sz="0" w:space="0" w:color="auto"/>
        <w:left w:val="none" w:sz="0" w:space="0" w:color="auto"/>
        <w:bottom w:val="none" w:sz="0" w:space="0" w:color="auto"/>
        <w:right w:val="none" w:sz="0" w:space="0" w:color="auto"/>
      </w:divBdr>
    </w:div>
    <w:div w:id="243996387">
      <w:bodyDiv w:val="1"/>
      <w:marLeft w:val="0"/>
      <w:marRight w:val="0"/>
      <w:marTop w:val="0"/>
      <w:marBottom w:val="0"/>
      <w:divBdr>
        <w:top w:val="none" w:sz="0" w:space="0" w:color="auto"/>
        <w:left w:val="none" w:sz="0" w:space="0" w:color="auto"/>
        <w:bottom w:val="none" w:sz="0" w:space="0" w:color="auto"/>
        <w:right w:val="none" w:sz="0" w:space="0" w:color="auto"/>
      </w:divBdr>
    </w:div>
    <w:div w:id="245001438">
      <w:bodyDiv w:val="1"/>
      <w:marLeft w:val="0"/>
      <w:marRight w:val="0"/>
      <w:marTop w:val="0"/>
      <w:marBottom w:val="0"/>
      <w:divBdr>
        <w:top w:val="none" w:sz="0" w:space="0" w:color="auto"/>
        <w:left w:val="none" w:sz="0" w:space="0" w:color="auto"/>
        <w:bottom w:val="none" w:sz="0" w:space="0" w:color="auto"/>
        <w:right w:val="none" w:sz="0" w:space="0" w:color="auto"/>
      </w:divBdr>
    </w:div>
    <w:div w:id="245463013">
      <w:bodyDiv w:val="1"/>
      <w:marLeft w:val="0"/>
      <w:marRight w:val="0"/>
      <w:marTop w:val="0"/>
      <w:marBottom w:val="0"/>
      <w:divBdr>
        <w:top w:val="none" w:sz="0" w:space="0" w:color="auto"/>
        <w:left w:val="none" w:sz="0" w:space="0" w:color="auto"/>
        <w:bottom w:val="none" w:sz="0" w:space="0" w:color="auto"/>
        <w:right w:val="none" w:sz="0" w:space="0" w:color="auto"/>
      </w:divBdr>
    </w:div>
    <w:div w:id="246043233">
      <w:bodyDiv w:val="1"/>
      <w:marLeft w:val="0"/>
      <w:marRight w:val="0"/>
      <w:marTop w:val="0"/>
      <w:marBottom w:val="0"/>
      <w:divBdr>
        <w:top w:val="none" w:sz="0" w:space="0" w:color="auto"/>
        <w:left w:val="none" w:sz="0" w:space="0" w:color="auto"/>
        <w:bottom w:val="none" w:sz="0" w:space="0" w:color="auto"/>
        <w:right w:val="none" w:sz="0" w:space="0" w:color="auto"/>
      </w:divBdr>
    </w:div>
    <w:div w:id="246161972">
      <w:bodyDiv w:val="1"/>
      <w:marLeft w:val="0"/>
      <w:marRight w:val="0"/>
      <w:marTop w:val="0"/>
      <w:marBottom w:val="0"/>
      <w:divBdr>
        <w:top w:val="none" w:sz="0" w:space="0" w:color="auto"/>
        <w:left w:val="none" w:sz="0" w:space="0" w:color="auto"/>
        <w:bottom w:val="none" w:sz="0" w:space="0" w:color="auto"/>
        <w:right w:val="none" w:sz="0" w:space="0" w:color="auto"/>
      </w:divBdr>
    </w:div>
    <w:div w:id="248927230">
      <w:bodyDiv w:val="1"/>
      <w:marLeft w:val="0"/>
      <w:marRight w:val="0"/>
      <w:marTop w:val="0"/>
      <w:marBottom w:val="0"/>
      <w:divBdr>
        <w:top w:val="none" w:sz="0" w:space="0" w:color="auto"/>
        <w:left w:val="none" w:sz="0" w:space="0" w:color="auto"/>
        <w:bottom w:val="none" w:sz="0" w:space="0" w:color="auto"/>
        <w:right w:val="none" w:sz="0" w:space="0" w:color="auto"/>
      </w:divBdr>
    </w:div>
    <w:div w:id="250164064">
      <w:bodyDiv w:val="1"/>
      <w:marLeft w:val="0"/>
      <w:marRight w:val="0"/>
      <w:marTop w:val="0"/>
      <w:marBottom w:val="0"/>
      <w:divBdr>
        <w:top w:val="none" w:sz="0" w:space="0" w:color="auto"/>
        <w:left w:val="none" w:sz="0" w:space="0" w:color="auto"/>
        <w:bottom w:val="none" w:sz="0" w:space="0" w:color="auto"/>
        <w:right w:val="none" w:sz="0" w:space="0" w:color="auto"/>
      </w:divBdr>
    </w:div>
    <w:div w:id="251282875">
      <w:bodyDiv w:val="1"/>
      <w:marLeft w:val="0"/>
      <w:marRight w:val="0"/>
      <w:marTop w:val="0"/>
      <w:marBottom w:val="0"/>
      <w:divBdr>
        <w:top w:val="none" w:sz="0" w:space="0" w:color="auto"/>
        <w:left w:val="none" w:sz="0" w:space="0" w:color="auto"/>
        <w:bottom w:val="none" w:sz="0" w:space="0" w:color="auto"/>
        <w:right w:val="none" w:sz="0" w:space="0" w:color="auto"/>
      </w:divBdr>
    </w:div>
    <w:div w:id="251352725">
      <w:bodyDiv w:val="1"/>
      <w:marLeft w:val="0"/>
      <w:marRight w:val="0"/>
      <w:marTop w:val="0"/>
      <w:marBottom w:val="0"/>
      <w:divBdr>
        <w:top w:val="none" w:sz="0" w:space="0" w:color="auto"/>
        <w:left w:val="none" w:sz="0" w:space="0" w:color="auto"/>
        <w:bottom w:val="none" w:sz="0" w:space="0" w:color="auto"/>
        <w:right w:val="none" w:sz="0" w:space="0" w:color="auto"/>
      </w:divBdr>
    </w:div>
    <w:div w:id="252083696">
      <w:bodyDiv w:val="1"/>
      <w:marLeft w:val="0"/>
      <w:marRight w:val="0"/>
      <w:marTop w:val="0"/>
      <w:marBottom w:val="0"/>
      <w:divBdr>
        <w:top w:val="none" w:sz="0" w:space="0" w:color="auto"/>
        <w:left w:val="none" w:sz="0" w:space="0" w:color="auto"/>
        <w:bottom w:val="none" w:sz="0" w:space="0" w:color="auto"/>
        <w:right w:val="none" w:sz="0" w:space="0" w:color="auto"/>
      </w:divBdr>
    </w:div>
    <w:div w:id="254628777">
      <w:bodyDiv w:val="1"/>
      <w:marLeft w:val="0"/>
      <w:marRight w:val="0"/>
      <w:marTop w:val="0"/>
      <w:marBottom w:val="0"/>
      <w:divBdr>
        <w:top w:val="none" w:sz="0" w:space="0" w:color="auto"/>
        <w:left w:val="none" w:sz="0" w:space="0" w:color="auto"/>
        <w:bottom w:val="none" w:sz="0" w:space="0" w:color="auto"/>
        <w:right w:val="none" w:sz="0" w:space="0" w:color="auto"/>
      </w:divBdr>
    </w:div>
    <w:div w:id="255721760">
      <w:bodyDiv w:val="1"/>
      <w:marLeft w:val="0"/>
      <w:marRight w:val="0"/>
      <w:marTop w:val="0"/>
      <w:marBottom w:val="0"/>
      <w:divBdr>
        <w:top w:val="none" w:sz="0" w:space="0" w:color="auto"/>
        <w:left w:val="none" w:sz="0" w:space="0" w:color="auto"/>
        <w:bottom w:val="none" w:sz="0" w:space="0" w:color="auto"/>
        <w:right w:val="none" w:sz="0" w:space="0" w:color="auto"/>
      </w:divBdr>
    </w:div>
    <w:div w:id="256910540">
      <w:bodyDiv w:val="1"/>
      <w:marLeft w:val="0"/>
      <w:marRight w:val="0"/>
      <w:marTop w:val="0"/>
      <w:marBottom w:val="0"/>
      <w:divBdr>
        <w:top w:val="none" w:sz="0" w:space="0" w:color="auto"/>
        <w:left w:val="none" w:sz="0" w:space="0" w:color="auto"/>
        <w:bottom w:val="none" w:sz="0" w:space="0" w:color="auto"/>
        <w:right w:val="none" w:sz="0" w:space="0" w:color="auto"/>
      </w:divBdr>
    </w:div>
    <w:div w:id="257641475">
      <w:bodyDiv w:val="1"/>
      <w:marLeft w:val="0"/>
      <w:marRight w:val="0"/>
      <w:marTop w:val="0"/>
      <w:marBottom w:val="0"/>
      <w:divBdr>
        <w:top w:val="none" w:sz="0" w:space="0" w:color="auto"/>
        <w:left w:val="none" w:sz="0" w:space="0" w:color="auto"/>
        <w:bottom w:val="none" w:sz="0" w:space="0" w:color="auto"/>
        <w:right w:val="none" w:sz="0" w:space="0" w:color="auto"/>
      </w:divBdr>
    </w:div>
    <w:div w:id="257642282">
      <w:bodyDiv w:val="1"/>
      <w:marLeft w:val="0"/>
      <w:marRight w:val="0"/>
      <w:marTop w:val="0"/>
      <w:marBottom w:val="0"/>
      <w:divBdr>
        <w:top w:val="none" w:sz="0" w:space="0" w:color="auto"/>
        <w:left w:val="none" w:sz="0" w:space="0" w:color="auto"/>
        <w:bottom w:val="none" w:sz="0" w:space="0" w:color="auto"/>
        <w:right w:val="none" w:sz="0" w:space="0" w:color="auto"/>
      </w:divBdr>
    </w:div>
    <w:div w:id="258684338">
      <w:bodyDiv w:val="1"/>
      <w:marLeft w:val="0"/>
      <w:marRight w:val="0"/>
      <w:marTop w:val="0"/>
      <w:marBottom w:val="0"/>
      <w:divBdr>
        <w:top w:val="none" w:sz="0" w:space="0" w:color="auto"/>
        <w:left w:val="none" w:sz="0" w:space="0" w:color="auto"/>
        <w:bottom w:val="none" w:sz="0" w:space="0" w:color="auto"/>
        <w:right w:val="none" w:sz="0" w:space="0" w:color="auto"/>
      </w:divBdr>
    </w:div>
    <w:div w:id="260769836">
      <w:bodyDiv w:val="1"/>
      <w:marLeft w:val="0"/>
      <w:marRight w:val="0"/>
      <w:marTop w:val="0"/>
      <w:marBottom w:val="0"/>
      <w:divBdr>
        <w:top w:val="none" w:sz="0" w:space="0" w:color="auto"/>
        <w:left w:val="none" w:sz="0" w:space="0" w:color="auto"/>
        <w:bottom w:val="none" w:sz="0" w:space="0" w:color="auto"/>
        <w:right w:val="none" w:sz="0" w:space="0" w:color="auto"/>
      </w:divBdr>
    </w:div>
    <w:div w:id="261492457">
      <w:bodyDiv w:val="1"/>
      <w:marLeft w:val="0"/>
      <w:marRight w:val="0"/>
      <w:marTop w:val="0"/>
      <w:marBottom w:val="0"/>
      <w:divBdr>
        <w:top w:val="none" w:sz="0" w:space="0" w:color="auto"/>
        <w:left w:val="none" w:sz="0" w:space="0" w:color="auto"/>
        <w:bottom w:val="none" w:sz="0" w:space="0" w:color="auto"/>
        <w:right w:val="none" w:sz="0" w:space="0" w:color="auto"/>
      </w:divBdr>
    </w:div>
    <w:div w:id="261644268">
      <w:bodyDiv w:val="1"/>
      <w:marLeft w:val="0"/>
      <w:marRight w:val="0"/>
      <w:marTop w:val="0"/>
      <w:marBottom w:val="0"/>
      <w:divBdr>
        <w:top w:val="none" w:sz="0" w:space="0" w:color="auto"/>
        <w:left w:val="none" w:sz="0" w:space="0" w:color="auto"/>
        <w:bottom w:val="none" w:sz="0" w:space="0" w:color="auto"/>
        <w:right w:val="none" w:sz="0" w:space="0" w:color="auto"/>
      </w:divBdr>
    </w:div>
    <w:div w:id="261842025">
      <w:bodyDiv w:val="1"/>
      <w:marLeft w:val="0"/>
      <w:marRight w:val="0"/>
      <w:marTop w:val="0"/>
      <w:marBottom w:val="0"/>
      <w:divBdr>
        <w:top w:val="none" w:sz="0" w:space="0" w:color="auto"/>
        <w:left w:val="none" w:sz="0" w:space="0" w:color="auto"/>
        <w:bottom w:val="none" w:sz="0" w:space="0" w:color="auto"/>
        <w:right w:val="none" w:sz="0" w:space="0" w:color="auto"/>
      </w:divBdr>
    </w:div>
    <w:div w:id="262033180">
      <w:bodyDiv w:val="1"/>
      <w:marLeft w:val="0"/>
      <w:marRight w:val="0"/>
      <w:marTop w:val="0"/>
      <w:marBottom w:val="0"/>
      <w:divBdr>
        <w:top w:val="none" w:sz="0" w:space="0" w:color="auto"/>
        <w:left w:val="none" w:sz="0" w:space="0" w:color="auto"/>
        <w:bottom w:val="none" w:sz="0" w:space="0" w:color="auto"/>
        <w:right w:val="none" w:sz="0" w:space="0" w:color="auto"/>
      </w:divBdr>
    </w:div>
    <w:div w:id="262613401">
      <w:bodyDiv w:val="1"/>
      <w:marLeft w:val="0"/>
      <w:marRight w:val="0"/>
      <w:marTop w:val="0"/>
      <w:marBottom w:val="0"/>
      <w:divBdr>
        <w:top w:val="none" w:sz="0" w:space="0" w:color="auto"/>
        <w:left w:val="none" w:sz="0" w:space="0" w:color="auto"/>
        <w:bottom w:val="none" w:sz="0" w:space="0" w:color="auto"/>
        <w:right w:val="none" w:sz="0" w:space="0" w:color="auto"/>
      </w:divBdr>
    </w:div>
    <w:div w:id="263614781">
      <w:bodyDiv w:val="1"/>
      <w:marLeft w:val="0"/>
      <w:marRight w:val="0"/>
      <w:marTop w:val="0"/>
      <w:marBottom w:val="0"/>
      <w:divBdr>
        <w:top w:val="none" w:sz="0" w:space="0" w:color="auto"/>
        <w:left w:val="none" w:sz="0" w:space="0" w:color="auto"/>
        <w:bottom w:val="none" w:sz="0" w:space="0" w:color="auto"/>
        <w:right w:val="none" w:sz="0" w:space="0" w:color="auto"/>
      </w:divBdr>
    </w:div>
    <w:div w:id="264191989">
      <w:bodyDiv w:val="1"/>
      <w:marLeft w:val="0"/>
      <w:marRight w:val="0"/>
      <w:marTop w:val="0"/>
      <w:marBottom w:val="0"/>
      <w:divBdr>
        <w:top w:val="none" w:sz="0" w:space="0" w:color="auto"/>
        <w:left w:val="none" w:sz="0" w:space="0" w:color="auto"/>
        <w:bottom w:val="none" w:sz="0" w:space="0" w:color="auto"/>
        <w:right w:val="none" w:sz="0" w:space="0" w:color="auto"/>
      </w:divBdr>
    </w:div>
    <w:div w:id="264462628">
      <w:bodyDiv w:val="1"/>
      <w:marLeft w:val="0"/>
      <w:marRight w:val="0"/>
      <w:marTop w:val="0"/>
      <w:marBottom w:val="0"/>
      <w:divBdr>
        <w:top w:val="none" w:sz="0" w:space="0" w:color="auto"/>
        <w:left w:val="none" w:sz="0" w:space="0" w:color="auto"/>
        <w:bottom w:val="none" w:sz="0" w:space="0" w:color="auto"/>
        <w:right w:val="none" w:sz="0" w:space="0" w:color="auto"/>
      </w:divBdr>
    </w:div>
    <w:div w:id="265895199">
      <w:bodyDiv w:val="1"/>
      <w:marLeft w:val="0"/>
      <w:marRight w:val="0"/>
      <w:marTop w:val="0"/>
      <w:marBottom w:val="0"/>
      <w:divBdr>
        <w:top w:val="none" w:sz="0" w:space="0" w:color="auto"/>
        <w:left w:val="none" w:sz="0" w:space="0" w:color="auto"/>
        <w:bottom w:val="none" w:sz="0" w:space="0" w:color="auto"/>
        <w:right w:val="none" w:sz="0" w:space="0" w:color="auto"/>
      </w:divBdr>
    </w:div>
    <w:div w:id="266040480">
      <w:bodyDiv w:val="1"/>
      <w:marLeft w:val="0"/>
      <w:marRight w:val="0"/>
      <w:marTop w:val="0"/>
      <w:marBottom w:val="0"/>
      <w:divBdr>
        <w:top w:val="none" w:sz="0" w:space="0" w:color="auto"/>
        <w:left w:val="none" w:sz="0" w:space="0" w:color="auto"/>
        <w:bottom w:val="none" w:sz="0" w:space="0" w:color="auto"/>
        <w:right w:val="none" w:sz="0" w:space="0" w:color="auto"/>
      </w:divBdr>
    </w:div>
    <w:div w:id="266157783">
      <w:bodyDiv w:val="1"/>
      <w:marLeft w:val="0"/>
      <w:marRight w:val="0"/>
      <w:marTop w:val="0"/>
      <w:marBottom w:val="0"/>
      <w:divBdr>
        <w:top w:val="none" w:sz="0" w:space="0" w:color="auto"/>
        <w:left w:val="none" w:sz="0" w:space="0" w:color="auto"/>
        <w:bottom w:val="none" w:sz="0" w:space="0" w:color="auto"/>
        <w:right w:val="none" w:sz="0" w:space="0" w:color="auto"/>
      </w:divBdr>
    </w:div>
    <w:div w:id="266543350">
      <w:bodyDiv w:val="1"/>
      <w:marLeft w:val="0"/>
      <w:marRight w:val="0"/>
      <w:marTop w:val="0"/>
      <w:marBottom w:val="0"/>
      <w:divBdr>
        <w:top w:val="none" w:sz="0" w:space="0" w:color="auto"/>
        <w:left w:val="none" w:sz="0" w:space="0" w:color="auto"/>
        <w:bottom w:val="none" w:sz="0" w:space="0" w:color="auto"/>
        <w:right w:val="none" w:sz="0" w:space="0" w:color="auto"/>
      </w:divBdr>
    </w:div>
    <w:div w:id="266812594">
      <w:bodyDiv w:val="1"/>
      <w:marLeft w:val="0"/>
      <w:marRight w:val="0"/>
      <w:marTop w:val="0"/>
      <w:marBottom w:val="0"/>
      <w:divBdr>
        <w:top w:val="none" w:sz="0" w:space="0" w:color="auto"/>
        <w:left w:val="none" w:sz="0" w:space="0" w:color="auto"/>
        <w:bottom w:val="none" w:sz="0" w:space="0" w:color="auto"/>
        <w:right w:val="none" w:sz="0" w:space="0" w:color="auto"/>
      </w:divBdr>
    </w:div>
    <w:div w:id="266818865">
      <w:bodyDiv w:val="1"/>
      <w:marLeft w:val="0"/>
      <w:marRight w:val="0"/>
      <w:marTop w:val="0"/>
      <w:marBottom w:val="0"/>
      <w:divBdr>
        <w:top w:val="none" w:sz="0" w:space="0" w:color="auto"/>
        <w:left w:val="none" w:sz="0" w:space="0" w:color="auto"/>
        <w:bottom w:val="none" w:sz="0" w:space="0" w:color="auto"/>
        <w:right w:val="none" w:sz="0" w:space="0" w:color="auto"/>
      </w:divBdr>
    </w:div>
    <w:div w:id="268125343">
      <w:bodyDiv w:val="1"/>
      <w:marLeft w:val="0"/>
      <w:marRight w:val="0"/>
      <w:marTop w:val="0"/>
      <w:marBottom w:val="0"/>
      <w:divBdr>
        <w:top w:val="none" w:sz="0" w:space="0" w:color="auto"/>
        <w:left w:val="none" w:sz="0" w:space="0" w:color="auto"/>
        <w:bottom w:val="none" w:sz="0" w:space="0" w:color="auto"/>
        <w:right w:val="none" w:sz="0" w:space="0" w:color="auto"/>
      </w:divBdr>
    </w:div>
    <w:div w:id="269094394">
      <w:bodyDiv w:val="1"/>
      <w:marLeft w:val="0"/>
      <w:marRight w:val="0"/>
      <w:marTop w:val="0"/>
      <w:marBottom w:val="0"/>
      <w:divBdr>
        <w:top w:val="none" w:sz="0" w:space="0" w:color="auto"/>
        <w:left w:val="none" w:sz="0" w:space="0" w:color="auto"/>
        <w:bottom w:val="none" w:sz="0" w:space="0" w:color="auto"/>
        <w:right w:val="none" w:sz="0" w:space="0" w:color="auto"/>
      </w:divBdr>
    </w:div>
    <w:div w:id="269708429">
      <w:bodyDiv w:val="1"/>
      <w:marLeft w:val="0"/>
      <w:marRight w:val="0"/>
      <w:marTop w:val="0"/>
      <w:marBottom w:val="0"/>
      <w:divBdr>
        <w:top w:val="none" w:sz="0" w:space="0" w:color="auto"/>
        <w:left w:val="none" w:sz="0" w:space="0" w:color="auto"/>
        <w:bottom w:val="none" w:sz="0" w:space="0" w:color="auto"/>
        <w:right w:val="none" w:sz="0" w:space="0" w:color="auto"/>
      </w:divBdr>
    </w:div>
    <w:div w:id="269968592">
      <w:bodyDiv w:val="1"/>
      <w:marLeft w:val="0"/>
      <w:marRight w:val="0"/>
      <w:marTop w:val="0"/>
      <w:marBottom w:val="0"/>
      <w:divBdr>
        <w:top w:val="none" w:sz="0" w:space="0" w:color="auto"/>
        <w:left w:val="none" w:sz="0" w:space="0" w:color="auto"/>
        <w:bottom w:val="none" w:sz="0" w:space="0" w:color="auto"/>
        <w:right w:val="none" w:sz="0" w:space="0" w:color="auto"/>
      </w:divBdr>
    </w:div>
    <w:div w:id="270012116">
      <w:bodyDiv w:val="1"/>
      <w:marLeft w:val="0"/>
      <w:marRight w:val="0"/>
      <w:marTop w:val="0"/>
      <w:marBottom w:val="0"/>
      <w:divBdr>
        <w:top w:val="none" w:sz="0" w:space="0" w:color="auto"/>
        <w:left w:val="none" w:sz="0" w:space="0" w:color="auto"/>
        <w:bottom w:val="none" w:sz="0" w:space="0" w:color="auto"/>
        <w:right w:val="none" w:sz="0" w:space="0" w:color="auto"/>
      </w:divBdr>
    </w:div>
    <w:div w:id="270475499">
      <w:bodyDiv w:val="1"/>
      <w:marLeft w:val="0"/>
      <w:marRight w:val="0"/>
      <w:marTop w:val="0"/>
      <w:marBottom w:val="0"/>
      <w:divBdr>
        <w:top w:val="none" w:sz="0" w:space="0" w:color="auto"/>
        <w:left w:val="none" w:sz="0" w:space="0" w:color="auto"/>
        <w:bottom w:val="none" w:sz="0" w:space="0" w:color="auto"/>
        <w:right w:val="none" w:sz="0" w:space="0" w:color="auto"/>
      </w:divBdr>
    </w:div>
    <w:div w:id="270549864">
      <w:bodyDiv w:val="1"/>
      <w:marLeft w:val="0"/>
      <w:marRight w:val="0"/>
      <w:marTop w:val="0"/>
      <w:marBottom w:val="0"/>
      <w:divBdr>
        <w:top w:val="none" w:sz="0" w:space="0" w:color="auto"/>
        <w:left w:val="none" w:sz="0" w:space="0" w:color="auto"/>
        <w:bottom w:val="none" w:sz="0" w:space="0" w:color="auto"/>
        <w:right w:val="none" w:sz="0" w:space="0" w:color="auto"/>
      </w:divBdr>
    </w:div>
    <w:div w:id="271397630">
      <w:bodyDiv w:val="1"/>
      <w:marLeft w:val="0"/>
      <w:marRight w:val="0"/>
      <w:marTop w:val="0"/>
      <w:marBottom w:val="0"/>
      <w:divBdr>
        <w:top w:val="none" w:sz="0" w:space="0" w:color="auto"/>
        <w:left w:val="none" w:sz="0" w:space="0" w:color="auto"/>
        <w:bottom w:val="none" w:sz="0" w:space="0" w:color="auto"/>
        <w:right w:val="none" w:sz="0" w:space="0" w:color="auto"/>
      </w:divBdr>
    </w:div>
    <w:div w:id="271742802">
      <w:bodyDiv w:val="1"/>
      <w:marLeft w:val="0"/>
      <w:marRight w:val="0"/>
      <w:marTop w:val="0"/>
      <w:marBottom w:val="0"/>
      <w:divBdr>
        <w:top w:val="none" w:sz="0" w:space="0" w:color="auto"/>
        <w:left w:val="none" w:sz="0" w:space="0" w:color="auto"/>
        <w:bottom w:val="none" w:sz="0" w:space="0" w:color="auto"/>
        <w:right w:val="none" w:sz="0" w:space="0" w:color="auto"/>
      </w:divBdr>
    </w:div>
    <w:div w:id="272250450">
      <w:bodyDiv w:val="1"/>
      <w:marLeft w:val="0"/>
      <w:marRight w:val="0"/>
      <w:marTop w:val="0"/>
      <w:marBottom w:val="0"/>
      <w:divBdr>
        <w:top w:val="none" w:sz="0" w:space="0" w:color="auto"/>
        <w:left w:val="none" w:sz="0" w:space="0" w:color="auto"/>
        <w:bottom w:val="none" w:sz="0" w:space="0" w:color="auto"/>
        <w:right w:val="none" w:sz="0" w:space="0" w:color="auto"/>
      </w:divBdr>
    </w:div>
    <w:div w:id="272328504">
      <w:bodyDiv w:val="1"/>
      <w:marLeft w:val="0"/>
      <w:marRight w:val="0"/>
      <w:marTop w:val="0"/>
      <w:marBottom w:val="0"/>
      <w:divBdr>
        <w:top w:val="none" w:sz="0" w:space="0" w:color="auto"/>
        <w:left w:val="none" w:sz="0" w:space="0" w:color="auto"/>
        <w:bottom w:val="none" w:sz="0" w:space="0" w:color="auto"/>
        <w:right w:val="none" w:sz="0" w:space="0" w:color="auto"/>
      </w:divBdr>
    </w:div>
    <w:div w:id="272522714">
      <w:bodyDiv w:val="1"/>
      <w:marLeft w:val="0"/>
      <w:marRight w:val="0"/>
      <w:marTop w:val="0"/>
      <w:marBottom w:val="0"/>
      <w:divBdr>
        <w:top w:val="none" w:sz="0" w:space="0" w:color="auto"/>
        <w:left w:val="none" w:sz="0" w:space="0" w:color="auto"/>
        <w:bottom w:val="none" w:sz="0" w:space="0" w:color="auto"/>
        <w:right w:val="none" w:sz="0" w:space="0" w:color="auto"/>
      </w:divBdr>
    </w:div>
    <w:div w:id="274289794">
      <w:bodyDiv w:val="1"/>
      <w:marLeft w:val="0"/>
      <w:marRight w:val="0"/>
      <w:marTop w:val="0"/>
      <w:marBottom w:val="0"/>
      <w:divBdr>
        <w:top w:val="none" w:sz="0" w:space="0" w:color="auto"/>
        <w:left w:val="none" w:sz="0" w:space="0" w:color="auto"/>
        <w:bottom w:val="none" w:sz="0" w:space="0" w:color="auto"/>
        <w:right w:val="none" w:sz="0" w:space="0" w:color="auto"/>
      </w:divBdr>
    </w:div>
    <w:div w:id="274945986">
      <w:bodyDiv w:val="1"/>
      <w:marLeft w:val="0"/>
      <w:marRight w:val="0"/>
      <w:marTop w:val="0"/>
      <w:marBottom w:val="0"/>
      <w:divBdr>
        <w:top w:val="none" w:sz="0" w:space="0" w:color="auto"/>
        <w:left w:val="none" w:sz="0" w:space="0" w:color="auto"/>
        <w:bottom w:val="none" w:sz="0" w:space="0" w:color="auto"/>
        <w:right w:val="none" w:sz="0" w:space="0" w:color="auto"/>
      </w:divBdr>
    </w:div>
    <w:div w:id="275606394">
      <w:bodyDiv w:val="1"/>
      <w:marLeft w:val="0"/>
      <w:marRight w:val="0"/>
      <w:marTop w:val="0"/>
      <w:marBottom w:val="0"/>
      <w:divBdr>
        <w:top w:val="none" w:sz="0" w:space="0" w:color="auto"/>
        <w:left w:val="none" w:sz="0" w:space="0" w:color="auto"/>
        <w:bottom w:val="none" w:sz="0" w:space="0" w:color="auto"/>
        <w:right w:val="none" w:sz="0" w:space="0" w:color="auto"/>
      </w:divBdr>
    </w:div>
    <w:div w:id="276841432">
      <w:bodyDiv w:val="1"/>
      <w:marLeft w:val="0"/>
      <w:marRight w:val="0"/>
      <w:marTop w:val="0"/>
      <w:marBottom w:val="0"/>
      <w:divBdr>
        <w:top w:val="none" w:sz="0" w:space="0" w:color="auto"/>
        <w:left w:val="none" w:sz="0" w:space="0" w:color="auto"/>
        <w:bottom w:val="none" w:sz="0" w:space="0" w:color="auto"/>
        <w:right w:val="none" w:sz="0" w:space="0" w:color="auto"/>
      </w:divBdr>
    </w:div>
    <w:div w:id="278029580">
      <w:bodyDiv w:val="1"/>
      <w:marLeft w:val="0"/>
      <w:marRight w:val="0"/>
      <w:marTop w:val="0"/>
      <w:marBottom w:val="0"/>
      <w:divBdr>
        <w:top w:val="none" w:sz="0" w:space="0" w:color="auto"/>
        <w:left w:val="none" w:sz="0" w:space="0" w:color="auto"/>
        <w:bottom w:val="none" w:sz="0" w:space="0" w:color="auto"/>
        <w:right w:val="none" w:sz="0" w:space="0" w:color="auto"/>
      </w:divBdr>
    </w:div>
    <w:div w:id="278031370">
      <w:bodyDiv w:val="1"/>
      <w:marLeft w:val="0"/>
      <w:marRight w:val="0"/>
      <w:marTop w:val="0"/>
      <w:marBottom w:val="0"/>
      <w:divBdr>
        <w:top w:val="none" w:sz="0" w:space="0" w:color="auto"/>
        <w:left w:val="none" w:sz="0" w:space="0" w:color="auto"/>
        <w:bottom w:val="none" w:sz="0" w:space="0" w:color="auto"/>
        <w:right w:val="none" w:sz="0" w:space="0" w:color="auto"/>
      </w:divBdr>
    </w:div>
    <w:div w:id="278613301">
      <w:bodyDiv w:val="1"/>
      <w:marLeft w:val="0"/>
      <w:marRight w:val="0"/>
      <w:marTop w:val="0"/>
      <w:marBottom w:val="0"/>
      <w:divBdr>
        <w:top w:val="none" w:sz="0" w:space="0" w:color="auto"/>
        <w:left w:val="none" w:sz="0" w:space="0" w:color="auto"/>
        <w:bottom w:val="none" w:sz="0" w:space="0" w:color="auto"/>
        <w:right w:val="none" w:sz="0" w:space="0" w:color="auto"/>
      </w:divBdr>
    </w:div>
    <w:div w:id="278799997">
      <w:bodyDiv w:val="1"/>
      <w:marLeft w:val="0"/>
      <w:marRight w:val="0"/>
      <w:marTop w:val="0"/>
      <w:marBottom w:val="0"/>
      <w:divBdr>
        <w:top w:val="none" w:sz="0" w:space="0" w:color="auto"/>
        <w:left w:val="none" w:sz="0" w:space="0" w:color="auto"/>
        <w:bottom w:val="none" w:sz="0" w:space="0" w:color="auto"/>
        <w:right w:val="none" w:sz="0" w:space="0" w:color="auto"/>
      </w:divBdr>
    </w:div>
    <w:div w:id="278800565">
      <w:bodyDiv w:val="1"/>
      <w:marLeft w:val="0"/>
      <w:marRight w:val="0"/>
      <w:marTop w:val="0"/>
      <w:marBottom w:val="0"/>
      <w:divBdr>
        <w:top w:val="none" w:sz="0" w:space="0" w:color="auto"/>
        <w:left w:val="none" w:sz="0" w:space="0" w:color="auto"/>
        <w:bottom w:val="none" w:sz="0" w:space="0" w:color="auto"/>
        <w:right w:val="none" w:sz="0" w:space="0" w:color="auto"/>
      </w:divBdr>
    </w:div>
    <w:div w:id="278878087">
      <w:bodyDiv w:val="1"/>
      <w:marLeft w:val="0"/>
      <w:marRight w:val="0"/>
      <w:marTop w:val="0"/>
      <w:marBottom w:val="0"/>
      <w:divBdr>
        <w:top w:val="none" w:sz="0" w:space="0" w:color="auto"/>
        <w:left w:val="none" w:sz="0" w:space="0" w:color="auto"/>
        <w:bottom w:val="none" w:sz="0" w:space="0" w:color="auto"/>
        <w:right w:val="none" w:sz="0" w:space="0" w:color="auto"/>
      </w:divBdr>
    </w:div>
    <w:div w:id="279648852">
      <w:bodyDiv w:val="1"/>
      <w:marLeft w:val="0"/>
      <w:marRight w:val="0"/>
      <w:marTop w:val="0"/>
      <w:marBottom w:val="0"/>
      <w:divBdr>
        <w:top w:val="none" w:sz="0" w:space="0" w:color="auto"/>
        <w:left w:val="none" w:sz="0" w:space="0" w:color="auto"/>
        <w:bottom w:val="none" w:sz="0" w:space="0" w:color="auto"/>
        <w:right w:val="none" w:sz="0" w:space="0" w:color="auto"/>
      </w:divBdr>
    </w:div>
    <w:div w:id="281034642">
      <w:bodyDiv w:val="1"/>
      <w:marLeft w:val="0"/>
      <w:marRight w:val="0"/>
      <w:marTop w:val="0"/>
      <w:marBottom w:val="0"/>
      <w:divBdr>
        <w:top w:val="none" w:sz="0" w:space="0" w:color="auto"/>
        <w:left w:val="none" w:sz="0" w:space="0" w:color="auto"/>
        <w:bottom w:val="none" w:sz="0" w:space="0" w:color="auto"/>
        <w:right w:val="none" w:sz="0" w:space="0" w:color="auto"/>
      </w:divBdr>
    </w:div>
    <w:div w:id="281499620">
      <w:bodyDiv w:val="1"/>
      <w:marLeft w:val="0"/>
      <w:marRight w:val="0"/>
      <w:marTop w:val="0"/>
      <w:marBottom w:val="0"/>
      <w:divBdr>
        <w:top w:val="none" w:sz="0" w:space="0" w:color="auto"/>
        <w:left w:val="none" w:sz="0" w:space="0" w:color="auto"/>
        <w:bottom w:val="none" w:sz="0" w:space="0" w:color="auto"/>
        <w:right w:val="none" w:sz="0" w:space="0" w:color="auto"/>
      </w:divBdr>
    </w:div>
    <w:div w:id="281694585">
      <w:bodyDiv w:val="1"/>
      <w:marLeft w:val="0"/>
      <w:marRight w:val="0"/>
      <w:marTop w:val="0"/>
      <w:marBottom w:val="0"/>
      <w:divBdr>
        <w:top w:val="none" w:sz="0" w:space="0" w:color="auto"/>
        <w:left w:val="none" w:sz="0" w:space="0" w:color="auto"/>
        <w:bottom w:val="none" w:sz="0" w:space="0" w:color="auto"/>
        <w:right w:val="none" w:sz="0" w:space="0" w:color="auto"/>
      </w:divBdr>
    </w:div>
    <w:div w:id="282151723">
      <w:bodyDiv w:val="1"/>
      <w:marLeft w:val="0"/>
      <w:marRight w:val="0"/>
      <w:marTop w:val="0"/>
      <w:marBottom w:val="0"/>
      <w:divBdr>
        <w:top w:val="none" w:sz="0" w:space="0" w:color="auto"/>
        <w:left w:val="none" w:sz="0" w:space="0" w:color="auto"/>
        <w:bottom w:val="none" w:sz="0" w:space="0" w:color="auto"/>
        <w:right w:val="none" w:sz="0" w:space="0" w:color="auto"/>
      </w:divBdr>
    </w:div>
    <w:div w:id="283656976">
      <w:bodyDiv w:val="1"/>
      <w:marLeft w:val="0"/>
      <w:marRight w:val="0"/>
      <w:marTop w:val="0"/>
      <w:marBottom w:val="0"/>
      <w:divBdr>
        <w:top w:val="none" w:sz="0" w:space="0" w:color="auto"/>
        <w:left w:val="none" w:sz="0" w:space="0" w:color="auto"/>
        <w:bottom w:val="none" w:sz="0" w:space="0" w:color="auto"/>
        <w:right w:val="none" w:sz="0" w:space="0" w:color="auto"/>
      </w:divBdr>
    </w:div>
    <w:div w:id="284119642">
      <w:bodyDiv w:val="1"/>
      <w:marLeft w:val="0"/>
      <w:marRight w:val="0"/>
      <w:marTop w:val="0"/>
      <w:marBottom w:val="0"/>
      <w:divBdr>
        <w:top w:val="none" w:sz="0" w:space="0" w:color="auto"/>
        <w:left w:val="none" w:sz="0" w:space="0" w:color="auto"/>
        <w:bottom w:val="none" w:sz="0" w:space="0" w:color="auto"/>
        <w:right w:val="none" w:sz="0" w:space="0" w:color="auto"/>
      </w:divBdr>
    </w:div>
    <w:div w:id="284426645">
      <w:bodyDiv w:val="1"/>
      <w:marLeft w:val="0"/>
      <w:marRight w:val="0"/>
      <w:marTop w:val="0"/>
      <w:marBottom w:val="0"/>
      <w:divBdr>
        <w:top w:val="none" w:sz="0" w:space="0" w:color="auto"/>
        <w:left w:val="none" w:sz="0" w:space="0" w:color="auto"/>
        <w:bottom w:val="none" w:sz="0" w:space="0" w:color="auto"/>
        <w:right w:val="none" w:sz="0" w:space="0" w:color="auto"/>
      </w:divBdr>
    </w:div>
    <w:div w:id="284502450">
      <w:bodyDiv w:val="1"/>
      <w:marLeft w:val="0"/>
      <w:marRight w:val="0"/>
      <w:marTop w:val="0"/>
      <w:marBottom w:val="0"/>
      <w:divBdr>
        <w:top w:val="none" w:sz="0" w:space="0" w:color="auto"/>
        <w:left w:val="none" w:sz="0" w:space="0" w:color="auto"/>
        <w:bottom w:val="none" w:sz="0" w:space="0" w:color="auto"/>
        <w:right w:val="none" w:sz="0" w:space="0" w:color="auto"/>
      </w:divBdr>
    </w:div>
    <w:div w:id="284703780">
      <w:bodyDiv w:val="1"/>
      <w:marLeft w:val="0"/>
      <w:marRight w:val="0"/>
      <w:marTop w:val="0"/>
      <w:marBottom w:val="0"/>
      <w:divBdr>
        <w:top w:val="none" w:sz="0" w:space="0" w:color="auto"/>
        <w:left w:val="none" w:sz="0" w:space="0" w:color="auto"/>
        <w:bottom w:val="none" w:sz="0" w:space="0" w:color="auto"/>
        <w:right w:val="none" w:sz="0" w:space="0" w:color="auto"/>
      </w:divBdr>
    </w:div>
    <w:div w:id="286474108">
      <w:bodyDiv w:val="1"/>
      <w:marLeft w:val="0"/>
      <w:marRight w:val="0"/>
      <w:marTop w:val="0"/>
      <w:marBottom w:val="0"/>
      <w:divBdr>
        <w:top w:val="none" w:sz="0" w:space="0" w:color="auto"/>
        <w:left w:val="none" w:sz="0" w:space="0" w:color="auto"/>
        <w:bottom w:val="none" w:sz="0" w:space="0" w:color="auto"/>
        <w:right w:val="none" w:sz="0" w:space="0" w:color="auto"/>
      </w:divBdr>
    </w:div>
    <w:div w:id="288098060">
      <w:bodyDiv w:val="1"/>
      <w:marLeft w:val="0"/>
      <w:marRight w:val="0"/>
      <w:marTop w:val="0"/>
      <w:marBottom w:val="0"/>
      <w:divBdr>
        <w:top w:val="none" w:sz="0" w:space="0" w:color="auto"/>
        <w:left w:val="none" w:sz="0" w:space="0" w:color="auto"/>
        <w:bottom w:val="none" w:sz="0" w:space="0" w:color="auto"/>
        <w:right w:val="none" w:sz="0" w:space="0" w:color="auto"/>
      </w:divBdr>
    </w:div>
    <w:div w:id="288324129">
      <w:bodyDiv w:val="1"/>
      <w:marLeft w:val="0"/>
      <w:marRight w:val="0"/>
      <w:marTop w:val="0"/>
      <w:marBottom w:val="0"/>
      <w:divBdr>
        <w:top w:val="none" w:sz="0" w:space="0" w:color="auto"/>
        <w:left w:val="none" w:sz="0" w:space="0" w:color="auto"/>
        <w:bottom w:val="none" w:sz="0" w:space="0" w:color="auto"/>
        <w:right w:val="none" w:sz="0" w:space="0" w:color="auto"/>
      </w:divBdr>
    </w:div>
    <w:div w:id="288515595">
      <w:bodyDiv w:val="1"/>
      <w:marLeft w:val="0"/>
      <w:marRight w:val="0"/>
      <w:marTop w:val="0"/>
      <w:marBottom w:val="0"/>
      <w:divBdr>
        <w:top w:val="none" w:sz="0" w:space="0" w:color="auto"/>
        <w:left w:val="none" w:sz="0" w:space="0" w:color="auto"/>
        <w:bottom w:val="none" w:sz="0" w:space="0" w:color="auto"/>
        <w:right w:val="none" w:sz="0" w:space="0" w:color="auto"/>
      </w:divBdr>
    </w:div>
    <w:div w:id="288900608">
      <w:bodyDiv w:val="1"/>
      <w:marLeft w:val="0"/>
      <w:marRight w:val="0"/>
      <w:marTop w:val="0"/>
      <w:marBottom w:val="0"/>
      <w:divBdr>
        <w:top w:val="none" w:sz="0" w:space="0" w:color="auto"/>
        <w:left w:val="none" w:sz="0" w:space="0" w:color="auto"/>
        <w:bottom w:val="none" w:sz="0" w:space="0" w:color="auto"/>
        <w:right w:val="none" w:sz="0" w:space="0" w:color="auto"/>
      </w:divBdr>
    </w:div>
    <w:div w:id="288972394">
      <w:bodyDiv w:val="1"/>
      <w:marLeft w:val="0"/>
      <w:marRight w:val="0"/>
      <w:marTop w:val="0"/>
      <w:marBottom w:val="0"/>
      <w:divBdr>
        <w:top w:val="none" w:sz="0" w:space="0" w:color="auto"/>
        <w:left w:val="none" w:sz="0" w:space="0" w:color="auto"/>
        <w:bottom w:val="none" w:sz="0" w:space="0" w:color="auto"/>
        <w:right w:val="none" w:sz="0" w:space="0" w:color="auto"/>
      </w:divBdr>
    </w:div>
    <w:div w:id="289867108">
      <w:bodyDiv w:val="1"/>
      <w:marLeft w:val="0"/>
      <w:marRight w:val="0"/>
      <w:marTop w:val="0"/>
      <w:marBottom w:val="0"/>
      <w:divBdr>
        <w:top w:val="none" w:sz="0" w:space="0" w:color="auto"/>
        <w:left w:val="none" w:sz="0" w:space="0" w:color="auto"/>
        <w:bottom w:val="none" w:sz="0" w:space="0" w:color="auto"/>
        <w:right w:val="none" w:sz="0" w:space="0" w:color="auto"/>
      </w:divBdr>
    </w:div>
    <w:div w:id="290330020">
      <w:bodyDiv w:val="1"/>
      <w:marLeft w:val="0"/>
      <w:marRight w:val="0"/>
      <w:marTop w:val="0"/>
      <w:marBottom w:val="0"/>
      <w:divBdr>
        <w:top w:val="none" w:sz="0" w:space="0" w:color="auto"/>
        <w:left w:val="none" w:sz="0" w:space="0" w:color="auto"/>
        <w:bottom w:val="none" w:sz="0" w:space="0" w:color="auto"/>
        <w:right w:val="none" w:sz="0" w:space="0" w:color="auto"/>
      </w:divBdr>
    </w:div>
    <w:div w:id="290745183">
      <w:bodyDiv w:val="1"/>
      <w:marLeft w:val="0"/>
      <w:marRight w:val="0"/>
      <w:marTop w:val="0"/>
      <w:marBottom w:val="0"/>
      <w:divBdr>
        <w:top w:val="none" w:sz="0" w:space="0" w:color="auto"/>
        <w:left w:val="none" w:sz="0" w:space="0" w:color="auto"/>
        <w:bottom w:val="none" w:sz="0" w:space="0" w:color="auto"/>
        <w:right w:val="none" w:sz="0" w:space="0" w:color="auto"/>
      </w:divBdr>
    </w:div>
    <w:div w:id="291255376">
      <w:bodyDiv w:val="1"/>
      <w:marLeft w:val="0"/>
      <w:marRight w:val="0"/>
      <w:marTop w:val="0"/>
      <w:marBottom w:val="0"/>
      <w:divBdr>
        <w:top w:val="none" w:sz="0" w:space="0" w:color="auto"/>
        <w:left w:val="none" w:sz="0" w:space="0" w:color="auto"/>
        <w:bottom w:val="none" w:sz="0" w:space="0" w:color="auto"/>
        <w:right w:val="none" w:sz="0" w:space="0" w:color="auto"/>
      </w:divBdr>
    </w:div>
    <w:div w:id="291404652">
      <w:bodyDiv w:val="1"/>
      <w:marLeft w:val="0"/>
      <w:marRight w:val="0"/>
      <w:marTop w:val="0"/>
      <w:marBottom w:val="0"/>
      <w:divBdr>
        <w:top w:val="none" w:sz="0" w:space="0" w:color="auto"/>
        <w:left w:val="none" w:sz="0" w:space="0" w:color="auto"/>
        <w:bottom w:val="none" w:sz="0" w:space="0" w:color="auto"/>
        <w:right w:val="none" w:sz="0" w:space="0" w:color="auto"/>
      </w:divBdr>
    </w:div>
    <w:div w:id="292299375">
      <w:bodyDiv w:val="1"/>
      <w:marLeft w:val="0"/>
      <w:marRight w:val="0"/>
      <w:marTop w:val="0"/>
      <w:marBottom w:val="0"/>
      <w:divBdr>
        <w:top w:val="none" w:sz="0" w:space="0" w:color="auto"/>
        <w:left w:val="none" w:sz="0" w:space="0" w:color="auto"/>
        <w:bottom w:val="none" w:sz="0" w:space="0" w:color="auto"/>
        <w:right w:val="none" w:sz="0" w:space="0" w:color="auto"/>
      </w:divBdr>
    </w:div>
    <w:div w:id="292490401">
      <w:bodyDiv w:val="1"/>
      <w:marLeft w:val="0"/>
      <w:marRight w:val="0"/>
      <w:marTop w:val="0"/>
      <w:marBottom w:val="0"/>
      <w:divBdr>
        <w:top w:val="none" w:sz="0" w:space="0" w:color="auto"/>
        <w:left w:val="none" w:sz="0" w:space="0" w:color="auto"/>
        <w:bottom w:val="none" w:sz="0" w:space="0" w:color="auto"/>
        <w:right w:val="none" w:sz="0" w:space="0" w:color="auto"/>
      </w:divBdr>
    </w:div>
    <w:div w:id="292947515">
      <w:bodyDiv w:val="1"/>
      <w:marLeft w:val="0"/>
      <w:marRight w:val="0"/>
      <w:marTop w:val="0"/>
      <w:marBottom w:val="0"/>
      <w:divBdr>
        <w:top w:val="none" w:sz="0" w:space="0" w:color="auto"/>
        <w:left w:val="none" w:sz="0" w:space="0" w:color="auto"/>
        <w:bottom w:val="none" w:sz="0" w:space="0" w:color="auto"/>
        <w:right w:val="none" w:sz="0" w:space="0" w:color="auto"/>
      </w:divBdr>
    </w:div>
    <w:div w:id="293295560">
      <w:bodyDiv w:val="1"/>
      <w:marLeft w:val="0"/>
      <w:marRight w:val="0"/>
      <w:marTop w:val="0"/>
      <w:marBottom w:val="0"/>
      <w:divBdr>
        <w:top w:val="none" w:sz="0" w:space="0" w:color="auto"/>
        <w:left w:val="none" w:sz="0" w:space="0" w:color="auto"/>
        <w:bottom w:val="none" w:sz="0" w:space="0" w:color="auto"/>
        <w:right w:val="none" w:sz="0" w:space="0" w:color="auto"/>
      </w:divBdr>
    </w:div>
    <w:div w:id="293486383">
      <w:bodyDiv w:val="1"/>
      <w:marLeft w:val="0"/>
      <w:marRight w:val="0"/>
      <w:marTop w:val="0"/>
      <w:marBottom w:val="0"/>
      <w:divBdr>
        <w:top w:val="none" w:sz="0" w:space="0" w:color="auto"/>
        <w:left w:val="none" w:sz="0" w:space="0" w:color="auto"/>
        <w:bottom w:val="none" w:sz="0" w:space="0" w:color="auto"/>
        <w:right w:val="none" w:sz="0" w:space="0" w:color="auto"/>
      </w:divBdr>
    </w:div>
    <w:div w:id="293487517">
      <w:bodyDiv w:val="1"/>
      <w:marLeft w:val="0"/>
      <w:marRight w:val="0"/>
      <w:marTop w:val="0"/>
      <w:marBottom w:val="0"/>
      <w:divBdr>
        <w:top w:val="none" w:sz="0" w:space="0" w:color="auto"/>
        <w:left w:val="none" w:sz="0" w:space="0" w:color="auto"/>
        <w:bottom w:val="none" w:sz="0" w:space="0" w:color="auto"/>
        <w:right w:val="none" w:sz="0" w:space="0" w:color="auto"/>
      </w:divBdr>
    </w:div>
    <w:div w:id="293676159">
      <w:bodyDiv w:val="1"/>
      <w:marLeft w:val="0"/>
      <w:marRight w:val="0"/>
      <w:marTop w:val="0"/>
      <w:marBottom w:val="0"/>
      <w:divBdr>
        <w:top w:val="none" w:sz="0" w:space="0" w:color="auto"/>
        <w:left w:val="none" w:sz="0" w:space="0" w:color="auto"/>
        <w:bottom w:val="none" w:sz="0" w:space="0" w:color="auto"/>
        <w:right w:val="none" w:sz="0" w:space="0" w:color="auto"/>
      </w:divBdr>
    </w:div>
    <w:div w:id="293872266">
      <w:bodyDiv w:val="1"/>
      <w:marLeft w:val="0"/>
      <w:marRight w:val="0"/>
      <w:marTop w:val="0"/>
      <w:marBottom w:val="0"/>
      <w:divBdr>
        <w:top w:val="none" w:sz="0" w:space="0" w:color="auto"/>
        <w:left w:val="none" w:sz="0" w:space="0" w:color="auto"/>
        <w:bottom w:val="none" w:sz="0" w:space="0" w:color="auto"/>
        <w:right w:val="none" w:sz="0" w:space="0" w:color="auto"/>
      </w:divBdr>
    </w:div>
    <w:div w:id="294066647">
      <w:bodyDiv w:val="1"/>
      <w:marLeft w:val="0"/>
      <w:marRight w:val="0"/>
      <w:marTop w:val="0"/>
      <w:marBottom w:val="0"/>
      <w:divBdr>
        <w:top w:val="none" w:sz="0" w:space="0" w:color="auto"/>
        <w:left w:val="none" w:sz="0" w:space="0" w:color="auto"/>
        <w:bottom w:val="none" w:sz="0" w:space="0" w:color="auto"/>
        <w:right w:val="none" w:sz="0" w:space="0" w:color="auto"/>
      </w:divBdr>
    </w:div>
    <w:div w:id="294213957">
      <w:bodyDiv w:val="1"/>
      <w:marLeft w:val="0"/>
      <w:marRight w:val="0"/>
      <w:marTop w:val="0"/>
      <w:marBottom w:val="0"/>
      <w:divBdr>
        <w:top w:val="none" w:sz="0" w:space="0" w:color="auto"/>
        <w:left w:val="none" w:sz="0" w:space="0" w:color="auto"/>
        <w:bottom w:val="none" w:sz="0" w:space="0" w:color="auto"/>
        <w:right w:val="none" w:sz="0" w:space="0" w:color="auto"/>
      </w:divBdr>
    </w:div>
    <w:div w:id="294214948">
      <w:bodyDiv w:val="1"/>
      <w:marLeft w:val="0"/>
      <w:marRight w:val="0"/>
      <w:marTop w:val="0"/>
      <w:marBottom w:val="0"/>
      <w:divBdr>
        <w:top w:val="none" w:sz="0" w:space="0" w:color="auto"/>
        <w:left w:val="none" w:sz="0" w:space="0" w:color="auto"/>
        <w:bottom w:val="none" w:sz="0" w:space="0" w:color="auto"/>
        <w:right w:val="none" w:sz="0" w:space="0" w:color="auto"/>
      </w:divBdr>
    </w:div>
    <w:div w:id="294335165">
      <w:bodyDiv w:val="1"/>
      <w:marLeft w:val="0"/>
      <w:marRight w:val="0"/>
      <w:marTop w:val="0"/>
      <w:marBottom w:val="0"/>
      <w:divBdr>
        <w:top w:val="none" w:sz="0" w:space="0" w:color="auto"/>
        <w:left w:val="none" w:sz="0" w:space="0" w:color="auto"/>
        <w:bottom w:val="none" w:sz="0" w:space="0" w:color="auto"/>
        <w:right w:val="none" w:sz="0" w:space="0" w:color="auto"/>
      </w:divBdr>
    </w:div>
    <w:div w:id="294991326">
      <w:bodyDiv w:val="1"/>
      <w:marLeft w:val="0"/>
      <w:marRight w:val="0"/>
      <w:marTop w:val="0"/>
      <w:marBottom w:val="0"/>
      <w:divBdr>
        <w:top w:val="none" w:sz="0" w:space="0" w:color="auto"/>
        <w:left w:val="none" w:sz="0" w:space="0" w:color="auto"/>
        <w:bottom w:val="none" w:sz="0" w:space="0" w:color="auto"/>
        <w:right w:val="none" w:sz="0" w:space="0" w:color="auto"/>
      </w:divBdr>
    </w:div>
    <w:div w:id="295188620">
      <w:bodyDiv w:val="1"/>
      <w:marLeft w:val="0"/>
      <w:marRight w:val="0"/>
      <w:marTop w:val="0"/>
      <w:marBottom w:val="0"/>
      <w:divBdr>
        <w:top w:val="none" w:sz="0" w:space="0" w:color="auto"/>
        <w:left w:val="none" w:sz="0" w:space="0" w:color="auto"/>
        <w:bottom w:val="none" w:sz="0" w:space="0" w:color="auto"/>
        <w:right w:val="none" w:sz="0" w:space="0" w:color="auto"/>
      </w:divBdr>
    </w:div>
    <w:div w:id="296305956">
      <w:bodyDiv w:val="1"/>
      <w:marLeft w:val="0"/>
      <w:marRight w:val="0"/>
      <w:marTop w:val="0"/>
      <w:marBottom w:val="0"/>
      <w:divBdr>
        <w:top w:val="none" w:sz="0" w:space="0" w:color="auto"/>
        <w:left w:val="none" w:sz="0" w:space="0" w:color="auto"/>
        <w:bottom w:val="none" w:sz="0" w:space="0" w:color="auto"/>
        <w:right w:val="none" w:sz="0" w:space="0" w:color="auto"/>
      </w:divBdr>
    </w:div>
    <w:div w:id="296449026">
      <w:bodyDiv w:val="1"/>
      <w:marLeft w:val="0"/>
      <w:marRight w:val="0"/>
      <w:marTop w:val="0"/>
      <w:marBottom w:val="0"/>
      <w:divBdr>
        <w:top w:val="none" w:sz="0" w:space="0" w:color="auto"/>
        <w:left w:val="none" w:sz="0" w:space="0" w:color="auto"/>
        <w:bottom w:val="none" w:sz="0" w:space="0" w:color="auto"/>
        <w:right w:val="none" w:sz="0" w:space="0" w:color="auto"/>
      </w:divBdr>
    </w:div>
    <w:div w:id="296684317">
      <w:bodyDiv w:val="1"/>
      <w:marLeft w:val="0"/>
      <w:marRight w:val="0"/>
      <w:marTop w:val="0"/>
      <w:marBottom w:val="0"/>
      <w:divBdr>
        <w:top w:val="none" w:sz="0" w:space="0" w:color="auto"/>
        <w:left w:val="none" w:sz="0" w:space="0" w:color="auto"/>
        <w:bottom w:val="none" w:sz="0" w:space="0" w:color="auto"/>
        <w:right w:val="none" w:sz="0" w:space="0" w:color="auto"/>
      </w:divBdr>
    </w:div>
    <w:div w:id="296692515">
      <w:bodyDiv w:val="1"/>
      <w:marLeft w:val="0"/>
      <w:marRight w:val="0"/>
      <w:marTop w:val="0"/>
      <w:marBottom w:val="0"/>
      <w:divBdr>
        <w:top w:val="none" w:sz="0" w:space="0" w:color="auto"/>
        <w:left w:val="none" w:sz="0" w:space="0" w:color="auto"/>
        <w:bottom w:val="none" w:sz="0" w:space="0" w:color="auto"/>
        <w:right w:val="none" w:sz="0" w:space="0" w:color="auto"/>
      </w:divBdr>
    </w:div>
    <w:div w:id="296763703">
      <w:bodyDiv w:val="1"/>
      <w:marLeft w:val="0"/>
      <w:marRight w:val="0"/>
      <w:marTop w:val="0"/>
      <w:marBottom w:val="0"/>
      <w:divBdr>
        <w:top w:val="none" w:sz="0" w:space="0" w:color="auto"/>
        <w:left w:val="none" w:sz="0" w:space="0" w:color="auto"/>
        <w:bottom w:val="none" w:sz="0" w:space="0" w:color="auto"/>
        <w:right w:val="none" w:sz="0" w:space="0" w:color="auto"/>
      </w:divBdr>
    </w:div>
    <w:div w:id="297271955">
      <w:bodyDiv w:val="1"/>
      <w:marLeft w:val="0"/>
      <w:marRight w:val="0"/>
      <w:marTop w:val="0"/>
      <w:marBottom w:val="0"/>
      <w:divBdr>
        <w:top w:val="none" w:sz="0" w:space="0" w:color="auto"/>
        <w:left w:val="none" w:sz="0" w:space="0" w:color="auto"/>
        <w:bottom w:val="none" w:sz="0" w:space="0" w:color="auto"/>
        <w:right w:val="none" w:sz="0" w:space="0" w:color="auto"/>
      </w:divBdr>
    </w:div>
    <w:div w:id="297760045">
      <w:bodyDiv w:val="1"/>
      <w:marLeft w:val="0"/>
      <w:marRight w:val="0"/>
      <w:marTop w:val="0"/>
      <w:marBottom w:val="0"/>
      <w:divBdr>
        <w:top w:val="none" w:sz="0" w:space="0" w:color="auto"/>
        <w:left w:val="none" w:sz="0" w:space="0" w:color="auto"/>
        <w:bottom w:val="none" w:sz="0" w:space="0" w:color="auto"/>
        <w:right w:val="none" w:sz="0" w:space="0" w:color="auto"/>
      </w:divBdr>
    </w:div>
    <w:div w:id="297997891">
      <w:bodyDiv w:val="1"/>
      <w:marLeft w:val="0"/>
      <w:marRight w:val="0"/>
      <w:marTop w:val="0"/>
      <w:marBottom w:val="0"/>
      <w:divBdr>
        <w:top w:val="none" w:sz="0" w:space="0" w:color="auto"/>
        <w:left w:val="none" w:sz="0" w:space="0" w:color="auto"/>
        <w:bottom w:val="none" w:sz="0" w:space="0" w:color="auto"/>
        <w:right w:val="none" w:sz="0" w:space="0" w:color="auto"/>
      </w:divBdr>
    </w:div>
    <w:div w:id="298848341">
      <w:bodyDiv w:val="1"/>
      <w:marLeft w:val="0"/>
      <w:marRight w:val="0"/>
      <w:marTop w:val="0"/>
      <w:marBottom w:val="0"/>
      <w:divBdr>
        <w:top w:val="none" w:sz="0" w:space="0" w:color="auto"/>
        <w:left w:val="none" w:sz="0" w:space="0" w:color="auto"/>
        <w:bottom w:val="none" w:sz="0" w:space="0" w:color="auto"/>
        <w:right w:val="none" w:sz="0" w:space="0" w:color="auto"/>
      </w:divBdr>
      <w:divsChild>
        <w:div w:id="1540238526">
          <w:marLeft w:val="0"/>
          <w:marRight w:val="0"/>
          <w:marTop w:val="0"/>
          <w:marBottom w:val="0"/>
          <w:divBdr>
            <w:top w:val="none" w:sz="0" w:space="0" w:color="auto"/>
            <w:left w:val="none" w:sz="0" w:space="0" w:color="auto"/>
            <w:bottom w:val="none" w:sz="0" w:space="0" w:color="auto"/>
            <w:right w:val="none" w:sz="0" w:space="0" w:color="auto"/>
          </w:divBdr>
        </w:div>
      </w:divsChild>
    </w:div>
    <w:div w:id="298994722">
      <w:bodyDiv w:val="1"/>
      <w:marLeft w:val="0"/>
      <w:marRight w:val="0"/>
      <w:marTop w:val="0"/>
      <w:marBottom w:val="0"/>
      <w:divBdr>
        <w:top w:val="none" w:sz="0" w:space="0" w:color="auto"/>
        <w:left w:val="none" w:sz="0" w:space="0" w:color="auto"/>
        <w:bottom w:val="none" w:sz="0" w:space="0" w:color="auto"/>
        <w:right w:val="none" w:sz="0" w:space="0" w:color="auto"/>
      </w:divBdr>
    </w:div>
    <w:div w:id="299262776">
      <w:bodyDiv w:val="1"/>
      <w:marLeft w:val="0"/>
      <w:marRight w:val="0"/>
      <w:marTop w:val="0"/>
      <w:marBottom w:val="0"/>
      <w:divBdr>
        <w:top w:val="none" w:sz="0" w:space="0" w:color="auto"/>
        <w:left w:val="none" w:sz="0" w:space="0" w:color="auto"/>
        <w:bottom w:val="none" w:sz="0" w:space="0" w:color="auto"/>
        <w:right w:val="none" w:sz="0" w:space="0" w:color="auto"/>
      </w:divBdr>
    </w:div>
    <w:div w:id="299267194">
      <w:bodyDiv w:val="1"/>
      <w:marLeft w:val="0"/>
      <w:marRight w:val="0"/>
      <w:marTop w:val="0"/>
      <w:marBottom w:val="0"/>
      <w:divBdr>
        <w:top w:val="none" w:sz="0" w:space="0" w:color="auto"/>
        <w:left w:val="none" w:sz="0" w:space="0" w:color="auto"/>
        <w:bottom w:val="none" w:sz="0" w:space="0" w:color="auto"/>
        <w:right w:val="none" w:sz="0" w:space="0" w:color="auto"/>
      </w:divBdr>
    </w:div>
    <w:div w:id="299304923">
      <w:bodyDiv w:val="1"/>
      <w:marLeft w:val="0"/>
      <w:marRight w:val="0"/>
      <w:marTop w:val="0"/>
      <w:marBottom w:val="0"/>
      <w:divBdr>
        <w:top w:val="none" w:sz="0" w:space="0" w:color="auto"/>
        <w:left w:val="none" w:sz="0" w:space="0" w:color="auto"/>
        <w:bottom w:val="none" w:sz="0" w:space="0" w:color="auto"/>
        <w:right w:val="none" w:sz="0" w:space="0" w:color="auto"/>
      </w:divBdr>
    </w:div>
    <w:div w:id="299305996">
      <w:bodyDiv w:val="1"/>
      <w:marLeft w:val="0"/>
      <w:marRight w:val="0"/>
      <w:marTop w:val="0"/>
      <w:marBottom w:val="0"/>
      <w:divBdr>
        <w:top w:val="none" w:sz="0" w:space="0" w:color="auto"/>
        <w:left w:val="none" w:sz="0" w:space="0" w:color="auto"/>
        <w:bottom w:val="none" w:sz="0" w:space="0" w:color="auto"/>
        <w:right w:val="none" w:sz="0" w:space="0" w:color="auto"/>
      </w:divBdr>
    </w:div>
    <w:div w:id="299574218">
      <w:bodyDiv w:val="1"/>
      <w:marLeft w:val="0"/>
      <w:marRight w:val="0"/>
      <w:marTop w:val="0"/>
      <w:marBottom w:val="0"/>
      <w:divBdr>
        <w:top w:val="none" w:sz="0" w:space="0" w:color="auto"/>
        <w:left w:val="none" w:sz="0" w:space="0" w:color="auto"/>
        <w:bottom w:val="none" w:sz="0" w:space="0" w:color="auto"/>
        <w:right w:val="none" w:sz="0" w:space="0" w:color="auto"/>
      </w:divBdr>
    </w:div>
    <w:div w:id="300886909">
      <w:bodyDiv w:val="1"/>
      <w:marLeft w:val="0"/>
      <w:marRight w:val="0"/>
      <w:marTop w:val="0"/>
      <w:marBottom w:val="0"/>
      <w:divBdr>
        <w:top w:val="none" w:sz="0" w:space="0" w:color="auto"/>
        <w:left w:val="none" w:sz="0" w:space="0" w:color="auto"/>
        <w:bottom w:val="none" w:sz="0" w:space="0" w:color="auto"/>
        <w:right w:val="none" w:sz="0" w:space="0" w:color="auto"/>
      </w:divBdr>
    </w:div>
    <w:div w:id="301010377">
      <w:bodyDiv w:val="1"/>
      <w:marLeft w:val="0"/>
      <w:marRight w:val="0"/>
      <w:marTop w:val="0"/>
      <w:marBottom w:val="0"/>
      <w:divBdr>
        <w:top w:val="none" w:sz="0" w:space="0" w:color="auto"/>
        <w:left w:val="none" w:sz="0" w:space="0" w:color="auto"/>
        <w:bottom w:val="none" w:sz="0" w:space="0" w:color="auto"/>
        <w:right w:val="none" w:sz="0" w:space="0" w:color="auto"/>
      </w:divBdr>
    </w:div>
    <w:div w:id="301010565">
      <w:bodyDiv w:val="1"/>
      <w:marLeft w:val="0"/>
      <w:marRight w:val="0"/>
      <w:marTop w:val="0"/>
      <w:marBottom w:val="0"/>
      <w:divBdr>
        <w:top w:val="none" w:sz="0" w:space="0" w:color="auto"/>
        <w:left w:val="none" w:sz="0" w:space="0" w:color="auto"/>
        <w:bottom w:val="none" w:sz="0" w:space="0" w:color="auto"/>
        <w:right w:val="none" w:sz="0" w:space="0" w:color="auto"/>
      </w:divBdr>
    </w:div>
    <w:div w:id="301540316">
      <w:bodyDiv w:val="1"/>
      <w:marLeft w:val="0"/>
      <w:marRight w:val="0"/>
      <w:marTop w:val="0"/>
      <w:marBottom w:val="0"/>
      <w:divBdr>
        <w:top w:val="none" w:sz="0" w:space="0" w:color="auto"/>
        <w:left w:val="none" w:sz="0" w:space="0" w:color="auto"/>
        <w:bottom w:val="none" w:sz="0" w:space="0" w:color="auto"/>
        <w:right w:val="none" w:sz="0" w:space="0" w:color="auto"/>
      </w:divBdr>
    </w:div>
    <w:div w:id="302471480">
      <w:bodyDiv w:val="1"/>
      <w:marLeft w:val="0"/>
      <w:marRight w:val="0"/>
      <w:marTop w:val="0"/>
      <w:marBottom w:val="0"/>
      <w:divBdr>
        <w:top w:val="none" w:sz="0" w:space="0" w:color="auto"/>
        <w:left w:val="none" w:sz="0" w:space="0" w:color="auto"/>
        <w:bottom w:val="none" w:sz="0" w:space="0" w:color="auto"/>
        <w:right w:val="none" w:sz="0" w:space="0" w:color="auto"/>
      </w:divBdr>
    </w:div>
    <w:div w:id="304050101">
      <w:bodyDiv w:val="1"/>
      <w:marLeft w:val="0"/>
      <w:marRight w:val="0"/>
      <w:marTop w:val="0"/>
      <w:marBottom w:val="0"/>
      <w:divBdr>
        <w:top w:val="none" w:sz="0" w:space="0" w:color="auto"/>
        <w:left w:val="none" w:sz="0" w:space="0" w:color="auto"/>
        <w:bottom w:val="none" w:sz="0" w:space="0" w:color="auto"/>
        <w:right w:val="none" w:sz="0" w:space="0" w:color="auto"/>
      </w:divBdr>
    </w:div>
    <w:div w:id="304966310">
      <w:bodyDiv w:val="1"/>
      <w:marLeft w:val="0"/>
      <w:marRight w:val="0"/>
      <w:marTop w:val="0"/>
      <w:marBottom w:val="0"/>
      <w:divBdr>
        <w:top w:val="none" w:sz="0" w:space="0" w:color="auto"/>
        <w:left w:val="none" w:sz="0" w:space="0" w:color="auto"/>
        <w:bottom w:val="none" w:sz="0" w:space="0" w:color="auto"/>
        <w:right w:val="none" w:sz="0" w:space="0" w:color="auto"/>
      </w:divBdr>
    </w:div>
    <w:div w:id="305398476">
      <w:bodyDiv w:val="1"/>
      <w:marLeft w:val="0"/>
      <w:marRight w:val="0"/>
      <w:marTop w:val="0"/>
      <w:marBottom w:val="0"/>
      <w:divBdr>
        <w:top w:val="none" w:sz="0" w:space="0" w:color="auto"/>
        <w:left w:val="none" w:sz="0" w:space="0" w:color="auto"/>
        <w:bottom w:val="none" w:sz="0" w:space="0" w:color="auto"/>
        <w:right w:val="none" w:sz="0" w:space="0" w:color="auto"/>
      </w:divBdr>
    </w:div>
    <w:div w:id="307713510">
      <w:bodyDiv w:val="1"/>
      <w:marLeft w:val="0"/>
      <w:marRight w:val="0"/>
      <w:marTop w:val="0"/>
      <w:marBottom w:val="0"/>
      <w:divBdr>
        <w:top w:val="none" w:sz="0" w:space="0" w:color="auto"/>
        <w:left w:val="none" w:sz="0" w:space="0" w:color="auto"/>
        <w:bottom w:val="none" w:sz="0" w:space="0" w:color="auto"/>
        <w:right w:val="none" w:sz="0" w:space="0" w:color="auto"/>
      </w:divBdr>
    </w:div>
    <w:div w:id="308022657">
      <w:bodyDiv w:val="1"/>
      <w:marLeft w:val="0"/>
      <w:marRight w:val="0"/>
      <w:marTop w:val="0"/>
      <w:marBottom w:val="0"/>
      <w:divBdr>
        <w:top w:val="none" w:sz="0" w:space="0" w:color="auto"/>
        <w:left w:val="none" w:sz="0" w:space="0" w:color="auto"/>
        <w:bottom w:val="none" w:sz="0" w:space="0" w:color="auto"/>
        <w:right w:val="none" w:sz="0" w:space="0" w:color="auto"/>
      </w:divBdr>
    </w:div>
    <w:div w:id="308369785">
      <w:bodyDiv w:val="1"/>
      <w:marLeft w:val="0"/>
      <w:marRight w:val="0"/>
      <w:marTop w:val="0"/>
      <w:marBottom w:val="0"/>
      <w:divBdr>
        <w:top w:val="none" w:sz="0" w:space="0" w:color="auto"/>
        <w:left w:val="none" w:sz="0" w:space="0" w:color="auto"/>
        <w:bottom w:val="none" w:sz="0" w:space="0" w:color="auto"/>
        <w:right w:val="none" w:sz="0" w:space="0" w:color="auto"/>
      </w:divBdr>
    </w:div>
    <w:div w:id="308439523">
      <w:bodyDiv w:val="1"/>
      <w:marLeft w:val="0"/>
      <w:marRight w:val="0"/>
      <w:marTop w:val="0"/>
      <w:marBottom w:val="0"/>
      <w:divBdr>
        <w:top w:val="none" w:sz="0" w:space="0" w:color="auto"/>
        <w:left w:val="none" w:sz="0" w:space="0" w:color="auto"/>
        <w:bottom w:val="none" w:sz="0" w:space="0" w:color="auto"/>
        <w:right w:val="none" w:sz="0" w:space="0" w:color="auto"/>
      </w:divBdr>
    </w:div>
    <w:div w:id="308681001">
      <w:bodyDiv w:val="1"/>
      <w:marLeft w:val="0"/>
      <w:marRight w:val="0"/>
      <w:marTop w:val="0"/>
      <w:marBottom w:val="0"/>
      <w:divBdr>
        <w:top w:val="none" w:sz="0" w:space="0" w:color="auto"/>
        <w:left w:val="none" w:sz="0" w:space="0" w:color="auto"/>
        <w:bottom w:val="none" w:sz="0" w:space="0" w:color="auto"/>
        <w:right w:val="none" w:sz="0" w:space="0" w:color="auto"/>
      </w:divBdr>
    </w:div>
    <w:div w:id="308899221">
      <w:bodyDiv w:val="1"/>
      <w:marLeft w:val="0"/>
      <w:marRight w:val="0"/>
      <w:marTop w:val="0"/>
      <w:marBottom w:val="0"/>
      <w:divBdr>
        <w:top w:val="none" w:sz="0" w:space="0" w:color="auto"/>
        <w:left w:val="none" w:sz="0" w:space="0" w:color="auto"/>
        <w:bottom w:val="none" w:sz="0" w:space="0" w:color="auto"/>
        <w:right w:val="none" w:sz="0" w:space="0" w:color="auto"/>
      </w:divBdr>
    </w:div>
    <w:div w:id="309138212">
      <w:bodyDiv w:val="1"/>
      <w:marLeft w:val="0"/>
      <w:marRight w:val="0"/>
      <w:marTop w:val="0"/>
      <w:marBottom w:val="0"/>
      <w:divBdr>
        <w:top w:val="none" w:sz="0" w:space="0" w:color="auto"/>
        <w:left w:val="none" w:sz="0" w:space="0" w:color="auto"/>
        <w:bottom w:val="none" w:sz="0" w:space="0" w:color="auto"/>
        <w:right w:val="none" w:sz="0" w:space="0" w:color="auto"/>
      </w:divBdr>
    </w:div>
    <w:div w:id="309751959">
      <w:bodyDiv w:val="1"/>
      <w:marLeft w:val="0"/>
      <w:marRight w:val="0"/>
      <w:marTop w:val="0"/>
      <w:marBottom w:val="0"/>
      <w:divBdr>
        <w:top w:val="none" w:sz="0" w:space="0" w:color="auto"/>
        <w:left w:val="none" w:sz="0" w:space="0" w:color="auto"/>
        <w:bottom w:val="none" w:sz="0" w:space="0" w:color="auto"/>
        <w:right w:val="none" w:sz="0" w:space="0" w:color="auto"/>
      </w:divBdr>
    </w:div>
    <w:div w:id="310181893">
      <w:bodyDiv w:val="1"/>
      <w:marLeft w:val="0"/>
      <w:marRight w:val="0"/>
      <w:marTop w:val="0"/>
      <w:marBottom w:val="0"/>
      <w:divBdr>
        <w:top w:val="none" w:sz="0" w:space="0" w:color="auto"/>
        <w:left w:val="none" w:sz="0" w:space="0" w:color="auto"/>
        <w:bottom w:val="none" w:sz="0" w:space="0" w:color="auto"/>
        <w:right w:val="none" w:sz="0" w:space="0" w:color="auto"/>
      </w:divBdr>
    </w:div>
    <w:div w:id="310452245">
      <w:bodyDiv w:val="1"/>
      <w:marLeft w:val="0"/>
      <w:marRight w:val="0"/>
      <w:marTop w:val="0"/>
      <w:marBottom w:val="0"/>
      <w:divBdr>
        <w:top w:val="none" w:sz="0" w:space="0" w:color="auto"/>
        <w:left w:val="none" w:sz="0" w:space="0" w:color="auto"/>
        <w:bottom w:val="none" w:sz="0" w:space="0" w:color="auto"/>
        <w:right w:val="none" w:sz="0" w:space="0" w:color="auto"/>
      </w:divBdr>
    </w:div>
    <w:div w:id="311494473">
      <w:bodyDiv w:val="1"/>
      <w:marLeft w:val="0"/>
      <w:marRight w:val="0"/>
      <w:marTop w:val="0"/>
      <w:marBottom w:val="0"/>
      <w:divBdr>
        <w:top w:val="none" w:sz="0" w:space="0" w:color="auto"/>
        <w:left w:val="none" w:sz="0" w:space="0" w:color="auto"/>
        <w:bottom w:val="none" w:sz="0" w:space="0" w:color="auto"/>
        <w:right w:val="none" w:sz="0" w:space="0" w:color="auto"/>
      </w:divBdr>
    </w:div>
    <w:div w:id="312026226">
      <w:bodyDiv w:val="1"/>
      <w:marLeft w:val="0"/>
      <w:marRight w:val="0"/>
      <w:marTop w:val="0"/>
      <w:marBottom w:val="0"/>
      <w:divBdr>
        <w:top w:val="none" w:sz="0" w:space="0" w:color="auto"/>
        <w:left w:val="none" w:sz="0" w:space="0" w:color="auto"/>
        <w:bottom w:val="none" w:sz="0" w:space="0" w:color="auto"/>
        <w:right w:val="none" w:sz="0" w:space="0" w:color="auto"/>
      </w:divBdr>
    </w:div>
    <w:div w:id="312098971">
      <w:bodyDiv w:val="1"/>
      <w:marLeft w:val="0"/>
      <w:marRight w:val="0"/>
      <w:marTop w:val="0"/>
      <w:marBottom w:val="0"/>
      <w:divBdr>
        <w:top w:val="none" w:sz="0" w:space="0" w:color="auto"/>
        <w:left w:val="none" w:sz="0" w:space="0" w:color="auto"/>
        <w:bottom w:val="none" w:sz="0" w:space="0" w:color="auto"/>
        <w:right w:val="none" w:sz="0" w:space="0" w:color="auto"/>
      </w:divBdr>
    </w:div>
    <w:div w:id="312485323">
      <w:bodyDiv w:val="1"/>
      <w:marLeft w:val="0"/>
      <w:marRight w:val="0"/>
      <w:marTop w:val="0"/>
      <w:marBottom w:val="0"/>
      <w:divBdr>
        <w:top w:val="none" w:sz="0" w:space="0" w:color="auto"/>
        <w:left w:val="none" w:sz="0" w:space="0" w:color="auto"/>
        <w:bottom w:val="none" w:sz="0" w:space="0" w:color="auto"/>
        <w:right w:val="none" w:sz="0" w:space="0" w:color="auto"/>
      </w:divBdr>
    </w:div>
    <w:div w:id="312567217">
      <w:bodyDiv w:val="1"/>
      <w:marLeft w:val="0"/>
      <w:marRight w:val="0"/>
      <w:marTop w:val="0"/>
      <w:marBottom w:val="0"/>
      <w:divBdr>
        <w:top w:val="none" w:sz="0" w:space="0" w:color="auto"/>
        <w:left w:val="none" w:sz="0" w:space="0" w:color="auto"/>
        <w:bottom w:val="none" w:sz="0" w:space="0" w:color="auto"/>
        <w:right w:val="none" w:sz="0" w:space="0" w:color="auto"/>
      </w:divBdr>
    </w:div>
    <w:div w:id="313681902">
      <w:bodyDiv w:val="1"/>
      <w:marLeft w:val="0"/>
      <w:marRight w:val="0"/>
      <w:marTop w:val="0"/>
      <w:marBottom w:val="0"/>
      <w:divBdr>
        <w:top w:val="none" w:sz="0" w:space="0" w:color="auto"/>
        <w:left w:val="none" w:sz="0" w:space="0" w:color="auto"/>
        <w:bottom w:val="none" w:sz="0" w:space="0" w:color="auto"/>
        <w:right w:val="none" w:sz="0" w:space="0" w:color="auto"/>
      </w:divBdr>
    </w:div>
    <w:div w:id="313728112">
      <w:bodyDiv w:val="1"/>
      <w:marLeft w:val="0"/>
      <w:marRight w:val="0"/>
      <w:marTop w:val="0"/>
      <w:marBottom w:val="0"/>
      <w:divBdr>
        <w:top w:val="none" w:sz="0" w:space="0" w:color="auto"/>
        <w:left w:val="none" w:sz="0" w:space="0" w:color="auto"/>
        <w:bottom w:val="none" w:sz="0" w:space="0" w:color="auto"/>
        <w:right w:val="none" w:sz="0" w:space="0" w:color="auto"/>
      </w:divBdr>
    </w:div>
    <w:div w:id="315189432">
      <w:bodyDiv w:val="1"/>
      <w:marLeft w:val="0"/>
      <w:marRight w:val="0"/>
      <w:marTop w:val="0"/>
      <w:marBottom w:val="0"/>
      <w:divBdr>
        <w:top w:val="none" w:sz="0" w:space="0" w:color="auto"/>
        <w:left w:val="none" w:sz="0" w:space="0" w:color="auto"/>
        <w:bottom w:val="none" w:sz="0" w:space="0" w:color="auto"/>
        <w:right w:val="none" w:sz="0" w:space="0" w:color="auto"/>
      </w:divBdr>
    </w:div>
    <w:div w:id="316303637">
      <w:bodyDiv w:val="1"/>
      <w:marLeft w:val="0"/>
      <w:marRight w:val="0"/>
      <w:marTop w:val="0"/>
      <w:marBottom w:val="0"/>
      <w:divBdr>
        <w:top w:val="none" w:sz="0" w:space="0" w:color="auto"/>
        <w:left w:val="none" w:sz="0" w:space="0" w:color="auto"/>
        <w:bottom w:val="none" w:sz="0" w:space="0" w:color="auto"/>
        <w:right w:val="none" w:sz="0" w:space="0" w:color="auto"/>
      </w:divBdr>
    </w:div>
    <w:div w:id="316884961">
      <w:bodyDiv w:val="1"/>
      <w:marLeft w:val="0"/>
      <w:marRight w:val="0"/>
      <w:marTop w:val="0"/>
      <w:marBottom w:val="0"/>
      <w:divBdr>
        <w:top w:val="none" w:sz="0" w:space="0" w:color="auto"/>
        <w:left w:val="none" w:sz="0" w:space="0" w:color="auto"/>
        <w:bottom w:val="none" w:sz="0" w:space="0" w:color="auto"/>
        <w:right w:val="none" w:sz="0" w:space="0" w:color="auto"/>
      </w:divBdr>
    </w:div>
    <w:div w:id="317926233">
      <w:bodyDiv w:val="1"/>
      <w:marLeft w:val="0"/>
      <w:marRight w:val="0"/>
      <w:marTop w:val="0"/>
      <w:marBottom w:val="0"/>
      <w:divBdr>
        <w:top w:val="none" w:sz="0" w:space="0" w:color="auto"/>
        <w:left w:val="none" w:sz="0" w:space="0" w:color="auto"/>
        <w:bottom w:val="none" w:sz="0" w:space="0" w:color="auto"/>
        <w:right w:val="none" w:sz="0" w:space="0" w:color="auto"/>
      </w:divBdr>
    </w:div>
    <w:div w:id="318121982">
      <w:bodyDiv w:val="1"/>
      <w:marLeft w:val="0"/>
      <w:marRight w:val="0"/>
      <w:marTop w:val="0"/>
      <w:marBottom w:val="0"/>
      <w:divBdr>
        <w:top w:val="none" w:sz="0" w:space="0" w:color="auto"/>
        <w:left w:val="none" w:sz="0" w:space="0" w:color="auto"/>
        <w:bottom w:val="none" w:sz="0" w:space="0" w:color="auto"/>
        <w:right w:val="none" w:sz="0" w:space="0" w:color="auto"/>
      </w:divBdr>
    </w:div>
    <w:div w:id="319507771">
      <w:bodyDiv w:val="1"/>
      <w:marLeft w:val="0"/>
      <w:marRight w:val="0"/>
      <w:marTop w:val="0"/>
      <w:marBottom w:val="0"/>
      <w:divBdr>
        <w:top w:val="none" w:sz="0" w:space="0" w:color="auto"/>
        <w:left w:val="none" w:sz="0" w:space="0" w:color="auto"/>
        <w:bottom w:val="none" w:sz="0" w:space="0" w:color="auto"/>
        <w:right w:val="none" w:sz="0" w:space="0" w:color="auto"/>
      </w:divBdr>
    </w:div>
    <w:div w:id="320668445">
      <w:bodyDiv w:val="1"/>
      <w:marLeft w:val="0"/>
      <w:marRight w:val="0"/>
      <w:marTop w:val="0"/>
      <w:marBottom w:val="0"/>
      <w:divBdr>
        <w:top w:val="none" w:sz="0" w:space="0" w:color="auto"/>
        <w:left w:val="none" w:sz="0" w:space="0" w:color="auto"/>
        <w:bottom w:val="none" w:sz="0" w:space="0" w:color="auto"/>
        <w:right w:val="none" w:sz="0" w:space="0" w:color="auto"/>
      </w:divBdr>
    </w:div>
    <w:div w:id="321740466">
      <w:bodyDiv w:val="1"/>
      <w:marLeft w:val="0"/>
      <w:marRight w:val="0"/>
      <w:marTop w:val="0"/>
      <w:marBottom w:val="0"/>
      <w:divBdr>
        <w:top w:val="none" w:sz="0" w:space="0" w:color="auto"/>
        <w:left w:val="none" w:sz="0" w:space="0" w:color="auto"/>
        <w:bottom w:val="none" w:sz="0" w:space="0" w:color="auto"/>
        <w:right w:val="none" w:sz="0" w:space="0" w:color="auto"/>
      </w:divBdr>
    </w:div>
    <w:div w:id="321785238">
      <w:bodyDiv w:val="1"/>
      <w:marLeft w:val="0"/>
      <w:marRight w:val="0"/>
      <w:marTop w:val="0"/>
      <w:marBottom w:val="0"/>
      <w:divBdr>
        <w:top w:val="none" w:sz="0" w:space="0" w:color="auto"/>
        <w:left w:val="none" w:sz="0" w:space="0" w:color="auto"/>
        <w:bottom w:val="none" w:sz="0" w:space="0" w:color="auto"/>
        <w:right w:val="none" w:sz="0" w:space="0" w:color="auto"/>
      </w:divBdr>
    </w:div>
    <w:div w:id="322858050">
      <w:bodyDiv w:val="1"/>
      <w:marLeft w:val="0"/>
      <w:marRight w:val="0"/>
      <w:marTop w:val="0"/>
      <w:marBottom w:val="0"/>
      <w:divBdr>
        <w:top w:val="none" w:sz="0" w:space="0" w:color="auto"/>
        <w:left w:val="none" w:sz="0" w:space="0" w:color="auto"/>
        <w:bottom w:val="none" w:sz="0" w:space="0" w:color="auto"/>
        <w:right w:val="none" w:sz="0" w:space="0" w:color="auto"/>
      </w:divBdr>
    </w:div>
    <w:div w:id="323050433">
      <w:bodyDiv w:val="1"/>
      <w:marLeft w:val="0"/>
      <w:marRight w:val="0"/>
      <w:marTop w:val="0"/>
      <w:marBottom w:val="0"/>
      <w:divBdr>
        <w:top w:val="none" w:sz="0" w:space="0" w:color="auto"/>
        <w:left w:val="none" w:sz="0" w:space="0" w:color="auto"/>
        <w:bottom w:val="none" w:sz="0" w:space="0" w:color="auto"/>
        <w:right w:val="none" w:sz="0" w:space="0" w:color="auto"/>
      </w:divBdr>
    </w:div>
    <w:div w:id="323163124">
      <w:bodyDiv w:val="1"/>
      <w:marLeft w:val="0"/>
      <w:marRight w:val="0"/>
      <w:marTop w:val="0"/>
      <w:marBottom w:val="0"/>
      <w:divBdr>
        <w:top w:val="none" w:sz="0" w:space="0" w:color="auto"/>
        <w:left w:val="none" w:sz="0" w:space="0" w:color="auto"/>
        <w:bottom w:val="none" w:sz="0" w:space="0" w:color="auto"/>
        <w:right w:val="none" w:sz="0" w:space="0" w:color="auto"/>
      </w:divBdr>
    </w:div>
    <w:div w:id="324669013">
      <w:bodyDiv w:val="1"/>
      <w:marLeft w:val="0"/>
      <w:marRight w:val="0"/>
      <w:marTop w:val="0"/>
      <w:marBottom w:val="0"/>
      <w:divBdr>
        <w:top w:val="none" w:sz="0" w:space="0" w:color="auto"/>
        <w:left w:val="none" w:sz="0" w:space="0" w:color="auto"/>
        <w:bottom w:val="none" w:sz="0" w:space="0" w:color="auto"/>
        <w:right w:val="none" w:sz="0" w:space="0" w:color="auto"/>
      </w:divBdr>
    </w:div>
    <w:div w:id="325591899">
      <w:bodyDiv w:val="1"/>
      <w:marLeft w:val="0"/>
      <w:marRight w:val="0"/>
      <w:marTop w:val="0"/>
      <w:marBottom w:val="0"/>
      <w:divBdr>
        <w:top w:val="none" w:sz="0" w:space="0" w:color="auto"/>
        <w:left w:val="none" w:sz="0" w:space="0" w:color="auto"/>
        <w:bottom w:val="none" w:sz="0" w:space="0" w:color="auto"/>
        <w:right w:val="none" w:sz="0" w:space="0" w:color="auto"/>
      </w:divBdr>
    </w:div>
    <w:div w:id="325911496">
      <w:bodyDiv w:val="1"/>
      <w:marLeft w:val="0"/>
      <w:marRight w:val="0"/>
      <w:marTop w:val="0"/>
      <w:marBottom w:val="0"/>
      <w:divBdr>
        <w:top w:val="none" w:sz="0" w:space="0" w:color="auto"/>
        <w:left w:val="none" w:sz="0" w:space="0" w:color="auto"/>
        <w:bottom w:val="none" w:sz="0" w:space="0" w:color="auto"/>
        <w:right w:val="none" w:sz="0" w:space="0" w:color="auto"/>
      </w:divBdr>
    </w:div>
    <w:div w:id="326592894">
      <w:bodyDiv w:val="1"/>
      <w:marLeft w:val="0"/>
      <w:marRight w:val="0"/>
      <w:marTop w:val="0"/>
      <w:marBottom w:val="0"/>
      <w:divBdr>
        <w:top w:val="none" w:sz="0" w:space="0" w:color="auto"/>
        <w:left w:val="none" w:sz="0" w:space="0" w:color="auto"/>
        <w:bottom w:val="none" w:sz="0" w:space="0" w:color="auto"/>
        <w:right w:val="none" w:sz="0" w:space="0" w:color="auto"/>
      </w:divBdr>
    </w:div>
    <w:div w:id="326831545">
      <w:bodyDiv w:val="1"/>
      <w:marLeft w:val="0"/>
      <w:marRight w:val="0"/>
      <w:marTop w:val="0"/>
      <w:marBottom w:val="0"/>
      <w:divBdr>
        <w:top w:val="none" w:sz="0" w:space="0" w:color="auto"/>
        <w:left w:val="none" w:sz="0" w:space="0" w:color="auto"/>
        <w:bottom w:val="none" w:sz="0" w:space="0" w:color="auto"/>
        <w:right w:val="none" w:sz="0" w:space="0" w:color="auto"/>
      </w:divBdr>
    </w:div>
    <w:div w:id="327293372">
      <w:bodyDiv w:val="1"/>
      <w:marLeft w:val="0"/>
      <w:marRight w:val="0"/>
      <w:marTop w:val="0"/>
      <w:marBottom w:val="0"/>
      <w:divBdr>
        <w:top w:val="none" w:sz="0" w:space="0" w:color="auto"/>
        <w:left w:val="none" w:sz="0" w:space="0" w:color="auto"/>
        <w:bottom w:val="none" w:sz="0" w:space="0" w:color="auto"/>
        <w:right w:val="none" w:sz="0" w:space="0" w:color="auto"/>
      </w:divBdr>
    </w:div>
    <w:div w:id="327565793">
      <w:bodyDiv w:val="1"/>
      <w:marLeft w:val="0"/>
      <w:marRight w:val="0"/>
      <w:marTop w:val="0"/>
      <w:marBottom w:val="0"/>
      <w:divBdr>
        <w:top w:val="none" w:sz="0" w:space="0" w:color="auto"/>
        <w:left w:val="none" w:sz="0" w:space="0" w:color="auto"/>
        <w:bottom w:val="none" w:sz="0" w:space="0" w:color="auto"/>
        <w:right w:val="none" w:sz="0" w:space="0" w:color="auto"/>
      </w:divBdr>
    </w:div>
    <w:div w:id="329328930">
      <w:bodyDiv w:val="1"/>
      <w:marLeft w:val="0"/>
      <w:marRight w:val="0"/>
      <w:marTop w:val="0"/>
      <w:marBottom w:val="0"/>
      <w:divBdr>
        <w:top w:val="none" w:sz="0" w:space="0" w:color="auto"/>
        <w:left w:val="none" w:sz="0" w:space="0" w:color="auto"/>
        <w:bottom w:val="none" w:sz="0" w:space="0" w:color="auto"/>
        <w:right w:val="none" w:sz="0" w:space="0" w:color="auto"/>
      </w:divBdr>
    </w:div>
    <w:div w:id="329456503">
      <w:bodyDiv w:val="1"/>
      <w:marLeft w:val="0"/>
      <w:marRight w:val="0"/>
      <w:marTop w:val="0"/>
      <w:marBottom w:val="0"/>
      <w:divBdr>
        <w:top w:val="none" w:sz="0" w:space="0" w:color="auto"/>
        <w:left w:val="none" w:sz="0" w:space="0" w:color="auto"/>
        <w:bottom w:val="none" w:sz="0" w:space="0" w:color="auto"/>
        <w:right w:val="none" w:sz="0" w:space="0" w:color="auto"/>
      </w:divBdr>
    </w:div>
    <w:div w:id="331221127">
      <w:bodyDiv w:val="1"/>
      <w:marLeft w:val="0"/>
      <w:marRight w:val="0"/>
      <w:marTop w:val="0"/>
      <w:marBottom w:val="0"/>
      <w:divBdr>
        <w:top w:val="none" w:sz="0" w:space="0" w:color="auto"/>
        <w:left w:val="none" w:sz="0" w:space="0" w:color="auto"/>
        <w:bottom w:val="none" w:sz="0" w:space="0" w:color="auto"/>
        <w:right w:val="none" w:sz="0" w:space="0" w:color="auto"/>
      </w:divBdr>
    </w:div>
    <w:div w:id="332757854">
      <w:bodyDiv w:val="1"/>
      <w:marLeft w:val="0"/>
      <w:marRight w:val="0"/>
      <w:marTop w:val="0"/>
      <w:marBottom w:val="0"/>
      <w:divBdr>
        <w:top w:val="none" w:sz="0" w:space="0" w:color="auto"/>
        <w:left w:val="none" w:sz="0" w:space="0" w:color="auto"/>
        <w:bottom w:val="none" w:sz="0" w:space="0" w:color="auto"/>
        <w:right w:val="none" w:sz="0" w:space="0" w:color="auto"/>
      </w:divBdr>
    </w:div>
    <w:div w:id="334306968">
      <w:bodyDiv w:val="1"/>
      <w:marLeft w:val="0"/>
      <w:marRight w:val="0"/>
      <w:marTop w:val="0"/>
      <w:marBottom w:val="0"/>
      <w:divBdr>
        <w:top w:val="none" w:sz="0" w:space="0" w:color="auto"/>
        <w:left w:val="none" w:sz="0" w:space="0" w:color="auto"/>
        <w:bottom w:val="none" w:sz="0" w:space="0" w:color="auto"/>
        <w:right w:val="none" w:sz="0" w:space="0" w:color="auto"/>
      </w:divBdr>
    </w:div>
    <w:div w:id="334386202">
      <w:bodyDiv w:val="1"/>
      <w:marLeft w:val="0"/>
      <w:marRight w:val="0"/>
      <w:marTop w:val="0"/>
      <w:marBottom w:val="0"/>
      <w:divBdr>
        <w:top w:val="none" w:sz="0" w:space="0" w:color="auto"/>
        <w:left w:val="none" w:sz="0" w:space="0" w:color="auto"/>
        <w:bottom w:val="none" w:sz="0" w:space="0" w:color="auto"/>
        <w:right w:val="none" w:sz="0" w:space="0" w:color="auto"/>
      </w:divBdr>
    </w:div>
    <w:div w:id="334578306">
      <w:bodyDiv w:val="1"/>
      <w:marLeft w:val="0"/>
      <w:marRight w:val="0"/>
      <w:marTop w:val="0"/>
      <w:marBottom w:val="0"/>
      <w:divBdr>
        <w:top w:val="none" w:sz="0" w:space="0" w:color="auto"/>
        <w:left w:val="none" w:sz="0" w:space="0" w:color="auto"/>
        <w:bottom w:val="none" w:sz="0" w:space="0" w:color="auto"/>
        <w:right w:val="none" w:sz="0" w:space="0" w:color="auto"/>
      </w:divBdr>
    </w:div>
    <w:div w:id="334963702">
      <w:bodyDiv w:val="1"/>
      <w:marLeft w:val="0"/>
      <w:marRight w:val="0"/>
      <w:marTop w:val="0"/>
      <w:marBottom w:val="0"/>
      <w:divBdr>
        <w:top w:val="none" w:sz="0" w:space="0" w:color="auto"/>
        <w:left w:val="none" w:sz="0" w:space="0" w:color="auto"/>
        <w:bottom w:val="none" w:sz="0" w:space="0" w:color="auto"/>
        <w:right w:val="none" w:sz="0" w:space="0" w:color="auto"/>
      </w:divBdr>
    </w:div>
    <w:div w:id="337657989">
      <w:bodyDiv w:val="1"/>
      <w:marLeft w:val="0"/>
      <w:marRight w:val="0"/>
      <w:marTop w:val="0"/>
      <w:marBottom w:val="0"/>
      <w:divBdr>
        <w:top w:val="none" w:sz="0" w:space="0" w:color="auto"/>
        <w:left w:val="none" w:sz="0" w:space="0" w:color="auto"/>
        <w:bottom w:val="none" w:sz="0" w:space="0" w:color="auto"/>
        <w:right w:val="none" w:sz="0" w:space="0" w:color="auto"/>
      </w:divBdr>
    </w:div>
    <w:div w:id="337971626">
      <w:bodyDiv w:val="1"/>
      <w:marLeft w:val="0"/>
      <w:marRight w:val="0"/>
      <w:marTop w:val="0"/>
      <w:marBottom w:val="0"/>
      <w:divBdr>
        <w:top w:val="none" w:sz="0" w:space="0" w:color="auto"/>
        <w:left w:val="none" w:sz="0" w:space="0" w:color="auto"/>
        <w:bottom w:val="none" w:sz="0" w:space="0" w:color="auto"/>
        <w:right w:val="none" w:sz="0" w:space="0" w:color="auto"/>
      </w:divBdr>
    </w:div>
    <w:div w:id="338508328">
      <w:bodyDiv w:val="1"/>
      <w:marLeft w:val="0"/>
      <w:marRight w:val="0"/>
      <w:marTop w:val="0"/>
      <w:marBottom w:val="0"/>
      <w:divBdr>
        <w:top w:val="none" w:sz="0" w:space="0" w:color="auto"/>
        <w:left w:val="none" w:sz="0" w:space="0" w:color="auto"/>
        <w:bottom w:val="none" w:sz="0" w:space="0" w:color="auto"/>
        <w:right w:val="none" w:sz="0" w:space="0" w:color="auto"/>
      </w:divBdr>
    </w:div>
    <w:div w:id="338509166">
      <w:bodyDiv w:val="1"/>
      <w:marLeft w:val="0"/>
      <w:marRight w:val="0"/>
      <w:marTop w:val="0"/>
      <w:marBottom w:val="0"/>
      <w:divBdr>
        <w:top w:val="none" w:sz="0" w:space="0" w:color="auto"/>
        <w:left w:val="none" w:sz="0" w:space="0" w:color="auto"/>
        <w:bottom w:val="none" w:sz="0" w:space="0" w:color="auto"/>
        <w:right w:val="none" w:sz="0" w:space="0" w:color="auto"/>
      </w:divBdr>
    </w:div>
    <w:div w:id="339158336">
      <w:bodyDiv w:val="1"/>
      <w:marLeft w:val="0"/>
      <w:marRight w:val="0"/>
      <w:marTop w:val="0"/>
      <w:marBottom w:val="0"/>
      <w:divBdr>
        <w:top w:val="none" w:sz="0" w:space="0" w:color="auto"/>
        <w:left w:val="none" w:sz="0" w:space="0" w:color="auto"/>
        <w:bottom w:val="none" w:sz="0" w:space="0" w:color="auto"/>
        <w:right w:val="none" w:sz="0" w:space="0" w:color="auto"/>
      </w:divBdr>
    </w:div>
    <w:div w:id="342898803">
      <w:bodyDiv w:val="1"/>
      <w:marLeft w:val="0"/>
      <w:marRight w:val="0"/>
      <w:marTop w:val="0"/>
      <w:marBottom w:val="0"/>
      <w:divBdr>
        <w:top w:val="none" w:sz="0" w:space="0" w:color="auto"/>
        <w:left w:val="none" w:sz="0" w:space="0" w:color="auto"/>
        <w:bottom w:val="none" w:sz="0" w:space="0" w:color="auto"/>
        <w:right w:val="none" w:sz="0" w:space="0" w:color="auto"/>
      </w:divBdr>
    </w:div>
    <w:div w:id="344333375">
      <w:bodyDiv w:val="1"/>
      <w:marLeft w:val="0"/>
      <w:marRight w:val="0"/>
      <w:marTop w:val="0"/>
      <w:marBottom w:val="0"/>
      <w:divBdr>
        <w:top w:val="none" w:sz="0" w:space="0" w:color="auto"/>
        <w:left w:val="none" w:sz="0" w:space="0" w:color="auto"/>
        <w:bottom w:val="none" w:sz="0" w:space="0" w:color="auto"/>
        <w:right w:val="none" w:sz="0" w:space="0" w:color="auto"/>
      </w:divBdr>
    </w:div>
    <w:div w:id="344596189">
      <w:bodyDiv w:val="1"/>
      <w:marLeft w:val="0"/>
      <w:marRight w:val="0"/>
      <w:marTop w:val="0"/>
      <w:marBottom w:val="0"/>
      <w:divBdr>
        <w:top w:val="none" w:sz="0" w:space="0" w:color="auto"/>
        <w:left w:val="none" w:sz="0" w:space="0" w:color="auto"/>
        <w:bottom w:val="none" w:sz="0" w:space="0" w:color="auto"/>
        <w:right w:val="none" w:sz="0" w:space="0" w:color="auto"/>
      </w:divBdr>
    </w:div>
    <w:div w:id="344670321">
      <w:bodyDiv w:val="1"/>
      <w:marLeft w:val="0"/>
      <w:marRight w:val="0"/>
      <w:marTop w:val="0"/>
      <w:marBottom w:val="0"/>
      <w:divBdr>
        <w:top w:val="none" w:sz="0" w:space="0" w:color="auto"/>
        <w:left w:val="none" w:sz="0" w:space="0" w:color="auto"/>
        <w:bottom w:val="none" w:sz="0" w:space="0" w:color="auto"/>
        <w:right w:val="none" w:sz="0" w:space="0" w:color="auto"/>
      </w:divBdr>
    </w:div>
    <w:div w:id="345638641">
      <w:bodyDiv w:val="1"/>
      <w:marLeft w:val="0"/>
      <w:marRight w:val="0"/>
      <w:marTop w:val="0"/>
      <w:marBottom w:val="0"/>
      <w:divBdr>
        <w:top w:val="none" w:sz="0" w:space="0" w:color="auto"/>
        <w:left w:val="none" w:sz="0" w:space="0" w:color="auto"/>
        <w:bottom w:val="none" w:sz="0" w:space="0" w:color="auto"/>
        <w:right w:val="none" w:sz="0" w:space="0" w:color="auto"/>
      </w:divBdr>
    </w:div>
    <w:div w:id="346102309">
      <w:bodyDiv w:val="1"/>
      <w:marLeft w:val="0"/>
      <w:marRight w:val="0"/>
      <w:marTop w:val="0"/>
      <w:marBottom w:val="0"/>
      <w:divBdr>
        <w:top w:val="none" w:sz="0" w:space="0" w:color="auto"/>
        <w:left w:val="none" w:sz="0" w:space="0" w:color="auto"/>
        <w:bottom w:val="none" w:sz="0" w:space="0" w:color="auto"/>
        <w:right w:val="none" w:sz="0" w:space="0" w:color="auto"/>
      </w:divBdr>
    </w:div>
    <w:div w:id="348723857">
      <w:bodyDiv w:val="1"/>
      <w:marLeft w:val="0"/>
      <w:marRight w:val="0"/>
      <w:marTop w:val="0"/>
      <w:marBottom w:val="0"/>
      <w:divBdr>
        <w:top w:val="none" w:sz="0" w:space="0" w:color="auto"/>
        <w:left w:val="none" w:sz="0" w:space="0" w:color="auto"/>
        <w:bottom w:val="none" w:sz="0" w:space="0" w:color="auto"/>
        <w:right w:val="none" w:sz="0" w:space="0" w:color="auto"/>
      </w:divBdr>
    </w:div>
    <w:div w:id="348726866">
      <w:bodyDiv w:val="1"/>
      <w:marLeft w:val="0"/>
      <w:marRight w:val="0"/>
      <w:marTop w:val="0"/>
      <w:marBottom w:val="0"/>
      <w:divBdr>
        <w:top w:val="none" w:sz="0" w:space="0" w:color="auto"/>
        <w:left w:val="none" w:sz="0" w:space="0" w:color="auto"/>
        <w:bottom w:val="none" w:sz="0" w:space="0" w:color="auto"/>
        <w:right w:val="none" w:sz="0" w:space="0" w:color="auto"/>
      </w:divBdr>
    </w:div>
    <w:div w:id="348874946">
      <w:bodyDiv w:val="1"/>
      <w:marLeft w:val="0"/>
      <w:marRight w:val="0"/>
      <w:marTop w:val="0"/>
      <w:marBottom w:val="0"/>
      <w:divBdr>
        <w:top w:val="none" w:sz="0" w:space="0" w:color="auto"/>
        <w:left w:val="none" w:sz="0" w:space="0" w:color="auto"/>
        <w:bottom w:val="none" w:sz="0" w:space="0" w:color="auto"/>
        <w:right w:val="none" w:sz="0" w:space="0" w:color="auto"/>
      </w:divBdr>
    </w:div>
    <w:div w:id="349139967">
      <w:bodyDiv w:val="1"/>
      <w:marLeft w:val="0"/>
      <w:marRight w:val="0"/>
      <w:marTop w:val="0"/>
      <w:marBottom w:val="0"/>
      <w:divBdr>
        <w:top w:val="none" w:sz="0" w:space="0" w:color="auto"/>
        <w:left w:val="none" w:sz="0" w:space="0" w:color="auto"/>
        <w:bottom w:val="none" w:sz="0" w:space="0" w:color="auto"/>
        <w:right w:val="none" w:sz="0" w:space="0" w:color="auto"/>
      </w:divBdr>
    </w:div>
    <w:div w:id="350692672">
      <w:bodyDiv w:val="1"/>
      <w:marLeft w:val="0"/>
      <w:marRight w:val="0"/>
      <w:marTop w:val="0"/>
      <w:marBottom w:val="0"/>
      <w:divBdr>
        <w:top w:val="none" w:sz="0" w:space="0" w:color="auto"/>
        <w:left w:val="none" w:sz="0" w:space="0" w:color="auto"/>
        <w:bottom w:val="none" w:sz="0" w:space="0" w:color="auto"/>
        <w:right w:val="none" w:sz="0" w:space="0" w:color="auto"/>
      </w:divBdr>
    </w:div>
    <w:div w:id="351154920">
      <w:bodyDiv w:val="1"/>
      <w:marLeft w:val="0"/>
      <w:marRight w:val="0"/>
      <w:marTop w:val="0"/>
      <w:marBottom w:val="0"/>
      <w:divBdr>
        <w:top w:val="none" w:sz="0" w:space="0" w:color="auto"/>
        <w:left w:val="none" w:sz="0" w:space="0" w:color="auto"/>
        <w:bottom w:val="none" w:sz="0" w:space="0" w:color="auto"/>
        <w:right w:val="none" w:sz="0" w:space="0" w:color="auto"/>
      </w:divBdr>
    </w:div>
    <w:div w:id="351301862">
      <w:bodyDiv w:val="1"/>
      <w:marLeft w:val="0"/>
      <w:marRight w:val="0"/>
      <w:marTop w:val="0"/>
      <w:marBottom w:val="0"/>
      <w:divBdr>
        <w:top w:val="none" w:sz="0" w:space="0" w:color="auto"/>
        <w:left w:val="none" w:sz="0" w:space="0" w:color="auto"/>
        <w:bottom w:val="none" w:sz="0" w:space="0" w:color="auto"/>
        <w:right w:val="none" w:sz="0" w:space="0" w:color="auto"/>
      </w:divBdr>
    </w:div>
    <w:div w:id="351997108">
      <w:bodyDiv w:val="1"/>
      <w:marLeft w:val="0"/>
      <w:marRight w:val="0"/>
      <w:marTop w:val="0"/>
      <w:marBottom w:val="0"/>
      <w:divBdr>
        <w:top w:val="none" w:sz="0" w:space="0" w:color="auto"/>
        <w:left w:val="none" w:sz="0" w:space="0" w:color="auto"/>
        <w:bottom w:val="none" w:sz="0" w:space="0" w:color="auto"/>
        <w:right w:val="none" w:sz="0" w:space="0" w:color="auto"/>
      </w:divBdr>
    </w:div>
    <w:div w:id="352416892">
      <w:bodyDiv w:val="1"/>
      <w:marLeft w:val="0"/>
      <w:marRight w:val="0"/>
      <w:marTop w:val="0"/>
      <w:marBottom w:val="0"/>
      <w:divBdr>
        <w:top w:val="none" w:sz="0" w:space="0" w:color="auto"/>
        <w:left w:val="none" w:sz="0" w:space="0" w:color="auto"/>
        <w:bottom w:val="none" w:sz="0" w:space="0" w:color="auto"/>
        <w:right w:val="none" w:sz="0" w:space="0" w:color="auto"/>
      </w:divBdr>
    </w:div>
    <w:div w:id="353044331">
      <w:bodyDiv w:val="1"/>
      <w:marLeft w:val="0"/>
      <w:marRight w:val="0"/>
      <w:marTop w:val="0"/>
      <w:marBottom w:val="0"/>
      <w:divBdr>
        <w:top w:val="none" w:sz="0" w:space="0" w:color="auto"/>
        <w:left w:val="none" w:sz="0" w:space="0" w:color="auto"/>
        <w:bottom w:val="none" w:sz="0" w:space="0" w:color="auto"/>
        <w:right w:val="none" w:sz="0" w:space="0" w:color="auto"/>
      </w:divBdr>
    </w:div>
    <w:div w:id="354157828">
      <w:bodyDiv w:val="1"/>
      <w:marLeft w:val="0"/>
      <w:marRight w:val="0"/>
      <w:marTop w:val="0"/>
      <w:marBottom w:val="0"/>
      <w:divBdr>
        <w:top w:val="none" w:sz="0" w:space="0" w:color="auto"/>
        <w:left w:val="none" w:sz="0" w:space="0" w:color="auto"/>
        <w:bottom w:val="none" w:sz="0" w:space="0" w:color="auto"/>
        <w:right w:val="none" w:sz="0" w:space="0" w:color="auto"/>
      </w:divBdr>
    </w:div>
    <w:div w:id="354575690">
      <w:bodyDiv w:val="1"/>
      <w:marLeft w:val="0"/>
      <w:marRight w:val="0"/>
      <w:marTop w:val="0"/>
      <w:marBottom w:val="0"/>
      <w:divBdr>
        <w:top w:val="none" w:sz="0" w:space="0" w:color="auto"/>
        <w:left w:val="none" w:sz="0" w:space="0" w:color="auto"/>
        <w:bottom w:val="none" w:sz="0" w:space="0" w:color="auto"/>
        <w:right w:val="none" w:sz="0" w:space="0" w:color="auto"/>
      </w:divBdr>
    </w:div>
    <w:div w:id="354575983">
      <w:bodyDiv w:val="1"/>
      <w:marLeft w:val="0"/>
      <w:marRight w:val="0"/>
      <w:marTop w:val="0"/>
      <w:marBottom w:val="0"/>
      <w:divBdr>
        <w:top w:val="none" w:sz="0" w:space="0" w:color="auto"/>
        <w:left w:val="none" w:sz="0" w:space="0" w:color="auto"/>
        <w:bottom w:val="none" w:sz="0" w:space="0" w:color="auto"/>
        <w:right w:val="none" w:sz="0" w:space="0" w:color="auto"/>
      </w:divBdr>
    </w:div>
    <w:div w:id="354577919">
      <w:bodyDiv w:val="1"/>
      <w:marLeft w:val="0"/>
      <w:marRight w:val="0"/>
      <w:marTop w:val="0"/>
      <w:marBottom w:val="0"/>
      <w:divBdr>
        <w:top w:val="none" w:sz="0" w:space="0" w:color="auto"/>
        <w:left w:val="none" w:sz="0" w:space="0" w:color="auto"/>
        <w:bottom w:val="none" w:sz="0" w:space="0" w:color="auto"/>
        <w:right w:val="none" w:sz="0" w:space="0" w:color="auto"/>
      </w:divBdr>
    </w:div>
    <w:div w:id="354693170">
      <w:bodyDiv w:val="1"/>
      <w:marLeft w:val="0"/>
      <w:marRight w:val="0"/>
      <w:marTop w:val="0"/>
      <w:marBottom w:val="0"/>
      <w:divBdr>
        <w:top w:val="none" w:sz="0" w:space="0" w:color="auto"/>
        <w:left w:val="none" w:sz="0" w:space="0" w:color="auto"/>
        <w:bottom w:val="none" w:sz="0" w:space="0" w:color="auto"/>
        <w:right w:val="none" w:sz="0" w:space="0" w:color="auto"/>
      </w:divBdr>
    </w:div>
    <w:div w:id="354816343">
      <w:bodyDiv w:val="1"/>
      <w:marLeft w:val="0"/>
      <w:marRight w:val="0"/>
      <w:marTop w:val="0"/>
      <w:marBottom w:val="0"/>
      <w:divBdr>
        <w:top w:val="none" w:sz="0" w:space="0" w:color="auto"/>
        <w:left w:val="none" w:sz="0" w:space="0" w:color="auto"/>
        <w:bottom w:val="none" w:sz="0" w:space="0" w:color="auto"/>
        <w:right w:val="none" w:sz="0" w:space="0" w:color="auto"/>
      </w:divBdr>
    </w:div>
    <w:div w:id="355470952">
      <w:bodyDiv w:val="1"/>
      <w:marLeft w:val="0"/>
      <w:marRight w:val="0"/>
      <w:marTop w:val="0"/>
      <w:marBottom w:val="0"/>
      <w:divBdr>
        <w:top w:val="none" w:sz="0" w:space="0" w:color="auto"/>
        <w:left w:val="none" w:sz="0" w:space="0" w:color="auto"/>
        <w:bottom w:val="none" w:sz="0" w:space="0" w:color="auto"/>
        <w:right w:val="none" w:sz="0" w:space="0" w:color="auto"/>
      </w:divBdr>
    </w:div>
    <w:div w:id="356467277">
      <w:bodyDiv w:val="1"/>
      <w:marLeft w:val="0"/>
      <w:marRight w:val="0"/>
      <w:marTop w:val="0"/>
      <w:marBottom w:val="0"/>
      <w:divBdr>
        <w:top w:val="none" w:sz="0" w:space="0" w:color="auto"/>
        <w:left w:val="none" w:sz="0" w:space="0" w:color="auto"/>
        <w:bottom w:val="none" w:sz="0" w:space="0" w:color="auto"/>
        <w:right w:val="none" w:sz="0" w:space="0" w:color="auto"/>
      </w:divBdr>
    </w:div>
    <w:div w:id="357701117">
      <w:bodyDiv w:val="1"/>
      <w:marLeft w:val="0"/>
      <w:marRight w:val="0"/>
      <w:marTop w:val="0"/>
      <w:marBottom w:val="0"/>
      <w:divBdr>
        <w:top w:val="none" w:sz="0" w:space="0" w:color="auto"/>
        <w:left w:val="none" w:sz="0" w:space="0" w:color="auto"/>
        <w:bottom w:val="none" w:sz="0" w:space="0" w:color="auto"/>
        <w:right w:val="none" w:sz="0" w:space="0" w:color="auto"/>
      </w:divBdr>
    </w:div>
    <w:div w:id="358317248">
      <w:bodyDiv w:val="1"/>
      <w:marLeft w:val="0"/>
      <w:marRight w:val="0"/>
      <w:marTop w:val="0"/>
      <w:marBottom w:val="0"/>
      <w:divBdr>
        <w:top w:val="none" w:sz="0" w:space="0" w:color="auto"/>
        <w:left w:val="none" w:sz="0" w:space="0" w:color="auto"/>
        <w:bottom w:val="none" w:sz="0" w:space="0" w:color="auto"/>
        <w:right w:val="none" w:sz="0" w:space="0" w:color="auto"/>
      </w:divBdr>
    </w:div>
    <w:div w:id="358432289">
      <w:bodyDiv w:val="1"/>
      <w:marLeft w:val="0"/>
      <w:marRight w:val="0"/>
      <w:marTop w:val="0"/>
      <w:marBottom w:val="0"/>
      <w:divBdr>
        <w:top w:val="none" w:sz="0" w:space="0" w:color="auto"/>
        <w:left w:val="none" w:sz="0" w:space="0" w:color="auto"/>
        <w:bottom w:val="none" w:sz="0" w:space="0" w:color="auto"/>
        <w:right w:val="none" w:sz="0" w:space="0" w:color="auto"/>
      </w:divBdr>
    </w:div>
    <w:div w:id="359211219">
      <w:bodyDiv w:val="1"/>
      <w:marLeft w:val="0"/>
      <w:marRight w:val="0"/>
      <w:marTop w:val="0"/>
      <w:marBottom w:val="0"/>
      <w:divBdr>
        <w:top w:val="none" w:sz="0" w:space="0" w:color="auto"/>
        <w:left w:val="none" w:sz="0" w:space="0" w:color="auto"/>
        <w:bottom w:val="none" w:sz="0" w:space="0" w:color="auto"/>
        <w:right w:val="none" w:sz="0" w:space="0" w:color="auto"/>
      </w:divBdr>
    </w:div>
    <w:div w:id="359401704">
      <w:bodyDiv w:val="1"/>
      <w:marLeft w:val="0"/>
      <w:marRight w:val="0"/>
      <w:marTop w:val="0"/>
      <w:marBottom w:val="0"/>
      <w:divBdr>
        <w:top w:val="none" w:sz="0" w:space="0" w:color="auto"/>
        <w:left w:val="none" w:sz="0" w:space="0" w:color="auto"/>
        <w:bottom w:val="none" w:sz="0" w:space="0" w:color="auto"/>
        <w:right w:val="none" w:sz="0" w:space="0" w:color="auto"/>
      </w:divBdr>
    </w:div>
    <w:div w:id="360204108">
      <w:bodyDiv w:val="1"/>
      <w:marLeft w:val="0"/>
      <w:marRight w:val="0"/>
      <w:marTop w:val="0"/>
      <w:marBottom w:val="0"/>
      <w:divBdr>
        <w:top w:val="none" w:sz="0" w:space="0" w:color="auto"/>
        <w:left w:val="none" w:sz="0" w:space="0" w:color="auto"/>
        <w:bottom w:val="none" w:sz="0" w:space="0" w:color="auto"/>
        <w:right w:val="none" w:sz="0" w:space="0" w:color="auto"/>
      </w:divBdr>
    </w:div>
    <w:div w:id="361055072">
      <w:bodyDiv w:val="1"/>
      <w:marLeft w:val="0"/>
      <w:marRight w:val="0"/>
      <w:marTop w:val="0"/>
      <w:marBottom w:val="0"/>
      <w:divBdr>
        <w:top w:val="none" w:sz="0" w:space="0" w:color="auto"/>
        <w:left w:val="none" w:sz="0" w:space="0" w:color="auto"/>
        <w:bottom w:val="none" w:sz="0" w:space="0" w:color="auto"/>
        <w:right w:val="none" w:sz="0" w:space="0" w:color="auto"/>
      </w:divBdr>
    </w:div>
    <w:div w:id="361512815">
      <w:bodyDiv w:val="1"/>
      <w:marLeft w:val="0"/>
      <w:marRight w:val="0"/>
      <w:marTop w:val="0"/>
      <w:marBottom w:val="0"/>
      <w:divBdr>
        <w:top w:val="none" w:sz="0" w:space="0" w:color="auto"/>
        <w:left w:val="none" w:sz="0" w:space="0" w:color="auto"/>
        <w:bottom w:val="none" w:sz="0" w:space="0" w:color="auto"/>
        <w:right w:val="none" w:sz="0" w:space="0" w:color="auto"/>
      </w:divBdr>
    </w:div>
    <w:div w:id="361977649">
      <w:bodyDiv w:val="1"/>
      <w:marLeft w:val="0"/>
      <w:marRight w:val="0"/>
      <w:marTop w:val="0"/>
      <w:marBottom w:val="0"/>
      <w:divBdr>
        <w:top w:val="none" w:sz="0" w:space="0" w:color="auto"/>
        <w:left w:val="none" w:sz="0" w:space="0" w:color="auto"/>
        <w:bottom w:val="none" w:sz="0" w:space="0" w:color="auto"/>
        <w:right w:val="none" w:sz="0" w:space="0" w:color="auto"/>
      </w:divBdr>
    </w:div>
    <w:div w:id="362096748">
      <w:bodyDiv w:val="1"/>
      <w:marLeft w:val="0"/>
      <w:marRight w:val="0"/>
      <w:marTop w:val="0"/>
      <w:marBottom w:val="0"/>
      <w:divBdr>
        <w:top w:val="none" w:sz="0" w:space="0" w:color="auto"/>
        <w:left w:val="none" w:sz="0" w:space="0" w:color="auto"/>
        <w:bottom w:val="none" w:sz="0" w:space="0" w:color="auto"/>
        <w:right w:val="none" w:sz="0" w:space="0" w:color="auto"/>
      </w:divBdr>
    </w:div>
    <w:div w:id="362563856">
      <w:bodyDiv w:val="1"/>
      <w:marLeft w:val="0"/>
      <w:marRight w:val="0"/>
      <w:marTop w:val="0"/>
      <w:marBottom w:val="0"/>
      <w:divBdr>
        <w:top w:val="none" w:sz="0" w:space="0" w:color="auto"/>
        <w:left w:val="none" w:sz="0" w:space="0" w:color="auto"/>
        <w:bottom w:val="none" w:sz="0" w:space="0" w:color="auto"/>
        <w:right w:val="none" w:sz="0" w:space="0" w:color="auto"/>
      </w:divBdr>
    </w:div>
    <w:div w:id="362705314">
      <w:bodyDiv w:val="1"/>
      <w:marLeft w:val="0"/>
      <w:marRight w:val="0"/>
      <w:marTop w:val="0"/>
      <w:marBottom w:val="0"/>
      <w:divBdr>
        <w:top w:val="none" w:sz="0" w:space="0" w:color="auto"/>
        <w:left w:val="none" w:sz="0" w:space="0" w:color="auto"/>
        <w:bottom w:val="none" w:sz="0" w:space="0" w:color="auto"/>
        <w:right w:val="none" w:sz="0" w:space="0" w:color="auto"/>
      </w:divBdr>
    </w:div>
    <w:div w:id="362946836">
      <w:bodyDiv w:val="1"/>
      <w:marLeft w:val="0"/>
      <w:marRight w:val="0"/>
      <w:marTop w:val="0"/>
      <w:marBottom w:val="0"/>
      <w:divBdr>
        <w:top w:val="none" w:sz="0" w:space="0" w:color="auto"/>
        <w:left w:val="none" w:sz="0" w:space="0" w:color="auto"/>
        <w:bottom w:val="none" w:sz="0" w:space="0" w:color="auto"/>
        <w:right w:val="none" w:sz="0" w:space="0" w:color="auto"/>
      </w:divBdr>
    </w:div>
    <w:div w:id="364259699">
      <w:bodyDiv w:val="1"/>
      <w:marLeft w:val="0"/>
      <w:marRight w:val="0"/>
      <w:marTop w:val="0"/>
      <w:marBottom w:val="0"/>
      <w:divBdr>
        <w:top w:val="none" w:sz="0" w:space="0" w:color="auto"/>
        <w:left w:val="none" w:sz="0" w:space="0" w:color="auto"/>
        <w:bottom w:val="none" w:sz="0" w:space="0" w:color="auto"/>
        <w:right w:val="none" w:sz="0" w:space="0" w:color="auto"/>
      </w:divBdr>
    </w:div>
    <w:div w:id="365059731">
      <w:bodyDiv w:val="1"/>
      <w:marLeft w:val="0"/>
      <w:marRight w:val="0"/>
      <w:marTop w:val="0"/>
      <w:marBottom w:val="0"/>
      <w:divBdr>
        <w:top w:val="none" w:sz="0" w:space="0" w:color="auto"/>
        <w:left w:val="none" w:sz="0" w:space="0" w:color="auto"/>
        <w:bottom w:val="none" w:sz="0" w:space="0" w:color="auto"/>
        <w:right w:val="none" w:sz="0" w:space="0" w:color="auto"/>
      </w:divBdr>
    </w:div>
    <w:div w:id="365255887">
      <w:bodyDiv w:val="1"/>
      <w:marLeft w:val="0"/>
      <w:marRight w:val="0"/>
      <w:marTop w:val="0"/>
      <w:marBottom w:val="0"/>
      <w:divBdr>
        <w:top w:val="none" w:sz="0" w:space="0" w:color="auto"/>
        <w:left w:val="none" w:sz="0" w:space="0" w:color="auto"/>
        <w:bottom w:val="none" w:sz="0" w:space="0" w:color="auto"/>
        <w:right w:val="none" w:sz="0" w:space="0" w:color="auto"/>
      </w:divBdr>
    </w:div>
    <w:div w:id="366103272">
      <w:bodyDiv w:val="1"/>
      <w:marLeft w:val="0"/>
      <w:marRight w:val="0"/>
      <w:marTop w:val="0"/>
      <w:marBottom w:val="0"/>
      <w:divBdr>
        <w:top w:val="none" w:sz="0" w:space="0" w:color="auto"/>
        <w:left w:val="none" w:sz="0" w:space="0" w:color="auto"/>
        <w:bottom w:val="none" w:sz="0" w:space="0" w:color="auto"/>
        <w:right w:val="none" w:sz="0" w:space="0" w:color="auto"/>
      </w:divBdr>
    </w:div>
    <w:div w:id="367536878">
      <w:bodyDiv w:val="1"/>
      <w:marLeft w:val="0"/>
      <w:marRight w:val="0"/>
      <w:marTop w:val="0"/>
      <w:marBottom w:val="0"/>
      <w:divBdr>
        <w:top w:val="none" w:sz="0" w:space="0" w:color="auto"/>
        <w:left w:val="none" w:sz="0" w:space="0" w:color="auto"/>
        <w:bottom w:val="none" w:sz="0" w:space="0" w:color="auto"/>
        <w:right w:val="none" w:sz="0" w:space="0" w:color="auto"/>
      </w:divBdr>
    </w:div>
    <w:div w:id="368802384">
      <w:bodyDiv w:val="1"/>
      <w:marLeft w:val="0"/>
      <w:marRight w:val="0"/>
      <w:marTop w:val="0"/>
      <w:marBottom w:val="0"/>
      <w:divBdr>
        <w:top w:val="none" w:sz="0" w:space="0" w:color="auto"/>
        <w:left w:val="none" w:sz="0" w:space="0" w:color="auto"/>
        <w:bottom w:val="none" w:sz="0" w:space="0" w:color="auto"/>
        <w:right w:val="none" w:sz="0" w:space="0" w:color="auto"/>
      </w:divBdr>
    </w:div>
    <w:div w:id="369458670">
      <w:bodyDiv w:val="1"/>
      <w:marLeft w:val="0"/>
      <w:marRight w:val="0"/>
      <w:marTop w:val="0"/>
      <w:marBottom w:val="0"/>
      <w:divBdr>
        <w:top w:val="none" w:sz="0" w:space="0" w:color="auto"/>
        <w:left w:val="none" w:sz="0" w:space="0" w:color="auto"/>
        <w:bottom w:val="none" w:sz="0" w:space="0" w:color="auto"/>
        <w:right w:val="none" w:sz="0" w:space="0" w:color="auto"/>
      </w:divBdr>
    </w:div>
    <w:div w:id="369916511">
      <w:bodyDiv w:val="1"/>
      <w:marLeft w:val="0"/>
      <w:marRight w:val="0"/>
      <w:marTop w:val="0"/>
      <w:marBottom w:val="0"/>
      <w:divBdr>
        <w:top w:val="none" w:sz="0" w:space="0" w:color="auto"/>
        <w:left w:val="none" w:sz="0" w:space="0" w:color="auto"/>
        <w:bottom w:val="none" w:sz="0" w:space="0" w:color="auto"/>
        <w:right w:val="none" w:sz="0" w:space="0" w:color="auto"/>
      </w:divBdr>
    </w:div>
    <w:div w:id="370228119">
      <w:bodyDiv w:val="1"/>
      <w:marLeft w:val="0"/>
      <w:marRight w:val="0"/>
      <w:marTop w:val="0"/>
      <w:marBottom w:val="0"/>
      <w:divBdr>
        <w:top w:val="none" w:sz="0" w:space="0" w:color="auto"/>
        <w:left w:val="none" w:sz="0" w:space="0" w:color="auto"/>
        <w:bottom w:val="none" w:sz="0" w:space="0" w:color="auto"/>
        <w:right w:val="none" w:sz="0" w:space="0" w:color="auto"/>
      </w:divBdr>
    </w:div>
    <w:div w:id="370305969">
      <w:bodyDiv w:val="1"/>
      <w:marLeft w:val="0"/>
      <w:marRight w:val="0"/>
      <w:marTop w:val="0"/>
      <w:marBottom w:val="0"/>
      <w:divBdr>
        <w:top w:val="none" w:sz="0" w:space="0" w:color="auto"/>
        <w:left w:val="none" w:sz="0" w:space="0" w:color="auto"/>
        <w:bottom w:val="none" w:sz="0" w:space="0" w:color="auto"/>
        <w:right w:val="none" w:sz="0" w:space="0" w:color="auto"/>
      </w:divBdr>
    </w:div>
    <w:div w:id="371419854">
      <w:bodyDiv w:val="1"/>
      <w:marLeft w:val="0"/>
      <w:marRight w:val="0"/>
      <w:marTop w:val="0"/>
      <w:marBottom w:val="0"/>
      <w:divBdr>
        <w:top w:val="none" w:sz="0" w:space="0" w:color="auto"/>
        <w:left w:val="none" w:sz="0" w:space="0" w:color="auto"/>
        <w:bottom w:val="none" w:sz="0" w:space="0" w:color="auto"/>
        <w:right w:val="none" w:sz="0" w:space="0" w:color="auto"/>
      </w:divBdr>
    </w:div>
    <w:div w:id="372199629">
      <w:bodyDiv w:val="1"/>
      <w:marLeft w:val="0"/>
      <w:marRight w:val="0"/>
      <w:marTop w:val="0"/>
      <w:marBottom w:val="0"/>
      <w:divBdr>
        <w:top w:val="none" w:sz="0" w:space="0" w:color="auto"/>
        <w:left w:val="none" w:sz="0" w:space="0" w:color="auto"/>
        <w:bottom w:val="none" w:sz="0" w:space="0" w:color="auto"/>
        <w:right w:val="none" w:sz="0" w:space="0" w:color="auto"/>
      </w:divBdr>
    </w:div>
    <w:div w:id="372735671">
      <w:bodyDiv w:val="1"/>
      <w:marLeft w:val="0"/>
      <w:marRight w:val="0"/>
      <w:marTop w:val="0"/>
      <w:marBottom w:val="0"/>
      <w:divBdr>
        <w:top w:val="none" w:sz="0" w:space="0" w:color="auto"/>
        <w:left w:val="none" w:sz="0" w:space="0" w:color="auto"/>
        <w:bottom w:val="none" w:sz="0" w:space="0" w:color="auto"/>
        <w:right w:val="none" w:sz="0" w:space="0" w:color="auto"/>
      </w:divBdr>
    </w:div>
    <w:div w:id="373701418">
      <w:bodyDiv w:val="1"/>
      <w:marLeft w:val="0"/>
      <w:marRight w:val="0"/>
      <w:marTop w:val="0"/>
      <w:marBottom w:val="0"/>
      <w:divBdr>
        <w:top w:val="none" w:sz="0" w:space="0" w:color="auto"/>
        <w:left w:val="none" w:sz="0" w:space="0" w:color="auto"/>
        <w:bottom w:val="none" w:sz="0" w:space="0" w:color="auto"/>
        <w:right w:val="none" w:sz="0" w:space="0" w:color="auto"/>
      </w:divBdr>
    </w:div>
    <w:div w:id="373966876">
      <w:bodyDiv w:val="1"/>
      <w:marLeft w:val="0"/>
      <w:marRight w:val="0"/>
      <w:marTop w:val="0"/>
      <w:marBottom w:val="0"/>
      <w:divBdr>
        <w:top w:val="none" w:sz="0" w:space="0" w:color="auto"/>
        <w:left w:val="none" w:sz="0" w:space="0" w:color="auto"/>
        <w:bottom w:val="none" w:sz="0" w:space="0" w:color="auto"/>
        <w:right w:val="none" w:sz="0" w:space="0" w:color="auto"/>
      </w:divBdr>
    </w:div>
    <w:div w:id="374475953">
      <w:bodyDiv w:val="1"/>
      <w:marLeft w:val="0"/>
      <w:marRight w:val="0"/>
      <w:marTop w:val="0"/>
      <w:marBottom w:val="0"/>
      <w:divBdr>
        <w:top w:val="none" w:sz="0" w:space="0" w:color="auto"/>
        <w:left w:val="none" w:sz="0" w:space="0" w:color="auto"/>
        <w:bottom w:val="none" w:sz="0" w:space="0" w:color="auto"/>
        <w:right w:val="none" w:sz="0" w:space="0" w:color="auto"/>
      </w:divBdr>
    </w:div>
    <w:div w:id="375276101">
      <w:bodyDiv w:val="1"/>
      <w:marLeft w:val="0"/>
      <w:marRight w:val="0"/>
      <w:marTop w:val="0"/>
      <w:marBottom w:val="0"/>
      <w:divBdr>
        <w:top w:val="none" w:sz="0" w:space="0" w:color="auto"/>
        <w:left w:val="none" w:sz="0" w:space="0" w:color="auto"/>
        <w:bottom w:val="none" w:sz="0" w:space="0" w:color="auto"/>
        <w:right w:val="none" w:sz="0" w:space="0" w:color="auto"/>
      </w:divBdr>
    </w:div>
    <w:div w:id="375398259">
      <w:bodyDiv w:val="1"/>
      <w:marLeft w:val="0"/>
      <w:marRight w:val="0"/>
      <w:marTop w:val="0"/>
      <w:marBottom w:val="0"/>
      <w:divBdr>
        <w:top w:val="none" w:sz="0" w:space="0" w:color="auto"/>
        <w:left w:val="none" w:sz="0" w:space="0" w:color="auto"/>
        <w:bottom w:val="none" w:sz="0" w:space="0" w:color="auto"/>
        <w:right w:val="none" w:sz="0" w:space="0" w:color="auto"/>
      </w:divBdr>
    </w:div>
    <w:div w:id="375549981">
      <w:bodyDiv w:val="1"/>
      <w:marLeft w:val="0"/>
      <w:marRight w:val="0"/>
      <w:marTop w:val="0"/>
      <w:marBottom w:val="0"/>
      <w:divBdr>
        <w:top w:val="none" w:sz="0" w:space="0" w:color="auto"/>
        <w:left w:val="none" w:sz="0" w:space="0" w:color="auto"/>
        <w:bottom w:val="none" w:sz="0" w:space="0" w:color="auto"/>
        <w:right w:val="none" w:sz="0" w:space="0" w:color="auto"/>
      </w:divBdr>
    </w:div>
    <w:div w:id="376316435">
      <w:bodyDiv w:val="1"/>
      <w:marLeft w:val="0"/>
      <w:marRight w:val="0"/>
      <w:marTop w:val="0"/>
      <w:marBottom w:val="0"/>
      <w:divBdr>
        <w:top w:val="none" w:sz="0" w:space="0" w:color="auto"/>
        <w:left w:val="none" w:sz="0" w:space="0" w:color="auto"/>
        <w:bottom w:val="none" w:sz="0" w:space="0" w:color="auto"/>
        <w:right w:val="none" w:sz="0" w:space="0" w:color="auto"/>
      </w:divBdr>
    </w:div>
    <w:div w:id="376974863">
      <w:bodyDiv w:val="1"/>
      <w:marLeft w:val="0"/>
      <w:marRight w:val="0"/>
      <w:marTop w:val="0"/>
      <w:marBottom w:val="0"/>
      <w:divBdr>
        <w:top w:val="none" w:sz="0" w:space="0" w:color="auto"/>
        <w:left w:val="none" w:sz="0" w:space="0" w:color="auto"/>
        <w:bottom w:val="none" w:sz="0" w:space="0" w:color="auto"/>
        <w:right w:val="none" w:sz="0" w:space="0" w:color="auto"/>
      </w:divBdr>
    </w:div>
    <w:div w:id="377701525">
      <w:bodyDiv w:val="1"/>
      <w:marLeft w:val="0"/>
      <w:marRight w:val="0"/>
      <w:marTop w:val="0"/>
      <w:marBottom w:val="0"/>
      <w:divBdr>
        <w:top w:val="none" w:sz="0" w:space="0" w:color="auto"/>
        <w:left w:val="none" w:sz="0" w:space="0" w:color="auto"/>
        <w:bottom w:val="none" w:sz="0" w:space="0" w:color="auto"/>
        <w:right w:val="none" w:sz="0" w:space="0" w:color="auto"/>
      </w:divBdr>
    </w:div>
    <w:div w:id="378481324">
      <w:bodyDiv w:val="1"/>
      <w:marLeft w:val="0"/>
      <w:marRight w:val="0"/>
      <w:marTop w:val="0"/>
      <w:marBottom w:val="0"/>
      <w:divBdr>
        <w:top w:val="none" w:sz="0" w:space="0" w:color="auto"/>
        <w:left w:val="none" w:sz="0" w:space="0" w:color="auto"/>
        <w:bottom w:val="none" w:sz="0" w:space="0" w:color="auto"/>
        <w:right w:val="none" w:sz="0" w:space="0" w:color="auto"/>
      </w:divBdr>
    </w:div>
    <w:div w:id="378676221">
      <w:bodyDiv w:val="1"/>
      <w:marLeft w:val="0"/>
      <w:marRight w:val="0"/>
      <w:marTop w:val="0"/>
      <w:marBottom w:val="0"/>
      <w:divBdr>
        <w:top w:val="none" w:sz="0" w:space="0" w:color="auto"/>
        <w:left w:val="none" w:sz="0" w:space="0" w:color="auto"/>
        <w:bottom w:val="none" w:sz="0" w:space="0" w:color="auto"/>
        <w:right w:val="none" w:sz="0" w:space="0" w:color="auto"/>
      </w:divBdr>
    </w:div>
    <w:div w:id="378821068">
      <w:bodyDiv w:val="1"/>
      <w:marLeft w:val="0"/>
      <w:marRight w:val="0"/>
      <w:marTop w:val="0"/>
      <w:marBottom w:val="0"/>
      <w:divBdr>
        <w:top w:val="none" w:sz="0" w:space="0" w:color="auto"/>
        <w:left w:val="none" w:sz="0" w:space="0" w:color="auto"/>
        <w:bottom w:val="none" w:sz="0" w:space="0" w:color="auto"/>
        <w:right w:val="none" w:sz="0" w:space="0" w:color="auto"/>
      </w:divBdr>
    </w:div>
    <w:div w:id="380793328">
      <w:bodyDiv w:val="1"/>
      <w:marLeft w:val="0"/>
      <w:marRight w:val="0"/>
      <w:marTop w:val="0"/>
      <w:marBottom w:val="0"/>
      <w:divBdr>
        <w:top w:val="none" w:sz="0" w:space="0" w:color="auto"/>
        <w:left w:val="none" w:sz="0" w:space="0" w:color="auto"/>
        <w:bottom w:val="none" w:sz="0" w:space="0" w:color="auto"/>
        <w:right w:val="none" w:sz="0" w:space="0" w:color="auto"/>
      </w:divBdr>
    </w:div>
    <w:div w:id="381176946">
      <w:bodyDiv w:val="1"/>
      <w:marLeft w:val="0"/>
      <w:marRight w:val="0"/>
      <w:marTop w:val="0"/>
      <w:marBottom w:val="0"/>
      <w:divBdr>
        <w:top w:val="none" w:sz="0" w:space="0" w:color="auto"/>
        <w:left w:val="none" w:sz="0" w:space="0" w:color="auto"/>
        <w:bottom w:val="none" w:sz="0" w:space="0" w:color="auto"/>
        <w:right w:val="none" w:sz="0" w:space="0" w:color="auto"/>
      </w:divBdr>
    </w:div>
    <w:div w:id="382220937">
      <w:bodyDiv w:val="1"/>
      <w:marLeft w:val="0"/>
      <w:marRight w:val="0"/>
      <w:marTop w:val="0"/>
      <w:marBottom w:val="0"/>
      <w:divBdr>
        <w:top w:val="none" w:sz="0" w:space="0" w:color="auto"/>
        <w:left w:val="none" w:sz="0" w:space="0" w:color="auto"/>
        <w:bottom w:val="none" w:sz="0" w:space="0" w:color="auto"/>
        <w:right w:val="none" w:sz="0" w:space="0" w:color="auto"/>
      </w:divBdr>
    </w:div>
    <w:div w:id="382564261">
      <w:bodyDiv w:val="1"/>
      <w:marLeft w:val="0"/>
      <w:marRight w:val="0"/>
      <w:marTop w:val="0"/>
      <w:marBottom w:val="0"/>
      <w:divBdr>
        <w:top w:val="none" w:sz="0" w:space="0" w:color="auto"/>
        <w:left w:val="none" w:sz="0" w:space="0" w:color="auto"/>
        <w:bottom w:val="none" w:sz="0" w:space="0" w:color="auto"/>
        <w:right w:val="none" w:sz="0" w:space="0" w:color="auto"/>
      </w:divBdr>
    </w:div>
    <w:div w:id="382827419">
      <w:bodyDiv w:val="1"/>
      <w:marLeft w:val="0"/>
      <w:marRight w:val="0"/>
      <w:marTop w:val="0"/>
      <w:marBottom w:val="0"/>
      <w:divBdr>
        <w:top w:val="none" w:sz="0" w:space="0" w:color="auto"/>
        <w:left w:val="none" w:sz="0" w:space="0" w:color="auto"/>
        <w:bottom w:val="none" w:sz="0" w:space="0" w:color="auto"/>
        <w:right w:val="none" w:sz="0" w:space="0" w:color="auto"/>
      </w:divBdr>
    </w:div>
    <w:div w:id="383721498">
      <w:bodyDiv w:val="1"/>
      <w:marLeft w:val="0"/>
      <w:marRight w:val="0"/>
      <w:marTop w:val="0"/>
      <w:marBottom w:val="0"/>
      <w:divBdr>
        <w:top w:val="none" w:sz="0" w:space="0" w:color="auto"/>
        <w:left w:val="none" w:sz="0" w:space="0" w:color="auto"/>
        <w:bottom w:val="none" w:sz="0" w:space="0" w:color="auto"/>
        <w:right w:val="none" w:sz="0" w:space="0" w:color="auto"/>
      </w:divBdr>
    </w:div>
    <w:div w:id="386072837">
      <w:bodyDiv w:val="1"/>
      <w:marLeft w:val="0"/>
      <w:marRight w:val="0"/>
      <w:marTop w:val="0"/>
      <w:marBottom w:val="0"/>
      <w:divBdr>
        <w:top w:val="none" w:sz="0" w:space="0" w:color="auto"/>
        <w:left w:val="none" w:sz="0" w:space="0" w:color="auto"/>
        <w:bottom w:val="none" w:sz="0" w:space="0" w:color="auto"/>
        <w:right w:val="none" w:sz="0" w:space="0" w:color="auto"/>
      </w:divBdr>
    </w:div>
    <w:div w:id="386733300">
      <w:bodyDiv w:val="1"/>
      <w:marLeft w:val="0"/>
      <w:marRight w:val="0"/>
      <w:marTop w:val="0"/>
      <w:marBottom w:val="0"/>
      <w:divBdr>
        <w:top w:val="none" w:sz="0" w:space="0" w:color="auto"/>
        <w:left w:val="none" w:sz="0" w:space="0" w:color="auto"/>
        <w:bottom w:val="none" w:sz="0" w:space="0" w:color="auto"/>
        <w:right w:val="none" w:sz="0" w:space="0" w:color="auto"/>
      </w:divBdr>
    </w:div>
    <w:div w:id="387261405">
      <w:bodyDiv w:val="1"/>
      <w:marLeft w:val="0"/>
      <w:marRight w:val="0"/>
      <w:marTop w:val="0"/>
      <w:marBottom w:val="0"/>
      <w:divBdr>
        <w:top w:val="none" w:sz="0" w:space="0" w:color="auto"/>
        <w:left w:val="none" w:sz="0" w:space="0" w:color="auto"/>
        <w:bottom w:val="none" w:sz="0" w:space="0" w:color="auto"/>
        <w:right w:val="none" w:sz="0" w:space="0" w:color="auto"/>
      </w:divBdr>
    </w:div>
    <w:div w:id="387383541">
      <w:bodyDiv w:val="1"/>
      <w:marLeft w:val="0"/>
      <w:marRight w:val="0"/>
      <w:marTop w:val="0"/>
      <w:marBottom w:val="0"/>
      <w:divBdr>
        <w:top w:val="none" w:sz="0" w:space="0" w:color="auto"/>
        <w:left w:val="none" w:sz="0" w:space="0" w:color="auto"/>
        <w:bottom w:val="none" w:sz="0" w:space="0" w:color="auto"/>
        <w:right w:val="none" w:sz="0" w:space="0" w:color="auto"/>
      </w:divBdr>
    </w:div>
    <w:div w:id="388967528">
      <w:bodyDiv w:val="1"/>
      <w:marLeft w:val="0"/>
      <w:marRight w:val="0"/>
      <w:marTop w:val="0"/>
      <w:marBottom w:val="0"/>
      <w:divBdr>
        <w:top w:val="none" w:sz="0" w:space="0" w:color="auto"/>
        <w:left w:val="none" w:sz="0" w:space="0" w:color="auto"/>
        <w:bottom w:val="none" w:sz="0" w:space="0" w:color="auto"/>
        <w:right w:val="none" w:sz="0" w:space="0" w:color="auto"/>
      </w:divBdr>
    </w:div>
    <w:div w:id="389232554">
      <w:bodyDiv w:val="1"/>
      <w:marLeft w:val="0"/>
      <w:marRight w:val="0"/>
      <w:marTop w:val="0"/>
      <w:marBottom w:val="0"/>
      <w:divBdr>
        <w:top w:val="none" w:sz="0" w:space="0" w:color="auto"/>
        <w:left w:val="none" w:sz="0" w:space="0" w:color="auto"/>
        <w:bottom w:val="none" w:sz="0" w:space="0" w:color="auto"/>
        <w:right w:val="none" w:sz="0" w:space="0" w:color="auto"/>
      </w:divBdr>
    </w:div>
    <w:div w:id="390622094">
      <w:bodyDiv w:val="1"/>
      <w:marLeft w:val="0"/>
      <w:marRight w:val="0"/>
      <w:marTop w:val="0"/>
      <w:marBottom w:val="0"/>
      <w:divBdr>
        <w:top w:val="none" w:sz="0" w:space="0" w:color="auto"/>
        <w:left w:val="none" w:sz="0" w:space="0" w:color="auto"/>
        <w:bottom w:val="none" w:sz="0" w:space="0" w:color="auto"/>
        <w:right w:val="none" w:sz="0" w:space="0" w:color="auto"/>
      </w:divBdr>
    </w:div>
    <w:div w:id="391004336">
      <w:bodyDiv w:val="1"/>
      <w:marLeft w:val="0"/>
      <w:marRight w:val="0"/>
      <w:marTop w:val="0"/>
      <w:marBottom w:val="0"/>
      <w:divBdr>
        <w:top w:val="none" w:sz="0" w:space="0" w:color="auto"/>
        <w:left w:val="none" w:sz="0" w:space="0" w:color="auto"/>
        <w:bottom w:val="none" w:sz="0" w:space="0" w:color="auto"/>
        <w:right w:val="none" w:sz="0" w:space="0" w:color="auto"/>
      </w:divBdr>
    </w:div>
    <w:div w:id="391193927">
      <w:bodyDiv w:val="1"/>
      <w:marLeft w:val="0"/>
      <w:marRight w:val="0"/>
      <w:marTop w:val="0"/>
      <w:marBottom w:val="0"/>
      <w:divBdr>
        <w:top w:val="none" w:sz="0" w:space="0" w:color="auto"/>
        <w:left w:val="none" w:sz="0" w:space="0" w:color="auto"/>
        <w:bottom w:val="none" w:sz="0" w:space="0" w:color="auto"/>
        <w:right w:val="none" w:sz="0" w:space="0" w:color="auto"/>
      </w:divBdr>
    </w:div>
    <w:div w:id="393042306">
      <w:bodyDiv w:val="1"/>
      <w:marLeft w:val="0"/>
      <w:marRight w:val="0"/>
      <w:marTop w:val="0"/>
      <w:marBottom w:val="0"/>
      <w:divBdr>
        <w:top w:val="none" w:sz="0" w:space="0" w:color="auto"/>
        <w:left w:val="none" w:sz="0" w:space="0" w:color="auto"/>
        <w:bottom w:val="none" w:sz="0" w:space="0" w:color="auto"/>
        <w:right w:val="none" w:sz="0" w:space="0" w:color="auto"/>
      </w:divBdr>
    </w:div>
    <w:div w:id="393042397">
      <w:bodyDiv w:val="1"/>
      <w:marLeft w:val="0"/>
      <w:marRight w:val="0"/>
      <w:marTop w:val="0"/>
      <w:marBottom w:val="0"/>
      <w:divBdr>
        <w:top w:val="none" w:sz="0" w:space="0" w:color="auto"/>
        <w:left w:val="none" w:sz="0" w:space="0" w:color="auto"/>
        <w:bottom w:val="none" w:sz="0" w:space="0" w:color="auto"/>
        <w:right w:val="none" w:sz="0" w:space="0" w:color="auto"/>
      </w:divBdr>
    </w:div>
    <w:div w:id="393165833">
      <w:bodyDiv w:val="1"/>
      <w:marLeft w:val="0"/>
      <w:marRight w:val="0"/>
      <w:marTop w:val="0"/>
      <w:marBottom w:val="0"/>
      <w:divBdr>
        <w:top w:val="none" w:sz="0" w:space="0" w:color="auto"/>
        <w:left w:val="none" w:sz="0" w:space="0" w:color="auto"/>
        <w:bottom w:val="none" w:sz="0" w:space="0" w:color="auto"/>
        <w:right w:val="none" w:sz="0" w:space="0" w:color="auto"/>
      </w:divBdr>
    </w:div>
    <w:div w:id="393629049">
      <w:bodyDiv w:val="1"/>
      <w:marLeft w:val="0"/>
      <w:marRight w:val="0"/>
      <w:marTop w:val="0"/>
      <w:marBottom w:val="0"/>
      <w:divBdr>
        <w:top w:val="none" w:sz="0" w:space="0" w:color="auto"/>
        <w:left w:val="none" w:sz="0" w:space="0" w:color="auto"/>
        <w:bottom w:val="none" w:sz="0" w:space="0" w:color="auto"/>
        <w:right w:val="none" w:sz="0" w:space="0" w:color="auto"/>
      </w:divBdr>
    </w:div>
    <w:div w:id="394398618">
      <w:bodyDiv w:val="1"/>
      <w:marLeft w:val="0"/>
      <w:marRight w:val="0"/>
      <w:marTop w:val="0"/>
      <w:marBottom w:val="0"/>
      <w:divBdr>
        <w:top w:val="none" w:sz="0" w:space="0" w:color="auto"/>
        <w:left w:val="none" w:sz="0" w:space="0" w:color="auto"/>
        <w:bottom w:val="none" w:sz="0" w:space="0" w:color="auto"/>
        <w:right w:val="none" w:sz="0" w:space="0" w:color="auto"/>
      </w:divBdr>
    </w:div>
    <w:div w:id="395321514">
      <w:bodyDiv w:val="1"/>
      <w:marLeft w:val="0"/>
      <w:marRight w:val="0"/>
      <w:marTop w:val="0"/>
      <w:marBottom w:val="0"/>
      <w:divBdr>
        <w:top w:val="none" w:sz="0" w:space="0" w:color="auto"/>
        <w:left w:val="none" w:sz="0" w:space="0" w:color="auto"/>
        <w:bottom w:val="none" w:sz="0" w:space="0" w:color="auto"/>
        <w:right w:val="none" w:sz="0" w:space="0" w:color="auto"/>
      </w:divBdr>
    </w:div>
    <w:div w:id="395516442">
      <w:bodyDiv w:val="1"/>
      <w:marLeft w:val="0"/>
      <w:marRight w:val="0"/>
      <w:marTop w:val="0"/>
      <w:marBottom w:val="0"/>
      <w:divBdr>
        <w:top w:val="none" w:sz="0" w:space="0" w:color="auto"/>
        <w:left w:val="none" w:sz="0" w:space="0" w:color="auto"/>
        <w:bottom w:val="none" w:sz="0" w:space="0" w:color="auto"/>
        <w:right w:val="none" w:sz="0" w:space="0" w:color="auto"/>
      </w:divBdr>
    </w:div>
    <w:div w:id="396124832">
      <w:bodyDiv w:val="1"/>
      <w:marLeft w:val="0"/>
      <w:marRight w:val="0"/>
      <w:marTop w:val="0"/>
      <w:marBottom w:val="0"/>
      <w:divBdr>
        <w:top w:val="none" w:sz="0" w:space="0" w:color="auto"/>
        <w:left w:val="none" w:sz="0" w:space="0" w:color="auto"/>
        <w:bottom w:val="none" w:sz="0" w:space="0" w:color="auto"/>
        <w:right w:val="none" w:sz="0" w:space="0" w:color="auto"/>
      </w:divBdr>
    </w:div>
    <w:div w:id="396588499">
      <w:bodyDiv w:val="1"/>
      <w:marLeft w:val="0"/>
      <w:marRight w:val="0"/>
      <w:marTop w:val="0"/>
      <w:marBottom w:val="0"/>
      <w:divBdr>
        <w:top w:val="none" w:sz="0" w:space="0" w:color="auto"/>
        <w:left w:val="none" w:sz="0" w:space="0" w:color="auto"/>
        <w:bottom w:val="none" w:sz="0" w:space="0" w:color="auto"/>
        <w:right w:val="none" w:sz="0" w:space="0" w:color="auto"/>
      </w:divBdr>
    </w:div>
    <w:div w:id="397830036">
      <w:bodyDiv w:val="1"/>
      <w:marLeft w:val="0"/>
      <w:marRight w:val="0"/>
      <w:marTop w:val="0"/>
      <w:marBottom w:val="0"/>
      <w:divBdr>
        <w:top w:val="none" w:sz="0" w:space="0" w:color="auto"/>
        <w:left w:val="none" w:sz="0" w:space="0" w:color="auto"/>
        <w:bottom w:val="none" w:sz="0" w:space="0" w:color="auto"/>
        <w:right w:val="none" w:sz="0" w:space="0" w:color="auto"/>
      </w:divBdr>
    </w:div>
    <w:div w:id="398214483">
      <w:bodyDiv w:val="1"/>
      <w:marLeft w:val="0"/>
      <w:marRight w:val="0"/>
      <w:marTop w:val="0"/>
      <w:marBottom w:val="0"/>
      <w:divBdr>
        <w:top w:val="none" w:sz="0" w:space="0" w:color="auto"/>
        <w:left w:val="none" w:sz="0" w:space="0" w:color="auto"/>
        <w:bottom w:val="none" w:sz="0" w:space="0" w:color="auto"/>
        <w:right w:val="none" w:sz="0" w:space="0" w:color="auto"/>
      </w:divBdr>
    </w:div>
    <w:div w:id="398330047">
      <w:bodyDiv w:val="1"/>
      <w:marLeft w:val="0"/>
      <w:marRight w:val="0"/>
      <w:marTop w:val="0"/>
      <w:marBottom w:val="0"/>
      <w:divBdr>
        <w:top w:val="none" w:sz="0" w:space="0" w:color="auto"/>
        <w:left w:val="none" w:sz="0" w:space="0" w:color="auto"/>
        <w:bottom w:val="none" w:sz="0" w:space="0" w:color="auto"/>
        <w:right w:val="none" w:sz="0" w:space="0" w:color="auto"/>
      </w:divBdr>
    </w:div>
    <w:div w:id="399181741">
      <w:bodyDiv w:val="1"/>
      <w:marLeft w:val="0"/>
      <w:marRight w:val="0"/>
      <w:marTop w:val="0"/>
      <w:marBottom w:val="0"/>
      <w:divBdr>
        <w:top w:val="none" w:sz="0" w:space="0" w:color="auto"/>
        <w:left w:val="none" w:sz="0" w:space="0" w:color="auto"/>
        <w:bottom w:val="none" w:sz="0" w:space="0" w:color="auto"/>
        <w:right w:val="none" w:sz="0" w:space="0" w:color="auto"/>
      </w:divBdr>
    </w:div>
    <w:div w:id="399333993">
      <w:bodyDiv w:val="1"/>
      <w:marLeft w:val="0"/>
      <w:marRight w:val="0"/>
      <w:marTop w:val="0"/>
      <w:marBottom w:val="0"/>
      <w:divBdr>
        <w:top w:val="none" w:sz="0" w:space="0" w:color="auto"/>
        <w:left w:val="none" w:sz="0" w:space="0" w:color="auto"/>
        <w:bottom w:val="none" w:sz="0" w:space="0" w:color="auto"/>
        <w:right w:val="none" w:sz="0" w:space="0" w:color="auto"/>
      </w:divBdr>
    </w:div>
    <w:div w:id="399522261">
      <w:bodyDiv w:val="1"/>
      <w:marLeft w:val="0"/>
      <w:marRight w:val="0"/>
      <w:marTop w:val="0"/>
      <w:marBottom w:val="0"/>
      <w:divBdr>
        <w:top w:val="none" w:sz="0" w:space="0" w:color="auto"/>
        <w:left w:val="none" w:sz="0" w:space="0" w:color="auto"/>
        <w:bottom w:val="none" w:sz="0" w:space="0" w:color="auto"/>
        <w:right w:val="none" w:sz="0" w:space="0" w:color="auto"/>
      </w:divBdr>
    </w:div>
    <w:div w:id="400298919">
      <w:bodyDiv w:val="1"/>
      <w:marLeft w:val="0"/>
      <w:marRight w:val="0"/>
      <w:marTop w:val="0"/>
      <w:marBottom w:val="0"/>
      <w:divBdr>
        <w:top w:val="none" w:sz="0" w:space="0" w:color="auto"/>
        <w:left w:val="none" w:sz="0" w:space="0" w:color="auto"/>
        <w:bottom w:val="none" w:sz="0" w:space="0" w:color="auto"/>
        <w:right w:val="none" w:sz="0" w:space="0" w:color="auto"/>
      </w:divBdr>
    </w:div>
    <w:div w:id="402459679">
      <w:bodyDiv w:val="1"/>
      <w:marLeft w:val="0"/>
      <w:marRight w:val="0"/>
      <w:marTop w:val="0"/>
      <w:marBottom w:val="0"/>
      <w:divBdr>
        <w:top w:val="none" w:sz="0" w:space="0" w:color="auto"/>
        <w:left w:val="none" w:sz="0" w:space="0" w:color="auto"/>
        <w:bottom w:val="none" w:sz="0" w:space="0" w:color="auto"/>
        <w:right w:val="none" w:sz="0" w:space="0" w:color="auto"/>
      </w:divBdr>
    </w:div>
    <w:div w:id="403070118">
      <w:bodyDiv w:val="1"/>
      <w:marLeft w:val="0"/>
      <w:marRight w:val="0"/>
      <w:marTop w:val="0"/>
      <w:marBottom w:val="0"/>
      <w:divBdr>
        <w:top w:val="none" w:sz="0" w:space="0" w:color="auto"/>
        <w:left w:val="none" w:sz="0" w:space="0" w:color="auto"/>
        <w:bottom w:val="none" w:sz="0" w:space="0" w:color="auto"/>
        <w:right w:val="none" w:sz="0" w:space="0" w:color="auto"/>
      </w:divBdr>
    </w:div>
    <w:div w:id="404498211">
      <w:bodyDiv w:val="1"/>
      <w:marLeft w:val="0"/>
      <w:marRight w:val="0"/>
      <w:marTop w:val="0"/>
      <w:marBottom w:val="0"/>
      <w:divBdr>
        <w:top w:val="none" w:sz="0" w:space="0" w:color="auto"/>
        <w:left w:val="none" w:sz="0" w:space="0" w:color="auto"/>
        <w:bottom w:val="none" w:sz="0" w:space="0" w:color="auto"/>
        <w:right w:val="none" w:sz="0" w:space="0" w:color="auto"/>
      </w:divBdr>
    </w:div>
    <w:div w:id="404500759">
      <w:bodyDiv w:val="1"/>
      <w:marLeft w:val="0"/>
      <w:marRight w:val="0"/>
      <w:marTop w:val="0"/>
      <w:marBottom w:val="0"/>
      <w:divBdr>
        <w:top w:val="none" w:sz="0" w:space="0" w:color="auto"/>
        <w:left w:val="none" w:sz="0" w:space="0" w:color="auto"/>
        <w:bottom w:val="none" w:sz="0" w:space="0" w:color="auto"/>
        <w:right w:val="none" w:sz="0" w:space="0" w:color="auto"/>
      </w:divBdr>
    </w:div>
    <w:div w:id="404690665">
      <w:bodyDiv w:val="1"/>
      <w:marLeft w:val="0"/>
      <w:marRight w:val="0"/>
      <w:marTop w:val="0"/>
      <w:marBottom w:val="0"/>
      <w:divBdr>
        <w:top w:val="none" w:sz="0" w:space="0" w:color="auto"/>
        <w:left w:val="none" w:sz="0" w:space="0" w:color="auto"/>
        <w:bottom w:val="none" w:sz="0" w:space="0" w:color="auto"/>
        <w:right w:val="none" w:sz="0" w:space="0" w:color="auto"/>
      </w:divBdr>
    </w:div>
    <w:div w:id="404884517">
      <w:bodyDiv w:val="1"/>
      <w:marLeft w:val="0"/>
      <w:marRight w:val="0"/>
      <w:marTop w:val="0"/>
      <w:marBottom w:val="0"/>
      <w:divBdr>
        <w:top w:val="none" w:sz="0" w:space="0" w:color="auto"/>
        <w:left w:val="none" w:sz="0" w:space="0" w:color="auto"/>
        <w:bottom w:val="none" w:sz="0" w:space="0" w:color="auto"/>
        <w:right w:val="none" w:sz="0" w:space="0" w:color="auto"/>
      </w:divBdr>
    </w:div>
    <w:div w:id="405346137">
      <w:bodyDiv w:val="1"/>
      <w:marLeft w:val="0"/>
      <w:marRight w:val="0"/>
      <w:marTop w:val="0"/>
      <w:marBottom w:val="0"/>
      <w:divBdr>
        <w:top w:val="none" w:sz="0" w:space="0" w:color="auto"/>
        <w:left w:val="none" w:sz="0" w:space="0" w:color="auto"/>
        <w:bottom w:val="none" w:sz="0" w:space="0" w:color="auto"/>
        <w:right w:val="none" w:sz="0" w:space="0" w:color="auto"/>
      </w:divBdr>
    </w:div>
    <w:div w:id="405958179">
      <w:bodyDiv w:val="1"/>
      <w:marLeft w:val="0"/>
      <w:marRight w:val="0"/>
      <w:marTop w:val="0"/>
      <w:marBottom w:val="0"/>
      <w:divBdr>
        <w:top w:val="none" w:sz="0" w:space="0" w:color="auto"/>
        <w:left w:val="none" w:sz="0" w:space="0" w:color="auto"/>
        <w:bottom w:val="none" w:sz="0" w:space="0" w:color="auto"/>
        <w:right w:val="none" w:sz="0" w:space="0" w:color="auto"/>
      </w:divBdr>
    </w:div>
    <w:div w:id="406078835">
      <w:bodyDiv w:val="1"/>
      <w:marLeft w:val="0"/>
      <w:marRight w:val="0"/>
      <w:marTop w:val="0"/>
      <w:marBottom w:val="0"/>
      <w:divBdr>
        <w:top w:val="none" w:sz="0" w:space="0" w:color="auto"/>
        <w:left w:val="none" w:sz="0" w:space="0" w:color="auto"/>
        <w:bottom w:val="none" w:sz="0" w:space="0" w:color="auto"/>
        <w:right w:val="none" w:sz="0" w:space="0" w:color="auto"/>
      </w:divBdr>
    </w:div>
    <w:div w:id="406541283">
      <w:bodyDiv w:val="1"/>
      <w:marLeft w:val="0"/>
      <w:marRight w:val="0"/>
      <w:marTop w:val="0"/>
      <w:marBottom w:val="0"/>
      <w:divBdr>
        <w:top w:val="none" w:sz="0" w:space="0" w:color="auto"/>
        <w:left w:val="none" w:sz="0" w:space="0" w:color="auto"/>
        <w:bottom w:val="none" w:sz="0" w:space="0" w:color="auto"/>
        <w:right w:val="none" w:sz="0" w:space="0" w:color="auto"/>
      </w:divBdr>
    </w:div>
    <w:div w:id="408041102">
      <w:bodyDiv w:val="1"/>
      <w:marLeft w:val="0"/>
      <w:marRight w:val="0"/>
      <w:marTop w:val="0"/>
      <w:marBottom w:val="0"/>
      <w:divBdr>
        <w:top w:val="none" w:sz="0" w:space="0" w:color="auto"/>
        <w:left w:val="none" w:sz="0" w:space="0" w:color="auto"/>
        <w:bottom w:val="none" w:sz="0" w:space="0" w:color="auto"/>
        <w:right w:val="none" w:sz="0" w:space="0" w:color="auto"/>
      </w:divBdr>
    </w:div>
    <w:div w:id="411199147">
      <w:bodyDiv w:val="1"/>
      <w:marLeft w:val="0"/>
      <w:marRight w:val="0"/>
      <w:marTop w:val="0"/>
      <w:marBottom w:val="0"/>
      <w:divBdr>
        <w:top w:val="none" w:sz="0" w:space="0" w:color="auto"/>
        <w:left w:val="none" w:sz="0" w:space="0" w:color="auto"/>
        <w:bottom w:val="none" w:sz="0" w:space="0" w:color="auto"/>
        <w:right w:val="none" w:sz="0" w:space="0" w:color="auto"/>
      </w:divBdr>
    </w:div>
    <w:div w:id="411659652">
      <w:bodyDiv w:val="1"/>
      <w:marLeft w:val="0"/>
      <w:marRight w:val="0"/>
      <w:marTop w:val="0"/>
      <w:marBottom w:val="0"/>
      <w:divBdr>
        <w:top w:val="none" w:sz="0" w:space="0" w:color="auto"/>
        <w:left w:val="none" w:sz="0" w:space="0" w:color="auto"/>
        <w:bottom w:val="none" w:sz="0" w:space="0" w:color="auto"/>
        <w:right w:val="none" w:sz="0" w:space="0" w:color="auto"/>
      </w:divBdr>
    </w:div>
    <w:div w:id="413403500">
      <w:bodyDiv w:val="1"/>
      <w:marLeft w:val="0"/>
      <w:marRight w:val="0"/>
      <w:marTop w:val="0"/>
      <w:marBottom w:val="0"/>
      <w:divBdr>
        <w:top w:val="none" w:sz="0" w:space="0" w:color="auto"/>
        <w:left w:val="none" w:sz="0" w:space="0" w:color="auto"/>
        <w:bottom w:val="none" w:sz="0" w:space="0" w:color="auto"/>
        <w:right w:val="none" w:sz="0" w:space="0" w:color="auto"/>
      </w:divBdr>
    </w:div>
    <w:div w:id="413747744">
      <w:bodyDiv w:val="1"/>
      <w:marLeft w:val="0"/>
      <w:marRight w:val="0"/>
      <w:marTop w:val="0"/>
      <w:marBottom w:val="0"/>
      <w:divBdr>
        <w:top w:val="none" w:sz="0" w:space="0" w:color="auto"/>
        <w:left w:val="none" w:sz="0" w:space="0" w:color="auto"/>
        <w:bottom w:val="none" w:sz="0" w:space="0" w:color="auto"/>
        <w:right w:val="none" w:sz="0" w:space="0" w:color="auto"/>
      </w:divBdr>
    </w:div>
    <w:div w:id="414130344">
      <w:bodyDiv w:val="1"/>
      <w:marLeft w:val="0"/>
      <w:marRight w:val="0"/>
      <w:marTop w:val="0"/>
      <w:marBottom w:val="0"/>
      <w:divBdr>
        <w:top w:val="none" w:sz="0" w:space="0" w:color="auto"/>
        <w:left w:val="none" w:sz="0" w:space="0" w:color="auto"/>
        <w:bottom w:val="none" w:sz="0" w:space="0" w:color="auto"/>
        <w:right w:val="none" w:sz="0" w:space="0" w:color="auto"/>
      </w:divBdr>
    </w:div>
    <w:div w:id="414400301">
      <w:bodyDiv w:val="1"/>
      <w:marLeft w:val="0"/>
      <w:marRight w:val="0"/>
      <w:marTop w:val="0"/>
      <w:marBottom w:val="0"/>
      <w:divBdr>
        <w:top w:val="none" w:sz="0" w:space="0" w:color="auto"/>
        <w:left w:val="none" w:sz="0" w:space="0" w:color="auto"/>
        <w:bottom w:val="none" w:sz="0" w:space="0" w:color="auto"/>
        <w:right w:val="none" w:sz="0" w:space="0" w:color="auto"/>
      </w:divBdr>
    </w:div>
    <w:div w:id="415176160">
      <w:bodyDiv w:val="1"/>
      <w:marLeft w:val="0"/>
      <w:marRight w:val="0"/>
      <w:marTop w:val="0"/>
      <w:marBottom w:val="0"/>
      <w:divBdr>
        <w:top w:val="none" w:sz="0" w:space="0" w:color="auto"/>
        <w:left w:val="none" w:sz="0" w:space="0" w:color="auto"/>
        <w:bottom w:val="none" w:sz="0" w:space="0" w:color="auto"/>
        <w:right w:val="none" w:sz="0" w:space="0" w:color="auto"/>
      </w:divBdr>
    </w:div>
    <w:div w:id="416485162">
      <w:bodyDiv w:val="1"/>
      <w:marLeft w:val="0"/>
      <w:marRight w:val="0"/>
      <w:marTop w:val="0"/>
      <w:marBottom w:val="0"/>
      <w:divBdr>
        <w:top w:val="none" w:sz="0" w:space="0" w:color="auto"/>
        <w:left w:val="none" w:sz="0" w:space="0" w:color="auto"/>
        <w:bottom w:val="none" w:sz="0" w:space="0" w:color="auto"/>
        <w:right w:val="none" w:sz="0" w:space="0" w:color="auto"/>
      </w:divBdr>
    </w:div>
    <w:div w:id="417290777">
      <w:bodyDiv w:val="1"/>
      <w:marLeft w:val="0"/>
      <w:marRight w:val="0"/>
      <w:marTop w:val="0"/>
      <w:marBottom w:val="0"/>
      <w:divBdr>
        <w:top w:val="none" w:sz="0" w:space="0" w:color="auto"/>
        <w:left w:val="none" w:sz="0" w:space="0" w:color="auto"/>
        <w:bottom w:val="none" w:sz="0" w:space="0" w:color="auto"/>
        <w:right w:val="none" w:sz="0" w:space="0" w:color="auto"/>
      </w:divBdr>
    </w:div>
    <w:div w:id="417949840">
      <w:bodyDiv w:val="1"/>
      <w:marLeft w:val="0"/>
      <w:marRight w:val="0"/>
      <w:marTop w:val="0"/>
      <w:marBottom w:val="0"/>
      <w:divBdr>
        <w:top w:val="none" w:sz="0" w:space="0" w:color="auto"/>
        <w:left w:val="none" w:sz="0" w:space="0" w:color="auto"/>
        <w:bottom w:val="none" w:sz="0" w:space="0" w:color="auto"/>
        <w:right w:val="none" w:sz="0" w:space="0" w:color="auto"/>
      </w:divBdr>
    </w:div>
    <w:div w:id="419253088">
      <w:bodyDiv w:val="1"/>
      <w:marLeft w:val="0"/>
      <w:marRight w:val="0"/>
      <w:marTop w:val="0"/>
      <w:marBottom w:val="0"/>
      <w:divBdr>
        <w:top w:val="none" w:sz="0" w:space="0" w:color="auto"/>
        <w:left w:val="none" w:sz="0" w:space="0" w:color="auto"/>
        <w:bottom w:val="none" w:sz="0" w:space="0" w:color="auto"/>
        <w:right w:val="none" w:sz="0" w:space="0" w:color="auto"/>
      </w:divBdr>
    </w:div>
    <w:div w:id="419373758">
      <w:bodyDiv w:val="1"/>
      <w:marLeft w:val="0"/>
      <w:marRight w:val="0"/>
      <w:marTop w:val="0"/>
      <w:marBottom w:val="0"/>
      <w:divBdr>
        <w:top w:val="none" w:sz="0" w:space="0" w:color="auto"/>
        <w:left w:val="none" w:sz="0" w:space="0" w:color="auto"/>
        <w:bottom w:val="none" w:sz="0" w:space="0" w:color="auto"/>
        <w:right w:val="none" w:sz="0" w:space="0" w:color="auto"/>
      </w:divBdr>
    </w:div>
    <w:div w:id="420293600">
      <w:bodyDiv w:val="1"/>
      <w:marLeft w:val="0"/>
      <w:marRight w:val="0"/>
      <w:marTop w:val="0"/>
      <w:marBottom w:val="0"/>
      <w:divBdr>
        <w:top w:val="none" w:sz="0" w:space="0" w:color="auto"/>
        <w:left w:val="none" w:sz="0" w:space="0" w:color="auto"/>
        <w:bottom w:val="none" w:sz="0" w:space="0" w:color="auto"/>
        <w:right w:val="none" w:sz="0" w:space="0" w:color="auto"/>
      </w:divBdr>
    </w:div>
    <w:div w:id="420492417">
      <w:bodyDiv w:val="1"/>
      <w:marLeft w:val="0"/>
      <w:marRight w:val="0"/>
      <w:marTop w:val="0"/>
      <w:marBottom w:val="0"/>
      <w:divBdr>
        <w:top w:val="none" w:sz="0" w:space="0" w:color="auto"/>
        <w:left w:val="none" w:sz="0" w:space="0" w:color="auto"/>
        <w:bottom w:val="none" w:sz="0" w:space="0" w:color="auto"/>
        <w:right w:val="none" w:sz="0" w:space="0" w:color="auto"/>
      </w:divBdr>
    </w:div>
    <w:div w:id="420757904">
      <w:bodyDiv w:val="1"/>
      <w:marLeft w:val="0"/>
      <w:marRight w:val="0"/>
      <w:marTop w:val="0"/>
      <w:marBottom w:val="0"/>
      <w:divBdr>
        <w:top w:val="none" w:sz="0" w:space="0" w:color="auto"/>
        <w:left w:val="none" w:sz="0" w:space="0" w:color="auto"/>
        <w:bottom w:val="none" w:sz="0" w:space="0" w:color="auto"/>
        <w:right w:val="none" w:sz="0" w:space="0" w:color="auto"/>
      </w:divBdr>
    </w:div>
    <w:div w:id="421804081">
      <w:bodyDiv w:val="1"/>
      <w:marLeft w:val="0"/>
      <w:marRight w:val="0"/>
      <w:marTop w:val="0"/>
      <w:marBottom w:val="0"/>
      <w:divBdr>
        <w:top w:val="none" w:sz="0" w:space="0" w:color="auto"/>
        <w:left w:val="none" w:sz="0" w:space="0" w:color="auto"/>
        <w:bottom w:val="none" w:sz="0" w:space="0" w:color="auto"/>
        <w:right w:val="none" w:sz="0" w:space="0" w:color="auto"/>
      </w:divBdr>
    </w:div>
    <w:div w:id="422845246">
      <w:bodyDiv w:val="1"/>
      <w:marLeft w:val="0"/>
      <w:marRight w:val="0"/>
      <w:marTop w:val="0"/>
      <w:marBottom w:val="0"/>
      <w:divBdr>
        <w:top w:val="none" w:sz="0" w:space="0" w:color="auto"/>
        <w:left w:val="none" w:sz="0" w:space="0" w:color="auto"/>
        <w:bottom w:val="none" w:sz="0" w:space="0" w:color="auto"/>
        <w:right w:val="none" w:sz="0" w:space="0" w:color="auto"/>
      </w:divBdr>
    </w:div>
    <w:div w:id="423036501">
      <w:bodyDiv w:val="1"/>
      <w:marLeft w:val="0"/>
      <w:marRight w:val="0"/>
      <w:marTop w:val="0"/>
      <w:marBottom w:val="0"/>
      <w:divBdr>
        <w:top w:val="none" w:sz="0" w:space="0" w:color="auto"/>
        <w:left w:val="none" w:sz="0" w:space="0" w:color="auto"/>
        <w:bottom w:val="none" w:sz="0" w:space="0" w:color="auto"/>
        <w:right w:val="none" w:sz="0" w:space="0" w:color="auto"/>
      </w:divBdr>
    </w:div>
    <w:div w:id="423647771">
      <w:bodyDiv w:val="1"/>
      <w:marLeft w:val="0"/>
      <w:marRight w:val="0"/>
      <w:marTop w:val="0"/>
      <w:marBottom w:val="0"/>
      <w:divBdr>
        <w:top w:val="none" w:sz="0" w:space="0" w:color="auto"/>
        <w:left w:val="none" w:sz="0" w:space="0" w:color="auto"/>
        <w:bottom w:val="none" w:sz="0" w:space="0" w:color="auto"/>
        <w:right w:val="none" w:sz="0" w:space="0" w:color="auto"/>
      </w:divBdr>
    </w:div>
    <w:div w:id="423653432">
      <w:bodyDiv w:val="1"/>
      <w:marLeft w:val="0"/>
      <w:marRight w:val="0"/>
      <w:marTop w:val="0"/>
      <w:marBottom w:val="0"/>
      <w:divBdr>
        <w:top w:val="none" w:sz="0" w:space="0" w:color="auto"/>
        <w:left w:val="none" w:sz="0" w:space="0" w:color="auto"/>
        <w:bottom w:val="none" w:sz="0" w:space="0" w:color="auto"/>
        <w:right w:val="none" w:sz="0" w:space="0" w:color="auto"/>
      </w:divBdr>
    </w:div>
    <w:div w:id="423963467">
      <w:bodyDiv w:val="1"/>
      <w:marLeft w:val="0"/>
      <w:marRight w:val="0"/>
      <w:marTop w:val="0"/>
      <w:marBottom w:val="0"/>
      <w:divBdr>
        <w:top w:val="none" w:sz="0" w:space="0" w:color="auto"/>
        <w:left w:val="none" w:sz="0" w:space="0" w:color="auto"/>
        <w:bottom w:val="none" w:sz="0" w:space="0" w:color="auto"/>
        <w:right w:val="none" w:sz="0" w:space="0" w:color="auto"/>
      </w:divBdr>
    </w:div>
    <w:div w:id="425347771">
      <w:bodyDiv w:val="1"/>
      <w:marLeft w:val="0"/>
      <w:marRight w:val="0"/>
      <w:marTop w:val="0"/>
      <w:marBottom w:val="0"/>
      <w:divBdr>
        <w:top w:val="none" w:sz="0" w:space="0" w:color="auto"/>
        <w:left w:val="none" w:sz="0" w:space="0" w:color="auto"/>
        <w:bottom w:val="none" w:sz="0" w:space="0" w:color="auto"/>
        <w:right w:val="none" w:sz="0" w:space="0" w:color="auto"/>
      </w:divBdr>
    </w:div>
    <w:div w:id="425610852">
      <w:bodyDiv w:val="1"/>
      <w:marLeft w:val="0"/>
      <w:marRight w:val="0"/>
      <w:marTop w:val="0"/>
      <w:marBottom w:val="0"/>
      <w:divBdr>
        <w:top w:val="none" w:sz="0" w:space="0" w:color="auto"/>
        <w:left w:val="none" w:sz="0" w:space="0" w:color="auto"/>
        <w:bottom w:val="none" w:sz="0" w:space="0" w:color="auto"/>
        <w:right w:val="none" w:sz="0" w:space="0" w:color="auto"/>
      </w:divBdr>
    </w:div>
    <w:div w:id="426773472">
      <w:bodyDiv w:val="1"/>
      <w:marLeft w:val="0"/>
      <w:marRight w:val="0"/>
      <w:marTop w:val="0"/>
      <w:marBottom w:val="0"/>
      <w:divBdr>
        <w:top w:val="none" w:sz="0" w:space="0" w:color="auto"/>
        <w:left w:val="none" w:sz="0" w:space="0" w:color="auto"/>
        <w:bottom w:val="none" w:sz="0" w:space="0" w:color="auto"/>
        <w:right w:val="none" w:sz="0" w:space="0" w:color="auto"/>
      </w:divBdr>
    </w:div>
    <w:div w:id="427315507">
      <w:bodyDiv w:val="1"/>
      <w:marLeft w:val="0"/>
      <w:marRight w:val="0"/>
      <w:marTop w:val="0"/>
      <w:marBottom w:val="0"/>
      <w:divBdr>
        <w:top w:val="none" w:sz="0" w:space="0" w:color="auto"/>
        <w:left w:val="none" w:sz="0" w:space="0" w:color="auto"/>
        <w:bottom w:val="none" w:sz="0" w:space="0" w:color="auto"/>
        <w:right w:val="none" w:sz="0" w:space="0" w:color="auto"/>
      </w:divBdr>
    </w:div>
    <w:div w:id="427433939">
      <w:bodyDiv w:val="1"/>
      <w:marLeft w:val="0"/>
      <w:marRight w:val="0"/>
      <w:marTop w:val="0"/>
      <w:marBottom w:val="0"/>
      <w:divBdr>
        <w:top w:val="none" w:sz="0" w:space="0" w:color="auto"/>
        <w:left w:val="none" w:sz="0" w:space="0" w:color="auto"/>
        <w:bottom w:val="none" w:sz="0" w:space="0" w:color="auto"/>
        <w:right w:val="none" w:sz="0" w:space="0" w:color="auto"/>
      </w:divBdr>
    </w:div>
    <w:div w:id="428619458">
      <w:bodyDiv w:val="1"/>
      <w:marLeft w:val="0"/>
      <w:marRight w:val="0"/>
      <w:marTop w:val="0"/>
      <w:marBottom w:val="0"/>
      <w:divBdr>
        <w:top w:val="none" w:sz="0" w:space="0" w:color="auto"/>
        <w:left w:val="none" w:sz="0" w:space="0" w:color="auto"/>
        <w:bottom w:val="none" w:sz="0" w:space="0" w:color="auto"/>
        <w:right w:val="none" w:sz="0" w:space="0" w:color="auto"/>
      </w:divBdr>
    </w:div>
    <w:div w:id="429200576">
      <w:bodyDiv w:val="1"/>
      <w:marLeft w:val="0"/>
      <w:marRight w:val="0"/>
      <w:marTop w:val="0"/>
      <w:marBottom w:val="0"/>
      <w:divBdr>
        <w:top w:val="none" w:sz="0" w:space="0" w:color="auto"/>
        <w:left w:val="none" w:sz="0" w:space="0" w:color="auto"/>
        <w:bottom w:val="none" w:sz="0" w:space="0" w:color="auto"/>
        <w:right w:val="none" w:sz="0" w:space="0" w:color="auto"/>
      </w:divBdr>
    </w:div>
    <w:div w:id="429471105">
      <w:bodyDiv w:val="1"/>
      <w:marLeft w:val="0"/>
      <w:marRight w:val="0"/>
      <w:marTop w:val="0"/>
      <w:marBottom w:val="0"/>
      <w:divBdr>
        <w:top w:val="none" w:sz="0" w:space="0" w:color="auto"/>
        <w:left w:val="none" w:sz="0" w:space="0" w:color="auto"/>
        <w:bottom w:val="none" w:sz="0" w:space="0" w:color="auto"/>
        <w:right w:val="none" w:sz="0" w:space="0" w:color="auto"/>
      </w:divBdr>
    </w:div>
    <w:div w:id="430127655">
      <w:bodyDiv w:val="1"/>
      <w:marLeft w:val="0"/>
      <w:marRight w:val="0"/>
      <w:marTop w:val="0"/>
      <w:marBottom w:val="0"/>
      <w:divBdr>
        <w:top w:val="none" w:sz="0" w:space="0" w:color="auto"/>
        <w:left w:val="none" w:sz="0" w:space="0" w:color="auto"/>
        <w:bottom w:val="none" w:sz="0" w:space="0" w:color="auto"/>
        <w:right w:val="none" w:sz="0" w:space="0" w:color="auto"/>
      </w:divBdr>
    </w:div>
    <w:div w:id="431827535">
      <w:bodyDiv w:val="1"/>
      <w:marLeft w:val="0"/>
      <w:marRight w:val="0"/>
      <w:marTop w:val="0"/>
      <w:marBottom w:val="0"/>
      <w:divBdr>
        <w:top w:val="none" w:sz="0" w:space="0" w:color="auto"/>
        <w:left w:val="none" w:sz="0" w:space="0" w:color="auto"/>
        <w:bottom w:val="none" w:sz="0" w:space="0" w:color="auto"/>
        <w:right w:val="none" w:sz="0" w:space="0" w:color="auto"/>
      </w:divBdr>
    </w:div>
    <w:div w:id="432366270">
      <w:bodyDiv w:val="1"/>
      <w:marLeft w:val="0"/>
      <w:marRight w:val="0"/>
      <w:marTop w:val="0"/>
      <w:marBottom w:val="0"/>
      <w:divBdr>
        <w:top w:val="none" w:sz="0" w:space="0" w:color="auto"/>
        <w:left w:val="none" w:sz="0" w:space="0" w:color="auto"/>
        <w:bottom w:val="none" w:sz="0" w:space="0" w:color="auto"/>
        <w:right w:val="none" w:sz="0" w:space="0" w:color="auto"/>
      </w:divBdr>
    </w:div>
    <w:div w:id="432946396">
      <w:bodyDiv w:val="1"/>
      <w:marLeft w:val="0"/>
      <w:marRight w:val="0"/>
      <w:marTop w:val="0"/>
      <w:marBottom w:val="0"/>
      <w:divBdr>
        <w:top w:val="none" w:sz="0" w:space="0" w:color="auto"/>
        <w:left w:val="none" w:sz="0" w:space="0" w:color="auto"/>
        <w:bottom w:val="none" w:sz="0" w:space="0" w:color="auto"/>
        <w:right w:val="none" w:sz="0" w:space="0" w:color="auto"/>
      </w:divBdr>
    </w:div>
    <w:div w:id="433087399">
      <w:bodyDiv w:val="1"/>
      <w:marLeft w:val="0"/>
      <w:marRight w:val="0"/>
      <w:marTop w:val="0"/>
      <w:marBottom w:val="0"/>
      <w:divBdr>
        <w:top w:val="none" w:sz="0" w:space="0" w:color="auto"/>
        <w:left w:val="none" w:sz="0" w:space="0" w:color="auto"/>
        <w:bottom w:val="none" w:sz="0" w:space="0" w:color="auto"/>
        <w:right w:val="none" w:sz="0" w:space="0" w:color="auto"/>
      </w:divBdr>
    </w:div>
    <w:div w:id="433285467">
      <w:bodyDiv w:val="1"/>
      <w:marLeft w:val="0"/>
      <w:marRight w:val="0"/>
      <w:marTop w:val="0"/>
      <w:marBottom w:val="0"/>
      <w:divBdr>
        <w:top w:val="none" w:sz="0" w:space="0" w:color="auto"/>
        <w:left w:val="none" w:sz="0" w:space="0" w:color="auto"/>
        <w:bottom w:val="none" w:sz="0" w:space="0" w:color="auto"/>
        <w:right w:val="none" w:sz="0" w:space="0" w:color="auto"/>
      </w:divBdr>
    </w:div>
    <w:div w:id="433981722">
      <w:bodyDiv w:val="1"/>
      <w:marLeft w:val="0"/>
      <w:marRight w:val="0"/>
      <w:marTop w:val="0"/>
      <w:marBottom w:val="0"/>
      <w:divBdr>
        <w:top w:val="none" w:sz="0" w:space="0" w:color="auto"/>
        <w:left w:val="none" w:sz="0" w:space="0" w:color="auto"/>
        <w:bottom w:val="none" w:sz="0" w:space="0" w:color="auto"/>
        <w:right w:val="none" w:sz="0" w:space="0" w:color="auto"/>
      </w:divBdr>
    </w:div>
    <w:div w:id="435100261">
      <w:bodyDiv w:val="1"/>
      <w:marLeft w:val="0"/>
      <w:marRight w:val="0"/>
      <w:marTop w:val="0"/>
      <w:marBottom w:val="0"/>
      <w:divBdr>
        <w:top w:val="none" w:sz="0" w:space="0" w:color="auto"/>
        <w:left w:val="none" w:sz="0" w:space="0" w:color="auto"/>
        <w:bottom w:val="none" w:sz="0" w:space="0" w:color="auto"/>
        <w:right w:val="none" w:sz="0" w:space="0" w:color="auto"/>
      </w:divBdr>
    </w:div>
    <w:div w:id="435367258">
      <w:bodyDiv w:val="1"/>
      <w:marLeft w:val="0"/>
      <w:marRight w:val="0"/>
      <w:marTop w:val="0"/>
      <w:marBottom w:val="0"/>
      <w:divBdr>
        <w:top w:val="none" w:sz="0" w:space="0" w:color="auto"/>
        <w:left w:val="none" w:sz="0" w:space="0" w:color="auto"/>
        <w:bottom w:val="none" w:sz="0" w:space="0" w:color="auto"/>
        <w:right w:val="none" w:sz="0" w:space="0" w:color="auto"/>
      </w:divBdr>
    </w:div>
    <w:div w:id="436364494">
      <w:bodyDiv w:val="1"/>
      <w:marLeft w:val="0"/>
      <w:marRight w:val="0"/>
      <w:marTop w:val="0"/>
      <w:marBottom w:val="0"/>
      <w:divBdr>
        <w:top w:val="none" w:sz="0" w:space="0" w:color="auto"/>
        <w:left w:val="none" w:sz="0" w:space="0" w:color="auto"/>
        <w:bottom w:val="none" w:sz="0" w:space="0" w:color="auto"/>
        <w:right w:val="none" w:sz="0" w:space="0" w:color="auto"/>
      </w:divBdr>
    </w:div>
    <w:div w:id="437943843">
      <w:bodyDiv w:val="1"/>
      <w:marLeft w:val="0"/>
      <w:marRight w:val="0"/>
      <w:marTop w:val="0"/>
      <w:marBottom w:val="0"/>
      <w:divBdr>
        <w:top w:val="none" w:sz="0" w:space="0" w:color="auto"/>
        <w:left w:val="none" w:sz="0" w:space="0" w:color="auto"/>
        <w:bottom w:val="none" w:sz="0" w:space="0" w:color="auto"/>
        <w:right w:val="none" w:sz="0" w:space="0" w:color="auto"/>
      </w:divBdr>
    </w:div>
    <w:div w:id="439691092">
      <w:bodyDiv w:val="1"/>
      <w:marLeft w:val="0"/>
      <w:marRight w:val="0"/>
      <w:marTop w:val="0"/>
      <w:marBottom w:val="0"/>
      <w:divBdr>
        <w:top w:val="none" w:sz="0" w:space="0" w:color="auto"/>
        <w:left w:val="none" w:sz="0" w:space="0" w:color="auto"/>
        <w:bottom w:val="none" w:sz="0" w:space="0" w:color="auto"/>
        <w:right w:val="none" w:sz="0" w:space="0" w:color="auto"/>
      </w:divBdr>
    </w:div>
    <w:div w:id="439758200">
      <w:bodyDiv w:val="1"/>
      <w:marLeft w:val="0"/>
      <w:marRight w:val="0"/>
      <w:marTop w:val="0"/>
      <w:marBottom w:val="0"/>
      <w:divBdr>
        <w:top w:val="none" w:sz="0" w:space="0" w:color="auto"/>
        <w:left w:val="none" w:sz="0" w:space="0" w:color="auto"/>
        <w:bottom w:val="none" w:sz="0" w:space="0" w:color="auto"/>
        <w:right w:val="none" w:sz="0" w:space="0" w:color="auto"/>
      </w:divBdr>
    </w:div>
    <w:div w:id="439767088">
      <w:bodyDiv w:val="1"/>
      <w:marLeft w:val="0"/>
      <w:marRight w:val="0"/>
      <w:marTop w:val="0"/>
      <w:marBottom w:val="0"/>
      <w:divBdr>
        <w:top w:val="none" w:sz="0" w:space="0" w:color="auto"/>
        <w:left w:val="none" w:sz="0" w:space="0" w:color="auto"/>
        <w:bottom w:val="none" w:sz="0" w:space="0" w:color="auto"/>
        <w:right w:val="none" w:sz="0" w:space="0" w:color="auto"/>
      </w:divBdr>
    </w:div>
    <w:div w:id="440229441">
      <w:bodyDiv w:val="1"/>
      <w:marLeft w:val="0"/>
      <w:marRight w:val="0"/>
      <w:marTop w:val="0"/>
      <w:marBottom w:val="0"/>
      <w:divBdr>
        <w:top w:val="none" w:sz="0" w:space="0" w:color="auto"/>
        <w:left w:val="none" w:sz="0" w:space="0" w:color="auto"/>
        <w:bottom w:val="none" w:sz="0" w:space="0" w:color="auto"/>
        <w:right w:val="none" w:sz="0" w:space="0" w:color="auto"/>
      </w:divBdr>
    </w:div>
    <w:div w:id="440759564">
      <w:bodyDiv w:val="1"/>
      <w:marLeft w:val="0"/>
      <w:marRight w:val="0"/>
      <w:marTop w:val="0"/>
      <w:marBottom w:val="0"/>
      <w:divBdr>
        <w:top w:val="none" w:sz="0" w:space="0" w:color="auto"/>
        <w:left w:val="none" w:sz="0" w:space="0" w:color="auto"/>
        <w:bottom w:val="none" w:sz="0" w:space="0" w:color="auto"/>
        <w:right w:val="none" w:sz="0" w:space="0" w:color="auto"/>
      </w:divBdr>
    </w:div>
    <w:div w:id="441343080">
      <w:bodyDiv w:val="1"/>
      <w:marLeft w:val="0"/>
      <w:marRight w:val="0"/>
      <w:marTop w:val="0"/>
      <w:marBottom w:val="0"/>
      <w:divBdr>
        <w:top w:val="none" w:sz="0" w:space="0" w:color="auto"/>
        <w:left w:val="none" w:sz="0" w:space="0" w:color="auto"/>
        <w:bottom w:val="none" w:sz="0" w:space="0" w:color="auto"/>
        <w:right w:val="none" w:sz="0" w:space="0" w:color="auto"/>
      </w:divBdr>
    </w:div>
    <w:div w:id="441724606">
      <w:bodyDiv w:val="1"/>
      <w:marLeft w:val="0"/>
      <w:marRight w:val="0"/>
      <w:marTop w:val="0"/>
      <w:marBottom w:val="0"/>
      <w:divBdr>
        <w:top w:val="none" w:sz="0" w:space="0" w:color="auto"/>
        <w:left w:val="none" w:sz="0" w:space="0" w:color="auto"/>
        <w:bottom w:val="none" w:sz="0" w:space="0" w:color="auto"/>
        <w:right w:val="none" w:sz="0" w:space="0" w:color="auto"/>
      </w:divBdr>
    </w:div>
    <w:div w:id="441802711">
      <w:bodyDiv w:val="1"/>
      <w:marLeft w:val="0"/>
      <w:marRight w:val="0"/>
      <w:marTop w:val="0"/>
      <w:marBottom w:val="0"/>
      <w:divBdr>
        <w:top w:val="none" w:sz="0" w:space="0" w:color="auto"/>
        <w:left w:val="none" w:sz="0" w:space="0" w:color="auto"/>
        <w:bottom w:val="none" w:sz="0" w:space="0" w:color="auto"/>
        <w:right w:val="none" w:sz="0" w:space="0" w:color="auto"/>
      </w:divBdr>
    </w:div>
    <w:div w:id="442238005">
      <w:bodyDiv w:val="1"/>
      <w:marLeft w:val="0"/>
      <w:marRight w:val="0"/>
      <w:marTop w:val="0"/>
      <w:marBottom w:val="0"/>
      <w:divBdr>
        <w:top w:val="none" w:sz="0" w:space="0" w:color="auto"/>
        <w:left w:val="none" w:sz="0" w:space="0" w:color="auto"/>
        <w:bottom w:val="none" w:sz="0" w:space="0" w:color="auto"/>
        <w:right w:val="none" w:sz="0" w:space="0" w:color="auto"/>
      </w:divBdr>
    </w:div>
    <w:div w:id="443233025">
      <w:bodyDiv w:val="1"/>
      <w:marLeft w:val="0"/>
      <w:marRight w:val="0"/>
      <w:marTop w:val="0"/>
      <w:marBottom w:val="0"/>
      <w:divBdr>
        <w:top w:val="none" w:sz="0" w:space="0" w:color="auto"/>
        <w:left w:val="none" w:sz="0" w:space="0" w:color="auto"/>
        <w:bottom w:val="none" w:sz="0" w:space="0" w:color="auto"/>
        <w:right w:val="none" w:sz="0" w:space="0" w:color="auto"/>
      </w:divBdr>
    </w:div>
    <w:div w:id="443381567">
      <w:bodyDiv w:val="1"/>
      <w:marLeft w:val="0"/>
      <w:marRight w:val="0"/>
      <w:marTop w:val="0"/>
      <w:marBottom w:val="0"/>
      <w:divBdr>
        <w:top w:val="none" w:sz="0" w:space="0" w:color="auto"/>
        <w:left w:val="none" w:sz="0" w:space="0" w:color="auto"/>
        <w:bottom w:val="none" w:sz="0" w:space="0" w:color="auto"/>
        <w:right w:val="none" w:sz="0" w:space="0" w:color="auto"/>
      </w:divBdr>
    </w:div>
    <w:div w:id="443773234">
      <w:bodyDiv w:val="1"/>
      <w:marLeft w:val="0"/>
      <w:marRight w:val="0"/>
      <w:marTop w:val="0"/>
      <w:marBottom w:val="0"/>
      <w:divBdr>
        <w:top w:val="none" w:sz="0" w:space="0" w:color="auto"/>
        <w:left w:val="none" w:sz="0" w:space="0" w:color="auto"/>
        <w:bottom w:val="none" w:sz="0" w:space="0" w:color="auto"/>
        <w:right w:val="none" w:sz="0" w:space="0" w:color="auto"/>
      </w:divBdr>
    </w:div>
    <w:div w:id="444618817">
      <w:bodyDiv w:val="1"/>
      <w:marLeft w:val="0"/>
      <w:marRight w:val="0"/>
      <w:marTop w:val="0"/>
      <w:marBottom w:val="0"/>
      <w:divBdr>
        <w:top w:val="none" w:sz="0" w:space="0" w:color="auto"/>
        <w:left w:val="none" w:sz="0" w:space="0" w:color="auto"/>
        <w:bottom w:val="none" w:sz="0" w:space="0" w:color="auto"/>
        <w:right w:val="none" w:sz="0" w:space="0" w:color="auto"/>
      </w:divBdr>
    </w:div>
    <w:div w:id="444884404">
      <w:bodyDiv w:val="1"/>
      <w:marLeft w:val="0"/>
      <w:marRight w:val="0"/>
      <w:marTop w:val="0"/>
      <w:marBottom w:val="0"/>
      <w:divBdr>
        <w:top w:val="none" w:sz="0" w:space="0" w:color="auto"/>
        <w:left w:val="none" w:sz="0" w:space="0" w:color="auto"/>
        <w:bottom w:val="none" w:sz="0" w:space="0" w:color="auto"/>
        <w:right w:val="none" w:sz="0" w:space="0" w:color="auto"/>
      </w:divBdr>
    </w:div>
    <w:div w:id="444885128">
      <w:bodyDiv w:val="1"/>
      <w:marLeft w:val="0"/>
      <w:marRight w:val="0"/>
      <w:marTop w:val="0"/>
      <w:marBottom w:val="0"/>
      <w:divBdr>
        <w:top w:val="none" w:sz="0" w:space="0" w:color="auto"/>
        <w:left w:val="none" w:sz="0" w:space="0" w:color="auto"/>
        <w:bottom w:val="none" w:sz="0" w:space="0" w:color="auto"/>
        <w:right w:val="none" w:sz="0" w:space="0" w:color="auto"/>
      </w:divBdr>
    </w:div>
    <w:div w:id="445079236">
      <w:bodyDiv w:val="1"/>
      <w:marLeft w:val="0"/>
      <w:marRight w:val="0"/>
      <w:marTop w:val="0"/>
      <w:marBottom w:val="0"/>
      <w:divBdr>
        <w:top w:val="none" w:sz="0" w:space="0" w:color="auto"/>
        <w:left w:val="none" w:sz="0" w:space="0" w:color="auto"/>
        <w:bottom w:val="none" w:sz="0" w:space="0" w:color="auto"/>
        <w:right w:val="none" w:sz="0" w:space="0" w:color="auto"/>
      </w:divBdr>
    </w:div>
    <w:div w:id="445123279">
      <w:bodyDiv w:val="1"/>
      <w:marLeft w:val="0"/>
      <w:marRight w:val="0"/>
      <w:marTop w:val="0"/>
      <w:marBottom w:val="0"/>
      <w:divBdr>
        <w:top w:val="none" w:sz="0" w:space="0" w:color="auto"/>
        <w:left w:val="none" w:sz="0" w:space="0" w:color="auto"/>
        <w:bottom w:val="none" w:sz="0" w:space="0" w:color="auto"/>
        <w:right w:val="none" w:sz="0" w:space="0" w:color="auto"/>
      </w:divBdr>
    </w:div>
    <w:div w:id="445778127">
      <w:bodyDiv w:val="1"/>
      <w:marLeft w:val="0"/>
      <w:marRight w:val="0"/>
      <w:marTop w:val="0"/>
      <w:marBottom w:val="0"/>
      <w:divBdr>
        <w:top w:val="none" w:sz="0" w:space="0" w:color="auto"/>
        <w:left w:val="none" w:sz="0" w:space="0" w:color="auto"/>
        <w:bottom w:val="none" w:sz="0" w:space="0" w:color="auto"/>
        <w:right w:val="none" w:sz="0" w:space="0" w:color="auto"/>
      </w:divBdr>
    </w:div>
    <w:div w:id="447087672">
      <w:bodyDiv w:val="1"/>
      <w:marLeft w:val="0"/>
      <w:marRight w:val="0"/>
      <w:marTop w:val="0"/>
      <w:marBottom w:val="0"/>
      <w:divBdr>
        <w:top w:val="none" w:sz="0" w:space="0" w:color="auto"/>
        <w:left w:val="none" w:sz="0" w:space="0" w:color="auto"/>
        <w:bottom w:val="none" w:sz="0" w:space="0" w:color="auto"/>
        <w:right w:val="none" w:sz="0" w:space="0" w:color="auto"/>
      </w:divBdr>
    </w:div>
    <w:div w:id="447941695">
      <w:bodyDiv w:val="1"/>
      <w:marLeft w:val="0"/>
      <w:marRight w:val="0"/>
      <w:marTop w:val="0"/>
      <w:marBottom w:val="0"/>
      <w:divBdr>
        <w:top w:val="none" w:sz="0" w:space="0" w:color="auto"/>
        <w:left w:val="none" w:sz="0" w:space="0" w:color="auto"/>
        <w:bottom w:val="none" w:sz="0" w:space="0" w:color="auto"/>
        <w:right w:val="none" w:sz="0" w:space="0" w:color="auto"/>
      </w:divBdr>
    </w:div>
    <w:div w:id="448473988">
      <w:bodyDiv w:val="1"/>
      <w:marLeft w:val="0"/>
      <w:marRight w:val="0"/>
      <w:marTop w:val="0"/>
      <w:marBottom w:val="0"/>
      <w:divBdr>
        <w:top w:val="none" w:sz="0" w:space="0" w:color="auto"/>
        <w:left w:val="none" w:sz="0" w:space="0" w:color="auto"/>
        <w:bottom w:val="none" w:sz="0" w:space="0" w:color="auto"/>
        <w:right w:val="none" w:sz="0" w:space="0" w:color="auto"/>
      </w:divBdr>
    </w:div>
    <w:div w:id="448665744">
      <w:bodyDiv w:val="1"/>
      <w:marLeft w:val="0"/>
      <w:marRight w:val="0"/>
      <w:marTop w:val="0"/>
      <w:marBottom w:val="0"/>
      <w:divBdr>
        <w:top w:val="none" w:sz="0" w:space="0" w:color="auto"/>
        <w:left w:val="none" w:sz="0" w:space="0" w:color="auto"/>
        <w:bottom w:val="none" w:sz="0" w:space="0" w:color="auto"/>
        <w:right w:val="none" w:sz="0" w:space="0" w:color="auto"/>
      </w:divBdr>
    </w:div>
    <w:div w:id="449082827">
      <w:bodyDiv w:val="1"/>
      <w:marLeft w:val="0"/>
      <w:marRight w:val="0"/>
      <w:marTop w:val="0"/>
      <w:marBottom w:val="0"/>
      <w:divBdr>
        <w:top w:val="none" w:sz="0" w:space="0" w:color="auto"/>
        <w:left w:val="none" w:sz="0" w:space="0" w:color="auto"/>
        <w:bottom w:val="none" w:sz="0" w:space="0" w:color="auto"/>
        <w:right w:val="none" w:sz="0" w:space="0" w:color="auto"/>
      </w:divBdr>
    </w:div>
    <w:div w:id="450785564">
      <w:bodyDiv w:val="1"/>
      <w:marLeft w:val="0"/>
      <w:marRight w:val="0"/>
      <w:marTop w:val="0"/>
      <w:marBottom w:val="0"/>
      <w:divBdr>
        <w:top w:val="none" w:sz="0" w:space="0" w:color="auto"/>
        <w:left w:val="none" w:sz="0" w:space="0" w:color="auto"/>
        <w:bottom w:val="none" w:sz="0" w:space="0" w:color="auto"/>
        <w:right w:val="none" w:sz="0" w:space="0" w:color="auto"/>
      </w:divBdr>
    </w:div>
    <w:div w:id="451285490">
      <w:bodyDiv w:val="1"/>
      <w:marLeft w:val="0"/>
      <w:marRight w:val="0"/>
      <w:marTop w:val="0"/>
      <w:marBottom w:val="0"/>
      <w:divBdr>
        <w:top w:val="none" w:sz="0" w:space="0" w:color="auto"/>
        <w:left w:val="none" w:sz="0" w:space="0" w:color="auto"/>
        <w:bottom w:val="none" w:sz="0" w:space="0" w:color="auto"/>
        <w:right w:val="none" w:sz="0" w:space="0" w:color="auto"/>
      </w:divBdr>
    </w:div>
    <w:div w:id="451634189">
      <w:bodyDiv w:val="1"/>
      <w:marLeft w:val="0"/>
      <w:marRight w:val="0"/>
      <w:marTop w:val="0"/>
      <w:marBottom w:val="0"/>
      <w:divBdr>
        <w:top w:val="none" w:sz="0" w:space="0" w:color="auto"/>
        <w:left w:val="none" w:sz="0" w:space="0" w:color="auto"/>
        <w:bottom w:val="none" w:sz="0" w:space="0" w:color="auto"/>
        <w:right w:val="none" w:sz="0" w:space="0" w:color="auto"/>
      </w:divBdr>
    </w:div>
    <w:div w:id="454368349">
      <w:bodyDiv w:val="1"/>
      <w:marLeft w:val="0"/>
      <w:marRight w:val="0"/>
      <w:marTop w:val="0"/>
      <w:marBottom w:val="0"/>
      <w:divBdr>
        <w:top w:val="none" w:sz="0" w:space="0" w:color="auto"/>
        <w:left w:val="none" w:sz="0" w:space="0" w:color="auto"/>
        <w:bottom w:val="none" w:sz="0" w:space="0" w:color="auto"/>
        <w:right w:val="none" w:sz="0" w:space="0" w:color="auto"/>
      </w:divBdr>
    </w:div>
    <w:div w:id="455759229">
      <w:bodyDiv w:val="1"/>
      <w:marLeft w:val="0"/>
      <w:marRight w:val="0"/>
      <w:marTop w:val="0"/>
      <w:marBottom w:val="0"/>
      <w:divBdr>
        <w:top w:val="none" w:sz="0" w:space="0" w:color="auto"/>
        <w:left w:val="none" w:sz="0" w:space="0" w:color="auto"/>
        <w:bottom w:val="none" w:sz="0" w:space="0" w:color="auto"/>
        <w:right w:val="none" w:sz="0" w:space="0" w:color="auto"/>
      </w:divBdr>
    </w:div>
    <w:div w:id="455831765">
      <w:bodyDiv w:val="1"/>
      <w:marLeft w:val="0"/>
      <w:marRight w:val="0"/>
      <w:marTop w:val="0"/>
      <w:marBottom w:val="0"/>
      <w:divBdr>
        <w:top w:val="none" w:sz="0" w:space="0" w:color="auto"/>
        <w:left w:val="none" w:sz="0" w:space="0" w:color="auto"/>
        <w:bottom w:val="none" w:sz="0" w:space="0" w:color="auto"/>
        <w:right w:val="none" w:sz="0" w:space="0" w:color="auto"/>
      </w:divBdr>
    </w:div>
    <w:div w:id="456529205">
      <w:bodyDiv w:val="1"/>
      <w:marLeft w:val="0"/>
      <w:marRight w:val="0"/>
      <w:marTop w:val="0"/>
      <w:marBottom w:val="0"/>
      <w:divBdr>
        <w:top w:val="none" w:sz="0" w:space="0" w:color="auto"/>
        <w:left w:val="none" w:sz="0" w:space="0" w:color="auto"/>
        <w:bottom w:val="none" w:sz="0" w:space="0" w:color="auto"/>
        <w:right w:val="none" w:sz="0" w:space="0" w:color="auto"/>
      </w:divBdr>
    </w:div>
    <w:div w:id="456870355">
      <w:bodyDiv w:val="1"/>
      <w:marLeft w:val="0"/>
      <w:marRight w:val="0"/>
      <w:marTop w:val="0"/>
      <w:marBottom w:val="0"/>
      <w:divBdr>
        <w:top w:val="none" w:sz="0" w:space="0" w:color="auto"/>
        <w:left w:val="none" w:sz="0" w:space="0" w:color="auto"/>
        <w:bottom w:val="none" w:sz="0" w:space="0" w:color="auto"/>
        <w:right w:val="none" w:sz="0" w:space="0" w:color="auto"/>
      </w:divBdr>
    </w:div>
    <w:div w:id="459030384">
      <w:bodyDiv w:val="1"/>
      <w:marLeft w:val="0"/>
      <w:marRight w:val="0"/>
      <w:marTop w:val="0"/>
      <w:marBottom w:val="0"/>
      <w:divBdr>
        <w:top w:val="none" w:sz="0" w:space="0" w:color="auto"/>
        <w:left w:val="none" w:sz="0" w:space="0" w:color="auto"/>
        <w:bottom w:val="none" w:sz="0" w:space="0" w:color="auto"/>
        <w:right w:val="none" w:sz="0" w:space="0" w:color="auto"/>
      </w:divBdr>
    </w:div>
    <w:div w:id="460074471">
      <w:bodyDiv w:val="1"/>
      <w:marLeft w:val="0"/>
      <w:marRight w:val="0"/>
      <w:marTop w:val="0"/>
      <w:marBottom w:val="0"/>
      <w:divBdr>
        <w:top w:val="none" w:sz="0" w:space="0" w:color="auto"/>
        <w:left w:val="none" w:sz="0" w:space="0" w:color="auto"/>
        <w:bottom w:val="none" w:sz="0" w:space="0" w:color="auto"/>
        <w:right w:val="none" w:sz="0" w:space="0" w:color="auto"/>
      </w:divBdr>
    </w:div>
    <w:div w:id="461192467">
      <w:bodyDiv w:val="1"/>
      <w:marLeft w:val="0"/>
      <w:marRight w:val="0"/>
      <w:marTop w:val="0"/>
      <w:marBottom w:val="0"/>
      <w:divBdr>
        <w:top w:val="none" w:sz="0" w:space="0" w:color="auto"/>
        <w:left w:val="none" w:sz="0" w:space="0" w:color="auto"/>
        <w:bottom w:val="none" w:sz="0" w:space="0" w:color="auto"/>
        <w:right w:val="none" w:sz="0" w:space="0" w:color="auto"/>
      </w:divBdr>
    </w:div>
    <w:div w:id="463930328">
      <w:bodyDiv w:val="1"/>
      <w:marLeft w:val="0"/>
      <w:marRight w:val="0"/>
      <w:marTop w:val="0"/>
      <w:marBottom w:val="0"/>
      <w:divBdr>
        <w:top w:val="none" w:sz="0" w:space="0" w:color="auto"/>
        <w:left w:val="none" w:sz="0" w:space="0" w:color="auto"/>
        <w:bottom w:val="none" w:sz="0" w:space="0" w:color="auto"/>
        <w:right w:val="none" w:sz="0" w:space="0" w:color="auto"/>
      </w:divBdr>
    </w:div>
    <w:div w:id="465390580">
      <w:bodyDiv w:val="1"/>
      <w:marLeft w:val="0"/>
      <w:marRight w:val="0"/>
      <w:marTop w:val="0"/>
      <w:marBottom w:val="0"/>
      <w:divBdr>
        <w:top w:val="none" w:sz="0" w:space="0" w:color="auto"/>
        <w:left w:val="none" w:sz="0" w:space="0" w:color="auto"/>
        <w:bottom w:val="none" w:sz="0" w:space="0" w:color="auto"/>
        <w:right w:val="none" w:sz="0" w:space="0" w:color="auto"/>
      </w:divBdr>
    </w:div>
    <w:div w:id="465467514">
      <w:bodyDiv w:val="1"/>
      <w:marLeft w:val="0"/>
      <w:marRight w:val="0"/>
      <w:marTop w:val="0"/>
      <w:marBottom w:val="0"/>
      <w:divBdr>
        <w:top w:val="none" w:sz="0" w:space="0" w:color="auto"/>
        <w:left w:val="none" w:sz="0" w:space="0" w:color="auto"/>
        <w:bottom w:val="none" w:sz="0" w:space="0" w:color="auto"/>
        <w:right w:val="none" w:sz="0" w:space="0" w:color="auto"/>
      </w:divBdr>
    </w:div>
    <w:div w:id="465665648">
      <w:bodyDiv w:val="1"/>
      <w:marLeft w:val="0"/>
      <w:marRight w:val="0"/>
      <w:marTop w:val="0"/>
      <w:marBottom w:val="0"/>
      <w:divBdr>
        <w:top w:val="none" w:sz="0" w:space="0" w:color="auto"/>
        <w:left w:val="none" w:sz="0" w:space="0" w:color="auto"/>
        <w:bottom w:val="none" w:sz="0" w:space="0" w:color="auto"/>
        <w:right w:val="none" w:sz="0" w:space="0" w:color="auto"/>
      </w:divBdr>
    </w:div>
    <w:div w:id="467479966">
      <w:bodyDiv w:val="1"/>
      <w:marLeft w:val="0"/>
      <w:marRight w:val="0"/>
      <w:marTop w:val="0"/>
      <w:marBottom w:val="0"/>
      <w:divBdr>
        <w:top w:val="none" w:sz="0" w:space="0" w:color="auto"/>
        <w:left w:val="none" w:sz="0" w:space="0" w:color="auto"/>
        <w:bottom w:val="none" w:sz="0" w:space="0" w:color="auto"/>
        <w:right w:val="none" w:sz="0" w:space="0" w:color="auto"/>
      </w:divBdr>
    </w:div>
    <w:div w:id="468859321">
      <w:bodyDiv w:val="1"/>
      <w:marLeft w:val="0"/>
      <w:marRight w:val="0"/>
      <w:marTop w:val="0"/>
      <w:marBottom w:val="0"/>
      <w:divBdr>
        <w:top w:val="none" w:sz="0" w:space="0" w:color="auto"/>
        <w:left w:val="none" w:sz="0" w:space="0" w:color="auto"/>
        <w:bottom w:val="none" w:sz="0" w:space="0" w:color="auto"/>
        <w:right w:val="none" w:sz="0" w:space="0" w:color="auto"/>
      </w:divBdr>
    </w:div>
    <w:div w:id="468938905">
      <w:bodyDiv w:val="1"/>
      <w:marLeft w:val="0"/>
      <w:marRight w:val="0"/>
      <w:marTop w:val="0"/>
      <w:marBottom w:val="0"/>
      <w:divBdr>
        <w:top w:val="none" w:sz="0" w:space="0" w:color="auto"/>
        <w:left w:val="none" w:sz="0" w:space="0" w:color="auto"/>
        <w:bottom w:val="none" w:sz="0" w:space="0" w:color="auto"/>
        <w:right w:val="none" w:sz="0" w:space="0" w:color="auto"/>
      </w:divBdr>
    </w:div>
    <w:div w:id="469396666">
      <w:bodyDiv w:val="1"/>
      <w:marLeft w:val="0"/>
      <w:marRight w:val="0"/>
      <w:marTop w:val="0"/>
      <w:marBottom w:val="0"/>
      <w:divBdr>
        <w:top w:val="none" w:sz="0" w:space="0" w:color="auto"/>
        <w:left w:val="none" w:sz="0" w:space="0" w:color="auto"/>
        <w:bottom w:val="none" w:sz="0" w:space="0" w:color="auto"/>
        <w:right w:val="none" w:sz="0" w:space="0" w:color="auto"/>
      </w:divBdr>
    </w:div>
    <w:div w:id="469441196">
      <w:bodyDiv w:val="1"/>
      <w:marLeft w:val="0"/>
      <w:marRight w:val="0"/>
      <w:marTop w:val="0"/>
      <w:marBottom w:val="0"/>
      <w:divBdr>
        <w:top w:val="none" w:sz="0" w:space="0" w:color="auto"/>
        <w:left w:val="none" w:sz="0" w:space="0" w:color="auto"/>
        <w:bottom w:val="none" w:sz="0" w:space="0" w:color="auto"/>
        <w:right w:val="none" w:sz="0" w:space="0" w:color="auto"/>
      </w:divBdr>
    </w:div>
    <w:div w:id="469831524">
      <w:bodyDiv w:val="1"/>
      <w:marLeft w:val="0"/>
      <w:marRight w:val="0"/>
      <w:marTop w:val="0"/>
      <w:marBottom w:val="0"/>
      <w:divBdr>
        <w:top w:val="none" w:sz="0" w:space="0" w:color="auto"/>
        <w:left w:val="none" w:sz="0" w:space="0" w:color="auto"/>
        <w:bottom w:val="none" w:sz="0" w:space="0" w:color="auto"/>
        <w:right w:val="none" w:sz="0" w:space="0" w:color="auto"/>
      </w:divBdr>
    </w:div>
    <w:div w:id="469906387">
      <w:bodyDiv w:val="1"/>
      <w:marLeft w:val="0"/>
      <w:marRight w:val="0"/>
      <w:marTop w:val="0"/>
      <w:marBottom w:val="0"/>
      <w:divBdr>
        <w:top w:val="none" w:sz="0" w:space="0" w:color="auto"/>
        <w:left w:val="none" w:sz="0" w:space="0" w:color="auto"/>
        <w:bottom w:val="none" w:sz="0" w:space="0" w:color="auto"/>
        <w:right w:val="none" w:sz="0" w:space="0" w:color="auto"/>
      </w:divBdr>
    </w:div>
    <w:div w:id="470513149">
      <w:bodyDiv w:val="1"/>
      <w:marLeft w:val="0"/>
      <w:marRight w:val="0"/>
      <w:marTop w:val="0"/>
      <w:marBottom w:val="0"/>
      <w:divBdr>
        <w:top w:val="none" w:sz="0" w:space="0" w:color="auto"/>
        <w:left w:val="none" w:sz="0" w:space="0" w:color="auto"/>
        <w:bottom w:val="none" w:sz="0" w:space="0" w:color="auto"/>
        <w:right w:val="none" w:sz="0" w:space="0" w:color="auto"/>
      </w:divBdr>
    </w:div>
    <w:div w:id="470832181">
      <w:bodyDiv w:val="1"/>
      <w:marLeft w:val="0"/>
      <w:marRight w:val="0"/>
      <w:marTop w:val="0"/>
      <w:marBottom w:val="0"/>
      <w:divBdr>
        <w:top w:val="none" w:sz="0" w:space="0" w:color="auto"/>
        <w:left w:val="none" w:sz="0" w:space="0" w:color="auto"/>
        <w:bottom w:val="none" w:sz="0" w:space="0" w:color="auto"/>
        <w:right w:val="none" w:sz="0" w:space="0" w:color="auto"/>
      </w:divBdr>
    </w:div>
    <w:div w:id="470900477">
      <w:bodyDiv w:val="1"/>
      <w:marLeft w:val="0"/>
      <w:marRight w:val="0"/>
      <w:marTop w:val="0"/>
      <w:marBottom w:val="0"/>
      <w:divBdr>
        <w:top w:val="none" w:sz="0" w:space="0" w:color="auto"/>
        <w:left w:val="none" w:sz="0" w:space="0" w:color="auto"/>
        <w:bottom w:val="none" w:sz="0" w:space="0" w:color="auto"/>
        <w:right w:val="none" w:sz="0" w:space="0" w:color="auto"/>
      </w:divBdr>
    </w:div>
    <w:div w:id="471823635">
      <w:bodyDiv w:val="1"/>
      <w:marLeft w:val="0"/>
      <w:marRight w:val="0"/>
      <w:marTop w:val="0"/>
      <w:marBottom w:val="0"/>
      <w:divBdr>
        <w:top w:val="none" w:sz="0" w:space="0" w:color="auto"/>
        <w:left w:val="none" w:sz="0" w:space="0" w:color="auto"/>
        <w:bottom w:val="none" w:sz="0" w:space="0" w:color="auto"/>
        <w:right w:val="none" w:sz="0" w:space="0" w:color="auto"/>
      </w:divBdr>
    </w:div>
    <w:div w:id="473645069">
      <w:bodyDiv w:val="1"/>
      <w:marLeft w:val="0"/>
      <w:marRight w:val="0"/>
      <w:marTop w:val="0"/>
      <w:marBottom w:val="0"/>
      <w:divBdr>
        <w:top w:val="none" w:sz="0" w:space="0" w:color="auto"/>
        <w:left w:val="none" w:sz="0" w:space="0" w:color="auto"/>
        <w:bottom w:val="none" w:sz="0" w:space="0" w:color="auto"/>
        <w:right w:val="none" w:sz="0" w:space="0" w:color="auto"/>
      </w:divBdr>
    </w:div>
    <w:div w:id="473833474">
      <w:bodyDiv w:val="1"/>
      <w:marLeft w:val="0"/>
      <w:marRight w:val="0"/>
      <w:marTop w:val="0"/>
      <w:marBottom w:val="0"/>
      <w:divBdr>
        <w:top w:val="none" w:sz="0" w:space="0" w:color="auto"/>
        <w:left w:val="none" w:sz="0" w:space="0" w:color="auto"/>
        <w:bottom w:val="none" w:sz="0" w:space="0" w:color="auto"/>
        <w:right w:val="none" w:sz="0" w:space="0" w:color="auto"/>
      </w:divBdr>
    </w:div>
    <w:div w:id="473910806">
      <w:bodyDiv w:val="1"/>
      <w:marLeft w:val="0"/>
      <w:marRight w:val="0"/>
      <w:marTop w:val="0"/>
      <w:marBottom w:val="0"/>
      <w:divBdr>
        <w:top w:val="none" w:sz="0" w:space="0" w:color="auto"/>
        <w:left w:val="none" w:sz="0" w:space="0" w:color="auto"/>
        <w:bottom w:val="none" w:sz="0" w:space="0" w:color="auto"/>
        <w:right w:val="none" w:sz="0" w:space="0" w:color="auto"/>
      </w:divBdr>
    </w:div>
    <w:div w:id="474221307">
      <w:bodyDiv w:val="1"/>
      <w:marLeft w:val="0"/>
      <w:marRight w:val="0"/>
      <w:marTop w:val="0"/>
      <w:marBottom w:val="0"/>
      <w:divBdr>
        <w:top w:val="none" w:sz="0" w:space="0" w:color="auto"/>
        <w:left w:val="none" w:sz="0" w:space="0" w:color="auto"/>
        <w:bottom w:val="none" w:sz="0" w:space="0" w:color="auto"/>
        <w:right w:val="none" w:sz="0" w:space="0" w:color="auto"/>
      </w:divBdr>
    </w:div>
    <w:div w:id="474297804">
      <w:bodyDiv w:val="1"/>
      <w:marLeft w:val="0"/>
      <w:marRight w:val="0"/>
      <w:marTop w:val="0"/>
      <w:marBottom w:val="0"/>
      <w:divBdr>
        <w:top w:val="none" w:sz="0" w:space="0" w:color="auto"/>
        <w:left w:val="none" w:sz="0" w:space="0" w:color="auto"/>
        <w:bottom w:val="none" w:sz="0" w:space="0" w:color="auto"/>
        <w:right w:val="none" w:sz="0" w:space="0" w:color="auto"/>
      </w:divBdr>
    </w:div>
    <w:div w:id="475142682">
      <w:bodyDiv w:val="1"/>
      <w:marLeft w:val="0"/>
      <w:marRight w:val="0"/>
      <w:marTop w:val="0"/>
      <w:marBottom w:val="0"/>
      <w:divBdr>
        <w:top w:val="none" w:sz="0" w:space="0" w:color="auto"/>
        <w:left w:val="none" w:sz="0" w:space="0" w:color="auto"/>
        <w:bottom w:val="none" w:sz="0" w:space="0" w:color="auto"/>
        <w:right w:val="none" w:sz="0" w:space="0" w:color="auto"/>
      </w:divBdr>
    </w:div>
    <w:div w:id="475414979">
      <w:bodyDiv w:val="1"/>
      <w:marLeft w:val="0"/>
      <w:marRight w:val="0"/>
      <w:marTop w:val="0"/>
      <w:marBottom w:val="0"/>
      <w:divBdr>
        <w:top w:val="none" w:sz="0" w:space="0" w:color="auto"/>
        <w:left w:val="none" w:sz="0" w:space="0" w:color="auto"/>
        <w:bottom w:val="none" w:sz="0" w:space="0" w:color="auto"/>
        <w:right w:val="none" w:sz="0" w:space="0" w:color="auto"/>
      </w:divBdr>
    </w:div>
    <w:div w:id="475996046">
      <w:bodyDiv w:val="1"/>
      <w:marLeft w:val="0"/>
      <w:marRight w:val="0"/>
      <w:marTop w:val="0"/>
      <w:marBottom w:val="0"/>
      <w:divBdr>
        <w:top w:val="none" w:sz="0" w:space="0" w:color="auto"/>
        <w:left w:val="none" w:sz="0" w:space="0" w:color="auto"/>
        <w:bottom w:val="none" w:sz="0" w:space="0" w:color="auto"/>
        <w:right w:val="none" w:sz="0" w:space="0" w:color="auto"/>
      </w:divBdr>
    </w:div>
    <w:div w:id="476652212">
      <w:bodyDiv w:val="1"/>
      <w:marLeft w:val="0"/>
      <w:marRight w:val="0"/>
      <w:marTop w:val="0"/>
      <w:marBottom w:val="0"/>
      <w:divBdr>
        <w:top w:val="none" w:sz="0" w:space="0" w:color="auto"/>
        <w:left w:val="none" w:sz="0" w:space="0" w:color="auto"/>
        <w:bottom w:val="none" w:sz="0" w:space="0" w:color="auto"/>
        <w:right w:val="none" w:sz="0" w:space="0" w:color="auto"/>
      </w:divBdr>
    </w:div>
    <w:div w:id="476725734">
      <w:bodyDiv w:val="1"/>
      <w:marLeft w:val="0"/>
      <w:marRight w:val="0"/>
      <w:marTop w:val="0"/>
      <w:marBottom w:val="0"/>
      <w:divBdr>
        <w:top w:val="none" w:sz="0" w:space="0" w:color="auto"/>
        <w:left w:val="none" w:sz="0" w:space="0" w:color="auto"/>
        <w:bottom w:val="none" w:sz="0" w:space="0" w:color="auto"/>
        <w:right w:val="none" w:sz="0" w:space="0" w:color="auto"/>
      </w:divBdr>
    </w:div>
    <w:div w:id="477653903">
      <w:bodyDiv w:val="1"/>
      <w:marLeft w:val="0"/>
      <w:marRight w:val="0"/>
      <w:marTop w:val="0"/>
      <w:marBottom w:val="0"/>
      <w:divBdr>
        <w:top w:val="none" w:sz="0" w:space="0" w:color="auto"/>
        <w:left w:val="none" w:sz="0" w:space="0" w:color="auto"/>
        <w:bottom w:val="none" w:sz="0" w:space="0" w:color="auto"/>
        <w:right w:val="none" w:sz="0" w:space="0" w:color="auto"/>
      </w:divBdr>
    </w:div>
    <w:div w:id="477693278">
      <w:bodyDiv w:val="1"/>
      <w:marLeft w:val="0"/>
      <w:marRight w:val="0"/>
      <w:marTop w:val="0"/>
      <w:marBottom w:val="0"/>
      <w:divBdr>
        <w:top w:val="none" w:sz="0" w:space="0" w:color="auto"/>
        <w:left w:val="none" w:sz="0" w:space="0" w:color="auto"/>
        <w:bottom w:val="none" w:sz="0" w:space="0" w:color="auto"/>
        <w:right w:val="none" w:sz="0" w:space="0" w:color="auto"/>
      </w:divBdr>
    </w:div>
    <w:div w:id="477693959">
      <w:bodyDiv w:val="1"/>
      <w:marLeft w:val="0"/>
      <w:marRight w:val="0"/>
      <w:marTop w:val="0"/>
      <w:marBottom w:val="0"/>
      <w:divBdr>
        <w:top w:val="none" w:sz="0" w:space="0" w:color="auto"/>
        <w:left w:val="none" w:sz="0" w:space="0" w:color="auto"/>
        <w:bottom w:val="none" w:sz="0" w:space="0" w:color="auto"/>
        <w:right w:val="none" w:sz="0" w:space="0" w:color="auto"/>
      </w:divBdr>
    </w:div>
    <w:div w:id="478032945">
      <w:bodyDiv w:val="1"/>
      <w:marLeft w:val="0"/>
      <w:marRight w:val="0"/>
      <w:marTop w:val="0"/>
      <w:marBottom w:val="0"/>
      <w:divBdr>
        <w:top w:val="none" w:sz="0" w:space="0" w:color="auto"/>
        <w:left w:val="none" w:sz="0" w:space="0" w:color="auto"/>
        <w:bottom w:val="none" w:sz="0" w:space="0" w:color="auto"/>
        <w:right w:val="none" w:sz="0" w:space="0" w:color="auto"/>
      </w:divBdr>
    </w:div>
    <w:div w:id="478233234">
      <w:bodyDiv w:val="1"/>
      <w:marLeft w:val="0"/>
      <w:marRight w:val="0"/>
      <w:marTop w:val="0"/>
      <w:marBottom w:val="0"/>
      <w:divBdr>
        <w:top w:val="none" w:sz="0" w:space="0" w:color="auto"/>
        <w:left w:val="none" w:sz="0" w:space="0" w:color="auto"/>
        <w:bottom w:val="none" w:sz="0" w:space="0" w:color="auto"/>
        <w:right w:val="none" w:sz="0" w:space="0" w:color="auto"/>
      </w:divBdr>
    </w:div>
    <w:div w:id="478304431">
      <w:bodyDiv w:val="1"/>
      <w:marLeft w:val="0"/>
      <w:marRight w:val="0"/>
      <w:marTop w:val="0"/>
      <w:marBottom w:val="0"/>
      <w:divBdr>
        <w:top w:val="none" w:sz="0" w:space="0" w:color="auto"/>
        <w:left w:val="none" w:sz="0" w:space="0" w:color="auto"/>
        <w:bottom w:val="none" w:sz="0" w:space="0" w:color="auto"/>
        <w:right w:val="none" w:sz="0" w:space="0" w:color="auto"/>
      </w:divBdr>
    </w:div>
    <w:div w:id="478571558">
      <w:bodyDiv w:val="1"/>
      <w:marLeft w:val="0"/>
      <w:marRight w:val="0"/>
      <w:marTop w:val="0"/>
      <w:marBottom w:val="0"/>
      <w:divBdr>
        <w:top w:val="none" w:sz="0" w:space="0" w:color="auto"/>
        <w:left w:val="none" w:sz="0" w:space="0" w:color="auto"/>
        <w:bottom w:val="none" w:sz="0" w:space="0" w:color="auto"/>
        <w:right w:val="none" w:sz="0" w:space="0" w:color="auto"/>
      </w:divBdr>
    </w:div>
    <w:div w:id="478689417">
      <w:bodyDiv w:val="1"/>
      <w:marLeft w:val="0"/>
      <w:marRight w:val="0"/>
      <w:marTop w:val="0"/>
      <w:marBottom w:val="0"/>
      <w:divBdr>
        <w:top w:val="none" w:sz="0" w:space="0" w:color="auto"/>
        <w:left w:val="none" w:sz="0" w:space="0" w:color="auto"/>
        <w:bottom w:val="none" w:sz="0" w:space="0" w:color="auto"/>
        <w:right w:val="none" w:sz="0" w:space="0" w:color="auto"/>
      </w:divBdr>
    </w:div>
    <w:div w:id="479537294">
      <w:bodyDiv w:val="1"/>
      <w:marLeft w:val="0"/>
      <w:marRight w:val="0"/>
      <w:marTop w:val="0"/>
      <w:marBottom w:val="0"/>
      <w:divBdr>
        <w:top w:val="none" w:sz="0" w:space="0" w:color="auto"/>
        <w:left w:val="none" w:sz="0" w:space="0" w:color="auto"/>
        <w:bottom w:val="none" w:sz="0" w:space="0" w:color="auto"/>
        <w:right w:val="none" w:sz="0" w:space="0" w:color="auto"/>
      </w:divBdr>
    </w:div>
    <w:div w:id="479806552">
      <w:bodyDiv w:val="1"/>
      <w:marLeft w:val="0"/>
      <w:marRight w:val="0"/>
      <w:marTop w:val="0"/>
      <w:marBottom w:val="0"/>
      <w:divBdr>
        <w:top w:val="none" w:sz="0" w:space="0" w:color="auto"/>
        <w:left w:val="none" w:sz="0" w:space="0" w:color="auto"/>
        <w:bottom w:val="none" w:sz="0" w:space="0" w:color="auto"/>
        <w:right w:val="none" w:sz="0" w:space="0" w:color="auto"/>
      </w:divBdr>
    </w:div>
    <w:div w:id="479928419">
      <w:bodyDiv w:val="1"/>
      <w:marLeft w:val="0"/>
      <w:marRight w:val="0"/>
      <w:marTop w:val="0"/>
      <w:marBottom w:val="0"/>
      <w:divBdr>
        <w:top w:val="none" w:sz="0" w:space="0" w:color="auto"/>
        <w:left w:val="none" w:sz="0" w:space="0" w:color="auto"/>
        <w:bottom w:val="none" w:sz="0" w:space="0" w:color="auto"/>
        <w:right w:val="none" w:sz="0" w:space="0" w:color="auto"/>
      </w:divBdr>
    </w:div>
    <w:div w:id="480462287">
      <w:bodyDiv w:val="1"/>
      <w:marLeft w:val="0"/>
      <w:marRight w:val="0"/>
      <w:marTop w:val="0"/>
      <w:marBottom w:val="0"/>
      <w:divBdr>
        <w:top w:val="none" w:sz="0" w:space="0" w:color="auto"/>
        <w:left w:val="none" w:sz="0" w:space="0" w:color="auto"/>
        <w:bottom w:val="none" w:sz="0" w:space="0" w:color="auto"/>
        <w:right w:val="none" w:sz="0" w:space="0" w:color="auto"/>
      </w:divBdr>
    </w:div>
    <w:div w:id="481653362">
      <w:bodyDiv w:val="1"/>
      <w:marLeft w:val="0"/>
      <w:marRight w:val="0"/>
      <w:marTop w:val="0"/>
      <w:marBottom w:val="0"/>
      <w:divBdr>
        <w:top w:val="none" w:sz="0" w:space="0" w:color="auto"/>
        <w:left w:val="none" w:sz="0" w:space="0" w:color="auto"/>
        <w:bottom w:val="none" w:sz="0" w:space="0" w:color="auto"/>
        <w:right w:val="none" w:sz="0" w:space="0" w:color="auto"/>
      </w:divBdr>
    </w:div>
    <w:div w:id="482935254">
      <w:bodyDiv w:val="1"/>
      <w:marLeft w:val="0"/>
      <w:marRight w:val="0"/>
      <w:marTop w:val="0"/>
      <w:marBottom w:val="0"/>
      <w:divBdr>
        <w:top w:val="none" w:sz="0" w:space="0" w:color="auto"/>
        <w:left w:val="none" w:sz="0" w:space="0" w:color="auto"/>
        <w:bottom w:val="none" w:sz="0" w:space="0" w:color="auto"/>
        <w:right w:val="none" w:sz="0" w:space="0" w:color="auto"/>
      </w:divBdr>
    </w:div>
    <w:div w:id="483468631">
      <w:bodyDiv w:val="1"/>
      <w:marLeft w:val="0"/>
      <w:marRight w:val="0"/>
      <w:marTop w:val="0"/>
      <w:marBottom w:val="0"/>
      <w:divBdr>
        <w:top w:val="none" w:sz="0" w:space="0" w:color="auto"/>
        <w:left w:val="none" w:sz="0" w:space="0" w:color="auto"/>
        <w:bottom w:val="none" w:sz="0" w:space="0" w:color="auto"/>
        <w:right w:val="none" w:sz="0" w:space="0" w:color="auto"/>
      </w:divBdr>
    </w:div>
    <w:div w:id="483622430">
      <w:bodyDiv w:val="1"/>
      <w:marLeft w:val="0"/>
      <w:marRight w:val="0"/>
      <w:marTop w:val="0"/>
      <w:marBottom w:val="0"/>
      <w:divBdr>
        <w:top w:val="none" w:sz="0" w:space="0" w:color="auto"/>
        <w:left w:val="none" w:sz="0" w:space="0" w:color="auto"/>
        <w:bottom w:val="none" w:sz="0" w:space="0" w:color="auto"/>
        <w:right w:val="none" w:sz="0" w:space="0" w:color="auto"/>
      </w:divBdr>
    </w:div>
    <w:div w:id="484781996">
      <w:bodyDiv w:val="1"/>
      <w:marLeft w:val="0"/>
      <w:marRight w:val="0"/>
      <w:marTop w:val="0"/>
      <w:marBottom w:val="0"/>
      <w:divBdr>
        <w:top w:val="none" w:sz="0" w:space="0" w:color="auto"/>
        <w:left w:val="none" w:sz="0" w:space="0" w:color="auto"/>
        <w:bottom w:val="none" w:sz="0" w:space="0" w:color="auto"/>
        <w:right w:val="none" w:sz="0" w:space="0" w:color="auto"/>
      </w:divBdr>
    </w:div>
    <w:div w:id="484905829">
      <w:bodyDiv w:val="1"/>
      <w:marLeft w:val="0"/>
      <w:marRight w:val="0"/>
      <w:marTop w:val="0"/>
      <w:marBottom w:val="0"/>
      <w:divBdr>
        <w:top w:val="none" w:sz="0" w:space="0" w:color="auto"/>
        <w:left w:val="none" w:sz="0" w:space="0" w:color="auto"/>
        <w:bottom w:val="none" w:sz="0" w:space="0" w:color="auto"/>
        <w:right w:val="none" w:sz="0" w:space="0" w:color="auto"/>
      </w:divBdr>
    </w:div>
    <w:div w:id="485363325">
      <w:bodyDiv w:val="1"/>
      <w:marLeft w:val="0"/>
      <w:marRight w:val="0"/>
      <w:marTop w:val="0"/>
      <w:marBottom w:val="0"/>
      <w:divBdr>
        <w:top w:val="none" w:sz="0" w:space="0" w:color="auto"/>
        <w:left w:val="none" w:sz="0" w:space="0" w:color="auto"/>
        <w:bottom w:val="none" w:sz="0" w:space="0" w:color="auto"/>
        <w:right w:val="none" w:sz="0" w:space="0" w:color="auto"/>
      </w:divBdr>
    </w:div>
    <w:div w:id="486239492">
      <w:bodyDiv w:val="1"/>
      <w:marLeft w:val="0"/>
      <w:marRight w:val="0"/>
      <w:marTop w:val="0"/>
      <w:marBottom w:val="0"/>
      <w:divBdr>
        <w:top w:val="none" w:sz="0" w:space="0" w:color="auto"/>
        <w:left w:val="none" w:sz="0" w:space="0" w:color="auto"/>
        <w:bottom w:val="none" w:sz="0" w:space="0" w:color="auto"/>
        <w:right w:val="none" w:sz="0" w:space="0" w:color="auto"/>
      </w:divBdr>
    </w:div>
    <w:div w:id="486366032">
      <w:bodyDiv w:val="1"/>
      <w:marLeft w:val="0"/>
      <w:marRight w:val="0"/>
      <w:marTop w:val="0"/>
      <w:marBottom w:val="0"/>
      <w:divBdr>
        <w:top w:val="none" w:sz="0" w:space="0" w:color="auto"/>
        <w:left w:val="none" w:sz="0" w:space="0" w:color="auto"/>
        <w:bottom w:val="none" w:sz="0" w:space="0" w:color="auto"/>
        <w:right w:val="none" w:sz="0" w:space="0" w:color="auto"/>
      </w:divBdr>
    </w:div>
    <w:div w:id="487137872">
      <w:bodyDiv w:val="1"/>
      <w:marLeft w:val="0"/>
      <w:marRight w:val="0"/>
      <w:marTop w:val="0"/>
      <w:marBottom w:val="0"/>
      <w:divBdr>
        <w:top w:val="none" w:sz="0" w:space="0" w:color="auto"/>
        <w:left w:val="none" w:sz="0" w:space="0" w:color="auto"/>
        <w:bottom w:val="none" w:sz="0" w:space="0" w:color="auto"/>
        <w:right w:val="none" w:sz="0" w:space="0" w:color="auto"/>
      </w:divBdr>
    </w:div>
    <w:div w:id="489368443">
      <w:bodyDiv w:val="1"/>
      <w:marLeft w:val="0"/>
      <w:marRight w:val="0"/>
      <w:marTop w:val="0"/>
      <w:marBottom w:val="0"/>
      <w:divBdr>
        <w:top w:val="none" w:sz="0" w:space="0" w:color="auto"/>
        <w:left w:val="none" w:sz="0" w:space="0" w:color="auto"/>
        <w:bottom w:val="none" w:sz="0" w:space="0" w:color="auto"/>
        <w:right w:val="none" w:sz="0" w:space="0" w:color="auto"/>
      </w:divBdr>
    </w:div>
    <w:div w:id="489562902">
      <w:bodyDiv w:val="1"/>
      <w:marLeft w:val="0"/>
      <w:marRight w:val="0"/>
      <w:marTop w:val="0"/>
      <w:marBottom w:val="0"/>
      <w:divBdr>
        <w:top w:val="none" w:sz="0" w:space="0" w:color="auto"/>
        <w:left w:val="none" w:sz="0" w:space="0" w:color="auto"/>
        <w:bottom w:val="none" w:sz="0" w:space="0" w:color="auto"/>
        <w:right w:val="none" w:sz="0" w:space="0" w:color="auto"/>
      </w:divBdr>
    </w:div>
    <w:div w:id="489904857">
      <w:bodyDiv w:val="1"/>
      <w:marLeft w:val="0"/>
      <w:marRight w:val="0"/>
      <w:marTop w:val="0"/>
      <w:marBottom w:val="0"/>
      <w:divBdr>
        <w:top w:val="none" w:sz="0" w:space="0" w:color="auto"/>
        <w:left w:val="none" w:sz="0" w:space="0" w:color="auto"/>
        <w:bottom w:val="none" w:sz="0" w:space="0" w:color="auto"/>
        <w:right w:val="none" w:sz="0" w:space="0" w:color="auto"/>
      </w:divBdr>
    </w:div>
    <w:div w:id="489949887">
      <w:bodyDiv w:val="1"/>
      <w:marLeft w:val="0"/>
      <w:marRight w:val="0"/>
      <w:marTop w:val="0"/>
      <w:marBottom w:val="0"/>
      <w:divBdr>
        <w:top w:val="none" w:sz="0" w:space="0" w:color="auto"/>
        <w:left w:val="none" w:sz="0" w:space="0" w:color="auto"/>
        <w:bottom w:val="none" w:sz="0" w:space="0" w:color="auto"/>
        <w:right w:val="none" w:sz="0" w:space="0" w:color="auto"/>
      </w:divBdr>
    </w:div>
    <w:div w:id="490022914">
      <w:bodyDiv w:val="1"/>
      <w:marLeft w:val="0"/>
      <w:marRight w:val="0"/>
      <w:marTop w:val="0"/>
      <w:marBottom w:val="0"/>
      <w:divBdr>
        <w:top w:val="none" w:sz="0" w:space="0" w:color="auto"/>
        <w:left w:val="none" w:sz="0" w:space="0" w:color="auto"/>
        <w:bottom w:val="none" w:sz="0" w:space="0" w:color="auto"/>
        <w:right w:val="none" w:sz="0" w:space="0" w:color="auto"/>
      </w:divBdr>
    </w:div>
    <w:div w:id="490029514">
      <w:bodyDiv w:val="1"/>
      <w:marLeft w:val="0"/>
      <w:marRight w:val="0"/>
      <w:marTop w:val="0"/>
      <w:marBottom w:val="0"/>
      <w:divBdr>
        <w:top w:val="none" w:sz="0" w:space="0" w:color="auto"/>
        <w:left w:val="none" w:sz="0" w:space="0" w:color="auto"/>
        <w:bottom w:val="none" w:sz="0" w:space="0" w:color="auto"/>
        <w:right w:val="none" w:sz="0" w:space="0" w:color="auto"/>
      </w:divBdr>
    </w:div>
    <w:div w:id="490876736">
      <w:bodyDiv w:val="1"/>
      <w:marLeft w:val="0"/>
      <w:marRight w:val="0"/>
      <w:marTop w:val="0"/>
      <w:marBottom w:val="0"/>
      <w:divBdr>
        <w:top w:val="none" w:sz="0" w:space="0" w:color="auto"/>
        <w:left w:val="none" w:sz="0" w:space="0" w:color="auto"/>
        <w:bottom w:val="none" w:sz="0" w:space="0" w:color="auto"/>
        <w:right w:val="none" w:sz="0" w:space="0" w:color="auto"/>
      </w:divBdr>
    </w:div>
    <w:div w:id="490947947">
      <w:bodyDiv w:val="1"/>
      <w:marLeft w:val="0"/>
      <w:marRight w:val="0"/>
      <w:marTop w:val="0"/>
      <w:marBottom w:val="0"/>
      <w:divBdr>
        <w:top w:val="none" w:sz="0" w:space="0" w:color="auto"/>
        <w:left w:val="none" w:sz="0" w:space="0" w:color="auto"/>
        <w:bottom w:val="none" w:sz="0" w:space="0" w:color="auto"/>
        <w:right w:val="none" w:sz="0" w:space="0" w:color="auto"/>
      </w:divBdr>
    </w:div>
    <w:div w:id="491063887">
      <w:bodyDiv w:val="1"/>
      <w:marLeft w:val="0"/>
      <w:marRight w:val="0"/>
      <w:marTop w:val="0"/>
      <w:marBottom w:val="0"/>
      <w:divBdr>
        <w:top w:val="none" w:sz="0" w:space="0" w:color="auto"/>
        <w:left w:val="none" w:sz="0" w:space="0" w:color="auto"/>
        <w:bottom w:val="none" w:sz="0" w:space="0" w:color="auto"/>
        <w:right w:val="none" w:sz="0" w:space="0" w:color="auto"/>
      </w:divBdr>
    </w:div>
    <w:div w:id="491140381">
      <w:bodyDiv w:val="1"/>
      <w:marLeft w:val="0"/>
      <w:marRight w:val="0"/>
      <w:marTop w:val="0"/>
      <w:marBottom w:val="0"/>
      <w:divBdr>
        <w:top w:val="none" w:sz="0" w:space="0" w:color="auto"/>
        <w:left w:val="none" w:sz="0" w:space="0" w:color="auto"/>
        <w:bottom w:val="none" w:sz="0" w:space="0" w:color="auto"/>
        <w:right w:val="none" w:sz="0" w:space="0" w:color="auto"/>
      </w:divBdr>
    </w:div>
    <w:div w:id="491531182">
      <w:bodyDiv w:val="1"/>
      <w:marLeft w:val="0"/>
      <w:marRight w:val="0"/>
      <w:marTop w:val="0"/>
      <w:marBottom w:val="0"/>
      <w:divBdr>
        <w:top w:val="none" w:sz="0" w:space="0" w:color="auto"/>
        <w:left w:val="none" w:sz="0" w:space="0" w:color="auto"/>
        <w:bottom w:val="none" w:sz="0" w:space="0" w:color="auto"/>
        <w:right w:val="none" w:sz="0" w:space="0" w:color="auto"/>
      </w:divBdr>
    </w:div>
    <w:div w:id="492263266">
      <w:bodyDiv w:val="1"/>
      <w:marLeft w:val="0"/>
      <w:marRight w:val="0"/>
      <w:marTop w:val="0"/>
      <w:marBottom w:val="0"/>
      <w:divBdr>
        <w:top w:val="none" w:sz="0" w:space="0" w:color="auto"/>
        <w:left w:val="none" w:sz="0" w:space="0" w:color="auto"/>
        <w:bottom w:val="none" w:sz="0" w:space="0" w:color="auto"/>
        <w:right w:val="none" w:sz="0" w:space="0" w:color="auto"/>
      </w:divBdr>
    </w:div>
    <w:div w:id="493179809">
      <w:bodyDiv w:val="1"/>
      <w:marLeft w:val="0"/>
      <w:marRight w:val="0"/>
      <w:marTop w:val="0"/>
      <w:marBottom w:val="0"/>
      <w:divBdr>
        <w:top w:val="none" w:sz="0" w:space="0" w:color="auto"/>
        <w:left w:val="none" w:sz="0" w:space="0" w:color="auto"/>
        <w:bottom w:val="none" w:sz="0" w:space="0" w:color="auto"/>
        <w:right w:val="none" w:sz="0" w:space="0" w:color="auto"/>
      </w:divBdr>
    </w:div>
    <w:div w:id="497038451">
      <w:bodyDiv w:val="1"/>
      <w:marLeft w:val="0"/>
      <w:marRight w:val="0"/>
      <w:marTop w:val="0"/>
      <w:marBottom w:val="0"/>
      <w:divBdr>
        <w:top w:val="none" w:sz="0" w:space="0" w:color="auto"/>
        <w:left w:val="none" w:sz="0" w:space="0" w:color="auto"/>
        <w:bottom w:val="none" w:sz="0" w:space="0" w:color="auto"/>
        <w:right w:val="none" w:sz="0" w:space="0" w:color="auto"/>
      </w:divBdr>
    </w:div>
    <w:div w:id="499124902">
      <w:bodyDiv w:val="1"/>
      <w:marLeft w:val="0"/>
      <w:marRight w:val="0"/>
      <w:marTop w:val="0"/>
      <w:marBottom w:val="0"/>
      <w:divBdr>
        <w:top w:val="none" w:sz="0" w:space="0" w:color="auto"/>
        <w:left w:val="none" w:sz="0" w:space="0" w:color="auto"/>
        <w:bottom w:val="none" w:sz="0" w:space="0" w:color="auto"/>
        <w:right w:val="none" w:sz="0" w:space="0" w:color="auto"/>
      </w:divBdr>
    </w:div>
    <w:div w:id="499272980">
      <w:bodyDiv w:val="1"/>
      <w:marLeft w:val="0"/>
      <w:marRight w:val="0"/>
      <w:marTop w:val="0"/>
      <w:marBottom w:val="0"/>
      <w:divBdr>
        <w:top w:val="none" w:sz="0" w:space="0" w:color="auto"/>
        <w:left w:val="none" w:sz="0" w:space="0" w:color="auto"/>
        <w:bottom w:val="none" w:sz="0" w:space="0" w:color="auto"/>
        <w:right w:val="none" w:sz="0" w:space="0" w:color="auto"/>
      </w:divBdr>
    </w:div>
    <w:div w:id="499734244">
      <w:bodyDiv w:val="1"/>
      <w:marLeft w:val="0"/>
      <w:marRight w:val="0"/>
      <w:marTop w:val="0"/>
      <w:marBottom w:val="0"/>
      <w:divBdr>
        <w:top w:val="none" w:sz="0" w:space="0" w:color="auto"/>
        <w:left w:val="none" w:sz="0" w:space="0" w:color="auto"/>
        <w:bottom w:val="none" w:sz="0" w:space="0" w:color="auto"/>
        <w:right w:val="none" w:sz="0" w:space="0" w:color="auto"/>
      </w:divBdr>
    </w:div>
    <w:div w:id="501819143">
      <w:bodyDiv w:val="1"/>
      <w:marLeft w:val="0"/>
      <w:marRight w:val="0"/>
      <w:marTop w:val="0"/>
      <w:marBottom w:val="0"/>
      <w:divBdr>
        <w:top w:val="none" w:sz="0" w:space="0" w:color="auto"/>
        <w:left w:val="none" w:sz="0" w:space="0" w:color="auto"/>
        <w:bottom w:val="none" w:sz="0" w:space="0" w:color="auto"/>
        <w:right w:val="none" w:sz="0" w:space="0" w:color="auto"/>
      </w:divBdr>
    </w:div>
    <w:div w:id="502163140">
      <w:bodyDiv w:val="1"/>
      <w:marLeft w:val="0"/>
      <w:marRight w:val="0"/>
      <w:marTop w:val="0"/>
      <w:marBottom w:val="0"/>
      <w:divBdr>
        <w:top w:val="none" w:sz="0" w:space="0" w:color="auto"/>
        <w:left w:val="none" w:sz="0" w:space="0" w:color="auto"/>
        <w:bottom w:val="none" w:sz="0" w:space="0" w:color="auto"/>
        <w:right w:val="none" w:sz="0" w:space="0" w:color="auto"/>
      </w:divBdr>
    </w:div>
    <w:div w:id="502204580">
      <w:bodyDiv w:val="1"/>
      <w:marLeft w:val="0"/>
      <w:marRight w:val="0"/>
      <w:marTop w:val="0"/>
      <w:marBottom w:val="0"/>
      <w:divBdr>
        <w:top w:val="none" w:sz="0" w:space="0" w:color="auto"/>
        <w:left w:val="none" w:sz="0" w:space="0" w:color="auto"/>
        <w:bottom w:val="none" w:sz="0" w:space="0" w:color="auto"/>
        <w:right w:val="none" w:sz="0" w:space="0" w:color="auto"/>
      </w:divBdr>
    </w:div>
    <w:div w:id="502404703">
      <w:bodyDiv w:val="1"/>
      <w:marLeft w:val="0"/>
      <w:marRight w:val="0"/>
      <w:marTop w:val="0"/>
      <w:marBottom w:val="0"/>
      <w:divBdr>
        <w:top w:val="none" w:sz="0" w:space="0" w:color="auto"/>
        <w:left w:val="none" w:sz="0" w:space="0" w:color="auto"/>
        <w:bottom w:val="none" w:sz="0" w:space="0" w:color="auto"/>
        <w:right w:val="none" w:sz="0" w:space="0" w:color="auto"/>
      </w:divBdr>
    </w:div>
    <w:div w:id="502474796">
      <w:bodyDiv w:val="1"/>
      <w:marLeft w:val="0"/>
      <w:marRight w:val="0"/>
      <w:marTop w:val="0"/>
      <w:marBottom w:val="0"/>
      <w:divBdr>
        <w:top w:val="none" w:sz="0" w:space="0" w:color="auto"/>
        <w:left w:val="none" w:sz="0" w:space="0" w:color="auto"/>
        <w:bottom w:val="none" w:sz="0" w:space="0" w:color="auto"/>
        <w:right w:val="none" w:sz="0" w:space="0" w:color="auto"/>
      </w:divBdr>
    </w:div>
    <w:div w:id="503084437">
      <w:bodyDiv w:val="1"/>
      <w:marLeft w:val="0"/>
      <w:marRight w:val="0"/>
      <w:marTop w:val="0"/>
      <w:marBottom w:val="0"/>
      <w:divBdr>
        <w:top w:val="none" w:sz="0" w:space="0" w:color="auto"/>
        <w:left w:val="none" w:sz="0" w:space="0" w:color="auto"/>
        <w:bottom w:val="none" w:sz="0" w:space="0" w:color="auto"/>
        <w:right w:val="none" w:sz="0" w:space="0" w:color="auto"/>
      </w:divBdr>
    </w:div>
    <w:div w:id="503592964">
      <w:bodyDiv w:val="1"/>
      <w:marLeft w:val="0"/>
      <w:marRight w:val="0"/>
      <w:marTop w:val="0"/>
      <w:marBottom w:val="0"/>
      <w:divBdr>
        <w:top w:val="none" w:sz="0" w:space="0" w:color="auto"/>
        <w:left w:val="none" w:sz="0" w:space="0" w:color="auto"/>
        <w:bottom w:val="none" w:sz="0" w:space="0" w:color="auto"/>
        <w:right w:val="none" w:sz="0" w:space="0" w:color="auto"/>
      </w:divBdr>
    </w:div>
    <w:div w:id="504169520">
      <w:bodyDiv w:val="1"/>
      <w:marLeft w:val="0"/>
      <w:marRight w:val="0"/>
      <w:marTop w:val="0"/>
      <w:marBottom w:val="0"/>
      <w:divBdr>
        <w:top w:val="none" w:sz="0" w:space="0" w:color="auto"/>
        <w:left w:val="none" w:sz="0" w:space="0" w:color="auto"/>
        <w:bottom w:val="none" w:sz="0" w:space="0" w:color="auto"/>
        <w:right w:val="none" w:sz="0" w:space="0" w:color="auto"/>
      </w:divBdr>
    </w:div>
    <w:div w:id="505050308">
      <w:bodyDiv w:val="1"/>
      <w:marLeft w:val="0"/>
      <w:marRight w:val="0"/>
      <w:marTop w:val="0"/>
      <w:marBottom w:val="0"/>
      <w:divBdr>
        <w:top w:val="none" w:sz="0" w:space="0" w:color="auto"/>
        <w:left w:val="none" w:sz="0" w:space="0" w:color="auto"/>
        <w:bottom w:val="none" w:sz="0" w:space="0" w:color="auto"/>
        <w:right w:val="none" w:sz="0" w:space="0" w:color="auto"/>
      </w:divBdr>
    </w:div>
    <w:div w:id="505363907">
      <w:bodyDiv w:val="1"/>
      <w:marLeft w:val="0"/>
      <w:marRight w:val="0"/>
      <w:marTop w:val="0"/>
      <w:marBottom w:val="0"/>
      <w:divBdr>
        <w:top w:val="none" w:sz="0" w:space="0" w:color="auto"/>
        <w:left w:val="none" w:sz="0" w:space="0" w:color="auto"/>
        <w:bottom w:val="none" w:sz="0" w:space="0" w:color="auto"/>
        <w:right w:val="none" w:sz="0" w:space="0" w:color="auto"/>
      </w:divBdr>
    </w:div>
    <w:div w:id="505365760">
      <w:bodyDiv w:val="1"/>
      <w:marLeft w:val="0"/>
      <w:marRight w:val="0"/>
      <w:marTop w:val="0"/>
      <w:marBottom w:val="0"/>
      <w:divBdr>
        <w:top w:val="none" w:sz="0" w:space="0" w:color="auto"/>
        <w:left w:val="none" w:sz="0" w:space="0" w:color="auto"/>
        <w:bottom w:val="none" w:sz="0" w:space="0" w:color="auto"/>
        <w:right w:val="none" w:sz="0" w:space="0" w:color="auto"/>
      </w:divBdr>
    </w:div>
    <w:div w:id="505680844">
      <w:bodyDiv w:val="1"/>
      <w:marLeft w:val="0"/>
      <w:marRight w:val="0"/>
      <w:marTop w:val="0"/>
      <w:marBottom w:val="0"/>
      <w:divBdr>
        <w:top w:val="none" w:sz="0" w:space="0" w:color="auto"/>
        <w:left w:val="none" w:sz="0" w:space="0" w:color="auto"/>
        <w:bottom w:val="none" w:sz="0" w:space="0" w:color="auto"/>
        <w:right w:val="none" w:sz="0" w:space="0" w:color="auto"/>
      </w:divBdr>
    </w:div>
    <w:div w:id="506091654">
      <w:bodyDiv w:val="1"/>
      <w:marLeft w:val="0"/>
      <w:marRight w:val="0"/>
      <w:marTop w:val="0"/>
      <w:marBottom w:val="0"/>
      <w:divBdr>
        <w:top w:val="none" w:sz="0" w:space="0" w:color="auto"/>
        <w:left w:val="none" w:sz="0" w:space="0" w:color="auto"/>
        <w:bottom w:val="none" w:sz="0" w:space="0" w:color="auto"/>
        <w:right w:val="none" w:sz="0" w:space="0" w:color="auto"/>
      </w:divBdr>
    </w:div>
    <w:div w:id="506292143">
      <w:bodyDiv w:val="1"/>
      <w:marLeft w:val="0"/>
      <w:marRight w:val="0"/>
      <w:marTop w:val="0"/>
      <w:marBottom w:val="0"/>
      <w:divBdr>
        <w:top w:val="none" w:sz="0" w:space="0" w:color="auto"/>
        <w:left w:val="none" w:sz="0" w:space="0" w:color="auto"/>
        <w:bottom w:val="none" w:sz="0" w:space="0" w:color="auto"/>
        <w:right w:val="none" w:sz="0" w:space="0" w:color="auto"/>
      </w:divBdr>
    </w:div>
    <w:div w:id="506362022">
      <w:bodyDiv w:val="1"/>
      <w:marLeft w:val="0"/>
      <w:marRight w:val="0"/>
      <w:marTop w:val="0"/>
      <w:marBottom w:val="0"/>
      <w:divBdr>
        <w:top w:val="none" w:sz="0" w:space="0" w:color="auto"/>
        <w:left w:val="none" w:sz="0" w:space="0" w:color="auto"/>
        <w:bottom w:val="none" w:sz="0" w:space="0" w:color="auto"/>
        <w:right w:val="none" w:sz="0" w:space="0" w:color="auto"/>
      </w:divBdr>
    </w:div>
    <w:div w:id="506529459">
      <w:bodyDiv w:val="1"/>
      <w:marLeft w:val="0"/>
      <w:marRight w:val="0"/>
      <w:marTop w:val="0"/>
      <w:marBottom w:val="0"/>
      <w:divBdr>
        <w:top w:val="none" w:sz="0" w:space="0" w:color="auto"/>
        <w:left w:val="none" w:sz="0" w:space="0" w:color="auto"/>
        <w:bottom w:val="none" w:sz="0" w:space="0" w:color="auto"/>
        <w:right w:val="none" w:sz="0" w:space="0" w:color="auto"/>
      </w:divBdr>
    </w:div>
    <w:div w:id="506554188">
      <w:bodyDiv w:val="1"/>
      <w:marLeft w:val="0"/>
      <w:marRight w:val="0"/>
      <w:marTop w:val="0"/>
      <w:marBottom w:val="0"/>
      <w:divBdr>
        <w:top w:val="none" w:sz="0" w:space="0" w:color="auto"/>
        <w:left w:val="none" w:sz="0" w:space="0" w:color="auto"/>
        <w:bottom w:val="none" w:sz="0" w:space="0" w:color="auto"/>
        <w:right w:val="none" w:sz="0" w:space="0" w:color="auto"/>
      </w:divBdr>
    </w:div>
    <w:div w:id="507210080">
      <w:bodyDiv w:val="1"/>
      <w:marLeft w:val="0"/>
      <w:marRight w:val="0"/>
      <w:marTop w:val="0"/>
      <w:marBottom w:val="0"/>
      <w:divBdr>
        <w:top w:val="none" w:sz="0" w:space="0" w:color="auto"/>
        <w:left w:val="none" w:sz="0" w:space="0" w:color="auto"/>
        <w:bottom w:val="none" w:sz="0" w:space="0" w:color="auto"/>
        <w:right w:val="none" w:sz="0" w:space="0" w:color="auto"/>
      </w:divBdr>
    </w:div>
    <w:div w:id="509491754">
      <w:bodyDiv w:val="1"/>
      <w:marLeft w:val="0"/>
      <w:marRight w:val="0"/>
      <w:marTop w:val="0"/>
      <w:marBottom w:val="0"/>
      <w:divBdr>
        <w:top w:val="none" w:sz="0" w:space="0" w:color="auto"/>
        <w:left w:val="none" w:sz="0" w:space="0" w:color="auto"/>
        <w:bottom w:val="none" w:sz="0" w:space="0" w:color="auto"/>
        <w:right w:val="none" w:sz="0" w:space="0" w:color="auto"/>
      </w:divBdr>
    </w:div>
    <w:div w:id="510603361">
      <w:bodyDiv w:val="1"/>
      <w:marLeft w:val="0"/>
      <w:marRight w:val="0"/>
      <w:marTop w:val="0"/>
      <w:marBottom w:val="0"/>
      <w:divBdr>
        <w:top w:val="none" w:sz="0" w:space="0" w:color="auto"/>
        <w:left w:val="none" w:sz="0" w:space="0" w:color="auto"/>
        <w:bottom w:val="none" w:sz="0" w:space="0" w:color="auto"/>
        <w:right w:val="none" w:sz="0" w:space="0" w:color="auto"/>
      </w:divBdr>
    </w:div>
    <w:div w:id="511335290">
      <w:bodyDiv w:val="1"/>
      <w:marLeft w:val="0"/>
      <w:marRight w:val="0"/>
      <w:marTop w:val="0"/>
      <w:marBottom w:val="0"/>
      <w:divBdr>
        <w:top w:val="none" w:sz="0" w:space="0" w:color="auto"/>
        <w:left w:val="none" w:sz="0" w:space="0" w:color="auto"/>
        <w:bottom w:val="none" w:sz="0" w:space="0" w:color="auto"/>
        <w:right w:val="none" w:sz="0" w:space="0" w:color="auto"/>
      </w:divBdr>
    </w:div>
    <w:div w:id="511991301">
      <w:bodyDiv w:val="1"/>
      <w:marLeft w:val="0"/>
      <w:marRight w:val="0"/>
      <w:marTop w:val="0"/>
      <w:marBottom w:val="0"/>
      <w:divBdr>
        <w:top w:val="none" w:sz="0" w:space="0" w:color="auto"/>
        <w:left w:val="none" w:sz="0" w:space="0" w:color="auto"/>
        <w:bottom w:val="none" w:sz="0" w:space="0" w:color="auto"/>
        <w:right w:val="none" w:sz="0" w:space="0" w:color="auto"/>
      </w:divBdr>
    </w:div>
    <w:div w:id="512303618">
      <w:bodyDiv w:val="1"/>
      <w:marLeft w:val="0"/>
      <w:marRight w:val="0"/>
      <w:marTop w:val="0"/>
      <w:marBottom w:val="0"/>
      <w:divBdr>
        <w:top w:val="none" w:sz="0" w:space="0" w:color="auto"/>
        <w:left w:val="none" w:sz="0" w:space="0" w:color="auto"/>
        <w:bottom w:val="none" w:sz="0" w:space="0" w:color="auto"/>
        <w:right w:val="none" w:sz="0" w:space="0" w:color="auto"/>
      </w:divBdr>
    </w:div>
    <w:div w:id="513343799">
      <w:bodyDiv w:val="1"/>
      <w:marLeft w:val="0"/>
      <w:marRight w:val="0"/>
      <w:marTop w:val="0"/>
      <w:marBottom w:val="0"/>
      <w:divBdr>
        <w:top w:val="none" w:sz="0" w:space="0" w:color="auto"/>
        <w:left w:val="none" w:sz="0" w:space="0" w:color="auto"/>
        <w:bottom w:val="none" w:sz="0" w:space="0" w:color="auto"/>
        <w:right w:val="none" w:sz="0" w:space="0" w:color="auto"/>
      </w:divBdr>
    </w:div>
    <w:div w:id="514460525">
      <w:bodyDiv w:val="1"/>
      <w:marLeft w:val="0"/>
      <w:marRight w:val="0"/>
      <w:marTop w:val="0"/>
      <w:marBottom w:val="0"/>
      <w:divBdr>
        <w:top w:val="none" w:sz="0" w:space="0" w:color="auto"/>
        <w:left w:val="none" w:sz="0" w:space="0" w:color="auto"/>
        <w:bottom w:val="none" w:sz="0" w:space="0" w:color="auto"/>
        <w:right w:val="none" w:sz="0" w:space="0" w:color="auto"/>
      </w:divBdr>
    </w:div>
    <w:div w:id="514925862">
      <w:bodyDiv w:val="1"/>
      <w:marLeft w:val="0"/>
      <w:marRight w:val="0"/>
      <w:marTop w:val="0"/>
      <w:marBottom w:val="0"/>
      <w:divBdr>
        <w:top w:val="none" w:sz="0" w:space="0" w:color="auto"/>
        <w:left w:val="none" w:sz="0" w:space="0" w:color="auto"/>
        <w:bottom w:val="none" w:sz="0" w:space="0" w:color="auto"/>
        <w:right w:val="none" w:sz="0" w:space="0" w:color="auto"/>
      </w:divBdr>
    </w:div>
    <w:div w:id="515727180">
      <w:bodyDiv w:val="1"/>
      <w:marLeft w:val="0"/>
      <w:marRight w:val="0"/>
      <w:marTop w:val="0"/>
      <w:marBottom w:val="0"/>
      <w:divBdr>
        <w:top w:val="none" w:sz="0" w:space="0" w:color="auto"/>
        <w:left w:val="none" w:sz="0" w:space="0" w:color="auto"/>
        <w:bottom w:val="none" w:sz="0" w:space="0" w:color="auto"/>
        <w:right w:val="none" w:sz="0" w:space="0" w:color="auto"/>
      </w:divBdr>
    </w:div>
    <w:div w:id="516627136">
      <w:bodyDiv w:val="1"/>
      <w:marLeft w:val="0"/>
      <w:marRight w:val="0"/>
      <w:marTop w:val="0"/>
      <w:marBottom w:val="0"/>
      <w:divBdr>
        <w:top w:val="none" w:sz="0" w:space="0" w:color="auto"/>
        <w:left w:val="none" w:sz="0" w:space="0" w:color="auto"/>
        <w:bottom w:val="none" w:sz="0" w:space="0" w:color="auto"/>
        <w:right w:val="none" w:sz="0" w:space="0" w:color="auto"/>
      </w:divBdr>
    </w:div>
    <w:div w:id="517014139">
      <w:bodyDiv w:val="1"/>
      <w:marLeft w:val="0"/>
      <w:marRight w:val="0"/>
      <w:marTop w:val="0"/>
      <w:marBottom w:val="0"/>
      <w:divBdr>
        <w:top w:val="none" w:sz="0" w:space="0" w:color="auto"/>
        <w:left w:val="none" w:sz="0" w:space="0" w:color="auto"/>
        <w:bottom w:val="none" w:sz="0" w:space="0" w:color="auto"/>
        <w:right w:val="none" w:sz="0" w:space="0" w:color="auto"/>
      </w:divBdr>
    </w:div>
    <w:div w:id="518354621">
      <w:bodyDiv w:val="1"/>
      <w:marLeft w:val="0"/>
      <w:marRight w:val="0"/>
      <w:marTop w:val="0"/>
      <w:marBottom w:val="0"/>
      <w:divBdr>
        <w:top w:val="none" w:sz="0" w:space="0" w:color="auto"/>
        <w:left w:val="none" w:sz="0" w:space="0" w:color="auto"/>
        <w:bottom w:val="none" w:sz="0" w:space="0" w:color="auto"/>
        <w:right w:val="none" w:sz="0" w:space="0" w:color="auto"/>
      </w:divBdr>
    </w:div>
    <w:div w:id="519440825">
      <w:bodyDiv w:val="1"/>
      <w:marLeft w:val="0"/>
      <w:marRight w:val="0"/>
      <w:marTop w:val="0"/>
      <w:marBottom w:val="0"/>
      <w:divBdr>
        <w:top w:val="none" w:sz="0" w:space="0" w:color="auto"/>
        <w:left w:val="none" w:sz="0" w:space="0" w:color="auto"/>
        <w:bottom w:val="none" w:sz="0" w:space="0" w:color="auto"/>
        <w:right w:val="none" w:sz="0" w:space="0" w:color="auto"/>
      </w:divBdr>
    </w:div>
    <w:div w:id="519511792">
      <w:bodyDiv w:val="1"/>
      <w:marLeft w:val="0"/>
      <w:marRight w:val="0"/>
      <w:marTop w:val="0"/>
      <w:marBottom w:val="0"/>
      <w:divBdr>
        <w:top w:val="none" w:sz="0" w:space="0" w:color="auto"/>
        <w:left w:val="none" w:sz="0" w:space="0" w:color="auto"/>
        <w:bottom w:val="none" w:sz="0" w:space="0" w:color="auto"/>
        <w:right w:val="none" w:sz="0" w:space="0" w:color="auto"/>
      </w:divBdr>
    </w:div>
    <w:div w:id="520632858">
      <w:bodyDiv w:val="1"/>
      <w:marLeft w:val="0"/>
      <w:marRight w:val="0"/>
      <w:marTop w:val="0"/>
      <w:marBottom w:val="0"/>
      <w:divBdr>
        <w:top w:val="none" w:sz="0" w:space="0" w:color="auto"/>
        <w:left w:val="none" w:sz="0" w:space="0" w:color="auto"/>
        <w:bottom w:val="none" w:sz="0" w:space="0" w:color="auto"/>
        <w:right w:val="none" w:sz="0" w:space="0" w:color="auto"/>
      </w:divBdr>
    </w:div>
    <w:div w:id="520970685">
      <w:bodyDiv w:val="1"/>
      <w:marLeft w:val="0"/>
      <w:marRight w:val="0"/>
      <w:marTop w:val="0"/>
      <w:marBottom w:val="0"/>
      <w:divBdr>
        <w:top w:val="none" w:sz="0" w:space="0" w:color="auto"/>
        <w:left w:val="none" w:sz="0" w:space="0" w:color="auto"/>
        <w:bottom w:val="none" w:sz="0" w:space="0" w:color="auto"/>
        <w:right w:val="none" w:sz="0" w:space="0" w:color="auto"/>
      </w:divBdr>
    </w:div>
    <w:div w:id="521212195">
      <w:bodyDiv w:val="1"/>
      <w:marLeft w:val="0"/>
      <w:marRight w:val="0"/>
      <w:marTop w:val="0"/>
      <w:marBottom w:val="0"/>
      <w:divBdr>
        <w:top w:val="none" w:sz="0" w:space="0" w:color="auto"/>
        <w:left w:val="none" w:sz="0" w:space="0" w:color="auto"/>
        <w:bottom w:val="none" w:sz="0" w:space="0" w:color="auto"/>
        <w:right w:val="none" w:sz="0" w:space="0" w:color="auto"/>
      </w:divBdr>
    </w:div>
    <w:div w:id="521436836">
      <w:bodyDiv w:val="1"/>
      <w:marLeft w:val="0"/>
      <w:marRight w:val="0"/>
      <w:marTop w:val="0"/>
      <w:marBottom w:val="0"/>
      <w:divBdr>
        <w:top w:val="none" w:sz="0" w:space="0" w:color="auto"/>
        <w:left w:val="none" w:sz="0" w:space="0" w:color="auto"/>
        <w:bottom w:val="none" w:sz="0" w:space="0" w:color="auto"/>
        <w:right w:val="none" w:sz="0" w:space="0" w:color="auto"/>
      </w:divBdr>
    </w:div>
    <w:div w:id="521476339">
      <w:bodyDiv w:val="1"/>
      <w:marLeft w:val="0"/>
      <w:marRight w:val="0"/>
      <w:marTop w:val="0"/>
      <w:marBottom w:val="0"/>
      <w:divBdr>
        <w:top w:val="none" w:sz="0" w:space="0" w:color="auto"/>
        <w:left w:val="none" w:sz="0" w:space="0" w:color="auto"/>
        <w:bottom w:val="none" w:sz="0" w:space="0" w:color="auto"/>
        <w:right w:val="none" w:sz="0" w:space="0" w:color="auto"/>
      </w:divBdr>
    </w:div>
    <w:div w:id="525677946">
      <w:bodyDiv w:val="1"/>
      <w:marLeft w:val="0"/>
      <w:marRight w:val="0"/>
      <w:marTop w:val="0"/>
      <w:marBottom w:val="0"/>
      <w:divBdr>
        <w:top w:val="none" w:sz="0" w:space="0" w:color="auto"/>
        <w:left w:val="none" w:sz="0" w:space="0" w:color="auto"/>
        <w:bottom w:val="none" w:sz="0" w:space="0" w:color="auto"/>
        <w:right w:val="none" w:sz="0" w:space="0" w:color="auto"/>
      </w:divBdr>
    </w:div>
    <w:div w:id="526453890">
      <w:bodyDiv w:val="1"/>
      <w:marLeft w:val="0"/>
      <w:marRight w:val="0"/>
      <w:marTop w:val="0"/>
      <w:marBottom w:val="0"/>
      <w:divBdr>
        <w:top w:val="none" w:sz="0" w:space="0" w:color="auto"/>
        <w:left w:val="none" w:sz="0" w:space="0" w:color="auto"/>
        <w:bottom w:val="none" w:sz="0" w:space="0" w:color="auto"/>
        <w:right w:val="none" w:sz="0" w:space="0" w:color="auto"/>
      </w:divBdr>
    </w:div>
    <w:div w:id="526674045">
      <w:bodyDiv w:val="1"/>
      <w:marLeft w:val="0"/>
      <w:marRight w:val="0"/>
      <w:marTop w:val="0"/>
      <w:marBottom w:val="0"/>
      <w:divBdr>
        <w:top w:val="none" w:sz="0" w:space="0" w:color="auto"/>
        <w:left w:val="none" w:sz="0" w:space="0" w:color="auto"/>
        <w:bottom w:val="none" w:sz="0" w:space="0" w:color="auto"/>
        <w:right w:val="none" w:sz="0" w:space="0" w:color="auto"/>
      </w:divBdr>
    </w:div>
    <w:div w:id="526917543">
      <w:bodyDiv w:val="1"/>
      <w:marLeft w:val="0"/>
      <w:marRight w:val="0"/>
      <w:marTop w:val="0"/>
      <w:marBottom w:val="0"/>
      <w:divBdr>
        <w:top w:val="none" w:sz="0" w:space="0" w:color="auto"/>
        <w:left w:val="none" w:sz="0" w:space="0" w:color="auto"/>
        <w:bottom w:val="none" w:sz="0" w:space="0" w:color="auto"/>
        <w:right w:val="none" w:sz="0" w:space="0" w:color="auto"/>
      </w:divBdr>
    </w:div>
    <w:div w:id="527446320">
      <w:bodyDiv w:val="1"/>
      <w:marLeft w:val="0"/>
      <w:marRight w:val="0"/>
      <w:marTop w:val="0"/>
      <w:marBottom w:val="0"/>
      <w:divBdr>
        <w:top w:val="none" w:sz="0" w:space="0" w:color="auto"/>
        <w:left w:val="none" w:sz="0" w:space="0" w:color="auto"/>
        <w:bottom w:val="none" w:sz="0" w:space="0" w:color="auto"/>
        <w:right w:val="none" w:sz="0" w:space="0" w:color="auto"/>
      </w:divBdr>
    </w:div>
    <w:div w:id="527525007">
      <w:bodyDiv w:val="1"/>
      <w:marLeft w:val="0"/>
      <w:marRight w:val="0"/>
      <w:marTop w:val="0"/>
      <w:marBottom w:val="0"/>
      <w:divBdr>
        <w:top w:val="none" w:sz="0" w:space="0" w:color="auto"/>
        <w:left w:val="none" w:sz="0" w:space="0" w:color="auto"/>
        <w:bottom w:val="none" w:sz="0" w:space="0" w:color="auto"/>
        <w:right w:val="none" w:sz="0" w:space="0" w:color="auto"/>
      </w:divBdr>
    </w:div>
    <w:div w:id="527833939">
      <w:bodyDiv w:val="1"/>
      <w:marLeft w:val="0"/>
      <w:marRight w:val="0"/>
      <w:marTop w:val="0"/>
      <w:marBottom w:val="0"/>
      <w:divBdr>
        <w:top w:val="none" w:sz="0" w:space="0" w:color="auto"/>
        <w:left w:val="none" w:sz="0" w:space="0" w:color="auto"/>
        <w:bottom w:val="none" w:sz="0" w:space="0" w:color="auto"/>
        <w:right w:val="none" w:sz="0" w:space="0" w:color="auto"/>
      </w:divBdr>
    </w:div>
    <w:div w:id="527909461">
      <w:bodyDiv w:val="1"/>
      <w:marLeft w:val="0"/>
      <w:marRight w:val="0"/>
      <w:marTop w:val="0"/>
      <w:marBottom w:val="0"/>
      <w:divBdr>
        <w:top w:val="none" w:sz="0" w:space="0" w:color="auto"/>
        <w:left w:val="none" w:sz="0" w:space="0" w:color="auto"/>
        <w:bottom w:val="none" w:sz="0" w:space="0" w:color="auto"/>
        <w:right w:val="none" w:sz="0" w:space="0" w:color="auto"/>
      </w:divBdr>
    </w:div>
    <w:div w:id="529101584">
      <w:bodyDiv w:val="1"/>
      <w:marLeft w:val="0"/>
      <w:marRight w:val="0"/>
      <w:marTop w:val="0"/>
      <w:marBottom w:val="0"/>
      <w:divBdr>
        <w:top w:val="none" w:sz="0" w:space="0" w:color="auto"/>
        <w:left w:val="none" w:sz="0" w:space="0" w:color="auto"/>
        <w:bottom w:val="none" w:sz="0" w:space="0" w:color="auto"/>
        <w:right w:val="none" w:sz="0" w:space="0" w:color="auto"/>
      </w:divBdr>
    </w:div>
    <w:div w:id="529102091">
      <w:bodyDiv w:val="1"/>
      <w:marLeft w:val="0"/>
      <w:marRight w:val="0"/>
      <w:marTop w:val="0"/>
      <w:marBottom w:val="0"/>
      <w:divBdr>
        <w:top w:val="none" w:sz="0" w:space="0" w:color="auto"/>
        <w:left w:val="none" w:sz="0" w:space="0" w:color="auto"/>
        <w:bottom w:val="none" w:sz="0" w:space="0" w:color="auto"/>
        <w:right w:val="none" w:sz="0" w:space="0" w:color="auto"/>
      </w:divBdr>
    </w:div>
    <w:div w:id="529953849">
      <w:bodyDiv w:val="1"/>
      <w:marLeft w:val="0"/>
      <w:marRight w:val="0"/>
      <w:marTop w:val="0"/>
      <w:marBottom w:val="0"/>
      <w:divBdr>
        <w:top w:val="none" w:sz="0" w:space="0" w:color="auto"/>
        <w:left w:val="none" w:sz="0" w:space="0" w:color="auto"/>
        <w:bottom w:val="none" w:sz="0" w:space="0" w:color="auto"/>
        <w:right w:val="none" w:sz="0" w:space="0" w:color="auto"/>
      </w:divBdr>
    </w:div>
    <w:div w:id="530187131">
      <w:bodyDiv w:val="1"/>
      <w:marLeft w:val="0"/>
      <w:marRight w:val="0"/>
      <w:marTop w:val="0"/>
      <w:marBottom w:val="0"/>
      <w:divBdr>
        <w:top w:val="none" w:sz="0" w:space="0" w:color="auto"/>
        <w:left w:val="none" w:sz="0" w:space="0" w:color="auto"/>
        <w:bottom w:val="none" w:sz="0" w:space="0" w:color="auto"/>
        <w:right w:val="none" w:sz="0" w:space="0" w:color="auto"/>
      </w:divBdr>
    </w:div>
    <w:div w:id="530190035">
      <w:bodyDiv w:val="1"/>
      <w:marLeft w:val="0"/>
      <w:marRight w:val="0"/>
      <w:marTop w:val="0"/>
      <w:marBottom w:val="0"/>
      <w:divBdr>
        <w:top w:val="none" w:sz="0" w:space="0" w:color="auto"/>
        <w:left w:val="none" w:sz="0" w:space="0" w:color="auto"/>
        <w:bottom w:val="none" w:sz="0" w:space="0" w:color="auto"/>
        <w:right w:val="none" w:sz="0" w:space="0" w:color="auto"/>
      </w:divBdr>
    </w:div>
    <w:div w:id="530611273">
      <w:bodyDiv w:val="1"/>
      <w:marLeft w:val="0"/>
      <w:marRight w:val="0"/>
      <w:marTop w:val="0"/>
      <w:marBottom w:val="0"/>
      <w:divBdr>
        <w:top w:val="none" w:sz="0" w:space="0" w:color="auto"/>
        <w:left w:val="none" w:sz="0" w:space="0" w:color="auto"/>
        <w:bottom w:val="none" w:sz="0" w:space="0" w:color="auto"/>
        <w:right w:val="none" w:sz="0" w:space="0" w:color="auto"/>
      </w:divBdr>
    </w:div>
    <w:div w:id="530656750">
      <w:bodyDiv w:val="1"/>
      <w:marLeft w:val="0"/>
      <w:marRight w:val="0"/>
      <w:marTop w:val="0"/>
      <w:marBottom w:val="0"/>
      <w:divBdr>
        <w:top w:val="none" w:sz="0" w:space="0" w:color="auto"/>
        <w:left w:val="none" w:sz="0" w:space="0" w:color="auto"/>
        <w:bottom w:val="none" w:sz="0" w:space="0" w:color="auto"/>
        <w:right w:val="none" w:sz="0" w:space="0" w:color="auto"/>
      </w:divBdr>
    </w:div>
    <w:div w:id="530730853">
      <w:bodyDiv w:val="1"/>
      <w:marLeft w:val="0"/>
      <w:marRight w:val="0"/>
      <w:marTop w:val="0"/>
      <w:marBottom w:val="0"/>
      <w:divBdr>
        <w:top w:val="none" w:sz="0" w:space="0" w:color="auto"/>
        <w:left w:val="none" w:sz="0" w:space="0" w:color="auto"/>
        <w:bottom w:val="none" w:sz="0" w:space="0" w:color="auto"/>
        <w:right w:val="none" w:sz="0" w:space="0" w:color="auto"/>
      </w:divBdr>
    </w:div>
    <w:div w:id="532575111">
      <w:bodyDiv w:val="1"/>
      <w:marLeft w:val="0"/>
      <w:marRight w:val="0"/>
      <w:marTop w:val="0"/>
      <w:marBottom w:val="0"/>
      <w:divBdr>
        <w:top w:val="none" w:sz="0" w:space="0" w:color="auto"/>
        <w:left w:val="none" w:sz="0" w:space="0" w:color="auto"/>
        <w:bottom w:val="none" w:sz="0" w:space="0" w:color="auto"/>
        <w:right w:val="none" w:sz="0" w:space="0" w:color="auto"/>
      </w:divBdr>
    </w:div>
    <w:div w:id="533614339">
      <w:bodyDiv w:val="1"/>
      <w:marLeft w:val="0"/>
      <w:marRight w:val="0"/>
      <w:marTop w:val="0"/>
      <w:marBottom w:val="0"/>
      <w:divBdr>
        <w:top w:val="none" w:sz="0" w:space="0" w:color="auto"/>
        <w:left w:val="none" w:sz="0" w:space="0" w:color="auto"/>
        <w:bottom w:val="none" w:sz="0" w:space="0" w:color="auto"/>
        <w:right w:val="none" w:sz="0" w:space="0" w:color="auto"/>
      </w:divBdr>
    </w:div>
    <w:div w:id="533924868">
      <w:bodyDiv w:val="1"/>
      <w:marLeft w:val="0"/>
      <w:marRight w:val="0"/>
      <w:marTop w:val="0"/>
      <w:marBottom w:val="0"/>
      <w:divBdr>
        <w:top w:val="none" w:sz="0" w:space="0" w:color="auto"/>
        <w:left w:val="none" w:sz="0" w:space="0" w:color="auto"/>
        <w:bottom w:val="none" w:sz="0" w:space="0" w:color="auto"/>
        <w:right w:val="none" w:sz="0" w:space="0" w:color="auto"/>
      </w:divBdr>
    </w:div>
    <w:div w:id="533927807">
      <w:bodyDiv w:val="1"/>
      <w:marLeft w:val="0"/>
      <w:marRight w:val="0"/>
      <w:marTop w:val="0"/>
      <w:marBottom w:val="0"/>
      <w:divBdr>
        <w:top w:val="none" w:sz="0" w:space="0" w:color="auto"/>
        <w:left w:val="none" w:sz="0" w:space="0" w:color="auto"/>
        <w:bottom w:val="none" w:sz="0" w:space="0" w:color="auto"/>
        <w:right w:val="none" w:sz="0" w:space="0" w:color="auto"/>
      </w:divBdr>
    </w:div>
    <w:div w:id="534317546">
      <w:bodyDiv w:val="1"/>
      <w:marLeft w:val="0"/>
      <w:marRight w:val="0"/>
      <w:marTop w:val="0"/>
      <w:marBottom w:val="0"/>
      <w:divBdr>
        <w:top w:val="none" w:sz="0" w:space="0" w:color="auto"/>
        <w:left w:val="none" w:sz="0" w:space="0" w:color="auto"/>
        <w:bottom w:val="none" w:sz="0" w:space="0" w:color="auto"/>
        <w:right w:val="none" w:sz="0" w:space="0" w:color="auto"/>
      </w:divBdr>
    </w:div>
    <w:div w:id="536432834">
      <w:bodyDiv w:val="1"/>
      <w:marLeft w:val="0"/>
      <w:marRight w:val="0"/>
      <w:marTop w:val="0"/>
      <w:marBottom w:val="0"/>
      <w:divBdr>
        <w:top w:val="none" w:sz="0" w:space="0" w:color="auto"/>
        <w:left w:val="none" w:sz="0" w:space="0" w:color="auto"/>
        <w:bottom w:val="none" w:sz="0" w:space="0" w:color="auto"/>
        <w:right w:val="none" w:sz="0" w:space="0" w:color="auto"/>
      </w:divBdr>
    </w:div>
    <w:div w:id="537089688">
      <w:bodyDiv w:val="1"/>
      <w:marLeft w:val="0"/>
      <w:marRight w:val="0"/>
      <w:marTop w:val="0"/>
      <w:marBottom w:val="0"/>
      <w:divBdr>
        <w:top w:val="none" w:sz="0" w:space="0" w:color="auto"/>
        <w:left w:val="none" w:sz="0" w:space="0" w:color="auto"/>
        <w:bottom w:val="none" w:sz="0" w:space="0" w:color="auto"/>
        <w:right w:val="none" w:sz="0" w:space="0" w:color="auto"/>
      </w:divBdr>
    </w:div>
    <w:div w:id="539130895">
      <w:bodyDiv w:val="1"/>
      <w:marLeft w:val="0"/>
      <w:marRight w:val="0"/>
      <w:marTop w:val="0"/>
      <w:marBottom w:val="0"/>
      <w:divBdr>
        <w:top w:val="none" w:sz="0" w:space="0" w:color="auto"/>
        <w:left w:val="none" w:sz="0" w:space="0" w:color="auto"/>
        <w:bottom w:val="none" w:sz="0" w:space="0" w:color="auto"/>
        <w:right w:val="none" w:sz="0" w:space="0" w:color="auto"/>
      </w:divBdr>
    </w:div>
    <w:div w:id="539980916">
      <w:bodyDiv w:val="1"/>
      <w:marLeft w:val="0"/>
      <w:marRight w:val="0"/>
      <w:marTop w:val="0"/>
      <w:marBottom w:val="0"/>
      <w:divBdr>
        <w:top w:val="none" w:sz="0" w:space="0" w:color="auto"/>
        <w:left w:val="none" w:sz="0" w:space="0" w:color="auto"/>
        <w:bottom w:val="none" w:sz="0" w:space="0" w:color="auto"/>
        <w:right w:val="none" w:sz="0" w:space="0" w:color="auto"/>
      </w:divBdr>
    </w:div>
    <w:div w:id="541089256">
      <w:bodyDiv w:val="1"/>
      <w:marLeft w:val="0"/>
      <w:marRight w:val="0"/>
      <w:marTop w:val="0"/>
      <w:marBottom w:val="0"/>
      <w:divBdr>
        <w:top w:val="none" w:sz="0" w:space="0" w:color="auto"/>
        <w:left w:val="none" w:sz="0" w:space="0" w:color="auto"/>
        <w:bottom w:val="none" w:sz="0" w:space="0" w:color="auto"/>
        <w:right w:val="none" w:sz="0" w:space="0" w:color="auto"/>
      </w:divBdr>
    </w:div>
    <w:div w:id="541331433">
      <w:bodyDiv w:val="1"/>
      <w:marLeft w:val="0"/>
      <w:marRight w:val="0"/>
      <w:marTop w:val="0"/>
      <w:marBottom w:val="0"/>
      <w:divBdr>
        <w:top w:val="none" w:sz="0" w:space="0" w:color="auto"/>
        <w:left w:val="none" w:sz="0" w:space="0" w:color="auto"/>
        <w:bottom w:val="none" w:sz="0" w:space="0" w:color="auto"/>
        <w:right w:val="none" w:sz="0" w:space="0" w:color="auto"/>
      </w:divBdr>
    </w:div>
    <w:div w:id="541863854">
      <w:bodyDiv w:val="1"/>
      <w:marLeft w:val="0"/>
      <w:marRight w:val="0"/>
      <w:marTop w:val="0"/>
      <w:marBottom w:val="0"/>
      <w:divBdr>
        <w:top w:val="none" w:sz="0" w:space="0" w:color="auto"/>
        <w:left w:val="none" w:sz="0" w:space="0" w:color="auto"/>
        <w:bottom w:val="none" w:sz="0" w:space="0" w:color="auto"/>
        <w:right w:val="none" w:sz="0" w:space="0" w:color="auto"/>
      </w:divBdr>
    </w:div>
    <w:div w:id="542056817">
      <w:bodyDiv w:val="1"/>
      <w:marLeft w:val="0"/>
      <w:marRight w:val="0"/>
      <w:marTop w:val="0"/>
      <w:marBottom w:val="0"/>
      <w:divBdr>
        <w:top w:val="none" w:sz="0" w:space="0" w:color="auto"/>
        <w:left w:val="none" w:sz="0" w:space="0" w:color="auto"/>
        <w:bottom w:val="none" w:sz="0" w:space="0" w:color="auto"/>
        <w:right w:val="none" w:sz="0" w:space="0" w:color="auto"/>
      </w:divBdr>
    </w:div>
    <w:div w:id="542376084">
      <w:bodyDiv w:val="1"/>
      <w:marLeft w:val="0"/>
      <w:marRight w:val="0"/>
      <w:marTop w:val="0"/>
      <w:marBottom w:val="0"/>
      <w:divBdr>
        <w:top w:val="none" w:sz="0" w:space="0" w:color="auto"/>
        <w:left w:val="none" w:sz="0" w:space="0" w:color="auto"/>
        <w:bottom w:val="none" w:sz="0" w:space="0" w:color="auto"/>
        <w:right w:val="none" w:sz="0" w:space="0" w:color="auto"/>
      </w:divBdr>
    </w:div>
    <w:div w:id="542793337">
      <w:bodyDiv w:val="1"/>
      <w:marLeft w:val="0"/>
      <w:marRight w:val="0"/>
      <w:marTop w:val="0"/>
      <w:marBottom w:val="0"/>
      <w:divBdr>
        <w:top w:val="none" w:sz="0" w:space="0" w:color="auto"/>
        <w:left w:val="none" w:sz="0" w:space="0" w:color="auto"/>
        <w:bottom w:val="none" w:sz="0" w:space="0" w:color="auto"/>
        <w:right w:val="none" w:sz="0" w:space="0" w:color="auto"/>
      </w:divBdr>
      <w:divsChild>
        <w:div w:id="1973516417">
          <w:marLeft w:val="0"/>
          <w:marRight w:val="0"/>
          <w:marTop w:val="0"/>
          <w:marBottom w:val="0"/>
          <w:divBdr>
            <w:top w:val="none" w:sz="0" w:space="0" w:color="auto"/>
            <w:left w:val="none" w:sz="0" w:space="0" w:color="auto"/>
            <w:bottom w:val="none" w:sz="0" w:space="0" w:color="auto"/>
            <w:right w:val="none" w:sz="0" w:space="0" w:color="auto"/>
          </w:divBdr>
        </w:div>
      </w:divsChild>
    </w:div>
    <w:div w:id="543249237">
      <w:bodyDiv w:val="1"/>
      <w:marLeft w:val="0"/>
      <w:marRight w:val="0"/>
      <w:marTop w:val="0"/>
      <w:marBottom w:val="0"/>
      <w:divBdr>
        <w:top w:val="none" w:sz="0" w:space="0" w:color="auto"/>
        <w:left w:val="none" w:sz="0" w:space="0" w:color="auto"/>
        <w:bottom w:val="none" w:sz="0" w:space="0" w:color="auto"/>
        <w:right w:val="none" w:sz="0" w:space="0" w:color="auto"/>
      </w:divBdr>
    </w:div>
    <w:div w:id="544875398">
      <w:bodyDiv w:val="1"/>
      <w:marLeft w:val="0"/>
      <w:marRight w:val="0"/>
      <w:marTop w:val="0"/>
      <w:marBottom w:val="0"/>
      <w:divBdr>
        <w:top w:val="none" w:sz="0" w:space="0" w:color="auto"/>
        <w:left w:val="none" w:sz="0" w:space="0" w:color="auto"/>
        <w:bottom w:val="none" w:sz="0" w:space="0" w:color="auto"/>
        <w:right w:val="none" w:sz="0" w:space="0" w:color="auto"/>
      </w:divBdr>
    </w:div>
    <w:div w:id="548033323">
      <w:bodyDiv w:val="1"/>
      <w:marLeft w:val="0"/>
      <w:marRight w:val="0"/>
      <w:marTop w:val="0"/>
      <w:marBottom w:val="0"/>
      <w:divBdr>
        <w:top w:val="none" w:sz="0" w:space="0" w:color="auto"/>
        <w:left w:val="none" w:sz="0" w:space="0" w:color="auto"/>
        <w:bottom w:val="none" w:sz="0" w:space="0" w:color="auto"/>
        <w:right w:val="none" w:sz="0" w:space="0" w:color="auto"/>
      </w:divBdr>
    </w:div>
    <w:div w:id="548341869">
      <w:bodyDiv w:val="1"/>
      <w:marLeft w:val="0"/>
      <w:marRight w:val="0"/>
      <w:marTop w:val="0"/>
      <w:marBottom w:val="0"/>
      <w:divBdr>
        <w:top w:val="none" w:sz="0" w:space="0" w:color="auto"/>
        <w:left w:val="none" w:sz="0" w:space="0" w:color="auto"/>
        <w:bottom w:val="none" w:sz="0" w:space="0" w:color="auto"/>
        <w:right w:val="none" w:sz="0" w:space="0" w:color="auto"/>
      </w:divBdr>
    </w:div>
    <w:div w:id="549272308">
      <w:bodyDiv w:val="1"/>
      <w:marLeft w:val="0"/>
      <w:marRight w:val="0"/>
      <w:marTop w:val="0"/>
      <w:marBottom w:val="0"/>
      <w:divBdr>
        <w:top w:val="none" w:sz="0" w:space="0" w:color="auto"/>
        <w:left w:val="none" w:sz="0" w:space="0" w:color="auto"/>
        <w:bottom w:val="none" w:sz="0" w:space="0" w:color="auto"/>
        <w:right w:val="none" w:sz="0" w:space="0" w:color="auto"/>
      </w:divBdr>
    </w:div>
    <w:div w:id="549456953">
      <w:bodyDiv w:val="1"/>
      <w:marLeft w:val="0"/>
      <w:marRight w:val="0"/>
      <w:marTop w:val="0"/>
      <w:marBottom w:val="0"/>
      <w:divBdr>
        <w:top w:val="none" w:sz="0" w:space="0" w:color="auto"/>
        <w:left w:val="none" w:sz="0" w:space="0" w:color="auto"/>
        <w:bottom w:val="none" w:sz="0" w:space="0" w:color="auto"/>
        <w:right w:val="none" w:sz="0" w:space="0" w:color="auto"/>
      </w:divBdr>
    </w:div>
    <w:div w:id="549611220">
      <w:bodyDiv w:val="1"/>
      <w:marLeft w:val="0"/>
      <w:marRight w:val="0"/>
      <w:marTop w:val="0"/>
      <w:marBottom w:val="0"/>
      <w:divBdr>
        <w:top w:val="none" w:sz="0" w:space="0" w:color="auto"/>
        <w:left w:val="none" w:sz="0" w:space="0" w:color="auto"/>
        <w:bottom w:val="none" w:sz="0" w:space="0" w:color="auto"/>
        <w:right w:val="none" w:sz="0" w:space="0" w:color="auto"/>
      </w:divBdr>
    </w:div>
    <w:div w:id="549879792">
      <w:bodyDiv w:val="1"/>
      <w:marLeft w:val="0"/>
      <w:marRight w:val="0"/>
      <w:marTop w:val="0"/>
      <w:marBottom w:val="0"/>
      <w:divBdr>
        <w:top w:val="none" w:sz="0" w:space="0" w:color="auto"/>
        <w:left w:val="none" w:sz="0" w:space="0" w:color="auto"/>
        <w:bottom w:val="none" w:sz="0" w:space="0" w:color="auto"/>
        <w:right w:val="none" w:sz="0" w:space="0" w:color="auto"/>
      </w:divBdr>
    </w:div>
    <w:div w:id="550001879">
      <w:bodyDiv w:val="1"/>
      <w:marLeft w:val="0"/>
      <w:marRight w:val="0"/>
      <w:marTop w:val="0"/>
      <w:marBottom w:val="0"/>
      <w:divBdr>
        <w:top w:val="none" w:sz="0" w:space="0" w:color="auto"/>
        <w:left w:val="none" w:sz="0" w:space="0" w:color="auto"/>
        <w:bottom w:val="none" w:sz="0" w:space="0" w:color="auto"/>
        <w:right w:val="none" w:sz="0" w:space="0" w:color="auto"/>
      </w:divBdr>
    </w:div>
    <w:div w:id="550502559">
      <w:bodyDiv w:val="1"/>
      <w:marLeft w:val="0"/>
      <w:marRight w:val="0"/>
      <w:marTop w:val="0"/>
      <w:marBottom w:val="0"/>
      <w:divBdr>
        <w:top w:val="none" w:sz="0" w:space="0" w:color="auto"/>
        <w:left w:val="none" w:sz="0" w:space="0" w:color="auto"/>
        <w:bottom w:val="none" w:sz="0" w:space="0" w:color="auto"/>
        <w:right w:val="none" w:sz="0" w:space="0" w:color="auto"/>
      </w:divBdr>
    </w:div>
    <w:div w:id="550969965">
      <w:bodyDiv w:val="1"/>
      <w:marLeft w:val="0"/>
      <w:marRight w:val="0"/>
      <w:marTop w:val="0"/>
      <w:marBottom w:val="0"/>
      <w:divBdr>
        <w:top w:val="none" w:sz="0" w:space="0" w:color="auto"/>
        <w:left w:val="none" w:sz="0" w:space="0" w:color="auto"/>
        <w:bottom w:val="none" w:sz="0" w:space="0" w:color="auto"/>
        <w:right w:val="none" w:sz="0" w:space="0" w:color="auto"/>
      </w:divBdr>
    </w:div>
    <w:div w:id="551813855">
      <w:bodyDiv w:val="1"/>
      <w:marLeft w:val="0"/>
      <w:marRight w:val="0"/>
      <w:marTop w:val="0"/>
      <w:marBottom w:val="0"/>
      <w:divBdr>
        <w:top w:val="none" w:sz="0" w:space="0" w:color="auto"/>
        <w:left w:val="none" w:sz="0" w:space="0" w:color="auto"/>
        <w:bottom w:val="none" w:sz="0" w:space="0" w:color="auto"/>
        <w:right w:val="none" w:sz="0" w:space="0" w:color="auto"/>
      </w:divBdr>
    </w:div>
    <w:div w:id="552615883">
      <w:bodyDiv w:val="1"/>
      <w:marLeft w:val="0"/>
      <w:marRight w:val="0"/>
      <w:marTop w:val="0"/>
      <w:marBottom w:val="0"/>
      <w:divBdr>
        <w:top w:val="none" w:sz="0" w:space="0" w:color="auto"/>
        <w:left w:val="none" w:sz="0" w:space="0" w:color="auto"/>
        <w:bottom w:val="none" w:sz="0" w:space="0" w:color="auto"/>
        <w:right w:val="none" w:sz="0" w:space="0" w:color="auto"/>
      </w:divBdr>
    </w:div>
    <w:div w:id="553203150">
      <w:bodyDiv w:val="1"/>
      <w:marLeft w:val="0"/>
      <w:marRight w:val="0"/>
      <w:marTop w:val="0"/>
      <w:marBottom w:val="0"/>
      <w:divBdr>
        <w:top w:val="none" w:sz="0" w:space="0" w:color="auto"/>
        <w:left w:val="none" w:sz="0" w:space="0" w:color="auto"/>
        <w:bottom w:val="none" w:sz="0" w:space="0" w:color="auto"/>
        <w:right w:val="none" w:sz="0" w:space="0" w:color="auto"/>
      </w:divBdr>
    </w:div>
    <w:div w:id="553542104">
      <w:bodyDiv w:val="1"/>
      <w:marLeft w:val="0"/>
      <w:marRight w:val="0"/>
      <w:marTop w:val="0"/>
      <w:marBottom w:val="0"/>
      <w:divBdr>
        <w:top w:val="none" w:sz="0" w:space="0" w:color="auto"/>
        <w:left w:val="none" w:sz="0" w:space="0" w:color="auto"/>
        <w:bottom w:val="none" w:sz="0" w:space="0" w:color="auto"/>
        <w:right w:val="none" w:sz="0" w:space="0" w:color="auto"/>
      </w:divBdr>
    </w:div>
    <w:div w:id="553657816">
      <w:bodyDiv w:val="1"/>
      <w:marLeft w:val="0"/>
      <w:marRight w:val="0"/>
      <w:marTop w:val="0"/>
      <w:marBottom w:val="0"/>
      <w:divBdr>
        <w:top w:val="none" w:sz="0" w:space="0" w:color="auto"/>
        <w:left w:val="none" w:sz="0" w:space="0" w:color="auto"/>
        <w:bottom w:val="none" w:sz="0" w:space="0" w:color="auto"/>
        <w:right w:val="none" w:sz="0" w:space="0" w:color="auto"/>
      </w:divBdr>
    </w:div>
    <w:div w:id="554050662">
      <w:bodyDiv w:val="1"/>
      <w:marLeft w:val="0"/>
      <w:marRight w:val="0"/>
      <w:marTop w:val="0"/>
      <w:marBottom w:val="0"/>
      <w:divBdr>
        <w:top w:val="none" w:sz="0" w:space="0" w:color="auto"/>
        <w:left w:val="none" w:sz="0" w:space="0" w:color="auto"/>
        <w:bottom w:val="none" w:sz="0" w:space="0" w:color="auto"/>
        <w:right w:val="none" w:sz="0" w:space="0" w:color="auto"/>
      </w:divBdr>
    </w:div>
    <w:div w:id="556089070">
      <w:bodyDiv w:val="1"/>
      <w:marLeft w:val="0"/>
      <w:marRight w:val="0"/>
      <w:marTop w:val="0"/>
      <w:marBottom w:val="0"/>
      <w:divBdr>
        <w:top w:val="none" w:sz="0" w:space="0" w:color="auto"/>
        <w:left w:val="none" w:sz="0" w:space="0" w:color="auto"/>
        <w:bottom w:val="none" w:sz="0" w:space="0" w:color="auto"/>
        <w:right w:val="none" w:sz="0" w:space="0" w:color="auto"/>
      </w:divBdr>
    </w:div>
    <w:div w:id="556673719">
      <w:bodyDiv w:val="1"/>
      <w:marLeft w:val="0"/>
      <w:marRight w:val="0"/>
      <w:marTop w:val="0"/>
      <w:marBottom w:val="0"/>
      <w:divBdr>
        <w:top w:val="none" w:sz="0" w:space="0" w:color="auto"/>
        <w:left w:val="none" w:sz="0" w:space="0" w:color="auto"/>
        <w:bottom w:val="none" w:sz="0" w:space="0" w:color="auto"/>
        <w:right w:val="none" w:sz="0" w:space="0" w:color="auto"/>
      </w:divBdr>
    </w:div>
    <w:div w:id="556746741">
      <w:bodyDiv w:val="1"/>
      <w:marLeft w:val="0"/>
      <w:marRight w:val="0"/>
      <w:marTop w:val="0"/>
      <w:marBottom w:val="0"/>
      <w:divBdr>
        <w:top w:val="none" w:sz="0" w:space="0" w:color="auto"/>
        <w:left w:val="none" w:sz="0" w:space="0" w:color="auto"/>
        <w:bottom w:val="none" w:sz="0" w:space="0" w:color="auto"/>
        <w:right w:val="none" w:sz="0" w:space="0" w:color="auto"/>
      </w:divBdr>
    </w:div>
    <w:div w:id="557011203">
      <w:bodyDiv w:val="1"/>
      <w:marLeft w:val="0"/>
      <w:marRight w:val="0"/>
      <w:marTop w:val="0"/>
      <w:marBottom w:val="0"/>
      <w:divBdr>
        <w:top w:val="none" w:sz="0" w:space="0" w:color="auto"/>
        <w:left w:val="none" w:sz="0" w:space="0" w:color="auto"/>
        <w:bottom w:val="none" w:sz="0" w:space="0" w:color="auto"/>
        <w:right w:val="none" w:sz="0" w:space="0" w:color="auto"/>
      </w:divBdr>
    </w:div>
    <w:div w:id="557788410">
      <w:bodyDiv w:val="1"/>
      <w:marLeft w:val="0"/>
      <w:marRight w:val="0"/>
      <w:marTop w:val="0"/>
      <w:marBottom w:val="0"/>
      <w:divBdr>
        <w:top w:val="none" w:sz="0" w:space="0" w:color="auto"/>
        <w:left w:val="none" w:sz="0" w:space="0" w:color="auto"/>
        <w:bottom w:val="none" w:sz="0" w:space="0" w:color="auto"/>
        <w:right w:val="none" w:sz="0" w:space="0" w:color="auto"/>
      </w:divBdr>
    </w:div>
    <w:div w:id="559025384">
      <w:bodyDiv w:val="1"/>
      <w:marLeft w:val="0"/>
      <w:marRight w:val="0"/>
      <w:marTop w:val="0"/>
      <w:marBottom w:val="0"/>
      <w:divBdr>
        <w:top w:val="none" w:sz="0" w:space="0" w:color="auto"/>
        <w:left w:val="none" w:sz="0" w:space="0" w:color="auto"/>
        <w:bottom w:val="none" w:sz="0" w:space="0" w:color="auto"/>
        <w:right w:val="none" w:sz="0" w:space="0" w:color="auto"/>
      </w:divBdr>
    </w:div>
    <w:div w:id="559053739">
      <w:bodyDiv w:val="1"/>
      <w:marLeft w:val="0"/>
      <w:marRight w:val="0"/>
      <w:marTop w:val="0"/>
      <w:marBottom w:val="0"/>
      <w:divBdr>
        <w:top w:val="none" w:sz="0" w:space="0" w:color="auto"/>
        <w:left w:val="none" w:sz="0" w:space="0" w:color="auto"/>
        <w:bottom w:val="none" w:sz="0" w:space="0" w:color="auto"/>
        <w:right w:val="none" w:sz="0" w:space="0" w:color="auto"/>
      </w:divBdr>
    </w:div>
    <w:div w:id="559094605">
      <w:bodyDiv w:val="1"/>
      <w:marLeft w:val="0"/>
      <w:marRight w:val="0"/>
      <w:marTop w:val="0"/>
      <w:marBottom w:val="0"/>
      <w:divBdr>
        <w:top w:val="none" w:sz="0" w:space="0" w:color="auto"/>
        <w:left w:val="none" w:sz="0" w:space="0" w:color="auto"/>
        <w:bottom w:val="none" w:sz="0" w:space="0" w:color="auto"/>
        <w:right w:val="none" w:sz="0" w:space="0" w:color="auto"/>
      </w:divBdr>
    </w:div>
    <w:div w:id="559366454">
      <w:bodyDiv w:val="1"/>
      <w:marLeft w:val="0"/>
      <w:marRight w:val="0"/>
      <w:marTop w:val="0"/>
      <w:marBottom w:val="0"/>
      <w:divBdr>
        <w:top w:val="none" w:sz="0" w:space="0" w:color="auto"/>
        <w:left w:val="none" w:sz="0" w:space="0" w:color="auto"/>
        <w:bottom w:val="none" w:sz="0" w:space="0" w:color="auto"/>
        <w:right w:val="none" w:sz="0" w:space="0" w:color="auto"/>
      </w:divBdr>
    </w:div>
    <w:div w:id="559630532">
      <w:bodyDiv w:val="1"/>
      <w:marLeft w:val="0"/>
      <w:marRight w:val="0"/>
      <w:marTop w:val="0"/>
      <w:marBottom w:val="0"/>
      <w:divBdr>
        <w:top w:val="none" w:sz="0" w:space="0" w:color="auto"/>
        <w:left w:val="none" w:sz="0" w:space="0" w:color="auto"/>
        <w:bottom w:val="none" w:sz="0" w:space="0" w:color="auto"/>
        <w:right w:val="none" w:sz="0" w:space="0" w:color="auto"/>
      </w:divBdr>
    </w:div>
    <w:div w:id="560101244">
      <w:bodyDiv w:val="1"/>
      <w:marLeft w:val="0"/>
      <w:marRight w:val="0"/>
      <w:marTop w:val="0"/>
      <w:marBottom w:val="0"/>
      <w:divBdr>
        <w:top w:val="none" w:sz="0" w:space="0" w:color="auto"/>
        <w:left w:val="none" w:sz="0" w:space="0" w:color="auto"/>
        <w:bottom w:val="none" w:sz="0" w:space="0" w:color="auto"/>
        <w:right w:val="none" w:sz="0" w:space="0" w:color="auto"/>
      </w:divBdr>
    </w:div>
    <w:div w:id="560482567">
      <w:bodyDiv w:val="1"/>
      <w:marLeft w:val="0"/>
      <w:marRight w:val="0"/>
      <w:marTop w:val="0"/>
      <w:marBottom w:val="0"/>
      <w:divBdr>
        <w:top w:val="none" w:sz="0" w:space="0" w:color="auto"/>
        <w:left w:val="none" w:sz="0" w:space="0" w:color="auto"/>
        <w:bottom w:val="none" w:sz="0" w:space="0" w:color="auto"/>
        <w:right w:val="none" w:sz="0" w:space="0" w:color="auto"/>
      </w:divBdr>
    </w:div>
    <w:div w:id="563030459">
      <w:bodyDiv w:val="1"/>
      <w:marLeft w:val="0"/>
      <w:marRight w:val="0"/>
      <w:marTop w:val="0"/>
      <w:marBottom w:val="0"/>
      <w:divBdr>
        <w:top w:val="none" w:sz="0" w:space="0" w:color="auto"/>
        <w:left w:val="none" w:sz="0" w:space="0" w:color="auto"/>
        <w:bottom w:val="none" w:sz="0" w:space="0" w:color="auto"/>
        <w:right w:val="none" w:sz="0" w:space="0" w:color="auto"/>
      </w:divBdr>
    </w:div>
    <w:div w:id="563756052">
      <w:bodyDiv w:val="1"/>
      <w:marLeft w:val="0"/>
      <w:marRight w:val="0"/>
      <w:marTop w:val="0"/>
      <w:marBottom w:val="0"/>
      <w:divBdr>
        <w:top w:val="none" w:sz="0" w:space="0" w:color="auto"/>
        <w:left w:val="none" w:sz="0" w:space="0" w:color="auto"/>
        <w:bottom w:val="none" w:sz="0" w:space="0" w:color="auto"/>
        <w:right w:val="none" w:sz="0" w:space="0" w:color="auto"/>
      </w:divBdr>
    </w:div>
    <w:div w:id="564685930">
      <w:bodyDiv w:val="1"/>
      <w:marLeft w:val="0"/>
      <w:marRight w:val="0"/>
      <w:marTop w:val="0"/>
      <w:marBottom w:val="0"/>
      <w:divBdr>
        <w:top w:val="none" w:sz="0" w:space="0" w:color="auto"/>
        <w:left w:val="none" w:sz="0" w:space="0" w:color="auto"/>
        <w:bottom w:val="none" w:sz="0" w:space="0" w:color="auto"/>
        <w:right w:val="none" w:sz="0" w:space="0" w:color="auto"/>
      </w:divBdr>
    </w:div>
    <w:div w:id="567109535">
      <w:bodyDiv w:val="1"/>
      <w:marLeft w:val="0"/>
      <w:marRight w:val="0"/>
      <w:marTop w:val="0"/>
      <w:marBottom w:val="0"/>
      <w:divBdr>
        <w:top w:val="none" w:sz="0" w:space="0" w:color="auto"/>
        <w:left w:val="none" w:sz="0" w:space="0" w:color="auto"/>
        <w:bottom w:val="none" w:sz="0" w:space="0" w:color="auto"/>
        <w:right w:val="none" w:sz="0" w:space="0" w:color="auto"/>
      </w:divBdr>
    </w:div>
    <w:div w:id="568151231">
      <w:bodyDiv w:val="1"/>
      <w:marLeft w:val="0"/>
      <w:marRight w:val="0"/>
      <w:marTop w:val="0"/>
      <w:marBottom w:val="0"/>
      <w:divBdr>
        <w:top w:val="none" w:sz="0" w:space="0" w:color="auto"/>
        <w:left w:val="none" w:sz="0" w:space="0" w:color="auto"/>
        <w:bottom w:val="none" w:sz="0" w:space="0" w:color="auto"/>
        <w:right w:val="none" w:sz="0" w:space="0" w:color="auto"/>
      </w:divBdr>
    </w:div>
    <w:div w:id="568393767">
      <w:bodyDiv w:val="1"/>
      <w:marLeft w:val="0"/>
      <w:marRight w:val="0"/>
      <w:marTop w:val="0"/>
      <w:marBottom w:val="0"/>
      <w:divBdr>
        <w:top w:val="none" w:sz="0" w:space="0" w:color="auto"/>
        <w:left w:val="none" w:sz="0" w:space="0" w:color="auto"/>
        <w:bottom w:val="none" w:sz="0" w:space="0" w:color="auto"/>
        <w:right w:val="none" w:sz="0" w:space="0" w:color="auto"/>
      </w:divBdr>
    </w:div>
    <w:div w:id="568812358">
      <w:bodyDiv w:val="1"/>
      <w:marLeft w:val="0"/>
      <w:marRight w:val="0"/>
      <w:marTop w:val="0"/>
      <w:marBottom w:val="0"/>
      <w:divBdr>
        <w:top w:val="none" w:sz="0" w:space="0" w:color="auto"/>
        <w:left w:val="none" w:sz="0" w:space="0" w:color="auto"/>
        <w:bottom w:val="none" w:sz="0" w:space="0" w:color="auto"/>
        <w:right w:val="none" w:sz="0" w:space="0" w:color="auto"/>
      </w:divBdr>
    </w:div>
    <w:div w:id="570314530">
      <w:bodyDiv w:val="1"/>
      <w:marLeft w:val="0"/>
      <w:marRight w:val="0"/>
      <w:marTop w:val="0"/>
      <w:marBottom w:val="0"/>
      <w:divBdr>
        <w:top w:val="none" w:sz="0" w:space="0" w:color="auto"/>
        <w:left w:val="none" w:sz="0" w:space="0" w:color="auto"/>
        <w:bottom w:val="none" w:sz="0" w:space="0" w:color="auto"/>
        <w:right w:val="none" w:sz="0" w:space="0" w:color="auto"/>
      </w:divBdr>
    </w:div>
    <w:div w:id="570316511">
      <w:bodyDiv w:val="1"/>
      <w:marLeft w:val="0"/>
      <w:marRight w:val="0"/>
      <w:marTop w:val="0"/>
      <w:marBottom w:val="0"/>
      <w:divBdr>
        <w:top w:val="none" w:sz="0" w:space="0" w:color="auto"/>
        <w:left w:val="none" w:sz="0" w:space="0" w:color="auto"/>
        <w:bottom w:val="none" w:sz="0" w:space="0" w:color="auto"/>
        <w:right w:val="none" w:sz="0" w:space="0" w:color="auto"/>
      </w:divBdr>
    </w:div>
    <w:div w:id="570695425">
      <w:bodyDiv w:val="1"/>
      <w:marLeft w:val="0"/>
      <w:marRight w:val="0"/>
      <w:marTop w:val="0"/>
      <w:marBottom w:val="0"/>
      <w:divBdr>
        <w:top w:val="none" w:sz="0" w:space="0" w:color="auto"/>
        <w:left w:val="none" w:sz="0" w:space="0" w:color="auto"/>
        <w:bottom w:val="none" w:sz="0" w:space="0" w:color="auto"/>
        <w:right w:val="none" w:sz="0" w:space="0" w:color="auto"/>
      </w:divBdr>
    </w:div>
    <w:div w:id="571231952">
      <w:bodyDiv w:val="1"/>
      <w:marLeft w:val="0"/>
      <w:marRight w:val="0"/>
      <w:marTop w:val="0"/>
      <w:marBottom w:val="0"/>
      <w:divBdr>
        <w:top w:val="none" w:sz="0" w:space="0" w:color="auto"/>
        <w:left w:val="none" w:sz="0" w:space="0" w:color="auto"/>
        <w:bottom w:val="none" w:sz="0" w:space="0" w:color="auto"/>
        <w:right w:val="none" w:sz="0" w:space="0" w:color="auto"/>
      </w:divBdr>
    </w:div>
    <w:div w:id="571355505">
      <w:bodyDiv w:val="1"/>
      <w:marLeft w:val="0"/>
      <w:marRight w:val="0"/>
      <w:marTop w:val="0"/>
      <w:marBottom w:val="0"/>
      <w:divBdr>
        <w:top w:val="none" w:sz="0" w:space="0" w:color="auto"/>
        <w:left w:val="none" w:sz="0" w:space="0" w:color="auto"/>
        <w:bottom w:val="none" w:sz="0" w:space="0" w:color="auto"/>
        <w:right w:val="none" w:sz="0" w:space="0" w:color="auto"/>
      </w:divBdr>
    </w:div>
    <w:div w:id="572278809">
      <w:bodyDiv w:val="1"/>
      <w:marLeft w:val="0"/>
      <w:marRight w:val="0"/>
      <w:marTop w:val="0"/>
      <w:marBottom w:val="0"/>
      <w:divBdr>
        <w:top w:val="none" w:sz="0" w:space="0" w:color="auto"/>
        <w:left w:val="none" w:sz="0" w:space="0" w:color="auto"/>
        <w:bottom w:val="none" w:sz="0" w:space="0" w:color="auto"/>
        <w:right w:val="none" w:sz="0" w:space="0" w:color="auto"/>
      </w:divBdr>
    </w:div>
    <w:div w:id="573857443">
      <w:bodyDiv w:val="1"/>
      <w:marLeft w:val="0"/>
      <w:marRight w:val="0"/>
      <w:marTop w:val="0"/>
      <w:marBottom w:val="0"/>
      <w:divBdr>
        <w:top w:val="none" w:sz="0" w:space="0" w:color="auto"/>
        <w:left w:val="none" w:sz="0" w:space="0" w:color="auto"/>
        <w:bottom w:val="none" w:sz="0" w:space="0" w:color="auto"/>
        <w:right w:val="none" w:sz="0" w:space="0" w:color="auto"/>
      </w:divBdr>
    </w:div>
    <w:div w:id="575360516">
      <w:bodyDiv w:val="1"/>
      <w:marLeft w:val="0"/>
      <w:marRight w:val="0"/>
      <w:marTop w:val="0"/>
      <w:marBottom w:val="0"/>
      <w:divBdr>
        <w:top w:val="none" w:sz="0" w:space="0" w:color="auto"/>
        <w:left w:val="none" w:sz="0" w:space="0" w:color="auto"/>
        <w:bottom w:val="none" w:sz="0" w:space="0" w:color="auto"/>
        <w:right w:val="none" w:sz="0" w:space="0" w:color="auto"/>
      </w:divBdr>
    </w:div>
    <w:div w:id="576666680">
      <w:bodyDiv w:val="1"/>
      <w:marLeft w:val="0"/>
      <w:marRight w:val="0"/>
      <w:marTop w:val="0"/>
      <w:marBottom w:val="0"/>
      <w:divBdr>
        <w:top w:val="none" w:sz="0" w:space="0" w:color="auto"/>
        <w:left w:val="none" w:sz="0" w:space="0" w:color="auto"/>
        <w:bottom w:val="none" w:sz="0" w:space="0" w:color="auto"/>
        <w:right w:val="none" w:sz="0" w:space="0" w:color="auto"/>
      </w:divBdr>
    </w:div>
    <w:div w:id="578252438">
      <w:bodyDiv w:val="1"/>
      <w:marLeft w:val="0"/>
      <w:marRight w:val="0"/>
      <w:marTop w:val="0"/>
      <w:marBottom w:val="0"/>
      <w:divBdr>
        <w:top w:val="none" w:sz="0" w:space="0" w:color="auto"/>
        <w:left w:val="none" w:sz="0" w:space="0" w:color="auto"/>
        <w:bottom w:val="none" w:sz="0" w:space="0" w:color="auto"/>
        <w:right w:val="none" w:sz="0" w:space="0" w:color="auto"/>
      </w:divBdr>
    </w:div>
    <w:div w:id="578321324">
      <w:bodyDiv w:val="1"/>
      <w:marLeft w:val="0"/>
      <w:marRight w:val="0"/>
      <w:marTop w:val="0"/>
      <w:marBottom w:val="0"/>
      <w:divBdr>
        <w:top w:val="none" w:sz="0" w:space="0" w:color="auto"/>
        <w:left w:val="none" w:sz="0" w:space="0" w:color="auto"/>
        <w:bottom w:val="none" w:sz="0" w:space="0" w:color="auto"/>
        <w:right w:val="none" w:sz="0" w:space="0" w:color="auto"/>
      </w:divBdr>
    </w:div>
    <w:div w:id="580716513">
      <w:bodyDiv w:val="1"/>
      <w:marLeft w:val="0"/>
      <w:marRight w:val="0"/>
      <w:marTop w:val="0"/>
      <w:marBottom w:val="0"/>
      <w:divBdr>
        <w:top w:val="none" w:sz="0" w:space="0" w:color="auto"/>
        <w:left w:val="none" w:sz="0" w:space="0" w:color="auto"/>
        <w:bottom w:val="none" w:sz="0" w:space="0" w:color="auto"/>
        <w:right w:val="none" w:sz="0" w:space="0" w:color="auto"/>
      </w:divBdr>
    </w:div>
    <w:div w:id="580876312">
      <w:bodyDiv w:val="1"/>
      <w:marLeft w:val="0"/>
      <w:marRight w:val="0"/>
      <w:marTop w:val="0"/>
      <w:marBottom w:val="0"/>
      <w:divBdr>
        <w:top w:val="none" w:sz="0" w:space="0" w:color="auto"/>
        <w:left w:val="none" w:sz="0" w:space="0" w:color="auto"/>
        <w:bottom w:val="none" w:sz="0" w:space="0" w:color="auto"/>
        <w:right w:val="none" w:sz="0" w:space="0" w:color="auto"/>
      </w:divBdr>
    </w:div>
    <w:div w:id="582371952">
      <w:bodyDiv w:val="1"/>
      <w:marLeft w:val="0"/>
      <w:marRight w:val="0"/>
      <w:marTop w:val="0"/>
      <w:marBottom w:val="0"/>
      <w:divBdr>
        <w:top w:val="none" w:sz="0" w:space="0" w:color="auto"/>
        <w:left w:val="none" w:sz="0" w:space="0" w:color="auto"/>
        <w:bottom w:val="none" w:sz="0" w:space="0" w:color="auto"/>
        <w:right w:val="none" w:sz="0" w:space="0" w:color="auto"/>
      </w:divBdr>
    </w:div>
    <w:div w:id="583152945">
      <w:bodyDiv w:val="1"/>
      <w:marLeft w:val="0"/>
      <w:marRight w:val="0"/>
      <w:marTop w:val="0"/>
      <w:marBottom w:val="0"/>
      <w:divBdr>
        <w:top w:val="none" w:sz="0" w:space="0" w:color="auto"/>
        <w:left w:val="none" w:sz="0" w:space="0" w:color="auto"/>
        <w:bottom w:val="none" w:sz="0" w:space="0" w:color="auto"/>
        <w:right w:val="none" w:sz="0" w:space="0" w:color="auto"/>
      </w:divBdr>
    </w:div>
    <w:div w:id="584074926">
      <w:bodyDiv w:val="1"/>
      <w:marLeft w:val="0"/>
      <w:marRight w:val="0"/>
      <w:marTop w:val="0"/>
      <w:marBottom w:val="0"/>
      <w:divBdr>
        <w:top w:val="none" w:sz="0" w:space="0" w:color="auto"/>
        <w:left w:val="none" w:sz="0" w:space="0" w:color="auto"/>
        <w:bottom w:val="none" w:sz="0" w:space="0" w:color="auto"/>
        <w:right w:val="none" w:sz="0" w:space="0" w:color="auto"/>
      </w:divBdr>
    </w:div>
    <w:div w:id="586692914">
      <w:bodyDiv w:val="1"/>
      <w:marLeft w:val="0"/>
      <w:marRight w:val="0"/>
      <w:marTop w:val="0"/>
      <w:marBottom w:val="0"/>
      <w:divBdr>
        <w:top w:val="none" w:sz="0" w:space="0" w:color="auto"/>
        <w:left w:val="none" w:sz="0" w:space="0" w:color="auto"/>
        <w:bottom w:val="none" w:sz="0" w:space="0" w:color="auto"/>
        <w:right w:val="none" w:sz="0" w:space="0" w:color="auto"/>
      </w:divBdr>
    </w:div>
    <w:div w:id="587423798">
      <w:bodyDiv w:val="1"/>
      <w:marLeft w:val="0"/>
      <w:marRight w:val="0"/>
      <w:marTop w:val="0"/>
      <w:marBottom w:val="0"/>
      <w:divBdr>
        <w:top w:val="none" w:sz="0" w:space="0" w:color="auto"/>
        <w:left w:val="none" w:sz="0" w:space="0" w:color="auto"/>
        <w:bottom w:val="none" w:sz="0" w:space="0" w:color="auto"/>
        <w:right w:val="none" w:sz="0" w:space="0" w:color="auto"/>
      </w:divBdr>
    </w:div>
    <w:div w:id="588268640">
      <w:bodyDiv w:val="1"/>
      <w:marLeft w:val="0"/>
      <w:marRight w:val="0"/>
      <w:marTop w:val="0"/>
      <w:marBottom w:val="0"/>
      <w:divBdr>
        <w:top w:val="none" w:sz="0" w:space="0" w:color="auto"/>
        <w:left w:val="none" w:sz="0" w:space="0" w:color="auto"/>
        <w:bottom w:val="none" w:sz="0" w:space="0" w:color="auto"/>
        <w:right w:val="none" w:sz="0" w:space="0" w:color="auto"/>
      </w:divBdr>
    </w:div>
    <w:div w:id="588273567">
      <w:bodyDiv w:val="1"/>
      <w:marLeft w:val="0"/>
      <w:marRight w:val="0"/>
      <w:marTop w:val="0"/>
      <w:marBottom w:val="0"/>
      <w:divBdr>
        <w:top w:val="none" w:sz="0" w:space="0" w:color="auto"/>
        <w:left w:val="none" w:sz="0" w:space="0" w:color="auto"/>
        <w:bottom w:val="none" w:sz="0" w:space="0" w:color="auto"/>
        <w:right w:val="none" w:sz="0" w:space="0" w:color="auto"/>
      </w:divBdr>
    </w:div>
    <w:div w:id="589966019">
      <w:bodyDiv w:val="1"/>
      <w:marLeft w:val="0"/>
      <w:marRight w:val="0"/>
      <w:marTop w:val="0"/>
      <w:marBottom w:val="0"/>
      <w:divBdr>
        <w:top w:val="none" w:sz="0" w:space="0" w:color="auto"/>
        <w:left w:val="none" w:sz="0" w:space="0" w:color="auto"/>
        <w:bottom w:val="none" w:sz="0" w:space="0" w:color="auto"/>
        <w:right w:val="none" w:sz="0" w:space="0" w:color="auto"/>
      </w:divBdr>
    </w:div>
    <w:div w:id="590312069">
      <w:bodyDiv w:val="1"/>
      <w:marLeft w:val="0"/>
      <w:marRight w:val="0"/>
      <w:marTop w:val="0"/>
      <w:marBottom w:val="0"/>
      <w:divBdr>
        <w:top w:val="none" w:sz="0" w:space="0" w:color="auto"/>
        <w:left w:val="none" w:sz="0" w:space="0" w:color="auto"/>
        <w:bottom w:val="none" w:sz="0" w:space="0" w:color="auto"/>
        <w:right w:val="none" w:sz="0" w:space="0" w:color="auto"/>
      </w:divBdr>
    </w:div>
    <w:div w:id="590429661">
      <w:bodyDiv w:val="1"/>
      <w:marLeft w:val="0"/>
      <w:marRight w:val="0"/>
      <w:marTop w:val="0"/>
      <w:marBottom w:val="0"/>
      <w:divBdr>
        <w:top w:val="none" w:sz="0" w:space="0" w:color="auto"/>
        <w:left w:val="none" w:sz="0" w:space="0" w:color="auto"/>
        <w:bottom w:val="none" w:sz="0" w:space="0" w:color="auto"/>
        <w:right w:val="none" w:sz="0" w:space="0" w:color="auto"/>
      </w:divBdr>
    </w:div>
    <w:div w:id="590622292">
      <w:bodyDiv w:val="1"/>
      <w:marLeft w:val="0"/>
      <w:marRight w:val="0"/>
      <w:marTop w:val="0"/>
      <w:marBottom w:val="0"/>
      <w:divBdr>
        <w:top w:val="none" w:sz="0" w:space="0" w:color="auto"/>
        <w:left w:val="none" w:sz="0" w:space="0" w:color="auto"/>
        <w:bottom w:val="none" w:sz="0" w:space="0" w:color="auto"/>
        <w:right w:val="none" w:sz="0" w:space="0" w:color="auto"/>
      </w:divBdr>
    </w:div>
    <w:div w:id="590815623">
      <w:bodyDiv w:val="1"/>
      <w:marLeft w:val="0"/>
      <w:marRight w:val="0"/>
      <w:marTop w:val="0"/>
      <w:marBottom w:val="0"/>
      <w:divBdr>
        <w:top w:val="none" w:sz="0" w:space="0" w:color="auto"/>
        <w:left w:val="none" w:sz="0" w:space="0" w:color="auto"/>
        <w:bottom w:val="none" w:sz="0" w:space="0" w:color="auto"/>
        <w:right w:val="none" w:sz="0" w:space="0" w:color="auto"/>
      </w:divBdr>
    </w:div>
    <w:div w:id="590940313">
      <w:bodyDiv w:val="1"/>
      <w:marLeft w:val="0"/>
      <w:marRight w:val="0"/>
      <w:marTop w:val="0"/>
      <w:marBottom w:val="0"/>
      <w:divBdr>
        <w:top w:val="none" w:sz="0" w:space="0" w:color="auto"/>
        <w:left w:val="none" w:sz="0" w:space="0" w:color="auto"/>
        <w:bottom w:val="none" w:sz="0" w:space="0" w:color="auto"/>
        <w:right w:val="none" w:sz="0" w:space="0" w:color="auto"/>
      </w:divBdr>
    </w:div>
    <w:div w:id="593438667">
      <w:bodyDiv w:val="1"/>
      <w:marLeft w:val="0"/>
      <w:marRight w:val="0"/>
      <w:marTop w:val="0"/>
      <w:marBottom w:val="0"/>
      <w:divBdr>
        <w:top w:val="none" w:sz="0" w:space="0" w:color="auto"/>
        <w:left w:val="none" w:sz="0" w:space="0" w:color="auto"/>
        <w:bottom w:val="none" w:sz="0" w:space="0" w:color="auto"/>
        <w:right w:val="none" w:sz="0" w:space="0" w:color="auto"/>
      </w:divBdr>
    </w:div>
    <w:div w:id="593510762">
      <w:bodyDiv w:val="1"/>
      <w:marLeft w:val="0"/>
      <w:marRight w:val="0"/>
      <w:marTop w:val="0"/>
      <w:marBottom w:val="0"/>
      <w:divBdr>
        <w:top w:val="none" w:sz="0" w:space="0" w:color="auto"/>
        <w:left w:val="none" w:sz="0" w:space="0" w:color="auto"/>
        <w:bottom w:val="none" w:sz="0" w:space="0" w:color="auto"/>
        <w:right w:val="none" w:sz="0" w:space="0" w:color="auto"/>
      </w:divBdr>
    </w:div>
    <w:div w:id="593590485">
      <w:bodyDiv w:val="1"/>
      <w:marLeft w:val="0"/>
      <w:marRight w:val="0"/>
      <w:marTop w:val="0"/>
      <w:marBottom w:val="0"/>
      <w:divBdr>
        <w:top w:val="none" w:sz="0" w:space="0" w:color="auto"/>
        <w:left w:val="none" w:sz="0" w:space="0" w:color="auto"/>
        <w:bottom w:val="none" w:sz="0" w:space="0" w:color="auto"/>
        <w:right w:val="none" w:sz="0" w:space="0" w:color="auto"/>
      </w:divBdr>
    </w:div>
    <w:div w:id="593978021">
      <w:bodyDiv w:val="1"/>
      <w:marLeft w:val="0"/>
      <w:marRight w:val="0"/>
      <w:marTop w:val="0"/>
      <w:marBottom w:val="0"/>
      <w:divBdr>
        <w:top w:val="none" w:sz="0" w:space="0" w:color="auto"/>
        <w:left w:val="none" w:sz="0" w:space="0" w:color="auto"/>
        <w:bottom w:val="none" w:sz="0" w:space="0" w:color="auto"/>
        <w:right w:val="none" w:sz="0" w:space="0" w:color="auto"/>
      </w:divBdr>
    </w:div>
    <w:div w:id="594746719">
      <w:bodyDiv w:val="1"/>
      <w:marLeft w:val="0"/>
      <w:marRight w:val="0"/>
      <w:marTop w:val="0"/>
      <w:marBottom w:val="0"/>
      <w:divBdr>
        <w:top w:val="none" w:sz="0" w:space="0" w:color="auto"/>
        <w:left w:val="none" w:sz="0" w:space="0" w:color="auto"/>
        <w:bottom w:val="none" w:sz="0" w:space="0" w:color="auto"/>
        <w:right w:val="none" w:sz="0" w:space="0" w:color="auto"/>
      </w:divBdr>
    </w:div>
    <w:div w:id="594753044">
      <w:bodyDiv w:val="1"/>
      <w:marLeft w:val="0"/>
      <w:marRight w:val="0"/>
      <w:marTop w:val="0"/>
      <w:marBottom w:val="0"/>
      <w:divBdr>
        <w:top w:val="none" w:sz="0" w:space="0" w:color="auto"/>
        <w:left w:val="none" w:sz="0" w:space="0" w:color="auto"/>
        <w:bottom w:val="none" w:sz="0" w:space="0" w:color="auto"/>
        <w:right w:val="none" w:sz="0" w:space="0" w:color="auto"/>
      </w:divBdr>
    </w:div>
    <w:div w:id="595138523">
      <w:bodyDiv w:val="1"/>
      <w:marLeft w:val="0"/>
      <w:marRight w:val="0"/>
      <w:marTop w:val="0"/>
      <w:marBottom w:val="0"/>
      <w:divBdr>
        <w:top w:val="none" w:sz="0" w:space="0" w:color="auto"/>
        <w:left w:val="none" w:sz="0" w:space="0" w:color="auto"/>
        <w:bottom w:val="none" w:sz="0" w:space="0" w:color="auto"/>
        <w:right w:val="none" w:sz="0" w:space="0" w:color="auto"/>
      </w:divBdr>
    </w:div>
    <w:div w:id="595286391">
      <w:bodyDiv w:val="1"/>
      <w:marLeft w:val="0"/>
      <w:marRight w:val="0"/>
      <w:marTop w:val="0"/>
      <w:marBottom w:val="0"/>
      <w:divBdr>
        <w:top w:val="none" w:sz="0" w:space="0" w:color="auto"/>
        <w:left w:val="none" w:sz="0" w:space="0" w:color="auto"/>
        <w:bottom w:val="none" w:sz="0" w:space="0" w:color="auto"/>
        <w:right w:val="none" w:sz="0" w:space="0" w:color="auto"/>
      </w:divBdr>
    </w:div>
    <w:div w:id="595599498">
      <w:bodyDiv w:val="1"/>
      <w:marLeft w:val="0"/>
      <w:marRight w:val="0"/>
      <w:marTop w:val="0"/>
      <w:marBottom w:val="0"/>
      <w:divBdr>
        <w:top w:val="none" w:sz="0" w:space="0" w:color="auto"/>
        <w:left w:val="none" w:sz="0" w:space="0" w:color="auto"/>
        <w:bottom w:val="none" w:sz="0" w:space="0" w:color="auto"/>
        <w:right w:val="none" w:sz="0" w:space="0" w:color="auto"/>
      </w:divBdr>
    </w:div>
    <w:div w:id="596133867">
      <w:bodyDiv w:val="1"/>
      <w:marLeft w:val="0"/>
      <w:marRight w:val="0"/>
      <w:marTop w:val="0"/>
      <w:marBottom w:val="0"/>
      <w:divBdr>
        <w:top w:val="none" w:sz="0" w:space="0" w:color="auto"/>
        <w:left w:val="none" w:sz="0" w:space="0" w:color="auto"/>
        <w:bottom w:val="none" w:sz="0" w:space="0" w:color="auto"/>
        <w:right w:val="none" w:sz="0" w:space="0" w:color="auto"/>
      </w:divBdr>
    </w:div>
    <w:div w:id="596598970">
      <w:bodyDiv w:val="1"/>
      <w:marLeft w:val="0"/>
      <w:marRight w:val="0"/>
      <w:marTop w:val="0"/>
      <w:marBottom w:val="0"/>
      <w:divBdr>
        <w:top w:val="none" w:sz="0" w:space="0" w:color="auto"/>
        <w:left w:val="none" w:sz="0" w:space="0" w:color="auto"/>
        <w:bottom w:val="none" w:sz="0" w:space="0" w:color="auto"/>
        <w:right w:val="none" w:sz="0" w:space="0" w:color="auto"/>
      </w:divBdr>
    </w:div>
    <w:div w:id="597443476">
      <w:bodyDiv w:val="1"/>
      <w:marLeft w:val="0"/>
      <w:marRight w:val="0"/>
      <w:marTop w:val="0"/>
      <w:marBottom w:val="0"/>
      <w:divBdr>
        <w:top w:val="none" w:sz="0" w:space="0" w:color="auto"/>
        <w:left w:val="none" w:sz="0" w:space="0" w:color="auto"/>
        <w:bottom w:val="none" w:sz="0" w:space="0" w:color="auto"/>
        <w:right w:val="none" w:sz="0" w:space="0" w:color="auto"/>
      </w:divBdr>
    </w:div>
    <w:div w:id="597762415">
      <w:bodyDiv w:val="1"/>
      <w:marLeft w:val="0"/>
      <w:marRight w:val="0"/>
      <w:marTop w:val="0"/>
      <w:marBottom w:val="0"/>
      <w:divBdr>
        <w:top w:val="none" w:sz="0" w:space="0" w:color="auto"/>
        <w:left w:val="none" w:sz="0" w:space="0" w:color="auto"/>
        <w:bottom w:val="none" w:sz="0" w:space="0" w:color="auto"/>
        <w:right w:val="none" w:sz="0" w:space="0" w:color="auto"/>
      </w:divBdr>
    </w:div>
    <w:div w:id="598417974">
      <w:bodyDiv w:val="1"/>
      <w:marLeft w:val="0"/>
      <w:marRight w:val="0"/>
      <w:marTop w:val="0"/>
      <w:marBottom w:val="0"/>
      <w:divBdr>
        <w:top w:val="none" w:sz="0" w:space="0" w:color="auto"/>
        <w:left w:val="none" w:sz="0" w:space="0" w:color="auto"/>
        <w:bottom w:val="none" w:sz="0" w:space="0" w:color="auto"/>
        <w:right w:val="none" w:sz="0" w:space="0" w:color="auto"/>
      </w:divBdr>
    </w:div>
    <w:div w:id="598681750">
      <w:bodyDiv w:val="1"/>
      <w:marLeft w:val="0"/>
      <w:marRight w:val="0"/>
      <w:marTop w:val="0"/>
      <w:marBottom w:val="0"/>
      <w:divBdr>
        <w:top w:val="none" w:sz="0" w:space="0" w:color="auto"/>
        <w:left w:val="none" w:sz="0" w:space="0" w:color="auto"/>
        <w:bottom w:val="none" w:sz="0" w:space="0" w:color="auto"/>
        <w:right w:val="none" w:sz="0" w:space="0" w:color="auto"/>
      </w:divBdr>
    </w:div>
    <w:div w:id="600065870">
      <w:bodyDiv w:val="1"/>
      <w:marLeft w:val="0"/>
      <w:marRight w:val="0"/>
      <w:marTop w:val="0"/>
      <w:marBottom w:val="0"/>
      <w:divBdr>
        <w:top w:val="none" w:sz="0" w:space="0" w:color="auto"/>
        <w:left w:val="none" w:sz="0" w:space="0" w:color="auto"/>
        <w:bottom w:val="none" w:sz="0" w:space="0" w:color="auto"/>
        <w:right w:val="none" w:sz="0" w:space="0" w:color="auto"/>
      </w:divBdr>
    </w:div>
    <w:div w:id="600603891">
      <w:bodyDiv w:val="1"/>
      <w:marLeft w:val="0"/>
      <w:marRight w:val="0"/>
      <w:marTop w:val="0"/>
      <w:marBottom w:val="0"/>
      <w:divBdr>
        <w:top w:val="none" w:sz="0" w:space="0" w:color="auto"/>
        <w:left w:val="none" w:sz="0" w:space="0" w:color="auto"/>
        <w:bottom w:val="none" w:sz="0" w:space="0" w:color="auto"/>
        <w:right w:val="none" w:sz="0" w:space="0" w:color="auto"/>
      </w:divBdr>
    </w:div>
    <w:div w:id="601762880">
      <w:bodyDiv w:val="1"/>
      <w:marLeft w:val="0"/>
      <w:marRight w:val="0"/>
      <w:marTop w:val="0"/>
      <w:marBottom w:val="0"/>
      <w:divBdr>
        <w:top w:val="none" w:sz="0" w:space="0" w:color="auto"/>
        <w:left w:val="none" w:sz="0" w:space="0" w:color="auto"/>
        <w:bottom w:val="none" w:sz="0" w:space="0" w:color="auto"/>
        <w:right w:val="none" w:sz="0" w:space="0" w:color="auto"/>
      </w:divBdr>
    </w:div>
    <w:div w:id="602106931">
      <w:bodyDiv w:val="1"/>
      <w:marLeft w:val="0"/>
      <w:marRight w:val="0"/>
      <w:marTop w:val="0"/>
      <w:marBottom w:val="0"/>
      <w:divBdr>
        <w:top w:val="none" w:sz="0" w:space="0" w:color="auto"/>
        <w:left w:val="none" w:sz="0" w:space="0" w:color="auto"/>
        <w:bottom w:val="none" w:sz="0" w:space="0" w:color="auto"/>
        <w:right w:val="none" w:sz="0" w:space="0" w:color="auto"/>
      </w:divBdr>
    </w:div>
    <w:div w:id="602686797">
      <w:bodyDiv w:val="1"/>
      <w:marLeft w:val="0"/>
      <w:marRight w:val="0"/>
      <w:marTop w:val="0"/>
      <w:marBottom w:val="0"/>
      <w:divBdr>
        <w:top w:val="none" w:sz="0" w:space="0" w:color="auto"/>
        <w:left w:val="none" w:sz="0" w:space="0" w:color="auto"/>
        <w:bottom w:val="none" w:sz="0" w:space="0" w:color="auto"/>
        <w:right w:val="none" w:sz="0" w:space="0" w:color="auto"/>
      </w:divBdr>
    </w:div>
    <w:div w:id="603852104">
      <w:bodyDiv w:val="1"/>
      <w:marLeft w:val="0"/>
      <w:marRight w:val="0"/>
      <w:marTop w:val="0"/>
      <w:marBottom w:val="0"/>
      <w:divBdr>
        <w:top w:val="none" w:sz="0" w:space="0" w:color="auto"/>
        <w:left w:val="none" w:sz="0" w:space="0" w:color="auto"/>
        <w:bottom w:val="none" w:sz="0" w:space="0" w:color="auto"/>
        <w:right w:val="none" w:sz="0" w:space="0" w:color="auto"/>
      </w:divBdr>
    </w:div>
    <w:div w:id="604270149">
      <w:bodyDiv w:val="1"/>
      <w:marLeft w:val="0"/>
      <w:marRight w:val="0"/>
      <w:marTop w:val="0"/>
      <w:marBottom w:val="0"/>
      <w:divBdr>
        <w:top w:val="none" w:sz="0" w:space="0" w:color="auto"/>
        <w:left w:val="none" w:sz="0" w:space="0" w:color="auto"/>
        <w:bottom w:val="none" w:sz="0" w:space="0" w:color="auto"/>
        <w:right w:val="none" w:sz="0" w:space="0" w:color="auto"/>
      </w:divBdr>
    </w:div>
    <w:div w:id="605424498">
      <w:bodyDiv w:val="1"/>
      <w:marLeft w:val="0"/>
      <w:marRight w:val="0"/>
      <w:marTop w:val="0"/>
      <w:marBottom w:val="0"/>
      <w:divBdr>
        <w:top w:val="none" w:sz="0" w:space="0" w:color="auto"/>
        <w:left w:val="none" w:sz="0" w:space="0" w:color="auto"/>
        <w:bottom w:val="none" w:sz="0" w:space="0" w:color="auto"/>
        <w:right w:val="none" w:sz="0" w:space="0" w:color="auto"/>
      </w:divBdr>
    </w:div>
    <w:div w:id="605692843">
      <w:bodyDiv w:val="1"/>
      <w:marLeft w:val="0"/>
      <w:marRight w:val="0"/>
      <w:marTop w:val="0"/>
      <w:marBottom w:val="0"/>
      <w:divBdr>
        <w:top w:val="none" w:sz="0" w:space="0" w:color="auto"/>
        <w:left w:val="none" w:sz="0" w:space="0" w:color="auto"/>
        <w:bottom w:val="none" w:sz="0" w:space="0" w:color="auto"/>
        <w:right w:val="none" w:sz="0" w:space="0" w:color="auto"/>
      </w:divBdr>
    </w:div>
    <w:div w:id="605773710">
      <w:bodyDiv w:val="1"/>
      <w:marLeft w:val="0"/>
      <w:marRight w:val="0"/>
      <w:marTop w:val="0"/>
      <w:marBottom w:val="0"/>
      <w:divBdr>
        <w:top w:val="none" w:sz="0" w:space="0" w:color="auto"/>
        <w:left w:val="none" w:sz="0" w:space="0" w:color="auto"/>
        <w:bottom w:val="none" w:sz="0" w:space="0" w:color="auto"/>
        <w:right w:val="none" w:sz="0" w:space="0" w:color="auto"/>
      </w:divBdr>
    </w:div>
    <w:div w:id="605961181">
      <w:bodyDiv w:val="1"/>
      <w:marLeft w:val="0"/>
      <w:marRight w:val="0"/>
      <w:marTop w:val="0"/>
      <w:marBottom w:val="0"/>
      <w:divBdr>
        <w:top w:val="none" w:sz="0" w:space="0" w:color="auto"/>
        <w:left w:val="none" w:sz="0" w:space="0" w:color="auto"/>
        <w:bottom w:val="none" w:sz="0" w:space="0" w:color="auto"/>
        <w:right w:val="none" w:sz="0" w:space="0" w:color="auto"/>
      </w:divBdr>
    </w:div>
    <w:div w:id="606273780">
      <w:bodyDiv w:val="1"/>
      <w:marLeft w:val="0"/>
      <w:marRight w:val="0"/>
      <w:marTop w:val="0"/>
      <w:marBottom w:val="0"/>
      <w:divBdr>
        <w:top w:val="none" w:sz="0" w:space="0" w:color="auto"/>
        <w:left w:val="none" w:sz="0" w:space="0" w:color="auto"/>
        <w:bottom w:val="none" w:sz="0" w:space="0" w:color="auto"/>
        <w:right w:val="none" w:sz="0" w:space="0" w:color="auto"/>
      </w:divBdr>
    </w:div>
    <w:div w:id="606304657">
      <w:bodyDiv w:val="1"/>
      <w:marLeft w:val="0"/>
      <w:marRight w:val="0"/>
      <w:marTop w:val="0"/>
      <w:marBottom w:val="0"/>
      <w:divBdr>
        <w:top w:val="none" w:sz="0" w:space="0" w:color="auto"/>
        <w:left w:val="none" w:sz="0" w:space="0" w:color="auto"/>
        <w:bottom w:val="none" w:sz="0" w:space="0" w:color="auto"/>
        <w:right w:val="none" w:sz="0" w:space="0" w:color="auto"/>
      </w:divBdr>
    </w:div>
    <w:div w:id="606353512">
      <w:bodyDiv w:val="1"/>
      <w:marLeft w:val="0"/>
      <w:marRight w:val="0"/>
      <w:marTop w:val="0"/>
      <w:marBottom w:val="0"/>
      <w:divBdr>
        <w:top w:val="none" w:sz="0" w:space="0" w:color="auto"/>
        <w:left w:val="none" w:sz="0" w:space="0" w:color="auto"/>
        <w:bottom w:val="none" w:sz="0" w:space="0" w:color="auto"/>
        <w:right w:val="none" w:sz="0" w:space="0" w:color="auto"/>
      </w:divBdr>
    </w:div>
    <w:div w:id="606810840">
      <w:bodyDiv w:val="1"/>
      <w:marLeft w:val="0"/>
      <w:marRight w:val="0"/>
      <w:marTop w:val="0"/>
      <w:marBottom w:val="0"/>
      <w:divBdr>
        <w:top w:val="none" w:sz="0" w:space="0" w:color="auto"/>
        <w:left w:val="none" w:sz="0" w:space="0" w:color="auto"/>
        <w:bottom w:val="none" w:sz="0" w:space="0" w:color="auto"/>
        <w:right w:val="none" w:sz="0" w:space="0" w:color="auto"/>
      </w:divBdr>
    </w:div>
    <w:div w:id="606893524">
      <w:bodyDiv w:val="1"/>
      <w:marLeft w:val="0"/>
      <w:marRight w:val="0"/>
      <w:marTop w:val="0"/>
      <w:marBottom w:val="0"/>
      <w:divBdr>
        <w:top w:val="none" w:sz="0" w:space="0" w:color="auto"/>
        <w:left w:val="none" w:sz="0" w:space="0" w:color="auto"/>
        <w:bottom w:val="none" w:sz="0" w:space="0" w:color="auto"/>
        <w:right w:val="none" w:sz="0" w:space="0" w:color="auto"/>
      </w:divBdr>
    </w:div>
    <w:div w:id="607852601">
      <w:bodyDiv w:val="1"/>
      <w:marLeft w:val="0"/>
      <w:marRight w:val="0"/>
      <w:marTop w:val="0"/>
      <w:marBottom w:val="0"/>
      <w:divBdr>
        <w:top w:val="none" w:sz="0" w:space="0" w:color="auto"/>
        <w:left w:val="none" w:sz="0" w:space="0" w:color="auto"/>
        <w:bottom w:val="none" w:sz="0" w:space="0" w:color="auto"/>
        <w:right w:val="none" w:sz="0" w:space="0" w:color="auto"/>
      </w:divBdr>
    </w:div>
    <w:div w:id="608196184">
      <w:bodyDiv w:val="1"/>
      <w:marLeft w:val="0"/>
      <w:marRight w:val="0"/>
      <w:marTop w:val="0"/>
      <w:marBottom w:val="0"/>
      <w:divBdr>
        <w:top w:val="none" w:sz="0" w:space="0" w:color="auto"/>
        <w:left w:val="none" w:sz="0" w:space="0" w:color="auto"/>
        <w:bottom w:val="none" w:sz="0" w:space="0" w:color="auto"/>
        <w:right w:val="none" w:sz="0" w:space="0" w:color="auto"/>
      </w:divBdr>
    </w:div>
    <w:div w:id="609439489">
      <w:bodyDiv w:val="1"/>
      <w:marLeft w:val="0"/>
      <w:marRight w:val="0"/>
      <w:marTop w:val="0"/>
      <w:marBottom w:val="0"/>
      <w:divBdr>
        <w:top w:val="none" w:sz="0" w:space="0" w:color="auto"/>
        <w:left w:val="none" w:sz="0" w:space="0" w:color="auto"/>
        <w:bottom w:val="none" w:sz="0" w:space="0" w:color="auto"/>
        <w:right w:val="none" w:sz="0" w:space="0" w:color="auto"/>
      </w:divBdr>
    </w:div>
    <w:div w:id="609505907">
      <w:bodyDiv w:val="1"/>
      <w:marLeft w:val="0"/>
      <w:marRight w:val="0"/>
      <w:marTop w:val="0"/>
      <w:marBottom w:val="0"/>
      <w:divBdr>
        <w:top w:val="none" w:sz="0" w:space="0" w:color="auto"/>
        <w:left w:val="none" w:sz="0" w:space="0" w:color="auto"/>
        <w:bottom w:val="none" w:sz="0" w:space="0" w:color="auto"/>
        <w:right w:val="none" w:sz="0" w:space="0" w:color="auto"/>
      </w:divBdr>
    </w:div>
    <w:div w:id="610431160">
      <w:bodyDiv w:val="1"/>
      <w:marLeft w:val="0"/>
      <w:marRight w:val="0"/>
      <w:marTop w:val="0"/>
      <w:marBottom w:val="0"/>
      <w:divBdr>
        <w:top w:val="none" w:sz="0" w:space="0" w:color="auto"/>
        <w:left w:val="none" w:sz="0" w:space="0" w:color="auto"/>
        <w:bottom w:val="none" w:sz="0" w:space="0" w:color="auto"/>
        <w:right w:val="none" w:sz="0" w:space="0" w:color="auto"/>
      </w:divBdr>
    </w:div>
    <w:div w:id="611206304">
      <w:bodyDiv w:val="1"/>
      <w:marLeft w:val="0"/>
      <w:marRight w:val="0"/>
      <w:marTop w:val="0"/>
      <w:marBottom w:val="0"/>
      <w:divBdr>
        <w:top w:val="none" w:sz="0" w:space="0" w:color="auto"/>
        <w:left w:val="none" w:sz="0" w:space="0" w:color="auto"/>
        <w:bottom w:val="none" w:sz="0" w:space="0" w:color="auto"/>
        <w:right w:val="none" w:sz="0" w:space="0" w:color="auto"/>
      </w:divBdr>
    </w:div>
    <w:div w:id="612133747">
      <w:bodyDiv w:val="1"/>
      <w:marLeft w:val="0"/>
      <w:marRight w:val="0"/>
      <w:marTop w:val="0"/>
      <w:marBottom w:val="0"/>
      <w:divBdr>
        <w:top w:val="none" w:sz="0" w:space="0" w:color="auto"/>
        <w:left w:val="none" w:sz="0" w:space="0" w:color="auto"/>
        <w:bottom w:val="none" w:sz="0" w:space="0" w:color="auto"/>
        <w:right w:val="none" w:sz="0" w:space="0" w:color="auto"/>
      </w:divBdr>
    </w:div>
    <w:div w:id="612640464">
      <w:bodyDiv w:val="1"/>
      <w:marLeft w:val="0"/>
      <w:marRight w:val="0"/>
      <w:marTop w:val="0"/>
      <w:marBottom w:val="0"/>
      <w:divBdr>
        <w:top w:val="none" w:sz="0" w:space="0" w:color="auto"/>
        <w:left w:val="none" w:sz="0" w:space="0" w:color="auto"/>
        <w:bottom w:val="none" w:sz="0" w:space="0" w:color="auto"/>
        <w:right w:val="none" w:sz="0" w:space="0" w:color="auto"/>
      </w:divBdr>
    </w:div>
    <w:div w:id="612858226">
      <w:bodyDiv w:val="1"/>
      <w:marLeft w:val="0"/>
      <w:marRight w:val="0"/>
      <w:marTop w:val="0"/>
      <w:marBottom w:val="0"/>
      <w:divBdr>
        <w:top w:val="none" w:sz="0" w:space="0" w:color="auto"/>
        <w:left w:val="none" w:sz="0" w:space="0" w:color="auto"/>
        <w:bottom w:val="none" w:sz="0" w:space="0" w:color="auto"/>
        <w:right w:val="none" w:sz="0" w:space="0" w:color="auto"/>
      </w:divBdr>
    </w:div>
    <w:div w:id="614479140">
      <w:bodyDiv w:val="1"/>
      <w:marLeft w:val="0"/>
      <w:marRight w:val="0"/>
      <w:marTop w:val="0"/>
      <w:marBottom w:val="0"/>
      <w:divBdr>
        <w:top w:val="none" w:sz="0" w:space="0" w:color="auto"/>
        <w:left w:val="none" w:sz="0" w:space="0" w:color="auto"/>
        <w:bottom w:val="none" w:sz="0" w:space="0" w:color="auto"/>
        <w:right w:val="none" w:sz="0" w:space="0" w:color="auto"/>
      </w:divBdr>
    </w:div>
    <w:div w:id="616258236">
      <w:bodyDiv w:val="1"/>
      <w:marLeft w:val="0"/>
      <w:marRight w:val="0"/>
      <w:marTop w:val="0"/>
      <w:marBottom w:val="0"/>
      <w:divBdr>
        <w:top w:val="none" w:sz="0" w:space="0" w:color="auto"/>
        <w:left w:val="none" w:sz="0" w:space="0" w:color="auto"/>
        <w:bottom w:val="none" w:sz="0" w:space="0" w:color="auto"/>
        <w:right w:val="none" w:sz="0" w:space="0" w:color="auto"/>
      </w:divBdr>
    </w:div>
    <w:div w:id="616446457">
      <w:bodyDiv w:val="1"/>
      <w:marLeft w:val="0"/>
      <w:marRight w:val="0"/>
      <w:marTop w:val="0"/>
      <w:marBottom w:val="0"/>
      <w:divBdr>
        <w:top w:val="none" w:sz="0" w:space="0" w:color="auto"/>
        <w:left w:val="none" w:sz="0" w:space="0" w:color="auto"/>
        <w:bottom w:val="none" w:sz="0" w:space="0" w:color="auto"/>
        <w:right w:val="none" w:sz="0" w:space="0" w:color="auto"/>
      </w:divBdr>
    </w:div>
    <w:div w:id="616915823">
      <w:bodyDiv w:val="1"/>
      <w:marLeft w:val="0"/>
      <w:marRight w:val="0"/>
      <w:marTop w:val="0"/>
      <w:marBottom w:val="0"/>
      <w:divBdr>
        <w:top w:val="none" w:sz="0" w:space="0" w:color="auto"/>
        <w:left w:val="none" w:sz="0" w:space="0" w:color="auto"/>
        <w:bottom w:val="none" w:sz="0" w:space="0" w:color="auto"/>
        <w:right w:val="none" w:sz="0" w:space="0" w:color="auto"/>
      </w:divBdr>
    </w:div>
    <w:div w:id="617372065">
      <w:bodyDiv w:val="1"/>
      <w:marLeft w:val="0"/>
      <w:marRight w:val="0"/>
      <w:marTop w:val="0"/>
      <w:marBottom w:val="0"/>
      <w:divBdr>
        <w:top w:val="none" w:sz="0" w:space="0" w:color="auto"/>
        <w:left w:val="none" w:sz="0" w:space="0" w:color="auto"/>
        <w:bottom w:val="none" w:sz="0" w:space="0" w:color="auto"/>
        <w:right w:val="none" w:sz="0" w:space="0" w:color="auto"/>
      </w:divBdr>
    </w:div>
    <w:div w:id="619186222">
      <w:bodyDiv w:val="1"/>
      <w:marLeft w:val="0"/>
      <w:marRight w:val="0"/>
      <w:marTop w:val="0"/>
      <w:marBottom w:val="0"/>
      <w:divBdr>
        <w:top w:val="none" w:sz="0" w:space="0" w:color="auto"/>
        <w:left w:val="none" w:sz="0" w:space="0" w:color="auto"/>
        <w:bottom w:val="none" w:sz="0" w:space="0" w:color="auto"/>
        <w:right w:val="none" w:sz="0" w:space="0" w:color="auto"/>
      </w:divBdr>
    </w:div>
    <w:div w:id="619462143">
      <w:bodyDiv w:val="1"/>
      <w:marLeft w:val="0"/>
      <w:marRight w:val="0"/>
      <w:marTop w:val="0"/>
      <w:marBottom w:val="0"/>
      <w:divBdr>
        <w:top w:val="none" w:sz="0" w:space="0" w:color="auto"/>
        <w:left w:val="none" w:sz="0" w:space="0" w:color="auto"/>
        <w:bottom w:val="none" w:sz="0" w:space="0" w:color="auto"/>
        <w:right w:val="none" w:sz="0" w:space="0" w:color="auto"/>
      </w:divBdr>
    </w:div>
    <w:div w:id="619917486">
      <w:bodyDiv w:val="1"/>
      <w:marLeft w:val="0"/>
      <w:marRight w:val="0"/>
      <w:marTop w:val="0"/>
      <w:marBottom w:val="0"/>
      <w:divBdr>
        <w:top w:val="none" w:sz="0" w:space="0" w:color="auto"/>
        <w:left w:val="none" w:sz="0" w:space="0" w:color="auto"/>
        <w:bottom w:val="none" w:sz="0" w:space="0" w:color="auto"/>
        <w:right w:val="none" w:sz="0" w:space="0" w:color="auto"/>
      </w:divBdr>
    </w:div>
    <w:div w:id="623779378">
      <w:bodyDiv w:val="1"/>
      <w:marLeft w:val="0"/>
      <w:marRight w:val="0"/>
      <w:marTop w:val="0"/>
      <w:marBottom w:val="0"/>
      <w:divBdr>
        <w:top w:val="none" w:sz="0" w:space="0" w:color="auto"/>
        <w:left w:val="none" w:sz="0" w:space="0" w:color="auto"/>
        <w:bottom w:val="none" w:sz="0" w:space="0" w:color="auto"/>
        <w:right w:val="none" w:sz="0" w:space="0" w:color="auto"/>
      </w:divBdr>
    </w:div>
    <w:div w:id="627318527">
      <w:bodyDiv w:val="1"/>
      <w:marLeft w:val="0"/>
      <w:marRight w:val="0"/>
      <w:marTop w:val="0"/>
      <w:marBottom w:val="0"/>
      <w:divBdr>
        <w:top w:val="none" w:sz="0" w:space="0" w:color="auto"/>
        <w:left w:val="none" w:sz="0" w:space="0" w:color="auto"/>
        <w:bottom w:val="none" w:sz="0" w:space="0" w:color="auto"/>
        <w:right w:val="none" w:sz="0" w:space="0" w:color="auto"/>
      </w:divBdr>
    </w:div>
    <w:div w:id="627784632">
      <w:bodyDiv w:val="1"/>
      <w:marLeft w:val="0"/>
      <w:marRight w:val="0"/>
      <w:marTop w:val="0"/>
      <w:marBottom w:val="0"/>
      <w:divBdr>
        <w:top w:val="none" w:sz="0" w:space="0" w:color="auto"/>
        <w:left w:val="none" w:sz="0" w:space="0" w:color="auto"/>
        <w:bottom w:val="none" w:sz="0" w:space="0" w:color="auto"/>
        <w:right w:val="none" w:sz="0" w:space="0" w:color="auto"/>
      </w:divBdr>
    </w:div>
    <w:div w:id="628168288">
      <w:bodyDiv w:val="1"/>
      <w:marLeft w:val="0"/>
      <w:marRight w:val="0"/>
      <w:marTop w:val="0"/>
      <w:marBottom w:val="0"/>
      <w:divBdr>
        <w:top w:val="none" w:sz="0" w:space="0" w:color="auto"/>
        <w:left w:val="none" w:sz="0" w:space="0" w:color="auto"/>
        <w:bottom w:val="none" w:sz="0" w:space="0" w:color="auto"/>
        <w:right w:val="none" w:sz="0" w:space="0" w:color="auto"/>
      </w:divBdr>
    </w:div>
    <w:div w:id="628902631">
      <w:bodyDiv w:val="1"/>
      <w:marLeft w:val="0"/>
      <w:marRight w:val="0"/>
      <w:marTop w:val="0"/>
      <w:marBottom w:val="0"/>
      <w:divBdr>
        <w:top w:val="none" w:sz="0" w:space="0" w:color="auto"/>
        <w:left w:val="none" w:sz="0" w:space="0" w:color="auto"/>
        <w:bottom w:val="none" w:sz="0" w:space="0" w:color="auto"/>
        <w:right w:val="none" w:sz="0" w:space="0" w:color="auto"/>
      </w:divBdr>
    </w:div>
    <w:div w:id="629434279">
      <w:bodyDiv w:val="1"/>
      <w:marLeft w:val="0"/>
      <w:marRight w:val="0"/>
      <w:marTop w:val="0"/>
      <w:marBottom w:val="0"/>
      <w:divBdr>
        <w:top w:val="none" w:sz="0" w:space="0" w:color="auto"/>
        <w:left w:val="none" w:sz="0" w:space="0" w:color="auto"/>
        <w:bottom w:val="none" w:sz="0" w:space="0" w:color="auto"/>
        <w:right w:val="none" w:sz="0" w:space="0" w:color="auto"/>
      </w:divBdr>
    </w:div>
    <w:div w:id="630747843">
      <w:bodyDiv w:val="1"/>
      <w:marLeft w:val="0"/>
      <w:marRight w:val="0"/>
      <w:marTop w:val="0"/>
      <w:marBottom w:val="0"/>
      <w:divBdr>
        <w:top w:val="none" w:sz="0" w:space="0" w:color="auto"/>
        <w:left w:val="none" w:sz="0" w:space="0" w:color="auto"/>
        <w:bottom w:val="none" w:sz="0" w:space="0" w:color="auto"/>
        <w:right w:val="none" w:sz="0" w:space="0" w:color="auto"/>
      </w:divBdr>
    </w:div>
    <w:div w:id="633683980">
      <w:bodyDiv w:val="1"/>
      <w:marLeft w:val="0"/>
      <w:marRight w:val="0"/>
      <w:marTop w:val="0"/>
      <w:marBottom w:val="0"/>
      <w:divBdr>
        <w:top w:val="none" w:sz="0" w:space="0" w:color="auto"/>
        <w:left w:val="none" w:sz="0" w:space="0" w:color="auto"/>
        <w:bottom w:val="none" w:sz="0" w:space="0" w:color="auto"/>
        <w:right w:val="none" w:sz="0" w:space="0" w:color="auto"/>
      </w:divBdr>
    </w:div>
    <w:div w:id="633872947">
      <w:bodyDiv w:val="1"/>
      <w:marLeft w:val="0"/>
      <w:marRight w:val="0"/>
      <w:marTop w:val="0"/>
      <w:marBottom w:val="0"/>
      <w:divBdr>
        <w:top w:val="none" w:sz="0" w:space="0" w:color="auto"/>
        <w:left w:val="none" w:sz="0" w:space="0" w:color="auto"/>
        <w:bottom w:val="none" w:sz="0" w:space="0" w:color="auto"/>
        <w:right w:val="none" w:sz="0" w:space="0" w:color="auto"/>
      </w:divBdr>
    </w:div>
    <w:div w:id="634722495">
      <w:bodyDiv w:val="1"/>
      <w:marLeft w:val="0"/>
      <w:marRight w:val="0"/>
      <w:marTop w:val="0"/>
      <w:marBottom w:val="0"/>
      <w:divBdr>
        <w:top w:val="none" w:sz="0" w:space="0" w:color="auto"/>
        <w:left w:val="none" w:sz="0" w:space="0" w:color="auto"/>
        <w:bottom w:val="none" w:sz="0" w:space="0" w:color="auto"/>
        <w:right w:val="none" w:sz="0" w:space="0" w:color="auto"/>
      </w:divBdr>
    </w:div>
    <w:div w:id="635065183">
      <w:bodyDiv w:val="1"/>
      <w:marLeft w:val="0"/>
      <w:marRight w:val="0"/>
      <w:marTop w:val="0"/>
      <w:marBottom w:val="0"/>
      <w:divBdr>
        <w:top w:val="none" w:sz="0" w:space="0" w:color="auto"/>
        <w:left w:val="none" w:sz="0" w:space="0" w:color="auto"/>
        <w:bottom w:val="none" w:sz="0" w:space="0" w:color="auto"/>
        <w:right w:val="none" w:sz="0" w:space="0" w:color="auto"/>
      </w:divBdr>
    </w:div>
    <w:div w:id="635455836">
      <w:bodyDiv w:val="1"/>
      <w:marLeft w:val="0"/>
      <w:marRight w:val="0"/>
      <w:marTop w:val="0"/>
      <w:marBottom w:val="0"/>
      <w:divBdr>
        <w:top w:val="none" w:sz="0" w:space="0" w:color="auto"/>
        <w:left w:val="none" w:sz="0" w:space="0" w:color="auto"/>
        <w:bottom w:val="none" w:sz="0" w:space="0" w:color="auto"/>
        <w:right w:val="none" w:sz="0" w:space="0" w:color="auto"/>
      </w:divBdr>
    </w:div>
    <w:div w:id="635524735">
      <w:bodyDiv w:val="1"/>
      <w:marLeft w:val="0"/>
      <w:marRight w:val="0"/>
      <w:marTop w:val="0"/>
      <w:marBottom w:val="0"/>
      <w:divBdr>
        <w:top w:val="none" w:sz="0" w:space="0" w:color="auto"/>
        <w:left w:val="none" w:sz="0" w:space="0" w:color="auto"/>
        <w:bottom w:val="none" w:sz="0" w:space="0" w:color="auto"/>
        <w:right w:val="none" w:sz="0" w:space="0" w:color="auto"/>
      </w:divBdr>
    </w:div>
    <w:div w:id="636649402">
      <w:bodyDiv w:val="1"/>
      <w:marLeft w:val="0"/>
      <w:marRight w:val="0"/>
      <w:marTop w:val="0"/>
      <w:marBottom w:val="0"/>
      <w:divBdr>
        <w:top w:val="none" w:sz="0" w:space="0" w:color="auto"/>
        <w:left w:val="none" w:sz="0" w:space="0" w:color="auto"/>
        <w:bottom w:val="none" w:sz="0" w:space="0" w:color="auto"/>
        <w:right w:val="none" w:sz="0" w:space="0" w:color="auto"/>
      </w:divBdr>
    </w:div>
    <w:div w:id="638340251">
      <w:bodyDiv w:val="1"/>
      <w:marLeft w:val="0"/>
      <w:marRight w:val="0"/>
      <w:marTop w:val="0"/>
      <w:marBottom w:val="0"/>
      <w:divBdr>
        <w:top w:val="none" w:sz="0" w:space="0" w:color="auto"/>
        <w:left w:val="none" w:sz="0" w:space="0" w:color="auto"/>
        <w:bottom w:val="none" w:sz="0" w:space="0" w:color="auto"/>
        <w:right w:val="none" w:sz="0" w:space="0" w:color="auto"/>
      </w:divBdr>
    </w:div>
    <w:div w:id="638457697">
      <w:bodyDiv w:val="1"/>
      <w:marLeft w:val="0"/>
      <w:marRight w:val="0"/>
      <w:marTop w:val="0"/>
      <w:marBottom w:val="0"/>
      <w:divBdr>
        <w:top w:val="none" w:sz="0" w:space="0" w:color="auto"/>
        <w:left w:val="none" w:sz="0" w:space="0" w:color="auto"/>
        <w:bottom w:val="none" w:sz="0" w:space="0" w:color="auto"/>
        <w:right w:val="none" w:sz="0" w:space="0" w:color="auto"/>
      </w:divBdr>
    </w:div>
    <w:div w:id="638535913">
      <w:bodyDiv w:val="1"/>
      <w:marLeft w:val="0"/>
      <w:marRight w:val="0"/>
      <w:marTop w:val="0"/>
      <w:marBottom w:val="0"/>
      <w:divBdr>
        <w:top w:val="none" w:sz="0" w:space="0" w:color="auto"/>
        <w:left w:val="none" w:sz="0" w:space="0" w:color="auto"/>
        <w:bottom w:val="none" w:sz="0" w:space="0" w:color="auto"/>
        <w:right w:val="none" w:sz="0" w:space="0" w:color="auto"/>
      </w:divBdr>
    </w:div>
    <w:div w:id="639117675">
      <w:bodyDiv w:val="1"/>
      <w:marLeft w:val="0"/>
      <w:marRight w:val="0"/>
      <w:marTop w:val="0"/>
      <w:marBottom w:val="0"/>
      <w:divBdr>
        <w:top w:val="none" w:sz="0" w:space="0" w:color="auto"/>
        <w:left w:val="none" w:sz="0" w:space="0" w:color="auto"/>
        <w:bottom w:val="none" w:sz="0" w:space="0" w:color="auto"/>
        <w:right w:val="none" w:sz="0" w:space="0" w:color="auto"/>
      </w:divBdr>
    </w:div>
    <w:div w:id="639306326">
      <w:bodyDiv w:val="1"/>
      <w:marLeft w:val="0"/>
      <w:marRight w:val="0"/>
      <w:marTop w:val="0"/>
      <w:marBottom w:val="0"/>
      <w:divBdr>
        <w:top w:val="none" w:sz="0" w:space="0" w:color="auto"/>
        <w:left w:val="none" w:sz="0" w:space="0" w:color="auto"/>
        <w:bottom w:val="none" w:sz="0" w:space="0" w:color="auto"/>
        <w:right w:val="none" w:sz="0" w:space="0" w:color="auto"/>
      </w:divBdr>
    </w:div>
    <w:div w:id="640887613">
      <w:bodyDiv w:val="1"/>
      <w:marLeft w:val="0"/>
      <w:marRight w:val="0"/>
      <w:marTop w:val="0"/>
      <w:marBottom w:val="0"/>
      <w:divBdr>
        <w:top w:val="none" w:sz="0" w:space="0" w:color="auto"/>
        <w:left w:val="none" w:sz="0" w:space="0" w:color="auto"/>
        <w:bottom w:val="none" w:sz="0" w:space="0" w:color="auto"/>
        <w:right w:val="none" w:sz="0" w:space="0" w:color="auto"/>
      </w:divBdr>
    </w:div>
    <w:div w:id="640961004">
      <w:bodyDiv w:val="1"/>
      <w:marLeft w:val="0"/>
      <w:marRight w:val="0"/>
      <w:marTop w:val="0"/>
      <w:marBottom w:val="0"/>
      <w:divBdr>
        <w:top w:val="none" w:sz="0" w:space="0" w:color="auto"/>
        <w:left w:val="none" w:sz="0" w:space="0" w:color="auto"/>
        <w:bottom w:val="none" w:sz="0" w:space="0" w:color="auto"/>
        <w:right w:val="none" w:sz="0" w:space="0" w:color="auto"/>
      </w:divBdr>
    </w:div>
    <w:div w:id="641424681">
      <w:bodyDiv w:val="1"/>
      <w:marLeft w:val="0"/>
      <w:marRight w:val="0"/>
      <w:marTop w:val="0"/>
      <w:marBottom w:val="0"/>
      <w:divBdr>
        <w:top w:val="none" w:sz="0" w:space="0" w:color="auto"/>
        <w:left w:val="none" w:sz="0" w:space="0" w:color="auto"/>
        <w:bottom w:val="none" w:sz="0" w:space="0" w:color="auto"/>
        <w:right w:val="none" w:sz="0" w:space="0" w:color="auto"/>
      </w:divBdr>
    </w:div>
    <w:div w:id="642085156">
      <w:bodyDiv w:val="1"/>
      <w:marLeft w:val="0"/>
      <w:marRight w:val="0"/>
      <w:marTop w:val="0"/>
      <w:marBottom w:val="0"/>
      <w:divBdr>
        <w:top w:val="none" w:sz="0" w:space="0" w:color="auto"/>
        <w:left w:val="none" w:sz="0" w:space="0" w:color="auto"/>
        <w:bottom w:val="none" w:sz="0" w:space="0" w:color="auto"/>
        <w:right w:val="none" w:sz="0" w:space="0" w:color="auto"/>
      </w:divBdr>
    </w:div>
    <w:div w:id="642391830">
      <w:bodyDiv w:val="1"/>
      <w:marLeft w:val="0"/>
      <w:marRight w:val="0"/>
      <w:marTop w:val="0"/>
      <w:marBottom w:val="0"/>
      <w:divBdr>
        <w:top w:val="none" w:sz="0" w:space="0" w:color="auto"/>
        <w:left w:val="none" w:sz="0" w:space="0" w:color="auto"/>
        <w:bottom w:val="none" w:sz="0" w:space="0" w:color="auto"/>
        <w:right w:val="none" w:sz="0" w:space="0" w:color="auto"/>
      </w:divBdr>
    </w:div>
    <w:div w:id="643126261">
      <w:bodyDiv w:val="1"/>
      <w:marLeft w:val="0"/>
      <w:marRight w:val="0"/>
      <w:marTop w:val="0"/>
      <w:marBottom w:val="0"/>
      <w:divBdr>
        <w:top w:val="none" w:sz="0" w:space="0" w:color="auto"/>
        <w:left w:val="none" w:sz="0" w:space="0" w:color="auto"/>
        <w:bottom w:val="none" w:sz="0" w:space="0" w:color="auto"/>
        <w:right w:val="none" w:sz="0" w:space="0" w:color="auto"/>
      </w:divBdr>
    </w:div>
    <w:div w:id="643853079">
      <w:bodyDiv w:val="1"/>
      <w:marLeft w:val="0"/>
      <w:marRight w:val="0"/>
      <w:marTop w:val="0"/>
      <w:marBottom w:val="0"/>
      <w:divBdr>
        <w:top w:val="none" w:sz="0" w:space="0" w:color="auto"/>
        <w:left w:val="none" w:sz="0" w:space="0" w:color="auto"/>
        <w:bottom w:val="none" w:sz="0" w:space="0" w:color="auto"/>
        <w:right w:val="none" w:sz="0" w:space="0" w:color="auto"/>
      </w:divBdr>
    </w:div>
    <w:div w:id="644159313">
      <w:bodyDiv w:val="1"/>
      <w:marLeft w:val="0"/>
      <w:marRight w:val="0"/>
      <w:marTop w:val="0"/>
      <w:marBottom w:val="0"/>
      <w:divBdr>
        <w:top w:val="none" w:sz="0" w:space="0" w:color="auto"/>
        <w:left w:val="none" w:sz="0" w:space="0" w:color="auto"/>
        <w:bottom w:val="none" w:sz="0" w:space="0" w:color="auto"/>
        <w:right w:val="none" w:sz="0" w:space="0" w:color="auto"/>
      </w:divBdr>
    </w:div>
    <w:div w:id="644898761">
      <w:bodyDiv w:val="1"/>
      <w:marLeft w:val="0"/>
      <w:marRight w:val="0"/>
      <w:marTop w:val="0"/>
      <w:marBottom w:val="0"/>
      <w:divBdr>
        <w:top w:val="none" w:sz="0" w:space="0" w:color="auto"/>
        <w:left w:val="none" w:sz="0" w:space="0" w:color="auto"/>
        <w:bottom w:val="none" w:sz="0" w:space="0" w:color="auto"/>
        <w:right w:val="none" w:sz="0" w:space="0" w:color="auto"/>
      </w:divBdr>
    </w:div>
    <w:div w:id="646666462">
      <w:bodyDiv w:val="1"/>
      <w:marLeft w:val="0"/>
      <w:marRight w:val="0"/>
      <w:marTop w:val="0"/>
      <w:marBottom w:val="0"/>
      <w:divBdr>
        <w:top w:val="none" w:sz="0" w:space="0" w:color="auto"/>
        <w:left w:val="none" w:sz="0" w:space="0" w:color="auto"/>
        <w:bottom w:val="none" w:sz="0" w:space="0" w:color="auto"/>
        <w:right w:val="none" w:sz="0" w:space="0" w:color="auto"/>
      </w:divBdr>
    </w:div>
    <w:div w:id="647050325">
      <w:bodyDiv w:val="1"/>
      <w:marLeft w:val="0"/>
      <w:marRight w:val="0"/>
      <w:marTop w:val="0"/>
      <w:marBottom w:val="0"/>
      <w:divBdr>
        <w:top w:val="none" w:sz="0" w:space="0" w:color="auto"/>
        <w:left w:val="none" w:sz="0" w:space="0" w:color="auto"/>
        <w:bottom w:val="none" w:sz="0" w:space="0" w:color="auto"/>
        <w:right w:val="none" w:sz="0" w:space="0" w:color="auto"/>
      </w:divBdr>
    </w:div>
    <w:div w:id="647826435">
      <w:bodyDiv w:val="1"/>
      <w:marLeft w:val="0"/>
      <w:marRight w:val="0"/>
      <w:marTop w:val="0"/>
      <w:marBottom w:val="0"/>
      <w:divBdr>
        <w:top w:val="none" w:sz="0" w:space="0" w:color="auto"/>
        <w:left w:val="none" w:sz="0" w:space="0" w:color="auto"/>
        <w:bottom w:val="none" w:sz="0" w:space="0" w:color="auto"/>
        <w:right w:val="none" w:sz="0" w:space="0" w:color="auto"/>
      </w:divBdr>
    </w:div>
    <w:div w:id="647975338">
      <w:bodyDiv w:val="1"/>
      <w:marLeft w:val="0"/>
      <w:marRight w:val="0"/>
      <w:marTop w:val="0"/>
      <w:marBottom w:val="0"/>
      <w:divBdr>
        <w:top w:val="none" w:sz="0" w:space="0" w:color="auto"/>
        <w:left w:val="none" w:sz="0" w:space="0" w:color="auto"/>
        <w:bottom w:val="none" w:sz="0" w:space="0" w:color="auto"/>
        <w:right w:val="none" w:sz="0" w:space="0" w:color="auto"/>
      </w:divBdr>
    </w:div>
    <w:div w:id="651561403">
      <w:bodyDiv w:val="1"/>
      <w:marLeft w:val="0"/>
      <w:marRight w:val="0"/>
      <w:marTop w:val="0"/>
      <w:marBottom w:val="0"/>
      <w:divBdr>
        <w:top w:val="none" w:sz="0" w:space="0" w:color="auto"/>
        <w:left w:val="none" w:sz="0" w:space="0" w:color="auto"/>
        <w:bottom w:val="none" w:sz="0" w:space="0" w:color="auto"/>
        <w:right w:val="none" w:sz="0" w:space="0" w:color="auto"/>
      </w:divBdr>
    </w:div>
    <w:div w:id="653068205">
      <w:bodyDiv w:val="1"/>
      <w:marLeft w:val="0"/>
      <w:marRight w:val="0"/>
      <w:marTop w:val="0"/>
      <w:marBottom w:val="0"/>
      <w:divBdr>
        <w:top w:val="none" w:sz="0" w:space="0" w:color="auto"/>
        <w:left w:val="none" w:sz="0" w:space="0" w:color="auto"/>
        <w:bottom w:val="none" w:sz="0" w:space="0" w:color="auto"/>
        <w:right w:val="none" w:sz="0" w:space="0" w:color="auto"/>
      </w:divBdr>
    </w:div>
    <w:div w:id="653292249">
      <w:bodyDiv w:val="1"/>
      <w:marLeft w:val="0"/>
      <w:marRight w:val="0"/>
      <w:marTop w:val="0"/>
      <w:marBottom w:val="0"/>
      <w:divBdr>
        <w:top w:val="none" w:sz="0" w:space="0" w:color="auto"/>
        <w:left w:val="none" w:sz="0" w:space="0" w:color="auto"/>
        <w:bottom w:val="none" w:sz="0" w:space="0" w:color="auto"/>
        <w:right w:val="none" w:sz="0" w:space="0" w:color="auto"/>
      </w:divBdr>
    </w:div>
    <w:div w:id="653679690">
      <w:bodyDiv w:val="1"/>
      <w:marLeft w:val="0"/>
      <w:marRight w:val="0"/>
      <w:marTop w:val="0"/>
      <w:marBottom w:val="0"/>
      <w:divBdr>
        <w:top w:val="none" w:sz="0" w:space="0" w:color="auto"/>
        <w:left w:val="none" w:sz="0" w:space="0" w:color="auto"/>
        <w:bottom w:val="none" w:sz="0" w:space="0" w:color="auto"/>
        <w:right w:val="none" w:sz="0" w:space="0" w:color="auto"/>
      </w:divBdr>
    </w:div>
    <w:div w:id="654450436">
      <w:bodyDiv w:val="1"/>
      <w:marLeft w:val="0"/>
      <w:marRight w:val="0"/>
      <w:marTop w:val="0"/>
      <w:marBottom w:val="0"/>
      <w:divBdr>
        <w:top w:val="none" w:sz="0" w:space="0" w:color="auto"/>
        <w:left w:val="none" w:sz="0" w:space="0" w:color="auto"/>
        <w:bottom w:val="none" w:sz="0" w:space="0" w:color="auto"/>
        <w:right w:val="none" w:sz="0" w:space="0" w:color="auto"/>
      </w:divBdr>
    </w:div>
    <w:div w:id="654534363">
      <w:bodyDiv w:val="1"/>
      <w:marLeft w:val="0"/>
      <w:marRight w:val="0"/>
      <w:marTop w:val="0"/>
      <w:marBottom w:val="0"/>
      <w:divBdr>
        <w:top w:val="none" w:sz="0" w:space="0" w:color="auto"/>
        <w:left w:val="none" w:sz="0" w:space="0" w:color="auto"/>
        <w:bottom w:val="none" w:sz="0" w:space="0" w:color="auto"/>
        <w:right w:val="none" w:sz="0" w:space="0" w:color="auto"/>
      </w:divBdr>
    </w:div>
    <w:div w:id="654838379">
      <w:bodyDiv w:val="1"/>
      <w:marLeft w:val="0"/>
      <w:marRight w:val="0"/>
      <w:marTop w:val="0"/>
      <w:marBottom w:val="0"/>
      <w:divBdr>
        <w:top w:val="none" w:sz="0" w:space="0" w:color="auto"/>
        <w:left w:val="none" w:sz="0" w:space="0" w:color="auto"/>
        <w:bottom w:val="none" w:sz="0" w:space="0" w:color="auto"/>
        <w:right w:val="none" w:sz="0" w:space="0" w:color="auto"/>
      </w:divBdr>
    </w:div>
    <w:div w:id="655649536">
      <w:bodyDiv w:val="1"/>
      <w:marLeft w:val="0"/>
      <w:marRight w:val="0"/>
      <w:marTop w:val="0"/>
      <w:marBottom w:val="0"/>
      <w:divBdr>
        <w:top w:val="none" w:sz="0" w:space="0" w:color="auto"/>
        <w:left w:val="none" w:sz="0" w:space="0" w:color="auto"/>
        <w:bottom w:val="none" w:sz="0" w:space="0" w:color="auto"/>
        <w:right w:val="none" w:sz="0" w:space="0" w:color="auto"/>
      </w:divBdr>
    </w:div>
    <w:div w:id="657154841">
      <w:bodyDiv w:val="1"/>
      <w:marLeft w:val="0"/>
      <w:marRight w:val="0"/>
      <w:marTop w:val="0"/>
      <w:marBottom w:val="0"/>
      <w:divBdr>
        <w:top w:val="none" w:sz="0" w:space="0" w:color="auto"/>
        <w:left w:val="none" w:sz="0" w:space="0" w:color="auto"/>
        <w:bottom w:val="none" w:sz="0" w:space="0" w:color="auto"/>
        <w:right w:val="none" w:sz="0" w:space="0" w:color="auto"/>
      </w:divBdr>
    </w:div>
    <w:div w:id="657616386">
      <w:bodyDiv w:val="1"/>
      <w:marLeft w:val="0"/>
      <w:marRight w:val="0"/>
      <w:marTop w:val="0"/>
      <w:marBottom w:val="0"/>
      <w:divBdr>
        <w:top w:val="none" w:sz="0" w:space="0" w:color="auto"/>
        <w:left w:val="none" w:sz="0" w:space="0" w:color="auto"/>
        <w:bottom w:val="none" w:sz="0" w:space="0" w:color="auto"/>
        <w:right w:val="none" w:sz="0" w:space="0" w:color="auto"/>
      </w:divBdr>
    </w:div>
    <w:div w:id="658996695">
      <w:bodyDiv w:val="1"/>
      <w:marLeft w:val="0"/>
      <w:marRight w:val="0"/>
      <w:marTop w:val="0"/>
      <w:marBottom w:val="0"/>
      <w:divBdr>
        <w:top w:val="none" w:sz="0" w:space="0" w:color="auto"/>
        <w:left w:val="none" w:sz="0" w:space="0" w:color="auto"/>
        <w:bottom w:val="none" w:sz="0" w:space="0" w:color="auto"/>
        <w:right w:val="none" w:sz="0" w:space="0" w:color="auto"/>
      </w:divBdr>
    </w:div>
    <w:div w:id="659428547">
      <w:bodyDiv w:val="1"/>
      <w:marLeft w:val="0"/>
      <w:marRight w:val="0"/>
      <w:marTop w:val="0"/>
      <w:marBottom w:val="0"/>
      <w:divBdr>
        <w:top w:val="none" w:sz="0" w:space="0" w:color="auto"/>
        <w:left w:val="none" w:sz="0" w:space="0" w:color="auto"/>
        <w:bottom w:val="none" w:sz="0" w:space="0" w:color="auto"/>
        <w:right w:val="none" w:sz="0" w:space="0" w:color="auto"/>
      </w:divBdr>
    </w:div>
    <w:div w:id="659890590">
      <w:bodyDiv w:val="1"/>
      <w:marLeft w:val="0"/>
      <w:marRight w:val="0"/>
      <w:marTop w:val="0"/>
      <w:marBottom w:val="0"/>
      <w:divBdr>
        <w:top w:val="none" w:sz="0" w:space="0" w:color="auto"/>
        <w:left w:val="none" w:sz="0" w:space="0" w:color="auto"/>
        <w:bottom w:val="none" w:sz="0" w:space="0" w:color="auto"/>
        <w:right w:val="none" w:sz="0" w:space="0" w:color="auto"/>
      </w:divBdr>
    </w:div>
    <w:div w:id="661396930">
      <w:bodyDiv w:val="1"/>
      <w:marLeft w:val="0"/>
      <w:marRight w:val="0"/>
      <w:marTop w:val="0"/>
      <w:marBottom w:val="0"/>
      <w:divBdr>
        <w:top w:val="none" w:sz="0" w:space="0" w:color="auto"/>
        <w:left w:val="none" w:sz="0" w:space="0" w:color="auto"/>
        <w:bottom w:val="none" w:sz="0" w:space="0" w:color="auto"/>
        <w:right w:val="none" w:sz="0" w:space="0" w:color="auto"/>
      </w:divBdr>
    </w:div>
    <w:div w:id="662125750">
      <w:bodyDiv w:val="1"/>
      <w:marLeft w:val="0"/>
      <w:marRight w:val="0"/>
      <w:marTop w:val="0"/>
      <w:marBottom w:val="0"/>
      <w:divBdr>
        <w:top w:val="none" w:sz="0" w:space="0" w:color="auto"/>
        <w:left w:val="none" w:sz="0" w:space="0" w:color="auto"/>
        <w:bottom w:val="none" w:sz="0" w:space="0" w:color="auto"/>
        <w:right w:val="none" w:sz="0" w:space="0" w:color="auto"/>
      </w:divBdr>
    </w:div>
    <w:div w:id="663045356">
      <w:bodyDiv w:val="1"/>
      <w:marLeft w:val="0"/>
      <w:marRight w:val="0"/>
      <w:marTop w:val="0"/>
      <w:marBottom w:val="0"/>
      <w:divBdr>
        <w:top w:val="none" w:sz="0" w:space="0" w:color="auto"/>
        <w:left w:val="none" w:sz="0" w:space="0" w:color="auto"/>
        <w:bottom w:val="none" w:sz="0" w:space="0" w:color="auto"/>
        <w:right w:val="none" w:sz="0" w:space="0" w:color="auto"/>
      </w:divBdr>
    </w:div>
    <w:div w:id="664163713">
      <w:bodyDiv w:val="1"/>
      <w:marLeft w:val="0"/>
      <w:marRight w:val="0"/>
      <w:marTop w:val="0"/>
      <w:marBottom w:val="0"/>
      <w:divBdr>
        <w:top w:val="none" w:sz="0" w:space="0" w:color="auto"/>
        <w:left w:val="none" w:sz="0" w:space="0" w:color="auto"/>
        <w:bottom w:val="none" w:sz="0" w:space="0" w:color="auto"/>
        <w:right w:val="none" w:sz="0" w:space="0" w:color="auto"/>
      </w:divBdr>
    </w:div>
    <w:div w:id="664864065">
      <w:bodyDiv w:val="1"/>
      <w:marLeft w:val="0"/>
      <w:marRight w:val="0"/>
      <w:marTop w:val="0"/>
      <w:marBottom w:val="0"/>
      <w:divBdr>
        <w:top w:val="none" w:sz="0" w:space="0" w:color="auto"/>
        <w:left w:val="none" w:sz="0" w:space="0" w:color="auto"/>
        <w:bottom w:val="none" w:sz="0" w:space="0" w:color="auto"/>
        <w:right w:val="none" w:sz="0" w:space="0" w:color="auto"/>
      </w:divBdr>
    </w:div>
    <w:div w:id="664864110">
      <w:bodyDiv w:val="1"/>
      <w:marLeft w:val="0"/>
      <w:marRight w:val="0"/>
      <w:marTop w:val="0"/>
      <w:marBottom w:val="0"/>
      <w:divBdr>
        <w:top w:val="none" w:sz="0" w:space="0" w:color="auto"/>
        <w:left w:val="none" w:sz="0" w:space="0" w:color="auto"/>
        <w:bottom w:val="none" w:sz="0" w:space="0" w:color="auto"/>
        <w:right w:val="none" w:sz="0" w:space="0" w:color="auto"/>
      </w:divBdr>
    </w:div>
    <w:div w:id="664866427">
      <w:bodyDiv w:val="1"/>
      <w:marLeft w:val="0"/>
      <w:marRight w:val="0"/>
      <w:marTop w:val="0"/>
      <w:marBottom w:val="0"/>
      <w:divBdr>
        <w:top w:val="none" w:sz="0" w:space="0" w:color="auto"/>
        <w:left w:val="none" w:sz="0" w:space="0" w:color="auto"/>
        <w:bottom w:val="none" w:sz="0" w:space="0" w:color="auto"/>
        <w:right w:val="none" w:sz="0" w:space="0" w:color="auto"/>
      </w:divBdr>
    </w:div>
    <w:div w:id="664940959">
      <w:bodyDiv w:val="1"/>
      <w:marLeft w:val="0"/>
      <w:marRight w:val="0"/>
      <w:marTop w:val="0"/>
      <w:marBottom w:val="0"/>
      <w:divBdr>
        <w:top w:val="none" w:sz="0" w:space="0" w:color="auto"/>
        <w:left w:val="none" w:sz="0" w:space="0" w:color="auto"/>
        <w:bottom w:val="none" w:sz="0" w:space="0" w:color="auto"/>
        <w:right w:val="none" w:sz="0" w:space="0" w:color="auto"/>
      </w:divBdr>
    </w:div>
    <w:div w:id="665132626">
      <w:bodyDiv w:val="1"/>
      <w:marLeft w:val="0"/>
      <w:marRight w:val="0"/>
      <w:marTop w:val="0"/>
      <w:marBottom w:val="0"/>
      <w:divBdr>
        <w:top w:val="none" w:sz="0" w:space="0" w:color="auto"/>
        <w:left w:val="none" w:sz="0" w:space="0" w:color="auto"/>
        <w:bottom w:val="none" w:sz="0" w:space="0" w:color="auto"/>
        <w:right w:val="none" w:sz="0" w:space="0" w:color="auto"/>
      </w:divBdr>
    </w:div>
    <w:div w:id="665941042">
      <w:bodyDiv w:val="1"/>
      <w:marLeft w:val="0"/>
      <w:marRight w:val="0"/>
      <w:marTop w:val="0"/>
      <w:marBottom w:val="0"/>
      <w:divBdr>
        <w:top w:val="none" w:sz="0" w:space="0" w:color="auto"/>
        <w:left w:val="none" w:sz="0" w:space="0" w:color="auto"/>
        <w:bottom w:val="none" w:sz="0" w:space="0" w:color="auto"/>
        <w:right w:val="none" w:sz="0" w:space="0" w:color="auto"/>
      </w:divBdr>
    </w:div>
    <w:div w:id="666832163">
      <w:bodyDiv w:val="1"/>
      <w:marLeft w:val="0"/>
      <w:marRight w:val="0"/>
      <w:marTop w:val="0"/>
      <w:marBottom w:val="0"/>
      <w:divBdr>
        <w:top w:val="none" w:sz="0" w:space="0" w:color="auto"/>
        <w:left w:val="none" w:sz="0" w:space="0" w:color="auto"/>
        <w:bottom w:val="none" w:sz="0" w:space="0" w:color="auto"/>
        <w:right w:val="none" w:sz="0" w:space="0" w:color="auto"/>
      </w:divBdr>
    </w:div>
    <w:div w:id="667561358">
      <w:bodyDiv w:val="1"/>
      <w:marLeft w:val="0"/>
      <w:marRight w:val="0"/>
      <w:marTop w:val="0"/>
      <w:marBottom w:val="0"/>
      <w:divBdr>
        <w:top w:val="none" w:sz="0" w:space="0" w:color="auto"/>
        <w:left w:val="none" w:sz="0" w:space="0" w:color="auto"/>
        <w:bottom w:val="none" w:sz="0" w:space="0" w:color="auto"/>
        <w:right w:val="none" w:sz="0" w:space="0" w:color="auto"/>
      </w:divBdr>
    </w:div>
    <w:div w:id="667907883">
      <w:bodyDiv w:val="1"/>
      <w:marLeft w:val="0"/>
      <w:marRight w:val="0"/>
      <w:marTop w:val="0"/>
      <w:marBottom w:val="0"/>
      <w:divBdr>
        <w:top w:val="none" w:sz="0" w:space="0" w:color="auto"/>
        <w:left w:val="none" w:sz="0" w:space="0" w:color="auto"/>
        <w:bottom w:val="none" w:sz="0" w:space="0" w:color="auto"/>
        <w:right w:val="none" w:sz="0" w:space="0" w:color="auto"/>
      </w:divBdr>
    </w:div>
    <w:div w:id="668338116">
      <w:bodyDiv w:val="1"/>
      <w:marLeft w:val="0"/>
      <w:marRight w:val="0"/>
      <w:marTop w:val="0"/>
      <w:marBottom w:val="0"/>
      <w:divBdr>
        <w:top w:val="none" w:sz="0" w:space="0" w:color="auto"/>
        <w:left w:val="none" w:sz="0" w:space="0" w:color="auto"/>
        <w:bottom w:val="none" w:sz="0" w:space="0" w:color="auto"/>
        <w:right w:val="none" w:sz="0" w:space="0" w:color="auto"/>
      </w:divBdr>
    </w:div>
    <w:div w:id="672419542">
      <w:bodyDiv w:val="1"/>
      <w:marLeft w:val="0"/>
      <w:marRight w:val="0"/>
      <w:marTop w:val="0"/>
      <w:marBottom w:val="0"/>
      <w:divBdr>
        <w:top w:val="none" w:sz="0" w:space="0" w:color="auto"/>
        <w:left w:val="none" w:sz="0" w:space="0" w:color="auto"/>
        <w:bottom w:val="none" w:sz="0" w:space="0" w:color="auto"/>
        <w:right w:val="none" w:sz="0" w:space="0" w:color="auto"/>
      </w:divBdr>
    </w:div>
    <w:div w:id="672562401">
      <w:bodyDiv w:val="1"/>
      <w:marLeft w:val="0"/>
      <w:marRight w:val="0"/>
      <w:marTop w:val="0"/>
      <w:marBottom w:val="0"/>
      <w:divBdr>
        <w:top w:val="none" w:sz="0" w:space="0" w:color="auto"/>
        <w:left w:val="none" w:sz="0" w:space="0" w:color="auto"/>
        <w:bottom w:val="none" w:sz="0" w:space="0" w:color="auto"/>
        <w:right w:val="none" w:sz="0" w:space="0" w:color="auto"/>
      </w:divBdr>
    </w:div>
    <w:div w:id="672563122">
      <w:bodyDiv w:val="1"/>
      <w:marLeft w:val="0"/>
      <w:marRight w:val="0"/>
      <w:marTop w:val="0"/>
      <w:marBottom w:val="0"/>
      <w:divBdr>
        <w:top w:val="none" w:sz="0" w:space="0" w:color="auto"/>
        <w:left w:val="none" w:sz="0" w:space="0" w:color="auto"/>
        <w:bottom w:val="none" w:sz="0" w:space="0" w:color="auto"/>
        <w:right w:val="none" w:sz="0" w:space="0" w:color="auto"/>
      </w:divBdr>
    </w:div>
    <w:div w:id="673723928">
      <w:bodyDiv w:val="1"/>
      <w:marLeft w:val="0"/>
      <w:marRight w:val="0"/>
      <w:marTop w:val="0"/>
      <w:marBottom w:val="0"/>
      <w:divBdr>
        <w:top w:val="none" w:sz="0" w:space="0" w:color="auto"/>
        <w:left w:val="none" w:sz="0" w:space="0" w:color="auto"/>
        <w:bottom w:val="none" w:sz="0" w:space="0" w:color="auto"/>
        <w:right w:val="none" w:sz="0" w:space="0" w:color="auto"/>
      </w:divBdr>
    </w:div>
    <w:div w:id="674378992">
      <w:bodyDiv w:val="1"/>
      <w:marLeft w:val="0"/>
      <w:marRight w:val="0"/>
      <w:marTop w:val="0"/>
      <w:marBottom w:val="0"/>
      <w:divBdr>
        <w:top w:val="none" w:sz="0" w:space="0" w:color="auto"/>
        <w:left w:val="none" w:sz="0" w:space="0" w:color="auto"/>
        <w:bottom w:val="none" w:sz="0" w:space="0" w:color="auto"/>
        <w:right w:val="none" w:sz="0" w:space="0" w:color="auto"/>
      </w:divBdr>
    </w:div>
    <w:div w:id="674578804">
      <w:bodyDiv w:val="1"/>
      <w:marLeft w:val="0"/>
      <w:marRight w:val="0"/>
      <w:marTop w:val="0"/>
      <w:marBottom w:val="0"/>
      <w:divBdr>
        <w:top w:val="none" w:sz="0" w:space="0" w:color="auto"/>
        <w:left w:val="none" w:sz="0" w:space="0" w:color="auto"/>
        <w:bottom w:val="none" w:sz="0" w:space="0" w:color="auto"/>
        <w:right w:val="none" w:sz="0" w:space="0" w:color="auto"/>
      </w:divBdr>
    </w:div>
    <w:div w:id="675810906">
      <w:bodyDiv w:val="1"/>
      <w:marLeft w:val="0"/>
      <w:marRight w:val="0"/>
      <w:marTop w:val="0"/>
      <w:marBottom w:val="0"/>
      <w:divBdr>
        <w:top w:val="none" w:sz="0" w:space="0" w:color="auto"/>
        <w:left w:val="none" w:sz="0" w:space="0" w:color="auto"/>
        <w:bottom w:val="none" w:sz="0" w:space="0" w:color="auto"/>
        <w:right w:val="none" w:sz="0" w:space="0" w:color="auto"/>
      </w:divBdr>
    </w:div>
    <w:div w:id="676349501">
      <w:bodyDiv w:val="1"/>
      <w:marLeft w:val="0"/>
      <w:marRight w:val="0"/>
      <w:marTop w:val="0"/>
      <w:marBottom w:val="0"/>
      <w:divBdr>
        <w:top w:val="none" w:sz="0" w:space="0" w:color="auto"/>
        <w:left w:val="none" w:sz="0" w:space="0" w:color="auto"/>
        <w:bottom w:val="none" w:sz="0" w:space="0" w:color="auto"/>
        <w:right w:val="none" w:sz="0" w:space="0" w:color="auto"/>
      </w:divBdr>
    </w:div>
    <w:div w:id="676466919">
      <w:bodyDiv w:val="1"/>
      <w:marLeft w:val="0"/>
      <w:marRight w:val="0"/>
      <w:marTop w:val="0"/>
      <w:marBottom w:val="0"/>
      <w:divBdr>
        <w:top w:val="none" w:sz="0" w:space="0" w:color="auto"/>
        <w:left w:val="none" w:sz="0" w:space="0" w:color="auto"/>
        <w:bottom w:val="none" w:sz="0" w:space="0" w:color="auto"/>
        <w:right w:val="none" w:sz="0" w:space="0" w:color="auto"/>
      </w:divBdr>
    </w:div>
    <w:div w:id="676736090">
      <w:bodyDiv w:val="1"/>
      <w:marLeft w:val="0"/>
      <w:marRight w:val="0"/>
      <w:marTop w:val="0"/>
      <w:marBottom w:val="0"/>
      <w:divBdr>
        <w:top w:val="none" w:sz="0" w:space="0" w:color="auto"/>
        <w:left w:val="none" w:sz="0" w:space="0" w:color="auto"/>
        <w:bottom w:val="none" w:sz="0" w:space="0" w:color="auto"/>
        <w:right w:val="none" w:sz="0" w:space="0" w:color="auto"/>
      </w:divBdr>
    </w:div>
    <w:div w:id="677080494">
      <w:bodyDiv w:val="1"/>
      <w:marLeft w:val="0"/>
      <w:marRight w:val="0"/>
      <w:marTop w:val="0"/>
      <w:marBottom w:val="0"/>
      <w:divBdr>
        <w:top w:val="none" w:sz="0" w:space="0" w:color="auto"/>
        <w:left w:val="none" w:sz="0" w:space="0" w:color="auto"/>
        <w:bottom w:val="none" w:sz="0" w:space="0" w:color="auto"/>
        <w:right w:val="none" w:sz="0" w:space="0" w:color="auto"/>
      </w:divBdr>
    </w:div>
    <w:div w:id="677125090">
      <w:bodyDiv w:val="1"/>
      <w:marLeft w:val="0"/>
      <w:marRight w:val="0"/>
      <w:marTop w:val="0"/>
      <w:marBottom w:val="0"/>
      <w:divBdr>
        <w:top w:val="none" w:sz="0" w:space="0" w:color="auto"/>
        <w:left w:val="none" w:sz="0" w:space="0" w:color="auto"/>
        <w:bottom w:val="none" w:sz="0" w:space="0" w:color="auto"/>
        <w:right w:val="none" w:sz="0" w:space="0" w:color="auto"/>
      </w:divBdr>
    </w:div>
    <w:div w:id="677200235">
      <w:bodyDiv w:val="1"/>
      <w:marLeft w:val="0"/>
      <w:marRight w:val="0"/>
      <w:marTop w:val="0"/>
      <w:marBottom w:val="0"/>
      <w:divBdr>
        <w:top w:val="none" w:sz="0" w:space="0" w:color="auto"/>
        <w:left w:val="none" w:sz="0" w:space="0" w:color="auto"/>
        <w:bottom w:val="none" w:sz="0" w:space="0" w:color="auto"/>
        <w:right w:val="none" w:sz="0" w:space="0" w:color="auto"/>
      </w:divBdr>
    </w:div>
    <w:div w:id="677779815">
      <w:bodyDiv w:val="1"/>
      <w:marLeft w:val="0"/>
      <w:marRight w:val="0"/>
      <w:marTop w:val="0"/>
      <w:marBottom w:val="0"/>
      <w:divBdr>
        <w:top w:val="none" w:sz="0" w:space="0" w:color="auto"/>
        <w:left w:val="none" w:sz="0" w:space="0" w:color="auto"/>
        <w:bottom w:val="none" w:sz="0" w:space="0" w:color="auto"/>
        <w:right w:val="none" w:sz="0" w:space="0" w:color="auto"/>
      </w:divBdr>
    </w:div>
    <w:div w:id="677922101">
      <w:bodyDiv w:val="1"/>
      <w:marLeft w:val="0"/>
      <w:marRight w:val="0"/>
      <w:marTop w:val="0"/>
      <w:marBottom w:val="0"/>
      <w:divBdr>
        <w:top w:val="none" w:sz="0" w:space="0" w:color="auto"/>
        <w:left w:val="none" w:sz="0" w:space="0" w:color="auto"/>
        <w:bottom w:val="none" w:sz="0" w:space="0" w:color="auto"/>
        <w:right w:val="none" w:sz="0" w:space="0" w:color="auto"/>
      </w:divBdr>
    </w:div>
    <w:div w:id="678503511">
      <w:bodyDiv w:val="1"/>
      <w:marLeft w:val="0"/>
      <w:marRight w:val="0"/>
      <w:marTop w:val="0"/>
      <w:marBottom w:val="0"/>
      <w:divBdr>
        <w:top w:val="none" w:sz="0" w:space="0" w:color="auto"/>
        <w:left w:val="none" w:sz="0" w:space="0" w:color="auto"/>
        <w:bottom w:val="none" w:sz="0" w:space="0" w:color="auto"/>
        <w:right w:val="none" w:sz="0" w:space="0" w:color="auto"/>
      </w:divBdr>
    </w:div>
    <w:div w:id="678654656">
      <w:bodyDiv w:val="1"/>
      <w:marLeft w:val="0"/>
      <w:marRight w:val="0"/>
      <w:marTop w:val="0"/>
      <w:marBottom w:val="0"/>
      <w:divBdr>
        <w:top w:val="none" w:sz="0" w:space="0" w:color="auto"/>
        <w:left w:val="none" w:sz="0" w:space="0" w:color="auto"/>
        <w:bottom w:val="none" w:sz="0" w:space="0" w:color="auto"/>
        <w:right w:val="none" w:sz="0" w:space="0" w:color="auto"/>
      </w:divBdr>
    </w:div>
    <w:div w:id="679817962">
      <w:bodyDiv w:val="1"/>
      <w:marLeft w:val="0"/>
      <w:marRight w:val="0"/>
      <w:marTop w:val="0"/>
      <w:marBottom w:val="0"/>
      <w:divBdr>
        <w:top w:val="none" w:sz="0" w:space="0" w:color="auto"/>
        <w:left w:val="none" w:sz="0" w:space="0" w:color="auto"/>
        <w:bottom w:val="none" w:sz="0" w:space="0" w:color="auto"/>
        <w:right w:val="none" w:sz="0" w:space="0" w:color="auto"/>
      </w:divBdr>
    </w:div>
    <w:div w:id="681012298">
      <w:bodyDiv w:val="1"/>
      <w:marLeft w:val="0"/>
      <w:marRight w:val="0"/>
      <w:marTop w:val="0"/>
      <w:marBottom w:val="0"/>
      <w:divBdr>
        <w:top w:val="none" w:sz="0" w:space="0" w:color="auto"/>
        <w:left w:val="none" w:sz="0" w:space="0" w:color="auto"/>
        <w:bottom w:val="none" w:sz="0" w:space="0" w:color="auto"/>
        <w:right w:val="none" w:sz="0" w:space="0" w:color="auto"/>
      </w:divBdr>
    </w:div>
    <w:div w:id="683288286">
      <w:bodyDiv w:val="1"/>
      <w:marLeft w:val="0"/>
      <w:marRight w:val="0"/>
      <w:marTop w:val="0"/>
      <w:marBottom w:val="0"/>
      <w:divBdr>
        <w:top w:val="none" w:sz="0" w:space="0" w:color="auto"/>
        <w:left w:val="none" w:sz="0" w:space="0" w:color="auto"/>
        <w:bottom w:val="none" w:sz="0" w:space="0" w:color="auto"/>
        <w:right w:val="none" w:sz="0" w:space="0" w:color="auto"/>
      </w:divBdr>
    </w:div>
    <w:div w:id="683944109">
      <w:bodyDiv w:val="1"/>
      <w:marLeft w:val="0"/>
      <w:marRight w:val="0"/>
      <w:marTop w:val="0"/>
      <w:marBottom w:val="0"/>
      <w:divBdr>
        <w:top w:val="none" w:sz="0" w:space="0" w:color="auto"/>
        <w:left w:val="none" w:sz="0" w:space="0" w:color="auto"/>
        <w:bottom w:val="none" w:sz="0" w:space="0" w:color="auto"/>
        <w:right w:val="none" w:sz="0" w:space="0" w:color="auto"/>
      </w:divBdr>
    </w:div>
    <w:div w:id="685327200">
      <w:bodyDiv w:val="1"/>
      <w:marLeft w:val="0"/>
      <w:marRight w:val="0"/>
      <w:marTop w:val="0"/>
      <w:marBottom w:val="0"/>
      <w:divBdr>
        <w:top w:val="none" w:sz="0" w:space="0" w:color="auto"/>
        <w:left w:val="none" w:sz="0" w:space="0" w:color="auto"/>
        <w:bottom w:val="none" w:sz="0" w:space="0" w:color="auto"/>
        <w:right w:val="none" w:sz="0" w:space="0" w:color="auto"/>
      </w:divBdr>
    </w:div>
    <w:div w:id="686490870">
      <w:bodyDiv w:val="1"/>
      <w:marLeft w:val="0"/>
      <w:marRight w:val="0"/>
      <w:marTop w:val="0"/>
      <w:marBottom w:val="0"/>
      <w:divBdr>
        <w:top w:val="none" w:sz="0" w:space="0" w:color="auto"/>
        <w:left w:val="none" w:sz="0" w:space="0" w:color="auto"/>
        <w:bottom w:val="none" w:sz="0" w:space="0" w:color="auto"/>
        <w:right w:val="none" w:sz="0" w:space="0" w:color="auto"/>
      </w:divBdr>
    </w:div>
    <w:div w:id="687222642">
      <w:bodyDiv w:val="1"/>
      <w:marLeft w:val="0"/>
      <w:marRight w:val="0"/>
      <w:marTop w:val="0"/>
      <w:marBottom w:val="0"/>
      <w:divBdr>
        <w:top w:val="none" w:sz="0" w:space="0" w:color="auto"/>
        <w:left w:val="none" w:sz="0" w:space="0" w:color="auto"/>
        <w:bottom w:val="none" w:sz="0" w:space="0" w:color="auto"/>
        <w:right w:val="none" w:sz="0" w:space="0" w:color="auto"/>
      </w:divBdr>
    </w:div>
    <w:div w:id="688987326">
      <w:bodyDiv w:val="1"/>
      <w:marLeft w:val="0"/>
      <w:marRight w:val="0"/>
      <w:marTop w:val="0"/>
      <w:marBottom w:val="0"/>
      <w:divBdr>
        <w:top w:val="none" w:sz="0" w:space="0" w:color="auto"/>
        <w:left w:val="none" w:sz="0" w:space="0" w:color="auto"/>
        <w:bottom w:val="none" w:sz="0" w:space="0" w:color="auto"/>
        <w:right w:val="none" w:sz="0" w:space="0" w:color="auto"/>
      </w:divBdr>
    </w:div>
    <w:div w:id="688987862">
      <w:bodyDiv w:val="1"/>
      <w:marLeft w:val="0"/>
      <w:marRight w:val="0"/>
      <w:marTop w:val="0"/>
      <w:marBottom w:val="0"/>
      <w:divBdr>
        <w:top w:val="none" w:sz="0" w:space="0" w:color="auto"/>
        <w:left w:val="none" w:sz="0" w:space="0" w:color="auto"/>
        <w:bottom w:val="none" w:sz="0" w:space="0" w:color="auto"/>
        <w:right w:val="none" w:sz="0" w:space="0" w:color="auto"/>
      </w:divBdr>
    </w:div>
    <w:div w:id="690255901">
      <w:bodyDiv w:val="1"/>
      <w:marLeft w:val="0"/>
      <w:marRight w:val="0"/>
      <w:marTop w:val="0"/>
      <w:marBottom w:val="0"/>
      <w:divBdr>
        <w:top w:val="none" w:sz="0" w:space="0" w:color="auto"/>
        <w:left w:val="none" w:sz="0" w:space="0" w:color="auto"/>
        <w:bottom w:val="none" w:sz="0" w:space="0" w:color="auto"/>
        <w:right w:val="none" w:sz="0" w:space="0" w:color="auto"/>
      </w:divBdr>
    </w:div>
    <w:div w:id="691148434">
      <w:bodyDiv w:val="1"/>
      <w:marLeft w:val="0"/>
      <w:marRight w:val="0"/>
      <w:marTop w:val="0"/>
      <w:marBottom w:val="0"/>
      <w:divBdr>
        <w:top w:val="none" w:sz="0" w:space="0" w:color="auto"/>
        <w:left w:val="none" w:sz="0" w:space="0" w:color="auto"/>
        <w:bottom w:val="none" w:sz="0" w:space="0" w:color="auto"/>
        <w:right w:val="none" w:sz="0" w:space="0" w:color="auto"/>
      </w:divBdr>
    </w:div>
    <w:div w:id="691221419">
      <w:bodyDiv w:val="1"/>
      <w:marLeft w:val="0"/>
      <w:marRight w:val="0"/>
      <w:marTop w:val="0"/>
      <w:marBottom w:val="0"/>
      <w:divBdr>
        <w:top w:val="none" w:sz="0" w:space="0" w:color="auto"/>
        <w:left w:val="none" w:sz="0" w:space="0" w:color="auto"/>
        <w:bottom w:val="none" w:sz="0" w:space="0" w:color="auto"/>
        <w:right w:val="none" w:sz="0" w:space="0" w:color="auto"/>
      </w:divBdr>
    </w:div>
    <w:div w:id="691956474">
      <w:bodyDiv w:val="1"/>
      <w:marLeft w:val="0"/>
      <w:marRight w:val="0"/>
      <w:marTop w:val="0"/>
      <w:marBottom w:val="0"/>
      <w:divBdr>
        <w:top w:val="none" w:sz="0" w:space="0" w:color="auto"/>
        <w:left w:val="none" w:sz="0" w:space="0" w:color="auto"/>
        <w:bottom w:val="none" w:sz="0" w:space="0" w:color="auto"/>
        <w:right w:val="none" w:sz="0" w:space="0" w:color="auto"/>
      </w:divBdr>
    </w:div>
    <w:div w:id="692191250">
      <w:bodyDiv w:val="1"/>
      <w:marLeft w:val="0"/>
      <w:marRight w:val="0"/>
      <w:marTop w:val="0"/>
      <w:marBottom w:val="0"/>
      <w:divBdr>
        <w:top w:val="none" w:sz="0" w:space="0" w:color="auto"/>
        <w:left w:val="none" w:sz="0" w:space="0" w:color="auto"/>
        <w:bottom w:val="none" w:sz="0" w:space="0" w:color="auto"/>
        <w:right w:val="none" w:sz="0" w:space="0" w:color="auto"/>
      </w:divBdr>
    </w:div>
    <w:div w:id="692457573">
      <w:bodyDiv w:val="1"/>
      <w:marLeft w:val="0"/>
      <w:marRight w:val="0"/>
      <w:marTop w:val="0"/>
      <w:marBottom w:val="0"/>
      <w:divBdr>
        <w:top w:val="none" w:sz="0" w:space="0" w:color="auto"/>
        <w:left w:val="none" w:sz="0" w:space="0" w:color="auto"/>
        <w:bottom w:val="none" w:sz="0" w:space="0" w:color="auto"/>
        <w:right w:val="none" w:sz="0" w:space="0" w:color="auto"/>
      </w:divBdr>
    </w:div>
    <w:div w:id="692731483">
      <w:bodyDiv w:val="1"/>
      <w:marLeft w:val="0"/>
      <w:marRight w:val="0"/>
      <w:marTop w:val="0"/>
      <w:marBottom w:val="0"/>
      <w:divBdr>
        <w:top w:val="none" w:sz="0" w:space="0" w:color="auto"/>
        <w:left w:val="none" w:sz="0" w:space="0" w:color="auto"/>
        <w:bottom w:val="none" w:sz="0" w:space="0" w:color="auto"/>
        <w:right w:val="none" w:sz="0" w:space="0" w:color="auto"/>
      </w:divBdr>
    </w:div>
    <w:div w:id="693116266">
      <w:bodyDiv w:val="1"/>
      <w:marLeft w:val="0"/>
      <w:marRight w:val="0"/>
      <w:marTop w:val="0"/>
      <w:marBottom w:val="0"/>
      <w:divBdr>
        <w:top w:val="none" w:sz="0" w:space="0" w:color="auto"/>
        <w:left w:val="none" w:sz="0" w:space="0" w:color="auto"/>
        <w:bottom w:val="none" w:sz="0" w:space="0" w:color="auto"/>
        <w:right w:val="none" w:sz="0" w:space="0" w:color="auto"/>
      </w:divBdr>
    </w:div>
    <w:div w:id="693651124">
      <w:bodyDiv w:val="1"/>
      <w:marLeft w:val="0"/>
      <w:marRight w:val="0"/>
      <w:marTop w:val="0"/>
      <w:marBottom w:val="0"/>
      <w:divBdr>
        <w:top w:val="none" w:sz="0" w:space="0" w:color="auto"/>
        <w:left w:val="none" w:sz="0" w:space="0" w:color="auto"/>
        <w:bottom w:val="none" w:sz="0" w:space="0" w:color="auto"/>
        <w:right w:val="none" w:sz="0" w:space="0" w:color="auto"/>
      </w:divBdr>
    </w:div>
    <w:div w:id="693770177">
      <w:bodyDiv w:val="1"/>
      <w:marLeft w:val="0"/>
      <w:marRight w:val="0"/>
      <w:marTop w:val="0"/>
      <w:marBottom w:val="0"/>
      <w:divBdr>
        <w:top w:val="none" w:sz="0" w:space="0" w:color="auto"/>
        <w:left w:val="none" w:sz="0" w:space="0" w:color="auto"/>
        <w:bottom w:val="none" w:sz="0" w:space="0" w:color="auto"/>
        <w:right w:val="none" w:sz="0" w:space="0" w:color="auto"/>
      </w:divBdr>
    </w:div>
    <w:div w:id="694579335">
      <w:bodyDiv w:val="1"/>
      <w:marLeft w:val="0"/>
      <w:marRight w:val="0"/>
      <w:marTop w:val="0"/>
      <w:marBottom w:val="0"/>
      <w:divBdr>
        <w:top w:val="none" w:sz="0" w:space="0" w:color="auto"/>
        <w:left w:val="none" w:sz="0" w:space="0" w:color="auto"/>
        <w:bottom w:val="none" w:sz="0" w:space="0" w:color="auto"/>
        <w:right w:val="none" w:sz="0" w:space="0" w:color="auto"/>
      </w:divBdr>
    </w:div>
    <w:div w:id="694648217">
      <w:bodyDiv w:val="1"/>
      <w:marLeft w:val="0"/>
      <w:marRight w:val="0"/>
      <w:marTop w:val="0"/>
      <w:marBottom w:val="0"/>
      <w:divBdr>
        <w:top w:val="none" w:sz="0" w:space="0" w:color="auto"/>
        <w:left w:val="none" w:sz="0" w:space="0" w:color="auto"/>
        <w:bottom w:val="none" w:sz="0" w:space="0" w:color="auto"/>
        <w:right w:val="none" w:sz="0" w:space="0" w:color="auto"/>
      </w:divBdr>
    </w:div>
    <w:div w:id="694965518">
      <w:bodyDiv w:val="1"/>
      <w:marLeft w:val="0"/>
      <w:marRight w:val="0"/>
      <w:marTop w:val="0"/>
      <w:marBottom w:val="0"/>
      <w:divBdr>
        <w:top w:val="none" w:sz="0" w:space="0" w:color="auto"/>
        <w:left w:val="none" w:sz="0" w:space="0" w:color="auto"/>
        <w:bottom w:val="none" w:sz="0" w:space="0" w:color="auto"/>
        <w:right w:val="none" w:sz="0" w:space="0" w:color="auto"/>
      </w:divBdr>
    </w:div>
    <w:div w:id="695929895">
      <w:bodyDiv w:val="1"/>
      <w:marLeft w:val="0"/>
      <w:marRight w:val="0"/>
      <w:marTop w:val="0"/>
      <w:marBottom w:val="0"/>
      <w:divBdr>
        <w:top w:val="none" w:sz="0" w:space="0" w:color="auto"/>
        <w:left w:val="none" w:sz="0" w:space="0" w:color="auto"/>
        <w:bottom w:val="none" w:sz="0" w:space="0" w:color="auto"/>
        <w:right w:val="none" w:sz="0" w:space="0" w:color="auto"/>
      </w:divBdr>
    </w:div>
    <w:div w:id="697002172">
      <w:bodyDiv w:val="1"/>
      <w:marLeft w:val="0"/>
      <w:marRight w:val="0"/>
      <w:marTop w:val="0"/>
      <w:marBottom w:val="0"/>
      <w:divBdr>
        <w:top w:val="none" w:sz="0" w:space="0" w:color="auto"/>
        <w:left w:val="none" w:sz="0" w:space="0" w:color="auto"/>
        <w:bottom w:val="none" w:sz="0" w:space="0" w:color="auto"/>
        <w:right w:val="none" w:sz="0" w:space="0" w:color="auto"/>
      </w:divBdr>
    </w:div>
    <w:div w:id="697044758">
      <w:bodyDiv w:val="1"/>
      <w:marLeft w:val="0"/>
      <w:marRight w:val="0"/>
      <w:marTop w:val="0"/>
      <w:marBottom w:val="0"/>
      <w:divBdr>
        <w:top w:val="none" w:sz="0" w:space="0" w:color="auto"/>
        <w:left w:val="none" w:sz="0" w:space="0" w:color="auto"/>
        <w:bottom w:val="none" w:sz="0" w:space="0" w:color="auto"/>
        <w:right w:val="none" w:sz="0" w:space="0" w:color="auto"/>
      </w:divBdr>
    </w:div>
    <w:div w:id="698120996">
      <w:bodyDiv w:val="1"/>
      <w:marLeft w:val="0"/>
      <w:marRight w:val="0"/>
      <w:marTop w:val="0"/>
      <w:marBottom w:val="0"/>
      <w:divBdr>
        <w:top w:val="none" w:sz="0" w:space="0" w:color="auto"/>
        <w:left w:val="none" w:sz="0" w:space="0" w:color="auto"/>
        <w:bottom w:val="none" w:sz="0" w:space="0" w:color="auto"/>
        <w:right w:val="none" w:sz="0" w:space="0" w:color="auto"/>
      </w:divBdr>
    </w:div>
    <w:div w:id="698240144">
      <w:bodyDiv w:val="1"/>
      <w:marLeft w:val="0"/>
      <w:marRight w:val="0"/>
      <w:marTop w:val="0"/>
      <w:marBottom w:val="0"/>
      <w:divBdr>
        <w:top w:val="none" w:sz="0" w:space="0" w:color="auto"/>
        <w:left w:val="none" w:sz="0" w:space="0" w:color="auto"/>
        <w:bottom w:val="none" w:sz="0" w:space="0" w:color="auto"/>
        <w:right w:val="none" w:sz="0" w:space="0" w:color="auto"/>
      </w:divBdr>
    </w:div>
    <w:div w:id="698433818">
      <w:bodyDiv w:val="1"/>
      <w:marLeft w:val="0"/>
      <w:marRight w:val="0"/>
      <w:marTop w:val="0"/>
      <w:marBottom w:val="0"/>
      <w:divBdr>
        <w:top w:val="none" w:sz="0" w:space="0" w:color="auto"/>
        <w:left w:val="none" w:sz="0" w:space="0" w:color="auto"/>
        <w:bottom w:val="none" w:sz="0" w:space="0" w:color="auto"/>
        <w:right w:val="none" w:sz="0" w:space="0" w:color="auto"/>
      </w:divBdr>
    </w:div>
    <w:div w:id="699555219">
      <w:bodyDiv w:val="1"/>
      <w:marLeft w:val="0"/>
      <w:marRight w:val="0"/>
      <w:marTop w:val="0"/>
      <w:marBottom w:val="0"/>
      <w:divBdr>
        <w:top w:val="none" w:sz="0" w:space="0" w:color="auto"/>
        <w:left w:val="none" w:sz="0" w:space="0" w:color="auto"/>
        <w:bottom w:val="none" w:sz="0" w:space="0" w:color="auto"/>
        <w:right w:val="none" w:sz="0" w:space="0" w:color="auto"/>
      </w:divBdr>
    </w:div>
    <w:div w:id="700471405">
      <w:bodyDiv w:val="1"/>
      <w:marLeft w:val="0"/>
      <w:marRight w:val="0"/>
      <w:marTop w:val="0"/>
      <w:marBottom w:val="0"/>
      <w:divBdr>
        <w:top w:val="none" w:sz="0" w:space="0" w:color="auto"/>
        <w:left w:val="none" w:sz="0" w:space="0" w:color="auto"/>
        <w:bottom w:val="none" w:sz="0" w:space="0" w:color="auto"/>
        <w:right w:val="none" w:sz="0" w:space="0" w:color="auto"/>
      </w:divBdr>
    </w:div>
    <w:div w:id="700863816">
      <w:bodyDiv w:val="1"/>
      <w:marLeft w:val="0"/>
      <w:marRight w:val="0"/>
      <w:marTop w:val="0"/>
      <w:marBottom w:val="0"/>
      <w:divBdr>
        <w:top w:val="none" w:sz="0" w:space="0" w:color="auto"/>
        <w:left w:val="none" w:sz="0" w:space="0" w:color="auto"/>
        <w:bottom w:val="none" w:sz="0" w:space="0" w:color="auto"/>
        <w:right w:val="none" w:sz="0" w:space="0" w:color="auto"/>
      </w:divBdr>
    </w:div>
    <w:div w:id="701128139">
      <w:bodyDiv w:val="1"/>
      <w:marLeft w:val="0"/>
      <w:marRight w:val="0"/>
      <w:marTop w:val="0"/>
      <w:marBottom w:val="0"/>
      <w:divBdr>
        <w:top w:val="none" w:sz="0" w:space="0" w:color="auto"/>
        <w:left w:val="none" w:sz="0" w:space="0" w:color="auto"/>
        <w:bottom w:val="none" w:sz="0" w:space="0" w:color="auto"/>
        <w:right w:val="none" w:sz="0" w:space="0" w:color="auto"/>
      </w:divBdr>
    </w:div>
    <w:div w:id="702487037">
      <w:bodyDiv w:val="1"/>
      <w:marLeft w:val="0"/>
      <w:marRight w:val="0"/>
      <w:marTop w:val="0"/>
      <w:marBottom w:val="0"/>
      <w:divBdr>
        <w:top w:val="none" w:sz="0" w:space="0" w:color="auto"/>
        <w:left w:val="none" w:sz="0" w:space="0" w:color="auto"/>
        <w:bottom w:val="none" w:sz="0" w:space="0" w:color="auto"/>
        <w:right w:val="none" w:sz="0" w:space="0" w:color="auto"/>
      </w:divBdr>
    </w:div>
    <w:div w:id="703136879">
      <w:bodyDiv w:val="1"/>
      <w:marLeft w:val="0"/>
      <w:marRight w:val="0"/>
      <w:marTop w:val="0"/>
      <w:marBottom w:val="0"/>
      <w:divBdr>
        <w:top w:val="none" w:sz="0" w:space="0" w:color="auto"/>
        <w:left w:val="none" w:sz="0" w:space="0" w:color="auto"/>
        <w:bottom w:val="none" w:sz="0" w:space="0" w:color="auto"/>
        <w:right w:val="none" w:sz="0" w:space="0" w:color="auto"/>
      </w:divBdr>
    </w:div>
    <w:div w:id="703213531">
      <w:bodyDiv w:val="1"/>
      <w:marLeft w:val="0"/>
      <w:marRight w:val="0"/>
      <w:marTop w:val="0"/>
      <w:marBottom w:val="0"/>
      <w:divBdr>
        <w:top w:val="none" w:sz="0" w:space="0" w:color="auto"/>
        <w:left w:val="none" w:sz="0" w:space="0" w:color="auto"/>
        <w:bottom w:val="none" w:sz="0" w:space="0" w:color="auto"/>
        <w:right w:val="none" w:sz="0" w:space="0" w:color="auto"/>
      </w:divBdr>
    </w:div>
    <w:div w:id="704407343">
      <w:bodyDiv w:val="1"/>
      <w:marLeft w:val="0"/>
      <w:marRight w:val="0"/>
      <w:marTop w:val="0"/>
      <w:marBottom w:val="0"/>
      <w:divBdr>
        <w:top w:val="none" w:sz="0" w:space="0" w:color="auto"/>
        <w:left w:val="none" w:sz="0" w:space="0" w:color="auto"/>
        <w:bottom w:val="none" w:sz="0" w:space="0" w:color="auto"/>
        <w:right w:val="none" w:sz="0" w:space="0" w:color="auto"/>
      </w:divBdr>
    </w:div>
    <w:div w:id="704840439">
      <w:bodyDiv w:val="1"/>
      <w:marLeft w:val="0"/>
      <w:marRight w:val="0"/>
      <w:marTop w:val="0"/>
      <w:marBottom w:val="0"/>
      <w:divBdr>
        <w:top w:val="none" w:sz="0" w:space="0" w:color="auto"/>
        <w:left w:val="none" w:sz="0" w:space="0" w:color="auto"/>
        <w:bottom w:val="none" w:sz="0" w:space="0" w:color="auto"/>
        <w:right w:val="none" w:sz="0" w:space="0" w:color="auto"/>
      </w:divBdr>
    </w:div>
    <w:div w:id="705063965">
      <w:bodyDiv w:val="1"/>
      <w:marLeft w:val="0"/>
      <w:marRight w:val="0"/>
      <w:marTop w:val="0"/>
      <w:marBottom w:val="0"/>
      <w:divBdr>
        <w:top w:val="none" w:sz="0" w:space="0" w:color="auto"/>
        <w:left w:val="none" w:sz="0" w:space="0" w:color="auto"/>
        <w:bottom w:val="none" w:sz="0" w:space="0" w:color="auto"/>
        <w:right w:val="none" w:sz="0" w:space="0" w:color="auto"/>
      </w:divBdr>
    </w:div>
    <w:div w:id="705256264">
      <w:bodyDiv w:val="1"/>
      <w:marLeft w:val="0"/>
      <w:marRight w:val="0"/>
      <w:marTop w:val="0"/>
      <w:marBottom w:val="0"/>
      <w:divBdr>
        <w:top w:val="none" w:sz="0" w:space="0" w:color="auto"/>
        <w:left w:val="none" w:sz="0" w:space="0" w:color="auto"/>
        <w:bottom w:val="none" w:sz="0" w:space="0" w:color="auto"/>
        <w:right w:val="none" w:sz="0" w:space="0" w:color="auto"/>
      </w:divBdr>
    </w:div>
    <w:div w:id="706372523">
      <w:bodyDiv w:val="1"/>
      <w:marLeft w:val="0"/>
      <w:marRight w:val="0"/>
      <w:marTop w:val="0"/>
      <w:marBottom w:val="0"/>
      <w:divBdr>
        <w:top w:val="none" w:sz="0" w:space="0" w:color="auto"/>
        <w:left w:val="none" w:sz="0" w:space="0" w:color="auto"/>
        <w:bottom w:val="none" w:sz="0" w:space="0" w:color="auto"/>
        <w:right w:val="none" w:sz="0" w:space="0" w:color="auto"/>
      </w:divBdr>
    </w:div>
    <w:div w:id="706832755">
      <w:bodyDiv w:val="1"/>
      <w:marLeft w:val="0"/>
      <w:marRight w:val="0"/>
      <w:marTop w:val="0"/>
      <w:marBottom w:val="0"/>
      <w:divBdr>
        <w:top w:val="none" w:sz="0" w:space="0" w:color="auto"/>
        <w:left w:val="none" w:sz="0" w:space="0" w:color="auto"/>
        <w:bottom w:val="none" w:sz="0" w:space="0" w:color="auto"/>
        <w:right w:val="none" w:sz="0" w:space="0" w:color="auto"/>
      </w:divBdr>
    </w:div>
    <w:div w:id="706955403">
      <w:bodyDiv w:val="1"/>
      <w:marLeft w:val="0"/>
      <w:marRight w:val="0"/>
      <w:marTop w:val="0"/>
      <w:marBottom w:val="0"/>
      <w:divBdr>
        <w:top w:val="none" w:sz="0" w:space="0" w:color="auto"/>
        <w:left w:val="none" w:sz="0" w:space="0" w:color="auto"/>
        <w:bottom w:val="none" w:sz="0" w:space="0" w:color="auto"/>
        <w:right w:val="none" w:sz="0" w:space="0" w:color="auto"/>
      </w:divBdr>
    </w:div>
    <w:div w:id="707024783">
      <w:bodyDiv w:val="1"/>
      <w:marLeft w:val="0"/>
      <w:marRight w:val="0"/>
      <w:marTop w:val="0"/>
      <w:marBottom w:val="0"/>
      <w:divBdr>
        <w:top w:val="none" w:sz="0" w:space="0" w:color="auto"/>
        <w:left w:val="none" w:sz="0" w:space="0" w:color="auto"/>
        <w:bottom w:val="none" w:sz="0" w:space="0" w:color="auto"/>
        <w:right w:val="none" w:sz="0" w:space="0" w:color="auto"/>
      </w:divBdr>
    </w:div>
    <w:div w:id="707027280">
      <w:bodyDiv w:val="1"/>
      <w:marLeft w:val="0"/>
      <w:marRight w:val="0"/>
      <w:marTop w:val="0"/>
      <w:marBottom w:val="0"/>
      <w:divBdr>
        <w:top w:val="none" w:sz="0" w:space="0" w:color="auto"/>
        <w:left w:val="none" w:sz="0" w:space="0" w:color="auto"/>
        <w:bottom w:val="none" w:sz="0" w:space="0" w:color="auto"/>
        <w:right w:val="none" w:sz="0" w:space="0" w:color="auto"/>
      </w:divBdr>
    </w:div>
    <w:div w:id="707409287">
      <w:bodyDiv w:val="1"/>
      <w:marLeft w:val="0"/>
      <w:marRight w:val="0"/>
      <w:marTop w:val="0"/>
      <w:marBottom w:val="0"/>
      <w:divBdr>
        <w:top w:val="none" w:sz="0" w:space="0" w:color="auto"/>
        <w:left w:val="none" w:sz="0" w:space="0" w:color="auto"/>
        <w:bottom w:val="none" w:sz="0" w:space="0" w:color="auto"/>
        <w:right w:val="none" w:sz="0" w:space="0" w:color="auto"/>
      </w:divBdr>
    </w:div>
    <w:div w:id="707609655">
      <w:bodyDiv w:val="1"/>
      <w:marLeft w:val="0"/>
      <w:marRight w:val="0"/>
      <w:marTop w:val="0"/>
      <w:marBottom w:val="0"/>
      <w:divBdr>
        <w:top w:val="none" w:sz="0" w:space="0" w:color="auto"/>
        <w:left w:val="none" w:sz="0" w:space="0" w:color="auto"/>
        <w:bottom w:val="none" w:sz="0" w:space="0" w:color="auto"/>
        <w:right w:val="none" w:sz="0" w:space="0" w:color="auto"/>
      </w:divBdr>
    </w:div>
    <w:div w:id="707611897">
      <w:bodyDiv w:val="1"/>
      <w:marLeft w:val="0"/>
      <w:marRight w:val="0"/>
      <w:marTop w:val="0"/>
      <w:marBottom w:val="0"/>
      <w:divBdr>
        <w:top w:val="none" w:sz="0" w:space="0" w:color="auto"/>
        <w:left w:val="none" w:sz="0" w:space="0" w:color="auto"/>
        <w:bottom w:val="none" w:sz="0" w:space="0" w:color="auto"/>
        <w:right w:val="none" w:sz="0" w:space="0" w:color="auto"/>
      </w:divBdr>
    </w:div>
    <w:div w:id="707878407">
      <w:bodyDiv w:val="1"/>
      <w:marLeft w:val="0"/>
      <w:marRight w:val="0"/>
      <w:marTop w:val="0"/>
      <w:marBottom w:val="0"/>
      <w:divBdr>
        <w:top w:val="none" w:sz="0" w:space="0" w:color="auto"/>
        <w:left w:val="none" w:sz="0" w:space="0" w:color="auto"/>
        <w:bottom w:val="none" w:sz="0" w:space="0" w:color="auto"/>
        <w:right w:val="none" w:sz="0" w:space="0" w:color="auto"/>
      </w:divBdr>
    </w:div>
    <w:div w:id="708990514">
      <w:bodyDiv w:val="1"/>
      <w:marLeft w:val="0"/>
      <w:marRight w:val="0"/>
      <w:marTop w:val="0"/>
      <w:marBottom w:val="0"/>
      <w:divBdr>
        <w:top w:val="none" w:sz="0" w:space="0" w:color="auto"/>
        <w:left w:val="none" w:sz="0" w:space="0" w:color="auto"/>
        <w:bottom w:val="none" w:sz="0" w:space="0" w:color="auto"/>
        <w:right w:val="none" w:sz="0" w:space="0" w:color="auto"/>
      </w:divBdr>
    </w:div>
    <w:div w:id="708992792">
      <w:bodyDiv w:val="1"/>
      <w:marLeft w:val="0"/>
      <w:marRight w:val="0"/>
      <w:marTop w:val="0"/>
      <w:marBottom w:val="0"/>
      <w:divBdr>
        <w:top w:val="none" w:sz="0" w:space="0" w:color="auto"/>
        <w:left w:val="none" w:sz="0" w:space="0" w:color="auto"/>
        <w:bottom w:val="none" w:sz="0" w:space="0" w:color="auto"/>
        <w:right w:val="none" w:sz="0" w:space="0" w:color="auto"/>
      </w:divBdr>
    </w:div>
    <w:div w:id="709258258">
      <w:bodyDiv w:val="1"/>
      <w:marLeft w:val="0"/>
      <w:marRight w:val="0"/>
      <w:marTop w:val="0"/>
      <w:marBottom w:val="0"/>
      <w:divBdr>
        <w:top w:val="none" w:sz="0" w:space="0" w:color="auto"/>
        <w:left w:val="none" w:sz="0" w:space="0" w:color="auto"/>
        <w:bottom w:val="none" w:sz="0" w:space="0" w:color="auto"/>
        <w:right w:val="none" w:sz="0" w:space="0" w:color="auto"/>
      </w:divBdr>
    </w:div>
    <w:div w:id="709956196">
      <w:bodyDiv w:val="1"/>
      <w:marLeft w:val="0"/>
      <w:marRight w:val="0"/>
      <w:marTop w:val="0"/>
      <w:marBottom w:val="0"/>
      <w:divBdr>
        <w:top w:val="none" w:sz="0" w:space="0" w:color="auto"/>
        <w:left w:val="none" w:sz="0" w:space="0" w:color="auto"/>
        <w:bottom w:val="none" w:sz="0" w:space="0" w:color="auto"/>
        <w:right w:val="none" w:sz="0" w:space="0" w:color="auto"/>
      </w:divBdr>
    </w:div>
    <w:div w:id="710110681">
      <w:bodyDiv w:val="1"/>
      <w:marLeft w:val="0"/>
      <w:marRight w:val="0"/>
      <w:marTop w:val="0"/>
      <w:marBottom w:val="0"/>
      <w:divBdr>
        <w:top w:val="none" w:sz="0" w:space="0" w:color="auto"/>
        <w:left w:val="none" w:sz="0" w:space="0" w:color="auto"/>
        <w:bottom w:val="none" w:sz="0" w:space="0" w:color="auto"/>
        <w:right w:val="none" w:sz="0" w:space="0" w:color="auto"/>
      </w:divBdr>
    </w:div>
    <w:div w:id="712466952">
      <w:bodyDiv w:val="1"/>
      <w:marLeft w:val="0"/>
      <w:marRight w:val="0"/>
      <w:marTop w:val="0"/>
      <w:marBottom w:val="0"/>
      <w:divBdr>
        <w:top w:val="none" w:sz="0" w:space="0" w:color="auto"/>
        <w:left w:val="none" w:sz="0" w:space="0" w:color="auto"/>
        <w:bottom w:val="none" w:sz="0" w:space="0" w:color="auto"/>
        <w:right w:val="none" w:sz="0" w:space="0" w:color="auto"/>
      </w:divBdr>
    </w:div>
    <w:div w:id="714357380">
      <w:bodyDiv w:val="1"/>
      <w:marLeft w:val="0"/>
      <w:marRight w:val="0"/>
      <w:marTop w:val="0"/>
      <w:marBottom w:val="0"/>
      <w:divBdr>
        <w:top w:val="none" w:sz="0" w:space="0" w:color="auto"/>
        <w:left w:val="none" w:sz="0" w:space="0" w:color="auto"/>
        <w:bottom w:val="none" w:sz="0" w:space="0" w:color="auto"/>
        <w:right w:val="none" w:sz="0" w:space="0" w:color="auto"/>
      </w:divBdr>
    </w:div>
    <w:div w:id="714622210">
      <w:bodyDiv w:val="1"/>
      <w:marLeft w:val="0"/>
      <w:marRight w:val="0"/>
      <w:marTop w:val="0"/>
      <w:marBottom w:val="0"/>
      <w:divBdr>
        <w:top w:val="none" w:sz="0" w:space="0" w:color="auto"/>
        <w:left w:val="none" w:sz="0" w:space="0" w:color="auto"/>
        <w:bottom w:val="none" w:sz="0" w:space="0" w:color="auto"/>
        <w:right w:val="none" w:sz="0" w:space="0" w:color="auto"/>
      </w:divBdr>
    </w:div>
    <w:div w:id="715079881">
      <w:bodyDiv w:val="1"/>
      <w:marLeft w:val="0"/>
      <w:marRight w:val="0"/>
      <w:marTop w:val="0"/>
      <w:marBottom w:val="0"/>
      <w:divBdr>
        <w:top w:val="none" w:sz="0" w:space="0" w:color="auto"/>
        <w:left w:val="none" w:sz="0" w:space="0" w:color="auto"/>
        <w:bottom w:val="none" w:sz="0" w:space="0" w:color="auto"/>
        <w:right w:val="none" w:sz="0" w:space="0" w:color="auto"/>
      </w:divBdr>
    </w:div>
    <w:div w:id="716782297">
      <w:bodyDiv w:val="1"/>
      <w:marLeft w:val="0"/>
      <w:marRight w:val="0"/>
      <w:marTop w:val="0"/>
      <w:marBottom w:val="0"/>
      <w:divBdr>
        <w:top w:val="none" w:sz="0" w:space="0" w:color="auto"/>
        <w:left w:val="none" w:sz="0" w:space="0" w:color="auto"/>
        <w:bottom w:val="none" w:sz="0" w:space="0" w:color="auto"/>
        <w:right w:val="none" w:sz="0" w:space="0" w:color="auto"/>
      </w:divBdr>
    </w:div>
    <w:div w:id="717513371">
      <w:bodyDiv w:val="1"/>
      <w:marLeft w:val="0"/>
      <w:marRight w:val="0"/>
      <w:marTop w:val="0"/>
      <w:marBottom w:val="0"/>
      <w:divBdr>
        <w:top w:val="none" w:sz="0" w:space="0" w:color="auto"/>
        <w:left w:val="none" w:sz="0" w:space="0" w:color="auto"/>
        <w:bottom w:val="none" w:sz="0" w:space="0" w:color="auto"/>
        <w:right w:val="none" w:sz="0" w:space="0" w:color="auto"/>
      </w:divBdr>
    </w:div>
    <w:div w:id="717515303">
      <w:bodyDiv w:val="1"/>
      <w:marLeft w:val="0"/>
      <w:marRight w:val="0"/>
      <w:marTop w:val="0"/>
      <w:marBottom w:val="0"/>
      <w:divBdr>
        <w:top w:val="none" w:sz="0" w:space="0" w:color="auto"/>
        <w:left w:val="none" w:sz="0" w:space="0" w:color="auto"/>
        <w:bottom w:val="none" w:sz="0" w:space="0" w:color="auto"/>
        <w:right w:val="none" w:sz="0" w:space="0" w:color="auto"/>
      </w:divBdr>
    </w:div>
    <w:div w:id="717701292">
      <w:bodyDiv w:val="1"/>
      <w:marLeft w:val="0"/>
      <w:marRight w:val="0"/>
      <w:marTop w:val="0"/>
      <w:marBottom w:val="0"/>
      <w:divBdr>
        <w:top w:val="none" w:sz="0" w:space="0" w:color="auto"/>
        <w:left w:val="none" w:sz="0" w:space="0" w:color="auto"/>
        <w:bottom w:val="none" w:sz="0" w:space="0" w:color="auto"/>
        <w:right w:val="none" w:sz="0" w:space="0" w:color="auto"/>
      </w:divBdr>
    </w:div>
    <w:div w:id="718238733">
      <w:bodyDiv w:val="1"/>
      <w:marLeft w:val="0"/>
      <w:marRight w:val="0"/>
      <w:marTop w:val="0"/>
      <w:marBottom w:val="0"/>
      <w:divBdr>
        <w:top w:val="none" w:sz="0" w:space="0" w:color="auto"/>
        <w:left w:val="none" w:sz="0" w:space="0" w:color="auto"/>
        <w:bottom w:val="none" w:sz="0" w:space="0" w:color="auto"/>
        <w:right w:val="none" w:sz="0" w:space="0" w:color="auto"/>
      </w:divBdr>
    </w:div>
    <w:div w:id="718432326">
      <w:bodyDiv w:val="1"/>
      <w:marLeft w:val="0"/>
      <w:marRight w:val="0"/>
      <w:marTop w:val="0"/>
      <w:marBottom w:val="0"/>
      <w:divBdr>
        <w:top w:val="none" w:sz="0" w:space="0" w:color="auto"/>
        <w:left w:val="none" w:sz="0" w:space="0" w:color="auto"/>
        <w:bottom w:val="none" w:sz="0" w:space="0" w:color="auto"/>
        <w:right w:val="none" w:sz="0" w:space="0" w:color="auto"/>
      </w:divBdr>
    </w:div>
    <w:div w:id="718482471">
      <w:bodyDiv w:val="1"/>
      <w:marLeft w:val="0"/>
      <w:marRight w:val="0"/>
      <w:marTop w:val="0"/>
      <w:marBottom w:val="0"/>
      <w:divBdr>
        <w:top w:val="none" w:sz="0" w:space="0" w:color="auto"/>
        <w:left w:val="none" w:sz="0" w:space="0" w:color="auto"/>
        <w:bottom w:val="none" w:sz="0" w:space="0" w:color="auto"/>
        <w:right w:val="none" w:sz="0" w:space="0" w:color="auto"/>
      </w:divBdr>
    </w:div>
    <w:div w:id="718748650">
      <w:bodyDiv w:val="1"/>
      <w:marLeft w:val="0"/>
      <w:marRight w:val="0"/>
      <w:marTop w:val="0"/>
      <w:marBottom w:val="0"/>
      <w:divBdr>
        <w:top w:val="none" w:sz="0" w:space="0" w:color="auto"/>
        <w:left w:val="none" w:sz="0" w:space="0" w:color="auto"/>
        <w:bottom w:val="none" w:sz="0" w:space="0" w:color="auto"/>
        <w:right w:val="none" w:sz="0" w:space="0" w:color="auto"/>
      </w:divBdr>
    </w:div>
    <w:div w:id="719863348">
      <w:bodyDiv w:val="1"/>
      <w:marLeft w:val="0"/>
      <w:marRight w:val="0"/>
      <w:marTop w:val="0"/>
      <w:marBottom w:val="0"/>
      <w:divBdr>
        <w:top w:val="none" w:sz="0" w:space="0" w:color="auto"/>
        <w:left w:val="none" w:sz="0" w:space="0" w:color="auto"/>
        <w:bottom w:val="none" w:sz="0" w:space="0" w:color="auto"/>
        <w:right w:val="none" w:sz="0" w:space="0" w:color="auto"/>
      </w:divBdr>
    </w:div>
    <w:div w:id="720594837">
      <w:bodyDiv w:val="1"/>
      <w:marLeft w:val="0"/>
      <w:marRight w:val="0"/>
      <w:marTop w:val="0"/>
      <w:marBottom w:val="0"/>
      <w:divBdr>
        <w:top w:val="none" w:sz="0" w:space="0" w:color="auto"/>
        <w:left w:val="none" w:sz="0" w:space="0" w:color="auto"/>
        <w:bottom w:val="none" w:sz="0" w:space="0" w:color="auto"/>
        <w:right w:val="none" w:sz="0" w:space="0" w:color="auto"/>
      </w:divBdr>
    </w:div>
    <w:div w:id="722100140">
      <w:bodyDiv w:val="1"/>
      <w:marLeft w:val="0"/>
      <w:marRight w:val="0"/>
      <w:marTop w:val="0"/>
      <w:marBottom w:val="0"/>
      <w:divBdr>
        <w:top w:val="none" w:sz="0" w:space="0" w:color="auto"/>
        <w:left w:val="none" w:sz="0" w:space="0" w:color="auto"/>
        <w:bottom w:val="none" w:sz="0" w:space="0" w:color="auto"/>
        <w:right w:val="none" w:sz="0" w:space="0" w:color="auto"/>
      </w:divBdr>
    </w:div>
    <w:div w:id="723600682">
      <w:bodyDiv w:val="1"/>
      <w:marLeft w:val="0"/>
      <w:marRight w:val="0"/>
      <w:marTop w:val="0"/>
      <w:marBottom w:val="0"/>
      <w:divBdr>
        <w:top w:val="none" w:sz="0" w:space="0" w:color="auto"/>
        <w:left w:val="none" w:sz="0" w:space="0" w:color="auto"/>
        <w:bottom w:val="none" w:sz="0" w:space="0" w:color="auto"/>
        <w:right w:val="none" w:sz="0" w:space="0" w:color="auto"/>
      </w:divBdr>
    </w:div>
    <w:div w:id="724328632">
      <w:bodyDiv w:val="1"/>
      <w:marLeft w:val="0"/>
      <w:marRight w:val="0"/>
      <w:marTop w:val="0"/>
      <w:marBottom w:val="0"/>
      <w:divBdr>
        <w:top w:val="none" w:sz="0" w:space="0" w:color="auto"/>
        <w:left w:val="none" w:sz="0" w:space="0" w:color="auto"/>
        <w:bottom w:val="none" w:sz="0" w:space="0" w:color="auto"/>
        <w:right w:val="none" w:sz="0" w:space="0" w:color="auto"/>
      </w:divBdr>
    </w:div>
    <w:div w:id="726343715">
      <w:bodyDiv w:val="1"/>
      <w:marLeft w:val="0"/>
      <w:marRight w:val="0"/>
      <w:marTop w:val="0"/>
      <w:marBottom w:val="0"/>
      <w:divBdr>
        <w:top w:val="none" w:sz="0" w:space="0" w:color="auto"/>
        <w:left w:val="none" w:sz="0" w:space="0" w:color="auto"/>
        <w:bottom w:val="none" w:sz="0" w:space="0" w:color="auto"/>
        <w:right w:val="none" w:sz="0" w:space="0" w:color="auto"/>
      </w:divBdr>
    </w:div>
    <w:div w:id="728190465">
      <w:bodyDiv w:val="1"/>
      <w:marLeft w:val="0"/>
      <w:marRight w:val="0"/>
      <w:marTop w:val="0"/>
      <w:marBottom w:val="0"/>
      <w:divBdr>
        <w:top w:val="none" w:sz="0" w:space="0" w:color="auto"/>
        <w:left w:val="none" w:sz="0" w:space="0" w:color="auto"/>
        <w:bottom w:val="none" w:sz="0" w:space="0" w:color="auto"/>
        <w:right w:val="none" w:sz="0" w:space="0" w:color="auto"/>
      </w:divBdr>
    </w:div>
    <w:div w:id="728310970">
      <w:bodyDiv w:val="1"/>
      <w:marLeft w:val="0"/>
      <w:marRight w:val="0"/>
      <w:marTop w:val="0"/>
      <w:marBottom w:val="0"/>
      <w:divBdr>
        <w:top w:val="none" w:sz="0" w:space="0" w:color="auto"/>
        <w:left w:val="none" w:sz="0" w:space="0" w:color="auto"/>
        <w:bottom w:val="none" w:sz="0" w:space="0" w:color="auto"/>
        <w:right w:val="none" w:sz="0" w:space="0" w:color="auto"/>
      </w:divBdr>
    </w:div>
    <w:div w:id="728651806">
      <w:bodyDiv w:val="1"/>
      <w:marLeft w:val="0"/>
      <w:marRight w:val="0"/>
      <w:marTop w:val="0"/>
      <w:marBottom w:val="0"/>
      <w:divBdr>
        <w:top w:val="none" w:sz="0" w:space="0" w:color="auto"/>
        <w:left w:val="none" w:sz="0" w:space="0" w:color="auto"/>
        <w:bottom w:val="none" w:sz="0" w:space="0" w:color="auto"/>
        <w:right w:val="none" w:sz="0" w:space="0" w:color="auto"/>
      </w:divBdr>
    </w:div>
    <w:div w:id="728725574">
      <w:bodyDiv w:val="1"/>
      <w:marLeft w:val="0"/>
      <w:marRight w:val="0"/>
      <w:marTop w:val="0"/>
      <w:marBottom w:val="0"/>
      <w:divBdr>
        <w:top w:val="none" w:sz="0" w:space="0" w:color="auto"/>
        <w:left w:val="none" w:sz="0" w:space="0" w:color="auto"/>
        <w:bottom w:val="none" w:sz="0" w:space="0" w:color="auto"/>
        <w:right w:val="none" w:sz="0" w:space="0" w:color="auto"/>
      </w:divBdr>
    </w:div>
    <w:div w:id="730159536">
      <w:bodyDiv w:val="1"/>
      <w:marLeft w:val="0"/>
      <w:marRight w:val="0"/>
      <w:marTop w:val="0"/>
      <w:marBottom w:val="0"/>
      <w:divBdr>
        <w:top w:val="none" w:sz="0" w:space="0" w:color="auto"/>
        <w:left w:val="none" w:sz="0" w:space="0" w:color="auto"/>
        <w:bottom w:val="none" w:sz="0" w:space="0" w:color="auto"/>
        <w:right w:val="none" w:sz="0" w:space="0" w:color="auto"/>
      </w:divBdr>
    </w:div>
    <w:div w:id="730350717">
      <w:bodyDiv w:val="1"/>
      <w:marLeft w:val="0"/>
      <w:marRight w:val="0"/>
      <w:marTop w:val="0"/>
      <w:marBottom w:val="0"/>
      <w:divBdr>
        <w:top w:val="none" w:sz="0" w:space="0" w:color="auto"/>
        <w:left w:val="none" w:sz="0" w:space="0" w:color="auto"/>
        <w:bottom w:val="none" w:sz="0" w:space="0" w:color="auto"/>
        <w:right w:val="none" w:sz="0" w:space="0" w:color="auto"/>
      </w:divBdr>
    </w:div>
    <w:div w:id="730999086">
      <w:bodyDiv w:val="1"/>
      <w:marLeft w:val="0"/>
      <w:marRight w:val="0"/>
      <w:marTop w:val="0"/>
      <w:marBottom w:val="0"/>
      <w:divBdr>
        <w:top w:val="none" w:sz="0" w:space="0" w:color="auto"/>
        <w:left w:val="none" w:sz="0" w:space="0" w:color="auto"/>
        <w:bottom w:val="none" w:sz="0" w:space="0" w:color="auto"/>
        <w:right w:val="none" w:sz="0" w:space="0" w:color="auto"/>
      </w:divBdr>
    </w:div>
    <w:div w:id="731274116">
      <w:bodyDiv w:val="1"/>
      <w:marLeft w:val="0"/>
      <w:marRight w:val="0"/>
      <w:marTop w:val="0"/>
      <w:marBottom w:val="0"/>
      <w:divBdr>
        <w:top w:val="none" w:sz="0" w:space="0" w:color="auto"/>
        <w:left w:val="none" w:sz="0" w:space="0" w:color="auto"/>
        <w:bottom w:val="none" w:sz="0" w:space="0" w:color="auto"/>
        <w:right w:val="none" w:sz="0" w:space="0" w:color="auto"/>
      </w:divBdr>
    </w:div>
    <w:div w:id="731537271">
      <w:bodyDiv w:val="1"/>
      <w:marLeft w:val="0"/>
      <w:marRight w:val="0"/>
      <w:marTop w:val="0"/>
      <w:marBottom w:val="0"/>
      <w:divBdr>
        <w:top w:val="none" w:sz="0" w:space="0" w:color="auto"/>
        <w:left w:val="none" w:sz="0" w:space="0" w:color="auto"/>
        <w:bottom w:val="none" w:sz="0" w:space="0" w:color="auto"/>
        <w:right w:val="none" w:sz="0" w:space="0" w:color="auto"/>
      </w:divBdr>
    </w:div>
    <w:div w:id="731923509">
      <w:bodyDiv w:val="1"/>
      <w:marLeft w:val="0"/>
      <w:marRight w:val="0"/>
      <w:marTop w:val="0"/>
      <w:marBottom w:val="0"/>
      <w:divBdr>
        <w:top w:val="none" w:sz="0" w:space="0" w:color="auto"/>
        <w:left w:val="none" w:sz="0" w:space="0" w:color="auto"/>
        <w:bottom w:val="none" w:sz="0" w:space="0" w:color="auto"/>
        <w:right w:val="none" w:sz="0" w:space="0" w:color="auto"/>
      </w:divBdr>
    </w:div>
    <w:div w:id="732504627">
      <w:bodyDiv w:val="1"/>
      <w:marLeft w:val="0"/>
      <w:marRight w:val="0"/>
      <w:marTop w:val="0"/>
      <w:marBottom w:val="0"/>
      <w:divBdr>
        <w:top w:val="none" w:sz="0" w:space="0" w:color="auto"/>
        <w:left w:val="none" w:sz="0" w:space="0" w:color="auto"/>
        <w:bottom w:val="none" w:sz="0" w:space="0" w:color="auto"/>
        <w:right w:val="none" w:sz="0" w:space="0" w:color="auto"/>
      </w:divBdr>
    </w:div>
    <w:div w:id="735057253">
      <w:bodyDiv w:val="1"/>
      <w:marLeft w:val="0"/>
      <w:marRight w:val="0"/>
      <w:marTop w:val="0"/>
      <w:marBottom w:val="0"/>
      <w:divBdr>
        <w:top w:val="none" w:sz="0" w:space="0" w:color="auto"/>
        <w:left w:val="none" w:sz="0" w:space="0" w:color="auto"/>
        <w:bottom w:val="none" w:sz="0" w:space="0" w:color="auto"/>
        <w:right w:val="none" w:sz="0" w:space="0" w:color="auto"/>
      </w:divBdr>
    </w:div>
    <w:div w:id="735324972">
      <w:bodyDiv w:val="1"/>
      <w:marLeft w:val="0"/>
      <w:marRight w:val="0"/>
      <w:marTop w:val="0"/>
      <w:marBottom w:val="0"/>
      <w:divBdr>
        <w:top w:val="none" w:sz="0" w:space="0" w:color="auto"/>
        <w:left w:val="none" w:sz="0" w:space="0" w:color="auto"/>
        <w:bottom w:val="none" w:sz="0" w:space="0" w:color="auto"/>
        <w:right w:val="none" w:sz="0" w:space="0" w:color="auto"/>
      </w:divBdr>
    </w:div>
    <w:div w:id="737826667">
      <w:bodyDiv w:val="1"/>
      <w:marLeft w:val="0"/>
      <w:marRight w:val="0"/>
      <w:marTop w:val="0"/>
      <w:marBottom w:val="0"/>
      <w:divBdr>
        <w:top w:val="none" w:sz="0" w:space="0" w:color="auto"/>
        <w:left w:val="none" w:sz="0" w:space="0" w:color="auto"/>
        <w:bottom w:val="none" w:sz="0" w:space="0" w:color="auto"/>
        <w:right w:val="none" w:sz="0" w:space="0" w:color="auto"/>
      </w:divBdr>
    </w:div>
    <w:div w:id="737829087">
      <w:bodyDiv w:val="1"/>
      <w:marLeft w:val="0"/>
      <w:marRight w:val="0"/>
      <w:marTop w:val="0"/>
      <w:marBottom w:val="0"/>
      <w:divBdr>
        <w:top w:val="none" w:sz="0" w:space="0" w:color="auto"/>
        <w:left w:val="none" w:sz="0" w:space="0" w:color="auto"/>
        <w:bottom w:val="none" w:sz="0" w:space="0" w:color="auto"/>
        <w:right w:val="none" w:sz="0" w:space="0" w:color="auto"/>
      </w:divBdr>
    </w:div>
    <w:div w:id="739211109">
      <w:bodyDiv w:val="1"/>
      <w:marLeft w:val="0"/>
      <w:marRight w:val="0"/>
      <w:marTop w:val="0"/>
      <w:marBottom w:val="0"/>
      <w:divBdr>
        <w:top w:val="none" w:sz="0" w:space="0" w:color="auto"/>
        <w:left w:val="none" w:sz="0" w:space="0" w:color="auto"/>
        <w:bottom w:val="none" w:sz="0" w:space="0" w:color="auto"/>
        <w:right w:val="none" w:sz="0" w:space="0" w:color="auto"/>
      </w:divBdr>
    </w:div>
    <w:div w:id="739718394">
      <w:bodyDiv w:val="1"/>
      <w:marLeft w:val="0"/>
      <w:marRight w:val="0"/>
      <w:marTop w:val="0"/>
      <w:marBottom w:val="0"/>
      <w:divBdr>
        <w:top w:val="none" w:sz="0" w:space="0" w:color="auto"/>
        <w:left w:val="none" w:sz="0" w:space="0" w:color="auto"/>
        <w:bottom w:val="none" w:sz="0" w:space="0" w:color="auto"/>
        <w:right w:val="none" w:sz="0" w:space="0" w:color="auto"/>
      </w:divBdr>
    </w:div>
    <w:div w:id="739794524">
      <w:bodyDiv w:val="1"/>
      <w:marLeft w:val="0"/>
      <w:marRight w:val="0"/>
      <w:marTop w:val="0"/>
      <w:marBottom w:val="0"/>
      <w:divBdr>
        <w:top w:val="none" w:sz="0" w:space="0" w:color="auto"/>
        <w:left w:val="none" w:sz="0" w:space="0" w:color="auto"/>
        <w:bottom w:val="none" w:sz="0" w:space="0" w:color="auto"/>
        <w:right w:val="none" w:sz="0" w:space="0" w:color="auto"/>
      </w:divBdr>
    </w:div>
    <w:div w:id="740837124">
      <w:bodyDiv w:val="1"/>
      <w:marLeft w:val="0"/>
      <w:marRight w:val="0"/>
      <w:marTop w:val="0"/>
      <w:marBottom w:val="0"/>
      <w:divBdr>
        <w:top w:val="none" w:sz="0" w:space="0" w:color="auto"/>
        <w:left w:val="none" w:sz="0" w:space="0" w:color="auto"/>
        <w:bottom w:val="none" w:sz="0" w:space="0" w:color="auto"/>
        <w:right w:val="none" w:sz="0" w:space="0" w:color="auto"/>
      </w:divBdr>
    </w:div>
    <w:div w:id="741298926">
      <w:bodyDiv w:val="1"/>
      <w:marLeft w:val="0"/>
      <w:marRight w:val="0"/>
      <w:marTop w:val="0"/>
      <w:marBottom w:val="0"/>
      <w:divBdr>
        <w:top w:val="none" w:sz="0" w:space="0" w:color="auto"/>
        <w:left w:val="none" w:sz="0" w:space="0" w:color="auto"/>
        <w:bottom w:val="none" w:sz="0" w:space="0" w:color="auto"/>
        <w:right w:val="none" w:sz="0" w:space="0" w:color="auto"/>
      </w:divBdr>
    </w:div>
    <w:div w:id="741682085">
      <w:bodyDiv w:val="1"/>
      <w:marLeft w:val="0"/>
      <w:marRight w:val="0"/>
      <w:marTop w:val="0"/>
      <w:marBottom w:val="0"/>
      <w:divBdr>
        <w:top w:val="none" w:sz="0" w:space="0" w:color="auto"/>
        <w:left w:val="none" w:sz="0" w:space="0" w:color="auto"/>
        <w:bottom w:val="none" w:sz="0" w:space="0" w:color="auto"/>
        <w:right w:val="none" w:sz="0" w:space="0" w:color="auto"/>
      </w:divBdr>
    </w:div>
    <w:div w:id="742333988">
      <w:bodyDiv w:val="1"/>
      <w:marLeft w:val="0"/>
      <w:marRight w:val="0"/>
      <w:marTop w:val="0"/>
      <w:marBottom w:val="0"/>
      <w:divBdr>
        <w:top w:val="none" w:sz="0" w:space="0" w:color="auto"/>
        <w:left w:val="none" w:sz="0" w:space="0" w:color="auto"/>
        <w:bottom w:val="none" w:sz="0" w:space="0" w:color="auto"/>
        <w:right w:val="none" w:sz="0" w:space="0" w:color="auto"/>
      </w:divBdr>
    </w:div>
    <w:div w:id="742334119">
      <w:bodyDiv w:val="1"/>
      <w:marLeft w:val="0"/>
      <w:marRight w:val="0"/>
      <w:marTop w:val="0"/>
      <w:marBottom w:val="0"/>
      <w:divBdr>
        <w:top w:val="none" w:sz="0" w:space="0" w:color="auto"/>
        <w:left w:val="none" w:sz="0" w:space="0" w:color="auto"/>
        <w:bottom w:val="none" w:sz="0" w:space="0" w:color="auto"/>
        <w:right w:val="none" w:sz="0" w:space="0" w:color="auto"/>
      </w:divBdr>
    </w:div>
    <w:div w:id="742609871">
      <w:bodyDiv w:val="1"/>
      <w:marLeft w:val="0"/>
      <w:marRight w:val="0"/>
      <w:marTop w:val="0"/>
      <w:marBottom w:val="0"/>
      <w:divBdr>
        <w:top w:val="none" w:sz="0" w:space="0" w:color="auto"/>
        <w:left w:val="none" w:sz="0" w:space="0" w:color="auto"/>
        <w:bottom w:val="none" w:sz="0" w:space="0" w:color="auto"/>
        <w:right w:val="none" w:sz="0" w:space="0" w:color="auto"/>
      </w:divBdr>
    </w:div>
    <w:div w:id="742678400">
      <w:bodyDiv w:val="1"/>
      <w:marLeft w:val="0"/>
      <w:marRight w:val="0"/>
      <w:marTop w:val="0"/>
      <w:marBottom w:val="0"/>
      <w:divBdr>
        <w:top w:val="none" w:sz="0" w:space="0" w:color="auto"/>
        <w:left w:val="none" w:sz="0" w:space="0" w:color="auto"/>
        <w:bottom w:val="none" w:sz="0" w:space="0" w:color="auto"/>
        <w:right w:val="none" w:sz="0" w:space="0" w:color="auto"/>
      </w:divBdr>
    </w:div>
    <w:div w:id="743143340">
      <w:bodyDiv w:val="1"/>
      <w:marLeft w:val="0"/>
      <w:marRight w:val="0"/>
      <w:marTop w:val="0"/>
      <w:marBottom w:val="0"/>
      <w:divBdr>
        <w:top w:val="none" w:sz="0" w:space="0" w:color="auto"/>
        <w:left w:val="none" w:sz="0" w:space="0" w:color="auto"/>
        <w:bottom w:val="none" w:sz="0" w:space="0" w:color="auto"/>
        <w:right w:val="none" w:sz="0" w:space="0" w:color="auto"/>
      </w:divBdr>
    </w:div>
    <w:div w:id="743264725">
      <w:bodyDiv w:val="1"/>
      <w:marLeft w:val="0"/>
      <w:marRight w:val="0"/>
      <w:marTop w:val="0"/>
      <w:marBottom w:val="0"/>
      <w:divBdr>
        <w:top w:val="none" w:sz="0" w:space="0" w:color="auto"/>
        <w:left w:val="none" w:sz="0" w:space="0" w:color="auto"/>
        <w:bottom w:val="none" w:sz="0" w:space="0" w:color="auto"/>
        <w:right w:val="none" w:sz="0" w:space="0" w:color="auto"/>
      </w:divBdr>
    </w:div>
    <w:div w:id="744492964">
      <w:bodyDiv w:val="1"/>
      <w:marLeft w:val="0"/>
      <w:marRight w:val="0"/>
      <w:marTop w:val="0"/>
      <w:marBottom w:val="0"/>
      <w:divBdr>
        <w:top w:val="none" w:sz="0" w:space="0" w:color="auto"/>
        <w:left w:val="none" w:sz="0" w:space="0" w:color="auto"/>
        <w:bottom w:val="none" w:sz="0" w:space="0" w:color="auto"/>
        <w:right w:val="none" w:sz="0" w:space="0" w:color="auto"/>
      </w:divBdr>
    </w:div>
    <w:div w:id="744768554">
      <w:bodyDiv w:val="1"/>
      <w:marLeft w:val="0"/>
      <w:marRight w:val="0"/>
      <w:marTop w:val="0"/>
      <w:marBottom w:val="0"/>
      <w:divBdr>
        <w:top w:val="none" w:sz="0" w:space="0" w:color="auto"/>
        <w:left w:val="none" w:sz="0" w:space="0" w:color="auto"/>
        <w:bottom w:val="none" w:sz="0" w:space="0" w:color="auto"/>
        <w:right w:val="none" w:sz="0" w:space="0" w:color="auto"/>
      </w:divBdr>
    </w:div>
    <w:div w:id="745148111">
      <w:bodyDiv w:val="1"/>
      <w:marLeft w:val="0"/>
      <w:marRight w:val="0"/>
      <w:marTop w:val="0"/>
      <w:marBottom w:val="0"/>
      <w:divBdr>
        <w:top w:val="none" w:sz="0" w:space="0" w:color="auto"/>
        <w:left w:val="none" w:sz="0" w:space="0" w:color="auto"/>
        <w:bottom w:val="none" w:sz="0" w:space="0" w:color="auto"/>
        <w:right w:val="none" w:sz="0" w:space="0" w:color="auto"/>
      </w:divBdr>
    </w:div>
    <w:div w:id="746926560">
      <w:bodyDiv w:val="1"/>
      <w:marLeft w:val="0"/>
      <w:marRight w:val="0"/>
      <w:marTop w:val="0"/>
      <w:marBottom w:val="0"/>
      <w:divBdr>
        <w:top w:val="none" w:sz="0" w:space="0" w:color="auto"/>
        <w:left w:val="none" w:sz="0" w:space="0" w:color="auto"/>
        <w:bottom w:val="none" w:sz="0" w:space="0" w:color="auto"/>
        <w:right w:val="none" w:sz="0" w:space="0" w:color="auto"/>
      </w:divBdr>
    </w:div>
    <w:div w:id="747919282">
      <w:bodyDiv w:val="1"/>
      <w:marLeft w:val="0"/>
      <w:marRight w:val="0"/>
      <w:marTop w:val="0"/>
      <w:marBottom w:val="0"/>
      <w:divBdr>
        <w:top w:val="none" w:sz="0" w:space="0" w:color="auto"/>
        <w:left w:val="none" w:sz="0" w:space="0" w:color="auto"/>
        <w:bottom w:val="none" w:sz="0" w:space="0" w:color="auto"/>
        <w:right w:val="none" w:sz="0" w:space="0" w:color="auto"/>
      </w:divBdr>
    </w:div>
    <w:div w:id="748429220">
      <w:bodyDiv w:val="1"/>
      <w:marLeft w:val="0"/>
      <w:marRight w:val="0"/>
      <w:marTop w:val="0"/>
      <w:marBottom w:val="0"/>
      <w:divBdr>
        <w:top w:val="none" w:sz="0" w:space="0" w:color="auto"/>
        <w:left w:val="none" w:sz="0" w:space="0" w:color="auto"/>
        <w:bottom w:val="none" w:sz="0" w:space="0" w:color="auto"/>
        <w:right w:val="none" w:sz="0" w:space="0" w:color="auto"/>
      </w:divBdr>
    </w:div>
    <w:div w:id="749042600">
      <w:bodyDiv w:val="1"/>
      <w:marLeft w:val="0"/>
      <w:marRight w:val="0"/>
      <w:marTop w:val="0"/>
      <w:marBottom w:val="0"/>
      <w:divBdr>
        <w:top w:val="none" w:sz="0" w:space="0" w:color="auto"/>
        <w:left w:val="none" w:sz="0" w:space="0" w:color="auto"/>
        <w:bottom w:val="none" w:sz="0" w:space="0" w:color="auto"/>
        <w:right w:val="none" w:sz="0" w:space="0" w:color="auto"/>
      </w:divBdr>
    </w:div>
    <w:div w:id="749471962">
      <w:bodyDiv w:val="1"/>
      <w:marLeft w:val="0"/>
      <w:marRight w:val="0"/>
      <w:marTop w:val="0"/>
      <w:marBottom w:val="0"/>
      <w:divBdr>
        <w:top w:val="none" w:sz="0" w:space="0" w:color="auto"/>
        <w:left w:val="none" w:sz="0" w:space="0" w:color="auto"/>
        <w:bottom w:val="none" w:sz="0" w:space="0" w:color="auto"/>
        <w:right w:val="none" w:sz="0" w:space="0" w:color="auto"/>
      </w:divBdr>
    </w:div>
    <w:div w:id="750466397">
      <w:bodyDiv w:val="1"/>
      <w:marLeft w:val="0"/>
      <w:marRight w:val="0"/>
      <w:marTop w:val="0"/>
      <w:marBottom w:val="0"/>
      <w:divBdr>
        <w:top w:val="none" w:sz="0" w:space="0" w:color="auto"/>
        <w:left w:val="none" w:sz="0" w:space="0" w:color="auto"/>
        <w:bottom w:val="none" w:sz="0" w:space="0" w:color="auto"/>
        <w:right w:val="none" w:sz="0" w:space="0" w:color="auto"/>
      </w:divBdr>
    </w:div>
    <w:div w:id="751052480">
      <w:bodyDiv w:val="1"/>
      <w:marLeft w:val="0"/>
      <w:marRight w:val="0"/>
      <w:marTop w:val="0"/>
      <w:marBottom w:val="0"/>
      <w:divBdr>
        <w:top w:val="none" w:sz="0" w:space="0" w:color="auto"/>
        <w:left w:val="none" w:sz="0" w:space="0" w:color="auto"/>
        <w:bottom w:val="none" w:sz="0" w:space="0" w:color="auto"/>
        <w:right w:val="none" w:sz="0" w:space="0" w:color="auto"/>
      </w:divBdr>
    </w:div>
    <w:div w:id="751270896">
      <w:bodyDiv w:val="1"/>
      <w:marLeft w:val="0"/>
      <w:marRight w:val="0"/>
      <w:marTop w:val="0"/>
      <w:marBottom w:val="0"/>
      <w:divBdr>
        <w:top w:val="none" w:sz="0" w:space="0" w:color="auto"/>
        <w:left w:val="none" w:sz="0" w:space="0" w:color="auto"/>
        <w:bottom w:val="none" w:sz="0" w:space="0" w:color="auto"/>
        <w:right w:val="none" w:sz="0" w:space="0" w:color="auto"/>
      </w:divBdr>
    </w:div>
    <w:div w:id="751463841">
      <w:bodyDiv w:val="1"/>
      <w:marLeft w:val="0"/>
      <w:marRight w:val="0"/>
      <w:marTop w:val="0"/>
      <w:marBottom w:val="0"/>
      <w:divBdr>
        <w:top w:val="none" w:sz="0" w:space="0" w:color="auto"/>
        <w:left w:val="none" w:sz="0" w:space="0" w:color="auto"/>
        <w:bottom w:val="none" w:sz="0" w:space="0" w:color="auto"/>
        <w:right w:val="none" w:sz="0" w:space="0" w:color="auto"/>
      </w:divBdr>
    </w:div>
    <w:div w:id="751782313">
      <w:bodyDiv w:val="1"/>
      <w:marLeft w:val="0"/>
      <w:marRight w:val="0"/>
      <w:marTop w:val="0"/>
      <w:marBottom w:val="0"/>
      <w:divBdr>
        <w:top w:val="none" w:sz="0" w:space="0" w:color="auto"/>
        <w:left w:val="none" w:sz="0" w:space="0" w:color="auto"/>
        <w:bottom w:val="none" w:sz="0" w:space="0" w:color="auto"/>
        <w:right w:val="none" w:sz="0" w:space="0" w:color="auto"/>
      </w:divBdr>
    </w:div>
    <w:div w:id="751858474">
      <w:bodyDiv w:val="1"/>
      <w:marLeft w:val="0"/>
      <w:marRight w:val="0"/>
      <w:marTop w:val="0"/>
      <w:marBottom w:val="0"/>
      <w:divBdr>
        <w:top w:val="none" w:sz="0" w:space="0" w:color="auto"/>
        <w:left w:val="none" w:sz="0" w:space="0" w:color="auto"/>
        <w:bottom w:val="none" w:sz="0" w:space="0" w:color="auto"/>
        <w:right w:val="none" w:sz="0" w:space="0" w:color="auto"/>
      </w:divBdr>
    </w:div>
    <w:div w:id="752893843">
      <w:bodyDiv w:val="1"/>
      <w:marLeft w:val="0"/>
      <w:marRight w:val="0"/>
      <w:marTop w:val="0"/>
      <w:marBottom w:val="0"/>
      <w:divBdr>
        <w:top w:val="none" w:sz="0" w:space="0" w:color="auto"/>
        <w:left w:val="none" w:sz="0" w:space="0" w:color="auto"/>
        <w:bottom w:val="none" w:sz="0" w:space="0" w:color="auto"/>
        <w:right w:val="none" w:sz="0" w:space="0" w:color="auto"/>
      </w:divBdr>
    </w:div>
    <w:div w:id="753167776">
      <w:bodyDiv w:val="1"/>
      <w:marLeft w:val="0"/>
      <w:marRight w:val="0"/>
      <w:marTop w:val="0"/>
      <w:marBottom w:val="0"/>
      <w:divBdr>
        <w:top w:val="none" w:sz="0" w:space="0" w:color="auto"/>
        <w:left w:val="none" w:sz="0" w:space="0" w:color="auto"/>
        <w:bottom w:val="none" w:sz="0" w:space="0" w:color="auto"/>
        <w:right w:val="none" w:sz="0" w:space="0" w:color="auto"/>
      </w:divBdr>
    </w:div>
    <w:div w:id="753551578">
      <w:bodyDiv w:val="1"/>
      <w:marLeft w:val="0"/>
      <w:marRight w:val="0"/>
      <w:marTop w:val="0"/>
      <w:marBottom w:val="0"/>
      <w:divBdr>
        <w:top w:val="none" w:sz="0" w:space="0" w:color="auto"/>
        <w:left w:val="none" w:sz="0" w:space="0" w:color="auto"/>
        <w:bottom w:val="none" w:sz="0" w:space="0" w:color="auto"/>
        <w:right w:val="none" w:sz="0" w:space="0" w:color="auto"/>
      </w:divBdr>
    </w:div>
    <w:div w:id="753941180">
      <w:bodyDiv w:val="1"/>
      <w:marLeft w:val="0"/>
      <w:marRight w:val="0"/>
      <w:marTop w:val="0"/>
      <w:marBottom w:val="0"/>
      <w:divBdr>
        <w:top w:val="none" w:sz="0" w:space="0" w:color="auto"/>
        <w:left w:val="none" w:sz="0" w:space="0" w:color="auto"/>
        <w:bottom w:val="none" w:sz="0" w:space="0" w:color="auto"/>
        <w:right w:val="none" w:sz="0" w:space="0" w:color="auto"/>
      </w:divBdr>
    </w:div>
    <w:div w:id="755857391">
      <w:bodyDiv w:val="1"/>
      <w:marLeft w:val="0"/>
      <w:marRight w:val="0"/>
      <w:marTop w:val="0"/>
      <w:marBottom w:val="0"/>
      <w:divBdr>
        <w:top w:val="none" w:sz="0" w:space="0" w:color="auto"/>
        <w:left w:val="none" w:sz="0" w:space="0" w:color="auto"/>
        <w:bottom w:val="none" w:sz="0" w:space="0" w:color="auto"/>
        <w:right w:val="none" w:sz="0" w:space="0" w:color="auto"/>
      </w:divBdr>
    </w:div>
    <w:div w:id="755907024">
      <w:bodyDiv w:val="1"/>
      <w:marLeft w:val="0"/>
      <w:marRight w:val="0"/>
      <w:marTop w:val="0"/>
      <w:marBottom w:val="0"/>
      <w:divBdr>
        <w:top w:val="none" w:sz="0" w:space="0" w:color="auto"/>
        <w:left w:val="none" w:sz="0" w:space="0" w:color="auto"/>
        <w:bottom w:val="none" w:sz="0" w:space="0" w:color="auto"/>
        <w:right w:val="none" w:sz="0" w:space="0" w:color="auto"/>
      </w:divBdr>
    </w:div>
    <w:div w:id="756293708">
      <w:bodyDiv w:val="1"/>
      <w:marLeft w:val="0"/>
      <w:marRight w:val="0"/>
      <w:marTop w:val="0"/>
      <w:marBottom w:val="0"/>
      <w:divBdr>
        <w:top w:val="none" w:sz="0" w:space="0" w:color="auto"/>
        <w:left w:val="none" w:sz="0" w:space="0" w:color="auto"/>
        <w:bottom w:val="none" w:sz="0" w:space="0" w:color="auto"/>
        <w:right w:val="none" w:sz="0" w:space="0" w:color="auto"/>
      </w:divBdr>
    </w:div>
    <w:div w:id="758983733">
      <w:bodyDiv w:val="1"/>
      <w:marLeft w:val="0"/>
      <w:marRight w:val="0"/>
      <w:marTop w:val="0"/>
      <w:marBottom w:val="0"/>
      <w:divBdr>
        <w:top w:val="none" w:sz="0" w:space="0" w:color="auto"/>
        <w:left w:val="none" w:sz="0" w:space="0" w:color="auto"/>
        <w:bottom w:val="none" w:sz="0" w:space="0" w:color="auto"/>
        <w:right w:val="none" w:sz="0" w:space="0" w:color="auto"/>
      </w:divBdr>
    </w:div>
    <w:div w:id="759065672">
      <w:bodyDiv w:val="1"/>
      <w:marLeft w:val="0"/>
      <w:marRight w:val="0"/>
      <w:marTop w:val="0"/>
      <w:marBottom w:val="0"/>
      <w:divBdr>
        <w:top w:val="none" w:sz="0" w:space="0" w:color="auto"/>
        <w:left w:val="none" w:sz="0" w:space="0" w:color="auto"/>
        <w:bottom w:val="none" w:sz="0" w:space="0" w:color="auto"/>
        <w:right w:val="none" w:sz="0" w:space="0" w:color="auto"/>
      </w:divBdr>
      <w:divsChild>
        <w:div w:id="1138449159">
          <w:marLeft w:val="0"/>
          <w:marRight w:val="0"/>
          <w:marTop w:val="0"/>
          <w:marBottom w:val="0"/>
          <w:divBdr>
            <w:top w:val="none" w:sz="0" w:space="0" w:color="auto"/>
            <w:left w:val="none" w:sz="0" w:space="0" w:color="auto"/>
            <w:bottom w:val="none" w:sz="0" w:space="0" w:color="auto"/>
            <w:right w:val="none" w:sz="0" w:space="0" w:color="auto"/>
          </w:divBdr>
        </w:div>
      </w:divsChild>
    </w:div>
    <w:div w:id="759720733">
      <w:bodyDiv w:val="1"/>
      <w:marLeft w:val="0"/>
      <w:marRight w:val="0"/>
      <w:marTop w:val="0"/>
      <w:marBottom w:val="0"/>
      <w:divBdr>
        <w:top w:val="none" w:sz="0" w:space="0" w:color="auto"/>
        <w:left w:val="none" w:sz="0" w:space="0" w:color="auto"/>
        <w:bottom w:val="none" w:sz="0" w:space="0" w:color="auto"/>
        <w:right w:val="none" w:sz="0" w:space="0" w:color="auto"/>
      </w:divBdr>
    </w:div>
    <w:div w:id="760099884">
      <w:bodyDiv w:val="1"/>
      <w:marLeft w:val="0"/>
      <w:marRight w:val="0"/>
      <w:marTop w:val="0"/>
      <w:marBottom w:val="0"/>
      <w:divBdr>
        <w:top w:val="none" w:sz="0" w:space="0" w:color="auto"/>
        <w:left w:val="none" w:sz="0" w:space="0" w:color="auto"/>
        <w:bottom w:val="none" w:sz="0" w:space="0" w:color="auto"/>
        <w:right w:val="none" w:sz="0" w:space="0" w:color="auto"/>
      </w:divBdr>
    </w:div>
    <w:div w:id="760417571">
      <w:bodyDiv w:val="1"/>
      <w:marLeft w:val="0"/>
      <w:marRight w:val="0"/>
      <w:marTop w:val="0"/>
      <w:marBottom w:val="0"/>
      <w:divBdr>
        <w:top w:val="none" w:sz="0" w:space="0" w:color="auto"/>
        <w:left w:val="none" w:sz="0" w:space="0" w:color="auto"/>
        <w:bottom w:val="none" w:sz="0" w:space="0" w:color="auto"/>
        <w:right w:val="none" w:sz="0" w:space="0" w:color="auto"/>
      </w:divBdr>
    </w:div>
    <w:div w:id="761757629">
      <w:bodyDiv w:val="1"/>
      <w:marLeft w:val="0"/>
      <w:marRight w:val="0"/>
      <w:marTop w:val="0"/>
      <w:marBottom w:val="0"/>
      <w:divBdr>
        <w:top w:val="none" w:sz="0" w:space="0" w:color="auto"/>
        <w:left w:val="none" w:sz="0" w:space="0" w:color="auto"/>
        <w:bottom w:val="none" w:sz="0" w:space="0" w:color="auto"/>
        <w:right w:val="none" w:sz="0" w:space="0" w:color="auto"/>
      </w:divBdr>
    </w:div>
    <w:div w:id="762412921">
      <w:bodyDiv w:val="1"/>
      <w:marLeft w:val="0"/>
      <w:marRight w:val="0"/>
      <w:marTop w:val="0"/>
      <w:marBottom w:val="0"/>
      <w:divBdr>
        <w:top w:val="none" w:sz="0" w:space="0" w:color="auto"/>
        <w:left w:val="none" w:sz="0" w:space="0" w:color="auto"/>
        <w:bottom w:val="none" w:sz="0" w:space="0" w:color="auto"/>
        <w:right w:val="none" w:sz="0" w:space="0" w:color="auto"/>
      </w:divBdr>
    </w:div>
    <w:div w:id="763498558">
      <w:bodyDiv w:val="1"/>
      <w:marLeft w:val="0"/>
      <w:marRight w:val="0"/>
      <w:marTop w:val="0"/>
      <w:marBottom w:val="0"/>
      <w:divBdr>
        <w:top w:val="none" w:sz="0" w:space="0" w:color="auto"/>
        <w:left w:val="none" w:sz="0" w:space="0" w:color="auto"/>
        <w:bottom w:val="none" w:sz="0" w:space="0" w:color="auto"/>
        <w:right w:val="none" w:sz="0" w:space="0" w:color="auto"/>
      </w:divBdr>
    </w:div>
    <w:div w:id="763499386">
      <w:bodyDiv w:val="1"/>
      <w:marLeft w:val="0"/>
      <w:marRight w:val="0"/>
      <w:marTop w:val="0"/>
      <w:marBottom w:val="0"/>
      <w:divBdr>
        <w:top w:val="none" w:sz="0" w:space="0" w:color="auto"/>
        <w:left w:val="none" w:sz="0" w:space="0" w:color="auto"/>
        <w:bottom w:val="none" w:sz="0" w:space="0" w:color="auto"/>
        <w:right w:val="none" w:sz="0" w:space="0" w:color="auto"/>
      </w:divBdr>
    </w:div>
    <w:div w:id="764157932">
      <w:bodyDiv w:val="1"/>
      <w:marLeft w:val="0"/>
      <w:marRight w:val="0"/>
      <w:marTop w:val="0"/>
      <w:marBottom w:val="0"/>
      <w:divBdr>
        <w:top w:val="none" w:sz="0" w:space="0" w:color="auto"/>
        <w:left w:val="none" w:sz="0" w:space="0" w:color="auto"/>
        <w:bottom w:val="none" w:sz="0" w:space="0" w:color="auto"/>
        <w:right w:val="none" w:sz="0" w:space="0" w:color="auto"/>
      </w:divBdr>
    </w:div>
    <w:div w:id="765731448">
      <w:bodyDiv w:val="1"/>
      <w:marLeft w:val="0"/>
      <w:marRight w:val="0"/>
      <w:marTop w:val="0"/>
      <w:marBottom w:val="0"/>
      <w:divBdr>
        <w:top w:val="none" w:sz="0" w:space="0" w:color="auto"/>
        <w:left w:val="none" w:sz="0" w:space="0" w:color="auto"/>
        <w:bottom w:val="none" w:sz="0" w:space="0" w:color="auto"/>
        <w:right w:val="none" w:sz="0" w:space="0" w:color="auto"/>
      </w:divBdr>
    </w:div>
    <w:div w:id="766267960">
      <w:bodyDiv w:val="1"/>
      <w:marLeft w:val="0"/>
      <w:marRight w:val="0"/>
      <w:marTop w:val="0"/>
      <w:marBottom w:val="0"/>
      <w:divBdr>
        <w:top w:val="none" w:sz="0" w:space="0" w:color="auto"/>
        <w:left w:val="none" w:sz="0" w:space="0" w:color="auto"/>
        <w:bottom w:val="none" w:sz="0" w:space="0" w:color="auto"/>
        <w:right w:val="none" w:sz="0" w:space="0" w:color="auto"/>
      </w:divBdr>
    </w:div>
    <w:div w:id="766923092">
      <w:bodyDiv w:val="1"/>
      <w:marLeft w:val="0"/>
      <w:marRight w:val="0"/>
      <w:marTop w:val="0"/>
      <w:marBottom w:val="0"/>
      <w:divBdr>
        <w:top w:val="none" w:sz="0" w:space="0" w:color="auto"/>
        <w:left w:val="none" w:sz="0" w:space="0" w:color="auto"/>
        <w:bottom w:val="none" w:sz="0" w:space="0" w:color="auto"/>
        <w:right w:val="none" w:sz="0" w:space="0" w:color="auto"/>
      </w:divBdr>
    </w:div>
    <w:div w:id="767239152">
      <w:bodyDiv w:val="1"/>
      <w:marLeft w:val="0"/>
      <w:marRight w:val="0"/>
      <w:marTop w:val="0"/>
      <w:marBottom w:val="0"/>
      <w:divBdr>
        <w:top w:val="none" w:sz="0" w:space="0" w:color="auto"/>
        <w:left w:val="none" w:sz="0" w:space="0" w:color="auto"/>
        <w:bottom w:val="none" w:sz="0" w:space="0" w:color="auto"/>
        <w:right w:val="none" w:sz="0" w:space="0" w:color="auto"/>
      </w:divBdr>
    </w:div>
    <w:div w:id="767385443">
      <w:bodyDiv w:val="1"/>
      <w:marLeft w:val="0"/>
      <w:marRight w:val="0"/>
      <w:marTop w:val="0"/>
      <w:marBottom w:val="0"/>
      <w:divBdr>
        <w:top w:val="none" w:sz="0" w:space="0" w:color="auto"/>
        <w:left w:val="none" w:sz="0" w:space="0" w:color="auto"/>
        <w:bottom w:val="none" w:sz="0" w:space="0" w:color="auto"/>
        <w:right w:val="none" w:sz="0" w:space="0" w:color="auto"/>
      </w:divBdr>
    </w:div>
    <w:div w:id="767506962">
      <w:bodyDiv w:val="1"/>
      <w:marLeft w:val="0"/>
      <w:marRight w:val="0"/>
      <w:marTop w:val="0"/>
      <w:marBottom w:val="0"/>
      <w:divBdr>
        <w:top w:val="none" w:sz="0" w:space="0" w:color="auto"/>
        <w:left w:val="none" w:sz="0" w:space="0" w:color="auto"/>
        <w:bottom w:val="none" w:sz="0" w:space="0" w:color="auto"/>
        <w:right w:val="none" w:sz="0" w:space="0" w:color="auto"/>
      </w:divBdr>
    </w:div>
    <w:div w:id="768234556">
      <w:bodyDiv w:val="1"/>
      <w:marLeft w:val="0"/>
      <w:marRight w:val="0"/>
      <w:marTop w:val="0"/>
      <w:marBottom w:val="0"/>
      <w:divBdr>
        <w:top w:val="none" w:sz="0" w:space="0" w:color="auto"/>
        <w:left w:val="none" w:sz="0" w:space="0" w:color="auto"/>
        <w:bottom w:val="none" w:sz="0" w:space="0" w:color="auto"/>
        <w:right w:val="none" w:sz="0" w:space="0" w:color="auto"/>
      </w:divBdr>
    </w:div>
    <w:div w:id="768280327">
      <w:bodyDiv w:val="1"/>
      <w:marLeft w:val="0"/>
      <w:marRight w:val="0"/>
      <w:marTop w:val="0"/>
      <w:marBottom w:val="0"/>
      <w:divBdr>
        <w:top w:val="none" w:sz="0" w:space="0" w:color="auto"/>
        <w:left w:val="none" w:sz="0" w:space="0" w:color="auto"/>
        <w:bottom w:val="none" w:sz="0" w:space="0" w:color="auto"/>
        <w:right w:val="none" w:sz="0" w:space="0" w:color="auto"/>
      </w:divBdr>
    </w:div>
    <w:div w:id="768282374">
      <w:bodyDiv w:val="1"/>
      <w:marLeft w:val="0"/>
      <w:marRight w:val="0"/>
      <w:marTop w:val="0"/>
      <w:marBottom w:val="0"/>
      <w:divBdr>
        <w:top w:val="none" w:sz="0" w:space="0" w:color="auto"/>
        <w:left w:val="none" w:sz="0" w:space="0" w:color="auto"/>
        <w:bottom w:val="none" w:sz="0" w:space="0" w:color="auto"/>
        <w:right w:val="none" w:sz="0" w:space="0" w:color="auto"/>
      </w:divBdr>
    </w:div>
    <w:div w:id="768357952">
      <w:bodyDiv w:val="1"/>
      <w:marLeft w:val="0"/>
      <w:marRight w:val="0"/>
      <w:marTop w:val="0"/>
      <w:marBottom w:val="0"/>
      <w:divBdr>
        <w:top w:val="none" w:sz="0" w:space="0" w:color="auto"/>
        <w:left w:val="none" w:sz="0" w:space="0" w:color="auto"/>
        <w:bottom w:val="none" w:sz="0" w:space="0" w:color="auto"/>
        <w:right w:val="none" w:sz="0" w:space="0" w:color="auto"/>
      </w:divBdr>
    </w:div>
    <w:div w:id="769351104">
      <w:bodyDiv w:val="1"/>
      <w:marLeft w:val="0"/>
      <w:marRight w:val="0"/>
      <w:marTop w:val="0"/>
      <w:marBottom w:val="0"/>
      <w:divBdr>
        <w:top w:val="none" w:sz="0" w:space="0" w:color="auto"/>
        <w:left w:val="none" w:sz="0" w:space="0" w:color="auto"/>
        <w:bottom w:val="none" w:sz="0" w:space="0" w:color="auto"/>
        <w:right w:val="none" w:sz="0" w:space="0" w:color="auto"/>
      </w:divBdr>
    </w:div>
    <w:div w:id="772016277">
      <w:bodyDiv w:val="1"/>
      <w:marLeft w:val="0"/>
      <w:marRight w:val="0"/>
      <w:marTop w:val="0"/>
      <w:marBottom w:val="0"/>
      <w:divBdr>
        <w:top w:val="none" w:sz="0" w:space="0" w:color="auto"/>
        <w:left w:val="none" w:sz="0" w:space="0" w:color="auto"/>
        <w:bottom w:val="none" w:sz="0" w:space="0" w:color="auto"/>
        <w:right w:val="none" w:sz="0" w:space="0" w:color="auto"/>
      </w:divBdr>
    </w:div>
    <w:div w:id="772359099">
      <w:bodyDiv w:val="1"/>
      <w:marLeft w:val="0"/>
      <w:marRight w:val="0"/>
      <w:marTop w:val="0"/>
      <w:marBottom w:val="0"/>
      <w:divBdr>
        <w:top w:val="none" w:sz="0" w:space="0" w:color="auto"/>
        <w:left w:val="none" w:sz="0" w:space="0" w:color="auto"/>
        <w:bottom w:val="none" w:sz="0" w:space="0" w:color="auto"/>
        <w:right w:val="none" w:sz="0" w:space="0" w:color="auto"/>
      </w:divBdr>
    </w:div>
    <w:div w:id="773130850">
      <w:bodyDiv w:val="1"/>
      <w:marLeft w:val="0"/>
      <w:marRight w:val="0"/>
      <w:marTop w:val="0"/>
      <w:marBottom w:val="0"/>
      <w:divBdr>
        <w:top w:val="none" w:sz="0" w:space="0" w:color="auto"/>
        <w:left w:val="none" w:sz="0" w:space="0" w:color="auto"/>
        <w:bottom w:val="none" w:sz="0" w:space="0" w:color="auto"/>
        <w:right w:val="none" w:sz="0" w:space="0" w:color="auto"/>
      </w:divBdr>
    </w:div>
    <w:div w:id="773138696">
      <w:bodyDiv w:val="1"/>
      <w:marLeft w:val="0"/>
      <w:marRight w:val="0"/>
      <w:marTop w:val="0"/>
      <w:marBottom w:val="0"/>
      <w:divBdr>
        <w:top w:val="none" w:sz="0" w:space="0" w:color="auto"/>
        <w:left w:val="none" w:sz="0" w:space="0" w:color="auto"/>
        <w:bottom w:val="none" w:sz="0" w:space="0" w:color="auto"/>
        <w:right w:val="none" w:sz="0" w:space="0" w:color="auto"/>
      </w:divBdr>
    </w:div>
    <w:div w:id="773793697">
      <w:bodyDiv w:val="1"/>
      <w:marLeft w:val="0"/>
      <w:marRight w:val="0"/>
      <w:marTop w:val="0"/>
      <w:marBottom w:val="0"/>
      <w:divBdr>
        <w:top w:val="none" w:sz="0" w:space="0" w:color="auto"/>
        <w:left w:val="none" w:sz="0" w:space="0" w:color="auto"/>
        <w:bottom w:val="none" w:sz="0" w:space="0" w:color="auto"/>
        <w:right w:val="none" w:sz="0" w:space="0" w:color="auto"/>
      </w:divBdr>
    </w:div>
    <w:div w:id="774666404">
      <w:bodyDiv w:val="1"/>
      <w:marLeft w:val="0"/>
      <w:marRight w:val="0"/>
      <w:marTop w:val="0"/>
      <w:marBottom w:val="0"/>
      <w:divBdr>
        <w:top w:val="none" w:sz="0" w:space="0" w:color="auto"/>
        <w:left w:val="none" w:sz="0" w:space="0" w:color="auto"/>
        <w:bottom w:val="none" w:sz="0" w:space="0" w:color="auto"/>
        <w:right w:val="none" w:sz="0" w:space="0" w:color="auto"/>
      </w:divBdr>
    </w:div>
    <w:div w:id="774908181">
      <w:bodyDiv w:val="1"/>
      <w:marLeft w:val="0"/>
      <w:marRight w:val="0"/>
      <w:marTop w:val="0"/>
      <w:marBottom w:val="0"/>
      <w:divBdr>
        <w:top w:val="none" w:sz="0" w:space="0" w:color="auto"/>
        <w:left w:val="none" w:sz="0" w:space="0" w:color="auto"/>
        <w:bottom w:val="none" w:sz="0" w:space="0" w:color="auto"/>
        <w:right w:val="none" w:sz="0" w:space="0" w:color="auto"/>
      </w:divBdr>
    </w:div>
    <w:div w:id="774979821">
      <w:bodyDiv w:val="1"/>
      <w:marLeft w:val="0"/>
      <w:marRight w:val="0"/>
      <w:marTop w:val="0"/>
      <w:marBottom w:val="0"/>
      <w:divBdr>
        <w:top w:val="none" w:sz="0" w:space="0" w:color="auto"/>
        <w:left w:val="none" w:sz="0" w:space="0" w:color="auto"/>
        <w:bottom w:val="none" w:sz="0" w:space="0" w:color="auto"/>
        <w:right w:val="none" w:sz="0" w:space="0" w:color="auto"/>
      </w:divBdr>
    </w:div>
    <w:div w:id="775640148">
      <w:bodyDiv w:val="1"/>
      <w:marLeft w:val="0"/>
      <w:marRight w:val="0"/>
      <w:marTop w:val="0"/>
      <w:marBottom w:val="0"/>
      <w:divBdr>
        <w:top w:val="none" w:sz="0" w:space="0" w:color="auto"/>
        <w:left w:val="none" w:sz="0" w:space="0" w:color="auto"/>
        <w:bottom w:val="none" w:sz="0" w:space="0" w:color="auto"/>
        <w:right w:val="none" w:sz="0" w:space="0" w:color="auto"/>
      </w:divBdr>
    </w:div>
    <w:div w:id="779034227">
      <w:bodyDiv w:val="1"/>
      <w:marLeft w:val="0"/>
      <w:marRight w:val="0"/>
      <w:marTop w:val="0"/>
      <w:marBottom w:val="0"/>
      <w:divBdr>
        <w:top w:val="none" w:sz="0" w:space="0" w:color="auto"/>
        <w:left w:val="none" w:sz="0" w:space="0" w:color="auto"/>
        <w:bottom w:val="none" w:sz="0" w:space="0" w:color="auto"/>
        <w:right w:val="none" w:sz="0" w:space="0" w:color="auto"/>
      </w:divBdr>
    </w:div>
    <w:div w:id="779421649">
      <w:bodyDiv w:val="1"/>
      <w:marLeft w:val="0"/>
      <w:marRight w:val="0"/>
      <w:marTop w:val="0"/>
      <w:marBottom w:val="0"/>
      <w:divBdr>
        <w:top w:val="none" w:sz="0" w:space="0" w:color="auto"/>
        <w:left w:val="none" w:sz="0" w:space="0" w:color="auto"/>
        <w:bottom w:val="none" w:sz="0" w:space="0" w:color="auto"/>
        <w:right w:val="none" w:sz="0" w:space="0" w:color="auto"/>
      </w:divBdr>
    </w:div>
    <w:div w:id="779489318">
      <w:bodyDiv w:val="1"/>
      <w:marLeft w:val="0"/>
      <w:marRight w:val="0"/>
      <w:marTop w:val="0"/>
      <w:marBottom w:val="0"/>
      <w:divBdr>
        <w:top w:val="none" w:sz="0" w:space="0" w:color="auto"/>
        <w:left w:val="none" w:sz="0" w:space="0" w:color="auto"/>
        <w:bottom w:val="none" w:sz="0" w:space="0" w:color="auto"/>
        <w:right w:val="none" w:sz="0" w:space="0" w:color="auto"/>
      </w:divBdr>
    </w:div>
    <w:div w:id="779686373">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0685205">
      <w:bodyDiv w:val="1"/>
      <w:marLeft w:val="0"/>
      <w:marRight w:val="0"/>
      <w:marTop w:val="0"/>
      <w:marBottom w:val="0"/>
      <w:divBdr>
        <w:top w:val="none" w:sz="0" w:space="0" w:color="auto"/>
        <w:left w:val="none" w:sz="0" w:space="0" w:color="auto"/>
        <w:bottom w:val="none" w:sz="0" w:space="0" w:color="auto"/>
        <w:right w:val="none" w:sz="0" w:space="0" w:color="auto"/>
      </w:divBdr>
    </w:div>
    <w:div w:id="780997348">
      <w:bodyDiv w:val="1"/>
      <w:marLeft w:val="0"/>
      <w:marRight w:val="0"/>
      <w:marTop w:val="0"/>
      <w:marBottom w:val="0"/>
      <w:divBdr>
        <w:top w:val="none" w:sz="0" w:space="0" w:color="auto"/>
        <w:left w:val="none" w:sz="0" w:space="0" w:color="auto"/>
        <w:bottom w:val="none" w:sz="0" w:space="0" w:color="auto"/>
        <w:right w:val="none" w:sz="0" w:space="0" w:color="auto"/>
      </w:divBdr>
    </w:div>
    <w:div w:id="782378863">
      <w:bodyDiv w:val="1"/>
      <w:marLeft w:val="0"/>
      <w:marRight w:val="0"/>
      <w:marTop w:val="0"/>
      <w:marBottom w:val="0"/>
      <w:divBdr>
        <w:top w:val="none" w:sz="0" w:space="0" w:color="auto"/>
        <w:left w:val="none" w:sz="0" w:space="0" w:color="auto"/>
        <w:bottom w:val="none" w:sz="0" w:space="0" w:color="auto"/>
        <w:right w:val="none" w:sz="0" w:space="0" w:color="auto"/>
      </w:divBdr>
    </w:div>
    <w:div w:id="783623402">
      <w:bodyDiv w:val="1"/>
      <w:marLeft w:val="0"/>
      <w:marRight w:val="0"/>
      <w:marTop w:val="0"/>
      <w:marBottom w:val="0"/>
      <w:divBdr>
        <w:top w:val="none" w:sz="0" w:space="0" w:color="auto"/>
        <w:left w:val="none" w:sz="0" w:space="0" w:color="auto"/>
        <w:bottom w:val="none" w:sz="0" w:space="0" w:color="auto"/>
        <w:right w:val="none" w:sz="0" w:space="0" w:color="auto"/>
      </w:divBdr>
    </w:div>
    <w:div w:id="784539142">
      <w:bodyDiv w:val="1"/>
      <w:marLeft w:val="0"/>
      <w:marRight w:val="0"/>
      <w:marTop w:val="0"/>
      <w:marBottom w:val="0"/>
      <w:divBdr>
        <w:top w:val="none" w:sz="0" w:space="0" w:color="auto"/>
        <w:left w:val="none" w:sz="0" w:space="0" w:color="auto"/>
        <w:bottom w:val="none" w:sz="0" w:space="0" w:color="auto"/>
        <w:right w:val="none" w:sz="0" w:space="0" w:color="auto"/>
      </w:divBdr>
    </w:div>
    <w:div w:id="785466339">
      <w:bodyDiv w:val="1"/>
      <w:marLeft w:val="0"/>
      <w:marRight w:val="0"/>
      <w:marTop w:val="0"/>
      <w:marBottom w:val="0"/>
      <w:divBdr>
        <w:top w:val="none" w:sz="0" w:space="0" w:color="auto"/>
        <w:left w:val="none" w:sz="0" w:space="0" w:color="auto"/>
        <w:bottom w:val="none" w:sz="0" w:space="0" w:color="auto"/>
        <w:right w:val="none" w:sz="0" w:space="0" w:color="auto"/>
      </w:divBdr>
    </w:div>
    <w:div w:id="785586492">
      <w:bodyDiv w:val="1"/>
      <w:marLeft w:val="0"/>
      <w:marRight w:val="0"/>
      <w:marTop w:val="0"/>
      <w:marBottom w:val="0"/>
      <w:divBdr>
        <w:top w:val="none" w:sz="0" w:space="0" w:color="auto"/>
        <w:left w:val="none" w:sz="0" w:space="0" w:color="auto"/>
        <w:bottom w:val="none" w:sz="0" w:space="0" w:color="auto"/>
        <w:right w:val="none" w:sz="0" w:space="0" w:color="auto"/>
      </w:divBdr>
    </w:div>
    <w:div w:id="786698169">
      <w:bodyDiv w:val="1"/>
      <w:marLeft w:val="0"/>
      <w:marRight w:val="0"/>
      <w:marTop w:val="0"/>
      <w:marBottom w:val="0"/>
      <w:divBdr>
        <w:top w:val="none" w:sz="0" w:space="0" w:color="auto"/>
        <w:left w:val="none" w:sz="0" w:space="0" w:color="auto"/>
        <w:bottom w:val="none" w:sz="0" w:space="0" w:color="auto"/>
        <w:right w:val="none" w:sz="0" w:space="0" w:color="auto"/>
      </w:divBdr>
    </w:div>
    <w:div w:id="786698416">
      <w:bodyDiv w:val="1"/>
      <w:marLeft w:val="0"/>
      <w:marRight w:val="0"/>
      <w:marTop w:val="0"/>
      <w:marBottom w:val="0"/>
      <w:divBdr>
        <w:top w:val="none" w:sz="0" w:space="0" w:color="auto"/>
        <w:left w:val="none" w:sz="0" w:space="0" w:color="auto"/>
        <w:bottom w:val="none" w:sz="0" w:space="0" w:color="auto"/>
        <w:right w:val="none" w:sz="0" w:space="0" w:color="auto"/>
      </w:divBdr>
    </w:div>
    <w:div w:id="787354504">
      <w:bodyDiv w:val="1"/>
      <w:marLeft w:val="0"/>
      <w:marRight w:val="0"/>
      <w:marTop w:val="0"/>
      <w:marBottom w:val="0"/>
      <w:divBdr>
        <w:top w:val="none" w:sz="0" w:space="0" w:color="auto"/>
        <w:left w:val="none" w:sz="0" w:space="0" w:color="auto"/>
        <w:bottom w:val="none" w:sz="0" w:space="0" w:color="auto"/>
        <w:right w:val="none" w:sz="0" w:space="0" w:color="auto"/>
      </w:divBdr>
    </w:div>
    <w:div w:id="787431455">
      <w:bodyDiv w:val="1"/>
      <w:marLeft w:val="0"/>
      <w:marRight w:val="0"/>
      <w:marTop w:val="0"/>
      <w:marBottom w:val="0"/>
      <w:divBdr>
        <w:top w:val="none" w:sz="0" w:space="0" w:color="auto"/>
        <w:left w:val="none" w:sz="0" w:space="0" w:color="auto"/>
        <w:bottom w:val="none" w:sz="0" w:space="0" w:color="auto"/>
        <w:right w:val="none" w:sz="0" w:space="0" w:color="auto"/>
      </w:divBdr>
    </w:div>
    <w:div w:id="787744444">
      <w:bodyDiv w:val="1"/>
      <w:marLeft w:val="0"/>
      <w:marRight w:val="0"/>
      <w:marTop w:val="0"/>
      <w:marBottom w:val="0"/>
      <w:divBdr>
        <w:top w:val="none" w:sz="0" w:space="0" w:color="auto"/>
        <w:left w:val="none" w:sz="0" w:space="0" w:color="auto"/>
        <w:bottom w:val="none" w:sz="0" w:space="0" w:color="auto"/>
        <w:right w:val="none" w:sz="0" w:space="0" w:color="auto"/>
      </w:divBdr>
    </w:div>
    <w:div w:id="787816665">
      <w:bodyDiv w:val="1"/>
      <w:marLeft w:val="0"/>
      <w:marRight w:val="0"/>
      <w:marTop w:val="0"/>
      <w:marBottom w:val="0"/>
      <w:divBdr>
        <w:top w:val="none" w:sz="0" w:space="0" w:color="auto"/>
        <w:left w:val="none" w:sz="0" w:space="0" w:color="auto"/>
        <w:bottom w:val="none" w:sz="0" w:space="0" w:color="auto"/>
        <w:right w:val="none" w:sz="0" w:space="0" w:color="auto"/>
      </w:divBdr>
    </w:div>
    <w:div w:id="789398200">
      <w:bodyDiv w:val="1"/>
      <w:marLeft w:val="0"/>
      <w:marRight w:val="0"/>
      <w:marTop w:val="0"/>
      <w:marBottom w:val="0"/>
      <w:divBdr>
        <w:top w:val="none" w:sz="0" w:space="0" w:color="auto"/>
        <w:left w:val="none" w:sz="0" w:space="0" w:color="auto"/>
        <w:bottom w:val="none" w:sz="0" w:space="0" w:color="auto"/>
        <w:right w:val="none" w:sz="0" w:space="0" w:color="auto"/>
      </w:divBdr>
    </w:div>
    <w:div w:id="789671017">
      <w:bodyDiv w:val="1"/>
      <w:marLeft w:val="0"/>
      <w:marRight w:val="0"/>
      <w:marTop w:val="0"/>
      <w:marBottom w:val="0"/>
      <w:divBdr>
        <w:top w:val="none" w:sz="0" w:space="0" w:color="auto"/>
        <w:left w:val="none" w:sz="0" w:space="0" w:color="auto"/>
        <w:bottom w:val="none" w:sz="0" w:space="0" w:color="auto"/>
        <w:right w:val="none" w:sz="0" w:space="0" w:color="auto"/>
      </w:divBdr>
    </w:div>
    <w:div w:id="790247843">
      <w:bodyDiv w:val="1"/>
      <w:marLeft w:val="0"/>
      <w:marRight w:val="0"/>
      <w:marTop w:val="0"/>
      <w:marBottom w:val="0"/>
      <w:divBdr>
        <w:top w:val="none" w:sz="0" w:space="0" w:color="auto"/>
        <w:left w:val="none" w:sz="0" w:space="0" w:color="auto"/>
        <w:bottom w:val="none" w:sz="0" w:space="0" w:color="auto"/>
        <w:right w:val="none" w:sz="0" w:space="0" w:color="auto"/>
      </w:divBdr>
    </w:div>
    <w:div w:id="791748511">
      <w:bodyDiv w:val="1"/>
      <w:marLeft w:val="0"/>
      <w:marRight w:val="0"/>
      <w:marTop w:val="0"/>
      <w:marBottom w:val="0"/>
      <w:divBdr>
        <w:top w:val="none" w:sz="0" w:space="0" w:color="auto"/>
        <w:left w:val="none" w:sz="0" w:space="0" w:color="auto"/>
        <w:bottom w:val="none" w:sz="0" w:space="0" w:color="auto"/>
        <w:right w:val="none" w:sz="0" w:space="0" w:color="auto"/>
      </w:divBdr>
    </w:div>
    <w:div w:id="791828188">
      <w:bodyDiv w:val="1"/>
      <w:marLeft w:val="0"/>
      <w:marRight w:val="0"/>
      <w:marTop w:val="0"/>
      <w:marBottom w:val="0"/>
      <w:divBdr>
        <w:top w:val="none" w:sz="0" w:space="0" w:color="auto"/>
        <w:left w:val="none" w:sz="0" w:space="0" w:color="auto"/>
        <w:bottom w:val="none" w:sz="0" w:space="0" w:color="auto"/>
        <w:right w:val="none" w:sz="0" w:space="0" w:color="auto"/>
      </w:divBdr>
    </w:div>
    <w:div w:id="792358641">
      <w:bodyDiv w:val="1"/>
      <w:marLeft w:val="0"/>
      <w:marRight w:val="0"/>
      <w:marTop w:val="0"/>
      <w:marBottom w:val="0"/>
      <w:divBdr>
        <w:top w:val="none" w:sz="0" w:space="0" w:color="auto"/>
        <w:left w:val="none" w:sz="0" w:space="0" w:color="auto"/>
        <w:bottom w:val="none" w:sz="0" w:space="0" w:color="auto"/>
        <w:right w:val="none" w:sz="0" w:space="0" w:color="auto"/>
      </w:divBdr>
    </w:div>
    <w:div w:id="792745818">
      <w:bodyDiv w:val="1"/>
      <w:marLeft w:val="0"/>
      <w:marRight w:val="0"/>
      <w:marTop w:val="0"/>
      <w:marBottom w:val="0"/>
      <w:divBdr>
        <w:top w:val="none" w:sz="0" w:space="0" w:color="auto"/>
        <w:left w:val="none" w:sz="0" w:space="0" w:color="auto"/>
        <w:bottom w:val="none" w:sz="0" w:space="0" w:color="auto"/>
        <w:right w:val="none" w:sz="0" w:space="0" w:color="auto"/>
      </w:divBdr>
    </w:div>
    <w:div w:id="793333133">
      <w:bodyDiv w:val="1"/>
      <w:marLeft w:val="0"/>
      <w:marRight w:val="0"/>
      <w:marTop w:val="0"/>
      <w:marBottom w:val="0"/>
      <w:divBdr>
        <w:top w:val="none" w:sz="0" w:space="0" w:color="auto"/>
        <w:left w:val="none" w:sz="0" w:space="0" w:color="auto"/>
        <w:bottom w:val="none" w:sz="0" w:space="0" w:color="auto"/>
        <w:right w:val="none" w:sz="0" w:space="0" w:color="auto"/>
      </w:divBdr>
    </w:div>
    <w:div w:id="794905576">
      <w:bodyDiv w:val="1"/>
      <w:marLeft w:val="0"/>
      <w:marRight w:val="0"/>
      <w:marTop w:val="0"/>
      <w:marBottom w:val="0"/>
      <w:divBdr>
        <w:top w:val="none" w:sz="0" w:space="0" w:color="auto"/>
        <w:left w:val="none" w:sz="0" w:space="0" w:color="auto"/>
        <w:bottom w:val="none" w:sz="0" w:space="0" w:color="auto"/>
        <w:right w:val="none" w:sz="0" w:space="0" w:color="auto"/>
      </w:divBdr>
    </w:div>
    <w:div w:id="795416798">
      <w:bodyDiv w:val="1"/>
      <w:marLeft w:val="0"/>
      <w:marRight w:val="0"/>
      <w:marTop w:val="0"/>
      <w:marBottom w:val="0"/>
      <w:divBdr>
        <w:top w:val="none" w:sz="0" w:space="0" w:color="auto"/>
        <w:left w:val="none" w:sz="0" w:space="0" w:color="auto"/>
        <w:bottom w:val="none" w:sz="0" w:space="0" w:color="auto"/>
        <w:right w:val="none" w:sz="0" w:space="0" w:color="auto"/>
      </w:divBdr>
    </w:div>
    <w:div w:id="796023454">
      <w:bodyDiv w:val="1"/>
      <w:marLeft w:val="0"/>
      <w:marRight w:val="0"/>
      <w:marTop w:val="0"/>
      <w:marBottom w:val="0"/>
      <w:divBdr>
        <w:top w:val="none" w:sz="0" w:space="0" w:color="auto"/>
        <w:left w:val="none" w:sz="0" w:space="0" w:color="auto"/>
        <w:bottom w:val="none" w:sz="0" w:space="0" w:color="auto"/>
        <w:right w:val="none" w:sz="0" w:space="0" w:color="auto"/>
      </w:divBdr>
    </w:div>
    <w:div w:id="796333411">
      <w:bodyDiv w:val="1"/>
      <w:marLeft w:val="0"/>
      <w:marRight w:val="0"/>
      <w:marTop w:val="0"/>
      <w:marBottom w:val="0"/>
      <w:divBdr>
        <w:top w:val="none" w:sz="0" w:space="0" w:color="auto"/>
        <w:left w:val="none" w:sz="0" w:space="0" w:color="auto"/>
        <w:bottom w:val="none" w:sz="0" w:space="0" w:color="auto"/>
        <w:right w:val="none" w:sz="0" w:space="0" w:color="auto"/>
      </w:divBdr>
    </w:div>
    <w:div w:id="796341058">
      <w:bodyDiv w:val="1"/>
      <w:marLeft w:val="0"/>
      <w:marRight w:val="0"/>
      <w:marTop w:val="0"/>
      <w:marBottom w:val="0"/>
      <w:divBdr>
        <w:top w:val="none" w:sz="0" w:space="0" w:color="auto"/>
        <w:left w:val="none" w:sz="0" w:space="0" w:color="auto"/>
        <w:bottom w:val="none" w:sz="0" w:space="0" w:color="auto"/>
        <w:right w:val="none" w:sz="0" w:space="0" w:color="auto"/>
      </w:divBdr>
    </w:div>
    <w:div w:id="797256503">
      <w:bodyDiv w:val="1"/>
      <w:marLeft w:val="0"/>
      <w:marRight w:val="0"/>
      <w:marTop w:val="0"/>
      <w:marBottom w:val="0"/>
      <w:divBdr>
        <w:top w:val="none" w:sz="0" w:space="0" w:color="auto"/>
        <w:left w:val="none" w:sz="0" w:space="0" w:color="auto"/>
        <w:bottom w:val="none" w:sz="0" w:space="0" w:color="auto"/>
        <w:right w:val="none" w:sz="0" w:space="0" w:color="auto"/>
      </w:divBdr>
    </w:div>
    <w:div w:id="797335203">
      <w:bodyDiv w:val="1"/>
      <w:marLeft w:val="0"/>
      <w:marRight w:val="0"/>
      <w:marTop w:val="0"/>
      <w:marBottom w:val="0"/>
      <w:divBdr>
        <w:top w:val="none" w:sz="0" w:space="0" w:color="auto"/>
        <w:left w:val="none" w:sz="0" w:space="0" w:color="auto"/>
        <w:bottom w:val="none" w:sz="0" w:space="0" w:color="auto"/>
        <w:right w:val="none" w:sz="0" w:space="0" w:color="auto"/>
      </w:divBdr>
    </w:div>
    <w:div w:id="799224408">
      <w:bodyDiv w:val="1"/>
      <w:marLeft w:val="0"/>
      <w:marRight w:val="0"/>
      <w:marTop w:val="0"/>
      <w:marBottom w:val="0"/>
      <w:divBdr>
        <w:top w:val="none" w:sz="0" w:space="0" w:color="auto"/>
        <w:left w:val="none" w:sz="0" w:space="0" w:color="auto"/>
        <w:bottom w:val="none" w:sz="0" w:space="0" w:color="auto"/>
        <w:right w:val="none" w:sz="0" w:space="0" w:color="auto"/>
      </w:divBdr>
    </w:div>
    <w:div w:id="799420026">
      <w:bodyDiv w:val="1"/>
      <w:marLeft w:val="0"/>
      <w:marRight w:val="0"/>
      <w:marTop w:val="0"/>
      <w:marBottom w:val="0"/>
      <w:divBdr>
        <w:top w:val="none" w:sz="0" w:space="0" w:color="auto"/>
        <w:left w:val="none" w:sz="0" w:space="0" w:color="auto"/>
        <w:bottom w:val="none" w:sz="0" w:space="0" w:color="auto"/>
        <w:right w:val="none" w:sz="0" w:space="0" w:color="auto"/>
      </w:divBdr>
    </w:div>
    <w:div w:id="799498260">
      <w:bodyDiv w:val="1"/>
      <w:marLeft w:val="0"/>
      <w:marRight w:val="0"/>
      <w:marTop w:val="0"/>
      <w:marBottom w:val="0"/>
      <w:divBdr>
        <w:top w:val="none" w:sz="0" w:space="0" w:color="auto"/>
        <w:left w:val="none" w:sz="0" w:space="0" w:color="auto"/>
        <w:bottom w:val="none" w:sz="0" w:space="0" w:color="auto"/>
        <w:right w:val="none" w:sz="0" w:space="0" w:color="auto"/>
      </w:divBdr>
    </w:div>
    <w:div w:id="800616024">
      <w:bodyDiv w:val="1"/>
      <w:marLeft w:val="0"/>
      <w:marRight w:val="0"/>
      <w:marTop w:val="0"/>
      <w:marBottom w:val="0"/>
      <w:divBdr>
        <w:top w:val="none" w:sz="0" w:space="0" w:color="auto"/>
        <w:left w:val="none" w:sz="0" w:space="0" w:color="auto"/>
        <w:bottom w:val="none" w:sz="0" w:space="0" w:color="auto"/>
        <w:right w:val="none" w:sz="0" w:space="0" w:color="auto"/>
      </w:divBdr>
    </w:div>
    <w:div w:id="800853113">
      <w:bodyDiv w:val="1"/>
      <w:marLeft w:val="0"/>
      <w:marRight w:val="0"/>
      <w:marTop w:val="0"/>
      <w:marBottom w:val="0"/>
      <w:divBdr>
        <w:top w:val="none" w:sz="0" w:space="0" w:color="auto"/>
        <w:left w:val="none" w:sz="0" w:space="0" w:color="auto"/>
        <w:bottom w:val="none" w:sz="0" w:space="0" w:color="auto"/>
        <w:right w:val="none" w:sz="0" w:space="0" w:color="auto"/>
      </w:divBdr>
    </w:div>
    <w:div w:id="801309823">
      <w:bodyDiv w:val="1"/>
      <w:marLeft w:val="0"/>
      <w:marRight w:val="0"/>
      <w:marTop w:val="0"/>
      <w:marBottom w:val="0"/>
      <w:divBdr>
        <w:top w:val="none" w:sz="0" w:space="0" w:color="auto"/>
        <w:left w:val="none" w:sz="0" w:space="0" w:color="auto"/>
        <w:bottom w:val="none" w:sz="0" w:space="0" w:color="auto"/>
        <w:right w:val="none" w:sz="0" w:space="0" w:color="auto"/>
      </w:divBdr>
    </w:div>
    <w:div w:id="801920668">
      <w:bodyDiv w:val="1"/>
      <w:marLeft w:val="0"/>
      <w:marRight w:val="0"/>
      <w:marTop w:val="0"/>
      <w:marBottom w:val="0"/>
      <w:divBdr>
        <w:top w:val="none" w:sz="0" w:space="0" w:color="auto"/>
        <w:left w:val="none" w:sz="0" w:space="0" w:color="auto"/>
        <w:bottom w:val="none" w:sz="0" w:space="0" w:color="auto"/>
        <w:right w:val="none" w:sz="0" w:space="0" w:color="auto"/>
      </w:divBdr>
    </w:div>
    <w:div w:id="802961569">
      <w:bodyDiv w:val="1"/>
      <w:marLeft w:val="0"/>
      <w:marRight w:val="0"/>
      <w:marTop w:val="0"/>
      <w:marBottom w:val="0"/>
      <w:divBdr>
        <w:top w:val="none" w:sz="0" w:space="0" w:color="auto"/>
        <w:left w:val="none" w:sz="0" w:space="0" w:color="auto"/>
        <w:bottom w:val="none" w:sz="0" w:space="0" w:color="auto"/>
        <w:right w:val="none" w:sz="0" w:space="0" w:color="auto"/>
      </w:divBdr>
    </w:div>
    <w:div w:id="803307180">
      <w:bodyDiv w:val="1"/>
      <w:marLeft w:val="0"/>
      <w:marRight w:val="0"/>
      <w:marTop w:val="0"/>
      <w:marBottom w:val="0"/>
      <w:divBdr>
        <w:top w:val="none" w:sz="0" w:space="0" w:color="auto"/>
        <w:left w:val="none" w:sz="0" w:space="0" w:color="auto"/>
        <w:bottom w:val="none" w:sz="0" w:space="0" w:color="auto"/>
        <w:right w:val="none" w:sz="0" w:space="0" w:color="auto"/>
      </w:divBdr>
    </w:div>
    <w:div w:id="804658932">
      <w:bodyDiv w:val="1"/>
      <w:marLeft w:val="0"/>
      <w:marRight w:val="0"/>
      <w:marTop w:val="0"/>
      <w:marBottom w:val="0"/>
      <w:divBdr>
        <w:top w:val="none" w:sz="0" w:space="0" w:color="auto"/>
        <w:left w:val="none" w:sz="0" w:space="0" w:color="auto"/>
        <w:bottom w:val="none" w:sz="0" w:space="0" w:color="auto"/>
        <w:right w:val="none" w:sz="0" w:space="0" w:color="auto"/>
      </w:divBdr>
    </w:div>
    <w:div w:id="805659284">
      <w:bodyDiv w:val="1"/>
      <w:marLeft w:val="0"/>
      <w:marRight w:val="0"/>
      <w:marTop w:val="0"/>
      <w:marBottom w:val="0"/>
      <w:divBdr>
        <w:top w:val="none" w:sz="0" w:space="0" w:color="auto"/>
        <w:left w:val="none" w:sz="0" w:space="0" w:color="auto"/>
        <w:bottom w:val="none" w:sz="0" w:space="0" w:color="auto"/>
        <w:right w:val="none" w:sz="0" w:space="0" w:color="auto"/>
      </w:divBdr>
    </w:div>
    <w:div w:id="807553315">
      <w:bodyDiv w:val="1"/>
      <w:marLeft w:val="0"/>
      <w:marRight w:val="0"/>
      <w:marTop w:val="0"/>
      <w:marBottom w:val="0"/>
      <w:divBdr>
        <w:top w:val="none" w:sz="0" w:space="0" w:color="auto"/>
        <w:left w:val="none" w:sz="0" w:space="0" w:color="auto"/>
        <w:bottom w:val="none" w:sz="0" w:space="0" w:color="auto"/>
        <w:right w:val="none" w:sz="0" w:space="0" w:color="auto"/>
      </w:divBdr>
    </w:div>
    <w:div w:id="808014521">
      <w:bodyDiv w:val="1"/>
      <w:marLeft w:val="0"/>
      <w:marRight w:val="0"/>
      <w:marTop w:val="0"/>
      <w:marBottom w:val="0"/>
      <w:divBdr>
        <w:top w:val="none" w:sz="0" w:space="0" w:color="auto"/>
        <w:left w:val="none" w:sz="0" w:space="0" w:color="auto"/>
        <w:bottom w:val="none" w:sz="0" w:space="0" w:color="auto"/>
        <w:right w:val="none" w:sz="0" w:space="0" w:color="auto"/>
      </w:divBdr>
    </w:div>
    <w:div w:id="811754039">
      <w:bodyDiv w:val="1"/>
      <w:marLeft w:val="0"/>
      <w:marRight w:val="0"/>
      <w:marTop w:val="0"/>
      <w:marBottom w:val="0"/>
      <w:divBdr>
        <w:top w:val="none" w:sz="0" w:space="0" w:color="auto"/>
        <w:left w:val="none" w:sz="0" w:space="0" w:color="auto"/>
        <w:bottom w:val="none" w:sz="0" w:space="0" w:color="auto"/>
        <w:right w:val="none" w:sz="0" w:space="0" w:color="auto"/>
      </w:divBdr>
    </w:div>
    <w:div w:id="812521978">
      <w:bodyDiv w:val="1"/>
      <w:marLeft w:val="0"/>
      <w:marRight w:val="0"/>
      <w:marTop w:val="0"/>
      <w:marBottom w:val="0"/>
      <w:divBdr>
        <w:top w:val="none" w:sz="0" w:space="0" w:color="auto"/>
        <w:left w:val="none" w:sz="0" w:space="0" w:color="auto"/>
        <w:bottom w:val="none" w:sz="0" w:space="0" w:color="auto"/>
        <w:right w:val="none" w:sz="0" w:space="0" w:color="auto"/>
      </w:divBdr>
    </w:div>
    <w:div w:id="812528342">
      <w:bodyDiv w:val="1"/>
      <w:marLeft w:val="0"/>
      <w:marRight w:val="0"/>
      <w:marTop w:val="0"/>
      <w:marBottom w:val="0"/>
      <w:divBdr>
        <w:top w:val="none" w:sz="0" w:space="0" w:color="auto"/>
        <w:left w:val="none" w:sz="0" w:space="0" w:color="auto"/>
        <w:bottom w:val="none" w:sz="0" w:space="0" w:color="auto"/>
        <w:right w:val="none" w:sz="0" w:space="0" w:color="auto"/>
      </w:divBdr>
    </w:div>
    <w:div w:id="813527452">
      <w:bodyDiv w:val="1"/>
      <w:marLeft w:val="0"/>
      <w:marRight w:val="0"/>
      <w:marTop w:val="0"/>
      <w:marBottom w:val="0"/>
      <w:divBdr>
        <w:top w:val="none" w:sz="0" w:space="0" w:color="auto"/>
        <w:left w:val="none" w:sz="0" w:space="0" w:color="auto"/>
        <w:bottom w:val="none" w:sz="0" w:space="0" w:color="auto"/>
        <w:right w:val="none" w:sz="0" w:space="0" w:color="auto"/>
      </w:divBdr>
    </w:div>
    <w:div w:id="815295168">
      <w:bodyDiv w:val="1"/>
      <w:marLeft w:val="0"/>
      <w:marRight w:val="0"/>
      <w:marTop w:val="0"/>
      <w:marBottom w:val="0"/>
      <w:divBdr>
        <w:top w:val="none" w:sz="0" w:space="0" w:color="auto"/>
        <w:left w:val="none" w:sz="0" w:space="0" w:color="auto"/>
        <w:bottom w:val="none" w:sz="0" w:space="0" w:color="auto"/>
        <w:right w:val="none" w:sz="0" w:space="0" w:color="auto"/>
      </w:divBdr>
    </w:div>
    <w:div w:id="816150066">
      <w:bodyDiv w:val="1"/>
      <w:marLeft w:val="0"/>
      <w:marRight w:val="0"/>
      <w:marTop w:val="0"/>
      <w:marBottom w:val="0"/>
      <w:divBdr>
        <w:top w:val="none" w:sz="0" w:space="0" w:color="auto"/>
        <w:left w:val="none" w:sz="0" w:space="0" w:color="auto"/>
        <w:bottom w:val="none" w:sz="0" w:space="0" w:color="auto"/>
        <w:right w:val="none" w:sz="0" w:space="0" w:color="auto"/>
      </w:divBdr>
    </w:div>
    <w:div w:id="816337409">
      <w:bodyDiv w:val="1"/>
      <w:marLeft w:val="0"/>
      <w:marRight w:val="0"/>
      <w:marTop w:val="0"/>
      <w:marBottom w:val="0"/>
      <w:divBdr>
        <w:top w:val="none" w:sz="0" w:space="0" w:color="auto"/>
        <w:left w:val="none" w:sz="0" w:space="0" w:color="auto"/>
        <w:bottom w:val="none" w:sz="0" w:space="0" w:color="auto"/>
        <w:right w:val="none" w:sz="0" w:space="0" w:color="auto"/>
      </w:divBdr>
    </w:div>
    <w:div w:id="816413455">
      <w:bodyDiv w:val="1"/>
      <w:marLeft w:val="0"/>
      <w:marRight w:val="0"/>
      <w:marTop w:val="0"/>
      <w:marBottom w:val="0"/>
      <w:divBdr>
        <w:top w:val="none" w:sz="0" w:space="0" w:color="auto"/>
        <w:left w:val="none" w:sz="0" w:space="0" w:color="auto"/>
        <w:bottom w:val="none" w:sz="0" w:space="0" w:color="auto"/>
        <w:right w:val="none" w:sz="0" w:space="0" w:color="auto"/>
      </w:divBdr>
    </w:div>
    <w:div w:id="816535099">
      <w:bodyDiv w:val="1"/>
      <w:marLeft w:val="0"/>
      <w:marRight w:val="0"/>
      <w:marTop w:val="0"/>
      <w:marBottom w:val="0"/>
      <w:divBdr>
        <w:top w:val="none" w:sz="0" w:space="0" w:color="auto"/>
        <w:left w:val="none" w:sz="0" w:space="0" w:color="auto"/>
        <w:bottom w:val="none" w:sz="0" w:space="0" w:color="auto"/>
        <w:right w:val="none" w:sz="0" w:space="0" w:color="auto"/>
      </w:divBdr>
    </w:div>
    <w:div w:id="816653299">
      <w:bodyDiv w:val="1"/>
      <w:marLeft w:val="0"/>
      <w:marRight w:val="0"/>
      <w:marTop w:val="0"/>
      <w:marBottom w:val="0"/>
      <w:divBdr>
        <w:top w:val="none" w:sz="0" w:space="0" w:color="auto"/>
        <w:left w:val="none" w:sz="0" w:space="0" w:color="auto"/>
        <w:bottom w:val="none" w:sz="0" w:space="0" w:color="auto"/>
        <w:right w:val="none" w:sz="0" w:space="0" w:color="auto"/>
      </w:divBdr>
    </w:div>
    <w:div w:id="816848458">
      <w:bodyDiv w:val="1"/>
      <w:marLeft w:val="0"/>
      <w:marRight w:val="0"/>
      <w:marTop w:val="0"/>
      <w:marBottom w:val="0"/>
      <w:divBdr>
        <w:top w:val="none" w:sz="0" w:space="0" w:color="auto"/>
        <w:left w:val="none" w:sz="0" w:space="0" w:color="auto"/>
        <w:bottom w:val="none" w:sz="0" w:space="0" w:color="auto"/>
        <w:right w:val="none" w:sz="0" w:space="0" w:color="auto"/>
      </w:divBdr>
    </w:div>
    <w:div w:id="817110786">
      <w:bodyDiv w:val="1"/>
      <w:marLeft w:val="0"/>
      <w:marRight w:val="0"/>
      <w:marTop w:val="0"/>
      <w:marBottom w:val="0"/>
      <w:divBdr>
        <w:top w:val="none" w:sz="0" w:space="0" w:color="auto"/>
        <w:left w:val="none" w:sz="0" w:space="0" w:color="auto"/>
        <w:bottom w:val="none" w:sz="0" w:space="0" w:color="auto"/>
        <w:right w:val="none" w:sz="0" w:space="0" w:color="auto"/>
      </w:divBdr>
    </w:div>
    <w:div w:id="817380275">
      <w:bodyDiv w:val="1"/>
      <w:marLeft w:val="0"/>
      <w:marRight w:val="0"/>
      <w:marTop w:val="0"/>
      <w:marBottom w:val="0"/>
      <w:divBdr>
        <w:top w:val="none" w:sz="0" w:space="0" w:color="auto"/>
        <w:left w:val="none" w:sz="0" w:space="0" w:color="auto"/>
        <w:bottom w:val="none" w:sz="0" w:space="0" w:color="auto"/>
        <w:right w:val="none" w:sz="0" w:space="0" w:color="auto"/>
      </w:divBdr>
    </w:div>
    <w:div w:id="817768017">
      <w:bodyDiv w:val="1"/>
      <w:marLeft w:val="0"/>
      <w:marRight w:val="0"/>
      <w:marTop w:val="0"/>
      <w:marBottom w:val="0"/>
      <w:divBdr>
        <w:top w:val="none" w:sz="0" w:space="0" w:color="auto"/>
        <w:left w:val="none" w:sz="0" w:space="0" w:color="auto"/>
        <w:bottom w:val="none" w:sz="0" w:space="0" w:color="auto"/>
        <w:right w:val="none" w:sz="0" w:space="0" w:color="auto"/>
      </w:divBdr>
    </w:div>
    <w:div w:id="818232549">
      <w:bodyDiv w:val="1"/>
      <w:marLeft w:val="0"/>
      <w:marRight w:val="0"/>
      <w:marTop w:val="0"/>
      <w:marBottom w:val="0"/>
      <w:divBdr>
        <w:top w:val="none" w:sz="0" w:space="0" w:color="auto"/>
        <w:left w:val="none" w:sz="0" w:space="0" w:color="auto"/>
        <w:bottom w:val="none" w:sz="0" w:space="0" w:color="auto"/>
        <w:right w:val="none" w:sz="0" w:space="0" w:color="auto"/>
      </w:divBdr>
    </w:div>
    <w:div w:id="818544973">
      <w:bodyDiv w:val="1"/>
      <w:marLeft w:val="0"/>
      <w:marRight w:val="0"/>
      <w:marTop w:val="0"/>
      <w:marBottom w:val="0"/>
      <w:divBdr>
        <w:top w:val="none" w:sz="0" w:space="0" w:color="auto"/>
        <w:left w:val="none" w:sz="0" w:space="0" w:color="auto"/>
        <w:bottom w:val="none" w:sz="0" w:space="0" w:color="auto"/>
        <w:right w:val="none" w:sz="0" w:space="0" w:color="auto"/>
      </w:divBdr>
    </w:div>
    <w:div w:id="818614246">
      <w:bodyDiv w:val="1"/>
      <w:marLeft w:val="0"/>
      <w:marRight w:val="0"/>
      <w:marTop w:val="0"/>
      <w:marBottom w:val="0"/>
      <w:divBdr>
        <w:top w:val="none" w:sz="0" w:space="0" w:color="auto"/>
        <w:left w:val="none" w:sz="0" w:space="0" w:color="auto"/>
        <w:bottom w:val="none" w:sz="0" w:space="0" w:color="auto"/>
        <w:right w:val="none" w:sz="0" w:space="0" w:color="auto"/>
      </w:divBdr>
    </w:div>
    <w:div w:id="818691072">
      <w:bodyDiv w:val="1"/>
      <w:marLeft w:val="0"/>
      <w:marRight w:val="0"/>
      <w:marTop w:val="0"/>
      <w:marBottom w:val="0"/>
      <w:divBdr>
        <w:top w:val="none" w:sz="0" w:space="0" w:color="auto"/>
        <w:left w:val="none" w:sz="0" w:space="0" w:color="auto"/>
        <w:bottom w:val="none" w:sz="0" w:space="0" w:color="auto"/>
        <w:right w:val="none" w:sz="0" w:space="0" w:color="auto"/>
      </w:divBdr>
    </w:div>
    <w:div w:id="818769686">
      <w:bodyDiv w:val="1"/>
      <w:marLeft w:val="0"/>
      <w:marRight w:val="0"/>
      <w:marTop w:val="0"/>
      <w:marBottom w:val="0"/>
      <w:divBdr>
        <w:top w:val="none" w:sz="0" w:space="0" w:color="auto"/>
        <w:left w:val="none" w:sz="0" w:space="0" w:color="auto"/>
        <w:bottom w:val="none" w:sz="0" w:space="0" w:color="auto"/>
        <w:right w:val="none" w:sz="0" w:space="0" w:color="auto"/>
      </w:divBdr>
    </w:div>
    <w:div w:id="818959791">
      <w:bodyDiv w:val="1"/>
      <w:marLeft w:val="0"/>
      <w:marRight w:val="0"/>
      <w:marTop w:val="0"/>
      <w:marBottom w:val="0"/>
      <w:divBdr>
        <w:top w:val="none" w:sz="0" w:space="0" w:color="auto"/>
        <w:left w:val="none" w:sz="0" w:space="0" w:color="auto"/>
        <w:bottom w:val="none" w:sz="0" w:space="0" w:color="auto"/>
        <w:right w:val="none" w:sz="0" w:space="0" w:color="auto"/>
      </w:divBdr>
    </w:div>
    <w:div w:id="819618776">
      <w:bodyDiv w:val="1"/>
      <w:marLeft w:val="0"/>
      <w:marRight w:val="0"/>
      <w:marTop w:val="0"/>
      <w:marBottom w:val="0"/>
      <w:divBdr>
        <w:top w:val="none" w:sz="0" w:space="0" w:color="auto"/>
        <w:left w:val="none" w:sz="0" w:space="0" w:color="auto"/>
        <w:bottom w:val="none" w:sz="0" w:space="0" w:color="auto"/>
        <w:right w:val="none" w:sz="0" w:space="0" w:color="auto"/>
      </w:divBdr>
    </w:div>
    <w:div w:id="819688734">
      <w:bodyDiv w:val="1"/>
      <w:marLeft w:val="0"/>
      <w:marRight w:val="0"/>
      <w:marTop w:val="0"/>
      <w:marBottom w:val="0"/>
      <w:divBdr>
        <w:top w:val="none" w:sz="0" w:space="0" w:color="auto"/>
        <w:left w:val="none" w:sz="0" w:space="0" w:color="auto"/>
        <w:bottom w:val="none" w:sz="0" w:space="0" w:color="auto"/>
        <w:right w:val="none" w:sz="0" w:space="0" w:color="auto"/>
      </w:divBdr>
    </w:div>
    <w:div w:id="819999513">
      <w:bodyDiv w:val="1"/>
      <w:marLeft w:val="0"/>
      <w:marRight w:val="0"/>
      <w:marTop w:val="0"/>
      <w:marBottom w:val="0"/>
      <w:divBdr>
        <w:top w:val="none" w:sz="0" w:space="0" w:color="auto"/>
        <w:left w:val="none" w:sz="0" w:space="0" w:color="auto"/>
        <w:bottom w:val="none" w:sz="0" w:space="0" w:color="auto"/>
        <w:right w:val="none" w:sz="0" w:space="0" w:color="auto"/>
      </w:divBdr>
    </w:div>
    <w:div w:id="820737122">
      <w:bodyDiv w:val="1"/>
      <w:marLeft w:val="0"/>
      <w:marRight w:val="0"/>
      <w:marTop w:val="0"/>
      <w:marBottom w:val="0"/>
      <w:divBdr>
        <w:top w:val="none" w:sz="0" w:space="0" w:color="auto"/>
        <w:left w:val="none" w:sz="0" w:space="0" w:color="auto"/>
        <w:bottom w:val="none" w:sz="0" w:space="0" w:color="auto"/>
        <w:right w:val="none" w:sz="0" w:space="0" w:color="auto"/>
      </w:divBdr>
    </w:div>
    <w:div w:id="820852586">
      <w:bodyDiv w:val="1"/>
      <w:marLeft w:val="0"/>
      <w:marRight w:val="0"/>
      <w:marTop w:val="0"/>
      <w:marBottom w:val="0"/>
      <w:divBdr>
        <w:top w:val="none" w:sz="0" w:space="0" w:color="auto"/>
        <w:left w:val="none" w:sz="0" w:space="0" w:color="auto"/>
        <w:bottom w:val="none" w:sz="0" w:space="0" w:color="auto"/>
        <w:right w:val="none" w:sz="0" w:space="0" w:color="auto"/>
      </w:divBdr>
    </w:div>
    <w:div w:id="822084425">
      <w:bodyDiv w:val="1"/>
      <w:marLeft w:val="0"/>
      <w:marRight w:val="0"/>
      <w:marTop w:val="0"/>
      <w:marBottom w:val="0"/>
      <w:divBdr>
        <w:top w:val="none" w:sz="0" w:space="0" w:color="auto"/>
        <w:left w:val="none" w:sz="0" w:space="0" w:color="auto"/>
        <w:bottom w:val="none" w:sz="0" w:space="0" w:color="auto"/>
        <w:right w:val="none" w:sz="0" w:space="0" w:color="auto"/>
      </w:divBdr>
    </w:div>
    <w:div w:id="822433706">
      <w:bodyDiv w:val="1"/>
      <w:marLeft w:val="0"/>
      <w:marRight w:val="0"/>
      <w:marTop w:val="0"/>
      <w:marBottom w:val="0"/>
      <w:divBdr>
        <w:top w:val="none" w:sz="0" w:space="0" w:color="auto"/>
        <w:left w:val="none" w:sz="0" w:space="0" w:color="auto"/>
        <w:bottom w:val="none" w:sz="0" w:space="0" w:color="auto"/>
        <w:right w:val="none" w:sz="0" w:space="0" w:color="auto"/>
      </w:divBdr>
    </w:div>
    <w:div w:id="823009420">
      <w:bodyDiv w:val="1"/>
      <w:marLeft w:val="0"/>
      <w:marRight w:val="0"/>
      <w:marTop w:val="0"/>
      <w:marBottom w:val="0"/>
      <w:divBdr>
        <w:top w:val="none" w:sz="0" w:space="0" w:color="auto"/>
        <w:left w:val="none" w:sz="0" w:space="0" w:color="auto"/>
        <w:bottom w:val="none" w:sz="0" w:space="0" w:color="auto"/>
        <w:right w:val="none" w:sz="0" w:space="0" w:color="auto"/>
      </w:divBdr>
    </w:div>
    <w:div w:id="823356113">
      <w:bodyDiv w:val="1"/>
      <w:marLeft w:val="0"/>
      <w:marRight w:val="0"/>
      <w:marTop w:val="0"/>
      <w:marBottom w:val="0"/>
      <w:divBdr>
        <w:top w:val="none" w:sz="0" w:space="0" w:color="auto"/>
        <w:left w:val="none" w:sz="0" w:space="0" w:color="auto"/>
        <w:bottom w:val="none" w:sz="0" w:space="0" w:color="auto"/>
        <w:right w:val="none" w:sz="0" w:space="0" w:color="auto"/>
      </w:divBdr>
    </w:div>
    <w:div w:id="823549478">
      <w:bodyDiv w:val="1"/>
      <w:marLeft w:val="0"/>
      <w:marRight w:val="0"/>
      <w:marTop w:val="0"/>
      <w:marBottom w:val="0"/>
      <w:divBdr>
        <w:top w:val="none" w:sz="0" w:space="0" w:color="auto"/>
        <w:left w:val="none" w:sz="0" w:space="0" w:color="auto"/>
        <w:bottom w:val="none" w:sz="0" w:space="0" w:color="auto"/>
        <w:right w:val="none" w:sz="0" w:space="0" w:color="auto"/>
      </w:divBdr>
    </w:div>
    <w:div w:id="823741142">
      <w:bodyDiv w:val="1"/>
      <w:marLeft w:val="0"/>
      <w:marRight w:val="0"/>
      <w:marTop w:val="0"/>
      <w:marBottom w:val="0"/>
      <w:divBdr>
        <w:top w:val="none" w:sz="0" w:space="0" w:color="auto"/>
        <w:left w:val="none" w:sz="0" w:space="0" w:color="auto"/>
        <w:bottom w:val="none" w:sz="0" w:space="0" w:color="auto"/>
        <w:right w:val="none" w:sz="0" w:space="0" w:color="auto"/>
      </w:divBdr>
    </w:div>
    <w:div w:id="823859654">
      <w:bodyDiv w:val="1"/>
      <w:marLeft w:val="0"/>
      <w:marRight w:val="0"/>
      <w:marTop w:val="0"/>
      <w:marBottom w:val="0"/>
      <w:divBdr>
        <w:top w:val="none" w:sz="0" w:space="0" w:color="auto"/>
        <w:left w:val="none" w:sz="0" w:space="0" w:color="auto"/>
        <w:bottom w:val="none" w:sz="0" w:space="0" w:color="auto"/>
        <w:right w:val="none" w:sz="0" w:space="0" w:color="auto"/>
      </w:divBdr>
    </w:div>
    <w:div w:id="824079940">
      <w:bodyDiv w:val="1"/>
      <w:marLeft w:val="0"/>
      <w:marRight w:val="0"/>
      <w:marTop w:val="0"/>
      <w:marBottom w:val="0"/>
      <w:divBdr>
        <w:top w:val="none" w:sz="0" w:space="0" w:color="auto"/>
        <w:left w:val="none" w:sz="0" w:space="0" w:color="auto"/>
        <w:bottom w:val="none" w:sz="0" w:space="0" w:color="auto"/>
        <w:right w:val="none" w:sz="0" w:space="0" w:color="auto"/>
      </w:divBdr>
    </w:div>
    <w:div w:id="825240122">
      <w:bodyDiv w:val="1"/>
      <w:marLeft w:val="0"/>
      <w:marRight w:val="0"/>
      <w:marTop w:val="0"/>
      <w:marBottom w:val="0"/>
      <w:divBdr>
        <w:top w:val="none" w:sz="0" w:space="0" w:color="auto"/>
        <w:left w:val="none" w:sz="0" w:space="0" w:color="auto"/>
        <w:bottom w:val="none" w:sz="0" w:space="0" w:color="auto"/>
        <w:right w:val="none" w:sz="0" w:space="0" w:color="auto"/>
      </w:divBdr>
    </w:div>
    <w:div w:id="825242909">
      <w:bodyDiv w:val="1"/>
      <w:marLeft w:val="0"/>
      <w:marRight w:val="0"/>
      <w:marTop w:val="0"/>
      <w:marBottom w:val="0"/>
      <w:divBdr>
        <w:top w:val="none" w:sz="0" w:space="0" w:color="auto"/>
        <w:left w:val="none" w:sz="0" w:space="0" w:color="auto"/>
        <w:bottom w:val="none" w:sz="0" w:space="0" w:color="auto"/>
        <w:right w:val="none" w:sz="0" w:space="0" w:color="auto"/>
      </w:divBdr>
    </w:div>
    <w:div w:id="826826250">
      <w:bodyDiv w:val="1"/>
      <w:marLeft w:val="0"/>
      <w:marRight w:val="0"/>
      <w:marTop w:val="0"/>
      <w:marBottom w:val="0"/>
      <w:divBdr>
        <w:top w:val="none" w:sz="0" w:space="0" w:color="auto"/>
        <w:left w:val="none" w:sz="0" w:space="0" w:color="auto"/>
        <w:bottom w:val="none" w:sz="0" w:space="0" w:color="auto"/>
        <w:right w:val="none" w:sz="0" w:space="0" w:color="auto"/>
      </w:divBdr>
    </w:div>
    <w:div w:id="827553507">
      <w:bodyDiv w:val="1"/>
      <w:marLeft w:val="0"/>
      <w:marRight w:val="0"/>
      <w:marTop w:val="0"/>
      <w:marBottom w:val="0"/>
      <w:divBdr>
        <w:top w:val="none" w:sz="0" w:space="0" w:color="auto"/>
        <w:left w:val="none" w:sz="0" w:space="0" w:color="auto"/>
        <w:bottom w:val="none" w:sz="0" w:space="0" w:color="auto"/>
        <w:right w:val="none" w:sz="0" w:space="0" w:color="auto"/>
      </w:divBdr>
    </w:div>
    <w:div w:id="828058493">
      <w:bodyDiv w:val="1"/>
      <w:marLeft w:val="0"/>
      <w:marRight w:val="0"/>
      <w:marTop w:val="0"/>
      <w:marBottom w:val="0"/>
      <w:divBdr>
        <w:top w:val="none" w:sz="0" w:space="0" w:color="auto"/>
        <w:left w:val="none" w:sz="0" w:space="0" w:color="auto"/>
        <w:bottom w:val="none" w:sz="0" w:space="0" w:color="auto"/>
        <w:right w:val="none" w:sz="0" w:space="0" w:color="auto"/>
      </w:divBdr>
    </w:div>
    <w:div w:id="829254264">
      <w:bodyDiv w:val="1"/>
      <w:marLeft w:val="0"/>
      <w:marRight w:val="0"/>
      <w:marTop w:val="0"/>
      <w:marBottom w:val="0"/>
      <w:divBdr>
        <w:top w:val="none" w:sz="0" w:space="0" w:color="auto"/>
        <w:left w:val="none" w:sz="0" w:space="0" w:color="auto"/>
        <w:bottom w:val="none" w:sz="0" w:space="0" w:color="auto"/>
        <w:right w:val="none" w:sz="0" w:space="0" w:color="auto"/>
      </w:divBdr>
    </w:div>
    <w:div w:id="829717473">
      <w:bodyDiv w:val="1"/>
      <w:marLeft w:val="0"/>
      <w:marRight w:val="0"/>
      <w:marTop w:val="0"/>
      <w:marBottom w:val="0"/>
      <w:divBdr>
        <w:top w:val="none" w:sz="0" w:space="0" w:color="auto"/>
        <w:left w:val="none" w:sz="0" w:space="0" w:color="auto"/>
        <w:bottom w:val="none" w:sz="0" w:space="0" w:color="auto"/>
        <w:right w:val="none" w:sz="0" w:space="0" w:color="auto"/>
      </w:divBdr>
    </w:div>
    <w:div w:id="830830412">
      <w:bodyDiv w:val="1"/>
      <w:marLeft w:val="0"/>
      <w:marRight w:val="0"/>
      <w:marTop w:val="0"/>
      <w:marBottom w:val="0"/>
      <w:divBdr>
        <w:top w:val="none" w:sz="0" w:space="0" w:color="auto"/>
        <w:left w:val="none" w:sz="0" w:space="0" w:color="auto"/>
        <w:bottom w:val="none" w:sz="0" w:space="0" w:color="auto"/>
        <w:right w:val="none" w:sz="0" w:space="0" w:color="auto"/>
      </w:divBdr>
    </w:div>
    <w:div w:id="831071290">
      <w:bodyDiv w:val="1"/>
      <w:marLeft w:val="0"/>
      <w:marRight w:val="0"/>
      <w:marTop w:val="0"/>
      <w:marBottom w:val="0"/>
      <w:divBdr>
        <w:top w:val="none" w:sz="0" w:space="0" w:color="auto"/>
        <w:left w:val="none" w:sz="0" w:space="0" w:color="auto"/>
        <w:bottom w:val="none" w:sz="0" w:space="0" w:color="auto"/>
        <w:right w:val="none" w:sz="0" w:space="0" w:color="auto"/>
      </w:divBdr>
    </w:div>
    <w:div w:id="831219501">
      <w:bodyDiv w:val="1"/>
      <w:marLeft w:val="0"/>
      <w:marRight w:val="0"/>
      <w:marTop w:val="0"/>
      <w:marBottom w:val="0"/>
      <w:divBdr>
        <w:top w:val="none" w:sz="0" w:space="0" w:color="auto"/>
        <w:left w:val="none" w:sz="0" w:space="0" w:color="auto"/>
        <w:bottom w:val="none" w:sz="0" w:space="0" w:color="auto"/>
        <w:right w:val="none" w:sz="0" w:space="0" w:color="auto"/>
      </w:divBdr>
    </w:div>
    <w:div w:id="831531838">
      <w:bodyDiv w:val="1"/>
      <w:marLeft w:val="0"/>
      <w:marRight w:val="0"/>
      <w:marTop w:val="0"/>
      <w:marBottom w:val="0"/>
      <w:divBdr>
        <w:top w:val="none" w:sz="0" w:space="0" w:color="auto"/>
        <w:left w:val="none" w:sz="0" w:space="0" w:color="auto"/>
        <w:bottom w:val="none" w:sz="0" w:space="0" w:color="auto"/>
        <w:right w:val="none" w:sz="0" w:space="0" w:color="auto"/>
      </w:divBdr>
    </w:div>
    <w:div w:id="831682108">
      <w:bodyDiv w:val="1"/>
      <w:marLeft w:val="0"/>
      <w:marRight w:val="0"/>
      <w:marTop w:val="0"/>
      <w:marBottom w:val="0"/>
      <w:divBdr>
        <w:top w:val="none" w:sz="0" w:space="0" w:color="auto"/>
        <w:left w:val="none" w:sz="0" w:space="0" w:color="auto"/>
        <w:bottom w:val="none" w:sz="0" w:space="0" w:color="auto"/>
        <w:right w:val="none" w:sz="0" w:space="0" w:color="auto"/>
      </w:divBdr>
    </w:div>
    <w:div w:id="832069334">
      <w:bodyDiv w:val="1"/>
      <w:marLeft w:val="0"/>
      <w:marRight w:val="0"/>
      <w:marTop w:val="0"/>
      <w:marBottom w:val="0"/>
      <w:divBdr>
        <w:top w:val="none" w:sz="0" w:space="0" w:color="auto"/>
        <w:left w:val="none" w:sz="0" w:space="0" w:color="auto"/>
        <w:bottom w:val="none" w:sz="0" w:space="0" w:color="auto"/>
        <w:right w:val="none" w:sz="0" w:space="0" w:color="auto"/>
      </w:divBdr>
    </w:div>
    <w:div w:id="832641373">
      <w:bodyDiv w:val="1"/>
      <w:marLeft w:val="0"/>
      <w:marRight w:val="0"/>
      <w:marTop w:val="0"/>
      <w:marBottom w:val="0"/>
      <w:divBdr>
        <w:top w:val="none" w:sz="0" w:space="0" w:color="auto"/>
        <w:left w:val="none" w:sz="0" w:space="0" w:color="auto"/>
        <w:bottom w:val="none" w:sz="0" w:space="0" w:color="auto"/>
        <w:right w:val="none" w:sz="0" w:space="0" w:color="auto"/>
      </w:divBdr>
    </w:div>
    <w:div w:id="832913371">
      <w:bodyDiv w:val="1"/>
      <w:marLeft w:val="0"/>
      <w:marRight w:val="0"/>
      <w:marTop w:val="0"/>
      <w:marBottom w:val="0"/>
      <w:divBdr>
        <w:top w:val="none" w:sz="0" w:space="0" w:color="auto"/>
        <w:left w:val="none" w:sz="0" w:space="0" w:color="auto"/>
        <w:bottom w:val="none" w:sz="0" w:space="0" w:color="auto"/>
        <w:right w:val="none" w:sz="0" w:space="0" w:color="auto"/>
      </w:divBdr>
    </w:div>
    <w:div w:id="832915815">
      <w:bodyDiv w:val="1"/>
      <w:marLeft w:val="0"/>
      <w:marRight w:val="0"/>
      <w:marTop w:val="0"/>
      <w:marBottom w:val="0"/>
      <w:divBdr>
        <w:top w:val="none" w:sz="0" w:space="0" w:color="auto"/>
        <w:left w:val="none" w:sz="0" w:space="0" w:color="auto"/>
        <w:bottom w:val="none" w:sz="0" w:space="0" w:color="auto"/>
        <w:right w:val="none" w:sz="0" w:space="0" w:color="auto"/>
      </w:divBdr>
    </w:div>
    <w:div w:id="833453268">
      <w:bodyDiv w:val="1"/>
      <w:marLeft w:val="0"/>
      <w:marRight w:val="0"/>
      <w:marTop w:val="0"/>
      <w:marBottom w:val="0"/>
      <w:divBdr>
        <w:top w:val="none" w:sz="0" w:space="0" w:color="auto"/>
        <w:left w:val="none" w:sz="0" w:space="0" w:color="auto"/>
        <w:bottom w:val="none" w:sz="0" w:space="0" w:color="auto"/>
        <w:right w:val="none" w:sz="0" w:space="0" w:color="auto"/>
      </w:divBdr>
    </w:div>
    <w:div w:id="834609794">
      <w:bodyDiv w:val="1"/>
      <w:marLeft w:val="0"/>
      <w:marRight w:val="0"/>
      <w:marTop w:val="0"/>
      <w:marBottom w:val="0"/>
      <w:divBdr>
        <w:top w:val="none" w:sz="0" w:space="0" w:color="auto"/>
        <w:left w:val="none" w:sz="0" w:space="0" w:color="auto"/>
        <w:bottom w:val="none" w:sz="0" w:space="0" w:color="auto"/>
        <w:right w:val="none" w:sz="0" w:space="0" w:color="auto"/>
      </w:divBdr>
    </w:div>
    <w:div w:id="834686644">
      <w:bodyDiv w:val="1"/>
      <w:marLeft w:val="0"/>
      <w:marRight w:val="0"/>
      <w:marTop w:val="0"/>
      <w:marBottom w:val="0"/>
      <w:divBdr>
        <w:top w:val="none" w:sz="0" w:space="0" w:color="auto"/>
        <w:left w:val="none" w:sz="0" w:space="0" w:color="auto"/>
        <w:bottom w:val="none" w:sz="0" w:space="0" w:color="auto"/>
        <w:right w:val="none" w:sz="0" w:space="0" w:color="auto"/>
      </w:divBdr>
    </w:div>
    <w:div w:id="834882601">
      <w:bodyDiv w:val="1"/>
      <w:marLeft w:val="0"/>
      <w:marRight w:val="0"/>
      <w:marTop w:val="0"/>
      <w:marBottom w:val="0"/>
      <w:divBdr>
        <w:top w:val="none" w:sz="0" w:space="0" w:color="auto"/>
        <w:left w:val="none" w:sz="0" w:space="0" w:color="auto"/>
        <w:bottom w:val="none" w:sz="0" w:space="0" w:color="auto"/>
        <w:right w:val="none" w:sz="0" w:space="0" w:color="auto"/>
      </w:divBdr>
    </w:div>
    <w:div w:id="834953917">
      <w:bodyDiv w:val="1"/>
      <w:marLeft w:val="0"/>
      <w:marRight w:val="0"/>
      <w:marTop w:val="0"/>
      <w:marBottom w:val="0"/>
      <w:divBdr>
        <w:top w:val="none" w:sz="0" w:space="0" w:color="auto"/>
        <w:left w:val="none" w:sz="0" w:space="0" w:color="auto"/>
        <w:bottom w:val="none" w:sz="0" w:space="0" w:color="auto"/>
        <w:right w:val="none" w:sz="0" w:space="0" w:color="auto"/>
      </w:divBdr>
    </w:div>
    <w:div w:id="836262958">
      <w:bodyDiv w:val="1"/>
      <w:marLeft w:val="0"/>
      <w:marRight w:val="0"/>
      <w:marTop w:val="0"/>
      <w:marBottom w:val="0"/>
      <w:divBdr>
        <w:top w:val="none" w:sz="0" w:space="0" w:color="auto"/>
        <w:left w:val="none" w:sz="0" w:space="0" w:color="auto"/>
        <w:bottom w:val="none" w:sz="0" w:space="0" w:color="auto"/>
        <w:right w:val="none" w:sz="0" w:space="0" w:color="auto"/>
      </w:divBdr>
    </w:div>
    <w:div w:id="836462573">
      <w:bodyDiv w:val="1"/>
      <w:marLeft w:val="0"/>
      <w:marRight w:val="0"/>
      <w:marTop w:val="0"/>
      <w:marBottom w:val="0"/>
      <w:divBdr>
        <w:top w:val="none" w:sz="0" w:space="0" w:color="auto"/>
        <w:left w:val="none" w:sz="0" w:space="0" w:color="auto"/>
        <w:bottom w:val="none" w:sz="0" w:space="0" w:color="auto"/>
        <w:right w:val="none" w:sz="0" w:space="0" w:color="auto"/>
      </w:divBdr>
    </w:div>
    <w:div w:id="837579505">
      <w:bodyDiv w:val="1"/>
      <w:marLeft w:val="0"/>
      <w:marRight w:val="0"/>
      <w:marTop w:val="0"/>
      <w:marBottom w:val="0"/>
      <w:divBdr>
        <w:top w:val="none" w:sz="0" w:space="0" w:color="auto"/>
        <w:left w:val="none" w:sz="0" w:space="0" w:color="auto"/>
        <w:bottom w:val="none" w:sz="0" w:space="0" w:color="auto"/>
        <w:right w:val="none" w:sz="0" w:space="0" w:color="auto"/>
      </w:divBdr>
    </w:div>
    <w:div w:id="837692021">
      <w:bodyDiv w:val="1"/>
      <w:marLeft w:val="0"/>
      <w:marRight w:val="0"/>
      <w:marTop w:val="0"/>
      <w:marBottom w:val="0"/>
      <w:divBdr>
        <w:top w:val="none" w:sz="0" w:space="0" w:color="auto"/>
        <w:left w:val="none" w:sz="0" w:space="0" w:color="auto"/>
        <w:bottom w:val="none" w:sz="0" w:space="0" w:color="auto"/>
        <w:right w:val="none" w:sz="0" w:space="0" w:color="auto"/>
      </w:divBdr>
    </w:div>
    <w:div w:id="839345792">
      <w:bodyDiv w:val="1"/>
      <w:marLeft w:val="0"/>
      <w:marRight w:val="0"/>
      <w:marTop w:val="0"/>
      <w:marBottom w:val="0"/>
      <w:divBdr>
        <w:top w:val="none" w:sz="0" w:space="0" w:color="auto"/>
        <w:left w:val="none" w:sz="0" w:space="0" w:color="auto"/>
        <w:bottom w:val="none" w:sz="0" w:space="0" w:color="auto"/>
        <w:right w:val="none" w:sz="0" w:space="0" w:color="auto"/>
      </w:divBdr>
    </w:div>
    <w:div w:id="839735426">
      <w:bodyDiv w:val="1"/>
      <w:marLeft w:val="0"/>
      <w:marRight w:val="0"/>
      <w:marTop w:val="0"/>
      <w:marBottom w:val="0"/>
      <w:divBdr>
        <w:top w:val="none" w:sz="0" w:space="0" w:color="auto"/>
        <w:left w:val="none" w:sz="0" w:space="0" w:color="auto"/>
        <w:bottom w:val="none" w:sz="0" w:space="0" w:color="auto"/>
        <w:right w:val="none" w:sz="0" w:space="0" w:color="auto"/>
      </w:divBdr>
    </w:div>
    <w:div w:id="839809521">
      <w:bodyDiv w:val="1"/>
      <w:marLeft w:val="0"/>
      <w:marRight w:val="0"/>
      <w:marTop w:val="0"/>
      <w:marBottom w:val="0"/>
      <w:divBdr>
        <w:top w:val="none" w:sz="0" w:space="0" w:color="auto"/>
        <w:left w:val="none" w:sz="0" w:space="0" w:color="auto"/>
        <w:bottom w:val="none" w:sz="0" w:space="0" w:color="auto"/>
        <w:right w:val="none" w:sz="0" w:space="0" w:color="auto"/>
      </w:divBdr>
    </w:div>
    <w:div w:id="840242904">
      <w:bodyDiv w:val="1"/>
      <w:marLeft w:val="0"/>
      <w:marRight w:val="0"/>
      <w:marTop w:val="0"/>
      <w:marBottom w:val="0"/>
      <w:divBdr>
        <w:top w:val="none" w:sz="0" w:space="0" w:color="auto"/>
        <w:left w:val="none" w:sz="0" w:space="0" w:color="auto"/>
        <w:bottom w:val="none" w:sz="0" w:space="0" w:color="auto"/>
        <w:right w:val="none" w:sz="0" w:space="0" w:color="auto"/>
      </w:divBdr>
    </w:div>
    <w:div w:id="840388720">
      <w:bodyDiv w:val="1"/>
      <w:marLeft w:val="0"/>
      <w:marRight w:val="0"/>
      <w:marTop w:val="0"/>
      <w:marBottom w:val="0"/>
      <w:divBdr>
        <w:top w:val="none" w:sz="0" w:space="0" w:color="auto"/>
        <w:left w:val="none" w:sz="0" w:space="0" w:color="auto"/>
        <w:bottom w:val="none" w:sz="0" w:space="0" w:color="auto"/>
        <w:right w:val="none" w:sz="0" w:space="0" w:color="auto"/>
      </w:divBdr>
    </w:div>
    <w:div w:id="841313424">
      <w:bodyDiv w:val="1"/>
      <w:marLeft w:val="0"/>
      <w:marRight w:val="0"/>
      <w:marTop w:val="0"/>
      <w:marBottom w:val="0"/>
      <w:divBdr>
        <w:top w:val="none" w:sz="0" w:space="0" w:color="auto"/>
        <w:left w:val="none" w:sz="0" w:space="0" w:color="auto"/>
        <w:bottom w:val="none" w:sz="0" w:space="0" w:color="auto"/>
        <w:right w:val="none" w:sz="0" w:space="0" w:color="auto"/>
      </w:divBdr>
    </w:div>
    <w:div w:id="841551696">
      <w:bodyDiv w:val="1"/>
      <w:marLeft w:val="0"/>
      <w:marRight w:val="0"/>
      <w:marTop w:val="0"/>
      <w:marBottom w:val="0"/>
      <w:divBdr>
        <w:top w:val="none" w:sz="0" w:space="0" w:color="auto"/>
        <w:left w:val="none" w:sz="0" w:space="0" w:color="auto"/>
        <w:bottom w:val="none" w:sz="0" w:space="0" w:color="auto"/>
        <w:right w:val="none" w:sz="0" w:space="0" w:color="auto"/>
      </w:divBdr>
    </w:div>
    <w:div w:id="842815469">
      <w:bodyDiv w:val="1"/>
      <w:marLeft w:val="0"/>
      <w:marRight w:val="0"/>
      <w:marTop w:val="0"/>
      <w:marBottom w:val="0"/>
      <w:divBdr>
        <w:top w:val="none" w:sz="0" w:space="0" w:color="auto"/>
        <w:left w:val="none" w:sz="0" w:space="0" w:color="auto"/>
        <w:bottom w:val="none" w:sz="0" w:space="0" w:color="auto"/>
        <w:right w:val="none" w:sz="0" w:space="0" w:color="auto"/>
      </w:divBdr>
    </w:div>
    <w:div w:id="842820162">
      <w:bodyDiv w:val="1"/>
      <w:marLeft w:val="0"/>
      <w:marRight w:val="0"/>
      <w:marTop w:val="0"/>
      <w:marBottom w:val="0"/>
      <w:divBdr>
        <w:top w:val="none" w:sz="0" w:space="0" w:color="auto"/>
        <w:left w:val="none" w:sz="0" w:space="0" w:color="auto"/>
        <w:bottom w:val="none" w:sz="0" w:space="0" w:color="auto"/>
        <w:right w:val="none" w:sz="0" w:space="0" w:color="auto"/>
      </w:divBdr>
    </w:div>
    <w:div w:id="843130391">
      <w:bodyDiv w:val="1"/>
      <w:marLeft w:val="0"/>
      <w:marRight w:val="0"/>
      <w:marTop w:val="0"/>
      <w:marBottom w:val="0"/>
      <w:divBdr>
        <w:top w:val="none" w:sz="0" w:space="0" w:color="auto"/>
        <w:left w:val="none" w:sz="0" w:space="0" w:color="auto"/>
        <w:bottom w:val="none" w:sz="0" w:space="0" w:color="auto"/>
        <w:right w:val="none" w:sz="0" w:space="0" w:color="auto"/>
      </w:divBdr>
    </w:div>
    <w:div w:id="843933680">
      <w:bodyDiv w:val="1"/>
      <w:marLeft w:val="0"/>
      <w:marRight w:val="0"/>
      <w:marTop w:val="0"/>
      <w:marBottom w:val="0"/>
      <w:divBdr>
        <w:top w:val="none" w:sz="0" w:space="0" w:color="auto"/>
        <w:left w:val="none" w:sz="0" w:space="0" w:color="auto"/>
        <w:bottom w:val="none" w:sz="0" w:space="0" w:color="auto"/>
        <w:right w:val="none" w:sz="0" w:space="0" w:color="auto"/>
      </w:divBdr>
    </w:div>
    <w:div w:id="844520843">
      <w:bodyDiv w:val="1"/>
      <w:marLeft w:val="0"/>
      <w:marRight w:val="0"/>
      <w:marTop w:val="0"/>
      <w:marBottom w:val="0"/>
      <w:divBdr>
        <w:top w:val="none" w:sz="0" w:space="0" w:color="auto"/>
        <w:left w:val="none" w:sz="0" w:space="0" w:color="auto"/>
        <w:bottom w:val="none" w:sz="0" w:space="0" w:color="auto"/>
        <w:right w:val="none" w:sz="0" w:space="0" w:color="auto"/>
      </w:divBdr>
    </w:div>
    <w:div w:id="845246630">
      <w:bodyDiv w:val="1"/>
      <w:marLeft w:val="0"/>
      <w:marRight w:val="0"/>
      <w:marTop w:val="0"/>
      <w:marBottom w:val="0"/>
      <w:divBdr>
        <w:top w:val="none" w:sz="0" w:space="0" w:color="auto"/>
        <w:left w:val="none" w:sz="0" w:space="0" w:color="auto"/>
        <w:bottom w:val="none" w:sz="0" w:space="0" w:color="auto"/>
        <w:right w:val="none" w:sz="0" w:space="0" w:color="auto"/>
      </w:divBdr>
    </w:div>
    <w:div w:id="846361722">
      <w:bodyDiv w:val="1"/>
      <w:marLeft w:val="0"/>
      <w:marRight w:val="0"/>
      <w:marTop w:val="0"/>
      <w:marBottom w:val="0"/>
      <w:divBdr>
        <w:top w:val="none" w:sz="0" w:space="0" w:color="auto"/>
        <w:left w:val="none" w:sz="0" w:space="0" w:color="auto"/>
        <w:bottom w:val="none" w:sz="0" w:space="0" w:color="auto"/>
        <w:right w:val="none" w:sz="0" w:space="0" w:color="auto"/>
      </w:divBdr>
    </w:div>
    <w:div w:id="847252964">
      <w:bodyDiv w:val="1"/>
      <w:marLeft w:val="0"/>
      <w:marRight w:val="0"/>
      <w:marTop w:val="0"/>
      <w:marBottom w:val="0"/>
      <w:divBdr>
        <w:top w:val="none" w:sz="0" w:space="0" w:color="auto"/>
        <w:left w:val="none" w:sz="0" w:space="0" w:color="auto"/>
        <w:bottom w:val="none" w:sz="0" w:space="0" w:color="auto"/>
        <w:right w:val="none" w:sz="0" w:space="0" w:color="auto"/>
      </w:divBdr>
    </w:div>
    <w:div w:id="847328692">
      <w:bodyDiv w:val="1"/>
      <w:marLeft w:val="0"/>
      <w:marRight w:val="0"/>
      <w:marTop w:val="0"/>
      <w:marBottom w:val="0"/>
      <w:divBdr>
        <w:top w:val="none" w:sz="0" w:space="0" w:color="auto"/>
        <w:left w:val="none" w:sz="0" w:space="0" w:color="auto"/>
        <w:bottom w:val="none" w:sz="0" w:space="0" w:color="auto"/>
        <w:right w:val="none" w:sz="0" w:space="0" w:color="auto"/>
      </w:divBdr>
    </w:div>
    <w:div w:id="847409751">
      <w:bodyDiv w:val="1"/>
      <w:marLeft w:val="0"/>
      <w:marRight w:val="0"/>
      <w:marTop w:val="0"/>
      <w:marBottom w:val="0"/>
      <w:divBdr>
        <w:top w:val="none" w:sz="0" w:space="0" w:color="auto"/>
        <w:left w:val="none" w:sz="0" w:space="0" w:color="auto"/>
        <w:bottom w:val="none" w:sz="0" w:space="0" w:color="auto"/>
        <w:right w:val="none" w:sz="0" w:space="0" w:color="auto"/>
      </w:divBdr>
    </w:div>
    <w:div w:id="847447685">
      <w:bodyDiv w:val="1"/>
      <w:marLeft w:val="0"/>
      <w:marRight w:val="0"/>
      <w:marTop w:val="0"/>
      <w:marBottom w:val="0"/>
      <w:divBdr>
        <w:top w:val="none" w:sz="0" w:space="0" w:color="auto"/>
        <w:left w:val="none" w:sz="0" w:space="0" w:color="auto"/>
        <w:bottom w:val="none" w:sz="0" w:space="0" w:color="auto"/>
        <w:right w:val="none" w:sz="0" w:space="0" w:color="auto"/>
      </w:divBdr>
    </w:div>
    <w:div w:id="847522752">
      <w:bodyDiv w:val="1"/>
      <w:marLeft w:val="0"/>
      <w:marRight w:val="0"/>
      <w:marTop w:val="0"/>
      <w:marBottom w:val="0"/>
      <w:divBdr>
        <w:top w:val="none" w:sz="0" w:space="0" w:color="auto"/>
        <w:left w:val="none" w:sz="0" w:space="0" w:color="auto"/>
        <w:bottom w:val="none" w:sz="0" w:space="0" w:color="auto"/>
        <w:right w:val="none" w:sz="0" w:space="0" w:color="auto"/>
      </w:divBdr>
    </w:div>
    <w:div w:id="848329951">
      <w:bodyDiv w:val="1"/>
      <w:marLeft w:val="0"/>
      <w:marRight w:val="0"/>
      <w:marTop w:val="0"/>
      <w:marBottom w:val="0"/>
      <w:divBdr>
        <w:top w:val="none" w:sz="0" w:space="0" w:color="auto"/>
        <w:left w:val="none" w:sz="0" w:space="0" w:color="auto"/>
        <w:bottom w:val="none" w:sz="0" w:space="0" w:color="auto"/>
        <w:right w:val="none" w:sz="0" w:space="0" w:color="auto"/>
      </w:divBdr>
    </w:div>
    <w:div w:id="848717722">
      <w:bodyDiv w:val="1"/>
      <w:marLeft w:val="0"/>
      <w:marRight w:val="0"/>
      <w:marTop w:val="0"/>
      <w:marBottom w:val="0"/>
      <w:divBdr>
        <w:top w:val="none" w:sz="0" w:space="0" w:color="auto"/>
        <w:left w:val="none" w:sz="0" w:space="0" w:color="auto"/>
        <w:bottom w:val="none" w:sz="0" w:space="0" w:color="auto"/>
        <w:right w:val="none" w:sz="0" w:space="0" w:color="auto"/>
      </w:divBdr>
    </w:div>
    <w:div w:id="848906026">
      <w:bodyDiv w:val="1"/>
      <w:marLeft w:val="0"/>
      <w:marRight w:val="0"/>
      <w:marTop w:val="0"/>
      <w:marBottom w:val="0"/>
      <w:divBdr>
        <w:top w:val="none" w:sz="0" w:space="0" w:color="auto"/>
        <w:left w:val="none" w:sz="0" w:space="0" w:color="auto"/>
        <w:bottom w:val="none" w:sz="0" w:space="0" w:color="auto"/>
        <w:right w:val="none" w:sz="0" w:space="0" w:color="auto"/>
      </w:divBdr>
    </w:div>
    <w:div w:id="850527967">
      <w:bodyDiv w:val="1"/>
      <w:marLeft w:val="0"/>
      <w:marRight w:val="0"/>
      <w:marTop w:val="0"/>
      <w:marBottom w:val="0"/>
      <w:divBdr>
        <w:top w:val="none" w:sz="0" w:space="0" w:color="auto"/>
        <w:left w:val="none" w:sz="0" w:space="0" w:color="auto"/>
        <w:bottom w:val="none" w:sz="0" w:space="0" w:color="auto"/>
        <w:right w:val="none" w:sz="0" w:space="0" w:color="auto"/>
      </w:divBdr>
    </w:div>
    <w:div w:id="851065250">
      <w:bodyDiv w:val="1"/>
      <w:marLeft w:val="0"/>
      <w:marRight w:val="0"/>
      <w:marTop w:val="0"/>
      <w:marBottom w:val="0"/>
      <w:divBdr>
        <w:top w:val="none" w:sz="0" w:space="0" w:color="auto"/>
        <w:left w:val="none" w:sz="0" w:space="0" w:color="auto"/>
        <w:bottom w:val="none" w:sz="0" w:space="0" w:color="auto"/>
        <w:right w:val="none" w:sz="0" w:space="0" w:color="auto"/>
      </w:divBdr>
    </w:div>
    <w:div w:id="851142366">
      <w:bodyDiv w:val="1"/>
      <w:marLeft w:val="0"/>
      <w:marRight w:val="0"/>
      <w:marTop w:val="0"/>
      <w:marBottom w:val="0"/>
      <w:divBdr>
        <w:top w:val="none" w:sz="0" w:space="0" w:color="auto"/>
        <w:left w:val="none" w:sz="0" w:space="0" w:color="auto"/>
        <w:bottom w:val="none" w:sz="0" w:space="0" w:color="auto"/>
        <w:right w:val="none" w:sz="0" w:space="0" w:color="auto"/>
      </w:divBdr>
    </w:div>
    <w:div w:id="851410038">
      <w:bodyDiv w:val="1"/>
      <w:marLeft w:val="0"/>
      <w:marRight w:val="0"/>
      <w:marTop w:val="0"/>
      <w:marBottom w:val="0"/>
      <w:divBdr>
        <w:top w:val="none" w:sz="0" w:space="0" w:color="auto"/>
        <w:left w:val="none" w:sz="0" w:space="0" w:color="auto"/>
        <w:bottom w:val="none" w:sz="0" w:space="0" w:color="auto"/>
        <w:right w:val="none" w:sz="0" w:space="0" w:color="auto"/>
      </w:divBdr>
    </w:div>
    <w:div w:id="852885864">
      <w:bodyDiv w:val="1"/>
      <w:marLeft w:val="0"/>
      <w:marRight w:val="0"/>
      <w:marTop w:val="0"/>
      <w:marBottom w:val="0"/>
      <w:divBdr>
        <w:top w:val="none" w:sz="0" w:space="0" w:color="auto"/>
        <w:left w:val="none" w:sz="0" w:space="0" w:color="auto"/>
        <w:bottom w:val="none" w:sz="0" w:space="0" w:color="auto"/>
        <w:right w:val="none" w:sz="0" w:space="0" w:color="auto"/>
      </w:divBdr>
    </w:div>
    <w:div w:id="855312220">
      <w:bodyDiv w:val="1"/>
      <w:marLeft w:val="0"/>
      <w:marRight w:val="0"/>
      <w:marTop w:val="0"/>
      <w:marBottom w:val="0"/>
      <w:divBdr>
        <w:top w:val="none" w:sz="0" w:space="0" w:color="auto"/>
        <w:left w:val="none" w:sz="0" w:space="0" w:color="auto"/>
        <w:bottom w:val="none" w:sz="0" w:space="0" w:color="auto"/>
        <w:right w:val="none" w:sz="0" w:space="0" w:color="auto"/>
      </w:divBdr>
    </w:div>
    <w:div w:id="855315296">
      <w:bodyDiv w:val="1"/>
      <w:marLeft w:val="0"/>
      <w:marRight w:val="0"/>
      <w:marTop w:val="0"/>
      <w:marBottom w:val="0"/>
      <w:divBdr>
        <w:top w:val="none" w:sz="0" w:space="0" w:color="auto"/>
        <w:left w:val="none" w:sz="0" w:space="0" w:color="auto"/>
        <w:bottom w:val="none" w:sz="0" w:space="0" w:color="auto"/>
        <w:right w:val="none" w:sz="0" w:space="0" w:color="auto"/>
      </w:divBdr>
    </w:div>
    <w:div w:id="856233163">
      <w:bodyDiv w:val="1"/>
      <w:marLeft w:val="0"/>
      <w:marRight w:val="0"/>
      <w:marTop w:val="0"/>
      <w:marBottom w:val="0"/>
      <w:divBdr>
        <w:top w:val="none" w:sz="0" w:space="0" w:color="auto"/>
        <w:left w:val="none" w:sz="0" w:space="0" w:color="auto"/>
        <w:bottom w:val="none" w:sz="0" w:space="0" w:color="auto"/>
        <w:right w:val="none" w:sz="0" w:space="0" w:color="auto"/>
      </w:divBdr>
    </w:div>
    <w:div w:id="858349628">
      <w:bodyDiv w:val="1"/>
      <w:marLeft w:val="0"/>
      <w:marRight w:val="0"/>
      <w:marTop w:val="0"/>
      <w:marBottom w:val="0"/>
      <w:divBdr>
        <w:top w:val="none" w:sz="0" w:space="0" w:color="auto"/>
        <w:left w:val="none" w:sz="0" w:space="0" w:color="auto"/>
        <w:bottom w:val="none" w:sz="0" w:space="0" w:color="auto"/>
        <w:right w:val="none" w:sz="0" w:space="0" w:color="auto"/>
      </w:divBdr>
    </w:div>
    <w:div w:id="858351084">
      <w:bodyDiv w:val="1"/>
      <w:marLeft w:val="0"/>
      <w:marRight w:val="0"/>
      <w:marTop w:val="0"/>
      <w:marBottom w:val="0"/>
      <w:divBdr>
        <w:top w:val="none" w:sz="0" w:space="0" w:color="auto"/>
        <w:left w:val="none" w:sz="0" w:space="0" w:color="auto"/>
        <w:bottom w:val="none" w:sz="0" w:space="0" w:color="auto"/>
        <w:right w:val="none" w:sz="0" w:space="0" w:color="auto"/>
      </w:divBdr>
    </w:div>
    <w:div w:id="858665209">
      <w:bodyDiv w:val="1"/>
      <w:marLeft w:val="0"/>
      <w:marRight w:val="0"/>
      <w:marTop w:val="0"/>
      <w:marBottom w:val="0"/>
      <w:divBdr>
        <w:top w:val="none" w:sz="0" w:space="0" w:color="auto"/>
        <w:left w:val="none" w:sz="0" w:space="0" w:color="auto"/>
        <w:bottom w:val="none" w:sz="0" w:space="0" w:color="auto"/>
        <w:right w:val="none" w:sz="0" w:space="0" w:color="auto"/>
      </w:divBdr>
    </w:div>
    <w:div w:id="859975075">
      <w:bodyDiv w:val="1"/>
      <w:marLeft w:val="0"/>
      <w:marRight w:val="0"/>
      <w:marTop w:val="0"/>
      <w:marBottom w:val="0"/>
      <w:divBdr>
        <w:top w:val="none" w:sz="0" w:space="0" w:color="auto"/>
        <w:left w:val="none" w:sz="0" w:space="0" w:color="auto"/>
        <w:bottom w:val="none" w:sz="0" w:space="0" w:color="auto"/>
        <w:right w:val="none" w:sz="0" w:space="0" w:color="auto"/>
      </w:divBdr>
    </w:div>
    <w:div w:id="861210597">
      <w:bodyDiv w:val="1"/>
      <w:marLeft w:val="0"/>
      <w:marRight w:val="0"/>
      <w:marTop w:val="0"/>
      <w:marBottom w:val="0"/>
      <w:divBdr>
        <w:top w:val="none" w:sz="0" w:space="0" w:color="auto"/>
        <w:left w:val="none" w:sz="0" w:space="0" w:color="auto"/>
        <w:bottom w:val="none" w:sz="0" w:space="0" w:color="auto"/>
        <w:right w:val="none" w:sz="0" w:space="0" w:color="auto"/>
      </w:divBdr>
    </w:div>
    <w:div w:id="861237415">
      <w:bodyDiv w:val="1"/>
      <w:marLeft w:val="0"/>
      <w:marRight w:val="0"/>
      <w:marTop w:val="0"/>
      <w:marBottom w:val="0"/>
      <w:divBdr>
        <w:top w:val="none" w:sz="0" w:space="0" w:color="auto"/>
        <w:left w:val="none" w:sz="0" w:space="0" w:color="auto"/>
        <w:bottom w:val="none" w:sz="0" w:space="0" w:color="auto"/>
        <w:right w:val="none" w:sz="0" w:space="0" w:color="auto"/>
      </w:divBdr>
    </w:div>
    <w:div w:id="863127988">
      <w:bodyDiv w:val="1"/>
      <w:marLeft w:val="0"/>
      <w:marRight w:val="0"/>
      <w:marTop w:val="0"/>
      <w:marBottom w:val="0"/>
      <w:divBdr>
        <w:top w:val="none" w:sz="0" w:space="0" w:color="auto"/>
        <w:left w:val="none" w:sz="0" w:space="0" w:color="auto"/>
        <w:bottom w:val="none" w:sz="0" w:space="0" w:color="auto"/>
        <w:right w:val="none" w:sz="0" w:space="0" w:color="auto"/>
      </w:divBdr>
    </w:div>
    <w:div w:id="863203484">
      <w:bodyDiv w:val="1"/>
      <w:marLeft w:val="0"/>
      <w:marRight w:val="0"/>
      <w:marTop w:val="0"/>
      <w:marBottom w:val="0"/>
      <w:divBdr>
        <w:top w:val="none" w:sz="0" w:space="0" w:color="auto"/>
        <w:left w:val="none" w:sz="0" w:space="0" w:color="auto"/>
        <w:bottom w:val="none" w:sz="0" w:space="0" w:color="auto"/>
        <w:right w:val="none" w:sz="0" w:space="0" w:color="auto"/>
      </w:divBdr>
    </w:div>
    <w:div w:id="863518588">
      <w:bodyDiv w:val="1"/>
      <w:marLeft w:val="0"/>
      <w:marRight w:val="0"/>
      <w:marTop w:val="0"/>
      <w:marBottom w:val="0"/>
      <w:divBdr>
        <w:top w:val="none" w:sz="0" w:space="0" w:color="auto"/>
        <w:left w:val="none" w:sz="0" w:space="0" w:color="auto"/>
        <w:bottom w:val="none" w:sz="0" w:space="0" w:color="auto"/>
        <w:right w:val="none" w:sz="0" w:space="0" w:color="auto"/>
      </w:divBdr>
    </w:div>
    <w:div w:id="864712281">
      <w:bodyDiv w:val="1"/>
      <w:marLeft w:val="0"/>
      <w:marRight w:val="0"/>
      <w:marTop w:val="0"/>
      <w:marBottom w:val="0"/>
      <w:divBdr>
        <w:top w:val="none" w:sz="0" w:space="0" w:color="auto"/>
        <w:left w:val="none" w:sz="0" w:space="0" w:color="auto"/>
        <w:bottom w:val="none" w:sz="0" w:space="0" w:color="auto"/>
        <w:right w:val="none" w:sz="0" w:space="0" w:color="auto"/>
      </w:divBdr>
    </w:div>
    <w:div w:id="865026385">
      <w:bodyDiv w:val="1"/>
      <w:marLeft w:val="0"/>
      <w:marRight w:val="0"/>
      <w:marTop w:val="0"/>
      <w:marBottom w:val="0"/>
      <w:divBdr>
        <w:top w:val="none" w:sz="0" w:space="0" w:color="auto"/>
        <w:left w:val="none" w:sz="0" w:space="0" w:color="auto"/>
        <w:bottom w:val="none" w:sz="0" w:space="0" w:color="auto"/>
        <w:right w:val="none" w:sz="0" w:space="0" w:color="auto"/>
      </w:divBdr>
    </w:div>
    <w:div w:id="866404368">
      <w:bodyDiv w:val="1"/>
      <w:marLeft w:val="0"/>
      <w:marRight w:val="0"/>
      <w:marTop w:val="0"/>
      <w:marBottom w:val="0"/>
      <w:divBdr>
        <w:top w:val="none" w:sz="0" w:space="0" w:color="auto"/>
        <w:left w:val="none" w:sz="0" w:space="0" w:color="auto"/>
        <w:bottom w:val="none" w:sz="0" w:space="0" w:color="auto"/>
        <w:right w:val="none" w:sz="0" w:space="0" w:color="auto"/>
      </w:divBdr>
    </w:div>
    <w:div w:id="866648231">
      <w:bodyDiv w:val="1"/>
      <w:marLeft w:val="0"/>
      <w:marRight w:val="0"/>
      <w:marTop w:val="0"/>
      <w:marBottom w:val="0"/>
      <w:divBdr>
        <w:top w:val="none" w:sz="0" w:space="0" w:color="auto"/>
        <w:left w:val="none" w:sz="0" w:space="0" w:color="auto"/>
        <w:bottom w:val="none" w:sz="0" w:space="0" w:color="auto"/>
        <w:right w:val="none" w:sz="0" w:space="0" w:color="auto"/>
      </w:divBdr>
    </w:div>
    <w:div w:id="867254192">
      <w:bodyDiv w:val="1"/>
      <w:marLeft w:val="0"/>
      <w:marRight w:val="0"/>
      <w:marTop w:val="0"/>
      <w:marBottom w:val="0"/>
      <w:divBdr>
        <w:top w:val="none" w:sz="0" w:space="0" w:color="auto"/>
        <w:left w:val="none" w:sz="0" w:space="0" w:color="auto"/>
        <w:bottom w:val="none" w:sz="0" w:space="0" w:color="auto"/>
        <w:right w:val="none" w:sz="0" w:space="0" w:color="auto"/>
      </w:divBdr>
    </w:div>
    <w:div w:id="867255681">
      <w:bodyDiv w:val="1"/>
      <w:marLeft w:val="0"/>
      <w:marRight w:val="0"/>
      <w:marTop w:val="0"/>
      <w:marBottom w:val="0"/>
      <w:divBdr>
        <w:top w:val="none" w:sz="0" w:space="0" w:color="auto"/>
        <w:left w:val="none" w:sz="0" w:space="0" w:color="auto"/>
        <w:bottom w:val="none" w:sz="0" w:space="0" w:color="auto"/>
        <w:right w:val="none" w:sz="0" w:space="0" w:color="auto"/>
      </w:divBdr>
    </w:div>
    <w:div w:id="867988743">
      <w:bodyDiv w:val="1"/>
      <w:marLeft w:val="0"/>
      <w:marRight w:val="0"/>
      <w:marTop w:val="0"/>
      <w:marBottom w:val="0"/>
      <w:divBdr>
        <w:top w:val="none" w:sz="0" w:space="0" w:color="auto"/>
        <w:left w:val="none" w:sz="0" w:space="0" w:color="auto"/>
        <w:bottom w:val="none" w:sz="0" w:space="0" w:color="auto"/>
        <w:right w:val="none" w:sz="0" w:space="0" w:color="auto"/>
      </w:divBdr>
    </w:div>
    <w:div w:id="868108939">
      <w:bodyDiv w:val="1"/>
      <w:marLeft w:val="0"/>
      <w:marRight w:val="0"/>
      <w:marTop w:val="0"/>
      <w:marBottom w:val="0"/>
      <w:divBdr>
        <w:top w:val="none" w:sz="0" w:space="0" w:color="auto"/>
        <w:left w:val="none" w:sz="0" w:space="0" w:color="auto"/>
        <w:bottom w:val="none" w:sz="0" w:space="0" w:color="auto"/>
        <w:right w:val="none" w:sz="0" w:space="0" w:color="auto"/>
      </w:divBdr>
    </w:div>
    <w:div w:id="868253668">
      <w:bodyDiv w:val="1"/>
      <w:marLeft w:val="0"/>
      <w:marRight w:val="0"/>
      <w:marTop w:val="0"/>
      <w:marBottom w:val="0"/>
      <w:divBdr>
        <w:top w:val="none" w:sz="0" w:space="0" w:color="auto"/>
        <w:left w:val="none" w:sz="0" w:space="0" w:color="auto"/>
        <w:bottom w:val="none" w:sz="0" w:space="0" w:color="auto"/>
        <w:right w:val="none" w:sz="0" w:space="0" w:color="auto"/>
      </w:divBdr>
    </w:div>
    <w:div w:id="868564966">
      <w:bodyDiv w:val="1"/>
      <w:marLeft w:val="0"/>
      <w:marRight w:val="0"/>
      <w:marTop w:val="0"/>
      <w:marBottom w:val="0"/>
      <w:divBdr>
        <w:top w:val="none" w:sz="0" w:space="0" w:color="auto"/>
        <w:left w:val="none" w:sz="0" w:space="0" w:color="auto"/>
        <w:bottom w:val="none" w:sz="0" w:space="0" w:color="auto"/>
        <w:right w:val="none" w:sz="0" w:space="0" w:color="auto"/>
      </w:divBdr>
    </w:div>
    <w:div w:id="869227745">
      <w:bodyDiv w:val="1"/>
      <w:marLeft w:val="0"/>
      <w:marRight w:val="0"/>
      <w:marTop w:val="0"/>
      <w:marBottom w:val="0"/>
      <w:divBdr>
        <w:top w:val="none" w:sz="0" w:space="0" w:color="auto"/>
        <w:left w:val="none" w:sz="0" w:space="0" w:color="auto"/>
        <w:bottom w:val="none" w:sz="0" w:space="0" w:color="auto"/>
        <w:right w:val="none" w:sz="0" w:space="0" w:color="auto"/>
      </w:divBdr>
    </w:div>
    <w:div w:id="870917804">
      <w:bodyDiv w:val="1"/>
      <w:marLeft w:val="0"/>
      <w:marRight w:val="0"/>
      <w:marTop w:val="0"/>
      <w:marBottom w:val="0"/>
      <w:divBdr>
        <w:top w:val="none" w:sz="0" w:space="0" w:color="auto"/>
        <w:left w:val="none" w:sz="0" w:space="0" w:color="auto"/>
        <w:bottom w:val="none" w:sz="0" w:space="0" w:color="auto"/>
        <w:right w:val="none" w:sz="0" w:space="0" w:color="auto"/>
      </w:divBdr>
    </w:div>
    <w:div w:id="870994536">
      <w:bodyDiv w:val="1"/>
      <w:marLeft w:val="0"/>
      <w:marRight w:val="0"/>
      <w:marTop w:val="0"/>
      <w:marBottom w:val="0"/>
      <w:divBdr>
        <w:top w:val="none" w:sz="0" w:space="0" w:color="auto"/>
        <w:left w:val="none" w:sz="0" w:space="0" w:color="auto"/>
        <w:bottom w:val="none" w:sz="0" w:space="0" w:color="auto"/>
        <w:right w:val="none" w:sz="0" w:space="0" w:color="auto"/>
      </w:divBdr>
    </w:div>
    <w:div w:id="870996295">
      <w:bodyDiv w:val="1"/>
      <w:marLeft w:val="0"/>
      <w:marRight w:val="0"/>
      <w:marTop w:val="0"/>
      <w:marBottom w:val="0"/>
      <w:divBdr>
        <w:top w:val="none" w:sz="0" w:space="0" w:color="auto"/>
        <w:left w:val="none" w:sz="0" w:space="0" w:color="auto"/>
        <w:bottom w:val="none" w:sz="0" w:space="0" w:color="auto"/>
        <w:right w:val="none" w:sz="0" w:space="0" w:color="auto"/>
      </w:divBdr>
    </w:div>
    <w:div w:id="871381354">
      <w:bodyDiv w:val="1"/>
      <w:marLeft w:val="0"/>
      <w:marRight w:val="0"/>
      <w:marTop w:val="0"/>
      <w:marBottom w:val="0"/>
      <w:divBdr>
        <w:top w:val="none" w:sz="0" w:space="0" w:color="auto"/>
        <w:left w:val="none" w:sz="0" w:space="0" w:color="auto"/>
        <w:bottom w:val="none" w:sz="0" w:space="0" w:color="auto"/>
        <w:right w:val="none" w:sz="0" w:space="0" w:color="auto"/>
      </w:divBdr>
    </w:div>
    <w:div w:id="872233380">
      <w:bodyDiv w:val="1"/>
      <w:marLeft w:val="0"/>
      <w:marRight w:val="0"/>
      <w:marTop w:val="0"/>
      <w:marBottom w:val="0"/>
      <w:divBdr>
        <w:top w:val="none" w:sz="0" w:space="0" w:color="auto"/>
        <w:left w:val="none" w:sz="0" w:space="0" w:color="auto"/>
        <w:bottom w:val="none" w:sz="0" w:space="0" w:color="auto"/>
        <w:right w:val="none" w:sz="0" w:space="0" w:color="auto"/>
      </w:divBdr>
    </w:div>
    <w:div w:id="872304694">
      <w:bodyDiv w:val="1"/>
      <w:marLeft w:val="0"/>
      <w:marRight w:val="0"/>
      <w:marTop w:val="0"/>
      <w:marBottom w:val="0"/>
      <w:divBdr>
        <w:top w:val="none" w:sz="0" w:space="0" w:color="auto"/>
        <w:left w:val="none" w:sz="0" w:space="0" w:color="auto"/>
        <w:bottom w:val="none" w:sz="0" w:space="0" w:color="auto"/>
        <w:right w:val="none" w:sz="0" w:space="0" w:color="auto"/>
      </w:divBdr>
    </w:div>
    <w:div w:id="873226809">
      <w:bodyDiv w:val="1"/>
      <w:marLeft w:val="0"/>
      <w:marRight w:val="0"/>
      <w:marTop w:val="0"/>
      <w:marBottom w:val="0"/>
      <w:divBdr>
        <w:top w:val="none" w:sz="0" w:space="0" w:color="auto"/>
        <w:left w:val="none" w:sz="0" w:space="0" w:color="auto"/>
        <w:bottom w:val="none" w:sz="0" w:space="0" w:color="auto"/>
        <w:right w:val="none" w:sz="0" w:space="0" w:color="auto"/>
      </w:divBdr>
    </w:div>
    <w:div w:id="873425421">
      <w:bodyDiv w:val="1"/>
      <w:marLeft w:val="0"/>
      <w:marRight w:val="0"/>
      <w:marTop w:val="0"/>
      <w:marBottom w:val="0"/>
      <w:divBdr>
        <w:top w:val="none" w:sz="0" w:space="0" w:color="auto"/>
        <w:left w:val="none" w:sz="0" w:space="0" w:color="auto"/>
        <w:bottom w:val="none" w:sz="0" w:space="0" w:color="auto"/>
        <w:right w:val="none" w:sz="0" w:space="0" w:color="auto"/>
      </w:divBdr>
    </w:div>
    <w:div w:id="873735019">
      <w:bodyDiv w:val="1"/>
      <w:marLeft w:val="0"/>
      <w:marRight w:val="0"/>
      <w:marTop w:val="0"/>
      <w:marBottom w:val="0"/>
      <w:divBdr>
        <w:top w:val="none" w:sz="0" w:space="0" w:color="auto"/>
        <w:left w:val="none" w:sz="0" w:space="0" w:color="auto"/>
        <w:bottom w:val="none" w:sz="0" w:space="0" w:color="auto"/>
        <w:right w:val="none" w:sz="0" w:space="0" w:color="auto"/>
      </w:divBdr>
    </w:div>
    <w:div w:id="874079266">
      <w:bodyDiv w:val="1"/>
      <w:marLeft w:val="0"/>
      <w:marRight w:val="0"/>
      <w:marTop w:val="0"/>
      <w:marBottom w:val="0"/>
      <w:divBdr>
        <w:top w:val="none" w:sz="0" w:space="0" w:color="auto"/>
        <w:left w:val="none" w:sz="0" w:space="0" w:color="auto"/>
        <w:bottom w:val="none" w:sz="0" w:space="0" w:color="auto"/>
        <w:right w:val="none" w:sz="0" w:space="0" w:color="auto"/>
      </w:divBdr>
    </w:div>
    <w:div w:id="874662594">
      <w:bodyDiv w:val="1"/>
      <w:marLeft w:val="0"/>
      <w:marRight w:val="0"/>
      <w:marTop w:val="0"/>
      <w:marBottom w:val="0"/>
      <w:divBdr>
        <w:top w:val="none" w:sz="0" w:space="0" w:color="auto"/>
        <w:left w:val="none" w:sz="0" w:space="0" w:color="auto"/>
        <w:bottom w:val="none" w:sz="0" w:space="0" w:color="auto"/>
        <w:right w:val="none" w:sz="0" w:space="0" w:color="auto"/>
      </w:divBdr>
    </w:div>
    <w:div w:id="876821127">
      <w:bodyDiv w:val="1"/>
      <w:marLeft w:val="0"/>
      <w:marRight w:val="0"/>
      <w:marTop w:val="0"/>
      <w:marBottom w:val="0"/>
      <w:divBdr>
        <w:top w:val="none" w:sz="0" w:space="0" w:color="auto"/>
        <w:left w:val="none" w:sz="0" w:space="0" w:color="auto"/>
        <w:bottom w:val="none" w:sz="0" w:space="0" w:color="auto"/>
        <w:right w:val="none" w:sz="0" w:space="0" w:color="auto"/>
      </w:divBdr>
    </w:div>
    <w:div w:id="877351837">
      <w:bodyDiv w:val="1"/>
      <w:marLeft w:val="0"/>
      <w:marRight w:val="0"/>
      <w:marTop w:val="0"/>
      <w:marBottom w:val="0"/>
      <w:divBdr>
        <w:top w:val="none" w:sz="0" w:space="0" w:color="auto"/>
        <w:left w:val="none" w:sz="0" w:space="0" w:color="auto"/>
        <w:bottom w:val="none" w:sz="0" w:space="0" w:color="auto"/>
        <w:right w:val="none" w:sz="0" w:space="0" w:color="auto"/>
      </w:divBdr>
    </w:div>
    <w:div w:id="877548010">
      <w:bodyDiv w:val="1"/>
      <w:marLeft w:val="0"/>
      <w:marRight w:val="0"/>
      <w:marTop w:val="0"/>
      <w:marBottom w:val="0"/>
      <w:divBdr>
        <w:top w:val="none" w:sz="0" w:space="0" w:color="auto"/>
        <w:left w:val="none" w:sz="0" w:space="0" w:color="auto"/>
        <w:bottom w:val="none" w:sz="0" w:space="0" w:color="auto"/>
        <w:right w:val="none" w:sz="0" w:space="0" w:color="auto"/>
      </w:divBdr>
    </w:div>
    <w:div w:id="878278987">
      <w:bodyDiv w:val="1"/>
      <w:marLeft w:val="0"/>
      <w:marRight w:val="0"/>
      <w:marTop w:val="0"/>
      <w:marBottom w:val="0"/>
      <w:divBdr>
        <w:top w:val="none" w:sz="0" w:space="0" w:color="auto"/>
        <w:left w:val="none" w:sz="0" w:space="0" w:color="auto"/>
        <w:bottom w:val="none" w:sz="0" w:space="0" w:color="auto"/>
        <w:right w:val="none" w:sz="0" w:space="0" w:color="auto"/>
      </w:divBdr>
    </w:div>
    <w:div w:id="878972650">
      <w:bodyDiv w:val="1"/>
      <w:marLeft w:val="0"/>
      <w:marRight w:val="0"/>
      <w:marTop w:val="0"/>
      <w:marBottom w:val="0"/>
      <w:divBdr>
        <w:top w:val="none" w:sz="0" w:space="0" w:color="auto"/>
        <w:left w:val="none" w:sz="0" w:space="0" w:color="auto"/>
        <w:bottom w:val="none" w:sz="0" w:space="0" w:color="auto"/>
        <w:right w:val="none" w:sz="0" w:space="0" w:color="auto"/>
      </w:divBdr>
    </w:div>
    <w:div w:id="879051034">
      <w:bodyDiv w:val="1"/>
      <w:marLeft w:val="0"/>
      <w:marRight w:val="0"/>
      <w:marTop w:val="0"/>
      <w:marBottom w:val="0"/>
      <w:divBdr>
        <w:top w:val="none" w:sz="0" w:space="0" w:color="auto"/>
        <w:left w:val="none" w:sz="0" w:space="0" w:color="auto"/>
        <w:bottom w:val="none" w:sz="0" w:space="0" w:color="auto"/>
        <w:right w:val="none" w:sz="0" w:space="0" w:color="auto"/>
      </w:divBdr>
    </w:div>
    <w:div w:id="879435567">
      <w:bodyDiv w:val="1"/>
      <w:marLeft w:val="0"/>
      <w:marRight w:val="0"/>
      <w:marTop w:val="0"/>
      <w:marBottom w:val="0"/>
      <w:divBdr>
        <w:top w:val="none" w:sz="0" w:space="0" w:color="auto"/>
        <w:left w:val="none" w:sz="0" w:space="0" w:color="auto"/>
        <w:bottom w:val="none" w:sz="0" w:space="0" w:color="auto"/>
        <w:right w:val="none" w:sz="0" w:space="0" w:color="auto"/>
      </w:divBdr>
    </w:div>
    <w:div w:id="879707983">
      <w:bodyDiv w:val="1"/>
      <w:marLeft w:val="0"/>
      <w:marRight w:val="0"/>
      <w:marTop w:val="0"/>
      <w:marBottom w:val="0"/>
      <w:divBdr>
        <w:top w:val="none" w:sz="0" w:space="0" w:color="auto"/>
        <w:left w:val="none" w:sz="0" w:space="0" w:color="auto"/>
        <w:bottom w:val="none" w:sz="0" w:space="0" w:color="auto"/>
        <w:right w:val="none" w:sz="0" w:space="0" w:color="auto"/>
      </w:divBdr>
    </w:div>
    <w:div w:id="881672440">
      <w:bodyDiv w:val="1"/>
      <w:marLeft w:val="0"/>
      <w:marRight w:val="0"/>
      <w:marTop w:val="0"/>
      <w:marBottom w:val="0"/>
      <w:divBdr>
        <w:top w:val="none" w:sz="0" w:space="0" w:color="auto"/>
        <w:left w:val="none" w:sz="0" w:space="0" w:color="auto"/>
        <w:bottom w:val="none" w:sz="0" w:space="0" w:color="auto"/>
        <w:right w:val="none" w:sz="0" w:space="0" w:color="auto"/>
      </w:divBdr>
    </w:div>
    <w:div w:id="882135989">
      <w:bodyDiv w:val="1"/>
      <w:marLeft w:val="0"/>
      <w:marRight w:val="0"/>
      <w:marTop w:val="0"/>
      <w:marBottom w:val="0"/>
      <w:divBdr>
        <w:top w:val="none" w:sz="0" w:space="0" w:color="auto"/>
        <w:left w:val="none" w:sz="0" w:space="0" w:color="auto"/>
        <w:bottom w:val="none" w:sz="0" w:space="0" w:color="auto"/>
        <w:right w:val="none" w:sz="0" w:space="0" w:color="auto"/>
      </w:divBdr>
    </w:div>
    <w:div w:id="883325440">
      <w:bodyDiv w:val="1"/>
      <w:marLeft w:val="0"/>
      <w:marRight w:val="0"/>
      <w:marTop w:val="0"/>
      <w:marBottom w:val="0"/>
      <w:divBdr>
        <w:top w:val="none" w:sz="0" w:space="0" w:color="auto"/>
        <w:left w:val="none" w:sz="0" w:space="0" w:color="auto"/>
        <w:bottom w:val="none" w:sz="0" w:space="0" w:color="auto"/>
        <w:right w:val="none" w:sz="0" w:space="0" w:color="auto"/>
      </w:divBdr>
    </w:div>
    <w:div w:id="883560757">
      <w:bodyDiv w:val="1"/>
      <w:marLeft w:val="0"/>
      <w:marRight w:val="0"/>
      <w:marTop w:val="0"/>
      <w:marBottom w:val="0"/>
      <w:divBdr>
        <w:top w:val="none" w:sz="0" w:space="0" w:color="auto"/>
        <w:left w:val="none" w:sz="0" w:space="0" w:color="auto"/>
        <w:bottom w:val="none" w:sz="0" w:space="0" w:color="auto"/>
        <w:right w:val="none" w:sz="0" w:space="0" w:color="auto"/>
      </w:divBdr>
    </w:div>
    <w:div w:id="884408543">
      <w:bodyDiv w:val="1"/>
      <w:marLeft w:val="0"/>
      <w:marRight w:val="0"/>
      <w:marTop w:val="0"/>
      <w:marBottom w:val="0"/>
      <w:divBdr>
        <w:top w:val="none" w:sz="0" w:space="0" w:color="auto"/>
        <w:left w:val="none" w:sz="0" w:space="0" w:color="auto"/>
        <w:bottom w:val="none" w:sz="0" w:space="0" w:color="auto"/>
        <w:right w:val="none" w:sz="0" w:space="0" w:color="auto"/>
      </w:divBdr>
    </w:div>
    <w:div w:id="884486843">
      <w:bodyDiv w:val="1"/>
      <w:marLeft w:val="0"/>
      <w:marRight w:val="0"/>
      <w:marTop w:val="0"/>
      <w:marBottom w:val="0"/>
      <w:divBdr>
        <w:top w:val="none" w:sz="0" w:space="0" w:color="auto"/>
        <w:left w:val="none" w:sz="0" w:space="0" w:color="auto"/>
        <w:bottom w:val="none" w:sz="0" w:space="0" w:color="auto"/>
        <w:right w:val="none" w:sz="0" w:space="0" w:color="auto"/>
      </w:divBdr>
    </w:div>
    <w:div w:id="885411563">
      <w:bodyDiv w:val="1"/>
      <w:marLeft w:val="0"/>
      <w:marRight w:val="0"/>
      <w:marTop w:val="0"/>
      <w:marBottom w:val="0"/>
      <w:divBdr>
        <w:top w:val="none" w:sz="0" w:space="0" w:color="auto"/>
        <w:left w:val="none" w:sz="0" w:space="0" w:color="auto"/>
        <w:bottom w:val="none" w:sz="0" w:space="0" w:color="auto"/>
        <w:right w:val="none" w:sz="0" w:space="0" w:color="auto"/>
      </w:divBdr>
    </w:div>
    <w:div w:id="885917318">
      <w:bodyDiv w:val="1"/>
      <w:marLeft w:val="0"/>
      <w:marRight w:val="0"/>
      <w:marTop w:val="0"/>
      <w:marBottom w:val="0"/>
      <w:divBdr>
        <w:top w:val="none" w:sz="0" w:space="0" w:color="auto"/>
        <w:left w:val="none" w:sz="0" w:space="0" w:color="auto"/>
        <w:bottom w:val="none" w:sz="0" w:space="0" w:color="auto"/>
        <w:right w:val="none" w:sz="0" w:space="0" w:color="auto"/>
      </w:divBdr>
    </w:div>
    <w:div w:id="886338329">
      <w:bodyDiv w:val="1"/>
      <w:marLeft w:val="0"/>
      <w:marRight w:val="0"/>
      <w:marTop w:val="0"/>
      <w:marBottom w:val="0"/>
      <w:divBdr>
        <w:top w:val="none" w:sz="0" w:space="0" w:color="auto"/>
        <w:left w:val="none" w:sz="0" w:space="0" w:color="auto"/>
        <w:bottom w:val="none" w:sz="0" w:space="0" w:color="auto"/>
        <w:right w:val="none" w:sz="0" w:space="0" w:color="auto"/>
      </w:divBdr>
    </w:div>
    <w:div w:id="886533389">
      <w:bodyDiv w:val="1"/>
      <w:marLeft w:val="0"/>
      <w:marRight w:val="0"/>
      <w:marTop w:val="0"/>
      <w:marBottom w:val="0"/>
      <w:divBdr>
        <w:top w:val="none" w:sz="0" w:space="0" w:color="auto"/>
        <w:left w:val="none" w:sz="0" w:space="0" w:color="auto"/>
        <w:bottom w:val="none" w:sz="0" w:space="0" w:color="auto"/>
        <w:right w:val="none" w:sz="0" w:space="0" w:color="auto"/>
      </w:divBdr>
    </w:div>
    <w:div w:id="886574099">
      <w:bodyDiv w:val="1"/>
      <w:marLeft w:val="0"/>
      <w:marRight w:val="0"/>
      <w:marTop w:val="0"/>
      <w:marBottom w:val="0"/>
      <w:divBdr>
        <w:top w:val="none" w:sz="0" w:space="0" w:color="auto"/>
        <w:left w:val="none" w:sz="0" w:space="0" w:color="auto"/>
        <w:bottom w:val="none" w:sz="0" w:space="0" w:color="auto"/>
        <w:right w:val="none" w:sz="0" w:space="0" w:color="auto"/>
      </w:divBdr>
    </w:div>
    <w:div w:id="887495347">
      <w:bodyDiv w:val="1"/>
      <w:marLeft w:val="0"/>
      <w:marRight w:val="0"/>
      <w:marTop w:val="0"/>
      <w:marBottom w:val="0"/>
      <w:divBdr>
        <w:top w:val="none" w:sz="0" w:space="0" w:color="auto"/>
        <w:left w:val="none" w:sz="0" w:space="0" w:color="auto"/>
        <w:bottom w:val="none" w:sz="0" w:space="0" w:color="auto"/>
        <w:right w:val="none" w:sz="0" w:space="0" w:color="auto"/>
      </w:divBdr>
    </w:div>
    <w:div w:id="887497482">
      <w:bodyDiv w:val="1"/>
      <w:marLeft w:val="0"/>
      <w:marRight w:val="0"/>
      <w:marTop w:val="0"/>
      <w:marBottom w:val="0"/>
      <w:divBdr>
        <w:top w:val="none" w:sz="0" w:space="0" w:color="auto"/>
        <w:left w:val="none" w:sz="0" w:space="0" w:color="auto"/>
        <w:bottom w:val="none" w:sz="0" w:space="0" w:color="auto"/>
        <w:right w:val="none" w:sz="0" w:space="0" w:color="auto"/>
      </w:divBdr>
    </w:div>
    <w:div w:id="887841538">
      <w:bodyDiv w:val="1"/>
      <w:marLeft w:val="0"/>
      <w:marRight w:val="0"/>
      <w:marTop w:val="0"/>
      <w:marBottom w:val="0"/>
      <w:divBdr>
        <w:top w:val="none" w:sz="0" w:space="0" w:color="auto"/>
        <w:left w:val="none" w:sz="0" w:space="0" w:color="auto"/>
        <w:bottom w:val="none" w:sz="0" w:space="0" w:color="auto"/>
        <w:right w:val="none" w:sz="0" w:space="0" w:color="auto"/>
      </w:divBdr>
    </w:div>
    <w:div w:id="887841653">
      <w:bodyDiv w:val="1"/>
      <w:marLeft w:val="0"/>
      <w:marRight w:val="0"/>
      <w:marTop w:val="0"/>
      <w:marBottom w:val="0"/>
      <w:divBdr>
        <w:top w:val="none" w:sz="0" w:space="0" w:color="auto"/>
        <w:left w:val="none" w:sz="0" w:space="0" w:color="auto"/>
        <w:bottom w:val="none" w:sz="0" w:space="0" w:color="auto"/>
        <w:right w:val="none" w:sz="0" w:space="0" w:color="auto"/>
      </w:divBdr>
    </w:div>
    <w:div w:id="887953175">
      <w:bodyDiv w:val="1"/>
      <w:marLeft w:val="0"/>
      <w:marRight w:val="0"/>
      <w:marTop w:val="0"/>
      <w:marBottom w:val="0"/>
      <w:divBdr>
        <w:top w:val="none" w:sz="0" w:space="0" w:color="auto"/>
        <w:left w:val="none" w:sz="0" w:space="0" w:color="auto"/>
        <w:bottom w:val="none" w:sz="0" w:space="0" w:color="auto"/>
        <w:right w:val="none" w:sz="0" w:space="0" w:color="auto"/>
      </w:divBdr>
    </w:div>
    <w:div w:id="888027520">
      <w:bodyDiv w:val="1"/>
      <w:marLeft w:val="0"/>
      <w:marRight w:val="0"/>
      <w:marTop w:val="0"/>
      <w:marBottom w:val="0"/>
      <w:divBdr>
        <w:top w:val="none" w:sz="0" w:space="0" w:color="auto"/>
        <w:left w:val="none" w:sz="0" w:space="0" w:color="auto"/>
        <w:bottom w:val="none" w:sz="0" w:space="0" w:color="auto"/>
        <w:right w:val="none" w:sz="0" w:space="0" w:color="auto"/>
      </w:divBdr>
    </w:div>
    <w:div w:id="888154195">
      <w:bodyDiv w:val="1"/>
      <w:marLeft w:val="0"/>
      <w:marRight w:val="0"/>
      <w:marTop w:val="0"/>
      <w:marBottom w:val="0"/>
      <w:divBdr>
        <w:top w:val="none" w:sz="0" w:space="0" w:color="auto"/>
        <w:left w:val="none" w:sz="0" w:space="0" w:color="auto"/>
        <w:bottom w:val="none" w:sz="0" w:space="0" w:color="auto"/>
        <w:right w:val="none" w:sz="0" w:space="0" w:color="auto"/>
      </w:divBdr>
    </w:div>
    <w:div w:id="888616415">
      <w:bodyDiv w:val="1"/>
      <w:marLeft w:val="0"/>
      <w:marRight w:val="0"/>
      <w:marTop w:val="0"/>
      <w:marBottom w:val="0"/>
      <w:divBdr>
        <w:top w:val="none" w:sz="0" w:space="0" w:color="auto"/>
        <w:left w:val="none" w:sz="0" w:space="0" w:color="auto"/>
        <w:bottom w:val="none" w:sz="0" w:space="0" w:color="auto"/>
        <w:right w:val="none" w:sz="0" w:space="0" w:color="auto"/>
      </w:divBdr>
    </w:div>
    <w:div w:id="889151029">
      <w:bodyDiv w:val="1"/>
      <w:marLeft w:val="0"/>
      <w:marRight w:val="0"/>
      <w:marTop w:val="0"/>
      <w:marBottom w:val="0"/>
      <w:divBdr>
        <w:top w:val="none" w:sz="0" w:space="0" w:color="auto"/>
        <w:left w:val="none" w:sz="0" w:space="0" w:color="auto"/>
        <w:bottom w:val="none" w:sz="0" w:space="0" w:color="auto"/>
        <w:right w:val="none" w:sz="0" w:space="0" w:color="auto"/>
      </w:divBdr>
    </w:div>
    <w:div w:id="889266962">
      <w:bodyDiv w:val="1"/>
      <w:marLeft w:val="0"/>
      <w:marRight w:val="0"/>
      <w:marTop w:val="0"/>
      <w:marBottom w:val="0"/>
      <w:divBdr>
        <w:top w:val="none" w:sz="0" w:space="0" w:color="auto"/>
        <w:left w:val="none" w:sz="0" w:space="0" w:color="auto"/>
        <w:bottom w:val="none" w:sz="0" w:space="0" w:color="auto"/>
        <w:right w:val="none" w:sz="0" w:space="0" w:color="auto"/>
      </w:divBdr>
    </w:div>
    <w:div w:id="889456031">
      <w:bodyDiv w:val="1"/>
      <w:marLeft w:val="0"/>
      <w:marRight w:val="0"/>
      <w:marTop w:val="0"/>
      <w:marBottom w:val="0"/>
      <w:divBdr>
        <w:top w:val="none" w:sz="0" w:space="0" w:color="auto"/>
        <w:left w:val="none" w:sz="0" w:space="0" w:color="auto"/>
        <w:bottom w:val="none" w:sz="0" w:space="0" w:color="auto"/>
        <w:right w:val="none" w:sz="0" w:space="0" w:color="auto"/>
      </w:divBdr>
    </w:div>
    <w:div w:id="889878877">
      <w:bodyDiv w:val="1"/>
      <w:marLeft w:val="0"/>
      <w:marRight w:val="0"/>
      <w:marTop w:val="0"/>
      <w:marBottom w:val="0"/>
      <w:divBdr>
        <w:top w:val="none" w:sz="0" w:space="0" w:color="auto"/>
        <w:left w:val="none" w:sz="0" w:space="0" w:color="auto"/>
        <w:bottom w:val="none" w:sz="0" w:space="0" w:color="auto"/>
        <w:right w:val="none" w:sz="0" w:space="0" w:color="auto"/>
      </w:divBdr>
    </w:div>
    <w:div w:id="889995774">
      <w:bodyDiv w:val="1"/>
      <w:marLeft w:val="0"/>
      <w:marRight w:val="0"/>
      <w:marTop w:val="0"/>
      <w:marBottom w:val="0"/>
      <w:divBdr>
        <w:top w:val="none" w:sz="0" w:space="0" w:color="auto"/>
        <w:left w:val="none" w:sz="0" w:space="0" w:color="auto"/>
        <w:bottom w:val="none" w:sz="0" w:space="0" w:color="auto"/>
        <w:right w:val="none" w:sz="0" w:space="0" w:color="auto"/>
      </w:divBdr>
    </w:div>
    <w:div w:id="890575022">
      <w:bodyDiv w:val="1"/>
      <w:marLeft w:val="0"/>
      <w:marRight w:val="0"/>
      <w:marTop w:val="0"/>
      <w:marBottom w:val="0"/>
      <w:divBdr>
        <w:top w:val="none" w:sz="0" w:space="0" w:color="auto"/>
        <w:left w:val="none" w:sz="0" w:space="0" w:color="auto"/>
        <w:bottom w:val="none" w:sz="0" w:space="0" w:color="auto"/>
        <w:right w:val="none" w:sz="0" w:space="0" w:color="auto"/>
      </w:divBdr>
    </w:div>
    <w:div w:id="890650578">
      <w:bodyDiv w:val="1"/>
      <w:marLeft w:val="0"/>
      <w:marRight w:val="0"/>
      <w:marTop w:val="0"/>
      <w:marBottom w:val="0"/>
      <w:divBdr>
        <w:top w:val="none" w:sz="0" w:space="0" w:color="auto"/>
        <w:left w:val="none" w:sz="0" w:space="0" w:color="auto"/>
        <w:bottom w:val="none" w:sz="0" w:space="0" w:color="auto"/>
        <w:right w:val="none" w:sz="0" w:space="0" w:color="auto"/>
      </w:divBdr>
    </w:div>
    <w:div w:id="890848924">
      <w:bodyDiv w:val="1"/>
      <w:marLeft w:val="0"/>
      <w:marRight w:val="0"/>
      <w:marTop w:val="0"/>
      <w:marBottom w:val="0"/>
      <w:divBdr>
        <w:top w:val="none" w:sz="0" w:space="0" w:color="auto"/>
        <w:left w:val="none" w:sz="0" w:space="0" w:color="auto"/>
        <w:bottom w:val="none" w:sz="0" w:space="0" w:color="auto"/>
        <w:right w:val="none" w:sz="0" w:space="0" w:color="auto"/>
      </w:divBdr>
    </w:div>
    <w:div w:id="892039853">
      <w:bodyDiv w:val="1"/>
      <w:marLeft w:val="0"/>
      <w:marRight w:val="0"/>
      <w:marTop w:val="0"/>
      <w:marBottom w:val="0"/>
      <w:divBdr>
        <w:top w:val="none" w:sz="0" w:space="0" w:color="auto"/>
        <w:left w:val="none" w:sz="0" w:space="0" w:color="auto"/>
        <w:bottom w:val="none" w:sz="0" w:space="0" w:color="auto"/>
        <w:right w:val="none" w:sz="0" w:space="0" w:color="auto"/>
      </w:divBdr>
    </w:div>
    <w:div w:id="892229004">
      <w:bodyDiv w:val="1"/>
      <w:marLeft w:val="0"/>
      <w:marRight w:val="0"/>
      <w:marTop w:val="0"/>
      <w:marBottom w:val="0"/>
      <w:divBdr>
        <w:top w:val="none" w:sz="0" w:space="0" w:color="auto"/>
        <w:left w:val="none" w:sz="0" w:space="0" w:color="auto"/>
        <w:bottom w:val="none" w:sz="0" w:space="0" w:color="auto"/>
        <w:right w:val="none" w:sz="0" w:space="0" w:color="auto"/>
      </w:divBdr>
    </w:div>
    <w:div w:id="893201389">
      <w:bodyDiv w:val="1"/>
      <w:marLeft w:val="0"/>
      <w:marRight w:val="0"/>
      <w:marTop w:val="0"/>
      <w:marBottom w:val="0"/>
      <w:divBdr>
        <w:top w:val="none" w:sz="0" w:space="0" w:color="auto"/>
        <w:left w:val="none" w:sz="0" w:space="0" w:color="auto"/>
        <w:bottom w:val="none" w:sz="0" w:space="0" w:color="auto"/>
        <w:right w:val="none" w:sz="0" w:space="0" w:color="auto"/>
      </w:divBdr>
    </w:div>
    <w:div w:id="893807701">
      <w:bodyDiv w:val="1"/>
      <w:marLeft w:val="0"/>
      <w:marRight w:val="0"/>
      <w:marTop w:val="0"/>
      <w:marBottom w:val="0"/>
      <w:divBdr>
        <w:top w:val="none" w:sz="0" w:space="0" w:color="auto"/>
        <w:left w:val="none" w:sz="0" w:space="0" w:color="auto"/>
        <w:bottom w:val="none" w:sz="0" w:space="0" w:color="auto"/>
        <w:right w:val="none" w:sz="0" w:space="0" w:color="auto"/>
      </w:divBdr>
    </w:div>
    <w:div w:id="895362904">
      <w:bodyDiv w:val="1"/>
      <w:marLeft w:val="0"/>
      <w:marRight w:val="0"/>
      <w:marTop w:val="0"/>
      <w:marBottom w:val="0"/>
      <w:divBdr>
        <w:top w:val="none" w:sz="0" w:space="0" w:color="auto"/>
        <w:left w:val="none" w:sz="0" w:space="0" w:color="auto"/>
        <w:bottom w:val="none" w:sz="0" w:space="0" w:color="auto"/>
        <w:right w:val="none" w:sz="0" w:space="0" w:color="auto"/>
      </w:divBdr>
    </w:div>
    <w:div w:id="895363214">
      <w:bodyDiv w:val="1"/>
      <w:marLeft w:val="0"/>
      <w:marRight w:val="0"/>
      <w:marTop w:val="0"/>
      <w:marBottom w:val="0"/>
      <w:divBdr>
        <w:top w:val="none" w:sz="0" w:space="0" w:color="auto"/>
        <w:left w:val="none" w:sz="0" w:space="0" w:color="auto"/>
        <w:bottom w:val="none" w:sz="0" w:space="0" w:color="auto"/>
        <w:right w:val="none" w:sz="0" w:space="0" w:color="auto"/>
      </w:divBdr>
    </w:div>
    <w:div w:id="895822703">
      <w:bodyDiv w:val="1"/>
      <w:marLeft w:val="0"/>
      <w:marRight w:val="0"/>
      <w:marTop w:val="0"/>
      <w:marBottom w:val="0"/>
      <w:divBdr>
        <w:top w:val="none" w:sz="0" w:space="0" w:color="auto"/>
        <w:left w:val="none" w:sz="0" w:space="0" w:color="auto"/>
        <w:bottom w:val="none" w:sz="0" w:space="0" w:color="auto"/>
        <w:right w:val="none" w:sz="0" w:space="0" w:color="auto"/>
      </w:divBdr>
    </w:div>
    <w:div w:id="895891225">
      <w:bodyDiv w:val="1"/>
      <w:marLeft w:val="0"/>
      <w:marRight w:val="0"/>
      <w:marTop w:val="0"/>
      <w:marBottom w:val="0"/>
      <w:divBdr>
        <w:top w:val="none" w:sz="0" w:space="0" w:color="auto"/>
        <w:left w:val="none" w:sz="0" w:space="0" w:color="auto"/>
        <w:bottom w:val="none" w:sz="0" w:space="0" w:color="auto"/>
        <w:right w:val="none" w:sz="0" w:space="0" w:color="auto"/>
      </w:divBdr>
    </w:div>
    <w:div w:id="896085667">
      <w:bodyDiv w:val="1"/>
      <w:marLeft w:val="0"/>
      <w:marRight w:val="0"/>
      <w:marTop w:val="0"/>
      <w:marBottom w:val="0"/>
      <w:divBdr>
        <w:top w:val="none" w:sz="0" w:space="0" w:color="auto"/>
        <w:left w:val="none" w:sz="0" w:space="0" w:color="auto"/>
        <w:bottom w:val="none" w:sz="0" w:space="0" w:color="auto"/>
        <w:right w:val="none" w:sz="0" w:space="0" w:color="auto"/>
      </w:divBdr>
    </w:div>
    <w:div w:id="896624652">
      <w:bodyDiv w:val="1"/>
      <w:marLeft w:val="0"/>
      <w:marRight w:val="0"/>
      <w:marTop w:val="0"/>
      <w:marBottom w:val="0"/>
      <w:divBdr>
        <w:top w:val="none" w:sz="0" w:space="0" w:color="auto"/>
        <w:left w:val="none" w:sz="0" w:space="0" w:color="auto"/>
        <w:bottom w:val="none" w:sz="0" w:space="0" w:color="auto"/>
        <w:right w:val="none" w:sz="0" w:space="0" w:color="auto"/>
      </w:divBdr>
    </w:div>
    <w:div w:id="896672298">
      <w:bodyDiv w:val="1"/>
      <w:marLeft w:val="0"/>
      <w:marRight w:val="0"/>
      <w:marTop w:val="0"/>
      <w:marBottom w:val="0"/>
      <w:divBdr>
        <w:top w:val="none" w:sz="0" w:space="0" w:color="auto"/>
        <w:left w:val="none" w:sz="0" w:space="0" w:color="auto"/>
        <w:bottom w:val="none" w:sz="0" w:space="0" w:color="auto"/>
        <w:right w:val="none" w:sz="0" w:space="0" w:color="auto"/>
      </w:divBdr>
    </w:div>
    <w:div w:id="896748448">
      <w:bodyDiv w:val="1"/>
      <w:marLeft w:val="0"/>
      <w:marRight w:val="0"/>
      <w:marTop w:val="0"/>
      <w:marBottom w:val="0"/>
      <w:divBdr>
        <w:top w:val="none" w:sz="0" w:space="0" w:color="auto"/>
        <w:left w:val="none" w:sz="0" w:space="0" w:color="auto"/>
        <w:bottom w:val="none" w:sz="0" w:space="0" w:color="auto"/>
        <w:right w:val="none" w:sz="0" w:space="0" w:color="auto"/>
      </w:divBdr>
    </w:div>
    <w:div w:id="897665899">
      <w:bodyDiv w:val="1"/>
      <w:marLeft w:val="0"/>
      <w:marRight w:val="0"/>
      <w:marTop w:val="0"/>
      <w:marBottom w:val="0"/>
      <w:divBdr>
        <w:top w:val="none" w:sz="0" w:space="0" w:color="auto"/>
        <w:left w:val="none" w:sz="0" w:space="0" w:color="auto"/>
        <w:bottom w:val="none" w:sz="0" w:space="0" w:color="auto"/>
        <w:right w:val="none" w:sz="0" w:space="0" w:color="auto"/>
      </w:divBdr>
    </w:div>
    <w:div w:id="898633054">
      <w:bodyDiv w:val="1"/>
      <w:marLeft w:val="0"/>
      <w:marRight w:val="0"/>
      <w:marTop w:val="0"/>
      <w:marBottom w:val="0"/>
      <w:divBdr>
        <w:top w:val="none" w:sz="0" w:space="0" w:color="auto"/>
        <w:left w:val="none" w:sz="0" w:space="0" w:color="auto"/>
        <w:bottom w:val="none" w:sz="0" w:space="0" w:color="auto"/>
        <w:right w:val="none" w:sz="0" w:space="0" w:color="auto"/>
      </w:divBdr>
    </w:div>
    <w:div w:id="899285779">
      <w:bodyDiv w:val="1"/>
      <w:marLeft w:val="0"/>
      <w:marRight w:val="0"/>
      <w:marTop w:val="0"/>
      <w:marBottom w:val="0"/>
      <w:divBdr>
        <w:top w:val="none" w:sz="0" w:space="0" w:color="auto"/>
        <w:left w:val="none" w:sz="0" w:space="0" w:color="auto"/>
        <w:bottom w:val="none" w:sz="0" w:space="0" w:color="auto"/>
        <w:right w:val="none" w:sz="0" w:space="0" w:color="auto"/>
      </w:divBdr>
    </w:div>
    <w:div w:id="899906859">
      <w:bodyDiv w:val="1"/>
      <w:marLeft w:val="0"/>
      <w:marRight w:val="0"/>
      <w:marTop w:val="0"/>
      <w:marBottom w:val="0"/>
      <w:divBdr>
        <w:top w:val="none" w:sz="0" w:space="0" w:color="auto"/>
        <w:left w:val="none" w:sz="0" w:space="0" w:color="auto"/>
        <w:bottom w:val="none" w:sz="0" w:space="0" w:color="auto"/>
        <w:right w:val="none" w:sz="0" w:space="0" w:color="auto"/>
      </w:divBdr>
    </w:div>
    <w:div w:id="900560215">
      <w:bodyDiv w:val="1"/>
      <w:marLeft w:val="0"/>
      <w:marRight w:val="0"/>
      <w:marTop w:val="0"/>
      <w:marBottom w:val="0"/>
      <w:divBdr>
        <w:top w:val="none" w:sz="0" w:space="0" w:color="auto"/>
        <w:left w:val="none" w:sz="0" w:space="0" w:color="auto"/>
        <w:bottom w:val="none" w:sz="0" w:space="0" w:color="auto"/>
        <w:right w:val="none" w:sz="0" w:space="0" w:color="auto"/>
      </w:divBdr>
    </w:div>
    <w:div w:id="901864193">
      <w:bodyDiv w:val="1"/>
      <w:marLeft w:val="0"/>
      <w:marRight w:val="0"/>
      <w:marTop w:val="0"/>
      <w:marBottom w:val="0"/>
      <w:divBdr>
        <w:top w:val="none" w:sz="0" w:space="0" w:color="auto"/>
        <w:left w:val="none" w:sz="0" w:space="0" w:color="auto"/>
        <w:bottom w:val="none" w:sz="0" w:space="0" w:color="auto"/>
        <w:right w:val="none" w:sz="0" w:space="0" w:color="auto"/>
      </w:divBdr>
    </w:div>
    <w:div w:id="902518857">
      <w:bodyDiv w:val="1"/>
      <w:marLeft w:val="0"/>
      <w:marRight w:val="0"/>
      <w:marTop w:val="0"/>
      <w:marBottom w:val="0"/>
      <w:divBdr>
        <w:top w:val="none" w:sz="0" w:space="0" w:color="auto"/>
        <w:left w:val="none" w:sz="0" w:space="0" w:color="auto"/>
        <w:bottom w:val="none" w:sz="0" w:space="0" w:color="auto"/>
        <w:right w:val="none" w:sz="0" w:space="0" w:color="auto"/>
      </w:divBdr>
    </w:div>
    <w:div w:id="902790421">
      <w:bodyDiv w:val="1"/>
      <w:marLeft w:val="0"/>
      <w:marRight w:val="0"/>
      <w:marTop w:val="0"/>
      <w:marBottom w:val="0"/>
      <w:divBdr>
        <w:top w:val="none" w:sz="0" w:space="0" w:color="auto"/>
        <w:left w:val="none" w:sz="0" w:space="0" w:color="auto"/>
        <w:bottom w:val="none" w:sz="0" w:space="0" w:color="auto"/>
        <w:right w:val="none" w:sz="0" w:space="0" w:color="auto"/>
      </w:divBdr>
    </w:div>
    <w:div w:id="902837241">
      <w:bodyDiv w:val="1"/>
      <w:marLeft w:val="0"/>
      <w:marRight w:val="0"/>
      <w:marTop w:val="0"/>
      <w:marBottom w:val="0"/>
      <w:divBdr>
        <w:top w:val="none" w:sz="0" w:space="0" w:color="auto"/>
        <w:left w:val="none" w:sz="0" w:space="0" w:color="auto"/>
        <w:bottom w:val="none" w:sz="0" w:space="0" w:color="auto"/>
        <w:right w:val="none" w:sz="0" w:space="0" w:color="auto"/>
      </w:divBdr>
    </w:div>
    <w:div w:id="903832512">
      <w:bodyDiv w:val="1"/>
      <w:marLeft w:val="0"/>
      <w:marRight w:val="0"/>
      <w:marTop w:val="0"/>
      <w:marBottom w:val="0"/>
      <w:divBdr>
        <w:top w:val="none" w:sz="0" w:space="0" w:color="auto"/>
        <w:left w:val="none" w:sz="0" w:space="0" w:color="auto"/>
        <w:bottom w:val="none" w:sz="0" w:space="0" w:color="auto"/>
        <w:right w:val="none" w:sz="0" w:space="0" w:color="auto"/>
      </w:divBdr>
    </w:div>
    <w:div w:id="903835117">
      <w:bodyDiv w:val="1"/>
      <w:marLeft w:val="0"/>
      <w:marRight w:val="0"/>
      <w:marTop w:val="0"/>
      <w:marBottom w:val="0"/>
      <w:divBdr>
        <w:top w:val="none" w:sz="0" w:space="0" w:color="auto"/>
        <w:left w:val="none" w:sz="0" w:space="0" w:color="auto"/>
        <w:bottom w:val="none" w:sz="0" w:space="0" w:color="auto"/>
        <w:right w:val="none" w:sz="0" w:space="0" w:color="auto"/>
      </w:divBdr>
    </w:div>
    <w:div w:id="904338982">
      <w:bodyDiv w:val="1"/>
      <w:marLeft w:val="0"/>
      <w:marRight w:val="0"/>
      <w:marTop w:val="0"/>
      <w:marBottom w:val="0"/>
      <w:divBdr>
        <w:top w:val="none" w:sz="0" w:space="0" w:color="auto"/>
        <w:left w:val="none" w:sz="0" w:space="0" w:color="auto"/>
        <w:bottom w:val="none" w:sz="0" w:space="0" w:color="auto"/>
        <w:right w:val="none" w:sz="0" w:space="0" w:color="auto"/>
      </w:divBdr>
    </w:div>
    <w:div w:id="904492078">
      <w:bodyDiv w:val="1"/>
      <w:marLeft w:val="0"/>
      <w:marRight w:val="0"/>
      <w:marTop w:val="0"/>
      <w:marBottom w:val="0"/>
      <w:divBdr>
        <w:top w:val="none" w:sz="0" w:space="0" w:color="auto"/>
        <w:left w:val="none" w:sz="0" w:space="0" w:color="auto"/>
        <w:bottom w:val="none" w:sz="0" w:space="0" w:color="auto"/>
        <w:right w:val="none" w:sz="0" w:space="0" w:color="auto"/>
      </w:divBdr>
    </w:div>
    <w:div w:id="905535633">
      <w:bodyDiv w:val="1"/>
      <w:marLeft w:val="0"/>
      <w:marRight w:val="0"/>
      <w:marTop w:val="0"/>
      <w:marBottom w:val="0"/>
      <w:divBdr>
        <w:top w:val="none" w:sz="0" w:space="0" w:color="auto"/>
        <w:left w:val="none" w:sz="0" w:space="0" w:color="auto"/>
        <w:bottom w:val="none" w:sz="0" w:space="0" w:color="auto"/>
        <w:right w:val="none" w:sz="0" w:space="0" w:color="auto"/>
      </w:divBdr>
    </w:div>
    <w:div w:id="907686216">
      <w:bodyDiv w:val="1"/>
      <w:marLeft w:val="0"/>
      <w:marRight w:val="0"/>
      <w:marTop w:val="0"/>
      <w:marBottom w:val="0"/>
      <w:divBdr>
        <w:top w:val="none" w:sz="0" w:space="0" w:color="auto"/>
        <w:left w:val="none" w:sz="0" w:space="0" w:color="auto"/>
        <w:bottom w:val="none" w:sz="0" w:space="0" w:color="auto"/>
        <w:right w:val="none" w:sz="0" w:space="0" w:color="auto"/>
      </w:divBdr>
    </w:div>
    <w:div w:id="908073859">
      <w:bodyDiv w:val="1"/>
      <w:marLeft w:val="0"/>
      <w:marRight w:val="0"/>
      <w:marTop w:val="0"/>
      <w:marBottom w:val="0"/>
      <w:divBdr>
        <w:top w:val="none" w:sz="0" w:space="0" w:color="auto"/>
        <w:left w:val="none" w:sz="0" w:space="0" w:color="auto"/>
        <w:bottom w:val="none" w:sz="0" w:space="0" w:color="auto"/>
        <w:right w:val="none" w:sz="0" w:space="0" w:color="auto"/>
      </w:divBdr>
    </w:div>
    <w:div w:id="908854183">
      <w:bodyDiv w:val="1"/>
      <w:marLeft w:val="0"/>
      <w:marRight w:val="0"/>
      <w:marTop w:val="0"/>
      <w:marBottom w:val="0"/>
      <w:divBdr>
        <w:top w:val="none" w:sz="0" w:space="0" w:color="auto"/>
        <w:left w:val="none" w:sz="0" w:space="0" w:color="auto"/>
        <w:bottom w:val="none" w:sz="0" w:space="0" w:color="auto"/>
        <w:right w:val="none" w:sz="0" w:space="0" w:color="auto"/>
      </w:divBdr>
    </w:div>
    <w:div w:id="910316040">
      <w:bodyDiv w:val="1"/>
      <w:marLeft w:val="0"/>
      <w:marRight w:val="0"/>
      <w:marTop w:val="0"/>
      <w:marBottom w:val="0"/>
      <w:divBdr>
        <w:top w:val="none" w:sz="0" w:space="0" w:color="auto"/>
        <w:left w:val="none" w:sz="0" w:space="0" w:color="auto"/>
        <w:bottom w:val="none" w:sz="0" w:space="0" w:color="auto"/>
        <w:right w:val="none" w:sz="0" w:space="0" w:color="auto"/>
      </w:divBdr>
    </w:div>
    <w:div w:id="911232283">
      <w:bodyDiv w:val="1"/>
      <w:marLeft w:val="0"/>
      <w:marRight w:val="0"/>
      <w:marTop w:val="0"/>
      <w:marBottom w:val="0"/>
      <w:divBdr>
        <w:top w:val="none" w:sz="0" w:space="0" w:color="auto"/>
        <w:left w:val="none" w:sz="0" w:space="0" w:color="auto"/>
        <w:bottom w:val="none" w:sz="0" w:space="0" w:color="auto"/>
        <w:right w:val="none" w:sz="0" w:space="0" w:color="auto"/>
      </w:divBdr>
    </w:div>
    <w:div w:id="911238391">
      <w:bodyDiv w:val="1"/>
      <w:marLeft w:val="0"/>
      <w:marRight w:val="0"/>
      <w:marTop w:val="0"/>
      <w:marBottom w:val="0"/>
      <w:divBdr>
        <w:top w:val="none" w:sz="0" w:space="0" w:color="auto"/>
        <w:left w:val="none" w:sz="0" w:space="0" w:color="auto"/>
        <w:bottom w:val="none" w:sz="0" w:space="0" w:color="auto"/>
        <w:right w:val="none" w:sz="0" w:space="0" w:color="auto"/>
      </w:divBdr>
    </w:div>
    <w:div w:id="911425769">
      <w:bodyDiv w:val="1"/>
      <w:marLeft w:val="0"/>
      <w:marRight w:val="0"/>
      <w:marTop w:val="0"/>
      <w:marBottom w:val="0"/>
      <w:divBdr>
        <w:top w:val="none" w:sz="0" w:space="0" w:color="auto"/>
        <w:left w:val="none" w:sz="0" w:space="0" w:color="auto"/>
        <w:bottom w:val="none" w:sz="0" w:space="0" w:color="auto"/>
        <w:right w:val="none" w:sz="0" w:space="0" w:color="auto"/>
      </w:divBdr>
    </w:div>
    <w:div w:id="912398964">
      <w:bodyDiv w:val="1"/>
      <w:marLeft w:val="0"/>
      <w:marRight w:val="0"/>
      <w:marTop w:val="0"/>
      <w:marBottom w:val="0"/>
      <w:divBdr>
        <w:top w:val="none" w:sz="0" w:space="0" w:color="auto"/>
        <w:left w:val="none" w:sz="0" w:space="0" w:color="auto"/>
        <w:bottom w:val="none" w:sz="0" w:space="0" w:color="auto"/>
        <w:right w:val="none" w:sz="0" w:space="0" w:color="auto"/>
      </w:divBdr>
    </w:div>
    <w:div w:id="913857526">
      <w:bodyDiv w:val="1"/>
      <w:marLeft w:val="0"/>
      <w:marRight w:val="0"/>
      <w:marTop w:val="0"/>
      <w:marBottom w:val="0"/>
      <w:divBdr>
        <w:top w:val="none" w:sz="0" w:space="0" w:color="auto"/>
        <w:left w:val="none" w:sz="0" w:space="0" w:color="auto"/>
        <w:bottom w:val="none" w:sz="0" w:space="0" w:color="auto"/>
        <w:right w:val="none" w:sz="0" w:space="0" w:color="auto"/>
      </w:divBdr>
    </w:div>
    <w:div w:id="914121663">
      <w:bodyDiv w:val="1"/>
      <w:marLeft w:val="0"/>
      <w:marRight w:val="0"/>
      <w:marTop w:val="0"/>
      <w:marBottom w:val="0"/>
      <w:divBdr>
        <w:top w:val="none" w:sz="0" w:space="0" w:color="auto"/>
        <w:left w:val="none" w:sz="0" w:space="0" w:color="auto"/>
        <w:bottom w:val="none" w:sz="0" w:space="0" w:color="auto"/>
        <w:right w:val="none" w:sz="0" w:space="0" w:color="auto"/>
      </w:divBdr>
    </w:div>
    <w:div w:id="914314175">
      <w:bodyDiv w:val="1"/>
      <w:marLeft w:val="0"/>
      <w:marRight w:val="0"/>
      <w:marTop w:val="0"/>
      <w:marBottom w:val="0"/>
      <w:divBdr>
        <w:top w:val="none" w:sz="0" w:space="0" w:color="auto"/>
        <w:left w:val="none" w:sz="0" w:space="0" w:color="auto"/>
        <w:bottom w:val="none" w:sz="0" w:space="0" w:color="auto"/>
        <w:right w:val="none" w:sz="0" w:space="0" w:color="auto"/>
      </w:divBdr>
    </w:div>
    <w:div w:id="914509310">
      <w:bodyDiv w:val="1"/>
      <w:marLeft w:val="0"/>
      <w:marRight w:val="0"/>
      <w:marTop w:val="0"/>
      <w:marBottom w:val="0"/>
      <w:divBdr>
        <w:top w:val="none" w:sz="0" w:space="0" w:color="auto"/>
        <w:left w:val="none" w:sz="0" w:space="0" w:color="auto"/>
        <w:bottom w:val="none" w:sz="0" w:space="0" w:color="auto"/>
        <w:right w:val="none" w:sz="0" w:space="0" w:color="auto"/>
      </w:divBdr>
    </w:div>
    <w:div w:id="914777428">
      <w:bodyDiv w:val="1"/>
      <w:marLeft w:val="0"/>
      <w:marRight w:val="0"/>
      <w:marTop w:val="0"/>
      <w:marBottom w:val="0"/>
      <w:divBdr>
        <w:top w:val="none" w:sz="0" w:space="0" w:color="auto"/>
        <w:left w:val="none" w:sz="0" w:space="0" w:color="auto"/>
        <w:bottom w:val="none" w:sz="0" w:space="0" w:color="auto"/>
        <w:right w:val="none" w:sz="0" w:space="0" w:color="auto"/>
      </w:divBdr>
    </w:div>
    <w:div w:id="914781072">
      <w:bodyDiv w:val="1"/>
      <w:marLeft w:val="0"/>
      <w:marRight w:val="0"/>
      <w:marTop w:val="0"/>
      <w:marBottom w:val="0"/>
      <w:divBdr>
        <w:top w:val="none" w:sz="0" w:space="0" w:color="auto"/>
        <w:left w:val="none" w:sz="0" w:space="0" w:color="auto"/>
        <w:bottom w:val="none" w:sz="0" w:space="0" w:color="auto"/>
        <w:right w:val="none" w:sz="0" w:space="0" w:color="auto"/>
      </w:divBdr>
    </w:div>
    <w:div w:id="915170030">
      <w:bodyDiv w:val="1"/>
      <w:marLeft w:val="0"/>
      <w:marRight w:val="0"/>
      <w:marTop w:val="0"/>
      <w:marBottom w:val="0"/>
      <w:divBdr>
        <w:top w:val="none" w:sz="0" w:space="0" w:color="auto"/>
        <w:left w:val="none" w:sz="0" w:space="0" w:color="auto"/>
        <w:bottom w:val="none" w:sz="0" w:space="0" w:color="auto"/>
        <w:right w:val="none" w:sz="0" w:space="0" w:color="auto"/>
      </w:divBdr>
    </w:div>
    <w:div w:id="915362090">
      <w:bodyDiv w:val="1"/>
      <w:marLeft w:val="0"/>
      <w:marRight w:val="0"/>
      <w:marTop w:val="0"/>
      <w:marBottom w:val="0"/>
      <w:divBdr>
        <w:top w:val="none" w:sz="0" w:space="0" w:color="auto"/>
        <w:left w:val="none" w:sz="0" w:space="0" w:color="auto"/>
        <w:bottom w:val="none" w:sz="0" w:space="0" w:color="auto"/>
        <w:right w:val="none" w:sz="0" w:space="0" w:color="auto"/>
      </w:divBdr>
    </w:div>
    <w:div w:id="915675152">
      <w:bodyDiv w:val="1"/>
      <w:marLeft w:val="0"/>
      <w:marRight w:val="0"/>
      <w:marTop w:val="0"/>
      <w:marBottom w:val="0"/>
      <w:divBdr>
        <w:top w:val="none" w:sz="0" w:space="0" w:color="auto"/>
        <w:left w:val="none" w:sz="0" w:space="0" w:color="auto"/>
        <w:bottom w:val="none" w:sz="0" w:space="0" w:color="auto"/>
        <w:right w:val="none" w:sz="0" w:space="0" w:color="auto"/>
      </w:divBdr>
    </w:div>
    <w:div w:id="916209571">
      <w:bodyDiv w:val="1"/>
      <w:marLeft w:val="0"/>
      <w:marRight w:val="0"/>
      <w:marTop w:val="0"/>
      <w:marBottom w:val="0"/>
      <w:divBdr>
        <w:top w:val="none" w:sz="0" w:space="0" w:color="auto"/>
        <w:left w:val="none" w:sz="0" w:space="0" w:color="auto"/>
        <w:bottom w:val="none" w:sz="0" w:space="0" w:color="auto"/>
        <w:right w:val="none" w:sz="0" w:space="0" w:color="auto"/>
      </w:divBdr>
    </w:div>
    <w:div w:id="916400842">
      <w:bodyDiv w:val="1"/>
      <w:marLeft w:val="0"/>
      <w:marRight w:val="0"/>
      <w:marTop w:val="0"/>
      <w:marBottom w:val="0"/>
      <w:divBdr>
        <w:top w:val="none" w:sz="0" w:space="0" w:color="auto"/>
        <w:left w:val="none" w:sz="0" w:space="0" w:color="auto"/>
        <w:bottom w:val="none" w:sz="0" w:space="0" w:color="auto"/>
        <w:right w:val="none" w:sz="0" w:space="0" w:color="auto"/>
      </w:divBdr>
    </w:div>
    <w:div w:id="916671264">
      <w:bodyDiv w:val="1"/>
      <w:marLeft w:val="0"/>
      <w:marRight w:val="0"/>
      <w:marTop w:val="0"/>
      <w:marBottom w:val="0"/>
      <w:divBdr>
        <w:top w:val="none" w:sz="0" w:space="0" w:color="auto"/>
        <w:left w:val="none" w:sz="0" w:space="0" w:color="auto"/>
        <w:bottom w:val="none" w:sz="0" w:space="0" w:color="auto"/>
        <w:right w:val="none" w:sz="0" w:space="0" w:color="auto"/>
      </w:divBdr>
    </w:div>
    <w:div w:id="918290473">
      <w:bodyDiv w:val="1"/>
      <w:marLeft w:val="0"/>
      <w:marRight w:val="0"/>
      <w:marTop w:val="0"/>
      <w:marBottom w:val="0"/>
      <w:divBdr>
        <w:top w:val="none" w:sz="0" w:space="0" w:color="auto"/>
        <w:left w:val="none" w:sz="0" w:space="0" w:color="auto"/>
        <w:bottom w:val="none" w:sz="0" w:space="0" w:color="auto"/>
        <w:right w:val="none" w:sz="0" w:space="0" w:color="auto"/>
      </w:divBdr>
    </w:div>
    <w:div w:id="920021236">
      <w:bodyDiv w:val="1"/>
      <w:marLeft w:val="0"/>
      <w:marRight w:val="0"/>
      <w:marTop w:val="0"/>
      <w:marBottom w:val="0"/>
      <w:divBdr>
        <w:top w:val="none" w:sz="0" w:space="0" w:color="auto"/>
        <w:left w:val="none" w:sz="0" w:space="0" w:color="auto"/>
        <w:bottom w:val="none" w:sz="0" w:space="0" w:color="auto"/>
        <w:right w:val="none" w:sz="0" w:space="0" w:color="auto"/>
      </w:divBdr>
    </w:div>
    <w:div w:id="921453156">
      <w:bodyDiv w:val="1"/>
      <w:marLeft w:val="0"/>
      <w:marRight w:val="0"/>
      <w:marTop w:val="0"/>
      <w:marBottom w:val="0"/>
      <w:divBdr>
        <w:top w:val="none" w:sz="0" w:space="0" w:color="auto"/>
        <w:left w:val="none" w:sz="0" w:space="0" w:color="auto"/>
        <w:bottom w:val="none" w:sz="0" w:space="0" w:color="auto"/>
        <w:right w:val="none" w:sz="0" w:space="0" w:color="auto"/>
      </w:divBdr>
    </w:div>
    <w:div w:id="921764504">
      <w:bodyDiv w:val="1"/>
      <w:marLeft w:val="0"/>
      <w:marRight w:val="0"/>
      <w:marTop w:val="0"/>
      <w:marBottom w:val="0"/>
      <w:divBdr>
        <w:top w:val="none" w:sz="0" w:space="0" w:color="auto"/>
        <w:left w:val="none" w:sz="0" w:space="0" w:color="auto"/>
        <w:bottom w:val="none" w:sz="0" w:space="0" w:color="auto"/>
        <w:right w:val="none" w:sz="0" w:space="0" w:color="auto"/>
      </w:divBdr>
    </w:div>
    <w:div w:id="922222934">
      <w:bodyDiv w:val="1"/>
      <w:marLeft w:val="0"/>
      <w:marRight w:val="0"/>
      <w:marTop w:val="0"/>
      <w:marBottom w:val="0"/>
      <w:divBdr>
        <w:top w:val="none" w:sz="0" w:space="0" w:color="auto"/>
        <w:left w:val="none" w:sz="0" w:space="0" w:color="auto"/>
        <w:bottom w:val="none" w:sz="0" w:space="0" w:color="auto"/>
        <w:right w:val="none" w:sz="0" w:space="0" w:color="auto"/>
      </w:divBdr>
    </w:div>
    <w:div w:id="923494545">
      <w:bodyDiv w:val="1"/>
      <w:marLeft w:val="0"/>
      <w:marRight w:val="0"/>
      <w:marTop w:val="0"/>
      <w:marBottom w:val="0"/>
      <w:divBdr>
        <w:top w:val="none" w:sz="0" w:space="0" w:color="auto"/>
        <w:left w:val="none" w:sz="0" w:space="0" w:color="auto"/>
        <w:bottom w:val="none" w:sz="0" w:space="0" w:color="auto"/>
        <w:right w:val="none" w:sz="0" w:space="0" w:color="auto"/>
      </w:divBdr>
    </w:div>
    <w:div w:id="923495516">
      <w:bodyDiv w:val="1"/>
      <w:marLeft w:val="0"/>
      <w:marRight w:val="0"/>
      <w:marTop w:val="0"/>
      <w:marBottom w:val="0"/>
      <w:divBdr>
        <w:top w:val="none" w:sz="0" w:space="0" w:color="auto"/>
        <w:left w:val="none" w:sz="0" w:space="0" w:color="auto"/>
        <w:bottom w:val="none" w:sz="0" w:space="0" w:color="auto"/>
        <w:right w:val="none" w:sz="0" w:space="0" w:color="auto"/>
      </w:divBdr>
    </w:div>
    <w:div w:id="923881273">
      <w:bodyDiv w:val="1"/>
      <w:marLeft w:val="0"/>
      <w:marRight w:val="0"/>
      <w:marTop w:val="0"/>
      <w:marBottom w:val="0"/>
      <w:divBdr>
        <w:top w:val="none" w:sz="0" w:space="0" w:color="auto"/>
        <w:left w:val="none" w:sz="0" w:space="0" w:color="auto"/>
        <w:bottom w:val="none" w:sz="0" w:space="0" w:color="auto"/>
        <w:right w:val="none" w:sz="0" w:space="0" w:color="auto"/>
      </w:divBdr>
    </w:div>
    <w:div w:id="925916421">
      <w:bodyDiv w:val="1"/>
      <w:marLeft w:val="0"/>
      <w:marRight w:val="0"/>
      <w:marTop w:val="0"/>
      <w:marBottom w:val="0"/>
      <w:divBdr>
        <w:top w:val="none" w:sz="0" w:space="0" w:color="auto"/>
        <w:left w:val="none" w:sz="0" w:space="0" w:color="auto"/>
        <w:bottom w:val="none" w:sz="0" w:space="0" w:color="auto"/>
        <w:right w:val="none" w:sz="0" w:space="0" w:color="auto"/>
      </w:divBdr>
    </w:div>
    <w:div w:id="926183924">
      <w:bodyDiv w:val="1"/>
      <w:marLeft w:val="0"/>
      <w:marRight w:val="0"/>
      <w:marTop w:val="0"/>
      <w:marBottom w:val="0"/>
      <w:divBdr>
        <w:top w:val="none" w:sz="0" w:space="0" w:color="auto"/>
        <w:left w:val="none" w:sz="0" w:space="0" w:color="auto"/>
        <w:bottom w:val="none" w:sz="0" w:space="0" w:color="auto"/>
        <w:right w:val="none" w:sz="0" w:space="0" w:color="auto"/>
      </w:divBdr>
    </w:div>
    <w:div w:id="926883978">
      <w:bodyDiv w:val="1"/>
      <w:marLeft w:val="0"/>
      <w:marRight w:val="0"/>
      <w:marTop w:val="0"/>
      <w:marBottom w:val="0"/>
      <w:divBdr>
        <w:top w:val="none" w:sz="0" w:space="0" w:color="auto"/>
        <w:left w:val="none" w:sz="0" w:space="0" w:color="auto"/>
        <w:bottom w:val="none" w:sz="0" w:space="0" w:color="auto"/>
        <w:right w:val="none" w:sz="0" w:space="0" w:color="auto"/>
      </w:divBdr>
    </w:div>
    <w:div w:id="926886469">
      <w:bodyDiv w:val="1"/>
      <w:marLeft w:val="0"/>
      <w:marRight w:val="0"/>
      <w:marTop w:val="0"/>
      <w:marBottom w:val="0"/>
      <w:divBdr>
        <w:top w:val="none" w:sz="0" w:space="0" w:color="auto"/>
        <w:left w:val="none" w:sz="0" w:space="0" w:color="auto"/>
        <w:bottom w:val="none" w:sz="0" w:space="0" w:color="auto"/>
        <w:right w:val="none" w:sz="0" w:space="0" w:color="auto"/>
      </w:divBdr>
    </w:div>
    <w:div w:id="927077292">
      <w:bodyDiv w:val="1"/>
      <w:marLeft w:val="0"/>
      <w:marRight w:val="0"/>
      <w:marTop w:val="0"/>
      <w:marBottom w:val="0"/>
      <w:divBdr>
        <w:top w:val="none" w:sz="0" w:space="0" w:color="auto"/>
        <w:left w:val="none" w:sz="0" w:space="0" w:color="auto"/>
        <w:bottom w:val="none" w:sz="0" w:space="0" w:color="auto"/>
        <w:right w:val="none" w:sz="0" w:space="0" w:color="auto"/>
      </w:divBdr>
    </w:div>
    <w:div w:id="927269242">
      <w:bodyDiv w:val="1"/>
      <w:marLeft w:val="0"/>
      <w:marRight w:val="0"/>
      <w:marTop w:val="0"/>
      <w:marBottom w:val="0"/>
      <w:divBdr>
        <w:top w:val="none" w:sz="0" w:space="0" w:color="auto"/>
        <w:left w:val="none" w:sz="0" w:space="0" w:color="auto"/>
        <w:bottom w:val="none" w:sz="0" w:space="0" w:color="auto"/>
        <w:right w:val="none" w:sz="0" w:space="0" w:color="auto"/>
      </w:divBdr>
    </w:div>
    <w:div w:id="927662556">
      <w:bodyDiv w:val="1"/>
      <w:marLeft w:val="0"/>
      <w:marRight w:val="0"/>
      <w:marTop w:val="0"/>
      <w:marBottom w:val="0"/>
      <w:divBdr>
        <w:top w:val="none" w:sz="0" w:space="0" w:color="auto"/>
        <w:left w:val="none" w:sz="0" w:space="0" w:color="auto"/>
        <w:bottom w:val="none" w:sz="0" w:space="0" w:color="auto"/>
        <w:right w:val="none" w:sz="0" w:space="0" w:color="auto"/>
      </w:divBdr>
    </w:div>
    <w:div w:id="928004260">
      <w:bodyDiv w:val="1"/>
      <w:marLeft w:val="0"/>
      <w:marRight w:val="0"/>
      <w:marTop w:val="0"/>
      <w:marBottom w:val="0"/>
      <w:divBdr>
        <w:top w:val="none" w:sz="0" w:space="0" w:color="auto"/>
        <w:left w:val="none" w:sz="0" w:space="0" w:color="auto"/>
        <w:bottom w:val="none" w:sz="0" w:space="0" w:color="auto"/>
        <w:right w:val="none" w:sz="0" w:space="0" w:color="auto"/>
      </w:divBdr>
    </w:div>
    <w:div w:id="928008200">
      <w:bodyDiv w:val="1"/>
      <w:marLeft w:val="0"/>
      <w:marRight w:val="0"/>
      <w:marTop w:val="0"/>
      <w:marBottom w:val="0"/>
      <w:divBdr>
        <w:top w:val="none" w:sz="0" w:space="0" w:color="auto"/>
        <w:left w:val="none" w:sz="0" w:space="0" w:color="auto"/>
        <w:bottom w:val="none" w:sz="0" w:space="0" w:color="auto"/>
        <w:right w:val="none" w:sz="0" w:space="0" w:color="auto"/>
      </w:divBdr>
    </w:div>
    <w:div w:id="928125765">
      <w:bodyDiv w:val="1"/>
      <w:marLeft w:val="0"/>
      <w:marRight w:val="0"/>
      <w:marTop w:val="0"/>
      <w:marBottom w:val="0"/>
      <w:divBdr>
        <w:top w:val="none" w:sz="0" w:space="0" w:color="auto"/>
        <w:left w:val="none" w:sz="0" w:space="0" w:color="auto"/>
        <w:bottom w:val="none" w:sz="0" w:space="0" w:color="auto"/>
        <w:right w:val="none" w:sz="0" w:space="0" w:color="auto"/>
      </w:divBdr>
    </w:div>
    <w:div w:id="928125822">
      <w:bodyDiv w:val="1"/>
      <w:marLeft w:val="0"/>
      <w:marRight w:val="0"/>
      <w:marTop w:val="0"/>
      <w:marBottom w:val="0"/>
      <w:divBdr>
        <w:top w:val="none" w:sz="0" w:space="0" w:color="auto"/>
        <w:left w:val="none" w:sz="0" w:space="0" w:color="auto"/>
        <w:bottom w:val="none" w:sz="0" w:space="0" w:color="auto"/>
        <w:right w:val="none" w:sz="0" w:space="0" w:color="auto"/>
      </w:divBdr>
    </w:div>
    <w:div w:id="928611765">
      <w:bodyDiv w:val="1"/>
      <w:marLeft w:val="0"/>
      <w:marRight w:val="0"/>
      <w:marTop w:val="0"/>
      <w:marBottom w:val="0"/>
      <w:divBdr>
        <w:top w:val="none" w:sz="0" w:space="0" w:color="auto"/>
        <w:left w:val="none" w:sz="0" w:space="0" w:color="auto"/>
        <w:bottom w:val="none" w:sz="0" w:space="0" w:color="auto"/>
        <w:right w:val="none" w:sz="0" w:space="0" w:color="auto"/>
      </w:divBdr>
    </w:div>
    <w:div w:id="928852898">
      <w:bodyDiv w:val="1"/>
      <w:marLeft w:val="0"/>
      <w:marRight w:val="0"/>
      <w:marTop w:val="0"/>
      <w:marBottom w:val="0"/>
      <w:divBdr>
        <w:top w:val="none" w:sz="0" w:space="0" w:color="auto"/>
        <w:left w:val="none" w:sz="0" w:space="0" w:color="auto"/>
        <w:bottom w:val="none" w:sz="0" w:space="0" w:color="auto"/>
        <w:right w:val="none" w:sz="0" w:space="0" w:color="auto"/>
      </w:divBdr>
    </w:div>
    <w:div w:id="929776896">
      <w:bodyDiv w:val="1"/>
      <w:marLeft w:val="0"/>
      <w:marRight w:val="0"/>
      <w:marTop w:val="0"/>
      <w:marBottom w:val="0"/>
      <w:divBdr>
        <w:top w:val="none" w:sz="0" w:space="0" w:color="auto"/>
        <w:left w:val="none" w:sz="0" w:space="0" w:color="auto"/>
        <w:bottom w:val="none" w:sz="0" w:space="0" w:color="auto"/>
        <w:right w:val="none" w:sz="0" w:space="0" w:color="auto"/>
      </w:divBdr>
    </w:div>
    <w:div w:id="929973109">
      <w:bodyDiv w:val="1"/>
      <w:marLeft w:val="0"/>
      <w:marRight w:val="0"/>
      <w:marTop w:val="0"/>
      <w:marBottom w:val="0"/>
      <w:divBdr>
        <w:top w:val="none" w:sz="0" w:space="0" w:color="auto"/>
        <w:left w:val="none" w:sz="0" w:space="0" w:color="auto"/>
        <w:bottom w:val="none" w:sz="0" w:space="0" w:color="auto"/>
        <w:right w:val="none" w:sz="0" w:space="0" w:color="auto"/>
      </w:divBdr>
    </w:div>
    <w:div w:id="930968707">
      <w:bodyDiv w:val="1"/>
      <w:marLeft w:val="0"/>
      <w:marRight w:val="0"/>
      <w:marTop w:val="0"/>
      <w:marBottom w:val="0"/>
      <w:divBdr>
        <w:top w:val="none" w:sz="0" w:space="0" w:color="auto"/>
        <w:left w:val="none" w:sz="0" w:space="0" w:color="auto"/>
        <w:bottom w:val="none" w:sz="0" w:space="0" w:color="auto"/>
        <w:right w:val="none" w:sz="0" w:space="0" w:color="auto"/>
      </w:divBdr>
    </w:div>
    <w:div w:id="931475633">
      <w:bodyDiv w:val="1"/>
      <w:marLeft w:val="0"/>
      <w:marRight w:val="0"/>
      <w:marTop w:val="0"/>
      <w:marBottom w:val="0"/>
      <w:divBdr>
        <w:top w:val="none" w:sz="0" w:space="0" w:color="auto"/>
        <w:left w:val="none" w:sz="0" w:space="0" w:color="auto"/>
        <w:bottom w:val="none" w:sz="0" w:space="0" w:color="auto"/>
        <w:right w:val="none" w:sz="0" w:space="0" w:color="auto"/>
      </w:divBdr>
    </w:div>
    <w:div w:id="931476425">
      <w:bodyDiv w:val="1"/>
      <w:marLeft w:val="0"/>
      <w:marRight w:val="0"/>
      <w:marTop w:val="0"/>
      <w:marBottom w:val="0"/>
      <w:divBdr>
        <w:top w:val="none" w:sz="0" w:space="0" w:color="auto"/>
        <w:left w:val="none" w:sz="0" w:space="0" w:color="auto"/>
        <w:bottom w:val="none" w:sz="0" w:space="0" w:color="auto"/>
        <w:right w:val="none" w:sz="0" w:space="0" w:color="auto"/>
      </w:divBdr>
    </w:div>
    <w:div w:id="932905385">
      <w:bodyDiv w:val="1"/>
      <w:marLeft w:val="0"/>
      <w:marRight w:val="0"/>
      <w:marTop w:val="0"/>
      <w:marBottom w:val="0"/>
      <w:divBdr>
        <w:top w:val="none" w:sz="0" w:space="0" w:color="auto"/>
        <w:left w:val="none" w:sz="0" w:space="0" w:color="auto"/>
        <w:bottom w:val="none" w:sz="0" w:space="0" w:color="auto"/>
        <w:right w:val="none" w:sz="0" w:space="0" w:color="auto"/>
      </w:divBdr>
    </w:div>
    <w:div w:id="932977893">
      <w:bodyDiv w:val="1"/>
      <w:marLeft w:val="0"/>
      <w:marRight w:val="0"/>
      <w:marTop w:val="0"/>
      <w:marBottom w:val="0"/>
      <w:divBdr>
        <w:top w:val="none" w:sz="0" w:space="0" w:color="auto"/>
        <w:left w:val="none" w:sz="0" w:space="0" w:color="auto"/>
        <w:bottom w:val="none" w:sz="0" w:space="0" w:color="auto"/>
        <w:right w:val="none" w:sz="0" w:space="0" w:color="auto"/>
      </w:divBdr>
    </w:div>
    <w:div w:id="933439739">
      <w:bodyDiv w:val="1"/>
      <w:marLeft w:val="0"/>
      <w:marRight w:val="0"/>
      <w:marTop w:val="0"/>
      <w:marBottom w:val="0"/>
      <w:divBdr>
        <w:top w:val="none" w:sz="0" w:space="0" w:color="auto"/>
        <w:left w:val="none" w:sz="0" w:space="0" w:color="auto"/>
        <w:bottom w:val="none" w:sz="0" w:space="0" w:color="auto"/>
        <w:right w:val="none" w:sz="0" w:space="0" w:color="auto"/>
      </w:divBdr>
    </w:div>
    <w:div w:id="934437753">
      <w:bodyDiv w:val="1"/>
      <w:marLeft w:val="0"/>
      <w:marRight w:val="0"/>
      <w:marTop w:val="0"/>
      <w:marBottom w:val="0"/>
      <w:divBdr>
        <w:top w:val="none" w:sz="0" w:space="0" w:color="auto"/>
        <w:left w:val="none" w:sz="0" w:space="0" w:color="auto"/>
        <w:bottom w:val="none" w:sz="0" w:space="0" w:color="auto"/>
        <w:right w:val="none" w:sz="0" w:space="0" w:color="auto"/>
      </w:divBdr>
    </w:div>
    <w:div w:id="934443125">
      <w:bodyDiv w:val="1"/>
      <w:marLeft w:val="0"/>
      <w:marRight w:val="0"/>
      <w:marTop w:val="0"/>
      <w:marBottom w:val="0"/>
      <w:divBdr>
        <w:top w:val="none" w:sz="0" w:space="0" w:color="auto"/>
        <w:left w:val="none" w:sz="0" w:space="0" w:color="auto"/>
        <w:bottom w:val="none" w:sz="0" w:space="0" w:color="auto"/>
        <w:right w:val="none" w:sz="0" w:space="0" w:color="auto"/>
      </w:divBdr>
    </w:div>
    <w:div w:id="934634830">
      <w:bodyDiv w:val="1"/>
      <w:marLeft w:val="0"/>
      <w:marRight w:val="0"/>
      <w:marTop w:val="0"/>
      <w:marBottom w:val="0"/>
      <w:divBdr>
        <w:top w:val="none" w:sz="0" w:space="0" w:color="auto"/>
        <w:left w:val="none" w:sz="0" w:space="0" w:color="auto"/>
        <w:bottom w:val="none" w:sz="0" w:space="0" w:color="auto"/>
        <w:right w:val="none" w:sz="0" w:space="0" w:color="auto"/>
      </w:divBdr>
    </w:div>
    <w:div w:id="934675759">
      <w:bodyDiv w:val="1"/>
      <w:marLeft w:val="0"/>
      <w:marRight w:val="0"/>
      <w:marTop w:val="0"/>
      <w:marBottom w:val="0"/>
      <w:divBdr>
        <w:top w:val="none" w:sz="0" w:space="0" w:color="auto"/>
        <w:left w:val="none" w:sz="0" w:space="0" w:color="auto"/>
        <w:bottom w:val="none" w:sz="0" w:space="0" w:color="auto"/>
        <w:right w:val="none" w:sz="0" w:space="0" w:color="auto"/>
      </w:divBdr>
    </w:div>
    <w:div w:id="935283529">
      <w:bodyDiv w:val="1"/>
      <w:marLeft w:val="0"/>
      <w:marRight w:val="0"/>
      <w:marTop w:val="0"/>
      <w:marBottom w:val="0"/>
      <w:divBdr>
        <w:top w:val="none" w:sz="0" w:space="0" w:color="auto"/>
        <w:left w:val="none" w:sz="0" w:space="0" w:color="auto"/>
        <w:bottom w:val="none" w:sz="0" w:space="0" w:color="auto"/>
        <w:right w:val="none" w:sz="0" w:space="0" w:color="auto"/>
      </w:divBdr>
    </w:div>
    <w:div w:id="935287741">
      <w:bodyDiv w:val="1"/>
      <w:marLeft w:val="0"/>
      <w:marRight w:val="0"/>
      <w:marTop w:val="0"/>
      <w:marBottom w:val="0"/>
      <w:divBdr>
        <w:top w:val="none" w:sz="0" w:space="0" w:color="auto"/>
        <w:left w:val="none" w:sz="0" w:space="0" w:color="auto"/>
        <w:bottom w:val="none" w:sz="0" w:space="0" w:color="auto"/>
        <w:right w:val="none" w:sz="0" w:space="0" w:color="auto"/>
      </w:divBdr>
    </w:div>
    <w:div w:id="936331133">
      <w:bodyDiv w:val="1"/>
      <w:marLeft w:val="0"/>
      <w:marRight w:val="0"/>
      <w:marTop w:val="0"/>
      <w:marBottom w:val="0"/>
      <w:divBdr>
        <w:top w:val="none" w:sz="0" w:space="0" w:color="auto"/>
        <w:left w:val="none" w:sz="0" w:space="0" w:color="auto"/>
        <w:bottom w:val="none" w:sz="0" w:space="0" w:color="auto"/>
        <w:right w:val="none" w:sz="0" w:space="0" w:color="auto"/>
      </w:divBdr>
    </w:div>
    <w:div w:id="936788836">
      <w:bodyDiv w:val="1"/>
      <w:marLeft w:val="0"/>
      <w:marRight w:val="0"/>
      <w:marTop w:val="0"/>
      <w:marBottom w:val="0"/>
      <w:divBdr>
        <w:top w:val="none" w:sz="0" w:space="0" w:color="auto"/>
        <w:left w:val="none" w:sz="0" w:space="0" w:color="auto"/>
        <w:bottom w:val="none" w:sz="0" w:space="0" w:color="auto"/>
        <w:right w:val="none" w:sz="0" w:space="0" w:color="auto"/>
      </w:divBdr>
    </w:div>
    <w:div w:id="937830112">
      <w:bodyDiv w:val="1"/>
      <w:marLeft w:val="0"/>
      <w:marRight w:val="0"/>
      <w:marTop w:val="0"/>
      <w:marBottom w:val="0"/>
      <w:divBdr>
        <w:top w:val="none" w:sz="0" w:space="0" w:color="auto"/>
        <w:left w:val="none" w:sz="0" w:space="0" w:color="auto"/>
        <w:bottom w:val="none" w:sz="0" w:space="0" w:color="auto"/>
        <w:right w:val="none" w:sz="0" w:space="0" w:color="auto"/>
      </w:divBdr>
    </w:div>
    <w:div w:id="938754117">
      <w:bodyDiv w:val="1"/>
      <w:marLeft w:val="0"/>
      <w:marRight w:val="0"/>
      <w:marTop w:val="0"/>
      <w:marBottom w:val="0"/>
      <w:divBdr>
        <w:top w:val="none" w:sz="0" w:space="0" w:color="auto"/>
        <w:left w:val="none" w:sz="0" w:space="0" w:color="auto"/>
        <w:bottom w:val="none" w:sz="0" w:space="0" w:color="auto"/>
        <w:right w:val="none" w:sz="0" w:space="0" w:color="auto"/>
      </w:divBdr>
    </w:div>
    <w:div w:id="939338031">
      <w:bodyDiv w:val="1"/>
      <w:marLeft w:val="0"/>
      <w:marRight w:val="0"/>
      <w:marTop w:val="0"/>
      <w:marBottom w:val="0"/>
      <w:divBdr>
        <w:top w:val="none" w:sz="0" w:space="0" w:color="auto"/>
        <w:left w:val="none" w:sz="0" w:space="0" w:color="auto"/>
        <w:bottom w:val="none" w:sz="0" w:space="0" w:color="auto"/>
        <w:right w:val="none" w:sz="0" w:space="0" w:color="auto"/>
      </w:divBdr>
    </w:div>
    <w:div w:id="940651070">
      <w:bodyDiv w:val="1"/>
      <w:marLeft w:val="0"/>
      <w:marRight w:val="0"/>
      <w:marTop w:val="0"/>
      <w:marBottom w:val="0"/>
      <w:divBdr>
        <w:top w:val="none" w:sz="0" w:space="0" w:color="auto"/>
        <w:left w:val="none" w:sz="0" w:space="0" w:color="auto"/>
        <w:bottom w:val="none" w:sz="0" w:space="0" w:color="auto"/>
        <w:right w:val="none" w:sz="0" w:space="0" w:color="auto"/>
      </w:divBdr>
    </w:div>
    <w:div w:id="941497104">
      <w:bodyDiv w:val="1"/>
      <w:marLeft w:val="0"/>
      <w:marRight w:val="0"/>
      <w:marTop w:val="0"/>
      <w:marBottom w:val="0"/>
      <w:divBdr>
        <w:top w:val="none" w:sz="0" w:space="0" w:color="auto"/>
        <w:left w:val="none" w:sz="0" w:space="0" w:color="auto"/>
        <w:bottom w:val="none" w:sz="0" w:space="0" w:color="auto"/>
        <w:right w:val="none" w:sz="0" w:space="0" w:color="auto"/>
      </w:divBdr>
    </w:div>
    <w:div w:id="941958418">
      <w:bodyDiv w:val="1"/>
      <w:marLeft w:val="0"/>
      <w:marRight w:val="0"/>
      <w:marTop w:val="0"/>
      <w:marBottom w:val="0"/>
      <w:divBdr>
        <w:top w:val="none" w:sz="0" w:space="0" w:color="auto"/>
        <w:left w:val="none" w:sz="0" w:space="0" w:color="auto"/>
        <w:bottom w:val="none" w:sz="0" w:space="0" w:color="auto"/>
        <w:right w:val="none" w:sz="0" w:space="0" w:color="auto"/>
      </w:divBdr>
    </w:div>
    <w:div w:id="944580674">
      <w:bodyDiv w:val="1"/>
      <w:marLeft w:val="0"/>
      <w:marRight w:val="0"/>
      <w:marTop w:val="0"/>
      <w:marBottom w:val="0"/>
      <w:divBdr>
        <w:top w:val="none" w:sz="0" w:space="0" w:color="auto"/>
        <w:left w:val="none" w:sz="0" w:space="0" w:color="auto"/>
        <w:bottom w:val="none" w:sz="0" w:space="0" w:color="auto"/>
        <w:right w:val="none" w:sz="0" w:space="0" w:color="auto"/>
      </w:divBdr>
    </w:div>
    <w:div w:id="946890577">
      <w:bodyDiv w:val="1"/>
      <w:marLeft w:val="0"/>
      <w:marRight w:val="0"/>
      <w:marTop w:val="0"/>
      <w:marBottom w:val="0"/>
      <w:divBdr>
        <w:top w:val="none" w:sz="0" w:space="0" w:color="auto"/>
        <w:left w:val="none" w:sz="0" w:space="0" w:color="auto"/>
        <w:bottom w:val="none" w:sz="0" w:space="0" w:color="auto"/>
        <w:right w:val="none" w:sz="0" w:space="0" w:color="auto"/>
      </w:divBdr>
    </w:div>
    <w:div w:id="947393335">
      <w:bodyDiv w:val="1"/>
      <w:marLeft w:val="0"/>
      <w:marRight w:val="0"/>
      <w:marTop w:val="0"/>
      <w:marBottom w:val="0"/>
      <w:divBdr>
        <w:top w:val="none" w:sz="0" w:space="0" w:color="auto"/>
        <w:left w:val="none" w:sz="0" w:space="0" w:color="auto"/>
        <w:bottom w:val="none" w:sz="0" w:space="0" w:color="auto"/>
        <w:right w:val="none" w:sz="0" w:space="0" w:color="auto"/>
      </w:divBdr>
    </w:div>
    <w:div w:id="947395745">
      <w:bodyDiv w:val="1"/>
      <w:marLeft w:val="0"/>
      <w:marRight w:val="0"/>
      <w:marTop w:val="0"/>
      <w:marBottom w:val="0"/>
      <w:divBdr>
        <w:top w:val="none" w:sz="0" w:space="0" w:color="auto"/>
        <w:left w:val="none" w:sz="0" w:space="0" w:color="auto"/>
        <w:bottom w:val="none" w:sz="0" w:space="0" w:color="auto"/>
        <w:right w:val="none" w:sz="0" w:space="0" w:color="auto"/>
      </w:divBdr>
    </w:div>
    <w:div w:id="947586137">
      <w:bodyDiv w:val="1"/>
      <w:marLeft w:val="0"/>
      <w:marRight w:val="0"/>
      <w:marTop w:val="0"/>
      <w:marBottom w:val="0"/>
      <w:divBdr>
        <w:top w:val="none" w:sz="0" w:space="0" w:color="auto"/>
        <w:left w:val="none" w:sz="0" w:space="0" w:color="auto"/>
        <w:bottom w:val="none" w:sz="0" w:space="0" w:color="auto"/>
        <w:right w:val="none" w:sz="0" w:space="0" w:color="auto"/>
      </w:divBdr>
    </w:div>
    <w:div w:id="948004771">
      <w:bodyDiv w:val="1"/>
      <w:marLeft w:val="0"/>
      <w:marRight w:val="0"/>
      <w:marTop w:val="0"/>
      <w:marBottom w:val="0"/>
      <w:divBdr>
        <w:top w:val="none" w:sz="0" w:space="0" w:color="auto"/>
        <w:left w:val="none" w:sz="0" w:space="0" w:color="auto"/>
        <w:bottom w:val="none" w:sz="0" w:space="0" w:color="auto"/>
        <w:right w:val="none" w:sz="0" w:space="0" w:color="auto"/>
      </w:divBdr>
    </w:div>
    <w:div w:id="948391897">
      <w:bodyDiv w:val="1"/>
      <w:marLeft w:val="0"/>
      <w:marRight w:val="0"/>
      <w:marTop w:val="0"/>
      <w:marBottom w:val="0"/>
      <w:divBdr>
        <w:top w:val="none" w:sz="0" w:space="0" w:color="auto"/>
        <w:left w:val="none" w:sz="0" w:space="0" w:color="auto"/>
        <w:bottom w:val="none" w:sz="0" w:space="0" w:color="auto"/>
        <w:right w:val="none" w:sz="0" w:space="0" w:color="auto"/>
      </w:divBdr>
    </w:div>
    <w:div w:id="949430672">
      <w:bodyDiv w:val="1"/>
      <w:marLeft w:val="0"/>
      <w:marRight w:val="0"/>
      <w:marTop w:val="0"/>
      <w:marBottom w:val="0"/>
      <w:divBdr>
        <w:top w:val="none" w:sz="0" w:space="0" w:color="auto"/>
        <w:left w:val="none" w:sz="0" w:space="0" w:color="auto"/>
        <w:bottom w:val="none" w:sz="0" w:space="0" w:color="auto"/>
        <w:right w:val="none" w:sz="0" w:space="0" w:color="auto"/>
      </w:divBdr>
    </w:div>
    <w:div w:id="949508588">
      <w:bodyDiv w:val="1"/>
      <w:marLeft w:val="0"/>
      <w:marRight w:val="0"/>
      <w:marTop w:val="0"/>
      <w:marBottom w:val="0"/>
      <w:divBdr>
        <w:top w:val="none" w:sz="0" w:space="0" w:color="auto"/>
        <w:left w:val="none" w:sz="0" w:space="0" w:color="auto"/>
        <w:bottom w:val="none" w:sz="0" w:space="0" w:color="auto"/>
        <w:right w:val="none" w:sz="0" w:space="0" w:color="auto"/>
      </w:divBdr>
    </w:div>
    <w:div w:id="950358344">
      <w:bodyDiv w:val="1"/>
      <w:marLeft w:val="0"/>
      <w:marRight w:val="0"/>
      <w:marTop w:val="0"/>
      <w:marBottom w:val="0"/>
      <w:divBdr>
        <w:top w:val="none" w:sz="0" w:space="0" w:color="auto"/>
        <w:left w:val="none" w:sz="0" w:space="0" w:color="auto"/>
        <w:bottom w:val="none" w:sz="0" w:space="0" w:color="auto"/>
        <w:right w:val="none" w:sz="0" w:space="0" w:color="auto"/>
      </w:divBdr>
    </w:div>
    <w:div w:id="951981200">
      <w:bodyDiv w:val="1"/>
      <w:marLeft w:val="0"/>
      <w:marRight w:val="0"/>
      <w:marTop w:val="0"/>
      <w:marBottom w:val="0"/>
      <w:divBdr>
        <w:top w:val="none" w:sz="0" w:space="0" w:color="auto"/>
        <w:left w:val="none" w:sz="0" w:space="0" w:color="auto"/>
        <w:bottom w:val="none" w:sz="0" w:space="0" w:color="auto"/>
        <w:right w:val="none" w:sz="0" w:space="0" w:color="auto"/>
      </w:divBdr>
    </w:div>
    <w:div w:id="953756998">
      <w:bodyDiv w:val="1"/>
      <w:marLeft w:val="0"/>
      <w:marRight w:val="0"/>
      <w:marTop w:val="0"/>
      <w:marBottom w:val="0"/>
      <w:divBdr>
        <w:top w:val="none" w:sz="0" w:space="0" w:color="auto"/>
        <w:left w:val="none" w:sz="0" w:space="0" w:color="auto"/>
        <w:bottom w:val="none" w:sz="0" w:space="0" w:color="auto"/>
        <w:right w:val="none" w:sz="0" w:space="0" w:color="auto"/>
      </w:divBdr>
    </w:div>
    <w:div w:id="954479831">
      <w:bodyDiv w:val="1"/>
      <w:marLeft w:val="0"/>
      <w:marRight w:val="0"/>
      <w:marTop w:val="0"/>
      <w:marBottom w:val="0"/>
      <w:divBdr>
        <w:top w:val="none" w:sz="0" w:space="0" w:color="auto"/>
        <w:left w:val="none" w:sz="0" w:space="0" w:color="auto"/>
        <w:bottom w:val="none" w:sz="0" w:space="0" w:color="auto"/>
        <w:right w:val="none" w:sz="0" w:space="0" w:color="auto"/>
      </w:divBdr>
    </w:div>
    <w:div w:id="954599841">
      <w:bodyDiv w:val="1"/>
      <w:marLeft w:val="0"/>
      <w:marRight w:val="0"/>
      <w:marTop w:val="0"/>
      <w:marBottom w:val="0"/>
      <w:divBdr>
        <w:top w:val="none" w:sz="0" w:space="0" w:color="auto"/>
        <w:left w:val="none" w:sz="0" w:space="0" w:color="auto"/>
        <w:bottom w:val="none" w:sz="0" w:space="0" w:color="auto"/>
        <w:right w:val="none" w:sz="0" w:space="0" w:color="auto"/>
      </w:divBdr>
    </w:div>
    <w:div w:id="954748956">
      <w:bodyDiv w:val="1"/>
      <w:marLeft w:val="0"/>
      <w:marRight w:val="0"/>
      <w:marTop w:val="0"/>
      <w:marBottom w:val="0"/>
      <w:divBdr>
        <w:top w:val="none" w:sz="0" w:space="0" w:color="auto"/>
        <w:left w:val="none" w:sz="0" w:space="0" w:color="auto"/>
        <w:bottom w:val="none" w:sz="0" w:space="0" w:color="auto"/>
        <w:right w:val="none" w:sz="0" w:space="0" w:color="auto"/>
      </w:divBdr>
    </w:div>
    <w:div w:id="954749423">
      <w:bodyDiv w:val="1"/>
      <w:marLeft w:val="0"/>
      <w:marRight w:val="0"/>
      <w:marTop w:val="0"/>
      <w:marBottom w:val="0"/>
      <w:divBdr>
        <w:top w:val="none" w:sz="0" w:space="0" w:color="auto"/>
        <w:left w:val="none" w:sz="0" w:space="0" w:color="auto"/>
        <w:bottom w:val="none" w:sz="0" w:space="0" w:color="auto"/>
        <w:right w:val="none" w:sz="0" w:space="0" w:color="auto"/>
      </w:divBdr>
    </w:div>
    <w:div w:id="956177095">
      <w:bodyDiv w:val="1"/>
      <w:marLeft w:val="0"/>
      <w:marRight w:val="0"/>
      <w:marTop w:val="0"/>
      <w:marBottom w:val="0"/>
      <w:divBdr>
        <w:top w:val="none" w:sz="0" w:space="0" w:color="auto"/>
        <w:left w:val="none" w:sz="0" w:space="0" w:color="auto"/>
        <w:bottom w:val="none" w:sz="0" w:space="0" w:color="auto"/>
        <w:right w:val="none" w:sz="0" w:space="0" w:color="auto"/>
      </w:divBdr>
    </w:div>
    <w:div w:id="956330224">
      <w:bodyDiv w:val="1"/>
      <w:marLeft w:val="0"/>
      <w:marRight w:val="0"/>
      <w:marTop w:val="0"/>
      <w:marBottom w:val="0"/>
      <w:divBdr>
        <w:top w:val="none" w:sz="0" w:space="0" w:color="auto"/>
        <w:left w:val="none" w:sz="0" w:space="0" w:color="auto"/>
        <w:bottom w:val="none" w:sz="0" w:space="0" w:color="auto"/>
        <w:right w:val="none" w:sz="0" w:space="0" w:color="auto"/>
      </w:divBdr>
    </w:div>
    <w:div w:id="957028841">
      <w:bodyDiv w:val="1"/>
      <w:marLeft w:val="0"/>
      <w:marRight w:val="0"/>
      <w:marTop w:val="0"/>
      <w:marBottom w:val="0"/>
      <w:divBdr>
        <w:top w:val="none" w:sz="0" w:space="0" w:color="auto"/>
        <w:left w:val="none" w:sz="0" w:space="0" w:color="auto"/>
        <w:bottom w:val="none" w:sz="0" w:space="0" w:color="auto"/>
        <w:right w:val="none" w:sz="0" w:space="0" w:color="auto"/>
      </w:divBdr>
    </w:div>
    <w:div w:id="957183703">
      <w:bodyDiv w:val="1"/>
      <w:marLeft w:val="0"/>
      <w:marRight w:val="0"/>
      <w:marTop w:val="0"/>
      <w:marBottom w:val="0"/>
      <w:divBdr>
        <w:top w:val="none" w:sz="0" w:space="0" w:color="auto"/>
        <w:left w:val="none" w:sz="0" w:space="0" w:color="auto"/>
        <w:bottom w:val="none" w:sz="0" w:space="0" w:color="auto"/>
        <w:right w:val="none" w:sz="0" w:space="0" w:color="auto"/>
      </w:divBdr>
    </w:div>
    <w:div w:id="958492405">
      <w:bodyDiv w:val="1"/>
      <w:marLeft w:val="0"/>
      <w:marRight w:val="0"/>
      <w:marTop w:val="0"/>
      <w:marBottom w:val="0"/>
      <w:divBdr>
        <w:top w:val="none" w:sz="0" w:space="0" w:color="auto"/>
        <w:left w:val="none" w:sz="0" w:space="0" w:color="auto"/>
        <w:bottom w:val="none" w:sz="0" w:space="0" w:color="auto"/>
        <w:right w:val="none" w:sz="0" w:space="0" w:color="auto"/>
      </w:divBdr>
    </w:div>
    <w:div w:id="960301634">
      <w:bodyDiv w:val="1"/>
      <w:marLeft w:val="0"/>
      <w:marRight w:val="0"/>
      <w:marTop w:val="0"/>
      <w:marBottom w:val="0"/>
      <w:divBdr>
        <w:top w:val="none" w:sz="0" w:space="0" w:color="auto"/>
        <w:left w:val="none" w:sz="0" w:space="0" w:color="auto"/>
        <w:bottom w:val="none" w:sz="0" w:space="0" w:color="auto"/>
        <w:right w:val="none" w:sz="0" w:space="0" w:color="auto"/>
      </w:divBdr>
    </w:div>
    <w:div w:id="960771713">
      <w:bodyDiv w:val="1"/>
      <w:marLeft w:val="0"/>
      <w:marRight w:val="0"/>
      <w:marTop w:val="0"/>
      <w:marBottom w:val="0"/>
      <w:divBdr>
        <w:top w:val="none" w:sz="0" w:space="0" w:color="auto"/>
        <w:left w:val="none" w:sz="0" w:space="0" w:color="auto"/>
        <w:bottom w:val="none" w:sz="0" w:space="0" w:color="auto"/>
        <w:right w:val="none" w:sz="0" w:space="0" w:color="auto"/>
      </w:divBdr>
    </w:div>
    <w:div w:id="961421776">
      <w:bodyDiv w:val="1"/>
      <w:marLeft w:val="0"/>
      <w:marRight w:val="0"/>
      <w:marTop w:val="0"/>
      <w:marBottom w:val="0"/>
      <w:divBdr>
        <w:top w:val="none" w:sz="0" w:space="0" w:color="auto"/>
        <w:left w:val="none" w:sz="0" w:space="0" w:color="auto"/>
        <w:bottom w:val="none" w:sz="0" w:space="0" w:color="auto"/>
        <w:right w:val="none" w:sz="0" w:space="0" w:color="auto"/>
      </w:divBdr>
    </w:div>
    <w:div w:id="963584103">
      <w:bodyDiv w:val="1"/>
      <w:marLeft w:val="0"/>
      <w:marRight w:val="0"/>
      <w:marTop w:val="0"/>
      <w:marBottom w:val="0"/>
      <w:divBdr>
        <w:top w:val="none" w:sz="0" w:space="0" w:color="auto"/>
        <w:left w:val="none" w:sz="0" w:space="0" w:color="auto"/>
        <w:bottom w:val="none" w:sz="0" w:space="0" w:color="auto"/>
        <w:right w:val="none" w:sz="0" w:space="0" w:color="auto"/>
      </w:divBdr>
    </w:div>
    <w:div w:id="963778425">
      <w:bodyDiv w:val="1"/>
      <w:marLeft w:val="0"/>
      <w:marRight w:val="0"/>
      <w:marTop w:val="0"/>
      <w:marBottom w:val="0"/>
      <w:divBdr>
        <w:top w:val="none" w:sz="0" w:space="0" w:color="auto"/>
        <w:left w:val="none" w:sz="0" w:space="0" w:color="auto"/>
        <w:bottom w:val="none" w:sz="0" w:space="0" w:color="auto"/>
        <w:right w:val="none" w:sz="0" w:space="0" w:color="auto"/>
      </w:divBdr>
    </w:div>
    <w:div w:id="963803624">
      <w:bodyDiv w:val="1"/>
      <w:marLeft w:val="0"/>
      <w:marRight w:val="0"/>
      <w:marTop w:val="0"/>
      <w:marBottom w:val="0"/>
      <w:divBdr>
        <w:top w:val="none" w:sz="0" w:space="0" w:color="auto"/>
        <w:left w:val="none" w:sz="0" w:space="0" w:color="auto"/>
        <w:bottom w:val="none" w:sz="0" w:space="0" w:color="auto"/>
        <w:right w:val="none" w:sz="0" w:space="0" w:color="auto"/>
      </w:divBdr>
    </w:div>
    <w:div w:id="964119202">
      <w:bodyDiv w:val="1"/>
      <w:marLeft w:val="0"/>
      <w:marRight w:val="0"/>
      <w:marTop w:val="0"/>
      <w:marBottom w:val="0"/>
      <w:divBdr>
        <w:top w:val="none" w:sz="0" w:space="0" w:color="auto"/>
        <w:left w:val="none" w:sz="0" w:space="0" w:color="auto"/>
        <w:bottom w:val="none" w:sz="0" w:space="0" w:color="auto"/>
        <w:right w:val="none" w:sz="0" w:space="0" w:color="auto"/>
      </w:divBdr>
    </w:div>
    <w:div w:id="964314110">
      <w:bodyDiv w:val="1"/>
      <w:marLeft w:val="0"/>
      <w:marRight w:val="0"/>
      <w:marTop w:val="0"/>
      <w:marBottom w:val="0"/>
      <w:divBdr>
        <w:top w:val="none" w:sz="0" w:space="0" w:color="auto"/>
        <w:left w:val="none" w:sz="0" w:space="0" w:color="auto"/>
        <w:bottom w:val="none" w:sz="0" w:space="0" w:color="auto"/>
        <w:right w:val="none" w:sz="0" w:space="0" w:color="auto"/>
      </w:divBdr>
    </w:div>
    <w:div w:id="964388520">
      <w:bodyDiv w:val="1"/>
      <w:marLeft w:val="0"/>
      <w:marRight w:val="0"/>
      <w:marTop w:val="0"/>
      <w:marBottom w:val="0"/>
      <w:divBdr>
        <w:top w:val="none" w:sz="0" w:space="0" w:color="auto"/>
        <w:left w:val="none" w:sz="0" w:space="0" w:color="auto"/>
        <w:bottom w:val="none" w:sz="0" w:space="0" w:color="auto"/>
        <w:right w:val="none" w:sz="0" w:space="0" w:color="auto"/>
      </w:divBdr>
    </w:div>
    <w:div w:id="965157448">
      <w:bodyDiv w:val="1"/>
      <w:marLeft w:val="0"/>
      <w:marRight w:val="0"/>
      <w:marTop w:val="0"/>
      <w:marBottom w:val="0"/>
      <w:divBdr>
        <w:top w:val="none" w:sz="0" w:space="0" w:color="auto"/>
        <w:left w:val="none" w:sz="0" w:space="0" w:color="auto"/>
        <w:bottom w:val="none" w:sz="0" w:space="0" w:color="auto"/>
        <w:right w:val="none" w:sz="0" w:space="0" w:color="auto"/>
      </w:divBdr>
    </w:div>
    <w:div w:id="966011916">
      <w:bodyDiv w:val="1"/>
      <w:marLeft w:val="0"/>
      <w:marRight w:val="0"/>
      <w:marTop w:val="0"/>
      <w:marBottom w:val="0"/>
      <w:divBdr>
        <w:top w:val="none" w:sz="0" w:space="0" w:color="auto"/>
        <w:left w:val="none" w:sz="0" w:space="0" w:color="auto"/>
        <w:bottom w:val="none" w:sz="0" w:space="0" w:color="auto"/>
        <w:right w:val="none" w:sz="0" w:space="0" w:color="auto"/>
      </w:divBdr>
    </w:div>
    <w:div w:id="966351700">
      <w:bodyDiv w:val="1"/>
      <w:marLeft w:val="0"/>
      <w:marRight w:val="0"/>
      <w:marTop w:val="0"/>
      <w:marBottom w:val="0"/>
      <w:divBdr>
        <w:top w:val="none" w:sz="0" w:space="0" w:color="auto"/>
        <w:left w:val="none" w:sz="0" w:space="0" w:color="auto"/>
        <w:bottom w:val="none" w:sz="0" w:space="0" w:color="auto"/>
        <w:right w:val="none" w:sz="0" w:space="0" w:color="auto"/>
      </w:divBdr>
    </w:div>
    <w:div w:id="966858886">
      <w:bodyDiv w:val="1"/>
      <w:marLeft w:val="0"/>
      <w:marRight w:val="0"/>
      <w:marTop w:val="0"/>
      <w:marBottom w:val="0"/>
      <w:divBdr>
        <w:top w:val="none" w:sz="0" w:space="0" w:color="auto"/>
        <w:left w:val="none" w:sz="0" w:space="0" w:color="auto"/>
        <w:bottom w:val="none" w:sz="0" w:space="0" w:color="auto"/>
        <w:right w:val="none" w:sz="0" w:space="0" w:color="auto"/>
      </w:divBdr>
    </w:div>
    <w:div w:id="968587706">
      <w:bodyDiv w:val="1"/>
      <w:marLeft w:val="0"/>
      <w:marRight w:val="0"/>
      <w:marTop w:val="0"/>
      <w:marBottom w:val="0"/>
      <w:divBdr>
        <w:top w:val="none" w:sz="0" w:space="0" w:color="auto"/>
        <w:left w:val="none" w:sz="0" w:space="0" w:color="auto"/>
        <w:bottom w:val="none" w:sz="0" w:space="0" w:color="auto"/>
        <w:right w:val="none" w:sz="0" w:space="0" w:color="auto"/>
      </w:divBdr>
    </w:div>
    <w:div w:id="970592531">
      <w:bodyDiv w:val="1"/>
      <w:marLeft w:val="0"/>
      <w:marRight w:val="0"/>
      <w:marTop w:val="0"/>
      <w:marBottom w:val="0"/>
      <w:divBdr>
        <w:top w:val="none" w:sz="0" w:space="0" w:color="auto"/>
        <w:left w:val="none" w:sz="0" w:space="0" w:color="auto"/>
        <w:bottom w:val="none" w:sz="0" w:space="0" w:color="auto"/>
        <w:right w:val="none" w:sz="0" w:space="0" w:color="auto"/>
      </w:divBdr>
    </w:div>
    <w:div w:id="970671057">
      <w:bodyDiv w:val="1"/>
      <w:marLeft w:val="0"/>
      <w:marRight w:val="0"/>
      <w:marTop w:val="0"/>
      <w:marBottom w:val="0"/>
      <w:divBdr>
        <w:top w:val="none" w:sz="0" w:space="0" w:color="auto"/>
        <w:left w:val="none" w:sz="0" w:space="0" w:color="auto"/>
        <w:bottom w:val="none" w:sz="0" w:space="0" w:color="auto"/>
        <w:right w:val="none" w:sz="0" w:space="0" w:color="auto"/>
      </w:divBdr>
    </w:div>
    <w:div w:id="970865726">
      <w:bodyDiv w:val="1"/>
      <w:marLeft w:val="0"/>
      <w:marRight w:val="0"/>
      <w:marTop w:val="0"/>
      <w:marBottom w:val="0"/>
      <w:divBdr>
        <w:top w:val="none" w:sz="0" w:space="0" w:color="auto"/>
        <w:left w:val="none" w:sz="0" w:space="0" w:color="auto"/>
        <w:bottom w:val="none" w:sz="0" w:space="0" w:color="auto"/>
        <w:right w:val="none" w:sz="0" w:space="0" w:color="auto"/>
      </w:divBdr>
    </w:div>
    <w:div w:id="973633306">
      <w:bodyDiv w:val="1"/>
      <w:marLeft w:val="0"/>
      <w:marRight w:val="0"/>
      <w:marTop w:val="0"/>
      <w:marBottom w:val="0"/>
      <w:divBdr>
        <w:top w:val="none" w:sz="0" w:space="0" w:color="auto"/>
        <w:left w:val="none" w:sz="0" w:space="0" w:color="auto"/>
        <w:bottom w:val="none" w:sz="0" w:space="0" w:color="auto"/>
        <w:right w:val="none" w:sz="0" w:space="0" w:color="auto"/>
      </w:divBdr>
    </w:div>
    <w:div w:id="974264049">
      <w:bodyDiv w:val="1"/>
      <w:marLeft w:val="0"/>
      <w:marRight w:val="0"/>
      <w:marTop w:val="0"/>
      <w:marBottom w:val="0"/>
      <w:divBdr>
        <w:top w:val="none" w:sz="0" w:space="0" w:color="auto"/>
        <w:left w:val="none" w:sz="0" w:space="0" w:color="auto"/>
        <w:bottom w:val="none" w:sz="0" w:space="0" w:color="auto"/>
        <w:right w:val="none" w:sz="0" w:space="0" w:color="auto"/>
      </w:divBdr>
    </w:div>
    <w:div w:id="974413703">
      <w:bodyDiv w:val="1"/>
      <w:marLeft w:val="0"/>
      <w:marRight w:val="0"/>
      <w:marTop w:val="0"/>
      <w:marBottom w:val="0"/>
      <w:divBdr>
        <w:top w:val="none" w:sz="0" w:space="0" w:color="auto"/>
        <w:left w:val="none" w:sz="0" w:space="0" w:color="auto"/>
        <w:bottom w:val="none" w:sz="0" w:space="0" w:color="auto"/>
        <w:right w:val="none" w:sz="0" w:space="0" w:color="auto"/>
      </w:divBdr>
    </w:div>
    <w:div w:id="975643532">
      <w:bodyDiv w:val="1"/>
      <w:marLeft w:val="0"/>
      <w:marRight w:val="0"/>
      <w:marTop w:val="0"/>
      <w:marBottom w:val="0"/>
      <w:divBdr>
        <w:top w:val="none" w:sz="0" w:space="0" w:color="auto"/>
        <w:left w:val="none" w:sz="0" w:space="0" w:color="auto"/>
        <w:bottom w:val="none" w:sz="0" w:space="0" w:color="auto"/>
        <w:right w:val="none" w:sz="0" w:space="0" w:color="auto"/>
      </w:divBdr>
    </w:div>
    <w:div w:id="976371571">
      <w:bodyDiv w:val="1"/>
      <w:marLeft w:val="0"/>
      <w:marRight w:val="0"/>
      <w:marTop w:val="0"/>
      <w:marBottom w:val="0"/>
      <w:divBdr>
        <w:top w:val="none" w:sz="0" w:space="0" w:color="auto"/>
        <w:left w:val="none" w:sz="0" w:space="0" w:color="auto"/>
        <w:bottom w:val="none" w:sz="0" w:space="0" w:color="auto"/>
        <w:right w:val="none" w:sz="0" w:space="0" w:color="auto"/>
      </w:divBdr>
    </w:div>
    <w:div w:id="977106302">
      <w:bodyDiv w:val="1"/>
      <w:marLeft w:val="0"/>
      <w:marRight w:val="0"/>
      <w:marTop w:val="0"/>
      <w:marBottom w:val="0"/>
      <w:divBdr>
        <w:top w:val="none" w:sz="0" w:space="0" w:color="auto"/>
        <w:left w:val="none" w:sz="0" w:space="0" w:color="auto"/>
        <w:bottom w:val="none" w:sz="0" w:space="0" w:color="auto"/>
        <w:right w:val="none" w:sz="0" w:space="0" w:color="auto"/>
      </w:divBdr>
    </w:div>
    <w:div w:id="977299355">
      <w:bodyDiv w:val="1"/>
      <w:marLeft w:val="0"/>
      <w:marRight w:val="0"/>
      <w:marTop w:val="0"/>
      <w:marBottom w:val="0"/>
      <w:divBdr>
        <w:top w:val="none" w:sz="0" w:space="0" w:color="auto"/>
        <w:left w:val="none" w:sz="0" w:space="0" w:color="auto"/>
        <w:bottom w:val="none" w:sz="0" w:space="0" w:color="auto"/>
        <w:right w:val="none" w:sz="0" w:space="0" w:color="auto"/>
      </w:divBdr>
    </w:div>
    <w:div w:id="977805276">
      <w:bodyDiv w:val="1"/>
      <w:marLeft w:val="0"/>
      <w:marRight w:val="0"/>
      <w:marTop w:val="0"/>
      <w:marBottom w:val="0"/>
      <w:divBdr>
        <w:top w:val="none" w:sz="0" w:space="0" w:color="auto"/>
        <w:left w:val="none" w:sz="0" w:space="0" w:color="auto"/>
        <w:bottom w:val="none" w:sz="0" w:space="0" w:color="auto"/>
        <w:right w:val="none" w:sz="0" w:space="0" w:color="auto"/>
      </w:divBdr>
    </w:div>
    <w:div w:id="978462884">
      <w:bodyDiv w:val="1"/>
      <w:marLeft w:val="0"/>
      <w:marRight w:val="0"/>
      <w:marTop w:val="0"/>
      <w:marBottom w:val="0"/>
      <w:divBdr>
        <w:top w:val="none" w:sz="0" w:space="0" w:color="auto"/>
        <w:left w:val="none" w:sz="0" w:space="0" w:color="auto"/>
        <w:bottom w:val="none" w:sz="0" w:space="0" w:color="auto"/>
        <w:right w:val="none" w:sz="0" w:space="0" w:color="auto"/>
      </w:divBdr>
    </w:div>
    <w:div w:id="978536417">
      <w:bodyDiv w:val="1"/>
      <w:marLeft w:val="0"/>
      <w:marRight w:val="0"/>
      <w:marTop w:val="0"/>
      <w:marBottom w:val="0"/>
      <w:divBdr>
        <w:top w:val="none" w:sz="0" w:space="0" w:color="auto"/>
        <w:left w:val="none" w:sz="0" w:space="0" w:color="auto"/>
        <w:bottom w:val="none" w:sz="0" w:space="0" w:color="auto"/>
        <w:right w:val="none" w:sz="0" w:space="0" w:color="auto"/>
      </w:divBdr>
    </w:div>
    <w:div w:id="978725486">
      <w:bodyDiv w:val="1"/>
      <w:marLeft w:val="0"/>
      <w:marRight w:val="0"/>
      <w:marTop w:val="0"/>
      <w:marBottom w:val="0"/>
      <w:divBdr>
        <w:top w:val="none" w:sz="0" w:space="0" w:color="auto"/>
        <w:left w:val="none" w:sz="0" w:space="0" w:color="auto"/>
        <w:bottom w:val="none" w:sz="0" w:space="0" w:color="auto"/>
        <w:right w:val="none" w:sz="0" w:space="0" w:color="auto"/>
      </w:divBdr>
    </w:div>
    <w:div w:id="980043164">
      <w:bodyDiv w:val="1"/>
      <w:marLeft w:val="0"/>
      <w:marRight w:val="0"/>
      <w:marTop w:val="0"/>
      <w:marBottom w:val="0"/>
      <w:divBdr>
        <w:top w:val="none" w:sz="0" w:space="0" w:color="auto"/>
        <w:left w:val="none" w:sz="0" w:space="0" w:color="auto"/>
        <w:bottom w:val="none" w:sz="0" w:space="0" w:color="auto"/>
        <w:right w:val="none" w:sz="0" w:space="0" w:color="auto"/>
      </w:divBdr>
    </w:div>
    <w:div w:id="980425817">
      <w:bodyDiv w:val="1"/>
      <w:marLeft w:val="0"/>
      <w:marRight w:val="0"/>
      <w:marTop w:val="0"/>
      <w:marBottom w:val="0"/>
      <w:divBdr>
        <w:top w:val="none" w:sz="0" w:space="0" w:color="auto"/>
        <w:left w:val="none" w:sz="0" w:space="0" w:color="auto"/>
        <w:bottom w:val="none" w:sz="0" w:space="0" w:color="auto"/>
        <w:right w:val="none" w:sz="0" w:space="0" w:color="auto"/>
      </w:divBdr>
    </w:div>
    <w:div w:id="981036325">
      <w:bodyDiv w:val="1"/>
      <w:marLeft w:val="0"/>
      <w:marRight w:val="0"/>
      <w:marTop w:val="0"/>
      <w:marBottom w:val="0"/>
      <w:divBdr>
        <w:top w:val="none" w:sz="0" w:space="0" w:color="auto"/>
        <w:left w:val="none" w:sz="0" w:space="0" w:color="auto"/>
        <w:bottom w:val="none" w:sz="0" w:space="0" w:color="auto"/>
        <w:right w:val="none" w:sz="0" w:space="0" w:color="auto"/>
      </w:divBdr>
    </w:div>
    <w:div w:id="981038030">
      <w:bodyDiv w:val="1"/>
      <w:marLeft w:val="0"/>
      <w:marRight w:val="0"/>
      <w:marTop w:val="0"/>
      <w:marBottom w:val="0"/>
      <w:divBdr>
        <w:top w:val="none" w:sz="0" w:space="0" w:color="auto"/>
        <w:left w:val="none" w:sz="0" w:space="0" w:color="auto"/>
        <w:bottom w:val="none" w:sz="0" w:space="0" w:color="auto"/>
        <w:right w:val="none" w:sz="0" w:space="0" w:color="auto"/>
      </w:divBdr>
    </w:div>
    <w:div w:id="983201902">
      <w:bodyDiv w:val="1"/>
      <w:marLeft w:val="0"/>
      <w:marRight w:val="0"/>
      <w:marTop w:val="0"/>
      <w:marBottom w:val="0"/>
      <w:divBdr>
        <w:top w:val="none" w:sz="0" w:space="0" w:color="auto"/>
        <w:left w:val="none" w:sz="0" w:space="0" w:color="auto"/>
        <w:bottom w:val="none" w:sz="0" w:space="0" w:color="auto"/>
        <w:right w:val="none" w:sz="0" w:space="0" w:color="auto"/>
      </w:divBdr>
    </w:div>
    <w:div w:id="984967239">
      <w:bodyDiv w:val="1"/>
      <w:marLeft w:val="0"/>
      <w:marRight w:val="0"/>
      <w:marTop w:val="0"/>
      <w:marBottom w:val="0"/>
      <w:divBdr>
        <w:top w:val="none" w:sz="0" w:space="0" w:color="auto"/>
        <w:left w:val="none" w:sz="0" w:space="0" w:color="auto"/>
        <w:bottom w:val="none" w:sz="0" w:space="0" w:color="auto"/>
        <w:right w:val="none" w:sz="0" w:space="0" w:color="auto"/>
      </w:divBdr>
    </w:div>
    <w:div w:id="986980574">
      <w:bodyDiv w:val="1"/>
      <w:marLeft w:val="0"/>
      <w:marRight w:val="0"/>
      <w:marTop w:val="0"/>
      <w:marBottom w:val="0"/>
      <w:divBdr>
        <w:top w:val="none" w:sz="0" w:space="0" w:color="auto"/>
        <w:left w:val="none" w:sz="0" w:space="0" w:color="auto"/>
        <w:bottom w:val="none" w:sz="0" w:space="0" w:color="auto"/>
        <w:right w:val="none" w:sz="0" w:space="0" w:color="auto"/>
      </w:divBdr>
    </w:div>
    <w:div w:id="987250313">
      <w:bodyDiv w:val="1"/>
      <w:marLeft w:val="0"/>
      <w:marRight w:val="0"/>
      <w:marTop w:val="0"/>
      <w:marBottom w:val="0"/>
      <w:divBdr>
        <w:top w:val="none" w:sz="0" w:space="0" w:color="auto"/>
        <w:left w:val="none" w:sz="0" w:space="0" w:color="auto"/>
        <w:bottom w:val="none" w:sz="0" w:space="0" w:color="auto"/>
        <w:right w:val="none" w:sz="0" w:space="0" w:color="auto"/>
      </w:divBdr>
    </w:div>
    <w:div w:id="988249868">
      <w:bodyDiv w:val="1"/>
      <w:marLeft w:val="0"/>
      <w:marRight w:val="0"/>
      <w:marTop w:val="0"/>
      <w:marBottom w:val="0"/>
      <w:divBdr>
        <w:top w:val="none" w:sz="0" w:space="0" w:color="auto"/>
        <w:left w:val="none" w:sz="0" w:space="0" w:color="auto"/>
        <w:bottom w:val="none" w:sz="0" w:space="0" w:color="auto"/>
        <w:right w:val="none" w:sz="0" w:space="0" w:color="auto"/>
      </w:divBdr>
    </w:div>
    <w:div w:id="989090724">
      <w:bodyDiv w:val="1"/>
      <w:marLeft w:val="0"/>
      <w:marRight w:val="0"/>
      <w:marTop w:val="0"/>
      <w:marBottom w:val="0"/>
      <w:divBdr>
        <w:top w:val="none" w:sz="0" w:space="0" w:color="auto"/>
        <w:left w:val="none" w:sz="0" w:space="0" w:color="auto"/>
        <w:bottom w:val="none" w:sz="0" w:space="0" w:color="auto"/>
        <w:right w:val="none" w:sz="0" w:space="0" w:color="auto"/>
      </w:divBdr>
    </w:div>
    <w:div w:id="989289438">
      <w:bodyDiv w:val="1"/>
      <w:marLeft w:val="0"/>
      <w:marRight w:val="0"/>
      <w:marTop w:val="0"/>
      <w:marBottom w:val="0"/>
      <w:divBdr>
        <w:top w:val="none" w:sz="0" w:space="0" w:color="auto"/>
        <w:left w:val="none" w:sz="0" w:space="0" w:color="auto"/>
        <w:bottom w:val="none" w:sz="0" w:space="0" w:color="auto"/>
        <w:right w:val="none" w:sz="0" w:space="0" w:color="auto"/>
      </w:divBdr>
    </w:div>
    <w:div w:id="989480931">
      <w:bodyDiv w:val="1"/>
      <w:marLeft w:val="0"/>
      <w:marRight w:val="0"/>
      <w:marTop w:val="0"/>
      <w:marBottom w:val="0"/>
      <w:divBdr>
        <w:top w:val="none" w:sz="0" w:space="0" w:color="auto"/>
        <w:left w:val="none" w:sz="0" w:space="0" w:color="auto"/>
        <w:bottom w:val="none" w:sz="0" w:space="0" w:color="auto"/>
        <w:right w:val="none" w:sz="0" w:space="0" w:color="auto"/>
      </w:divBdr>
    </w:div>
    <w:div w:id="990870797">
      <w:bodyDiv w:val="1"/>
      <w:marLeft w:val="0"/>
      <w:marRight w:val="0"/>
      <w:marTop w:val="0"/>
      <w:marBottom w:val="0"/>
      <w:divBdr>
        <w:top w:val="none" w:sz="0" w:space="0" w:color="auto"/>
        <w:left w:val="none" w:sz="0" w:space="0" w:color="auto"/>
        <w:bottom w:val="none" w:sz="0" w:space="0" w:color="auto"/>
        <w:right w:val="none" w:sz="0" w:space="0" w:color="auto"/>
      </w:divBdr>
    </w:div>
    <w:div w:id="991300709">
      <w:bodyDiv w:val="1"/>
      <w:marLeft w:val="0"/>
      <w:marRight w:val="0"/>
      <w:marTop w:val="0"/>
      <w:marBottom w:val="0"/>
      <w:divBdr>
        <w:top w:val="none" w:sz="0" w:space="0" w:color="auto"/>
        <w:left w:val="none" w:sz="0" w:space="0" w:color="auto"/>
        <w:bottom w:val="none" w:sz="0" w:space="0" w:color="auto"/>
        <w:right w:val="none" w:sz="0" w:space="0" w:color="auto"/>
      </w:divBdr>
    </w:div>
    <w:div w:id="993219543">
      <w:bodyDiv w:val="1"/>
      <w:marLeft w:val="0"/>
      <w:marRight w:val="0"/>
      <w:marTop w:val="0"/>
      <w:marBottom w:val="0"/>
      <w:divBdr>
        <w:top w:val="none" w:sz="0" w:space="0" w:color="auto"/>
        <w:left w:val="none" w:sz="0" w:space="0" w:color="auto"/>
        <w:bottom w:val="none" w:sz="0" w:space="0" w:color="auto"/>
        <w:right w:val="none" w:sz="0" w:space="0" w:color="auto"/>
      </w:divBdr>
    </w:div>
    <w:div w:id="995182076">
      <w:bodyDiv w:val="1"/>
      <w:marLeft w:val="0"/>
      <w:marRight w:val="0"/>
      <w:marTop w:val="0"/>
      <w:marBottom w:val="0"/>
      <w:divBdr>
        <w:top w:val="none" w:sz="0" w:space="0" w:color="auto"/>
        <w:left w:val="none" w:sz="0" w:space="0" w:color="auto"/>
        <w:bottom w:val="none" w:sz="0" w:space="0" w:color="auto"/>
        <w:right w:val="none" w:sz="0" w:space="0" w:color="auto"/>
      </w:divBdr>
    </w:div>
    <w:div w:id="995764113">
      <w:bodyDiv w:val="1"/>
      <w:marLeft w:val="0"/>
      <w:marRight w:val="0"/>
      <w:marTop w:val="0"/>
      <w:marBottom w:val="0"/>
      <w:divBdr>
        <w:top w:val="none" w:sz="0" w:space="0" w:color="auto"/>
        <w:left w:val="none" w:sz="0" w:space="0" w:color="auto"/>
        <w:bottom w:val="none" w:sz="0" w:space="0" w:color="auto"/>
        <w:right w:val="none" w:sz="0" w:space="0" w:color="auto"/>
      </w:divBdr>
    </w:div>
    <w:div w:id="995960560">
      <w:bodyDiv w:val="1"/>
      <w:marLeft w:val="0"/>
      <w:marRight w:val="0"/>
      <w:marTop w:val="0"/>
      <w:marBottom w:val="0"/>
      <w:divBdr>
        <w:top w:val="none" w:sz="0" w:space="0" w:color="auto"/>
        <w:left w:val="none" w:sz="0" w:space="0" w:color="auto"/>
        <w:bottom w:val="none" w:sz="0" w:space="0" w:color="auto"/>
        <w:right w:val="none" w:sz="0" w:space="0" w:color="auto"/>
      </w:divBdr>
    </w:div>
    <w:div w:id="997225589">
      <w:bodyDiv w:val="1"/>
      <w:marLeft w:val="0"/>
      <w:marRight w:val="0"/>
      <w:marTop w:val="0"/>
      <w:marBottom w:val="0"/>
      <w:divBdr>
        <w:top w:val="none" w:sz="0" w:space="0" w:color="auto"/>
        <w:left w:val="none" w:sz="0" w:space="0" w:color="auto"/>
        <w:bottom w:val="none" w:sz="0" w:space="0" w:color="auto"/>
        <w:right w:val="none" w:sz="0" w:space="0" w:color="auto"/>
      </w:divBdr>
    </w:div>
    <w:div w:id="997226316">
      <w:bodyDiv w:val="1"/>
      <w:marLeft w:val="0"/>
      <w:marRight w:val="0"/>
      <w:marTop w:val="0"/>
      <w:marBottom w:val="0"/>
      <w:divBdr>
        <w:top w:val="none" w:sz="0" w:space="0" w:color="auto"/>
        <w:left w:val="none" w:sz="0" w:space="0" w:color="auto"/>
        <w:bottom w:val="none" w:sz="0" w:space="0" w:color="auto"/>
        <w:right w:val="none" w:sz="0" w:space="0" w:color="auto"/>
      </w:divBdr>
    </w:div>
    <w:div w:id="997460736">
      <w:bodyDiv w:val="1"/>
      <w:marLeft w:val="0"/>
      <w:marRight w:val="0"/>
      <w:marTop w:val="0"/>
      <w:marBottom w:val="0"/>
      <w:divBdr>
        <w:top w:val="none" w:sz="0" w:space="0" w:color="auto"/>
        <w:left w:val="none" w:sz="0" w:space="0" w:color="auto"/>
        <w:bottom w:val="none" w:sz="0" w:space="0" w:color="auto"/>
        <w:right w:val="none" w:sz="0" w:space="0" w:color="auto"/>
      </w:divBdr>
    </w:div>
    <w:div w:id="997995235">
      <w:bodyDiv w:val="1"/>
      <w:marLeft w:val="0"/>
      <w:marRight w:val="0"/>
      <w:marTop w:val="0"/>
      <w:marBottom w:val="0"/>
      <w:divBdr>
        <w:top w:val="none" w:sz="0" w:space="0" w:color="auto"/>
        <w:left w:val="none" w:sz="0" w:space="0" w:color="auto"/>
        <w:bottom w:val="none" w:sz="0" w:space="0" w:color="auto"/>
        <w:right w:val="none" w:sz="0" w:space="0" w:color="auto"/>
      </w:divBdr>
    </w:div>
    <w:div w:id="998192471">
      <w:bodyDiv w:val="1"/>
      <w:marLeft w:val="0"/>
      <w:marRight w:val="0"/>
      <w:marTop w:val="0"/>
      <w:marBottom w:val="0"/>
      <w:divBdr>
        <w:top w:val="none" w:sz="0" w:space="0" w:color="auto"/>
        <w:left w:val="none" w:sz="0" w:space="0" w:color="auto"/>
        <w:bottom w:val="none" w:sz="0" w:space="0" w:color="auto"/>
        <w:right w:val="none" w:sz="0" w:space="0" w:color="auto"/>
      </w:divBdr>
    </w:div>
    <w:div w:id="1000231951">
      <w:bodyDiv w:val="1"/>
      <w:marLeft w:val="0"/>
      <w:marRight w:val="0"/>
      <w:marTop w:val="0"/>
      <w:marBottom w:val="0"/>
      <w:divBdr>
        <w:top w:val="none" w:sz="0" w:space="0" w:color="auto"/>
        <w:left w:val="none" w:sz="0" w:space="0" w:color="auto"/>
        <w:bottom w:val="none" w:sz="0" w:space="0" w:color="auto"/>
        <w:right w:val="none" w:sz="0" w:space="0" w:color="auto"/>
      </w:divBdr>
    </w:div>
    <w:div w:id="1002273313">
      <w:bodyDiv w:val="1"/>
      <w:marLeft w:val="0"/>
      <w:marRight w:val="0"/>
      <w:marTop w:val="0"/>
      <w:marBottom w:val="0"/>
      <w:divBdr>
        <w:top w:val="none" w:sz="0" w:space="0" w:color="auto"/>
        <w:left w:val="none" w:sz="0" w:space="0" w:color="auto"/>
        <w:bottom w:val="none" w:sz="0" w:space="0" w:color="auto"/>
        <w:right w:val="none" w:sz="0" w:space="0" w:color="auto"/>
      </w:divBdr>
    </w:div>
    <w:div w:id="1003048146">
      <w:bodyDiv w:val="1"/>
      <w:marLeft w:val="0"/>
      <w:marRight w:val="0"/>
      <w:marTop w:val="0"/>
      <w:marBottom w:val="0"/>
      <w:divBdr>
        <w:top w:val="none" w:sz="0" w:space="0" w:color="auto"/>
        <w:left w:val="none" w:sz="0" w:space="0" w:color="auto"/>
        <w:bottom w:val="none" w:sz="0" w:space="0" w:color="auto"/>
        <w:right w:val="none" w:sz="0" w:space="0" w:color="auto"/>
      </w:divBdr>
    </w:div>
    <w:div w:id="1004891504">
      <w:bodyDiv w:val="1"/>
      <w:marLeft w:val="0"/>
      <w:marRight w:val="0"/>
      <w:marTop w:val="0"/>
      <w:marBottom w:val="0"/>
      <w:divBdr>
        <w:top w:val="none" w:sz="0" w:space="0" w:color="auto"/>
        <w:left w:val="none" w:sz="0" w:space="0" w:color="auto"/>
        <w:bottom w:val="none" w:sz="0" w:space="0" w:color="auto"/>
        <w:right w:val="none" w:sz="0" w:space="0" w:color="auto"/>
      </w:divBdr>
    </w:div>
    <w:div w:id="1004934493">
      <w:bodyDiv w:val="1"/>
      <w:marLeft w:val="0"/>
      <w:marRight w:val="0"/>
      <w:marTop w:val="0"/>
      <w:marBottom w:val="0"/>
      <w:divBdr>
        <w:top w:val="none" w:sz="0" w:space="0" w:color="auto"/>
        <w:left w:val="none" w:sz="0" w:space="0" w:color="auto"/>
        <w:bottom w:val="none" w:sz="0" w:space="0" w:color="auto"/>
        <w:right w:val="none" w:sz="0" w:space="0" w:color="auto"/>
      </w:divBdr>
    </w:div>
    <w:div w:id="1005400209">
      <w:bodyDiv w:val="1"/>
      <w:marLeft w:val="0"/>
      <w:marRight w:val="0"/>
      <w:marTop w:val="0"/>
      <w:marBottom w:val="0"/>
      <w:divBdr>
        <w:top w:val="none" w:sz="0" w:space="0" w:color="auto"/>
        <w:left w:val="none" w:sz="0" w:space="0" w:color="auto"/>
        <w:bottom w:val="none" w:sz="0" w:space="0" w:color="auto"/>
        <w:right w:val="none" w:sz="0" w:space="0" w:color="auto"/>
      </w:divBdr>
    </w:div>
    <w:div w:id="1007288450">
      <w:bodyDiv w:val="1"/>
      <w:marLeft w:val="0"/>
      <w:marRight w:val="0"/>
      <w:marTop w:val="0"/>
      <w:marBottom w:val="0"/>
      <w:divBdr>
        <w:top w:val="none" w:sz="0" w:space="0" w:color="auto"/>
        <w:left w:val="none" w:sz="0" w:space="0" w:color="auto"/>
        <w:bottom w:val="none" w:sz="0" w:space="0" w:color="auto"/>
        <w:right w:val="none" w:sz="0" w:space="0" w:color="auto"/>
      </w:divBdr>
    </w:div>
    <w:div w:id="1008867737">
      <w:bodyDiv w:val="1"/>
      <w:marLeft w:val="0"/>
      <w:marRight w:val="0"/>
      <w:marTop w:val="0"/>
      <w:marBottom w:val="0"/>
      <w:divBdr>
        <w:top w:val="none" w:sz="0" w:space="0" w:color="auto"/>
        <w:left w:val="none" w:sz="0" w:space="0" w:color="auto"/>
        <w:bottom w:val="none" w:sz="0" w:space="0" w:color="auto"/>
        <w:right w:val="none" w:sz="0" w:space="0" w:color="auto"/>
      </w:divBdr>
    </w:div>
    <w:div w:id="1010714734">
      <w:bodyDiv w:val="1"/>
      <w:marLeft w:val="0"/>
      <w:marRight w:val="0"/>
      <w:marTop w:val="0"/>
      <w:marBottom w:val="0"/>
      <w:divBdr>
        <w:top w:val="none" w:sz="0" w:space="0" w:color="auto"/>
        <w:left w:val="none" w:sz="0" w:space="0" w:color="auto"/>
        <w:bottom w:val="none" w:sz="0" w:space="0" w:color="auto"/>
        <w:right w:val="none" w:sz="0" w:space="0" w:color="auto"/>
      </w:divBdr>
    </w:div>
    <w:div w:id="1011417667">
      <w:bodyDiv w:val="1"/>
      <w:marLeft w:val="0"/>
      <w:marRight w:val="0"/>
      <w:marTop w:val="0"/>
      <w:marBottom w:val="0"/>
      <w:divBdr>
        <w:top w:val="none" w:sz="0" w:space="0" w:color="auto"/>
        <w:left w:val="none" w:sz="0" w:space="0" w:color="auto"/>
        <w:bottom w:val="none" w:sz="0" w:space="0" w:color="auto"/>
        <w:right w:val="none" w:sz="0" w:space="0" w:color="auto"/>
      </w:divBdr>
    </w:div>
    <w:div w:id="1011488336">
      <w:bodyDiv w:val="1"/>
      <w:marLeft w:val="0"/>
      <w:marRight w:val="0"/>
      <w:marTop w:val="0"/>
      <w:marBottom w:val="0"/>
      <w:divBdr>
        <w:top w:val="none" w:sz="0" w:space="0" w:color="auto"/>
        <w:left w:val="none" w:sz="0" w:space="0" w:color="auto"/>
        <w:bottom w:val="none" w:sz="0" w:space="0" w:color="auto"/>
        <w:right w:val="none" w:sz="0" w:space="0" w:color="auto"/>
      </w:divBdr>
    </w:div>
    <w:div w:id="1012680629">
      <w:bodyDiv w:val="1"/>
      <w:marLeft w:val="0"/>
      <w:marRight w:val="0"/>
      <w:marTop w:val="0"/>
      <w:marBottom w:val="0"/>
      <w:divBdr>
        <w:top w:val="none" w:sz="0" w:space="0" w:color="auto"/>
        <w:left w:val="none" w:sz="0" w:space="0" w:color="auto"/>
        <w:bottom w:val="none" w:sz="0" w:space="0" w:color="auto"/>
        <w:right w:val="none" w:sz="0" w:space="0" w:color="auto"/>
      </w:divBdr>
    </w:div>
    <w:div w:id="1012688319">
      <w:bodyDiv w:val="1"/>
      <w:marLeft w:val="0"/>
      <w:marRight w:val="0"/>
      <w:marTop w:val="0"/>
      <w:marBottom w:val="0"/>
      <w:divBdr>
        <w:top w:val="none" w:sz="0" w:space="0" w:color="auto"/>
        <w:left w:val="none" w:sz="0" w:space="0" w:color="auto"/>
        <w:bottom w:val="none" w:sz="0" w:space="0" w:color="auto"/>
        <w:right w:val="none" w:sz="0" w:space="0" w:color="auto"/>
      </w:divBdr>
    </w:div>
    <w:div w:id="1014113249">
      <w:bodyDiv w:val="1"/>
      <w:marLeft w:val="0"/>
      <w:marRight w:val="0"/>
      <w:marTop w:val="0"/>
      <w:marBottom w:val="0"/>
      <w:divBdr>
        <w:top w:val="none" w:sz="0" w:space="0" w:color="auto"/>
        <w:left w:val="none" w:sz="0" w:space="0" w:color="auto"/>
        <w:bottom w:val="none" w:sz="0" w:space="0" w:color="auto"/>
        <w:right w:val="none" w:sz="0" w:space="0" w:color="auto"/>
      </w:divBdr>
    </w:div>
    <w:div w:id="1014844226">
      <w:bodyDiv w:val="1"/>
      <w:marLeft w:val="0"/>
      <w:marRight w:val="0"/>
      <w:marTop w:val="0"/>
      <w:marBottom w:val="0"/>
      <w:divBdr>
        <w:top w:val="none" w:sz="0" w:space="0" w:color="auto"/>
        <w:left w:val="none" w:sz="0" w:space="0" w:color="auto"/>
        <w:bottom w:val="none" w:sz="0" w:space="0" w:color="auto"/>
        <w:right w:val="none" w:sz="0" w:space="0" w:color="auto"/>
      </w:divBdr>
    </w:div>
    <w:div w:id="1015690712">
      <w:bodyDiv w:val="1"/>
      <w:marLeft w:val="0"/>
      <w:marRight w:val="0"/>
      <w:marTop w:val="0"/>
      <w:marBottom w:val="0"/>
      <w:divBdr>
        <w:top w:val="none" w:sz="0" w:space="0" w:color="auto"/>
        <w:left w:val="none" w:sz="0" w:space="0" w:color="auto"/>
        <w:bottom w:val="none" w:sz="0" w:space="0" w:color="auto"/>
        <w:right w:val="none" w:sz="0" w:space="0" w:color="auto"/>
      </w:divBdr>
    </w:div>
    <w:div w:id="1015962220">
      <w:bodyDiv w:val="1"/>
      <w:marLeft w:val="0"/>
      <w:marRight w:val="0"/>
      <w:marTop w:val="0"/>
      <w:marBottom w:val="0"/>
      <w:divBdr>
        <w:top w:val="none" w:sz="0" w:space="0" w:color="auto"/>
        <w:left w:val="none" w:sz="0" w:space="0" w:color="auto"/>
        <w:bottom w:val="none" w:sz="0" w:space="0" w:color="auto"/>
        <w:right w:val="none" w:sz="0" w:space="0" w:color="auto"/>
      </w:divBdr>
    </w:div>
    <w:div w:id="1016033714">
      <w:bodyDiv w:val="1"/>
      <w:marLeft w:val="0"/>
      <w:marRight w:val="0"/>
      <w:marTop w:val="0"/>
      <w:marBottom w:val="0"/>
      <w:divBdr>
        <w:top w:val="none" w:sz="0" w:space="0" w:color="auto"/>
        <w:left w:val="none" w:sz="0" w:space="0" w:color="auto"/>
        <w:bottom w:val="none" w:sz="0" w:space="0" w:color="auto"/>
        <w:right w:val="none" w:sz="0" w:space="0" w:color="auto"/>
      </w:divBdr>
    </w:div>
    <w:div w:id="1016268915">
      <w:bodyDiv w:val="1"/>
      <w:marLeft w:val="0"/>
      <w:marRight w:val="0"/>
      <w:marTop w:val="0"/>
      <w:marBottom w:val="0"/>
      <w:divBdr>
        <w:top w:val="none" w:sz="0" w:space="0" w:color="auto"/>
        <w:left w:val="none" w:sz="0" w:space="0" w:color="auto"/>
        <w:bottom w:val="none" w:sz="0" w:space="0" w:color="auto"/>
        <w:right w:val="none" w:sz="0" w:space="0" w:color="auto"/>
      </w:divBdr>
    </w:div>
    <w:div w:id="1017342448">
      <w:bodyDiv w:val="1"/>
      <w:marLeft w:val="0"/>
      <w:marRight w:val="0"/>
      <w:marTop w:val="0"/>
      <w:marBottom w:val="0"/>
      <w:divBdr>
        <w:top w:val="none" w:sz="0" w:space="0" w:color="auto"/>
        <w:left w:val="none" w:sz="0" w:space="0" w:color="auto"/>
        <w:bottom w:val="none" w:sz="0" w:space="0" w:color="auto"/>
        <w:right w:val="none" w:sz="0" w:space="0" w:color="auto"/>
      </w:divBdr>
    </w:div>
    <w:div w:id="1017388806">
      <w:bodyDiv w:val="1"/>
      <w:marLeft w:val="0"/>
      <w:marRight w:val="0"/>
      <w:marTop w:val="0"/>
      <w:marBottom w:val="0"/>
      <w:divBdr>
        <w:top w:val="none" w:sz="0" w:space="0" w:color="auto"/>
        <w:left w:val="none" w:sz="0" w:space="0" w:color="auto"/>
        <w:bottom w:val="none" w:sz="0" w:space="0" w:color="auto"/>
        <w:right w:val="none" w:sz="0" w:space="0" w:color="auto"/>
      </w:divBdr>
    </w:div>
    <w:div w:id="1017461691">
      <w:bodyDiv w:val="1"/>
      <w:marLeft w:val="0"/>
      <w:marRight w:val="0"/>
      <w:marTop w:val="0"/>
      <w:marBottom w:val="0"/>
      <w:divBdr>
        <w:top w:val="none" w:sz="0" w:space="0" w:color="auto"/>
        <w:left w:val="none" w:sz="0" w:space="0" w:color="auto"/>
        <w:bottom w:val="none" w:sz="0" w:space="0" w:color="auto"/>
        <w:right w:val="none" w:sz="0" w:space="0" w:color="auto"/>
      </w:divBdr>
    </w:div>
    <w:div w:id="1018388261">
      <w:bodyDiv w:val="1"/>
      <w:marLeft w:val="0"/>
      <w:marRight w:val="0"/>
      <w:marTop w:val="0"/>
      <w:marBottom w:val="0"/>
      <w:divBdr>
        <w:top w:val="none" w:sz="0" w:space="0" w:color="auto"/>
        <w:left w:val="none" w:sz="0" w:space="0" w:color="auto"/>
        <w:bottom w:val="none" w:sz="0" w:space="0" w:color="auto"/>
        <w:right w:val="none" w:sz="0" w:space="0" w:color="auto"/>
      </w:divBdr>
    </w:div>
    <w:div w:id="1018461108">
      <w:bodyDiv w:val="1"/>
      <w:marLeft w:val="0"/>
      <w:marRight w:val="0"/>
      <w:marTop w:val="0"/>
      <w:marBottom w:val="0"/>
      <w:divBdr>
        <w:top w:val="none" w:sz="0" w:space="0" w:color="auto"/>
        <w:left w:val="none" w:sz="0" w:space="0" w:color="auto"/>
        <w:bottom w:val="none" w:sz="0" w:space="0" w:color="auto"/>
        <w:right w:val="none" w:sz="0" w:space="0" w:color="auto"/>
      </w:divBdr>
    </w:div>
    <w:div w:id="1018891223">
      <w:bodyDiv w:val="1"/>
      <w:marLeft w:val="0"/>
      <w:marRight w:val="0"/>
      <w:marTop w:val="0"/>
      <w:marBottom w:val="0"/>
      <w:divBdr>
        <w:top w:val="none" w:sz="0" w:space="0" w:color="auto"/>
        <w:left w:val="none" w:sz="0" w:space="0" w:color="auto"/>
        <w:bottom w:val="none" w:sz="0" w:space="0" w:color="auto"/>
        <w:right w:val="none" w:sz="0" w:space="0" w:color="auto"/>
      </w:divBdr>
    </w:div>
    <w:div w:id="1019352831">
      <w:bodyDiv w:val="1"/>
      <w:marLeft w:val="0"/>
      <w:marRight w:val="0"/>
      <w:marTop w:val="0"/>
      <w:marBottom w:val="0"/>
      <w:divBdr>
        <w:top w:val="none" w:sz="0" w:space="0" w:color="auto"/>
        <w:left w:val="none" w:sz="0" w:space="0" w:color="auto"/>
        <w:bottom w:val="none" w:sz="0" w:space="0" w:color="auto"/>
        <w:right w:val="none" w:sz="0" w:space="0" w:color="auto"/>
      </w:divBdr>
    </w:div>
    <w:div w:id="1019619261">
      <w:bodyDiv w:val="1"/>
      <w:marLeft w:val="0"/>
      <w:marRight w:val="0"/>
      <w:marTop w:val="0"/>
      <w:marBottom w:val="0"/>
      <w:divBdr>
        <w:top w:val="none" w:sz="0" w:space="0" w:color="auto"/>
        <w:left w:val="none" w:sz="0" w:space="0" w:color="auto"/>
        <w:bottom w:val="none" w:sz="0" w:space="0" w:color="auto"/>
        <w:right w:val="none" w:sz="0" w:space="0" w:color="auto"/>
      </w:divBdr>
    </w:div>
    <w:div w:id="1019888363">
      <w:bodyDiv w:val="1"/>
      <w:marLeft w:val="0"/>
      <w:marRight w:val="0"/>
      <w:marTop w:val="0"/>
      <w:marBottom w:val="0"/>
      <w:divBdr>
        <w:top w:val="none" w:sz="0" w:space="0" w:color="auto"/>
        <w:left w:val="none" w:sz="0" w:space="0" w:color="auto"/>
        <w:bottom w:val="none" w:sz="0" w:space="0" w:color="auto"/>
        <w:right w:val="none" w:sz="0" w:space="0" w:color="auto"/>
      </w:divBdr>
    </w:div>
    <w:div w:id="1019893461">
      <w:bodyDiv w:val="1"/>
      <w:marLeft w:val="0"/>
      <w:marRight w:val="0"/>
      <w:marTop w:val="0"/>
      <w:marBottom w:val="0"/>
      <w:divBdr>
        <w:top w:val="none" w:sz="0" w:space="0" w:color="auto"/>
        <w:left w:val="none" w:sz="0" w:space="0" w:color="auto"/>
        <w:bottom w:val="none" w:sz="0" w:space="0" w:color="auto"/>
        <w:right w:val="none" w:sz="0" w:space="0" w:color="auto"/>
      </w:divBdr>
    </w:div>
    <w:div w:id="1021055962">
      <w:bodyDiv w:val="1"/>
      <w:marLeft w:val="0"/>
      <w:marRight w:val="0"/>
      <w:marTop w:val="0"/>
      <w:marBottom w:val="0"/>
      <w:divBdr>
        <w:top w:val="none" w:sz="0" w:space="0" w:color="auto"/>
        <w:left w:val="none" w:sz="0" w:space="0" w:color="auto"/>
        <w:bottom w:val="none" w:sz="0" w:space="0" w:color="auto"/>
        <w:right w:val="none" w:sz="0" w:space="0" w:color="auto"/>
      </w:divBdr>
    </w:div>
    <w:div w:id="1022128765">
      <w:bodyDiv w:val="1"/>
      <w:marLeft w:val="0"/>
      <w:marRight w:val="0"/>
      <w:marTop w:val="0"/>
      <w:marBottom w:val="0"/>
      <w:divBdr>
        <w:top w:val="none" w:sz="0" w:space="0" w:color="auto"/>
        <w:left w:val="none" w:sz="0" w:space="0" w:color="auto"/>
        <w:bottom w:val="none" w:sz="0" w:space="0" w:color="auto"/>
        <w:right w:val="none" w:sz="0" w:space="0" w:color="auto"/>
      </w:divBdr>
    </w:div>
    <w:div w:id="1022166801">
      <w:bodyDiv w:val="1"/>
      <w:marLeft w:val="0"/>
      <w:marRight w:val="0"/>
      <w:marTop w:val="0"/>
      <w:marBottom w:val="0"/>
      <w:divBdr>
        <w:top w:val="none" w:sz="0" w:space="0" w:color="auto"/>
        <w:left w:val="none" w:sz="0" w:space="0" w:color="auto"/>
        <w:bottom w:val="none" w:sz="0" w:space="0" w:color="auto"/>
        <w:right w:val="none" w:sz="0" w:space="0" w:color="auto"/>
      </w:divBdr>
    </w:div>
    <w:div w:id="1022560187">
      <w:bodyDiv w:val="1"/>
      <w:marLeft w:val="0"/>
      <w:marRight w:val="0"/>
      <w:marTop w:val="0"/>
      <w:marBottom w:val="0"/>
      <w:divBdr>
        <w:top w:val="none" w:sz="0" w:space="0" w:color="auto"/>
        <w:left w:val="none" w:sz="0" w:space="0" w:color="auto"/>
        <w:bottom w:val="none" w:sz="0" w:space="0" w:color="auto"/>
        <w:right w:val="none" w:sz="0" w:space="0" w:color="auto"/>
      </w:divBdr>
    </w:div>
    <w:div w:id="1023945647">
      <w:bodyDiv w:val="1"/>
      <w:marLeft w:val="0"/>
      <w:marRight w:val="0"/>
      <w:marTop w:val="0"/>
      <w:marBottom w:val="0"/>
      <w:divBdr>
        <w:top w:val="none" w:sz="0" w:space="0" w:color="auto"/>
        <w:left w:val="none" w:sz="0" w:space="0" w:color="auto"/>
        <w:bottom w:val="none" w:sz="0" w:space="0" w:color="auto"/>
        <w:right w:val="none" w:sz="0" w:space="0" w:color="auto"/>
      </w:divBdr>
    </w:div>
    <w:div w:id="1024403854">
      <w:bodyDiv w:val="1"/>
      <w:marLeft w:val="0"/>
      <w:marRight w:val="0"/>
      <w:marTop w:val="0"/>
      <w:marBottom w:val="0"/>
      <w:divBdr>
        <w:top w:val="none" w:sz="0" w:space="0" w:color="auto"/>
        <w:left w:val="none" w:sz="0" w:space="0" w:color="auto"/>
        <w:bottom w:val="none" w:sz="0" w:space="0" w:color="auto"/>
        <w:right w:val="none" w:sz="0" w:space="0" w:color="auto"/>
      </w:divBdr>
    </w:div>
    <w:div w:id="1024551644">
      <w:bodyDiv w:val="1"/>
      <w:marLeft w:val="0"/>
      <w:marRight w:val="0"/>
      <w:marTop w:val="0"/>
      <w:marBottom w:val="0"/>
      <w:divBdr>
        <w:top w:val="none" w:sz="0" w:space="0" w:color="auto"/>
        <w:left w:val="none" w:sz="0" w:space="0" w:color="auto"/>
        <w:bottom w:val="none" w:sz="0" w:space="0" w:color="auto"/>
        <w:right w:val="none" w:sz="0" w:space="0" w:color="auto"/>
      </w:divBdr>
    </w:div>
    <w:div w:id="1024556175">
      <w:bodyDiv w:val="1"/>
      <w:marLeft w:val="0"/>
      <w:marRight w:val="0"/>
      <w:marTop w:val="0"/>
      <w:marBottom w:val="0"/>
      <w:divBdr>
        <w:top w:val="none" w:sz="0" w:space="0" w:color="auto"/>
        <w:left w:val="none" w:sz="0" w:space="0" w:color="auto"/>
        <w:bottom w:val="none" w:sz="0" w:space="0" w:color="auto"/>
        <w:right w:val="none" w:sz="0" w:space="0" w:color="auto"/>
      </w:divBdr>
    </w:div>
    <w:div w:id="1024601494">
      <w:bodyDiv w:val="1"/>
      <w:marLeft w:val="0"/>
      <w:marRight w:val="0"/>
      <w:marTop w:val="0"/>
      <w:marBottom w:val="0"/>
      <w:divBdr>
        <w:top w:val="none" w:sz="0" w:space="0" w:color="auto"/>
        <w:left w:val="none" w:sz="0" w:space="0" w:color="auto"/>
        <w:bottom w:val="none" w:sz="0" w:space="0" w:color="auto"/>
        <w:right w:val="none" w:sz="0" w:space="0" w:color="auto"/>
      </w:divBdr>
    </w:div>
    <w:div w:id="1024669797">
      <w:bodyDiv w:val="1"/>
      <w:marLeft w:val="0"/>
      <w:marRight w:val="0"/>
      <w:marTop w:val="0"/>
      <w:marBottom w:val="0"/>
      <w:divBdr>
        <w:top w:val="none" w:sz="0" w:space="0" w:color="auto"/>
        <w:left w:val="none" w:sz="0" w:space="0" w:color="auto"/>
        <w:bottom w:val="none" w:sz="0" w:space="0" w:color="auto"/>
        <w:right w:val="none" w:sz="0" w:space="0" w:color="auto"/>
      </w:divBdr>
    </w:div>
    <w:div w:id="1025212373">
      <w:bodyDiv w:val="1"/>
      <w:marLeft w:val="0"/>
      <w:marRight w:val="0"/>
      <w:marTop w:val="0"/>
      <w:marBottom w:val="0"/>
      <w:divBdr>
        <w:top w:val="none" w:sz="0" w:space="0" w:color="auto"/>
        <w:left w:val="none" w:sz="0" w:space="0" w:color="auto"/>
        <w:bottom w:val="none" w:sz="0" w:space="0" w:color="auto"/>
        <w:right w:val="none" w:sz="0" w:space="0" w:color="auto"/>
      </w:divBdr>
    </w:div>
    <w:div w:id="1026296660">
      <w:bodyDiv w:val="1"/>
      <w:marLeft w:val="0"/>
      <w:marRight w:val="0"/>
      <w:marTop w:val="0"/>
      <w:marBottom w:val="0"/>
      <w:divBdr>
        <w:top w:val="none" w:sz="0" w:space="0" w:color="auto"/>
        <w:left w:val="none" w:sz="0" w:space="0" w:color="auto"/>
        <w:bottom w:val="none" w:sz="0" w:space="0" w:color="auto"/>
        <w:right w:val="none" w:sz="0" w:space="0" w:color="auto"/>
      </w:divBdr>
    </w:div>
    <w:div w:id="1027831860">
      <w:bodyDiv w:val="1"/>
      <w:marLeft w:val="0"/>
      <w:marRight w:val="0"/>
      <w:marTop w:val="0"/>
      <w:marBottom w:val="0"/>
      <w:divBdr>
        <w:top w:val="none" w:sz="0" w:space="0" w:color="auto"/>
        <w:left w:val="none" w:sz="0" w:space="0" w:color="auto"/>
        <w:bottom w:val="none" w:sz="0" w:space="0" w:color="auto"/>
        <w:right w:val="none" w:sz="0" w:space="0" w:color="auto"/>
      </w:divBdr>
    </w:div>
    <w:div w:id="1028070594">
      <w:bodyDiv w:val="1"/>
      <w:marLeft w:val="0"/>
      <w:marRight w:val="0"/>
      <w:marTop w:val="0"/>
      <w:marBottom w:val="0"/>
      <w:divBdr>
        <w:top w:val="none" w:sz="0" w:space="0" w:color="auto"/>
        <w:left w:val="none" w:sz="0" w:space="0" w:color="auto"/>
        <w:bottom w:val="none" w:sz="0" w:space="0" w:color="auto"/>
        <w:right w:val="none" w:sz="0" w:space="0" w:color="auto"/>
      </w:divBdr>
    </w:div>
    <w:div w:id="1028336988">
      <w:bodyDiv w:val="1"/>
      <w:marLeft w:val="0"/>
      <w:marRight w:val="0"/>
      <w:marTop w:val="0"/>
      <w:marBottom w:val="0"/>
      <w:divBdr>
        <w:top w:val="none" w:sz="0" w:space="0" w:color="auto"/>
        <w:left w:val="none" w:sz="0" w:space="0" w:color="auto"/>
        <w:bottom w:val="none" w:sz="0" w:space="0" w:color="auto"/>
        <w:right w:val="none" w:sz="0" w:space="0" w:color="auto"/>
      </w:divBdr>
    </w:div>
    <w:div w:id="1030759661">
      <w:bodyDiv w:val="1"/>
      <w:marLeft w:val="0"/>
      <w:marRight w:val="0"/>
      <w:marTop w:val="0"/>
      <w:marBottom w:val="0"/>
      <w:divBdr>
        <w:top w:val="none" w:sz="0" w:space="0" w:color="auto"/>
        <w:left w:val="none" w:sz="0" w:space="0" w:color="auto"/>
        <w:bottom w:val="none" w:sz="0" w:space="0" w:color="auto"/>
        <w:right w:val="none" w:sz="0" w:space="0" w:color="auto"/>
      </w:divBdr>
    </w:div>
    <w:div w:id="1031027322">
      <w:bodyDiv w:val="1"/>
      <w:marLeft w:val="0"/>
      <w:marRight w:val="0"/>
      <w:marTop w:val="0"/>
      <w:marBottom w:val="0"/>
      <w:divBdr>
        <w:top w:val="none" w:sz="0" w:space="0" w:color="auto"/>
        <w:left w:val="none" w:sz="0" w:space="0" w:color="auto"/>
        <w:bottom w:val="none" w:sz="0" w:space="0" w:color="auto"/>
        <w:right w:val="none" w:sz="0" w:space="0" w:color="auto"/>
      </w:divBdr>
    </w:div>
    <w:div w:id="1031110167">
      <w:bodyDiv w:val="1"/>
      <w:marLeft w:val="0"/>
      <w:marRight w:val="0"/>
      <w:marTop w:val="0"/>
      <w:marBottom w:val="0"/>
      <w:divBdr>
        <w:top w:val="none" w:sz="0" w:space="0" w:color="auto"/>
        <w:left w:val="none" w:sz="0" w:space="0" w:color="auto"/>
        <w:bottom w:val="none" w:sz="0" w:space="0" w:color="auto"/>
        <w:right w:val="none" w:sz="0" w:space="0" w:color="auto"/>
      </w:divBdr>
    </w:div>
    <w:div w:id="1032078359">
      <w:bodyDiv w:val="1"/>
      <w:marLeft w:val="0"/>
      <w:marRight w:val="0"/>
      <w:marTop w:val="0"/>
      <w:marBottom w:val="0"/>
      <w:divBdr>
        <w:top w:val="none" w:sz="0" w:space="0" w:color="auto"/>
        <w:left w:val="none" w:sz="0" w:space="0" w:color="auto"/>
        <w:bottom w:val="none" w:sz="0" w:space="0" w:color="auto"/>
        <w:right w:val="none" w:sz="0" w:space="0" w:color="auto"/>
      </w:divBdr>
    </w:div>
    <w:div w:id="1032192194">
      <w:bodyDiv w:val="1"/>
      <w:marLeft w:val="0"/>
      <w:marRight w:val="0"/>
      <w:marTop w:val="0"/>
      <w:marBottom w:val="0"/>
      <w:divBdr>
        <w:top w:val="none" w:sz="0" w:space="0" w:color="auto"/>
        <w:left w:val="none" w:sz="0" w:space="0" w:color="auto"/>
        <w:bottom w:val="none" w:sz="0" w:space="0" w:color="auto"/>
        <w:right w:val="none" w:sz="0" w:space="0" w:color="auto"/>
      </w:divBdr>
    </w:div>
    <w:div w:id="1032344830">
      <w:bodyDiv w:val="1"/>
      <w:marLeft w:val="0"/>
      <w:marRight w:val="0"/>
      <w:marTop w:val="0"/>
      <w:marBottom w:val="0"/>
      <w:divBdr>
        <w:top w:val="none" w:sz="0" w:space="0" w:color="auto"/>
        <w:left w:val="none" w:sz="0" w:space="0" w:color="auto"/>
        <w:bottom w:val="none" w:sz="0" w:space="0" w:color="auto"/>
        <w:right w:val="none" w:sz="0" w:space="0" w:color="auto"/>
      </w:divBdr>
    </w:div>
    <w:div w:id="1032992944">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4230755">
      <w:bodyDiv w:val="1"/>
      <w:marLeft w:val="0"/>
      <w:marRight w:val="0"/>
      <w:marTop w:val="0"/>
      <w:marBottom w:val="0"/>
      <w:divBdr>
        <w:top w:val="none" w:sz="0" w:space="0" w:color="auto"/>
        <w:left w:val="none" w:sz="0" w:space="0" w:color="auto"/>
        <w:bottom w:val="none" w:sz="0" w:space="0" w:color="auto"/>
        <w:right w:val="none" w:sz="0" w:space="0" w:color="auto"/>
      </w:divBdr>
    </w:div>
    <w:div w:id="1034310269">
      <w:bodyDiv w:val="1"/>
      <w:marLeft w:val="0"/>
      <w:marRight w:val="0"/>
      <w:marTop w:val="0"/>
      <w:marBottom w:val="0"/>
      <w:divBdr>
        <w:top w:val="none" w:sz="0" w:space="0" w:color="auto"/>
        <w:left w:val="none" w:sz="0" w:space="0" w:color="auto"/>
        <w:bottom w:val="none" w:sz="0" w:space="0" w:color="auto"/>
        <w:right w:val="none" w:sz="0" w:space="0" w:color="auto"/>
      </w:divBdr>
    </w:div>
    <w:div w:id="1034842416">
      <w:bodyDiv w:val="1"/>
      <w:marLeft w:val="0"/>
      <w:marRight w:val="0"/>
      <w:marTop w:val="0"/>
      <w:marBottom w:val="0"/>
      <w:divBdr>
        <w:top w:val="none" w:sz="0" w:space="0" w:color="auto"/>
        <w:left w:val="none" w:sz="0" w:space="0" w:color="auto"/>
        <w:bottom w:val="none" w:sz="0" w:space="0" w:color="auto"/>
        <w:right w:val="none" w:sz="0" w:space="0" w:color="auto"/>
      </w:divBdr>
    </w:div>
    <w:div w:id="1036010113">
      <w:bodyDiv w:val="1"/>
      <w:marLeft w:val="0"/>
      <w:marRight w:val="0"/>
      <w:marTop w:val="0"/>
      <w:marBottom w:val="0"/>
      <w:divBdr>
        <w:top w:val="none" w:sz="0" w:space="0" w:color="auto"/>
        <w:left w:val="none" w:sz="0" w:space="0" w:color="auto"/>
        <w:bottom w:val="none" w:sz="0" w:space="0" w:color="auto"/>
        <w:right w:val="none" w:sz="0" w:space="0" w:color="auto"/>
      </w:divBdr>
    </w:div>
    <w:div w:id="1036849589">
      <w:bodyDiv w:val="1"/>
      <w:marLeft w:val="0"/>
      <w:marRight w:val="0"/>
      <w:marTop w:val="0"/>
      <w:marBottom w:val="0"/>
      <w:divBdr>
        <w:top w:val="none" w:sz="0" w:space="0" w:color="auto"/>
        <w:left w:val="none" w:sz="0" w:space="0" w:color="auto"/>
        <w:bottom w:val="none" w:sz="0" w:space="0" w:color="auto"/>
        <w:right w:val="none" w:sz="0" w:space="0" w:color="auto"/>
      </w:divBdr>
    </w:div>
    <w:div w:id="1038312911">
      <w:bodyDiv w:val="1"/>
      <w:marLeft w:val="0"/>
      <w:marRight w:val="0"/>
      <w:marTop w:val="0"/>
      <w:marBottom w:val="0"/>
      <w:divBdr>
        <w:top w:val="none" w:sz="0" w:space="0" w:color="auto"/>
        <w:left w:val="none" w:sz="0" w:space="0" w:color="auto"/>
        <w:bottom w:val="none" w:sz="0" w:space="0" w:color="auto"/>
        <w:right w:val="none" w:sz="0" w:space="0" w:color="auto"/>
      </w:divBdr>
    </w:div>
    <w:div w:id="1039277439">
      <w:bodyDiv w:val="1"/>
      <w:marLeft w:val="0"/>
      <w:marRight w:val="0"/>
      <w:marTop w:val="0"/>
      <w:marBottom w:val="0"/>
      <w:divBdr>
        <w:top w:val="none" w:sz="0" w:space="0" w:color="auto"/>
        <w:left w:val="none" w:sz="0" w:space="0" w:color="auto"/>
        <w:bottom w:val="none" w:sz="0" w:space="0" w:color="auto"/>
        <w:right w:val="none" w:sz="0" w:space="0" w:color="auto"/>
      </w:divBdr>
    </w:div>
    <w:div w:id="1039277687">
      <w:bodyDiv w:val="1"/>
      <w:marLeft w:val="0"/>
      <w:marRight w:val="0"/>
      <w:marTop w:val="0"/>
      <w:marBottom w:val="0"/>
      <w:divBdr>
        <w:top w:val="none" w:sz="0" w:space="0" w:color="auto"/>
        <w:left w:val="none" w:sz="0" w:space="0" w:color="auto"/>
        <w:bottom w:val="none" w:sz="0" w:space="0" w:color="auto"/>
        <w:right w:val="none" w:sz="0" w:space="0" w:color="auto"/>
      </w:divBdr>
    </w:div>
    <w:div w:id="1040593556">
      <w:bodyDiv w:val="1"/>
      <w:marLeft w:val="0"/>
      <w:marRight w:val="0"/>
      <w:marTop w:val="0"/>
      <w:marBottom w:val="0"/>
      <w:divBdr>
        <w:top w:val="none" w:sz="0" w:space="0" w:color="auto"/>
        <w:left w:val="none" w:sz="0" w:space="0" w:color="auto"/>
        <w:bottom w:val="none" w:sz="0" w:space="0" w:color="auto"/>
        <w:right w:val="none" w:sz="0" w:space="0" w:color="auto"/>
      </w:divBdr>
    </w:div>
    <w:div w:id="1040738873">
      <w:bodyDiv w:val="1"/>
      <w:marLeft w:val="0"/>
      <w:marRight w:val="0"/>
      <w:marTop w:val="0"/>
      <w:marBottom w:val="0"/>
      <w:divBdr>
        <w:top w:val="none" w:sz="0" w:space="0" w:color="auto"/>
        <w:left w:val="none" w:sz="0" w:space="0" w:color="auto"/>
        <w:bottom w:val="none" w:sz="0" w:space="0" w:color="auto"/>
        <w:right w:val="none" w:sz="0" w:space="0" w:color="auto"/>
      </w:divBdr>
    </w:div>
    <w:div w:id="1042940233">
      <w:bodyDiv w:val="1"/>
      <w:marLeft w:val="0"/>
      <w:marRight w:val="0"/>
      <w:marTop w:val="0"/>
      <w:marBottom w:val="0"/>
      <w:divBdr>
        <w:top w:val="none" w:sz="0" w:space="0" w:color="auto"/>
        <w:left w:val="none" w:sz="0" w:space="0" w:color="auto"/>
        <w:bottom w:val="none" w:sz="0" w:space="0" w:color="auto"/>
        <w:right w:val="none" w:sz="0" w:space="0" w:color="auto"/>
      </w:divBdr>
    </w:div>
    <w:div w:id="1044329656">
      <w:bodyDiv w:val="1"/>
      <w:marLeft w:val="0"/>
      <w:marRight w:val="0"/>
      <w:marTop w:val="0"/>
      <w:marBottom w:val="0"/>
      <w:divBdr>
        <w:top w:val="none" w:sz="0" w:space="0" w:color="auto"/>
        <w:left w:val="none" w:sz="0" w:space="0" w:color="auto"/>
        <w:bottom w:val="none" w:sz="0" w:space="0" w:color="auto"/>
        <w:right w:val="none" w:sz="0" w:space="0" w:color="auto"/>
      </w:divBdr>
    </w:div>
    <w:div w:id="1044602473">
      <w:bodyDiv w:val="1"/>
      <w:marLeft w:val="0"/>
      <w:marRight w:val="0"/>
      <w:marTop w:val="0"/>
      <w:marBottom w:val="0"/>
      <w:divBdr>
        <w:top w:val="none" w:sz="0" w:space="0" w:color="auto"/>
        <w:left w:val="none" w:sz="0" w:space="0" w:color="auto"/>
        <w:bottom w:val="none" w:sz="0" w:space="0" w:color="auto"/>
        <w:right w:val="none" w:sz="0" w:space="0" w:color="auto"/>
      </w:divBdr>
    </w:div>
    <w:div w:id="1046877406">
      <w:bodyDiv w:val="1"/>
      <w:marLeft w:val="0"/>
      <w:marRight w:val="0"/>
      <w:marTop w:val="0"/>
      <w:marBottom w:val="0"/>
      <w:divBdr>
        <w:top w:val="none" w:sz="0" w:space="0" w:color="auto"/>
        <w:left w:val="none" w:sz="0" w:space="0" w:color="auto"/>
        <w:bottom w:val="none" w:sz="0" w:space="0" w:color="auto"/>
        <w:right w:val="none" w:sz="0" w:space="0" w:color="auto"/>
      </w:divBdr>
    </w:div>
    <w:div w:id="1047409587">
      <w:bodyDiv w:val="1"/>
      <w:marLeft w:val="0"/>
      <w:marRight w:val="0"/>
      <w:marTop w:val="0"/>
      <w:marBottom w:val="0"/>
      <w:divBdr>
        <w:top w:val="none" w:sz="0" w:space="0" w:color="auto"/>
        <w:left w:val="none" w:sz="0" w:space="0" w:color="auto"/>
        <w:bottom w:val="none" w:sz="0" w:space="0" w:color="auto"/>
        <w:right w:val="none" w:sz="0" w:space="0" w:color="auto"/>
      </w:divBdr>
    </w:div>
    <w:div w:id="1049378699">
      <w:bodyDiv w:val="1"/>
      <w:marLeft w:val="0"/>
      <w:marRight w:val="0"/>
      <w:marTop w:val="0"/>
      <w:marBottom w:val="0"/>
      <w:divBdr>
        <w:top w:val="none" w:sz="0" w:space="0" w:color="auto"/>
        <w:left w:val="none" w:sz="0" w:space="0" w:color="auto"/>
        <w:bottom w:val="none" w:sz="0" w:space="0" w:color="auto"/>
        <w:right w:val="none" w:sz="0" w:space="0" w:color="auto"/>
      </w:divBdr>
    </w:div>
    <w:div w:id="1049501193">
      <w:bodyDiv w:val="1"/>
      <w:marLeft w:val="0"/>
      <w:marRight w:val="0"/>
      <w:marTop w:val="0"/>
      <w:marBottom w:val="0"/>
      <w:divBdr>
        <w:top w:val="none" w:sz="0" w:space="0" w:color="auto"/>
        <w:left w:val="none" w:sz="0" w:space="0" w:color="auto"/>
        <w:bottom w:val="none" w:sz="0" w:space="0" w:color="auto"/>
        <w:right w:val="none" w:sz="0" w:space="0" w:color="auto"/>
      </w:divBdr>
    </w:div>
    <w:div w:id="1049961480">
      <w:bodyDiv w:val="1"/>
      <w:marLeft w:val="0"/>
      <w:marRight w:val="0"/>
      <w:marTop w:val="0"/>
      <w:marBottom w:val="0"/>
      <w:divBdr>
        <w:top w:val="none" w:sz="0" w:space="0" w:color="auto"/>
        <w:left w:val="none" w:sz="0" w:space="0" w:color="auto"/>
        <w:bottom w:val="none" w:sz="0" w:space="0" w:color="auto"/>
        <w:right w:val="none" w:sz="0" w:space="0" w:color="auto"/>
      </w:divBdr>
    </w:div>
    <w:div w:id="1050375406">
      <w:bodyDiv w:val="1"/>
      <w:marLeft w:val="0"/>
      <w:marRight w:val="0"/>
      <w:marTop w:val="0"/>
      <w:marBottom w:val="0"/>
      <w:divBdr>
        <w:top w:val="none" w:sz="0" w:space="0" w:color="auto"/>
        <w:left w:val="none" w:sz="0" w:space="0" w:color="auto"/>
        <w:bottom w:val="none" w:sz="0" w:space="0" w:color="auto"/>
        <w:right w:val="none" w:sz="0" w:space="0" w:color="auto"/>
      </w:divBdr>
    </w:div>
    <w:div w:id="1051732327">
      <w:bodyDiv w:val="1"/>
      <w:marLeft w:val="0"/>
      <w:marRight w:val="0"/>
      <w:marTop w:val="0"/>
      <w:marBottom w:val="0"/>
      <w:divBdr>
        <w:top w:val="none" w:sz="0" w:space="0" w:color="auto"/>
        <w:left w:val="none" w:sz="0" w:space="0" w:color="auto"/>
        <w:bottom w:val="none" w:sz="0" w:space="0" w:color="auto"/>
        <w:right w:val="none" w:sz="0" w:space="0" w:color="auto"/>
      </w:divBdr>
    </w:div>
    <w:div w:id="1052194018">
      <w:bodyDiv w:val="1"/>
      <w:marLeft w:val="0"/>
      <w:marRight w:val="0"/>
      <w:marTop w:val="0"/>
      <w:marBottom w:val="0"/>
      <w:divBdr>
        <w:top w:val="none" w:sz="0" w:space="0" w:color="auto"/>
        <w:left w:val="none" w:sz="0" w:space="0" w:color="auto"/>
        <w:bottom w:val="none" w:sz="0" w:space="0" w:color="auto"/>
        <w:right w:val="none" w:sz="0" w:space="0" w:color="auto"/>
      </w:divBdr>
    </w:div>
    <w:div w:id="1052919894">
      <w:bodyDiv w:val="1"/>
      <w:marLeft w:val="0"/>
      <w:marRight w:val="0"/>
      <w:marTop w:val="0"/>
      <w:marBottom w:val="0"/>
      <w:divBdr>
        <w:top w:val="none" w:sz="0" w:space="0" w:color="auto"/>
        <w:left w:val="none" w:sz="0" w:space="0" w:color="auto"/>
        <w:bottom w:val="none" w:sz="0" w:space="0" w:color="auto"/>
        <w:right w:val="none" w:sz="0" w:space="0" w:color="auto"/>
      </w:divBdr>
    </w:div>
    <w:div w:id="1053120518">
      <w:bodyDiv w:val="1"/>
      <w:marLeft w:val="0"/>
      <w:marRight w:val="0"/>
      <w:marTop w:val="0"/>
      <w:marBottom w:val="0"/>
      <w:divBdr>
        <w:top w:val="none" w:sz="0" w:space="0" w:color="auto"/>
        <w:left w:val="none" w:sz="0" w:space="0" w:color="auto"/>
        <w:bottom w:val="none" w:sz="0" w:space="0" w:color="auto"/>
        <w:right w:val="none" w:sz="0" w:space="0" w:color="auto"/>
      </w:divBdr>
    </w:div>
    <w:div w:id="1053231419">
      <w:bodyDiv w:val="1"/>
      <w:marLeft w:val="0"/>
      <w:marRight w:val="0"/>
      <w:marTop w:val="0"/>
      <w:marBottom w:val="0"/>
      <w:divBdr>
        <w:top w:val="none" w:sz="0" w:space="0" w:color="auto"/>
        <w:left w:val="none" w:sz="0" w:space="0" w:color="auto"/>
        <w:bottom w:val="none" w:sz="0" w:space="0" w:color="auto"/>
        <w:right w:val="none" w:sz="0" w:space="0" w:color="auto"/>
      </w:divBdr>
    </w:div>
    <w:div w:id="1054085609">
      <w:bodyDiv w:val="1"/>
      <w:marLeft w:val="0"/>
      <w:marRight w:val="0"/>
      <w:marTop w:val="0"/>
      <w:marBottom w:val="0"/>
      <w:divBdr>
        <w:top w:val="none" w:sz="0" w:space="0" w:color="auto"/>
        <w:left w:val="none" w:sz="0" w:space="0" w:color="auto"/>
        <w:bottom w:val="none" w:sz="0" w:space="0" w:color="auto"/>
        <w:right w:val="none" w:sz="0" w:space="0" w:color="auto"/>
      </w:divBdr>
    </w:div>
    <w:div w:id="1054546546">
      <w:bodyDiv w:val="1"/>
      <w:marLeft w:val="0"/>
      <w:marRight w:val="0"/>
      <w:marTop w:val="0"/>
      <w:marBottom w:val="0"/>
      <w:divBdr>
        <w:top w:val="none" w:sz="0" w:space="0" w:color="auto"/>
        <w:left w:val="none" w:sz="0" w:space="0" w:color="auto"/>
        <w:bottom w:val="none" w:sz="0" w:space="0" w:color="auto"/>
        <w:right w:val="none" w:sz="0" w:space="0" w:color="auto"/>
      </w:divBdr>
    </w:div>
    <w:div w:id="1055354624">
      <w:bodyDiv w:val="1"/>
      <w:marLeft w:val="0"/>
      <w:marRight w:val="0"/>
      <w:marTop w:val="0"/>
      <w:marBottom w:val="0"/>
      <w:divBdr>
        <w:top w:val="none" w:sz="0" w:space="0" w:color="auto"/>
        <w:left w:val="none" w:sz="0" w:space="0" w:color="auto"/>
        <w:bottom w:val="none" w:sz="0" w:space="0" w:color="auto"/>
        <w:right w:val="none" w:sz="0" w:space="0" w:color="auto"/>
      </w:divBdr>
    </w:div>
    <w:div w:id="1056201087">
      <w:bodyDiv w:val="1"/>
      <w:marLeft w:val="0"/>
      <w:marRight w:val="0"/>
      <w:marTop w:val="0"/>
      <w:marBottom w:val="0"/>
      <w:divBdr>
        <w:top w:val="none" w:sz="0" w:space="0" w:color="auto"/>
        <w:left w:val="none" w:sz="0" w:space="0" w:color="auto"/>
        <w:bottom w:val="none" w:sz="0" w:space="0" w:color="auto"/>
        <w:right w:val="none" w:sz="0" w:space="0" w:color="auto"/>
      </w:divBdr>
    </w:div>
    <w:div w:id="1056391242">
      <w:bodyDiv w:val="1"/>
      <w:marLeft w:val="0"/>
      <w:marRight w:val="0"/>
      <w:marTop w:val="0"/>
      <w:marBottom w:val="0"/>
      <w:divBdr>
        <w:top w:val="none" w:sz="0" w:space="0" w:color="auto"/>
        <w:left w:val="none" w:sz="0" w:space="0" w:color="auto"/>
        <w:bottom w:val="none" w:sz="0" w:space="0" w:color="auto"/>
        <w:right w:val="none" w:sz="0" w:space="0" w:color="auto"/>
      </w:divBdr>
    </w:div>
    <w:div w:id="1056466324">
      <w:bodyDiv w:val="1"/>
      <w:marLeft w:val="0"/>
      <w:marRight w:val="0"/>
      <w:marTop w:val="0"/>
      <w:marBottom w:val="0"/>
      <w:divBdr>
        <w:top w:val="none" w:sz="0" w:space="0" w:color="auto"/>
        <w:left w:val="none" w:sz="0" w:space="0" w:color="auto"/>
        <w:bottom w:val="none" w:sz="0" w:space="0" w:color="auto"/>
        <w:right w:val="none" w:sz="0" w:space="0" w:color="auto"/>
      </w:divBdr>
    </w:div>
    <w:div w:id="1058625362">
      <w:bodyDiv w:val="1"/>
      <w:marLeft w:val="0"/>
      <w:marRight w:val="0"/>
      <w:marTop w:val="0"/>
      <w:marBottom w:val="0"/>
      <w:divBdr>
        <w:top w:val="none" w:sz="0" w:space="0" w:color="auto"/>
        <w:left w:val="none" w:sz="0" w:space="0" w:color="auto"/>
        <w:bottom w:val="none" w:sz="0" w:space="0" w:color="auto"/>
        <w:right w:val="none" w:sz="0" w:space="0" w:color="auto"/>
      </w:divBdr>
    </w:div>
    <w:div w:id="1059784021">
      <w:bodyDiv w:val="1"/>
      <w:marLeft w:val="0"/>
      <w:marRight w:val="0"/>
      <w:marTop w:val="0"/>
      <w:marBottom w:val="0"/>
      <w:divBdr>
        <w:top w:val="none" w:sz="0" w:space="0" w:color="auto"/>
        <w:left w:val="none" w:sz="0" w:space="0" w:color="auto"/>
        <w:bottom w:val="none" w:sz="0" w:space="0" w:color="auto"/>
        <w:right w:val="none" w:sz="0" w:space="0" w:color="auto"/>
      </w:divBdr>
    </w:div>
    <w:div w:id="1060325359">
      <w:bodyDiv w:val="1"/>
      <w:marLeft w:val="0"/>
      <w:marRight w:val="0"/>
      <w:marTop w:val="0"/>
      <w:marBottom w:val="0"/>
      <w:divBdr>
        <w:top w:val="none" w:sz="0" w:space="0" w:color="auto"/>
        <w:left w:val="none" w:sz="0" w:space="0" w:color="auto"/>
        <w:bottom w:val="none" w:sz="0" w:space="0" w:color="auto"/>
        <w:right w:val="none" w:sz="0" w:space="0" w:color="auto"/>
      </w:divBdr>
    </w:div>
    <w:div w:id="1060522113">
      <w:bodyDiv w:val="1"/>
      <w:marLeft w:val="0"/>
      <w:marRight w:val="0"/>
      <w:marTop w:val="0"/>
      <w:marBottom w:val="0"/>
      <w:divBdr>
        <w:top w:val="none" w:sz="0" w:space="0" w:color="auto"/>
        <w:left w:val="none" w:sz="0" w:space="0" w:color="auto"/>
        <w:bottom w:val="none" w:sz="0" w:space="0" w:color="auto"/>
        <w:right w:val="none" w:sz="0" w:space="0" w:color="auto"/>
      </w:divBdr>
    </w:div>
    <w:div w:id="1060664817">
      <w:bodyDiv w:val="1"/>
      <w:marLeft w:val="0"/>
      <w:marRight w:val="0"/>
      <w:marTop w:val="0"/>
      <w:marBottom w:val="0"/>
      <w:divBdr>
        <w:top w:val="none" w:sz="0" w:space="0" w:color="auto"/>
        <w:left w:val="none" w:sz="0" w:space="0" w:color="auto"/>
        <w:bottom w:val="none" w:sz="0" w:space="0" w:color="auto"/>
        <w:right w:val="none" w:sz="0" w:space="0" w:color="auto"/>
      </w:divBdr>
    </w:div>
    <w:div w:id="1062364822">
      <w:bodyDiv w:val="1"/>
      <w:marLeft w:val="0"/>
      <w:marRight w:val="0"/>
      <w:marTop w:val="0"/>
      <w:marBottom w:val="0"/>
      <w:divBdr>
        <w:top w:val="none" w:sz="0" w:space="0" w:color="auto"/>
        <w:left w:val="none" w:sz="0" w:space="0" w:color="auto"/>
        <w:bottom w:val="none" w:sz="0" w:space="0" w:color="auto"/>
        <w:right w:val="none" w:sz="0" w:space="0" w:color="auto"/>
      </w:divBdr>
    </w:div>
    <w:div w:id="1062678323">
      <w:bodyDiv w:val="1"/>
      <w:marLeft w:val="0"/>
      <w:marRight w:val="0"/>
      <w:marTop w:val="0"/>
      <w:marBottom w:val="0"/>
      <w:divBdr>
        <w:top w:val="none" w:sz="0" w:space="0" w:color="auto"/>
        <w:left w:val="none" w:sz="0" w:space="0" w:color="auto"/>
        <w:bottom w:val="none" w:sz="0" w:space="0" w:color="auto"/>
        <w:right w:val="none" w:sz="0" w:space="0" w:color="auto"/>
      </w:divBdr>
    </w:div>
    <w:div w:id="1064573297">
      <w:bodyDiv w:val="1"/>
      <w:marLeft w:val="0"/>
      <w:marRight w:val="0"/>
      <w:marTop w:val="0"/>
      <w:marBottom w:val="0"/>
      <w:divBdr>
        <w:top w:val="none" w:sz="0" w:space="0" w:color="auto"/>
        <w:left w:val="none" w:sz="0" w:space="0" w:color="auto"/>
        <w:bottom w:val="none" w:sz="0" w:space="0" w:color="auto"/>
        <w:right w:val="none" w:sz="0" w:space="0" w:color="auto"/>
      </w:divBdr>
    </w:div>
    <w:div w:id="1065034220">
      <w:bodyDiv w:val="1"/>
      <w:marLeft w:val="0"/>
      <w:marRight w:val="0"/>
      <w:marTop w:val="0"/>
      <w:marBottom w:val="0"/>
      <w:divBdr>
        <w:top w:val="none" w:sz="0" w:space="0" w:color="auto"/>
        <w:left w:val="none" w:sz="0" w:space="0" w:color="auto"/>
        <w:bottom w:val="none" w:sz="0" w:space="0" w:color="auto"/>
        <w:right w:val="none" w:sz="0" w:space="0" w:color="auto"/>
      </w:divBdr>
    </w:div>
    <w:div w:id="1065185927">
      <w:bodyDiv w:val="1"/>
      <w:marLeft w:val="0"/>
      <w:marRight w:val="0"/>
      <w:marTop w:val="0"/>
      <w:marBottom w:val="0"/>
      <w:divBdr>
        <w:top w:val="none" w:sz="0" w:space="0" w:color="auto"/>
        <w:left w:val="none" w:sz="0" w:space="0" w:color="auto"/>
        <w:bottom w:val="none" w:sz="0" w:space="0" w:color="auto"/>
        <w:right w:val="none" w:sz="0" w:space="0" w:color="auto"/>
      </w:divBdr>
    </w:div>
    <w:div w:id="1065492360">
      <w:bodyDiv w:val="1"/>
      <w:marLeft w:val="0"/>
      <w:marRight w:val="0"/>
      <w:marTop w:val="0"/>
      <w:marBottom w:val="0"/>
      <w:divBdr>
        <w:top w:val="none" w:sz="0" w:space="0" w:color="auto"/>
        <w:left w:val="none" w:sz="0" w:space="0" w:color="auto"/>
        <w:bottom w:val="none" w:sz="0" w:space="0" w:color="auto"/>
        <w:right w:val="none" w:sz="0" w:space="0" w:color="auto"/>
      </w:divBdr>
    </w:div>
    <w:div w:id="1066538225">
      <w:bodyDiv w:val="1"/>
      <w:marLeft w:val="0"/>
      <w:marRight w:val="0"/>
      <w:marTop w:val="0"/>
      <w:marBottom w:val="0"/>
      <w:divBdr>
        <w:top w:val="none" w:sz="0" w:space="0" w:color="auto"/>
        <w:left w:val="none" w:sz="0" w:space="0" w:color="auto"/>
        <w:bottom w:val="none" w:sz="0" w:space="0" w:color="auto"/>
        <w:right w:val="none" w:sz="0" w:space="0" w:color="auto"/>
      </w:divBdr>
    </w:div>
    <w:div w:id="1068187149">
      <w:bodyDiv w:val="1"/>
      <w:marLeft w:val="0"/>
      <w:marRight w:val="0"/>
      <w:marTop w:val="0"/>
      <w:marBottom w:val="0"/>
      <w:divBdr>
        <w:top w:val="none" w:sz="0" w:space="0" w:color="auto"/>
        <w:left w:val="none" w:sz="0" w:space="0" w:color="auto"/>
        <w:bottom w:val="none" w:sz="0" w:space="0" w:color="auto"/>
        <w:right w:val="none" w:sz="0" w:space="0" w:color="auto"/>
      </w:divBdr>
    </w:div>
    <w:div w:id="1068575354">
      <w:bodyDiv w:val="1"/>
      <w:marLeft w:val="0"/>
      <w:marRight w:val="0"/>
      <w:marTop w:val="0"/>
      <w:marBottom w:val="0"/>
      <w:divBdr>
        <w:top w:val="none" w:sz="0" w:space="0" w:color="auto"/>
        <w:left w:val="none" w:sz="0" w:space="0" w:color="auto"/>
        <w:bottom w:val="none" w:sz="0" w:space="0" w:color="auto"/>
        <w:right w:val="none" w:sz="0" w:space="0" w:color="auto"/>
      </w:divBdr>
    </w:div>
    <w:div w:id="1069841373">
      <w:bodyDiv w:val="1"/>
      <w:marLeft w:val="0"/>
      <w:marRight w:val="0"/>
      <w:marTop w:val="0"/>
      <w:marBottom w:val="0"/>
      <w:divBdr>
        <w:top w:val="none" w:sz="0" w:space="0" w:color="auto"/>
        <w:left w:val="none" w:sz="0" w:space="0" w:color="auto"/>
        <w:bottom w:val="none" w:sz="0" w:space="0" w:color="auto"/>
        <w:right w:val="none" w:sz="0" w:space="0" w:color="auto"/>
      </w:divBdr>
    </w:div>
    <w:div w:id="1070007381">
      <w:bodyDiv w:val="1"/>
      <w:marLeft w:val="0"/>
      <w:marRight w:val="0"/>
      <w:marTop w:val="0"/>
      <w:marBottom w:val="0"/>
      <w:divBdr>
        <w:top w:val="none" w:sz="0" w:space="0" w:color="auto"/>
        <w:left w:val="none" w:sz="0" w:space="0" w:color="auto"/>
        <w:bottom w:val="none" w:sz="0" w:space="0" w:color="auto"/>
        <w:right w:val="none" w:sz="0" w:space="0" w:color="auto"/>
      </w:divBdr>
    </w:div>
    <w:div w:id="1070077654">
      <w:bodyDiv w:val="1"/>
      <w:marLeft w:val="0"/>
      <w:marRight w:val="0"/>
      <w:marTop w:val="0"/>
      <w:marBottom w:val="0"/>
      <w:divBdr>
        <w:top w:val="none" w:sz="0" w:space="0" w:color="auto"/>
        <w:left w:val="none" w:sz="0" w:space="0" w:color="auto"/>
        <w:bottom w:val="none" w:sz="0" w:space="0" w:color="auto"/>
        <w:right w:val="none" w:sz="0" w:space="0" w:color="auto"/>
      </w:divBdr>
    </w:div>
    <w:div w:id="1071728884">
      <w:bodyDiv w:val="1"/>
      <w:marLeft w:val="0"/>
      <w:marRight w:val="0"/>
      <w:marTop w:val="0"/>
      <w:marBottom w:val="0"/>
      <w:divBdr>
        <w:top w:val="none" w:sz="0" w:space="0" w:color="auto"/>
        <w:left w:val="none" w:sz="0" w:space="0" w:color="auto"/>
        <w:bottom w:val="none" w:sz="0" w:space="0" w:color="auto"/>
        <w:right w:val="none" w:sz="0" w:space="0" w:color="auto"/>
      </w:divBdr>
    </w:div>
    <w:div w:id="1071931089">
      <w:bodyDiv w:val="1"/>
      <w:marLeft w:val="0"/>
      <w:marRight w:val="0"/>
      <w:marTop w:val="0"/>
      <w:marBottom w:val="0"/>
      <w:divBdr>
        <w:top w:val="none" w:sz="0" w:space="0" w:color="auto"/>
        <w:left w:val="none" w:sz="0" w:space="0" w:color="auto"/>
        <w:bottom w:val="none" w:sz="0" w:space="0" w:color="auto"/>
        <w:right w:val="none" w:sz="0" w:space="0" w:color="auto"/>
      </w:divBdr>
    </w:div>
    <w:div w:id="1072196347">
      <w:bodyDiv w:val="1"/>
      <w:marLeft w:val="0"/>
      <w:marRight w:val="0"/>
      <w:marTop w:val="0"/>
      <w:marBottom w:val="0"/>
      <w:divBdr>
        <w:top w:val="none" w:sz="0" w:space="0" w:color="auto"/>
        <w:left w:val="none" w:sz="0" w:space="0" w:color="auto"/>
        <w:bottom w:val="none" w:sz="0" w:space="0" w:color="auto"/>
        <w:right w:val="none" w:sz="0" w:space="0" w:color="auto"/>
      </w:divBdr>
    </w:div>
    <w:div w:id="1072577689">
      <w:bodyDiv w:val="1"/>
      <w:marLeft w:val="0"/>
      <w:marRight w:val="0"/>
      <w:marTop w:val="0"/>
      <w:marBottom w:val="0"/>
      <w:divBdr>
        <w:top w:val="none" w:sz="0" w:space="0" w:color="auto"/>
        <w:left w:val="none" w:sz="0" w:space="0" w:color="auto"/>
        <w:bottom w:val="none" w:sz="0" w:space="0" w:color="auto"/>
        <w:right w:val="none" w:sz="0" w:space="0" w:color="auto"/>
      </w:divBdr>
    </w:div>
    <w:div w:id="1072969844">
      <w:bodyDiv w:val="1"/>
      <w:marLeft w:val="0"/>
      <w:marRight w:val="0"/>
      <w:marTop w:val="0"/>
      <w:marBottom w:val="0"/>
      <w:divBdr>
        <w:top w:val="none" w:sz="0" w:space="0" w:color="auto"/>
        <w:left w:val="none" w:sz="0" w:space="0" w:color="auto"/>
        <w:bottom w:val="none" w:sz="0" w:space="0" w:color="auto"/>
        <w:right w:val="none" w:sz="0" w:space="0" w:color="auto"/>
      </w:divBdr>
    </w:div>
    <w:div w:id="1073162767">
      <w:bodyDiv w:val="1"/>
      <w:marLeft w:val="0"/>
      <w:marRight w:val="0"/>
      <w:marTop w:val="0"/>
      <w:marBottom w:val="0"/>
      <w:divBdr>
        <w:top w:val="none" w:sz="0" w:space="0" w:color="auto"/>
        <w:left w:val="none" w:sz="0" w:space="0" w:color="auto"/>
        <w:bottom w:val="none" w:sz="0" w:space="0" w:color="auto"/>
        <w:right w:val="none" w:sz="0" w:space="0" w:color="auto"/>
      </w:divBdr>
    </w:div>
    <w:div w:id="1073351433">
      <w:bodyDiv w:val="1"/>
      <w:marLeft w:val="0"/>
      <w:marRight w:val="0"/>
      <w:marTop w:val="0"/>
      <w:marBottom w:val="0"/>
      <w:divBdr>
        <w:top w:val="none" w:sz="0" w:space="0" w:color="auto"/>
        <w:left w:val="none" w:sz="0" w:space="0" w:color="auto"/>
        <w:bottom w:val="none" w:sz="0" w:space="0" w:color="auto"/>
        <w:right w:val="none" w:sz="0" w:space="0" w:color="auto"/>
      </w:divBdr>
    </w:div>
    <w:div w:id="1073502856">
      <w:bodyDiv w:val="1"/>
      <w:marLeft w:val="0"/>
      <w:marRight w:val="0"/>
      <w:marTop w:val="0"/>
      <w:marBottom w:val="0"/>
      <w:divBdr>
        <w:top w:val="none" w:sz="0" w:space="0" w:color="auto"/>
        <w:left w:val="none" w:sz="0" w:space="0" w:color="auto"/>
        <w:bottom w:val="none" w:sz="0" w:space="0" w:color="auto"/>
        <w:right w:val="none" w:sz="0" w:space="0" w:color="auto"/>
      </w:divBdr>
    </w:div>
    <w:div w:id="1075930491">
      <w:bodyDiv w:val="1"/>
      <w:marLeft w:val="0"/>
      <w:marRight w:val="0"/>
      <w:marTop w:val="0"/>
      <w:marBottom w:val="0"/>
      <w:divBdr>
        <w:top w:val="none" w:sz="0" w:space="0" w:color="auto"/>
        <w:left w:val="none" w:sz="0" w:space="0" w:color="auto"/>
        <w:bottom w:val="none" w:sz="0" w:space="0" w:color="auto"/>
        <w:right w:val="none" w:sz="0" w:space="0" w:color="auto"/>
      </w:divBdr>
    </w:div>
    <w:div w:id="1076561011">
      <w:bodyDiv w:val="1"/>
      <w:marLeft w:val="0"/>
      <w:marRight w:val="0"/>
      <w:marTop w:val="0"/>
      <w:marBottom w:val="0"/>
      <w:divBdr>
        <w:top w:val="none" w:sz="0" w:space="0" w:color="auto"/>
        <w:left w:val="none" w:sz="0" w:space="0" w:color="auto"/>
        <w:bottom w:val="none" w:sz="0" w:space="0" w:color="auto"/>
        <w:right w:val="none" w:sz="0" w:space="0" w:color="auto"/>
      </w:divBdr>
    </w:div>
    <w:div w:id="1076895988">
      <w:bodyDiv w:val="1"/>
      <w:marLeft w:val="0"/>
      <w:marRight w:val="0"/>
      <w:marTop w:val="0"/>
      <w:marBottom w:val="0"/>
      <w:divBdr>
        <w:top w:val="none" w:sz="0" w:space="0" w:color="auto"/>
        <w:left w:val="none" w:sz="0" w:space="0" w:color="auto"/>
        <w:bottom w:val="none" w:sz="0" w:space="0" w:color="auto"/>
        <w:right w:val="none" w:sz="0" w:space="0" w:color="auto"/>
      </w:divBdr>
    </w:div>
    <w:div w:id="1077022136">
      <w:bodyDiv w:val="1"/>
      <w:marLeft w:val="0"/>
      <w:marRight w:val="0"/>
      <w:marTop w:val="0"/>
      <w:marBottom w:val="0"/>
      <w:divBdr>
        <w:top w:val="none" w:sz="0" w:space="0" w:color="auto"/>
        <w:left w:val="none" w:sz="0" w:space="0" w:color="auto"/>
        <w:bottom w:val="none" w:sz="0" w:space="0" w:color="auto"/>
        <w:right w:val="none" w:sz="0" w:space="0" w:color="auto"/>
      </w:divBdr>
    </w:div>
    <w:div w:id="1077286919">
      <w:bodyDiv w:val="1"/>
      <w:marLeft w:val="0"/>
      <w:marRight w:val="0"/>
      <w:marTop w:val="0"/>
      <w:marBottom w:val="0"/>
      <w:divBdr>
        <w:top w:val="none" w:sz="0" w:space="0" w:color="auto"/>
        <w:left w:val="none" w:sz="0" w:space="0" w:color="auto"/>
        <w:bottom w:val="none" w:sz="0" w:space="0" w:color="auto"/>
        <w:right w:val="none" w:sz="0" w:space="0" w:color="auto"/>
      </w:divBdr>
    </w:div>
    <w:div w:id="1078211783">
      <w:bodyDiv w:val="1"/>
      <w:marLeft w:val="0"/>
      <w:marRight w:val="0"/>
      <w:marTop w:val="0"/>
      <w:marBottom w:val="0"/>
      <w:divBdr>
        <w:top w:val="none" w:sz="0" w:space="0" w:color="auto"/>
        <w:left w:val="none" w:sz="0" w:space="0" w:color="auto"/>
        <w:bottom w:val="none" w:sz="0" w:space="0" w:color="auto"/>
        <w:right w:val="none" w:sz="0" w:space="0" w:color="auto"/>
      </w:divBdr>
    </w:div>
    <w:div w:id="1078481648">
      <w:bodyDiv w:val="1"/>
      <w:marLeft w:val="0"/>
      <w:marRight w:val="0"/>
      <w:marTop w:val="0"/>
      <w:marBottom w:val="0"/>
      <w:divBdr>
        <w:top w:val="none" w:sz="0" w:space="0" w:color="auto"/>
        <w:left w:val="none" w:sz="0" w:space="0" w:color="auto"/>
        <w:bottom w:val="none" w:sz="0" w:space="0" w:color="auto"/>
        <w:right w:val="none" w:sz="0" w:space="0" w:color="auto"/>
      </w:divBdr>
    </w:div>
    <w:div w:id="1078551873">
      <w:bodyDiv w:val="1"/>
      <w:marLeft w:val="0"/>
      <w:marRight w:val="0"/>
      <w:marTop w:val="0"/>
      <w:marBottom w:val="0"/>
      <w:divBdr>
        <w:top w:val="none" w:sz="0" w:space="0" w:color="auto"/>
        <w:left w:val="none" w:sz="0" w:space="0" w:color="auto"/>
        <w:bottom w:val="none" w:sz="0" w:space="0" w:color="auto"/>
        <w:right w:val="none" w:sz="0" w:space="0" w:color="auto"/>
      </w:divBdr>
    </w:div>
    <w:div w:id="1078747296">
      <w:bodyDiv w:val="1"/>
      <w:marLeft w:val="0"/>
      <w:marRight w:val="0"/>
      <w:marTop w:val="0"/>
      <w:marBottom w:val="0"/>
      <w:divBdr>
        <w:top w:val="none" w:sz="0" w:space="0" w:color="auto"/>
        <w:left w:val="none" w:sz="0" w:space="0" w:color="auto"/>
        <w:bottom w:val="none" w:sz="0" w:space="0" w:color="auto"/>
        <w:right w:val="none" w:sz="0" w:space="0" w:color="auto"/>
      </w:divBdr>
    </w:div>
    <w:div w:id="1079867833">
      <w:bodyDiv w:val="1"/>
      <w:marLeft w:val="0"/>
      <w:marRight w:val="0"/>
      <w:marTop w:val="0"/>
      <w:marBottom w:val="0"/>
      <w:divBdr>
        <w:top w:val="none" w:sz="0" w:space="0" w:color="auto"/>
        <w:left w:val="none" w:sz="0" w:space="0" w:color="auto"/>
        <w:bottom w:val="none" w:sz="0" w:space="0" w:color="auto"/>
        <w:right w:val="none" w:sz="0" w:space="0" w:color="auto"/>
      </w:divBdr>
    </w:div>
    <w:div w:id="1079911401">
      <w:bodyDiv w:val="1"/>
      <w:marLeft w:val="0"/>
      <w:marRight w:val="0"/>
      <w:marTop w:val="0"/>
      <w:marBottom w:val="0"/>
      <w:divBdr>
        <w:top w:val="none" w:sz="0" w:space="0" w:color="auto"/>
        <w:left w:val="none" w:sz="0" w:space="0" w:color="auto"/>
        <w:bottom w:val="none" w:sz="0" w:space="0" w:color="auto"/>
        <w:right w:val="none" w:sz="0" w:space="0" w:color="auto"/>
      </w:divBdr>
    </w:div>
    <w:div w:id="1080250804">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834935">
      <w:bodyDiv w:val="1"/>
      <w:marLeft w:val="0"/>
      <w:marRight w:val="0"/>
      <w:marTop w:val="0"/>
      <w:marBottom w:val="0"/>
      <w:divBdr>
        <w:top w:val="none" w:sz="0" w:space="0" w:color="auto"/>
        <w:left w:val="none" w:sz="0" w:space="0" w:color="auto"/>
        <w:bottom w:val="none" w:sz="0" w:space="0" w:color="auto"/>
        <w:right w:val="none" w:sz="0" w:space="0" w:color="auto"/>
      </w:divBdr>
    </w:div>
    <w:div w:id="1081758096">
      <w:bodyDiv w:val="1"/>
      <w:marLeft w:val="0"/>
      <w:marRight w:val="0"/>
      <w:marTop w:val="0"/>
      <w:marBottom w:val="0"/>
      <w:divBdr>
        <w:top w:val="none" w:sz="0" w:space="0" w:color="auto"/>
        <w:left w:val="none" w:sz="0" w:space="0" w:color="auto"/>
        <w:bottom w:val="none" w:sz="0" w:space="0" w:color="auto"/>
        <w:right w:val="none" w:sz="0" w:space="0" w:color="auto"/>
      </w:divBdr>
    </w:div>
    <w:div w:id="1083113598">
      <w:bodyDiv w:val="1"/>
      <w:marLeft w:val="0"/>
      <w:marRight w:val="0"/>
      <w:marTop w:val="0"/>
      <w:marBottom w:val="0"/>
      <w:divBdr>
        <w:top w:val="none" w:sz="0" w:space="0" w:color="auto"/>
        <w:left w:val="none" w:sz="0" w:space="0" w:color="auto"/>
        <w:bottom w:val="none" w:sz="0" w:space="0" w:color="auto"/>
        <w:right w:val="none" w:sz="0" w:space="0" w:color="auto"/>
      </w:divBdr>
    </w:div>
    <w:div w:id="1083188684">
      <w:bodyDiv w:val="1"/>
      <w:marLeft w:val="0"/>
      <w:marRight w:val="0"/>
      <w:marTop w:val="0"/>
      <w:marBottom w:val="0"/>
      <w:divBdr>
        <w:top w:val="none" w:sz="0" w:space="0" w:color="auto"/>
        <w:left w:val="none" w:sz="0" w:space="0" w:color="auto"/>
        <w:bottom w:val="none" w:sz="0" w:space="0" w:color="auto"/>
        <w:right w:val="none" w:sz="0" w:space="0" w:color="auto"/>
      </w:divBdr>
    </w:div>
    <w:div w:id="1083263300">
      <w:bodyDiv w:val="1"/>
      <w:marLeft w:val="0"/>
      <w:marRight w:val="0"/>
      <w:marTop w:val="0"/>
      <w:marBottom w:val="0"/>
      <w:divBdr>
        <w:top w:val="none" w:sz="0" w:space="0" w:color="auto"/>
        <w:left w:val="none" w:sz="0" w:space="0" w:color="auto"/>
        <w:bottom w:val="none" w:sz="0" w:space="0" w:color="auto"/>
        <w:right w:val="none" w:sz="0" w:space="0" w:color="auto"/>
      </w:divBdr>
    </w:div>
    <w:div w:id="1084686754">
      <w:bodyDiv w:val="1"/>
      <w:marLeft w:val="0"/>
      <w:marRight w:val="0"/>
      <w:marTop w:val="0"/>
      <w:marBottom w:val="0"/>
      <w:divBdr>
        <w:top w:val="none" w:sz="0" w:space="0" w:color="auto"/>
        <w:left w:val="none" w:sz="0" w:space="0" w:color="auto"/>
        <w:bottom w:val="none" w:sz="0" w:space="0" w:color="auto"/>
        <w:right w:val="none" w:sz="0" w:space="0" w:color="auto"/>
      </w:divBdr>
    </w:div>
    <w:div w:id="1084953683">
      <w:bodyDiv w:val="1"/>
      <w:marLeft w:val="0"/>
      <w:marRight w:val="0"/>
      <w:marTop w:val="0"/>
      <w:marBottom w:val="0"/>
      <w:divBdr>
        <w:top w:val="none" w:sz="0" w:space="0" w:color="auto"/>
        <w:left w:val="none" w:sz="0" w:space="0" w:color="auto"/>
        <w:bottom w:val="none" w:sz="0" w:space="0" w:color="auto"/>
        <w:right w:val="none" w:sz="0" w:space="0" w:color="auto"/>
      </w:divBdr>
    </w:div>
    <w:div w:id="1085031283">
      <w:bodyDiv w:val="1"/>
      <w:marLeft w:val="0"/>
      <w:marRight w:val="0"/>
      <w:marTop w:val="0"/>
      <w:marBottom w:val="0"/>
      <w:divBdr>
        <w:top w:val="none" w:sz="0" w:space="0" w:color="auto"/>
        <w:left w:val="none" w:sz="0" w:space="0" w:color="auto"/>
        <w:bottom w:val="none" w:sz="0" w:space="0" w:color="auto"/>
        <w:right w:val="none" w:sz="0" w:space="0" w:color="auto"/>
      </w:divBdr>
    </w:div>
    <w:div w:id="1085881957">
      <w:bodyDiv w:val="1"/>
      <w:marLeft w:val="0"/>
      <w:marRight w:val="0"/>
      <w:marTop w:val="0"/>
      <w:marBottom w:val="0"/>
      <w:divBdr>
        <w:top w:val="none" w:sz="0" w:space="0" w:color="auto"/>
        <w:left w:val="none" w:sz="0" w:space="0" w:color="auto"/>
        <w:bottom w:val="none" w:sz="0" w:space="0" w:color="auto"/>
        <w:right w:val="none" w:sz="0" w:space="0" w:color="auto"/>
      </w:divBdr>
    </w:div>
    <w:div w:id="1086419295">
      <w:bodyDiv w:val="1"/>
      <w:marLeft w:val="0"/>
      <w:marRight w:val="0"/>
      <w:marTop w:val="0"/>
      <w:marBottom w:val="0"/>
      <w:divBdr>
        <w:top w:val="none" w:sz="0" w:space="0" w:color="auto"/>
        <w:left w:val="none" w:sz="0" w:space="0" w:color="auto"/>
        <w:bottom w:val="none" w:sz="0" w:space="0" w:color="auto"/>
        <w:right w:val="none" w:sz="0" w:space="0" w:color="auto"/>
      </w:divBdr>
    </w:div>
    <w:div w:id="1087192182">
      <w:bodyDiv w:val="1"/>
      <w:marLeft w:val="0"/>
      <w:marRight w:val="0"/>
      <w:marTop w:val="0"/>
      <w:marBottom w:val="0"/>
      <w:divBdr>
        <w:top w:val="none" w:sz="0" w:space="0" w:color="auto"/>
        <w:left w:val="none" w:sz="0" w:space="0" w:color="auto"/>
        <w:bottom w:val="none" w:sz="0" w:space="0" w:color="auto"/>
        <w:right w:val="none" w:sz="0" w:space="0" w:color="auto"/>
      </w:divBdr>
    </w:div>
    <w:div w:id="1087381485">
      <w:bodyDiv w:val="1"/>
      <w:marLeft w:val="0"/>
      <w:marRight w:val="0"/>
      <w:marTop w:val="0"/>
      <w:marBottom w:val="0"/>
      <w:divBdr>
        <w:top w:val="none" w:sz="0" w:space="0" w:color="auto"/>
        <w:left w:val="none" w:sz="0" w:space="0" w:color="auto"/>
        <w:bottom w:val="none" w:sz="0" w:space="0" w:color="auto"/>
        <w:right w:val="none" w:sz="0" w:space="0" w:color="auto"/>
      </w:divBdr>
    </w:div>
    <w:div w:id="1088695548">
      <w:bodyDiv w:val="1"/>
      <w:marLeft w:val="0"/>
      <w:marRight w:val="0"/>
      <w:marTop w:val="0"/>
      <w:marBottom w:val="0"/>
      <w:divBdr>
        <w:top w:val="none" w:sz="0" w:space="0" w:color="auto"/>
        <w:left w:val="none" w:sz="0" w:space="0" w:color="auto"/>
        <w:bottom w:val="none" w:sz="0" w:space="0" w:color="auto"/>
        <w:right w:val="none" w:sz="0" w:space="0" w:color="auto"/>
      </w:divBdr>
    </w:div>
    <w:div w:id="1088963371">
      <w:bodyDiv w:val="1"/>
      <w:marLeft w:val="0"/>
      <w:marRight w:val="0"/>
      <w:marTop w:val="0"/>
      <w:marBottom w:val="0"/>
      <w:divBdr>
        <w:top w:val="none" w:sz="0" w:space="0" w:color="auto"/>
        <w:left w:val="none" w:sz="0" w:space="0" w:color="auto"/>
        <w:bottom w:val="none" w:sz="0" w:space="0" w:color="auto"/>
        <w:right w:val="none" w:sz="0" w:space="0" w:color="auto"/>
      </w:divBdr>
    </w:div>
    <w:div w:id="1089355098">
      <w:bodyDiv w:val="1"/>
      <w:marLeft w:val="0"/>
      <w:marRight w:val="0"/>
      <w:marTop w:val="0"/>
      <w:marBottom w:val="0"/>
      <w:divBdr>
        <w:top w:val="none" w:sz="0" w:space="0" w:color="auto"/>
        <w:left w:val="none" w:sz="0" w:space="0" w:color="auto"/>
        <w:bottom w:val="none" w:sz="0" w:space="0" w:color="auto"/>
        <w:right w:val="none" w:sz="0" w:space="0" w:color="auto"/>
      </w:divBdr>
    </w:div>
    <w:div w:id="1089421371">
      <w:bodyDiv w:val="1"/>
      <w:marLeft w:val="0"/>
      <w:marRight w:val="0"/>
      <w:marTop w:val="0"/>
      <w:marBottom w:val="0"/>
      <w:divBdr>
        <w:top w:val="none" w:sz="0" w:space="0" w:color="auto"/>
        <w:left w:val="none" w:sz="0" w:space="0" w:color="auto"/>
        <w:bottom w:val="none" w:sz="0" w:space="0" w:color="auto"/>
        <w:right w:val="none" w:sz="0" w:space="0" w:color="auto"/>
      </w:divBdr>
    </w:div>
    <w:div w:id="1089809413">
      <w:bodyDiv w:val="1"/>
      <w:marLeft w:val="0"/>
      <w:marRight w:val="0"/>
      <w:marTop w:val="0"/>
      <w:marBottom w:val="0"/>
      <w:divBdr>
        <w:top w:val="none" w:sz="0" w:space="0" w:color="auto"/>
        <w:left w:val="none" w:sz="0" w:space="0" w:color="auto"/>
        <w:bottom w:val="none" w:sz="0" w:space="0" w:color="auto"/>
        <w:right w:val="none" w:sz="0" w:space="0" w:color="auto"/>
      </w:divBdr>
    </w:div>
    <w:div w:id="1090003273">
      <w:bodyDiv w:val="1"/>
      <w:marLeft w:val="0"/>
      <w:marRight w:val="0"/>
      <w:marTop w:val="0"/>
      <w:marBottom w:val="0"/>
      <w:divBdr>
        <w:top w:val="none" w:sz="0" w:space="0" w:color="auto"/>
        <w:left w:val="none" w:sz="0" w:space="0" w:color="auto"/>
        <w:bottom w:val="none" w:sz="0" w:space="0" w:color="auto"/>
        <w:right w:val="none" w:sz="0" w:space="0" w:color="auto"/>
      </w:divBdr>
    </w:div>
    <w:div w:id="1090733259">
      <w:bodyDiv w:val="1"/>
      <w:marLeft w:val="0"/>
      <w:marRight w:val="0"/>
      <w:marTop w:val="0"/>
      <w:marBottom w:val="0"/>
      <w:divBdr>
        <w:top w:val="none" w:sz="0" w:space="0" w:color="auto"/>
        <w:left w:val="none" w:sz="0" w:space="0" w:color="auto"/>
        <w:bottom w:val="none" w:sz="0" w:space="0" w:color="auto"/>
        <w:right w:val="none" w:sz="0" w:space="0" w:color="auto"/>
      </w:divBdr>
    </w:div>
    <w:div w:id="1091852615">
      <w:bodyDiv w:val="1"/>
      <w:marLeft w:val="0"/>
      <w:marRight w:val="0"/>
      <w:marTop w:val="0"/>
      <w:marBottom w:val="0"/>
      <w:divBdr>
        <w:top w:val="none" w:sz="0" w:space="0" w:color="auto"/>
        <w:left w:val="none" w:sz="0" w:space="0" w:color="auto"/>
        <w:bottom w:val="none" w:sz="0" w:space="0" w:color="auto"/>
        <w:right w:val="none" w:sz="0" w:space="0" w:color="auto"/>
      </w:divBdr>
    </w:div>
    <w:div w:id="1093630133">
      <w:bodyDiv w:val="1"/>
      <w:marLeft w:val="0"/>
      <w:marRight w:val="0"/>
      <w:marTop w:val="0"/>
      <w:marBottom w:val="0"/>
      <w:divBdr>
        <w:top w:val="none" w:sz="0" w:space="0" w:color="auto"/>
        <w:left w:val="none" w:sz="0" w:space="0" w:color="auto"/>
        <w:bottom w:val="none" w:sz="0" w:space="0" w:color="auto"/>
        <w:right w:val="none" w:sz="0" w:space="0" w:color="auto"/>
      </w:divBdr>
    </w:div>
    <w:div w:id="1094395583">
      <w:bodyDiv w:val="1"/>
      <w:marLeft w:val="0"/>
      <w:marRight w:val="0"/>
      <w:marTop w:val="0"/>
      <w:marBottom w:val="0"/>
      <w:divBdr>
        <w:top w:val="none" w:sz="0" w:space="0" w:color="auto"/>
        <w:left w:val="none" w:sz="0" w:space="0" w:color="auto"/>
        <w:bottom w:val="none" w:sz="0" w:space="0" w:color="auto"/>
        <w:right w:val="none" w:sz="0" w:space="0" w:color="auto"/>
      </w:divBdr>
    </w:div>
    <w:div w:id="1095638497">
      <w:bodyDiv w:val="1"/>
      <w:marLeft w:val="0"/>
      <w:marRight w:val="0"/>
      <w:marTop w:val="0"/>
      <w:marBottom w:val="0"/>
      <w:divBdr>
        <w:top w:val="none" w:sz="0" w:space="0" w:color="auto"/>
        <w:left w:val="none" w:sz="0" w:space="0" w:color="auto"/>
        <w:bottom w:val="none" w:sz="0" w:space="0" w:color="auto"/>
        <w:right w:val="none" w:sz="0" w:space="0" w:color="auto"/>
      </w:divBdr>
    </w:div>
    <w:div w:id="1095706237">
      <w:bodyDiv w:val="1"/>
      <w:marLeft w:val="0"/>
      <w:marRight w:val="0"/>
      <w:marTop w:val="0"/>
      <w:marBottom w:val="0"/>
      <w:divBdr>
        <w:top w:val="none" w:sz="0" w:space="0" w:color="auto"/>
        <w:left w:val="none" w:sz="0" w:space="0" w:color="auto"/>
        <w:bottom w:val="none" w:sz="0" w:space="0" w:color="auto"/>
        <w:right w:val="none" w:sz="0" w:space="0" w:color="auto"/>
      </w:divBdr>
    </w:div>
    <w:div w:id="1096438150">
      <w:bodyDiv w:val="1"/>
      <w:marLeft w:val="0"/>
      <w:marRight w:val="0"/>
      <w:marTop w:val="0"/>
      <w:marBottom w:val="0"/>
      <w:divBdr>
        <w:top w:val="none" w:sz="0" w:space="0" w:color="auto"/>
        <w:left w:val="none" w:sz="0" w:space="0" w:color="auto"/>
        <w:bottom w:val="none" w:sz="0" w:space="0" w:color="auto"/>
        <w:right w:val="none" w:sz="0" w:space="0" w:color="auto"/>
      </w:divBdr>
    </w:div>
    <w:div w:id="1096829588">
      <w:bodyDiv w:val="1"/>
      <w:marLeft w:val="0"/>
      <w:marRight w:val="0"/>
      <w:marTop w:val="0"/>
      <w:marBottom w:val="0"/>
      <w:divBdr>
        <w:top w:val="none" w:sz="0" w:space="0" w:color="auto"/>
        <w:left w:val="none" w:sz="0" w:space="0" w:color="auto"/>
        <w:bottom w:val="none" w:sz="0" w:space="0" w:color="auto"/>
        <w:right w:val="none" w:sz="0" w:space="0" w:color="auto"/>
      </w:divBdr>
    </w:div>
    <w:div w:id="1097562526">
      <w:bodyDiv w:val="1"/>
      <w:marLeft w:val="0"/>
      <w:marRight w:val="0"/>
      <w:marTop w:val="0"/>
      <w:marBottom w:val="0"/>
      <w:divBdr>
        <w:top w:val="none" w:sz="0" w:space="0" w:color="auto"/>
        <w:left w:val="none" w:sz="0" w:space="0" w:color="auto"/>
        <w:bottom w:val="none" w:sz="0" w:space="0" w:color="auto"/>
        <w:right w:val="none" w:sz="0" w:space="0" w:color="auto"/>
      </w:divBdr>
    </w:div>
    <w:div w:id="1097797119">
      <w:bodyDiv w:val="1"/>
      <w:marLeft w:val="0"/>
      <w:marRight w:val="0"/>
      <w:marTop w:val="0"/>
      <w:marBottom w:val="0"/>
      <w:divBdr>
        <w:top w:val="none" w:sz="0" w:space="0" w:color="auto"/>
        <w:left w:val="none" w:sz="0" w:space="0" w:color="auto"/>
        <w:bottom w:val="none" w:sz="0" w:space="0" w:color="auto"/>
        <w:right w:val="none" w:sz="0" w:space="0" w:color="auto"/>
      </w:divBdr>
    </w:div>
    <w:div w:id="1098519995">
      <w:bodyDiv w:val="1"/>
      <w:marLeft w:val="0"/>
      <w:marRight w:val="0"/>
      <w:marTop w:val="0"/>
      <w:marBottom w:val="0"/>
      <w:divBdr>
        <w:top w:val="none" w:sz="0" w:space="0" w:color="auto"/>
        <w:left w:val="none" w:sz="0" w:space="0" w:color="auto"/>
        <w:bottom w:val="none" w:sz="0" w:space="0" w:color="auto"/>
        <w:right w:val="none" w:sz="0" w:space="0" w:color="auto"/>
      </w:divBdr>
    </w:div>
    <w:div w:id="1098797655">
      <w:bodyDiv w:val="1"/>
      <w:marLeft w:val="0"/>
      <w:marRight w:val="0"/>
      <w:marTop w:val="0"/>
      <w:marBottom w:val="0"/>
      <w:divBdr>
        <w:top w:val="none" w:sz="0" w:space="0" w:color="auto"/>
        <w:left w:val="none" w:sz="0" w:space="0" w:color="auto"/>
        <w:bottom w:val="none" w:sz="0" w:space="0" w:color="auto"/>
        <w:right w:val="none" w:sz="0" w:space="0" w:color="auto"/>
      </w:divBdr>
    </w:div>
    <w:div w:id="1098915715">
      <w:bodyDiv w:val="1"/>
      <w:marLeft w:val="0"/>
      <w:marRight w:val="0"/>
      <w:marTop w:val="0"/>
      <w:marBottom w:val="0"/>
      <w:divBdr>
        <w:top w:val="none" w:sz="0" w:space="0" w:color="auto"/>
        <w:left w:val="none" w:sz="0" w:space="0" w:color="auto"/>
        <w:bottom w:val="none" w:sz="0" w:space="0" w:color="auto"/>
        <w:right w:val="none" w:sz="0" w:space="0" w:color="auto"/>
      </w:divBdr>
    </w:div>
    <w:div w:id="1099373495">
      <w:bodyDiv w:val="1"/>
      <w:marLeft w:val="0"/>
      <w:marRight w:val="0"/>
      <w:marTop w:val="0"/>
      <w:marBottom w:val="0"/>
      <w:divBdr>
        <w:top w:val="none" w:sz="0" w:space="0" w:color="auto"/>
        <w:left w:val="none" w:sz="0" w:space="0" w:color="auto"/>
        <w:bottom w:val="none" w:sz="0" w:space="0" w:color="auto"/>
        <w:right w:val="none" w:sz="0" w:space="0" w:color="auto"/>
      </w:divBdr>
    </w:div>
    <w:div w:id="1099831080">
      <w:bodyDiv w:val="1"/>
      <w:marLeft w:val="0"/>
      <w:marRight w:val="0"/>
      <w:marTop w:val="0"/>
      <w:marBottom w:val="0"/>
      <w:divBdr>
        <w:top w:val="none" w:sz="0" w:space="0" w:color="auto"/>
        <w:left w:val="none" w:sz="0" w:space="0" w:color="auto"/>
        <w:bottom w:val="none" w:sz="0" w:space="0" w:color="auto"/>
        <w:right w:val="none" w:sz="0" w:space="0" w:color="auto"/>
      </w:divBdr>
    </w:div>
    <w:div w:id="1099835320">
      <w:bodyDiv w:val="1"/>
      <w:marLeft w:val="0"/>
      <w:marRight w:val="0"/>
      <w:marTop w:val="0"/>
      <w:marBottom w:val="0"/>
      <w:divBdr>
        <w:top w:val="none" w:sz="0" w:space="0" w:color="auto"/>
        <w:left w:val="none" w:sz="0" w:space="0" w:color="auto"/>
        <w:bottom w:val="none" w:sz="0" w:space="0" w:color="auto"/>
        <w:right w:val="none" w:sz="0" w:space="0" w:color="auto"/>
      </w:divBdr>
    </w:div>
    <w:div w:id="1102190407">
      <w:bodyDiv w:val="1"/>
      <w:marLeft w:val="0"/>
      <w:marRight w:val="0"/>
      <w:marTop w:val="0"/>
      <w:marBottom w:val="0"/>
      <w:divBdr>
        <w:top w:val="none" w:sz="0" w:space="0" w:color="auto"/>
        <w:left w:val="none" w:sz="0" w:space="0" w:color="auto"/>
        <w:bottom w:val="none" w:sz="0" w:space="0" w:color="auto"/>
        <w:right w:val="none" w:sz="0" w:space="0" w:color="auto"/>
      </w:divBdr>
    </w:div>
    <w:div w:id="1102381411">
      <w:bodyDiv w:val="1"/>
      <w:marLeft w:val="0"/>
      <w:marRight w:val="0"/>
      <w:marTop w:val="0"/>
      <w:marBottom w:val="0"/>
      <w:divBdr>
        <w:top w:val="none" w:sz="0" w:space="0" w:color="auto"/>
        <w:left w:val="none" w:sz="0" w:space="0" w:color="auto"/>
        <w:bottom w:val="none" w:sz="0" w:space="0" w:color="auto"/>
        <w:right w:val="none" w:sz="0" w:space="0" w:color="auto"/>
      </w:divBdr>
    </w:div>
    <w:div w:id="1104154679">
      <w:bodyDiv w:val="1"/>
      <w:marLeft w:val="0"/>
      <w:marRight w:val="0"/>
      <w:marTop w:val="0"/>
      <w:marBottom w:val="0"/>
      <w:divBdr>
        <w:top w:val="none" w:sz="0" w:space="0" w:color="auto"/>
        <w:left w:val="none" w:sz="0" w:space="0" w:color="auto"/>
        <w:bottom w:val="none" w:sz="0" w:space="0" w:color="auto"/>
        <w:right w:val="none" w:sz="0" w:space="0" w:color="auto"/>
      </w:divBdr>
    </w:div>
    <w:div w:id="1105030139">
      <w:bodyDiv w:val="1"/>
      <w:marLeft w:val="0"/>
      <w:marRight w:val="0"/>
      <w:marTop w:val="0"/>
      <w:marBottom w:val="0"/>
      <w:divBdr>
        <w:top w:val="none" w:sz="0" w:space="0" w:color="auto"/>
        <w:left w:val="none" w:sz="0" w:space="0" w:color="auto"/>
        <w:bottom w:val="none" w:sz="0" w:space="0" w:color="auto"/>
        <w:right w:val="none" w:sz="0" w:space="0" w:color="auto"/>
      </w:divBdr>
    </w:div>
    <w:div w:id="1106192038">
      <w:bodyDiv w:val="1"/>
      <w:marLeft w:val="0"/>
      <w:marRight w:val="0"/>
      <w:marTop w:val="0"/>
      <w:marBottom w:val="0"/>
      <w:divBdr>
        <w:top w:val="none" w:sz="0" w:space="0" w:color="auto"/>
        <w:left w:val="none" w:sz="0" w:space="0" w:color="auto"/>
        <w:bottom w:val="none" w:sz="0" w:space="0" w:color="auto"/>
        <w:right w:val="none" w:sz="0" w:space="0" w:color="auto"/>
      </w:divBdr>
    </w:div>
    <w:div w:id="1107119423">
      <w:bodyDiv w:val="1"/>
      <w:marLeft w:val="0"/>
      <w:marRight w:val="0"/>
      <w:marTop w:val="0"/>
      <w:marBottom w:val="0"/>
      <w:divBdr>
        <w:top w:val="none" w:sz="0" w:space="0" w:color="auto"/>
        <w:left w:val="none" w:sz="0" w:space="0" w:color="auto"/>
        <w:bottom w:val="none" w:sz="0" w:space="0" w:color="auto"/>
        <w:right w:val="none" w:sz="0" w:space="0" w:color="auto"/>
      </w:divBdr>
    </w:div>
    <w:div w:id="1107507028">
      <w:bodyDiv w:val="1"/>
      <w:marLeft w:val="0"/>
      <w:marRight w:val="0"/>
      <w:marTop w:val="0"/>
      <w:marBottom w:val="0"/>
      <w:divBdr>
        <w:top w:val="none" w:sz="0" w:space="0" w:color="auto"/>
        <w:left w:val="none" w:sz="0" w:space="0" w:color="auto"/>
        <w:bottom w:val="none" w:sz="0" w:space="0" w:color="auto"/>
        <w:right w:val="none" w:sz="0" w:space="0" w:color="auto"/>
      </w:divBdr>
    </w:div>
    <w:div w:id="1108161119">
      <w:bodyDiv w:val="1"/>
      <w:marLeft w:val="0"/>
      <w:marRight w:val="0"/>
      <w:marTop w:val="0"/>
      <w:marBottom w:val="0"/>
      <w:divBdr>
        <w:top w:val="none" w:sz="0" w:space="0" w:color="auto"/>
        <w:left w:val="none" w:sz="0" w:space="0" w:color="auto"/>
        <w:bottom w:val="none" w:sz="0" w:space="0" w:color="auto"/>
        <w:right w:val="none" w:sz="0" w:space="0" w:color="auto"/>
      </w:divBdr>
    </w:div>
    <w:div w:id="1110205144">
      <w:bodyDiv w:val="1"/>
      <w:marLeft w:val="0"/>
      <w:marRight w:val="0"/>
      <w:marTop w:val="0"/>
      <w:marBottom w:val="0"/>
      <w:divBdr>
        <w:top w:val="none" w:sz="0" w:space="0" w:color="auto"/>
        <w:left w:val="none" w:sz="0" w:space="0" w:color="auto"/>
        <w:bottom w:val="none" w:sz="0" w:space="0" w:color="auto"/>
        <w:right w:val="none" w:sz="0" w:space="0" w:color="auto"/>
      </w:divBdr>
    </w:div>
    <w:div w:id="1110319922">
      <w:bodyDiv w:val="1"/>
      <w:marLeft w:val="0"/>
      <w:marRight w:val="0"/>
      <w:marTop w:val="0"/>
      <w:marBottom w:val="0"/>
      <w:divBdr>
        <w:top w:val="none" w:sz="0" w:space="0" w:color="auto"/>
        <w:left w:val="none" w:sz="0" w:space="0" w:color="auto"/>
        <w:bottom w:val="none" w:sz="0" w:space="0" w:color="auto"/>
        <w:right w:val="none" w:sz="0" w:space="0" w:color="auto"/>
      </w:divBdr>
    </w:div>
    <w:div w:id="1110393665">
      <w:bodyDiv w:val="1"/>
      <w:marLeft w:val="0"/>
      <w:marRight w:val="0"/>
      <w:marTop w:val="0"/>
      <w:marBottom w:val="0"/>
      <w:divBdr>
        <w:top w:val="none" w:sz="0" w:space="0" w:color="auto"/>
        <w:left w:val="none" w:sz="0" w:space="0" w:color="auto"/>
        <w:bottom w:val="none" w:sz="0" w:space="0" w:color="auto"/>
        <w:right w:val="none" w:sz="0" w:space="0" w:color="auto"/>
      </w:divBdr>
    </w:div>
    <w:div w:id="1110472696">
      <w:bodyDiv w:val="1"/>
      <w:marLeft w:val="0"/>
      <w:marRight w:val="0"/>
      <w:marTop w:val="0"/>
      <w:marBottom w:val="0"/>
      <w:divBdr>
        <w:top w:val="none" w:sz="0" w:space="0" w:color="auto"/>
        <w:left w:val="none" w:sz="0" w:space="0" w:color="auto"/>
        <w:bottom w:val="none" w:sz="0" w:space="0" w:color="auto"/>
        <w:right w:val="none" w:sz="0" w:space="0" w:color="auto"/>
      </w:divBdr>
    </w:div>
    <w:div w:id="1111625004">
      <w:bodyDiv w:val="1"/>
      <w:marLeft w:val="0"/>
      <w:marRight w:val="0"/>
      <w:marTop w:val="0"/>
      <w:marBottom w:val="0"/>
      <w:divBdr>
        <w:top w:val="none" w:sz="0" w:space="0" w:color="auto"/>
        <w:left w:val="none" w:sz="0" w:space="0" w:color="auto"/>
        <w:bottom w:val="none" w:sz="0" w:space="0" w:color="auto"/>
        <w:right w:val="none" w:sz="0" w:space="0" w:color="auto"/>
      </w:divBdr>
    </w:div>
    <w:div w:id="1112281922">
      <w:bodyDiv w:val="1"/>
      <w:marLeft w:val="0"/>
      <w:marRight w:val="0"/>
      <w:marTop w:val="0"/>
      <w:marBottom w:val="0"/>
      <w:divBdr>
        <w:top w:val="none" w:sz="0" w:space="0" w:color="auto"/>
        <w:left w:val="none" w:sz="0" w:space="0" w:color="auto"/>
        <w:bottom w:val="none" w:sz="0" w:space="0" w:color="auto"/>
        <w:right w:val="none" w:sz="0" w:space="0" w:color="auto"/>
      </w:divBdr>
    </w:div>
    <w:div w:id="1112556742">
      <w:bodyDiv w:val="1"/>
      <w:marLeft w:val="0"/>
      <w:marRight w:val="0"/>
      <w:marTop w:val="0"/>
      <w:marBottom w:val="0"/>
      <w:divBdr>
        <w:top w:val="none" w:sz="0" w:space="0" w:color="auto"/>
        <w:left w:val="none" w:sz="0" w:space="0" w:color="auto"/>
        <w:bottom w:val="none" w:sz="0" w:space="0" w:color="auto"/>
        <w:right w:val="none" w:sz="0" w:space="0" w:color="auto"/>
      </w:divBdr>
    </w:div>
    <w:div w:id="1113356226">
      <w:bodyDiv w:val="1"/>
      <w:marLeft w:val="0"/>
      <w:marRight w:val="0"/>
      <w:marTop w:val="0"/>
      <w:marBottom w:val="0"/>
      <w:divBdr>
        <w:top w:val="none" w:sz="0" w:space="0" w:color="auto"/>
        <w:left w:val="none" w:sz="0" w:space="0" w:color="auto"/>
        <w:bottom w:val="none" w:sz="0" w:space="0" w:color="auto"/>
        <w:right w:val="none" w:sz="0" w:space="0" w:color="auto"/>
      </w:divBdr>
    </w:div>
    <w:div w:id="1113593926">
      <w:bodyDiv w:val="1"/>
      <w:marLeft w:val="0"/>
      <w:marRight w:val="0"/>
      <w:marTop w:val="0"/>
      <w:marBottom w:val="0"/>
      <w:divBdr>
        <w:top w:val="none" w:sz="0" w:space="0" w:color="auto"/>
        <w:left w:val="none" w:sz="0" w:space="0" w:color="auto"/>
        <w:bottom w:val="none" w:sz="0" w:space="0" w:color="auto"/>
        <w:right w:val="none" w:sz="0" w:space="0" w:color="auto"/>
      </w:divBdr>
    </w:div>
    <w:div w:id="1114327534">
      <w:bodyDiv w:val="1"/>
      <w:marLeft w:val="0"/>
      <w:marRight w:val="0"/>
      <w:marTop w:val="0"/>
      <w:marBottom w:val="0"/>
      <w:divBdr>
        <w:top w:val="none" w:sz="0" w:space="0" w:color="auto"/>
        <w:left w:val="none" w:sz="0" w:space="0" w:color="auto"/>
        <w:bottom w:val="none" w:sz="0" w:space="0" w:color="auto"/>
        <w:right w:val="none" w:sz="0" w:space="0" w:color="auto"/>
      </w:divBdr>
    </w:div>
    <w:div w:id="1114636867">
      <w:bodyDiv w:val="1"/>
      <w:marLeft w:val="0"/>
      <w:marRight w:val="0"/>
      <w:marTop w:val="0"/>
      <w:marBottom w:val="0"/>
      <w:divBdr>
        <w:top w:val="none" w:sz="0" w:space="0" w:color="auto"/>
        <w:left w:val="none" w:sz="0" w:space="0" w:color="auto"/>
        <w:bottom w:val="none" w:sz="0" w:space="0" w:color="auto"/>
        <w:right w:val="none" w:sz="0" w:space="0" w:color="auto"/>
      </w:divBdr>
    </w:div>
    <w:div w:id="1116172534">
      <w:bodyDiv w:val="1"/>
      <w:marLeft w:val="0"/>
      <w:marRight w:val="0"/>
      <w:marTop w:val="0"/>
      <w:marBottom w:val="0"/>
      <w:divBdr>
        <w:top w:val="none" w:sz="0" w:space="0" w:color="auto"/>
        <w:left w:val="none" w:sz="0" w:space="0" w:color="auto"/>
        <w:bottom w:val="none" w:sz="0" w:space="0" w:color="auto"/>
        <w:right w:val="none" w:sz="0" w:space="0" w:color="auto"/>
      </w:divBdr>
    </w:div>
    <w:div w:id="1118600294">
      <w:bodyDiv w:val="1"/>
      <w:marLeft w:val="0"/>
      <w:marRight w:val="0"/>
      <w:marTop w:val="0"/>
      <w:marBottom w:val="0"/>
      <w:divBdr>
        <w:top w:val="none" w:sz="0" w:space="0" w:color="auto"/>
        <w:left w:val="none" w:sz="0" w:space="0" w:color="auto"/>
        <w:bottom w:val="none" w:sz="0" w:space="0" w:color="auto"/>
        <w:right w:val="none" w:sz="0" w:space="0" w:color="auto"/>
      </w:divBdr>
    </w:div>
    <w:div w:id="1118836690">
      <w:bodyDiv w:val="1"/>
      <w:marLeft w:val="0"/>
      <w:marRight w:val="0"/>
      <w:marTop w:val="0"/>
      <w:marBottom w:val="0"/>
      <w:divBdr>
        <w:top w:val="none" w:sz="0" w:space="0" w:color="auto"/>
        <w:left w:val="none" w:sz="0" w:space="0" w:color="auto"/>
        <w:bottom w:val="none" w:sz="0" w:space="0" w:color="auto"/>
        <w:right w:val="none" w:sz="0" w:space="0" w:color="auto"/>
      </w:divBdr>
    </w:div>
    <w:div w:id="1119103829">
      <w:bodyDiv w:val="1"/>
      <w:marLeft w:val="0"/>
      <w:marRight w:val="0"/>
      <w:marTop w:val="0"/>
      <w:marBottom w:val="0"/>
      <w:divBdr>
        <w:top w:val="none" w:sz="0" w:space="0" w:color="auto"/>
        <w:left w:val="none" w:sz="0" w:space="0" w:color="auto"/>
        <w:bottom w:val="none" w:sz="0" w:space="0" w:color="auto"/>
        <w:right w:val="none" w:sz="0" w:space="0" w:color="auto"/>
      </w:divBdr>
    </w:div>
    <w:div w:id="1120874882">
      <w:bodyDiv w:val="1"/>
      <w:marLeft w:val="0"/>
      <w:marRight w:val="0"/>
      <w:marTop w:val="0"/>
      <w:marBottom w:val="0"/>
      <w:divBdr>
        <w:top w:val="none" w:sz="0" w:space="0" w:color="auto"/>
        <w:left w:val="none" w:sz="0" w:space="0" w:color="auto"/>
        <w:bottom w:val="none" w:sz="0" w:space="0" w:color="auto"/>
        <w:right w:val="none" w:sz="0" w:space="0" w:color="auto"/>
      </w:divBdr>
    </w:div>
    <w:div w:id="1121731081">
      <w:bodyDiv w:val="1"/>
      <w:marLeft w:val="0"/>
      <w:marRight w:val="0"/>
      <w:marTop w:val="0"/>
      <w:marBottom w:val="0"/>
      <w:divBdr>
        <w:top w:val="none" w:sz="0" w:space="0" w:color="auto"/>
        <w:left w:val="none" w:sz="0" w:space="0" w:color="auto"/>
        <w:bottom w:val="none" w:sz="0" w:space="0" w:color="auto"/>
        <w:right w:val="none" w:sz="0" w:space="0" w:color="auto"/>
      </w:divBdr>
    </w:div>
    <w:div w:id="1121798239">
      <w:bodyDiv w:val="1"/>
      <w:marLeft w:val="0"/>
      <w:marRight w:val="0"/>
      <w:marTop w:val="0"/>
      <w:marBottom w:val="0"/>
      <w:divBdr>
        <w:top w:val="none" w:sz="0" w:space="0" w:color="auto"/>
        <w:left w:val="none" w:sz="0" w:space="0" w:color="auto"/>
        <w:bottom w:val="none" w:sz="0" w:space="0" w:color="auto"/>
        <w:right w:val="none" w:sz="0" w:space="0" w:color="auto"/>
      </w:divBdr>
    </w:div>
    <w:div w:id="1122112668">
      <w:bodyDiv w:val="1"/>
      <w:marLeft w:val="0"/>
      <w:marRight w:val="0"/>
      <w:marTop w:val="0"/>
      <w:marBottom w:val="0"/>
      <w:divBdr>
        <w:top w:val="none" w:sz="0" w:space="0" w:color="auto"/>
        <w:left w:val="none" w:sz="0" w:space="0" w:color="auto"/>
        <w:bottom w:val="none" w:sz="0" w:space="0" w:color="auto"/>
        <w:right w:val="none" w:sz="0" w:space="0" w:color="auto"/>
      </w:divBdr>
    </w:div>
    <w:div w:id="1122655453">
      <w:bodyDiv w:val="1"/>
      <w:marLeft w:val="0"/>
      <w:marRight w:val="0"/>
      <w:marTop w:val="0"/>
      <w:marBottom w:val="0"/>
      <w:divBdr>
        <w:top w:val="none" w:sz="0" w:space="0" w:color="auto"/>
        <w:left w:val="none" w:sz="0" w:space="0" w:color="auto"/>
        <w:bottom w:val="none" w:sz="0" w:space="0" w:color="auto"/>
        <w:right w:val="none" w:sz="0" w:space="0" w:color="auto"/>
      </w:divBdr>
    </w:div>
    <w:div w:id="1122841655">
      <w:bodyDiv w:val="1"/>
      <w:marLeft w:val="0"/>
      <w:marRight w:val="0"/>
      <w:marTop w:val="0"/>
      <w:marBottom w:val="0"/>
      <w:divBdr>
        <w:top w:val="none" w:sz="0" w:space="0" w:color="auto"/>
        <w:left w:val="none" w:sz="0" w:space="0" w:color="auto"/>
        <w:bottom w:val="none" w:sz="0" w:space="0" w:color="auto"/>
        <w:right w:val="none" w:sz="0" w:space="0" w:color="auto"/>
      </w:divBdr>
    </w:div>
    <w:div w:id="1123622404">
      <w:bodyDiv w:val="1"/>
      <w:marLeft w:val="0"/>
      <w:marRight w:val="0"/>
      <w:marTop w:val="0"/>
      <w:marBottom w:val="0"/>
      <w:divBdr>
        <w:top w:val="none" w:sz="0" w:space="0" w:color="auto"/>
        <w:left w:val="none" w:sz="0" w:space="0" w:color="auto"/>
        <w:bottom w:val="none" w:sz="0" w:space="0" w:color="auto"/>
        <w:right w:val="none" w:sz="0" w:space="0" w:color="auto"/>
      </w:divBdr>
    </w:div>
    <w:div w:id="1123812173">
      <w:bodyDiv w:val="1"/>
      <w:marLeft w:val="0"/>
      <w:marRight w:val="0"/>
      <w:marTop w:val="0"/>
      <w:marBottom w:val="0"/>
      <w:divBdr>
        <w:top w:val="none" w:sz="0" w:space="0" w:color="auto"/>
        <w:left w:val="none" w:sz="0" w:space="0" w:color="auto"/>
        <w:bottom w:val="none" w:sz="0" w:space="0" w:color="auto"/>
        <w:right w:val="none" w:sz="0" w:space="0" w:color="auto"/>
      </w:divBdr>
    </w:div>
    <w:div w:id="1123839399">
      <w:bodyDiv w:val="1"/>
      <w:marLeft w:val="0"/>
      <w:marRight w:val="0"/>
      <w:marTop w:val="0"/>
      <w:marBottom w:val="0"/>
      <w:divBdr>
        <w:top w:val="none" w:sz="0" w:space="0" w:color="auto"/>
        <w:left w:val="none" w:sz="0" w:space="0" w:color="auto"/>
        <w:bottom w:val="none" w:sz="0" w:space="0" w:color="auto"/>
        <w:right w:val="none" w:sz="0" w:space="0" w:color="auto"/>
      </w:divBdr>
    </w:div>
    <w:div w:id="1126001372">
      <w:bodyDiv w:val="1"/>
      <w:marLeft w:val="0"/>
      <w:marRight w:val="0"/>
      <w:marTop w:val="0"/>
      <w:marBottom w:val="0"/>
      <w:divBdr>
        <w:top w:val="none" w:sz="0" w:space="0" w:color="auto"/>
        <w:left w:val="none" w:sz="0" w:space="0" w:color="auto"/>
        <w:bottom w:val="none" w:sz="0" w:space="0" w:color="auto"/>
        <w:right w:val="none" w:sz="0" w:space="0" w:color="auto"/>
      </w:divBdr>
    </w:div>
    <w:div w:id="1126697470">
      <w:bodyDiv w:val="1"/>
      <w:marLeft w:val="0"/>
      <w:marRight w:val="0"/>
      <w:marTop w:val="0"/>
      <w:marBottom w:val="0"/>
      <w:divBdr>
        <w:top w:val="none" w:sz="0" w:space="0" w:color="auto"/>
        <w:left w:val="none" w:sz="0" w:space="0" w:color="auto"/>
        <w:bottom w:val="none" w:sz="0" w:space="0" w:color="auto"/>
        <w:right w:val="none" w:sz="0" w:space="0" w:color="auto"/>
      </w:divBdr>
    </w:div>
    <w:div w:id="1127090236">
      <w:bodyDiv w:val="1"/>
      <w:marLeft w:val="0"/>
      <w:marRight w:val="0"/>
      <w:marTop w:val="0"/>
      <w:marBottom w:val="0"/>
      <w:divBdr>
        <w:top w:val="none" w:sz="0" w:space="0" w:color="auto"/>
        <w:left w:val="none" w:sz="0" w:space="0" w:color="auto"/>
        <w:bottom w:val="none" w:sz="0" w:space="0" w:color="auto"/>
        <w:right w:val="none" w:sz="0" w:space="0" w:color="auto"/>
      </w:divBdr>
    </w:div>
    <w:div w:id="1127815427">
      <w:bodyDiv w:val="1"/>
      <w:marLeft w:val="0"/>
      <w:marRight w:val="0"/>
      <w:marTop w:val="0"/>
      <w:marBottom w:val="0"/>
      <w:divBdr>
        <w:top w:val="none" w:sz="0" w:space="0" w:color="auto"/>
        <w:left w:val="none" w:sz="0" w:space="0" w:color="auto"/>
        <w:bottom w:val="none" w:sz="0" w:space="0" w:color="auto"/>
        <w:right w:val="none" w:sz="0" w:space="0" w:color="auto"/>
      </w:divBdr>
    </w:div>
    <w:div w:id="1127893078">
      <w:bodyDiv w:val="1"/>
      <w:marLeft w:val="0"/>
      <w:marRight w:val="0"/>
      <w:marTop w:val="0"/>
      <w:marBottom w:val="0"/>
      <w:divBdr>
        <w:top w:val="none" w:sz="0" w:space="0" w:color="auto"/>
        <w:left w:val="none" w:sz="0" w:space="0" w:color="auto"/>
        <w:bottom w:val="none" w:sz="0" w:space="0" w:color="auto"/>
        <w:right w:val="none" w:sz="0" w:space="0" w:color="auto"/>
      </w:divBdr>
    </w:div>
    <w:div w:id="1128626921">
      <w:bodyDiv w:val="1"/>
      <w:marLeft w:val="0"/>
      <w:marRight w:val="0"/>
      <w:marTop w:val="0"/>
      <w:marBottom w:val="0"/>
      <w:divBdr>
        <w:top w:val="none" w:sz="0" w:space="0" w:color="auto"/>
        <w:left w:val="none" w:sz="0" w:space="0" w:color="auto"/>
        <w:bottom w:val="none" w:sz="0" w:space="0" w:color="auto"/>
        <w:right w:val="none" w:sz="0" w:space="0" w:color="auto"/>
      </w:divBdr>
    </w:div>
    <w:div w:id="1129324694">
      <w:bodyDiv w:val="1"/>
      <w:marLeft w:val="0"/>
      <w:marRight w:val="0"/>
      <w:marTop w:val="0"/>
      <w:marBottom w:val="0"/>
      <w:divBdr>
        <w:top w:val="none" w:sz="0" w:space="0" w:color="auto"/>
        <w:left w:val="none" w:sz="0" w:space="0" w:color="auto"/>
        <w:bottom w:val="none" w:sz="0" w:space="0" w:color="auto"/>
        <w:right w:val="none" w:sz="0" w:space="0" w:color="auto"/>
      </w:divBdr>
    </w:div>
    <w:div w:id="1129326248">
      <w:bodyDiv w:val="1"/>
      <w:marLeft w:val="0"/>
      <w:marRight w:val="0"/>
      <w:marTop w:val="0"/>
      <w:marBottom w:val="0"/>
      <w:divBdr>
        <w:top w:val="none" w:sz="0" w:space="0" w:color="auto"/>
        <w:left w:val="none" w:sz="0" w:space="0" w:color="auto"/>
        <w:bottom w:val="none" w:sz="0" w:space="0" w:color="auto"/>
        <w:right w:val="none" w:sz="0" w:space="0" w:color="auto"/>
      </w:divBdr>
    </w:div>
    <w:div w:id="1130128420">
      <w:bodyDiv w:val="1"/>
      <w:marLeft w:val="0"/>
      <w:marRight w:val="0"/>
      <w:marTop w:val="0"/>
      <w:marBottom w:val="0"/>
      <w:divBdr>
        <w:top w:val="none" w:sz="0" w:space="0" w:color="auto"/>
        <w:left w:val="none" w:sz="0" w:space="0" w:color="auto"/>
        <w:bottom w:val="none" w:sz="0" w:space="0" w:color="auto"/>
        <w:right w:val="none" w:sz="0" w:space="0" w:color="auto"/>
      </w:divBdr>
    </w:div>
    <w:div w:id="1130171687">
      <w:bodyDiv w:val="1"/>
      <w:marLeft w:val="0"/>
      <w:marRight w:val="0"/>
      <w:marTop w:val="0"/>
      <w:marBottom w:val="0"/>
      <w:divBdr>
        <w:top w:val="none" w:sz="0" w:space="0" w:color="auto"/>
        <w:left w:val="none" w:sz="0" w:space="0" w:color="auto"/>
        <w:bottom w:val="none" w:sz="0" w:space="0" w:color="auto"/>
        <w:right w:val="none" w:sz="0" w:space="0" w:color="auto"/>
      </w:divBdr>
    </w:div>
    <w:div w:id="1130589045">
      <w:bodyDiv w:val="1"/>
      <w:marLeft w:val="0"/>
      <w:marRight w:val="0"/>
      <w:marTop w:val="0"/>
      <w:marBottom w:val="0"/>
      <w:divBdr>
        <w:top w:val="none" w:sz="0" w:space="0" w:color="auto"/>
        <w:left w:val="none" w:sz="0" w:space="0" w:color="auto"/>
        <w:bottom w:val="none" w:sz="0" w:space="0" w:color="auto"/>
        <w:right w:val="none" w:sz="0" w:space="0" w:color="auto"/>
      </w:divBdr>
    </w:div>
    <w:div w:id="1130590520">
      <w:bodyDiv w:val="1"/>
      <w:marLeft w:val="0"/>
      <w:marRight w:val="0"/>
      <w:marTop w:val="0"/>
      <w:marBottom w:val="0"/>
      <w:divBdr>
        <w:top w:val="none" w:sz="0" w:space="0" w:color="auto"/>
        <w:left w:val="none" w:sz="0" w:space="0" w:color="auto"/>
        <w:bottom w:val="none" w:sz="0" w:space="0" w:color="auto"/>
        <w:right w:val="none" w:sz="0" w:space="0" w:color="auto"/>
      </w:divBdr>
    </w:div>
    <w:div w:id="1130591513">
      <w:bodyDiv w:val="1"/>
      <w:marLeft w:val="0"/>
      <w:marRight w:val="0"/>
      <w:marTop w:val="0"/>
      <w:marBottom w:val="0"/>
      <w:divBdr>
        <w:top w:val="none" w:sz="0" w:space="0" w:color="auto"/>
        <w:left w:val="none" w:sz="0" w:space="0" w:color="auto"/>
        <w:bottom w:val="none" w:sz="0" w:space="0" w:color="auto"/>
        <w:right w:val="none" w:sz="0" w:space="0" w:color="auto"/>
      </w:divBdr>
    </w:div>
    <w:div w:id="1130634021">
      <w:bodyDiv w:val="1"/>
      <w:marLeft w:val="0"/>
      <w:marRight w:val="0"/>
      <w:marTop w:val="0"/>
      <w:marBottom w:val="0"/>
      <w:divBdr>
        <w:top w:val="none" w:sz="0" w:space="0" w:color="auto"/>
        <w:left w:val="none" w:sz="0" w:space="0" w:color="auto"/>
        <w:bottom w:val="none" w:sz="0" w:space="0" w:color="auto"/>
        <w:right w:val="none" w:sz="0" w:space="0" w:color="auto"/>
      </w:divBdr>
    </w:div>
    <w:div w:id="1133404764">
      <w:bodyDiv w:val="1"/>
      <w:marLeft w:val="0"/>
      <w:marRight w:val="0"/>
      <w:marTop w:val="0"/>
      <w:marBottom w:val="0"/>
      <w:divBdr>
        <w:top w:val="none" w:sz="0" w:space="0" w:color="auto"/>
        <w:left w:val="none" w:sz="0" w:space="0" w:color="auto"/>
        <w:bottom w:val="none" w:sz="0" w:space="0" w:color="auto"/>
        <w:right w:val="none" w:sz="0" w:space="0" w:color="auto"/>
      </w:divBdr>
    </w:div>
    <w:div w:id="1133476297">
      <w:bodyDiv w:val="1"/>
      <w:marLeft w:val="0"/>
      <w:marRight w:val="0"/>
      <w:marTop w:val="0"/>
      <w:marBottom w:val="0"/>
      <w:divBdr>
        <w:top w:val="none" w:sz="0" w:space="0" w:color="auto"/>
        <w:left w:val="none" w:sz="0" w:space="0" w:color="auto"/>
        <w:bottom w:val="none" w:sz="0" w:space="0" w:color="auto"/>
        <w:right w:val="none" w:sz="0" w:space="0" w:color="auto"/>
      </w:divBdr>
    </w:div>
    <w:div w:id="1133593516">
      <w:bodyDiv w:val="1"/>
      <w:marLeft w:val="0"/>
      <w:marRight w:val="0"/>
      <w:marTop w:val="0"/>
      <w:marBottom w:val="0"/>
      <w:divBdr>
        <w:top w:val="none" w:sz="0" w:space="0" w:color="auto"/>
        <w:left w:val="none" w:sz="0" w:space="0" w:color="auto"/>
        <w:bottom w:val="none" w:sz="0" w:space="0" w:color="auto"/>
        <w:right w:val="none" w:sz="0" w:space="0" w:color="auto"/>
      </w:divBdr>
    </w:div>
    <w:div w:id="1134717085">
      <w:bodyDiv w:val="1"/>
      <w:marLeft w:val="0"/>
      <w:marRight w:val="0"/>
      <w:marTop w:val="0"/>
      <w:marBottom w:val="0"/>
      <w:divBdr>
        <w:top w:val="none" w:sz="0" w:space="0" w:color="auto"/>
        <w:left w:val="none" w:sz="0" w:space="0" w:color="auto"/>
        <w:bottom w:val="none" w:sz="0" w:space="0" w:color="auto"/>
        <w:right w:val="none" w:sz="0" w:space="0" w:color="auto"/>
      </w:divBdr>
    </w:div>
    <w:div w:id="1135023168">
      <w:bodyDiv w:val="1"/>
      <w:marLeft w:val="0"/>
      <w:marRight w:val="0"/>
      <w:marTop w:val="0"/>
      <w:marBottom w:val="0"/>
      <w:divBdr>
        <w:top w:val="none" w:sz="0" w:space="0" w:color="auto"/>
        <w:left w:val="none" w:sz="0" w:space="0" w:color="auto"/>
        <w:bottom w:val="none" w:sz="0" w:space="0" w:color="auto"/>
        <w:right w:val="none" w:sz="0" w:space="0" w:color="auto"/>
      </w:divBdr>
    </w:div>
    <w:div w:id="1135295708">
      <w:bodyDiv w:val="1"/>
      <w:marLeft w:val="0"/>
      <w:marRight w:val="0"/>
      <w:marTop w:val="0"/>
      <w:marBottom w:val="0"/>
      <w:divBdr>
        <w:top w:val="none" w:sz="0" w:space="0" w:color="auto"/>
        <w:left w:val="none" w:sz="0" w:space="0" w:color="auto"/>
        <w:bottom w:val="none" w:sz="0" w:space="0" w:color="auto"/>
        <w:right w:val="none" w:sz="0" w:space="0" w:color="auto"/>
      </w:divBdr>
    </w:div>
    <w:div w:id="1136989367">
      <w:bodyDiv w:val="1"/>
      <w:marLeft w:val="0"/>
      <w:marRight w:val="0"/>
      <w:marTop w:val="0"/>
      <w:marBottom w:val="0"/>
      <w:divBdr>
        <w:top w:val="none" w:sz="0" w:space="0" w:color="auto"/>
        <w:left w:val="none" w:sz="0" w:space="0" w:color="auto"/>
        <w:bottom w:val="none" w:sz="0" w:space="0" w:color="auto"/>
        <w:right w:val="none" w:sz="0" w:space="0" w:color="auto"/>
      </w:divBdr>
    </w:div>
    <w:div w:id="1139222288">
      <w:bodyDiv w:val="1"/>
      <w:marLeft w:val="0"/>
      <w:marRight w:val="0"/>
      <w:marTop w:val="0"/>
      <w:marBottom w:val="0"/>
      <w:divBdr>
        <w:top w:val="none" w:sz="0" w:space="0" w:color="auto"/>
        <w:left w:val="none" w:sz="0" w:space="0" w:color="auto"/>
        <w:bottom w:val="none" w:sz="0" w:space="0" w:color="auto"/>
        <w:right w:val="none" w:sz="0" w:space="0" w:color="auto"/>
      </w:divBdr>
    </w:div>
    <w:div w:id="1139569564">
      <w:bodyDiv w:val="1"/>
      <w:marLeft w:val="0"/>
      <w:marRight w:val="0"/>
      <w:marTop w:val="0"/>
      <w:marBottom w:val="0"/>
      <w:divBdr>
        <w:top w:val="none" w:sz="0" w:space="0" w:color="auto"/>
        <w:left w:val="none" w:sz="0" w:space="0" w:color="auto"/>
        <w:bottom w:val="none" w:sz="0" w:space="0" w:color="auto"/>
        <w:right w:val="none" w:sz="0" w:space="0" w:color="auto"/>
      </w:divBdr>
    </w:div>
    <w:div w:id="1140270308">
      <w:bodyDiv w:val="1"/>
      <w:marLeft w:val="0"/>
      <w:marRight w:val="0"/>
      <w:marTop w:val="0"/>
      <w:marBottom w:val="0"/>
      <w:divBdr>
        <w:top w:val="none" w:sz="0" w:space="0" w:color="auto"/>
        <w:left w:val="none" w:sz="0" w:space="0" w:color="auto"/>
        <w:bottom w:val="none" w:sz="0" w:space="0" w:color="auto"/>
        <w:right w:val="none" w:sz="0" w:space="0" w:color="auto"/>
      </w:divBdr>
    </w:div>
    <w:div w:id="1140802275">
      <w:bodyDiv w:val="1"/>
      <w:marLeft w:val="0"/>
      <w:marRight w:val="0"/>
      <w:marTop w:val="0"/>
      <w:marBottom w:val="0"/>
      <w:divBdr>
        <w:top w:val="none" w:sz="0" w:space="0" w:color="auto"/>
        <w:left w:val="none" w:sz="0" w:space="0" w:color="auto"/>
        <w:bottom w:val="none" w:sz="0" w:space="0" w:color="auto"/>
        <w:right w:val="none" w:sz="0" w:space="0" w:color="auto"/>
      </w:divBdr>
    </w:div>
    <w:div w:id="1140805437">
      <w:bodyDiv w:val="1"/>
      <w:marLeft w:val="0"/>
      <w:marRight w:val="0"/>
      <w:marTop w:val="0"/>
      <w:marBottom w:val="0"/>
      <w:divBdr>
        <w:top w:val="none" w:sz="0" w:space="0" w:color="auto"/>
        <w:left w:val="none" w:sz="0" w:space="0" w:color="auto"/>
        <w:bottom w:val="none" w:sz="0" w:space="0" w:color="auto"/>
        <w:right w:val="none" w:sz="0" w:space="0" w:color="auto"/>
      </w:divBdr>
    </w:div>
    <w:div w:id="1142043710">
      <w:bodyDiv w:val="1"/>
      <w:marLeft w:val="0"/>
      <w:marRight w:val="0"/>
      <w:marTop w:val="0"/>
      <w:marBottom w:val="0"/>
      <w:divBdr>
        <w:top w:val="none" w:sz="0" w:space="0" w:color="auto"/>
        <w:left w:val="none" w:sz="0" w:space="0" w:color="auto"/>
        <w:bottom w:val="none" w:sz="0" w:space="0" w:color="auto"/>
        <w:right w:val="none" w:sz="0" w:space="0" w:color="auto"/>
      </w:divBdr>
    </w:div>
    <w:div w:id="1142620353">
      <w:bodyDiv w:val="1"/>
      <w:marLeft w:val="0"/>
      <w:marRight w:val="0"/>
      <w:marTop w:val="0"/>
      <w:marBottom w:val="0"/>
      <w:divBdr>
        <w:top w:val="none" w:sz="0" w:space="0" w:color="auto"/>
        <w:left w:val="none" w:sz="0" w:space="0" w:color="auto"/>
        <w:bottom w:val="none" w:sz="0" w:space="0" w:color="auto"/>
        <w:right w:val="none" w:sz="0" w:space="0" w:color="auto"/>
      </w:divBdr>
    </w:div>
    <w:div w:id="1142766872">
      <w:bodyDiv w:val="1"/>
      <w:marLeft w:val="0"/>
      <w:marRight w:val="0"/>
      <w:marTop w:val="0"/>
      <w:marBottom w:val="0"/>
      <w:divBdr>
        <w:top w:val="none" w:sz="0" w:space="0" w:color="auto"/>
        <w:left w:val="none" w:sz="0" w:space="0" w:color="auto"/>
        <w:bottom w:val="none" w:sz="0" w:space="0" w:color="auto"/>
        <w:right w:val="none" w:sz="0" w:space="0" w:color="auto"/>
      </w:divBdr>
    </w:div>
    <w:div w:id="1142969439">
      <w:bodyDiv w:val="1"/>
      <w:marLeft w:val="0"/>
      <w:marRight w:val="0"/>
      <w:marTop w:val="0"/>
      <w:marBottom w:val="0"/>
      <w:divBdr>
        <w:top w:val="none" w:sz="0" w:space="0" w:color="auto"/>
        <w:left w:val="none" w:sz="0" w:space="0" w:color="auto"/>
        <w:bottom w:val="none" w:sz="0" w:space="0" w:color="auto"/>
        <w:right w:val="none" w:sz="0" w:space="0" w:color="auto"/>
      </w:divBdr>
    </w:div>
    <w:div w:id="1144200051">
      <w:bodyDiv w:val="1"/>
      <w:marLeft w:val="0"/>
      <w:marRight w:val="0"/>
      <w:marTop w:val="0"/>
      <w:marBottom w:val="0"/>
      <w:divBdr>
        <w:top w:val="none" w:sz="0" w:space="0" w:color="auto"/>
        <w:left w:val="none" w:sz="0" w:space="0" w:color="auto"/>
        <w:bottom w:val="none" w:sz="0" w:space="0" w:color="auto"/>
        <w:right w:val="none" w:sz="0" w:space="0" w:color="auto"/>
      </w:divBdr>
    </w:div>
    <w:div w:id="1144733471">
      <w:bodyDiv w:val="1"/>
      <w:marLeft w:val="0"/>
      <w:marRight w:val="0"/>
      <w:marTop w:val="0"/>
      <w:marBottom w:val="0"/>
      <w:divBdr>
        <w:top w:val="none" w:sz="0" w:space="0" w:color="auto"/>
        <w:left w:val="none" w:sz="0" w:space="0" w:color="auto"/>
        <w:bottom w:val="none" w:sz="0" w:space="0" w:color="auto"/>
        <w:right w:val="none" w:sz="0" w:space="0" w:color="auto"/>
      </w:divBdr>
    </w:div>
    <w:div w:id="1146125808">
      <w:bodyDiv w:val="1"/>
      <w:marLeft w:val="0"/>
      <w:marRight w:val="0"/>
      <w:marTop w:val="0"/>
      <w:marBottom w:val="0"/>
      <w:divBdr>
        <w:top w:val="none" w:sz="0" w:space="0" w:color="auto"/>
        <w:left w:val="none" w:sz="0" w:space="0" w:color="auto"/>
        <w:bottom w:val="none" w:sz="0" w:space="0" w:color="auto"/>
        <w:right w:val="none" w:sz="0" w:space="0" w:color="auto"/>
      </w:divBdr>
    </w:div>
    <w:div w:id="1146817020">
      <w:bodyDiv w:val="1"/>
      <w:marLeft w:val="0"/>
      <w:marRight w:val="0"/>
      <w:marTop w:val="0"/>
      <w:marBottom w:val="0"/>
      <w:divBdr>
        <w:top w:val="none" w:sz="0" w:space="0" w:color="auto"/>
        <w:left w:val="none" w:sz="0" w:space="0" w:color="auto"/>
        <w:bottom w:val="none" w:sz="0" w:space="0" w:color="auto"/>
        <w:right w:val="none" w:sz="0" w:space="0" w:color="auto"/>
      </w:divBdr>
    </w:div>
    <w:div w:id="1146824589">
      <w:bodyDiv w:val="1"/>
      <w:marLeft w:val="0"/>
      <w:marRight w:val="0"/>
      <w:marTop w:val="0"/>
      <w:marBottom w:val="0"/>
      <w:divBdr>
        <w:top w:val="none" w:sz="0" w:space="0" w:color="auto"/>
        <w:left w:val="none" w:sz="0" w:space="0" w:color="auto"/>
        <w:bottom w:val="none" w:sz="0" w:space="0" w:color="auto"/>
        <w:right w:val="none" w:sz="0" w:space="0" w:color="auto"/>
      </w:divBdr>
    </w:div>
    <w:div w:id="1147623273">
      <w:bodyDiv w:val="1"/>
      <w:marLeft w:val="0"/>
      <w:marRight w:val="0"/>
      <w:marTop w:val="0"/>
      <w:marBottom w:val="0"/>
      <w:divBdr>
        <w:top w:val="none" w:sz="0" w:space="0" w:color="auto"/>
        <w:left w:val="none" w:sz="0" w:space="0" w:color="auto"/>
        <w:bottom w:val="none" w:sz="0" w:space="0" w:color="auto"/>
        <w:right w:val="none" w:sz="0" w:space="0" w:color="auto"/>
      </w:divBdr>
    </w:div>
    <w:div w:id="1148938919">
      <w:bodyDiv w:val="1"/>
      <w:marLeft w:val="0"/>
      <w:marRight w:val="0"/>
      <w:marTop w:val="0"/>
      <w:marBottom w:val="0"/>
      <w:divBdr>
        <w:top w:val="none" w:sz="0" w:space="0" w:color="auto"/>
        <w:left w:val="none" w:sz="0" w:space="0" w:color="auto"/>
        <w:bottom w:val="none" w:sz="0" w:space="0" w:color="auto"/>
        <w:right w:val="none" w:sz="0" w:space="0" w:color="auto"/>
      </w:divBdr>
    </w:div>
    <w:div w:id="1149515099">
      <w:bodyDiv w:val="1"/>
      <w:marLeft w:val="0"/>
      <w:marRight w:val="0"/>
      <w:marTop w:val="0"/>
      <w:marBottom w:val="0"/>
      <w:divBdr>
        <w:top w:val="none" w:sz="0" w:space="0" w:color="auto"/>
        <w:left w:val="none" w:sz="0" w:space="0" w:color="auto"/>
        <w:bottom w:val="none" w:sz="0" w:space="0" w:color="auto"/>
        <w:right w:val="none" w:sz="0" w:space="0" w:color="auto"/>
      </w:divBdr>
    </w:div>
    <w:div w:id="1150252387">
      <w:bodyDiv w:val="1"/>
      <w:marLeft w:val="0"/>
      <w:marRight w:val="0"/>
      <w:marTop w:val="0"/>
      <w:marBottom w:val="0"/>
      <w:divBdr>
        <w:top w:val="none" w:sz="0" w:space="0" w:color="auto"/>
        <w:left w:val="none" w:sz="0" w:space="0" w:color="auto"/>
        <w:bottom w:val="none" w:sz="0" w:space="0" w:color="auto"/>
        <w:right w:val="none" w:sz="0" w:space="0" w:color="auto"/>
      </w:divBdr>
    </w:div>
    <w:div w:id="1150900672">
      <w:bodyDiv w:val="1"/>
      <w:marLeft w:val="0"/>
      <w:marRight w:val="0"/>
      <w:marTop w:val="0"/>
      <w:marBottom w:val="0"/>
      <w:divBdr>
        <w:top w:val="none" w:sz="0" w:space="0" w:color="auto"/>
        <w:left w:val="none" w:sz="0" w:space="0" w:color="auto"/>
        <w:bottom w:val="none" w:sz="0" w:space="0" w:color="auto"/>
        <w:right w:val="none" w:sz="0" w:space="0" w:color="auto"/>
      </w:divBdr>
    </w:div>
    <w:div w:id="1151019311">
      <w:bodyDiv w:val="1"/>
      <w:marLeft w:val="0"/>
      <w:marRight w:val="0"/>
      <w:marTop w:val="0"/>
      <w:marBottom w:val="0"/>
      <w:divBdr>
        <w:top w:val="none" w:sz="0" w:space="0" w:color="auto"/>
        <w:left w:val="none" w:sz="0" w:space="0" w:color="auto"/>
        <w:bottom w:val="none" w:sz="0" w:space="0" w:color="auto"/>
        <w:right w:val="none" w:sz="0" w:space="0" w:color="auto"/>
      </w:divBdr>
    </w:div>
    <w:div w:id="1151019510">
      <w:bodyDiv w:val="1"/>
      <w:marLeft w:val="0"/>
      <w:marRight w:val="0"/>
      <w:marTop w:val="0"/>
      <w:marBottom w:val="0"/>
      <w:divBdr>
        <w:top w:val="none" w:sz="0" w:space="0" w:color="auto"/>
        <w:left w:val="none" w:sz="0" w:space="0" w:color="auto"/>
        <w:bottom w:val="none" w:sz="0" w:space="0" w:color="auto"/>
        <w:right w:val="none" w:sz="0" w:space="0" w:color="auto"/>
      </w:divBdr>
    </w:div>
    <w:div w:id="1151213190">
      <w:bodyDiv w:val="1"/>
      <w:marLeft w:val="0"/>
      <w:marRight w:val="0"/>
      <w:marTop w:val="0"/>
      <w:marBottom w:val="0"/>
      <w:divBdr>
        <w:top w:val="none" w:sz="0" w:space="0" w:color="auto"/>
        <w:left w:val="none" w:sz="0" w:space="0" w:color="auto"/>
        <w:bottom w:val="none" w:sz="0" w:space="0" w:color="auto"/>
        <w:right w:val="none" w:sz="0" w:space="0" w:color="auto"/>
      </w:divBdr>
    </w:div>
    <w:div w:id="1151483907">
      <w:bodyDiv w:val="1"/>
      <w:marLeft w:val="0"/>
      <w:marRight w:val="0"/>
      <w:marTop w:val="0"/>
      <w:marBottom w:val="0"/>
      <w:divBdr>
        <w:top w:val="none" w:sz="0" w:space="0" w:color="auto"/>
        <w:left w:val="none" w:sz="0" w:space="0" w:color="auto"/>
        <w:bottom w:val="none" w:sz="0" w:space="0" w:color="auto"/>
        <w:right w:val="none" w:sz="0" w:space="0" w:color="auto"/>
      </w:divBdr>
    </w:div>
    <w:div w:id="1153910929">
      <w:bodyDiv w:val="1"/>
      <w:marLeft w:val="0"/>
      <w:marRight w:val="0"/>
      <w:marTop w:val="0"/>
      <w:marBottom w:val="0"/>
      <w:divBdr>
        <w:top w:val="none" w:sz="0" w:space="0" w:color="auto"/>
        <w:left w:val="none" w:sz="0" w:space="0" w:color="auto"/>
        <w:bottom w:val="none" w:sz="0" w:space="0" w:color="auto"/>
        <w:right w:val="none" w:sz="0" w:space="0" w:color="auto"/>
      </w:divBdr>
    </w:div>
    <w:div w:id="1154419386">
      <w:bodyDiv w:val="1"/>
      <w:marLeft w:val="0"/>
      <w:marRight w:val="0"/>
      <w:marTop w:val="0"/>
      <w:marBottom w:val="0"/>
      <w:divBdr>
        <w:top w:val="none" w:sz="0" w:space="0" w:color="auto"/>
        <w:left w:val="none" w:sz="0" w:space="0" w:color="auto"/>
        <w:bottom w:val="none" w:sz="0" w:space="0" w:color="auto"/>
        <w:right w:val="none" w:sz="0" w:space="0" w:color="auto"/>
      </w:divBdr>
    </w:div>
    <w:div w:id="1154954555">
      <w:bodyDiv w:val="1"/>
      <w:marLeft w:val="0"/>
      <w:marRight w:val="0"/>
      <w:marTop w:val="0"/>
      <w:marBottom w:val="0"/>
      <w:divBdr>
        <w:top w:val="none" w:sz="0" w:space="0" w:color="auto"/>
        <w:left w:val="none" w:sz="0" w:space="0" w:color="auto"/>
        <w:bottom w:val="none" w:sz="0" w:space="0" w:color="auto"/>
        <w:right w:val="none" w:sz="0" w:space="0" w:color="auto"/>
      </w:divBdr>
    </w:div>
    <w:div w:id="1156065961">
      <w:bodyDiv w:val="1"/>
      <w:marLeft w:val="0"/>
      <w:marRight w:val="0"/>
      <w:marTop w:val="0"/>
      <w:marBottom w:val="0"/>
      <w:divBdr>
        <w:top w:val="none" w:sz="0" w:space="0" w:color="auto"/>
        <w:left w:val="none" w:sz="0" w:space="0" w:color="auto"/>
        <w:bottom w:val="none" w:sz="0" w:space="0" w:color="auto"/>
        <w:right w:val="none" w:sz="0" w:space="0" w:color="auto"/>
      </w:divBdr>
    </w:div>
    <w:div w:id="1156411292">
      <w:bodyDiv w:val="1"/>
      <w:marLeft w:val="0"/>
      <w:marRight w:val="0"/>
      <w:marTop w:val="0"/>
      <w:marBottom w:val="0"/>
      <w:divBdr>
        <w:top w:val="none" w:sz="0" w:space="0" w:color="auto"/>
        <w:left w:val="none" w:sz="0" w:space="0" w:color="auto"/>
        <w:bottom w:val="none" w:sz="0" w:space="0" w:color="auto"/>
        <w:right w:val="none" w:sz="0" w:space="0" w:color="auto"/>
      </w:divBdr>
    </w:div>
    <w:div w:id="1156529159">
      <w:bodyDiv w:val="1"/>
      <w:marLeft w:val="0"/>
      <w:marRight w:val="0"/>
      <w:marTop w:val="0"/>
      <w:marBottom w:val="0"/>
      <w:divBdr>
        <w:top w:val="none" w:sz="0" w:space="0" w:color="auto"/>
        <w:left w:val="none" w:sz="0" w:space="0" w:color="auto"/>
        <w:bottom w:val="none" w:sz="0" w:space="0" w:color="auto"/>
        <w:right w:val="none" w:sz="0" w:space="0" w:color="auto"/>
      </w:divBdr>
    </w:div>
    <w:div w:id="1156532997">
      <w:bodyDiv w:val="1"/>
      <w:marLeft w:val="0"/>
      <w:marRight w:val="0"/>
      <w:marTop w:val="0"/>
      <w:marBottom w:val="0"/>
      <w:divBdr>
        <w:top w:val="none" w:sz="0" w:space="0" w:color="auto"/>
        <w:left w:val="none" w:sz="0" w:space="0" w:color="auto"/>
        <w:bottom w:val="none" w:sz="0" w:space="0" w:color="auto"/>
        <w:right w:val="none" w:sz="0" w:space="0" w:color="auto"/>
      </w:divBdr>
    </w:div>
    <w:div w:id="1156996966">
      <w:bodyDiv w:val="1"/>
      <w:marLeft w:val="0"/>
      <w:marRight w:val="0"/>
      <w:marTop w:val="0"/>
      <w:marBottom w:val="0"/>
      <w:divBdr>
        <w:top w:val="none" w:sz="0" w:space="0" w:color="auto"/>
        <w:left w:val="none" w:sz="0" w:space="0" w:color="auto"/>
        <w:bottom w:val="none" w:sz="0" w:space="0" w:color="auto"/>
        <w:right w:val="none" w:sz="0" w:space="0" w:color="auto"/>
      </w:divBdr>
    </w:div>
    <w:div w:id="1157038543">
      <w:bodyDiv w:val="1"/>
      <w:marLeft w:val="0"/>
      <w:marRight w:val="0"/>
      <w:marTop w:val="0"/>
      <w:marBottom w:val="0"/>
      <w:divBdr>
        <w:top w:val="none" w:sz="0" w:space="0" w:color="auto"/>
        <w:left w:val="none" w:sz="0" w:space="0" w:color="auto"/>
        <w:bottom w:val="none" w:sz="0" w:space="0" w:color="auto"/>
        <w:right w:val="none" w:sz="0" w:space="0" w:color="auto"/>
      </w:divBdr>
    </w:div>
    <w:div w:id="1157265402">
      <w:bodyDiv w:val="1"/>
      <w:marLeft w:val="0"/>
      <w:marRight w:val="0"/>
      <w:marTop w:val="0"/>
      <w:marBottom w:val="0"/>
      <w:divBdr>
        <w:top w:val="none" w:sz="0" w:space="0" w:color="auto"/>
        <w:left w:val="none" w:sz="0" w:space="0" w:color="auto"/>
        <w:bottom w:val="none" w:sz="0" w:space="0" w:color="auto"/>
        <w:right w:val="none" w:sz="0" w:space="0" w:color="auto"/>
      </w:divBdr>
    </w:div>
    <w:div w:id="1157574634">
      <w:bodyDiv w:val="1"/>
      <w:marLeft w:val="0"/>
      <w:marRight w:val="0"/>
      <w:marTop w:val="0"/>
      <w:marBottom w:val="0"/>
      <w:divBdr>
        <w:top w:val="none" w:sz="0" w:space="0" w:color="auto"/>
        <w:left w:val="none" w:sz="0" w:space="0" w:color="auto"/>
        <w:bottom w:val="none" w:sz="0" w:space="0" w:color="auto"/>
        <w:right w:val="none" w:sz="0" w:space="0" w:color="auto"/>
      </w:divBdr>
    </w:div>
    <w:div w:id="1158768004">
      <w:bodyDiv w:val="1"/>
      <w:marLeft w:val="0"/>
      <w:marRight w:val="0"/>
      <w:marTop w:val="0"/>
      <w:marBottom w:val="0"/>
      <w:divBdr>
        <w:top w:val="none" w:sz="0" w:space="0" w:color="auto"/>
        <w:left w:val="none" w:sz="0" w:space="0" w:color="auto"/>
        <w:bottom w:val="none" w:sz="0" w:space="0" w:color="auto"/>
        <w:right w:val="none" w:sz="0" w:space="0" w:color="auto"/>
      </w:divBdr>
    </w:div>
    <w:div w:id="1159736858">
      <w:bodyDiv w:val="1"/>
      <w:marLeft w:val="0"/>
      <w:marRight w:val="0"/>
      <w:marTop w:val="0"/>
      <w:marBottom w:val="0"/>
      <w:divBdr>
        <w:top w:val="none" w:sz="0" w:space="0" w:color="auto"/>
        <w:left w:val="none" w:sz="0" w:space="0" w:color="auto"/>
        <w:bottom w:val="none" w:sz="0" w:space="0" w:color="auto"/>
        <w:right w:val="none" w:sz="0" w:space="0" w:color="auto"/>
      </w:divBdr>
    </w:div>
    <w:div w:id="1160078967">
      <w:bodyDiv w:val="1"/>
      <w:marLeft w:val="0"/>
      <w:marRight w:val="0"/>
      <w:marTop w:val="0"/>
      <w:marBottom w:val="0"/>
      <w:divBdr>
        <w:top w:val="none" w:sz="0" w:space="0" w:color="auto"/>
        <w:left w:val="none" w:sz="0" w:space="0" w:color="auto"/>
        <w:bottom w:val="none" w:sz="0" w:space="0" w:color="auto"/>
        <w:right w:val="none" w:sz="0" w:space="0" w:color="auto"/>
      </w:divBdr>
    </w:div>
    <w:div w:id="1160346249">
      <w:bodyDiv w:val="1"/>
      <w:marLeft w:val="0"/>
      <w:marRight w:val="0"/>
      <w:marTop w:val="0"/>
      <w:marBottom w:val="0"/>
      <w:divBdr>
        <w:top w:val="none" w:sz="0" w:space="0" w:color="auto"/>
        <w:left w:val="none" w:sz="0" w:space="0" w:color="auto"/>
        <w:bottom w:val="none" w:sz="0" w:space="0" w:color="auto"/>
        <w:right w:val="none" w:sz="0" w:space="0" w:color="auto"/>
      </w:divBdr>
    </w:div>
    <w:div w:id="1162116980">
      <w:bodyDiv w:val="1"/>
      <w:marLeft w:val="0"/>
      <w:marRight w:val="0"/>
      <w:marTop w:val="0"/>
      <w:marBottom w:val="0"/>
      <w:divBdr>
        <w:top w:val="none" w:sz="0" w:space="0" w:color="auto"/>
        <w:left w:val="none" w:sz="0" w:space="0" w:color="auto"/>
        <w:bottom w:val="none" w:sz="0" w:space="0" w:color="auto"/>
        <w:right w:val="none" w:sz="0" w:space="0" w:color="auto"/>
      </w:divBdr>
    </w:div>
    <w:div w:id="1163735461">
      <w:bodyDiv w:val="1"/>
      <w:marLeft w:val="0"/>
      <w:marRight w:val="0"/>
      <w:marTop w:val="0"/>
      <w:marBottom w:val="0"/>
      <w:divBdr>
        <w:top w:val="none" w:sz="0" w:space="0" w:color="auto"/>
        <w:left w:val="none" w:sz="0" w:space="0" w:color="auto"/>
        <w:bottom w:val="none" w:sz="0" w:space="0" w:color="auto"/>
        <w:right w:val="none" w:sz="0" w:space="0" w:color="auto"/>
      </w:divBdr>
    </w:div>
    <w:div w:id="1164006956">
      <w:bodyDiv w:val="1"/>
      <w:marLeft w:val="0"/>
      <w:marRight w:val="0"/>
      <w:marTop w:val="0"/>
      <w:marBottom w:val="0"/>
      <w:divBdr>
        <w:top w:val="none" w:sz="0" w:space="0" w:color="auto"/>
        <w:left w:val="none" w:sz="0" w:space="0" w:color="auto"/>
        <w:bottom w:val="none" w:sz="0" w:space="0" w:color="auto"/>
        <w:right w:val="none" w:sz="0" w:space="0" w:color="auto"/>
      </w:divBdr>
    </w:div>
    <w:div w:id="1164398204">
      <w:bodyDiv w:val="1"/>
      <w:marLeft w:val="0"/>
      <w:marRight w:val="0"/>
      <w:marTop w:val="0"/>
      <w:marBottom w:val="0"/>
      <w:divBdr>
        <w:top w:val="none" w:sz="0" w:space="0" w:color="auto"/>
        <w:left w:val="none" w:sz="0" w:space="0" w:color="auto"/>
        <w:bottom w:val="none" w:sz="0" w:space="0" w:color="auto"/>
        <w:right w:val="none" w:sz="0" w:space="0" w:color="auto"/>
      </w:divBdr>
    </w:div>
    <w:div w:id="1166282145">
      <w:bodyDiv w:val="1"/>
      <w:marLeft w:val="0"/>
      <w:marRight w:val="0"/>
      <w:marTop w:val="0"/>
      <w:marBottom w:val="0"/>
      <w:divBdr>
        <w:top w:val="none" w:sz="0" w:space="0" w:color="auto"/>
        <w:left w:val="none" w:sz="0" w:space="0" w:color="auto"/>
        <w:bottom w:val="none" w:sz="0" w:space="0" w:color="auto"/>
        <w:right w:val="none" w:sz="0" w:space="0" w:color="auto"/>
      </w:divBdr>
    </w:div>
    <w:div w:id="1167480632">
      <w:bodyDiv w:val="1"/>
      <w:marLeft w:val="0"/>
      <w:marRight w:val="0"/>
      <w:marTop w:val="0"/>
      <w:marBottom w:val="0"/>
      <w:divBdr>
        <w:top w:val="none" w:sz="0" w:space="0" w:color="auto"/>
        <w:left w:val="none" w:sz="0" w:space="0" w:color="auto"/>
        <w:bottom w:val="none" w:sz="0" w:space="0" w:color="auto"/>
        <w:right w:val="none" w:sz="0" w:space="0" w:color="auto"/>
      </w:divBdr>
    </w:div>
    <w:div w:id="1168180089">
      <w:bodyDiv w:val="1"/>
      <w:marLeft w:val="0"/>
      <w:marRight w:val="0"/>
      <w:marTop w:val="0"/>
      <w:marBottom w:val="0"/>
      <w:divBdr>
        <w:top w:val="none" w:sz="0" w:space="0" w:color="auto"/>
        <w:left w:val="none" w:sz="0" w:space="0" w:color="auto"/>
        <w:bottom w:val="none" w:sz="0" w:space="0" w:color="auto"/>
        <w:right w:val="none" w:sz="0" w:space="0" w:color="auto"/>
      </w:divBdr>
    </w:div>
    <w:div w:id="1168251424">
      <w:bodyDiv w:val="1"/>
      <w:marLeft w:val="0"/>
      <w:marRight w:val="0"/>
      <w:marTop w:val="0"/>
      <w:marBottom w:val="0"/>
      <w:divBdr>
        <w:top w:val="none" w:sz="0" w:space="0" w:color="auto"/>
        <w:left w:val="none" w:sz="0" w:space="0" w:color="auto"/>
        <w:bottom w:val="none" w:sz="0" w:space="0" w:color="auto"/>
        <w:right w:val="none" w:sz="0" w:space="0" w:color="auto"/>
      </w:divBdr>
    </w:div>
    <w:div w:id="1169298011">
      <w:bodyDiv w:val="1"/>
      <w:marLeft w:val="0"/>
      <w:marRight w:val="0"/>
      <w:marTop w:val="0"/>
      <w:marBottom w:val="0"/>
      <w:divBdr>
        <w:top w:val="none" w:sz="0" w:space="0" w:color="auto"/>
        <w:left w:val="none" w:sz="0" w:space="0" w:color="auto"/>
        <w:bottom w:val="none" w:sz="0" w:space="0" w:color="auto"/>
        <w:right w:val="none" w:sz="0" w:space="0" w:color="auto"/>
      </w:divBdr>
    </w:div>
    <w:div w:id="1169561305">
      <w:bodyDiv w:val="1"/>
      <w:marLeft w:val="0"/>
      <w:marRight w:val="0"/>
      <w:marTop w:val="0"/>
      <w:marBottom w:val="0"/>
      <w:divBdr>
        <w:top w:val="none" w:sz="0" w:space="0" w:color="auto"/>
        <w:left w:val="none" w:sz="0" w:space="0" w:color="auto"/>
        <w:bottom w:val="none" w:sz="0" w:space="0" w:color="auto"/>
        <w:right w:val="none" w:sz="0" w:space="0" w:color="auto"/>
      </w:divBdr>
    </w:div>
    <w:div w:id="1170410068">
      <w:bodyDiv w:val="1"/>
      <w:marLeft w:val="0"/>
      <w:marRight w:val="0"/>
      <w:marTop w:val="0"/>
      <w:marBottom w:val="0"/>
      <w:divBdr>
        <w:top w:val="none" w:sz="0" w:space="0" w:color="auto"/>
        <w:left w:val="none" w:sz="0" w:space="0" w:color="auto"/>
        <w:bottom w:val="none" w:sz="0" w:space="0" w:color="auto"/>
        <w:right w:val="none" w:sz="0" w:space="0" w:color="auto"/>
      </w:divBdr>
    </w:div>
    <w:div w:id="1170675301">
      <w:bodyDiv w:val="1"/>
      <w:marLeft w:val="0"/>
      <w:marRight w:val="0"/>
      <w:marTop w:val="0"/>
      <w:marBottom w:val="0"/>
      <w:divBdr>
        <w:top w:val="none" w:sz="0" w:space="0" w:color="auto"/>
        <w:left w:val="none" w:sz="0" w:space="0" w:color="auto"/>
        <w:bottom w:val="none" w:sz="0" w:space="0" w:color="auto"/>
        <w:right w:val="none" w:sz="0" w:space="0" w:color="auto"/>
      </w:divBdr>
    </w:div>
    <w:div w:id="1170828521">
      <w:bodyDiv w:val="1"/>
      <w:marLeft w:val="0"/>
      <w:marRight w:val="0"/>
      <w:marTop w:val="0"/>
      <w:marBottom w:val="0"/>
      <w:divBdr>
        <w:top w:val="none" w:sz="0" w:space="0" w:color="auto"/>
        <w:left w:val="none" w:sz="0" w:space="0" w:color="auto"/>
        <w:bottom w:val="none" w:sz="0" w:space="0" w:color="auto"/>
        <w:right w:val="none" w:sz="0" w:space="0" w:color="auto"/>
      </w:divBdr>
    </w:div>
    <w:div w:id="1171068225">
      <w:bodyDiv w:val="1"/>
      <w:marLeft w:val="0"/>
      <w:marRight w:val="0"/>
      <w:marTop w:val="0"/>
      <w:marBottom w:val="0"/>
      <w:divBdr>
        <w:top w:val="none" w:sz="0" w:space="0" w:color="auto"/>
        <w:left w:val="none" w:sz="0" w:space="0" w:color="auto"/>
        <w:bottom w:val="none" w:sz="0" w:space="0" w:color="auto"/>
        <w:right w:val="none" w:sz="0" w:space="0" w:color="auto"/>
      </w:divBdr>
    </w:div>
    <w:div w:id="1171140957">
      <w:bodyDiv w:val="1"/>
      <w:marLeft w:val="0"/>
      <w:marRight w:val="0"/>
      <w:marTop w:val="0"/>
      <w:marBottom w:val="0"/>
      <w:divBdr>
        <w:top w:val="none" w:sz="0" w:space="0" w:color="auto"/>
        <w:left w:val="none" w:sz="0" w:space="0" w:color="auto"/>
        <w:bottom w:val="none" w:sz="0" w:space="0" w:color="auto"/>
        <w:right w:val="none" w:sz="0" w:space="0" w:color="auto"/>
      </w:divBdr>
    </w:div>
    <w:div w:id="1174101951">
      <w:bodyDiv w:val="1"/>
      <w:marLeft w:val="0"/>
      <w:marRight w:val="0"/>
      <w:marTop w:val="0"/>
      <w:marBottom w:val="0"/>
      <w:divBdr>
        <w:top w:val="none" w:sz="0" w:space="0" w:color="auto"/>
        <w:left w:val="none" w:sz="0" w:space="0" w:color="auto"/>
        <w:bottom w:val="none" w:sz="0" w:space="0" w:color="auto"/>
        <w:right w:val="none" w:sz="0" w:space="0" w:color="auto"/>
      </w:divBdr>
    </w:div>
    <w:div w:id="1175999384">
      <w:bodyDiv w:val="1"/>
      <w:marLeft w:val="0"/>
      <w:marRight w:val="0"/>
      <w:marTop w:val="0"/>
      <w:marBottom w:val="0"/>
      <w:divBdr>
        <w:top w:val="none" w:sz="0" w:space="0" w:color="auto"/>
        <w:left w:val="none" w:sz="0" w:space="0" w:color="auto"/>
        <w:bottom w:val="none" w:sz="0" w:space="0" w:color="auto"/>
        <w:right w:val="none" w:sz="0" w:space="0" w:color="auto"/>
      </w:divBdr>
    </w:div>
    <w:div w:id="1176337747">
      <w:bodyDiv w:val="1"/>
      <w:marLeft w:val="0"/>
      <w:marRight w:val="0"/>
      <w:marTop w:val="0"/>
      <w:marBottom w:val="0"/>
      <w:divBdr>
        <w:top w:val="none" w:sz="0" w:space="0" w:color="auto"/>
        <w:left w:val="none" w:sz="0" w:space="0" w:color="auto"/>
        <w:bottom w:val="none" w:sz="0" w:space="0" w:color="auto"/>
        <w:right w:val="none" w:sz="0" w:space="0" w:color="auto"/>
      </w:divBdr>
    </w:div>
    <w:div w:id="1177115943">
      <w:bodyDiv w:val="1"/>
      <w:marLeft w:val="0"/>
      <w:marRight w:val="0"/>
      <w:marTop w:val="0"/>
      <w:marBottom w:val="0"/>
      <w:divBdr>
        <w:top w:val="none" w:sz="0" w:space="0" w:color="auto"/>
        <w:left w:val="none" w:sz="0" w:space="0" w:color="auto"/>
        <w:bottom w:val="none" w:sz="0" w:space="0" w:color="auto"/>
        <w:right w:val="none" w:sz="0" w:space="0" w:color="auto"/>
      </w:divBdr>
    </w:div>
    <w:div w:id="1177428253">
      <w:bodyDiv w:val="1"/>
      <w:marLeft w:val="0"/>
      <w:marRight w:val="0"/>
      <w:marTop w:val="0"/>
      <w:marBottom w:val="0"/>
      <w:divBdr>
        <w:top w:val="none" w:sz="0" w:space="0" w:color="auto"/>
        <w:left w:val="none" w:sz="0" w:space="0" w:color="auto"/>
        <w:bottom w:val="none" w:sz="0" w:space="0" w:color="auto"/>
        <w:right w:val="none" w:sz="0" w:space="0" w:color="auto"/>
      </w:divBdr>
    </w:div>
    <w:div w:id="1177505667">
      <w:bodyDiv w:val="1"/>
      <w:marLeft w:val="0"/>
      <w:marRight w:val="0"/>
      <w:marTop w:val="0"/>
      <w:marBottom w:val="0"/>
      <w:divBdr>
        <w:top w:val="none" w:sz="0" w:space="0" w:color="auto"/>
        <w:left w:val="none" w:sz="0" w:space="0" w:color="auto"/>
        <w:bottom w:val="none" w:sz="0" w:space="0" w:color="auto"/>
        <w:right w:val="none" w:sz="0" w:space="0" w:color="auto"/>
      </w:divBdr>
    </w:div>
    <w:div w:id="1178228694">
      <w:bodyDiv w:val="1"/>
      <w:marLeft w:val="0"/>
      <w:marRight w:val="0"/>
      <w:marTop w:val="0"/>
      <w:marBottom w:val="0"/>
      <w:divBdr>
        <w:top w:val="none" w:sz="0" w:space="0" w:color="auto"/>
        <w:left w:val="none" w:sz="0" w:space="0" w:color="auto"/>
        <w:bottom w:val="none" w:sz="0" w:space="0" w:color="auto"/>
        <w:right w:val="none" w:sz="0" w:space="0" w:color="auto"/>
      </w:divBdr>
    </w:div>
    <w:div w:id="1178539617">
      <w:bodyDiv w:val="1"/>
      <w:marLeft w:val="0"/>
      <w:marRight w:val="0"/>
      <w:marTop w:val="0"/>
      <w:marBottom w:val="0"/>
      <w:divBdr>
        <w:top w:val="none" w:sz="0" w:space="0" w:color="auto"/>
        <w:left w:val="none" w:sz="0" w:space="0" w:color="auto"/>
        <w:bottom w:val="none" w:sz="0" w:space="0" w:color="auto"/>
        <w:right w:val="none" w:sz="0" w:space="0" w:color="auto"/>
      </w:divBdr>
    </w:div>
    <w:div w:id="1179352042">
      <w:bodyDiv w:val="1"/>
      <w:marLeft w:val="0"/>
      <w:marRight w:val="0"/>
      <w:marTop w:val="0"/>
      <w:marBottom w:val="0"/>
      <w:divBdr>
        <w:top w:val="none" w:sz="0" w:space="0" w:color="auto"/>
        <w:left w:val="none" w:sz="0" w:space="0" w:color="auto"/>
        <w:bottom w:val="none" w:sz="0" w:space="0" w:color="auto"/>
        <w:right w:val="none" w:sz="0" w:space="0" w:color="auto"/>
      </w:divBdr>
    </w:div>
    <w:div w:id="1179999356">
      <w:bodyDiv w:val="1"/>
      <w:marLeft w:val="0"/>
      <w:marRight w:val="0"/>
      <w:marTop w:val="0"/>
      <w:marBottom w:val="0"/>
      <w:divBdr>
        <w:top w:val="none" w:sz="0" w:space="0" w:color="auto"/>
        <w:left w:val="none" w:sz="0" w:space="0" w:color="auto"/>
        <w:bottom w:val="none" w:sz="0" w:space="0" w:color="auto"/>
        <w:right w:val="none" w:sz="0" w:space="0" w:color="auto"/>
      </w:divBdr>
    </w:div>
    <w:div w:id="1180660478">
      <w:bodyDiv w:val="1"/>
      <w:marLeft w:val="0"/>
      <w:marRight w:val="0"/>
      <w:marTop w:val="0"/>
      <w:marBottom w:val="0"/>
      <w:divBdr>
        <w:top w:val="none" w:sz="0" w:space="0" w:color="auto"/>
        <w:left w:val="none" w:sz="0" w:space="0" w:color="auto"/>
        <w:bottom w:val="none" w:sz="0" w:space="0" w:color="auto"/>
        <w:right w:val="none" w:sz="0" w:space="0" w:color="auto"/>
      </w:divBdr>
    </w:div>
    <w:div w:id="1182013202">
      <w:bodyDiv w:val="1"/>
      <w:marLeft w:val="0"/>
      <w:marRight w:val="0"/>
      <w:marTop w:val="0"/>
      <w:marBottom w:val="0"/>
      <w:divBdr>
        <w:top w:val="none" w:sz="0" w:space="0" w:color="auto"/>
        <w:left w:val="none" w:sz="0" w:space="0" w:color="auto"/>
        <w:bottom w:val="none" w:sz="0" w:space="0" w:color="auto"/>
        <w:right w:val="none" w:sz="0" w:space="0" w:color="auto"/>
      </w:divBdr>
    </w:div>
    <w:div w:id="1182818704">
      <w:bodyDiv w:val="1"/>
      <w:marLeft w:val="0"/>
      <w:marRight w:val="0"/>
      <w:marTop w:val="0"/>
      <w:marBottom w:val="0"/>
      <w:divBdr>
        <w:top w:val="none" w:sz="0" w:space="0" w:color="auto"/>
        <w:left w:val="none" w:sz="0" w:space="0" w:color="auto"/>
        <w:bottom w:val="none" w:sz="0" w:space="0" w:color="auto"/>
        <w:right w:val="none" w:sz="0" w:space="0" w:color="auto"/>
      </w:divBdr>
    </w:div>
    <w:div w:id="1182863585">
      <w:bodyDiv w:val="1"/>
      <w:marLeft w:val="0"/>
      <w:marRight w:val="0"/>
      <w:marTop w:val="0"/>
      <w:marBottom w:val="0"/>
      <w:divBdr>
        <w:top w:val="none" w:sz="0" w:space="0" w:color="auto"/>
        <w:left w:val="none" w:sz="0" w:space="0" w:color="auto"/>
        <w:bottom w:val="none" w:sz="0" w:space="0" w:color="auto"/>
        <w:right w:val="none" w:sz="0" w:space="0" w:color="auto"/>
      </w:divBdr>
    </w:div>
    <w:div w:id="1182863873">
      <w:bodyDiv w:val="1"/>
      <w:marLeft w:val="0"/>
      <w:marRight w:val="0"/>
      <w:marTop w:val="0"/>
      <w:marBottom w:val="0"/>
      <w:divBdr>
        <w:top w:val="none" w:sz="0" w:space="0" w:color="auto"/>
        <w:left w:val="none" w:sz="0" w:space="0" w:color="auto"/>
        <w:bottom w:val="none" w:sz="0" w:space="0" w:color="auto"/>
        <w:right w:val="none" w:sz="0" w:space="0" w:color="auto"/>
      </w:divBdr>
    </w:div>
    <w:div w:id="1184133082">
      <w:bodyDiv w:val="1"/>
      <w:marLeft w:val="0"/>
      <w:marRight w:val="0"/>
      <w:marTop w:val="0"/>
      <w:marBottom w:val="0"/>
      <w:divBdr>
        <w:top w:val="none" w:sz="0" w:space="0" w:color="auto"/>
        <w:left w:val="none" w:sz="0" w:space="0" w:color="auto"/>
        <w:bottom w:val="none" w:sz="0" w:space="0" w:color="auto"/>
        <w:right w:val="none" w:sz="0" w:space="0" w:color="auto"/>
      </w:divBdr>
    </w:div>
    <w:div w:id="1186555053">
      <w:bodyDiv w:val="1"/>
      <w:marLeft w:val="0"/>
      <w:marRight w:val="0"/>
      <w:marTop w:val="0"/>
      <w:marBottom w:val="0"/>
      <w:divBdr>
        <w:top w:val="none" w:sz="0" w:space="0" w:color="auto"/>
        <w:left w:val="none" w:sz="0" w:space="0" w:color="auto"/>
        <w:bottom w:val="none" w:sz="0" w:space="0" w:color="auto"/>
        <w:right w:val="none" w:sz="0" w:space="0" w:color="auto"/>
      </w:divBdr>
    </w:div>
    <w:div w:id="1186678459">
      <w:bodyDiv w:val="1"/>
      <w:marLeft w:val="0"/>
      <w:marRight w:val="0"/>
      <w:marTop w:val="0"/>
      <w:marBottom w:val="0"/>
      <w:divBdr>
        <w:top w:val="none" w:sz="0" w:space="0" w:color="auto"/>
        <w:left w:val="none" w:sz="0" w:space="0" w:color="auto"/>
        <w:bottom w:val="none" w:sz="0" w:space="0" w:color="auto"/>
        <w:right w:val="none" w:sz="0" w:space="0" w:color="auto"/>
      </w:divBdr>
    </w:div>
    <w:div w:id="1187864267">
      <w:bodyDiv w:val="1"/>
      <w:marLeft w:val="0"/>
      <w:marRight w:val="0"/>
      <w:marTop w:val="0"/>
      <w:marBottom w:val="0"/>
      <w:divBdr>
        <w:top w:val="none" w:sz="0" w:space="0" w:color="auto"/>
        <w:left w:val="none" w:sz="0" w:space="0" w:color="auto"/>
        <w:bottom w:val="none" w:sz="0" w:space="0" w:color="auto"/>
        <w:right w:val="none" w:sz="0" w:space="0" w:color="auto"/>
      </w:divBdr>
    </w:div>
    <w:div w:id="1188832474">
      <w:bodyDiv w:val="1"/>
      <w:marLeft w:val="0"/>
      <w:marRight w:val="0"/>
      <w:marTop w:val="0"/>
      <w:marBottom w:val="0"/>
      <w:divBdr>
        <w:top w:val="none" w:sz="0" w:space="0" w:color="auto"/>
        <w:left w:val="none" w:sz="0" w:space="0" w:color="auto"/>
        <w:bottom w:val="none" w:sz="0" w:space="0" w:color="auto"/>
        <w:right w:val="none" w:sz="0" w:space="0" w:color="auto"/>
      </w:divBdr>
    </w:div>
    <w:div w:id="1189369884">
      <w:bodyDiv w:val="1"/>
      <w:marLeft w:val="0"/>
      <w:marRight w:val="0"/>
      <w:marTop w:val="0"/>
      <w:marBottom w:val="0"/>
      <w:divBdr>
        <w:top w:val="none" w:sz="0" w:space="0" w:color="auto"/>
        <w:left w:val="none" w:sz="0" w:space="0" w:color="auto"/>
        <w:bottom w:val="none" w:sz="0" w:space="0" w:color="auto"/>
        <w:right w:val="none" w:sz="0" w:space="0" w:color="auto"/>
      </w:divBdr>
    </w:div>
    <w:div w:id="1189485115">
      <w:bodyDiv w:val="1"/>
      <w:marLeft w:val="0"/>
      <w:marRight w:val="0"/>
      <w:marTop w:val="0"/>
      <w:marBottom w:val="0"/>
      <w:divBdr>
        <w:top w:val="none" w:sz="0" w:space="0" w:color="auto"/>
        <w:left w:val="none" w:sz="0" w:space="0" w:color="auto"/>
        <w:bottom w:val="none" w:sz="0" w:space="0" w:color="auto"/>
        <w:right w:val="none" w:sz="0" w:space="0" w:color="auto"/>
      </w:divBdr>
    </w:div>
    <w:div w:id="1190097031">
      <w:bodyDiv w:val="1"/>
      <w:marLeft w:val="0"/>
      <w:marRight w:val="0"/>
      <w:marTop w:val="0"/>
      <w:marBottom w:val="0"/>
      <w:divBdr>
        <w:top w:val="none" w:sz="0" w:space="0" w:color="auto"/>
        <w:left w:val="none" w:sz="0" w:space="0" w:color="auto"/>
        <w:bottom w:val="none" w:sz="0" w:space="0" w:color="auto"/>
        <w:right w:val="none" w:sz="0" w:space="0" w:color="auto"/>
      </w:divBdr>
    </w:div>
    <w:div w:id="1190602121">
      <w:bodyDiv w:val="1"/>
      <w:marLeft w:val="0"/>
      <w:marRight w:val="0"/>
      <w:marTop w:val="0"/>
      <w:marBottom w:val="0"/>
      <w:divBdr>
        <w:top w:val="none" w:sz="0" w:space="0" w:color="auto"/>
        <w:left w:val="none" w:sz="0" w:space="0" w:color="auto"/>
        <w:bottom w:val="none" w:sz="0" w:space="0" w:color="auto"/>
        <w:right w:val="none" w:sz="0" w:space="0" w:color="auto"/>
      </w:divBdr>
    </w:div>
    <w:div w:id="1191990648">
      <w:bodyDiv w:val="1"/>
      <w:marLeft w:val="0"/>
      <w:marRight w:val="0"/>
      <w:marTop w:val="0"/>
      <w:marBottom w:val="0"/>
      <w:divBdr>
        <w:top w:val="none" w:sz="0" w:space="0" w:color="auto"/>
        <w:left w:val="none" w:sz="0" w:space="0" w:color="auto"/>
        <w:bottom w:val="none" w:sz="0" w:space="0" w:color="auto"/>
        <w:right w:val="none" w:sz="0" w:space="0" w:color="auto"/>
      </w:divBdr>
    </w:div>
    <w:div w:id="1193151128">
      <w:bodyDiv w:val="1"/>
      <w:marLeft w:val="0"/>
      <w:marRight w:val="0"/>
      <w:marTop w:val="0"/>
      <w:marBottom w:val="0"/>
      <w:divBdr>
        <w:top w:val="none" w:sz="0" w:space="0" w:color="auto"/>
        <w:left w:val="none" w:sz="0" w:space="0" w:color="auto"/>
        <w:bottom w:val="none" w:sz="0" w:space="0" w:color="auto"/>
        <w:right w:val="none" w:sz="0" w:space="0" w:color="auto"/>
      </w:divBdr>
    </w:div>
    <w:div w:id="1195774998">
      <w:bodyDiv w:val="1"/>
      <w:marLeft w:val="0"/>
      <w:marRight w:val="0"/>
      <w:marTop w:val="0"/>
      <w:marBottom w:val="0"/>
      <w:divBdr>
        <w:top w:val="none" w:sz="0" w:space="0" w:color="auto"/>
        <w:left w:val="none" w:sz="0" w:space="0" w:color="auto"/>
        <w:bottom w:val="none" w:sz="0" w:space="0" w:color="auto"/>
        <w:right w:val="none" w:sz="0" w:space="0" w:color="auto"/>
      </w:divBdr>
    </w:div>
    <w:div w:id="1196038469">
      <w:bodyDiv w:val="1"/>
      <w:marLeft w:val="0"/>
      <w:marRight w:val="0"/>
      <w:marTop w:val="0"/>
      <w:marBottom w:val="0"/>
      <w:divBdr>
        <w:top w:val="none" w:sz="0" w:space="0" w:color="auto"/>
        <w:left w:val="none" w:sz="0" w:space="0" w:color="auto"/>
        <w:bottom w:val="none" w:sz="0" w:space="0" w:color="auto"/>
        <w:right w:val="none" w:sz="0" w:space="0" w:color="auto"/>
      </w:divBdr>
    </w:div>
    <w:div w:id="1196503476">
      <w:bodyDiv w:val="1"/>
      <w:marLeft w:val="0"/>
      <w:marRight w:val="0"/>
      <w:marTop w:val="0"/>
      <w:marBottom w:val="0"/>
      <w:divBdr>
        <w:top w:val="none" w:sz="0" w:space="0" w:color="auto"/>
        <w:left w:val="none" w:sz="0" w:space="0" w:color="auto"/>
        <w:bottom w:val="none" w:sz="0" w:space="0" w:color="auto"/>
        <w:right w:val="none" w:sz="0" w:space="0" w:color="auto"/>
      </w:divBdr>
    </w:div>
    <w:div w:id="1198198373">
      <w:bodyDiv w:val="1"/>
      <w:marLeft w:val="0"/>
      <w:marRight w:val="0"/>
      <w:marTop w:val="0"/>
      <w:marBottom w:val="0"/>
      <w:divBdr>
        <w:top w:val="none" w:sz="0" w:space="0" w:color="auto"/>
        <w:left w:val="none" w:sz="0" w:space="0" w:color="auto"/>
        <w:bottom w:val="none" w:sz="0" w:space="0" w:color="auto"/>
        <w:right w:val="none" w:sz="0" w:space="0" w:color="auto"/>
      </w:divBdr>
    </w:div>
    <w:div w:id="1198856480">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045706">
      <w:bodyDiv w:val="1"/>
      <w:marLeft w:val="0"/>
      <w:marRight w:val="0"/>
      <w:marTop w:val="0"/>
      <w:marBottom w:val="0"/>
      <w:divBdr>
        <w:top w:val="none" w:sz="0" w:space="0" w:color="auto"/>
        <w:left w:val="none" w:sz="0" w:space="0" w:color="auto"/>
        <w:bottom w:val="none" w:sz="0" w:space="0" w:color="auto"/>
        <w:right w:val="none" w:sz="0" w:space="0" w:color="auto"/>
      </w:divBdr>
    </w:div>
    <w:div w:id="1200508594">
      <w:bodyDiv w:val="1"/>
      <w:marLeft w:val="0"/>
      <w:marRight w:val="0"/>
      <w:marTop w:val="0"/>
      <w:marBottom w:val="0"/>
      <w:divBdr>
        <w:top w:val="none" w:sz="0" w:space="0" w:color="auto"/>
        <w:left w:val="none" w:sz="0" w:space="0" w:color="auto"/>
        <w:bottom w:val="none" w:sz="0" w:space="0" w:color="auto"/>
        <w:right w:val="none" w:sz="0" w:space="0" w:color="auto"/>
      </w:divBdr>
    </w:div>
    <w:div w:id="1200818334">
      <w:bodyDiv w:val="1"/>
      <w:marLeft w:val="0"/>
      <w:marRight w:val="0"/>
      <w:marTop w:val="0"/>
      <w:marBottom w:val="0"/>
      <w:divBdr>
        <w:top w:val="none" w:sz="0" w:space="0" w:color="auto"/>
        <w:left w:val="none" w:sz="0" w:space="0" w:color="auto"/>
        <w:bottom w:val="none" w:sz="0" w:space="0" w:color="auto"/>
        <w:right w:val="none" w:sz="0" w:space="0" w:color="auto"/>
      </w:divBdr>
    </w:div>
    <w:div w:id="1202282523">
      <w:bodyDiv w:val="1"/>
      <w:marLeft w:val="0"/>
      <w:marRight w:val="0"/>
      <w:marTop w:val="0"/>
      <w:marBottom w:val="0"/>
      <w:divBdr>
        <w:top w:val="none" w:sz="0" w:space="0" w:color="auto"/>
        <w:left w:val="none" w:sz="0" w:space="0" w:color="auto"/>
        <w:bottom w:val="none" w:sz="0" w:space="0" w:color="auto"/>
        <w:right w:val="none" w:sz="0" w:space="0" w:color="auto"/>
      </w:divBdr>
    </w:div>
    <w:div w:id="1202934523">
      <w:bodyDiv w:val="1"/>
      <w:marLeft w:val="0"/>
      <w:marRight w:val="0"/>
      <w:marTop w:val="0"/>
      <w:marBottom w:val="0"/>
      <w:divBdr>
        <w:top w:val="none" w:sz="0" w:space="0" w:color="auto"/>
        <w:left w:val="none" w:sz="0" w:space="0" w:color="auto"/>
        <w:bottom w:val="none" w:sz="0" w:space="0" w:color="auto"/>
        <w:right w:val="none" w:sz="0" w:space="0" w:color="auto"/>
      </w:divBdr>
    </w:div>
    <w:div w:id="1203908246">
      <w:bodyDiv w:val="1"/>
      <w:marLeft w:val="0"/>
      <w:marRight w:val="0"/>
      <w:marTop w:val="0"/>
      <w:marBottom w:val="0"/>
      <w:divBdr>
        <w:top w:val="none" w:sz="0" w:space="0" w:color="auto"/>
        <w:left w:val="none" w:sz="0" w:space="0" w:color="auto"/>
        <w:bottom w:val="none" w:sz="0" w:space="0" w:color="auto"/>
        <w:right w:val="none" w:sz="0" w:space="0" w:color="auto"/>
      </w:divBdr>
    </w:div>
    <w:div w:id="1204056650">
      <w:bodyDiv w:val="1"/>
      <w:marLeft w:val="0"/>
      <w:marRight w:val="0"/>
      <w:marTop w:val="0"/>
      <w:marBottom w:val="0"/>
      <w:divBdr>
        <w:top w:val="none" w:sz="0" w:space="0" w:color="auto"/>
        <w:left w:val="none" w:sz="0" w:space="0" w:color="auto"/>
        <w:bottom w:val="none" w:sz="0" w:space="0" w:color="auto"/>
        <w:right w:val="none" w:sz="0" w:space="0" w:color="auto"/>
      </w:divBdr>
    </w:div>
    <w:div w:id="1204098534">
      <w:bodyDiv w:val="1"/>
      <w:marLeft w:val="0"/>
      <w:marRight w:val="0"/>
      <w:marTop w:val="0"/>
      <w:marBottom w:val="0"/>
      <w:divBdr>
        <w:top w:val="none" w:sz="0" w:space="0" w:color="auto"/>
        <w:left w:val="none" w:sz="0" w:space="0" w:color="auto"/>
        <w:bottom w:val="none" w:sz="0" w:space="0" w:color="auto"/>
        <w:right w:val="none" w:sz="0" w:space="0" w:color="auto"/>
      </w:divBdr>
    </w:div>
    <w:div w:id="1204169660">
      <w:bodyDiv w:val="1"/>
      <w:marLeft w:val="0"/>
      <w:marRight w:val="0"/>
      <w:marTop w:val="0"/>
      <w:marBottom w:val="0"/>
      <w:divBdr>
        <w:top w:val="none" w:sz="0" w:space="0" w:color="auto"/>
        <w:left w:val="none" w:sz="0" w:space="0" w:color="auto"/>
        <w:bottom w:val="none" w:sz="0" w:space="0" w:color="auto"/>
        <w:right w:val="none" w:sz="0" w:space="0" w:color="auto"/>
      </w:divBdr>
    </w:div>
    <w:div w:id="1204902643">
      <w:bodyDiv w:val="1"/>
      <w:marLeft w:val="0"/>
      <w:marRight w:val="0"/>
      <w:marTop w:val="0"/>
      <w:marBottom w:val="0"/>
      <w:divBdr>
        <w:top w:val="none" w:sz="0" w:space="0" w:color="auto"/>
        <w:left w:val="none" w:sz="0" w:space="0" w:color="auto"/>
        <w:bottom w:val="none" w:sz="0" w:space="0" w:color="auto"/>
        <w:right w:val="none" w:sz="0" w:space="0" w:color="auto"/>
      </w:divBdr>
    </w:div>
    <w:div w:id="1205023627">
      <w:bodyDiv w:val="1"/>
      <w:marLeft w:val="0"/>
      <w:marRight w:val="0"/>
      <w:marTop w:val="0"/>
      <w:marBottom w:val="0"/>
      <w:divBdr>
        <w:top w:val="none" w:sz="0" w:space="0" w:color="auto"/>
        <w:left w:val="none" w:sz="0" w:space="0" w:color="auto"/>
        <w:bottom w:val="none" w:sz="0" w:space="0" w:color="auto"/>
        <w:right w:val="none" w:sz="0" w:space="0" w:color="auto"/>
      </w:divBdr>
    </w:div>
    <w:div w:id="1206871656">
      <w:bodyDiv w:val="1"/>
      <w:marLeft w:val="0"/>
      <w:marRight w:val="0"/>
      <w:marTop w:val="0"/>
      <w:marBottom w:val="0"/>
      <w:divBdr>
        <w:top w:val="none" w:sz="0" w:space="0" w:color="auto"/>
        <w:left w:val="none" w:sz="0" w:space="0" w:color="auto"/>
        <w:bottom w:val="none" w:sz="0" w:space="0" w:color="auto"/>
        <w:right w:val="none" w:sz="0" w:space="0" w:color="auto"/>
      </w:divBdr>
    </w:div>
    <w:div w:id="1206913295">
      <w:bodyDiv w:val="1"/>
      <w:marLeft w:val="0"/>
      <w:marRight w:val="0"/>
      <w:marTop w:val="0"/>
      <w:marBottom w:val="0"/>
      <w:divBdr>
        <w:top w:val="none" w:sz="0" w:space="0" w:color="auto"/>
        <w:left w:val="none" w:sz="0" w:space="0" w:color="auto"/>
        <w:bottom w:val="none" w:sz="0" w:space="0" w:color="auto"/>
        <w:right w:val="none" w:sz="0" w:space="0" w:color="auto"/>
      </w:divBdr>
    </w:div>
    <w:div w:id="1206943069">
      <w:bodyDiv w:val="1"/>
      <w:marLeft w:val="0"/>
      <w:marRight w:val="0"/>
      <w:marTop w:val="0"/>
      <w:marBottom w:val="0"/>
      <w:divBdr>
        <w:top w:val="none" w:sz="0" w:space="0" w:color="auto"/>
        <w:left w:val="none" w:sz="0" w:space="0" w:color="auto"/>
        <w:bottom w:val="none" w:sz="0" w:space="0" w:color="auto"/>
        <w:right w:val="none" w:sz="0" w:space="0" w:color="auto"/>
      </w:divBdr>
    </w:div>
    <w:div w:id="1207336455">
      <w:bodyDiv w:val="1"/>
      <w:marLeft w:val="0"/>
      <w:marRight w:val="0"/>
      <w:marTop w:val="0"/>
      <w:marBottom w:val="0"/>
      <w:divBdr>
        <w:top w:val="none" w:sz="0" w:space="0" w:color="auto"/>
        <w:left w:val="none" w:sz="0" w:space="0" w:color="auto"/>
        <w:bottom w:val="none" w:sz="0" w:space="0" w:color="auto"/>
        <w:right w:val="none" w:sz="0" w:space="0" w:color="auto"/>
      </w:divBdr>
    </w:div>
    <w:div w:id="1207839536">
      <w:bodyDiv w:val="1"/>
      <w:marLeft w:val="0"/>
      <w:marRight w:val="0"/>
      <w:marTop w:val="0"/>
      <w:marBottom w:val="0"/>
      <w:divBdr>
        <w:top w:val="none" w:sz="0" w:space="0" w:color="auto"/>
        <w:left w:val="none" w:sz="0" w:space="0" w:color="auto"/>
        <w:bottom w:val="none" w:sz="0" w:space="0" w:color="auto"/>
        <w:right w:val="none" w:sz="0" w:space="0" w:color="auto"/>
      </w:divBdr>
    </w:div>
    <w:div w:id="1209218998">
      <w:bodyDiv w:val="1"/>
      <w:marLeft w:val="0"/>
      <w:marRight w:val="0"/>
      <w:marTop w:val="0"/>
      <w:marBottom w:val="0"/>
      <w:divBdr>
        <w:top w:val="none" w:sz="0" w:space="0" w:color="auto"/>
        <w:left w:val="none" w:sz="0" w:space="0" w:color="auto"/>
        <w:bottom w:val="none" w:sz="0" w:space="0" w:color="auto"/>
        <w:right w:val="none" w:sz="0" w:space="0" w:color="auto"/>
      </w:divBdr>
    </w:div>
    <w:div w:id="1209494776">
      <w:bodyDiv w:val="1"/>
      <w:marLeft w:val="0"/>
      <w:marRight w:val="0"/>
      <w:marTop w:val="0"/>
      <w:marBottom w:val="0"/>
      <w:divBdr>
        <w:top w:val="none" w:sz="0" w:space="0" w:color="auto"/>
        <w:left w:val="none" w:sz="0" w:space="0" w:color="auto"/>
        <w:bottom w:val="none" w:sz="0" w:space="0" w:color="auto"/>
        <w:right w:val="none" w:sz="0" w:space="0" w:color="auto"/>
      </w:divBdr>
    </w:div>
    <w:div w:id="1211452167">
      <w:bodyDiv w:val="1"/>
      <w:marLeft w:val="0"/>
      <w:marRight w:val="0"/>
      <w:marTop w:val="0"/>
      <w:marBottom w:val="0"/>
      <w:divBdr>
        <w:top w:val="none" w:sz="0" w:space="0" w:color="auto"/>
        <w:left w:val="none" w:sz="0" w:space="0" w:color="auto"/>
        <w:bottom w:val="none" w:sz="0" w:space="0" w:color="auto"/>
        <w:right w:val="none" w:sz="0" w:space="0" w:color="auto"/>
      </w:divBdr>
    </w:div>
    <w:div w:id="1211963119">
      <w:bodyDiv w:val="1"/>
      <w:marLeft w:val="0"/>
      <w:marRight w:val="0"/>
      <w:marTop w:val="0"/>
      <w:marBottom w:val="0"/>
      <w:divBdr>
        <w:top w:val="none" w:sz="0" w:space="0" w:color="auto"/>
        <w:left w:val="none" w:sz="0" w:space="0" w:color="auto"/>
        <w:bottom w:val="none" w:sz="0" w:space="0" w:color="auto"/>
        <w:right w:val="none" w:sz="0" w:space="0" w:color="auto"/>
      </w:divBdr>
    </w:div>
    <w:div w:id="1212422490">
      <w:bodyDiv w:val="1"/>
      <w:marLeft w:val="0"/>
      <w:marRight w:val="0"/>
      <w:marTop w:val="0"/>
      <w:marBottom w:val="0"/>
      <w:divBdr>
        <w:top w:val="none" w:sz="0" w:space="0" w:color="auto"/>
        <w:left w:val="none" w:sz="0" w:space="0" w:color="auto"/>
        <w:bottom w:val="none" w:sz="0" w:space="0" w:color="auto"/>
        <w:right w:val="none" w:sz="0" w:space="0" w:color="auto"/>
      </w:divBdr>
    </w:div>
    <w:div w:id="1213465708">
      <w:bodyDiv w:val="1"/>
      <w:marLeft w:val="0"/>
      <w:marRight w:val="0"/>
      <w:marTop w:val="0"/>
      <w:marBottom w:val="0"/>
      <w:divBdr>
        <w:top w:val="none" w:sz="0" w:space="0" w:color="auto"/>
        <w:left w:val="none" w:sz="0" w:space="0" w:color="auto"/>
        <w:bottom w:val="none" w:sz="0" w:space="0" w:color="auto"/>
        <w:right w:val="none" w:sz="0" w:space="0" w:color="auto"/>
      </w:divBdr>
    </w:div>
    <w:div w:id="1213662249">
      <w:bodyDiv w:val="1"/>
      <w:marLeft w:val="0"/>
      <w:marRight w:val="0"/>
      <w:marTop w:val="0"/>
      <w:marBottom w:val="0"/>
      <w:divBdr>
        <w:top w:val="none" w:sz="0" w:space="0" w:color="auto"/>
        <w:left w:val="none" w:sz="0" w:space="0" w:color="auto"/>
        <w:bottom w:val="none" w:sz="0" w:space="0" w:color="auto"/>
        <w:right w:val="none" w:sz="0" w:space="0" w:color="auto"/>
      </w:divBdr>
    </w:div>
    <w:div w:id="1213736025">
      <w:bodyDiv w:val="1"/>
      <w:marLeft w:val="0"/>
      <w:marRight w:val="0"/>
      <w:marTop w:val="0"/>
      <w:marBottom w:val="0"/>
      <w:divBdr>
        <w:top w:val="none" w:sz="0" w:space="0" w:color="auto"/>
        <w:left w:val="none" w:sz="0" w:space="0" w:color="auto"/>
        <w:bottom w:val="none" w:sz="0" w:space="0" w:color="auto"/>
        <w:right w:val="none" w:sz="0" w:space="0" w:color="auto"/>
      </w:divBdr>
    </w:div>
    <w:div w:id="1213955296">
      <w:bodyDiv w:val="1"/>
      <w:marLeft w:val="0"/>
      <w:marRight w:val="0"/>
      <w:marTop w:val="0"/>
      <w:marBottom w:val="0"/>
      <w:divBdr>
        <w:top w:val="none" w:sz="0" w:space="0" w:color="auto"/>
        <w:left w:val="none" w:sz="0" w:space="0" w:color="auto"/>
        <w:bottom w:val="none" w:sz="0" w:space="0" w:color="auto"/>
        <w:right w:val="none" w:sz="0" w:space="0" w:color="auto"/>
      </w:divBdr>
    </w:div>
    <w:div w:id="1214123886">
      <w:bodyDiv w:val="1"/>
      <w:marLeft w:val="0"/>
      <w:marRight w:val="0"/>
      <w:marTop w:val="0"/>
      <w:marBottom w:val="0"/>
      <w:divBdr>
        <w:top w:val="none" w:sz="0" w:space="0" w:color="auto"/>
        <w:left w:val="none" w:sz="0" w:space="0" w:color="auto"/>
        <w:bottom w:val="none" w:sz="0" w:space="0" w:color="auto"/>
        <w:right w:val="none" w:sz="0" w:space="0" w:color="auto"/>
      </w:divBdr>
    </w:div>
    <w:div w:id="1214736833">
      <w:bodyDiv w:val="1"/>
      <w:marLeft w:val="0"/>
      <w:marRight w:val="0"/>
      <w:marTop w:val="0"/>
      <w:marBottom w:val="0"/>
      <w:divBdr>
        <w:top w:val="none" w:sz="0" w:space="0" w:color="auto"/>
        <w:left w:val="none" w:sz="0" w:space="0" w:color="auto"/>
        <w:bottom w:val="none" w:sz="0" w:space="0" w:color="auto"/>
        <w:right w:val="none" w:sz="0" w:space="0" w:color="auto"/>
      </w:divBdr>
    </w:div>
    <w:div w:id="1215853536">
      <w:bodyDiv w:val="1"/>
      <w:marLeft w:val="0"/>
      <w:marRight w:val="0"/>
      <w:marTop w:val="0"/>
      <w:marBottom w:val="0"/>
      <w:divBdr>
        <w:top w:val="none" w:sz="0" w:space="0" w:color="auto"/>
        <w:left w:val="none" w:sz="0" w:space="0" w:color="auto"/>
        <w:bottom w:val="none" w:sz="0" w:space="0" w:color="auto"/>
        <w:right w:val="none" w:sz="0" w:space="0" w:color="auto"/>
      </w:divBdr>
    </w:div>
    <w:div w:id="1215889945">
      <w:bodyDiv w:val="1"/>
      <w:marLeft w:val="0"/>
      <w:marRight w:val="0"/>
      <w:marTop w:val="0"/>
      <w:marBottom w:val="0"/>
      <w:divBdr>
        <w:top w:val="none" w:sz="0" w:space="0" w:color="auto"/>
        <w:left w:val="none" w:sz="0" w:space="0" w:color="auto"/>
        <w:bottom w:val="none" w:sz="0" w:space="0" w:color="auto"/>
        <w:right w:val="none" w:sz="0" w:space="0" w:color="auto"/>
      </w:divBdr>
    </w:div>
    <w:div w:id="1216041090">
      <w:bodyDiv w:val="1"/>
      <w:marLeft w:val="0"/>
      <w:marRight w:val="0"/>
      <w:marTop w:val="0"/>
      <w:marBottom w:val="0"/>
      <w:divBdr>
        <w:top w:val="none" w:sz="0" w:space="0" w:color="auto"/>
        <w:left w:val="none" w:sz="0" w:space="0" w:color="auto"/>
        <w:bottom w:val="none" w:sz="0" w:space="0" w:color="auto"/>
        <w:right w:val="none" w:sz="0" w:space="0" w:color="auto"/>
      </w:divBdr>
    </w:div>
    <w:div w:id="1216507431">
      <w:bodyDiv w:val="1"/>
      <w:marLeft w:val="0"/>
      <w:marRight w:val="0"/>
      <w:marTop w:val="0"/>
      <w:marBottom w:val="0"/>
      <w:divBdr>
        <w:top w:val="none" w:sz="0" w:space="0" w:color="auto"/>
        <w:left w:val="none" w:sz="0" w:space="0" w:color="auto"/>
        <w:bottom w:val="none" w:sz="0" w:space="0" w:color="auto"/>
        <w:right w:val="none" w:sz="0" w:space="0" w:color="auto"/>
      </w:divBdr>
    </w:div>
    <w:div w:id="1217742859">
      <w:bodyDiv w:val="1"/>
      <w:marLeft w:val="0"/>
      <w:marRight w:val="0"/>
      <w:marTop w:val="0"/>
      <w:marBottom w:val="0"/>
      <w:divBdr>
        <w:top w:val="none" w:sz="0" w:space="0" w:color="auto"/>
        <w:left w:val="none" w:sz="0" w:space="0" w:color="auto"/>
        <w:bottom w:val="none" w:sz="0" w:space="0" w:color="auto"/>
        <w:right w:val="none" w:sz="0" w:space="0" w:color="auto"/>
      </w:divBdr>
    </w:div>
    <w:div w:id="1218661208">
      <w:bodyDiv w:val="1"/>
      <w:marLeft w:val="0"/>
      <w:marRight w:val="0"/>
      <w:marTop w:val="0"/>
      <w:marBottom w:val="0"/>
      <w:divBdr>
        <w:top w:val="none" w:sz="0" w:space="0" w:color="auto"/>
        <w:left w:val="none" w:sz="0" w:space="0" w:color="auto"/>
        <w:bottom w:val="none" w:sz="0" w:space="0" w:color="auto"/>
        <w:right w:val="none" w:sz="0" w:space="0" w:color="auto"/>
      </w:divBdr>
    </w:div>
    <w:div w:id="1218738119">
      <w:bodyDiv w:val="1"/>
      <w:marLeft w:val="0"/>
      <w:marRight w:val="0"/>
      <w:marTop w:val="0"/>
      <w:marBottom w:val="0"/>
      <w:divBdr>
        <w:top w:val="none" w:sz="0" w:space="0" w:color="auto"/>
        <w:left w:val="none" w:sz="0" w:space="0" w:color="auto"/>
        <w:bottom w:val="none" w:sz="0" w:space="0" w:color="auto"/>
        <w:right w:val="none" w:sz="0" w:space="0" w:color="auto"/>
      </w:divBdr>
    </w:div>
    <w:div w:id="1218976921">
      <w:bodyDiv w:val="1"/>
      <w:marLeft w:val="0"/>
      <w:marRight w:val="0"/>
      <w:marTop w:val="0"/>
      <w:marBottom w:val="0"/>
      <w:divBdr>
        <w:top w:val="none" w:sz="0" w:space="0" w:color="auto"/>
        <w:left w:val="none" w:sz="0" w:space="0" w:color="auto"/>
        <w:bottom w:val="none" w:sz="0" w:space="0" w:color="auto"/>
        <w:right w:val="none" w:sz="0" w:space="0" w:color="auto"/>
      </w:divBdr>
    </w:div>
    <w:div w:id="1219121970">
      <w:bodyDiv w:val="1"/>
      <w:marLeft w:val="0"/>
      <w:marRight w:val="0"/>
      <w:marTop w:val="0"/>
      <w:marBottom w:val="0"/>
      <w:divBdr>
        <w:top w:val="none" w:sz="0" w:space="0" w:color="auto"/>
        <w:left w:val="none" w:sz="0" w:space="0" w:color="auto"/>
        <w:bottom w:val="none" w:sz="0" w:space="0" w:color="auto"/>
        <w:right w:val="none" w:sz="0" w:space="0" w:color="auto"/>
      </w:divBdr>
    </w:div>
    <w:div w:id="1219779933">
      <w:bodyDiv w:val="1"/>
      <w:marLeft w:val="0"/>
      <w:marRight w:val="0"/>
      <w:marTop w:val="0"/>
      <w:marBottom w:val="0"/>
      <w:divBdr>
        <w:top w:val="none" w:sz="0" w:space="0" w:color="auto"/>
        <w:left w:val="none" w:sz="0" w:space="0" w:color="auto"/>
        <w:bottom w:val="none" w:sz="0" w:space="0" w:color="auto"/>
        <w:right w:val="none" w:sz="0" w:space="0" w:color="auto"/>
      </w:divBdr>
    </w:div>
    <w:div w:id="1220239792">
      <w:bodyDiv w:val="1"/>
      <w:marLeft w:val="0"/>
      <w:marRight w:val="0"/>
      <w:marTop w:val="0"/>
      <w:marBottom w:val="0"/>
      <w:divBdr>
        <w:top w:val="none" w:sz="0" w:space="0" w:color="auto"/>
        <w:left w:val="none" w:sz="0" w:space="0" w:color="auto"/>
        <w:bottom w:val="none" w:sz="0" w:space="0" w:color="auto"/>
        <w:right w:val="none" w:sz="0" w:space="0" w:color="auto"/>
      </w:divBdr>
    </w:div>
    <w:div w:id="1220676113">
      <w:bodyDiv w:val="1"/>
      <w:marLeft w:val="0"/>
      <w:marRight w:val="0"/>
      <w:marTop w:val="0"/>
      <w:marBottom w:val="0"/>
      <w:divBdr>
        <w:top w:val="none" w:sz="0" w:space="0" w:color="auto"/>
        <w:left w:val="none" w:sz="0" w:space="0" w:color="auto"/>
        <w:bottom w:val="none" w:sz="0" w:space="0" w:color="auto"/>
        <w:right w:val="none" w:sz="0" w:space="0" w:color="auto"/>
      </w:divBdr>
    </w:div>
    <w:div w:id="1221014319">
      <w:bodyDiv w:val="1"/>
      <w:marLeft w:val="0"/>
      <w:marRight w:val="0"/>
      <w:marTop w:val="0"/>
      <w:marBottom w:val="0"/>
      <w:divBdr>
        <w:top w:val="none" w:sz="0" w:space="0" w:color="auto"/>
        <w:left w:val="none" w:sz="0" w:space="0" w:color="auto"/>
        <w:bottom w:val="none" w:sz="0" w:space="0" w:color="auto"/>
        <w:right w:val="none" w:sz="0" w:space="0" w:color="auto"/>
      </w:divBdr>
    </w:div>
    <w:div w:id="1221209993">
      <w:bodyDiv w:val="1"/>
      <w:marLeft w:val="0"/>
      <w:marRight w:val="0"/>
      <w:marTop w:val="0"/>
      <w:marBottom w:val="0"/>
      <w:divBdr>
        <w:top w:val="none" w:sz="0" w:space="0" w:color="auto"/>
        <w:left w:val="none" w:sz="0" w:space="0" w:color="auto"/>
        <w:bottom w:val="none" w:sz="0" w:space="0" w:color="auto"/>
        <w:right w:val="none" w:sz="0" w:space="0" w:color="auto"/>
      </w:divBdr>
    </w:div>
    <w:div w:id="1223324513">
      <w:bodyDiv w:val="1"/>
      <w:marLeft w:val="0"/>
      <w:marRight w:val="0"/>
      <w:marTop w:val="0"/>
      <w:marBottom w:val="0"/>
      <w:divBdr>
        <w:top w:val="none" w:sz="0" w:space="0" w:color="auto"/>
        <w:left w:val="none" w:sz="0" w:space="0" w:color="auto"/>
        <w:bottom w:val="none" w:sz="0" w:space="0" w:color="auto"/>
        <w:right w:val="none" w:sz="0" w:space="0" w:color="auto"/>
      </w:divBdr>
    </w:div>
    <w:div w:id="1223642457">
      <w:bodyDiv w:val="1"/>
      <w:marLeft w:val="0"/>
      <w:marRight w:val="0"/>
      <w:marTop w:val="0"/>
      <w:marBottom w:val="0"/>
      <w:divBdr>
        <w:top w:val="none" w:sz="0" w:space="0" w:color="auto"/>
        <w:left w:val="none" w:sz="0" w:space="0" w:color="auto"/>
        <w:bottom w:val="none" w:sz="0" w:space="0" w:color="auto"/>
        <w:right w:val="none" w:sz="0" w:space="0" w:color="auto"/>
      </w:divBdr>
    </w:div>
    <w:div w:id="1223834590">
      <w:bodyDiv w:val="1"/>
      <w:marLeft w:val="0"/>
      <w:marRight w:val="0"/>
      <w:marTop w:val="0"/>
      <w:marBottom w:val="0"/>
      <w:divBdr>
        <w:top w:val="none" w:sz="0" w:space="0" w:color="auto"/>
        <w:left w:val="none" w:sz="0" w:space="0" w:color="auto"/>
        <w:bottom w:val="none" w:sz="0" w:space="0" w:color="auto"/>
        <w:right w:val="none" w:sz="0" w:space="0" w:color="auto"/>
      </w:divBdr>
    </w:div>
    <w:div w:id="1223908403">
      <w:bodyDiv w:val="1"/>
      <w:marLeft w:val="0"/>
      <w:marRight w:val="0"/>
      <w:marTop w:val="0"/>
      <w:marBottom w:val="0"/>
      <w:divBdr>
        <w:top w:val="none" w:sz="0" w:space="0" w:color="auto"/>
        <w:left w:val="none" w:sz="0" w:space="0" w:color="auto"/>
        <w:bottom w:val="none" w:sz="0" w:space="0" w:color="auto"/>
        <w:right w:val="none" w:sz="0" w:space="0" w:color="auto"/>
      </w:divBdr>
    </w:div>
    <w:div w:id="1225605561">
      <w:bodyDiv w:val="1"/>
      <w:marLeft w:val="0"/>
      <w:marRight w:val="0"/>
      <w:marTop w:val="0"/>
      <w:marBottom w:val="0"/>
      <w:divBdr>
        <w:top w:val="none" w:sz="0" w:space="0" w:color="auto"/>
        <w:left w:val="none" w:sz="0" w:space="0" w:color="auto"/>
        <w:bottom w:val="none" w:sz="0" w:space="0" w:color="auto"/>
        <w:right w:val="none" w:sz="0" w:space="0" w:color="auto"/>
      </w:divBdr>
    </w:div>
    <w:div w:id="1226455557">
      <w:bodyDiv w:val="1"/>
      <w:marLeft w:val="0"/>
      <w:marRight w:val="0"/>
      <w:marTop w:val="0"/>
      <w:marBottom w:val="0"/>
      <w:divBdr>
        <w:top w:val="none" w:sz="0" w:space="0" w:color="auto"/>
        <w:left w:val="none" w:sz="0" w:space="0" w:color="auto"/>
        <w:bottom w:val="none" w:sz="0" w:space="0" w:color="auto"/>
        <w:right w:val="none" w:sz="0" w:space="0" w:color="auto"/>
      </w:divBdr>
    </w:div>
    <w:div w:id="1227062146">
      <w:bodyDiv w:val="1"/>
      <w:marLeft w:val="0"/>
      <w:marRight w:val="0"/>
      <w:marTop w:val="0"/>
      <w:marBottom w:val="0"/>
      <w:divBdr>
        <w:top w:val="none" w:sz="0" w:space="0" w:color="auto"/>
        <w:left w:val="none" w:sz="0" w:space="0" w:color="auto"/>
        <w:bottom w:val="none" w:sz="0" w:space="0" w:color="auto"/>
        <w:right w:val="none" w:sz="0" w:space="0" w:color="auto"/>
      </w:divBdr>
    </w:div>
    <w:div w:id="1227691157">
      <w:bodyDiv w:val="1"/>
      <w:marLeft w:val="0"/>
      <w:marRight w:val="0"/>
      <w:marTop w:val="0"/>
      <w:marBottom w:val="0"/>
      <w:divBdr>
        <w:top w:val="none" w:sz="0" w:space="0" w:color="auto"/>
        <w:left w:val="none" w:sz="0" w:space="0" w:color="auto"/>
        <w:bottom w:val="none" w:sz="0" w:space="0" w:color="auto"/>
        <w:right w:val="none" w:sz="0" w:space="0" w:color="auto"/>
      </w:divBdr>
    </w:div>
    <w:div w:id="1228344518">
      <w:bodyDiv w:val="1"/>
      <w:marLeft w:val="0"/>
      <w:marRight w:val="0"/>
      <w:marTop w:val="0"/>
      <w:marBottom w:val="0"/>
      <w:divBdr>
        <w:top w:val="none" w:sz="0" w:space="0" w:color="auto"/>
        <w:left w:val="none" w:sz="0" w:space="0" w:color="auto"/>
        <w:bottom w:val="none" w:sz="0" w:space="0" w:color="auto"/>
        <w:right w:val="none" w:sz="0" w:space="0" w:color="auto"/>
      </w:divBdr>
    </w:div>
    <w:div w:id="1230311738">
      <w:bodyDiv w:val="1"/>
      <w:marLeft w:val="0"/>
      <w:marRight w:val="0"/>
      <w:marTop w:val="0"/>
      <w:marBottom w:val="0"/>
      <w:divBdr>
        <w:top w:val="none" w:sz="0" w:space="0" w:color="auto"/>
        <w:left w:val="none" w:sz="0" w:space="0" w:color="auto"/>
        <w:bottom w:val="none" w:sz="0" w:space="0" w:color="auto"/>
        <w:right w:val="none" w:sz="0" w:space="0" w:color="auto"/>
      </w:divBdr>
    </w:div>
    <w:div w:id="1230655487">
      <w:bodyDiv w:val="1"/>
      <w:marLeft w:val="0"/>
      <w:marRight w:val="0"/>
      <w:marTop w:val="0"/>
      <w:marBottom w:val="0"/>
      <w:divBdr>
        <w:top w:val="none" w:sz="0" w:space="0" w:color="auto"/>
        <w:left w:val="none" w:sz="0" w:space="0" w:color="auto"/>
        <w:bottom w:val="none" w:sz="0" w:space="0" w:color="auto"/>
        <w:right w:val="none" w:sz="0" w:space="0" w:color="auto"/>
      </w:divBdr>
    </w:div>
    <w:div w:id="1231235864">
      <w:bodyDiv w:val="1"/>
      <w:marLeft w:val="0"/>
      <w:marRight w:val="0"/>
      <w:marTop w:val="0"/>
      <w:marBottom w:val="0"/>
      <w:divBdr>
        <w:top w:val="none" w:sz="0" w:space="0" w:color="auto"/>
        <w:left w:val="none" w:sz="0" w:space="0" w:color="auto"/>
        <w:bottom w:val="none" w:sz="0" w:space="0" w:color="auto"/>
        <w:right w:val="none" w:sz="0" w:space="0" w:color="auto"/>
      </w:divBdr>
    </w:div>
    <w:div w:id="1232471672">
      <w:bodyDiv w:val="1"/>
      <w:marLeft w:val="0"/>
      <w:marRight w:val="0"/>
      <w:marTop w:val="0"/>
      <w:marBottom w:val="0"/>
      <w:divBdr>
        <w:top w:val="none" w:sz="0" w:space="0" w:color="auto"/>
        <w:left w:val="none" w:sz="0" w:space="0" w:color="auto"/>
        <w:bottom w:val="none" w:sz="0" w:space="0" w:color="auto"/>
        <w:right w:val="none" w:sz="0" w:space="0" w:color="auto"/>
      </w:divBdr>
    </w:div>
    <w:div w:id="1232548204">
      <w:bodyDiv w:val="1"/>
      <w:marLeft w:val="0"/>
      <w:marRight w:val="0"/>
      <w:marTop w:val="0"/>
      <w:marBottom w:val="0"/>
      <w:divBdr>
        <w:top w:val="none" w:sz="0" w:space="0" w:color="auto"/>
        <w:left w:val="none" w:sz="0" w:space="0" w:color="auto"/>
        <w:bottom w:val="none" w:sz="0" w:space="0" w:color="auto"/>
        <w:right w:val="none" w:sz="0" w:space="0" w:color="auto"/>
      </w:divBdr>
    </w:div>
    <w:div w:id="1232810652">
      <w:bodyDiv w:val="1"/>
      <w:marLeft w:val="0"/>
      <w:marRight w:val="0"/>
      <w:marTop w:val="0"/>
      <w:marBottom w:val="0"/>
      <w:divBdr>
        <w:top w:val="none" w:sz="0" w:space="0" w:color="auto"/>
        <w:left w:val="none" w:sz="0" w:space="0" w:color="auto"/>
        <w:bottom w:val="none" w:sz="0" w:space="0" w:color="auto"/>
        <w:right w:val="none" w:sz="0" w:space="0" w:color="auto"/>
      </w:divBdr>
    </w:div>
    <w:div w:id="1233351689">
      <w:bodyDiv w:val="1"/>
      <w:marLeft w:val="0"/>
      <w:marRight w:val="0"/>
      <w:marTop w:val="0"/>
      <w:marBottom w:val="0"/>
      <w:divBdr>
        <w:top w:val="none" w:sz="0" w:space="0" w:color="auto"/>
        <w:left w:val="none" w:sz="0" w:space="0" w:color="auto"/>
        <w:bottom w:val="none" w:sz="0" w:space="0" w:color="auto"/>
        <w:right w:val="none" w:sz="0" w:space="0" w:color="auto"/>
      </w:divBdr>
    </w:div>
    <w:div w:id="1233852661">
      <w:bodyDiv w:val="1"/>
      <w:marLeft w:val="0"/>
      <w:marRight w:val="0"/>
      <w:marTop w:val="0"/>
      <w:marBottom w:val="0"/>
      <w:divBdr>
        <w:top w:val="none" w:sz="0" w:space="0" w:color="auto"/>
        <w:left w:val="none" w:sz="0" w:space="0" w:color="auto"/>
        <w:bottom w:val="none" w:sz="0" w:space="0" w:color="auto"/>
        <w:right w:val="none" w:sz="0" w:space="0" w:color="auto"/>
      </w:divBdr>
    </w:div>
    <w:div w:id="1233927384">
      <w:bodyDiv w:val="1"/>
      <w:marLeft w:val="0"/>
      <w:marRight w:val="0"/>
      <w:marTop w:val="0"/>
      <w:marBottom w:val="0"/>
      <w:divBdr>
        <w:top w:val="none" w:sz="0" w:space="0" w:color="auto"/>
        <w:left w:val="none" w:sz="0" w:space="0" w:color="auto"/>
        <w:bottom w:val="none" w:sz="0" w:space="0" w:color="auto"/>
        <w:right w:val="none" w:sz="0" w:space="0" w:color="auto"/>
      </w:divBdr>
    </w:div>
    <w:div w:id="1235119909">
      <w:bodyDiv w:val="1"/>
      <w:marLeft w:val="0"/>
      <w:marRight w:val="0"/>
      <w:marTop w:val="0"/>
      <w:marBottom w:val="0"/>
      <w:divBdr>
        <w:top w:val="none" w:sz="0" w:space="0" w:color="auto"/>
        <w:left w:val="none" w:sz="0" w:space="0" w:color="auto"/>
        <w:bottom w:val="none" w:sz="0" w:space="0" w:color="auto"/>
        <w:right w:val="none" w:sz="0" w:space="0" w:color="auto"/>
      </w:divBdr>
    </w:div>
    <w:div w:id="1235428790">
      <w:bodyDiv w:val="1"/>
      <w:marLeft w:val="0"/>
      <w:marRight w:val="0"/>
      <w:marTop w:val="0"/>
      <w:marBottom w:val="0"/>
      <w:divBdr>
        <w:top w:val="none" w:sz="0" w:space="0" w:color="auto"/>
        <w:left w:val="none" w:sz="0" w:space="0" w:color="auto"/>
        <w:bottom w:val="none" w:sz="0" w:space="0" w:color="auto"/>
        <w:right w:val="none" w:sz="0" w:space="0" w:color="auto"/>
      </w:divBdr>
    </w:div>
    <w:div w:id="1235553717">
      <w:bodyDiv w:val="1"/>
      <w:marLeft w:val="0"/>
      <w:marRight w:val="0"/>
      <w:marTop w:val="0"/>
      <w:marBottom w:val="0"/>
      <w:divBdr>
        <w:top w:val="none" w:sz="0" w:space="0" w:color="auto"/>
        <w:left w:val="none" w:sz="0" w:space="0" w:color="auto"/>
        <w:bottom w:val="none" w:sz="0" w:space="0" w:color="auto"/>
        <w:right w:val="none" w:sz="0" w:space="0" w:color="auto"/>
      </w:divBdr>
    </w:div>
    <w:div w:id="1235822544">
      <w:bodyDiv w:val="1"/>
      <w:marLeft w:val="0"/>
      <w:marRight w:val="0"/>
      <w:marTop w:val="0"/>
      <w:marBottom w:val="0"/>
      <w:divBdr>
        <w:top w:val="none" w:sz="0" w:space="0" w:color="auto"/>
        <w:left w:val="none" w:sz="0" w:space="0" w:color="auto"/>
        <w:bottom w:val="none" w:sz="0" w:space="0" w:color="auto"/>
        <w:right w:val="none" w:sz="0" w:space="0" w:color="auto"/>
      </w:divBdr>
    </w:div>
    <w:div w:id="1235897527">
      <w:bodyDiv w:val="1"/>
      <w:marLeft w:val="0"/>
      <w:marRight w:val="0"/>
      <w:marTop w:val="0"/>
      <w:marBottom w:val="0"/>
      <w:divBdr>
        <w:top w:val="none" w:sz="0" w:space="0" w:color="auto"/>
        <w:left w:val="none" w:sz="0" w:space="0" w:color="auto"/>
        <w:bottom w:val="none" w:sz="0" w:space="0" w:color="auto"/>
        <w:right w:val="none" w:sz="0" w:space="0" w:color="auto"/>
      </w:divBdr>
    </w:div>
    <w:div w:id="1236471909">
      <w:bodyDiv w:val="1"/>
      <w:marLeft w:val="0"/>
      <w:marRight w:val="0"/>
      <w:marTop w:val="0"/>
      <w:marBottom w:val="0"/>
      <w:divBdr>
        <w:top w:val="none" w:sz="0" w:space="0" w:color="auto"/>
        <w:left w:val="none" w:sz="0" w:space="0" w:color="auto"/>
        <w:bottom w:val="none" w:sz="0" w:space="0" w:color="auto"/>
        <w:right w:val="none" w:sz="0" w:space="0" w:color="auto"/>
      </w:divBdr>
    </w:div>
    <w:div w:id="1236818057">
      <w:bodyDiv w:val="1"/>
      <w:marLeft w:val="0"/>
      <w:marRight w:val="0"/>
      <w:marTop w:val="0"/>
      <w:marBottom w:val="0"/>
      <w:divBdr>
        <w:top w:val="none" w:sz="0" w:space="0" w:color="auto"/>
        <w:left w:val="none" w:sz="0" w:space="0" w:color="auto"/>
        <w:bottom w:val="none" w:sz="0" w:space="0" w:color="auto"/>
        <w:right w:val="none" w:sz="0" w:space="0" w:color="auto"/>
      </w:divBdr>
    </w:div>
    <w:div w:id="1237016563">
      <w:bodyDiv w:val="1"/>
      <w:marLeft w:val="0"/>
      <w:marRight w:val="0"/>
      <w:marTop w:val="0"/>
      <w:marBottom w:val="0"/>
      <w:divBdr>
        <w:top w:val="none" w:sz="0" w:space="0" w:color="auto"/>
        <w:left w:val="none" w:sz="0" w:space="0" w:color="auto"/>
        <w:bottom w:val="none" w:sz="0" w:space="0" w:color="auto"/>
        <w:right w:val="none" w:sz="0" w:space="0" w:color="auto"/>
      </w:divBdr>
    </w:div>
    <w:div w:id="1238855299">
      <w:bodyDiv w:val="1"/>
      <w:marLeft w:val="0"/>
      <w:marRight w:val="0"/>
      <w:marTop w:val="0"/>
      <w:marBottom w:val="0"/>
      <w:divBdr>
        <w:top w:val="none" w:sz="0" w:space="0" w:color="auto"/>
        <w:left w:val="none" w:sz="0" w:space="0" w:color="auto"/>
        <w:bottom w:val="none" w:sz="0" w:space="0" w:color="auto"/>
        <w:right w:val="none" w:sz="0" w:space="0" w:color="auto"/>
      </w:divBdr>
    </w:div>
    <w:div w:id="1240140323">
      <w:bodyDiv w:val="1"/>
      <w:marLeft w:val="0"/>
      <w:marRight w:val="0"/>
      <w:marTop w:val="0"/>
      <w:marBottom w:val="0"/>
      <w:divBdr>
        <w:top w:val="none" w:sz="0" w:space="0" w:color="auto"/>
        <w:left w:val="none" w:sz="0" w:space="0" w:color="auto"/>
        <w:bottom w:val="none" w:sz="0" w:space="0" w:color="auto"/>
        <w:right w:val="none" w:sz="0" w:space="0" w:color="auto"/>
      </w:divBdr>
    </w:div>
    <w:div w:id="1240673431">
      <w:bodyDiv w:val="1"/>
      <w:marLeft w:val="0"/>
      <w:marRight w:val="0"/>
      <w:marTop w:val="0"/>
      <w:marBottom w:val="0"/>
      <w:divBdr>
        <w:top w:val="none" w:sz="0" w:space="0" w:color="auto"/>
        <w:left w:val="none" w:sz="0" w:space="0" w:color="auto"/>
        <w:bottom w:val="none" w:sz="0" w:space="0" w:color="auto"/>
        <w:right w:val="none" w:sz="0" w:space="0" w:color="auto"/>
      </w:divBdr>
    </w:div>
    <w:div w:id="1241059988">
      <w:bodyDiv w:val="1"/>
      <w:marLeft w:val="0"/>
      <w:marRight w:val="0"/>
      <w:marTop w:val="0"/>
      <w:marBottom w:val="0"/>
      <w:divBdr>
        <w:top w:val="none" w:sz="0" w:space="0" w:color="auto"/>
        <w:left w:val="none" w:sz="0" w:space="0" w:color="auto"/>
        <w:bottom w:val="none" w:sz="0" w:space="0" w:color="auto"/>
        <w:right w:val="none" w:sz="0" w:space="0" w:color="auto"/>
      </w:divBdr>
    </w:div>
    <w:div w:id="1241257482">
      <w:bodyDiv w:val="1"/>
      <w:marLeft w:val="0"/>
      <w:marRight w:val="0"/>
      <w:marTop w:val="0"/>
      <w:marBottom w:val="0"/>
      <w:divBdr>
        <w:top w:val="none" w:sz="0" w:space="0" w:color="auto"/>
        <w:left w:val="none" w:sz="0" w:space="0" w:color="auto"/>
        <w:bottom w:val="none" w:sz="0" w:space="0" w:color="auto"/>
        <w:right w:val="none" w:sz="0" w:space="0" w:color="auto"/>
      </w:divBdr>
    </w:div>
    <w:div w:id="1241716735">
      <w:bodyDiv w:val="1"/>
      <w:marLeft w:val="0"/>
      <w:marRight w:val="0"/>
      <w:marTop w:val="0"/>
      <w:marBottom w:val="0"/>
      <w:divBdr>
        <w:top w:val="none" w:sz="0" w:space="0" w:color="auto"/>
        <w:left w:val="none" w:sz="0" w:space="0" w:color="auto"/>
        <w:bottom w:val="none" w:sz="0" w:space="0" w:color="auto"/>
        <w:right w:val="none" w:sz="0" w:space="0" w:color="auto"/>
      </w:divBdr>
    </w:div>
    <w:div w:id="1244218901">
      <w:bodyDiv w:val="1"/>
      <w:marLeft w:val="0"/>
      <w:marRight w:val="0"/>
      <w:marTop w:val="0"/>
      <w:marBottom w:val="0"/>
      <w:divBdr>
        <w:top w:val="none" w:sz="0" w:space="0" w:color="auto"/>
        <w:left w:val="none" w:sz="0" w:space="0" w:color="auto"/>
        <w:bottom w:val="none" w:sz="0" w:space="0" w:color="auto"/>
        <w:right w:val="none" w:sz="0" w:space="0" w:color="auto"/>
      </w:divBdr>
    </w:div>
    <w:div w:id="1244875956">
      <w:bodyDiv w:val="1"/>
      <w:marLeft w:val="0"/>
      <w:marRight w:val="0"/>
      <w:marTop w:val="0"/>
      <w:marBottom w:val="0"/>
      <w:divBdr>
        <w:top w:val="none" w:sz="0" w:space="0" w:color="auto"/>
        <w:left w:val="none" w:sz="0" w:space="0" w:color="auto"/>
        <w:bottom w:val="none" w:sz="0" w:space="0" w:color="auto"/>
        <w:right w:val="none" w:sz="0" w:space="0" w:color="auto"/>
      </w:divBdr>
    </w:div>
    <w:div w:id="1245606380">
      <w:bodyDiv w:val="1"/>
      <w:marLeft w:val="0"/>
      <w:marRight w:val="0"/>
      <w:marTop w:val="0"/>
      <w:marBottom w:val="0"/>
      <w:divBdr>
        <w:top w:val="none" w:sz="0" w:space="0" w:color="auto"/>
        <w:left w:val="none" w:sz="0" w:space="0" w:color="auto"/>
        <w:bottom w:val="none" w:sz="0" w:space="0" w:color="auto"/>
        <w:right w:val="none" w:sz="0" w:space="0" w:color="auto"/>
      </w:divBdr>
    </w:div>
    <w:div w:id="1245726562">
      <w:bodyDiv w:val="1"/>
      <w:marLeft w:val="0"/>
      <w:marRight w:val="0"/>
      <w:marTop w:val="0"/>
      <w:marBottom w:val="0"/>
      <w:divBdr>
        <w:top w:val="none" w:sz="0" w:space="0" w:color="auto"/>
        <w:left w:val="none" w:sz="0" w:space="0" w:color="auto"/>
        <w:bottom w:val="none" w:sz="0" w:space="0" w:color="auto"/>
        <w:right w:val="none" w:sz="0" w:space="0" w:color="auto"/>
      </w:divBdr>
    </w:div>
    <w:div w:id="1246527386">
      <w:bodyDiv w:val="1"/>
      <w:marLeft w:val="0"/>
      <w:marRight w:val="0"/>
      <w:marTop w:val="0"/>
      <w:marBottom w:val="0"/>
      <w:divBdr>
        <w:top w:val="none" w:sz="0" w:space="0" w:color="auto"/>
        <w:left w:val="none" w:sz="0" w:space="0" w:color="auto"/>
        <w:bottom w:val="none" w:sz="0" w:space="0" w:color="auto"/>
        <w:right w:val="none" w:sz="0" w:space="0" w:color="auto"/>
      </w:divBdr>
    </w:div>
    <w:div w:id="1246571041">
      <w:bodyDiv w:val="1"/>
      <w:marLeft w:val="0"/>
      <w:marRight w:val="0"/>
      <w:marTop w:val="0"/>
      <w:marBottom w:val="0"/>
      <w:divBdr>
        <w:top w:val="none" w:sz="0" w:space="0" w:color="auto"/>
        <w:left w:val="none" w:sz="0" w:space="0" w:color="auto"/>
        <w:bottom w:val="none" w:sz="0" w:space="0" w:color="auto"/>
        <w:right w:val="none" w:sz="0" w:space="0" w:color="auto"/>
      </w:divBdr>
    </w:div>
    <w:div w:id="1248810744">
      <w:bodyDiv w:val="1"/>
      <w:marLeft w:val="0"/>
      <w:marRight w:val="0"/>
      <w:marTop w:val="0"/>
      <w:marBottom w:val="0"/>
      <w:divBdr>
        <w:top w:val="none" w:sz="0" w:space="0" w:color="auto"/>
        <w:left w:val="none" w:sz="0" w:space="0" w:color="auto"/>
        <w:bottom w:val="none" w:sz="0" w:space="0" w:color="auto"/>
        <w:right w:val="none" w:sz="0" w:space="0" w:color="auto"/>
      </w:divBdr>
    </w:div>
    <w:div w:id="1249078594">
      <w:bodyDiv w:val="1"/>
      <w:marLeft w:val="0"/>
      <w:marRight w:val="0"/>
      <w:marTop w:val="0"/>
      <w:marBottom w:val="0"/>
      <w:divBdr>
        <w:top w:val="none" w:sz="0" w:space="0" w:color="auto"/>
        <w:left w:val="none" w:sz="0" w:space="0" w:color="auto"/>
        <w:bottom w:val="none" w:sz="0" w:space="0" w:color="auto"/>
        <w:right w:val="none" w:sz="0" w:space="0" w:color="auto"/>
      </w:divBdr>
    </w:div>
    <w:div w:id="1249191429">
      <w:bodyDiv w:val="1"/>
      <w:marLeft w:val="0"/>
      <w:marRight w:val="0"/>
      <w:marTop w:val="0"/>
      <w:marBottom w:val="0"/>
      <w:divBdr>
        <w:top w:val="none" w:sz="0" w:space="0" w:color="auto"/>
        <w:left w:val="none" w:sz="0" w:space="0" w:color="auto"/>
        <w:bottom w:val="none" w:sz="0" w:space="0" w:color="auto"/>
        <w:right w:val="none" w:sz="0" w:space="0" w:color="auto"/>
      </w:divBdr>
    </w:div>
    <w:div w:id="1249461409">
      <w:bodyDiv w:val="1"/>
      <w:marLeft w:val="0"/>
      <w:marRight w:val="0"/>
      <w:marTop w:val="0"/>
      <w:marBottom w:val="0"/>
      <w:divBdr>
        <w:top w:val="none" w:sz="0" w:space="0" w:color="auto"/>
        <w:left w:val="none" w:sz="0" w:space="0" w:color="auto"/>
        <w:bottom w:val="none" w:sz="0" w:space="0" w:color="auto"/>
        <w:right w:val="none" w:sz="0" w:space="0" w:color="auto"/>
      </w:divBdr>
    </w:div>
    <w:div w:id="1249997548">
      <w:bodyDiv w:val="1"/>
      <w:marLeft w:val="0"/>
      <w:marRight w:val="0"/>
      <w:marTop w:val="0"/>
      <w:marBottom w:val="0"/>
      <w:divBdr>
        <w:top w:val="none" w:sz="0" w:space="0" w:color="auto"/>
        <w:left w:val="none" w:sz="0" w:space="0" w:color="auto"/>
        <w:bottom w:val="none" w:sz="0" w:space="0" w:color="auto"/>
        <w:right w:val="none" w:sz="0" w:space="0" w:color="auto"/>
      </w:divBdr>
    </w:div>
    <w:div w:id="1253273455">
      <w:bodyDiv w:val="1"/>
      <w:marLeft w:val="0"/>
      <w:marRight w:val="0"/>
      <w:marTop w:val="0"/>
      <w:marBottom w:val="0"/>
      <w:divBdr>
        <w:top w:val="none" w:sz="0" w:space="0" w:color="auto"/>
        <w:left w:val="none" w:sz="0" w:space="0" w:color="auto"/>
        <w:bottom w:val="none" w:sz="0" w:space="0" w:color="auto"/>
        <w:right w:val="none" w:sz="0" w:space="0" w:color="auto"/>
      </w:divBdr>
    </w:div>
    <w:div w:id="1253590978">
      <w:bodyDiv w:val="1"/>
      <w:marLeft w:val="0"/>
      <w:marRight w:val="0"/>
      <w:marTop w:val="0"/>
      <w:marBottom w:val="0"/>
      <w:divBdr>
        <w:top w:val="none" w:sz="0" w:space="0" w:color="auto"/>
        <w:left w:val="none" w:sz="0" w:space="0" w:color="auto"/>
        <w:bottom w:val="none" w:sz="0" w:space="0" w:color="auto"/>
        <w:right w:val="none" w:sz="0" w:space="0" w:color="auto"/>
      </w:divBdr>
    </w:div>
    <w:div w:id="1253659781">
      <w:bodyDiv w:val="1"/>
      <w:marLeft w:val="0"/>
      <w:marRight w:val="0"/>
      <w:marTop w:val="0"/>
      <w:marBottom w:val="0"/>
      <w:divBdr>
        <w:top w:val="none" w:sz="0" w:space="0" w:color="auto"/>
        <w:left w:val="none" w:sz="0" w:space="0" w:color="auto"/>
        <w:bottom w:val="none" w:sz="0" w:space="0" w:color="auto"/>
        <w:right w:val="none" w:sz="0" w:space="0" w:color="auto"/>
      </w:divBdr>
    </w:div>
    <w:div w:id="1254431177">
      <w:bodyDiv w:val="1"/>
      <w:marLeft w:val="0"/>
      <w:marRight w:val="0"/>
      <w:marTop w:val="0"/>
      <w:marBottom w:val="0"/>
      <w:divBdr>
        <w:top w:val="none" w:sz="0" w:space="0" w:color="auto"/>
        <w:left w:val="none" w:sz="0" w:space="0" w:color="auto"/>
        <w:bottom w:val="none" w:sz="0" w:space="0" w:color="auto"/>
        <w:right w:val="none" w:sz="0" w:space="0" w:color="auto"/>
      </w:divBdr>
    </w:div>
    <w:div w:id="1255279660">
      <w:bodyDiv w:val="1"/>
      <w:marLeft w:val="0"/>
      <w:marRight w:val="0"/>
      <w:marTop w:val="0"/>
      <w:marBottom w:val="0"/>
      <w:divBdr>
        <w:top w:val="none" w:sz="0" w:space="0" w:color="auto"/>
        <w:left w:val="none" w:sz="0" w:space="0" w:color="auto"/>
        <w:bottom w:val="none" w:sz="0" w:space="0" w:color="auto"/>
        <w:right w:val="none" w:sz="0" w:space="0" w:color="auto"/>
      </w:divBdr>
      <w:divsChild>
        <w:div w:id="927344811">
          <w:marLeft w:val="0"/>
          <w:marRight w:val="0"/>
          <w:marTop w:val="0"/>
          <w:marBottom w:val="0"/>
          <w:divBdr>
            <w:top w:val="none" w:sz="0" w:space="0" w:color="auto"/>
            <w:left w:val="none" w:sz="0" w:space="0" w:color="auto"/>
            <w:bottom w:val="none" w:sz="0" w:space="0" w:color="auto"/>
            <w:right w:val="none" w:sz="0" w:space="0" w:color="auto"/>
          </w:divBdr>
        </w:div>
      </w:divsChild>
    </w:div>
    <w:div w:id="1255475411">
      <w:bodyDiv w:val="1"/>
      <w:marLeft w:val="0"/>
      <w:marRight w:val="0"/>
      <w:marTop w:val="0"/>
      <w:marBottom w:val="0"/>
      <w:divBdr>
        <w:top w:val="none" w:sz="0" w:space="0" w:color="auto"/>
        <w:left w:val="none" w:sz="0" w:space="0" w:color="auto"/>
        <w:bottom w:val="none" w:sz="0" w:space="0" w:color="auto"/>
        <w:right w:val="none" w:sz="0" w:space="0" w:color="auto"/>
      </w:divBdr>
    </w:div>
    <w:div w:id="1256864210">
      <w:bodyDiv w:val="1"/>
      <w:marLeft w:val="0"/>
      <w:marRight w:val="0"/>
      <w:marTop w:val="0"/>
      <w:marBottom w:val="0"/>
      <w:divBdr>
        <w:top w:val="none" w:sz="0" w:space="0" w:color="auto"/>
        <w:left w:val="none" w:sz="0" w:space="0" w:color="auto"/>
        <w:bottom w:val="none" w:sz="0" w:space="0" w:color="auto"/>
        <w:right w:val="none" w:sz="0" w:space="0" w:color="auto"/>
      </w:divBdr>
    </w:div>
    <w:div w:id="1256983902">
      <w:bodyDiv w:val="1"/>
      <w:marLeft w:val="0"/>
      <w:marRight w:val="0"/>
      <w:marTop w:val="0"/>
      <w:marBottom w:val="0"/>
      <w:divBdr>
        <w:top w:val="none" w:sz="0" w:space="0" w:color="auto"/>
        <w:left w:val="none" w:sz="0" w:space="0" w:color="auto"/>
        <w:bottom w:val="none" w:sz="0" w:space="0" w:color="auto"/>
        <w:right w:val="none" w:sz="0" w:space="0" w:color="auto"/>
      </w:divBdr>
    </w:div>
    <w:div w:id="1258443426">
      <w:bodyDiv w:val="1"/>
      <w:marLeft w:val="0"/>
      <w:marRight w:val="0"/>
      <w:marTop w:val="0"/>
      <w:marBottom w:val="0"/>
      <w:divBdr>
        <w:top w:val="none" w:sz="0" w:space="0" w:color="auto"/>
        <w:left w:val="none" w:sz="0" w:space="0" w:color="auto"/>
        <w:bottom w:val="none" w:sz="0" w:space="0" w:color="auto"/>
        <w:right w:val="none" w:sz="0" w:space="0" w:color="auto"/>
      </w:divBdr>
    </w:div>
    <w:div w:id="1259410624">
      <w:bodyDiv w:val="1"/>
      <w:marLeft w:val="0"/>
      <w:marRight w:val="0"/>
      <w:marTop w:val="0"/>
      <w:marBottom w:val="0"/>
      <w:divBdr>
        <w:top w:val="none" w:sz="0" w:space="0" w:color="auto"/>
        <w:left w:val="none" w:sz="0" w:space="0" w:color="auto"/>
        <w:bottom w:val="none" w:sz="0" w:space="0" w:color="auto"/>
        <w:right w:val="none" w:sz="0" w:space="0" w:color="auto"/>
      </w:divBdr>
    </w:div>
    <w:div w:id="1259676994">
      <w:bodyDiv w:val="1"/>
      <w:marLeft w:val="0"/>
      <w:marRight w:val="0"/>
      <w:marTop w:val="0"/>
      <w:marBottom w:val="0"/>
      <w:divBdr>
        <w:top w:val="none" w:sz="0" w:space="0" w:color="auto"/>
        <w:left w:val="none" w:sz="0" w:space="0" w:color="auto"/>
        <w:bottom w:val="none" w:sz="0" w:space="0" w:color="auto"/>
        <w:right w:val="none" w:sz="0" w:space="0" w:color="auto"/>
      </w:divBdr>
    </w:div>
    <w:div w:id="1260523666">
      <w:bodyDiv w:val="1"/>
      <w:marLeft w:val="0"/>
      <w:marRight w:val="0"/>
      <w:marTop w:val="0"/>
      <w:marBottom w:val="0"/>
      <w:divBdr>
        <w:top w:val="none" w:sz="0" w:space="0" w:color="auto"/>
        <w:left w:val="none" w:sz="0" w:space="0" w:color="auto"/>
        <w:bottom w:val="none" w:sz="0" w:space="0" w:color="auto"/>
        <w:right w:val="none" w:sz="0" w:space="0" w:color="auto"/>
      </w:divBdr>
    </w:div>
    <w:div w:id="1260914447">
      <w:bodyDiv w:val="1"/>
      <w:marLeft w:val="0"/>
      <w:marRight w:val="0"/>
      <w:marTop w:val="0"/>
      <w:marBottom w:val="0"/>
      <w:divBdr>
        <w:top w:val="none" w:sz="0" w:space="0" w:color="auto"/>
        <w:left w:val="none" w:sz="0" w:space="0" w:color="auto"/>
        <w:bottom w:val="none" w:sz="0" w:space="0" w:color="auto"/>
        <w:right w:val="none" w:sz="0" w:space="0" w:color="auto"/>
      </w:divBdr>
    </w:div>
    <w:div w:id="1261521388">
      <w:bodyDiv w:val="1"/>
      <w:marLeft w:val="0"/>
      <w:marRight w:val="0"/>
      <w:marTop w:val="0"/>
      <w:marBottom w:val="0"/>
      <w:divBdr>
        <w:top w:val="none" w:sz="0" w:space="0" w:color="auto"/>
        <w:left w:val="none" w:sz="0" w:space="0" w:color="auto"/>
        <w:bottom w:val="none" w:sz="0" w:space="0" w:color="auto"/>
        <w:right w:val="none" w:sz="0" w:space="0" w:color="auto"/>
      </w:divBdr>
    </w:div>
    <w:div w:id="1261839688">
      <w:bodyDiv w:val="1"/>
      <w:marLeft w:val="0"/>
      <w:marRight w:val="0"/>
      <w:marTop w:val="0"/>
      <w:marBottom w:val="0"/>
      <w:divBdr>
        <w:top w:val="none" w:sz="0" w:space="0" w:color="auto"/>
        <w:left w:val="none" w:sz="0" w:space="0" w:color="auto"/>
        <w:bottom w:val="none" w:sz="0" w:space="0" w:color="auto"/>
        <w:right w:val="none" w:sz="0" w:space="0" w:color="auto"/>
      </w:divBdr>
    </w:div>
    <w:div w:id="1261987783">
      <w:bodyDiv w:val="1"/>
      <w:marLeft w:val="0"/>
      <w:marRight w:val="0"/>
      <w:marTop w:val="0"/>
      <w:marBottom w:val="0"/>
      <w:divBdr>
        <w:top w:val="none" w:sz="0" w:space="0" w:color="auto"/>
        <w:left w:val="none" w:sz="0" w:space="0" w:color="auto"/>
        <w:bottom w:val="none" w:sz="0" w:space="0" w:color="auto"/>
        <w:right w:val="none" w:sz="0" w:space="0" w:color="auto"/>
      </w:divBdr>
    </w:div>
    <w:div w:id="1262101173">
      <w:bodyDiv w:val="1"/>
      <w:marLeft w:val="0"/>
      <w:marRight w:val="0"/>
      <w:marTop w:val="0"/>
      <w:marBottom w:val="0"/>
      <w:divBdr>
        <w:top w:val="none" w:sz="0" w:space="0" w:color="auto"/>
        <w:left w:val="none" w:sz="0" w:space="0" w:color="auto"/>
        <w:bottom w:val="none" w:sz="0" w:space="0" w:color="auto"/>
        <w:right w:val="none" w:sz="0" w:space="0" w:color="auto"/>
      </w:divBdr>
    </w:div>
    <w:div w:id="1262301713">
      <w:bodyDiv w:val="1"/>
      <w:marLeft w:val="0"/>
      <w:marRight w:val="0"/>
      <w:marTop w:val="0"/>
      <w:marBottom w:val="0"/>
      <w:divBdr>
        <w:top w:val="none" w:sz="0" w:space="0" w:color="auto"/>
        <w:left w:val="none" w:sz="0" w:space="0" w:color="auto"/>
        <w:bottom w:val="none" w:sz="0" w:space="0" w:color="auto"/>
        <w:right w:val="none" w:sz="0" w:space="0" w:color="auto"/>
      </w:divBdr>
    </w:div>
    <w:div w:id="1262639110">
      <w:bodyDiv w:val="1"/>
      <w:marLeft w:val="0"/>
      <w:marRight w:val="0"/>
      <w:marTop w:val="0"/>
      <w:marBottom w:val="0"/>
      <w:divBdr>
        <w:top w:val="none" w:sz="0" w:space="0" w:color="auto"/>
        <w:left w:val="none" w:sz="0" w:space="0" w:color="auto"/>
        <w:bottom w:val="none" w:sz="0" w:space="0" w:color="auto"/>
        <w:right w:val="none" w:sz="0" w:space="0" w:color="auto"/>
      </w:divBdr>
    </w:div>
    <w:div w:id="1262958057">
      <w:bodyDiv w:val="1"/>
      <w:marLeft w:val="0"/>
      <w:marRight w:val="0"/>
      <w:marTop w:val="0"/>
      <w:marBottom w:val="0"/>
      <w:divBdr>
        <w:top w:val="none" w:sz="0" w:space="0" w:color="auto"/>
        <w:left w:val="none" w:sz="0" w:space="0" w:color="auto"/>
        <w:bottom w:val="none" w:sz="0" w:space="0" w:color="auto"/>
        <w:right w:val="none" w:sz="0" w:space="0" w:color="auto"/>
      </w:divBdr>
    </w:div>
    <w:div w:id="1264067601">
      <w:bodyDiv w:val="1"/>
      <w:marLeft w:val="0"/>
      <w:marRight w:val="0"/>
      <w:marTop w:val="0"/>
      <w:marBottom w:val="0"/>
      <w:divBdr>
        <w:top w:val="none" w:sz="0" w:space="0" w:color="auto"/>
        <w:left w:val="none" w:sz="0" w:space="0" w:color="auto"/>
        <w:bottom w:val="none" w:sz="0" w:space="0" w:color="auto"/>
        <w:right w:val="none" w:sz="0" w:space="0" w:color="auto"/>
      </w:divBdr>
    </w:div>
    <w:div w:id="1264148948">
      <w:bodyDiv w:val="1"/>
      <w:marLeft w:val="0"/>
      <w:marRight w:val="0"/>
      <w:marTop w:val="0"/>
      <w:marBottom w:val="0"/>
      <w:divBdr>
        <w:top w:val="none" w:sz="0" w:space="0" w:color="auto"/>
        <w:left w:val="none" w:sz="0" w:space="0" w:color="auto"/>
        <w:bottom w:val="none" w:sz="0" w:space="0" w:color="auto"/>
        <w:right w:val="none" w:sz="0" w:space="0" w:color="auto"/>
      </w:divBdr>
    </w:div>
    <w:div w:id="1266114853">
      <w:bodyDiv w:val="1"/>
      <w:marLeft w:val="0"/>
      <w:marRight w:val="0"/>
      <w:marTop w:val="0"/>
      <w:marBottom w:val="0"/>
      <w:divBdr>
        <w:top w:val="none" w:sz="0" w:space="0" w:color="auto"/>
        <w:left w:val="none" w:sz="0" w:space="0" w:color="auto"/>
        <w:bottom w:val="none" w:sz="0" w:space="0" w:color="auto"/>
        <w:right w:val="none" w:sz="0" w:space="0" w:color="auto"/>
      </w:divBdr>
    </w:div>
    <w:div w:id="1266185365">
      <w:bodyDiv w:val="1"/>
      <w:marLeft w:val="0"/>
      <w:marRight w:val="0"/>
      <w:marTop w:val="0"/>
      <w:marBottom w:val="0"/>
      <w:divBdr>
        <w:top w:val="none" w:sz="0" w:space="0" w:color="auto"/>
        <w:left w:val="none" w:sz="0" w:space="0" w:color="auto"/>
        <w:bottom w:val="none" w:sz="0" w:space="0" w:color="auto"/>
        <w:right w:val="none" w:sz="0" w:space="0" w:color="auto"/>
      </w:divBdr>
    </w:div>
    <w:div w:id="1266231303">
      <w:bodyDiv w:val="1"/>
      <w:marLeft w:val="0"/>
      <w:marRight w:val="0"/>
      <w:marTop w:val="0"/>
      <w:marBottom w:val="0"/>
      <w:divBdr>
        <w:top w:val="none" w:sz="0" w:space="0" w:color="auto"/>
        <w:left w:val="none" w:sz="0" w:space="0" w:color="auto"/>
        <w:bottom w:val="none" w:sz="0" w:space="0" w:color="auto"/>
        <w:right w:val="none" w:sz="0" w:space="0" w:color="auto"/>
      </w:divBdr>
    </w:div>
    <w:div w:id="1266841011">
      <w:bodyDiv w:val="1"/>
      <w:marLeft w:val="0"/>
      <w:marRight w:val="0"/>
      <w:marTop w:val="0"/>
      <w:marBottom w:val="0"/>
      <w:divBdr>
        <w:top w:val="none" w:sz="0" w:space="0" w:color="auto"/>
        <w:left w:val="none" w:sz="0" w:space="0" w:color="auto"/>
        <w:bottom w:val="none" w:sz="0" w:space="0" w:color="auto"/>
        <w:right w:val="none" w:sz="0" w:space="0" w:color="auto"/>
      </w:divBdr>
    </w:div>
    <w:div w:id="1267034212">
      <w:bodyDiv w:val="1"/>
      <w:marLeft w:val="0"/>
      <w:marRight w:val="0"/>
      <w:marTop w:val="0"/>
      <w:marBottom w:val="0"/>
      <w:divBdr>
        <w:top w:val="none" w:sz="0" w:space="0" w:color="auto"/>
        <w:left w:val="none" w:sz="0" w:space="0" w:color="auto"/>
        <w:bottom w:val="none" w:sz="0" w:space="0" w:color="auto"/>
        <w:right w:val="none" w:sz="0" w:space="0" w:color="auto"/>
      </w:divBdr>
    </w:div>
    <w:div w:id="1269123352">
      <w:bodyDiv w:val="1"/>
      <w:marLeft w:val="0"/>
      <w:marRight w:val="0"/>
      <w:marTop w:val="0"/>
      <w:marBottom w:val="0"/>
      <w:divBdr>
        <w:top w:val="none" w:sz="0" w:space="0" w:color="auto"/>
        <w:left w:val="none" w:sz="0" w:space="0" w:color="auto"/>
        <w:bottom w:val="none" w:sz="0" w:space="0" w:color="auto"/>
        <w:right w:val="none" w:sz="0" w:space="0" w:color="auto"/>
      </w:divBdr>
    </w:div>
    <w:div w:id="1270314215">
      <w:bodyDiv w:val="1"/>
      <w:marLeft w:val="0"/>
      <w:marRight w:val="0"/>
      <w:marTop w:val="0"/>
      <w:marBottom w:val="0"/>
      <w:divBdr>
        <w:top w:val="none" w:sz="0" w:space="0" w:color="auto"/>
        <w:left w:val="none" w:sz="0" w:space="0" w:color="auto"/>
        <w:bottom w:val="none" w:sz="0" w:space="0" w:color="auto"/>
        <w:right w:val="none" w:sz="0" w:space="0" w:color="auto"/>
      </w:divBdr>
    </w:div>
    <w:div w:id="1270509128">
      <w:bodyDiv w:val="1"/>
      <w:marLeft w:val="0"/>
      <w:marRight w:val="0"/>
      <w:marTop w:val="0"/>
      <w:marBottom w:val="0"/>
      <w:divBdr>
        <w:top w:val="none" w:sz="0" w:space="0" w:color="auto"/>
        <w:left w:val="none" w:sz="0" w:space="0" w:color="auto"/>
        <w:bottom w:val="none" w:sz="0" w:space="0" w:color="auto"/>
        <w:right w:val="none" w:sz="0" w:space="0" w:color="auto"/>
      </w:divBdr>
    </w:div>
    <w:div w:id="1270626212">
      <w:bodyDiv w:val="1"/>
      <w:marLeft w:val="0"/>
      <w:marRight w:val="0"/>
      <w:marTop w:val="0"/>
      <w:marBottom w:val="0"/>
      <w:divBdr>
        <w:top w:val="none" w:sz="0" w:space="0" w:color="auto"/>
        <w:left w:val="none" w:sz="0" w:space="0" w:color="auto"/>
        <w:bottom w:val="none" w:sz="0" w:space="0" w:color="auto"/>
        <w:right w:val="none" w:sz="0" w:space="0" w:color="auto"/>
      </w:divBdr>
    </w:div>
    <w:div w:id="1270703977">
      <w:bodyDiv w:val="1"/>
      <w:marLeft w:val="0"/>
      <w:marRight w:val="0"/>
      <w:marTop w:val="0"/>
      <w:marBottom w:val="0"/>
      <w:divBdr>
        <w:top w:val="none" w:sz="0" w:space="0" w:color="auto"/>
        <w:left w:val="none" w:sz="0" w:space="0" w:color="auto"/>
        <w:bottom w:val="none" w:sz="0" w:space="0" w:color="auto"/>
        <w:right w:val="none" w:sz="0" w:space="0" w:color="auto"/>
      </w:divBdr>
    </w:div>
    <w:div w:id="1271089428">
      <w:bodyDiv w:val="1"/>
      <w:marLeft w:val="0"/>
      <w:marRight w:val="0"/>
      <w:marTop w:val="0"/>
      <w:marBottom w:val="0"/>
      <w:divBdr>
        <w:top w:val="none" w:sz="0" w:space="0" w:color="auto"/>
        <w:left w:val="none" w:sz="0" w:space="0" w:color="auto"/>
        <w:bottom w:val="none" w:sz="0" w:space="0" w:color="auto"/>
        <w:right w:val="none" w:sz="0" w:space="0" w:color="auto"/>
      </w:divBdr>
    </w:div>
    <w:div w:id="1272473588">
      <w:bodyDiv w:val="1"/>
      <w:marLeft w:val="0"/>
      <w:marRight w:val="0"/>
      <w:marTop w:val="0"/>
      <w:marBottom w:val="0"/>
      <w:divBdr>
        <w:top w:val="none" w:sz="0" w:space="0" w:color="auto"/>
        <w:left w:val="none" w:sz="0" w:space="0" w:color="auto"/>
        <w:bottom w:val="none" w:sz="0" w:space="0" w:color="auto"/>
        <w:right w:val="none" w:sz="0" w:space="0" w:color="auto"/>
      </w:divBdr>
    </w:div>
    <w:div w:id="1272590919">
      <w:bodyDiv w:val="1"/>
      <w:marLeft w:val="0"/>
      <w:marRight w:val="0"/>
      <w:marTop w:val="0"/>
      <w:marBottom w:val="0"/>
      <w:divBdr>
        <w:top w:val="none" w:sz="0" w:space="0" w:color="auto"/>
        <w:left w:val="none" w:sz="0" w:space="0" w:color="auto"/>
        <w:bottom w:val="none" w:sz="0" w:space="0" w:color="auto"/>
        <w:right w:val="none" w:sz="0" w:space="0" w:color="auto"/>
      </w:divBdr>
    </w:div>
    <w:div w:id="1272740083">
      <w:bodyDiv w:val="1"/>
      <w:marLeft w:val="0"/>
      <w:marRight w:val="0"/>
      <w:marTop w:val="0"/>
      <w:marBottom w:val="0"/>
      <w:divBdr>
        <w:top w:val="none" w:sz="0" w:space="0" w:color="auto"/>
        <w:left w:val="none" w:sz="0" w:space="0" w:color="auto"/>
        <w:bottom w:val="none" w:sz="0" w:space="0" w:color="auto"/>
        <w:right w:val="none" w:sz="0" w:space="0" w:color="auto"/>
      </w:divBdr>
    </w:div>
    <w:div w:id="1274630534">
      <w:bodyDiv w:val="1"/>
      <w:marLeft w:val="0"/>
      <w:marRight w:val="0"/>
      <w:marTop w:val="0"/>
      <w:marBottom w:val="0"/>
      <w:divBdr>
        <w:top w:val="none" w:sz="0" w:space="0" w:color="auto"/>
        <w:left w:val="none" w:sz="0" w:space="0" w:color="auto"/>
        <w:bottom w:val="none" w:sz="0" w:space="0" w:color="auto"/>
        <w:right w:val="none" w:sz="0" w:space="0" w:color="auto"/>
      </w:divBdr>
    </w:div>
    <w:div w:id="1276593962">
      <w:bodyDiv w:val="1"/>
      <w:marLeft w:val="0"/>
      <w:marRight w:val="0"/>
      <w:marTop w:val="0"/>
      <w:marBottom w:val="0"/>
      <w:divBdr>
        <w:top w:val="none" w:sz="0" w:space="0" w:color="auto"/>
        <w:left w:val="none" w:sz="0" w:space="0" w:color="auto"/>
        <w:bottom w:val="none" w:sz="0" w:space="0" w:color="auto"/>
        <w:right w:val="none" w:sz="0" w:space="0" w:color="auto"/>
      </w:divBdr>
    </w:div>
    <w:div w:id="1277980503">
      <w:bodyDiv w:val="1"/>
      <w:marLeft w:val="0"/>
      <w:marRight w:val="0"/>
      <w:marTop w:val="0"/>
      <w:marBottom w:val="0"/>
      <w:divBdr>
        <w:top w:val="none" w:sz="0" w:space="0" w:color="auto"/>
        <w:left w:val="none" w:sz="0" w:space="0" w:color="auto"/>
        <w:bottom w:val="none" w:sz="0" w:space="0" w:color="auto"/>
        <w:right w:val="none" w:sz="0" w:space="0" w:color="auto"/>
      </w:divBdr>
    </w:div>
    <w:div w:id="1278561350">
      <w:bodyDiv w:val="1"/>
      <w:marLeft w:val="0"/>
      <w:marRight w:val="0"/>
      <w:marTop w:val="0"/>
      <w:marBottom w:val="0"/>
      <w:divBdr>
        <w:top w:val="none" w:sz="0" w:space="0" w:color="auto"/>
        <w:left w:val="none" w:sz="0" w:space="0" w:color="auto"/>
        <w:bottom w:val="none" w:sz="0" w:space="0" w:color="auto"/>
        <w:right w:val="none" w:sz="0" w:space="0" w:color="auto"/>
      </w:divBdr>
    </w:div>
    <w:div w:id="1278676224">
      <w:bodyDiv w:val="1"/>
      <w:marLeft w:val="0"/>
      <w:marRight w:val="0"/>
      <w:marTop w:val="0"/>
      <w:marBottom w:val="0"/>
      <w:divBdr>
        <w:top w:val="none" w:sz="0" w:space="0" w:color="auto"/>
        <w:left w:val="none" w:sz="0" w:space="0" w:color="auto"/>
        <w:bottom w:val="none" w:sz="0" w:space="0" w:color="auto"/>
        <w:right w:val="none" w:sz="0" w:space="0" w:color="auto"/>
      </w:divBdr>
    </w:div>
    <w:div w:id="1279601213">
      <w:bodyDiv w:val="1"/>
      <w:marLeft w:val="0"/>
      <w:marRight w:val="0"/>
      <w:marTop w:val="0"/>
      <w:marBottom w:val="0"/>
      <w:divBdr>
        <w:top w:val="none" w:sz="0" w:space="0" w:color="auto"/>
        <w:left w:val="none" w:sz="0" w:space="0" w:color="auto"/>
        <w:bottom w:val="none" w:sz="0" w:space="0" w:color="auto"/>
        <w:right w:val="none" w:sz="0" w:space="0" w:color="auto"/>
      </w:divBdr>
    </w:div>
    <w:div w:id="1280062333">
      <w:bodyDiv w:val="1"/>
      <w:marLeft w:val="0"/>
      <w:marRight w:val="0"/>
      <w:marTop w:val="0"/>
      <w:marBottom w:val="0"/>
      <w:divBdr>
        <w:top w:val="none" w:sz="0" w:space="0" w:color="auto"/>
        <w:left w:val="none" w:sz="0" w:space="0" w:color="auto"/>
        <w:bottom w:val="none" w:sz="0" w:space="0" w:color="auto"/>
        <w:right w:val="none" w:sz="0" w:space="0" w:color="auto"/>
      </w:divBdr>
    </w:div>
    <w:div w:id="1280332354">
      <w:bodyDiv w:val="1"/>
      <w:marLeft w:val="0"/>
      <w:marRight w:val="0"/>
      <w:marTop w:val="0"/>
      <w:marBottom w:val="0"/>
      <w:divBdr>
        <w:top w:val="none" w:sz="0" w:space="0" w:color="auto"/>
        <w:left w:val="none" w:sz="0" w:space="0" w:color="auto"/>
        <w:bottom w:val="none" w:sz="0" w:space="0" w:color="auto"/>
        <w:right w:val="none" w:sz="0" w:space="0" w:color="auto"/>
      </w:divBdr>
    </w:div>
    <w:div w:id="1280451206">
      <w:bodyDiv w:val="1"/>
      <w:marLeft w:val="0"/>
      <w:marRight w:val="0"/>
      <w:marTop w:val="0"/>
      <w:marBottom w:val="0"/>
      <w:divBdr>
        <w:top w:val="none" w:sz="0" w:space="0" w:color="auto"/>
        <w:left w:val="none" w:sz="0" w:space="0" w:color="auto"/>
        <w:bottom w:val="none" w:sz="0" w:space="0" w:color="auto"/>
        <w:right w:val="none" w:sz="0" w:space="0" w:color="auto"/>
      </w:divBdr>
    </w:div>
    <w:div w:id="1281259801">
      <w:bodyDiv w:val="1"/>
      <w:marLeft w:val="0"/>
      <w:marRight w:val="0"/>
      <w:marTop w:val="0"/>
      <w:marBottom w:val="0"/>
      <w:divBdr>
        <w:top w:val="none" w:sz="0" w:space="0" w:color="auto"/>
        <w:left w:val="none" w:sz="0" w:space="0" w:color="auto"/>
        <w:bottom w:val="none" w:sz="0" w:space="0" w:color="auto"/>
        <w:right w:val="none" w:sz="0" w:space="0" w:color="auto"/>
      </w:divBdr>
    </w:div>
    <w:div w:id="1282301694">
      <w:bodyDiv w:val="1"/>
      <w:marLeft w:val="0"/>
      <w:marRight w:val="0"/>
      <w:marTop w:val="0"/>
      <w:marBottom w:val="0"/>
      <w:divBdr>
        <w:top w:val="none" w:sz="0" w:space="0" w:color="auto"/>
        <w:left w:val="none" w:sz="0" w:space="0" w:color="auto"/>
        <w:bottom w:val="none" w:sz="0" w:space="0" w:color="auto"/>
        <w:right w:val="none" w:sz="0" w:space="0" w:color="auto"/>
      </w:divBdr>
    </w:div>
    <w:div w:id="1282422450">
      <w:bodyDiv w:val="1"/>
      <w:marLeft w:val="0"/>
      <w:marRight w:val="0"/>
      <w:marTop w:val="0"/>
      <w:marBottom w:val="0"/>
      <w:divBdr>
        <w:top w:val="none" w:sz="0" w:space="0" w:color="auto"/>
        <w:left w:val="none" w:sz="0" w:space="0" w:color="auto"/>
        <w:bottom w:val="none" w:sz="0" w:space="0" w:color="auto"/>
        <w:right w:val="none" w:sz="0" w:space="0" w:color="auto"/>
      </w:divBdr>
    </w:div>
    <w:div w:id="1282958267">
      <w:bodyDiv w:val="1"/>
      <w:marLeft w:val="0"/>
      <w:marRight w:val="0"/>
      <w:marTop w:val="0"/>
      <w:marBottom w:val="0"/>
      <w:divBdr>
        <w:top w:val="none" w:sz="0" w:space="0" w:color="auto"/>
        <w:left w:val="none" w:sz="0" w:space="0" w:color="auto"/>
        <w:bottom w:val="none" w:sz="0" w:space="0" w:color="auto"/>
        <w:right w:val="none" w:sz="0" w:space="0" w:color="auto"/>
      </w:divBdr>
    </w:div>
    <w:div w:id="1284271850">
      <w:bodyDiv w:val="1"/>
      <w:marLeft w:val="0"/>
      <w:marRight w:val="0"/>
      <w:marTop w:val="0"/>
      <w:marBottom w:val="0"/>
      <w:divBdr>
        <w:top w:val="none" w:sz="0" w:space="0" w:color="auto"/>
        <w:left w:val="none" w:sz="0" w:space="0" w:color="auto"/>
        <w:bottom w:val="none" w:sz="0" w:space="0" w:color="auto"/>
        <w:right w:val="none" w:sz="0" w:space="0" w:color="auto"/>
      </w:divBdr>
    </w:div>
    <w:div w:id="1284775426">
      <w:bodyDiv w:val="1"/>
      <w:marLeft w:val="0"/>
      <w:marRight w:val="0"/>
      <w:marTop w:val="0"/>
      <w:marBottom w:val="0"/>
      <w:divBdr>
        <w:top w:val="none" w:sz="0" w:space="0" w:color="auto"/>
        <w:left w:val="none" w:sz="0" w:space="0" w:color="auto"/>
        <w:bottom w:val="none" w:sz="0" w:space="0" w:color="auto"/>
        <w:right w:val="none" w:sz="0" w:space="0" w:color="auto"/>
      </w:divBdr>
    </w:div>
    <w:div w:id="1285115733">
      <w:bodyDiv w:val="1"/>
      <w:marLeft w:val="0"/>
      <w:marRight w:val="0"/>
      <w:marTop w:val="0"/>
      <w:marBottom w:val="0"/>
      <w:divBdr>
        <w:top w:val="none" w:sz="0" w:space="0" w:color="auto"/>
        <w:left w:val="none" w:sz="0" w:space="0" w:color="auto"/>
        <w:bottom w:val="none" w:sz="0" w:space="0" w:color="auto"/>
        <w:right w:val="none" w:sz="0" w:space="0" w:color="auto"/>
      </w:divBdr>
    </w:div>
    <w:div w:id="1285501460">
      <w:bodyDiv w:val="1"/>
      <w:marLeft w:val="0"/>
      <w:marRight w:val="0"/>
      <w:marTop w:val="0"/>
      <w:marBottom w:val="0"/>
      <w:divBdr>
        <w:top w:val="none" w:sz="0" w:space="0" w:color="auto"/>
        <w:left w:val="none" w:sz="0" w:space="0" w:color="auto"/>
        <w:bottom w:val="none" w:sz="0" w:space="0" w:color="auto"/>
        <w:right w:val="none" w:sz="0" w:space="0" w:color="auto"/>
      </w:divBdr>
    </w:div>
    <w:div w:id="1285695619">
      <w:bodyDiv w:val="1"/>
      <w:marLeft w:val="0"/>
      <w:marRight w:val="0"/>
      <w:marTop w:val="0"/>
      <w:marBottom w:val="0"/>
      <w:divBdr>
        <w:top w:val="none" w:sz="0" w:space="0" w:color="auto"/>
        <w:left w:val="none" w:sz="0" w:space="0" w:color="auto"/>
        <w:bottom w:val="none" w:sz="0" w:space="0" w:color="auto"/>
        <w:right w:val="none" w:sz="0" w:space="0" w:color="auto"/>
      </w:divBdr>
    </w:div>
    <w:div w:id="1286617393">
      <w:bodyDiv w:val="1"/>
      <w:marLeft w:val="0"/>
      <w:marRight w:val="0"/>
      <w:marTop w:val="0"/>
      <w:marBottom w:val="0"/>
      <w:divBdr>
        <w:top w:val="none" w:sz="0" w:space="0" w:color="auto"/>
        <w:left w:val="none" w:sz="0" w:space="0" w:color="auto"/>
        <w:bottom w:val="none" w:sz="0" w:space="0" w:color="auto"/>
        <w:right w:val="none" w:sz="0" w:space="0" w:color="auto"/>
      </w:divBdr>
    </w:div>
    <w:div w:id="1287811146">
      <w:bodyDiv w:val="1"/>
      <w:marLeft w:val="0"/>
      <w:marRight w:val="0"/>
      <w:marTop w:val="0"/>
      <w:marBottom w:val="0"/>
      <w:divBdr>
        <w:top w:val="none" w:sz="0" w:space="0" w:color="auto"/>
        <w:left w:val="none" w:sz="0" w:space="0" w:color="auto"/>
        <w:bottom w:val="none" w:sz="0" w:space="0" w:color="auto"/>
        <w:right w:val="none" w:sz="0" w:space="0" w:color="auto"/>
      </w:divBdr>
    </w:div>
    <w:div w:id="1288968313">
      <w:bodyDiv w:val="1"/>
      <w:marLeft w:val="0"/>
      <w:marRight w:val="0"/>
      <w:marTop w:val="0"/>
      <w:marBottom w:val="0"/>
      <w:divBdr>
        <w:top w:val="none" w:sz="0" w:space="0" w:color="auto"/>
        <w:left w:val="none" w:sz="0" w:space="0" w:color="auto"/>
        <w:bottom w:val="none" w:sz="0" w:space="0" w:color="auto"/>
        <w:right w:val="none" w:sz="0" w:space="0" w:color="auto"/>
      </w:divBdr>
    </w:div>
    <w:div w:id="1289047126">
      <w:bodyDiv w:val="1"/>
      <w:marLeft w:val="0"/>
      <w:marRight w:val="0"/>
      <w:marTop w:val="0"/>
      <w:marBottom w:val="0"/>
      <w:divBdr>
        <w:top w:val="none" w:sz="0" w:space="0" w:color="auto"/>
        <w:left w:val="none" w:sz="0" w:space="0" w:color="auto"/>
        <w:bottom w:val="none" w:sz="0" w:space="0" w:color="auto"/>
        <w:right w:val="none" w:sz="0" w:space="0" w:color="auto"/>
      </w:divBdr>
    </w:div>
    <w:div w:id="1290167308">
      <w:bodyDiv w:val="1"/>
      <w:marLeft w:val="0"/>
      <w:marRight w:val="0"/>
      <w:marTop w:val="0"/>
      <w:marBottom w:val="0"/>
      <w:divBdr>
        <w:top w:val="none" w:sz="0" w:space="0" w:color="auto"/>
        <w:left w:val="none" w:sz="0" w:space="0" w:color="auto"/>
        <w:bottom w:val="none" w:sz="0" w:space="0" w:color="auto"/>
        <w:right w:val="none" w:sz="0" w:space="0" w:color="auto"/>
      </w:divBdr>
    </w:div>
    <w:div w:id="1290208519">
      <w:bodyDiv w:val="1"/>
      <w:marLeft w:val="0"/>
      <w:marRight w:val="0"/>
      <w:marTop w:val="0"/>
      <w:marBottom w:val="0"/>
      <w:divBdr>
        <w:top w:val="none" w:sz="0" w:space="0" w:color="auto"/>
        <w:left w:val="none" w:sz="0" w:space="0" w:color="auto"/>
        <w:bottom w:val="none" w:sz="0" w:space="0" w:color="auto"/>
        <w:right w:val="none" w:sz="0" w:space="0" w:color="auto"/>
      </w:divBdr>
    </w:div>
    <w:div w:id="1290286489">
      <w:bodyDiv w:val="1"/>
      <w:marLeft w:val="0"/>
      <w:marRight w:val="0"/>
      <w:marTop w:val="0"/>
      <w:marBottom w:val="0"/>
      <w:divBdr>
        <w:top w:val="none" w:sz="0" w:space="0" w:color="auto"/>
        <w:left w:val="none" w:sz="0" w:space="0" w:color="auto"/>
        <w:bottom w:val="none" w:sz="0" w:space="0" w:color="auto"/>
        <w:right w:val="none" w:sz="0" w:space="0" w:color="auto"/>
      </w:divBdr>
    </w:div>
    <w:div w:id="1291933885">
      <w:bodyDiv w:val="1"/>
      <w:marLeft w:val="0"/>
      <w:marRight w:val="0"/>
      <w:marTop w:val="0"/>
      <w:marBottom w:val="0"/>
      <w:divBdr>
        <w:top w:val="none" w:sz="0" w:space="0" w:color="auto"/>
        <w:left w:val="none" w:sz="0" w:space="0" w:color="auto"/>
        <w:bottom w:val="none" w:sz="0" w:space="0" w:color="auto"/>
        <w:right w:val="none" w:sz="0" w:space="0" w:color="auto"/>
      </w:divBdr>
    </w:div>
    <w:div w:id="1293516548">
      <w:bodyDiv w:val="1"/>
      <w:marLeft w:val="0"/>
      <w:marRight w:val="0"/>
      <w:marTop w:val="0"/>
      <w:marBottom w:val="0"/>
      <w:divBdr>
        <w:top w:val="none" w:sz="0" w:space="0" w:color="auto"/>
        <w:left w:val="none" w:sz="0" w:space="0" w:color="auto"/>
        <w:bottom w:val="none" w:sz="0" w:space="0" w:color="auto"/>
        <w:right w:val="none" w:sz="0" w:space="0" w:color="auto"/>
      </w:divBdr>
    </w:div>
    <w:div w:id="1294602168">
      <w:bodyDiv w:val="1"/>
      <w:marLeft w:val="0"/>
      <w:marRight w:val="0"/>
      <w:marTop w:val="0"/>
      <w:marBottom w:val="0"/>
      <w:divBdr>
        <w:top w:val="none" w:sz="0" w:space="0" w:color="auto"/>
        <w:left w:val="none" w:sz="0" w:space="0" w:color="auto"/>
        <w:bottom w:val="none" w:sz="0" w:space="0" w:color="auto"/>
        <w:right w:val="none" w:sz="0" w:space="0" w:color="auto"/>
      </w:divBdr>
    </w:div>
    <w:div w:id="1295067451">
      <w:bodyDiv w:val="1"/>
      <w:marLeft w:val="0"/>
      <w:marRight w:val="0"/>
      <w:marTop w:val="0"/>
      <w:marBottom w:val="0"/>
      <w:divBdr>
        <w:top w:val="none" w:sz="0" w:space="0" w:color="auto"/>
        <w:left w:val="none" w:sz="0" w:space="0" w:color="auto"/>
        <w:bottom w:val="none" w:sz="0" w:space="0" w:color="auto"/>
        <w:right w:val="none" w:sz="0" w:space="0" w:color="auto"/>
      </w:divBdr>
    </w:div>
    <w:div w:id="1295331322">
      <w:bodyDiv w:val="1"/>
      <w:marLeft w:val="0"/>
      <w:marRight w:val="0"/>
      <w:marTop w:val="0"/>
      <w:marBottom w:val="0"/>
      <w:divBdr>
        <w:top w:val="none" w:sz="0" w:space="0" w:color="auto"/>
        <w:left w:val="none" w:sz="0" w:space="0" w:color="auto"/>
        <w:bottom w:val="none" w:sz="0" w:space="0" w:color="auto"/>
        <w:right w:val="none" w:sz="0" w:space="0" w:color="auto"/>
      </w:divBdr>
    </w:div>
    <w:div w:id="1296716794">
      <w:bodyDiv w:val="1"/>
      <w:marLeft w:val="0"/>
      <w:marRight w:val="0"/>
      <w:marTop w:val="0"/>
      <w:marBottom w:val="0"/>
      <w:divBdr>
        <w:top w:val="none" w:sz="0" w:space="0" w:color="auto"/>
        <w:left w:val="none" w:sz="0" w:space="0" w:color="auto"/>
        <w:bottom w:val="none" w:sz="0" w:space="0" w:color="auto"/>
        <w:right w:val="none" w:sz="0" w:space="0" w:color="auto"/>
      </w:divBdr>
    </w:div>
    <w:div w:id="1297637942">
      <w:bodyDiv w:val="1"/>
      <w:marLeft w:val="0"/>
      <w:marRight w:val="0"/>
      <w:marTop w:val="0"/>
      <w:marBottom w:val="0"/>
      <w:divBdr>
        <w:top w:val="none" w:sz="0" w:space="0" w:color="auto"/>
        <w:left w:val="none" w:sz="0" w:space="0" w:color="auto"/>
        <w:bottom w:val="none" w:sz="0" w:space="0" w:color="auto"/>
        <w:right w:val="none" w:sz="0" w:space="0" w:color="auto"/>
      </w:divBdr>
    </w:div>
    <w:div w:id="1298220240">
      <w:bodyDiv w:val="1"/>
      <w:marLeft w:val="0"/>
      <w:marRight w:val="0"/>
      <w:marTop w:val="0"/>
      <w:marBottom w:val="0"/>
      <w:divBdr>
        <w:top w:val="none" w:sz="0" w:space="0" w:color="auto"/>
        <w:left w:val="none" w:sz="0" w:space="0" w:color="auto"/>
        <w:bottom w:val="none" w:sz="0" w:space="0" w:color="auto"/>
        <w:right w:val="none" w:sz="0" w:space="0" w:color="auto"/>
      </w:divBdr>
      <w:divsChild>
        <w:div w:id="1424255933">
          <w:marLeft w:val="0"/>
          <w:marRight w:val="0"/>
          <w:marTop w:val="0"/>
          <w:marBottom w:val="0"/>
          <w:divBdr>
            <w:top w:val="none" w:sz="0" w:space="0" w:color="auto"/>
            <w:left w:val="none" w:sz="0" w:space="0" w:color="auto"/>
            <w:bottom w:val="none" w:sz="0" w:space="0" w:color="auto"/>
            <w:right w:val="none" w:sz="0" w:space="0" w:color="auto"/>
          </w:divBdr>
        </w:div>
      </w:divsChild>
    </w:div>
    <w:div w:id="1298684028">
      <w:bodyDiv w:val="1"/>
      <w:marLeft w:val="0"/>
      <w:marRight w:val="0"/>
      <w:marTop w:val="0"/>
      <w:marBottom w:val="0"/>
      <w:divBdr>
        <w:top w:val="none" w:sz="0" w:space="0" w:color="auto"/>
        <w:left w:val="none" w:sz="0" w:space="0" w:color="auto"/>
        <w:bottom w:val="none" w:sz="0" w:space="0" w:color="auto"/>
        <w:right w:val="none" w:sz="0" w:space="0" w:color="auto"/>
      </w:divBdr>
    </w:div>
    <w:div w:id="1299724112">
      <w:bodyDiv w:val="1"/>
      <w:marLeft w:val="0"/>
      <w:marRight w:val="0"/>
      <w:marTop w:val="0"/>
      <w:marBottom w:val="0"/>
      <w:divBdr>
        <w:top w:val="none" w:sz="0" w:space="0" w:color="auto"/>
        <w:left w:val="none" w:sz="0" w:space="0" w:color="auto"/>
        <w:bottom w:val="none" w:sz="0" w:space="0" w:color="auto"/>
        <w:right w:val="none" w:sz="0" w:space="0" w:color="auto"/>
      </w:divBdr>
    </w:div>
    <w:div w:id="1299804360">
      <w:bodyDiv w:val="1"/>
      <w:marLeft w:val="0"/>
      <w:marRight w:val="0"/>
      <w:marTop w:val="0"/>
      <w:marBottom w:val="0"/>
      <w:divBdr>
        <w:top w:val="none" w:sz="0" w:space="0" w:color="auto"/>
        <w:left w:val="none" w:sz="0" w:space="0" w:color="auto"/>
        <w:bottom w:val="none" w:sz="0" w:space="0" w:color="auto"/>
        <w:right w:val="none" w:sz="0" w:space="0" w:color="auto"/>
      </w:divBdr>
    </w:div>
    <w:div w:id="1300188846">
      <w:bodyDiv w:val="1"/>
      <w:marLeft w:val="0"/>
      <w:marRight w:val="0"/>
      <w:marTop w:val="0"/>
      <w:marBottom w:val="0"/>
      <w:divBdr>
        <w:top w:val="none" w:sz="0" w:space="0" w:color="auto"/>
        <w:left w:val="none" w:sz="0" w:space="0" w:color="auto"/>
        <w:bottom w:val="none" w:sz="0" w:space="0" w:color="auto"/>
        <w:right w:val="none" w:sz="0" w:space="0" w:color="auto"/>
      </w:divBdr>
    </w:div>
    <w:div w:id="1300301770">
      <w:bodyDiv w:val="1"/>
      <w:marLeft w:val="0"/>
      <w:marRight w:val="0"/>
      <w:marTop w:val="0"/>
      <w:marBottom w:val="0"/>
      <w:divBdr>
        <w:top w:val="none" w:sz="0" w:space="0" w:color="auto"/>
        <w:left w:val="none" w:sz="0" w:space="0" w:color="auto"/>
        <w:bottom w:val="none" w:sz="0" w:space="0" w:color="auto"/>
        <w:right w:val="none" w:sz="0" w:space="0" w:color="auto"/>
      </w:divBdr>
    </w:div>
    <w:div w:id="1301151863">
      <w:bodyDiv w:val="1"/>
      <w:marLeft w:val="0"/>
      <w:marRight w:val="0"/>
      <w:marTop w:val="0"/>
      <w:marBottom w:val="0"/>
      <w:divBdr>
        <w:top w:val="none" w:sz="0" w:space="0" w:color="auto"/>
        <w:left w:val="none" w:sz="0" w:space="0" w:color="auto"/>
        <w:bottom w:val="none" w:sz="0" w:space="0" w:color="auto"/>
        <w:right w:val="none" w:sz="0" w:space="0" w:color="auto"/>
      </w:divBdr>
    </w:div>
    <w:div w:id="1302266705">
      <w:bodyDiv w:val="1"/>
      <w:marLeft w:val="0"/>
      <w:marRight w:val="0"/>
      <w:marTop w:val="0"/>
      <w:marBottom w:val="0"/>
      <w:divBdr>
        <w:top w:val="none" w:sz="0" w:space="0" w:color="auto"/>
        <w:left w:val="none" w:sz="0" w:space="0" w:color="auto"/>
        <w:bottom w:val="none" w:sz="0" w:space="0" w:color="auto"/>
        <w:right w:val="none" w:sz="0" w:space="0" w:color="auto"/>
      </w:divBdr>
    </w:div>
    <w:div w:id="1303467530">
      <w:bodyDiv w:val="1"/>
      <w:marLeft w:val="0"/>
      <w:marRight w:val="0"/>
      <w:marTop w:val="0"/>
      <w:marBottom w:val="0"/>
      <w:divBdr>
        <w:top w:val="none" w:sz="0" w:space="0" w:color="auto"/>
        <w:left w:val="none" w:sz="0" w:space="0" w:color="auto"/>
        <w:bottom w:val="none" w:sz="0" w:space="0" w:color="auto"/>
        <w:right w:val="none" w:sz="0" w:space="0" w:color="auto"/>
      </w:divBdr>
    </w:div>
    <w:div w:id="1304697748">
      <w:bodyDiv w:val="1"/>
      <w:marLeft w:val="0"/>
      <w:marRight w:val="0"/>
      <w:marTop w:val="0"/>
      <w:marBottom w:val="0"/>
      <w:divBdr>
        <w:top w:val="none" w:sz="0" w:space="0" w:color="auto"/>
        <w:left w:val="none" w:sz="0" w:space="0" w:color="auto"/>
        <w:bottom w:val="none" w:sz="0" w:space="0" w:color="auto"/>
        <w:right w:val="none" w:sz="0" w:space="0" w:color="auto"/>
      </w:divBdr>
    </w:div>
    <w:div w:id="1304776246">
      <w:bodyDiv w:val="1"/>
      <w:marLeft w:val="0"/>
      <w:marRight w:val="0"/>
      <w:marTop w:val="0"/>
      <w:marBottom w:val="0"/>
      <w:divBdr>
        <w:top w:val="none" w:sz="0" w:space="0" w:color="auto"/>
        <w:left w:val="none" w:sz="0" w:space="0" w:color="auto"/>
        <w:bottom w:val="none" w:sz="0" w:space="0" w:color="auto"/>
        <w:right w:val="none" w:sz="0" w:space="0" w:color="auto"/>
      </w:divBdr>
    </w:div>
    <w:div w:id="1305700491">
      <w:bodyDiv w:val="1"/>
      <w:marLeft w:val="0"/>
      <w:marRight w:val="0"/>
      <w:marTop w:val="0"/>
      <w:marBottom w:val="0"/>
      <w:divBdr>
        <w:top w:val="none" w:sz="0" w:space="0" w:color="auto"/>
        <w:left w:val="none" w:sz="0" w:space="0" w:color="auto"/>
        <w:bottom w:val="none" w:sz="0" w:space="0" w:color="auto"/>
        <w:right w:val="none" w:sz="0" w:space="0" w:color="auto"/>
      </w:divBdr>
    </w:div>
    <w:div w:id="1306545328">
      <w:bodyDiv w:val="1"/>
      <w:marLeft w:val="0"/>
      <w:marRight w:val="0"/>
      <w:marTop w:val="0"/>
      <w:marBottom w:val="0"/>
      <w:divBdr>
        <w:top w:val="none" w:sz="0" w:space="0" w:color="auto"/>
        <w:left w:val="none" w:sz="0" w:space="0" w:color="auto"/>
        <w:bottom w:val="none" w:sz="0" w:space="0" w:color="auto"/>
        <w:right w:val="none" w:sz="0" w:space="0" w:color="auto"/>
      </w:divBdr>
    </w:div>
    <w:div w:id="1307513553">
      <w:bodyDiv w:val="1"/>
      <w:marLeft w:val="0"/>
      <w:marRight w:val="0"/>
      <w:marTop w:val="0"/>
      <w:marBottom w:val="0"/>
      <w:divBdr>
        <w:top w:val="none" w:sz="0" w:space="0" w:color="auto"/>
        <w:left w:val="none" w:sz="0" w:space="0" w:color="auto"/>
        <w:bottom w:val="none" w:sz="0" w:space="0" w:color="auto"/>
        <w:right w:val="none" w:sz="0" w:space="0" w:color="auto"/>
      </w:divBdr>
    </w:div>
    <w:div w:id="1308053838">
      <w:bodyDiv w:val="1"/>
      <w:marLeft w:val="0"/>
      <w:marRight w:val="0"/>
      <w:marTop w:val="0"/>
      <w:marBottom w:val="0"/>
      <w:divBdr>
        <w:top w:val="none" w:sz="0" w:space="0" w:color="auto"/>
        <w:left w:val="none" w:sz="0" w:space="0" w:color="auto"/>
        <w:bottom w:val="none" w:sz="0" w:space="0" w:color="auto"/>
        <w:right w:val="none" w:sz="0" w:space="0" w:color="auto"/>
      </w:divBdr>
    </w:div>
    <w:div w:id="1309550615">
      <w:bodyDiv w:val="1"/>
      <w:marLeft w:val="0"/>
      <w:marRight w:val="0"/>
      <w:marTop w:val="0"/>
      <w:marBottom w:val="0"/>
      <w:divBdr>
        <w:top w:val="none" w:sz="0" w:space="0" w:color="auto"/>
        <w:left w:val="none" w:sz="0" w:space="0" w:color="auto"/>
        <w:bottom w:val="none" w:sz="0" w:space="0" w:color="auto"/>
        <w:right w:val="none" w:sz="0" w:space="0" w:color="auto"/>
      </w:divBdr>
    </w:div>
    <w:div w:id="1309703625">
      <w:bodyDiv w:val="1"/>
      <w:marLeft w:val="0"/>
      <w:marRight w:val="0"/>
      <w:marTop w:val="0"/>
      <w:marBottom w:val="0"/>
      <w:divBdr>
        <w:top w:val="none" w:sz="0" w:space="0" w:color="auto"/>
        <w:left w:val="none" w:sz="0" w:space="0" w:color="auto"/>
        <w:bottom w:val="none" w:sz="0" w:space="0" w:color="auto"/>
        <w:right w:val="none" w:sz="0" w:space="0" w:color="auto"/>
      </w:divBdr>
    </w:div>
    <w:div w:id="1309703833">
      <w:bodyDiv w:val="1"/>
      <w:marLeft w:val="0"/>
      <w:marRight w:val="0"/>
      <w:marTop w:val="0"/>
      <w:marBottom w:val="0"/>
      <w:divBdr>
        <w:top w:val="none" w:sz="0" w:space="0" w:color="auto"/>
        <w:left w:val="none" w:sz="0" w:space="0" w:color="auto"/>
        <w:bottom w:val="none" w:sz="0" w:space="0" w:color="auto"/>
        <w:right w:val="none" w:sz="0" w:space="0" w:color="auto"/>
      </w:divBdr>
    </w:div>
    <w:div w:id="1312519404">
      <w:bodyDiv w:val="1"/>
      <w:marLeft w:val="0"/>
      <w:marRight w:val="0"/>
      <w:marTop w:val="0"/>
      <w:marBottom w:val="0"/>
      <w:divBdr>
        <w:top w:val="none" w:sz="0" w:space="0" w:color="auto"/>
        <w:left w:val="none" w:sz="0" w:space="0" w:color="auto"/>
        <w:bottom w:val="none" w:sz="0" w:space="0" w:color="auto"/>
        <w:right w:val="none" w:sz="0" w:space="0" w:color="auto"/>
      </w:divBdr>
    </w:div>
    <w:div w:id="1312519678">
      <w:bodyDiv w:val="1"/>
      <w:marLeft w:val="0"/>
      <w:marRight w:val="0"/>
      <w:marTop w:val="0"/>
      <w:marBottom w:val="0"/>
      <w:divBdr>
        <w:top w:val="none" w:sz="0" w:space="0" w:color="auto"/>
        <w:left w:val="none" w:sz="0" w:space="0" w:color="auto"/>
        <w:bottom w:val="none" w:sz="0" w:space="0" w:color="auto"/>
        <w:right w:val="none" w:sz="0" w:space="0" w:color="auto"/>
      </w:divBdr>
    </w:div>
    <w:div w:id="1313094342">
      <w:bodyDiv w:val="1"/>
      <w:marLeft w:val="0"/>
      <w:marRight w:val="0"/>
      <w:marTop w:val="0"/>
      <w:marBottom w:val="0"/>
      <w:divBdr>
        <w:top w:val="none" w:sz="0" w:space="0" w:color="auto"/>
        <w:left w:val="none" w:sz="0" w:space="0" w:color="auto"/>
        <w:bottom w:val="none" w:sz="0" w:space="0" w:color="auto"/>
        <w:right w:val="none" w:sz="0" w:space="0" w:color="auto"/>
      </w:divBdr>
    </w:div>
    <w:div w:id="1313370682">
      <w:bodyDiv w:val="1"/>
      <w:marLeft w:val="0"/>
      <w:marRight w:val="0"/>
      <w:marTop w:val="0"/>
      <w:marBottom w:val="0"/>
      <w:divBdr>
        <w:top w:val="none" w:sz="0" w:space="0" w:color="auto"/>
        <w:left w:val="none" w:sz="0" w:space="0" w:color="auto"/>
        <w:bottom w:val="none" w:sz="0" w:space="0" w:color="auto"/>
        <w:right w:val="none" w:sz="0" w:space="0" w:color="auto"/>
      </w:divBdr>
    </w:div>
    <w:div w:id="1313871448">
      <w:bodyDiv w:val="1"/>
      <w:marLeft w:val="0"/>
      <w:marRight w:val="0"/>
      <w:marTop w:val="0"/>
      <w:marBottom w:val="0"/>
      <w:divBdr>
        <w:top w:val="none" w:sz="0" w:space="0" w:color="auto"/>
        <w:left w:val="none" w:sz="0" w:space="0" w:color="auto"/>
        <w:bottom w:val="none" w:sz="0" w:space="0" w:color="auto"/>
        <w:right w:val="none" w:sz="0" w:space="0" w:color="auto"/>
      </w:divBdr>
    </w:div>
    <w:div w:id="1314409758">
      <w:bodyDiv w:val="1"/>
      <w:marLeft w:val="0"/>
      <w:marRight w:val="0"/>
      <w:marTop w:val="0"/>
      <w:marBottom w:val="0"/>
      <w:divBdr>
        <w:top w:val="none" w:sz="0" w:space="0" w:color="auto"/>
        <w:left w:val="none" w:sz="0" w:space="0" w:color="auto"/>
        <w:bottom w:val="none" w:sz="0" w:space="0" w:color="auto"/>
        <w:right w:val="none" w:sz="0" w:space="0" w:color="auto"/>
      </w:divBdr>
    </w:div>
    <w:div w:id="1314676802">
      <w:bodyDiv w:val="1"/>
      <w:marLeft w:val="0"/>
      <w:marRight w:val="0"/>
      <w:marTop w:val="0"/>
      <w:marBottom w:val="0"/>
      <w:divBdr>
        <w:top w:val="none" w:sz="0" w:space="0" w:color="auto"/>
        <w:left w:val="none" w:sz="0" w:space="0" w:color="auto"/>
        <w:bottom w:val="none" w:sz="0" w:space="0" w:color="auto"/>
        <w:right w:val="none" w:sz="0" w:space="0" w:color="auto"/>
      </w:divBdr>
    </w:div>
    <w:div w:id="1315840114">
      <w:bodyDiv w:val="1"/>
      <w:marLeft w:val="0"/>
      <w:marRight w:val="0"/>
      <w:marTop w:val="0"/>
      <w:marBottom w:val="0"/>
      <w:divBdr>
        <w:top w:val="none" w:sz="0" w:space="0" w:color="auto"/>
        <w:left w:val="none" w:sz="0" w:space="0" w:color="auto"/>
        <w:bottom w:val="none" w:sz="0" w:space="0" w:color="auto"/>
        <w:right w:val="none" w:sz="0" w:space="0" w:color="auto"/>
      </w:divBdr>
    </w:div>
    <w:div w:id="1316372177">
      <w:bodyDiv w:val="1"/>
      <w:marLeft w:val="0"/>
      <w:marRight w:val="0"/>
      <w:marTop w:val="0"/>
      <w:marBottom w:val="0"/>
      <w:divBdr>
        <w:top w:val="none" w:sz="0" w:space="0" w:color="auto"/>
        <w:left w:val="none" w:sz="0" w:space="0" w:color="auto"/>
        <w:bottom w:val="none" w:sz="0" w:space="0" w:color="auto"/>
        <w:right w:val="none" w:sz="0" w:space="0" w:color="auto"/>
      </w:divBdr>
    </w:div>
    <w:div w:id="1316567199">
      <w:bodyDiv w:val="1"/>
      <w:marLeft w:val="0"/>
      <w:marRight w:val="0"/>
      <w:marTop w:val="0"/>
      <w:marBottom w:val="0"/>
      <w:divBdr>
        <w:top w:val="none" w:sz="0" w:space="0" w:color="auto"/>
        <w:left w:val="none" w:sz="0" w:space="0" w:color="auto"/>
        <w:bottom w:val="none" w:sz="0" w:space="0" w:color="auto"/>
        <w:right w:val="none" w:sz="0" w:space="0" w:color="auto"/>
      </w:divBdr>
    </w:div>
    <w:div w:id="1316838139">
      <w:bodyDiv w:val="1"/>
      <w:marLeft w:val="0"/>
      <w:marRight w:val="0"/>
      <w:marTop w:val="0"/>
      <w:marBottom w:val="0"/>
      <w:divBdr>
        <w:top w:val="none" w:sz="0" w:space="0" w:color="auto"/>
        <w:left w:val="none" w:sz="0" w:space="0" w:color="auto"/>
        <w:bottom w:val="none" w:sz="0" w:space="0" w:color="auto"/>
        <w:right w:val="none" w:sz="0" w:space="0" w:color="auto"/>
      </w:divBdr>
    </w:div>
    <w:div w:id="1317152148">
      <w:bodyDiv w:val="1"/>
      <w:marLeft w:val="0"/>
      <w:marRight w:val="0"/>
      <w:marTop w:val="0"/>
      <w:marBottom w:val="0"/>
      <w:divBdr>
        <w:top w:val="none" w:sz="0" w:space="0" w:color="auto"/>
        <w:left w:val="none" w:sz="0" w:space="0" w:color="auto"/>
        <w:bottom w:val="none" w:sz="0" w:space="0" w:color="auto"/>
        <w:right w:val="none" w:sz="0" w:space="0" w:color="auto"/>
      </w:divBdr>
    </w:div>
    <w:div w:id="1317536941">
      <w:bodyDiv w:val="1"/>
      <w:marLeft w:val="0"/>
      <w:marRight w:val="0"/>
      <w:marTop w:val="0"/>
      <w:marBottom w:val="0"/>
      <w:divBdr>
        <w:top w:val="none" w:sz="0" w:space="0" w:color="auto"/>
        <w:left w:val="none" w:sz="0" w:space="0" w:color="auto"/>
        <w:bottom w:val="none" w:sz="0" w:space="0" w:color="auto"/>
        <w:right w:val="none" w:sz="0" w:space="0" w:color="auto"/>
      </w:divBdr>
    </w:div>
    <w:div w:id="1317539204">
      <w:bodyDiv w:val="1"/>
      <w:marLeft w:val="0"/>
      <w:marRight w:val="0"/>
      <w:marTop w:val="0"/>
      <w:marBottom w:val="0"/>
      <w:divBdr>
        <w:top w:val="none" w:sz="0" w:space="0" w:color="auto"/>
        <w:left w:val="none" w:sz="0" w:space="0" w:color="auto"/>
        <w:bottom w:val="none" w:sz="0" w:space="0" w:color="auto"/>
        <w:right w:val="none" w:sz="0" w:space="0" w:color="auto"/>
      </w:divBdr>
    </w:div>
    <w:div w:id="1317612855">
      <w:bodyDiv w:val="1"/>
      <w:marLeft w:val="0"/>
      <w:marRight w:val="0"/>
      <w:marTop w:val="0"/>
      <w:marBottom w:val="0"/>
      <w:divBdr>
        <w:top w:val="none" w:sz="0" w:space="0" w:color="auto"/>
        <w:left w:val="none" w:sz="0" w:space="0" w:color="auto"/>
        <w:bottom w:val="none" w:sz="0" w:space="0" w:color="auto"/>
        <w:right w:val="none" w:sz="0" w:space="0" w:color="auto"/>
      </w:divBdr>
    </w:div>
    <w:div w:id="1317952384">
      <w:bodyDiv w:val="1"/>
      <w:marLeft w:val="0"/>
      <w:marRight w:val="0"/>
      <w:marTop w:val="0"/>
      <w:marBottom w:val="0"/>
      <w:divBdr>
        <w:top w:val="none" w:sz="0" w:space="0" w:color="auto"/>
        <w:left w:val="none" w:sz="0" w:space="0" w:color="auto"/>
        <w:bottom w:val="none" w:sz="0" w:space="0" w:color="auto"/>
        <w:right w:val="none" w:sz="0" w:space="0" w:color="auto"/>
      </w:divBdr>
    </w:div>
    <w:div w:id="1318068859">
      <w:bodyDiv w:val="1"/>
      <w:marLeft w:val="0"/>
      <w:marRight w:val="0"/>
      <w:marTop w:val="0"/>
      <w:marBottom w:val="0"/>
      <w:divBdr>
        <w:top w:val="none" w:sz="0" w:space="0" w:color="auto"/>
        <w:left w:val="none" w:sz="0" w:space="0" w:color="auto"/>
        <w:bottom w:val="none" w:sz="0" w:space="0" w:color="auto"/>
        <w:right w:val="none" w:sz="0" w:space="0" w:color="auto"/>
      </w:divBdr>
    </w:div>
    <w:div w:id="1319337947">
      <w:bodyDiv w:val="1"/>
      <w:marLeft w:val="0"/>
      <w:marRight w:val="0"/>
      <w:marTop w:val="0"/>
      <w:marBottom w:val="0"/>
      <w:divBdr>
        <w:top w:val="none" w:sz="0" w:space="0" w:color="auto"/>
        <w:left w:val="none" w:sz="0" w:space="0" w:color="auto"/>
        <w:bottom w:val="none" w:sz="0" w:space="0" w:color="auto"/>
        <w:right w:val="none" w:sz="0" w:space="0" w:color="auto"/>
      </w:divBdr>
    </w:div>
    <w:div w:id="1319655215">
      <w:bodyDiv w:val="1"/>
      <w:marLeft w:val="0"/>
      <w:marRight w:val="0"/>
      <w:marTop w:val="0"/>
      <w:marBottom w:val="0"/>
      <w:divBdr>
        <w:top w:val="none" w:sz="0" w:space="0" w:color="auto"/>
        <w:left w:val="none" w:sz="0" w:space="0" w:color="auto"/>
        <w:bottom w:val="none" w:sz="0" w:space="0" w:color="auto"/>
        <w:right w:val="none" w:sz="0" w:space="0" w:color="auto"/>
      </w:divBdr>
    </w:div>
    <w:div w:id="1319841931">
      <w:bodyDiv w:val="1"/>
      <w:marLeft w:val="0"/>
      <w:marRight w:val="0"/>
      <w:marTop w:val="0"/>
      <w:marBottom w:val="0"/>
      <w:divBdr>
        <w:top w:val="none" w:sz="0" w:space="0" w:color="auto"/>
        <w:left w:val="none" w:sz="0" w:space="0" w:color="auto"/>
        <w:bottom w:val="none" w:sz="0" w:space="0" w:color="auto"/>
        <w:right w:val="none" w:sz="0" w:space="0" w:color="auto"/>
      </w:divBdr>
    </w:div>
    <w:div w:id="1320160690">
      <w:bodyDiv w:val="1"/>
      <w:marLeft w:val="0"/>
      <w:marRight w:val="0"/>
      <w:marTop w:val="0"/>
      <w:marBottom w:val="0"/>
      <w:divBdr>
        <w:top w:val="none" w:sz="0" w:space="0" w:color="auto"/>
        <w:left w:val="none" w:sz="0" w:space="0" w:color="auto"/>
        <w:bottom w:val="none" w:sz="0" w:space="0" w:color="auto"/>
        <w:right w:val="none" w:sz="0" w:space="0" w:color="auto"/>
      </w:divBdr>
    </w:div>
    <w:div w:id="1320234276">
      <w:bodyDiv w:val="1"/>
      <w:marLeft w:val="0"/>
      <w:marRight w:val="0"/>
      <w:marTop w:val="0"/>
      <w:marBottom w:val="0"/>
      <w:divBdr>
        <w:top w:val="none" w:sz="0" w:space="0" w:color="auto"/>
        <w:left w:val="none" w:sz="0" w:space="0" w:color="auto"/>
        <w:bottom w:val="none" w:sz="0" w:space="0" w:color="auto"/>
        <w:right w:val="none" w:sz="0" w:space="0" w:color="auto"/>
      </w:divBdr>
    </w:div>
    <w:div w:id="1321888970">
      <w:bodyDiv w:val="1"/>
      <w:marLeft w:val="0"/>
      <w:marRight w:val="0"/>
      <w:marTop w:val="0"/>
      <w:marBottom w:val="0"/>
      <w:divBdr>
        <w:top w:val="none" w:sz="0" w:space="0" w:color="auto"/>
        <w:left w:val="none" w:sz="0" w:space="0" w:color="auto"/>
        <w:bottom w:val="none" w:sz="0" w:space="0" w:color="auto"/>
        <w:right w:val="none" w:sz="0" w:space="0" w:color="auto"/>
      </w:divBdr>
    </w:div>
    <w:div w:id="1323897695">
      <w:bodyDiv w:val="1"/>
      <w:marLeft w:val="0"/>
      <w:marRight w:val="0"/>
      <w:marTop w:val="0"/>
      <w:marBottom w:val="0"/>
      <w:divBdr>
        <w:top w:val="none" w:sz="0" w:space="0" w:color="auto"/>
        <w:left w:val="none" w:sz="0" w:space="0" w:color="auto"/>
        <w:bottom w:val="none" w:sz="0" w:space="0" w:color="auto"/>
        <w:right w:val="none" w:sz="0" w:space="0" w:color="auto"/>
      </w:divBdr>
    </w:div>
    <w:div w:id="1327393754">
      <w:bodyDiv w:val="1"/>
      <w:marLeft w:val="0"/>
      <w:marRight w:val="0"/>
      <w:marTop w:val="0"/>
      <w:marBottom w:val="0"/>
      <w:divBdr>
        <w:top w:val="none" w:sz="0" w:space="0" w:color="auto"/>
        <w:left w:val="none" w:sz="0" w:space="0" w:color="auto"/>
        <w:bottom w:val="none" w:sz="0" w:space="0" w:color="auto"/>
        <w:right w:val="none" w:sz="0" w:space="0" w:color="auto"/>
      </w:divBdr>
    </w:div>
    <w:div w:id="1328053182">
      <w:bodyDiv w:val="1"/>
      <w:marLeft w:val="0"/>
      <w:marRight w:val="0"/>
      <w:marTop w:val="0"/>
      <w:marBottom w:val="0"/>
      <w:divBdr>
        <w:top w:val="none" w:sz="0" w:space="0" w:color="auto"/>
        <w:left w:val="none" w:sz="0" w:space="0" w:color="auto"/>
        <w:bottom w:val="none" w:sz="0" w:space="0" w:color="auto"/>
        <w:right w:val="none" w:sz="0" w:space="0" w:color="auto"/>
      </w:divBdr>
    </w:div>
    <w:div w:id="1328098873">
      <w:bodyDiv w:val="1"/>
      <w:marLeft w:val="0"/>
      <w:marRight w:val="0"/>
      <w:marTop w:val="0"/>
      <w:marBottom w:val="0"/>
      <w:divBdr>
        <w:top w:val="none" w:sz="0" w:space="0" w:color="auto"/>
        <w:left w:val="none" w:sz="0" w:space="0" w:color="auto"/>
        <w:bottom w:val="none" w:sz="0" w:space="0" w:color="auto"/>
        <w:right w:val="none" w:sz="0" w:space="0" w:color="auto"/>
      </w:divBdr>
    </w:div>
    <w:div w:id="1329021852">
      <w:bodyDiv w:val="1"/>
      <w:marLeft w:val="0"/>
      <w:marRight w:val="0"/>
      <w:marTop w:val="0"/>
      <w:marBottom w:val="0"/>
      <w:divBdr>
        <w:top w:val="none" w:sz="0" w:space="0" w:color="auto"/>
        <w:left w:val="none" w:sz="0" w:space="0" w:color="auto"/>
        <w:bottom w:val="none" w:sz="0" w:space="0" w:color="auto"/>
        <w:right w:val="none" w:sz="0" w:space="0" w:color="auto"/>
      </w:divBdr>
    </w:div>
    <w:div w:id="1329483269">
      <w:bodyDiv w:val="1"/>
      <w:marLeft w:val="0"/>
      <w:marRight w:val="0"/>
      <w:marTop w:val="0"/>
      <w:marBottom w:val="0"/>
      <w:divBdr>
        <w:top w:val="none" w:sz="0" w:space="0" w:color="auto"/>
        <w:left w:val="none" w:sz="0" w:space="0" w:color="auto"/>
        <w:bottom w:val="none" w:sz="0" w:space="0" w:color="auto"/>
        <w:right w:val="none" w:sz="0" w:space="0" w:color="auto"/>
      </w:divBdr>
    </w:div>
    <w:div w:id="1330138445">
      <w:bodyDiv w:val="1"/>
      <w:marLeft w:val="0"/>
      <w:marRight w:val="0"/>
      <w:marTop w:val="0"/>
      <w:marBottom w:val="0"/>
      <w:divBdr>
        <w:top w:val="none" w:sz="0" w:space="0" w:color="auto"/>
        <w:left w:val="none" w:sz="0" w:space="0" w:color="auto"/>
        <w:bottom w:val="none" w:sz="0" w:space="0" w:color="auto"/>
        <w:right w:val="none" w:sz="0" w:space="0" w:color="auto"/>
      </w:divBdr>
    </w:div>
    <w:div w:id="1330521146">
      <w:bodyDiv w:val="1"/>
      <w:marLeft w:val="0"/>
      <w:marRight w:val="0"/>
      <w:marTop w:val="0"/>
      <w:marBottom w:val="0"/>
      <w:divBdr>
        <w:top w:val="none" w:sz="0" w:space="0" w:color="auto"/>
        <w:left w:val="none" w:sz="0" w:space="0" w:color="auto"/>
        <w:bottom w:val="none" w:sz="0" w:space="0" w:color="auto"/>
        <w:right w:val="none" w:sz="0" w:space="0" w:color="auto"/>
      </w:divBdr>
    </w:div>
    <w:div w:id="1330905768">
      <w:bodyDiv w:val="1"/>
      <w:marLeft w:val="0"/>
      <w:marRight w:val="0"/>
      <w:marTop w:val="0"/>
      <w:marBottom w:val="0"/>
      <w:divBdr>
        <w:top w:val="none" w:sz="0" w:space="0" w:color="auto"/>
        <w:left w:val="none" w:sz="0" w:space="0" w:color="auto"/>
        <w:bottom w:val="none" w:sz="0" w:space="0" w:color="auto"/>
        <w:right w:val="none" w:sz="0" w:space="0" w:color="auto"/>
      </w:divBdr>
    </w:div>
    <w:div w:id="1331904271">
      <w:bodyDiv w:val="1"/>
      <w:marLeft w:val="0"/>
      <w:marRight w:val="0"/>
      <w:marTop w:val="0"/>
      <w:marBottom w:val="0"/>
      <w:divBdr>
        <w:top w:val="none" w:sz="0" w:space="0" w:color="auto"/>
        <w:left w:val="none" w:sz="0" w:space="0" w:color="auto"/>
        <w:bottom w:val="none" w:sz="0" w:space="0" w:color="auto"/>
        <w:right w:val="none" w:sz="0" w:space="0" w:color="auto"/>
      </w:divBdr>
    </w:div>
    <w:div w:id="1331909225">
      <w:bodyDiv w:val="1"/>
      <w:marLeft w:val="0"/>
      <w:marRight w:val="0"/>
      <w:marTop w:val="0"/>
      <w:marBottom w:val="0"/>
      <w:divBdr>
        <w:top w:val="none" w:sz="0" w:space="0" w:color="auto"/>
        <w:left w:val="none" w:sz="0" w:space="0" w:color="auto"/>
        <w:bottom w:val="none" w:sz="0" w:space="0" w:color="auto"/>
        <w:right w:val="none" w:sz="0" w:space="0" w:color="auto"/>
      </w:divBdr>
    </w:div>
    <w:div w:id="1332558972">
      <w:bodyDiv w:val="1"/>
      <w:marLeft w:val="0"/>
      <w:marRight w:val="0"/>
      <w:marTop w:val="0"/>
      <w:marBottom w:val="0"/>
      <w:divBdr>
        <w:top w:val="none" w:sz="0" w:space="0" w:color="auto"/>
        <w:left w:val="none" w:sz="0" w:space="0" w:color="auto"/>
        <w:bottom w:val="none" w:sz="0" w:space="0" w:color="auto"/>
        <w:right w:val="none" w:sz="0" w:space="0" w:color="auto"/>
      </w:divBdr>
    </w:div>
    <w:div w:id="1333602377">
      <w:bodyDiv w:val="1"/>
      <w:marLeft w:val="0"/>
      <w:marRight w:val="0"/>
      <w:marTop w:val="0"/>
      <w:marBottom w:val="0"/>
      <w:divBdr>
        <w:top w:val="none" w:sz="0" w:space="0" w:color="auto"/>
        <w:left w:val="none" w:sz="0" w:space="0" w:color="auto"/>
        <w:bottom w:val="none" w:sz="0" w:space="0" w:color="auto"/>
        <w:right w:val="none" w:sz="0" w:space="0" w:color="auto"/>
      </w:divBdr>
    </w:div>
    <w:div w:id="1334531417">
      <w:bodyDiv w:val="1"/>
      <w:marLeft w:val="0"/>
      <w:marRight w:val="0"/>
      <w:marTop w:val="0"/>
      <w:marBottom w:val="0"/>
      <w:divBdr>
        <w:top w:val="none" w:sz="0" w:space="0" w:color="auto"/>
        <w:left w:val="none" w:sz="0" w:space="0" w:color="auto"/>
        <w:bottom w:val="none" w:sz="0" w:space="0" w:color="auto"/>
        <w:right w:val="none" w:sz="0" w:space="0" w:color="auto"/>
      </w:divBdr>
    </w:div>
    <w:div w:id="1335915351">
      <w:bodyDiv w:val="1"/>
      <w:marLeft w:val="0"/>
      <w:marRight w:val="0"/>
      <w:marTop w:val="0"/>
      <w:marBottom w:val="0"/>
      <w:divBdr>
        <w:top w:val="none" w:sz="0" w:space="0" w:color="auto"/>
        <w:left w:val="none" w:sz="0" w:space="0" w:color="auto"/>
        <w:bottom w:val="none" w:sz="0" w:space="0" w:color="auto"/>
        <w:right w:val="none" w:sz="0" w:space="0" w:color="auto"/>
      </w:divBdr>
    </w:div>
    <w:div w:id="1336305529">
      <w:bodyDiv w:val="1"/>
      <w:marLeft w:val="0"/>
      <w:marRight w:val="0"/>
      <w:marTop w:val="0"/>
      <w:marBottom w:val="0"/>
      <w:divBdr>
        <w:top w:val="none" w:sz="0" w:space="0" w:color="auto"/>
        <w:left w:val="none" w:sz="0" w:space="0" w:color="auto"/>
        <w:bottom w:val="none" w:sz="0" w:space="0" w:color="auto"/>
        <w:right w:val="none" w:sz="0" w:space="0" w:color="auto"/>
      </w:divBdr>
    </w:div>
    <w:div w:id="1336568973">
      <w:bodyDiv w:val="1"/>
      <w:marLeft w:val="0"/>
      <w:marRight w:val="0"/>
      <w:marTop w:val="0"/>
      <w:marBottom w:val="0"/>
      <w:divBdr>
        <w:top w:val="none" w:sz="0" w:space="0" w:color="auto"/>
        <w:left w:val="none" w:sz="0" w:space="0" w:color="auto"/>
        <w:bottom w:val="none" w:sz="0" w:space="0" w:color="auto"/>
        <w:right w:val="none" w:sz="0" w:space="0" w:color="auto"/>
      </w:divBdr>
    </w:div>
    <w:div w:id="1339500360">
      <w:bodyDiv w:val="1"/>
      <w:marLeft w:val="0"/>
      <w:marRight w:val="0"/>
      <w:marTop w:val="0"/>
      <w:marBottom w:val="0"/>
      <w:divBdr>
        <w:top w:val="none" w:sz="0" w:space="0" w:color="auto"/>
        <w:left w:val="none" w:sz="0" w:space="0" w:color="auto"/>
        <w:bottom w:val="none" w:sz="0" w:space="0" w:color="auto"/>
        <w:right w:val="none" w:sz="0" w:space="0" w:color="auto"/>
      </w:divBdr>
    </w:div>
    <w:div w:id="1339694953">
      <w:bodyDiv w:val="1"/>
      <w:marLeft w:val="0"/>
      <w:marRight w:val="0"/>
      <w:marTop w:val="0"/>
      <w:marBottom w:val="0"/>
      <w:divBdr>
        <w:top w:val="none" w:sz="0" w:space="0" w:color="auto"/>
        <w:left w:val="none" w:sz="0" w:space="0" w:color="auto"/>
        <w:bottom w:val="none" w:sz="0" w:space="0" w:color="auto"/>
        <w:right w:val="none" w:sz="0" w:space="0" w:color="auto"/>
      </w:divBdr>
    </w:div>
    <w:div w:id="1339846694">
      <w:bodyDiv w:val="1"/>
      <w:marLeft w:val="0"/>
      <w:marRight w:val="0"/>
      <w:marTop w:val="0"/>
      <w:marBottom w:val="0"/>
      <w:divBdr>
        <w:top w:val="none" w:sz="0" w:space="0" w:color="auto"/>
        <w:left w:val="none" w:sz="0" w:space="0" w:color="auto"/>
        <w:bottom w:val="none" w:sz="0" w:space="0" w:color="auto"/>
        <w:right w:val="none" w:sz="0" w:space="0" w:color="auto"/>
      </w:divBdr>
    </w:div>
    <w:div w:id="1339967706">
      <w:bodyDiv w:val="1"/>
      <w:marLeft w:val="0"/>
      <w:marRight w:val="0"/>
      <w:marTop w:val="0"/>
      <w:marBottom w:val="0"/>
      <w:divBdr>
        <w:top w:val="none" w:sz="0" w:space="0" w:color="auto"/>
        <w:left w:val="none" w:sz="0" w:space="0" w:color="auto"/>
        <w:bottom w:val="none" w:sz="0" w:space="0" w:color="auto"/>
        <w:right w:val="none" w:sz="0" w:space="0" w:color="auto"/>
      </w:divBdr>
    </w:div>
    <w:div w:id="1340424631">
      <w:bodyDiv w:val="1"/>
      <w:marLeft w:val="0"/>
      <w:marRight w:val="0"/>
      <w:marTop w:val="0"/>
      <w:marBottom w:val="0"/>
      <w:divBdr>
        <w:top w:val="none" w:sz="0" w:space="0" w:color="auto"/>
        <w:left w:val="none" w:sz="0" w:space="0" w:color="auto"/>
        <w:bottom w:val="none" w:sz="0" w:space="0" w:color="auto"/>
        <w:right w:val="none" w:sz="0" w:space="0" w:color="auto"/>
      </w:divBdr>
    </w:div>
    <w:div w:id="1340884918">
      <w:bodyDiv w:val="1"/>
      <w:marLeft w:val="0"/>
      <w:marRight w:val="0"/>
      <w:marTop w:val="0"/>
      <w:marBottom w:val="0"/>
      <w:divBdr>
        <w:top w:val="none" w:sz="0" w:space="0" w:color="auto"/>
        <w:left w:val="none" w:sz="0" w:space="0" w:color="auto"/>
        <w:bottom w:val="none" w:sz="0" w:space="0" w:color="auto"/>
        <w:right w:val="none" w:sz="0" w:space="0" w:color="auto"/>
      </w:divBdr>
    </w:div>
    <w:div w:id="1340933051">
      <w:bodyDiv w:val="1"/>
      <w:marLeft w:val="0"/>
      <w:marRight w:val="0"/>
      <w:marTop w:val="0"/>
      <w:marBottom w:val="0"/>
      <w:divBdr>
        <w:top w:val="none" w:sz="0" w:space="0" w:color="auto"/>
        <w:left w:val="none" w:sz="0" w:space="0" w:color="auto"/>
        <w:bottom w:val="none" w:sz="0" w:space="0" w:color="auto"/>
        <w:right w:val="none" w:sz="0" w:space="0" w:color="auto"/>
      </w:divBdr>
    </w:div>
    <w:div w:id="1341543060">
      <w:bodyDiv w:val="1"/>
      <w:marLeft w:val="0"/>
      <w:marRight w:val="0"/>
      <w:marTop w:val="0"/>
      <w:marBottom w:val="0"/>
      <w:divBdr>
        <w:top w:val="none" w:sz="0" w:space="0" w:color="auto"/>
        <w:left w:val="none" w:sz="0" w:space="0" w:color="auto"/>
        <w:bottom w:val="none" w:sz="0" w:space="0" w:color="auto"/>
        <w:right w:val="none" w:sz="0" w:space="0" w:color="auto"/>
      </w:divBdr>
    </w:div>
    <w:div w:id="1343119219">
      <w:bodyDiv w:val="1"/>
      <w:marLeft w:val="0"/>
      <w:marRight w:val="0"/>
      <w:marTop w:val="0"/>
      <w:marBottom w:val="0"/>
      <w:divBdr>
        <w:top w:val="none" w:sz="0" w:space="0" w:color="auto"/>
        <w:left w:val="none" w:sz="0" w:space="0" w:color="auto"/>
        <w:bottom w:val="none" w:sz="0" w:space="0" w:color="auto"/>
        <w:right w:val="none" w:sz="0" w:space="0" w:color="auto"/>
      </w:divBdr>
    </w:div>
    <w:div w:id="1343819002">
      <w:bodyDiv w:val="1"/>
      <w:marLeft w:val="0"/>
      <w:marRight w:val="0"/>
      <w:marTop w:val="0"/>
      <w:marBottom w:val="0"/>
      <w:divBdr>
        <w:top w:val="none" w:sz="0" w:space="0" w:color="auto"/>
        <w:left w:val="none" w:sz="0" w:space="0" w:color="auto"/>
        <w:bottom w:val="none" w:sz="0" w:space="0" w:color="auto"/>
        <w:right w:val="none" w:sz="0" w:space="0" w:color="auto"/>
      </w:divBdr>
    </w:div>
    <w:div w:id="1343819606">
      <w:bodyDiv w:val="1"/>
      <w:marLeft w:val="0"/>
      <w:marRight w:val="0"/>
      <w:marTop w:val="0"/>
      <w:marBottom w:val="0"/>
      <w:divBdr>
        <w:top w:val="none" w:sz="0" w:space="0" w:color="auto"/>
        <w:left w:val="none" w:sz="0" w:space="0" w:color="auto"/>
        <w:bottom w:val="none" w:sz="0" w:space="0" w:color="auto"/>
        <w:right w:val="none" w:sz="0" w:space="0" w:color="auto"/>
      </w:divBdr>
    </w:div>
    <w:div w:id="1345017011">
      <w:bodyDiv w:val="1"/>
      <w:marLeft w:val="0"/>
      <w:marRight w:val="0"/>
      <w:marTop w:val="0"/>
      <w:marBottom w:val="0"/>
      <w:divBdr>
        <w:top w:val="none" w:sz="0" w:space="0" w:color="auto"/>
        <w:left w:val="none" w:sz="0" w:space="0" w:color="auto"/>
        <w:bottom w:val="none" w:sz="0" w:space="0" w:color="auto"/>
        <w:right w:val="none" w:sz="0" w:space="0" w:color="auto"/>
      </w:divBdr>
    </w:div>
    <w:div w:id="1345203970">
      <w:bodyDiv w:val="1"/>
      <w:marLeft w:val="0"/>
      <w:marRight w:val="0"/>
      <w:marTop w:val="0"/>
      <w:marBottom w:val="0"/>
      <w:divBdr>
        <w:top w:val="none" w:sz="0" w:space="0" w:color="auto"/>
        <w:left w:val="none" w:sz="0" w:space="0" w:color="auto"/>
        <w:bottom w:val="none" w:sz="0" w:space="0" w:color="auto"/>
        <w:right w:val="none" w:sz="0" w:space="0" w:color="auto"/>
      </w:divBdr>
    </w:div>
    <w:div w:id="1346710429">
      <w:bodyDiv w:val="1"/>
      <w:marLeft w:val="0"/>
      <w:marRight w:val="0"/>
      <w:marTop w:val="0"/>
      <w:marBottom w:val="0"/>
      <w:divBdr>
        <w:top w:val="none" w:sz="0" w:space="0" w:color="auto"/>
        <w:left w:val="none" w:sz="0" w:space="0" w:color="auto"/>
        <w:bottom w:val="none" w:sz="0" w:space="0" w:color="auto"/>
        <w:right w:val="none" w:sz="0" w:space="0" w:color="auto"/>
      </w:divBdr>
    </w:div>
    <w:div w:id="1346974636">
      <w:bodyDiv w:val="1"/>
      <w:marLeft w:val="0"/>
      <w:marRight w:val="0"/>
      <w:marTop w:val="0"/>
      <w:marBottom w:val="0"/>
      <w:divBdr>
        <w:top w:val="none" w:sz="0" w:space="0" w:color="auto"/>
        <w:left w:val="none" w:sz="0" w:space="0" w:color="auto"/>
        <w:bottom w:val="none" w:sz="0" w:space="0" w:color="auto"/>
        <w:right w:val="none" w:sz="0" w:space="0" w:color="auto"/>
      </w:divBdr>
    </w:div>
    <w:div w:id="1347244328">
      <w:bodyDiv w:val="1"/>
      <w:marLeft w:val="0"/>
      <w:marRight w:val="0"/>
      <w:marTop w:val="0"/>
      <w:marBottom w:val="0"/>
      <w:divBdr>
        <w:top w:val="none" w:sz="0" w:space="0" w:color="auto"/>
        <w:left w:val="none" w:sz="0" w:space="0" w:color="auto"/>
        <w:bottom w:val="none" w:sz="0" w:space="0" w:color="auto"/>
        <w:right w:val="none" w:sz="0" w:space="0" w:color="auto"/>
      </w:divBdr>
    </w:div>
    <w:div w:id="1347637821">
      <w:bodyDiv w:val="1"/>
      <w:marLeft w:val="0"/>
      <w:marRight w:val="0"/>
      <w:marTop w:val="0"/>
      <w:marBottom w:val="0"/>
      <w:divBdr>
        <w:top w:val="none" w:sz="0" w:space="0" w:color="auto"/>
        <w:left w:val="none" w:sz="0" w:space="0" w:color="auto"/>
        <w:bottom w:val="none" w:sz="0" w:space="0" w:color="auto"/>
        <w:right w:val="none" w:sz="0" w:space="0" w:color="auto"/>
      </w:divBdr>
    </w:div>
    <w:div w:id="1348017918">
      <w:bodyDiv w:val="1"/>
      <w:marLeft w:val="0"/>
      <w:marRight w:val="0"/>
      <w:marTop w:val="0"/>
      <w:marBottom w:val="0"/>
      <w:divBdr>
        <w:top w:val="none" w:sz="0" w:space="0" w:color="auto"/>
        <w:left w:val="none" w:sz="0" w:space="0" w:color="auto"/>
        <w:bottom w:val="none" w:sz="0" w:space="0" w:color="auto"/>
        <w:right w:val="none" w:sz="0" w:space="0" w:color="auto"/>
      </w:divBdr>
    </w:div>
    <w:div w:id="1348871559">
      <w:bodyDiv w:val="1"/>
      <w:marLeft w:val="0"/>
      <w:marRight w:val="0"/>
      <w:marTop w:val="0"/>
      <w:marBottom w:val="0"/>
      <w:divBdr>
        <w:top w:val="none" w:sz="0" w:space="0" w:color="auto"/>
        <w:left w:val="none" w:sz="0" w:space="0" w:color="auto"/>
        <w:bottom w:val="none" w:sz="0" w:space="0" w:color="auto"/>
        <w:right w:val="none" w:sz="0" w:space="0" w:color="auto"/>
      </w:divBdr>
    </w:div>
    <w:div w:id="1349671861">
      <w:bodyDiv w:val="1"/>
      <w:marLeft w:val="0"/>
      <w:marRight w:val="0"/>
      <w:marTop w:val="0"/>
      <w:marBottom w:val="0"/>
      <w:divBdr>
        <w:top w:val="none" w:sz="0" w:space="0" w:color="auto"/>
        <w:left w:val="none" w:sz="0" w:space="0" w:color="auto"/>
        <w:bottom w:val="none" w:sz="0" w:space="0" w:color="auto"/>
        <w:right w:val="none" w:sz="0" w:space="0" w:color="auto"/>
      </w:divBdr>
    </w:div>
    <w:div w:id="1349913999">
      <w:bodyDiv w:val="1"/>
      <w:marLeft w:val="0"/>
      <w:marRight w:val="0"/>
      <w:marTop w:val="0"/>
      <w:marBottom w:val="0"/>
      <w:divBdr>
        <w:top w:val="none" w:sz="0" w:space="0" w:color="auto"/>
        <w:left w:val="none" w:sz="0" w:space="0" w:color="auto"/>
        <w:bottom w:val="none" w:sz="0" w:space="0" w:color="auto"/>
        <w:right w:val="none" w:sz="0" w:space="0" w:color="auto"/>
      </w:divBdr>
    </w:div>
    <w:div w:id="1351030367">
      <w:bodyDiv w:val="1"/>
      <w:marLeft w:val="0"/>
      <w:marRight w:val="0"/>
      <w:marTop w:val="0"/>
      <w:marBottom w:val="0"/>
      <w:divBdr>
        <w:top w:val="none" w:sz="0" w:space="0" w:color="auto"/>
        <w:left w:val="none" w:sz="0" w:space="0" w:color="auto"/>
        <w:bottom w:val="none" w:sz="0" w:space="0" w:color="auto"/>
        <w:right w:val="none" w:sz="0" w:space="0" w:color="auto"/>
      </w:divBdr>
    </w:div>
    <w:div w:id="1351032184">
      <w:bodyDiv w:val="1"/>
      <w:marLeft w:val="0"/>
      <w:marRight w:val="0"/>
      <w:marTop w:val="0"/>
      <w:marBottom w:val="0"/>
      <w:divBdr>
        <w:top w:val="none" w:sz="0" w:space="0" w:color="auto"/>
        <w:left w:val="none" w:sz="0" w:space="0" w:color="auto"/>
        <w:bottom w:val="none" w:sz="0" w:space="0" w:color="auto"/>
        <w:right w:val="none" w:sz="0" w:space="0" w:color="auto"/>
      </w:divBdr>
    </w:div>
    <w:div w:id="1351377642">
      <w:bodyDiv w:val="1"/>
      <w:marLeft w:val="0"/>
      <w:marRight w:val="0"/>
      <w:marTop w:val="0"/>
      <w:marBottom w:val="0"/>
      <w:divBdr>
        <w:top w:val="none" w:sz="0" w:space="0" w:color="auto"/>
        <w:left w:val="none" w:sz="0" w:space="0" w:color="auto"/>
        <w:bottom w:val="none" w:sz="0" w:space="0" w:color="auto"/>
        <w:right w:val="none" w:sz="0" w:space="0" w:color="auto"/>
      </w:divBdr>
    </w:div>
    <w:div w:id="1351444374">
      <w:bodyDiv w:val="1"/>
      <w:marLeft w:val="0"/>
      <w:marRight w:val="0"/>
      <w:marTop w:val="0"/>
      <w:marBottom w:val="0"/>
      <w:divBdr>
        <w:top w:val="none" w:sz="0" w:space="0" w:color="auto"/>
        <w:left w:val="none" w:sz="0" w:space="0" w:color="auto"/>
        <w:bottom w:val="none" w:sz="0" w:space="0" w:color="auto"/>
        <w:right w:val="none" w:sz="0" w:space="0" w:color="auto"/>
      </w:divBdr>
    </w:div>
    <w:div w:id="1351761359">
      <w:bodyDiv w:val="1"/>
      <w:marLeft w:val="0"/>
      <w:marRight w:val="0"/>
      <w:marTop w:val="0"/>
      <w:marBottom w:val="0"/>
      <w:divBdr>
        <w:top w:val="none" w:sz="0" w:space="0" w:color="auto"/>
        <w:left w:val="none" w:sz="0" w:space="0" w:color="auto"/>
        <w:bottom w:val="none" w:sz="0" w:space="0" w:color="auto"/>
        <w:right w:val="none" w:sz="0" w:space="0" w:color="auto"/>
      </w:divBdr>
    </w:div>
    <w:div w:id="1351835053">
      <w:bodyDiv w:val="1"/>
      <w:marLeft w:val="0"/>
      <w:marRight w:val="0"/>
      <w:marTop w:val="0"/>
      <w:marBottom w:val="0"/>
      <w:divBdr>
        <w:top w:val="none" w:sz="0" w:space="0" w:color="auto"/>
        <w:left w:val="none" w:sz="0" w:space="0" w:color="auto"/>
        <w:bottom w:val="none" w:sz="0" w:space="0" w:color="auto"/>
        <w:right w:val="none" w:sz="0" w:space="0" w:color="auto"/>
      </w:divBdr>
    </w:div>
    <w:div w:id="1352683294">
      <w:bodyDiv w:val="1"/>
      <w:marLeft w:val="0"/>
      <w:marRight w:val="0"/>
      <w:marTop w:val="0"/>
      <w:marBottom w:val="0"/>
      <w:divBdr>
        <w:top w:val="none" w:sz="0" w:space="0" w:color="auto"/>
        <w:left w:val="none" w:sz="0" w:space="0" w:color="auto"/>
        <w:bottom w:val="none" w:sz="0" w:space="0" w:color="auto"/>
        <w:right w:val="none" w:sz="0" w:space="0" w:color="auto"/>
      </w:divBdr>
    </w:div>
    <w:div w:id="1352803672">
      <w:bodyDiv w:val="1"/>
      <w:marLeft w:val="0"/>
      <w:marRight w:val="0"/>
      <w:marTop w:val="0"/>
      <w:marBottom w:val="0"/>
      <w:divBdr>
        <w:top w:val="none" w:sz="0" w:space="0" w:color="auto"/>
        <w:left w:val="none" w:sz="0" w:space="0" w:color="auto"/>
        <w:bottom w:val="none" w:sz="0" w:space="0" w:color="auto"/>
        <w:right w:val="none" w:sz="0" w:space="0" w:color="auto"/>
      </w:divBdr>
    </w:div>
    <w:div w:id="1352993210">
      <w:bodyDiv w:val="1"/>
      <w:marLeft w:val="0"/>
      <w:marRight w:val="0"/>
      <w:marTop w:val="0"/>
      <w:marBottom w:val="0"/>
      <w:divBdr>
        <w:top w:val="none" w:sz="0" w:space="0" w:color="auto"/>
        <w:left w:val="none" w:sz="0" w:space="0" w:color="auto"/>
        <w:bottom w:val="none" w:sz="0" w:space="0" w:color="auto"/>
        <w:right w:val="none" w:sz="0" w:space="0" w:color="auto"/>
      </w:divBdr>
    </w:div>
    <w:div w:id="1353459473">
      <w:bodyDiv w:val="1"/>
      <w:marLeft w:val="0"/>
      <w:marRight w:val="0"/>
      <w:marTop w:val="0"/>
      <w:marBottom w:val="0"/>
      <w:divBdr>
        <w:top w:val="none" w:sz="0" w:space="0" w:color="auto"/>
        <w:left w:val="none" w:sz="0" w:space="0" w:color="auto"/>
        <w:bottom w:val="none" w:sz="0" w:space="0" w:color="auto"/>
        <w:right w:val="none" w:sz="0" w:space="0" w:color="auto"/>
      </w:divBdr>
    </w:div>
    <w:div w:id="1353727938">
      <w:bodyDiv w:val="1"/>
      <w:marLeft w:val="0"/>
      <w:marRight w:val="0"/>
      <w:marTop w:val="0"/>
      <w:marBottom w:val="0"/>
      <w:divBdr>
        <w:top w:val="none" w:sz="0" w:space="0" w:color="auto"/>
        <w:left w:val="none" w:sz="0" w:space="0" w:color="auto"/>
        <w:bottom w:val="none" w:sz="0" w:space="0" w:color="auto"/>
        <w:right w:val="none" w:sz="0" w:space="0" w:color="auto"/>
      </w:divBdr>
    </w:div>
    <w:div w:id="1353845780">
      <w:bodyDiv w:val="1"/>
      <w:marLeft w:val="0"/>
      <w:marRight w:val="0"/>
      <w:marTop w:val="0"/>
      <w:marBottom w:val="0"/>
      <w:divBdr>
        <w:top w:val="none" w:sz="0" w:space="0" w:color="auto"/>
        <w:left w:val="none" w:sz="0" w:space="0" w:color="auto"/>
        <w:bottom w:val="none" w:sz="0" w:space="0" w:color="auto"/>
        <w:right w:val="none" w:sz="0" w:space="0" w:color="auto"/>
      </w:divBdr>
    </w:div>
    <w:div w:id="1354764329">
      <w:bodyDiv w:val="1"/>
      <w:marLeft w:val="0"/>
      <w:marRight w:val="0"/>
      <w:marTop w:val="0"/>
      <w:marBottom w:val="0"/>
      <w:divBdr>
        <w:top w:val="none" w:sz="0" w:space="0" w:color="auto"/>
        <w:left w:val="none" w:sz="0" w:space="0" w:color="auto"/>
        <w:bottom w:val="none" w:sz="0" w:space="0" w:color="auto"/>
        <w:right w:val="none" w:sz="0" w:space="0" w:color="auto"/>
      </w:divBdr>
    </w:div>
    <w:div w:id="1357198163">
      <w:bodyDiv w:val="1"/>
      <w:marLeft w:val="0"/>
      <w:marRight w:val="0"/>
      <w:marTop w:val="0"/>
      <w:marBottom w:val="0"/>
      <w:divBdr>
        <w:top w:val="none" w:sz="0" w:space="0" w:color="auto"/>
        <w:left w:val="none" w:sz="0" w:space="0" w:color="auto"/>
        <w:bottom w:val="none" w:sz="0" w:space="0" w:color="auto"/>
        <w:right w:val="none" w:sz="0" w:space="0" w:color="auto"/>
      </w:divBdr>
    </w:div>
    <w:div w:id="1359697168">
      <w:bodyDiv w:val="1"/>
      <w:marLeft w:val="0"/>
      <w:marRight w:val="0"/>
      <w:marTop w:val="0"/>
      <w:marBottom w:val="0"/>
      <w:divBdr>
        <w:top w:val="none" w:sz="0" w:space="0" w:color="auto"/>
        <w:left w:val="none" w:sz="0" w:space="0" w:color="auto"/>
        <w:bottom w:val="none" w:sz="0" w:space="0" w:color="auto"/>
        <w:right w:val="none" w:sz="0" w:space="0" w:color="auto"/>
      </w:divBdr>
    </w:div>
    <w:div w:id="1360399332">
      <w:bodyDiv w:val="1"/>
      <w:marLeft w:val="0"/>
      <w:marRight w:val="0"/>
      <w:marTop w:val="0"/>
      <w:marBottom w:val="0"/>
      <w:divBdr>
        <w:top w:val="none" w:sz="0" w:space="0" w:color="auto"/>
        <w:left w:val="none" w:sz="0" w:space="0" w:color="auto"/>
        <w:bottom w:val="none" w:sz="0" w:space="0" w:color="auto"/>
        <w:right w:val="none" w:sz="0" w:space="0" w:color="auto"/>
      </w:divBdr>
    </w:div>
    <w:div w:id="1360472784">
      <w:bodyDiv w:val="1"/>
      <w:marLeft w:val="0"/>
      <w:marRight w:val="0"/>
      <w:marTop w:val="0"/>
      <w:marBottom w:val="0"/>
      <w:divBdr>
        <w:top w:val="none" w:sz="0" w:space="0" w:color="auto"/>
        <w:left w:val="none" w:sz="0" w:space="0" w:color="auto"/>
        <w:bottom w:val="none" w:sz="0" w:space="0" w:color="auto"/>
        <w:right w:val="none" w:sz="0" w:space="0" w:color="auto"/>
      </w:divBdr>
    </w:div>
    <w:div w:id="1360660218">
      <w:bodyDiv w:val="1"/>
      <w:marLeft w:val="0"/>
      <w:marRight w:val="0"/>
      <w:marTop w:val="0"/>
      <w:marBottom w:val="0"/>
      <w:divBdr>
        <w:top w:val="none" w:sz="0" w:space="0" w:color="auto"/>
        <w:left w:val="none" w:sz="0" w:space="0" w:color="auto"/>
        <w:bottom w:val="none" w:sz="0" w:space="0" w:color="auto"/>
        <w:right w:val="none" w:sz="0" w:space="0" w:color="auto"/>
      </w:divBdr>
    </w:div>
    <w:div w:id="1360936513">
      <w:bodyDiv w:val="1"/>
      <w:marLeft w:val="0"/>
      <w:marRight w:val="0"/>
      <w:marTop w:val="0"/>
      <w:marBottom w:val="0"/>
      <w:divBdr>
        <w:top w:val="none" w:sz="0" w:space="0" w:color="auto"/>
        <w:left w:val="none" w:sz="0" w:space="0" w:color="auto"/>
        <w:bottom w:val="none" w:sz="0" w:space="0" w:color="auto"/>
        <w:right w:val="none" w:sz="0" w:space="0" w:color="auto"/>
      </w:divBdr>
    </w:div>
    <w:div w:id="1361126289">
      <w:bodyDiv w:val="1"/>
      <w:marLeft w:val="0"/>
      <w:marRight w:val="0"/>
      <w:marTop w:val="0"/>
      <w:marBottom w:val="0"/>
      <w:divBdr>
        <w:top w:val="none" w:sz="0" w:space="0" w:color="auto"/>
        <w:left w:val="none" w:sz="0" w:space="0" w:color="auto"/>
        <w:bottom w:val="none" w:sz="0" w:space="0" w:color="auto"/>
        <w:right w:val="none" w:sz="0" w:space="0" w:color="auto"/>
      </w:divBdr>
    </w:div>
    <w:div w:id="1361662532">
      <w:bodyDiv w:val="1"/>
      <w:marLeft w:val="0"/>
      <w:marRight w:val="0"/>
      <w:marTop w:val="0"/>
      <w:marBottom w:val="0"/>
      <w:divBdr>
        <w:top w:val="none" w:sz="0" w:space="0" w:color="auto"/>
        <w:left w:val="none" w:sz="0" w:space="0" w:color="auto"/>
        <w:bottom w:val="none" w:sz="0" w:space="0" w:color="auto"/>
        <w:right w:val="none" w:sz="0" w:space="0" w:color="auto"/>
      </w:divBdr>
    </w:div>
    <w:div w:id="1361855413">
      <w:bodyDiv w:val="1"/>
      <w:marLeft w:val="0"/>
      <w:marRight w:val="0"/>
      <w:marTop w:val="0"/>
      <w:marBottom w:val="0"/>
      <w:divBdr>
        <w:top w:val="none" w:sz="0" w:space="0" w:color="auto"/>
        <w:left w:val="none" w:sz="0" w:space="0" w:color="auto"/>
        <w:bottom w:val="none" w:sz="0" w:space="0" w:color="auto"/>
        <w:right w:val="none" w:sz="0" w:space="0" w:color="auto"/>
      </w:divBdr>
    </w:div>
    <w:div w:id="1362125443">
      <w:bodyDiv w:val="1"/>
      <w:marLeft w:val="0"/>
      <w:marRight w:val="0"/>
      <w:marTop w:val="0"/>
      <w:marBottom w:val="0"/>
      <w:divBdr>
        <w:top w:val="none" w:sz="0" w:space="0" w:color="auto"/>
        <w:left w:val="none" w:sz="0" w:space="0" w:color="auto"/>
        <w:bottom w:val="none" w:sz="0" w:space="0" w:color="auto"/>
        <w:right w:val="none" w:sz="0" w:space="0" w:color="auto"/>
      </w:divBdr>
    </w:div>
    <w:div w:id="1362440048">
      <w:bodyDiv w:val="1"/>
      <w:marLeft w:val="0"/>
      <w:marRight w:val="0"/>
      <w:marTop w:val="0"/>
      <w:marBottom w:val="0"/>
      <w:divBdr>
        <w:top w:val="none" w:sz="0" w:space="0" w:color="auto"/>
        <w:left w:val="none" w:sz="0" w:space="0" w:color="auto"/>
        <w:bottom w:val="none" w:sz="0" w:space="0" w:color="auto"/>
        <w:right w:val="none" w:sz="0" w:space="0" w:color="auto"/>
      </w:divBdr>
    </w:div>
    <w:div w:id="1362823249">
      <w:bodyDiv w:val="1"/>
      <w:marLeft w:val="0"/>
      <w:marRight w:val="0"/>
      <w:marTop w:val="0"/>
      <w:marBottom w:val="0"/>
      <w:divBdr>
        <w:top w:val="none" w:sz="0" w:space="0" w:color="auto"/>
        <w:left w:val="none" w:sz="0" w:space="0" w:color="auto"/>
        <w:bottom w:val="none" w:sz="0" w:space="0" w:color="auto"/>
        <w:right w:val="none" w:sz="0" w:space="0" w:color="auto"/>
      </w:divBdr>
    </w:div>
    <w:div w:id="1363439174">
      <w:bodyDiv w:val="1"/>
      <w:marLeft w:val="0"/>
      <w:marRight w:val="0"/>
      <w:marTop w:val="0"/>
      <w:marBottom w:val="0"/>
      <w:divBdr>
        <w:top w:val="none" w:sz="0" w:space="0" w:color="auto"/>
        <w:left w:val="none" w:sz="0" w:space="0" w:color="auto"/>
        <w:bottom w:val="none" w:sz="0" w:space="0" w:color="auto"/>
        <w:right w:val="none" w:sz="0" w:space="0" w:color="auto"/>
      </w:divBdr>
    </w:div>
    <w:div w:id="1363743427">
      <w:bodyDiv w:val="1"/>
      <w:marLeft w:val="0"/>
      <w:marRight w:val="0"/>
      <w:marTop w:val="0"/>
      <w:marBottom w:val="0"/>
      <w:divBdr>
        <w:top w:val="none" w:sz="0" w:space="0" w:color="auto"/>
        <w:left w:val="none" w:sz="0" w:space="0" w:color="auto"/>
        <w:bottom w:val="none" w:sz="0" w:space="0" w:color="auto"/>
        <w:right w:val="none" w:sz="0" w:space="0" w:color="auto"/>
      </w:divBdr>
    </w:div>
    <w:div w:id="1364360546">
      <w:bodyDiv w:val="1"/>
      <w:marLeft w:val="0"/>
      <w:marRight w:val="0"/>
      <w:marTop w:val="0"/>
      <w:marBottom w:val="0"/>
      <w:divBdr>
        <w:top w:val="none" w:sz="0" w:space="0" w:color="auto"/>
        <w:left w:val="none" w:sz="0" w:space="0" w:color="auto"/>
        <w:bottom w:val="none" w:sz="0" w:space="0" w:color="auto"/>
        <w:right w:val="none" w:sz="0" w:space="0" w:color="auto"/>
      </w:divBdr>
    </w:div>
    <w:div w:id="1365252032">
      <w:bodyDiv w:val="1"/>
      <w:marLeft w:val="0"/>
      <w:marRight w:val="0"/>
      <w:marTop w:val="0"/>
      <w:marBottom w:val="0"/>
      <w:divBdr>
        <w:top w:val="none" w:sz="0" w:space="0" w:color="auto"/>
        <w:left w:val="none" w:sz="0" w:space="0" w:color="auto"/>
        <w:bottom w:val="none" w:sz="0" w:space="0" w:color="auto"/>
        <w:right w:val="none" w:sz="0" w:space="0" w:color="auto"/>
      </w:divBdr>
    </w:div>
    <w:div w:id="1365785281">
      <w:bodyDiv w:val="1"/>
      <w:marLeft w:val="0"/>
      <w:marRight w:val="0"/>
      <w:marTop w:val="0"/>
      <w:marBottom w:val="0"/>
      <w:divBdr>
        <w:top w:val="none" w:sz="0" w:space="0" w:color="auto"/>
        <w:left w:val="none" w:sz="0" w:space="0" w:color="auto"/>
        <w:bottom w:val="none" w:sz="0" w:space="0" w:color="auto"/>
        <w:right w:val="none" w:sz="0" w:space="0" w:color="auto"/>
      </w:divBdr>
    </w:div>
    <w:div w:id="1365978484">
      <w:bodyDiv w:val="1"/>
      <w:marLeft w:val="0"/>
      <w:marRight w:val="0"/>
      <w:marTop w:val="0"/>
      <w:marBottom w:val="0"/>
      <w:divBdr>
        <w:top w:val="none" w:sz="0" w:space="0" w:color="auto"/>
        <w:left w:val="none" w:sz="0" w:space="0" w:color="auto"/>
        <w:bottom w:val="none" w:sz="0" w:space="0" w:color="auto"/>
        <w:right w:val="none" w:sz="0" w:space="0" w:color="auto"/>
      </w:divBdr>
    </w:div>
    <w:div w:id="1366103957">
      <w:bodyDiv w:val="1"/>
      <w:marLeft w:val="0"/>
      <w:marRight w:val="0"/>
      <w:marTop w:val="0"/>
      <w:marBottom w:val="0"/>
      <w:divBdr>
        <w:top w:val="none" w:sz="0" w:space="0" w:color="auto"/>
        <w:left w:val="none" w:sz="0" w:space="0" w:color="auto"/>
        <w:bottom w:val="none" w:sz="0" w:space="0" w:color="auto"/>
        <w:right w:val="none" w:sz="0" w:space="0" w:color="auto"/>
      </w:divBdr>
    </w:div>
    <w:div w:id="1366321743">
      <w:bodyDiv w:val="1"/>
      <w:marLeft w:val="0"/>
      <w:marRight w:val="0"/>
      <w:marTop w:val="0"/>
      <w:marBottom w:val="0"/>
      <w:divBdr>
        <w:top w:val="none" w:sz="0" w:space="0" w:color="auto"/>
        <w:left w:val="none" w:sz="0" w:space="0" w:color="auto"/>
        <w:bottom w:val="none" w:sz="0" w:space="0" w:color="auto"/>
        <w:right w:val="none" w:sz="0" w:space="0" w:color="auto"/>
      </w:divBdr>
    </w:div>
    <w:div w:id="1366323861">
      <w:bodyDiv w:val="1"/>
      <w:marLeft w:val="0"/>
      <w:marRight w:val="0"/>
      <w:marTop w:val="0"/>
      <w:marBottom w:val="0"/>
      <w:divBdr>
        <w:top w:val="none" w:sz="0" w:space="0" w:color="auto"/>
        <w:left w:val="none" w:sz="0" w:space="0" w:color="auto"/>
        <w:bottom w:val="none" w:sz="0" w:space="0" w:color="auto"/>
        <w:right w:val="none" w:sz="0" w:space="0" w:color="auto"/>
      </w:divBdr>
    </w:div>
    <w:div w:id="1367563636">
      <w:bodyDiv w:val="1"/>
      <w:marLeft w:val="0"/>
      <w:marRight w:val="0"/>
      <w:marTop w:val="0"/>
      <w:marBottom w:val="0"/>
      <w:divBdr>
        <w:top w:val="none" w:sz="0" w:space="0" w:color="auto"/>
        <w:left w:val="none" w:sz="0" w:space="0" w:color="auto"/>
        <w:bottom w:val="none" w:sz="0" w:space="0" w:color="auto"/>
        <w:right w:val="none" w:sz="0" w:space="0" w:color="auto"/>
      </w:divBdr>
    </w:div>
    <w:div w:id="1367869400">
      <w:bodyDiv w:val="1"/>
      <w:marLeft w:val="0"/>
      <w:marRight w:val="0"/>
      <w:marTop w:val="0"/>
      <w:marBottom w:val="0"/>
      <w:divBdr>
        <w:top w:val="none" w:sz="0" w:space="0" w:color="auto"/>
        <w:left w:val="none" w:sz="0" w:space="0" w:color="auto"/>
        <w:bottom w:val="none" w:sz="0" w:space="0" w:color="auto"/>
        <w:right w:val="none" w:sz="0" w:space="0" w:color="auto"/>
      </w:divBdr>
    </w:div>
    <w:div w:id="1368021913">
      <w:bodyDiv w:val="1"/>
      <w:marLeft w:val="0"/>
      <w:marRight w:val="0"/>
      <w:marTop w:val="0"/>
      <w:marBottom w:val="0"/>
      <w:divBdr>
        <w:top w:val="none" w:sz="0" w:space="0" w:color="auto"/>
        <w:left w:val="none" w:sz="0" w:space="0" w:color="auto"/>
        <w:bottom w:val="none" w:sz="0" w:space="0" w:color="auto"/>
        <w:right w:val="none" w:sz="0" w:space="0" w:color="auto"/>
      </w:divBdr>
    </w:div>
    <w:div w:id="1368605145">
      <w:bodyDiv w:val="1"/>
      <w:marLeft w:val="0"/>
      <w:marRight w:val="0"/>
      <w:marTop w:val="0"/>
      <w:marBottom w:val="0"/>
      <w:divBdr>
        <w:top w:val="none" w:sz="0" w:space="0" w:color="auto"/>
        <w:left w:val="none" w:sz="0" w:space="0" w:color="auto"/>
        <w:bottom w:val="none" w:sz="0" w:space="0" w:color="auto"/>
        <w:right w:val="none" w:sz="0" w:space="0" w:color="auto"/>
      </w:divBdr>
    </w:div>
    <w:div w:id="1369182481">
      <w:bodyDiv w:val="1"/>
      <w:marLeft w:val="0"/>
      <w:marRight w:val="0"/>
      <w:marTop w:val="0"/>
      <w:marBottom w:val="0"/>
      <w:divBdr>
        <w:top w:val="none" w:sz="0" w:space="0" w:color="auto"/>
        <w:left w:val="none" w:sz="0" w:space="0" w:color="auto"/>
        <w:bottom w:val="none" w:sz="0" w:space="0" w:color="auto"/>
        <w:right w:val="none" w:sz="0" w:space="0" w:color="auto"/>
      </w:divBdr>
    </w:div>
    <w:div w:id="1369255215">
      <w:bodyDiv w:val="1"/>
      <w:marLeft w:val="0"/>
      <w:marRight w:val="0"/>
      <w:marTop w:val="0"/>
      <w:marBottom w:val="0"/>
      <w:divBdr>
        <w:top w:val="none" w:sz="0" w:space="0" w:color="auto"/>
        <w:left w:val="none" w:sz="0" w:space="0" w:color="auto"/>
        <w:bottom w:val="none" w:sz="0" w:space="0" w:color="auto"/>
        <w:right w:val="none" w:sz="0" w:space="0" w:color="auto"/>
      </w:divBdr>
    </w:div>
    <w:div w:id="1370228239">
      <w:bodyDiv w:val="1"/>
      <w:marLeft w:val="0"/>
      <w:marRight w:val="0"/>
      <w:marTop w:val="0"/>
      <w:marBottom w:val="0"/>
      <w:divBdr>
        <w:top w:val="none" w:sz="0" w:space="0" w:color="auto"/>
        <w:left w:val="none" w:sz="0" w:space="0" w:color="auto"/>
        <w:bottom w:val="none" w:sz="0" w:space="0" w:color="auto"/>
        <w:right w:val="none" w:sz="0" w:space="0" w:color="auto"/>
      </w:divBdr>
    </w:div>
    <w:div w:id="1370691266">
      <w:bodyDiv w:val="1"/>
      <w:marLeft w:val="0"/>
      <w:marRight w:val="0"/>
      <w:marTop w:val="0"/>
      <w:marBottom w:val="0"/>
      <w:divBdr>
        <w:top w:val="none" w:sz="0" w:space="0" w:color="auto"/>
        <w:left w:val="none" w:sz="0" w:space="0" w:color="auto"/>
        <w:bottom w:val="none" w:sz="0" w:space="0" w:color="auto"/>
        <w:right w:val="none" w:sz="0" w:space="0" w:color="auto"/>
      </w:divBdr>
    </w:div>
    <w:div w:id="1370882674">
      <w:bodyDiv w:val="1"/>
      <w:marLeft w:val="0"/>
      <w:marRight w:val="0"/>
      <w:marTop w:val="0"/>
      <w:marBottom w:val="0"/>
      <w:divBdr>
        <w:top w:val="none" w:sz="0" w:space="0" w:color="auto"/>
        <w:left w:val="none" w:sz="0" w:space="0" w:color="auto"/>
        <w:bottom w:val="none" w:sz="0" w:space="0" w:color="auto"/>
        <w:right w:val="none" w:sz="0" w:space="0" w:color="auto"/>
      </w:divBdr>
    </w:div>
    <w:div w:id="1371415880">
      <w:bodyDiv w:val="1"/>
      <w:marLeft w:val="0"/>
      <w:marRight w:val="0"/>
      <w:marTop w:val="0"/>
      <w:marBottom w:val="0"/>
      <w:divBdr>
        <w:top w:val="none" w:sz="0" w:space="0" w:color="auto"/>
        <w:left w:val="none" w:sz="0" w:space="0" w:color="auto"/>
        <w:bottom w:val="none" w:sz="0" w:space="0" w:color="auto"/>
        <w:right w:val="none" w:sz="0" w:space="0" w:color="auto"/>
      </w:divBdr>
    </w:div>
    <w:div w:id="1372270911">
      <w:bodyDiv w:val="1"/>
      <w:marLeft w:val="0"/>
      <w:marRight w:val="0"/>
      <w:marTop w:val="0"/>
      <w:marBottom w:val="0"/>
      <w:divBdr>
        <w:top w:val="none" w:sz="0" w:space="0" w:color="auto"/>
        <w:left w:val="none" w:sz="0" w:space="0" w:color="auto"/>
        <w:bottom w:val="none" w:sz="0" w:space="0" w:color="auto"/>
        <w:right w:val="none" w:sz="0" w:space="0" w:color="auto"/>
      </w:divBdr>
    </w:div>
    <w:div w:id="1372683760">
      <w:bodyDiv w:val="1"/>
      <w:marLeft w:val="0"/>
      <w:marRight w:val="0"/>
      <w:marTop w:val="0"/>
      <w:marBottom w:val="0"/>
      <w:divBdr>
        <w:top w:val="none" w:sz="0" w:space="0" w:color="auto"/>
        <w:left w:val="none" w:sz="0" w:space="0" w:color="auto"/>
        <w:bottom w:val="none" w:sz="0" w:space="0" w:color="auto"/>
        <w:right w:val="none" w:sz="0" w:space="0" w:color="auto"/>
      </w:divBdr>
    </w:div>
    <w:div w:id="1373845443">
      <w:bodyDiv w:val="1"/>
      <w:marLeft w:val="0"/>
      <w:marRight w:val="0"/>
      <w:marTop w:val="0"/>
      <w:marBottom w:val="0"/>
      <w:divBdr>
        <w:top w:val="none" w:sz="0" w:space="0" w:color="auto"/>
        <w:left w:val="none" w:sz="0" w:space="0" w:color="auto"/>
        <w:bottom w:val="none" w:sz="0" w:space="0" w:color="auto"/>
        <w:right w:val="none" w:sz="0" w:space="0" w:color="auto"/>
      </w:divBdr>
    </w:div>
    <w:div w:id="1374766151">
      <w:bodyDiv w:val="1"/>
      <w:marLeft w:val="0"/>
      <w:marRight w:val="0"/>
      <w:marTop w:val="0"/>
      <w:marBottom w:val="0"/>
      <w:divBdr>
        <w:top w:val="none" w:sz="0" w:space="0" w:color="auto"/>
        <w:left w:val="none" w:sz="0" w:space="0" w:color="auto"/>
        <w:bottom w:val="none" w:sz="0" w:space="0" w:color="auto"/>
        <w:right w:val="none" w:sz="0" w:space="0" w:color="auto"/>
      </w:divBdr>
    </w:div>
    <w:div w:id="1375038349">
      <w:bodyDiv w:val="1"/>
      <w:marLeft w:val="0"/>
      <w:marRight w:val="0"/>
      <w:marTop w:val="0"/>
      <w:marBottom w:val="0"/>
      <w:divBdr>
        <w:top w:val="none" w:sz="0" w:space="0" w:color="auto"/>
        <w:left w:val="none" w:sz="0" w:space="0" w:color="auto"/>
        <w:bottom w:val="none" w:sz="0" w:space="0" w:color="auto"/>
        <w:right w:val="none" w:sz="0" w:space="0" w:color="auto"/>
      </w:divBdr>
    </w:div>
    <w:div w:id="1375621071">
      <w:bodyDiv w:val="1"/>
      <w:marLeft w:val="0"/>
      <w:marRight w:val="0"/>
      <w:marTop w:val="0"/>
      <w:marBottom w:val="0"/>
      <w:divBdr>
        <w:top w:val="none" w:sz="0" w:space="0" w:color="auto"/>
        <w:left w:val="none" w:sz="0" w:space="0" w:color="auto"/>
        <w:bottom w:val="none" w:sz="0" w:space="0" w:color="auto"/>
        <w:right w:val="none" w:sz="0" w:space="0" w:color="auto"/>
      </w:divBdr>
    </w:div>
    <w:div w:id="1376075926">
      <w:bodyDiv w:val="1"/>
      <w:marLeft w:val="0"/>
      <w:marRight w:val="0"/>
      <w:marTop w:val="0"/>
      <w:marBottom w:val="0"/>
      <w:divBdr>
        <w:top w:val="none" w:sz="0" w:space="0" w:color="auto"/>
        <w:left w:val="none" w:sz="0" w:space="0" w:color="auto"/>
        <w:bottom w:val="none" w:sz="0" w:space="0" w:color="auto"/>
        <w:right w:val="none" w:sz="0" w:space="0" w:color="auto"/>
      </w:divBdr>
    </w:div>
    <w:div w:id="1376196903">
      <w:bodyDiv w:val="1"/>
      <w:marLeft w:val="0"/>
      <w:marRight w:val="0"/>
      <w:marTop w:val="0"/>
      <w:marBottom w:val="0"/>
      <w:divBdr>
        <w:top w:val="none" w:sz="0" w:space="0" w:color="auto"/>
        <w:left w:val="none" w:sz="0" w:space="0" w:color="auto"/>
        <w:bottom w:val="none" w:sz="0" w:space="0" w:color="auto"/>
        <w:right w:val="none" w:sz="0" w:space="0" w:color="auto"/>
      </w:divBdr>
    </w:div>
    <w:div w:id="1376932436">
      <w:bodyDiv w:val="1"/>
      <w:marLeft w:val="0"/>
      <w:marRight w:val="0"/>
      <w:marTop w:val="0"/>
      <w:marBottom w:val="0"/>
      <w:divBdr>
        <w:top w:val="none" w:sz="0" w:space="0" w:color="auto"/>
        <w:left w:val="none" w:sz="0" w:space="0" w:color="auto"/>
        <w:bottom w:val="none" w:sz="0" w:space="0" w:color="auto"/>
        <w:right w:val="none" w:sz="0" w:space="0" w:color="auto"/>
      </w:divBdr>
    </w:div>
    <w:div w:id="1379553937">
      <w:bodyDiv w:val="1"/>
      <w:marLeft w:val="0"/>
      <w:marRight w:val="0"/>
      <w:marTop w:val="0"/>
      <w:marBottom w:val="0"/>
      <w:divBdr>
        <w:top w:val="none" w:sz="0" w:space="0" w:color="auto"/>
        <w:left w:val="none" w:sz="0" w:space="0" w:color="auto"/>
        <w:bottom w:val="none" w:sz="0" w:space="0" w:color="auto"/>
        <w:right w:val="none" w:sz="0" w:space="0" w:color="auto"/>
      </w:divBdr>
    </w:div>
    <w:div w:id="1379819727">
      <w:bodyDiv w:val="1"/>
      <w:marLeft w:val="0"/>
      <w:marRight w:val="0"/>
      <w:marTop w:val="0"/>
      <w:marBottom w:val="0"/>
      <w:divBdr>
        <w:top w:val="none" w:sz="0" w:space="0" w:color="auto"/>
        <w:left w:val="none" w:sz="0" w:space="0" w:color="auto"/>
        <w:bottom w:val="none" w:sz="0" w:space="0" w:color="auto"/>
        <w:right w:val="none" w:sz="0" w:space="0" w:color="auto"/>
      </w:divBdr>
    </w:div>
    <w:div w:id="1380012524">
      <w:bodyDiv w:val="1"/>
      <w:marLeft w:val="0"/>
      <w:marRight w:val="0"/>
      <w:marTop w:val="0"/>
      <w:marBottom w:val="0"/>
      <w:divBdr>
        <w:top w:val="none" w:sz="0" w:space="0" w:color="auto"/>
        <w:left w:val="none" w:sz="0" w:space="0" w:color="auto"/>
        <w:bottom w:val="none" w:sz="0" w:space="0" w:color="auto"/>
        <w:right w:val="none" w:sz="0" w:space="0" w:color="auto"/>
      </w:divBdr>
    </w:div>
    <w:div w:id="1380126533">
      <w:bodyDiv w:val="1"/>
      <w:marLeft w:val="0"/>
      <w:marRight w:val="0"/>
      <w:marTop w:val="0"/>
      <w:marBottom w:val="0"/>
      <w:divBdr>
        <w:top w:val="none" w:sz="0" w:space="0" w:color="auto"/>
        <w:left w:val="none" w:sz="0" w:space="0" w:color="auto"/>
        <w:bottom w:val="none" w:sz="0" w:space="0" w:color="auto"/>
        <w:right w:val="none" w:sz="0" w:space="0" w:color="auto"/>
      </w:divBdr>
    </w:div>
    <w:div w:id="1380739199">
      <w:bodyDiv w:val="1"/>
      <w:marLeft w:val="0"/>
      <w:marRight w:val="0"/>
      <w:marTop w:val="0"/>
      <w:marBottom w:val="0"/>
      <w:divBdr>
        <w:top w:val="none" w:sz="0" w:space="0" w:color="auto"/>
        <w:left w:val="none" w:sz="0" w:space="0" w:color="auto"/>
        <w:bottom w:val="none" w:sz="0" w:space="0" w:color="auto"/>
        <w:right w:val="none" w:sz="0" w:space="0" w:color="auto"/>
      </w:divBdr>
    </w:div>
    <w:div w:id="1381786326">
      <w:bodyDiv w:val="1"/>
      <w:marLeft w:val="0"/>
      <w:marRight w:val="0"/>
      <w:marTop w:val="0"/>
      <w:marBottom w:val="0"/>
      <w:divBdr>
        <w:top w:val="none" w:sz="0" w:space="0" w:color="auto"/>
        <w:left w:val="none" w:sz="0" w:space="0" w:color="auto"/>
        <w:bottom w:val="none" w:sz="0" w:space="0" w:color="auto"/>
        <w:right w:val="none" w:sz="0" w:space="0" w:color="auto"/>
      </w:divBdr>
    </w:div>
    <w:div w:id="1381788436">
      <w:bodyDiv w:val="1"/>
      <w:marLeft w:val="0"/>
      <w:marRight w:val="0"/>
      <w:marTop w:val="0"/>
      <w:marBottom w:val="0"/>
      <w:divBdr>
        <w:top w:val="none" w:sz="0" w:space="0" w:color="auto"/>
        <w:left w:val="none" w:sz="0" w:space="0" w:color="auto"/>
        <w:bottom w:val="none" w:sz="0" w:space="0" w:color="auto"/>
        <w:right w:val="none" w:sz="0" w:space="0" w:color="auto"/>
      </w:divBdr>
    </w:div>
    <w:div w:id="1382903286">
      <w:bodyDiv w:val="1"/>
      <w:marLeft w:val="0"/>
      <w:marRight w:val="0"/>
      <w:marTop w:val="0"/>
      <w:marBottom w:val="0"/>
      <w:divBdr>
        <w:top w:val="none" w:sz="0" w:space="0" w:color="auto"/>
        <w:left w:val="none" w:sz="0" w:space="0" w:color="auto"/>
        <w:bottom w:val="none" w:sz="0" w:space="0" w:color="auto"/>
        <w:right w:val="none" w:sz="0" w:space="0" w:color="auto"/>
      </w:divBdr>
    </w:div>
    <w:div w:id="1383674737">
      <w:bodyDiv w:val="1"/>
      <w:marLeft w:val="0"/>
      <w:marRight w:val="0"/>
      <w:marTop w:val="0"/>
      <w:marBottom w:val="0"/>
      <w:divBdr>
        <w:top w:val="none" w:sz="0" w:space="0" w:color="auto"/>
        <w:left w:val="none" w:sz="0" w:space="0" w:color="auto"/>
        <w:bottom w:val="none" w:sz="0" w:space="0" w:color="auto"/>
        <w:right w:val="none" w:sz="0" w:space="0" w:color="auto"/>
      </w:divBdr>
    </w:div>
    <w:div w:id="1384864951">
      <w:bodyDiv w:val="1"/>
      <w:marLeft w:val="0"/>
      <w:marRight w:val="0"/>
      <w:marTop w:val="0"/>
      <w:marBottom w:val="0"/>
      <w:divBdr>
        <w:top w:val="none" w:sz="0" w:space="0" w:color="auto"/>
        <w:left w:val="none" w:sz="0" w:space="0" w:color="auto"/>
        <w:bottom w:val="none" w:sz="0" w:space="0" w:color="auto"/>
        <w:right w:val="none" w:sz="0" w:space="0" w:color="auto"/>
      </w:divBdr>
    </w:div>
    <w:div w:id="1385062527">
      <w:bodyDiv w:val="1"/>
      <w:marLeft w:val="0"/>
      <w:marRight w:val="0"/>
      <w:marTop w:val="0"/>
      <w:marBottom w:val="0"/>
      <w:divBdr>
        <w:top w:val="none" w:sz="0" w:space="0" w:color="auto"/>
        <w:left w:val="none" w:sz="0" w:space="0" w:color="auto"/>
        <w:bottom w:val="none" w:sz="0" w:space="0" w:color="auto"/>
        <w:right w:val="none" w:sz="0" w:space="0" w:color="auto"/>
      </w:divBdr>
    </w:div>
    <w:div w:id="1386224296">
      <w:bodyDiv w:val="1"/>
      <w:marLeft w:val="0"/>
      <w:marRight w:val="0"/>
      <w:marTop w:val="0"/>
      <w:marBottom w:val="0"/>
      <w:divBdr>
        <w:top w:val="none" w:sz="0" w:space="0" w:color="auto"/>
        <w:left w:val="none" w:sz="0" w:space="0" w:color="auto"/>
        <w:bottom w:val="none" w:sz="0" w:space="0" w:color="auto"/>
        <w:right w:val="none" w:sz="0" w:space="0" w:color="auto"/>
      </w:divBdr>
    </w:div>
    <w:div w:id="1386299494">
      <w:bodyDiv w:val="1"/>
      <w:marLeft w:val="0"/>
      <w:marRight w:val="0"/>
      <w:marTop w:val="0"/>
      <w:marBottom w:val="0"/>
      <w:divBdr>
        <w:top w:val="none" w:sz="0" w:space="0" w:color="auto"/>
        <w:left w:val="none" w:sz="0" w:space="0" w:color="auto"/>
        <w:bottom w:val="none" w:sz="0" w:space="0" w:color="auto"/>
        <w:right w:val="none" w:sz="0" w:space="0" w:color="auto"/>
      </w:divBdr>
    </w:div>
    <w:div w:id="1387096771">
      <w:bodyDiv w:val="1"/>
      <w:marLeft w:val="0"/>
      <w:marRight w:val="0"/>
      <w:marTop w:val="0"/>
      <w:marBottom w:val="0"/>
      <w:divBdr>
        <w:top w:val="none" w:sz="0" w:space="0" w:color="auto"/>
        <w:left w:val="none" w:sz="0" w:space="0" w:color="auto"/>
        <w:bottom w:val="none" w:sz="0" w:space="0" w:color="auto"/>
        <w:right w:val="none" w:sz="0" w:space="0" w:color="auto"/>
      </w:divBdr>
    </w:div>
    <w:div w:id="1387142873">
      <w:bodyDiv w:val="1"/>
      <w:marLeft w:val="0"/>
      <w:marRight w:val="0"/>
      <w:marTop w:val="0"/>
      <w:marBottom w:val="0"/>
      <w:divBdr>
        <w:top w:val="none" w:sz="0" w:space="0" w:color="auto"/>
        <w:left w:val="none" w:sz="0" w:space="0" w:color="auto"/>
        <w:bottom w:val="none" w:sz="0" w:space="0" w:color="auto"/>
        <w:right w:val="none" w:sz="0" w:space="0" w:color="auto"/>
      </w:divBdr>
    </w:div>
    <w:div w:id="1388257057">
      <w:bodyDiv w:val="1"/>
      <w:marLeft w:val="0"/>
      <w:marRight w:val="0"/>
      <w:marTop w:val="0"/>
      <w:marBottom w:val="0"/>
      <w:divBdr>
        <w:top w:val="none" w:sz="0" w:space="0" w:color="auto"/>
        <w:left w:val="none" w:sz="0" w:space="0" w:color="auto"/>
        <w:bottom w:val="none" w:sz="0" w:space="0" w:color="auto"/>
        <w:right w:val="none" w:sz="0" w:space="0" w:color="auto"/>
      </w:divBdr>
    </w:div>
    <w:div w:id="1388411645">
      <w:bodyDiv w:val="1"/>
      <w:marLeft w:val="0"/>
      <w:marRight w:val="0"/>
      <w:marTop w:val="0"/>
      <w:marBottom w:val="0"/>
      <w:divBdr>
        <w:top w:val="none" w:sz="0" w:space="0" w:color="auto"/>
        <w:left w:val="none" w:sz="0" w:space="0" w:color="auto"/>
        <w:bottom w:val="none" w:sz="0" w:space="0" w:color="auto"/>
        <w:right w:val="none" w:sz="0" w:space="0" w:color="auto"/>
      </w:divBdr>
    </w:div>
    <w:div w:id="1388921248">
      <w:bodyDiv w:val="1"/>
      <w:marLeft w:val="0"/>
      <w:marRight w:val="0"/>
      <w:marTop w:val="0"/>
      <w:marBottom w:val="0"/>
      <w:divBdr>
        <w:top w:val="none" w:sz="0" w:space="0" w:color="auto"/>
        <w:left w:val="none" w:sz="0" w:space="0" w:color="auto"/>
        <w:bottom w:val="none" w:sz="0" w:space="0" w:color="auto"/>
        <w:right w:val="none" w:sz="0" w:space="0" w:color="auto"/>
      </w:divBdr>
    </w:div>
    <w:div w:id="1389650463">
      <w:bodyDiv w:val="1"/>
      <w:marLeft w:val="0"/>
      <w:marRight w:val="0"/>
      <w:marTop w:val="0"/>
      <w:marBottom w:val="0"/>
      <w:divBdr>
        <w:top w:val="none" w:sz="0" w:space="0" w:color="auto"/>
        <w:left w:val="none" w:sz="0" w:space="0" w:color="auto"/>
        <w:bottom w:val="none" w:sz="0" w:space="0" w:color="auto"/>
        <w:right w:val="none" w:sz="0" w:space="0" w:color="auto"/>
      </w:divBdr>
    </w:div>
    <w:div w:id="1390764721">
      <w:bodyDiv w:val="1"/>
      <w:marLeft w:val="0"/>
      <w:marRight w:val="0"/>
      <w:marTop w:val="0"/>
      <w:marBottom w:val="0"/>
      <w:divBdr>
        <w:top w:val="none" w:sz="0" w:space="0" w:color="auto"/>
        <w:left w:val="none" w:sz="0" w:space="0" w:color="auto"/>
        <w:bottom w:val="none" w:sz="0" w:space="0" w:color="auto"/>
        <w:right w:val="none" w:sz="0" w:space="0" w:color="auto"/>
      </w:divBdr>
    </w:div>
    <w:div w:id="1391919756">
      <w:bodyDiv w:val="1"/>
      <w:marLeft w:val="0"/>
      <w:marRight w:val="0"/>
      <w:marTop w:val="0"/>
      <w:marBottom w:val="0"/>
      <w:divBdr>
        <w:top w:val="none" w:sz="0" w:space="0" w:color="auto"/>
        <w:left w:val="none" w:sz="0" w:space="0" w:color="auto"/>
        <w:bottom w:val="none" w:sz="0" w:space="0" w:color="auto"/>
        <w:right w:val="none" w:sz="0" w:space="0" w:color="auto"/>
      </w:divBdr>
    </w:div>
    <w:div w:id="1392535490">
      <w:bodyDiv w:val="1"/>
      <w:marLeft w:val="0"/>
      <w:marRight w:val="0"/>
      <w:marTop w:val="0"/>
      <w:marBottom w:val="0"/>
      <w:divBdr>
        <w:top w:val="none" w:sz="0" w:space="0" w:color="auto"/>
        <w:left w:val="none" w:sz="0" w:space="0" w:color="auto"/>
        <w:bottom w:val="none" w:sz="0" w:space="0" w:color="auto"/>
        <w:right w:val="none" w:sz="0" w:space="0" w:color="auto"/>
      </w:divBdr>
    </w:div>
    <w:div w:id="1393774537">
      <w:bodyDiv w:val="1"/>
      <w:marLeft w:val="0"/>
      <w:marRight w:val="0"/>
      <w:marTop w:val="0"/>
      <w:marBottom w:val="0"/>
      <w:divBdr>
        <w:top w:val="none" w:sz="0" w:space="0" w:color="auto"/>
        <w:left w:val="none" w:sz="0" w:space="0" w:color="auto"/>
        <w:bottom w:val="none" w:sz="0" w:space="0" w:color="auto"/>
        <w:right w:val="none" w:sz="0" w:space="0" w:color="auto"/>
      </w:divBdr>
    </w:div>
    <w:div w:id="1393964608">
      <w:bodyDiv w:val="1"/>
      <w:marLeft w:val="0"/>
      <w:marRight w:val="0"/>
      <w:marTop w:val="0"/>
      <w:marBottom w:val="0"/>
      <w:divBdr>
        <w:top w:val="none" w:sz="0" w:space="0" w:color="auto"/>
        <w:left w:val="none" w:sz="0" w:space="0" w:color="auto"/>
        <w:bottom w:val="none" w:sz="0" w:space="0" w:color="auto"/>
        <w:right w:val="none" w:sz="0" w:space="0" w:color="auto"/>
      </w:divBdr>
    </w:div>
    <w:div w:id="1394809488">
      <w:bodyDiv w:val="1"/>
      <w:marLeft w:val="0"/>
      <w:marRight w:val="0"/>
      <w:marTop w:val="0"/>
      <w:marBottom w:val="0"/>
      <w:divBdr>
        <w:top w:val="none" w:sz="0" w:space="0" w:color="auto"/>
        <w:left w:val="none" w:sz="0" w:space="0" w:color="auto"/>
        <w:bottom w:val="none" w:sz="0" w:space="0" w:color="auto"/>
        <w:right w:val="none" w:sz="0" w:space="0" w:color="auto"/>
      </w:divBdr>
    </w:div>
    <w:div w:id="1394886337">
      <w:bodyDiv w:val="1"/>
      <w:marLeft w:val="0"/>
      <w:marRight w:val="0"/>
      <w:marTop w:val="0"/>
      <w:marBottom w:val="0"/>
      <w:divBdr>
        <w:top w:val="none" w:sz="0" w:space="0" w:color="auto"/>
        <w:left w:val="none" w:sz="0" w:space="0" w:color="auto"/>
        <w:bottom w:val="none" w:sz="0" w:space="0" w:color="auto"/>
        <w:right w:val="none" w:sz="0" w:space="0" w:color="auto"/>
      </w:divBdr>
    </w:div>
    <w:div w:id="1395006308">
      <w:bodyDiv w:val="1"/>
      <w:marLeft w:val="0"/>
      <w:marRight w:val="0"/>
      <w:marTop w:val="0"/>
      <w:marBottom w:val="0"/>
      <w:divBdr>
        <w:top w:val="none" w:sz="0" w:space="0" w:color="auto"/>
        <w:left w:val="none" w:sz="0" w:space="0" w:color="auto"/>
        <w:bottom w:val="none" w:sz="0" w:space="0" w:color="auto"/>
        <w:right w:val="none" w:sz="0" w:space="0" w:color="auto"/>
      </w:divBdr>
    </w:div>
    <w:div w:id="1395277902">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3299">
      <w:bodyDiv w:val="1"/>
      <w:marLeft w:val="0"/>
      <w:marRight w:val="0"/>
      <w:marTop w:val="0"/>
      <w:marBottom w:val="0"/>
      <w:divBdr>
        <w:top w:val="none" w:sz="0" w:space="0" w:color="auto"/>
        <w:left w:val="none" w:sz="0" w:space="0" w:color="auto"/>
        <w:bottom w:val="none" w:sz="0" w:space="0" w:color="auto"/>
        <w:right w:val="none" w:sz="0" w:space="0" w:color="auto"/>
      </w:divBdr>
    </w:div>
    <w:div w:id="1397240241">
      <w:bodyDiv w:val="1"/>
      <w:marLeft w:val="0"/>
      <w:marRight w:val="0"/>
      <w:marTop w:val="0"/>
      <w:marBottom w:val="0"/>
      <w:divBdr>
        <w:top w:val="none" w:sz="0" w:space="0" w:color="auto"/>
        <w:left w:val="none" w:sz="0" w:space="0" w:color="auto"/>
        <w:bottom w:val="none" w:sz="0" w:space="0" w:color="auto"/>
        <w:right w:val="none" w:sz="0" w:space="0" w:color="auto"/>
      </w:divBdr>
    </w:div>
    <w:div w:id="1398556767">
      <w:bodyDiv w:val="1"/>
      <w:marLeft w:val="0"/>
      <w:marRight w:val="0"/>
      <w:marTop w:val="0"/>
      <w:marBottom w:val="0"/>
      <w:divBdr>
        <w:top w:val="none" w:sz="0" w:space="0" w:color="auto"/>
        <w:left w:val="none" w:sz="0" w:space="0" w:color="auto"/>
        <w:bottom w:val="none" w:sz="0" w:space="0" w:color="auto"/>
        <w:right w:val="none" w:sz="0" w:space="0" w:color="auto"/>
      </w:divBdr>
    </w:div>
    <w:div w:id="1398892125">
      <w:bodyDiv w:val="1"/>
      <w:marLeft w:val="0"/>
      <w:marRight w:val="0"/>
      <w:marTop w:val="0"/>
      <w:marBottom w:val="0"/>
      <w:divBdr>
        <w:top w:val="none" w:sz="0" w:space="0" w:color="auto"/>
        <w:left w:val="none" w:sz="0" w:space="0" w:color="auto"/>
        <w:bottom w:val="none" w:sz="0" w:space="0" w:color="auto"/>
        <w:right w:val="none" w:sz="0" w:space="0" w:color="auto"/>
      </w:divBdr>
    </w:div>
    <w:div w:id="1398936842">
      <w:bodyDiv w:val="1"/>
      <w:marLeft w:val="0"/>
      <w:marRight w:val="0"/>
      <w:marTop w:val="0"/>
      <w:marBottom w:val="0"/>
      <w:divBdr>
        <w:top w:val="none" w:sz="0" w:space="0" w:color="auto"/>
        <w:left w:val="none" w:sz="0" w:space="0" w:color="auto"/>
        <w:bottom w:val="none" w:sz="0" w:space="0" w:color="auto"/>
        <w:right w:val="none" w:sz="0" w:space="0" w:color="auto"/>
      </w:divBdr>
    </w:div>
    <w:div w:id="1399477892">
      <w:bodyDiv w:val="1"/>
      <w:marLeft w:val="0"/>
      <w:marRight w:val="0"/>
      <w:marTop w:val="0"/>
      <w:marBottom w:val="0"/>
      <w:divBdr>
        <w:top w:val="none" w:sz="0" w:space="0" w:color="auto"/>
        <w:left w:val="none" w:sz="0" w:space="0" w:color="auto"/>
        <w:bottom w:val="none" w:sz="0" w:space="0" w:color="auto"/>
        <w:right w:val="none" w:sz="0" w:space="0" w:color="auto"/>
      </w:divBdr>
    </w:div>
    <w:div w:id="1400980583">
      <w:bodyDiv w:val="1"/>
      <w:marLeft w:val="0"/>
      <w:marRight w:val="0"/>
      <w:marTop w:val="0"/>
      <w:marBottom w:val="0"/>
      <w:divBdr>
        <w:top w:val="none" w:sz="0" w:space="0" w:color="auto"/>
        <w:left w:val="none" w:sz="0" w:space="0" w:color="auto"/>
        <w:bottom w:val="none" w:sz="0" w:space="0" w:color="auto"/>
        <w:right w:val="none" w:sz="0" w:space="0" w:color="auto"/>
      </w:divBdr>
    </w:div>
    <w:div w:id="1401095226">
      <w:bodyDiv w:val="1"/>
      <w:marLeft w:val="0"/>
      <w:marRight w:val="0"/>
      <w:marTop w:val="0"/>
      <w:marBottom w:val="0"/>
      <w:divBdr>
        <w:top w:val="none" w:sz="0" w:space="0" w:color="auto"/>
        <w:left w:val="none" w:sz="0" w:space="0" w:color="auto"/>
        <w:bottom w:val="none" w:sz="0" w:space="0" w:color="auto"/>
        <w:right w:val="none" w:sz="0" w:space="0" w:color="auto"/>
      </w:divBdr>
    </w:div>
    <w:div w:id="1401564402">
      <w:bodyDiv w:val="1"/>
      <w:marLeft w:val="0"/>
      <w:marRight w:val="0"/>
      <w:marTop w:val="0"/>
      <w:marBottom w:val="0"/>
      <w:divBdr>
        <w:top w:val="none" w:sz="0" w:space="0" w:color="auto"/>
        <w:left w:val="none" w:sz="0" w:space="0" w:color="auto"/>
        <w:bottom w:val="none" w:sz="0" w:space="0" w:color="auto"/>
        <w:right w:val="none" w:sz="0" w:space="0" w:color="auto"/>
      </w:divBdr>
    </w:div>
    <w:div w:id="1403409990">
      <w:bodyDiv w:val="1"/>
      <w:marLeft w:val="0"/>
      <w:marRight w:val="0"/>
      <w:marTop w:val="0"/>
      <w:marBottom w:val="0"/>
      <w:divBdr>
        <w:top w:val="none" w:sz="0" w:space="0" w:color="auto"/>
        <w:left w:val="none" w:sz="0" w:space="0" w:color="auto"/>
        <w:bottom w:val="none" w:sz="0" w:space="0" w:color="auto"/>
        <w:right w:val="none" w:sz="0" w:space="0" w:color="auto"/>
      </w:divBdr>
    </w:div>
    <w:div w:id="1404182426">
      <w:bodyDiv w:val="1"/>
      <w:marLeft w:val="0"/>
      <w:marRight w:val="0"/>
      <w:marTop w:val="0"/>
      <w:marBottom w:val="0"/>
      <w:divBdr>
        <w:top w:val="none" w:sz="0" w:space="0" w:color="auto"/>
        <w:left w:val="none" w:sz="0" w:space="0" w:color="auto"/>
        <w:bottom w:val="none" w:sz="0" w:space="0" w:color="auto"/>
        <w:right w:val="none" w:sz="0" w:space="0" w:color="auto"/>
      </w:divBdr>
    </w:div>
    <w:div w:id="1404182838">
      <w:bodyDiv w:val="1"/>
      <w:marLeft w:val="0"/>
      <w:marRight w:val="0"/>
      <w:marTop w:val="0"/>
      <w:marBottom w:val="0"/>
      <w:divBdr>
        <w:top w:val="none" w:sz="0" w:space="0" w:color="auto"/>
        <w:left w:val="none" w:sz="0" w:space="0" w:color="auto"/>
        <w:bottom w:val="none" w:sz="0" w:space="0" w:color="auto"/>
        <w:right w:val="none" w:sz="0" w:space="0" w:color="auto"/>
      </w:divBdr>
    </w:div>
    <w:div w:id="1406217565">
      <w:bodyDiv w:val="1"/>
      <w:marLeft w:val="0"/>
      <w:marRight w:val="0"/>
      <w:marTop w:val="0"/>
      <w:marBottom w:val="0"/>
      <w:divBdr>
        <w:top w:val="none" w:sz="0" w:space="0" w:color="auto"/>
        <w:left w:val="none" w:sz="0" w:space="0" w:color="auto"/>
        <w:bottom w:val="none" w:sz="0" w:space="0" w:color="auto"/>
        <w:right w:val="none" w:sz="0" w:space="0" w:color="auto"/>
      </w:divBdr>
    </w:div>
    <w:div w:id="1407262677">
      <w:bodyDiv w:val="1"/>
      <w:marLeft w:val="0"/>
      <w:marRight w:val="0"/>
      <w:marTop w:val="0"/>
      <w:marBottom w:val="0"/>
      <w:divBdr>
        <w:top w:val="none" w:sz="0" w:space="0" w:color="auto"/>
        <w:left w:val="none" w:sz="0" w:space="0" w:color="auto"/>
        <w:bottom w:val="none" w:sz="0" w:space="0" w:color="auto"/>
        <w:right w:val="none" w:sz="0" w:space="0" w:color="auto"/>
      </w:divBdr>
    </w:div>
    <w:div w:id="1407263768">
      <w:bodyDiv w:val="1"/>
      <w:marLeft w:val="0"/>
      <w:marRight w:val="0"/>
      <w:marTop w:val="0"/>
      <w:marBottom w:val="0"/>
      <w:divBdr>
        <w:top w:val="none" w:sz="0" w:space="0" w:color="auto"/>
        <w:left w:val="none" w:sz="0" w:space="0" w:color="auto"/>
        <w:bottom w:val="none" w:sz="0" w:space="0" w:color="auto"/>
        <w:right w:val="none" w:sz="0" w:space="0" w:color="auto"/>
      </w:divBdr>
    </w:div>
    <w:div w:id="1407340930">
      <w:bodyDiv w:val="1"/>
      <w:marLeft w:val="0"/>
      <w:marRight w:val="0"/>
      <w:marTop w:val="0"/>
      <w:marBottom w:val="0"/>
      <w:divBdr>
        <w:top w:val="none" w:sz="0" w:space="0" w:color="auto"/>
        <w:left w:val="none" w:sz="0" w:space="0" w:color="auto"/>
        <w:bottom w:val="none" w:sz="0" w:space="0" w:color="auto"/>
        <w:right w:val="none" w:sz="0" w:space="0" w:color="auto"/>
      </w:divBdr>
    </w:div>
    <w:div w:id="1408651217">
      <w:bodyDiv w:val="1"/>
      <w:marLeft w:val="0"/>
      <w:marRight w:val="0"/>
      <w:marTop w:val="0"/>
      <w:marBottom w:val="0"/>
      <w:divBdr>
        <w:top w:val="none" w:sz="0" w:space="0" w:color="auto"/>
        <w:left w:val="none" w:sz="0" w:space="0" w:color="auto"/>
        <w:bottom w:val="none" w:sz="0" w:space="0" w:color="auto"/>
        <w:right w:val="none" w:sz="0" w:space="0" w:color="auto"/>
      </w:divBdr>
    </w:div>
    <w:div w:id="1408839962">
      <w:bodyDiv w:val="1"/>
      <w:marLeft w:val="0"/>
      <w:marRight w:val="0"/>
      <w:marTop w:val="0"/>
      <w:marBottom w:val="0"/>
      <w:divBdr>
        <w:top w:val="none" w:sz="0" w:space="0" w:color="auto"/>
        <w:left w:val="none" w:sz="0" w:space="0" w:color="auto"/>
        <w:bottom w:val="none" w:sz="0" w:space="0" w:color="auto"/>
        <w:right w:val="none" w:sz="0" w:space="0" w:color="auto"/>
      </w:divBdr>
    </w:div>
    <w:div w:id="1409185701">
      <w:bodyDiv w:val="1"/>
      <w:marLeft w:val="0"/>
      <w:marRight w:val="0"/>
      <w:marTop w:val="0"/>
      <w:marBottom w:val="0"/>
      <w:divBdr>
        <w:top w:val="none" w:sz="0" w:space="0" w:color="auto"/>
        <w:left w:val="none" w:sz="0" w:space="0" w:color="auto"/>
        <w:bottom w:val="none" w:sz="0" w:space="0" w:color="auto"/>
        <w:right w:val="none" w:sz="0" w:space="0" w:color="auto"/>
      </w:divBdr>
    </w:div>
    <w:div w:id="1409307078">
      <w:bodyDiv w:val="1"/>
      <w:marLeft w:val="0"/>
      <w:marRight w:val="0"/>
      <w:marTop w:val="0"/>
      <w:marBottom w:val="0"/>
      <w:divBdr>
        <w:top w:val="none" w:sz="0" w:space="0" w:color="auto"/>
        <w:left w:val="none" w:sz="0" w:space="0" w:color="auto"/>
        <w:bottom w:val="none" w:sz="0" w:space="0" w:color="auto"/>
        <w:right w:val="none" w:sz="0" w:space="0" w:color="auto"/>
      </w:divBdr>
    </w:div>
    <w:div w:id="1409812061">
      <w:bodyDiv w:val="1"/>
      <w:marLeft w:val="0"/>
      <w:marRight w:val="0"/>
      <w:marTop w:val="0"/>
      <w:marBottom w:val="0"/>
      <w:divBdr>
        <w:top w:val="none" w:sz="0" w:space="0" w:color="auto"/>
        <w:left w:val="none" w:sz="0" w:space="0" w:color="auto"/>
        <w:bottom w:val="none" w:sz="0" w:space="0" w:color="auto"/>
        <w:right w:val="none" w:sz="0" w:space="0" w:color="auto"/>
      </w:divBdr>
    </w:div>
    <w:div w:id="1410543767">
      <w:bodyDiv w:val="1"/>
      <w:marLeft w:val="0"/>
      <w:marRight w:val="0"/>
      <w:marTop w:val="0"/>
      <w:marBottom w:val="0"/>
      <w:divBdr>
        <w:top w:val="none" w:sz="0" w:space="0" w:color="auto"/>
        <w:left w:val="none" w:sz="0" w:space="0" w:color="auto"/>
        <w:bottom w:val="none" w:sz="0" w:space="0" w:color="auto"/>
        <w:right w:val="none" w:sz="0" w:space="0" w:color="auto"/>
      </w:divBdr>
    </w:div>
    <w:div w:id="1411195655">
      <w:bodyDiv w:val="1"/>
      <w:marLeft w:val="0"/>
      <w:marRight w:val="0"/>
      <w:marTop w:val="0"/>
      <w:marBottom w:val="0"/>
      <w:divBdr>
        <w:top w:val="none" w:sz="0" w:space="0" w:color="auto"/>
        <w:left w:val="none" w:sz="0" w:space="0" w:color="auto"/>
        <w:bottom w:val="none" w:sz="0" w:space="0" w:color="auto"/>
        <w:right w:val="none" w:sz="0" w:space="0" w:color="auto"/>
      </w:divBdr>
    </w:div>
    <w:div w:id="1412653778">
      <w:bodyDiv w:val="1"/>
      <w:marLeft w:val="0"/>
      <w:marRight w:val="0"/>
      <w:marTop w:val="0"/>
      <w:marBottom w:val="0"/>
      <w:divBdr>
        <w:top w:val="none" w:sz="0" w:space="0" w:color="auto"/>
        <w:left w:val="none" w:sz="0" w:space="0" w:color="auto"/>
        <w:bottom w:val="none" w:sz="0" w:space="0" w:color="auto"/>
        <w:right w:val="none" w:sz="0" w:space="0" w:color="auto"/>
      </w:divBdr>
    </w:div>
    <w:div w:id="1413311337">
      <w:bodyDiv w:val="1"/>
      <w:marLeft w:val="0"/>
      <w:marRight w:val="0"/>
      <w:marTop w:val="0"/>
      <w:marBottom w:val="0"/>
      <w:divBdr>
        <w:top w:val="none" w:sz="0" w:space="0" w:color="auto"/>
        <w:left w:val="none" w:sz="0" w:space="0" w:color="auto"/>
        <w:bottom w:val="none" w:sz="0" w:space="0" w:color="auto"/>
        <w:right w:val="none" w:sz="0" w:space="0" w:color="auto"/>
      </w:divBdr>
    </w:div>
    <w:div w:id="1413427542">
      <w:bodyDiv w:val="1"/>
      <w:marLeft w:val="0"/>
      <w:marRight w:val="0"/>
      <w:marTop w:val="0"/>
      <w:marBottom w:val="0"/>
      <w:divBdr>
        <w:top w:val="none" w:sz="0" w:space="0" w:color="auto"/>
        <w:left w:val="none" w:sz="0" w:space="0" w:color="auto"/>
        <w:bottom w:val="none" w:sz="0" w:space="0" w:color="auto"/>
        <w:right w:val="none" w:sz="0" w:space="0" w:color="auto"/>
      </w:divBdr>
    </w:div>
    <w:div w:id="1414008734">
      <w:bodyDiv w:val="1"/>
      <w:marLeft w:val="0"/>
      <w:marRight w:val="0"/>
      <w:marTop w:val="0"/>
      <w:marBottom w:val="0"/>
      <w:divBdr>
        <w:top w:val="none" w:sz="0" w:space="0" w:color="auto"/>
        <w:left w:val="none" w:sz="0" w:space="0" w:color="auto"/>
        <w:bottom w:val="none" w:sz="0" w:space="0" w:color="auto"/>
        <w:right w:val="none" w:sz="0" w:space="0" w:color="auto"/>
      </w:divBdr>
    </w:div>
    <w:div w:id="1414664813">
      <w:bodyDiv w:val="1"/>
      <w:marLeft w:val="0"/>
      <w:marRight w:val="0"/>
      <w:marTop w:val="0"/>
      <w:marBottom w:val="0"/>
      <w:divBdr>
        <w:top w:val="none" w:sz="0" w:space="0" w:color="auto"/>
        <w:left w:val="none" w:sz="0" w:space="0" w:color="auto"/>
        <w:bottom w:val="none" w:sz="0" w:space="0" w:color="auto"/>
        <w:right w:val="none" w:sz="0" w:space="0" w:color="auto"/>
      </w:divBdr>
    </w:div>
    <w:div w:id="1414737092">
      <w:bodyDiv w:val="1"/>
      <w:marLeft w:val="0"/>
      <w:marRight w:val="0"/>
      <w:marTop w:val="0"/>
      <w:marBottom w:val="0"/>
      <w:divBdr>
        <w:top w:val="none" w:sz="0" w:space="0" w:color="auto"/>
        <w:left w:val="none" w:sz="0" w:space="0" w:color="auto"/>
        <w:bottom w:val="none" w:sz="0" w:space="0" w:color="auto"/>
        <w:right w:val="none" w:sz="0" w:space="0" w:color="auto"/>
      </w:divBdr>
    </w:div>
    <w:div w:id="1414935370">
      <w:bodyDiv w:val="1"/>
      <w:marLeft w:val="0"/>
      <w:marRight w:val="0"/>
      <w:marTop w:val="0"/>
      <w:marBottom w:val="0"/>
      <w:divBdr>
        <w:top w:val="none" w:sz="0" w:space="0" w:color="auto"/>
        <w:left w:val="none" w:sz="0" w:space="0" w:color="auto"/>
        <w:bottom w:val="none" w:sz="0" w:space="0" w:color="auto"/>
        <w:right w:val="none" w:sz="0" w:space="0" w:color="auto"/>
      </w:divBdr>
    </w:div>
    <w:div w:id="1415738919">
      <w:bodyDiv w:val="1"/>
      <w:marLeft w:val="0"/>
      <w:marRight w:val="0"/>
      <w:marTop w:val="0"/>
      <w:marBottom w:val="0"/>
      <w:divBdr>
        <w:top w:val="none" w:sz="0" w:space="0" w:color="auto"/>
        <w:left w:val="none" w:sz="0" w:space="0" w:color="auto"/>
        <w:bottom w:val="none" w:sz="0" w:space="0" w:color="auto"/>
        <w:right w:val="none" w:sz="0" w:space="0" w:color="auto"/>
      </w:divBdr>
    </w:div>
    <w:div w:id="1416896409">
      <w:bodyDiv w:val="1"/>
      <w:marLeft w:val="0"/>
      <w:marRight w:val="0"/>
      <w:marTop w:val="0"/>
      <w:marBottom w:val="0"/>
      <w:divBdr>
        <w:top w:val="none" w:sz="0" w:space="0" w:color="auto"/>
        <w:left w:val="none" w:sz="0" w:space="0" w:color="auto"/>
        <w:bottom w:val="none" w:sz="0" w:space="0" w:color="auto"/>
        <w:right w:val="none" w:sz="0" w:space="0" w:color="auto"/>
      </w:divBdr>
    </w:div>
    <w:div w:id="1416973579">
      <w:bodyDiv w:val="1"/>
      <w:marLeft w:val="0"/>
      <w:marRight w:val="0"/>
      <w:marTop w:val="0"/>
      <w:marBottom w:val="0"/>
      <w:divBdr>
        <w:top w:val="none" w:sz="0" w:space="0" w:color="auto"/>
        <w:left w:val="none" w:sz="0" w:space="0" w:color="auto"/>
        <w:bottom w:val="none" w:sz="0" w:space="0" w:color="auto"/>
        <w:right w:val="none" w:sz="0" w:space="0" w:color="auto"/>
      </w:divBdr>
    </w:div>
    <w:div w:id="1418356840">
      <w:bodyDiv w:val="1"/>
      <w:marLeft w:val="0"/>
      <w:marRight w:val="0"/>
      <w:marTop w:val="0"/>
      <w:marBottom w:val="0"/>
      <w:divBdr>
        <w:top w:val="none" w:sz="0" w:space="0" w:color="auto"/>
        <w:left w:val="none" w:sz="0" w:space="0" w:color="auto"/>
        <w:bottom w:val="none" w:sz="0" w:space="0" w:color="auto"/>
        <w:right w:val="none" w:sz="0" w:space="0" w:color="auto"/>
      </w:divBdr>
    </w:div>
    <w:div w:id="1419061672">
      <w:bodyDiv w:val="1"/>
      <w:marLeft w:val="0"/>
      <w:marRight w:val="0"/>
      <w:marTop w:val="0"/>
      <w:marBottom w:val="0"/>
      <w:divBdr>
        <w:top w:val="none" w:sz="0" w:space="0" w:color="auto"/>
        <w:left w:val="none" w:sz="0" w:space="0" w:color="auto"/>
        <w:bottom w:val="none" w:sz="0" w:space="0" w:color="auto"/>
        <w:right w:val="none" w:sz="0" w:space="0" w:color="auto"/>
      </w:divBdr>
    </w:div>
    <w:div w:id="1419715391">
      <w:bodyDiv w:val="1"/>
      <w:marLeft w:val="0"/>
      <w:marRight w:val="0"/>
      <w:marTop w:val="0"/>
      <w:marBottom w:val="0"/>
      <w:divBdr>
        <w:top w:val="none" w:sz="0" w:space="0" w:color="auto"/>
        <w:left w:val="none" w:sz="0" w:space="0" w:color="auto"/>
        <w:bottom w:val="none" w:sz="0" w:space="0" w:color="auto"/>
        <w:right w:val="none" w:sz="0" w:space="0" w:color="auto"/>
      </w:divBdr>
      <w:divsChild>
        <w:div w:id="2135556915">
          <w:marLeft w:val="0"/>
          <w:marRight w:val="0"/>
          <w:marTop w:val="0"/>
          <w:marBottom w:val="0"/>
          <w:divBdr>
            <w:top w:val="none" w:sz="0" w:space="0" w:color="auto"/>
            <w:left w:val="none" w:sz="0" w:space="0" w:color="auto"/>
            <w:bottom w:val="none" w:sz="0" w:space="0" w:color="auto"/>
            <w:right w:val="none" w:sz="0" w:space="0" w:color="auto"/>
          </w:divBdr>
        </w:div>
      </w:divsChild>
    </w:div>
    <w:div w:id="1420714721">
      <w:bodyDiv w:val="1"/>
      <w:marLeft w:val="0"/>
      <w:marRight w:val="0"/>
      <w:marTop w:val="0"/>
      <w:marBottom w:val="0"/>
      <w:divBdr>
        <w:top w:val="none" w:sz="0" w:space="0" w:color="auto"/>
        <w:left w:val="none" w:sz="0" w:space="0" w:color="auto"/>
        <w:bottom w:val="none" w:sz="0" w:space="0" w:color="auto"/>
        <w:right w:val="none" w:sz="0" w:space="0" w:color="auto"/>
      </w:divBdr>
    </w:div>
    <w:div w:id="1421483616">
      <w:bodyDiv w:val="1"/>
      <w:marLeft w:val="0"/>
      <w:marRight w:val="0"/>
      <w:marTop w:val="0"/>
      <w:marBottom w:val="0"/>
      <w:divBdr>
        <w:top w:val="none" w:sz="0" w:space="0" w:color="auto"/>
        <w:left w:val="none" w:sz="0" w:space="0" w:color="auto"/>
        <w:bottom w:val="none" w:sz="0" w:space="0" w:color="auto"/>
        <w:right w:val="none" w:sz="0" w:space="0" w:color="auto"/>
      </w:divBdr>
    </w:div>
    <w:div w:id="1421832666">
      <w:bodyDiv w:val="1"/>
      <w:marLeft w:val="0"/>
      <w:marRight w:val="0"/>
      <w:marTop w:val="0"/>
      <w:marBottom w:val="0"/>
      <w:divBdr>
        <w:top w:val="none" w:sz="0" w:space="0" w:color="auto"/>
        <w:left w:val="none" w:sz="0" w:space="0" w:color="auto"/>
        <w:bottom w:val="none" w:sz="0" w:space="0" w:color="auto"/>
        <w:right w:val="none" w:sz="0" w:space="0" w:color="auto"/>
      </w:divBdr>
    </w:div>
    <w:div w:id="1422412117">
      <w:bodyDiv w:val="1"/>
      <w:marLeft w:val="0"/>
      <w:marRight w:val="0"/>
      <w:marTop w:val="0"/>
      <w:marBottom w:val="0"/>
      <w:divBdr>
        <w:top w:val="none" w:sz="0" w:space="0" w:color="auto"/>
        <w:left w:val="none" w:sz="0" w:space="0" w:color="auto"/>
        <w:bottom w:val="none" w:sz="0" w:space="0" w:color="auto"/>
        <w:right w:val="none" w:sz="0" w:space="0" w:color="auto"/>
      </w:divBdr>
    </w:div>
    <w:div w:id="1423062829">
      <w:bodyDiv w:val="1"/>
      <w:marLeft w:val="0"/>
      <w:marRight w:val="0"/>
      <w:marTop w:val="0"/>
      <w:marBottom w:val="0"/>
      <w:divBdr>
        <w:top w:val="none" w:sz="0" w:space="0" w:color="auto"/>
        <w:left w:val="none" w:sz="0" w:space="0" w:color="auto"/>
        <w:bottom w:val="none" w:sz="0" w:space="0" w:color="auto"/>
        <w:right w:val="none" w:sz="0" w:space="0" w:color="auto"/>
      </w:divBdr>
    </w:div>
    <w:div w:id="1423146087">
      <w:bodyDiv w:val="1"/>
      <w:marLeft w:val="0"/>
      <w:marRight w:val="0"/>
      <w:marTop w:val="0"/>
      <w:marBottom w:val="0"/>
      <w:divBdr>
        <w:top w:val="none" w:sz="0" w:space="0" w:color="auto"/>
        <w:left w:val="none" w:sz="0" w:space="0" w:color="auto"/>
        <w:bottom w:val="none" w:sz="0" w:space="0" w:color="auto"/>
        <w:right w:val="none" w:sz="0" w:space="0" w:color="auto"/>
      </w:divBdr>
    </w:div>
    <w:div w:id="1423726253">
      <w:bodyDiv w:val="1"/>
      <w:marLeft w:val="0"/>
      <w:marRight w:val="0"/>
      <w:marTop w:val="0"/>
      <w:marBottom w:val="0"/>
      <w:divBdr>
        <w:top w:val="none" w:sz="0" w:space="0" w:color="auto"/>
        <w:left w:val="none" w:sz="0" w:space="0" w:color="auto"/>
        <w:bottom w:val="none" w:sz="0" w:space="0" w:color="auto"/>
        <w:right w:val="none" w:sz="0" w:space="0" w:color="auto"/>
      </w:divBdr>
    </w:div>
    <w:div w:id="1423910876">
      <w:bodyDiv w:val="1"/>
      <w:marLeft w:val="0"/>
      <w:marRight w:val="0"/>
      <w:marTop w:val="0"/>
      <w:marBottom w:val="0"/>
      <w:divBdr>
        <w:top w:val="none" w:sz="0" w:space="0" w:color="auto"/>
        <w:left w:val="none" w:sz="0" w:space="0" w:color="auto"/>
        <w:bottom w:val="none" w:sz="0" w:space="0" w:color="auto"/>
        <w:right w:val="none" w:sz="0" w:space="0" w:color="auto"/>
      </w:divBdr>
    </w:div>
    <w:div w:id="1424304125">
      <w:bodyDiv w:val="1"/>
      <w:marLeft w:val="0"/>
      <w:marRight w:val="0"/>
      <w:marTop w:val="0"/>
      <w:marBottom w:val="0"/>
      <w:divBdr>
        <w:top w:val="none" w:sz="0" w:space="0" w:color="auto"/>
        <w:left w:val="none" w:sz="0" w:space="0" w:color="auto"/>
        <w:bottom w:val="none" w:sz="0" w:space="0" w:color="auto"/>
        <w:right w:val="none" w:sz="0" w:space="0" w:color="auto"/>
      </w:divBdr>
    </w:div>
    <w:div w:id="1424493862">
      <w:bodyDiv w:val="1"/>
      <w:marLeft w:val="0"/>
      <w:marRight w:val="0"/>
      <w:marTop w:val="0"/>
      <w:marBottom w:val="0"/>
      <w:divBdr>
        <w:top w:val="none" w:sz="0" w:space="0" w:color="auto"/>
        <w:left w:val="none" w:sz="0" w:space="0" w:color="auto"/>
        <w:bottom w:val="none" w:sz="0" w:space="0" w:color="auto"/>
        <w:right w:val="none" w:sz="0" w:space="0" w:color="auto"/>
      </w:divBdr>
    </w:div>
    <w:div w:id="1425758081">
      <w:bodyDiv w:val="1"/>
      <w:marLeft w:val="0"/>
      <w:marRight w:val="0"/>
      <w:marTop w:val="0"/>
      <w:marBottom w:val="0"/>
      <w:divBdr>
        <w:top w:val="none" w:sz="0" w:space="0" w:color="auto"/>
        <w:left w:val="none" w:sz="0" w:space="0" w:color="auto"/>
        <w:bottom w:val="none" w:sz="0" w:space="0" w:color="auto"/>
        <w:right w:val="none" w:sz="0" w:space="0" w:color="auto"/>
      </w:divBdr>
    </w:div>
    <w:div w:id="1426422645">
      <w:bodyDiv w:val="1"/>
      <w:marLeft w:val="0"/>
      <w:marRight w:val="0"/>
      <w:marTop w:val="0"/>
      <w:marBottom w:val="0"/>
      <w:divBdr>
        <w:top w:val="none" w:sz="0" w:space="0" w:color="auto"/>
        <w:left w:val="none" w:sz="0" w:space="0" w:color="auto"/>
        <w:bottom w:val="none" w:sz="0" w:space="0" w:color="auto"/>
        <w:right w:val="none" w:sz="0" w:space="0" w:color="auto"/>
      </w:divBdr>
    </w:div>
    <w:div w:id="1426919151">
      <w:bodyDiv w:val="1"/>
      <w:marLeft w:val="0"/>
      <w:marRight w:val="0"/>
      <w:marTop w:val="0"/>
      <w:marBottom w:val="0"/>
      <w:divBdr>
        <w:top w:val="none" w:sz="0" w:space="0" w:color="auto"/>
        <w:left w:val="none" w:sz="0" w:space="0" w:color="auto"/>
        <w:bottom w:val="none" w:sz="0" w:space="0" w:color="auto"/>
        <w:right w:val="none" w:sz="0" w:space="0" w:color="auto"/>
      </w:divBdr>
    </w:div>
    <w:div w:id="1427075880">
      <w:bodyDiv w:val="1"/>
      <w:marLeft w:val="0"/>
      <w:marRight w:val="0"/>
      <w:marTop w:val="0"/>
      <w:marBottom w:val="0"/>
      <w:divBdr>
        <w:top w:val="none" w:sz="0" w:space="0" w:color="auto"/>
        <w:left w:val="none" w:sz="0" w:space="0" w:color="auto"/>
        <w:bottom w:val="none" w:sz="0" w:space="0" w:color="auto"/>
        <w:right w:val="none" w:sz="0" w:space="0" w:color="auto"/>
      </w:divBdr>
    </w:div>
    <w:div w:id="1427263122">
      <w:bodyDiv w:val="1"/>
      <w:marLeft w:val="0"/>
      <w:marRight w:val="0"/>
      <w:marTop w:val="0"/>
      <w:marBottom w:val="0"/>
      <w:divBdr>
        <w:top w:val="none" w:sz="0" w:space="0" w:color="auto"/>
        <w:left w:val="none" w:sz="0" w:space="0" w:color="auto"/>
        <w:bottom w:val="none" w:sz="0" w:space="0" w:color="auto"/>
        <w:right w:val="none" w:sz="0" w:space="0" w:color="auto"/>
      </w:divBdr>
    </w:div>
    <w:div w:id="1427463596">
      <w:bodyDiv w:val="1"/>
      <w:marLeft w:val="0"/>
      <w:marRight w:val="0"/>
      <w:marTop w:val="0"/>
      <w:marBottom w:val="0"/>
      <w:divBdr>
        <w:top w:val="none" w:sz="0" w:space="0" w:color="auto"/>
        <w:left w:val="none" w:sz="0" w:space="0" w:color="auto"/>
        <w:bottom w:val="none" w:sz="0" w:space="0" w:color="auto"/>
        <w:right w:val="none" w:sz="0" w:space="0" w:color="auto"/>
      </w:divBdr>
    </w:div>
    <w:div w:id="1427773105">
      <w:bodyDiv w:val="1"/>
      <w:marLeft w:val="0"/>
      <w:marRight w:val="0"/>
      <w:marTop w:val="0"/>
      <w:marBottom w:val="0"/>
      <w:divBdr>
        <w:top w:val="none" w:sz="0" w:space="0" w:color="auto"/>
        <w:left w:val="none" w:sz="0" w:space="0" w:color="auto"/>
        <w:bottom w:val="none" w:sz="0" w:space="0" w:color="auto"/>
        <w:right w:val="none" w:sz="0" w:space="0" w:color="auto"/>
      </w:divBdr>
    </w:div>
    <w:div w:id="1428883600">
      <w:bodyDiv w:val="1"/>
      <w:marLeft w:val="0"/>
      <w:marRight w:val="0"/>
      <w:marTop w:val="0"/>
      <w:marBottom w:val="0"/>
      <w:divBdr>
        <w:top w:val="none" w:sz="0" w:space="0" w:color="auto"/>
        <w:left w:val="none" w:sz="0" w:space="0" w:color="auto"/>
        <w:bottom w:val="none" w:sz="0" w:space="0" w:color="auto"/>
        <w:right w:val="none" w:sz="0" w:space="0" w:color="auto"/>
      </w:divBdr>
    </w:div>
    <w:div w:id="1429544014">
      <w:bodyDiv w:val="1"/>
      <w:marLeft w:val="0"/>
      <w:marRight w:val="0"/>
      <w:marTop w:val="0"/>
      <w:marBottom w:val="0"/>
      <w:divBdr>
        <w:top w:val="none" w:sz="0" w:space="0" w:color="auto"/>
        <w:left w:val="none" w:sz="0" w:space="0" w:color="auto"/>
        <w:bottom w:val="none" w:sz="0" w:space="0" w:color="auto"/>
        <w:right w:val="none" w:sz="0" w:space="0" w:color="auto"/>
      </w:divBdr>
    </w:div>
    <w:div w:id="1429693658">
      <w:bodyDiv w:val="1"/>
      <w:marLeft w:val="0"/>
      <w:marRight w:val="0"/>
      <w:marTop w:val="0"/>
      <w:marBottom w:val="0"/>
      <w:divBdr>
        <w:top w:val="none" w:sz="0" w:space="0" w:color="auto"/>
        <w:left w:val="none" w:sz="0" w:space="0" w:color="auto"/>
        <w:bottom w:val="none" w:sz="0" w:space="0" w:color="auto"/>
        <w:right w:val="none" w:sz="0" w:space="0" w:color="auto"/>
      </w:divBdr>
    </w:div>
    <w:div w:id="1430156915">
      <w:bodyDiv w:val="1"/>
      <w:marLeft w:val="0"/>
      <w:marRight w:val="0"/>
      <w:marTop w:val="0"/>
      <w:marBottom w:val="0"/>
      <w:divBdr>
        <w:top w:val="none" w:sz="0" w:space="0" w:color="auto"/>
        <w:left w:val="none" w:sz="0" w:space="0" w:color="auto"/>
        <w:bottom w:val="none" w:sz="0" w:space="0" w:color="auto"/>
        <w:right w:val="none" w:sz="0" w:space="0" w:color="auto"/>
      </w:divBdr>
    </w:div>
    <w:div w:id="1430157866">
      <w:bodyDiv w:val="1"/>
      <w:marLeft w:val="0"/>
      <w:marRight w:val="0"/>
      <w:marTop w:val="0"/>
      <w:marBottom w:val="0"/>
      <w:divBdr>
        <w:top w:val="none" w:sz="0" w:space="0" w:color="auto"/>
        <w:left w:val="none" w:sz="0" w:space="0" w:color="auto"/>
        <w:bottom w:val="none" w:sz="0" w:space="0" w:color="auto"/>
        <w:right w:val="none" w:sz="0" w:space="0" w:color="auto"/>
      </w:divBdr>
    </w:div>
    <w:div w:id="1430467700">
      <w:bodyDiv w:val="1"/>
      <w:marLeft w:val="0"/>
      <w:marRight w:val="0"/>
      <w:marTop w:val="0"/>
      <w:marBottom w:val="0"/>
      <w:divBdr>
        <w:top w:val="none" w:sz="0" w:space="0" w:color="auto"/>
        <w:left w:val="none" w:sz="0" w:space="0" w:color="auto"/>
        <w:bottom w:val="none" w:sz="0" w:space="0" w:color="auto"/>
        <w:right w:val="none" w:sz="0" w:space="0" w:color="auto"/>
      </w:divBdr>
    </w:div>
    <w:div w:id="1430541719">
      <w:bodyDiv w:val="1"/>
      <w:marLeft w:val="0"/>
      <w:marRight w:val="0"/>
      <w:marTop w:val="0"/>
      <w:marBottom w:val="0"/>
      <w:divBdr>
        <w:top w:val="none" w:sz="0" w:space="0" w:color="auto"/>
        <w:left w:val="none" w:sz="0" w:space="0" w:color="auto"/>
        <w:bottom w:val="none" w:sz="0" w:space="0" w:color="auto"/>
        <w:right w:val="none" w:sz="0" w:space="0" w:color="auto"/>
      </w:divBdr>
    </w:div>
    <w:div w:id="1430543288">
      <w:bodyDiv w:val="1"/>
      <w:marLeft w:val="0"/>
      <w:marRight w:val="0"/>
      <w:marTop w:val="0"/>
      <w:marBottom w:val="0"/>
      <w:divBdr>
        <w:top w:val="none" w:sz="0" w:space="0" w:color="auto"/>
        <w:left w:val="none" w:sz="0" w:space="0" w:color="auto"/>
        <w:bottom w:val="none" w:sz="0" w:space="0" w:color="auto"/>
        <w:right w:val="none" w:sz="0" w:space="0" w:color="auto"/>
      </w:divBdr>
    </w:div>
    <w:div w:id="1431512131">
      <w:bodyDiv w:val="1"/>
      <w:marLeft w:val="0"/>
      <w:marRight w:val="0"/>
      <w:marTop w:val="0"/>
      <w:marBottom w:val="0"/>
      <w:divBdr>
        <w:top w:val="none" w:sz="0" w:space="0" w:color="auto"/>
        <w:left w:val="none" w:sz="0" w:space="0" w:color="auto"/>
        <w:bottom w:val="none" w:sz="0" w:space="0" w:color="auto"/>
        <w:right w:val="none" w:sz="0" w:space="0" w:color="auto"/>
      </w:divBdr>
    </w:div>
    <w:div w:id="1431974268">
      <w:bodyDiv w:val="1"/>
      <w:marLeft w:val="0"/>
      <w:marRight w:val="0"/>
      <w:marTop w:val="0"/>
      <w:marBottom w:val="0"/>
      <w:divBdr>
        <w:top w:val="none" w:sz="0" w:space="0" w:color="auto"/>
        <w:left w:val="none" w:sz="0" w:space="0" w:color="auto"/>
        <w:bottom w:val="none" w:sz="0" w:space="0" w:color="auto"/>
        <w:right w:val="none" w:sz="0" w:space="0" w:color="auto"/>
      </w:divBdr>
    </w:div>
    <w:div w:id="1432123395">
      <w:bodyDiv w:val="1"/>
      <w:marLeft w:val="0"/>
      <w:marRight w:val="0"/>
      <w:marTop w:val="0"/>
      <w:marBottom w:val="0"/>
      <w:divBdr>
        <w:top w:val="none" w:sz="0" w:space="0" w:color="auto"/>
        <w:left w:val="none" w:sz="0" w:space="0" w:color="auto"/>
        <w:bottom w:val="none" w:sz="0" w:space="0" w:color="auto"/>
        <w:right w:val="none" w:sz="0" w:space="0" w:color="auto"/>
      </w:divBdr>
    </w:div>
    <w:div w:id="1432168243">
      <w:bodyDiv w:val="1"/>
      <w:marLeft w:val="0"/>
      <w:marRight w:val="0"/>
      <w:marTop w:val="0"/>
      <w:marBottom w:val="0"/>
      <w:divBdr>
        <w:top w:val="none" w:sz="0" w:space="0" w:color="auto"/>
        <w:left w:val="none" w:sz="0" w:space="0" w:color="auto"/>
        <w:bottom w:val="none" w:sz="0" w:space="0" w:color="auto"/>
        <w:right w:val="none" w:sz="0" w:space="0" w:color="auto"/>
      </w:divBdr>
    </w:div>
    <w:div w:id="1433084843">
      <w:bodyDiv w:val="1"/>
      <w:marLeft w:val="0"/>
      <w:marRight w:val="0"/>
      <w:marTop w:val="0"/>
      <w:marBottom w:val="0"/>
      <w:divBdr>
        <w:top w:val="none" w:sz="0" w:space="0" w:color="auto"/>
        <w:left w:val="none" w:sz="0" w:space="0" w:color="auto"/>
        <w:bottom w:val="none" w:sz="0" w:space="0" w:color="auto"/>
        <w:right w:val="none" w:sz="0" w:space="0" w:color="auto"/>
      </w:divBdr>
    </w:div>
    <w:div w:id="1433163121">
      <w:bodyDiv w:val="1"/>
      <w:marLeft w:val="0"/>
      <w:marRight w:val="0"/>
      <w:marTop w:val="0"/>
      <w:marBottom w:val="0"/>
      <w:divBdr>
        <w:top w:val="none" w:sz="0" w:space="0" w:color="auto"/>
        <w:left w:val="none" w:sz="0" w:space="0" w:color="auto"/>
        <w:bottom w:val="none" w:sz="0" w:space="0" w:color="auto"/>
        <w:right w:val="none" w:sz="0" w:space="0" w:color="auto"/>
      </w:divBdr>
    </w:div>
    <w:div w:id="1433281330">
      <w:bodyDiv w:val="1"/>
      <w:marLeft w:val="0"/>
      <w:marRight w:val="0"/>
      <w:marTop w:val="0"/>
      <w:marBottom w:val="0"/>
      <w:divBdr>
        <w:top w:val="none" w:sz="0" w:space="0" w:color="auto"/>
        <w:left w:val="none" w:sz="0" w:space="0" w:color="auto"/>
        <w:bottom w:val="none" w:sz="0" w:space="0" w:color="auto"/>
        <w:right w:val="none" w:sz="0" w:space="0" w:color="auto"/>
      </w:divBdr>
    </w:div>
    <w:div w:id="1433353101">
      <w:bodyDiv w:val="1"/>
      <w:marLeft w:val="0"/>
      <w:marRight w:val="0"/>
      <w:marTop w:val="0"/>
      <w:marBottom w:val="0"/>
      <w:divBdr>
        <w:top w:val="none" w:sz="0" w:space="0" w:color="auto"/>
        <w:left w:val="none" w:sz="0" w:space="0" w:color="auto"/>
        <w:bottom w:val="none" w:sz="0" w:space="0" w:color="auto"/>
        <w:right w:val="none" w:sz="0" w:space="0" w:color="auto"/>
      </w:divBdr>
    </w:div>
    <w:div w:id="1433471542">
      <w:bodyDiv w:val="1"/>
      <w:marLeft w:val="0"/>
      <w:marRight w:val="0"/>
      <w:marTop w:val="0"/>
      <w:marBottom w:val="0"/>
      <w:divBdr>
        <w:top w:val="none" w:sz="0" w:space="0" w:color="auto"/>
        <w:left w:val="none" w:sz="0" w:space="0" w:color="auto"/>
        <w:bottom w:val="none" w:sz="0" w:space="0" w:color="auto"/>
        <w:right w:val="none" w:sz="0" w:space="0" w:color="auto"/>
      </w:divBdr>
    </w:div>
    <w:div w:id="1433629030">
      <w:bodyDiv w:val="1"/>
      <w:marLeft w:val="0"/>
      <w:marRight w:val="0"/>
      <w:marTop w:val="0"/>
      <w:marBottom w:val="0"/>
      <w:divBdr>
        <w:top w:val="none" w:sz="0" w:space="0" w:color="auto"/>
        <w:left w:val="none" w:sz="0" w:space="0" w:color="auto"/>
        <w:bottom w:val="none" w:sz="0" w:space="0" w:color="auto"/>
        <w:right w:val="none" w:sz="0" w:space="0" w:color="auto"/>
      </w:divBdr>
    </w:div>
    <w:div w:id="1433814997">
      <w:bodyDiv w:val="1"/>
      <w:marLeft w:val="0"/>
      <w:marRight w:val="0"/>
      <w:marTop w:val="0"/>
      <w:marBottom w:val="0"/>
      <w:divBdr>
        <w:top w:val="none" w:sz="0" w:space="0" w:color="auto"/>
        <w:left w:val="none" w:sz="0" w:space="0" w:color="auto"/>
        <w:bottom w:val="none" w:sz="0" w:space="0" w:color="auto"/>
        <w:right w:val="none" w:sz="0" w:space="0" w:color="auto"/>
      </w:divBdr>
    </w:div>
    <w:div w:id="1433893690">
      <w:bodyDiv w:val="1"/>
      <w:marLeft w:val="0"/>
      <w:marRight w:val="0"/>
      <w:marTop w:val="0"/>
      <w:marBottom w:val="0"/>
      <w:divBdr>
        <w:top w:val="none" w:sz="0" w:space="0" w:color="auto"/>
        <w:left w:val="none" w:sz="0" w:space="0" w:color="auto"/>
        <w:bottom w:val="none" w:sz="0" w:space="0" w:color="auto"/>
        <w:right w:val="none" w:sz="0" w:space="0" w:color="auto"/>
      </w:divBdr>
    </w:div>
    <w:div w:id="1434016777">
      <w:bodyDiv w:val="1"/>
      <w:marLeft w:val="0"/>
      <w:marRight w:val="0"/>
      <w:marTop w:val="0"/>
      <w:marBottom w:val="0"/>
      <w:divBdr>
        <w:top w:val="none" w:sz="0" w:space="0" w:color="auto"/>
        <w:left w:val="none" w:sz="0" w:space="0" w:color="auto"/>
        <w:bottom w:val="none" w:sz="0" w:space="0" w:color="auto"/>
        <w:right w:val="none" w:sz="0" w:space="0" w:color="auto"/>
      </w:divBdr>
    </w:div>
    <w:div w:id="1434787169">
      <w:bodyDiv w:val="1"/>
      <w:marLeft w:val="0"/>
      <w:marRight w:val="0"/>
      <w:marTop w:val="0"/>
      <w:marBottom w:val="0"/>
      <w:divBdr>
        <w:top w:val="none" w:sz="0" w:space="0" w:color="auto"/>
        <w:left w:val="none" w:sz="0" w:space="0" w:color="auto"/>
        <w:bottom w:val="none" w:sz="0" w:space="0" w:color="auto"/>
        <w:right w:val="none" w:sz="0" w:space="0" w:color="auto"/>
      </w:divBdr>
    </w:div>
    <w:div w:id="1435201069">
      <w:bodyDiv w:val="1"/>
      <w:marLeft w:val="0"/>
      <w:marRight w:val="0"/>
      <w:marTop w:val="0"/>
      <w:marBottom w:val="0"/>
      <w:divBdr>
        <w:top w:val="none" w:sz="0" w:space="0" w:color="auto"/>
        <w:left w:val="none" w:sz="0" w:space="0" w:color="auto"/>
        <w:bottom w:val="none" w:sz="0" w:space="0" w:color="auto"/>
        <w:right w:val="none" w:sz="0" w:space="0" w:color="auto"/>
      </w:divBdr>
    </w:div>
    <w:div w:id="1437020396">
      <w:bodyDiv w:val="1"/>
      <w:marLeft w:val="0"/>
      <w:marRight w:val="0"/>
      <w:marTop w:val="0"/>
      <w:marBottom w:val="0"/>
      <w:divBdr>
        <w:top w:val="none" w:sz="0" w:space="0" w:color="auto"/>
        <w:left w:val="none" w:sz="0" w:space="0" w:color="auto"/>
        <w:bottom w:val="none" w:sz="0" w:space="0" w:color="auto"/>
        <w:right w:val="none" w:sz="0" w:space="0" w:color="auto"/>
      </w:divBdr>
    </w:div>
    <w:div w:id="1438403424">
      <w:bodyDiv w:val="1"/>
      <w:marLeft w:val="0"/>
      <w:marRight w:val="0"/>
      <w:marTop w:val="0"/>
      <w:marBottom w:val="0"/>
      <w:divBdr>
        <w:top w:val="none" w:sz="0" w:space="0" w:color="auto"/>
        <w:left w:val="none" w:sz="0" w:space="0" w:color="auto"/>
        <w:bottom w:val="none" w:sz="0" w:space="0" w:color="auto"/>
        <w:right w:val="none" w:sz="0" w:space="0" w:color="auto"/>
      </w:divBdr>
    </w:div>
    <w:div w:id="1438675251">
      <w:bodyDiv w:val="1"/>
      <w:marLeft w:val="0"/>
      <w:marRight w:val="0"/>
      <w:marTop w:val="0"/>
      <w:marBottom w:val="0"/>
      <w:divBdr>
        <w:top w:val="none" w:sz="0" w:space="0" w:color="auto"/>
        <w:left w:val="none" w:sz="0" w:space="0" w:color="auto"/>
        <w:bottom w:val="none" w:sz="0" w:space="0" w:color="auto"/>
        <w:right w:val="none" w:sz="0" w:space="0" w:color="auto"/>
      </w:divBdr>
    </w:div>
    <w:div w:id="1442456333">
      <w:bodyDiv w:val="1"/>
      <w:marLeft w:val="0"/>
      <w:marRight w:val="0"/>
      <w:marTop w:val="0"/>
      <w:marBottom w:val="0"/>
      <w:divBdr>
        <w:top w:val="none" w:sz="0" w:space="0" w:color="auto"/>
        <w:left w:val="none" w:sz="0" w:space="0" w:color="auto"/>
        <w:bottom w:val="none" w:sz="0" w:space="0" w:color="auto"/>
        <w:right w:val="none" w:sz="0" w:space="0" w:color="auto"/>
      </w:divBdr>
    </w:div>
    <w:div w:id="1442728874">
      <w:bodyDiv w:val="1"/>
      <w:marLeft w:val="0"/>
      <w:marRight w:val="0"/>
      <w:marTop w:val="0"/>
      <w:marBottom w:val="0"/>
      <w:divBdr>
        <w:top w:val="none" w:sz="0" w:space="0" w:color="auto"/>
        <w:left w:val="none" w:sz="0" w:space="0" w:color="auto"/>
        <w:bottom w:val="none" w:sz="0" w:space="0" w:color="auto"/>
        <w:right w:val="none" w:sz="0" w:space="0" w:color="auto"/>
      </w:divBdr>
    </w:div>
    <w:div w:id="1443841047">
      <w:bodyDiv w:val="1"/>
      <w:marLeft w:val="0"/>
      <w:marRight w:val="0"/>
      <w:marTop w:val="0"/>
      <w:marBottom w:val="0"/>
      <w:divBdr>
        <w:top w:val="none" w:sz="0" w:space="0" w:color="auto"/>
        <w:left w:val="none" w:sz="0" w:space="0" w:color="auto"/>
        <w:bottom w:val="none" w:sz="0" w:space="0" w:color="auto"/>
        <w:right w:val="none" w:sz="0" w:space="0" w:color="auto"/>
      </w:divBdr>
    </w:div>
    <w:div w:id="1443961561">
      <w:bodyDiv w:val="1"/>
      <w:marLeft w:val="0"/>
      <w:marRight w:val="0"/>
      <w:marTop w:val="0"/>
      <w:marBottom w:val="0"/>
      <w:divBdr>
        <w:top w:val="none" w:sz="0" w:space="0" w:color="auto"/>
        <w:left w:val="none" w:sz="0" w:space="0" w:color="auto"/>
        <w:bottom w:val="none" w:sz="0" w:space="0" w:color="auto"/>
        <w:right w:val="none" w:sz="0" w:space="0" w:color="auto"/>
      </w:divBdr>
    </w:div>
    <w:div w:id="1446386529">
      <w:bodyDiv w:val="1"/>
      <w:marLeft w:val="0"/>
      <w:marRight w:val="0"/>
      <w:marTop w:val="0"/>
      <w:marBottom w:val="0"/>
      <w:divBdr>
        <w:top w:val="none" w:sz="0" w:space="0" w:color="auto"/>
        <w:left w:val="none" w:sz="0" w:space="0" w:color="auto"/>
        <w:bottom w:val="none" w:sz="0" w:space="0" w:color="auto"/>
        <w:right w:val="none" w:sz="0" w:space="0" w:color="auto"/>
      </w:divBdr>
    </w:div>
    <w:div w:id="1447433446">
      <w:bodyDiv w:val="1"/>
      <w:marLeft w:val="0"/>
      <w:marRight w:val="0"/>
      <w:marTop w:val="0"/>
      <w:marBottom w:val="0"/>
      <w:divBdr>
        <w:top w:val="none" w:sz="0" w:space="0" w:color="auto"/>
        <w:left w:val="none" w:sz="0" w:space="0" w:color="auto"/>
        <w:bottom w:val="none" w:sz="0" w:space="0" w:color="auto"/>
        <w:right w:val="none" w:sz="0" w:space="0" w:color="auto"/>
      </w:divBdr>
    </w:div>
    <w:div w:id="1448424548">
      <w:bodyDiv w:val="1"/>
      <w:marLeft w:val="0"/>
      <w:marRight w:val="0"/>
      <w:marTop w:val="0"/>
      <w:marBottom w:val="0"/>
      <w:divBdr>
        <w:top w:val="none" w:sz="0" w:space="0" w:color="auto"/>
        <w:left w:val="none" w:sz="0" w:space="0" w:color="auto"/>
        <w:bottom w:val="none" w:sz="0" w:space="0" w:color="auto"/>
        <w:right w:val="none" w:sz="0" w:space="0" w:color="auto"/>
      </w:divBdr>
    </w:div>
    <w:div w:id="1449275154">
      <w:bodyDiv w:val="1"/>
      <w:marLeft w:val="0"/>
      <w:marRight w:val="0"/>
      <w:marTop w:val="0"/>
      <w:marBottom w:val="0"/>
      <w:divBdr>
        <w:top w:val="none" w:sz="0" w:space="0" w:color="auto"/>
        <w:left w:val="none" w:sz="0" w:space="0" w:color="auto"/>
        <w:bottom w:val="none" w:sz="0" w:space="0" w:color="auto"/>
        <w:right w:val="none" w:sz="0" w:space="0" w:color="auto"/>
      </w:divBdr>
    </w:div>
    <w:div w:id="1449858841">
      <w:bodyDiv w:val="1"/>
      <w:marLeft w:val="0"/>
      <w:marRight w:val="0"/>
      <w:marTop w:val="0"/>
      <w:marBottom w:val="0"/>
      <w:divBdr>
        <w:top w:val="none" w:sz="0" w:space="0" w:color="auto"/>
        <w:left w:val="none" w:sz="0" w:space="0" w:color="auto"/>
        <w:bottom w:val="none" w:sz="0" w:space="0" w:color="auto"/>
        <w:right w:val="none" w:sz="0" w:space="0" w:color="auto"/>
      </w:divBdr>
    </w:div>
    <w:div w:id="1450274313">
      <w:bodyDiv w:val="1"/>
      <w:marLeft w:val="0"/>
      <w:marRight w:val="0"/>
      <w:marTop w:val="0"/>
      <w:marBottom w:val="0"/>
      <w:divBdr>
        <w:top w:val="none" w:sz="0" w:space="0" w:color="auto"/>
        <w:left w:val="none" w:sz="0" w:space="0" w:color="auto"/>
        <w:bottom w:val="none" w:sz="0" w:space="0" w:color="auto"/>
        <w:right w:val="none" w:sz="0" w:space="0" w:color="auto"/>
      </w:divBdr>
    </w:div>
    <w:div w:id="1450931719">
      <w:bodyDiv w:val="1"/>
      <w:marLeft w:val="0"/>
      <w:marRight w:val="0"/>
      <w:marTop w:val="0"/>
      <w:marBottom w:val="0"/>
      <w:divBdr>
        <w:top w:val="none" w:sz="0" w:space="0" w:color="auto"/>
        <w:left w:val="none" w:sz="0" w:space="0" w:color="auto"/>
        <w:bottom w:val="none" w:sz="0" w:space="0" w:color="auto"/>
        <w:right w:val="none" w:sz="0" w:space="0" w:color="auto"/>
      </w:divBdr>
    </w:div>
    <w:div w:id="1452086803">
      <w:bodyDiv w:val="1"/>
      <w:marLeft w:val="0"/>
      <w:marRight w:val="0"/>
      <w:marTop w:val="0"/>
      <w:marBottom w:val="0"/>
      <w:divBdr>
        <w:top w:val="none" w:sz="0" w:space="0" w:color="auto"/>
        <w:left w:val="none" w:sz="0" w:space="0" w:color="auto"/>
        <w:bottom w:val="none" w:sz="0" w:space="0" w:color="auto"/>
        <w:right w:val="none" w:sz="0" w:space="0" w:color="auto"/>
      </w:divBdr>
    </w:div>
    <w:div w:id="1453665877">
      <w:bodyDiv w:val="1"/>
      <w:marLeft w:val="0"/>
      <w:marRight w:val="0"/>
      <w:marTop w:val="0"/>
      <w:marBottom w:val="0"/>
      <w:divBdr>
        <w:top w:val="none" w:sz="0" w:space="0" w:color="auto"/>
        <w:left w:val="none" w:sz="0" w:space="0" w:color="auto"/>
        <w:bottom w:val="none" w:sz="0" w:space="0" w:color="auto"/>
        <w:right w:val="none" w:sz="0" w:space="0" w:color="auto"/>
      </w:divBdr>
    </w:div>
    <w:div w:id="1454983766">
      <w:bodyDiv w:val="1"/>
      <w:marLeft w:val="0"/>
      <w:marRight w:val="0"/>
      <w:marTop w:val="0"/>
      <w:marBottom w:val="0"/>
      <w:divBdr>
        <w:top w:val="none" w:sz="0" w:space="0" w:color="auto"/>
        <w:left w:val="none" w:sz="0" w:space="0" w:color="auto"/>
        <w:bottom w:val="none" w:sz="0" w:space="0" w:color="auto"/>
        <w:right w:val="none" w:sz="0" w:space="0" w:color="auto"/>
      </w:divBdr>
    </w:div>
    <w:div w:id="1455251904">
      <w:bodyDiv w:val="1"/>
      <w:marLeft w:val="0"/>
      <w:marRight w:val="0"/>
      <w:marTop w:val="0"/>
      <w:marBottom w:val="0"/>
      <w:divBdr>
        <w:top w:val="none" w:sz="0" w:space="0" w:color="auto"/>
        <w:left w:val="none" w:sz="0" w:space="0" w:color="auto"/>
        <w:bottom w:val="none" w:sz="0" w:space="0" w:color="auto"/>
        <w:right w:val="none" w:sz="0" w:space="0" w:color="auto"/>
      </w:divBdr>
    </w:div>
    <w:div w:id="1456561633">
      <w:bodyDiv w:val="1"/>
      <w:marLeft w:val="0"/>
      <w:marRight w:val="0"/>
      <w:marTop w:val="0"/>
      <w:marBottom w:val="0"/>
      <w:divBdr>
        <w:top w:val="none" w:sz="0" w:space="0" w:color="auto"/>
        <w:left w:val="none" w:sz="0" w:space="0" w:color="auto"/>
        <w:bottom w:val="none" w:sz="0" w:space="0" w:color="auto"/>
        <w:right w:val="none" w:sz="0" w:space="0" w:color="auto"/>
      </w:divBdr>
    </w:div>
    <w:div w:id="1456752193">
      <w:bodyDiv w:val="1"/>
      <w:marLeft w:val="0"/>
      <w:marRight w:val="0"/>
      <w:marTop w:val="0"/>
      <w:marBottom w:val="0"/>
      <w:divBdr>
        <w:top w:val="none" w:sz="0" w:space="0" w:color="auto"/>
        <w:left w:val="none" w:sz="0" w:space="0" w:color="auto"/>
        <w:bottom w:val="none" w:sz="0" w:space="0" w:color="auto"/>
        <w:right w:val="none" w:sz="0" w:space="0" w:color="auto"/>
      </w:divBdr>
    </w:div>
    <w:div w:id="1456828563">
      <w:bodyDiv w:val="1"/>
      <w:marLeft w:val="0"/>
      <w:marRight w:val="0"/>
      <w:marTop w:val="0"/>
      <w:marBottom w:val="0"/>
      <w:divBdr>
        <w:top w:val="none" w:sz="0" w:space="0" w:color="auto"/>
        <w:left w:val="none" w:sz="0" w:space="0" w:color="auto"/>
        <w:bottom w:val="none" w:sz="0" w:space="0" w:color="auto"/>
        <w:right w:val="none" w:sz="0" w:space="0" w:color="auto"/>
      </w:divBdr>
    </w:div>
    <w:div w:id="1456870069">
      <w:bodyDiv w:val="1"/>
      <w:marLeft w:val="0"/>
      <w:marRight w:val="0"/>
      <w:marTop w:val="0"/>
      <w:marBottom w:val="0"/>
      <w:divBdr>
        <w:top w:val="none" w:sz="0" w:space="0" w:color="auto"/>
        <w:left w:val="none" w:sz="0" w:space="0" w:color="auto"/>
        <w:bottom w:val="none" w:sz="0" w:space="0" w:color="auto"/>
        <w:right w:val="none" w:sz="0" w:space="0" w:color="auto"/>
      </w:divBdr>
    </w:div>
    <w:div w:id="1457409258">
      <w:bodyDiv w:val="1"/>
      <w:marLeft w:val="0"/>
      <w:marRight w:val="0"/>
      <w:marTop w:val="0"/>
      <w:marBottom w:val="0"/>
      <w:divBdr>
        <w:top w:val="none" w:sz="0" w:space="0" w:color="auto"/>
        <w:left w:val="none" w:sz="0" w:space="0" w:color="auto"/>
        <w:bottom w:val="none" w:sz="0" w:space="0" w:color="auto"/>
        <w:right w:val="none" w:sz="0" w:space="0" w:color="auto"/>
      </w:divBdr>
    </w:div>
    <w:div w:id="1457522646">
      <w:bodyDiv w:val="1"/>
      <w:marLeft w:val="0"/>
      <w:marRight w:val="0"/>
      <w:marTop w:val="0"/>
      <w:marBottom w:val="0"/>
      <w:divBdr>
        <w:top w:val="none" w:sz="0" w:space="0" w:color="auto"/>
        <w:left w:val="none" w:sz="0" w:space="0" w:color="auto"/>
        <w:bottom w:val="none" w:sz="0" w:space="0" w:color="auto"/>
        <w:right w:val="none" w:sz="0" w:space="0" w:color="auto"/>
      </w:divBdr>
    </w:div>
    <w:div w:id="1458183351">
      <w:bodyDiv w:val="1"/>
      <w:marLeft w:val="0"/>
      <w:marRight w:val="0"/>
      <w:marTop w:val="0"/>
      <w:marBottom w:val="0"/>
      <w:divBdr>
        <w:top w:val="none" w:sz="0" w:space="0" w:color="auto"/>
        <w:left w:val="none" w:sz="0" w:space="0" w:color="auto"/>
        <w:bottom w:val="none" w:sz="0" w:space="0" w:color="auto"/>
        <w:right w:val="none" w:sz="0" w:space="0" w:color="auto"/>
      </w:divBdr>
    </w:div>
    <w:div w:id="1458257021">
      <w:bodyDiv w:val="1"/>
      <w:marLeft w:val="0"/>
      <w:marRight w:val="0"/>
      <w:marTop w:val="0"/>
      <w:marBottom w:val="0"/>
      <w:divBdr>
        <w:top w:val="none" w:sz="0" w:space="0" w:color="auto"/>
        <w:left w:val="none" w:sz="0" w:space="0" w:color="auto"/>
        <w:bottom w:val="none" w:sz="0" w:space="0" w:color="auto"/>
        <w:right w:val="none" w:sz="0" w:space="0" w:color="auto"/>
      </w:divBdr>
    </w:div>
    <w:div w:id="1458910258">
      <w:bodyDiv w:val="1"/>
      <w:marLeft w:val="0"/>
      <w:marRight w:val="0"/>
      <w:marTop w:val="0"/>
      <w:marBottom w:val="0"/>
      <w:divBdr>
        <w:top w:val="none" w:sz="0" w:space="0" w:color="auto"/>
        <w:left w:val="none" w:sz="0" w:space="0" w:color="auto"/>
        <w:bottom w:val="none" w:sz="0" w:space="0" w:color="auto"/>
        <w:right w:val="none" w:sz="0" w:space="0" w:color="auto"/>
      </w:divBdr>
    </w:div>
    <w:div w:id="1460491870">
      <w:bodyDiv w:val="1"/>
      <w:marLeft w:val="0"/>
      <w:marRight w:val="0"/>
      <w:marTop w:val="0"/>
      <w:marBottom w:val="0"/>
      <w:divBdr>
        <w:top w:val="none" w:sz="0" w:space="0" w:color="auto"/>
        <w:left w:val="none" w:sz="0" w:space="0" w:color="auto"/>
        <w:bottom w:val="none" w:sz="0" w:space="0" w:color="auto"/>
        <w:right w:val="none" w:sz="0" w:space="0" w:color="auto"/>
      </w:divBdr>
    </w:div>
    <w:div w:id="1460955808">
      <w:bodyDiv w:val="1"/>
      <w:marLeft w:val="0"/>
      <w:marRight w:val="0"/>
      <w:marTop w:val="0"/>
      <w:marBottom w:val="0"/>
      <w:divBdr>
        <w:top w:val="none" w:sz="0" w:space="0" w:color="auto"/>
        <w:left w:val="none" w:sz="0" w:space="0" w:color="auto"/>
        <w:bottom w:val="none" w:sz="0" w:space="0" w:color="auto"/>
        <w:right w:val="none" w:sz="0" w:space="0" w:color="auto"/>
      </w:divBdr>
    </w:div>
    <w:div w:id="1461723986">
      <w:bodyDiv w:val="1"/>
      <w:marLeft w:val="0"/>
      <w:marRight w:val="0"/>
      <w:marTop w:val="0"/>
      <w:marBottom w:val="0"/>
      <w:divBdr>
        <w:top w:val="none" w:sz="0" w:space="0" w:color="auto"/>
        <w:left w:val="none" w:sz="0" w:space="0" w:color="auto"/>
        <w:bottom w:val="none" w:sz="0" w:space="0" w:color="auto"/>
        <w:right w:val="none" w:sz="0" w:space="0" w:color="auto"/>
      </w:divBdr>
    </w:div>
    <w:div w:id="1462115565">
      <w:bodyDiv w:val="1"/>
      <w:marLeft w:val="0"/>
      <w:marRight w:val="0"/>
      <w:marTop w:val="0"/>
      <w:marBottom w:val="0"/>
      <w:divBdr>
        <w:top w:val="none" w:sz="0" w:space="0" w:color="auto"/>
        <w:left w:val="none" w:sz="0" w:space="0" w:color="auto"/>
        <w:bottom w:val="none" w:sz="0" w:space="0" w:color="auto"/>
        <w:right w:val="none" w:sz="0" w:space="0" w:color="auto"/>
      </w:divBdr>
    </w:div>
    <w:div w:id="1463234632">
      <w:bodyDiv w:val="1"/>
      <w:marLeft w:val="0"/>
      <w:marRight w:val="0"/>
      <w:marTop w:val="0"/>
      <w:marBottom w:val="0"/>
      <w:divBdr>
        <w:top w:val="none" w:sz="0" w:space="0" w:color="auto"/>
        <w:left w:val="none" w:sz="0" w:space="0" w:color="auto"/>
        <w:bottom w:val="none" w:sz="0" w:space="0" w:color="auto"/>
        <w:right w:val="none" w:sz="0" w:space="0" w:color="auto"/>
      </w:divBdr>
    </w:div>
    <w:div w:id="1464228537">
      <w:bodyDiv w:val="1"/>
      <w:marLeft w:val="0"/>
      <w:marRight w:val="0"/>
      <w:marTop w:val="0"/>
      <w:marBottom w:val="0"/>
      <w:divBdr>
        <w:top w:val="none" w:sz="0" w:space="0" w:color="auto"/>
        <w:left w:val="none" w:sz="0" w:space="0" w:color="auto"/>
        <w:bottom w:val="none" w:sz="0" w:space="0" w:color="auto"/>
        <w:right w:val="none" w:sz="0" w:space="0" w:color="auto"/>
      </w:divBdr>
    </w:div>
    <w:div w:id="1464424613">
      <w:bodyDiv w:val="1"/>
      <w:marLeft w:val="0"/>
      <w:marRight w:val="0"/>
      <w:marTop w:val="0"/>
      <w:marBottom w:val="0"/>
      <w:divBdr>
        <w:top w:val="none" w:sz="0" w:space="0" w:color="auto"/>
        <w:left w:val="none" w:sz="0" w:space="0" w:color="auto"/>
        <w:bottom w:val="none" w:sz="0" w:space="0" w:color="auto"/>
        <w:right w:val="none" w:sz="0" w:space="0" w:color="auto"/>
      </w:divBdr>
    </w:div>
    <w:div w:id="1465390055">
      <w:bodyDiv w:val="1"/>
      <w:marLeft w:val="0"/>
      <w:marRight w:val="0"/>
      <w:marTop w:val="0"/>
      <w:marBottom w:val="0"/>
      <w:divBdr>
        <w:top w:val="none" w:sz="0" w:space="0" w:color="auto"/>
        <w:left w:val="none" w:sz="0" w:space="0" w:color="auto"/>
        <w:bottom w:val="none" w:sz="0" w:space="0" w:color="auto"/>
        <w:right w:val="none" w:sz="0" w:space="0" w:color="auto"/>
      </w:divBdr>
    </w:div>
    <w:div w:id="1465545049">
      <w:bodyDiv w:val="1"/>
      <w:marLeft w:val="0"/>
      <w:marRight w:val="0"/>
      <w:marTop w:val="0"/>
      <w:marBottom w:val="0"/>
      <w:divBdr>
        <w:top w:val="none" w:sz="0" w:space="0" w:color="auto"/>
        <w:left w:val="none" w:sz="0" w:space="0" w:color="auto"/>
        <w:bottom w:val="none" w:sz="0" w:space="0" w:color="auto"/>
        <w:right w:val="none" w:sz="0" w:space="0" w:color="auto"/>
      </w:divBdr>
    </w:div>
    <w:div w:id="1466121463">
      <w:bodyDiv w:val="1"/>
      <w:marLeft w:val="0"/>
      <w:marRight w:val="0"/>
      <w:marTop w:val="0"/>
      <w:marBottom w:val="0"/>
      <w:divBdr>
        <w:top w:val="none" w:sz="0" w:space="0" w:color="auto"/>
        <w:left w:val="none" w:sz="0" w:space="0" w:color="auto"/>
        <w:bottom w:val="none" w:sz="0" w:space="0" w:color="auto"/>
        <w:right w:val="none" w:sz="0" w:space="0" w:color="auto"/>
      </w:divBdr>
    </w:div>
    <w:div w:id="1466243142">
      <w:bodyDiv w:val="1"/>
      <w:marLeft w:val="0"/>
      <w:marRight w:val="0"/>
      <w:marTop w:val="0"/>
      <w:marBottom w:val="0"/>
      <w:divBdr>
        <w:top w:val="none" w:sz="0" w:space="0" w:color="auto"/>
        <w:left w:val="none" w:sz="0" w:space="0" w:color="auto"/>
        <w:bottom w:val="none" w:sz="0" w:space="0" w:color="auto"/>
        <w:right w:val="none" w:sz="0" w:space="0" w:color="auto"/>
      </w:divBdr>
    </w:div>
    <w:div w:id="1466850568">
      <w:bodyDiv w:val="1"/>
      <w:marLeft w:val="0"/>
      <w:marRight w:val="0"/>
      <w:marTop w:val="0"/>
      <w:marBottom w:val="0"/>
      <w:divBdr>
        <w:top w:val="none" w:sz="0" w:space="0" w:color="auto"/>
        <w:left w:val="none" w:sz="0" w:space="0" w:color="auto"/>
        <w:bottom w:val="none" w:sz="0" w:space="0" w:color="auto"/>
        <w:right w:val="none" w:sz="0" w:space="0" w:color="auto"/>
      </w:divBdr>
    </w:div>
    <w:div w:id="1467694991">
      <w:bodyDiv w:val="1"/>
      <w:marLeft w:val="0"/>
      <w:marRight w:val="0"/>
      <w:marTop w:val="0"/>
      <w:marBottom w:val="0"/>
      <w:divBdr>
        <w:top w:val="none" w:sz="0" w:space="0" w:color="auto"/>
        <w:left w:val="none" w:sz="0" w:space="0" w:color="auto"/>
        <w:bottom w:val="none" w:sz="0" w:space="0" w:color="auto"/>
        <w:right w:val="none" w:sz="0" w:space="0" w:color="auto"/>
      </w:divBdr>
    </w:div>
    <w:div w:id="1467822338">
      <w:bodyDiv w:val="1"/>
      <w:marLeft w:val="0"/>
      <w:marRight w:val="0"/>
      <w:marTop w:val="0"/>
      <w:marBottom w:val="0"/>
      <w:divBdr>
        <w:top w:val="none" w:sz="0" w:space="0" w:color="auto"/>
        <w:left w:val="none" w:sz="0" w:space="0" w:color="auto"/>
        <w:bottom w:val="none" w:sz="0" w:space="0" w:color="auto"/>
        <w:right w:val="none" w:sz="0" w:space="0" w:color="auto"/>
      </w:divBdr>
    </w:div>
    <w:div w:id="1467895514">
      <w:bodyDiv w:val="1"/>
      <w:marLeft w:val="0"/>
      <w:marRight w:val="0"/>
      <w:marTop w:val="0"/>
      <w:marBottom w:val="0"/>
      <w:divBdr>
        <w:top w:val="none" w:sz="0" w:space="0" w:color="auto"/>
        <w:left w:val="none" w:sz="0" w:space="0" w:color="auto"/>
        <w:bottom w:val="none" w:sz="0" w:space="0" w:color="auto"/>
        <w:right w:val="none" w:sz="0" w:space="0" w:color="auto"/>
      </w:divBdr>
    </w:div>
    <w:div w:id="1469974194">
      <w:bodyDiv w:val="1"/>
      <w:marLeft w:val="0"/>
      <w:marRight w:val="0"/>
      <w:marTop w:val="0"/>
      <w:marBottom w:val="0"/>
      <w:divBdr>
        <w:top w:val="none" w:sz="0" w:space="0" w:color="auto"/>
        <w:left w:val="none" w:sz="0" w:space="0" w:color="auto"/>
        <w:bottom w:val="none" w:sz="0" w:space="0" w:color="auto"/>
        <w:right w:val="none" w:sz="0" w:space="0" w:color="auto"/>
      </w:divBdr>
    </w:div>
    <w:div w:id="1470435966">
      <w:bodyDiv w:val="1"/>
      <w:marLeft w:val="0"/>
      <w:marRight w:val="0"/>
      <w:marTop w:val="0"/>
      <w:marBottom w:val="0"/>
      <w:divBdr>
        <w:top w:val="none" w:sz="0" w:space="0" w:color="auto"/>
        <w:left w:val="none" w:sz="0" w:space="0" w:color="auto"/>
        <w:bottom w:val="none" w:sz="0" w:space="0" w:color="auto"/>
        <w:right w:val="none" w:sz="0" w:space="0" w:color="auto"/>
      </w:divBdr>
    </w:div>
    <w:div w:id="1470441285">
      <w:bodyDiv w:val="1"/>
      <w:marLeft w:val="0"/>
      <w:marRight w:val="0"/>
      <w:marTop w:val="0"/>
      <w:marBottom w:val="0"/>
      <w:divBdr>
        <w:top w:val="none" w:sz="0" w:space="0" w:color="auto"/>
        <w:left w:val="none" w:sz="0" w:space="0" w:color="auto"/>
        <w:bottom w:val="none" w:sz="0" w:space="0" w:color="auto"/>
        <w:right w:val="none" w:sz="0" w:space="0" w:color="auto"/>
      </w:divBdr>
    </w:div>
    <w:div w:id="1471556482">
      <w:bodyDiv w:val="1"/>
      <w:marLeft w:val="0"/>
      <w:marRight w:val="0"/>
      <w:marTop w:val="0"/>
      <w:marBottom w:val="0"/>
      <w:divBdr>
        <w:top w:val="none" w:sz="0" w:space="0" w:color="auto"/>
        <w:left w:val="none" w:sz="0" w:space="0" w:color="auto"/>
        <w:bottom w:val="none" w:sz="0" w:space="0" w:color="auto"/>
        <w:right w:val="none" w:sz="0" w:space="0" w:color="auto"/>
      </w:divBdr>
    </w:div>
    <w:div w:id="1471626695">
      <w:bodyDiv w:val="1"/>
      <w:marLeft w:val="0"/>
      <w:marRight w:val="0"/>
      <w:marTop w:val="0"/>
      <w:marBottom w:val="0"/>
      <w:divBdr>
        <w:top w:val="none" w:sz="0" w:space="0" w:color="auto"/>
        <w:left w:val="none" w:sz="0" w:space="0" w:color="auto"/>
        <w:bottom w:val="none" w:sz="0" w:space="0" w:color="auto"/>
        <w:right w:val="none" w:sz="0" w:space="0" w:color="auto"/>
      </w:divBdr>
    </w:div>
    <w:div w:id="1471678407">
      <w:bodyDiv w:val="1"/>
      <w:marLeft w:val="0"/>
      <w:marRight w:val="0"/>
      <w:marTop w:val="0"/>
      <w:marBottom w:val="0"/>
      <w:divBdr>
        <w:top w:val="none" w:sz="0" w:space="0" w:color="auto"/>
        <w:left w:val="none" w:sz="0" w:space="0" w:color="auto"/>
        <w:bottom w:val="none" w:sz="0" w:space="0" w:color="auto"/>
        <w:right w:val="none" w:sz="0" w:space="0" w:color="auto"/>
      </w:divBdr>
    </w:div>
    <w:div w:id="1472096148">
      <w:bodyDiv w:val="1"/>
      <w:marLeft w:val="0"/>
      <w:marRight w:val="0"/>
      <w:marTop w:val="0"/>
      <w:marBottom w:val="0"/>
      <w:divBdr>
        <w:top w:val="none" w:sz="0" w:space="0" w:color="auto"/>
        <w:left w:val="none" w:sz="0" w:space="0" w:color="auto"/>
        <w:bottom w:val="none" w:sz="0" w:space="0" w:color="auto"/>
        <w:right w:val="none" w:sz="0" w:space="0" w:color="auto"/>
      </w:divBdr>
    </w:div>
    <w:div w:id="1472481578">
      <w:bodyDiv w:val="1"/>
      <w:marLeft w:val="0"/>
      <w:marRight w:val="0"/>
      <w:marTop w:val="0"/>
      <w:marBottom w:val="0"/>
      <w:divBdr>
        <w:top w:val="none" w:sz="0" w:space="0" w:color="auto"/>
        <w:left w:val="none" w:sz="0" w:space="0" w:color="auto"/>
        <w:bottom w:val="none" w:sz="0" w:space="0" w:color="auto"/>
        <w:right w:val="none" w:sz="0" w:space="0" w:color="auto"/>
      </w:divBdr>
    </w:div>
    <w:div w:id="1474131344">
      <w:bodyDiv w:val="1"/>
      <w:marLeft w:val="0"/>
      <w:marRight w:val="0"/>
      <w:marTop w:val="0"/>
      <w:marBottom w:val="0"/>
      <w:divBdr>
        <w:top w:val="none" w:sz="0" w:space="0" w:color="auto"/>
        <w:left w:val="none" w:sz="0" w:space="0" w:color="auto"/>
        <w:bottom w:val="none" w:sz="0" w:space="0" w:color="auto"/>
        <w:right w:val="none" w:sz="0" w:space="0" w:color="auto"/>
      </w:divBdr>
    </w:div>
    <w:div w:id="1474367792">
      <w:bodyDiv w:val="1"/>
      <w:marLeft w:val="0"/>
      <w:marRight w:val="0"/>
      <w:marTop w:val="0"/>
      <w:marBottom w:val="0"/>
      <w:divBdr>
        <w:top w:val="none" w:sz="0" w:space="0" w:color="auto"/>
        <w:left w:val="none" w:sz="0" w:space="0" w:color="auto"/>
        <w:bottom w:val="none" w:sz="0" w:space="0" w:color="auto"/>
        <w:right w:val="none" w:sz="0" w:space="0" w:color="auto"/>
      </w:divBdr>
    </w:div>
    <w:div w:id="1474642112">
      <w:bodyDiv w:val="1"/>
      <w:marLeft w:val="0"/>
      <w:marRight w:val="0"/>
      <w:marTop w:val="0"/>
      <w:marBottom w:val="0"/>
      <w:divBdr>
        <w:top w:val="none" w:sz="0" w:space="0" w:color="auto"/>
        <w:left w:val="none" w:sz="0" w:space="0" w:color="auto"/>
        <w:bottom w:val="none" w:sz="0" w:space="0" w:color="auto"/>
        <w:right w:val="none" w:sz="0" w:space="0" w:color="auto"/>
      </w:divBdr>
    </w:div>
    <w:div w:id="1475295517">
      <w:bodyDiv w:val="1"/>
      <w:marLeft w:val="0"/>
      <w:marRight w:val="0"/>
      <w:marTop w:val="0"/>
      <w:marBottom w:val="0"/>
      <w:divBdr>
        <w:top w:val="none" w:sz="0" w:space="0" w:color="auto"/>
        <w:left w:val="none" w:sz="0" w:space="0" w:color="auto"/>
        <w:bottom w:val="none" w:sz="0" w:space="0" w:color="auto"/>
        <w:right w:val="none" w:sz="0" w:space="0" w:color="auto"/>
      </w:divBdr>
    </w:div>
    <w:div w:id="1475952235">
      <w:bodyDiv w:val="1"/>
      <w:marLeft w:val="0"/>
      <w:marRight w:val="0"/>
      <w:marTop w:val="0"/>
      <w:marBottom w:val="0"/>
      <w:divBdr>
        <w:top w:val="none" w:sz="0" w:space="0" w:color="auto"/>
        <w:left w:val="none" w:sz="0" w:space="0" w:color="auto"/>
        <w:bottom w:val="none" w:sz="0" w:space="0" w:color="auto"/>
        <w:right w:val="none" w:sz="0" w:space="0" w:color="auto"/>
      </w:divBdr>
    </w:div>
    <w:div w:id="1476292565">
      <w:bodyDiv w:val="1"/>
      <w:marLeft w:val="0"/>
      <w:marRight w:val="0"/>
      <w:marTop w:val="0"/>
      <w:marBottom w:val="0"/>
      <w:divBdr>
        <w:top w:val="none" w:sz="0" w:space="0" w:color="auto"/>
        <w:left w:val="none" w:sz="0" w:space="0" w:color="auto"/>
        <w:bottom w:val="none" w:sz="0" w:space="0" w:color="auto"/>
        <w:right w:val="none" w:sz="0" w:space="0" w:color="auto"/>
      </w:divBdr>
    </w:div>
    <w:div w:id="1476601940">
      <w:bodyDiv w:val="1"/>
      <w:marLeft w:val="0"/>
      <w:marRight w:val="0"/>
      <w:marTop w:val="0"/>
      <w:marBottom w:val="0"/>
      <w:divBdr>
        <w:top w:val="none" w:sz="0" w:space="0" w:color="auto"/>
        <w:left w:val="none" w:sz="0" w:space="0" w:color="auto"/>
        <w:bottom w:val="none" w:sz="0" w:space="0" w:color="auto"/>
        <w:right w:val="none" w:sz="0" w:space="0" w:color="auto"/>
      </w:divBdr>
    </w:div>
    <w:div w:id="1477062239">
      <w:bodyDiv w:val="1"/>
      <w:marLeft w:val="0"/>
      <w:marRight w:val="0"/>
      <w:marTop w:val="0"/>
      <w:marBottom w:val="0"/>
      <w:divBdr>
        <w:top w:val="none" w:sz="0" w:space="0" w:color="auto"/>
        <w:left w:val="none" w:sz="0" w:space="0" w:color="auto"/>
        <w:bottom w:val="none" w:sz="0" w:space="0" w:color="auto"/>
        <w:right w:val="none" w:sz="0" w:space="0" w:color="auto"/>
      </w:divBdr>
    </w:div>
    <w:div w:id="1479031997">
      <w:bodyDiv w:val="1"/>
      <w:marLeft w:val="0"/>
      <w:marRight w:val="0"/>
      <w:marTop w:val="0"/>
      <w:marBottom w:val="0"/>
      <w:divBdr>
        <w:top w:val="none" w:sz="0" w:space="0" w:color="auto"/>
        <w:left w:val="none" w:sz="0" w:space="0" w:color="auto"/>
        <w:bottom w:val="none" w:sz="0" w:space="0" w:color="auto"/>
        <w:right w:val="none" w:sz="0" w:space="0" w:color="auto"/>
      </w:divBdr>
    </w:div>
    <w:div w:id="1480000157">
      <w:bodyDiv w:val="1"/>
      <w:marLeft w:val="0"/>
      <w:marRight w:val="0"/>
      <w:marTop w:val="0"/>
      <w:marBottom w:val="0"/>
      <w:divBdr>
        <w:top w:val="none" w:sz="0" w:space="0" w:color="auto"/>
        <w:left w:val="none" w:sz="0" w:space="0" w:color="auto"/>
        <w:bottom w:val="none" w:sz="0" w:space="0" w:color="auto"/>
        <w:right w:val="none" w:sz="0" w:space="0" w:color="auto"/>
      </w:divBdr>
    </w:div>
    <w:div w:id="1480732825">
      <w:bodyDiv w:val="1"/>
      <w:marLeft w:val="0"/>
      <w:marRight w:val="0"/>
      <w:marTop w:val="0"/>
      <w:marBottom w:val="0"/>
      <w:divBdr>
        <w:top w:val="none" w:sz="0" w:space="0" w:color="auto"/>
        <w:left w:val="none" w:sz="0" w:space="0" w:color="auto"/>
        <w:bottom w:val="none" w:sz="0" w:space="0" w:color="auto"/>
        <w:right w:val="none" w:sz="0" w:space="0" w:color="auto"/>
      </w:divBdr>
    </w:div>
    <w:div w:id="1482382086">
      <w:bodyDiv w:val="1"/>
      <w:marLeft w:val="0"/>
      <w:marRight w:val="0"/>
      <w:marTop w:val="0"/>
      <w:marBottom w:val="0"/>
      <w:divBdr>
        <w:top w:val="none" w:sz="0" w:space="0" w:color="auto"/>
        <w:left w:val="none" w:sz="0" w:space="0" w:color="auto"/>
        <w:bottom w:val="none" w:sz="0" w:space="0" w:color="auto"/>
        <w:right w:val="none" w:sz="0" w:space="0" w:color="auto"/>
      </w:divBdr>
    </w:div>
    <w:div w:id="1483036539">
      <w:bodyDiv w:val="1"/>
      <w:marLeft w:val="0"/>
      <w:marRight w:val="0"/>
      <w:marTop w:val="0"/>
      <w:marBottom w:val="0"/>
      <w:divBdr>
        <w:top w:val="none" w:sz="0" w:space="0" w:color="auto"/>
        <w:left w:val="none" w:sz="0" w:space="0" w:color="auto"/>
        <w:bottom w:val="none" w:sz="0" w:space="0" w:color="auto"/>
        <w:right w:val="none" w:sz="0" w:space="0" w:color="auto"/>
      </w:divBdr>
    </w:div>
    <w:div w:id="1483233599">
      <w:bodyDiv w:val="1"/>
      <w:marLeft w:val="0"/>
      <w:marRight w:val="0"/>
      <w:marTop w:val="0"/>
      <w:marBottom w:val="0"/>
      <w:divBdr>
        <w:top w:val="none" w:sz="0" w:space="0" w:color="auto"/>
        <w:left w:val="none" w:sz="0" w:space="0" w:color="auto"/>
        <w:bottom w:val="none" w:sz="0" w:space="0" w:color="auto"/>
        <w:right w:val="none" w:sz="0" w:space="0" w:color="auto"/>
      </w:divBdr>
    </w:div>
    <w:div w:id="1483617698">
      <w:bodyDiv w:val="1"/>
      <w:marLeft w:val="0"/>
      <w:marRight w:val="0"/>
      <w:marTop w:val="0"/>
      <w:marBottom w:val="0"/>
      <w:divBdr>
        <w:top w:val="none" w:sz="0" w:space="0" w:color="auto"/>
        <w:left w:val="none" w:sz="0" w:space="0" w:color="auto"/>
        <w:bottom w:val="none" w:sz="0" w:space="0" w:color="auto"/>
        <w:right w:val="none" w:sz="0" w:space="0" w:color="auto"/>
      </w:divBdr>
    </w:div>
    <w:div w:id="1484543806">
      <w:bodyDiv w:val="1"/>
      <w:marLeft w:val="0"/>
      <w:marRight w:val="0"/>
      <w:marTop w:val="0"/>
      <w:marBottom w:val="0"/>
      <w:divBdr>
        <w:top w:val="none" w:sz="0" w:space="0" w:color="auto"/>
        <w:left w:val="none" w:sz="0" w:space="0" w:color="auto"/>
        <w:bottom w:val="none" w:sz="0" w:space="0" w:color="auto"/>
        <w:right w:val="none" w:sz="0" w:space="0" w:color="auto"/>
      </w:divBdr>
    </w:div>
    <w:div w:id="1484810794">
      <w:bodyDiv w:val="1"/>
      <w:marLeft w:val="0"/>
      <w:marRight w:val="0"/>
      <w:marTop w:val="0"/>
      <w:marBottom w:val="0"/>
      <w:divBdr>
        <w:top w:val="none" w:sz="0" w:space="0" w:color="auto"/>
        <w:left w:val="none" w:sz="0" w:space="0" w:color="auto"/>
        <w:bottom w:val="none" w:sz="0" w:space="0" w:color="auto"/>
        <w:right w:val="none" w:sz="0" w:space="0" w:color="auto"/>
      </w:divBdr>
    </w:div>
    <w:div w:id="1484927270">
      <w:bodyDiv w:val="1"/>
      <w:marLeft w:val="0"/>
      <w:marRight w:val="0"/>
      <w:marTop w:val="0"/>
      <w:marBottom w:val="0"/>
      <w:divBdr>
        <w:top w:val="none" w:sz="0" w:space="0" w:color="auto"/>
        <w:left w:val="none" w:sz="0" w:space="0" w:color="auto"/>
        <w:bottom w:val="none" w:sz="0" w:space="0" w:color="auto"/>
        <w:right w:val="none" w:sz="0" w:space="0" w:color="auto"/>
      </w:divBdr>
    </w:div>
    <w:div w:id="1485119944">
      <w:bodyDiv w:val="1"/>
      <w:marLeft w:val="0"/>
      <w:marRight w:val="0"/>
      <w:marTop w:val="0"/>
      <w:marBottom w:val="0"/>
      <w:divBdr>
        <w:top w:val="none" w:sz="0" w:space="0" w:color="auto"/>
        <w:left w:val="none" w:sz="0" w:space="0" w:color="auto"/>
        <w:bottom w:val="none" w:sz="0" w:space="0" w:color="auto"/>
        <w:right w:val="none" w:sz="0" w:space="0" w:color="auto"/>
      </w:divBdr>
    </w:div>
    <w:div w:id="1485469537">
      <w:bodyDiv w:val="1"/>
      <w:marLeft w:val="0"/>
      <w:marRight w:val="0"/>
      <w:marTop w:val="0"/>
      <w:marBottom w:val="0"/>
      <w:divBdr>
        <w:top w:val="none" w:sz="0" w:space="0" w:color="auto"/>
        <w:left w:val="none" w:sz="0" w:space="0" w:color="auto"/>
        <w:bottom w:val="none" w:sz="0" w:space="0" w:color="auto"/>
        <w:right w:val="none" w:sz="0" w:space="0" w:color="auto"/>
      </w:divBdr>
    </w:div>
    <w:div w:id="1485588698">
      <w:bodyDiv w:val="1"/>
      <w:marLeft w:val="0"/>
      <w:marRight w:val="0"/>
      <w:marTop w:val="0"/>
      <w:marBottom w:val="0"/>
      <w:divBdr>
        <w:top w:val="none" w:sz="0" w:space="0" w:color="auto"/>
        <w:left w:val="none" w:sz="0" w:space="0" w:color="auto"/>
        <w:bottom w:val="none" w:sz="0" w:space="0" w:color="auto"/>
        <w:right w:val="none" w:sz="0" w:space="0" w:color="auto"/>
      </w:divBdr>
    </w:div>
    <w:div w:id="1486166640">
      <w:bodyDiv w:val="1"/>
      <w:marLeft w:val="0"/>
      <w:marRight w:val="0"/>
      <w:marTop w:val="0"/>
      <w:marBottom w:val="0"/>
      <w:divBdr>
        <w:top w:val="none" w:sz="0" w:space="0" w:color="auto"/>
        <w:left w:val="none" w:sz="0" w:space="0" w:color="auto"/>
        <w:bottom w:val="none" w:sz="0" w:space="0" w:color="auto"/>
        <w:right w:val="none" w:sz="0" w:space="0" w:color="auto"/>
      </w:divBdr>
    </w:div>
    <w:div w:id="1487627282">
      <w:bodyDiv w:val="1"/>
      <w:marLeft w:val="0"/>
      <w:marRight w:val="0"/>
      <w:marTop w:val="0"/>
      <w:marBottom w:val="0"/>
      <w:divBdr>
        <w:top w:val="none" w:sz="0" w:space="0" w:color="auto"/>
        <w:left w:val="none" w:sz="0" w:space="0" w:color="auto"/>
        <w:bottom w:val="none" w:sz="0" w:space="0" w:color="auto"/>
        <w:right w:val="none" w:sz="0" w:space="0" w:color="auto"/>
      </w:divBdr>
    </w:div>
    <w:div w:id="1488596574">
      <w:bodyDiv w:val="1"/>
      <w:marLeft w:val="0"/>
      <w:marRight w:val="0"/>
      <w:marTop w:val="0"/>
      <w:marBottom w:val="0"/>
      <w:divBdr>
        <w:top w:val="none" w:sz="0" w:space="0" w:color="auto"/>
        <w:left w:val="none" w:sz="0" w:space="0" w:color="auto"/>
        <w:bottom w:val="none" w:sz="0" w:space="0" w:color="auto"/>
        <w:right w:val="none" w:sz="0" w:space="0" w:color="auto"/>
      </w:divBdr>
    </w:div>
    <w:div w:id="1489128301">
      <w:bodyDiv w:val="1"/>
      <w:marLeft w:val="0"/>
      <w:marRight w:val="0"/>
      <w:marTop w:val="0"/>
      <w:marBottom w:val="0"/>
      <w:divBdr>
        <w:top w:val="none" w:sz="0" w:space="0" w:color="auto"/>
        <w:left w:val="none" w:sz="0" w:space="0" w:color="auto"/>
        <w:bottom w:val="none" w:sz="0" w:space="0" w:color="auto"/>
        <w:right w:val="none" w:sz="0" w:space="0" w:color="auto"/>
      </w:divBdr>
    </w:div>
    <w:div w:id="1489128916">
      <w:bodyDiv w:val="1"/>
      <w:marLeft w:val="0"/>
      <w:marRight w:val="0"/>
      <w:marTop w:val="0"/>
      <w:marBottom w:val="0"/>
      <w:divBdr>
        <w:top w:val="none" w:sz="0" w:space="0" w:color="auto"/>
        <w:left w:val="none" w:sz="0" w:space="0" w:color="auto"/>
        <w:bottom w:val="none" w:sz="0" w:space="0" w:color="auto"/>
        <w:right w:val="none" w:sz="0" w:space="0" w:color="auto"/>
      </w:divBdr>
    </w:div>
    <w:div w:id="1491098796">
      <w:bodyDiv w:val="1"/>
      <w:marLeft w:val="0"/>
      <w:marRight w:val="0"/>
      <w:marTop w:val="0"/>
      <w:marBottom w:val="0"/>
      <w:divBdr>
        <w:top w:val="none" w:sz="0" w:space="0" w:color="auto"/>
        <w:left w:val="none" w:sz="0" w:space="0" w:color="auto"/>
        <w:bottom w:val="none" w:sz="0" w:space="0" w:color="auto"/>
        <w:right w:val="none" w:sz="0" w:space="0" w:color="auto"/>
      </w:divBdr>
    </w:div>
    <w:div w:id="1491554353">
      <w:bodyDiv w:val="1"/>
      <w:marLeft w:val="0"/>
      <w:marRight w:val="0"/>
      <w:marTop w:val="0"/>
      <w:marBottom w:val="0"/>
      <w:divBdr>
        <w:top w:val="none" w:sz="0" w:space="0" w:color="auto"/>
        <w:left w:val="none" w:sz="0" w:space="0" w:color="auto"/>
        <w:bottom w:val="none" w:sz="0" w:space="0" w:color="auto"/>
        <w:right w:val="none" w:sz="0" w:space="0" w:color="auto"/>
      </w:divBdr>
    </w:div>
    <w:div w:id="1492138824">
      <w:bodyDiv w:val="1"/>
      <w:marLeft w:val="0"/>
      <w:marRight w:val="0"/>
      <w:marTop w:val="0"/>
      <w:marBottom w:val="0"/>
      <w:divBdr>
        <w:top w:val="none" w:sz="0" w:space="0" w:color="auto"/>
        <w:left w:val="none" w:sz="0" w:space="0" w:color="auto"/>
        <w:bottom w:val="none" w:sz="0" w:space="0" w:color="auto"/>
        <w:right w:val="none" w:sz="0" w:space="0" w:color="auto"/>
      </w:divBdr>
    </w:div>
    <w:div w:id="1493178153">
      <w:bodyDiv w:val="1"/>
      <w:marLeft w:val="0"/>
      <w:marRight w:val="0"/>
      <w:marTop w:val="0"/>
      <w:marBottom w:val="0"/>
      <w:divBdr>
        <w:top w:val="none" w:sz="0" w:space="0" w:color="auto"/>
        <w:left w:val="none" w:sz="0" w:space="0" w:color="auto"/>
        <w:bottom w:val="none" w:sz="0" w:space="0" w:color="auto"/>
        <w:right w:val="none" w:sz="0" w:space="0" w:color="auto"/>
      </w:divBdr>
    </w:div>
    <w:div w:id="1495801457">
      <w:bodyDiv w:val="1"/>
      <w:marLeft w:val="0"/>
      <w:marRight w:val="0"/>
      <w:marTop w:val="0"/>
      <w:marBottom w:val="0"/>
      <w:divBdr>
        <w:top w:val="none" w:sz="0" w:space="0" w:color="auto"/>
        <w:left w:val="none" w:sz="0" w:space="0" w:color="auto"/>
        <w:bottom w:val="none" w:sz="0" w:space="0" w:color="auto"/>
        <w:right w:val="none" w:sz="0" w:space="0" w:color="auto"/>
      </w:divBdr>
    </w:div>
    <w:div w:id="1496065120">
      <w:bodyDiv w:val="1"/>
      <w:marLeft w:val="0"/>
      <w:marRight w:val="0"/>
      <w:marTop w:val="0"/>
      <w:marBottom w:val="0"/>
      <w:divBdr>
        <w:top w:val="none" w:sz="0" w:space="0" w:color="auto"/>
        <w:left w:val="none" w:sz="0" w:space="0" w:color="auto"/>
        <w:bottom w:val="none" w:sz="0" w:space="0" w:color="auto"/>
        <w:right w:val="none" w:sz="0" w:space="0" w:color="auto"/>
      </w:divBdr>
    </w:div>
    <w:div w:id="1496266056">
      <w:bodyDiv w:val="1"/>
      <w:marLeft w:val="0"/>
      <w:marRight w:val="0"/>
      <w:marTop w:val="0"/>
      <w:marBottom w:val="0"/>
      <w:divBdr>
        <w:top w:val="none" w:sz="0" w:space="0" w:color="auto"/>
        <w:left w:val="none" w:sz="0" w:space="0" w:color="auto"/>
        <w:bottom w:val="none" w:sz="0" w:space="0" w:color="auto"/>
        <w:right w:val="none" w:sz="0" w:space="0" w:color="auto"/>
      </w:divBdr>
    </w:div>
    <w:div w:id="1498156888">
      <w:bodyDiv w:val="1"/>
      <w:marLeft w:val="0"/>
      <w:marRight w:val="0"/>
      <w:marTop w:val="0"/>
      <w:marBottom w:val="0"/>
      <w:divBdr>
        <w:top w:val="none" w:sz="0" w:space="0" w:color="auto"/>
        <w:left w:val="none" w:sz="0" w:space="0" w:color="auto"/>
        <w:bottom w:val="none" w:sz="0" w:space="0" w:color="auto"/>
        <w:right w:val="none" w:sz="0" w:space="0" w:color="auto"/>
      </w:divBdr>
    </w:div>
    <w:div w:id="1498955346">
      <w:bodyDiv w:val="1"/>
      <w:marLeft w:val="0"/>
      <w:marRight w:val="0"/>
      <w:marTop w:val="0"/>
      <w:marBottom w:val="0"/>
      <w:divBdr>
        <w:top w:val="none" w:sz="0" w:space="0" w:color="auto"/>
        <w:left w:val="none" w:sz="0" w:space="0" w:color="auto"/>
        <w:bottom w:val="none" w:sz="0" w:space="0" w:color="auto"/>
        <w:right w:val="none" w:sz="0" w:space="0" w:color="auto"/>
      </w:divBdr>
    </w:div>
    <w:div w:id="1499032307">
      <w:bodyDiv w:val="1"/>
      <w:marLeft w:val="0"/>
      <w:marRight w:val="0"/>
      <w:marTop w:val="0"/>
      <w:marBottom w:val="0"/>
      <w:divBdr>
        <w:top w:val="none" w:sz="0" w:space="0" w:color="auto"/>
        <w:left w:val="none" w:sz="0" w:space="0" w:color="auto"/>
        <w:bottom w:val="none" w:sz="0" w:space="0" w:color="auto"/>
        <w:right w:val="none" w:sz="0" w:space="0" w:color="auto"/>
      </w:divBdr>
    </w:div>
    <w:div w:id="1499425910">
      <w:bodyDiv w:val="1"/>
      <w:marLeft w:val="0"/>
      <w:marRight w:val="0"/>
      <w:marTop w:val="0"/>
      <w:marBottom w:val="0"/>
      <w:divBdr>
        <w:top w:val="none" w:sz="0" w:space="0" w:color="auto"/>
        <w:left w:val="none" w:sz="0" w:space="0" w:color="auto"/>
        <w:bottom w:val="none" w:sz="0" w:space="0" w:color="auto"/>
        <w:right w:val="none" w:sz="0" w:space="0" w:color="auto"/>
      </w:divBdr>
    </w:div>
    <w:div w:id="1499954276">
      <w:bodyDiv w:val="1"/>
      <w:marLeft w:val="0"/>
      <w:marRight w:val="0"/>
      <w:marTop w:val="0"/>
      <w:marBottom w:val="0"/>
      <w:divBdr>
        <w:top w:val="none" w:sz="0" w:space="0" w:color="auto"/>
        <w:left w:val="none" w:sz="0" w:space="0" w:color="auto"/>
        <w:bottom w:val="none" w:sz="0" w:space="0" w:color="auto"/>
        <w:right w:val="none" w:sz="0" w:space="0" w:color="auto"/>
      </w:divBdr>
    </w:div>
    <w:div w:id="1500385267">
      <w:bodyDiv w:val="1"/>
      <w:marLeft w:val="0"/>
      <w:marRight w:val="0"/>
      <w:marTop w:val="0"/>
      <w:marBottom w:val="0"/>
      <w:divBdr>
        <w:top w:val="none" w:sz="0" w:space="0" w:color="auto"/>
        <w:left w:val="none" w:sz="0" w:space="0" w:color="auto"/>
        <w:bottom w:val="none" w:sz="0" w:space="0" w:color="auto"/>
        <w:right w:val="none" w:sz="0" w:space="0" w:color="auto"/>
      </w:divBdr>
    </w:div>
    <w:div w:id="1500923594">
      <w:bodyDiv w:val="1"/>
      <w:marLeft w:val="0"/>
      <w:marRight w:val="0"/>
      <w:marTop w:val="0"/>
      <w:marBottom w:val="0"/>
      <w:divBdr>
        <w:top w:val="none" w:sz="0" w:space="0" w:color="auto"/>
        <w:left w:val="none" w:sz="0" w:space="0" w:color="auto"/>
        <w:bottom w:val="none" w:sz="0" w:space="0" w:color="auto"/>
        <w:right w:val="none" w:sz="0" w:space="0" w:color="auto"/>
      </w:divBdr>
    </w:div>
    <w:div w:id="1501047765">
      <w:bodyDiv w:val="1"/>
      <w:marLeft w:val="0"/>
      <w:marRight w:val="0"/>
      <w:marTop w:val="0"/>
      <w:marBottom w:val="0"/>
      <w:divBdr>
        <w:top w:val="none" w:sz="0" w:space="0" w:color="auto"/>
        <w:left w:val="none" w:sz="0" w:space="0" w:color="auto"/>
        <w:bottom w:val="none" w:sz="0" w:space="0" w:color="auto"/>
        <w:right w:val="none" w:sz="0" w:space="0" w:color="auto"/>
      </w:divBdr>
    </w:div>
    <w:div w:id="1501388238">
      <w:bodyDiv w:val="1"/>
      <w:marLeft w:val="0"/>
      <w:marRight w:val="0"/>
      <w:marTop w:val="0"/>
      <w:marBottom w:val="0"/>
      <w:divBdr>
        <w:top w:val="none" w:sz="0" w:space="0" w:color="auto"/>
        <w:left w:val="none" w:sz="0" w:space="0" w:color="auto"/>
        <w:bottom w:val="none" w:sz="0" w:space="0" w:color="auto"/>
        <w:right w:val="none" w:sz="0" w:space="0" w:color="auto"/>
      </w:divBdr>
    </w:div>
    <w:div w:id="1501507445">
      <w:bodyDiv w:val="1"/>
      <w:marLeft w:val="0"/>
      <w:marRight w:val="0"/>
      <w:marTop w:val="0"/>
      <w:marBottom w:val="0"/>
      <w:divBdr>
        <w:top w:val="none" w:sz="0" w:space="0" w:color="auto"/>
        <w:left w:val="none" w:sz="0" w:space="0" w:color="auto"/>
        <w:bottom w:val="none" w:sz="0" w:space="0" w:color="auto"/>
        <w:right w:val="none" w:sz="0" w:space="0" w:color="auto"/>
      </w:divBdr>
    </w:div>
    <w:div w:id="1502888371">
      <w:bodyDiv w:val="1"/>
      <w:marLeft w:val="0"/>
      <w:marRight w:val="0"/>
      <w:marTop w:val="0"/>
      <w:marBottom w:val="0"/>
      <w:divBdr>
        <w:top w:val="none" w:sz="0" w:space="0" w:color="auto"/>
        <w:left w:val="none" w:sz="0" w:space="0" w:color="auto"/>
        <w:bottom w:val="none" w:sz="0" w:space="0" w:color="auto"/>
        <w:right w:val="none" w:sz="0" w:space="0" w:color="auto"/>
      </w:divBdr>
    </w:div>
    <w:div w:id="1502937753">
      <w:bodyDiv w:val="1"/>
      <w:marLeft w:val="0"/>
      <w:marRight w:val="0"/>
      <w:marTop w:val="0"/>
      <w:marBottom w:val="0"/>
      <w:divBdr>
        <w:top w:val="none" w:sz="0" w:space="0" w:color="auto"/>
        <w:left w:val="none" w:sz="0" w:space="0" w:color="auto"/>
        <w:bottom w:val="none" w:sz="0" w:space="0" w:color="auto"/>
        <w:right w:val="none" w:sz="0" w:space="0" w:color="auto"/>
      </w:divBdr>
    </w:div>
    <w:div w:id="1503163259">
      <w:bodyDiv w:val="1"/>
      <w:marLeft w:val="0"/>
      <w:marRight w:val="0"/>
      <w:marTop w:val="0"/>
      <w:marBottom w:val="0"/>
      <w:divBdr>
        <w:top w:val="none" w:sz="0" w:space="0" w:color="auto"/>
        <w:left w:val="none" w:sz="0" w:space="0" w:color="auto"/>
        <w:bottom w:val="none" w:sz="0" w:space="0" w:color="auto"/>
        <w:right w:val="none" w:sz="0" w:space="0" w:color="auto"/>
      </w:divBdr>
    </w:div>
    <w:div w:id="1504280238">
      <w:bodyDiv w:val="1"/>
      <w:marLeft w:val="0"/>
      <w:marRight w:val="0"/>
      <w:marTop w:val="0"/>
      <w:marBottom w:val="0"/>
      <w:divBdr>
        <w:top w:val="none" w:sz="0" w:space="0" w:color="auto"/>
        <w:left w:val="none" w:sz="0" w:space="0" w:color="auto"/>
        <w:bottom w:val="none" w:sz="0" w:space="0" w:color="auto"/>
        <w:right w:val="none" w:sz="0" w:space="0" w:color="auto"/>
      </w:divBdr>
    </w:div>
    <w:div w:id="1504315544">
      <w:bodyDiv w:val="1"/>
      <w:marLeft w:val="0"/>
      <w:marRight w:val="0"/>
      <w:marTop w:val="0"/>
      <w:marBottom w:val="0"/>
      <w:divBdr>
        <w:top w:val="none" w:sz="0" w:space="0" w:color="auto"/>
        <w:left w:val="none" w:sz="0" w:space="0" w:color="auto"/>
        <w:bottom w:val="none" w:sz="0" w:space="0" w:color="auto"/>
        <w:right w:val="none" w:sz="0" w:space="0" w:color="auto"/>
      </w:divBdr>
    </w:div>
    <w:div w:id="1506049744">
      <w:bodyDiv w:val="1"/>
      <w:marLeft w:val="0"/>
      <w:marRight w:val="0"/>
      <w:marTop w:val="0"/>
      <w:marBottom w:val="0"/>
      <w:divBdr>
        <w:top w:val="none" w:sz="0" w:space="0" w:color="auto"/>
        <w:left w:val="none" w:sz="0" w:space="0" w:color="auto"/>
        <w:bottom w:val="none" w:sz="0" w:space="0" w:color="auto"/>
        <w:right w:val="none" w:sz="0" w:space="0" w:color="auto"/>
      </w:divBdr>
    </w:div>
    <w:div w:id="1506940110">
      <w:bodyDiv w:val="1"/>
      <w:marLeft w:val="0"/>
      <w:marRight w:val="0"/>
      <w:marTop w:val="0"/>
      <w:marBottom w:val="0"/>
      <w:divBdr>
        <w:top w:val="none" w:sz="0" w:space="0" w:color="auto"/>
        <w:left w:val="none" w:sz="0" w:space="0" w:color="auto"/>
        <w:bottom w:val="none" w:sz="0" w:space="0" w:color="auto"/>
        <w:right w:val="none" w:sz="0" w:space="0" w:color="auto"/>
      </w:divBdr>
    </w:div>
    <w:div w:id="1507011946">
      <w:bodyDiv w:val="1"/>
      <w:marLeft w:val="0"/>
      <w:marRight w:val="0"/>
      <w:marTop w:val="0"/>
      <w:marBottom w:val="0"/>
      <w:divBdr>
        <w:top w:val="none" w:sz="0" w:space="0" w:color="auto"/>
        <w:left w:val="none" w:sz="0" w:space="0" w:color="auto"/>
        <w:bottom w:val="none" w:sz="0" w:space="0" w:color="auto"/>
        <w:right w:val="none" w:sz="0" w:space="0" w:color="auto"/>
      </w:divBdr>
    </w:div>
    <w:div w:id="1507086591">
      <w:bodyDiv w:val="1"/>
      <w:marLeft w:val="0"/>
      <w:marRight w:val="0"/>
      <w:marTop w:val="0"/>
      <w:marBottom w:val="0"/>
      <w:divBdr>
        <w:top w:val="none" w:sz="0" w:space="0" w:color="auto"/>
        <w:left w:val="none" w:sz="0" w:space="0" w:color="auto"/>
        <w:bottom w:val="none" w:sz="0" w:space="0" w:color="auto"/>
        <w:right w:val="none" w:sz="0" w:space="0" w:color="auto"/>
      </w:divBdr>
    </w:div>
    <w:div w:id="1507094355">
      <w:bodyDiv w:val="1"/>
      <w:marLeft w:val="0"/>
      <w:marRight w:val="0"/>
      <w:marTop w:val="0"/>
      <w:marBottom w:val="0"/>
      <w:divBdr>
        <w:top w:val="none" w:sz="0" w:space="0" w:color="auto"/>
        <w:left w:val="none" w:sz="0" w:space="0" w:color="auto"/>
        <w:bottom w:val="none" w:sz="0" w:space="0" w:color="auto"/>
        <w:right w:val="none" w:sz="0" w:space="0" w:color="auto"/>
      </w:divBdr>
    </w:div>
    <w:div w:id="1507987162">
      <w:bodyDiv w:val="1"/>
      <w:marLeft w:val="0"/>
      <w:marRight w:val="0"/>
      <w:marTop w:val="0"/>
      <w:marBottom w:val="0"/>
      <w:divBdr>
        <w:top w:val="none" w:sz="0" w:space="0" w:color="auto"/>
        <w:left w:val="none" w:sz="0" w:space="0" w:color="auto"/>
        <w:bottom w:val="none" w:sz="0" w:space="0" w:color="auto"/>
        <w:right w:val="none" w:sz="0" w:space="0" w:color="auto"/>
      </w:divBdr>
    </w:div>
    <w:div w:id="1508253862">
      <w:bodyDiv w:val="1"/>
      <w:marLeft w:val="0"/>
      <w:marRight w:val="0"/>
      <w:marTop w:val="0"/>
      <w:marBottom w:val="0"/>
      <w:divBdr>
        <w:top w:val="none" w:sz="0" w:space="0" w:color="auto"/>
        <w:left w:val="none" w:sz="0" w:space="0" w:color="auto"/>
        <w:bottom w:val="none" w:sz="0" w:space="0" w:color="auto"/>
        <w:right w:val="none" w:sz="0" w:space="0" w:color="auto"/>
      </w:divBdr>
    </w:div>
    <w:div w:id="1509295449">
      <w:bodyDiv w:val="1"/>
      <w:marLeft w:val="0"/>
      <w:marRight w:val="0"/>
      <w:marTop w:val="0"/>
      <w:marBottom w:val="0"/>
      <w:divBdr>
        <w:top w:val="none" w:sz="0" w:space="0" w:color="auto"/>
        <w:left w:val="none" w:sz="0" w:space="0" w:color="auto"/>
        <w:bottom w:val="none" w:sz="0" w:space="0" w:color="auto"/>
        <w:right w:val="none" w:sz="0" w:space="0" w:color="auto"/>
      </w:divBdr>
    </w:div>
    <w:div w:id="1509902115">
      <w:bodyDiv w:val="1"/>
      <w:marLeft w:val="0"/>
      <w:marRight w:val="0"/>
      <w:marTop w:val="0"/>
      <w:marBottom w:val="0"/>
      <w:divBdr>
        <w:top w:val="none" w:sz="0" w:space="0" w:color="auto"/>
        <w:left w:val="none" w:sz="0" w:space="0" w:color="auto"/>
        <w:bottom w:val="none" w:sz="0" w:space="0" w:color="auto"/>
        <w:right w:val="none" w:sz="0" w:space="0" w:color="auto"/>
      </w:divBdr>
    </w:div>
    <w:div w:id="1510633480">
      <w:bodyDiv w:val="1"/>
      <w:marLeft w:val="0"/>
      <w:marRight w:val="0"/>
      <w:marTop w:val="0"/>
      <w:marBottom w:val="0"/>
      <w:divBdr>
        <w:top w:val="none" w:sz="0" w:space="0" w:color="auto"/>
        <w:left w:val="none" w:sz="0" w:space="0" w:color="auto"/>
        <w:bottom w:val="none" w:sz="0" w:space="0" w:color="auto"/>
        <w:right w:val="none" w:sz="0" w:space="0" w:color="auto"/>
      </w:divBdr>
    </w:div>
    <w:div w:id="1511679770">
      <w:bodyDiv w:val="1"/>
      <w:marLeft w:val="0"/>
      <w:marRight w:val="0"/>
      <w:marTop w:val="0"/>
      <w:marBottom w:val="0"/>
      <w:divBdr>
        <w:top w:val="none" w:sz="0" w:space="0" w:color="auto"/>
        <w:left w:val="none" w:sz="0" w:space="0" w:color="auto"/>
        <w:bottom w:val="none" w:sz="0" w:space="0" w:color="auto"/>
        <w:right w:val="none" w:sz="0" w:space="0" w:color="auto"/>
      </w:divBdr>
    </w:div>
    <w:div w:id="1512914180">
      <w:bodyDiv w:val="1"/>
      <w:marLeft w:val="0"/>
      <w:marRight w:val="0"/>
      <w:marTop w:val="0"/>
      <w:marBottom w:val="0"/>
      <w:divBdr>
        <w:top w:val="none" w:sz="0" w:space="0" w:color="auto"/>
        <w:left w:val="none" w:sz="0" w:space="0" w:color="auto"/>
        <w:bottom w:val="none" w:sz="0" w:space="0" w:color="auto"/>
        <w:right w:val="none" w:sz="0" w:space="0" w:color="auto"/>
      </w:divBdr>
    </w:div>
    <w:div w:id="1512987987">
      <w:bodyDiv w:val="1"/>
      <w:marLeft w:val="0"/>
      <w:marRight w:val="0"/>
      <w:marTop w:val="0"/>
      <w:marBottom w:val="0"/>
      <w:divBdr>
        <w:top w:val="none" w:sz="0" w:space="0" w:color="auto"/>
        <w:left w:val="none" w:sz="0" w:space="0" w:color="auto"/>
        <w:bottom w:val="none" w:sz="0" w:space="0" w:color="auto"/>
        <w:right w:val="none" w:sz="0" w:space="0" w:color="auto"/>
      </w:divBdr>
    </w:div>
    <w:div w:id="1513490512">
      <w:bodyDiv w:val="1"/>
      <w:marLeft w:val="0"/>
      <w:marRight w:val="0"/>
      <w:marTop w:val="0"/>
      <w:marBottom w:val="0"/>
      <w:divBdr>
        <w:top w:val="none" w:sz="0" w:space="0" w:color="auto"/>
        <w:left w:val="none" w:sz="0" w:space="0" w:color="auto"/>
        <w:bottom w:val="none" w:sz="0" w:space="0" w:color="auto"/>
        <w:right w:val="none" w:sz="0" w:space="0" w:color="auto"/>
      </w:divBdr>
    </w:div>
    <w:div w:id="1514143886">
      <w:bodyDiv w:val="1"/>
      <w:marLeft w:val="0"/>
      <w:marRight w:val="0"/>
      <w:marTop w:val="0"/>
      <w:marBottom w:val="0"/>
      <w:divBdr>
        <w:top w:val="none" w:sz="0" w:space="0" w:color="auto"/>
        <w:left w:val="none" w:sz="0" w:space="0" w:color="auto"/>
        <w:bottom w:val="none" w:sz="0" w:space="0" w:color="auto"/>
        <w:right w:val="none" w:sz="0" w:space="0" w:color="auto"/>
      </w:divBdr>
    </w:div>
    <w:div w:id="1514802823">
      <w:bodyDiv w:val="1"/>
      <w:marLeft w:val="0"/>
      <w:marRight w:val="0"/>
      <w:marTop w:val="0"/>
      <w:marBottom w:val="0"/>
      <w:divBdr>
        <w:top w:val="none" w:sz="0" w:space="0" w:color="auto"/>
        <w:left w:val="none" w:sz="0" w:space="0" w:color="auto"/>
        <w:bottom w:val="none" w:sz="0" w:space="0" w:color="auto"/>
        <w:right w:val="none" w:sz="0" w:space="0" w:color="auto"/>
      </w:divBdr>
    </w:div>
    <w:div w:id="1515651507">
      <w:bodyDiv w:val="1"/>
      <w:marLeft w:val="0"/>
      <w:marRight w:val="0"/>
      <w:marTop w:val="0"/>
      <w:marBottom w:val="0"/>
      <w:divBdr>
        <w:top w:val="none" w:sz="0" w:space="0" w:color="auto"/>
        <w:left w:val="none" w:sz="0" w:space="0" w:color="auto"/>
        <w:bottom w:val="none" w:sz="0" w:space="0" w:color="auto"/>
        <w:right w:val="none" w:sz="0" w:space="0" w:color="auto"/>
      </w:divBdr>
    </w:div>
    <w:div w:id="1516110117">
      <w:bodyDiv w:val="1"/>
      <w:marLeft w:val="0"/>
      <w:marRight w:val="0"/>
      <w:marTop w:val="0"/>
      <w:marBottom w:val="0"/>
      <w:divBdr>
        <w:top w:val="none" w:sz="0" w:space="0" w:color="auto"/>
        <w:left w:val="none" w:sz="0" w:space="0" w:color="auto"/>
        <w:bottom w:val="none" w:sz="0" w:space="0" w:color="auto"/>
        <w:right w:val="none" w:sz="0" w:space="0" w:color="auto"/>
      </w:divBdr>
    </w:div>
    <w:div w:id="1516307963">
      <w:bodyDiv w:val="1"/>
      <w:marLeft w:val="0"/>
      <w:marRight w:val="0"/>
      <w:marTop w:val="0"/>
      <w:marBottom w:val="0"/>
      <w:divBdr>
        <w:top w:val="none" w:sz="0" w:space="0" w:color="auto"/>
        <w:left w:val="none" w:sz="0" w:space="0" w:color="auto"/>
        <w:bottom w:val="none" w:sz="0" w:space="0" w:color="auto"/>
        <w:right w:val="none" w:sz="0" w:space="0" w:color="auto"/>
      </w:divBdr>
    </w:div>
    <w:div w:id="1516726884">
      <w:bodyDiv w:val="1"/>
      <w:marLeft w:val="0"/>
      <w:marRight w:val="0"/>
      <w:marTop w:val="0"/>
      <w:marBottom w:val="0"/>
      <w:divBdr>
        <w:top w:val="none" w:sz="0" w:space="0" w:color="auto"/>
        <w:left w:val="none" w:sz="0" w:space="0" w:color="auto"/>
        <w:bottom w:val="none" w:sz="0" w:space="0" w:color="auto"/>
        <w:right w:val="none" w:sz="0" w:space="0" w:color="auto"/>
      </w:divBdr>
    </w:div>
    <w:div w:id="1516918203">
      <w:bodyDiv w:val="1"/>
      <w:marLeft w:val="0"/>
      <w:marRight w:val="0"/>
      <w:marTop w:val="0"/>
      <w:marBottom w:val="0"/>
      <w:divBdr>
        <w:top w:val="none" w:sz="0" w:space="0" w:color="auto"/>
        <w:left w:val="none" w:sz="0" w:space="0" w:color="auto"/>
        <w:bottom w:val="none" w:sz="0" w:space="0" w:color="auto"/>
        <w:right w:val="none" w:sz="0" w:space="0" w:color="auto"/>
      </w:divBdr>
    </w:div>
    <w:div w:id="1517311464">
      <w:bodyDiv w:val="1"/>
      <w:marLeft w:val="0"/>
      <w:marRight w:val="0"/>
      <w:marTop w:val="0"/>
      <w:marBottom w:val="0"/>
      <w:divBdr>
        <w:top w:val="none" w:sz="0" w:space="0" w:color="auto"/>
        <w:left w:val="none" w:sz="0" w:space="0" w:color="auto"/>
        <w:bottom w:val="none" w:sz="0" w:space="0" w:color="auto"/>
        <w:right w:val="none" w:sz="0" w:space="0" w:color="auto"/>
      </w:divBdr>
    </w:div>
    <w:div w:id="1518353438">
      <w:bodyDiv w:val="1"/>
      <w:marLeft w:val="0"/>
      <w:marRight w:val="0"/>
      <w:marTop w:val="0"/>
      <w:marBottom w:val="0"/>
      <w:divBdr>
        <w:top w:val="none" w:sz="0" w:space="0" w:color="auto"/>
        <w:left w:val="none" w:sz="0" w:space="0" w:color="auto"/>
        <w:bottom w:val="none" w:sz="0" w:space="0" w:color="auto"/>
        <w:right w:val="none" w:sz="0" w:space="0" w:color="auto"/>
      </w:divBdr>
    </w:div>
    <w:div w:id="1519587356">
      <w:bodyDiv w:val="1"/>
      <w:marLeft w:val="0"/>
      <w:marRight w:val="0"/>
      <w:marTop w:val="0"/>
      <w:marBottom w:val="0"/>
      <w:divBdr>
        <w:top w:val="none" w:sz="0" w:space="0" w:color="auto"/>
        <w:left w:val="none" w:sz="0" w:space="0" w:color="auto"/>
        <w:bottom w:val="none" w:sz="0" w:space="0" w:color="auto"/>
        <w:right w:val="none" w:sz="0" w:space="0" w:color="auto"/>
      </w:divBdr>
    </w:div>
    <w:div w:id="1519731220">
      <w:bodyDiv w:val="1"/>
      <w:marLeft w:val="0"/>
      <w:marRight w:val="0"/>
      <w:marTop w:val="0"/>
      <w:marBottom w:val="0"/>
      <w:divBdr>
        <w:top w:val="none" w:sz="0" w:space="0" w:color="auto"/>
        <w:left w:val="none" w:sz="0" w:space="0" w:color="auto"/>
        <w:bottom w:val="none" w:sz="0" w:space="0" w:color="auto"/>
        <w:right w:val="none" w:sz="0" w:space="0" w:color="auto"/>
      </w:divBdr>
    </w:div>
    <w:div w:id="1520119379">
      <w:bodyDiv w:val="1"/>
      <w:marLeft w:val="0"/>
      <w:marRight w:val="0"/>
      <w:marTop w:val="0"/>
      <w:marBottom w:val="0"/>
      <w:divBdr>
        <w:top w:val="none" w:sz="0" w:space="0" w:color="auto"/>
        <w:left w:val="none" w:sz="0" w:space="0" w:color="auto"/>
        <w:bottom w:val="none" w:sz="0" w:space="0" w:color="auto"/>
        <w:right w:val="none" w:sz="0" w:space="0" w:color="auto"/>
      </w:divBdr>
    </w:div>
    <w:div w:id="1520583998">
      <w:bodyDiv w:val="1"/>
      <w:marLeft w:val="0"/>
      <w:marRight w:val="0"/>
      <w:marTop w:val="0"/>
      <w:marBottom w:val="0"/>
      <w:divBdr>
        <w:top w:val="none" w:sz="0" w:space="0" w:color="auto"/>
        <w:left w:val="none" w:sz="0" w:space="0" w:color="auto"/>
        <w:bottom w:val="none" w:sz="0" w:space="0" w:color="auto"/>
        <w:right w:val="none" w:sz="0" w:space="0" w:color="auto"/>
      </w:divBdr>
    </w:div>
    <w:div w:id="1521360176">
      <w:bodyDiv w:val="1"/>
      <w:marLeft w:val="0"/>
      <w:marRight w:val="0"/>
      <w:marTop w:val="0"/>
      <w:marBottom w:val="0"/>
      <w:divBdr>
        <w:top w:val="none" w:sz="0" w:space="0" w:color="auto"/>
        <w:left w:val="none" w:sz="0" w:space="0" w:color="auto"/>
        <w:bottom w:val="none" w:sz="0" w:space="0" w:color="auto"/>
        <w:right w:val="none" w:sz="0" w:space="0" w:color="auto"/>
      </w:divBdr>
    </w:div>
    <w:div w:id="1521777154">
      <w:bodyDiv w:val="1"/>
      <w:marLeft w:val="0"/>
      <w:marRight w:val="0"/>
      <w:marTop w:val="0"/>
      <w:marBottom w:val="0"/>
      <w:divBdr>
        <w:top w:val="none" w:sz="0" w:space="0" w:color="auto"/>
        <w:left w:val="none" w:sz="0" w:space="0" w:color="auto"/>
        <w:bottom w:val="none" w:sz="0" w:space="0" w:color="auto"/>
        <w:right w:val="none" w:sz="0" w:space="0" w:color="auto"/>
      </w:divBdr>
    </w:div>
    <w:div w:id="1522206042">
      <w:bodyDiv w:val="1"/>
      <w:marLeft w:val="0"/>
      <w:marRight w:val="0"/>
      <w:marTop w:val="0"/>
      <w:marBottom w:val="0"/>
      <w:divBdr>
        <w:top w:val="none" w:sz="0" w:space="0" w:color="auto"/>
        <w:left w:val="none" w:sz="0" w:space="0" w:color="auto"/>
        <w:bottom w:val="none" w:sz="0" w:space="0" w:color="auto"/>
        <w:right w:val="none" w:sz="0" w:space="0" w:color="auto"/>
      </w:divBdr>
    </w:div>
    <w:div w:id="1522234104">
      <w:bodyDiv w:val="1"/>
      <w:marLeft w:val="0"/>
      <w:marRight w:val="0"/>
      <w:marTop w:val="0"/>
      <w:marBottom w:val="0"/>
      <w:divBdr>
        <w:top w:val="none" w:sz="0" w:space="0" w:color="auto"/>
        <w:left w:val="none" w:sz="0" w:space="0" w:color="auto"/>
        <w:bottom w:val="none" w:sz="0" w:space="0" w:color="auto"/>
        <w:right w:val="none" w:sz="0" w:space="0" w:color="auto"/>
      </w:divBdr>
    </w:div>
    <w:div w:id="1522940250">
      <w:bodyDiv w:val="1"/>
      <w:marLeft w:val="0"/>
      <w:marRight w:val="0"/>
      <w:marTop w:val="0"/>
      <w:marBottom w:val="0"/>
      <w:divBdr>
        <w:top w:val="none" w:sz="0" w:space="0" w:color="auto"/>
        <w:left w:val="none" w:sz="0" w:space="0" w:color="auto"/>
        <w:bottom w:val="none" w:sz="0" w:space="0" w:color="auto"/>
        <w:right w:val="none" w:sz="0" w:space="0" w:color="auto"/>
      </w:divBdr>
    </w:div>
    <w:div w:id="1523323544">
      <w:bodyDiv w:val="1"/>
      <w:marLeft w:val="0"/>
      <w:marRight w:val="0"/>
      <w:marTop w:val="0"/>
      <w:marBottom w:val="0"/>
      <w:divBdr>
        <w:top w:val="none" w:sz="0" w:space="0" w:color="auto"/>
        <w:left w:val="none" w:sz="0" w:space="0" w:color="auto"/>
        <w:bottom w:val="none" w:sz="0" w:space="0" w:color="auto"/>
        <w:right w:val="none" w:sz="0" w:space="0" w:color="auto"/>
      </w:divBdr>
    </w:div>
    <w:div w:id="1523784435">
      <w:bodyDiv w:val="1"/>
      <w:marLeft w:val="0"/>
      <w:marRight w:val="0"/>
      <w:marTop w:val="0"/>
      <w:marBottom w:val="0"/>
      <w:divBdr>
        <w:top w:val="none" w:sz="0" w:space="0" w:color="auto"/>
        <w:left w:val="none" w:sz="0" w:space="0" w:color="auto"/>
        <w:bottom w:val="none" w:sz="0" w:space="0" w:color="auto"/>
        <w:right w:val="none" w:sz="0" w:space="0" w:color="auto"/>
      </w:divBdr>
    </w:div>
    <w:div w:id="1524397999">
      <w:bodyDiv w:val="1"/>
      <w:marLeft w:val="0"/>
      <w:marRight w:val="0"/>
      <w:marTop w:val="0"/>
      <w:marBottom w:val="0"/>
      <w:divBdr>
        <w:top w:val="none" w:sz="0" w:space="0" w:color="auto"/>
        <w:left w:val="none" w:sz="0" w:space="0" w:color="auto"/>
        <w:bottom w:val="none" w:sz="0" w:space="0" w:color="auto"/>
        <w:right w:val="none" w:sz="0" w:space="0" w:color="auto"/>
      </w:divBdr>
    </w:div>
    <w:div w:id="1524587864">
      <w:bodyDiv w:val="1"/>
      <w:marLeft w:val="0"/>
      <w:marRight w:val="0"/>
      <w:marTop w:val="0"/>
      <w:marBottom w:val="0"/>
      <w:divBdr>
        <w:top w:val="none" w:sz="0" w:space="0" w:color="auto"/>
        <w:left w:val="none" w:sz="0" w:space="0" w:color="auto"/>
        <w:bottom w:val="none" w:sz="0" w:space="0" w:color="auto"/>
        <w:right w:val="none" w:sz="0" w:space="0" w:color="auto"/>
      </w:divBdr>
    </w:div>
    <w:div w:id="1525631368">
      <w:bodyDiv w:val="1"/>
      <w:marLeft w:val="0"/>
      <w:marRight w:val="0"/>
      <w:marTop w:val="0"/>
      <w:marBottom w:val="0"/>
      <w:divBdr>
        <w:top w:val="none" w:sz="0" w:space="0" w:color="auto"/>
        <w:left w:val="none" w:sz="0" w:space="0" w:color="auto"/>
        <w:bottom w:val="none" w:sz="0" w:space="0" w:color="auto"/>
        <w:right w:val="none" w:sz="0" w:space="0" w:color="auto"/>
      </w:divBdr>
    </w:div>
    <w:div w:id="1525971805">
      <w:bodyDiv w:val="1"/>
      <w:marLeft w:val="0"/>
      <w:marRight w:val="0"/>
      <w:marTop w:val="0"/>
      <w:marBottom w:val="0"/>
      <w:divBdr>
        <w:top w:val="none" w:sz="0" w:space="0" w:color="auto"/>
        <w:left w:val="none" w:sz="0" w:space="0" w:color="auto"/>
        <w:bottom w:val="none" w:sz="0" w:space="0" w:color="auto"/>
        <w:right w:val="none" w:sz="0" w:space="0" w:color="auto"/>
      </w:divBdr>
    </w:div>
    <w:div w:id="1526139700">
      <w:bodyDiv w:val="1"/>
      <w:marLeft w:val="0"/>
      <w:marRight w:val="0"/>
      <w:marTop w:val="0"/>
      <w:marBottom w:val="0"/>
      <w:divBdr>
        <w:top w:val="none" w:sz="0" w:space="0" w:color="auto"/>
        <w:left w:val="none" w:sz="0" w:space="0" w:color="auto"/>
        <w:bottom w:val="none" w:sz="0" w:space="0" w:color="auto"/>
        <w:right w:val="none" w:sz="0" w:space="0" w:color="auto"/>
      </w:divBdr>
    </w:div>
    <w:div w:id="1527062300">
      <w:bodyDiv w:val="1"/>
      <w:marLeft w:val="0"/>
      <w:marRight w:val="0"/>
      <w:marTop w:val="0"/>
      <w:marBottom w:val="0"/>
      <w:divBdr>
        <w:top w:val="none" w:sz="0" w:space="0" w:color="auto"/>
        <w:left w:val="none" w:sz="0" w:space="0" w:color="auto"/>
        <w:bottom w:val="none" w:sz="0" w:space="0" w:color="auto"/>
        <w:right w:val="none" w:sz="0" w:space="0" w:color="auto"/>
      </w:divBdr>
    </w:div>
    <w:div w:id="1527400433">
      <w:bodyDiv w:val="1"/>
      <w:marLeft w:val="0"/>
      <w:marRight w:val="0"/>
      <w:marTop w:val="0"/>
      <w:marBottom w:val="0"/>
      <w:divBdr>
        <w:top w:val="none" w:sz="0" w:space="0" w:color="auto"/>
        <w:left w:val="none" w:sz="0" w:space="0" w:color="auto"/>
        <w:bottom w:val="none" w:sz="0" w:space="0" w:color="auto"/>
        <w:right w:val="none" w:sz="0" w:space="0" w:color="auto"/>
      </w:divBdr>
    </w:div>
    <w:div w:id="1527403936">
      <w:bodyDiv w:val="1"/>
      <w:marLeft w:val="0"/>
      <w:marRight w:val="0"/>
      <w:marTop w:val="0"/>
      <w:marBottom w:val="0"/>
      <w:divBdr>
        <w:top w:val="none" w:sz="0" w:space="0" w:color="auto"/>
        <w:left w:val="none" w:sz="0" w:space="0" w:color="auto"/>
        <w:bottom w:val="none" w:sz="0" w:space="0" w:color="auto"/>
        <w:right w:val="none" w:sz="0" w:space="0" w:color="auto"/>
      </w:divBdr>
    </w:div>
    <w:div w:id="1528717681">
      <w:bodyDiv w:val="1"/>
      <w:marLeft w:val="0"/>
      <w:marRight w:val="0"/>
      <w:marTop w:val="0"/>
      <w:marBottom w:val="0"/>
      <w:divBdr>
        <w:top w:val="none" w:sz="0" w:space="0" w:color="auto"/>
        <w:left w:val="none" w:sz="0" w:space="0" w:color="auto"/>
        <w:bottom w:val="none" w:sz="0" w:space="0" w:color="auto"/>
        <w:right w:val="none" w:sz="0" w:space="0" w:color="auto"/>
      </w:divBdr>
    </w:div>
    <w:div w:id="1529757751">
      <w:bodyDiv w:val="1"/>
      <w:marLeft w:val="0"/>
      <w:marRight w:val="0"/>
      <w:marTop w:val="0"/>
      <w:marBottom w:val="0"/>
      <w:divBdr>
        <w:top w:val="none" w:sz="0" w:space="0" w:color="auto"/>
        <w:left w:val="none" w:sz="0" w:space="0" w:color="auto"/>
        <w:bottom w:val="none" w:sz="0" w:space="0" w:color="auto"/>
        <w:right w:val="none" w:sz="0" w:space="0" w:color="auto"/>
      </w:divBdr>
    </w:div>
    <w:div w:id="1529873886">
      <w:bodyDiv w:val="1"/>
      <w:marLeft w:val="0"/>
      <w:marRight w:val="0"/>
      <w:marTop w:val="0"/>
      <w:marBottom w:val="0"/>
      <w:divBdr>
        <w:top w:val="none" w:sz="0" w:space="0" w:color="auto"/>
        <w:left w:val="none" w:sz="0" w:space="0" w:color="auto"/>
        <w:bottom w:val="none" w:sz="0" w:space="0" w:color="auto"/>
        <w:right w:val="none" w:sz="0" w:space="0" w:color="auto"/>
      </w:divBdr>
    </w:div>
    <w:div w:id="1530221916">
      <w:bodyDiv w:val="1"/>
      <w:marLeft w:val="0"/>
      <w:marRight w:val="0"/>
      <w:marTop w:val="0"/>
      <w:marBottom w:val="0"/>
      <w:divBdr>
        <w:top w:val="none" w:sz="0" w:space="0" w:color="auto"/>
        <w:left w:val="none" w:sz="0" w:space="0" w:color="auto"/>
        <w:bottom w:val="none" w:sz="0" w:space="0" w:color="auto"/>
        <w:right w:val="none" w:sz="0" w:space="0" w:color="auto"/>
      </w:divBdr>
    </w:div>
    <w:div w:id="1531063649">
      <w:bodyDiv w:val="1"/>
      <w:marLeft w:val="0"/>
      <w:marRight w:val="0"/>
      <w:marTop w:val="0"/>
      <w:marBottom w:val="0"/>
      <w:divBdr>
        <w:top w:val="none" w:sz="0" w:space="0" w:color="auto"/>
        <w:left w:val="none" w:sz="0" w:space="0" w:color="auto"/>
        <w:bottom w:val="none" w:sz="0" w:space="0" w:color="auto"/>
        <w:right w:val="none" w:sz="0" w:space="0" w:color="auto"/>
      </w:divBdr>
    </w:div>
    <w:div w:id="1531340266">
      <w:bodyDiv w:val="1"/>
      <w:marLeft w:val="0"/>
      <w:marRight w:val="0"/>
      <w:marTop w:val="0"/>
      <w:marBottom w:val="0"/>
      <w:divBdr>
        <w:top w:val="none" w:sz="0" w:space="0" w:color="auto"/>
        <w:left w:val="none" w:sz="0" w:space="0" w:color="auto"/>
        <w:bottom w:val="none" w:sz="0" w:space="0" w:color="auto"/>
        <w:right w:val="none" w:sz="0" w:space="0" w:color="auto"/>
      </w:divBdr>
    </w:div>
    <w:div w:id="1531456205">
      <w:bodyDiv w:val="1"/>
      <w:marLeft w:val="0"/>
      <w:marRight w:val="0"/>
      <w:marTop w:val="0"/>
      <w:marBottom w:val="0"/>
      <w:divBdr>
        <w:top w:val="none" w:sz="0" w:space="0" w:color="auto"/>
        <w:left w:val="none" w:sz="0" w:space="0" w:color="auto"/>
        <w:bottom w:val="none" w:sz="0" w:space="0" w:color="auto"/>
        <w:right w:val="none" w:sz="0" w:space="0" w:color="auto"/>
      </w:divBdr>
    </w:div>
    <w:div w:id="1531530123">
      <w:bodyDiv w:val="1"/>
      <w:marLeft w:val="0"/>
      <w:marRight w:val="0"/>
      <w:marTop w:val="0"/>
      <w:marBottom w:val="0"/>
      <w:divBdr>
        <w:top w:val="none" w:sz="0" w:space="0" w:color="auto"/>
        <w:left w:val="none" w:sz="0" w:space="0" w:color="auto"/>
        <w:bottom w:val="none" w:sz="0" w:space="0" w:color="auto"/>
        <w:right w:val="none" w:sz="0" w:space="0" w:color="auto"/>
      </w:divBdr>
    </w:div>
    <w:div w:id="1532261687">
      <w:bodyDiv w:val="1"/>
      <w:marLeft w:val="0"/>
      <w:marRight w:val="0"/>
      <w:marTop w:val="0"/>
      <w:marBottom w:val="0"/>
      <w:divBdr>
        <w:top w:val="none" w:sz="0" w:space="0" w:color="auto"/>
        <w:left w:val="none" w:sz="0" w:space="0" w:color="auto"/>
        <w:bottom w:val="none" w:sz="0" w:space="0" w:color="auto"/>
        <w:right w:val="none" w:sz="0" w:space="0" w:color="auto"/>
      </w:divBdr>
    </w:div>
    <w:div w:id="1532302902">
      <w:bodyDiv w:val="1"/>
      <w:marLeft w:val="0"/>
      <w:marRight w:val="0"/>
      <w:marTop w:val="0"/>
      <w:marBottom w:val="0"/>
      <w:divBdr>
        <w:top w:val="none" w:sz="0" w:space="0" w:color="auto"/>
        <w:left w:val="none" w:sz="0" w:space="0" w:color="auto"/>
        <w:bottom w:val="none" w:sz="0" w:space="0" w:color="auto"/>
        <w:right w:val="none" w:sz="0" w:space="0" w:color="auto"/>
      </w:divBdr>
    </w:div>
    <w:div w:id="1532498836">
      <w:bodyDiv w:val="1"/>
      <w:marLeft w:val="0"/>
      <w:marRight w:val="0"/>
      <w:marTop w:val="0"/>
      <w:marBottom w:val="0"/>
      <w:divBdr>
        <w:top w:val="none" w:sz="0" w:space="0" w:color="auto"/>
        <w:left w:val="none" w:sz="0" w:space="0" w:color="auto"/>
        <w:bottom w:val="none" w:sz="0" w:space="0" w:color="auto"/>
        <w:right w:val="none" w:sz="0" w:space="0" w:color="auto"/>
      </w:divBdr>
    </w:div>
    <w:div w:id="1532645150">
      <w:bodyDiv w:val="1"/>
      <w:marLeft w:val="0"/>
      <w:marRight w:val="0"/>
      <w:marTop w:val="0"/>
      <w:marBottom w:val="0"/>
      <w:divBdr>
        <w:top w:val="none" w:sz="0" w:space="0" w:color="auto"/>
        <w:left w:val="none" w:sz="0" w:space="0" w:color="auto"/>
        <w:bottom w:val="none" w:sz="0" w:space="0" w:color="auto"/>
        <w:right w:val="none" w:sz="0" w:space="0" w:color="auto"/>
      </w:divBdr>
    </w:div>
    <w:div w:id="1532645190">
      <w:bodyDiv w:val="1"/>
      <w:marLeft w:val="0"/>
      <w:marRight w:val="0"/>
      <w:marTop w:val="0"/>
      <w:marBottom w:val="0"/>
      <w:divBdr>
        <w:top w:val="none" w:sz="0" w:space="0" w:color="auto"/>
        <w:left w:val="none" w:sz="0" w:space="0" w:color="auto"/>
        <w:bottom w:val="none" w:sz="0" w:space="0" w:color="auto"/>
        <w:right w:val="none" w:sz="0" w:space="0" w:color="auto"/>
      </w:divBdr>
    </w:div>
    <w:div w:id="1533109275">
      <w:bodyDiv w:val="1"/>
      <w:marLeft w:val="0"/>
      <w:marRight w:val="0"/>
      <w:marTop w:val="0"/>
      <w:marBottom w:val="0"/>
      <w:divBdr>
        <w:top w:val="none" w:sz="0" w:space="0" w:color="auto"/>
        <w:left w:val="none" w:sz="0" w:space="0" w:color="auto"/>
        <w:bottom w:val="none" w:sz="0" w:space="0" w:color="auto"/>
        <w:right w:val="none" w:sz="0" w:space="0" w:color="auto"/>
      </w:divBdr>
    </w:div>
    <w:div w:id="1534032537">
      <w:bodyDiv w:val="1"/>
      <w:marLeft w:val="0"/>
      <w:marRight w:val="0"/>
      <w:marTop w:val="0"/>
      <w:marBottom w:val="0"/>
      <w:divBdr>
        <w:top w:val="none" w:sz="0" w:space="0" w:color="auto"/>
        <w:left w:val="none" w:sz="0" w:space="0" w:color="auto"/>
        <w:bottom w:val="none" w:sz="0" w:space="0" w:color="auto"/>
        <w:right w:val="none" w:sz="0" w:space="0" w:color="auto"/>
      </w:divBdr>
    </w:div>
    <w:div w:id="1534613602">
      <w:bodyDiv w:val="1"/>
      <w:marLeft w:val="0"/>
      <w:marRight w:val="0"/>
      <w:marTop w:val="0"/>
      <w:marBottom w:val="0"/>
      <w:divBdr>
        <w:top w:val="none" w:sz="0" w:space="0" w:color="auto"/>
        <w:left w:val="none" w:sz="0" w:space="0" w:color="auto"/>
        <w:bottom w:val="none" w:sz="0" w:space="0" w:color="auto"/>
        <w:right w:val="none" w:sz="0" w:space="0" w:color="auto"/>
      </w:divBdr>
    </w:div>
    <w:div w:id="1535116947">
      <w:bodyDiv w:val="1"/>
      <w:marLeft w:val="0"/>
      <w:marRight w:val="0"/>
      <w:marTop w:val="0"/>
      <w:marBottom w:val="0"/>
      <w:divBdr>
        <w:top w:val="none" w:sz="0" w:space="0" w:color="auto"/>
        <w:left w:val="none" w:sz="0" w:space="0" w:color="auto"/>
        <w:bottom w:val="none" w:sz="0" w:space="0" w:color="auto"/>
        <w:right w:val="none" w:sz="0" w:space="0" w:color="auto"/>
      </w:divBdr>
    </w:div>
    <w:div w:id="1535146907">
      <w:bodyDiv w:val="1"/>
      <w:marLeft w:val="0"/>
      <w:marRight w:val="0"/>
      <w:marTop w:val="0"/>
      <w:marBottom w:val="0"/>
      <w:divBdr>
        <w:top w:val="none" w:sz="0" w:space="0" w:color="auto"/>
        <w:left w:val="none" w:sz="0" w:space="0" w:color="auto"/>
        <w:bottom w:val="none" w:sz="0" w:space="0" w:color="auto"/>
        <w:right w:val="none" w:sz="0" w:space="0" w:color="auto"/>
      </w:divBdr>
    </w:div>
    <w:div w:id="1535918789">
      <w:bodyDiv w:val="1"/>
      <w:marLeft w:val="0"/>
      <w:marRight w:val="0"/>
      <w:marTop w:val="0"/>
      <w:marBottom w:val="0"/>
      <w:divBdr>
        <w:top w:val="none" w:sz="0" w:space="0" w:color="auto"/>
        <w:left w:val="none" w:sz="0" w:space="0" w:color="auto"/>
        <w:bottom w:val="none" w:sz="0" w:space="0" w:color="auto"/>
        <w:right w:val="none" w:sz="0" w:space="0" w:color="auto"/>
      </w:divBdr>
    </w:div>
    <w:div w:id="1536582648">
      <w:bodyDiv w:val="1"/>
      <w:marLeft w:val="0"/>
      <w:marRight w:val="0"/>
      <w:marTop w:val="0"/>
      <w:marBottom w:val="0"/>
      <w:divBdr>
        <w:top w:val="none" w:sz="0" w:space="0" w:color="auto"/>
        <w:left w:val="none" w:sz="0" w:space="0" w:color="auto"/>
        <w:bottom w:val="none" w:sz="0" w:space="0" w:color="auto"/>
        <w:right w:val="none" w:sz="0" w:space="0" w:color="auto"/>
      </w:divBdr>
    </w:div>
    <w:div w:id="1536888060">
      <w:bodyDiv w:val="1"/>
      <w:marLeft w:val="0"/>
      <w:marRight w:val="0"/>
      <w:marTop w:val="0"/>
      <w:marBottom w:val="0"/>
      <w:divBdr>
        <w:top w:val="none" w:sz="0" w:space="0" w:color="auto"/>
        <w:left w:val="none" w:sz="0" w:space="0" w:color="auto"/>
        <w:bottom w:val="none" w:sz="0" w:space="0" w:color="auto"/>
        <w:right w:val="none" w:sz="0" w:space="0" w:color="auto"/>
      </w:divBdr>
    </w:div>
    <w:div w:id="1537502173">
      <w:bodyDiv w:val="1"/>
      <w:marLeft w:val="0"/>
      <w:marRight w:val="0"/>
      <w:marTop w:val="0"/>
      <w:marBottom w:val="0"/>
      <w:divBdr>
        <w:top w:val="none" w:sz="0" w:space="0" w:color="auto"/>
        <w:left w:val="none" w:sz="0" w:space="0" w:color="auto"/>
        <w:bottom w:val="none" w:sz="0" w:space="0" w:color="auto"/>
        <w:right w:val="none" w:sz="0" w:space="0" w:color="auto"/>
      </w:divBdr>
    </w:div>
    <w:div w:id="1537816432">
      <w:bodyDiv w:val="1"/>
      <w:marLeft w:val="0"/>
      <w:marRight w:val="0"/>
      <w:marTop w:val="0"/>
      <w:marBottom w:val="0"/>
      <w:divBdr>
        <w:top w:val="none" w:sz="0" w:space="0" w:color="auto"/>
        <w:left w:val="none" w:sz="0" w:space="0" w:color="auto"/>
        <w:bottom w:val="none" w:sz="0" w:space="0" w:color="auto"/>
        <w:right w:val="none" w:sz="0" w:space="0" w:color="auto"/>
      </w:divBdr>
    </w:div>
    <w:div w:id="1539312869">
      <w:bodyDiv w:val="1"/>
      <w:marLeft w:val="0"/>
      <w:marRight w:val="0"/>
      <w:marTop w:val="0"/>
      <w:marBottom w:val="0"/>
      <w:divBdr>
        <w:top w:val="none" w:sz="0" w:space="0" w:color="auto"/>
        <w:left w:val="none" w:sz="0" w:space="0" w:color="auto"/>
        <w:bottom w:val="none" w:sz="0" w:space="0" w:color="auto"/>
        <w:right w:val="none" w:sz="0" w:space="0" w:color="auto"/>
      </w:divBdr>
    </w:div>
    <w:div w:id="1540047447">
      <w:bodyDiv w:val="1"/>
      <w:marLeft w:val="0"/>
      <w:marRight w:val="0"/>
      <w:marTop w:val="0"/>
      <w:marBottom w:val="0"/>
      <w:divBdr>
        <w:top w:val="none" w:sz="0" w:space="0" w:color="auto"/>
        <w:left w:val="none" w:sz="0" w:space="0" w:color="auto"/>
        <w:bottom w:val="none" w:sz="0" w:space="0" w:color="auto"/>
        <w:right w:val="none" w:sz="0" w:space="0" w:color="auto"/>
      </w:divBdr>
    </w:div>
    <w:div w:id="1541089210">
      <w:bodyDiv w:val="1"/>
      <w:marLeft w:val="0"/>
      <w:marRight w:val="0"/>
      <w:marTop w:val="0"/>
      <w:marBottom w:val="0"/>
      <w:divBdr>
        <w:top w:val="none" w:sz="0" w:space="0" w:color="auto"/>
        <w:left w:val="none" w:sz="0" w:space="0" w:color="auto"/>
        <w:bottom w:val="none" w:sz="0" w:space="0" w:color="auto"/>
        <w:right w:val="none" w:sz="0" w:space="0" w:color="auto"/>
      </w:divBdr>
    </w:div>
    <w:div w:id="1541168024">
      <w:bodyDiv w:val="1"/>
      <w:marLeft w:val="0"/>
      <w:marRight w:val="0"/>
      <w:marTop w:val="0"/>
      <w:marBottom w:val="0"/>
      <w:divBdr>
        <w:top w:val="none" w:sz="0" w:space="0" w:color="auto"/>
        <w:left w:val="none" w:sz="0" w:space="0" w:color="auto"/>
        <w:bottom w:val="none" w:sz="0" w:space="0" w:color="auto"/>
        <w:right w:val="none" w:sz="0" w:space="0" w:color="auto"/>
      </w:divBdr>
    </w:div>
    <w:div w:id="1542326241">
      <w:bodyDiv w:val="1"/>
      <w:marLeft w:val="0"/>
      <w:marRight w:val="0"/>
      <w:marTop w:val="0"/>
      <w:marBottom w:val="0"/>
      <w:divBdr>
        <w:top w:val="none" w:sz="0" w:space="0" w:color="auto"/>
        <w:left w:val="none" w:sz="0" w:space="0" w:color="auto"/>
        <w:bottom w:val="none" w:sz="0" w:space="0" w:color="auto"/>
        <w:right w:val="none" w:sz="0" w:space="0" w:color="auto"/>
      </w:divBdr>
    </w:div>
    <w:div w:id="1543203841">
      <w:bodyDiv w:val="1"/>
      <w:marLeft w:val="0"/>
      <w:marRight w:val="0"/>
      <w:marTop w:val="0"/>
      <w:marBottom w:val="0"/>
      <w:divBdr>
        <w:top w:val="none" w:sz="0" w:space="0" w:color="auto"/>
        <w:left w:val="none" w:sz="0" w:space="0" w:color="auto"/>
        <w:bottom w:val="none" w:sz="0" w:space="0" w:color="auto"/>
        <w:right w:val="none" w:sz="0" w:space="0" w:color="auto"/>
      </w:divBdr>
    </w:div>
    <w:div w:id="1543401896">
      <w:bodyDiv w:val="1"/>
      <w:marLeft w:val="0"/>
      <w:marRight w:val="0"/>
      <w:marTop w:val="0"/>
      <w:marBottom w:val="0"/>
      <w:divBdr>
        <w:top w:val="none" w:sz="0" w:space="0" w:color="auto"/>
        <w:left w:val="none" w:sz="0" w:space="0" w:color="auto"/>
        <w:bottom w:val="none" w:sz="0" w:space="0" w:color="auto"/>
        <w:right w:val="none" w:sz="0" w:space="0" w:color="auto"/>
      </w:divBdr>
    </w:div>
    <w:div w:id="1543522427">
      <w:bodyDiv w:val="1"/>
      <w:marLeft w:val="0"/>
      <w:marRight w:val="0"/>
      <w:marTop w:val="0"/>
      <w:marBottom w:val="0"/>
      <w:divBdr>
        <w:top w:val="none" w:sz="0" w:space="0" w:color="auto"/>
        <w:left w:val="none" w:sz="0" w:space="0" w:color="auto"/>
        <w:bottom w:val="none" w:sz="0" w:space="0" w:color="auto"/>
        <w:right w:val="none" w:sz="0" w:space="0" w:color="auto"/>
      </w:divBdr>
    </w:div>
    <w:div w:id="1543899705">
      <w:bodyDiv w:val="1"/>
      <w:marLeft w:val="0"/>
      <w:marRight w:val="0"/>
      <w:marTop w:val="0"/>
      <w:marBottom w:val="0"/>
      <w:divBdr>
        <w:top w:val="none" w:sz="0" w:space="0" w:color="auto"/>
        <w:left w:val="none" w:sz="0" w:space="0" w:color="auto"/>
        <w:bottom w:val="none" w:sz="0" w:space="0" w:color="auto"/>
        <w:right w:val="none" w:sz="0" w:space="0" w:color="auto"/>
      </w:divBdr>
    </w:div>
    <w:div w:id="1543904743">
      <w:bodyDiv w:val="1"/>
      <w:marLeft w:val="0"/>
      <w:marRight w:val="0"/>
      <w:marTop w:val="0"/>
      <w:marBottom w:val="0"/>
      <w:divBdr>
        <w:top w:val="none" w:sz="0" w:space="0" w:color="auto"/>
        <w:left w:val="none" w:sz="0" w:space="0" w:color="auto"/>
        <w:bottom w:val="none" w:sz="0" w:space="0" w:color="auto"/>
        <w:right w:val="none" w:sz="0" w:space="0" w:color="auto"/>
      </w:divBdr>
    </w:div>
    <w:div w:id="1544246019">
      <w:bodyDiv w:val="1"/>
      <w:marLeft w:val="0"/>
      <w:marRight w:val="0"/>
      <w:marTop w:val="0"/>
      <w:marBottom w:val="0"/>
      <w:divBdr>
        <w:top w:val="none" w:sz="0" w:space="0" w:color="auto"/>
        <w:left w:val="none" w:sz="0" w:space="0" w:color="auto"/>
        <w:bottom w:val="none" w:sz="0" w:space="0" w:color="auto"/>
        <w:right w:val="none" w:sz="0" w:space="0" w:color="auto"/>
      </w:divBdr>
    </w:div>
    <w:div w:id="1544322548">
      <w:bodyDiv w:val="1"/>
      <w:marLeft w:val="0"/>
      <w:marRight w:val="0"/>
      <w:marTop w:val="0"/>
      <w:marBottom w:val="0"/>
      <w:divBdr>
        <w:top w:val="none" w:sz="0" w:space="0" w:color="auto"/>
        <w:left w:val="none" w:sz="0" w:space="0" w:color="auto"/>
        <w:bottom w:val="none" w:sz="0" w:space="0" w:color="auto"/>
        <w:right w:val="none" w:sz="0" w:space="0" w:color="auto"/>
      </w:divBdr>
    </w:div>
    <w:div w:id="1544558306">
      <w:bodyDiv w:val="1"/>
      <w:marLeft w:val="0"/>
      <w:marRight w:val="0"/>
      <w:marTop w:val="0"/>
      <w:marBottom w:val="0"/>
      <w:divBdr>
        <w:top w:val="none" w:sz="0" w:space="0" w:color="auto"/>
        <w:left w:val="none" w:sz="0" w:space="0" w:color="auto"/>
        <w:bottom w:val="none" w:sz="0" w:space="0" w:color="auto"/>
        <w:right w:val="none" w:sz="0" w:space="0" w:color="auto"/>
      </w:divBdr>
    </w:div>
    <w:div w:id="1545870067">
      <w:bodyDiv w:val="1"/>
      <w:marLeft w:val="0"/>
      <w:marRight w:val="0"/>
      <w:marTop w:val="0"/>
      <w:marBottom w:val="0"/>
      <w:divBdr>
        <w:top w:val="none" w:sz="0" w:space="0" w:color="auto"/>
        <w:left w:val="none" w:sz="0" w:space="0" w:color="auto"/>
        <w:bottom w:val="none" w:sz="0" w:space="0" w:color="auto"/>
        <w:right w:val="none" w:sz="0" w:space="0" w:color="auto"/>
      </w:divBdr>
    </w:div>
    <w:div w:id="1547449657">
      <w:bodyDiv w:val="1"/>
      <w:marLeft w:val="0"/>
      <w:marRight w:val="0"/>
      <w:marTop w:val="0"/>
      <w:marBottom w:val="0"/>
      <w:divBdr>
        <w:top w:val="none" w:sz="0" w:space="0" w:color="auto"/>
        <w:left w:val="none" w:sz="0" w:space="0" w:color="auto"/>
        <w:bottom w:val="none" w:sz="0" w:space="0" w:color="auto"/>
        <w:right w:val="none" w:sz="0" w:space="0" w:color="auto"/>
      </w:divBdr>
    </w:div>
    <w:div w:id="1547641130">
      <w:bodyDiv w:val="1"/>
      <w:marLeft w:val="0"/>
      <w:marRight w:val="0"/>
      <w:marTop w:val="0"/>
      <w:marBottom w:val="0"/>
      <w:divBdr>
        <w:top w:val="none" w:sz="0" w:space="0" w:color="auto"/>
        <w:left w:val="none" w:sz="0" w:space="0" w:color="auto"/>
        <w:bottom w:val="none" w:sz="0" w:space="0" w:color="auto"/>
        <w:right w:val="none" w:sz="0" w:space="0" w:color="auto"/>
      </w:divBdr>
    </w:div>
    <w:div w:id="1549142885">
      <w:bodyDiv w:val="1"/>
      <w:marLeft w:val="0"/>
      <w:marRight w:val="0"/>
      <w:marTop w:val="0"/>
      <w:marBottom w:val="0"/>
      <w:divBdr>
        <w:top w:val="none" w:sz="0" w:space="0" w:color="auto"/>
        <w:left w:val="none" w:sz="0" w:space="0" w:color="auto"/>
        <w:bottom w:val="none" w:sz="0" w:space="0" w:color="auto"/>
        <w:right w:val="none" w:sz="0" w:space="0" w:color="auto"/>
      </w:divBdr>
    </w:div>
    <w:div w:id="1549605140">
      <w:bodyDiv w:val="1"/>
      <w:marLeft w:val="0"/>
      <w:marRight w:val="0"/>
      <w:marTop w:val="0"/>
      <w:marBottom w:val="0"/>
      <w:divBdr>
        <w:top w:val="none" w:sz="0" w:space="0" w:color="auto"/>
        <w:left w:val="none" w:sz="0" w:space="0" w:color="auto"/>
        <w:bottom w:val="none" w:sz="0" w:space="0" w:color="auto"/>
        <w:right w:val="none" w:sz="0" w:space="0" w:color="auto"/>
      </w:divBdr>
    </w:div>
    <w:div w:id="1549605431">
      <w:bodyDiv w:val="1"/>
      <w:marLeft w:val="0"/>
      <w:marRight w:val="0"/>
      <w:marTop w:val="0"/>
      <w:marBottom w:val="0"/>
      <w:divBdr>
        <w:top w:val="none" w:sz="0" w:space="0" w:color="auto"/>
        <w:left w:val="none" w:sz="0" w:space="0" w:color="auto"/>
        <w:bottom w:val="none" w:sz="0" w:space="0" w:color="auto"/>
        <w:right w:val="none" w:sz="0" w:space="0" w:color="auto"/>
      </w:divBdr>
    </w:div>
    <w:div w:id="1550334798">
      <w:bodyDiv w:val="1"/>
      <w:marLeft w:val="0"/>
      <w:marRight w:val="0"/>
      <w:marTop w:val="0"/>
      <w:marBottom w:val="0"/>
      <w:divBdr>
        <w:top w:val="none" w:sz="0" w:space="0" w:color="auto"/>
        <w:left w:val="none" w:sz="0" w:space="0" w:color="auto"/>
        <w:bottom w:val="none" w:sz="0" w:space="0" w:color="auto"/>
        <w:right w:val="none" w:sz="0" w:space="0" w:color="auto"/>
      </w:divBdr>
    </w:div>
    <w:div w:id="1550606606">
      <w:bodyDiv w:val="1"/>
      <w:marLeft w:val="0"/>
      <w:marRight w:val="0"/>
      <w:marTop w:val="0"/>
      <w:marBottom w:val="0"/>
      <w:divBdr>
        <w:top w:val="none" w:sz="0" w:space="0" w:color="auto"/>
        <w:left w:val="none" w:sz="0" w:space="0" w:color="auto"/>
        <w:bottom w:val="none" w:sz="0" w:space="0" w:color="auto"/>
        <w:right w:val="none" w:sz="0" w:space="0" w:color="auto"/>
      </w:divBdr>
    </w:div>
    <w:div w:id="1550993696">
      <w:bodyDiv w:val="1"/>
      <w:marLeft w:val="0"/>
      <w:marRight w:val="0"/>
      <w:marTop w:val="0"/>
      <w:marBottom w:val="0"/>
      <w:divBdr>
        <w:top w:val="none" w:sz="0" w:space="0" w:color="auto"/>
        <w:left w:val="none" w:sz="0" w:space="0" w:color="auto"/>
        <w:bottom w:val="none" w:sz="0" w:space="0" w:color="auto"/>
        <w:right w:val="none" w:sz="0" w:space="0" w:color="auto"/>
      </w:divBdr>
    </w:div>
    <w:div w:id="1551575885">
      <w:bodyDiv w:val="1"/>
      <w:marLeft w:val="0"/>
      <w:marRight w:val="0"/>
      <w:marTop w:val="0"/>
      <w:marBottom w:val="0"/>
      <w:divBdr>
        <w:top w:val="none" w:sz="0" w:space="0" w:color="auto"/>
        <w:left w:val="none" w:sz="0" w:space="0" w:color="auto"/>
        <w:bottom w:val="none" w:sz="0" w:space="0" w:color="auto"/>
        <w:right w:val="none" w:sz="0" w:space="0" w:color="auto"/>
      </w:divBdr>
    </w:div>
    <w:div w:id="1552031317">
      <w:bodyDiv w:val="1"/>
      <w:marLeft w:val="0"/>
      <w:marRight w:val="0"/>
      <w:marTop w:val="0"/>
      <w:marBottom w:val="0"/>
      <w:divBdr>
        <w:top w:val="none" w:sz="0" w:space="0" w:color="auto"/>
        <w:left w:val="none" w:sz="0" w:space="0" w:color="auto"/>
        <w:bottom w:val="none" w:sz="0" w:space="0" w:color="auto"/>
        <w:right w:val="none" w:sz="0" w:space="0" w:color="auto"/>
      </w:divBdr>
    </w:div>
    <w:div w:id="1552038907">
      <w:bodyDiv w:val="1"/>
      <w:marLeft w:val="0"/>
      <w:marRight w:val="0"/>
      <w:marTop w:val="0"/>
      <w:marBottom w:val="0"/>
      <w:divBdr>
        <w:top w:val="none" w:sz="0" w:space="0" w:color="auto"/>
        <w:left w:val="none" w:sz="0" w:space="0" w:color="auto"/>
        <w:bottom w:val="none" w:sz="0" w:space="0" w:color="auto"/>
        <w:right w:val="none" w:sz="0" w:space="0" w:color="auto"/>
      </w:divBdr>
    </w:div>
    <w:div w:id="1552383682">
      <w:bodyDiv w:val="1"/>
      <w:marLeft w:val="0"/>
      <w:marRight w:val="0"/>
      <w:marTop w:val="0"/>
      <w:marBottom w:val="0"/>
      <w:divBdr>
        <w:top w:val="none" w:sz="0" w:space="0" w:color="auto"/>
        <w:left w:val="none" w:sz="0" w:space="0" w:color="auto"/>
        <w:bottom w:val="none" w:sz="0" w:space="0" w:color="auto"/>
        <w:right w:val="none" w:sz="0" w:space="0" w:color="auto"/>
      </w:divBdr>
    </w:div>
    <w:div w:id="1552426280">
      <w:bodyDiv w:val="1"/>
      <w:marLeft w:val="0"/>
      <w:marRight w:val="0"/>
      <w:marTop w:val="0"/>
      <w:marBottom w:val="0"/>
      <w:divBdr>
        <w:top w:val="none" w:sz="0" w:space="0" w:color="auto"/>
        <w:left w:val="none" w:sz="0" w:space="0" w:color="auto"/>
        <w:bottom w:val="none" w:sz="0" w:space="0" w:color="auto"/>
        <w:right w:val="none" w:sz="0" w:space="0" w:color="auto"/>
      </w:divBdr>
    </w:div>
    <w:div w:id="1553346974">
      <w:bodyDiv w:val="1"/>
      <w:marLeft w:val="0"/>
      <w:marRight w:val="0"/>
      <w:marTop w:val="0"/>
      <w:marBottom w:val="0"/>
      <w:divBdr>
        <w:top w:val="none" w:sz="0" w:space="0" w:color="auto"/>
        <w:left w:val="none" w:sz="0" w:space="0" w:color="auto"/>
        <w:bottom w:val="none" w:sz="0" w:space="0" w:color="auto"/>
        <w:right w:val="none" w:sz="0" w:space="0" w:color="auto"/>
      </w:divBdr>
    </w:div>
    <w:div w:id="1553730919">
      <w:bodyDiv w:val="1"/>
      <w:marLeft w:val="0"/>
      <w:marRight w:val="0"/>
      <w:marTop w:val="0"/>
      <w:marBottom w:val="0"/>
      <w:divBdr>
        <w:top w:val="none" w:sz="0" w:space="0" w:color="auto"/>
        <w:left w:val="none" w:sz="0" w:space="0" w:color="auto"/>
        <w:bottom w:val="none" w:sz="0" w:space="0" w:color="auto"/>
        <w:right w:val="none" w:sz="0" w:space="0" w:color="auto"/>
      </w:divBdr>
    </w:div>
    <w:div w:id="1553884948">
      <w:bodyDiv w:val="1"/>
      <w:marLeft w:val="0"/>
      <w:marRight w:val="0"/>
      <w:marTop w:val="0"/>
      <w:marBottom w:val="0"/>
      <w:divBdr>
        <w:top w:val="none" w:sz="0" w:space="0" w:color="auto"/>
        <w:left w:val="none" w:sz="0" w:space="0" w:color="auto"/>
        <w:bottom w:val="none" w:sz="0" w:space="0" w:color="auto"/>
        <w:right w:val="none" w:sz="0" w:space="0" w:color="auto"/>
      </w:divBdr>
    </w:div>
    <w:div w:id="1554654142">
      <w:bodyDiv w:val="1"/>
      <w:marLeft w:val="0"/>
      <w:marRight w:val="0"/>
      <w:marTop w:val="0"/>
      <w:marBottom w:val="0"/>
      <w:divBdr>
        <w:top w:val="none" w:sz="0" w:space="0" w:color="auto"/>
        <w:left w:val="none" w:sz="0" w:space="0" w:color="auto"/>
        <w:bottom w:val="none" w:sz="0" w:space="0" w:color="auto"/>
        <w:right w:val="none" w:sz="0" w:space="0" w:color="auto"/>
      </w:divBdr>
    </w:div>
    <w:div w:id="1554848801">
      <w:bodyDiv w:val="1"/>
      <w:marLeft w:val="0"/>
      <w:marRight w:val="0"/>
      <w:marTop w:val="0"/>
      <w:marBottom w:val="0"/>
      <w:divBdr>
        <w:top w:val="none" w:sz="0" w:space="0" w:color="auto"/>
        <w:left w:val="none" w:sz="0" w:space="0" w:color="auto"/>
        <w:bottom w:val="none" w:sz="0" w:space="0" w:color="auto"/>
        <w:right w:val="none" w:sz="0" w:space="0" w:color="auto"/>
      </w:divBdr>
    </w:div>
    <w:div w:id="1555504842">
      <w:bodyDiv w:val="1"/>
      <w:marLeft w:val="0"/>
      <w:marRight w:val="0"/>
      <w:marTop w:val="0"/>
      <w:marBottom w:val="0"/>
      <w:divBdr>
        <w:top w:val="none" w:sz="0" w:space="0" w:color="auto"/>
        <w:left w:val="none" w:sz="0" w:space="0" w:color="auto"/>
        <w:bottom w:val="none" w:sz="0" w:space="0" w:color="auto"/>
        <w:right w:val="none" w:sz="0" w:space="0" w:color="auto"/>
      </w:divBdr>
    </w:div>
    <w:div w:id="1555971580">
      <w:bodyDiv w:val="1"/>
      <w:marLeft w:val="0"/>
      <w:marRight w:val="0"/>
      <w:marTop w:val="0"/>
      <w:marBottom w:val="0"/>
      <w:divBdr>
        <w:top w:val="none" w:sz="0" w:space="0" w:color="auto"/>
        <w:left w:val="none" w:sz="0" w:space="0" w:color="auto"/>
        <w:bottom w:val="none" w:sz="0" w:space="0" w:color="auto"/>
        <w:right w:val="none" w:sz="0" w:space="0" w:color="auto"/>
      </w:divBdr>
    </w:div>
    <w:div w:id="1556352683">
      <w:bodyDiv w:val="1"/>
      <w:marLeft w:val="0"/>
      <w:marRight w:val="0"/>
      <w:marTop w:val="0"/>
      <w:marBottom w:val="0"/>
      <w:divBdr>
        <w:top w:val="none" w:sz="0" w:space="0" w:color="auto"/>
        <w:left w:val="none" w:sz="0" w:space="0" w:color="auto"/>
        <w:bottom w:val="none" w:sz="0" w:space="0" w:color="auto"/>
        <w:right w:val="none" w:sz="0" w:space="0" w:color="auto"/>
      </w:divBdr>
    </w:div>
    <w:div w:id="1556773622">
      <w:bodyDiv w:val="1"/>
      <w:marLeft w:val="0"/>
      <w:marRight w:val="0"/>
      <w:marTop w:val="0"/>
      <w:marBottom w:val="0"/>
      <w:divBdr>
        <w:top w:val="none" w:sz="0" w:space="0" w:color="auto"/>
        <w:left w:val="none" w:sz="0" w:space="0" w:color="auto"/>
        <w:bottom w:val="none" w:sz="0" w:space="0" w:color="auto"/>
        <w:right w:val="none" w:sz="0" w:space="0" w:color="auto"/>
      </w:divBdr>
    </w:div>
    <w:div w:id="1557548006">
      <w:bodyDiv w:val="1"/>
      <w:marLeft w:val="0"/>
      <w:marRight w:val="0"/>
      <w:marTop w:val="0"/>
      <w:marBottom w:val="0"/>
      <w:divBdr>
        <w:top w:val="none" w:sz="0" w:space="0" w:color="auto"/>
        <w:left w:val="none" w:sz="0" w:space="0" w:color="auto"/>
        <w:bottom w:val="none" w:sz="0" w:space="0" w:color="auto"/>
        <w:right w:val="none" w:sz="0" w:space="0" w:color="auto"/>
      </w:divBdr>
    </w:div>
    <w:div w:id="1557739686">
      <w:bodyDiv w:val="1"/>
      <w:marLeft w:val="0"/>
      <w:marRight w:val="0"/>
      <w:marTop w:val="0"/>
      <w:marBottom w:val="0"/>
      <w:divBdr>
        <w:top w:val="none" w:sz="0" w:space="0" w:color="auto"/>
        <w:left w:val="none" w:sz="0" w:space="0" w:color="auto"/>
        <w:bottom w:val="none" w:sz="0" w:space="0" w:color="auto"/>
        <w:right w:val="none" w:sz="0" w:space="0" w:color="auto"/>
      </w:divBdr>
    </w:div>
    <w:div w:id="1559121855">
      <w:bodyDiv w:val="1"/>
      <w:marLeft w:val="0"/>
      <w:marRight w:val="0"/>
      <w:marTop w:val="0"/>
      <w:marBottom w:val="0"/>
      <w:divBdr>
        <w:top w:val="none" w:sz="0" w:space="0" w:color="auto"/>
        <w:left w:val="none" w:sz="0" w:space="0" w:color="auto"/>
        <w:bottom w:val="none" w:sz="0" w:space="0" w:color="auto"/>
        <w:right w:val="none" w:sz="0" w:space="0" w:color="auto"/>
      </w:divBdr>
    </w:div>
    <w:div w:id="1559439609">
      <w:bodyDiv w:val="1"/>
      <w:marLeft w:val="0"/>
      <w:marRight w:val="0"/>
      <w:marTop w:val="0"/>
      <w:marBottom w:val="0"/>
      <w:divBdr>
        <w:top w:val="none" w:sz="0" w:space="0" w:color="auto"/>
        <w:left w:val="none" w:sz="0" w:space="0" w:color="auto"/>
        <w:bottom w:val="none" w:sz="0" w:space="0" w:color="auto"/>
        <w:right w:val="none" w:sz="0" w:space="0" w:color="auto"/>
      </w:divBdr>
    </w:div>
    <w:div w:id="1560675871">
      <w:bodyDiv w:val="1"/>
      <w:marLeft w:val="0"/>
      <w:marRight w:val="0"/>
      <w:marTop w:val="0"/>
      <w:marBottom w:val="0"/>
      <w:divBdr>
        <w:top w:val="none" w:sz="0" w:space="0" w:color="auto"/>
        <w:left w:val="none" w:sz="0" w:space="0" w:color="auto"/>
        <w:bottom w:val="none" w:sz="0" w:space="0" w:color="auto"/>
        <w:right w:val="none" w:sz="0" w:space="0" w:color="auto"/>
      </w:divBdr>
    </w:div>
    <w:div w:id="1563439814">
      <w:bodyDiv w:val="1"/>
      <w:marLeft w:val="0"/>
      <w:marRight w:val="0"/>
      <w:marTop w:val="0"/>
      <w:marBottom w:val="0"/>
      <w:divBdr>
        <w:top w:val="none" w:sz="0" w:space="0" w:color="auto"/>
        <w:left w:val="none" w:sz="0" w:space="0" w:color="auto"/>
        <w:bottom w:val="none" w:sz="0" w:space="0" w:color="auto"/>
        <w:right w:val="none" w:sz="0" w:space="0" w:color="auto"/>
      </w:divBdr>
    </w:div>
    <w:div w:id="1564638959">
      <w:bodyDiv w:val="1"/>
      <w:marLeft w:val="0"/>
      <w:marRight w:val="0"/>
      <w:marTop w:val="0"/>
      <w:marBottom w:val="0"/>
      <w:divBdr>
        <w:top w:val="none" w:sz="0" w:space="0" w:color="auto"/>
        <w:left w:val="none" w:sz="0" w:space="0" w:color="auto"/>
        <w:bottom w:val="none" w:sz="0" w:space="0" w:color="auto"/>
        <w:right w:val="none" w:sz="0" w:space="0" w:color="auto"/>
      </w:divBdr>
    </w:div>
    <w:div w:id="1565136630">
      <w:bodyDiv w:val="1"/>
      <w:marLeft w:val="0"/>
      <w:marRight w:val="0"/>
      <w:marTop w:val="0"/>
      <w:marBottom w:val="0"/>
      <w:divBdr>
        <w:top w:val="none" w:sz="0" w:space="0" w:color="auto"/>
        <w:left w:val="none" w:sz="0" w:space="0" w:color="auto"/>
        <w:bottom w:val="none" w:sz="0" w:space="0" w:color="auto"/>
        <w:right w:val="none" w:sz="0" w:space="0" w:color="auto"/>
      </w:divBdr>
    </w:div>
    <w:div w:id="1565988639">
      <w:bodyDiv w:val="1"/>
      <w:marLeft w:val="0"/>
      <w:marRight w:val="0"/>
      <w:marTop w:val="0"/>
      <w:marBottom w:val="0"/>
      <w:divBdr>
        <w:top w:val="none" w:sz="0" w:space="0" w:color="auto"/>
        <w:left w:val="none" w:sz="0" w:space="0" w:color="auto"/>
        <w:bottom w:val="none" w:sz="0" w:space="0" w:color="auto"/>
        <w:right w:val="none" w:sz="0" w:space="0" w:color="auto"/>
      </w:divBdr>
    </w:div>
    <w:div w:id="1567180264">
      <w:bodyDiv w:val="1"/>
      <w:marLeft w:val="0"/>
      <w:marRight w:val="0"/>
      <w:marTop w:val="0"/>
      <w:marBottom w:val="0"/>
      <w:divBdr>
        <w:top w:val="none" w:sz="0" w:space="0" w:color="auto"/>
        <w:left w:val="none" w:sz="0" w:space="0" w:color="auto"/>
        <w:bottom w:val="none" w:sz="0" w:space="0" w:color="auto"/>
        <w:right w:val="none" w:sz="0" w:space="0" w:color="auto"/>
      </w:divBdr>
    </w:div>
    <w:div w:id="1568762499">
      <w:bodyDiv w:val="1"/>
      <w:marLeft w:val="0"/>
      <w:marRight w:val="0"/>
      <w:marTop w:val="0"/>
      <w:marBottom w:val="0"/>
      <w:divBdr>
        <w:top w:val="none" w:sz="0" w:space="0" w:color="auto"/>
        <w:left w:val="none" w:sz="0" w:space="0" w:color="auto"/>
        <w:bottom w:val="none" w:sz="0" w:space="0" w:color="auto"/>
        <w:right w:val="none" w:sz="0" w:space="0" w:color="auto"/>
      </w:divBdr>
    </w:div>
    <w:div w:id="1569460420">
      <w:bodyDiv w:val="1"/>
      <w:marLeft w:val="0"/>
      <w:marRight w:val="0"/>
      <w:marTop w:val="0"/>
      <w:marBottom w:val="0"/>
      <w:divBdr>
        <w:top w:val="none" w:sz="0" w:space="0" w:color="auto"/>
        <w:left w:val="none" w:sz="0" w:space="0" w:color="auto"/>
        <w:bottom w:val="none" w:sz="0" w:space="0" w:color="auto"/>
        <w:right w:val="none" w:sz="0" w:space="0" w:color="auto"/>
      </w:divBdr>
    </w:div>
    <w:div w:id="1569531319">
      <w:bodyDiv w:val="1"/>
      <w:marLeft w:val="0"/>
      <w:marRight w:val="0"/>
      <w:marTop w:val="0"/>
      <w:marBottom w:val="0"/>
      <w:divBdr>
        <w:top w:val="none" w:sz="0" w:space="0" w:color="auto"/>
        <w:left w:val="none" w:sz="0" w:space="0" w:color="auto"/>
        <w:bottom w:val="none" w:sz="0" w:space="0" w:color="auto"/>
        <w:right w:val="none" w:sz="0" w:space="0" w:color="auto"/>
      </w:divBdr>
    </w:div>
    <w:div w:id="1570077026">
      <w:bodyDiv w:val="1"/>
      <w:marLeft w:val="0"/>
      <w:marRight w:val="0"/>
      <w:marTop w:val="0"/>
      <w:marBottom w:val="0"/>
      <w:divBdr>
        <w:top w:val="none" w:sz="0" w:space="0" w:color="auto"/>
        <w:left w:val="none" w:sz="0" w:space="0" w:color="auto"/>
        <w:bottom w:val="none" w:sz="0" w:space="0" w:color="auto"/>
        <w:right w:val="none" w:sz="0" w:space="0" w:color="auto"/>
      </w:divBdr>
    </w:div>
    <w:div w:id="1570268865">
      <w:bodyDiv w:val="1"/>
      <w:marLeft w:val="0"/>
      <w:marRight w:val="0"/>
      <w:marTop w:val="0"/>
      <w:marBottom w:val="0"/>
      <w:divBdr>
        <w:top w:val="none" w:sz="0" w:space="0" w:color="auto"/>
        <w:left w:val="none" w:sz="0" w:space="0" w:color="auto"/>
        <w:bottom w:val="none" w:sz="0" w:space="0" w:color="auto"/>
        <w:right w:val="none" w:sz="0" w:space="0" w:color="auto"/>
      </w:divBdr>
    </w:div>
    <w:div w:id="1570918499">
      <w:bodyDiv w:val="1"/>
      <w:marLeft w:val="0"/>
      <w:marRight w:val="0"/>
      <w:marTop w:val="0"/>
      <w:marBottom w:val="0"/>
      <w:divBdr>
        <w:top w:val="none" w:sz="0" w:space="0" w:color="auto"/>
        <w:left w:val="none" w:sz="0" w:space="0" w:color="auto"/>
        <w:bottom w:val="none" w:sz="0" w:space="0" w:color="auto"/>
        <w:right w:val="none" w:sz="0" w:space="0" w:color="auto"/>
      </w:divBdr>
    </w:div>
    <w:div w:id="1570922528">
      <w:bodyDiv w:val="1"/>
      <w:marLeft w:val="0"/>
      <w:marRight w:val="0"/>
      <w:marTop w:val="0"/>
      <w:marBottom w:val="0"/>
      <w:divBdr>
        <w:top w:val="none" w:sz="0" w:space="0" w:color="auto"/>
        <w:left w:val="none" w:sz="0" w:space="0" w:color="auto"/>
        <w:bottom w:val="none" w:sz="0" w:space="0" w:color="auto"/>
        <w:right w:val="none" w:sz="0" w:space="0" w:color="auto"/>
      </w:divBdr>
    </w:div>
    <w:div w:id="1570995686">
      <w:bodyDiv w:val="1"/>
      <w:marLeft w:val="0"/>
      <w:marRight w:val="0"/>
      <w:marTop w:val="0"/>
      <w:marBottom w:val="0"/>
      <w:divBdr>
        <w:top w:val="none" w:sz="0" w:space="0" w:color="auto"/>
        <w:left w:val="none" w:sz="0" w:space="0" w:color="auto"/>
        <w:bottom w:val="none" w:sz="0" w:space="0" w:color="auto"/>
        <w:right w:val="none" w:sz="0" w:space="0" w:color="auto"/>
      </w:divBdr>
    </w:div>
    <w:div w:id="1571504129">
      <w:bodyDiv w:val="1"/>
      <w:marLeft w:val="0"/>
      <w:marRight w:val="0"/>
      <w:marTop w:val="0"/>
      <w:marBottom w:val="0"/>
      <w:divBdr>
        <w:top w:val="none" w:sz="0" w:space="0" w:color="auto"/>
        <w:left w:val="none" w:sz="0" w:space="0" w:color="auto"/>
        <w:bottom w:val="none" w:sz="0" w:space="0" w:color="auto"/>
        <w:right w:val="none" w:sz="0" w:space="0" w:color="auto"/>
      </w:divBdr>
    </w:div>
    <w:div w:id="1571504612">
      <w:bodyDiv w:val="1"/>
      <w:marLeft w:val="0"/>
      <w:marRight w:val="0"/>
      <w:marTop w:val="0"/>
      <w:marBottom w:val="0"/>
      <w:divBdr>
        <w:top w:val="none" w:sz="0" w:space="0" w:color="auto"/>
        <w:left w:val="none" w:sz="0" w:space="0" w:color="auto"/>
        <w:bottom w:val="none" w:sz="0" w:space="0" w:color="auto"/>
        <w:right w:val="none" w:sz="0" w:space="0" w:color="auto"/>
      </w:divBdr>
    </w:div>
    <w:div w:id="1571846963">
      <w:bodyDiv w:val="1"/>
      <w:marLeft w:val="0"/>
      <w:marRight w:val="0"/>
      <w:marTop w:val="0"/>
      <w:marBottom w:val="0"/>
      <w:divBdr>
        <w:top w:val="none" w:sz="0" w:space="0" w:color="auto"/>
        <w:left w:val="none" w:sz="0" w:space="0" w:color="auto"/>
        <w:bottom w:val="none" w:sz="0" w:space="0" w:color="auto"/>
        <w:right w:val="none" w:sz="0" w:space="0" w:color="auto"/>
      </w:divBdr>
    </w:div>
    <w:div w:id="1572108803">
      <w:bodyDiv w:val="1"/>
      <w:marLeft w:val="0"/>
      <w:marRight w:val="0"/>
      <w:marTop w:val="0"/>
      <w:marBottom w:val="0"/>
      <w:divBdr>
        <w:top w:val="none" w:sz="0" w:space="0" w:color="auto"/>
        <w:left w:val="none" w:sz="0" w:space="0" w:color="auto"/>
        <w:bottom w:val="none" w:sz="0" w:space="0" w:color="auto"/>
        <w:right w:val="none" w:sz="0" w:space="0" w:color="auto"/>
      </w:divBdr>
    </w:div>
    <w:div w:id="1572155442">
      <w:bodyDiv w:val="1"/>
      <w:marLeft w:val="0"/>
      <w:marRight w:val="0"/>
      <w:marTop w:val="0"/>
      <w:marBottom w:val="0"/>
      <w:divBdr>
        <w:top w:val="none" w:sz="0" w:space="0" w:color="auto"/>
        <w:left w:val="none" w:sz="0" w:space="0" w:color="auto"/>
        <w:bottom w:val="none" w:sz="0" w:space="0" w:color="auto"/>
        <w:right w:val="none" w:sz="0" w:space="0" w:color="auto"/>
      </w:divBdr>
    </w:div>
    <w:div w:id="1572429616">
      <w:bodyDiv w:val="1"/>
      <w:marLeft w:val="0"/>
      <w:marRight w:val="0"/>
      <w:marTop w:val="0"/>
      <w:marBottom w:val="0"/>
      <w:divBdr>
        <w:top w:val="none" w:sz="0" w:space="0" w:color="auto"/>
        <w:left w:val="none" w:sz="0" w:space="0" w:color="auto"/>
        <w:bottom w:val="none" w:sz="0" w:space="0" w:color="auto"/>
        <w:right w:val="none" w:sz="0" w:space="0" w:color="auto"/>
      </w:divBdr>
    </w:div>
    <w:div w:id="1572540063">
      <w:bodyDiv w:val="1"/>
      <w:marLeft w:val="0"/>
      <w:marRight w:val="0"/>
      <w:marTop w:val="0"/>
      <w:marBottom w:val="0"/>
      <w:divBdr>
        <w:top w:val="none" w:sz="0" w:space="0" w:color="auto"/>
        <w:left w:val="none" w:sz="0" w:space="0" w:color="auto"/>
        <w:bottom w:val="none" w:sz="0" w:space="0" w:color="auto"/>
        <w:right w:val="none" w:sz="0" w:space="0" w:color="auto"/>
      </w:divBdr>
    </w:div>
    <w:div w:id="1573662613">
      <w:bodyDiv w:val="1"/>
      <w:marLeft w:val="0"/>
      <w:marRight w:val="0"/>
      <w:marTop w:val="0"/>
      <w:marBottom w:val="0"/>
      <w:divBdr>
        <w:top w:val="none" w:sz="0" w:space="0" w:color="auto"/>
        <w:left w:val="none" w:sz="0" w:space="0" w:color="auto"/>
        <w:bottom w:val="none" w:sz="0" w:space="0" w:color="auto"/>
        <w:right w:val="none" w:sz="0" w:space="0" w:color="auto"/>
      </w:divBdr>
    </w:div>
    <w:div w:id="1574389652">
      <w:bodyDiv w:val="1"/>
      <w:marLeft w:val="0"/>
      <w:marRight w:val="0"/>
      <w:marTop w:val="0"/>
      <w:marBottom w:val="0"/>
      <w:divBdr>
        <w:top w:val="none" w:sz="0" w:space="0" w:color="auto"/>
        <w:left w:val="none" w:sz="0" w:space="0" w:color="auto"/>
        <w:bottom w:val="none" w:sz="0" w:space="0" w:color="auto"/>
        <w:right w:val="none" w:sz="0" w:space="0" w:color="auto"/>
      </w:divBdr>
    </w:div>
    <w:div w:id="1574968785">
      <w:bodyDiv w:val="1"/>
      <w:marLeft w:val="0"/>
      <w:marRight w:val="0"/>
      <w:marTop w:val="0"/>
      <w:marBottom w:val="0"/>
      <w:divBdr>
        <w:top w:val="none" w:sz="0" w:space="0" w:color="auto"/>
        <w:left w:val="none" w:sz="0" w:space="0" w:color="auto"/>
        <w:bottom w:val="none" w:sz="0" w:space="0" w:color="auto"/>
        <w:right w:val="none" w:sz="0" w:space="0" w:color="auto"/>
      </w:divBdr>
    </w:div>
    <w:div w:id="1575120925">
      <w:bodyDiv w:val="1"/>
      <w:marLeft w:val="0"/>
      <w:marRight w:val="0"/>
      <w:marTop w:val="0"/>
      <w:marBottom w:val="0"/>
      <w:divBdr>
        <w:top w:val="none" w:sz="0" w:space="0" w:color="auto"/>
        <w:left w:val="none" w:sz="0" w:space="0" w:color="auto"/>
        <w:bottom w:val="none" w:sz="0" w:space="0" w:color="auto"/>
        <w:right w:val="none" w:sz="0" w:space="0" w:color="auto"/>
      </w:divBdr>
    </w:div>
    <w:div w:id="1576819309">
      <w:bodyDiv w:val="1"/>
      <w:marLeft w:val="0"/>
      <w:marRight w:val="0"/>
      <w:marTop w:val="0"/>
      <w:marBottom w:val="0"/>
      <w:divBdr>
        <w:top w:val="none" w:sz="0" w:space="0" w:color="auto"/>
        <w:left w:val="none" w:sz="0" w:space="0" w:color="auto"/>
        <w:bottom w:val="none" w:sz="0" w:space="0" w:color="auto"/>
        <w:right w:val="none" w:sz="0" w:space="0" w:color="auto"/>
      </w:divBdr>
    </w:div>
    <w:div w:id="1579242263">
      <w:bodyDiv w:val="1"/>
      <w:marLeft w:val="0"/>
      <w:marRight w:val="0"/>
      <w:marTop w:val="0"/>
      <w:marBottom w:val="0"/>
      <w:divBdr>
        <w:top w:val="none" w:sz="0" w:space="0" w:color="auto"/>
        <w:left w:val="none" w:sz="0" w:space="0" w:color="auto"/>
        <w:bottom w:val="none" w:sz="0" w:space="0" w:color="auto"/>
        <w:right w:val="none" w:sz="0" w:space="0" w:color="auto"/>
      </w:divBdr>
    </w:div>
    <w:div w:id="1579636388">
      <w:bodyDiv w:val="1"/>
      <w:marLeft w:val="0"/>
      <w:marRight w:val="0"/>
      <w:marTop w:val="0"/>
      <w:marBottom w:val="0"/>
      <w:divBdr>
        <w:top w:val="none" w:sz="0" w:space="0" w:color="auto"/>
        <w:left w:val="none" w:sz="0" w:space="0" w:color="auto"/>
        <w:bottom w:val="none" w:sz="0" w:space="0" w:color="auto"/>
        <w:right w:val="none" w:sz="0" w:space="0" w:color="auto"/>
      </w:divBdr>
    </w:div>
    <w:div w:id="1579947275">
      <w:bodyDiv w:val="1"/>
      <w:marLeft w:val="0"/>
      <w:marRight w:val="0"/>
      <w:marTop w:val="0"/>
      <w:marBottom w:val="0"/>
      <w:divBdr>
        <w:top w:val="none" w:sz="0" w:space="0" w:color="auto"/>
        <w:left w:val="none" w:sz="0" w:space="0" w:color="auto"/>
        <w:bottom w:val="none" w:sz="0" w:space="0" w:color="auto"/>
        <w:right w:val="none" w:sz="0" w:space="0" w:color="auto"/>
      </w:divBdr>
    </w:div>
    <w:div w:id="1580287222">
      <w:bodyDiv w:val="1"/>
      <w:marLeft w:val="0"/>
      <w:marRight w:val="0"/>
      <w:marTop w:val="0"/>
      <w:marBottom w:val="0"/>
      <w:divBdr>
        <w:top w:val="none" w:sz="0" w:space="0" w:color="auto"/>
        <w:left w:val="none" w:sz="0" w:space="0" w:color="auto"/>
        <w:bottom w:val="none" w:sz="0" w:space="0" w:color="auto"/>
        <w:right w:val="none" w:sz="0" w:space="0" w:color="auto"/>
      </w:divBdr>
    </w:div>
    <w:div w:id="1583101461">
      <w:bodyDiv w:val="1"/>
      <w:marLeft w:val="0"/>
      <w:marRight w:val="0"/>
      <w:marTop w:val="0"/>
      <w:marBottom w:val="0"/>
      <w:divBdr>
        <w:top w:val="none" w:sz="0" w:space="0" w:color="auto"/>
        <w:left w:val="none" w:sz="0" w:space="0" w:color="auto"/>
        <w:bottom w:val="none" w:sz="0" w:space="0" w:color="auto"/>
        <w:right w:val="none" w:sz="0" w:space="0" w:color="auto"/>
      </w:divBdr>
    </w:div>
    <w:div w:id="1583371653">
      <w:bodyDiv w:val="1"/>
      <w:marLeft w:val="0"/>
      <w:marRight w:val="0"/>
      <w:marTop w:val="0"/>
      <w:marBottom w:val="0"/>
      <w:divBdr>
        <w:top w:val="none" w:sz="0" w:space="0" w:color="auto"/>
        <w:left w:val="none" w:sz="0" w:space="0" w:color="auto"/>
        <w:bottom w:val="none" w:sz="0" w:space="0" w:color="auto"/>
        <w:right w:val="none" w:sz="0" w:space="0" w:color="auto"/>
      </w:divBdr>
    </w:div>
    <w:div w:id="1583682836">
      <w:bodyDiv w:val="1"/>
      <w:marLeft w:val="0"/>
      <w:marRight w:val="0"/>
      <w:marTop w:val="0"/>
      <w:marBottom w:val="0"/>
      <w:divBdr>
        <w:top w:val="none" w:sz="0" w:space="0" w:color="auto"/>
        <w:left w:val="none" w:sz="0" w:space="0" w:color="auto"/>
        <w:bottom w:val="none" w:sz="0" w:space="0" w:color="auto"/>
        <w:right w:val="none" w:sz="0" w:space="0" w:color="auto"/>
      </w:divBdr>
    </w:div>
    <w:div w:id="1584290594">
      <w:bodyDiv w:val="1"/>
      <w:marLeft w:val="0"/>
      <w:marRight w:val="0"/>
      <w:marTop w:val="0"/>
      <w:marBottom w:val="0"/>
      <w:divBdr>
        <w:top w:val="none" w:sz="0" w:space="0" w:color="auto"/>
        <w:left w:val="none" w:sz="0" w:space="0" w:color="auto"/>
        <w:bottom w:val="none" w:sz="0" w:space="0" w:color="auto"/>
        <w:right w:val="none" w:sz="0" w:space="0" w:color="auto"/>
      </w:divBdr>
    </w:div>
    <w:div w:id="1584298860">
      <w:bodyDiv w:val="1"/>
      <w:marLeft w:val="0"/>
      <w:marRight w:val="0"/>
      <w:marTop w:val="0"/>
      <w:marBottom w:val="0"/>
      <w:divBdr>
        <w:top w:val="none" w:sz="0" w:space="0" w:color="auto"/>
        <w:left w:val="none" w:sz="0" w:space="0" w:color="auto"/>
        <w:bottom w:val="none" w:sz="0" w:space="0" w:color="auto"/>
        <w:right w:val="none" w:sz="0" w:space="0" w:color="auto"/>
      </w:divBdr>
    </w:div>
    <w:div w:id="1586038766">
      <w:bodyDiv w:val="1"/>
      <w:marLeft w:val="0"/>
      <w:marRight w:val="0"/>
      <w:marTop w:val="0"/>
      <w:marBottom w:val="0"/>
      <w:divBdr>
        <w:top w:val="none" w:sz="0" w:space="0" w:color="auto"/>
        <w:left w:val="none" w:sz="0" w:space="0" w:color="auto"/>
        <w:bottom w:val="none" w:sz="0" w:space="0" w:color="auto"/>
        <w:right w:val="none" w:sz="0" w:space="0" w:color="auto"/>
      </w:divBdr>
    </w:div>
    <w:div w:id="1586647313">
      <w:bodyDiv w:val="1"/>
      <w:marLeft w:val="0"/>
      <w:marRight w:val="0"/>
      <w:marTop w:val="0"/>
      <w:marBottom w:val="0"/>
      <w:divBdr>
        <w:top w:val="none" w:sz="0" w:space="0" w:color="auto"/>
        <w:left w:val="none" w:sz="0" w:space="0" w:color="auto"/>
        <w:bottom w:val="none" w:sz="0" w:space="0" w:color="auto"/>
        <w:right w:val="none" w:sz="0" w:space="0" w:color="auto"/>
      </w:divBdr>
    </w:div>
    <w:div w:id="1587569051">
      <w:bodyDiv w:val="1"/>
      <w:marLeft w:val="0"/>
      <w:marRight w:val="0"/>
      <w:marTop w:val="0"/>
      <w:marBottom w:val="0"/>
      <w:divBdr>
        <w:top w:val="none" w:sz="0" w:space="0" w:color="auto"/>
        <w:left w:val="none" w:sz="0" w:space="0" w:color="auto"/>
        <w:bottom w:val="none" w:sz="0" w:space="0" w:color="auto"/>
        <w:right w:val="none" w:sz="0" w:space="0" w:color="auto"/>
      </w:divBdr>
    </w:div>
    <w:div w:id="1587688715">
      <w:bodyDiv w:val="1"/>
      <w:marLeft w:val="0"/>
      <w:marRight w:val="0"/>
      <w:marTop w:val="0"/>
      <w:marBottom w:val="0"/>
      <w:divBdr>
        <w:top w:val="none" w:sz="0" w:space="0" w:color="auto"/>
        <w:left w:val="none" w:sz="0" w:space="0" w:color="auto"/>
        <w:bottom w:val="none" w:sz="0" w:space="0" w:color="auto"/>
        <w:right w:val="none" w:sz="0" w:space="0" w:color="auto"/>
      </w:divBdr>
    </w:div>
    <w:div w:id="1587760388">
      <w:bodyDiv w:val="1"/>
      <w:marLeft w:val="0"/>
      <w:marRight w:val="0"/>
      <w:marTop w:val="0"/>
      <w:marBottom w:val="0"/>
      <w:divBdr>
        <w:top w:val="none" w:sz="0" w:space="0" w:color="auto"/>
        <w:left w:val="none" w:sz="0" w:space="0" w:color="auto"/>
        <w:bottom w:val="none" w:sz="0" w:space="0" w:color="auto"/>
        <w:right w:val="none" w:sz="0" w:space="0" w:color="auto"/>
      </w:divBdr>
    </w:div>
    <w:div w:id="1589339974">
      <w:bodyDiv w:val="1"/>
      <w:marLeft w:val="0"/>
      <w:marRight w:val="0"/>
      <w:marTop w:val="0"/>
      <w:marBottom w:val="0"/>
      <w:divBdr>
        <w:top w:val="none" w:sz="0" w:space="0" w:color="auto"/>
        <w:left w:val="none" w:sz="0" w:space="0" w:color="auto"/>
        <w:bottom w:val="none" w:sz="0" w:space="0" w:color="auto"/>
        <w:right w:val="none" w:sz="0" w:space="0" w:color="auto"/>
      </w:divBdr>
    </w:div>
    <w:div w:id="1589537412">
      <w:bodyDiv w:val="1"/>
      <w:marLeft w:val="0"/>
      <w:marRight w:val="0"/>
      <w:marTop w:val="0"/>
      <w:marBottom w:val="0"/>
      <w:divBdr>
        <w:top w:val="none" w:sz="0" w:space="0" w:color="auto"/>
        <w:left w:val="none" w:sz="0" w:space="0" w:color="auto"/>
        <w:bottom w:val="none" w:sz="0" w:space="0" w:color="auto"/>
        <w:right w:val="none" w:sz="0" w:space="0" w:color="auto"/>
      </w:divBdr>
    </w:div>
    <w:div w:id="1591157964">
      <w:bodyDiv w:val="1"/>
      <w:marLeft w:val="0"/>
      <w:marRight w:val="0"/>
      <w:marTop w:val="0"/>
      <w:marBottom w:val="0"/>
      <w:divBdr>
        <w:top w:val="none" w:sz="0" w:space="0" w:color="auto"/>
        <w:left w:val="none" w:sz="0" w:space="0" w:color="auto"/>
        <w:bottom w:val="none" w:sz="0" w:space="0" w:color="auto"/>
        <w:right w:val="none" w:sz="0" w:space="0" w:color="auto"/>
      </w:divBdr>
    </w:div>
    <w:div w:id="1591888775">
      <w:bodyDiv w:val="1"/>
      <w:marLeft w:val="0"/>
      <w:marRight w:val="0"/>
      <w:marTop w:val="0"/>
      <w:marBottom w:val="0"/>
      <w:divBdr>
        <w:top w:val="none" w:sz="0" w:space="0" w:color="auto"/>
        <w:left w:val="none" w:sz="0" w:space="0" w:color="auto"/>
        <w:bottom w:val="none" w:sz="0" w:space="0" w:color="auto"/>
        <w:right w:val="none" w:sz="0" w:space="0" w:color="auto"/>
      </w:divBdr>
    </w:div>
    <w:div w:id="1592855449">
      <w:bodyDiv w:val="1"/>
      <w:marLeft w:val="0"/>
      <w:marRight w:val="0"/>
      <w:marTop w:val="0"/>
      <w:marBottom w:val="0"/>
      <w:divBdr>
        <w:top w:val="none" w:sz="0" w:space="0" w:color="auto"/>
        <w:left w:val="none" w:sz="0" w:space="0" w:color="auto"/>
        <w:bottom w:val="none" w:sz="0" w:space="0" w:color="auto"/>
        <w:right w:val="none" w:sz="0" w:space="0" w:color="auto"/>
      </w:divBdr>
    </w:div>
    <w:div w:id="1594319161">
      <w:bodyDiv w:val="1"/>
      <w:marLeft w:val="0"/>
      <w:marRight w:val="0"/>
      <w:marTop w:val="0"/>
      <w:marBottom w:val="0"/>
      <w:divBdr>
        <w:top w:val="none" w:sz="0" w:space="0" w:color="auto"/>
        <w:left w:val="none" w:sz="0" w:space="0" w:color="auto"/>
        <w:bottom w:val="none" w:sz="0" w:space="0" w:color="auto"/>
        <w:right w:val="none" w:sz="0" w:space="0" w:color="auto"/>
      </w:divBdr>
    </w:div>
    <w:div w:id="1594973857">
      <w:bodyDiv w:val="1"/>
      <w:marLeft w:val="0"/>
      <w:marRight w:val="0"/>
      <w:marTop w:val="0"/>
      <w:marBottom w:val="0"/>
      <w:divBdr>
        <w:top w:val="none" w:sz="0" w:space="0" w:color="auto"/>
        <w:left w:val="none" w:sz="0" w:space="0" w:color="auto"/>
        <w:bottom w:val="none" w:sz="0" w:space="0" w:color="auto"/>
        <w:right w:val="none" w:sz="0" w:space="0" w:color="auto"/>
      </w:divBdr>
    </w:div>
    <w:div w:id="1594977427">
      <w:bodyDiv w:val="1"/>
      <w:marLeft w:val="0"/>
      <w:marRight w:val="0"/>
      <w:marTop w:val="0"/>
      <w:marBottom w:val="0"/>
      <w:divBdr>
        <w:top w:val="none" w:sz="0" w:space="0" w:color="auto"/>
        <w:left w:val="none" w:sz="0" w:space="0" w:color="auto"/>
        <w:bottom w:val="none" w:sz="0" w:space="0" w:color="auto"/>
        <w:right w:val="none" w:sz="0" w:space="0" w:color="auto"/>
      </w:divBdr>
    </w:div>
    <w:div w:id="1595162166">
      <w:bodyDiv w:val="1"/>
      <w:marLeft w:val="0"/>
      <w:marRight w:val="0"/>
      <w:marTop w:val="0"/>
      <w:marBottom w:val="0"/>
      <w:divBdr>
        <w:top w:val="none" w:sz="0" w:space="0" w:color="auto"/>
        <w:left w:val="none" w:sz="0" w:space="0" w:color="auto"/>
        <w:bottom w:val="none" w:sz="0" w:space="0" w:color="auto"/>
        <w:right w:val="none" w:sz="0" w:space="0" w:color="auto"/>
      </w:divBdr>
    </w:div>
    <w:div w:id="1595166082">
      <w:bodyDiv w:val="1"/>
      <w:marLeft w:val="0"/>
      <w:marRight w:val="0"/>
      <w:marTop w:val="0"/>
      <w:marBottom w:val="0"/>
      <w:divBdr>
        <w:top w:val="none" w:sz="0" w:space="0" w:color="auto"/>
        <w:left w:val="none" w:sz="0" w:space="0" w:color="auto"/>
        <w:bottom w:val="none" w:sz="0" w:space="0" w:color="auto"/>
        <w:right w:val="none" w:sz="0" w:space="0" w:color="auto"/>
      </w:divBdr>
    </w:div>
    <w:div w:id="1597666296">
      <w:bodyDiv w:val="1"/>
      <w:marLeft w:val="0"/>
      <w:marRight w:val="0"/>
      <w:marTop w:val="0"/>
      <w:marBottom w:val="0"/>
      <w:divBdr>
        <w:top w:val="none" w:sz="0" w:space="0" w:color="auto"/>
        <w:left w:val="none" w:sz="0" w:space="0" w:color="auto"/>
        <w:bottom w:val="none" w:sz="0" w:space="0" w:color="auto"/>
        <w:right w:val="none" w:sz="0" w:space="0" w:color="auto"/>
      </w:divBdr>
    </w:div>
    <w:div w:id="1597980531">
      <w:bodyDiv w:val="1"/>
      <w:marLeft w:val="0"/>
      <w:marRight w:val="0"/>
      <w:marTop w:val="0"/>
      <w:marBottom w:val="0"/>
      <w:divBdr>
        <w:top w:val="none" w:sz="0" w:space="0" w:color="auto"/>
        <w:left w:val="none" w:sz="0" w:space="0" w:color="auto"/>
        <w:bottom w:val="none" w:sz="0" w:space="0" w:color="auto"/>
        <w:right w:val="none" w:sz="0" w:space="0" w:color="auto"/>
      </w:divBdr>
    </w:div>
    <w:div w:id="1598832732">
      <w:bodyDiv w:val="1"/>
      <w:marLeft w:val="0"/>
      <w:marRight w:val="0"/>
      <w:marTop w:val="0"/>
      <w:marBottom w:val="0"/>
      <w:divBdr>
        <w:top w:val="none" w:sz="0" w:space="0" w:color="auto"/>
        <w:left w:val="none" w:sz="0" w:space="0" w:color="auto"/>
        <w:bottom w:val="none" w:sz="0" w:space="0" w:color="auto"/>
        <w:right w:val="none" w:sz="0" w:space="0" w:color="auto"/>
      </w:divBdr>
    </w:div>
    <w:div w:id="1599635099">
      <w:bodyDiv w:val="1"/>
      <w:marLeft w:val="0"/>
      <w:marRight w:val="0"/>
      <w:marTop w:val="0"/>
      <w:marBottom w:val="0"/>
      <w:divBdr>
        <w:top w:val="none" w:sz="0" w:space="0" w:color="auto"/>
        <w:left w:val="none" w:sz="0" w:space="0" w:color="auto"/>
        <w:bottom w:val="none" w:sz="0" w:space="0" w:color="auto"/>
        <w:right w:val="none" w:sz="0" w:space="0" w:color="auto"/>
      </w:divBdr>
    </w:div>
    <w:div w:id="1599948442">
      <w:bodyDiv w:val="1"/>
      <w:marLeft w:val="0"/>
      <w:marRight w:val="0"/>
      <w:marTop w:val="0"/>
      <w:marBottom w:val="0"/>
      <w:divBdr>
        <w:top w:val="none" w:sz="0" w:space="0" w:color="auto"/>
        <w:left w:val="none" w:sz="0" w:space="0" w:color="auto"/>
        <w:bottom w:val="none" w:sz="0" w:space="0" w:color="auto"/>
        <w:right w:val="none" w:sz="0" w:space="0" w:color="auto"/>
      </w:divBdr>
    </w:div>
    <w:div w:id="1600065924">
      <w:bodyDiv w:val="1"/>
      <w:marLeft w:val="0"/>
      <w:marRight w:val="0"/>
      <w:marTop w:val="0"/>
      <w:marBottom w:val="0"/>
      <w:divBdr>
        <w:top w:val="none" w:sz="0" w:space="0" w:color="auto"/>
        <w:left w:val="none" w:sz="0" w:space="0" w:color="auto"/>
        <w:bottom w:val="none" w:sz="0" w:space="0" w:color="auto"/>
        <w:right w:val="none" w:sz="0" w:space="0" w:color="auto"/>
      </w:divBdr>
    </w:div>
    <w:div w:id="1601137093">
      <w:bodyDiv w:val="1"/>
      <w:marLeft w:val="0"/>
      <w:marRight w:val="0"/>
      <w:marTop w:val="0"/>
      <w:marBottom w:val="0"/>
      <w:divBdr>
        <w:top w:val="none" w:sz="0" w:space="0" w:color="auto"/>
        <w:left w:val="none" w:sz="0" w:space="0" w:color="auto"/>
        <w:bottom w:val="none" w:sz="0" w:space="0" w:color="auto"/>
        <w:right w:val="none" w:sz="0" w:space="0" w:color="auto"/>
      </w:divBdr>
    </w:div>
    <w:div w:id="1602490638">
      <w:bodyDiv w:val="1"/>
      <w:marLeft w:val="0"/>
      <w:marRight w:val="0"/>
      <w:marTop w:val="0"/>
      <w:marBottom w:val="0"/>
      <w:divBdr>
        <w:top w:val="none" w:sz="0" w:space="0" w:color="auto"/>
        <w:left w:val="none" w:sz="0" w:space="0" w:color="auto"/>
        <w:bottom w:val="none" w:sz="0" w:space="0" w:color="auto"/>
        <w:right w:val="none" w:sz="0" w:space="0" w:color="auto"/>
      </w:divBdr>
    </w:div>
    <w:div w:id="1603033552">
      <w:bodyDiv w:val="1"/>
      <w:marLeft w:val="0"/>
      <w:marRight w:val="0"/>
      <w:marTop w:val="0"/>
      <w:marBottom w:val="0"/>
      <w:divBdr>
        <w:top w:val="none" w:sz="0" w:space="0" w:color="auto"/>
        <w:left w:val="none" w:sz="0" w:space="0" w:color="auto"/>
        <w:bottom w:val="none" w:sz="0" w:space="0" w:color="auto"/>
        <w:right w:val="none" w:sz="0" w:space="0" w:color="auto"/>
      </w:divBdr>
    </w:div>
    <w:div w:id="1603562937">
      <w:bodyDiv w:val="1"/>
      <w:marLeft w:val="0"/>
      <w:marRight w:val="0"/>
      <w:marTop w:val="0"/>
      <w:marBottom w:val="0"/>
      <w:divBdr>
        <w:top w:val="none" w:sz="0" w:space="0" w:color="auto"/>
        <w:left w:val="none" w:sz="0" w:space="0" w:color="auto"/>
        <w:bottom w:val="none" w:sz="0" w:space="0" w:color="auto"/>
        <w:right w:val="none" w:sz="0" w:space="0" w:color="auto"/>
      </w:divBdr>
    </w:div>
    <w:div w:id="1604338165">
      <w:bodyDiv w:val="1"/>
      <w:marLeft w:val="0"/>
      <w:marRight w:val="0"/>
      <w:marTop w:val="0"/>
      <w:marBottom w:val="0"/>
      <w:divBdr>
        <w:top w:val="none" w:sz="0" w:space="0" w:color="auto"/>
        <w:left w:val="none" w:sz="0" w:space="0" w:color="auto"/>
        <w:bottom w:val="none" w:sz="0" w:space="0" w:color="auto"/>
        <w:right w:val="none" w:sz="0" w:space="0" w:color="auto"/>
      </w:divBdr>
    </w:div>
    <w:div w:id="1605531017">
      <w:bodyDiv w:val="1"/>
      <w:marLeft w:val="0"/>
      <w:marRight w:val="0"/>
      <w:marTop w:val="0"/>
      <w:marBottom w:val="0"/>
      <w:divBdr>
        <w:top w:val="none" w:sz="0" w:space="0" w:color="auto"/>
        <w:left w:val="none" w:sz="0" w:space="0" w:color="auto"/>
        <w:bottom w:val="none" w:sz="0" w:space="0" w:color="auto"/>
        <w:right w:val="none" w:sz="0" w:space="0" w:color="auto"/>
      </w:divBdr>
    </w:div>
    <w:div w:id="1605962781">
      <w:bodyDiv w:val="1"/>
      <w:marLeft w:val="0"/>
      <w:marRight w:val="0"/>
      <w:marTop w:val="0"/>
      <w:marBottom w:val="0"/>
      <w:divBdr>
        <w:top w:val="none" w:sz="0" w:space="0" w:color="auto"/>
        <w:left w:val="none" w:sz="0" w:space="0" w:color="auto"/>
        <w:bottom w:val="none" w:sz="0" w:space="0" w:color="auto"/>
        <w:right w:val="none" w:sz="0" w:space="0" w:color="auto"/>
      </w:divBdr>
    </w:div>
    <w:div w:id="1606772284">
      <w:bodyDiv w:val="1"/>
      <w:marLeft w:val="0"/>
      <w:marRight w:val="0"/>
      <w:marTop w:val="0"/>
      <w:marBottom w:val="0"/>
      <w:divBdr>
        <w:top w:val="none" w:sz="0" w:space="0" w:color="auto"/>
        <w:left w:val="none" w:sz="0" w:space="0" w:color="auto"/>
        <w:bottom w:val="none" w:sz="0" w:space="0" w:color="auto"/>
        <w:right w:val="none" w:sz="0" w:space="0" w:color="auto"/>
      </w:divBdr>
    </w:div>
    <w:div w:id="1608660588">
      <w:bodyDiv w:val="1"/>
      <w:marLeft w:val="0"/>
      <w:marRight w:val="0"/>
      <w:marTop w:val="0"/>
      <w:marBottom w:val="0"/>
      <w:divBdr>
        <w:top w:val="none" w:sz="0" w:space="0" w:color="auto"/>
        <w:left w:val="none" w:sz="0" w:space="0" w:color="auto"/>
        <w:bottom w:val="none" w:sz="0" w:space="0" w:color="auto"/>
        <w:right w:val="none" w:sz="0" w:space="0" w:color="auto"/>
      </w:divBdr>
    </w:div>
    <w:div w:id="1609040560">
      <w:bodyDiv w:val="1"/>
      <w:marLeft w:val="0"/>
      <w:marRight w:val="0"/>
      <w:marTop w:val="0"/>
      <w:marBottom w:val="0"/>
      <w:divBdr>
        <w:top w:val="none" w:sz="0" w:space="0" w:color="auto"/>
        <w:left w:val="none" w:sz="0" w:space="0" w:color="auto"/>
        <w:bottom w:val="none" w:sz="0" w:space="0" w:color="auto"/>
        <w:right w:val="none" w:sz="0" w:space="0" w:color="auto"/>
      </w:divBdr>
    </w:div>
    <w:div w:id="1609117554">
      <w:bodyDiv w:val="1"/>
      <w:marLeft w:val="0"/>
      <w:marRight w:val="0"/>
      <w:marTop w:val="0"/>
      <w:marBottom w:val="0"/>
      <w:divBdr>
        <w:top w:val="none" w:sz="0" w:space="0" w:color="auto"/>
        <w:left w:val="none" w:sz="0" w:space="0" w:color="auto"/>
        <w:bottom w:val="none" w:sz="0" w:space="0" w:color="auto"/>
        <w:right w:val="none" w:sz="0" w:space="0" w:color="auto"/>
      </w:divBdr>
    </w:div>
    <w:div w:id="1609388004">
      <w:bodyDiv w:val="1"/>
      <w:marLeft w:val="0"/>
      <w:marRight w:val="0"/>
      <w:marTop w:val="0"/>
      <w:marBottom w:val="0"/>
      <w:divBdr>
        <w:top w:val="none" w:sz="0" w:space="0" w:color="auto"/>
        <w:left w:val="none" w:sz="0" w:space="0" w:color="auto"/>
        <w:bottom w:val="none" w:sz="0" w:space="0" w:color="auto"/>
        <w:right w:val="none" w:sz="0" w:space="0" w:color="auto"/>
      </w:divBdr>
    </w:div>
    <w:div w:id="1609390717">
      <w:bodyDiv w:val="1"/>
      <w:marLeft w:val="0"/>
      <w:marRight w:val="0"/>
      <w:marTop w:val="0"/>
      <w:marBottom w:val="0"/>
      <w:divBdr>
        <w:top w:val="none" w:sz="0" w:space="0" w:color="auto"/>
        <w:left w:val="none" w:sz="0" w:space="0" w:color="auto"/>
        <w:bottom w:val="none" w:sz="0" w:space="0" w:color="auto"/>
        <w:right w:val="none" w:sz="0" w:space="0" w:color="auto"/>
      </w:divBdr>
    </w:div>
    <w:div w:id="1609855291">
      <w:bodyDiv w:val="1"/>
      <w:marLeft w:val="0"/>
      <w:marRight w:val="0"/>
      <w:marTop w:val="0"/>
      <w:marBottom w:val="0"/>
      <w:divBdr>
        <w:top w:val="none" w:sz="0" w:space="0" w:color="auto"/>
        <w:left w:val="none" w:sz="0" w:space="0" w:color="auto"/>
        <w:bottom w:val="none" w:sz="0" w:space="0" w:color="auto"/>
        <w:right w:val="none" w:sz="0" w:space="0" w:color="auto"/>
      </w:divBdr>
    </w:div>
    <w:div w:id="1610312134">
      <w:bodyDiv w:val="1"/>
      <w:marLeft w:val="0"/>
      <w:marRight w:val="0"/>
      <w:marTop w:val="0"/>
      <w:marBottom w:val="0"/>
      <w:divBdr>
        <w:top w:val="none" w:sz="0" w:space="0" w:color="auto"/>
        <w:left w:val="none" w:sz="0" w:space="0" w:color="auto"/>
        <w:bottom w:val="none" w:sz="0" w:space="0" w:color="auto"/>
        <w:right w:val="none" w:sz="0" w:space="0" w:color="auto"/>
      </w:divBdr>
    </w:div>
    <w:div w:id="1610819195">
      <w:bodyDiv w:val="1"/>
      <w:marLeft w:val="0"/>
      <w:marRight w:val="0"/>
      <w:marTop w:val="0"/>
      <w:marBottom w:val="0"/>
      <w:divBdr>
        <w:top w:val="none" w:sz="0" w:space="0" w:color="auto"/>
        <w:left w:val="none" w:sz="0" w:space="0" w:color="auto"/>
        <w:bottom w:val="none" w:sz="0" w:space="0" w:color="auto"/>
        <w:right w:val="none" w:sz="0" w:space="0" w:color="auto"/>
      </w:divBdr>
    </w:div>
    <w:div w:id="1610821299">
      <w:bodyDiv w:val="1"/>
      <w:marLeft w:val="0"/>
      <w:marRight w:val="0"/>
      <w:marTop w:val="0"/>
      <w:marBottom w:val="0"/>
      <w:divBdr>
        <w:top w:val="none" w:sz="0" w:space="0" w:color="auto"/>
        <w:left w:val="none" w:sz="0" w:space="0" w:color="auto"/>
        <w:bottom w:val="none" w:sz="0" w:space="0" w:color="auto"/>
        <w:right w:val="none" w:sz="0" w:space="0" w:color="auto"/>
      </w:divBdr>
    </w:div>
    <w:div w:id="1611232206">
      <w:bodyDiv w:val="1"/>
      <w:marLeft w:val="0"/>
      <w:marRight w:val="0"/>
      <w:marTop w:val="0"/>
      <w:marBottom w:val="0"/>
      <w:divBdr>
        <w:top w:val="none" w:sz="0" w:space="0" w:color="auto"/>
        <w:left w:val="none" w:sz="0" w:space="0" w:color="auto"/>
        <w:bottom w:val="none" w:sz="0" w:space="0" w:color="auto"/>
        <w:right w:val="none" w:sz="0" w:space="0" w:color="auto"/>
      </w:divBdr>
    </w:div>
    <w:div w:id="1611429113">
      <w:bodyDiv w:val="1"/>
      <w:marLeft w:val="0"/>
      <w:marRight w:val="0"/>
      <w:marTop w:val="0"/>
      <w:marBottom w:val="0"/>
      <w:divBdr>
        <w:top w:val="none" w:sz="0" w:space="0" w:color="auto"/>
        <w:left w:val="none" w:sz="0" w:space="0" w:color="auto"/>
        <w:bottom w:val="none" w:sz="0" w:space="0" w:color="auto"/>
        <w:right w:val="none" w:sz="0" w:space="0" w:color="auto"/>
      </w:divBdr>
    </w:div>
    <w:div w:id="1611737655">
      <w:bodyDiv w:val="1"/>
      <w:marLeft w:val="0"/>
      <w:marRight w:val="0"/>
      <w:marTop w:val="0"/>
      <w:marBottom w:val="0"/>
      <w:divBdr>
        <w:top w:val="none" w:sz="0" w:space="0" w:color="auto"/>
        <w:left w:val="none" w:sz="0" w:space="0" w:color="auto"/>
        <w:bottom w:val="none" w:sz="0" w:space="0" w:color="auto"/>
        <w:right w:val="none" w:sz="0" w:space="0" w:color="auto"/>
      </w:divBdr>
    </w:div>
    <w:div w:id="1611859176">
      <w:bodyDiv w:val="1"/>
      <w:marLeft w:val="0"/>
      <w:marRight w:val="0"/>
      <w:marTop w:val="0"/>
      <w:marBottom w:val="0"/>
      <w:divBdr>
        <w:top w:val="none" w:sz="0" w:space="0" w:color="auto"/>
        <w:left w:val="none" w:sz="0" w:space="0" w:color="auto"/>
        <w:bottom w:val="none" w:sz="0" w:space="0" w:color="auto"/>
        <w:right w:val="none" w:sz="0" w:space="0" w:color="auto"/>
      </w:divBdr>
    </w:div>
    <w:div w:id="1612004817">
      <w:bodyDiv w:val="1"/>
      <w:marLeft w:val="0"/>
      <w:marRight w:val="0"/>
      <w:marTop w:val="0"/>
      <w:marBottom w:val="0"/>
      <w:divBdr>
        <w:top w:val="none" w:sz="0" w:space="0" w:color="auto"/>
        <w:left w:val="none" w:sz="0" w:space="0" w:color="auto"/>
        <w:bottom w:val="none" w:sz="0" w:space="0" w:color="auto"/>
        <w:right w:val="none" w:sz="0" w:space="0" w:color="auto"/>
      </w:divBdr>
    </w:div>
    <w:div w:id="1613320831">
      <w:bodyDiv w:val="1"/>
      <w:marLeft w:val="0"/>
      <w:marRight w:val="0"/>
      <w:marTop w:val="0"/>
      <w:marBottom w:val="0"/>
      <w:divBdr>
        <w:top w:val="none" w:sz="0" w:space="0" w:color="auto"/>
        <w:left w:val="none" w:sz="0" w:space="0" w:color="auto"/>
        <w:bottom w:val="none" w:sz="0" w:space="0" w:color="auto"/>
        <w:right w:val="none" w:sz="0" w:space="0" w:color="auto"/>
      </w:divBdr>
    </w:div>
    <w:div w:id="1613895546">
      <w:bodyDiv w:val="1"/>
      <w:marLeft w:val="0"/>
      <w:marRight w:val="0"/>
      <w:marTop w:val="0"/>
      <w:marBottom w:val="0"/>
      <w:divBdr>
        <w:top w:val="none" w:sz="0" w:space="0" w:color="auto"/>
        <w:left w:val="none" w:sz="0" w:space="0" w:color="auto"/>
        <w:bottom w:val="none" w:sz="0" w:space="0" w:color="auto"/>
        <w:right w:val="none" w:sz="0" w:space="0" w:color="auto"/>
      </w:divBdr>
    </w:div>
    <w:div w:id="1615163532">
      <w:bodyDiv w:val="1"/>
      <w:marLeft w:val="0"/>
      <w:marRight w:val="0"/>
      <w:marTop w:val="0"/>
      <w:marBottom w:val="0"/>
      <w:divBdr>
        <w:top w:val="none" w:sz="0" w:space="0" w:color="auto"/>
        <w:left w:val="none" w:sz="0" w:space="0" w:color="auto"/>
        <w:bottom w:val="none" w:sz="0" w:space="0" w:color="auto"/>
        <w:right w:val="none" w:sz="0" w:space="0" w:color="auto"/>
      </w:divBdr>
    </w:div>
    <w:div w:id="1615163947">
      <w:bodyDiv w:val="1"/>
      <w:marLeft w:val="0"/>
      <w:marRight w:val="0"/>
      <w:marTop w:val="0"/>
      <w:marBottom w:val="0"/>
      <w:divBdr>
        <w:top w:val="none" w:sz="0" w:space="0" w:color="auto"/>
        <w:left w:val="none" w:sz="0" w:space="0" w:color="auto"/>
        <w:bottom w:val="none" w:sz="0" w:space="0" w:color="auto"/>
        <w:right w:val="none" w:sz="0" w:space="0" w:color="auto"/>
      </w:divBdr>
    </w:div>
    <w:div w:id="1615822543">
      <w:bodyDiv w:val="1"/>
      <w:marLeft w:val="0"/>
      <w:marRight w:val="0"/>
      <w:marTop w:val="0"/>
      <w:marBottom w:val="0"/>
      <w:divBdr>
        <w:top w:val="none" w:sz="0" w:space="0" w:color="auto"/>
        <w:left w:val="none" w:sz="0" w:space="0" w:color="auto"/>
        <w:bottom w:val="none" w:sz="0" w:space="0" w:color="auto"/>
        <w:right w:val="none" w:sz="0" w:space="0" w:color="auto"/>
      </w:divBdr>
    </w:div>
    <w:div w:id="1616135931">
      <w:bodyDiv w:val="1"/>
      <w:marLeft w:val="0"/>
      <w:marRight w:val="0"/>
      <w:marTop w:val="0"/>
      <w:marBottom w:val="0"/>
      <w:divBdr>
        <w:top w:val="none" w:sz="0" w:space="0" w:color="auto"/>
        <w:left w:val="none" w:sz="0" w:space="0" w:color="auto"/>
        <w:bottom w:val="none" w:sz="0" w:space="0" w:color="auto"/>
        <w:right w:val="none" w:sz="0" w:space="0" w:color="auto"/>
      </w:divBdr>
    </w:div>
    <w:div w:id="1616981640">
      <w:bodyDiv w:val="1"/>
      <w:marLeft w:val="0"/>
      <w:marRight w:val="0"/>
      <w:marTop w:val="0"/>
      <w:marBottom w:val="0"/>
      <w:divBdr>
        <w:top w:val="none" w:sz="0" w:space="0" w:color="auto"/>
        <w:left w:val="none" w:sz="0" w:space="0" w:color="auto"/>
        <w:bottom w:val="none" w:sz="0" w:space="0" w:color="auto"/>
        <w:right w:val="none" w:sz="0" w:space="0" w:color="auto"/>
      </w:divBdr>
    </w:div>
    <w:div w:id="1617054975">
      <w:bodyDiv w:val="1"/>
      <w:marLeft w:val="0"/>
      <w:marRight w:val="0"/>
      <w:marTop w:val="0"/>
      <w:marBottom w:val="0"/>
      <w:divBdr>
        <w:top w:val="none" w:sz="0" w:space="0" w:color="auto"/>
        <w:left w:val="none" w:sz="0" w:space="0" w:color="auto"/>
        <w:bottom w:val="none" w:sz="0" w:space="0" w:color="auto"/>
        <w:right w:val="none" w:sz="0" w:space="0" w:color="auto"/>
      </w:divBdr>
    </w:div>
    <w:div w:id="1617716610">
      <w:bodyDiv w:val="1"/>
      <w:marLeft w:val="0"/>
      <w:marRight w:val="0"/>
      <w:marTop w:val="0"/>
      <w:marBottom w:val="0"/>
      <w:divBdr>
        <w:top w:val="none" w:sz="0" w:space="0" w:color="auto"/>
        <w:left w:val="none" w:sz="0" w:space="0" w:color="auto"/>
        <w:bottom w:val="none" w:sz="0" w:space="0" w:color="auto"/>
        <w:right w:val="none" w:sz="0" w:space="0" w:color="auto"/>
      </w:divBdr>
    </w:div>
    <w:div w:id="1621915692">
      <w:bodyDiv w:val="1"/>
      <w:marLeft w:val="0"/>
      <w:marRight w:val="0"/>
      <w:marTop w:val="0"/>
      <w:marBottom w:val="0"/>
      <w:divBdr>
        <w:top w:val="none" w:sz="0" w:space="0" w:color="auto"/>
        <w:left w:val="none" w:sz="0" w:space="0" w:color="auto"/>
        <w:bottom w:val="none" w:sz="0" w:space="0" w:color="auto"/>
        <w:right w:val="none" w:sz="0" w:space="0" w:color="auto"/>
      </w:divBdr>
    </w:div>
    <w:div w:id="1622224174">
      <w:bodyDiv w:val="1"/>
      <w:marLeft w:val="0"/>
      <w:marRight w:val="0"/>
      <w:marTop w:val="0"/>
      <w:marBottom w:val="0"/>
      <w:divBdr>
        <w:top w:val="none" w:sz="0" w:space="0" w:color="auto"/>
        <w:left w:val="none" w:sz="0" w:space="0" w:color="auto"/>
        <w:bottom w:val="none" w:sz="0" w:space="0" w:color="auto"/>
        <w:right w:val="none" w:sz="0" w:space="0" w:color="auto"/>
      </w:divBdr>
    </w:div>
    <w:div w:id="1622683354">
      <w:bodyDiv w:val="1"/>
      <w:marLeft w:val="0"/>
      <w:marRight w:val="0"/>
      <w:marTop w:val="0"/>
      <w:marBottom w:val="0"/>
      <w:divBdr>
        <w:top w:val="none" w:sz="0" w:space="0" w:color="auto"/>
        <w:left w:val="none" w:sz="0" w:space="0" w:color="auto"/>
        <w:bottom w:val="none" w:sz="0" w:space="0" w:color="auto"/>
        <w:right w:val="none" w:sz="0" w:space="0" w:color="auto"/>
      </w:divBdr>
    </w:div>
    <w:div w:id="1622766263">
      <w:bodyDiv w:val="1"/>
      <w:marLeft w:val="0"/>
      <w:marRight w:val="0"/>
      <w:marTop w:val="0"/>
      <w:marBottom w:val="0"/>
      <w:divBdr>
        <w:top w:val="none" w:sz="0" w:space="0" w:color="auto"/>
        <w:left w:val="none" w:sz="0" w:space="0" w:color="auto"/>
        <w:bottom w:val="none" w:sz="0" w:space="0" w:color="auto"/>
        <w:right w:val="none" w:sz="0" w:space="0" w:color="auto"/>
      </w:divBdr>
    </w:div>
    <w:div w:id="1623153793">
      <w:bodyDiv w:val="1"/>
      <w:marLeft w:val="0"/>
      <w:marRight w:val="0"/>
      <w:marTop w:val="0"/>
      <w:marBottom w:val="0"/>
      <w:divBdr>
        <w:top w:val="none" w:sz="0" w:space="0" w:color="auto"/>
        <w:left w:val="none" w:sz="0" w:space="0" w:color="auto"/>
        <w:bottom w:val="none" w:sz="0" w:space="0" w:color="auto"/>
        <w:right w:val="none" w:sz="0" w:space="0" w:color="auto"/>
      </w:divBdr>
    </w:div>
    <w:div w:id="1623532004">
      <w:bodyDiv w:val="1"/>
      <w:marLeft w:val="0"/>
      <w:marRight w:val="0"/>
      <w:marTop w:val="0"/>
      <w:marBottom w:val="0"/>
      <w:divBdr>
        <w:top w:val="none" w:sz="0" w:space="0" w:color="auto"/>
        <w:left w:val="none" w:sz="0" w:space="0" w:color="auto"/>
        <w:bottom w:val="none" w:sz="0" w:space="0" w:color="auto"/>
        <w:right w:val="none" w:sz="0" w:space="0" w:color="auto"/>
      </w:divBdr>
    </w:div>
    <w:div w:id="1625505332">
      <w:bodyDiv w:val="1"/>
      <w:marLeft w:val="0"/>
      <w:marRight w:val="0"/>
      <w:marTop w:val="0"/>
      <w:marBottom w:val="0"/>
      <w:divBdr>
        <w:top w:val="none" w:sz="0" w:space="0" w:color="auto"/>
        <w:left w:val="none" w:sz="0" w:space="0" w:color="auto"/>
        <w:bottom w:val="none" w:sz="0" w:space="0" w:color="auto"/>
        <w:right w:val="none" w:sz="0" w:space="0" w:color="auto"/>
      </w:divBdr>
    </w:div>
    <w:div w:id="1625774525">
      <w:bodyDiv w:val="1"/>
      <w:marLeft w:val="0"/>
      <w:marRight w:val="0"/>
      <w:marTop w:val="0"/>
      <w:marBottom w:val="0"/>
      <w:divBdr>
        <w:top w:val="none" w:sz="0" w:space="0" w:color="auto"/>
        <w:left w:val="none" w:sz="0" w:space="0" w:color="auto"/>
        <w:bottom w:val="none" w:sz="0" w:space="0" w:color="auto"/>
        <w:right w:val="none" w:sz="0" w:space="0" w:color="auto"/>
      </w:divBdr>
    </w:div>
    <w:div w:id="1625844991">
      <w:bodyDiv w:val="1"/>
      <w:marLeft w:val="0"/>
      <w:marRight w:val="0"/>
      <w:marTop w:val="0"/>
      <w:marBottom w:val="0"/>
      <w:divBdr>
        <w:top w:val="none" w:sz="0" w:space="0" w:color="auto"/>
        <w:left w:val="none" w:sz="0" w:space="0" w:color="auto"/>
        <w:bottom w:val="none" w:sz="0" w:space="0" w:color="auto"/>
        <w:right w:val="none" w:sz="0" w:space="0" w:color="auto"/>
      </w:divBdr>
    </w:div>
    <w:div w:id="1626079990">
      <w:bodyDiv w:val="1"/>
      <w:marLeft w:val="0"/>
      <w:marRight w:val="0"/>
      <w:marTop w:val="0"/>
      <w:marBottom w:val="0"/>
      <w:divBdr>
        <w:top w:val="none" w:sz="0" w:space="0" w:color="auto"/>
        <w:left w:val="none" w:sz="0" w:space="0" w:color="auto"/>
        <w:bottom w:val="none" w:sz="0" w:space="0" w:color="auto"/>
        <w:right w:val="none" w:sz="0" w:space="0" w:color="auto"/>
      </w:divBdr>
    </w:div>
    <w:div w:id="1626421356">
      <w:bodyDiv w:val="1"/>
      <w:marLeft w:val="0"/>
      <w:marRight w:val="0"/>
      <w:marTop w:val="0"/>
      <w:marBottom w:val="0"/>
      <w:divBdr>
        <w:top w:val="none" w:sz="0" w:space="0" w:color="auto"/>
        <w:left w:val="none" w:sz="0" w:space="0" w:color="auto"/>
        <w:bottom w:val="none" w:sz="0" w:space="0" w:color="auto"/>
        <w:right w:val="none" w:sz="0" w:space="0" w:color="auto"/>
      </w:divBdr>
    </w:div>
    <w:div w:id="1627354146">
      <w:bodyDiv w:val="1"/>
      <w:marLeft w:val="0"/>
      <w:marRight w:val="0"/>
      <w:marTop w:val="0"/>
      <w:marBottom w:val="0"/>
      <w:divBdr>
        <w:top w:val="none" w:sz="0" w:space="0" w:color="auto"/>
        <w:left w:val="none" w:sz="0" w:space="0" w:color="auto"/>
        <w:bottom w:val="none" w:sz="0" w:space="0" w:color="auto"/>
        <w:right w:val="none" w:sz="0" w:space="0" w:color="auto"/>
      </w:divBdr>
    </w:div>
    <w:div w:id="1628000810">
      <w:bodyDiv w:val="1"/>
      <w:marLeft w:val="0"/>
      <w:marRight w:val="0"/>
      <w:marTop w:val="0"/>
      <w:marBottom w:val="0"/>
      <w:divBdr>
        <w:top w:val="none" w:sz="0" w:space="0" w:color="auto"/>
        <w:left w:val="none" w:sz="0" w:space="0" w:color="auto"/>
        <w:bottom w:val="none" w:sz="0" w:space="0" w:color="auto"/>
        <w:right w:val="none" w:sz="0" w:space="0" w:color="auto"/>
      </w:divBdr>
    </w:div>
    <w:div w:id="1628196231">
      <w:bodyDiv w:val="1"/>
      <w:marLeft w:val="0"/>
      <w:marRight w:val="0"/>
      <w:marTop w:val="0"/>
      <w:marBottom w:val="0"/>
      <w:divBdr>
        <w:top w:val="none" w:sz="0" w:space="0" w:color="auto"/>
        <w:left w:val="none" w:sz="0" w:space="0" w:color="auto"/>
        <w:bottom w:val="none" w:sz="0" w:space="0" w:color="auto"/>
        <w:right w:val="none" w:sz="0" w:space="0" w:color="auto"/>
      </w:divBdr>
    </w:div>
    <w:div w:id="1628269504">
      <w:bodyDiv w:val="1"/>
      <w:marLeft w:val="0"/>
      <w:marRight w:val="0"/>
      <w:marTop w:val="0"/>
      <w:marBottom w:val="0"/>
      <w:divBdr>
        <w:top w:val="none" w:sz="0" w:space="0" w:color="auto"/>
        <w:left w:val="none" w:sz="0" w:space="0" w:color="auto"/>
        <w:bottom w:val="none" w:sz="0" w:space="0" w:color="auto"/>
        <w:right w:val="none" w:sz="0" w:space="0" w:color="auto"/>
      </w:divBdr>
    </w:div>
    <w:div w:id="1628504773">
      <w:bodyDiv w:val="1"/>
      <w:marLeft w:val="0"/>
      <w:marRight w:val="0"/>
      <w:marTop w:val="0"/>
      <w:marBottom w:val="0"/>
      <w:divBdr>
        <w:top w:val="none" w:sz="0" w:space="0" w:color="auto"/>
        <w:left w:val="none" w:sz="0" w:space="0" w:color="auto"/>
        <w:bottom w:val="none" w:sz="0" w:space="0" w:color="auto"/>
        <w:right w:val="none" w:sz="0" w:space="0" w:color="auto"/>
      </w:divBdr>
    </w:div>
    <w:div w:id="1628508933">
      <w:bodyDiv w:val="1"/>
      <w:marLeft w:val="0"/>
      <w:marRight w:val="0"/>
      <w:marTop w:val="0"/>
      <w:marBottom w:val="0"/>
      <w:divBdr>
        <w:top w:val="none" w:sz="0" w:space="0" w:color="auto"/>
        <w:left w:val="none" w:sz="0" w:space="0" w:color="auto"/>
        <w:bottom w:val="none" w:sz="0" w:space="0" w:color="auto"/>
        <w:right w:val="none" w:sz="0" w:space="0" w:color="auto"/>
      </w:divBdr>
    </w:div>
    <w:div w:id="1629773547">
      <w:bodyDiv w:val="1"/>
      <w:marLeft w:val="0"/>
      <w:marRight w:val="0"/>
      <w:marTop w:val="0"/>
      <w:marBottom w:val="0"/>
      <w:divBdr>
        <w:top w:val="none" w:sz="0" w:space="0" w:color="auto"/>
        <w:left w:val="none" w:sz="0" w:space="0" w:color="auto"/>
        <w:bottom w:val="none" w:sz="0" w:space="0" w:color="auto"/>
        <w:right w:val="none" w:sz="0" w:space="0" w:color="auto"/>
      </w:divBdr>
    </w:div>
    <w:div w:id="1630890472">
      <w:bodyDiv w:val="1"/>
      <w:marLeft w:val="0"/>
      <w:marRight w:val="0"/>
      <w:marTop w:val="0"/>
      <w:marBottom w:val="0"/>
      <w:divBdr>
        <w:top w:val="none" w:sz="0" w:space="0" w:color="auto"/>
        <w:left w:val="none" w:sz="0" w:space="0" w:color="auto"/>
        <w:bottom w:val="none" w:sz="0" w:space="0" w:color="auto"/>
        <w:right w:val="none" w:sz="0" w:space="0" w:color="auto"/>
      </w:divBdr>
    </w:div>
    <w:div w:id="1631083396">
      <w:bodyDiv w:val="1"/>
      <w:marLeft w:val="0"/>
      <w:marRight w:val="0"/>
      <w:marTop w:val="0"/>
      <w:marBottom w:val="0"/>
      <w:divBdr>
        <w:top w:val="none" w:sz="0" w:space="0" w:color="auto"/>
        <w:left w:val="none" w:sz="0" w:space="0" w:color="auto"/>
        <w:bottom w:val="none" w:sz="0" w:space="0" w:color="auto"/>
        <w:right w:val="none" w:sz="0" w:space="0" w:color="auto"/>
      </w:divBdr>
    </w:div>
    <w:div w:id="1632176573">
      <w:bodyDiv w:val="1"/>
      <w:marLeft w:val="0"/>
      <w:marRight w:val="0"/>
      <w:marTop w:val="0"/>
      <w:marBottom w:val="0"/>
      <w:divBdr>
        <w:top w:val="none" w:sz="0" w:space="0" w:color="auto"/>
        <w:left w:val="none" w:sz="0" w:space="0" w:color="auto"/>
        <w:bottom w:val="none" w:sz="0" w:space="0" w:color="auto"/>
        <w:right w:val="none" w:sz="0" w:space="0" w:color="auto"/>
      </w:divBdr>
    </w:div>
    <w:div w:id="1632327778">
      <w:bodyDiv w:val="1"/>
      <w:marLeft w:val="0"/>
      <w:marRight w:val="0"/>
      <w:marTop w:val="0"/>
      <w:marBottom w:val="0"/>
      <w:divBdr>
        <w:top w:val="none" w:sz="0" w:space="0" w:color="auto"/>
        <w:left w:val="none" w:sz="0" w:space="0" w:color="auto"/>
        <w:bottom w:val="none" w:sz="0" w:space="0" w:color="auto"/>
        <w:right w:val="none" w:sz="0" w:space="0" w:color="auto"/>
      </w:divBdr>
    </w:div>
    <w:div w:id="1633172180">
      <w:bodyDiv w:val="1"/>
      <w:marLeft w:val="0"/>
      <w:marRight w:val="0"/>
      <w:marTop w:val="0"/>
      <w:marBottom w:val="0"/>
      <w:divBdr>
        <w:top w:val="none" w:sz="0" w:space="0" w:color="auto"/>
        <w:left w:val="none" w:sz="0" w:space="0" w:color="auto"/>
        <w:bottom w:val="none" w:sz="0" w:space="0" w:color="auto"/>
        <w:right w:val="none" w:sz="0" w:space="0" w:color="auto"/>
      </w:divBdr>
    </w:div>
    <w:div w:id="1635403584">
      <w:bodyDiv w:val="1"/>
      <w:marLeft w:val="0"/>
      <w:marRight w:val="0"/>
      <w:marTop w:val="0"/>
      <w:marBottom w:val="0"/>
      <w:divBdr>
        <w:top w:val="none" w:sz="0" w:space="0" w:color="auto"/>
        <w:left w:val="none" w:sz="0" w:space="0" w:color="auto"/>
        <w:bottom w:val="none" w:sz="0" w:space="0" w:color="auto"/>
        <w:right w:val="none" w:sz="0" w:space="0" w:color="auto"/>
      </w:divBdr>
    </w:div>
    <w:div w:id="1635597153">
      <w:bodyDiv w:val="1"/>
      <w:marLeft w:val="0"/>
      <w:marRight w:val="0"/>
      <w:marTop w:val="0"/>
      <w:marBottom w:val="0"/>
      <w:divBdr>
        <w:top w:val="none" w:sz="0" w:space="0" w:color="auto"/>
        <w:left w:val="none" w:sz="0" w:space="0" w:color="auto"/>
        <w:bottom w:val="none" w:sz="0" w:space="0" w:color="auto"/>
        <w:right w:val="none" w:sz="0" w:space="0" w:color="auto"/>
      </w:divBdr>
    </w:div>
    <w:div w:id="1636984272">
      <w:bodyDiv w:val="1"/>
      <w:marLeft w:val="0"/>
      <w:marRight w:val="0"/>
      <w:marTop w:val="0"/>
      <w:marBottom w:val="0"/>
      <w:divBdr>
        <w:top w:val="none" w:sz="0" w:space="0" w:color="auto"/>
        <w:left w:val="none" w:sz="0" w:space="0" w:color="auto"/>
        <w:bottom w:val="none" w:sz="0" w:space="0" w:color="auto"/>
        <w:right w:val="none" w:sz="0" w:space="0" w:color="auto"/>
      </w:divBdr>
    </w:div>
    <w:div w:id="1637373472">
      <w:bodyDiv w:val="1"/>
      <w:marLeft w:val="0"/>
      <w:marRight w:val="0"/>
      <w:marTop w:val="0"/>
      <w:marBottom w:val="0"/>
      <w:divBdr>
        <w:top w:val="none" w:sz="0" w:space="0" w:color="auto"/>
        <w:left w:val="none" w:sz="0" w:space="0" w:color="auto"/>
        <w:bottom w:val="none" w:sz="0" w:space="0" w:color="auto"/>
        <w:right w:val="none" w:sz="0" w:space="0" w:color="auto"/>
      </w:divBdr>
    </w:div>
    <w:div w:id="1637679771">
      <w:bodyDiv w:val="1"/>
      <w:marLeft w:val="0"/>
      <w:marRight w:val="0"/>
      <w:marTop w:val="0"/>
      <w:marBottom w:val="0"/>
      <w:divBdr>
        <w:top w:val="none" w:sz="0" w:space="0" w:color="auto"/>
        <w:left w:val="none" w:sz="0" w:space="0" w:color="auto"/>
        <w:bottom w:val="none" w:sz="0" w:space="0" w:color="auto"/>
        <w:right w:val="none" w:sz="0" w:space="0" w:color="auto"/>
      </w:divBdr>
    </w:div>
    <w:div w:id="1637830398">
      <w:bodyDiv w:val="1"/>
      <w:marLeft w:val="0"/>
      <w:marRight w:val="0"/>
      <w:marTop w:val="0"/>
      <w:marBottom w:val="0"/>
      <w:divBdr>
        <w:top w:val="none" w:sz="0" w:space="0" w:color="auto"/>
        <w:left w:val="none" w:sz="0" w:space="0" w:color="auto"/>
        <w:bottom w:val="none" w:sz="0" w:space="0" w:color="auto"/>
        <w:right w:val="none" w:sz="0" w:space="0" w:color="auto"/>
      </w:divBdr>
    </w:div>
    <w:div w:id="1638031385">
      <w:bodyDiv w:val="1"/>
      <w:marLeft w:val="0"/>
      <w:marRight w:val="0"/>
      <w:marTop w:val="0"/>
      <w:marBottom w:val="0"/>
      <w:divBdr>
        <w:top w:val="none" w:sz="0" w:space="0" w:color="auto"/>
        <w:left w:val="none" w:sz="0" w:space="0" w:color="auto"/>
        <w:bottom w:val="none" w:sz="0" w:space="0" w:color="auto"/>
        <w:right w:val="none" w:sz="0" w:space="0" w:color="auto"/>
      </w:divBdr>
    </w:div>
    <w:div w:id="1638799029">
      <w:bodyDiv w:val="1"/>
      <w:marLeft w:val="0"/>
      <w:marRight w:val="0"/>
      <w:marTop w:val="0"/>
      <w:marBottom w:val="0"/>
      <w:divBdr>
        <w:top w:val="none" w:sz="0" w:space="0" w:color="auto"/>
        <w:left w:val="none" w:sz="0" w:space="0" w:color="auto"/>
        <w:bottom w:val="none" w:sz="0" w:space="0" w:color="auto"/>
        <w:right w:val="none" w:sz="0" w:space="0" w:color="auto"/>
      </w:divBdr>
    </w:div>
    <w:div w:id="1639186884">
      <w:bodyDiv w:val="1"/>
      <w:marLeft w:val="0"/>
      <w:marRight w:val="0"/>
      <w:marTop w:val="0"/>
      <w:marBottom w:val="0"/>
      <w:divBdr>
        <w:top w:val="none" w:sz="0" w:space="0" w:color="auto"/>
        <w:left w:val="none" w:sz="0" w:space="0" w:color="auto"/>
        <w:bottom w:val="none" w:sz="0" w:space="0" w:color="auto"/>
        <w:right w:val="none" w:sz="0" w:space="0" w:color="auto"/>
      </w:divBdr>
    </w:div>
    <w:div w:id="1640377296">
      <w:bodyDiv w:val="1"/>
      <w:marLeft w:val="0"/>
      <w:marRight w:val="0"/>
      <w:marTop w:val="0"/>
      <w:marBottom w:val="0"/>
      <w:divBdr>
        <w:top w:val="none" w:sz="0" w:space="0" w:color="auto"/>
        <w:left w:val="none" w:sz="0" w:space="0" w:color="auto"/>
        <w:bottom w:val="none" w:sz="0" w:space="0" w:color="auto"/>
        <w:right w:val="none" w:sz="0" w:space="0" w:color="auto"/>
      </w:divBdr>
    </w:div>
    <w:div w:id="1640455835">
      <w:bodyDiv w:val="1"/>
      <w:marLeft w:val="0"/>
      <w:marRight w:val="0"/>
      <w:marTop w:val="0"/>
      <w:marBottom w:val="0"/>
      <w:divBdr>
        <w:top w:val="none" w:sz="0" w:space="0" w:color="auto"/>
        <w:left w:val="none" w:sz="0" w:space="0" w:color="auto"/>
        <w:bottom w:val="none" w:sz="0" w:space="0" w:color="auto"/>
        <w:right w:val="none" w:sz="0" w:space="0" w:color="auto"/>
      </w:divBdr>
    </w:div>
    <w:div w:id="1640768150">
      <w:bodyDiv w:val="1"/>
      <w:marLeft w:val="0"/>
      <w:marRight w:val="0"/>
      <w:marTop w:val="0"/>
      <w:marBottom w:val="0"/>
      <w:divBdr>
        <w:top w:val="none" w:sz="0" w:space="0" w:color="auto"/>
        <w:left w:val="none" w:sz="0" w:space="0" w:color="auto"/>
        <w:bottom w:val="none" w:sz="0" w:space="0" w:color="auto"/>
        <w:right w:val="none" w:sz="0" w:space="0" w:color="auto"/>
      </w:divBdr>
    </w:div>
    <w:div w:id="1641224717">
      <w:bodyDiv w:val="1"/>
      <w:marLeft w:val="0"/>
      <w:marRight w:val="0"/>
      <w:marTop w:val="0"/>
      <w:marBottom w:val="0"/>
      <w:divBdr>
        <w:top w:val="none" w:sz="0" w:space="0" w:color="auto"/>
        <w:left w:val="none" w:sz="0" w:space="0" w:color="auto"/>
        <w:bottom w:val="none" w:sz="0" w:space="0" w:color="auto"/>
        <w:right w:val="none" w:sz="0" w:space="0" w:color="auto"/>
      </w:divBdr>
    </w:div>
    <w:div w:id="1641570029">
      <w:bodyDiv w:val="1"/>
      <w:marLeft w:val="0"/>
      <w:marRight w:val="0"/>
      <w:marTop w:val="0"/>
      <w:marBottom w:val="0"/>
      <w:divBdr>
        <w:top w:val="none" w:sz="0" w:space="0" w:color="auto"/>
        <w:left w:val="none" w:sz="0" w:space="0" w:color="auto"/>
        <w:bottom w:val="none" w:sz="0" w:space="0" w:color="auto"/>
        <w:right w:val="none" w:sz="0" w:space="0" w:color="auto"/>
      </w:divBdr>
    </w:div>
    <w:div w:id="1641688936">
      <w:bodyDiv w:val="1"/>
      <w:marLeft w:val="0"/>
      <w:marRight w:val="0"/>
      <w:marTop w:val="0"/>
      <w:marBottom w:val="0"/>
      <w:divBdr>
        <w:top w:val="none" w:sz="0" w:space="0" w:color="auto"/>
        <w:left w:val="none" w:sz="0" w:space="0" w:color="auto"/>
        <w:bottom w:val="none" w:sz="0" w:space="0" w:color="auto"/>
        <w:right w:val="none" w:sz="0" w:space="0" w:color="auto"/>
      </w:divBdr>
    </w:div>
    <w:div w:id="1641766270">
      <w:bodyDiv w:val="1"/>
      <w:marLeft w:val="0"/>
      <w:marRight w:val="0"/>
      <w:marTop w:val="0"/>
      <w:marBottom w:val="0"/>
      <w:divBdr>
        <w:top w:val="none" w:sz="0" w:space="0" w:color="auto"/>
        <w:left w:val="none" w:sz="0" w:space="0" w:color="auto"/>
        <w:bottom w:val="none" w:sz="0" w:space="0" w:color="auto"/>
        <w:right w:val="none" w:sz="0" w:space="0" w:color="auto"/>
      </w:divBdr>
    </w:div>
    <w:div w:id="1641812381">
      <w:bodyDiv w:val="1"/>
      <w:marLeft w:val="0"/>
      <w:marRight w:val="0"/>
      <w:marTop w:val="0"/>
      <w:marBottom w:val="0"/>
      <w:divBdr>
        <w:top w:val="none" w:sz="0" w:space="0" w:color="auto"/>
        <w:left w:val="none" w:sz="0" w:space="0" w:color="auto"/>
        <w:bottom w:val="none" w:sz="0" w:space="0" w:color="auto"/>
        <w:right w:val="none" w:sz="0" w:space="0" w:color="auto"/>
      </w:divBdr>
    </w:div>
    <w:div w:id="1642540729">
      <w:bodyDiv w:val="1"/>
      <w:marLeft w:val="0"/>
      <w:marRight w:val="0"/>
      <w:marTop w:val="0"/>
      <w:marBottom w:val="0"/>
      <w:divBdr>
        <w:top w:val="none" w:sz="0" w:space="0" w:color="auto"/>
        <w:left w:val="none" w:sz="0" w:space="0" w:color="auto"/>
        <w:bottom w:val="none" w:sz="0" w:space="0" w:color="auto"/>
        <w:right w:val="none" w:sz="0" w:space="0" w:color="auto"/>
      </w:divBdr>
    </w:div>
    <w:div w:id="1642806658">
      <w:bodyDiv w:val="1"/>
      <w:marLeft w:val="0"/>
      <w:marRight w:val="0"/>
      <w:marTop w:val="0"/>
      <w:marBottom w:val="0"/>
      <w:divBdr>
        <w:top w:val="none" w:sz="0" w:space="0" w:color="auto"/>
        <w:left w:val="none" w:sz="0" w:space="0" w:color="auto"/>
        <w:bottom w:val="none" w:sz="0" w:space="0" w:color="auto"/>
        <w:right w:val="none" w:sz="0" w:space="0" w:color="auto"/>
      </w:divBdr>
    </w:div>
    <w:div w:id="1644694790">
      <w:bodyDiv w:val="1"/>
      <w:marLeft w:val="0"/>
      <w:marRight w:val="0"/>
      <w:marTop w:val="0"/>
      <w:marBottom w:val="0"/>
      <w:divBdr>
        <w:top w:val="none" w:sz="0" w:space="0" w:color="auto"/>
        <w:left w:val="none" w:sz="0" w:space="0" w:color="auto"/>
        <w:bottom w:val="none" w:sz="0" w:space="0" w:color="auto"/>
        <w:right w:val="none" w:sz="0" w:space="0" w:color="auto"/>
      </w:divBdr>
    </w:div>
    <w:div w:id="1645427725">
      <w:bodyDiv w:val="1"/>
      <w:marLeft w:val="0"/>
      <w:marRight w:val="0"/>
      <w:marTop w:val="0"/>
      <w:marBottom w:val="0"/>
      <w:divBdr>
        <w:top w:val="none" w:sz="0" w:space="0" w:color="auto"/>
        <w:left w:val="none" w:sz="0" w:space="0" w:color="auto"/>
        <w:bottom w:val="none" w:sz="0" w:space="0" w:color="auto"/>
        <w:right w:val="none" w:sz="0" w:space="0" w:color="auto"/>
      </w:divBdr>
    </w:div>
    <w:div w:id="1646198897">
      <w:bodyDiv w:val="1"/>
      <w:marLeft w:val="0"/>
      <w:marRight w:val="0"/>
      <w:marTop w:val="0"/>
      <w:marBottom w:val="0"/>
      <w:divBdr>
        <w:top w:val="none" w:sz="0" w:space="0" w:color="auto"/>
        <w:left w:val="none" w:sz="0" w:space="0" w:color="auto"/>
        <w:bottom w:val="none" w:sz="0" w:space="0" w:color="auto"/>
        <w:right w:val="none" w:sz="0" w:space="0" w:color="auto"/>
      </w:divBdr>
    </w:div>
    <w:div w:id="1646275326">
      <w:bodyDiv w:val="1"/>
      <w:marLeft w:val="0"/>
      <w:marRight w:val="0"/>
      <w:marTop w:val="0"/>
      <w:marBottom w:val="0"/>
      <w:divBdr>
        <w:top w:val="none" w:sz="0" w:space="0" w:color="auto"/>
        <w:left w:val="none" w:sz="0" w:space="0" w:color="auto"/>
        <w:bottom w:val="none" w:sz="0" w:space="0" w:color="auto"/>
        <w:right w:val="none" w:sz="0" w:space="0" w:color="auto"/>
      </w:divBdr>
    </w:div>
    <w:div w:id="1646466131">
      <w:bodyDiv w:val="1"/>
      <w:marLeft w:val="0"/>
      <w:marRight w:val="0"/>
      <w:marTop w:val="0"/>
      <w:marBottom w:val="0"/>
      <w:divBdr>
        <w:top w:val="none" w:sz="0" w:space="0" w:color="auto"/>
        <w:left w:val="none" w:sz="0" w:space="0" w:color="auto"/>
        <w:bottom w:val="none" w:sz="0" w:space="0" w:color="auto"/>
        <w:right w:val="none" w:sz="0" w:space="0" w:color="auto"/>
      </w:divBdr>
    </w:div>
    <w:div w:id="1646856576">
      <w:bodyDiv w:val="1"/>
      <w:marLeft w:val="0"/>
      <w:marRight w:val="0"/>
      <w:marTop w:val="0"/>
      <w:marBottom w:val="0"/>
      <w:divBdr>
        <w:top w:val="none" w:sz="0" w:space="0" w:color="auto"/>
        <w:left w:val="none" w:sz="0" w:space="0" w:color="auto"/>
        <w:bottom w:val="none" w:sz="0" w:space="0" w:color="auto"/>
        <w:right w:val="none" w:sz="0" w:space="0" w:color="auto"/>
      </w:divBdr>
    </w:div>
    <w:div w:id="1647315536">
      <w:bodyDiv w:val="1"/>
      <w:marLeft w:val="0"/>
      <w:marRight w:val="0"/>
      <w:marTop w:val="0"/>
      <w:marBottom w:val="0"/>
      <w:divBdr>
        <w:top w:val="none" w:sz="0" w:space="0" w:color="auto"/>
        <w:left w:val="none" w:sz="0" w:space="0" w:color="auto"/>
        <w:bottom w:val="none" w:sz="0" w:space="0" w:color="auto"/>
        <w:right w:val="none" w:sz="0" w:space="0" w:color="auto"/>
      </w:divBdr>
    </w:div>
    <w:div w:id="1647590574">
      <w:bodyDiv w:val="1"/>
      <w:marLeft w:val="0"/>
      <w:marRight w:val="0"/>
      <w:marTop w:val="0"/>
      <w:marBottom w:val="0"/>
      <w:divBdr>
        <w:top w:val="none" w:sz="0" w:space="0" w:color="auto"/>
        <w:left w:val="none" w:sz="0" w:space="0" w:color="auto"/>
        <w:bottom w:val="none" w:sz="0" w:space="0" w:color="auto"/>
        <w:right w:val="none" w:sz="0" w:space="0" w:color="auto"/>
      </w:divBdr>
    </w:div>
    <w:div w:id="1647734406">
      <w:bodyDiv w:val="1"/>
      <w:marLeft w:val="0"/>
      <w:marRight w:val="0"/>
      <w:marTop w:val="0"/>
      <w:marBottom w:val="0"/>
      <w:divBdr>
        <w:top w:val="none" w:sz="0" w:space="0" w:color="auto"/>
        <w:left w:val="none" w:sz="0" w:space="0" w:color="auto"/>
        <w:bottom w:val="none" w:sz="0" w:space="0" w:color="auto"/>
        <w:right w:val="none" w:sz="0" w:space="0" w:color="auto"/>
      </w:divBdr>
    </w:div>
    <w:div w:id="1649283653">
      <w:bodyDiv w:val="1"/>
      <w:marLeft w:val="0"/>
      <w:marRight w:val="0"/>
      <w:marTop w:val="0"/>
      <w:marBottom w:val="0"/>
      <w:divBdr>
        <w:top w:val="none" w:sz="0" w:space="0" w:color="auto"/>
        <w:left w:val="none" w:sz="0" w:space="0" w:color="auto"/>
        <w:bottom w:val="none" w:sz="0" w:space="0" w:color="auto"/>
        <w:right w:val="none" w:sz="0" w:space="0" w:color="auto"/>
      </w:divBdr>
    </w:div>
    <w:div w:id="1649701463">
      <w:bodyDiv w:val="1"/>
      <w:marLeft w:val="0"/>
      <w:marRight w:val="0"/>
      <w:marTop w:val="0"/>
      <w:marBottom w:val="0"/>
      <w:divBdr>
        <w:top w:val="none" w:sz="0" w:space="0" w:color="auto"/>
        <w:left w:val="none" w:sz="0" w:space="0" w:color="auto"/>
        <w:bottom w:val="none" w:sz="0" w:space="0" w:color="auto"/>
        <w:right w:val="none" w:sz="0" w:space="0" w:color="auto"/>
      </w:divBdr>
    </w:div>
    <w:div w:id="1649895389">
      <w:bodyDiv w:val="1"/>
      <w:marLeft w:val="0"/>
      <w:marRight w:val="0"/>
      <w:marTop w:val="0"/>
      <w:marBottom w:val="0"/>
      <w:divBdr>
        <w:top w:val="none" w:sz="0" w:space="0" w:color="auto"/>
        <w:left w:val="none" w:sz="0" w:space="0" w:color="auto"/>
        <w:bottom w:val="none" w:sz="0" w:space="0" w:color="auto"/>
        <w:right w:val="none" w:sz="0" w:space="0" w:color="auto"/>
      </w:divBdr>
    </w:div>
    <w:div w:id="1651520266">
      <w:bodyDiv w:val="1"/>
      <w:marLeft w:val="0"/>
      <w:marRight w:val="0"/>
      <w:marTop w:val="0"/>
      <w:marBottom w:val="0"/>
      <w:divBdr>
        <w:top w:val="none" w:sz="0" w:space="0" w:color="auto"/>
        <w:left w:val="none" w:sz="0" w:space="0" w:color="auto"/>
        <w:bottom w:val="none" w:sz="0" w:space="0" w:color="auto"/>
        <w:right w:val="none" w:sz="0" w:space="0" w:color="auto"/>
      </w:divBdr>
    </w:div>
    <w:div w:id="1652363383">
      <w:bodyDiv w:val="1"/>
      <w:marLeft w:val="0"/>
      <w:marRight w:val="0"/>
      <w:marTop w:val="0"/>
      <w:marBottom w:val="0"/>
      <w:divBdr>
        <w:top w:val="none" w:sz="0" w:space="0" w:color="auto"/>
        <w:left w:val="none" w:sz="0" w:space="0" w:color="auto"/>
        <w:bottom w:val="none" w:sz="0" w:space="0" w:color="auto"/>
        <w:right w:val="none" w:sz="0" w:space="0" w:color="auto"/>
      </w:divBdr>
    </w:div>
    <w:div w:id="1653871783">
      <w:bodyDiv w:val="1"/>
      <w:marLeft w:val="0"/>
      <w:marRight w:val="0"/>
      <w:marTop w:val="0"/>
      <w:marBottom w:val="0"/>
      <w:divBdr>
        <w:top w:val="none" w:sz="0" w:space="0" w:color="auto"/>
        <w:left w:val="none" w:sz="0" w:space="0" w:color="auto"/>
        <w:bottom w:val="none" w:sz="0" w:space="0" w:color="auto"/>
        <w:right w:val="none" w:sz="0" w:space="0" w:color="auto"/>
      </w:divBdr>
    </w:div>
    <w:div w:id="1654603964">
      <w:bodyDiv w:val="1"/>
      <w:marLeft w:val="0"/>
      <w:marRight w:val="0"/>
      <w:marTop w:val="0"/>
      <w:marBottom w:val="0"/>
      <w:divBdr>
        <w:top w:val="none" w:sz="0" w:space="0" w:color="auto"/>
        <w:left w:val="none" w:sz="0" w:space="0" w:color="auto"/>
        <w:bottom w:val="none" w:sz="0" w:space="0" w:color="auto"/>
        <w:right w:val="none" w:sz="0" w:space="0" w:color="auto"/>
      </w:divBdr>
    </w:div>
    <w:div w:id="1655260565">
      <w:bodyDiv w:val="1"/>
      <w:marLeft w:val="0"/>
      <w:marRight w:val="0"/>
      <w:marTop w:val="0"/>
      <w:marBottom w:val="0"/>
      <w:divBdr>
        <w:top w:val="none" w:sz="0" w:space="0" w:color="auto"/>
        <w:left w:val="none" w:sz="0" w:space="0" w:color="auto"/>
        <w:bottom w:val="none" w:sz="0" w:space="0" w:color="auto"/>
        <w:right w:val="none" w:sz="0" w:space="0" w:color="auto"/>
      </w:divBdr>
    </w:div>
    <w:div w:id="1656645465">
      <w:bodyDiv w:val="1"/>
      <w:marLeft w:val="0"/>
      <w:marRight w:val="0"/>
      <w:marTop w:val="0"/>
      <w:marBottom w:val="0"/>
      <w:divBdr>
        <w:top w:val="none" w:sz="0" w:space="0" w:color="auto"/>
        <w:left w:val="none" w:sz="0" w:space="0" w:color="auto"/>
        <w:bottom w:val="none" w:sz="0" w:space="0" w:color="auto"/>
        <w:right w:val="none" w:sz="0" w:space="0" w:color="auto"/>
      </w:divBdr>
    </w:div>
    <w:div w:id="1656833359">
      <w:bodyDiv w:val="1"/>
      <w:marLeft w:val="0"/>
      <w:marRight w:val="0"/>
      <w:marTop w:val="0"/>
      <w:marBottom w:val="0"/>
      <w:divBdr>
        <w:top w:val="none" w:sz="0" w:space="0" w:color="auto"/>
        <w:left w:val="none" w:sz="0" w:space="0" w:color="auto"/>
        <w:bottom w:val="none" w:sz="0" w:space="0" w:color="auto"/>
        <w:right w:val="none" w:sz="0" w:space="0" w:color="auto"/>
      </w:divBdr>
    </w:div>
    <w:div w:id="1656952211">
      <w:bodyDiv w:val="1"/>
      <w:marLeft w:val="0"/>
      <w:marRight w:val="0"/>
      <w:marTop w:val="0"/>
      <w:marBottom w:val="0"/>
      <w:divBdr>
        <w:top w:val="none" w:sz="0" w:space="0" w:color="auto"/>
        <w:left w:val="none" w:sz="0" w:space="0" w:color="auto"/>
        <w:bottom w:val="none" w:sz="0" w:space="0" w:color="auto"/>
        <w:right w:val="none" w:sz="0" w:space="0" w:color="auto"/>
      </w:divBdr>
    </w:div>
    <w:div w:id="1657563568">
      <w:bodyDiv w:val="1"/>
      <w:marLeft w:val="0"/>
      <w:marRight w:val="0"/>
      <w:marTop w:val="0"/>
      <w:marBottom w:val="0"/>
      <w:divBdr>
        <w:top w:val="none" w:sz="0" w:space="0" w:color="auto"/>
        <w:left w:val="none" w:sz="0" w:space="0" w:color="auto"/>
        <w:bottom w:val="none" w:sz="0" w:space="0" w:color="auto"/>
        <w:right w:val="none" w:sz="0" w:space="0" w:color="auto"/>
      </w:divBdr>
    </w:div>
    <w:div w:id="1657605961">
      <w:bodyDiv w:val="1"/>
      <w:marLeft w:val="0"/>
      <w:marRight w:val="0"/>
      <w:marTop w:val="0"/>
      <w:marBottom w:val="0"/>
      <w:divBdr>
        <w:top w:val="none" w:sz="0" w:space="0" w:color="auto"/>
        <w:left w:val="none" w:sz="0" w:space="0" w:color="auto"/>
        <w:bottom w:val="none" w:sz="0" w:space="0" w:color="auto"/>
        <w:right w:val="none" w:sz="0" w:space="0" w:color="auto"/>
      </w:divBdr>
    </w:div>
    <w:div w:id="1657606507">
      <w:bodyDiv w:val="1"/>
      <w:marLeft w:val="0"/>
      <w:marRight w:val="0"/>
      <w:marTop w:val="0"/>
      <w:marBottom w:val="0"/>
      <w:divBdr>
        <w:top w:val="none" w:sz="0" w:space="0" w:color="auto"/>
        <w:left w:val="none" w:sz="0" w:space="0" w:color="auto"/>
        <w:bottom w:val="none" w:sz="0" w:space="0" w:color="auto"/>
        <w:right w:val="none" w:sz="0" w:space="0" w:color="auto"/>
      </w:divBdr>
    </w:div>
    <w:div w:id="1658340772">
      <w:bodyDiv w:val="1"/>
      <w:marLeft w:val="0"/>
      <w:marRight w:val="0"/>
      <w:marTop w:val="0"/>
      <w:marBottom w:val="0"/>
      <w:divBdr>
        <w:top w:val="none" w:sz="0" w:space="0" w:color="auto"/>
        <w:left w:val="none" w:sz="0" w:space="0" w:color="auto"/>
        <w:bottom w:val="none" w:sz="0" w:space="0" w:color="auto"/>
        <w:right w:val="none" w:sz="0" w:space="0" w:color="auto"/>
      </w:divBdr>
    </w:div>
    <w:div w:id="1658653047">
      <w:bodyDiv w:val="1"/>
      <w:marLeft w:val="0"/>
      <w:marRight w:val="0"/>
      <w:marTop w:val="0"/>
      <w:marBottom w:val="0"/>
      <w:divBdr>
        <w:top w:val="none" w:sz="0" w:space="0" w:color="auto"/>
        <w:left w:val="none" w:sz="0" w:space="0" w:color="auto"/>
        <w:bottom w:val="none" w:sz="0" w:space="0" w:color="auto"/>
        <w:right w:val="none" w:sz="0" w:space="0" w:color="auto"/>
      </w:divBdr>
    </w:div>
    <w:div w:id="1660041387">
      <w:bodyDiv w:val="1"/>
      <w:marLeft w:val="0"/>
      <w:marRight w:val="0"/>
      <w:marTop w:val="0"/>
      <w:marBottom w:val="0"/>
      <w:divBdr>
        <w:top w:val="none" w:sz="0" w:space="0" w:color="auto"/>
        <w:left w:val="none" w:sz="0" w:space="0" w:color="auto"/>
        <w:bottom w:val="none" w:sz="0" w:space="0" w:color="auto"/>
        <w:right w:val="none" w:sz="0" w:space="0" w:color="auto"/>
      </w:divBdr>
    </w:div>
    <w:div w:id="1661033471">
      <w:bodyDiv w:val="1"/>
      <w:marLeft w:val="0"/>
      <w:marRight w:val="0"/>
      <w:marTop w:val="0"/>
      <w:marBottom w:val="0"/>
      <w:divBdr>
        <w:top w:val="none" w:sz="0" w:space="0" w:color="auto"/>
        <w:left w:val="none" w:sz="0" w:space="0" w:color="auto"/>
        <w:bottom w:val="none" w:sz="0" w:space="0" w:color="auto"/>
        <w:right w:val="none" w:sz="0" w:space="0" w:color="auto"/>
      </w:divBdr>
    </w:div>
    <w:div w:id="1661424471">
      <w:bodyDiv w:val="1"/>
      <w:marLeft w:val="0"/>
      <w:marRight w:val="0"/>
      <w:marTop w:val="0"/>
      <w:marBottom w:val="0"/>
      <w:divBdr>
        <w:top w:val="none" w:sz="0" w:space="0" w:color="auto"/>
        <w:left w:val="none" w:sz="0" w:space="0" w:color="auto"/>
        <w:bottom w:val="none" w:sz="0" w:space="0" w:color="auto"/>
        <w:right w:val="none" w:sz="0" w:space="0" w:color="auto"/>
      </w:divBdr>
    </w:div>
    <w:div w:id="1662387435">
      <w:bodyDiv w:val="1"/>
      <w:marLeft w:val="0"/>
      <w:marRight w:val="0"/>
      <w:marTop w:val="0"/>
      <w:marBottom w:val="0"/>
      <w:divBdr>
        <w:top w:val="none" w:sz="0" w:space="0" w:color="auto"/>
        <w:left w:val="none" w:sz="0" w:space="0" w:color="auto"/>
        <w:bottom w:val="none" w:sz="0" w:space="0" w:color="auto"/>
        <w:right w:val="none" w:sz="0" w:space="0" w:color="auto"/>
      </w:divBdr>
    </w:div>
    <w:div w:id="1662847537">
      <w:bodyDiv w:val="1"/>
      <w:marLeft w:val="0"/>
      <w:marRight w:val="0"/>
      <w:marTop w:val="0"/>
      <w:marBottom w:val="0"/>
      <w:divBdr>
        <w:top w:val="none" w:sz="0" w:space="0" w:color="auto"/>
        <w:left w:val="none" w:sz="0" w:space="0" w:color="auto"/>
        <w:bottom w:val="none" w:sz="0" w:space="0" w:color="auto"/>
        <w:right w:val="none" w:sz="0" w:space="0" w:color="auto"/>
      </w:divBdr>
    </w:div>
    <w:div w:id="1663771880">
      <w:bodyDiv w:val="1"/>
      <w:marLeft w:val="0"/>
      <w:marRight w:val="0"/>
      <w:marTop w:val="0"/>
      <w:marBottom w:val="0"/>
      <w:divBdr>
        <w:top w:val="none" w:sz="0" w:space="0" w:color="auto"/>
        <w:left w:val="none" w:sz="0" w:space="0" w:color="auto"/>
        <w:bottom w:val="none" w:sz="0" w:space="0" w:color="auto"/>
        <w:right w:val="none" w:sz="0" w:space="0" w:color="auto"/>
      </w:divBdr>
    </w:div>
    <w:div w:id="1665086943">
      <w:bodyDiv w:val="1"/>
      <w:marLeft w:val="0"/>
      <w:marRight w:val="0"/>
      <w:marTop w:val="0"/>
      <w:marBottom w:val="0"/>
      <w:divBdr>
        <w:top w:val="none" w:sz="0" w:space="0" w:color="auto"/>
        <w:left w:val="none" w:sz="0" w:space="0" w:color="auto"/>
        <w:bottom w:val="none" w:sz="0" w:space="0" w:color="auto"/>
        <w:right w:val="none" w:sz="0" w:space="0" w:color="auto"/>
      </w:divBdr>
    </w:div>
    <w:div w:id="1666467994">
      <w:bodyDiv w:val="1"/>
      <w:marLeft w:val="0"/>
      <w:marRight w:val="0"/>
      <w:marTop w:val="0"/>
      <w:marBottom w:val="0"/>
      <w:divBdr>
        <w:top w:val="none" w:sz="0" w:space="0" w:color="auto"/>
        <w:left w:val="none" w:sz="0" w:space="0" w:color="auto"/>
        <w:bottom w:val="none" w:sz="0" w:space="0" w:color="auto"/>
        <w:right w:val="none" w:sz="0" w:space="0" w:color="auto"/>
      </w:divBdr>
    </w:div>
    <w:div w:id="1667439541">
      <w:bodyDiv w:val="1"/>
      <w:marLeft w:val="0"/>
      <w:marRight w:val="0"/>
      <w:marTop w:val="0"/>
      <w:marBottom w:val="0"/>
      <w:divBdr>
        <w:top w:val="none" w:sz="0" w:space="0" w:color="auto"/>
        <w:left w:val="none" w:sz="0" w:space="0" w:color="auto"/>
        <w:bottom w:val="none" w:sz="0" w:space="0" w:color="auto"/>
        <w:right w:val="none" w:sz="0" w:space="0" w:color="auto"/>
      </w:divBdr>
    </w:div>
    <w:div w:id="1667513765">
      <w:bodyDiv w:val="1"/>
      <w:marLeft w:val="0"/>
      <w:marRight w:val="0"/>
      <w:marTop w:val="0"/>
      <w:marBottom w:val="0"/>
      <w:divBdr>
        <w:top w:val="none" w:sz="0" w:space="0" w:color="auto"/>
        <w:left w:val="none" w:sz="0" w:space="0" w:color="auto"/>
        <w:bottom w:val="none" w:sz="0" w:space="0" w:color="auto"/>
        <w:right w:val="none" w:sz="0" w:space="0" w:color="auto"/>
      </w:divBdr>
    </w:div>
    <w:div w:id="1667971419">
      <w:bodyDiv w:val="1"/>
      <w:marLeft w:val="0"/>
      <w:marRight w:val="0"/>
      <w:marTop w:val="0"/>
      <w:marBottom w:val="0"/>
      <w:divBdr>
        <w:top w:val="none" w:sz="0" w:space="0" w:color="auto"/>
        <w:left w:val="none" w:sz="0" w:space="0" w:color="auto"/>
        <w:bottom w:val="none" w:sz="0" w:space="0" w:color="auto"/>
        <w:right w:val="none" w:sz="0" w:space="0" w:color="auto"/>
      </w:divBdr>
    </w:div>
    <w:div w:id="1668706427">
      <w:bodyDiv w:val="1"/>
      <w:marLeft w:val="0"/>
      <w:marRight w:val="0"/>
      <w:marTop w:val="0"/>
      <w:marBottom w:val="0"/>
      <w:divBdr>
        <w:top w:val="none" w:sz="0" w:space="0" w:color="auto"/>
        <w:left w:val="none" w:sz="0" w:space="0" w:color="auto"/>
        <w:bottom w:val="none" w:sz="0" w:space="0" w:color="auto"/>
        <w:right w:val="none" w:sz="0" w:space="0" w:color="auto"/>
      </w:divBdr>
    </w:div>
    <w:div w:id="1669552912">
      <w:bodyDiv w:val="1"/>
      <w:marLeft w:val="0"/>
      <w:marRight w:val="0"/>
      <w:marTop w:val="0"/>
      <w:marBottom w:val="0"/>
      <w:divBdr>
        <w:top w:val="none" w:sz="0" w:space="0" w:color="auto"/>
        <w:left w:val="none" w:sz="0" w:space="0" w:color="auto"/>
        <w:bottom w:val="none" w:sz="0" w:space="0" w:color="auto"/>
        <w:right w:val="none" w:sz="0" w:space="0" w:color="auto"/>
      </w:divBdr>
    </w:div>
    <w:div w:id="1670400525">
      <w:bodyDiv w:val="1"/>
      <w:marLeft w:val="0"/>
      <w:marRight w:val="0"/>
      <w:marTop w:val="0"/>
      <w:marBottom w:val="0"/>
      <w:divBdr>
        <w:top w:val="none" w:sz="0" w:space="0" w:color="auto"/>
        <w:left w:val="none" w:sz="0" w:space="0" w:color="auto"/>
        <w:bottom w:val="none" w:sz="0" w:space="0" w:color="auto"/>
        <w:right w:val="none" w:sz="0" w:space="0" w:color="auto"/>
      </w:divBdr>
    </w:div>
    <w:div w:id="1670863525">
      <w:bodyDiv w:val="1"/>
      <w:marLeft w:val="0"/>
      <w:marRight w:val="0"/>
      <w:marTop w:val="0"/>
      <w:marBottom w:val="0"/>
      <w:divBdr>
        <w:top w:val="none" w:sz="0" w:space="0" w:color="auto"/>
        <w:left w:val="none" w:sz="0" w:space="0" w:color="auto"/>
        <w:bottom w:val="none" w:sz="0" w:space="0" w:color="auto"/>
        <w:right w:val="none" w:sz="0" w:space="0" w:color="auto"/>
      </w:divBdr>
    </w:div>
    <w:div w:id="1670910475">
      <w:bodyDiv w:val="1"/>
      <w:marLeft w:val="0"/>
      <w:marRight w:val="0"/>
      <w:marTop w:val="0"/>
      <w:marBottom w:val="0"/>
      <w:divBdr>
        <w:top w:val="none" w:sz="0" w:space="0" w:color="auto"/>
        <w:left w:val="none" w:sz="0" w:space="0" w:color="auto"/>
        <w:bottom w:val="none" w:sz="0" w:space="0" w:color="auto"/>
        <w:right w:val="none" w:sz="0" w:space="0" w:color="auto"/>
      </w:divBdr>
    </w:div>
    <w:div w:id="1671330784">
      <w:bodyDiv w:val="1"/>
      <w:marLeft w:val="0"/>
      <w:marRight w:val="0"/>
      <w:marTop w:val="0"/>
      <w:marBottom w:val="0"/>
      <w:divBdr>
        <w:top w:val="none" w:sz="0" w:space="0" w:color="auto"/>
        <w:left w:val="none" w:sz="0" w:space="0" w:color="auto"/>
        <w:bottom w:val="none" w:sz="0" w:space="0" w:color="auto"/>
        <w:right w:val="none" w:sz="0" w:space="0" w:color="auto"/>
      </w:divBdr>
    </w:div>
    <w:div w:id="1671371659">
      <w:bodyDiv w:val="1"/>
      <w:marLeft w:val="0"/>
      <w:marRight w:val="0"/>
      <w:marTop w:val="0"/>
      <w:marBottom w:val="0"/>
      <w:divBdr>
        <w:top w:val="none" w:sz="0" w:space="0" w:color="auto"/>
        <w:left w:val="none" w:sz="0" w:space="0" w:color="auto"/>
        <w:bottom w:val="none" w:sz="0" w:space="0" w:color="auto"/>
        <w:right w:val="none" w:sz="0" w:space="0" w:color="auto"/>
      </w:divBdr>
    </w:div>
    <w:div w:id="1671443335">
      <w:bodyDiv w:val="1"/>
      <w:marLeft w:val="0"/>
      <w:marRight w:val="0"/>
      <w:marTop w:val="0"/>
      <w:marBottom w:val="0"/>
      <w:divBdr>
        <w:top w:val="none" w:sz="0" w:space="0" w:color="auto"/>
        <w:left w:val="none" w:sz="0" w:space="0" w:color="auto"/>
        <w:bottom w:val="none" w:sz="0" w:space="0" w:color="auto"/>
        <w:right w:val="none" w:sz="0" w:space="0" w:color="auto"/>
      </w:divBdr>
    </w:div>
    <w:div w:id="1671788281">
      <w:bodyDiv w:val="1"/>
      <w:marLeft w:val="0"/>
      <w:marRight w:val="0"/>
      <w:marTop w:val="0"/>
      <w:marBottom w:val="0"/>
      <w:divBdr>
        <w:top w:val="none" w:sz="0" w:space="0" w:color="auto"/>
        <w:left w:val="none" w:sz="0" w:space="0" w:color="auto"/>
        <w:bottom w:val="none" w:sz="0" w:space="0" w:color="auto"/>
        <w:right w:val="none" w:sz="0" w:space="0" w:color="auto"/>
      </w:divBdr>
    </w:div>
    <w:div w:id="1671985961">
      <w:bodyDiv w:val="1"/>
      <w:marLeft w:val="0"/>
      <w:marRight w:val="0"/>
      <w:marTop w:val="0"/>
      <w:marBottom w:val="0"/>
      <w:divBdr>
        <w:top w:val="none" w:sz="0" w:space="0" w:color="auto"/>
        <w:left w:val="none" w:sz="0" w:space="0" w:color="auto"/>
        <w:bottom w:val="none" w:sz="0" w:space="0" w:color="auto"/>
        <w:right w:val="none" w:sz="0" w:space="0" w:color="auto"/>
      </w:divBdr>
      <w:divsChild>
        <w:div w:id="1025910139">
          <w:marLeft w:val="0"/>
          <w:marRight w:val="0"/>
          <w:marTop w:val="0"/>
          <w:marBottom w:val="0"/>
          <w:divBdr>
            <w:top w:val="none" w:sz="0" w:space="0" w:color="auto"/>
            <w:left w:val="none" w:sz="0" w:space="0" w:color="auto"/>
            <w:bottom w:val="none" w:sz="0" w:space="0" w:color="auto"/>
            <w:right w:val="none" w:sz="0" w:space="0" w:color="auto"/>
          </w:divBdr>
        </w:div>
      </w:divsChild>
    </w:div>
    <w:div w:id="1672291181">
      <w:bodyDiv w:val="1"/>
      <w:marLeft w:val="0"/>
      <w:marRight w:val="0"/>
      <w:marTop w:val="0"/>
      <w:marBottom w:val="0"/>
      <w:divBdr>
        <w:top w:val="none" w:sz="0" w:space="0" w:color="auto"/>
        <w:left w:val="none" w:sz="0" w:space="0" w:color="auto"/>
        <w:bottom w:val="none" w:sz="0" w:space="0" w:color="auto"/>
        <w:right w:val="none" w:sz="0" w:space="0" w:color="auto"/>
      </w:divBdr>
    </w:div>
    <w:div w:id="1673147099">
      <w:bodyDiv w:val="1"/>
      <w:marLeft w:val="0"/>
      <w:marRight w:val="0"/>
      <w:marTop w:val="0"/>
      <w:marBottom w:val="0"/>
      <w:divBdr>
        <w:top w:val="none" w:sz="0" w:space="0" w:color="auto"/>
        <w:left w:val="none" w:sz="0" w:space="0" w:color="auto"/>
        <w:bottom w:val="none" w:sz="0" w:space="0" w:color="auto"/>
        <w:right w:val="none" w:sz="0" w:space="0" w:color="auto"/>
      </w:divBdr>
    </w:div>
    <w:div w:id="1673294814">
      <w:bodyDiv w:val="1"/>
      <w:marLeft w:val="0"/>
      <w:marRight w:val="0"/>
      <w:marTop w:val="0"/>
      <w:marBottom w:val="0"/>
      <w:divBdr>
        <w:top w:val="none" w:sz="0" w:space="0" w:color="auto"/>
        <w:left w:val="none" w:sz="0" w:space="0" w:color="auto"/>
        <w:bottom w:val="none" w:sz="0" w:space="0" w:color="auto"/>
        <w:right w:val="none" w:sz="0" w:space="0" w:color="auto"/>
      </w:divBdr>
    </w:div>
    <w:div w:id="1675113379">
      <w:bodyDiv w:val="1"/>
      <w:marLeft w:val="0"/>
      <w:marRight w:val="0"/>
      <w:marTop w:val="0"/>
      <w:marBottom w:val="0"/>
      <w:divBdr>
        <w:top w:val="none" w:sz="0" w:space="0" w:color="auto"/>
        <w:left w:val="none" w:sz="0" w:space="0" w:color="auto"/>
        <w:bottom w:val="none" w:sz="0" w:space="0" w:color="auto"/>
        <w:right w:val="none" w:sz="0" w:space="0" w:color="auto"/>
      </w:divBdr>
    </w:div>
    <w:div w:id="1675185829">
      <w:bodyDiv w:val="1"/>
      <w:marLeft w:val="0"/>
      <w:marRight w:val="0"/>
      <w:marTop w:val="0"/>
      <w:marBottom w:val="0"/>
      <w:divBdr>
        <w:top w:val="none" w:sz="0" w:space="0" w:color="auto"/>
        <w:left w:val="none" w:sz="0" w:space="0" w:color="auto"/>
        <w:bottom w:val="none" w:sz="0" w:space="0" w:color="auto"/>
        <w:right w:val="none" w:sz="0" w:space="0" w:color="auto"/>
      </w:divBdr>
    </w:div>
    <w:div w:id="1679235251">
      <w:bodyDiv w:val="1"/>
      <w:marLeft w:val="0"/>
      <w:marRight w:val="0"/>
      <w:marTop w:val="0"/>
      <w:marBottom w:val="0"/>
      <w:divBdr>
        <w:top w:val="none" w:sz="0" w:space="0" w:color="auto"/>
        <w:left w:val="none" w:sz="0" w:space="0" w:color="auto"/>
        <w:bottom w:val="none" w:sz="0" w:space="0" w:color="auto"/>
        <w:right w:val="none" w:sz="0" w:space="0" w:color="auto"/>
      </w:divBdr>
    </w:div>
    <w:div w:id="1679380372">
      <w:bodyDiv w:val="1"/>
      <w:marLeft w:val="0"/>
      <w:marRight w:val="0"/>
      <w:marTop w:val="0"/>
      <w:marBottom w:val="0"/>
      <w:divBdr>
        <w:top w:val="none" w:sz="0" w:space="0" w:color="auto"/>
        <w:left w:val="none" w:sz="0" w:space="0" w:color="auto"/>
        <w:bottom w:val="none" w:sz="0" w:space="0" w:color="auto"/>
        <w:right w:val="none" w:sz="0" w:space="0" w:color="auto"/>
      </w:divBdr>
    </w:div>
    <w:div w:id="1679506557">
      <w:bodyDiv w:val="1"/>
      <w:marLeft w:val="0"/>
      <w:marRight w:val="0"/>
      <w:marTop w:val="0"/>
      <w:marBottom w:val="0"/>
      <w:divBdr>
        <w:top w:val="none" w:sz="0" w:space="0" w:color="auto"/>
        <w:left w:val="none" w:sz="0" w:space="0" w:color="auto"/>
        <w:bottom w:val="none" w:sz="0" w:space="0" w:color="auto"/>
        <w:right w:val="none" w:sz="0" w:space="0" w:color="auto"/>
      </w:divBdr>
    </w:div>
    <w:div w:id="1680234214">
      <w:bodyDiv w:val="1"/>
      <w:marLeft w:val="0"/>
      <w:marRight w:val="0"/>
      <w:marTop w:val="0"/>
      <w:marBottom w:val="0"/>
      <w:divBdr>
        <w:top w:val="none" w:sz="0" w:space="0" w:color="auto"/>
        <w:left w:val="none" w:sz="0" w:space="0" w:color="auto"/>
        <w:bottom w:val="none" w:sz="0" w:space="0" w:color="auto"/>
        <w:right w:val="none" w:sz="0" w:space="0" w:color="auto"/>
      </w:divBdr>
    </w:div>
    <w:div w:id="1681086259">
      <w:bodyDiv w:val="1"/>
      <w:marLeft w:val="0"/>
      <w:marRight w:val="0"/>
      <w:marTop w:val="0"/>
      <w:marBottom w:val="0"/>
      <w:divBdr>
        <w:top w:val="none" w:sz="0" w:space="0" w:color="auto"/>
        <w:left w:val="none" w:sz="0" w:space="0" w:color="auto"/>
        <w:bottom w:val="none" w:sz="0" w:space="0" w:color="auto"/>
        <w:right w:val="none" w:sz="0" w:space="0" w:color="auto"/>
      </w:divBdr>
    </w:div>
    <w:div w:id="1682853858">
      <w:bodyDiv w:val="1"/>
      <w:marLeft w:val="0"/>
      <w:marRight w:val="0"/>
      <w:marTop w:val="0"/>
      <w:marBottom w:val="0"/>
      <w:divBdr>
        <w:top w:val="none" w:sz="0" w:space="0" w:color="auto"/>
        <w:left w:val="none" w:sz="0" w:space="0" w:color="auto"/>
        <w:bottom w:val="none" w:sz="0" w:space="0" w:color="auto"/>
        <w:right w:val="none" w:sz="0" w:space="0" w:color="auto"/>
      </w:divBdr>
    </w:div>
    <w:div w:id="1682854839">
      <w:bodyDiv w:val="1"/>
      <w:marLeft w:val="0"/>
      <w:marRight w:val="0"/>
      <w:marTop w:val="0"/>
      <w:marBottom w:val="0"/>
      <w:divBdr>
        <w:top w:val="none" w:sz="0" w:space="0" w:color="auto"/>
        <w:left w:val="none" w:sz="0" w:space="0" w:color="auto"/>
        <w:bottom w:val="none" w:sz="0" w:space="0" w:color="auto"/>
        <w:right w:val="none" w:sz="0" w:space="0" w:color="auto"/>
      </w:divBdr>
    </w:div>
    <w:div w:id="1683120783">
      <w:bodyDiv w:val="1"/>
      <w:marLeft w:val="0"/>
      <w:marRight w:val="0"/>
      <w:marTop w:val="0"/>
      <w:marBottom w:val="0"/>
      <w:divBdr>
        <w:top w:val="none" w:sz="0" w:space="0" w:color="auto"/>
        <w:left w:val="none" w:sz="0" w:space="0" w:color="auto"/>
        <w:bottom w:val="none" w:sz="0" w:space="0" w:color="auto"/>
        <w:right w:val="none" w:sz="0" w:space="0" w:color="auto"/>
      </w:divBdr>
    </w:div>
    <w:div w:id="1684555290">
      <w:bodyDiv w:val="1"/>
      <w:marLeft w:val="0"/>
      <w:marRight w:val="0"/>
      <w:marTop w:val="0"/>
      <w:marBottom w:val="0"/>
      <w:divBdr>
        <w:top w:val="none" w:sz="0" w:space="0" w:color="auto"/>
        <w:left w:val="none" w:sz="0" w:space="0" w:color="auto"/>
        <w:bottom w:val="none" w:sz="0" w:space="0" w:color="auto"/>
        <w:right w:val="none" w:sz="0" w:space="0" w:color="auto"/>
      </w:divBdr>
    </w:div>
    <w:div w:id="1685595046">
      <w:bodyDiv w:val="1"/>
      <w:marLeft w:val="0"/>
      <w:marRight w:val="0"/>
      <w:marTop w:val="0"/>
      <w:marBottom w:val="0"/>
      <w:divBdr>
        <w:top w:val="none" w:sz="0" w:space="0" w:color="auto"/>
        <w:left w:val="none" w:sz="0" w:space="0" w:color="auto"/>
        <w:bottom w:val="none" w:sz="0" w:space="0" w:color="auto"/>
        <w:right w:val="none" w:sz="0" w:space="0" w:color="auto"/>
      </w:divBdr>
    </w:div>
    <w:div w:id="1685982113">
      <w:bodyDiv w:val="1"/>
      <w:marLeft w:val="0"/>
      <w:marRight w:val="0"/>
      <w:marTop w:val="0"/>
      <w:marBottom w:val="0"/>
      <w:divBdr>
        <w:top w:val="none" w:sz="0" w:space="0" w:color="auto"/>
        <w:left w:val="none" w:sz="0" w:space="0" w:color="auto"/>
        <w:bottom w:val="none" w:sz="0" w:space="0" w:color="auto"/>
        <w:right w:val="none" w:sz="0" w:space="0" w:color="auto"/>
      </w:divBdr>
    </w:div>
    <w:div w:id="1686204925">
      <w:bodyDiv w:val="1"/>
      <w:marLeft w:val="0"/>
      <w:marRight w:val="0"/>
      <w:marTop w:val="0"/>
      <w:marBottom w:val="0"/>
      <w:divBdr>
        <w:top w:val="none" w:sz="0" w:space="0" w:color="auto"/>
        <w:left w:val="none" w:sz="0" w:space="0" w:color="auto"/>
        <w:bottom w:val="none" w:sz="0" w:space="0" w:color="auto"/>
        <w:right w:val="none" w:sz="0" w:space="0" w:color="auto"/>
      </w:divBdr>
    </w:div>
    <w:div w:id="1686596666">
      <w:bodyDiv w:val="1"/>
      <w:marLeft w:val="0"/>
      <w:marRight w:val="0"/>
      <w:marTop w:val="0"/>
      <w:marBottom w:val="0"/>
      <w:divBdr>
        <w:top w:val="none" w:sz="0" w:space="0" w:color="auto"/>
        <w:left w:val="none" w:sz="0" w:space="0" w:color="auto"/>
        <w:bottom w:val="none" w:sz="0" w:space="0" w:color="auto"/>
        <w:right w:val="none" w:sz="0" w:space="0" w:color="auto"/>
      </w:divBdr>
    </w:div>
    <w:div w:id="1687245341">
      <w:bodyDiv w:val="1"/>
      <w:marLeft w:val="0"/>
      <w:marRight w:val="0"/>
      <w:marTop w:val="0"/>
      <w:marBottom w:val="0"/>
      <w:divBdr>
        <w:top w:val="none" w:sz="0" w:space="0" w:color="auto"/>
        <w:left w:val="none" w:sz="0" w:space="0" w:color="auto"/>
        <w:bottom w:val="none" w:sz="0" w:space="0" w:color="auto"/>
        <w:right w:val="none" w:sz="0" w:space="0" w:color="auto"/>
      </w:divBdr>
    </w:div>
    <w:div w:id="1687636768">
      <w:bodyDiv w:val="1"/>
      <w:marLeft w:val="0"/>
      <w:marRight w:val="0"/>
      <w:marTop w:val="0"/>
      <w:marBottom w:val="0"/>
      <w:divBdr>
        <w:top w:val="none" w:sz="0" w:space="0" w:color="auto"/>
        <w:left w:val="none" w:sz="0" w:space="0" w:color="auto"/>
        <w:bottom w:val="none" w:sz="0" w:space="0" w:color="auto"/>
        <w:right w:val="none" w:sz="0" w:space="0" w:color="auto"/>
      </w:divBdr>
    </w:div>
    <w:div w:id="1687826760">
      <w:bodyDiv w:val="1"/>
      <w:marLeft w:val="0"/>
      <w:marRight w:val="0"/>
      <w:marTop w:val="0"/>
      <w:marBottom w:val="0"/>
      <w:divBdr>
        <w:top w:val="none" w:sz="0" w:space="0" w:color="auto"/>
        <w:left w:val="none" w:sz="0" w:space="0" w:color="auto"/>
        <w:bottom w:val="none" w:sz="0" w:space="0" w:color="auto"/>
        <w:right w:val="none" w:sz="0" w:space="0" w:color="auto"/>
      </w:divBdr>
    </w:div>
    <w:div w:id="1693648831">
      <w:bodyDiv w:val="1"/>
      <w:marLeft w:val="0"/>
      <w:marRight w:val="0"/>
      <w:marTop w:val="0"/>
      <w:marBottom w:val="0"/>
      <w:divBdr>
        <w:top w:val="none" w:sz="0" w:space="0" w:color="auto"/>
        <w:left w:val="none" w:sz="0" w:space="0" w:color="auto"/>
        <w:bottom w:val="none" w:sz="0" w:space="0" w:color="auto"/>
        <w:right w:val="none" w:sz="0" w:space="0" w:color="auto"/>
      </w:divBdr>
    </w:div>
    <w:div w:id="1693652697">
      <w:bodyDiv w:val="1"/>
      <w:marLeft w:val="0"/>
      <w:marRight w:val="0"/>
      <w:marTop w:val="0"/>
      <w:marBottom w:val="0"/>
      <w:divBdr>
        <w:top w:val="none" w:sz="0" w:space="0" w:color="auto"/>
        <w:left w:val="none" w:sz="0" w:space="0" w:color="auto"/>
        <w:bottom w:val="none" w:sz="0" w:space="0" w:color="auto"/>
        <w:right w:val="none" w:sz="0" w:space="0" w:color="auto"/>
      </w:divBdr>
    </w:div>
    <w:div w:id="1694071823">
      <w:bodyDiv w:val="1"/>
      <w:marLeft w:val="0"/>
      <w:marRight w:val="0"/>
      <w:marTop w:val="0"/>
      <w:marBottom w:val="0"/>
      <w:divBdr>
        <w:top w:val="none" w:sz="0" w:space="0" w:color="auto"/>
        <w:left w:val="none" w:sz="0" w:space="0" w:color="auto"/>
        <w:bottom w:val="none" w:sz="0" w:space="0" w:color="auto"/>
        <w:right w:val="none" w:sz="0" w:space="0" w:color="auto"/>
      </w:divBdr>
    </w:div>
    <w:div w:id="1694721839">
      <w:bodyDiv w:val="1"/>
      <w:marLeft w:val="0"/>
      <w:marRight w:val="0"/>
      <w:marTop w:val="0"/>
      <w:marBottom w:val="0"/>
      <w:divBdr>
        <w:top w:val="none" w:sz="0" w:space="0" w:color="auto"/>
        <w:left w:val="none" w:sz="0" w:space="0" w:color="auto"/>
        <w:bottom w:val="none" w:sz="0" w:space="0" w:color="auto"/>
        <w:right w:val="none" w:sz="0" w:space="0" w:color="auto"/>
      </w:divBdr>
    </w:div>
    <w:div w:id="1695962990">
      <w:bodyDiv w:val="1"/>
      <w:marLeft w:val="0"/>
      <w:marRight w:val="0"/>
      <w:marTop w:val="0"/>
      <w:marBottom w:val="0"/>
      <w:divBdr>
        <w:top w:val="none" w:sz="0" w:space="0" w:color="auto"/>
        <w:left w:val="none" w:sz="0" w:space="0" w:color="auto"/>
        <w:bottom w:val="none" w:sz="0" w:space="0" w:color="auto"/>
        <w:right w:val="none" w:sz="0" w:space="0" w:color="auto"/>
      </w:divBdr>
    </w:div>
    <w:div w:id="1696685817">
      <w:bodyDiv w:val="1"/>
      <w:marLeft w:val="0"/>
      <w:marRight w:val="0"/>
      <w:marTop w:val="0"/>
      <w:marBottom w:val="0"/>
      <w:divBdr>
        <w:top w:val="none" w:sz="0" w:space="0" w:color="auto"/>
        <w:left w:val="none" w:sz="0" w:space="0" w:color="auto"/>
        <w:bottom w:val="none" w:sz="0" w:space="0" w:color="auto"/>
        <w:right w:val="none" w:sz="0" w:space="0" w:color="auto"/>
      </w:divBdr>
    </w:div>
    <w:div w:id="1696727844">
      <w:bodyDiv w:val="1"/>
      <w:marLeft w:val="0"/>
      <w:marRight w:val="0"/>
      <w:marTop w:val="0"/>
      <w:marBottom w:val="0"/>
      <w:divBdr>
        <w:top w:val="none" w:sz="0" w:space="0" w:color="auto"/>
        <w:left w:val="none" w:sz="0" w:space="0" w:color="auto"/>
        <w:bottom w:val="none" w:sz="0" w:space="0" w:color="auto"/>
        <w:right w:val="none" w:sz="0" w:space="0" w:color="auto"/>
      </w:divBdr>
    </w:div>
    <w:div w:id="1698504947">
      <w:bodyDiv w:val="1"/>
      <w:marLeft w:val="0"/>
      <w:marRight w:val="0"/>
      <w:marTop w:val="0"/>
      <w:marBottom w:val="0"/>
      <w:divBdr>
        <w:top w:val="none" w:sz="0" w:space="0" w:color="auto"/>
        <w:left w:val="none" w:sz="0" w:space="0" w:color="auto"/>
        <w:bottom w:val="none" w:sz="0" w:space="0" w:color="auto"/>
        <w:right w:val="none" w:sz="0" w:space="0" w:color="auto"/>
      </w:divBdr>
    </w:div>
    <w:div w:id="1699163954">
      <w:bodyDiv w:val="1"/>
      <w:marLeft w:val="0"/>
      <w:marRight w:val="0"/>
      <w:marTop w:val="0"/>
      <w:marBottom w:val="0"/>
      <w:divBdr>
        <w:top w:val="none" w:sz="0" w:space="0" w:color="auto"/>
        <w:left w:val="none" w:sz="0" w:space="0" w:color="auto"/>
        <w:bottom w:val="none" w:sz="0" w:space="0" w:color="auto"/>
        <w:right w:val="none" w:sz="0" w:space="0" w:color="auto"/>
      </w:divBdr>
      <w:divsChild>
        <w:div w:id="70202362">
          <w:marLeft w:val="446"/>
          <w:marRight w:val="0"/>
          <w:marTop w:val="60"/>
          <w:marBottom w:val="0"/>
          <w:divBdr>
            <w:top w:val="none" w:sz="0" w:space="0" w:color="auto"/>
            <w:left w:val="none" w:sz="0" w:space="0" w:color="auto"/>
            <w:bottom w:val="none" w:sz="0" w:space="0" w:color="auto"/>
            <w:right w:val="none" w:sz="0" w:space="0" w:color="auto"/>
          </w:divBdr>
        </w:div>
        <w:div w:id="610672695">
          <w:marLeft w:val="446"/>
          <w:marRight w:val="0"/>
          <w:marTop w:val="60"/>
          <w:marBottom w:val="0"/>
          <w:divBdr>
            <w:top w:val="none" w:sz="0" w:space="0" w:color="auto"/>
            <w:left w:val="none" w:sz="0" w:space="0" w:color="auto"/>
            <w:bottom w:val="none" w:sz="0" w:space="0" w:color="auto"/>
            <w:right w:val="none" w:sz="0" w:space="0" w:color="auto"/>
          </w:divBdr>
        </w:div>
      </w:divsChild>
    </w:div>
    <w:div w:id="1699619320">
      <w:bodyDiv w:val="1"/>
      <w:marLeft w:val="0"/>
      <w:marRight w:val="0"/>
      <w:marTop w:val="0"/>
      <w:marBottom w:val="0"/>
      <w:divBdr>
        <w:top w:val="none" w:sz="0" w:space="0" w:color="auto"/>
        <w:left w:val="none" w:sz="0" w:space="0" w:color="auto"/>
        <w:bottom w:val="none" w:sz="0" w:space="0" w:color="auto"/>
        <w:right w:val="none" w:sz="0" w:space="0" w:color="auto"/>
      </w:divBdr>
    </w:div>
    <w:div w:id="1700856022">
      <w:bodyDiv w:val="1"/>
      <w:marLeft w:val="0"/>
      <w:marRight w:val="0"/>
      <w:marTop w:val="0"/>
      <w:marBottom w:val="0"/>
      <w:divBdr>
        <w:top w:val="none" w:sz="0" w:space="0" w:color="auto"/>
        <w:left w:val="none" w:sz="0" w:space="0" w:color="auto"/>
        <w:bottom w:val="none" w:sz="0" w:space="0" w:color="auto"/>
        <w:right w:val="none" w:sz="0" w:space="0" w:color="auto"/>
      </w:divBdr>
    </w:div>
    <w:div w:id="1701122916">
      <w:bodyDiv w:val="1"/>
      <w:marLeft w:val="0"/>
      <w:marRight w:val="0"/>
      <w:marTop w:val="0"/>
      <w:marBottom w:val="0"/>
      <w:divBdr>
        <w:top w:val="none" w:sz="0" w:space="0" w:color="auto"/>
        <w:left w:val="none" w:sz="0" w:space="0" w:color="auto"/>
        <w:bottom w:val="none" w:sz="0" w:space="0" w:color="auto"/>
        <w:right w:val="none" w:sz="0" w:space="0" w:color="auto"/>
      </w:divBdr>
    </w:div>
    <w:div w:id="1701781777">
      <w:bodyDiv w:val="1"/>
      <w:marLeft w:val="0"/>
      <w:marRight w:val="0"/>
      <w:marTop w:val="0"/>
      <w:marBottom w:val="0"/>
      <w:divBdr>
        <w:top w:val="none" w:sz="0" w:space="0" w:color="auto"/>
        <w:left w:val="none" w:sz="0" w:space="0" w:color="auto"/>
        <w:bottom w:val="none" w:sz="0" w:space="0" w:color="auto"/>
        <w:right w:val="none" w:sz="0" w:space="0" w:color="auto"/>
      </w:divBdr>
    </w:div>
    <w:div w:id="1702127796">
      <w:bodyDiv w:val="1"/>
      <w:marLeft w:val="0"/>
      <w:marRight w:val="0"/>
      <w:marTop w:val="0"/>
      <w:marBottom w:val="0"/>
      <w:divBdr>
        <w:top w:val="none" w:sz="0" w:space="0" w:color="auto"/>
        <w:left w:val="none" w:sz="0" w:space="0" w:color="auto"/>
        <w:bottom w:val="none" w:sz="0" w:space="0" w:color="auto"/>
        <w:right w:val="none" w:sz="0" w:space="0" w:color="auto"/>
      </w:divBdr>
    </w:div>
    <w:div w:id="1703631729">
      <w:bodyDiv w:val="1"/>
      <w:marLeft w:val="0"/>
      <w:marRight w:val="0"/>
      <w:marTop w:val="0"/>
      <w:marBottom w:val="0"/>
      <w:divBdr>
        <w:top w:val="none" w:sz="0" w:space="0" w:color="auto"/>
        <w:left w:val="none" w:sz="0" w:space="0" w:color="auto"/>
        <w:bottom w:val="none" w:sz="0" w:space="0" w:color="auto"/>
        <w:right w:val="none" w:sz="0" w:space="0" w:color="auto"/>
      </w:divBdr>
    </w:div>
    <w:div w:id="1704087612">
      <w:bodyDiv w:val="1"/>
      <w:marLeft w:val="0"/>
      <w:marRight w:val="0"/>
      <w:marTop w:val="0"/>
      <w:marBottom w:val="0"/>
      <w:divBdr>
        <w:top w:val="none" w:sz="0" w:space="0" w:color="auto"/>
        <w:left w:val="none" w:sz="0" w:space="0" w:color="auto"/>
        <w:bottom w:val="none" w:sz="0" w:space="0" w:color="auto"/>
        <w:right w:val="none" w:sz="0" w:space="0" w:color="auto"/>
      </w:divBdr>
    </w:div>
    <w:div w:id="1704866324">
      <w:bodyDiv w:val="1"/>
      <w:marLeft w:val="0"/>
      <w:marRight w:val="0"/>
      <w:marTop w:val="0"/>
      <w:marBottom w:val="0"/>
      <w:divBdr>
        <w:top w:val="none" w:sz="0" w:space="0" w:color="auto"/>
        <w:left w:val="none" w:sz="0" w:space="0" w:color="auto"/>
        <w:bottom w:val="none" w:sz="0" w:space="0" w:color="auto"/>
        <w:right w:val="none" w:sz="0" w:space="0" w:color="auto"/>
      </w:divBdr>
    </w:div>
    <w:div w:id="1704869211">
      <w:bodyDiv w:val="1"/>
      <w:marLeft w:val="0"/>
      <w:marRight w:val="0"/>
      <w:marTop w:val="0"/>
      <w:marBottom w:val="0"/>
      <w:divBdr>
        <w:top w:val="none" w:sz="0" w:space="0" w:color="auto"/>
        <w:left w:val="none" w:sz="0" w:space="0" w:color="auto"/>
        <w:bottom w:val="none" w:sz="0" w:space="0" w:color="auto"/>
        <w:right w:val="none" w:sz="0" w:space="0" w:color="auto"/>
      </w:divBdr>
    </w:div>
    <w:div w:id="1705205876">
      <w:bodyDiv w:val="1"/>
      <w:marLeft w:val="0"/>
      <w:marRight w:val="0"/>
      <w:marTop w:val="0"/>
      <w:marBottom w:val="0"/>
      <w:divBdr>
        <w:top w:val="none" w:sz="0" w:space="0" w:color="auto"/>
        <w:left w:val="none" w:sz="0" w:space="0" w:color="auto"/>
        <w:bottom w:val="none" w:sz="0" w:space="0" w:color="auto"/>
        <w:right w:val="none" w:sz="0" w:space="0" w:color="auto"/>
      </w:divBdr>
    </w:div>
    <w:div w:id="1706564962">
      <w:bodyDiv w:val="1"/>
      <w:marLeft w:val="0"/>
      <w:marRight w:val="0"/>
      <w:marTop w:val="0"/>
      <w:marBottom w:val="0"/>
      <w:divBdr>
        <w:top w:val="none" w:sz="0" w:space="0" w:color="auto"/>
        <w:left w:val="none" w:sz="0" w:space="0" w:color="auto"/>
        <w:bottom w:val="none" w:sz="0" w:space="0" w:color="auto"/>
        <w:right w:val="none" w:sz="0" w:space="0" w:color="auto"/>
      </w:divBdr>
    </w:div>
    <w:div w:id="1707368649">
      <w:bodyDiv w:val="1"/>
      <w:marLeft w:val="0"/>
      <w:marRight w:val="0"/>
      <w:marTop w:val="0"/>
      <w:marBottom w:val="0"/>
      <w:divBdr>
        <w:top w:val="none" w:sz="0" w:space="0" w:color="auto"/>
        <w:left w:val="none" w:sz="0" w:space="0" w:color="auto"/>
        <w:bottom w:val="none" w:sz="0" w:space="0" w:color="auto"/>
        <w:right w:val="none" w:sz="0" w:space="0" w:color="auto"/>
      </w:divBdr>
    </w:div>
    <w:div w:id="1708986373">
      <w:bodyDiv w:val="1"/>
      <w:marLeft w:val="0"/>
      <w:marRight w:val="0"/>
      <w:marTop w:val="0"/>
      <w:marBottom w:val="0"/>
      <w:divBdr>
        <w:top w:val="none" w:sz="0" w:space="0" w:color="auto"/>
        <w:left w:val="none" w:sz="0" w:space="0" w:color="auto"/>
        <w:bottom w:val="none" w:sz="0" w:space="0" w:color="auto"/>
        <w:right w:val="none" w:sz="0" w:space="0" w:color="auto"/>
      </w:divBdr>
    </w:div>
    <w:div w:id="1710295376">
      <w:bodyDiv w:val="1"/>
      <w:marLeft w:val="0"/>
      <w:marRight w:val="0"/>
      <w:marTop w:val="0"/>
      <w:marBottom w:val="0"/>
      <w:divBdr>
        <w:top w:val="none" w:sz="0" w:space="0" w:color="auto"/>
        <w:left w:val="none" w:sz="0" w:space="0" w:color="auto"/>
        <w:bottom w:val="none" w:sz="0" w:space="0" w:color="auto"/>
        <w:right w:val="none" w:sz="0" w:space="0" w:color="auto"/>
      </w:divBdr>
    </w:div>
    <w:div w:id="1710645001">
      <w:bodyDiv w:val="1"/>
      <w:marLeft w:val="0"/>
      <w:marRight w:val="0"/>
      <w:marTop w:val="0"/>
      <w:marBottom w:val="0"/>
      <w:divBdr>
        <w:top w:val="none" w:sz="0" w:space="0" w:color="auto"/>
        <w:left w:val="none" w:sz="0" w:space="0" w:color="auto"/>
        <w:bottom w:val="none" w:sz="0" w:space="0" w:color="auto"/>
        <w:right w:val="none" w:sz="0" w:space="0" w:color="auto"/>
      </w:divBdr>
    </w:div>
    <w:div w:id="1710759355">
      <w:bodyDiv w:val="1"/>
      <w:marLeft w:val="0"/>
      <w:marRight w:val="0"/>
      <w:marTop w:val="0"/>
      <w:marBottom w:val="0"/>
      <w:divBdr>
        <w:top w:val="none" w:sz="0" w:space="0" w:color="auto"/>
        <w:left w:val="none" w:sz="0" w:space="0" w:color="auto"/>
        <w:bottom w:val="none" w:sz="0" w:space="0" w:color="auto"/>
        <w:right w:val="none" w:sz="0" w:space="0" w:color="auto"/>
      </w:divBdr>
    </w:div>
    <w:div w:id="1710915393">
      <w:bodyDiv w:val="1"/>
      <w:marLeft w:val="0"/>
      <w:marRight w:val="0"/>
      <w:marTop w:val="0"/>
      <w:marBottom w:val="0"/>
      <w:divBdr>
        <w:top w:val="none" w:sz="0" w:space="0" w:color="auto"/>
        <w:left w:val="none" w:sz="0" w:space="0" w:color="auto"/>
        <w:bottom w:val="none" w:sz="0" w:space="0" w:color="auto"/>
        <w:right w:val="none" w:sz="0" w:space="0" w:color="auto"/>
      </w:divBdr>
    </w:div>
    <w:div w:id="1712925397">
      <w:bodyDiv w:val="1"/>
      <w:marLeft w:val="0"/>
      <w:marRight w:val="0"/>
      <w:marTop w:val="0"/>
      <w:marBottom w:val="0"/>
      <w:divBdr>
        <w:top w:val="none" w:sz="0" w:space="0" w:color="auto"/>
        <w:left w:val="none" w:sz="0" w:space="0" w:color="auto"/>
        <w:bottom w:val="none" w:sz="0" w:space="0" w:color="auto"/>
        <w:right w:val="none" w:sz="0" w:space="0" w:color="auto"/>
      </w:divBdr>
    </w:div>
    <w:div w:id="1714114225">
      <w:bodyDiv w:val="1"/>
      <w:marLeft w:val="0"/>
      <w:marRight w:val="0"/>
      <w:marTop w:val="0"/>
      <w:marBottom w:val="0"/>
      <w:divBdr>
        <w:top w:val="none" w:sz="0" w:space="0" w:color="auto"/>
        <w:left w:val="none" w:sz="0" w:space="0" w:color="auto"/>
        <w:bottom w:val="none" w:sz="0" w:space="0" w:color="auto"/>
        <w:right w:val="none" w:sz="0" w:space="0" w:color="auto"/>
      </w:divBdr>
    </w:div>
    <w:div w:id="1715232201">
      <w:bodyDiv w:val="1"/>
      <w:marLeft w:val="0"/>
      <w:marRight w:val="0"/>
      <w:marTop w:val="0"/>
      <w:marBottom w:val="0"/>
      <w:divBdr>
        <w:top w:val="none" w:sz="0" w:space="0" w:color="auto"/>
        <w:left w:val="none" w:sz="0" w:space="0" w:color="auto"/>
        <w:bottom w:val="none" w:sz="0" w:space="0" w:color="auto"/>
        <w:right w:val="none" w:sz="0" w:space="0" w:color="auto"/>
      </w:divBdr>
    </w:div>
    <w:div w:id="1715544072">
      <w:bodyDiv w:val="1"/>
      <w:marLeft w:val="0"/>
      <w:marRight w:val="0"/>
      <w:marTop w:val="0"/>
      <w:marBottom w:val="0"/>
      <w:divBdr>
        <w:top w:val="none" w:sz="0" w:space="0" w:color="auto"/>
        <w:left w:val="none" w:sz="0" w:space="0" w:color="auto"/>
        <w:bottom w:val="none" w:sz="0" w:space="0" w:color="auto"/>
        <w:right w:val="none" w:sz="0" w:space="0" w:color="auto"/>
      </w:divBdr>
    </w:div>
    <w:div w:id="1716928142">
      <w:bodyDiv w:val="1"/>
      <w:marLeft w:val="0"/>
      <w:marRight w:val="0"/>
      <w:marTop w:val="0"/>
      <w:marBottom w:val="0"/>
      <w:divBdr>
        <w:top w:val="none" w:sz="0" w:space="0" w:color="auto"/>
        <w:left w:val="none" w:sz="0" w:space="0" w:color="auto"/>
        <w:bottom w:val="none" w:sz="0" w:space="0" w:color="auto"/>
        <w:right w:val="none" w:sz="0" w:space="0" w:color="auto"/>
      </w:divBdr>
    </w:div>
    <w:div w:id="1717048472">
      <w:bodyDiv w:val="1"/>
      <w:marLeft w:val="0"/>
      <w:marRight w:val="0"/>
      <w:marTop w:val="0"/>
      <w:marBottom w:val="0"/>
      <w:divBdr>
        <w:top w:val="none" w:sz="0" w:space="0" w:color="auto"/>
        <w:left w:val="none" w:sz="0" w:space="0" w:color="auto"/>
        <w:bottom w:val="none" w:sz="0" w:space="0" w:color="auto"/>
        <w:right w:val="none" w:sz="0" w:space="0" w:color="auto"/>
      </w:divBdr>
    </w:div>
    <w:div w:id="1717315043">
      <w:bodyDiv w:val="1"/>
      <w:marLeft w:val="0"/>
      <w:marRight w:val="0"/>
      <w:marTop w:val="0"/>
      <w:marBottom w:val="0"/>
      <w:divBdr>
        <w:top w:val="none" w:sz="0" w:space="0" w:color="auto"/>
        <w:left w:val="none" w:sz="0" w:space="0" w:color="auto"/>
        <w:bottom w:val="none" w:sz="0" w:space="0" w:color="auto"/>
        <w:right w:val="none" w:sz="0" w:space="0" w:color="auto"/>
      </w:divBdr>
    </w:div>
    <w:div w:id="1717388261">
      <w:bodyDiv w:val="1"/>
      <w:marLeft w:val="0"/>
      <w:marRight w:val="0"/>
      <w:marTop w:val="0"/>
      <w:marBottom w:val="0"/>
      <w:divBdr>
        <w:top w:val="none" w:sz="0" w:space="0" w:color="auto"/>
        <w:left w:val="none" w:sz="0" w:space="0" w:color="auto"/>
        <w:bottom w:val="none" w:sz="0" w:space="0" w:color="auto"/>
        <w:right w:val="none" w:sz="0" w:space="0" w:color="auto"/>
      </w:divBdr>
    </w:div>
    <w:div w:id="1719621068">
      <w:bodyDiv w:val="1"/>
      <w:marLeft w:val="0"/>
      <w:marRight w:val="0"/>
      <w:marTop w:val="0"/>
      <w:marBottom w:val="0"/>
      <w:divBdr>
        <w:top w:val="none" w:sz="0" w:space="0" w:color="auto"/>
        <w:left w:val="none" w:sz="0" w:space="0" w:color="auto"/>
        <w:bottom w:val="none" w:sz="0" w:space="0" w:color="auto"/>
        <w:right w:val="none" w:sz="0" w:space="0" w:color="auto"/>
      </w:divBdr>
    </w:div>
    <w:div w:id="1720087600">
      <w:bodyDiv w:val="1"/>
      <w:marLeft w:val="0"/>
      <w:marRight w:val="0"/>
      <w:marTop w:val="0"/>
      <w:marBottom w:val="0"/>
      <w:divBdr>
        <w:top w:val="none" w:sz="0" w:space="0" w:color="auto"/>
        <w:left w:val="none" w:sz="0" w:space="0" w:color="auto"/>
        <w:bottom w:val="none" w:sz="0" w:space="0" w:color="auto"/>
        <w:right w:val="none" w:sz="0" w:space="0" w:color="auto"/>
      </w:divBdr>
    </w:div>
    <w:div w:id="1720396924">
      <w:bodyDiv w:val="1"/>
      <w:marLeft w:val="0"/>
      <w:marRight w:val="0"/>
      <w:marTop w:val="0"/>
      <w:marBottom w:val="0"/>
      <w:divBdr>
        <w:top w:val="none" w:sz="0" w:space="0" w:color="auto"/>
        <w:left w:val="none" w:sz="0" w:space="0" w:color="auto"/>
        <w:bottom w:val="none" w:sz="0" w:space="0" w:color="auto"/>
        <w:right w:val="none" w:sz="0" w:space="0" w:color="auto"/>
      </w:divBdr>
    </w:div>
    <w:div w:id="1721175452">
      <w:bodyDiv w:val="1"/>
      <w:marLeft w:val="0"/>
      <w:marRight w:val="0"/>
      <w:marTop w:val="0"/>
      <w:marBottom w:val="0"/>
      <w:divBdr>
        <w:top w:val="none" w:sz="0" w:space="0" w:color="auto"/>
        <w:left w:val="none" w:sz="0" w:space="0" w:color="auto"/>
        <w:bottom w:val="none" w:sz="0" w:space="0" w:color="auto"/>
        <w:right w:val="none" w:sz="0" w:space="0" w:color="auto"/>
      </w:divBdr>
    </w:div>
    <w:div w:id="1722047678">
      <w:bodyDiv w:val="1"/>
      <w:marLeft w:val="0"/>
      <w:marRight w:val="0"/>
      <w:marTop w:val="0"/>
      <w:marBottom w:val="0"/>
      <w:divBdr>
        <w:top w:val="none" w:sz="0" w:space="0" w:color="auto"/>
        <w:left w:val="none" w:sz="0" w:space="0" w:color="auto"/>
        <w:bottom w:val="none" w:sz="0" w:space="0" w:color="auto"/>
        <w:right w:val="none" w:sz="0" w:space="0" w:color="auto"/>
      </w:divBdr>
    </w:div>
    <w:div w:id="1722289117">
      <w:bodyDiv w:val="1"/>
      <w:marLeft w:val="0"/>
      <w:marRight w:val="0"/>
      <w:marTop w:val="0"/>
      <w:marBottom w:val="0"/>
      <w:divBdr>
        <w:top w:val="none" w:sz="0" w:space="0" w:color="auto"/>
        <w:left w:val="none" w:sz="0" w:space="0" w:color="auto"/>
        <w:bottom w:val="none" w:sz="0" w:space="0" w:color="auto"/>
        <w:right w:val="none" w:sz="0" w:space="0" w:color="auto"/>
      </w:divBdr>
    </w:div>
    <w:div w:id="1724524157">
      <w:bodyDiv w:val="1"/>
      <w:marLeft w:val="0"/>
      <w:marRight w:val="0"/>
      <w:marTop w:val="0"/>
      <w:marBottom w:val="0"/>
      <w:divBdr>
        <w:top w:val="none" w:sz="0" w:space="0" w:color="auto"/>
        <w:left w:val="none" w:sz="0" w:space="0" w:color="auto"/>
        <w:bottom w:val="none" w:sz="0" w:space="0" w:color="auto"/>
        <w:right w:val="none" w:sz="0" w:space="0" w:color="auto"/>
      </w:divBdr>
    </w:div>
    <w:div w:id="1725252939">
      <w:bodyDiv w:val="1"/>
      <w:marLeft w:val="0"/>
      <w:marRight w:val="0"/>
      <w:marTop w:val="0"/>
      <w:marBottom w:val="0"/>
      <w:divBdr>
        <w:top w:val="none" w:sz="0" w:space="0" w:color="auto"/>
        <w:left w:val="none" w:sz="0" w:space="0" w:color="auto"/>
        <w:bottom w:val="none" w:sz="0" w:space="0" w:color="auto"/>
        <w:right w:val="none" w:sz="0" w:space="0" w:color="auto"/>
      </w:divBdr>
    </w:div>
    <w:div w:id="1726371198">
      <w:bodyDiv w:val="1"/>
      <w:marLeft w:val="0"/>
      <w:marRight w:val="0"/>
      <w:marTop w:val="0"/>
      <w:marBottom w:val="0"/>
      <w:divBdr>
        <w:top w:val="none" w:sz="0" w:space="0" w:color="auto"/>
        <w:left w:val="none" w:sz="0" w:space="0" w:color="auto"/>
        <w:bottom w:val="none" w:sz="0" w:space="0" w:color="auto"/>
        <w:right w:val="none" w:sz="0" w:space="0" w:color="auto"/>
      </w:divBdr>
    </w:div>
    <w:div w:id="1726755413">
      <w:bodyDiv w:val="1"/>
      <w:marLeft w:val="0"/>
      <w:marRight w:val="0"/>
      <w:marTop w:val="0"/>
      <w:marBottom w:val="0"/>
      <w:divBdr>
        <w:top w:val="none" w:sz="0" w:space="0" w:color="auto"/>
        <w:left w:val="none" w:sz="0" w:space="0" w:color="auto"/>
        <w:bottom w:val="none" w:sz="0" w:space="0" w:color="auto"/>
        <w:right w:val="none" w:sz="0" w:space="0" w:color="auto"/>
      </w:divBdr>
    </w:div>
    <w:div w:id="1728186895">
      <w:bodyDiv w:val="1"/>
      <w:marLeft w:val="0"/>
      <w:marRight w:val="0"/>
      <w:marTop w:val="0"/>
      <w:marBottom w:val="0"/>
      <w:divBdr>
        <w:top w:val="none" w:sz="0" w:space="0" w:color="auto"/>
        <w:left w:val="none" w:sz="0" w:space="0" w:color="auto"/>
        <w:bottom w:val="none" w:sz="0" w:space="0" w:color="auto"/>
        <w:right w:val="none" w:sz="0" w:space="0" w:color="auto"/>
      </w:divBdr>
    </w:div>
    <w:div w:id="1729572759">
      <w:bodyDiv w:val="1"/>
      <w:marLeft w:val="0"/>
      <w:marRight w:val="0"/>
      <w:marTop w:val="0"/>
      <w:marBottom w:val="0"/>
      <w:divBdr>
        <w:top w:val="none" w:sz="0" w:space="0" w:color="auto"/>
        <w:left w:val="none" w:sz="0" w:space="0" w:color="auto"/>
        <w:bottom w:val="none" w:sz="0" w:space="0" w:color="auto"/>
        <w:right w:val="none" w:sz="0" w:space="0" w:color="auto"/>
      </w:divBdr>
    </w:div>
    <w:div w:id="1731615623">
      <w:bodyDiv w:val="1"/>
      <w:marLeft w:val="0"/>
      <w:marRight w:val="0"/>
      <w:marTop w:val="0"/>
      <w:marBottom w:val="0"/>
      <w:divBdr>
        <w:top w:val="none" w:sz="0" w:space="0" w:color="auto"/>
        <w:left w:val="none" w:sz="0" w:space="0" w:color="auto"/>
        <w:bottom w:val="none" w:sz="0" w:space="0" w:color="auto"/>
        <w:right w:val="none" w:sz="0" w:space="0" w:color="auto"/>
      </w:divBdr>
    </w:div>
    <w:div w:id="1732193103">
      <w:bodyDiv w:val="1"/>
      <w:marLeft w:val="0"/>
      <w:marRight w:val="0"/>
      <w:marTop w:val="0"/>
      <w:marBottom w:val="0"/>
      <w:divBdr>
        <w:top w:val="none" w:sz="0" w:space="0" w:color="auto"/>
        <w:left w:val="none" w:sz="0" w:space="0" w:color="auto"/>
        <w:bottom w:val="none" w:sz="0" w:space="0" w:color="auto"/>
        <w:right w:val="none" w:sz="0" w:space="0" w:color="auto"/>
      </w:divBdr>
    </w:div>
    <w:div w:id="1732462972">
      <w:bodyDiv w:val="1"/>
      <w:marLeft w:val="0"/>
      <w:marRight w:val="0"/>
      <w:marTop w:val="0"/>
      <w:marBottom w:val="0"/>
      <w:divBdr>
        <w:top w:val="none" w:sz="0" w:space="0" w:color="auto"/>
        <w:left w:val="none" w:sz="0" w:space="0" w:color="auto"/>
        <w:bottom w:val="none" w:sz="0" w:space="0" w:color="auto"/>
        <w:right w:val="none" w:sz="0" w:space="0" w:color="auto"/>
      </w:divBdr>
    </w:div>
    <w:div w:id="1732727918">
      <w:bodyDiv w:val="1"/>
      <w:marLeft w:val="0"/>
      <w:marRight w:val="0"/>
      <w:marTop w:val="0"/>
      <w:marBottom w:val="0"/>
      <w:divBdr>
        <w:top w:val="none" w:sz="0" w:space="0" w:color="auto"/>
        <w:left w:val="none" w:sz="0" w:space="0" w:color="auto"/>
        <w:bottom w:val="none" w:sz="0" w:space="0" w:color="auto"/>
        <w:right w:val="none" w:sz="0" w:space="0" w:color="auto"/>
      </w:divBdr>
    </w:div>
    <w:div w:id="1733235569">
      <w:bodyDiv w:val="1"/>
      <w:marLeft w:val="0"/>
      <w:marRight w:val="0"/>
      <w:marTop w:val="0"/>
      <w:marBottom w:val="0"/>
      <w:divBdr>
        <w:top w:val="none" w:sz="0" w:space="0" w:color="auto"/>
        <w:left w:val="none" w:sz="0" w:space="0" w:color="auto"/>
        <w:bottom w:val="none" w:sz="0" w:space="0" w:color="auto"/>
        <w:right w:val="none" w:sz="0" w:space="0" w:color="auto"/>
      </w:divBdr>
    </w:div>
    <w:div w:id="1733849907">
      <w:bodyDiv w:val="1"/>
      <w:marLeft w:val="0"/>
      <w:marRight w:val="0"/>
      <w:marTop w:val="0"/>
      <w:marBottom w:val="0"/>
      <w:divBdr>
        <w:top w:val="none" w:sz="0" w:space="0" w:color="auto"/>
        <w:left w:val="none" w:sz="0" w:space="0" w:color="auto"/>
        <w:bottom w:val="none" w:sz="0" w:space="0" w:color="auto"/>
        <w:right w:val="none" w:sz="0" w:space="0" w:color="auto"/>
      </w:divBdr>
    </w:div>
    <w:div w:id="1733890490">
      <w:bodyDiv w:val="1"/>
      <w:marLeft w:val="0"/>
      <w:marRight w:val="0"/>
      <w:marTop w:val="0"/>
      <w:marBottom w:val="0"/>
      <w:divBdr>
        <w:top w:val="none" w:sz="0" w:space="0" w:color="auto"/>
        <w:left w:val="none" w:sz="0" w:space="0" w:color="auto"/>
        <w:bottom w:val="none" w:sz="0" w:space="0" w:color="auto"/>
        <w:right w:val="none" w:sz="0" w:space="0" w:color="auto"/>
      </w:divBdr>
    </w:div>
    <w:div w:id="1733892330">
      <w:bodyDiv w:val="1"/>
      <w:marLeft w:val="0"/>
      <w:marRight w:val="0"/>
      <w:marTop w:val="0"/>
      <w:marBottom w:val="0"/>
      <w:divBdr>
        <w:top w:val="none" w:sz="0" w:space="0" w:color="auto"/>
        <w:left w:val="none" w:sz="0" w:space="0" w:color="auto"/>
        <w:bottom w:val="none" w:sz="0" w:space="0" w:color="auto"/>
        <w:right w:val="none" w:sz="0" w:space="0" w:color="auto"/>
      </w:divBdr>
    </w:div>
    <w:div w:id="1734162435">
      <w:bodyDiv w:val="1"/>
      <w:marLeft w:val="0"/>
      <w:marRight w:val="0"/>
      <w:marTop w:val="0"/>
      <w:marBottom w:val="0"/>
      <w:divBdr>
        <w:top w:val="none" w:sz="0" w:space="0" w:color="auto"/>
        <w:left w:val="none" w:sz="0" w:space="0" w:color="auto"/>
        <w:bottom w:val="none" w:sz="0" w:space="0" w:color="auto"/>
        <w:right w:val="none" w:sz="0" w:space="0" w:color="auto"/>
      </w:divBdr>
    </w:div>
    <w:div w:id="1734308362">
      <w:bodyDiv w:val="1"/>
      <w:marLeft w:val="0"/>
      <w:marRight w:val="0"/>
      <w:marTop w:val="0"/>
      <w:marBottom w:val="0"/>
      <w:divBdr>
        <w:top w:val="none" w:sz="0" w:space="0" w:color="auto"/>
        <w:left w:val="none" w:sz="0" w:space="0" w:color="auto"/>
        <w:bottom w:val="none" w:sz="0" w:space="0" w:color="auto"/>
        <w:right w:val="none" w:sz="0" w:space="0" w:color="auto"/>
      </w:divBdr>
    </w:div>
    <w:div w:id="1736391904">
      <w:bodyDiv w:val="1"/>
      <w:marLeft w:val="0"/>
      <w:marRight w:val="0"/>
      <w:marTop w:val="0"/>
      <w:marBottom w:val="0"/>
      <w:divBdr>
        <w:top w:val="none" w:sz="0" w:space="0" w:color="auto"/>
        <w:left w:val="none" w:sz="0" w:space="0" w:color="auto"/>
        <w:bottom w:val="none" w:sz="0" w:space="0" w:color="auto"/>
        <w:right w:val="none" w:sz="0" w:space="0" w:color="auto"/>
      </w:divBdr>
    </w:div>
    <w:div w:id="1736463501">
      <w:bodyDiv w:val="1"/>
      <w:marLeft w:val="0"/>
      <w:marRight w:val="0"/>
      <w:marTop w:val="0"/>
      <w:marBottom w:val="0"/>
      <w:divBdr>
        <w:top w:val="none" w:sz="0" w:space="0" w:color="auto"/>
        <w:left w:val="none" w:sz="0" w:space="0" w:color="auto"/>
        <w:bottom w:val="none" w:sz="0" w:space="0" w:color="auto"/>
        <w:right w:val="none" w:sz="0" w:space="0" w:color="auto"/>
      </w:divBdr>
    </w:div>
    <w:div w:id="1737194302">
      <w:bodyDiv w:val="1"/>
      <w:marLeft w:val="0"/>
      <w:marRight w:val="0"/>
      <w:marTop w:val="0"/>
      <w:marBottom w:val="0"/>
      <w:divBdr>
        <w:top w:val="none" w:sz="0" w:space="0" w:color="auto"/>
        <w:left w:val="none" w:sz="0" w:space="0" w:color="auto"/>
        <w:bottom w:val="none" w:sz="0" w:space="0" w:color="auto"/>
        <w:right w:val="none" w:sz="0" w:space="0" w:color="auto"/>
      </w:divBdr>
    </w:div>
    <w:div w:id="1737705050">
      <w:bodyDiv w:val="1"/>
      <w:marLeft w:val="0"/>
      <w:marRight w:val="0"/>
      <w:marTop w:val="0"/>
      <w:marBottom w:val="0"/>
      <w:divBdr>
        <w:top w:val="none" w:sz="0" w:space="0" w:color="auto"/>
        <w:left w:val="none" w:sz="0" w:space="0" w:color="auto"/>
        <w:bottom w:val="none" w:sz="0" w:space="0" w:color="auto"/>
        <w:right w:val="none" w:sz="0" w:space="0" w:color="auto"/>
      </w:divBdr>
    </w:div>
    <w:div w:id="1737975409">
      <w:bodyDiv w:val="1"/>
      <w:marLeft w:val="0"/>
      <w:marRight w:val="0"/>
      <w:marTop w:val="0"/>
      <w:marBottom w:val="0"/>
      <w:divBdr>
        <w:top w:val="none" w:sz="0" w:space="0" w:color="auto"/>
        <w:left w:val="none" w:sz="0" w:space="0" w:color="auto"/>
        <w:bottom w:val="none" w:sz="0" w:space="0" w:color="auto"/>
        <w:right w:val="none" w:sz="0" w:space="0" w:color="auto"/>
      </w:divBdr>
    </w:div>
    <w:div w:id="1738432974">
      <w:bodyDiv w:val="1"/>
      <w:marLeft w:val="0"/>
      <w:marRight w:val="0"/>
      <w:marTop w:val="0"/>
      <w:marBottom w:val="0"/>
      <w:divBdr>
        <w:top w:val="none" w:sz="0" w:space="0" w:color="auto"/>
        <w:left w:val="none" w:sz="0" w:space="0" w:color="auto"/>
        <w:bottom w:val="none" w:sz="0" w:space="0" w:color="auto"/>
        <w:right w:val="none" w:sz="0" w:space="0" w:color="auto"/>
      </w:divBdr>
    </w:div>
    <w:div w:id="1738894509">
      <w:bodyDiv w:val="1"/>
      <w:marLeft w:val="0"/>
      <w:marRight w:val="0"/>
      <w:marTop w:val="0"/>
      <w:marBottom w:val="0"/>
      <w:divBdr>
        <w:top w:val="none" w:sz="0" w:space="0" w:color="auto"/>
        <w:left w:val="none" w:sz="0" w:space="0" w:color="auto"/>
        <w:bottom w:val="none" w:sz="0" w:space="0" w:color="auto"/>
        <w:right w:val="none" w:sz="0" w:space="0" w:color="auto"/>
      </w:divBdr>
    </w:div>
    <w:div w:id="1739982781">
      <w:bodyDiv w:val="1"/>
      <w:marLeft w:val="0"/>
      <w:marRight w:val="0"/>
      <w:marTop w:val="0"/>
      <w:marBottom w:val="0"/>
      <w:divBdr>
        <w:top w:val="none" w:sz="0" w:space="0" w:color="auto"/>
        <w:left w:val="none" w:sz="0" w:space="0" w:color="auto"/>
        <w:bottom w:val="none" w:sz="0" w:space="0" w:color="auto"/>
        <w:right w:val="none" w:sz="0" w:space="0" w:color="auto"/>
      </w:divBdr>
    </w:div>
    <w:div w:id="1741050218">
      <w:bodyDiv w:val="1"/>
      <w:marLeft w:val="0"/>
      <w:marRight w:val="0"/>
      <w:marTop w:val="0"/>
      <w:marBottom w:val="0"/>
      <w:divBdr>
        <w:top w:val="none" w:sz="0" w:space="0" w:color="auto"/>
        <w:left w:val="none" w:sz="0" w:space="0" w:color="auto"/>
        <w:bottom w:val="none" w:sz="0" w:space="0" w:color="auto"/>
        <w:right w:val="none" w:sz="0" w:space="0" w:color="auto"/>
      </w:divBdr>
    </w:div>
    <w:div w:id="1741059195">
      <w:bodyDiv w:val="1"/>
      <w:marLeft w:val="0"/>
      <w:marRight w:val="0"/>
      <w:marTop w:val="0"/>
      <w:marBottom w:val="0"/>
      <w:divBdr>
        <w:top w:val="none" w:sz="0" w:space="0" w:color="auto"/>
        <w:left w:val="none" w:sz="0" w:space="0" w:color="auto"/>
        <w:bottom w:val="none" w:sz="0" w:space="0" w:color="auto"/>
        <w:right w:val="none" w:sz="0" w:space="0" w:color="auto"/>
      </w:divBdr>
    </w:div>
    <w:div w:id="1741516454">
      <w:bodyDiv w:val="1"/>
      <w:marLeft w:val="0"/>
      <w:marRight w:val="0"/>
      <w:marTop w:val="0"/>
      <w:marBottom w:val="0"/>
      <w:divBdr>
        <w:top w:val="none" w:sz="0" w:space="0" w:color="auto"/>
        <w:left w:val="none" w:sz="0" w:space="0" w:color="auto"/>
        <w:bottom w:val="none" w:sz="0" w:space="0" w:color="auto"/>
        <w:right w:val="none" w:sz="0" w:space="0" w:color="auto"/>
      </w:divBdr>
    </w:div>
    <w:div w:id="1741904950">
      <w:bodyDiv w:val="1"/>
      <w:marLeft w:val="0"/>
      <w:marRight w:val="0"/>
      <w:marTop w:val="0"/>
      <w:marBottom w:val="0"/>
      <w:divBdr>
        <w:top w:val="none" w:sz="0" w:space="0" w:color="auto"/>
        <w:left w:val="none" w:sz="0" w:space="0" w:color="auto"/>
        <w:bottom w:val="none" w:sz="0" w:space="0" w:color="auto"/>
        <w:right w:val="none" w:sz="0" w:space="0" w:color="auto"/>
      </w:divBdr>
    </w:div>
    <w:div w:id="1741947853">
      <w:bodyDiv w:val="1"/>
      <w:marLeft w:val="0"/>
      <w:marRight w:val="0"/>
      <w:marTop w:val="0"/>
      <w:marBottom w:val="0"/>
      <w:divBdr>
        <w:top w:val="none" w:sz="0" w:space="0" w:color="auto"/>
        <w:left w:val="none" w:sz="0" w:space="0" w:color="auto"/>
        <w:bottom w:val="none" w:sz="0" w:space="0" w:color="auto"/>
        <w:right w:val="none" w:sz="0" w:space="0" w:color="auto"/>
      </w:divBdr>
    </w:div>
    <w:div w:id="1744915163">
      <w:bodyDiv w:val="1"/>
      <w:marLeft w:val="0"/>
      <w:marRight w:val="0"/>
      <w:marTop w:val="0"/>
      <w:marBottom w:val="0"/>
      <w:divBdr>
        <w:top w:val="none" w:sz="0" w:space="0" w:color="auto"/>
        <w:left w:val="none" w:sz="0" w:space="0" w:color="auto"/>
        <w:bottom w:val="none" w:sz="0" w:space="0" w:color="auto"/>
        <w:right w:val="none" w:sz="0" w:space="0" w:color="auto"/>
      </w:divBdr>
    </w:div>
    <w:div w:id="1747260750">
      <w:bodyDiv w:val="1"/>
      <w:marLeft w:val="0"/>
      <w:marRight w:val="0"/>
      <w:marTop w:val="0"/>
      <w:marBottom w:val="0"/>
      <w:divBdr>
        <w:top w:val="none" w:sz="0" w:space="0" w:color="auto"/>
        <w:left w:val="none" w:sz="0" w:space="0" w:color="auto"/>
        <w:bottom w:val="none" w:sz="0" w:space="0" w:color="auto"/>
        <w:right w:val="none" w:sz="0" w:space="0" w:color="auto"/>
      </w:divBdr>
    </w:div>
    <w:div w:id="1747458573">
      <w:bodyDiv w:val="1"/>
      <w:marLeft w:val="0"/>
      <w:marRight w:val="0"/>
      <w:marTop w:val="0"/>
      <w:marBottom w:val="0"/>
      <w:divBdr>
        <w:top w:val="none" w:sz="0" w:space="0" w:color="auto"/>
        <w:left w:val="none" w:sz="0" w:space="0" w:color="auto"/>
        <w:bottom w:val="none" w:sz="0" w:space="0" w:color="auto"/>
        <w:right w:val="none" w:sz="0" w:space="0" w:color="auto"/>
      </w:divBdr>
    </w:div>
    <w:div w:id="1747529794">
      <w:bodyDiv w:val="1"/>
      <w:marLeft w:val="0"/>
      <w:marRight w:val="0"/>
      <w:marTop w:val="0"/>
      <w:marBottom w:val="0"/>
      <w:divBdr>
        <w:top w:val="none" w:sz="0" w:space="0" w:color="auto"/>
        <w:left w:val="none" w:sz="0" w:space="0" w:color="auto"/>
        <w:bottom w:val="none" w:sz="0" w:space="0" w:color="auto"/>
        <w:right w:val="none" w:sz="0" w:space="0" w:color="auto"/>
      </w:divBdr>
    </w:div>
    <w:div w:id="1748457885">
      <w:bodyDiv w:val="1"/>
      <w:marLeft w:val="0"/>
      <w:marRight w:val="0"/>
      <w:marTop w:val="0"/>
      <w:marBottom w:val="0"/>
      <w:divBdr>
        <w:top w:val="none" w:sz="0" w:space="0" w:color="auto"/>
        <w:left w:val="none" w:sz="0" w:space="0" w:color="auto"/>
        <w:bottom w:val="none" w:sz="0" w:space="0" w:color="auto"/>
        <w:right w:val="none" w:sz="0" w:space="0" w:color="auto"/>
      </w:divBdr>
    </w:div>
    <w:div w:id="1749380946">
      <w:bodyDiv w:val="1"/>
      <w:marLeft w:val="0"/>
      <w:marRight w:val="0"/>
      <w:marTop w:val="0"/>
      <w:marBottom w:val="0"/>
      <w:divBdr>
        <w:top w:val="none" w:sz="0" w:space="0" w:color="auto"/>
        <w:left w:val="none" w:sz="0" w:space="0" w:color="auto"/>
        <w:bottom w:val="none" w:sz="0" w:space="0" w:color="auto"/>
        <w:right w:val="none" w:sz="0" w:space="0" w:color="auto"/>
      </w:divBdr>
    </w:div>
    <w:div w:id="1749499075">
      <w:bodyDiv w:val="1"/>
      <w:marLeft w:val="0"/>
      <w:marRight w:val="0"/>
      <w:marTop w:val="0"/>
      <w:marBottom w:val="0"/>
      <w:divBdr>
        <w:top w:val="none" w:sz="0" w:space="0" w:color="auto"/>
        <w:left w:val="none" w:sz="0" w:space="0" w:color="auto"/>
        <w:bottom w:val="none" w:sz="0" w:space="0" w:color="auto"/>
        <w:right w:val="none" w:sz="0" w:space="0" w:color="auto"/>
      </w:divBdr>
    </w:div>
    <w:div w:id="1749770696">
      <w:bodyDiv w:val="1"/>
      <w:marLeft w:val="0"/>
      <w:marRight w:val="0"/>
      <w:marTop w:val="0"/>
      <w:marBottom w:val="0"/>
      <w:divBdr>
        <w:top w:val="none" w:sz="0" w:space="0" w:color="auto"/>
        <w:left w:val="none" w:sz="0" w:space="0" w:color="auto"/>
        <w:bottom w:val="none" w:sz="0" w:space="0" w:color="auto"/>
        <w:right w:val="none" w:sz="0" w:space="0" w:color="auto"/>
      </w:divBdr>
    </w:div>
    <w:div w:id="1750036199">
      <w:bodyDiv w:val="1"/>
      <w:marLeft w:val="0"/>
      <w:marRight w:val="0"/>
      <w:marTop w:val="0"/>
      <w:marBottom w:val="0"/>
      <w:divBdr>
        <w:top w:val="none" w:sz="0" w:space="0" w:color="auto"/>
        <w:left w:val="none" w:sz="0" w:space="0" w:color="auto"/>
        <w:bottom w:val="none" w:sz="0" w:space="0" w:color="auto"/>
        <w:right w:val="none" w:sz="0" w:space="0" w:color="auto"/>
      </w:divBdr>
    </w:div>
    <w:div w:id="1750156931">
      <w:bodyDiv w:val="1"/>
      <w:marLeft w:val="0"/>
      <w:marRight w:val="0"/>
      <w:marTop w:val="0"/>
      <w:marBottom w:val="0"/>
      <w:divBdr>
        <w:top w:val="none" w:sz="0" w:space="0" w:color="auto"/>
        <w:left w:val="none" w:sz="0" w:space="0" w:color="auto"/>
        <w:bottom w:val="none" w:sz="0" w:space="0" w:color="auto"/>
        <w:right w:val="none" w:sz="0" w:space="0" w:color="auto"/>
      </w:divBdr>
    </w:div>
    <w:div w:id="1750348845">
      <w:bodyDiv w:val="1"/>
      <w:marLeft w:val="0"/>
      <w:marRight w:val="0"/>
      <w:marTop w:val="0"/>
      <w:marBottom w:val="0"/>
      <w:divBdr>
        <w:top w:val="none" w:sz="0" w:space="0" w:color="auto"/>
        <w:left w:val="none" w:sz="0" w:space="0" w:color="auto"/>
        <w:bottom w:val="none" w:sz="0" w:space="0" w:color="auto"/>
        <w:right w:val="none" w:sz="0" w:space="0" w:color="auto"/>
      </w:divBdr>
    </w:div>
    <w:div w:id="1751194946">
      <w:bodyDiv w:val="1"/>
      <w:marLeft w:val="0"/>
      <w:marRight w:val="0"/>
      <w:marTop w:val="0"/>
      <w:marBottom w:val="0"/>
      <w:divBdr>
        <w:top w:val="none" w:sz="0" w:space="0" w:color="auto"/>
        <w:left w:val="none" w:sz="0" w:space="0" w:color="auto"/>
        <w:bottom w:val="none" w:sz="0" w:space="0" w:color="auto"/>
        <w:right w:val="none" w:sz="0" w:space="0" w:color="auto"/>
      </w:divBdr>
    </w:div>
    <w:div w:id="1751468895">
      <w:bodyDiv w:val="1"/>
      <w:marLeft w:val="0"/>
      <w:marRight w:val="0"/>
      <w:marTop w:val="0"/>
      <w:marBottom w:val="0"/>
      <w:divBdr>
        <w:top w:val="none" w:sz="0" w:space="0" w:color="auto"/>
        <w:left w:val="none" w:sz="0" w:space="0" w:color="auto"/>
        <w:bottom w:val="none" w:sz="0" w:space="0" w:color="auto"/>
        <w:right w:val="none" w:sz="0" w:space="0" w:color="auto"/>
      </w:divBdr>
    </w:div>
    <w:div w:id="1752847362">
      <w:bodyDiv w:val="1"/>
      <w:marLeft w:val="0"/>
      <w:marRight w:val="0"/>
      <w:marTop w:val="0"/>
      <w:marBottom w:val="0"/>
      <w:divBdr>
        <w:top w:val="none" w:sz="0" w:space="0" w:color="auto"/>
        <w:left w:val="none" w:sz="0" w:space="0" w:color="auto"/>
        <w:bottom w:val="none" w:sz="0" w:space="0" w:color="auto"/>
        <w:right w:val="none" w:sz="0" w:space="0" w:color="auto"/>
      </w:divBdr>
    </w:div>
    <w:div w:id="1753160266">
      <w:bodyDiv w:val="1"/>
      <w:marLeft w:val="0"/>
      <w:marRight w:val="0"/>
      <w:marTop w:val="0"/>
      <w:marBottom w:val="0"/>
      <w:divBdr>
        <w:top w:val="none" w:sz="0" w:space="0" w:color="auto"/>
        <w:left w:val="none" w:sz="0" w:space="0" w:color="auto"/>
        <w:bottom w:val="none" w:sz="0" w:space="0" w:color="auto"/>
        <w:right w:val="none" w:sz="0" w:space="0" w:color="auto"/>
      </w:divBdr>
    </w:div>
    <w:div w:id="1753238382">
      <w:bodyDiv w:val="1"/>
      <w:marLeft w:val="0"/>
      <w:marRight w:val="0"/>
      <w:marTop w:val="0"/>
      <w:marBottom w:val="0"/>
      <w:divBdr>
        <w:top w:val="none" w:sz="0" w:space="0" w:color="auto"/>
        <w:left w:val="none" w:sz="0" w:space="0" w:color="auto"/>
        <w:bottom w:val="none" w:sz="0" w:space="0" w:color="auto"/>
        <w:right w:val="none" w:sz="0" w:space="0" w:color="auto"/>
      </w:divBdr>
    </w:div>
    <w:div w:id="1753552548">
      <w:bodyDiv w:val="1"/>
      <w:marLeft w:val="0"/>
      <w:marRight w:val="0"/>
      <w:marTop w:val="0"/>
      <w:marBottom w:val="0"/>
      <w:divBdr>
        <w:top w:val="none" w:sz="0" w:space="0" w:color="auto"/>
        <w:left w:val="none" w:sz="0" w:space="0" w:color="auto"/>
        <w:bottom w:val="none" w:sz="0" w:space="0" w:color="auto"/>
        <w:right w:val="none" w:sz="0" w:space="0" w:color="auto"/>
      </w:divBdr>
    </w:div>
    <w:div w:id="1755514108">
      <w:bodyDiv w:val="1"/>
      <w:marLeft w:val="0"/>
      <w:marRight w:val="0"/>
      <w:marTop w:val="0"/>
      <w:marBottom w:val="0"/>
      <w:divBdr>
        <w:top w:val="none" w:sz="0" w:space="0" w:color="auto"/>
        <w:left w:val="none" w:sz="0" w:space="0" w:color="auto"/>
        <w:bottom w:val="none" w:sz="0" w:space="0" w:color="auto"/>
        <w:right w:val="none" w:sz="0" w:space="0" w:color="auto"/>
      </w:divBdr>
    </w:div>
    <w:div w:id="1755977212">
      <w:bodyDiv w:val="1"/>
      <w:marLeft w:val="0"/>
      <w:marRight w:val="0"/>
      <w:marTop w:val="0"/>
      <w:marBottom w:val="0"/>
      <w:divBdr>
        <w:top w:val="none" w:sz="0" w:space="0" w:color="auto"/>
        <w:left w:val="none" w:sz="0" w:space="0" w:color="auto"/>
        <w:bottom w:val="none" w:sz="0" w:space="0" w:color="auto"/>
        <w:right w:val="none" w:sz="0" w:space="0" w:color="auto"/>
      </w:divBdr>
    </w:div>
    <w:div w:id="1757432355">
      <w:bodyDiv w:val="1"/>
      <w:marLeft w:val="0"/>
      <w:marRight w:val="0"/>
      <w:marTop w:val="0"/>
      <w:marBottom w:val="0"/>
      <w:divBdr>
        <w:top w:val="none" w:sz="0" w:space="0" w:color="auto"/>
        <w:left w:val="none" w:sz="0" w:space="0" w:color="auto"/>
        <w:bottom w:val="none" w:sz="0" w:space="0" w:color="auto"/>
        <w:right w:val="none" w:sz="0" w:space="0" w:color="auto"/>
      </w:divBdr>
    </w:div>
    <w:div w:id="1757897217">
      <w:bodyDiv w:val="1"/>
      <w:marLeft w:val="0"/>
      <w:marRight w:val="0"/>
      <w:marTop w:val="0"/>
      <w:marBottom w:val="0"/>
      <w:divBdr>
        <w:top w:val="none" w:sz="0" w:space="0" w:color="auto"/>
        <w:left w:val="none" w:sz="0" w:space="0" w:color="auto"/>
        <w:bottom w:val="none" w:sz="0" w:space="0" w:color="auto"/>
        <w:right w:val="none" w:sz="0" w:space="0" w:color="auto"/>
      </w:divBdr>
    </w:div>
    <w:div w:id="1759909264">
      <w:bodyDiv w:val="1"/>
      <w:marLeft w:val="0"/>
      <w:marRight w:val="0"/>
      <w:marTop w:val="0"/>
      <w:marBottom w:val="0"/>
      <w:divBdr>
        <w:top w:val="none" w:sz="0" w:space="0" w:color="auto"/>
        <w:left w:val="none" w:sz="0" w:space="0" w:color="auto"/>
        <w:bottom w:val="none" w:sz="0" w:space="0" w:color="auto"/>
        <w:right w:val="none" w:sz="0" w:space="0" w:color="auto"/>
      </w:divBdr>
    </w:div>
    <w:div w:id="1760715312">
      <w:bodyDiv w:val="1"/>
      <w:marLeft w:val="0"/>
      <w:marRight w:val="0"/>
      <w:marTop w:val="0"/>
      <w:marBottom w:val="0"/>
      <w:divBdr>
        <w:top w:val="none" w:sz="0" w:space="0" w:color="auto"/>
        <w:left w:val="none" w:sz="0" w:space="0" w:color="auto"/>
        <w:bottom w:val="none" w:sz="0" w:space="0" w:color="auto"/>
        <w:right w:val="none" w:sz="0" w:space="0" w:color="auto"/>
      </w:divBdr>
    </w:div>
    <w:div w:id="1762139895">
      <w:bodyDiv w:val="1"/>
      <w:marLeft w:val="0"/>
      <w:marRight w:val="0"/>
      <w:marTop w:val="0"/>
      <w:marBottom w:val="0"/>
      <w:divBdr>
        <w:top w:val="none" w:sz="0" w:space="0" w:color="auto"/>
        <w:left w:val="none" w:sz="0" w:space="0" w:color="auto"/>
        <w:bottom w:val="none" w:sz="0" w:space="0" w:color="auto"/>
        <w:right w:val="none" w:sz="0" w:space="0" w:color="auto"/>
      </w:divBdr>
    </w:div>
    <w:div w:id="1762213303">
      <w:bodyDiv w:val="1"/>
      <w:marLeft w:val="0"/>
      <w:marRight w:val="0"/>
      <w:marTop w:val="0"/>
      <w:marBottom w:val="0"/>
      <w:divBdr>
        <w:top w:val="none" w:sz="0" w:space="0" w:color="auto"/>
        <w:left w:val="none" w:sz="0" w:space="0" w:color="auto"/>
        <w:bottom w:val="none" w:sz="0" w:space="0" w:color="auto"/>
        <w:right w:val="none" w:sz="0" w:space="0" w:color="auto"/>
      </w:divBdr>
    </w:div>
    <w:div w:id="1762294755">
      <w:bodyDiv w:val="1"/>
      <w:marLeft w:val="0"/>
      <w:marRight w:val="0"/>
      <w:marTop w:val="0"/>
      <w:marBottom w:val="0"/>
      <w:divBdr>
        <w:top w:val="none" w:sz="0" w:space="0" w:color="auto"/>
        <w:left w:val="none" w:sz="0" w:space="0" w:color="auto"/>
        <w:bottom w:val="none" w:sz="0" w:space="0" w:color="auto"/>
        <w:right w:val="none" w:sz="0" w:space="0" w:color="auto"/>
      </w:divBdr>
    </w:div>
    <w:div w:id="1762529288">
      <w:bodyDiv w:val="1"/>
      <w:marLeft w:val="0"/>
      <w:marRight w:val="0"/>
      <w:marTop w:val="0"/>
      <w:marBottom w:val="0"/>
      <w:divBdr>
        <w:top w:val="none" w:sz="0" w:space="0" w:color="auto"/>
        <w:left w:val="none" w:sz="0" w:space="0" w:color="auto"/>
        <w:bottom w:val="none" w:sz="0" w:space="0" w:color="auto"/>
        <w:right w:val="none" w:sz="0" w:space="0" w:color="auto"/>
      </w:divBdr>
    </w:div>
    <w:div w:id="1763062706">
      <w:bodyDiv w:val="1"/>
      <w:marLeft w:val="0"/>
      <w:marRight w:val="0"/>
      <w:marTop w:val="0"/>
      <w:marBottom w:val="0"/>
      <w:divBdr>
        <w:top w:val="none" w:sz="0" w:space="0" w:color="auto"/>
        <w:left w:val="none" w:sz="0" w:space="0" w:color="auto"/>
        <w:bottom w:val="none" w:sz="0" w:space="0" w:color="auto"/>
        <w:right w:val="none" w:sz="0" w:space="0" w:color="auto"/>
      </w:divBdr>
    </w:div>
    <w:div w:id="1764182186">
      <w:bodyDiv w:val="1"/>
      <w:marLeft w:val="0"/>
      <w:marRight w:val="0"/>
      <w:marTop w:val="0"/>
      <w:marBottom w:val="0"/>
      <w:divBdr>
        <w:top w:val="none" w:sz="0" w:space="0" w:color="auto"/>
        <w:left w:val="none" w:sz="0" w:space="0" w:color="auto"/>
        <w:bottom w:val="none" w:sz="0" w:space="0" w:color="auto"/>
        <w:right w:val="none" w:sz="0" w:space="0" w:color="auto"/>
      </w:divBdr>
    </w:div>
    <w:div w:id="1765609865">
      <w:bodyDiv w:val="1"/>
      <w:marLeft w:val="0"/>
      <w:marRight w:val="0"/>
      <w:marTop w:val="0"/>
      <w:marBottom w:val="0"/>
      <w:divBdr>
        <w:top w:val="none" w:sz="0" w:space="0" w:color="auto"/>
        <w:left w:val="none" w:sz="0" w:space="0" w:color="auto"/>
        <w:bottom w:val="none" w:sz="0" w:space="0" w:color="auto"/>
        <w:right w:val="none" w:sz="0" w:space="0" w:color="auto"/>
      </w:divBdr>
    </w:div>
    <w:div w:id="1766267980">
      <w:bodyDiv w:val="1"/>
      <w:marLeft w:val="0"/>
      <w:marRight w:val="0"/>
      <w:marTop w:val="0"/>
      <w:marBottom w:val="0"/>
      <w:divBdr>
        <w:top w:val="none" w:sz="0" w:space="0" w:color="auto"/>
        <w:left w:val="none" w:sz="0" w:space="0" w:color="auto"/>
        <w:bottom w:val="none" w:sz="0" w:space="0" w:color="auto"/>
        <w:right w:val="none" w:sz="0" w:space="0" w:color="auto"/>
      </w:divBdr>
    </w:div>
    <w:div w:id="1767380027">
      <w:bodyDiv w:val="1"/>
      <w:marLeft w:val="0"/>
      <w:marRight w:val="0"/>
      <w:marTop w:val="0"/>
      <w:marBottom w:val="0"/>
      <w:divBdr>
        <w:top w:val="none" w:sz="0" w:space="0" w:color="auto"/>
        <w:left w:val="none" w:sz="0" w:space="0" w:color="auto"/>
        <w:bottom w:val="none" w:sz="0" w:space="0" w:color="auto"/>
        <w:right w:val="none" w:sz="0" w:space="0" w:color="auto"/>
      </w:divBdr>
    </w:div>
    <w:div w:id="1767731012">
      <w:bodyDiv w:val="1"/>
      <w:marLeft w:val="0"/>
      <w:marRight w:val="0"/>
      <w:marTop w:val="0"/>
      <w:marBottom w:val="0"/>
      <w:divBdr>
        <w:top w:val="none" w:sz="0" w:space="0" w:color="auto"/>
        <w:left w:val="none" w:sz="0" w:space="0" w:color="auto"/>
        <w:bottom w:val="none" w:sz="0" w:space="0" w:color="auto"/>
        <w:right w:val="none" w:sz="0" w:space="0" w:color="auto"/>
      </w:divBdr>
    </w:div>
    <w:div w:id="1768649699">
      <w:bodyDiv w:val="1"/>
      <w:marLeft w:val="0"/>
      <w:marRight w:val="0"/>
      <w:marTop w:val="0"/>
      <w:marBottom w:val="0"/>
      <w:divBdr>
        <w:top w:val="none" w:sz="0" w:space="0" w:color="auto"/>
        <w:left w:val="none" w:sz="0" w:space="0" w:color="auto"/>
        <w:bottom w:val="none" w:sz="0" w:space="0" w:color="auto"/>
        <w:right w:val="none" w:sz="0" w:space="0" w:color="auto"/>
      </w:divBdr>
    </w:div>
    <w:div w:id="1768886376">
      <w:bodyDiv w:val="1"/>
      <w:marLeft w:val="0"/>
      <w:marRight w:val="0"/>
      <w:marTop w:val="0"/>
      <w:marBottom w:val="0"/>
      <w:divBdr>
        <w:top w:val="none" w:sz="0" w:space="0" w:color="auto"/>
        <w:left w:val="none" w:sz="0" w:space="0" w:color="auto"/>
        <w:bottom w:val="none" w:sz="0" w:space="0" w:color="auto"/>
        <w:right w:val="none" w:sz="0" w:space="0" w:color="auto"/>
      </w:divBdr>
    </w:div>
    <w:div w:id="1769811605">
      <w:bodyDiv w:val="1"/>
      <w:marLeft w:val="0"/>
      <w:marRight w:val="0"/>
      <w:marTop w:val="0"/>
      <w:marBottom w:val="0"/>
      <w:divBdr>
        <w:top w:val="none" w:sz="0" w:space="0" w:color="auto"/>
        <w:left w:val="none" w:sz="0" w:space="0" w:color="auto"/>
        <w:bottom w:val="none" w:sz="0" w:space="0" w:color="auto"/>
        <w:right w:val="none" w:sz="0" w:space="0" w:color="auto"/>
      </w:divBdr>
    </w:div>
    <w:div w:id="1770000749">
      <w:bodyDiv w:val="1"/>
      <w:marLeft w:val="0"/>
      <w:marRight w:val="0"/>
      <w:marTop w:val="0"/>
      <w:marBottom w:val="0"/>
      <w:divBdr>
        <w:top w:val="none" w:sz="0" w:space="0" w:color="auto"/>
        <w:left w:val="none" w:sz="0" w:space="0" w:color="auto"/>
        <w:bottom w:val="none" w:sz="0" w:space="0" w:color="auto"/>
        <w:right w:val="none" w:sz="0" w:space="0" w:color="auto"/>
      </w:divBdr>
    </w:div>
    <w:div w:id="1770617155">
      <w:bodyDiv w:val="1"/>
      <w:marLeft w:val="0"/>
      <w:marRight w:val="0"/>
      <w:marTop w:val="0"/>
      <w:marBottom w:val="0"/>
      <w:divBdr>
        <w:top w:val="none" w:sz="0" w:space="0" w:color="auto"/>
        <w:left w:val="none" w:sz="0" w:space="0" w:color="auto"/>
        <w:bottom w:val="none" w:sz="0" w:space="0" w:color="auto"/>
        <w:right w:val="none" w:sz="0" w:space="0" w:color="auto"/>
      </w:divBdr>
    </w:div>
    <w:div w:id="1774591957">
      <w:bodyDiv w:val="1"/>
      <w:marLeft w:val="0"/>
      <w:marRight w:val="0"/>
      <w:marTop w:val="0"/>
      <w:marBottom w:val="0"/>
      <w:divBdr>
        <w:top w:val="none" w:sz="0" w:space="0" w:color="auto"/>
        <w:left w:val="none" w:sz="0" w:space="0" w:color="auto"/>
        <w:bottom w:val="none" w:sz="0" w:space="0" w:color="auto"/>
        <w:right w:val="none" w:sz="0" w:space="0" w:color="auto"/>
      </w:divBdr>
    </w:div>
    <w:div w:id="1774787590">
      <w:bodyDiv w:val="1"/>
      <w:marLeft w:val="0"/>
      <w:marRight w:val="0"/>
      <w:marTop w:val="0"/>
      <w:marBottom w:val="0"/>
      <w:divBdr>
        <w:top w:val="none" w:sz="0" w:space="0" w:color="auto"/>
        <w:left w:val="none" w:sz="0" w:space="0" w:color="auto"/>
        <w:bottom w:val="none" w:sz="0" w:space="0" w:color="auto"/>
        <w:right w:val="none" w:sz="0" w:space="0" w:color="auto"/>
      </w:divBdr>
    </w:div>
    <w:div w:id="1775124353">
      <w:bodyDiv w:val="1"/>
      <w:marLeft w:val="0"/>
      <w:marRight w:val="0"/>
      <w:marTop w:val="0"/>
      <w:marBottom w:val="0"/>
      <w:divBdr>
        <w:top w:val="none" w:sz="0" w:space="0" w:color="auto"/>
        <w:left w:val="none" w:sz="0" w:space="0" w:color="auto"/>
        <w:bottom w:val="none" w:sz="0" w:space="0" w:color="auto"/>
        <w:right w:val="none" w:sz="0" w:space="0" w:color="auto"/>
      </w:divBdr>
    </w:div>
    <w:div w:id="1775394793">
      <w:bodyDiv w:val="1"/>
      <w:marLeft w:val="0"/>
      <w:marRight w:val="0"/>
      <w:marTop w:val="0"/>
      <w:marBottom w:val="0"/>
      <w:divBdr>
        <w:top w:val="none" w:sz="0" w:space="0" w:color="auto"/>
        <w:left w:val="none" w:sz="0" w:space="0" w:color="auto"/>
        <w:bottom w:val="none" w:sz="0" w:space="0" w:color="auto"/>
        <w:right w:val="none" w:sz="0" w:space="0" w:color="auto"/>
      </w:divBdr>
    </w:div>
    <w:div w:id="1775590230">
      <w:bodyDiv w:val="1"/>
      <w:marLeft w:val="0"/>
      <w:marRight w:val="0"/>
      <w:marTop w:val="0"/>
      <w:marBottom w:val="0"/>
      <w:divBdr>
        <w:top w:val="none" w:sz="0" w:space="0" w:color="auto"/>
        <w:left w:val="none" w:sz="0" w:space="0" w:color="auto"/>
        <w:bottom w:val="none" w:sz="0" w:space="0" w:color="auto"/>
        <w:right w:val="none" w:sz="0" w:space="0" w:color="auto"/>
      </w:divBdr>
    </w:div>
    <w:div w:id="1776441145">
      <w:bodyDiv w:val="1"/>
      <w:marLeft w:val="0"/>
      <w:marRight w:val="0"/>
      <w:marTop w:val="0"/>
      <w:marBottom w:val="0"/>
      <w:divBdr>
        <w:top w:val="none" w:sz="0" w:space="0" w:color="auto"/>
        <w:left w:val="none" w:sz="0" w:space="0" w:color="auto"/>
        <w:bottom w:val="none" w:sz="0" w:space="0" w:color="auto"/>
        <w:right w:val="none" w:sz="0" w:space="0" w:color="auto"/>
      </w:divBdr>
    </w:div>
    <w:div w:id="1779332094">
      <w:bodyDiv w:val="1"/>
      <w:marLeft w:val="0"/>
      <w:marRight w:val="0"/>
      <w:marTop w:val="0"/>
      <w:marBottom w:val="0"/>
      <w:divBdr>
        <w:top w:val="none" w:sz="0" w:space="0" w:color="auto"/>
        <w:left w:val="none" w:sz="0" w:space="0" w:color="auto"/>
        <w:bottom w:val="none" w:sz="0" w:space="0" w:color="auto"/>
        <w:right w:val="none" w:sz="0" w:space="0" w:color="auto"/>
      </w:divBdr>
    </w:div>
    <w:div w:id="1779714447">
      <w:bodyDiv w:val="1"/>
      <w:marLeft w:val="0"/>
      <w:marRight w:val="0"/>
      <w:marTop w:val="0"/>
      <w:marBottom w:val="0"/>
      <w:divBdr>
        <w:top w:val="none" w:sz="0" w:space="0" w:color="auto"/>
        <w:left w:val="none" w:sz="0" w:space="0" w:color="auto"/>
        <w:bottom w:val="none" w:sz="0" w:space="0" w:color="auto"/>
        <w:right w:val="none" w:sz="0" w:space="0" w:color="auto"/>
      </w:divBdr>
    </w:div>
    <w:div w:id="1780373583">
      <w:bodyDiv w:val="1"/>
      <w:marLeft w:val="0"/>
      <w:marRight w:val="0"/>
      <w:marTop w:val="0"/>
      <w:marBottom w:val="0"/>
      <w:divBdr>
        <w:top w:val="none" w:sz="0" w:space="0" w:color="auto"/>
        <w:left w:val="none" w:sz="0" w:space="0" w:color="auto"/>
        <w:bottom w:val="none" w:sz="0" w:space="0" w:color="auto"/>
        <w:right w:val="none" w:sz="0" w:space="0" w:color="auto"/>
      </w:divBdr>
    </w:div>
    <w:div w:id="1780906997">
      <w:bodyDiv w:val="1"/>
      <w:marLeft w:val="0"/>
      <w:marRight w:val="0"/>
      <w:marTop w:val="0"/>
      <w:marBottom w:val="0"/>
      <w:divBdr>
        <w:top w:val="none" w:sz="0" w:space="0" w:color="auto"/>
        <w:left w:val="none" w:sz="0" w:space="0" w:color="auto"/>
        <w:bottom w:val="none" w:sz="0" w:space="0" w:color="auto"/>
        <w:right w:val="none" w:sz="0" w:space="0" w:color="auto"/>
      </w:divBdr>
    </w:div>
    <w:div w:id="1780950844">
      <w:bodyDiv w:val="1"/>
      <w:marLeft w:val="0"/>
      <w:marRight w:val="0"/>
      <w:marTop w:val="0"/>
      <w:marBottom w:val="0"/>
      <w:divBdr>
        <w:top w:val="none" w:sz="0" w:space="0" w:color="auto"/>
        <w:left w:val="none" w:sz="0" w:space="0" w:color="auto"/>
        <w:bottom w:val="none" w:sz="0" w:space="0" w:color="auto"/>
        <w:right w:val="none" w:sz="0" w:space="0" w:color="auto"/>
      </w:divBdr>
    </w:div>
    <w:div w:id="1781340049">
      <w:bodyDiv w:val="1"/>
      <w:marLeft w:val="0"/>
      <w:marRight w:val="0"/>
      <w:marTop w:val="0"/>
      <w:marBottom w:val="0"/>
      <w:divBdr>
        <w:top w:val="none" w:sz="0" w:space="0" w:color="auto"/>
        <w:left w:val="none" w:sz="0" w:space="0" w:color="auto"/>
        <w:bottom w:val="none" w:sz="0" w:space="0" w:color="auto"/>
        <w:right w:val="none" w:sz="0" w:space="0" w:color="auto"/>
      </w:divBdr>
    </w:div>
    <w:div w:id="1781559730">
      <w:bodyDiv w:val="1"/>
      <w:marLeft w:val="0"/>
      <w:marRight w:val="0"/>
      <w:marTop w:val="0"/>
      <w:marBottom w:val="0"/>
      <w:divBdr>
        <w:top w:val="none" w:sz="0" w:space="0" w:color="auto"/>
        <w:left w:val="none" w:sz="0" w:space="0" w:color="auto"/>
        <w:bottom w:val="none" w:sz="0" w:space="0" w:color="auto"/>
        <w:right w:val="none" w:sz="0" w:space="0" w:color="auto"/>
      </w:divBdr>
    </w:div>
    <w:div w:id="1782843564">
      <w:bodyDiv w:val="1"/>
      <w:marLeft w:val="0"/>
      <w:marRight w:val="0"/>
      <w:marTop w:val="0"/>
      <w:marBottom w:val="0"/>
      <w:divBdr>
        <w:top w:val="none" w:sz="0" w:space="0" w:color="auto"/>
        <w:left w:val="none" w:sz="0" w:space="0" w:color="auto"/>
        <w:bottom w:val="none" w:sz="0" w:space="0" w:color="auto"/>
        <w:right w:val="none" w:sz="0" w:space="0" w:color="auto"/>
      </w:divBdr>
    </w:div>
    <w:div w:id="1783108795">
      <w:bodyDiv w:val="1"/>
      <w:marLeft w:val="0"/>
      <w:marRight w:val="0"/>
      <w:marTop w:val="0"/>
      <w:marBottom w:val="0"/>
      <w:divBdr>
        <w:top w:val="none" w:sz="0" w:space="0" w:color="auto"/>
        <w:left w:val="none" w:sz="0" w:space="0" w:color="auto"/>
        <w:bottom w:val="none" w:sz="0" w:space="0" w:color="auto"/>
        <w:right w:val="none" w:sz="0" w:space="0" w:color="auto"/>
      </w:divBdr>
    </w:div>
    <w:div w:id="1783567827">
      <w:bodyDiv w:val="1"/>
      <w:marLeft w:val="0"/>
      <w:marRight w:val="0"/>
      <w:marTop w:val="0"/>
      <w:marBottom w:val="0"/>
      <w:divBdr>
        <w:top w:val="none" w:sz="0" w:space="0" w:color="auto"/>
        <w:left w:val="none" w:sz="0" w:space="0" w:color="auto"/>
        <w:bottom w:val="none" w:sz="0" w:space="0" w:color="auto"/>
        <w:right w:val="none" w:sz="0" w:space="0" w:color="auto"/>
      </w:divBdr>
    </w:div>
    <w:div w:id="1783694343">
      <w:bodyDiv w:val="1"/>
      <w:marLeft w:val="0"/>
      <w:marRight w:val="0"/>
      <w:marTop w:val="0"/>
      <w:marBottom w:val="0"/>
      <w:divBdr>
        <w:top w:val="none" w:sz="0" w:space="0" w:color="auto"/>
        <w:left w:val="none" w:sz="0" w:space="0" w:color="auto"/>
        <w:bottom w:val="none" w:sz="0" w:space="0" w:color="auto"/>
        <w:right w:val="none" w:sz="0" w:space="0" w:color="auto"/>
      </w:divBdr>
    </w:div>
    <w:div w:id="1783721976">
      <w:bodyDiv w:val="1"/>
      <w:marLeft w:val="0"/>
      <w:marRight w:val="0"/>
      <w:marTop w:val="0"/>
      <w:marBottom w:val="0"/>
      <w:divBdr>
        <w:top w:val="none" w:sz="0" w:space="0" w:color="auto"/>
        <w:left w:val="none" w:sz="0" w:space="0" w:color="auto"/>
        <w:bottom w:val="none" w:sz="0" w:space="0" w:color="auto"/>
        <w:right w:val="none" w:sz="0" w:space="0" w:color="auto"/>
      </w:divBdr>
    </w:div>
    <w:div w:id="1785080526">
      <w:bodyDiv w:val="1"/>
      <w:marLeft w:val="0"/>
      <w:marRight w:val="0"/>
      <w:marTop w:val="0"/>
      <w:marBottom w:val="0"/>
      <w:divBdr>
        <w:top w:val="none" w:sz="0" w:space="0" w:color="auto"/>
        <w:left w:val="none" w:sz="0" w:space="0" w:color="auto"/>
        <w:bottom w:val="none" w:sz="0" w:space="0" w:color="auto"/>
        <w:right w:val="none" w:sz="0" w:space="0" w:color="auto"/>
      </w:divBdr>
    </w:div>
    <w:div w:id="1786389753">
      <w:bodyDiv w:val="1"/>
      <w:marLeft w:val="0"/>
      <w:marRight w:val="0"/>
      <w:marTop w:val="0"/>
      <w:marBottom w:val="0"/>
      <w:divBdr>
        <w:top w:val="none" w:sz="0" w:space="0" w:color="auto"/>
        <w:left w:val="none" w:sz="0" w:space="0" w:color="auto"/>
        <w:bottom w:val="none" w:sz="0" w:space="0" w:color="auto"/>
        <w:right w:val="none" w:sz="0" w:space="0" w:color="auto"/>
      </w:divBdr>
    </w:div>
    <w:div w:id="1787382787">
      <w:bodyDiv w:val="1"/>
      <w:marLeft w:val="0"/>
      <w:marRight w:val="0"/>
      <w:marTop w:val="0"/>
      <w:marBottom w:val="0"/>
      <w:divBdr>
        <w:top w:val="none" w:sz="0" w:space="0" w:color="auto"/>
        <w:left w:val="none" w:sz="0" w:space="0" w:color="auto"/>
        <w:bottom w:val="none" w:sz="0" w:space="0" w:color="auto"/>
        <w:right w:val="none" w:sz="0" w:space="0" w:color="auto"/>
      </w:divBdr>
    </w:div>
    <w:div w:id="1788045859">
      <w:bodyDiv w:val="1"/>
      <w:marLeft w:val="0"/>
      <w:marRight w:val="0"/>
      <w:marTop w:val="0"/>
      <w:marBottom w:val="0"/>
      <w:divBdr>
        <w:top w:val="none" w:sz="0" w:space="0" w:color="auto"/>
        <w:left w:val="none" w:sz="0" w:space="0" w:color="auto"/>
        <w:bottom w:val="none" w:sz="0" w:space="0" w:color="auto"/>
        <w:right w:val="none" w:sz="0" w:space="0" w:color="auto"/>
      </w:divBdr>
    </w:div>
    <w:div w:id="1790582099">
      <w:bodyDiv w:val="1"/>
      <w:marLeft w:val="0"/>
      <w:marRight w:val="0"/>
      <w:marTop w:val="0"/>
      <w:marBottom w:val="0"/>
      <w:divBdr>
        <w:top w:val="none" w:sz="0" w:space="0" w:color="auto"/>
        <w:left w:val="none" w:sz="0" w:space="0" w:color="auto"/>
        <w:bottom w:val="none" w:sz="0" w:space="0" w:color="auto"/>
        <w:right w:val="none" w:sz="0" w:space="0" w:color="auto"/>
      </w:divBdr>
    </w:div>
    <w:div w:id="1790778677">
      <w:bodyDiv w:val="1"/>
      <w:marLeft w:val="0"/>
      <w:marRight w:val="0"/>
      <w:marTop w:val="0"/>
      <w:marBottom w:val="0"/>
      <w:divBdr>
        <w:top w:val="none" w:sz="0" w:space="0" w:color="auto"/>
        <w:left w:val="none" w:sz="0" w:space="0" w:color="auto"/>
        <w:bottom w:val="none" w:sz="0" w:space="0" w:color="auto"/>
        <w:right w:val="none" w:sz="0" w:space="0" w:color="auto"/>
      </w:divBdr>
    </w:div>
    <w:div w:id="1791169202">
      <w:bodyDiv w:val="1"/>
      <w:marLeft w:val="0"/>
      <w:marRight w:val="0"/>
      <w:marTop w:val="0"/>
      <w:marBottom w:val="0"/>
      <w:divBdr>
        <w:top w:val="none" w:sz="0" w:space="0" w:color="auto"/>
        <w:left w:val="none" w:sz="0" w:space="0" w:color="auto"/>
        <w:bottom w:val="none" w:sz="0" w:space="0" w:color="auto"/>
        <w:right w:val="none" w:sz="0" w:space="0" w:color="auto"/>
      </w:divBdr>
    </w:div>
    <w:div w:id="1791195419">
      <w:bodyDiv w:val="1"/>
      <w:marLeft w:val="0"/>
      <w:marRight w:val="0"/>
      <w:marTop w:val="0"/>
      <w:marBottom w:val="0"/>
      <w:divBdr>
        <w:top w:val="none" w:sz="0" w:space="0" w:color="auto"/>
        <w:left w:val="none" w:sz="0" w:space="0" w:color="auto"/>
        <w:bottom w:val="none" w:sz="0" w:space="0" w:color="auto"/>
        <w:right w:val="none" w:sz="0" w:space="0" w:color="auto"/>
      </w:divBdr>
    </w:div>
    <w:div w:id="1791242539">
      <w:bodyDiv w:val="1"/>
      <w:marLeft w:val="0"/>
      <w:marRight w:val="0"/>
      <w:marTop w:val="0"/>
      <w:marBottom w:val="0"/>
      <w:divBdr>
        <w:top w:val="none" w:sz="0" w:space="0" w:color="auto"/>
        <w:left w:val="none" w:sz="0" w:space="0" w:color="auto"/>
        <w:bottom w:val="none" w:sz="0" w:space="0" w:color="auto"/>
        <w:right w:val="none" w:sz="0" w:space="0" w:color="auto"/>
      </w:divBdr>
    </w:div>
    <w:div w:id="1791628195">
      <w:bodyDiv w:val="1"/>
      <w:marLeft w:val="0"/>
      <w:marRight w:val="0"/>
      <w:marTop w:val="0"/>
      <w:marBottom w:val="0"/>
      <w:divBdr>
        <w:top w:val="none" w:sz="0" w:space="0" w:color="auto"/>
        <w:left w:val="none" w:sz="0" w:space="0" w:color="auto"/>
        <w:bottom w:val="none" w:sz="0" w:space="0" w:color="auto"/>
        <w:right w:val="none" w:sz="0" w:space="0" w:color="auto"/>
      </w:divBdr>
    </w:div>
    <w:div w:id="1791894233">
      <w:bodyDiv w:val="1"/>
      <w:marLeft w:val="0"/>
      <w:marRight w:val="0"/>
      <w:marTop w:val="0"/>
      <w:marBottom w:val="0"/>
      <w:divBdr>
        <w:top w:val="none" w:sz="0" w:space="0" w:color="auto"/>
        <w:left w:val="none" w:sz="0" w:space="0" w:color="auto"/>
        <w:bottom w:val="none" w:sz="0" w:space="0" w:color="auto"/>
        <w:right w:val="none" w:sz="0" w:space="0" w:color="auto"/>
      </w:divBdr>
    </w:div>
    <w:div w:id="1792016765">
      <w:bodyDiv w:val="1"/>
      <w:marLeft w:val="0"/>
      <w:marRight w:val="0"/>
      <w:marTop w:val="0"/>
      <w:marBottom w:val="0"/>
      <w:divBdr>
        <w:top w:val="none" w:sz="0" w:space="0" w:color="auto"/>
        <w:left w:val="none" w:sz="0" w:space="0" w:color="auto"/>
        <w:bottom w:val="none" w:sz="0" w:space="0" w:color="auto"/>
        <w:right w:val="none" w:sz="0" w:space="0" w:color="auto"/>
      </w:divBdr>
    </w:div>
    <w:div w:id="1792703654">
      <w:bodyDiv w:val="1"/>
      <w:marLeft w:val="0"/>
      <w:marRight w:val="0"/>
      <w:marTop w:val="0"/>
      <w:marBottom w:val="0"/>
      <w:divBdr>
        <w:top w:val="none" w:sz="0" w:space="0" w:color="auto"/>
        <w:left w:val="none" w:sz="0" w:space="0" w:color="auto"/>
        <w:bottom w:val="none" w:sz="0" w:space="0" w:color="auto"/>
        <w:right w:val="none" w:sz="0" w:space="0" w:color="auto"/>
      </w:divBdr>
    </w:div>
    <w:div w:id="1793399348">
      <w:bodyDiv w:val="1"/>
      <w:marLeft w:val="0"/>
      <w:marRight w:val="0"/>
      <w:marTop w:val="0"/>
      <w:marBottom w:val="0"/>
      <w:divBdr>
        <w:top w:val="none" w:sz="0" w:space="0" w:color="auto"/>
        <w:left w:val="none" w:sz="0" w:space="0" w:color="auto"/>
        <w:bottom w:val="none" w:sz="0" w:space="0" w:color="auto"/>
        <w:right w:val="none" w:sz="0" w:space="0" w:color="auto"/>
      </w:divBdr>
    </w:div>
    <w:div w:id="1793670368">
      <w:bodyDiv w:val="1"/>
      <w:marLeft w:val="0"/>
      <w:marRight w:val="0"/>
      <w:marTop w:val="0"/>
      <w:marBottom w:val="0"/>
      <w:divBdr>
        <w:top w:val="none" w:sz="0" w:space="0" w:color="auto"/>
        <w:left w:val="none" w:sz="0" w:space="0" w:color="auto"/>
        <w:bottom w:val="none" w:sz="0" w:space="0" w:color="auto"/>
        <w:right w:val="none" w:sz="0" w:space="0" w:color="auto"/>
      </w:divBdr>
    </w:div>
    <w:div w:id="1793982873">
      <w:bodyDiv w:val="1"/>
      <w:marLeft w:val="0"/>
      <w:marRight w:val="0"/>
      <w:marTop w:val="0"/>
      <w:marBottom w:val="0"/>
      <w:divBdr>
        <w:top w:val="none" w:sz="0" w:space="0" w:color="auto"/>
        <w:left w:val="none" w:sz="0" w:space="0" w:color="auto"/>
        <w:bottom w:val="none" w:sz="0" w:space="0" w:color="auto"/>
        <w:right w:val="none" w:sz="0" w:space="0" w:color="auto"/>
      </w:divBdr>
    </w:div>
    <w:div w:id="1794323175">
      <w:bodyDiv w:val="1"/>
      <w:marLeft w:val="0"/>
      <w:marRight w:val="0"/>
      <w:marTop w:val="0"/>
      <w:marBottom w:val="0"/>
      <w:divBdr>
        <w:top w:val="none" w:sz="0" w:space="0" w:color="auto"/>
        <w:left w:val="none" w:sz="0" w:space="0" w:color="auto"/>
        <w:bottom w:val="none" w:sz="0" w:space="0" w:color="auto"/>
        <w:right w:val="none" w:sz="0" w:space="0" w:color="auto"/>
      </w:divBdr>
    </w:div>
    <w:div w:id="1794708163">
      <w:bodyDiv w:val="1"/>
      <w:marLeft w:val="0"/>
      <w:marRight w:val="0"/>
      <w:marTop w:val="0"/>
      <w:marBottom w:val="0"/>
      <w:divBdr>
        <w:top w:val="none" w:sz="0" w:space="0" w:color="auto"/>
        <w:left w:val="none" w:sz="0" w:space="0" w:color="auto"/>
        <w:bottom w:val="none" w:sz="0" w:space="0" w:color="auto"/>
        <w:right w:val="none" w:sz="0" w:space="0" w:color="auto"/>
      </w:divBdr>
    </w:div>
    <w:div w:id="1794788054">
      <w:bodyDiv w:val="1"/>
      <w:marLeft w:val="0"/>
      <w:marRight w:val="0"/>
      <w:marTop w:val="0"/>
      <w:marBottom w:val="0"/>
      <w:divBdr>
        <w:top w:val="none" w:sz="0" w:space="0" w:color="auto"/>
        <w:left w:val="none" w:sz="0" w:space="0" w:color="auto"/>
        <w:bottom w:val="none" w:sz="0" w:space="0" w:color="auto"/>
        <w:right w:val="none" w:sz="0" w:space="0" w:color="auto"/>
      </w:divBdr>
    </w:div>
    <w:div w:id="1796944950">
      <w:bodyDiv w:val="1"/>
      <w:marLeft w:val="0"/>
      <w:marRight w:val="0"/>
      <w:marTop w:val="0"/>
      <w:marBottom w:val="0"/>
      <w:divBdr>
        <w:top w:val="none" w:sz="0" w:space="0" w:color="auto"/>
        <w:left w:val="none" w:sz="0" w:space="0" w:color="auto"/>
        <w:bottom w:val="none" w:sz="0" w:space="0" w:color="auto"/>
        <w:right w:val="none" w:sz="0" w:space="0" w:color="auto"/>
      </w:divBdr>
    </w:div>
    <w:div w:id="1797021754">
      <w:bodyDiv w:val="1"/>
      <w:marLeft w:val="0"/>
      <w:marRight w:val="0"/>
      <w:marTop w:val="0"/>
      <w:marBottom w:val="0"/>
      <w:divBdr>
        <w:top w:val="none" w:sz="0" w:space="0" w:color="auto"/>
        <w:left w:val="none" w:sz="0" w:space="0" w:color="auto"/>
        <w:bottom w:val="none" w:sz="0" w:space="0" w:color="auto"/>
        <w:right w:val="none" w:sz="0" w:space="0" w:color="auto"/>
      </w:divBdr>
    </w:div>
    <w:div w:id="1797674327">
      <w:bodyDiv w:val="1"/>
      <w:marLeft w:val="0"/>
      <w:marRight w:val="0"/>
      <w:marTop w:val="0"/>
      <w:marBottom w:val="0"/>
      <w:divBdr>
        <w:top w:val="none" w:sz="0" w:space="0" w:color="auto"/>
        <w:left w:val="none" w:sz="0" w:space="0" w:color="auto"/>
        <w:bottom w:val="none" w:sz="0" w:space="0" w:color="auto"/>
        <w:right w:val="none" w:sz="0" w:space="0" w:color="auto"/>
      </w:divBdr>
    </w:div>
    <w:div w:id="1797946998">
      <w:bodyDiv w:val="1"/>
      <w:marLeft w:val="0"/>
      <w:marRight w:val="0"/>
      <w:marTop w:val="0"/>
      <w:marBottom w:val="0"/>
      <w:divBdr>
        <w:top w:val="none" w:sz="0" w:space="0" w:color="auto"/>
        <w:left w:val="none" w:sz="0" w:space="0" w:color="auto"/>
        <w:bottom w:val="none" w:sz="0" w:space="0" w:color="auto"/>
        <w:right w:val="none" w:sz="0" w:space="0" w:color="auto"/>
      </w:divBdr>
    </w:div>
    <w:div w:id="1800100162">
      <w:bodyDiv w:val="1"/>
      <w:marLeft w:val="0"/>
      <w:marRight w:val="0"/>
      <w:marTop w:val="0"/>
      <w:marBottom w:val="0"/>
      <w:divBdr>
        <w:top w:val="none" w:sz="0" w:space="0" w:color="auto"/>
        <w:left w:val="none" w:sz="0" w:space="0" w:color="auto"/>
        <w:bottom w:val="none" w:sz="0" w:space="0" w:color="auto"/>
        <w:right w:val="none" w:sz="0" w:space="0" w:color="auto"/>
      </w:divBdr>
    </w:div>
    <w:div w:id="1801342821">
      <w:bodyDiv w:val="1"/>
      <w:marLeft w:val="0"/>
      <w:marRight w:val="0"/>
      <w:marTop w:val="0"/>
      <w:marBottom w:val="0"/>
      <w:divBdr>
        <w:top w:val="none" w:sz="0" w:space="0" w:color="auto"/>
        <w:left w:val="none" w:sz="0" w:space="0" w:color="auto"/>
        <w:bottom w:val="none" w:sz="0" w:space="0" w:color="auto"/>
        <w:right w:val="none" w:sz="0" w:space="0" w:color="auto"/>
      </w:divBdr>
    </w:div>
    <w:div w:id="1802261250">
      <w:bodyDiv w:val="1"/>
      <w:marLeft w:val="0"/>
      <w:marRight w:val="0"/>
      <w:marTop w:val="0"/>
      <w:marBottom w:val="0"/>
      <w:divBdr>
        <w:top w:val="none" w:sz="0" w:space="0" w:color="auto"/>
        <w:left w:val="none" w:sz="0" w:space="0" w:color="auto"/>
        <w:bottom w:val="none" w:sz="0" w:space="0" w:color="auto"/>
        <w:right w:val="none" w:sz="0" w:space="0" w:color="auto"/>
      </w:divBdr>
    </w:div>
    <w:div w:id="1805192751">
      <w:bodyDiv w:val="1"/>
      <w:marLeft w:val="0"/>
      <w:marRight w:val="0"/>
      <w:marTop w:val="0"/>
      <w:marBottom w:val="0"/>
      <w:divBdr>
        <w:top w:val="none" w:sz="0" w:space="0" w:color="auto"/>
        <w:left w:val="none" w:sz="0" w:space="0" w:color="auto"/>
        <w:bottom w:val="none" w:sz="0" w:space="0" w:color="auto"/>
        <w:right w:val="none" w:sz="0" w:space="0" w:color="auto"/>
      </w:divBdr>
    </w:div>
    <w:div w:id="1806704149">
      <w:bodyDiv w:val="1"/>
      <w:marLeft w:val="0"/>
      <w:marRight w:val="0"/>
      <w:marTop w:val="0"/>
      <w:marBottom w:val="0"/>
      <w:divBdr>
        <w:top w:val="none" w:sz="0" w:space="0" w:color="auto"/>
        <w:left w:val="none" w:sz="0" w:space="0" w:color="auto"/>
        <w:bottom w:val="none" w:sz="0" w:space="0" w:color="auto"/>
        <w:right w:val="none" w:sz="0" w:space="0" w:color="auto"/>
      </w:divBdr>
    </w:div>
    <w:div w:id="1807771927">
      <w:bodyDiv w:val="1"/>
      <w:marLeft w:val="0"/>
      <w:marRight w:val="0"/>
      <w:marTop w:val="0"/>
      <w:marBottom w:val="0"/>
      <w:divBdr>
        <w:top w:val="none" w:sz="0" w:space="0" w:color="auto"/>
        <w:left w:val="none" w:sz="0" w:space="0" w:color="auto"/>
        <w:bottom w:val="none" w:sz="0" w:space="0" w:color="auto"/>
        <w:right w:val="none" w:sz="0" w:space="0" w:color="auto"/>
      </w:divBdr>
    </w:div>
    <w:div w:id="1808008921">
      <w:bodyDiv w:val="1"/>
      <w:marLeft w:val="0"/>
      <w:marRight w:val="0"/>
      <w:marTop w:val="0"/>
      <w:marBottom w:val="0"/>
      <w:divBdr>
        <w:top w:val="none" w:sz="0" w:space="0" w:color="auto"/>
        <w:left w:val="none" w:sz="0" w:space="0" w:color="auto"/>
        <w:bottom w:val="none" w:sz="0" w:space="0" w:color="auto"/>
        <w:right w:val="none" w:sz="0" w:space="0" w:color="auto"/>
      </w:divBdr>
    </w:div>
    <w:div w:id="1808014825">
      <w:bodyDiv w:val="1"/>
      <w:marLeft w:val="0"/>
      <w:marRight w:val="0"/>
      <w:marTop w:val="0"/>
      <w:marBottom w:val="0"/>
      <w:divBdr>
        <w:top w:val="none" w:sz="0" w:space="0" w:color="auto"/>
        <w:left w:val="none" w:sz="0" w:space="0" w:color="auto"/>
        <w:bottom w:val="none" w:sz="0" w:space="0" w:color="auto"/>
        <w:right w:val="none" w:sz="0" w:space="0" w:color="auto"/>
      </w:divBdr>
    </w:div>
    <w:div w:id="1808428482">
      <w:bodyDiv w:val="1"/>
      <w:marLeft w:val="0"/>
      <w:marRight w:val="0"/>
      <w:marTop w:val="0"/>
      <w:marBottom w:val="0"/>
      <w:divBdr>
        <w:top w:val="none" w:sz="0" w:space="0" w:color="auto"/>
        <w:left w:val="none" w:sz="0" w:space="0" w:color="auto"/>
        <w:bottom w:val="none" w:sz="0" w:space="0" w:color="auto"/>
        <w:right w:val="none" w:sz="0" w:space="0" w:color="auto"/>
      </w:divBdr>
    </w:div>
    <w:div w:id="1808431130">
      <w:bodyDiv w:val="1"/>
      <w:marLeft w:val="0"/>
      <w:marRight w:val="0"/>
      <w:marTop w:val="0"/>
      <w:marBottom w:val="0"/>
      <w:divBdr>
        <w:top w:val="none" w:sz="0" w:space="0" w:color="auto"/>
        <w:left w:val="none" w:sz="0" w:space="0" w:color="auto"/>
        <w:bottom w:val="none" w:sz="0" w:space="0" w:color="auto"/>
        <w:right w:val="none" w:sz="0" w:space="0" w:color="auto"/>
      </w:divBdr>
    </w:div>
    <w:div w:id="1809126323">
      <w:bodyDiv w:val="1"/>
      <w:marLeft w:val="0"/>
      <w:marRight w:val="0"/>
      <w:marTop w:val="0"/>
      <w:marBottom w:val="0"/>
      <w:divBdr>
        <w:top w:val="none" w:sz="0" w:space="0" w:color="auto"/>
        <w:left w:val="none" w:sz="0" w:space="0" w:color="auto"/>
        <w:bottom w:val="none" w:sz="0" w:space="0" w:color="auto"/>
        <w:right w:val="none" w:sz="0" w:space="0" w:color="auto"/>
      </w:divBdr>
    </w:div>
    <w:div w:id="1809738841">
      <w:bodyDiv w:val="1"/>
      <w:marLeft w:val="0"/>
      <w:marRight w:val="0"/>
      <w:marTop w:val="0"/>
      <w:marBottom w:val="0"/>
      <w:divBdr>
        <w:top w:val="none" w:sz="0" w:space="0" w:color="auto"/>
        <w:left w:val="none" w:sz="0" w:space="0" w:color="auto"/>
        <w:bottom w:val="none" w:sz="0" w:space="0" w:color="auto"/>
        <w:right w:val="none" w:sz="0" w:space="0" w:color="auto"/>
      </w:divBdr>
    </w:div>
    <w:div w:id="1811513232">
      <w:bodyDiv w:val="1"/>
      <w:marLeft w:val="0"/>
      <w:marRight w:val="0"/>
      <w:marTop w:val="0"/>
      <w:marBottom w:val="0"/>
      <w:divBdr>
        <w:top w:val="none" w:sz="0" w:space="0" w:color="auto"/>
        <w:left w:val="none" w:sz="0" w:space="0" w:color="auto"/>
        <w:bottom w:val="none" w:sz="0" w:space="0" w:color="auto"/>
        <w:right w:val="none" w:sz="0" w:space="0" w:color="auto"/>
      </w:divBdr>
    </w:div>
    <w:div w:id="1812138880">
      <w:bodyDiv w:val="1"/>
      <w:marLeft w:val="0"/>
      <w:marRight w:val="0"/>
      <w:marTop w:val="0"/>
      <w:marBottom w:val="0"/>
      <w:divBdr>
        <w:top w:val="none" w:sz="0" w:space="0" w:color="auto"/>
        <w:left w:val="none" w:sz="0" w:space="0" w:color="auto"/>
        <w:bottom w:val="none" w:sz="0" w:space="0" w:color="auto"/>
        <w:right w:val="none" w:sz="0" w:space="0" w:color="auto"/>
      </w:divBdr>
    </w:div>
    <w:div w:id="1812747855">
      <w:bodyDiv w:val="1"/>
      <w:marLeft w:val="0"/>
      <w:marRight w:val="0"/>
      <w:marTop w:val="0"/>
      <w:marBottom w:val="0"/>
      <w:divBdr>
        <w:top w:val="none" w:sz="0" w:space="0" w:color="auto"/>
        <w:left w:val="none" w:sz="0" w:space="0" w:color="auto"/>
        <w:bottom w:val="none" w:sz="0" w:space="0" w:color="auto"/>
        <w:right w:val="none" w:sz="0" w:space="0" w:color="auto"/>
      </w:divBdr>
    </w:div>
    <w:div w:id="1813255068">
      <w:bodyDiv w:val="1"/>
      <w:marLeft w:val="0"/>
      <w:marRight w:val="0"/>
      <w:marTop w:val="0"/>
      <w:marBottom w:val="0"/>
      <w:divBdr>
        <w:top w:val="none" w:sz="0" w:space="0" w:color="auto"/>
        <w:left w:val="none" w:sz="0" w:space="0" w:color="auto"/>
        <w:bottom w:val="none" w:sz="0" w:space="0" w:color="auto"/>
        <w:right w:val="none" w:sz="0" w:space="0" w:color="auto"/>
      </w:divBdr>
    </w:div>
    <w:div w:id="1813331758">
      <w:bodyDiv w:val="1"/>
      <w:marLeft w:val="0"/>
      <w:marRight w:val="0"/>
      <w:marTop w:val="0"/>
      <w:marBottom w:val="0"/>
      <w:divBdr>
        <w:top w:val="none" w:sz="0" w:space="0" w:color="auto"/>
        <w:left w:val="none" w:sz="0" w:space="0" w:color="auto"/>
        <w:bottom w:val="none" w:sz="0" w:space="0" w:color="auto"/>
        <w:right w:val="none" w:sz="0" w:space="0" w:color="auto"/>
      </w:divBdr>
    </w:div>
    <w:div w:id="1815444825">
      <w:bodyDiv w:val="1"/>
      <w:marLeft w:val="0"/>
      <w:marRight w:val="0"/>
      <w:marTop w:val="0"/>
      <w:marBottom w:val="0"/>
      <w:divBdr>
        <w:top w:val="none" w:sz="0" w:space="0" w:color="auto"/>
        <w:left w:val="none" w:sz="0" w:space="0" w:color="auto"/>
        <w:bottom w:val="none" w:sz="0" w:space="0" w:color="auto"/>
        <w:right w:val="none" w:sz="0" w:space="0" w:color="auto"/>
      </w:divBdr>
    </w:div>
    <w:div w:id="1815678699">
      <w:bodyDiv w:val="1"/>
      <w:marLeft w:val="0"/>
      <w:marRight w:val="0"/>
      <w:marTop w:val="0"/>
      <w:marBottom w:val="0"/>
      <w:divBdr>
        <w:top w:val="none" w:sz="0" w:space="0" w:color="auto"/>
        <w:left w:val="none" w:sz="0" w:space="0" w:color="auto"/>
        <w:bottom w:val="none" w:sz="0" w:space="0" w:color="auto"/>
        <w:right w:val="none" w:sz="0" w:space="0" w:color="auto"/>
      </w:divBdr>
    </w:div>
    <w:div w:id="1816295754">
      <w:bodyDiv w:val="1"/>
      <w:marLeft w:val="0"/>
      <w:marRight w:val="0"/>
      <w:marTop w:val="0"/>
      <w:marBottom w:val="0"/>
      <w:divBdr>
        <w:top w:val="none" w:sz="0" w:space="0" w:color="auto"/>
        <w:left w:val="none" w:sz="0" w:space="0" w:color="auto"/>
        <w:bottom w:val="none" w:sz="0" w:space="0" w:color="auto"/>
        <w:right w:val="none" w:sz="0" w:space="0" w:color="auto"/>
      </w:divBdr>
    </w:div>
    <w:div w:id="1816484310">
      <w:bodyDiv w:val="1"/>
      <w:marLeft w:val="0"/>
      <w:marRight w:val="0"/>
      <w:marTop w:val="0"/>
      <w:marBottom w:val="0"/>
      <w:divBdr>
        <w:top w:val="none" w:sz="0" w:space="0" w:color="auto"/>
        <w:left w:val="none" w:sz="0" w:space="0" w:color="auto"/>
        <w:bottom w:val="none" w:sz="0" w:space="0" w:color="auto"/>
        <w:right w:val="none" w:sz="0" w:space="0" w:color="auto"/>
      </w:divBdr>
    </w:div>
    <w:div w:id="1817071040">
      <w:bodyDiv w:val="1"/>
      <w:marLeft w:val="0"/>
      <w:marRight w:val="0"/>
      <w:marTop w:val="0"/>
      <w:marBottom w:val="0"/>
      <w:divBdr>
        <w:top w:val="none" w:sz="0" w:space="0" w:color="auto"/>
        <w:left w:val="none" w:sz="0" w:space="0" w:color="auto"/>
        <w:bottom w:val="none" w:sz="0" w:space="0" w:color="auto"/>
        <w:right w:val="none" w:sz="0" w:space="0" w:color="auto"/>
      </w:divBdr>
    </w:div>
    <w:div w:id="1818108667">
      <w:bodyDiv w:val="1"/>
      <w:marLeft w:val="0"/>
      <w:marRight w:val="0"/>
      <w:marTop w:val="0"/>
      <w:marBottom w:val="0"/>
      <w:divBdr>
        <w:top w:val="none" w:sz="0" w:space="0" w:color="auto"/>
        <w:left w:val="none" w:sz="0" w:space="0" w:color="auto"/>
        <w:bottom w:val="none" w:sz="0" w:space="0" w:color="auto"/>
        <w:right w:val="none" w:sz="0" w:space="0" w:color="auto"/>
      </w:divBdr>
    </w:div>
    <w:div w:id="1818184016">
      <w:bodyDiv w:val="1"/>
      <w:marLeft w:val="0"/>
      <w:marRight w:val="0"/>
      <w:marTop w:val="0"/>
      <w:marBottom w:val="0"/>
      <w:divBdr>
        <w:top w:val="none" w:sz="0" w:space="0" w:color="auto"/>
        <w:left w:val="none" w:sz="0" w:space="0" w:color="auto"/>
        <w:bottom w:val="none" w:sz="0" w:space="0" w:color="auto"/>
        <w:right w:val="none" w:sz="0" w:space="0" w:color="auto"/>
      </w:divBdr>
    </w:div>
    <w:div w:id="1818456332">
      <w:bodyDiv w:val="1"/>
      <w:marLeft w:val="0"/>
      <w:marRight w:val="0"/>
      <w:marTop w:val="0"/>
      <w:marBottom w:val="0"/>
      <w:divBdr>
        <w:top w:val="none" w:sz="0" w:space="0" w:color="auto"/>
        <w:left w:val="none" w:sz="0" w:space="0" w:color="auto"/>
        <w:bottom w:val="none" w:sz="0" w:space="0" w:color="auto"/>
        <w:right w:val="none" w:sz="0" w:space="0" w:color="auto"/>
      </w:divBdr>
    </w:div>
    <w:div w:id="1819414220">
      <w:bodyDiv w:val="1"/>
      <w:marLeft w:val="0"/>
      <w:marRight w:val="0"/>
      <w:marTop w:val="0"/>
      <w:marBottom w:val="0"/>
      <w:divBdr>
        <w:top w:val="none" w:sz="0" w:space="0" w:color="auto"/>
        <w:left w:val="none" w:sz="0" w:space="0" w:color="auto"/>
        <w:bottom w:val="none" w:sz="0" w:space="0" w:color="auto"/>
        <w:right w:val="none" w:sz="0" w:space="0" w:color="auto"/>
      </w:divBdr>
    </w:div>
    <w:div w:id="1819422879">
      <w:bodyDiv w:val="1"/>
      <w:marLeft w:val="0"/>
      <w:marRight w:val="0"/>
      <w:marTop w:val="0"/>
      <w:marBottom w:val="0"/>
      <w:divBdr>
        <w:top w:val="none" w:sz="0" w:space="0" w:color="auto"/>
        <w:left w:val="none" w:sz="0" w:space="0" w:color="auto"/>
        <w:bottom w:val="none" w:sz="0" w:space="0" w:color="auto"/>
        <w:right w:val="none" w:sz="0" w:space="0" w:color="auto"/>
      </w:divBdr>
    </w:div>
    <w:div w:id="1821535442">
      <w:bodyDiv w:val="1"/>
      <w:marLeft w:val="0"/>
      <w:marRight w:val="0"/>
      <w:marTop w:val="0"/>
      <w:marBottom w:val="0"/>
      <w:divBdr>
        <w:top w:val="none" w:sz="0" w:space="0" w:color="auto"/>
        <w:left w:val="none" w:sz="0" w:space="0" w:color="auto"/>
        <w:bottom w:val="none" w:sz="0" w:space="0" w:color="auto"/>
        <w:right w:val="none" w:sz="0" w:space="0" w:color="auto"/>
      </w:divBdr>
    </w:div>
    <w:div w:id="1821651977">
      <w:bodyDiv w:val="1"/>
      <w:marLeft w:val="0"/>
      <w:marRight w:val="0"/>
      <w:marTop w:val="0"/>
      <w:marBottom w:val="0"/>
      <w:divBdr>
        <w:top w:val="none" w:sz="0" w:space="0" w:color="auto"/>
        <w:left w:val="none" w:sz="0" w:space="0" w:color="auto"/>
        <w:bottom w:val="none" w:sz="0" w:space="0" w:color="auto"/>
        <w:right w:val="none" w:sz="0" w:space="0" w:color="auto"/>
      </w:divBdr>
    </w:div>
    <w:div w:id="1822580445">
      <w:bodyDiv w:val="1"/>
      <w:marLeft w:val="0"/>
      <w:marRight w:val="0"/>
      <w:marTop w:val="0"/>
      <w:marBottom w:val="0"/>
      <w:divBdr>
        <w:top w:val="none" w:sz="0" w:space="0" w:color="auto"/>
        <w:left w:val="none" w:sz="0" w:space="0" w:color="auto"/>
        <w:bottom w:val="none" w:sz="0" w:space="0" w:color="auto"/>
        <w:right w:val="none" w:sz="0" w:space="0" w:color="auto"/>
      </w:divBdr>
    </w:div>
    <w:div w:id="1823036410">
      <w:bodyDiv w:val="1"/>
      <w:marLeft w:val="0"/>
      <w:marRight w:val="0"/>
      <w:marTop w:val="0"/>
      <w:marBottom w:val="0"/>
      <w:divBdr>
        <w:top w:val="none" w:sz="0" w:space="0" w:color="auto"/>
        <w:left w:val="none" w:sz="0" w:space="0" w:color="auto"/>
        <w:bottom w:val="none" w:sz="0" w:space="0" w:color="auto"/>
        <w:right w:val="none" w:sz="0" w:space="0" w:color="auto"/>
      </w:divBdr>
    </w:div>
    <w:div w:id="1823690596">
      <w:bodyDiv w:val="1"/>
      <w:marLeft w:val="0"/>
      <w:marRight w:val="0"/>
      <w:marTop w:val="0"/>
      <w:marBottom w:val="0"/>
      <w:divBdr>
        <w:top w:val="none" w:sz="0" w:space="0" w:color="auto"/>
        <w:left w:val="none" w:sz="0" w:space="0" w:color="auto"/>
        <w:bottom w:val="none" w:sz="0" w:space="0" w:color="auto"/>
        <w:right w:val="none" w:sz="0" w:space="0" w:color="auto"/>
      </w:divBdr>
    </w:div>
    <w:div w:id="1824395234">
      <w:bodyDiv w:val="1"/>
      <w:marLeft w:val="0"/>
      <w:marRight w:val="0"/>
      <w:marTop w:val="0"/>
      <w:marBottom w:val="0"/>
      <w:divBdr>
        <w:top w:val="none" w:sz="0" w:space="0" w:color="auto"/>
        <w:left w:val="none" w:sz="0" w:space="0" w:color="auto"/>
        <w:bottom w:val="none" w:sz="0" w:space="0" w:color="auto"/>
        <w:right w:val="none" w:sz="0" w:space="0" w:color="auto"/>
      </w:divBdr>
    </w:div>
    <w:div w:id="1824811145">
      <w:bodyDiv w:val="1"/>
      <w:marLeft w:val="0"/>
      <w:marRight w:val="0"/>
      <w:marTop w:val="0"/>
      <w:marBottom w:val="0"/>
      <w:divBdr>
        <w:top w:val="none" w:sz="0" w:space="0" w:color="auto"/>
        <w:left w:val="none" w:sz="0" w:space="0" w:color="auto"/>
        <w:bottom w:val="none" w:sz="0" w:space="0" w:color="auto"/>
        <w:right w:val="none" w:sz="0" w:space="0" w:color="auto"/>
      </w:divBdr>
    </w:div>
    <w:div w:id="1825507406">
      <w:bodyDiv w:val="1"/>
      <w:marLeft w:val="0"/>
      <w:marRight w:val="0"/>
      <w:marTop w:val="0"/>
      <w:marBottom w:val="0"/>
      <w:divBdr>
        <w:top w:val="none" w:sz="0" w:space="0" w:color="auto"/>
        <w:left w:val="none" w:sz="0" w:space="0" w:color="auto"/>
        <w:bottom w:val="none" w:sz="0" w:space="0" w:color="auto"/>
        <w:right w:val="none" w:sz="0" w:space="0" w:color="auto"/>
      </w:divBdr>
    </w:div>
    <w:div w:id="1826124593">
      <w:bodyDiv w:val="1"/>
      <w:marLeft w:val="0"/>
      <w:marRight w:val="0"/>
      <w:marTop w:val="0"/>
      <w:marBottom w:val="0"/>
      <w:divBdr>
        <w:top w:val="none" w:sz="0" w:space="0" w:color="auto"/>
        <w:left w:val="none" w:sz="0" w:space="0" w:color="auto"/>
        <w:bottom w:val="none" w:sz="0" w:space="0" w:color="auto"/>
        <w:right w:val="none" w:sz="0" w:space="0" w:color="auto"/>
      </w:divBdr>
    </w:div>
    <w:div w:id="1826163253">
      <w:bodyDiv w:val="1"/>
      <w:marLeft w:val="0"/>
      <w:marRight w:val="0"/>
      <w:marTop w:val="0"/>
      <w:marBottom w:val="0"/>
      <w:divBdr>
        <w:top w:val="none" w:sz="0" w:space="0" w:color="auto"/>
        <w:left w:val="none" w:sz="0" w:space="0" w:color="auto"/>
        <w:bottom w:val="none" w:sz="0" w:space="0" w:color="auto"/>
        <w:right w:val="none" w:sz="0" w:space="0" w:color="auto"/>
      </w:divBdr>
    </w:div>
    <w:div w:id="1827013564">
      <w:bodyDiv w:val="1"/>
      <w:marLeft w:val="0"/>
      <w:marRight w:val="0"/>
      <w:marTop w:val="0"/>
      <w:marBottom w:val="0"/>
      <w:divBdr>
        <w:top w:val="none" w:sz="0" w:space="0" w:color="auto"/>
        <w:left w:val="none" w:sz="0" w:space="0" w:color="auto"/>
        <w:bottom w:val="none" w:sz="0" w:space="0" w:color="auto"/>
        <w:right w:val="none" w:sz="0" w:space="0" w:color="auto"/>
      </w:divBdr>
    </w:div>
    <w:div w:id="1827896108">
      <w:bodyDiv w:val="1"/>
      <w:marLeft w:val="0"/>
      <w:marRight w:val="0"/>
      <w:marTop w:val="0"/>
      <w:marBottom w:val="0"/>
      <w:divBdr>
        <w:top w:val="none" w:sz="0" w:space="0" w:color="auto"/>
        <w:left w:val="none" w:sz="0" w:space="0" w:color="auto"/>
        <w:bottom w:val="none" w:sz="0" w:space="0" w:color="auto"/>
        <w:right w:val="none" w:sz="0" w:space="0" w:color="auto"/>
      </w:divBdr>
    </w:div>
    <w:div w:id="1828862640">
      <w:bodyDiv w:val="1"/>
      <w:marLeft w:val="0"/>
      <w:marRight w:val="0"/>
      <w:marTop w:val="0"/>
      <w:marBottom w:val="0"/>
      <w:divBdr>
        <w:top w:val="none" w:sz="0" w:space="0" w:color="auto"/>
        <w:left w:val="none" w:sz="0" w:space="0" w:color="auto"/>
        <w:bottom w:val="none" w:sz="0" w:space="0" w:color="auto"/>
        <w:right w:val="none" w:sz="0" w:space="0" w:color="auto"/>
      </w:divBdr>
    </w:div>
    <w:div w:id="1828983455">
      <w:bodyDiv w:val="1"/>
      <w:marLeft w:val="0"/>
      <w:marRight w:val="0"/>
      <w:marTop w:val="0"/>
      <w:marBottom w:val="0"/>
      <w:divBdr>
        <w:top w:val="none" w:sz="0" w:space="0" w:color="auto"/>
        <w:left w:val="none" w:sz="0" w:space="0" w:color="auto"/>
        <w:bottom w:val="none" w:sz="0" w:space="0" w:color="auto"/>
        <w:right w:val="none" w:sz="0" w:space="0" w:color="auto"/>
      </w:divBdr>
    </w:div>
    <w:div w:id="1829324316">
      <w:bodyDiv w:val="1"/>
      <w:marLeft w:val="0"/>
      <w:marRight w:val="0"/>
      <w:marTop w:val="0"/>
      <w:marBottom w:val="0"/>
      <w:divBdr>
        <w:top w:val="none" w:sz="0" w:space="0" w:color="auto"/>
        <w:left w:val="none" w:sz="0" w:space="0" w:color="auto"/>
        <w:bottom w:val="none" w:sz="0" w:space="0" w:color="auto"/>
        <w:right w:val="none" w:sz="0" w:space="0" w:color="auto"/>
      </w:divBdr>
    </w:div>
    <w:div w:id="1829666251">
      <w:bodyDiv w:val="1"/>
      <w:marLeft w:val="0"/>
      <w:marRight w:val="0"/>
      <w:marTop w:val="0"/>
      <w:marBottom w:val="0"/>
      <w:divBdr>
        <w:top w:val="none" w:sz="0" w:space="0" w:color="auto"/>
        <w:left w:val="none" w:sz="0" w:space="0" w:color="auto"/>
        <w:bottom w:val="none" w:sz="0" w:space="0" w:color="auto"/>
        <w:right w:val="none" w:sz="0" w:space="0" w:color="auto"/>
      </w:divBdr>
    </w:div>
    <w:div w:id="1829902664">
      <w:bodyDiv w:val="1"/>
      <w:marLeft w:val="0"/>
      <w:marRight w:val="0"/>
      <w:marTop w:val="0"/>
      <w:marBottom w:val="0"/>
      <w:divBdr>
        <w:top w:val="none" w:sz="0" w:space="0" w:color="auto"/>
        <w:left w:val="none" w:sz="0" w:space="0" w:color="auto"/>
        <w:bottom w:val="none" w:sz="0" w:space="0" w:color="auto"/>
        <w:right w:val="none" w:sz="0" w:space="0" w:color="auto"/>
      </w:divBdr>
    </w:div>
    <w:div w:id="1830294392">
      <w:bodyDiv w:val="1"/>
      <w:marLeft w:val="0"/>
      <w:marRight w:val="0"/>
      <w:marTop w:val="0"/>
      <w:marBottom w:val="0"/>
      <w:divBdr>
        <w:top w:val="none" w:sz="0" w:space="0" w:color="auto"/>
        <w:left w:val="none" w:sz="0" w:space="0" w:color="auto"/>
        <w:bottom w:val="none" w:sz="0" w:space="0" w:color="auto"/>
        <w:right w:val="none" w:sz="0" w:space="0" w:color="auto"/>
      </w:divBdr>
    </w:div>
    <w:div w:id="1830631432">
      <w:bodyDiv w:val="1"/>
      <w:marLeft w:val="0"/>
      <w:marRight w:val="0"/>
      <w:marTop w:val="0"/>
      <w:marBottom w:val="0"/>
      <w:divBdr>
        <w:top w:val="none" w:sz="0" w:space="0" w:color="auto"/>
        <w:left w:val="none" w:sz="0" w:space="0" w:color="auto"/>
        <w:bottom w:val="none" w:sz="0" w:space="0" w:color="auto"/>
        <w:right w:val="none" w:sz="0" w:space="0" w:color="auto"/>
      </w:divBdr>
    </w:div>
    <w:div w:id="1832603048">
      <w:bodyDiv w:val="1"/>
      <w:marLeft w:val="0"/>
      <w:marRight w:val="0"/>
      <w:marTop w:val="0"/>
      <w:marBottom w:val="0"/>
      <w:divBdr>
        <w:top w:val="none" w:sz="0" w:space="0" w:color="auto"/>
        <w:left w:val="none" w:sz="0" w:space="0" w:color="auto"/>
        <w:bottom w:val="none" w:sz="0" w:space="0" w:color="auto"/>
        <w:right w:val="none" w:sz="0" w:space="0" w:color="auto"/>
      </w:divBdr>
    </w:div>
    <w:div w:id="1833057075">
      <w:bodyDiv w:val="1"/>
      <w:marLeft w:val="0"/>
      <w:marRight w:val="0"/>
      <w:marTop w:val="0"/>
      <w:marBottom w:val="0"/>
      <w:divBdr>
        <w:top w:val="none" w:sz="0" w:space="0" w:color="auto"/>
        <w:left w:val="none" w:sz="0" w:space="0" w:color="auto"/>
        <w:bottom w:val="none" w:sz="0" w:space="0" w:color="auto"/>
        <w:right w:val="none" w:sz="0" w:space="0" w:color="auto"/>
      </w:divBdr>
    </w:div>
    <w:div w:id="1833907524">
      <w:bodyDiv w:val="1"/>
      <w:marLeft w:val="0"/>
      <w:marRight w:val="0"/>
      <w:marTop w:val="0"/>
      <w:marBottom w:val="0"/>
      <w:divBdr>
        <w:top w:val="none" w:sz="0" w:space="0" w:color="auto"/>
        <w:left w:val="none" w:sz="0" w:space="0" w:color="auto"/>
        <w:bottom w:val="none" w:sz="0" w:space="0" w:color="auto"/>
        <w:right w:val="none" w:sz="0" w:space="0" w:color="auto"/>
      </w:divBdr>
    </w:div>
    <w:div w:id="1835535230">
      <w:bodyDiv w:val="1"/>
      <w:marLeft w:val="0"/>
      <w:marRight w:val="0"/>
      <w:marTop w:val="0"/>
      <w:marBottom w:val="0"/>
      <w:divBdr>
        <w:top w:val="none" w:sz="0" w:space="0" w:color="auto"/>
        <w:left w:val="none" w:sz="0" w:space="0" w:color="auto"/>
        <w:bottom w:val="none" w:sz="0" w:space="0" w:color="auto"/>
        <w:right w:val="none" w:sz="0" w:space="0" w:color="auto"/>
      </w:divBdr>
    </w:div>
    <w:div w:id="1835997232">
      <w:bodyDiv w:val="1"/>
      <w:marLeft w:val="0"/>
      <w:marRight w:val="0"/>
      <w:marTop w:val="0"/>
      <w:marBottom w:val="0"/>
      <w:divBdr>
        <w:top w:val="none" w:sz="0" w:space="0" w:color="auto"/>
        <w:left w:val="none" w:sz="0" w:space="0" w:color="auto"/>
        <w:bottom w:val="none" w:sz="0" w:space="0" w:color="auto"/>
        <w:right w:val="none" w:sz="0" w:space="0" w:color="auto"/>
      </w:divBdr>
    </w:div>
    <w:div w:id="1837912408">
      <w:bodyDiv w:val="1"/>
      <w:marLeft w:val="0"/>
      <w:marRight w:val="0"/>
      <w:marTop w:val="0"/>
      <w:marBottom w:val="0"/>
      <w:divBdr>
        <w:top w:val="none" w:sz="0" w:space="0" w:color="auto"/>
        <w:left w:val="none" w:sz="0" w:space="0" w:color="auto"/>
        <w:bottom w:val="none" w:sz="0" w:space="0" w:color="auto"/>
        <w:right w:val="none" w:sz="0" w:space="0" w:color="auto"/>
      </w:divBdr>
    </w:div>
    <w:div w:id="1838496190">
      <w:bodyDiv w:val="1"/>
      <w:marLeft w:val="0"/>
      <w:marRight w:val="0"/>
      <w:marTop w:val="0"/>
      <w:marBottom w:val="0"/>
      <w:divBdr>
        <w:top w:val="none" w:sz="0" w:space="0" w:color="auto"/>
        <w:left w:val="none" w:sz="0" w:space="0" w:color="auto"/>
        <w:bottom w:val="none" w:sz="0" w:space="0" w:color="auto"/>
        <w:right w:val="none" w:sz="0" w:space="0" w:color="auto"/>
      </w:divBdr>
    </w:div>
    <w:div w:id="1838573524">
      <w:bodyDiv w:val="1"/>
      <w:marLeft w:val="0"/>
      <w:marRight w:val="0"/>
      <w:marTop w:val="0"/>
      <w:marBottom w:val="0"/>
      <w:divBdr>
        <w:top w:val="none" w:sz="0" w:space="0" w:color="auto"/>
        <w:left w:val="none" w:sz="0" w:space="0" w:color="auto"/>
        <w:bottom w:val="none" w:sz="0" w:space="0" w:color="auto"/>
        <w:right w:val="none" w:sz="0" w:space="0" w:color="auto"/>
      </w:divBdr>
    </w:div>
    <w:div w:id="1838576284">
      <w:bodyDiv w:val="1"/>
      <w:marLeft w:val="0"/>
      <w:marRight w:val="0"/>
      <w:marTop w:val="0"/>
      <w:marBottom w:val="0"/>
      <w:divBdr>
        <w:top w:val="none" w:sz="0" w:space="0" w:color="auto"/>
        <w:left w:val="none" w:sz="0" w:space="0" w:color="auto"/>
        <w:bottom w:val="none" w:sz="0" w:space="0" w:color="auto"/>
        <w:right w:val="none" w:sz="0" w:space="0" w:color="auto"/>
      </w:divBdr>
    </w:div>
    <w:div w:id="1839341390">
      <w:bodyDiv w:val="1"/>
      <w:marLeft w:val="0"/>
      <w:marRight w:val="0"/>
      <w:marTop w:val="0"/>
      <w:marBottom w:val="0"/>
      <w:divBdr>
        <w:top w:val="none" w:sz="0" w:space="0" w:color="auto"/>
        <w:left w:val="none" w:sz="0" w:space="0" w:color="auto"/>
        <w:bottom w:val="none" w:sz="0" w:space="0" w:color="auto"/>
        <w:right w:val="none" w:sz="0" w:space="0" w:color="auto"/>
      </w:divBdr>
    </w:div>
    <w:div w:id="1839419390">
      <w:bodyDiv w:val="1"/>
      <w:marLeft w:val="0"/>
      <w:marRight w:val="0"/>
      <w:marTop w:val="0"/>
      <w:marBottom w:val="0"/>
      <w:divBdr>
        <w:top w:val="none" w:sz="0" w:space="0" w:color="auto"/>
        <w:left w:val="none" w:sz="0" w:space="0" w:color="auto"/>
        <w:bottom w:val="none" w:sz="0" w:space="0" w:color="auto"/>
        <w:right w:val="none" w:sz="0" w:space="0" w:color="auto"/>
      </w:divBdr>
    </w:div>
    <w:div w:id="1839494687">
      <w:bodyDiv w:val="1"/>
      <w:marLeft w:val="0"/>
      <w:marRight w:val="0"/>
      <w:marTop w:val="0"/>
      <w:marBottom w:val="0"/>
      <w:divBdr>
        <w:top w:val="none" w:sz="0" w:space="0" w:color="auto"/>
        <w:left w:val="none" w:sz="0" w:space="0" w:color="auto"/>
        <w:bottom w:val="none" w:sz="0" w:space="0" w:color="auto"/>
        <w:right w:val="none" w:sz="0" w:space="0" w:color="auto"/>
      </w:divBdr>
    </w:div>
    <w:div w:id="1839735368">
      <w:bodyDiv w:val="1"/>
      <w:marLeft w:val="0"/>
      <w:marRight w:val="0"/>
      <w:marTop w:val="0"/>
      <w:marBottom w:val="0"/>
      <w:divBdr>
        <w:top w:val="none" w:sz="0" w:space="0" w:color="auto"/>
        <w:left w:val="none" w:sz="0" w:space="0" w:color="auto"/>
        <w:bottom w:val="none" w:sz="0" w:space="0" w:color="auto"/>
        <w:right w:val="none" w:sz="0" w:space="0" w:color="auto"/>
      </w:divBdr>
    </w:div>
    <w:div w:id="1840265670">
      <w:bodyDiv w:val="1"/>
      <w:marLeft w:val="0"/>
      <w:marRight w:val="0"/>
      <w:marTop w:val="0"/>
      <w:marBottom w:val="0"/>
      <w:divBdr>
        <w:top w:val="none" w:sz="0" w:space="0" w:color="auto"/>
        <w:left w:val="none" w:sz="0" w:space="0" w:color="auto"/>
        <w:bottom w:val="none" w:sz="0" w:space="0" w:color="auto"/>
        <w:right w:val="none" w:sz="0" w:space="0" w:color="auto"/>
      </w:divBdr>
    </w:div>
    <w:div w:id="1841239514">
      <w:bodyDiv w:val="1"/>
      <w:marLeft w:val="0"/>
      <w:marRight w:val="0"/>
      <w:marTop w:val="0"/>
      <w:marBottom w:val="0"/>
      <w:divBdr>
        <w:top w:val="none" w:sz="0" w:space="0" w:color="auto"/>
        <w:left w:val="none" w:sz="0" w:space="0" w:color="auto"/>
        <w:bottom w:val="none" w:sz="0" w:space="0" w:color="auto"/>
        <w:right w:val="none" w:sz="0" w:space="0" w:color="auto"/>
      </w:divBdr>
    </w:div>
    <w:div w:id="1841383823">
      <w:bodyDiv w:val="1"/>
      <w:marLeft w:val="0"/>
      <w:marRight w:val="0"/>
      <w:marTop w:val="0"/>
      <w:marBottom w:val="0"/>
      <w:divBdr>
        <w:top w:val="none" w:sz="0" w:space="0" w:color="auto"/>
        <w:left w:val="none" w:sz="0" w:space="0" w:color="auto"/>
        <w:bottom w:val="none" w:sz="0" w:space="0" w:color="auto"/>
        <w:right w:val="none" w:sz="0" w:space="0" w:color="auto"/>
      </w:divBdr>
    </w:div>
    <w:div w:id="1842043875">
      <w:bodyDiv w:val="1"/>
      <w:marLeft w:val="0"/>
      <w:marRight w:val="0"/>
      <w:marTop w:val="0"/>
      <w:marBottom w:val="0"/>
      <w:divBdr>
        <w:top w:val="none" w:sz="0" w:space="0" w:color="auto"/>
        <w:left w:val="none" w:sz="0" w:space="0" w:color="auto"/>
        <w:bottom w:val="none" w:sz="0" w:space="0" w:color="auto"/>
        <w:right w:val="none" w:sz="0" w:space="0" w:color="auto"/>
      </w:divBdr>
    </w:div>
    <w:div w:id="1842812986">
      <w:bodyDiv w:val="1"/>
      <w:marLeft w:val="0"/>
      <w:marRight w:val="0"/>
      <w:marTop w:val="0"/>
      <w:marBottom w:val="0"/>
      <w:divBdr>
        <w:top w:val="none" w:sz="0" w:space="0" w:color="auto"/>
        <w:left w:val="none" w:sz="0" w:space="0" w:color="auto"/>
        <w:bottom w:val="none" w:sz="0" w:space="0" w:color="auto"/>
        <w:right w:val="none" w:sz="0" w:space="0" w:color="auto"/>
      </w:divBdr>
    </w:div>
    <w:div w:id="1843348403">
      <w:bodyDiv w:val="1"/>
      <w:marLeft w:val="0"/>
      <w:marRight w:val="0"/>
      <w:marTop w:val="0"/>
      <w:marBottom w:val="0"/>
      <w:divBdr>
        <w:top w:val="none" w:sz="0" w:space="0" w:color="auto"/>
        <w:left w:val="none" w:sz="0" w:space="0" w:color="auto"/>
        <w:bottom w:val="none" w:sz="0" w:space="0" w:color="auto"/>
        <w:right w:val="none" w:sz="0" w:space="0" w:color="auto"/>
      </w:divBdr>
    </w:div>
    <w:div w:id="1843623502">
      <w:bodyDiv w:val="1"/>
      <w:marLeft w:val="0"/>
      <w:marRight w:val="0"/>
      <w:marTop w:val="0"/>
      <w:marBottom w:val="0"/>
      <w:divBdr>
        <w:top w:val="none" w:sz="0" w:space="0" w:color="auto"/>
        <w:left w:val="none" w:sz="0" w:space="0" w:color="auto"/>
        <w:bottom w:val="none" w:sz="0" w:space="0" w:color="auto"/>
        <w:right w:val="none" w:sz="0" w:space="0" w:color="auto"/>
      </w:divBdr>
    </w:div>
    <w:div w:id="1843814026">
      <w:bodyDiv w:val="1"/>
      <w:marLeft w:val="0"/>
      <w:marRight w:val="0"/>
      <w:marTop w:val="0"/>
      <w:marBottom w:val="0"/>
      <w:divBdr>
        <w:top w:val="none" w:sz="0" w:space="0" w:color="auto"/>
        <w:left w:val="none" w:sz="0" w:space="0" w:color="auto"/>
        <w:bottom w:val="none" w:sz="0" w:space="0" w:color="auto"/>
        <w:right w:val="none" w:sz="0" w:space="0" w:color="auto"/>
      </w:divBdr>
    </w:div>
    <w:div w:id="1844278206">
      <w:bodyDiv w:val="1"/>
      <w:marLeft w:val="0"/>
      <w:marRight w:val="0"/>
      <w:marTop w:val="0"/>
      <w:marBottom w:val="0"/>
      <w:divBdr>
        <w:top w:val="none" w:sz="0" w:space="0" w:color="auto"/>
        <w:left w:val="none" w:sz="0" w:space="0" w:color="auto"/>
        <w:bottom w:val="none" w:sz="0" w:space="0" w:color="auto"/>
        <w:right w:val="none" w:sz="0" w:space="0" w:color="auto"/>
      </w:divBdr>
    </w:div>
    <w:div w:id="1844738796">
      <w:bodyDiv w:val="1"/>
      <w:marLeft w:val="0"/>
      <w:marRight w:val="0"/>
      <w:marTop w:val="0"/>
      <w:marBottom w:val="0"/>
      <w:divBdr>
        <w:top w:val="none" w:sz="0" w:space="0" w:color="auto"/>
        <w:left w:val="none" w:sz="0" w:space="0" w:color="auto"/>
        <w:bottom w:val="none" w:sz="0" w:space="0" w:color="auto"/>
        <w:right w:val="none" w:sz="0" w:space="0" w:color="auto"/>
      </w:divBdr>
    </w:div>
    <w:div w:id="1845123072">
      <w:bodyDiv w:val="1"/>
      <w:marLeft w:val="0"/>
      <w:marRight w:val="0"/>
      <w:marTop w:val="0"/>
      <w:marBottom w:val="0"/>
      <w:divBdr>
        <w:top w:val="none" w:sz="0" w:space="0" w:color="auto"/>
        <w:left w:val="none" w:sz="0" w:space="0" w:color="auto"/>
        <w:bottom w:val="none" w:sz="0" w:space="0" w:color="auto"/>
        <w:right w:val="none" w:sz="0" w:space="0" w:color="auto"/>
      </w:divBdr>
    </w:div>
    <w:div w:id="1845702999">
      <w:bodyDiv w:val="1"/>
      <w:marLeft w:val="0"/>
      <w:marRight w:val="0"/>
      <w:marTop w:val="0"/>
      <w:marBottom w:val="0"/>
      <w:divBdr>
        <w:top w:val="none" w:sz="0" w:space="0" w:color="auto"/>
        <w:left w:val="none" w:sz="0" w:space="0" w:color="auto"/>
        <w:bottom w:val="none" w:sz="0" w:space="0" w:color="auto"/>
        <w:right w:val="none" w:sz="0" w:space="0" w:color="auto"/>
      </w:divBdr>
    </w:div>
    <w:div w:id="1846625228">
      <w:bodyDiv w:val="1"/>
      <w:marLeft w:val="0"/>
      <w:marRight w:val="0"/>
      <w:marTop w:val="0"/>
      <w:marBottom w:val="0"/>
      <w:divBdr>
        <w:top w:val="none" w:sz="0" w:space="0" w:color="auto"/>
        <w:left w:val="none" w:sz="0" w:space="0" w:color="auto"/>
        <w:bottom w:val="none" w:sz="0" w:space="0" w:color="auto"/>
        <w:right w:val="none" w:sz="0" w:space="0" w:color="auto"/>
      </w:divBdr>
    </w:div>
    <w:div w:id="1847552504">
      <w:bodyDiv w:val="1"/>
      <w:marLeft w:val="0"/>
      <w:marRight w:val="0"/>
      <w:marTop w:val="0"/>
      <w:marBottom w:val="0"/>
      <w:divBdr>
        <w:top w:val="none" w:sz="0" w:space="0" w:color="auto"/>
        <w:left w:val="none" w:sz="0" w:space="0" w:color="auto"/>
        <w:bottom w:val="none" w:sz="0" w:space="0" w:color="auto"/>
        <w:right w:val="none" w:sz="0" w:space="0" w:color="auto"/>
      </w:divBdr>
    </w:div>
    <w:div w:id="1848011936">
      <w:bodyDiv w:val="1"/>
      <w:marLeft w:val="0"/>
      <w:marRight w:val="0"/>
      <w:marTop w:val="0"/>
      <w:marBottom w:val="0"/>
      <w:divBdr>
        <w:top w:val="none" w:sz="0" w:space="0" w:color="auto"/>
        <w:left w:val="none" w:sz="0" w:space="0" w:color="auto"/>
        <w:bottom w:val="none" w:sz="0" w:space="0" w:color="auto"/>
        <w:right w:val="none" w:sz="0" w:space="0" w:color="auto"/>
      </w:divBdr>
    </w:div>
    <w:div w:id="1848061828">
      <w:bodyDiv w:val="1"/>
      <w:marLeft w:val="0"/>
      <w:marRight w:val="0"/>
      <w:marTop w:val="0"/>
      <w:marBottom w:val="0"/>
      <w:divBdr>
        <w:top w:val="none" w:sz="0" w:space="0" w:color="auto"/>
        <w:left w:val="none" w:sz="0" w:space="0" w:color="auto"/>
        <w:bottom w:val="none" w:sz="0" w:space="0" w:color="auto"/>
        <w:right w:val="none" w:sz="0" w:space="0" w:color="auto"/>
      </w:divBdr>
    </w:div>
    <w:div w:id="1849056184">
      <w:bodyDiv w:val="1"/>
      <w:marLeft w:val="0"/>
      <w:marRight w:val="0"/>
      <w:marTop w:val="0"/>
      <w:marBottom w:val="0"/>
      <w:divBdr>
        <w:top w:val="none" w:sz="0" w:space="0" w:color="auto"/>
        <w:left w:val="none" w:sz="0" w:space="0" w:color="auto"/>
        <w:bottom w:val="none" w:sz="0" w:space="0" w:color="auto"/>
        <w:right w:val="none" w:sz="0" w:space="0" w:color="auto"/>
      </w:divBdr>
    </w:div>
    <w:div w:id="1849950394">
      <w:bodyDiv w:val="1"/>
      <w:marLeft w:val="0"/>
      <w:marRight w:val="0"/>
      <w:marTop w:val="0"/>
      <w:marBottom w:val="0"/>
      <w:divBdr>
        <w:top w:val="none" w:sz="0" w:space="0" w:color="auto"/>
        <w:left w:val="none" w:sz="0" w:space="0" w:color="auto"/>
        <w:bottom w:val="none" w:sz="0" w:space="0" w:color="auto"/>
        <w:right w:val="none" w:sz="0" w:space="0" w:color="auto"/>
      </w:divBdr>
    </w:div>
    <w:div w:id="1851603360">
      <w:bodyDiv w:val="1"/>
      <w:marLeft w:val="0"/>
      <w:marRight w:val="0"/>
      <w:marTop w:val="0"/>
      <w:marBottom w:val="0"/>
      <w:divBdr>
        <w:top w:val="none" w:sz="0" w:space="0" w:color="auto"/>
        <w:left w:val="none" w:sz="0" w:space="0" w:color="auto"/>
        <w:bottom w:val="none" w:sz="0" w:space="0" w:color="auto"/>
        <w:right w:val="none" w:sz="0" w:space="0" w:color="auto"/>
      </w:divBdr>
    </w:div>
    <w:div w:id="1852210829">
      <w:bodyDiv w:val="1"/>
      <w:marLeft w:val="0"/>
      <w:marRight w:val="0"/>
      <w:marTop w:val="0"/>
      <w:marBottom w:val="0"/>
      <w:divBdr>
        <w:top w:val="none" w:sz="0" w:space="0" w:color="auto"/>
        <w:left w:val="none" w:sz="0" w:space="0" w:color="auto"/>
        <w:bottom w:val="none" w:sz="0" w:space="0" w:color="auto"/>
        <w:right w:val="none" w:sz="0" w:space="0" w:color="auto"/>
      </w:divBdr>
    </w:div>
    <w:div w:id="1852528629">
      <w:bodyDiv w:val="1"/>
      <w:marLeft w:val="0"/>
      <w:marRight w:val="0"/>
      <w:marTop w:val="0"/>
      <w:marBottom w:val="0"/>
      <w:divBdr>
        <w:top w:val="none" w:sz="0" w:space="0" w:color="auto"/>
        <w:left w:val="none" w:sz="0" w:space="0" w:color="auto"/>
        <w:bottom w:val="none" w:sz="0" w:space="0" w:color="auto"/>
        <w:right w:val="none" w:sz="0" w:space="0" w:color="auto"/>
      </w:divBdr>
    </w:div>
    <w:div w:id="1852992844">
      <w:bodyDiv w:val="1"/>
      <w:marLeft w:val="0"/>
      <w:marRight w:val="0"/>
      <w:marTop w:val="0"/>
      <w:marBottom w:val="0"/>
      <w:divBdr>
        <w:top w:val="none" w:sz="0" w:space="0" w:color="auto"/>
        <w:left w:val="none" w:sz="0" w:space="0" w:color="auto"/>
        <w:bottom w:val="none" w:sz="0" w:space="0" w:color="auto"/>
        <w:right w:val="none" w:sz="0" w:space="0" w:color="auto"/>
      </w:divBdr>
    </w:div>
    <w:div w:id="1853035203">
      <w:bodyDiv w:val="1"/>
      <w:marLeft w:val="0"/>
      <w:marRight w:val="0"/>
      <w:marTop w:val="0"/>
      <w:marBottom w:val="0"/>
      <w:divBdr>
        <w:top w:val="none" w:sz="0" w:space="0" w:color="auto"/>
        <w:left w:val="none" w:sz="0" w:space="0" w:color="auto"/>
        <w:bottom w:val="none" w:sz="0" w:space="0" w:color="auto"/>
        <w:right w:val="none" w:sz="0" w:space="0" w:color="auto"/>
      </w:divBdr>
    </w:div>
    <w:div w:id="1854110097">
      <w:bodyDiv w:val="1"/>
      <w:marLeft w:val="0"/>
      <w:marRight w:val="0"/>
      <w:marTop w:val="0"/>
      <w:marBottom w:val="0"/>
      <w:divBdr>
        <w:top w:val="none" w:sz="0" w:space="0" w:color="auto"/>
        <w:left w:val="none" w:sz="0" w:space="0" w:color="auto"/>
        <w:bottom w:val="none" w:sz="0" w:space="0" w:color="auto"/>
        <w:right w:val="none" w:sz="0" w:space="0" w:color="auto"/>
      </w:divBdr>
    </w:div>
    <w:div w:id="1854344092">
      <w:bodyDiv w:val="1"/>
      <w:marLeft w:val="0"/>
      <w:marRight w:val="0"/>
      <w:marTop w:val="0"/>
      <w:marBottom w:val="0"/>
      <w:divBdr>
        <w:top w:val="none" w:sz="0" w:space="0" w:color="auto"/>
        <w:left w:val="none" w:sz="0" w:space="0" w:color="auto"/>
        <w:bottom w:val="none" w:sz="0" w:space="0" w:color="auto"/>
        <w:right w:val="none" w:sz="0" w:space="0" w:color="auto"/>
      </w:divBdr>
    </w:div>
    <w:div w:id="1854881953">
      <w:bodyDiv w:val="1"/>
      <w:marLeft w:val="0"/>
      <w:marRight w:val="0"/>
      <w:marTop w:val="0"/>
      <w:marBottom w:val="0"/>
      <w:divBdr>
        <w:top w:val="none" w:sz="0" w:space="0" w:color="auto"/>
        <w:left w:val="none" w:sz="0" w:space="0" w:color="auto"/>
        <w:bottom w:val="none" w:sz="0" w:space="0" w:color="auto"/>
        <w:right w:val="none" w:sz="0" w:space="0" w:color="auto"/>
      </w:divBdr>
    </w:div>
    <w:div w:id="1855680143">
      <w:bodyDiv w:val="1"/>
      <w:marLeft w:val="0"/>
      <w:marRight w:val="0"/>
      <w:marTop w:val="0"/>
      <w:marBottom w:val="0"/>
      <w:divBdr>
        <w:top w:val="none" w:sz="0" w:space="0" w:color="auto"/>
        <w:left w:val="none" w:sz="0" w:space="0" w:color="auto"/>
        <w:bottom w:val="none" w:sz="0" w:space="0" w:color="auto"/>
        <w:right w:val="none" w:sz="0" w:space="0" w:color="auto"/>
      </w:divBdr>
    </w:div>
    <w:div w:id="1857578069">
      <w:bodyDiv w:val="1"/>
      <w:marLeft w:val="0"/>
      <w:marRight w:val="0"/>
      <w:marTop w:val="0"/>
      <w:marBottom w:val="0"/>
      <w:divBdr>
        <w:top w:val="none" w:sz="0" w:space="0" w:color="auto"/>
        <w:left w:val="none" w:sz="0" w:space="0" w:color="auto"/>
        <w:bottom w:val="none" w:sz="0" w:space="0" w:color="auto"/>
        <w:right w:val="none" w:sz="0" w:space="0" w:color="auto"/>
      </w:divBdr>
    </w:div>
    <w:div w:id="1858227754">
      <w:bodyDiv w:val="1"/>
      <w:marLeft w:val="0"/>
      <w:marRight w:val="0"/>
      <w:marTop w:val="0"/>
      <w:marBottom w:val="0"/>
      <w:divBdr>
        <w:top w:val="none" w:sz="0" w:space="0" w:color="auto"/>
        <w:left w:val="none" w:sz="0" w:space="0" w:color="auto"/>
        <w:bottom w:val="none" w:sz="0" w:space="0" w:color="auto"/>
        <w:right w:val="none" w:sz="0" w:space="0" w:color="auto"/>
      </w:divBdr>
    </w:div>
    <w:div w:id="1858539631">
      <w:bodyDiv w:val="1"/>
      <w:marLeft w:val="0"/>
      <w:marRight w:val="0"/>
      <w:marTop w:val="0"/>
      <w:marBottom w:val="0"/>
      <w:divBdr>
        <w:top w:val="none" w:sz="0" w:space="0" w:color="auto"/>
        <w:left w:val="none" w:sz="0" w:space="0" w:color="auto"/>
        <w:bottom w:val="none" w:sz="0" w:space="0" w:color="auto"/>
        <w:right w:val="none" w:sz="0" w:space="0" w:color="auto"/>
      </w:divBdr>
    </w:div>
    <w:div w:id="1858545875">
      <w:bodyDiv w:val="1"/>
      <w:marLeft w:val="0"/>
      <w:marRight w:val="0"/>
      <w:marTop w:val="0"/>
      <w:marBottom w:val="0"/>
      <w:divBdr>
        <w:top w:val="none" w:sz="0" w:space="0" w:color="auto"/>
        <w:left w:val="none" w:sz="0" w:space="0" w:color="auto"/>
        <w:bottom w:val="none" w:sz="0" w:space="0" w:color="auto"/>
        <w:right w:val="none" w:sz="0" w:space="0" w:color="auto"/>
      </w:divBdr>
    </w:div>
    <w:div w:id="1858881398">
      <w:bodyDiv w:val="1"/>
      <w:marLeft w:val="0"/>
      <w:marRight w:val="0"/>
      <w:marTop w:val="0"/>
      <w:marBottom w:val="0"/>
      <w:divBdr>
        <w:top w:val="none" w:sz="0" w:space="0" w:color="auto"/>
        <w:left w:val="none" w:sz="0" w:space="0" w:color="auto"/>
        <w:bottom w:val="none" w:sz="0" w:space="0" w:color="auto"/>
        <w:right w:val="none" w:sz="0" w:space="0" w:color="auto"/>
      </w:divBdr>
    </w:div>
    <w:div w:id="1859077497">
      <w:bodyDiv w:val="1"/>
      <w:marLeft w:val="0"/>
      <w:marRight w:val="0"/>
      <w:marTop w:val="0"/>
      <w:marBottom w:val="0"/>
      <w:divBdr>
        <w:top w:val="none" w:sz="0" w:space="0" w:color="auto"/>
        <w:left w:val="none" w:sz="0" w:space="0" w:color="auto"/>
        <w:bottom w:val="none" w:sz="0" w:space="0" w:color="auto"/>
        <w:right w:val="none" w:sz="0" w:space="0" w:color="auto"/>
      </w:divBdr>
    </w:div>
    <w:div w:id="1859662407">
      <w:bodyDiv w:val="1"/>
      <w:marLeft w:val="0"/>
      <w:marRight w:val="0"/>
      <w:marTop w:val="0"/>
      <w:marBottom w:val="0"/>
      <w:divBdr>
        <w:top w:val="none" w:sz="0" w:space="0" w:color="auto"/>
        <w:left w:val="none" w:sz="0" w:space="0" w:color="auto"/>
        <w:bottom w:val="none" w:sz="0" w:space="0" w:color="auto"/>
        <w:right w:val="none" w:sz="0" w:space="0" w:color="auto"/>
      </w:divBdr>
    </w:div>
    <w:div w:id="1860586160">
      <w:bodyDiv w:val="1"/>
      <w:marLeft w:val="0"/>
      <w:marRight w:val="0"/>
      <w:marTop w:val="0"/>
      <w:marBottom w:val="0"/>
      <w:divBdr>
        <w:top w:val="none" w:sz="0" w:space="0" w:color="auto"/>
        <w:left w:val="none" w:sz="0" w:space="0" w:color="auto"/>
        <w:bottom w:val="none" w:sz="0" w:space="0" w:color="auto"/>
        <w:right w:val="none" w:sz="0" w:space="0" w:color="auto"/>
      </w:divBdr>
    </w:div>
    <w:div w:id="1860703788">
      <w:bodyDiv w:val="1"/>
      <w:marLeft w:val="0"/>
      <w:marRight w:val="0"/>
      <w:marTop w:val="0"/>
      <w:marBottom w:val="0"/>
      <w:divBdr>
        <w:top w:val="none" w:sz="0" w:space="0" w:color="auto"/>
        <w:left w:val="none" w:sz="0" w:space="0" w:color="auto"/>
        <w:bottom w:val="none" w:sz="0" w:space="0" w:color="auto"/>
        <w:right w:val="none" w:sz="0" w:space="0" w:color="auto"/>
      </w:divBdr>
    </w:div>
    <w:div w:id="1862233684">
      <w:bodyDiv w:val="1"/>
      <w:marLeft w:val="0"/>
      <w:marRight w:val="0"/>
      <w:marTop w:val="0"/>
      <w:marBottom w:val="0"/>
      <w:divBdr>
        <w:top w:val="none" w:sz="0" w:space="0" w:color="auto"/>
        <w:left w:val="none" w:sz="0" w:space="0" w:color="auto"/>
        <w:bottom w:val="none" w:sz="0" w:space="0" w:color="auto"/>
        <w:right w:val="none" w:sz="0" w:space="0" w:color="auto"/>
      </w:divBdr>
    </w:div>
    <w:div w:id="1863127975">
      <w:bodyDiv w:val="1"/>
      <w:marLeft w:val="0"/>
      <w:marRight w:val="0"/>
      <w:marTop w:val="0"/>
      <w:marBottom w:val="0"/>
      <w:divBdr>
        <w:top w:val="none" w:sz="0" w:space="0" w:color="auto"/>
        <w:left w:val="none" w:sz="0" w:space="0" w:color="auto"/>
        <w:bottom w:val="none" w:sz="0" w:space="0" w:color="auto"/>
        <w:right w:val="none" w:sz="0" w:space="0" w:color="auto"/>
      </w:divBdr>
    </w:div>
    <w:div w:id="1863545771">
      <w:bodyDiv w:val="1"/>
      <w:marLeft w:val="0"/>
      <w:marRight w:val="0"/>
      <w:marTop w:val="0"/>
      <w:marBottom w:val="0"/>
      <w:divBdr>
        <w:top w:val="none" w:sz="0" w:space="0" w:color="auto"/>
        <w:left w:val="none" w:sz="0" w:space="0" w:color="auto"/>
        <w:bottom w:val="none" w:sz="0" w:space="0" w:color="auto"/>
        <w:right w:val="none" w:sz="0" w:space="0" w:color="auto"/>
      </w:divBdr>
    </w:div>
    <w:div w:id="1865514532">
      <w:bodyDiv w:val="1"/>
      <w:marLeft w:val="0"/>
      <w:marRight w:val="0"/>
      <w:marTop w:val="0"/>
      <w:marBottom w:val="0"/>
      <w:divBdr>
        <w:top w:val="none" w:sz="0" w:space="0" w:color="auto"/>
        <w:left w:val="none" w:sz="0" w:space="0" w:color="auto"/>
        <w:bottom w:val="none" w:sz="0" w:space="0" w:color="auto"/>
        <w:right w:val="none" w:sz="0" w:space="0" w:color="auto"/>
      </w:divBdr>
    </w:div>
    <w:div w:id="1865630161">
      <w:bodyDiv w:val="1"/>
      <w:marLeft w:val="0"/>
      <w:marRight w:val="0"/>
      <w:marTop w:val="0"/>
      <w:marBottom w:val="0"/>
      <w:divBdr>
        <w:top w:val="none" w:sz="0" w:space="0" w:color="auto"/>
        <w:left w:val="none" w:sz="0" w:space="0" w:color="auto"/>
        <w:bottom w:val="none" w:sz="0" w:space="0" w:color="auto"/>
        <w:right w:val="none" w:sz="0" w:space="0" w:color="auto"/>
      </w:divBdr>
    </w:div>
    <w:div w:id="1865748556">
      <w:bodyDiv w:val="1"/>
      <w:marLeft w:val="0"/>
      <w:marRight w:val="0"/>
      <w:marTop w:val="0"/>
      <w:marBottom w:val="0"/>
      <w:divBdr>
        <w:top w:val="none" w:sz="0" w:space="0" w:color="auto"/>
        <w:left w:val="none" w:sz="0" w:space="0" w:color="auto"/>
        <w:bottom w:val="none" w:sz="0" w:space="0" w:color="auto"/>
        <w:right w:val="none" w:sz="0" w:space="0" w:color="auto"/>
      </w:divBdr>
    </w:div>
    <w:div w:id="1865942663">
      <w:bodyDiv w:val="1"/>
      <w:marLeft w:val="0"/>
      <w:marRight w:val="0"/>
      <w:marTop w:val="0"/>
      <w:marBottom w:val="0"/>
      <w:divBdr>
        <w:top w:val="none" w:sz="0" w:space="0" w:color="auto"/>
        <w:left w:val="none" w:sz="0" w:space="0" w:color="auto"/>
        <w:bottom w:val="none" w:sz="0" w:space="0" w:color="auto"/>
        <w:right w:val="none" w:sz="0" w:space="0" w:color="auto"/>
      </w:divBdr>
    </w:div>
    <w:div w:id="1866096812">
      <w:bodyDiv w:val="1"/>
      <w:marLeft w:val="0"/>
      <w:marRight w:val="0"/>
      <w:marTop w:val="0"/>
      <w:marBottom w:val="0"/>
      <w:divBdr>
        <w:top w:val="none" w:sz="0" w:space="0" w:color="auto"/>
        <w:left w:val="none" w:sz="0" w:space="0" w:color="auto"/>
        <w:bottom w:val="none" w:sz="0" w:space="0" w:color="auto"/>
        <w:right w:val="none" w:sz="0" w:space="0" w:color="auto"/>
      </w:divBdr>
    </w:div>
    <w:div w:id="1866211952">
      <w:bodyDiv w:val="1"/>
      <w:marLeft w:val="0"/>
      <w:marRight w:val="0"/>
      <w:marTop w:val="0"/>
      <w:marBottom w:val="0"/>
      <w:divBdr>
        <w:top w:val="none" w:sz="0" w:space="0" w:color="auto"/>
        <w:left w:val="none" w:sz="0" w:space="0" w:color="auto"/>
        <w:bottom w:val="none" w:sz="0" w:space="0" w:color="auto"/>
        <w:right w:val="none" w:sz="0" w:space="0" w:color="auto"/>
      </w:divBdr>
    </w:div>
    <w:div w:id="1866363101">
      <w:bodyDiv w:val="1"/>
      <w:marLeft w:val="0"/>
      <w:marRight w:val="0"/>
      <w:marTop w:val="0"/>
      <w:marBottom w:val="0"/>
      <w:divBdr>
        <w:top w:val="none" w:sz="0" w:space="0" w:color="auto"/>
        <w:left w:val="none" w:sz="0" w:space="0" w:color="auto"/>
        <w:bottom w:val="none" w:sz="0" w:space="0" w:color="auto"/>
        <w:right w:val="none" w:sz="0" w:space="0" w:color="auto"/>
      </w:divBdr>
    </w:div>
    <w:div w:id="1867907721">
      <w:bodyDiv w:val="1"/>
      <w:marLeft w:val="0"/>
      <w:marRight w:val="0"/>
      <w:marTop w:val="0"/>
      <w:marBottom w:val="0"/>
      <w:divBdr>
        <w:top w:val="none" w:sz="0" w:space="0" w:color="auto"/>
        <w:left w:val="none" w:sz="0" w:space="0" w:color="auto"/>
        <w:bottom w:val="none" w:sz="0" w:space="0" w:color="auto"/>
        <w:right w:val="none" w:sz="0" w:space="0" w:color="auto"/>
      </w:divBdr>
    </w:div>
    <w:div w:id="1867983504">
      <w:bodyDiv w:val="1"/>
      <w:marLeft w:val="0"/>
      <w:marRight w:val="0"/>
      <w:marTop w:val="0"/>
      <w:marBottom w:val="0"/>
      <w:divBdr>
        <w:top w:val="none" w:sz="0" w:space="0" w:color="auto"/>
        <w:left w:val="none" w:sz="0" w:space="0" w:color="auto"/>
        <w:bottom w:val="none" w:sz="0" w:space="0" w:color="auto"/>
        <w:right w:val="none" w:sz="0" w:space="0" w:color="auto"/>
      </w:divBdr>
    </w:div>
    <w:div w:id="1868519120">
      <w:bodyDiv w:val="1"/>
      <w:marLeft w:val="0"/>
      <w:marRight w:val="0"/>
      <w:marTop w:val="0"/>
      <w:marBottom w:val="0"/>
      <w:divBdr>
        <w:top w:val="none" w:sz="0" w:space="0" w:color="auto"/>
        <w:left w:val="none" w:sz="0" w:space="0" w:color="auto"/>
        <w:bottom w:val="none" w:sz="0" w:space="0" w:color="auto"/>
        <w:right w:val="none" w:sz="0" w:space="0" w:color="auto"/>
      </w:divBdr>
    </w:div>
    <w:div w:id="1869677576">
      <w:bodyDiv w:val="1"/>
      <w:marLeft w:val="0"/>
      <w:marRight w:val="0"/>
      <w:marTop w:val="0"/>
      <w:marBottom w:val="0"/>
      <w:divBdr>
        <w:top w:val="none" w:sz="0" w:space="0" w:color="auto"/>
        <w:left w:val="none" w:sz="0" w:space="0" w:color="auto"/>
        <w:bottom w:val="none" w:sz="0" w:space="0" w:color="auto"/>
        <w:right w:val="none" w:sz="0" w:space="0" w:color="auto"/>
      </w:divBdr>
    </w:div>
    <w:div w:id="1870020949">
      <w:bodyDiv w:val="1"/>
      <w:marLeft w:val="0"/>
      <w:marRight w:val="0"/>
      <w:marTop w:val="0"/>
      <w:marBottom w:val="0"/>
      <w:divBdr>
        <w:top w:val="none" w:sz="0" w:space="0" w:color="auto"/>
        <w:left w:val="none" w:sz="0" w:space="0" w:color="auto"/>
        <w:bottom w:val="none" w:sz="0" w:space="0" w:color="auto"/>
        <w:right w:val="none" w:sz="0" w:space="0" w:color="auto"/>
      </w:divBdr>
    </w:div>
    <w:div w:id="1870604899">
      <w:bodyDiv w:val="1"/>
      <w:marLeft w:val="0"/>
      <w:marRight w:val="0"/>
      <w:marTop w:val="0"/>
      <w:marBottom w:val="0"/>
      <w:divBdr>
        <w:top w:val="none" w:sz="0" w:space="0" w:color="auto"/>
        <w:left w:val="none" w:sz="0" w:space="0" w:color="auto"/>
        <w:bottom w:val="none" w:sz="0" w:space="0" w:color="auto"/>
        <w:right w:val="none" w:sz="0" w:space="0" w:color="auto"/>
      </w:divBdr>
    </w:div>
    <w:div w:id="1871334226">
      <w:bodyDiv w:val="1"/>
      <w:marLeft w:val="0"/>
      <w:marRight w:val="0"/>
      <w:marTop w:val="0"/>
      <w:marBottom w:val="0"/>
      <w:divBdr>
        <w:top w:val="none" w:sz="0" w:space="0" w:color="auto"/>
        <w:left w:val="none" w:sz="0" w:space="0" w:color="auto"/>
        <w:bottom w:val="none" w:sz="0" w:space="0" w:color="auto"/>
        <w:right w:val="none" w:sz="0" w:space="0" w:color="auto"/>
      </w:divBdr>
    </w:div>
    <w:div w:id="1872844020">
      <w:bodyDiv w:val="1"/>
      <w:marLeft w:val="0"/>
      <w:marRight w:val="0"/>
      <w:marTop w:val="0"/>
      <w:marBottom w:val="0"/>
      <w:divBdr>
        <w:top w:val="none" w:sz="0" w:space="0" w:color="auto"/>
        <w:left w:val="none" w:sz="0" w:space="0" w:color="auto"/>
        <w:bottom w:val="none" w:sz="0" w:space="0" w:color="auto"/>
        <w:right w:val="none" w:sz="0" w:space="0" w:color="auto"/>
      </w:divBdr>
    </w:div>
    <w:div w:id="1873227781">
      <w:bodyDiv w:val="1"/>
      <w:marLeft w:val="0"/>
      <w:marRight w:val="0"/>
      <w:marTop w:val="0"/>
      <w:marBottom w:val="0"/>
      <w:divBdr>
        <w:top w:val="none" w:sz="0" w:space="0" w:color="auto"/>
        <w:left w:val="none" w:sz="0" w:space="0" w:color="auto"/>
        <w:bottom w:val="none" w:sz="0" w:space="0" w:color="auto"/>
        <w:right w:val="none" w:sz="0" w:space="0" w:color="auto"/>
      </w:divBdr>
    </w:div>
    <w:div w:id="1875117714">
      <w:bodyDiv w:val="1"/>
      <w:marLeft w:val="0"/>
      <w:marRight w:val="0"/>
      <w:marTop w:val="0"/>
      <w:marBottom w:val="0"/>
      <w:divBdr>
        <w:top w:val="none" w:sz="0" w:space="0" w:color="auto"/>
        <w:left w:val="none" w:sz="0" w:space="0" w:color="auto"/>
        <w:bottom w:val="none" w:sz="0" w:space="0" w:color="auto"/>
        <w:right w:val="none" w:sz="0" w:space="0" w:color="auto"/>
      </w:divBdr>
    </w:div>
    <w:div w:id="1875119310">
      <w:bodyDiv w:val="1"/>
      <w:marLeft w:val="0"/>
      <w:marRight w:val="0"/>
      <w:marTop w:val="0"/>
      <w:marBottom w:val="0"/>
      <w:divBdr>
        <w:top w:val="none" w:sz="0" w:space="0" w:color="auto"/>
        <w:left w:val="none" w:sz="0" w:space="0" w:color="auto"/>
        <w:bottom w:val="none" w:sz="0" w:space="0" w:color="auto"/>
        <w:right w:val="none" w:sz="0" w:space="0" w:color="auto"/>
      </w:divBdr>
    </w:div>
    <w:div w:id="1875383651">
      <w:bodyDiv w:val="1"/>
      <w:marLeft w:val="0"/>
      <w:marRight w:val="0"/>
      <w:marTop w:val="0"/>
      <w:marBottom w:val="0"/>
      <w:divBdr>
        <w:top w:val="none" w:sz="0" w:space="0" w:color="auto"/>
        <w:left w:val="none" w:sz="0" w:space="0" w:color="auto"/>
        <w:bottom w:val="none" w:sz="0" w:space="0" w:color="auto"/>
        <w:right w:val="none" w:sz="0" w:space="0" w:color="auto"/>
      </w:divBdr>
    </w:div>
    <w:div w:id="1875540493">
      <w:bodyDiv w:val="1"/>
      <w:marLeft w:val="0"/>
      <w:marRight w:val="0"/>
      <w:marTop w:val="0"/>
      <w:marBottom w:val="0"/>
      <w:divBdr>
        <w:top w:val="none" w:sz="0" w:space="0" w:color="auto"/>
        <w:left w:val="none" w:sz="0" w:space="0" w:color="auto"/>
        <w:bottom w:val="none" w:sz="0" w:space="0" w:color="auto"/>
        <w:right w:val="none" w:sz="0" w:space="0" w:color="auto"/>
      </w:divBdr>
    </w:div>
    <w:div w:id="1876848593">
      <w:bodyDiv w:val="1"/>
      <w:marLeft w:val="0"/>
      <w:marRight w:val="0"/>
      <w:marTop w:val="0"/>
      <w:marBottom w:val="0"/>
      <w:divBdr>
        <w:top w:val="none" w:sz="0" w:space="0" w:color="auto"/>
        <w:left w:val="none" w:sz="0" w:space="0" w:color="auto"/>
        <w:bottom w:val="none" w:sz="0" w:space="0" w:color="auto"/>
        <w:right w:val="none" w:sz="0" w:space="0" w:color="auto"/>
      </w:divBdr>
    </w:div>
    <w:div w:id="1877699864">
      <w:bodyDiv w:val="1"/>
      <w:marLeft w:val="0"/>
      <w:marRight w:val="0"/>
      <w:marTop w:val="0"/>
      <w:marBottom w:val="0"/>
      <w:divBdr>
        <w:top w:val="none" w:sz="0" w:space="0" w:color="auto"/>
        <w:left w:val="none" w:sz="0" w:space="0" w:color="auto"/>
        <w:bottom w:val="none" w:sz="0" w:space="0" w:color="auto"/>
        <w:right w:val="none" w:sz="0" w:space="0" w:color="auto"/>
      </w:divBdr>
    </w:div>
    <w:div w:id="1879661710">
      <w:bodyDiv w:val="1"/>
      <w:marLeft w:val="0"/>
      <w:marRight w:val="0"/>
      <w:marTop w:val="0"/>
      <w:marBottom w:val="0"/>
      <w:divBdr>
        <w:top w:val="none" w:sz="0" w:space="0" w:color="auto"/>
        <w:left w:val="none" w:sz="0" w:space="0" w:color="auto"/>
        <w:bottom w:val="none" w:sz="0" w:space="0" w:color="auto"/>
        <w:right w:val="none" w:sz="0" w:space="0" w:color="auto"/>
      </w:divBdr>
    </w:div>
    <w:div w:id="1880242223">
      <w:bodyDiv w:val="1"/>
      <w:marLeft w:val="0"/>
      <w:marRight w:val="0"/>
      <w:marTop w:val="0"/>
      <w:marBottom w:val="0"/>
      <w:divBdr>
        <w:top w:val="none" w:sz="0" w:space="0" w:color="auto"/>
        <w:left w:val="none" w:sz="0" w:space="0" w:color="auto"/>
        <w:bottom w:val="none" w:sz="0" w:space="0" w:color="auto"/>
        <w:right w:val="none" w:sz="0" w:space="0" w:color="auto"/>
      </w:divBdr>
    </w:div>
    <w:div w:id="1881358084">
      <w:bodyDiv w:val="1"/>
      <w:marLeft w:val="0"/>
      <w:marRight w:val="0"/>
      <w:marTop w:val="0"/>
      <w:marBottom w:val="0"/>
      <w:divBdr>
        <w:top w:val="none" w:sz="0" w:space="0" w:color="auto"/>
        <w:left w:val="none" w:sz="0" w:space="0" w:color="auto"/>
        <w:bottom w:val="none" w:sz="0" w:space="0" w:color="auto"/>
        <w:right w:val="none" w:sz="0" w:space="0" w:color="auto"/>
      </w:divBdr>
    </w:div>
    <w:div w:id="1882477368">
      <w:bodyDiv w:val="1"/>
      <w:marLeft w:val="0"/>
      <w:marRight w:val="0"/>
      <w:marTop w:val="0"/>
      <w:marBottom w:val="0"/>
      <w:divBdr>
        <w:top w:val="none" w:sz="0" w:space="0" w:color="auto"/>
        <w:left w:val="none" w:sz="0" w:space="0" w:color="auto"/>
        <w:bottom w:val="none" w:sz="0" w:space="0" w:color="auto"/>
        <w:right w:val="none" w:sz="0" w:space="0" w:color="auto"/>
      </w:divBdr>
    </w:div>
    <w:div w:id="1883398571">
      <w:bodyDiv w:val="1"/>
      <w:marLeft w:val="0"/>
      <w:marRight w:val="0"/>
      <w:marTop w:val="0"/>
      <w:marBottom w:val="0"/>
      <w:divBdr>
        <w:top w:val="none" w:sz="0" w:space="0" w:color="auto"/>
        <w:left w:val="none" w:sz="0" w:space="0" w:color="auto"/>
        <w:bottom w:val="none" w:sz="0" w:space="0" w:color="auto"/>
        <w:right w:val="none" w:sz="0" w:space="0" w:color="auto"/>
      </w:divBdr>
    </w:div>
    <w:div w:id="1884055675">
      <w:bodyDiv w:val="1"/>
      <w:marLeft w:val="0"/>
      <w:marRight w:val="0"/>
      <w:marTop w:val="0"/>
      <w:marBottom w:val="0"/>
      <w:divBdr>
        <w:top w:val="none" w:sz="0" w:space="0" w:color="auto"/>
        <w:left w:val="none" w:sz="0" w:space="0" w:color="auto"/>
        <w:bottom w:val="none" w:sz="0" w:space="0" w:color="auto"/>
        <w:right w:val="none" w:sz="0" w:space="0" w:color="auto"/>
      </w:divBdr>
    </w:div>
    <w:div w:id="1885099378">
      <w:bodyDiv w:val="1"/>
      <w:marLeft w:val="0"/>
      <w:marRight w:val="0"/>
      <w:marTop w:val="0"/>
      <w:marBottom w:val="0"/>
      <w:divBdr>
        <w:top w:val="none" w:sz="0" w:space="0" w:color="auto"/>
        <w:left w:val="none" w:sz="0" w:space="0" w:color="auto"/>
        <w:bottom w:val="none" w:sz="0" w:space="0" w:color="auto"/>
        <w:right w:val="none" w:sz="0" w:space="0" w:color="auto"/>
      </w:divBdr>
    </w:div>
    <w:div w:id="1885167968">
      <w:bodyDiv w:val="1"/>
      <w:marLeft w:val="0"/>
      <w:marRight w:val="0"/>
      <w:marTop w:val="0"/>
      <w:marBottom w:val="0"/>
      <w:divBdr>
        <w:top w:val="none" w:sz="0" w:space="0" w:color="auto"/>
        <w:left w:val="none" w:sz="0" w:space="0" w:color="auto"/>
        <w:bottom w:val="none" w:sz="0" w:space="0" w:color="auto"/>
        <w:right w:val="none" w:sz="0" w:space="0" w:color="auto"/>
      </w:divBdr>
    </w:div>
    <w:div w:id="1885211919">
      <w:bodyDiv w:val="1"/>
      <w:marLeft w:val="0"/>
      <w:marRight w:val="0"/>
      <w:marTop w:val="0"/>
      <w:marBottom w:val="0"/>
      <w:divBdr>
        <w:top w:val="none" w:sz="0" w:space="0" w:color="auto"/>
        <w:left w:val="none" w:sz="0" w:space="0" w:color="auto"/>
        <w:bottom w:val="none" w:sz="0" w:space="0" w:color="auto"/>
        <w:right w:val="none" w:sz="0" w:space="0" w:color="auto"/>
      </w:divBdr>
    </w:div>
    <w:div w:id="1885214761">
      <w:bodyDiv w:val="1"/>
      <w:marLeft w:val="0"/>
      <w:marRight w:val="0"/>
      <w:marTop w:val="0"/>
      <w:marBottom w:val="0"/>
      <w:divBdr>
        <w:top w:val="none" w:sz="0" w:space="0" w:color="auto"/>
        <w:left w:val="none" w:sz="0" w:space="0" w:color="auto"/>
        <w:bottom w:val="none" w:sz="0" w:space="0" w:color="auto"/>
        <w:right w:val="none" w:sz="0" w:space="0" w:color="auto"/>
      </w:divBdr>
    </w:div>
    <w:div w:id="1885367714">
      <w:bodyDiv w:val="1"/>
      <w:marLeft w:val="0"/>
      <w:marRight w:val="0"/>
      <w:marTop w:val="0"/>
      <w:marBottom w:val="0"/>
      <w:divBdr>
        <w:top w:val="none" w:sz="0" w:space="0" w:color="auto"/>
        <w:left w:val="none" w:sz="0" w:space="0" w:color="auto"/>
        <w:bottom w:val="none" w:sz="0" w:space="0" w:color="auto"/>
        <w:right w:val="none" w:sz="0" w:space="0" w:color="auto"/>
      </w:divBdr>
    </w:div>
    <w:div w:id="1885487084">
      <w:bodyDiv w:val="1"/>
      <w:marLeft w:val="0"/>
      <w:marRight w:val="0"/>
      <w:marTop w:val="0"/>
      <w:marBottom w:val="0"/>
      <w:divBdr>
        <w:top w:val="none" w:sz="0" w:space="0" w:color="auto"/>
        <w:left w:val="none" w:sz="0" w:space="0" w:color="auto"/>
        <w:bottom w:val="none" w:sz="0" w:space="0" w:color="auto"/>
        <w:right w:val="none" w:sz="0" w:space="0" w:color="auto"/>
      </w:divBdr>
    </w:div>
    <w:div w:id="1885828336">
      <w:bodyDiv w:val="1"/>
      <w:marLeft w:val="0"/>
      <w:marRight w:val="0"/>
      <w:marTop w:val="0"/>
      <w:marBottom w:val="0"/>
      <w:divBdr>
        <w:top w:val="none" w:sz="0" w:space="0" w:color="auto"/>
        <w:left w:val="none" w:sz="0" w:space="0" w:color="auto"/>
        <w:bottom w:val="none" w:sz="0" w:space="0" w:color="auto"/>
        <w:right w:val="none" w:sz="0" w:space="0" w:color="auto"/>
      </w:divBdr>
    </w:div>
    <w:div w:id="1886333389">
      <w:bodyDiv w:val="1"/>
      <w:marLeft w:val="0"/>
      <w:marRight w:val="0"/>
      <w:marTop w:val="0"/>
      <w:marBottom w:val="0"/>
      <w:divBdr>
        <w:top w:val="none" w:sz="0" w:space="0" w:color="auto"/>
        <w:left w:val="none" w:sz="0" w:space="0" w:color="auto"/>
        <w:bottom w:val="none" w:sz="0" w:space="0" w:color="auto"/>
        <w:right w:val="none" w:sz="0" w:space="0" w:color="auto"/>
      </w:divBdr>
    </w:div>
    <w:div w:id="1886485042">
      <w:bodyDiv w:val="1"/>
      <w:marLeft w:val="0"/>
      <w:marRight w:val="0"/>
      <w:marTop w:val="0"/>
      <w:marBottom w:val="0"/>
      <w:divBdr>
        <w:top w:val="none" w:sz="0" w:space="0" w:color="auto"/>
        <w:left w:val="none" w:sz="0" w:space="0" w:color="auto"/>
        <w:bottom w:val="none" w:sz="0" w:space="0" w:color="auto"/>
        <w:right w:val="none" w:sz="0" w:space="0" w:color="auto"/>
      </w:divBdr>
    </w:div>
    <w:div w:id="1886940646">
      <w:bodyDiv w:val="1"/>
      <w:marLeft w:val="0"/>
      <w:marRight w:val="0"/>
      <w:marTop w:val="0"/>
      <w:marBottom w:val="0"/>
      <w:divBdr>
        <w:top w:val="none" w:sz="0" w:space="0" w:color="auto"/>
        <w:left w:val="none" w:sz="0" w:space="0" w:color="auto"/>
        <w:bottom w:val="none" w:sz="0" w:space="0" w:color="auto"/>
        <w:right w:val="none" w:sz="0" w:space="0" w:color="auto"/>
      </w:divBdr>
    </w:div>
    <w:div w:id="1887371332">
      <w:bodyDiv w:val="1"/>
      <w:marLeft w:val="0"/>
      <w:marRight w:val="0"/>
      <w:marTop w:val="0"/>
      <w:marBottom w:val="0"/>
      <w:divBdr>
        <w:top w:val="none" w:sz="0" w:space="0" w:color="auto"/>
        <w:left w:val="none" w:sz="0" w:space="0" w:color="auto"/>
        <w:bottom w:val="none" w:sz="0" w:space="0" w:color="auto"/>
        <w:right w:val="none" w:sz="0" w:space="0" w:color="auto"/>
      </w:divBdr>
    </w:div>
    <w:div w:id="1888447083">
      <w:bodyDiv w:val="1"/>
      <w:marLeft w:val="0"/>
      <w:marRight w:val="0"/>
      <w:marTop w:val="0"/>
      <w:marBottom w:val="0"/>
      <w:divBdr>
        <w:top w:val="none" w:sz="0" w:space="0" w:color="auto"/>
        <w:left w:val="none" w:sz="0" w:space="0" w:color="auto"/>
        <w:bottom w:val="none" w:sz="0" w:space="0" w:color="auto"/>
        <w:right w:val="none" w:sz="0" w:space="0" w:color="auto"/>
      </w:divBdr>
    </w:div>
    <w:div w:id="1888906097">
      <w:bodyDiv w:val="1"/>
      <w:marLeft w:val="0"/>
      <w:marRight w:val="0"/>
      <w:marTop w:val="0"/>
      <w:marBottom w:val="0"/>
      <w:divBdr>
        <w:top w:val="none" w:sz="0" w:space="0" w:color="auto"/>
        <w:left w:val="none" w:sz="0" w:space="0" w:color="auto"/>
        <w:bottom w:val="none" w:sz="0" w:space="0" w:color="auto"/>
        <w:right w:val="none" w:sz="0" w:space="0" w:color="auto"/>
      </w:divBdr>
    </w:div>
    <w:div w:id="1889107096">
      <w:bodyDiv w:val="1"/>
      <w:marLeft w:val="0"/>
      <w:marRight w:val="0"/>
      <w:marTop w:val="0"/>
      <w:marBottom w:val="0"/>
      <w:divBdr>
        <w:top w:val="none" w:sz="0" w:space="0" w:color="auto"/>
        <w:left w:val="none" w:sz="0" w:space="0" w:color="auto"/>
        <w:bottom w:val="none" w:sz="0" w:space="0" w:color="auto"/>
        <w:right w:val="none" w:sz="0" w:space="0" w:color="auto"/>
      </w:divBdr>
    </w:div>
    <w:div w:id="1889369568">
      <w:bodyDiv w:val="1"/>
      <w:marLeft w:val="0"/>
      <w:marRight w:val="0"/>
      <w:marTop w:val="0"/>
      <w:marBottom w:val="0"/>
      <w:divBdr>
        <w:top w:val="none" w:sz="0" w:space="0" w:color="auto"/>
        <w:left w:val="none" w:sz="0" w:space="0" w:color="auto"/>
        <w:bottom w:val="none" w:sz="0" w:space="0" w:color="auto"/>
        <w:right w:val="none" w:sz="0" w:space="0" w:color="auto"/>
      </w:divBdr>
    </w:div>
    <w:div w:id="1889757236">
      <w:bodyDiv w:val="1"/>
      <w:marLeft w:val="0"/>
      <w:marRight w:val="0"/>
      <w:marTop w:val="0"/>
      <w:marBottom w:val="0"/>
      <w:divBdr>
        <w:top w:val="none" w:sz="0" w:space="0" w:color="auto"/>
        <w:left w:val="none" w:sz="0" w:space="0" w:color="auto"/>
        <w:bottom w:val="none" w:sz="0" w:space="0" w:color="auto"/>
        <w:right w:val="none" w:sz="0" w:space="0" w:color="auto"/>
      </w:divBdr>
    </w:div>
    <w:div w:id="1889757837">
      <w:bodyDiv w:val="1"/>
      <w:marLeft w:val="0"/>
      <w:marRight w:val="0"/>
      <w:marTop w:val="0"/>
      <w:marBottom w:val="0"/>
      <w:divBdr>
        <w:top w:val="none" w:sz="0" w:space="0" w:color="auto"/>
        <w:left w:val="none" w:sz="0" w:space="0" w:color="auto"/>
        <w:bottom w:val="none" w:sz="0" w:space="0" w:color="auto"/>
        <w:right w:val="none" w:sz="0" w:space="0" w:color="auto"/>
      </w:divBdr>
    </w:div>
    <w:div w:id="1890144503">
      <w:bodyDiv w:val="1"/>
      <w:marLeft w:val="0"/>
      <w:marRight w:val="0"/>
      <w:marTop w:val="0"/>
      <w:marBottom w:val="0"/>
      <w:divBdr>
        <w:top w:val="none" w:sz="0" w:space="0" w:color="auto"/>
        <w:left w:val="none" w:sz="0" w:space="0" w:color="auto"/>
        <w:bottom w:val="none" w:sz="0" w:space="0" w:color="auto"/>
        <w:right w:val="none" w:sz="0" w:space="0" w:color="auto"/>
      </w:divBdr>
    </w:div>
    <w:div w:id="1890804352">
      <w:bodyDiv w:val="1"/>
      <w:marLeft w:val="0"/>
      <w:marRight w:val="0"/>
      <w:marTop w:val="0"/>
      <w:marBottom w:val="0"/>
      <w:divBdr>
        <w:top w:val="none" w:sz="0" w:space="0" w:color="auto"/>
        <w:left w:val="none" w:sz="0" w:space="0" w:color="auto"/>
        <w:bottom w:val="none" w:sz="0" w:space="0" w:color="auto"/>
        <w:right w:val="none" w:sz="0" w:space="0" w:color="auto"/>
      </w:divBdr>
    </w:div>
    <w:div w:id="1891183500">
      <w:bodyDiv w:val="1"/>
      <w:marLeft w:val="0"/>
      <w:marRight w:val="0"/>
      <w:marTop w:val="0"/>
      <w:marBottom w:val="0"/>
      <w:divBdr>
        <w:top w:val="none" w:sz="0" w:space="0" w:color="auto"/>
        <w:left w:val="none" w:sz="0" w:space="0" w:color="auto"/>
        <w:bottom w:val="none" w:sz="0" w:space="0" w:color="auto"/>
        <w:right w:val="none" w:sz="0" w:space="0" w:color="auto"/>
      </w:divBdr>
    </w:div>
    <w:div w:id="1891187549">
      <w:bodyDiv w:val="1"/>
      <w:marLeft w:val="0"/>
      <w:marRight w:val="0"/>
      <w:marTop w:val="0"/>
      <w:marBottom w:val="0"/>
      <w:divBdr>
        <w:top w:val="none" w:sz="0" w:space="0" w:color="auto"/>
        <w:left w:val="none" w:sz="0" w:space="0" w:color="auto"/>
        <w:bottom w:val="none" w:sz="0" w:space="0" w:color="auto"/>
        <w:right w:val="none" w:sz="0" w:space="0" w:color="auto"/>
      </w:divBdr>
    </w:div>
    <w:div w:id="1891378761">
      <w:bodyDiv w:val="1"/>
      <w:marLeft w:val="0"/>
      <w:marRight w:val="0"/>
      <w:marTop w:val="0"/>
      <w:marBottom w:val="0"/>
      <w:divBdr>
        <w:top w:val="none" w:sz="0" w:space="0" w:color="auto"/>
        <w:left w:val="none" w:sz="0" w:space="0" w:color="auto"/>
        <w:bottom w:val="none" w:sz="0" w:space="0" w:color="auto"/>
        <w:right w:val="none" w:sz="0" w:space="0" w:color="auto"/>
      </w:divBdr>
    </w:div>
    <w:div w:id="1891837715">
      <w:bodyDiv w:val="1"/>
      <w:marLeft w:val="0"/>
      <w:marRight w:val="0"/>
      <w:marTop w:val="0"/>
      <w:marBottom w:val="0"/>
      <w:divBdr>
        <w:top w:val="none" w:sz="0" w:space="0" w:color="auto"/>
        <w:left w:val="none" w:sz="0" w:space="0" w:color="auto"/>
        <w:bottom w:val="none" w:sz="0" w:space="0" w:color="auto"/>
        <w:right w:val="none" w:sz="0" w:space="0" w:color="auto"/>
      </w:divBdr>
    </w:div>
    <w:div w:id="1892186052">
      <w:bodyDiv w:val="1"/>
      <w:marLeft w:val="0"/>
      <w:marRight w:val="0"/>
      <w:marTop w:val="0"/>
      <w:marBottom w:val="0"/>
      <w:divBdr>
        <w:top w:val="none" w:sz="0" w:space="0" w:color="auto"/>
        <w:left w:val="none" w:sz="0" w:space="0" w:color="auto"/>
        <w:bottom w:val="none" w:sz="0" w:space="0" w:color="auto"/>
        <w:right w:val="none" w:sz="0" w:space="0" w:color="auto"/>
      </w:divBdr>
    </w:div>
    <w:div w:id="1892502061">
      <w:bodyDiv w:val="1"/>
      <w:marLeft w:val="0"/>
      <w:marRight w:val="0"/>
      <w:marTop w:val="0"/>
      <w:marBottom w:val="0"/>
      <w:divBdr>
        <w:top w:val="none" w:sz="0" w:space="0" w:color="auto"/>
        <w:left w:val="none" w:sz="0" w:space="0" w:color="auto"/>
        <w:bottom w:val="none" w:sz="0" w:space="0" w:color="auto"/>
        <w:right w:val="none" w:sz="0" w:space="0" w:color="auto"/>
      </w:divBdr>
    </w:div>
    <w:div w:id="1893882140">
      <w:bodyDiv w:val="1"/>
      <w:marLeft w:val="0"/>
      <w:marRight w:val="0"/>
      <w:marTop w:val="0"/>
      <w:marBottom w:val="0"/>
      <w:divBdr>
        <w:top w:val="none" w:sz="0" w:space="0" w:color="auto"/>
        <w:left w:val="none" w:sz="0" w:space="0" w:color="auto"/>
        <w:bottom w:val="none" w:sz="0" w:space="0" w:color="auto"/>
        <w:right w:val="none" w:sz="0" w:space="0" w:color="auto"/>
      </w:divBdr>
    </w:div>
    <w:div w:id="1894001008">
      <w:bodyDiv w:val="1"/>
      <w:marLeft w:val="0"/>
      <w:marRight w:val="0"/>
      <w:marTop w:val="0"/>
      <w:marBottom w:val="0"/>
      <w:divBdr>
        <w:top w:val="none" w:sz="0" w:space="0" w:color="auto"/>
        <w:left w:val="none" w:sz="0" w:space="0" w:color="auto"/>
        <w:bottom w:val="none" w:sz="0" w:space="0" w:color="auto"/>
        <w:right w:val="none" w:sz="0" w:space="0" w:color="auto"/>
      </w:divBdr>
    </w:div>
    <w:div w:id="1895654555">
      <w:bodyDiv w:val="1"/>
      <w:marLeft w:val="0"/>
      <w:marRight w:val="0"/>
      <w:marTop w:val="0"/>
      <w:marBottom w:val="0"/>
      <w:divBdr>
        <w:top w:val="none" w:sz="0" w:space="0" w:color="auto"/>
        <w:left w:val="none" w:sz="0" w:space="0" w:color="auto"/>
        <w:bottom w:val="none" w:sz="0" w:space="0" w:color="auto"/>
        <w:right w:val="none" w:sz="0" w:space="0" w:color="auto"/>
      </w:divBdr>
    </w:div>
    <w:div w:id="1896047347">
      <w:bodyDiv w:val="1"/>
      <w:marLeft w:val="0"/>
      <w:marRight w:val="0"/>
      <w:marTop w:val="0"/>
      <w:marBottom w:val="0"/>
      <w:divBdr>
        <w:top w:val="none" w:sz="0" w:space="0" w:color="auto"/>
        <w:left w:val="none" w:sz="0" w:space="0" w:color="auto"/>
        <w:bottom w:val="none" w:sz="0" w:space="0" w:color="auto"/>
        <w:right w:val="none" w:sz="0" w:space="0" w:color="auto"/>
      </w:divBdr>
    </w:div>
    <w:div w:id="1896307627">
      <w:bodyDiv w:val="1"/>
      <w:marLeft w:val="0"/>
      <w:marRight w:val="0"/>
      <w:marTop w:val="0"/>
      <w:marBottom w:val="0"/>
      <w:divBdr>
        <w:top w:val="none" w:sz="0" w:space="0" w:color="auto"/>
        <w:left w:val="none" w:sz="0" w:space="0" w:color="auto"/>
        <w:bottom w:val="none" w:sz="0" w:space="0" w:color="auto"/>
        <w:right w:val="none" w:sz="0" w:space="0" w:color="auto"/>
      </w:divBdr>
    </w:div>
    <w:div w:id="1897626275">
      <w:bodyDiv w:val="1"/>
      <w:marLeft w:val="0"/>
      <w:marRight w:val="0"/>
      <w:marTop w:val="0"/>
      <w:marBottom w:val="0"/>
      <w:divBdr>
        <w:top w:val="none" w:sz="0" w:space="0" w:color="auto"/>
        <w:left w:val="none" w:sz="0" w:space="0" w:color="auto"/>
        <w:bottom w:val="none" w:sz="0" w:space="0" w:color="auto"/>
        <w:right w:val="none" w:sz="0" w:space="0" w:color="auto"/>
      </w:divBdr>
    </w:div>
    <w:div w:id="1898323147">
      <w:bodyDiv w:val="1"/>
      <w:marLeft w:val="0"/>
      <w:marRight w:val="0"/>
      <w:marTop w:val="0"/>
      <w:marBottom w:val="0"/>
      <w:divBdr>
        <w:top w:val="none" w:sz="0" w:space="0" w:color="auto"/>
        <w:left w:val="none" w:sz="0" w:space="0" w:color="auto"/>
        <w:bottom w:val="none" w:sz="0" w:space="0" w:color="auto"/>
        <w:right w:val="none" w:sz="0" w:space="0" w:color="auto"/>
      </w:divBdr>
    </w:div>
    <w:div w:id="1898662544">
      <w:bodyDiv w:val="1"/>
      <w:marLeft w:val="0"/>
      <w:marRight w:val="0"/>
      <w:marTop w:val="0"/>
      <w:marBottom w:val="0"/>
      <w:divBdr>
        <w:top w:val="none" w:sz="0" w:space="0" w:color="auto"/>
        <w:left w:val="none" w:sz="0" w:space="0" w:color="auto"/>
        <w:bottom w:val="none" w:sz="0" w:space="0" w:color="auto"/>
        <w:right w:val="none" w:sz="0" w:space="0" w:color="auto"/>
      </w:divBdr>
    </w:div>
    <w:div w:id="1899238756">
      <w:bodyDiv w:val="1"/>
      <w:marLeft w:val="0"/>
      <w:marRight w:val="0"/>
      <w:marTop w:val="0"/>
      <w:marBottom w:val="0"/>
      <w:divBdr>
        <w:top w:val="none" w:sz="0" w:space="0" w:color="auto"/>
        <w:left w:val="none" w:sz="0" w:space="0" w:color="auto"/>
        <w:bottom w:val="none" w:sz="0" w:space="0" w:color="auto"/>
        <w:right w:val="none" w:sz="0" w:space="0" w:color="auto"/>
      </w:divBdr>
    </w:div>
    <w:div w:id="1899592296">
      <w:bodyDiv w:val="1"/>
      <w:marLeft w:val="0"/>
      <w:marRight w:val="0"/>
      <w:marTop w:val="0"/>
      <w:marBottom w:val="0"/>
      <w:divBdr>
        <w:top w:val="none" w:sz="0" w:space="0" w:color="auto"/>
        <w:left w:val="none" w:sz="0" w:space="0" w:color="auto"/>
        <w:bottom w:val="none" w:sz="0" w:space="0" w:color="auto"/>
        <w:right w:val="none" w:sz="0" w:space="0" w:color="auto"/>
      </w:divBdr>
    </w:div>
    <w:div w:id="1899703216">
      <w:bodyDiv w:val="1"/>
      <w:marLeft w:val="0"/>
      <w:marRight w:val="0"/>
      <w:marTop w:val="0"/>
      <w:marBottom w:val="0"/>
      <w:divBdr>
        <w:top w:val="none" w:sz="0" w:space="0" w:color="auto"/>
        <w:left w:val="none" w:sz="0" w:space="0" w:color="auto"/>
        <w:bottom w:val="none" w:sz="0" w:space="0" w:color="auto"/>
        <w:right w:val="none" w:sz="0" w:space="0" w:color="auto"/>
      </w:divBdr>
    </w:div>
    <w:div w:id="1900171359">
      <w:bodyDiv w:val="1"/>
      <w:marLeft w:val="0"/>
      <w:marRight w:val="0"/>
      <w:marTop w:val="0"/>
      <w:marBottom w:val="0"/>
      <w:divBdr>
        <w:top w:val="none" w:sz="0" w:space="0" w:color="auto"/>
        <w:left w:val="none" w:sz="0" w:space="0" w:color="auto"/>
        <w:bottom w:val="none" w:sz="0" w:space="0" w:color="auto"/>
        <w:right w:val="none" w:sz="0" w:space="0" w:color="auto"/>
      </w:divBdr>
    </w:div>
    <w:div w:id="1900239766">
      <w:bodyDiv w:val="1"/>
      <w:marLeft w:val="0"/>
      <w:marRight w:val="0"/>
      <w:marTop w:val="0"/>
      <w:marBottom w:val="0"/>
      <w:divBdr>
        <w:top w:val="none" w:sz="0" w:space="0" w:color="auto"/>
        <w:left w:val="none" w:sz="0" w:space="0" w:color="auto"/>
        <w:bottom w:val="none" w:sz="0" w:space="0" w:color="auto"/>
        <w:right w:val="none" w:sz="0" w:space="0" w:color="auto"/>
      </w:divBdr>
    </w:div>
    <w:div w:id="1901552054">
      <w:bodyDiv w:val="1"/>
      <w:marLeft w:val="0"/>
      <w:marRight w:val="0"/>
      <w:marTop w:val="0"/>
      <w:marBottom w:val="0"/>
      <w:divBdr>
        <w:top w:val="none" w:sz="0" w:space="0" w:color="auto"/>
        <w:left w:val="none" w:sz="0" w:space="0" w:color="auto"/>
        <w:bottom w:val="none" w:sz="0" w:space="0" w:color="auto"/>
        <w:right w:val="none" w:sz="0" w:space="0" w:color="auto"/>
      </w:divBdr>
    </w:div>
    <w:div w:id="1901671961">
      <w:bodyDiv w:val="1"/>
      <w:marLeft w:val="0"/>
      <w:marRight w:val="0"/>
      <w:marTop w:val="0"/>
      <w:marBottom w:val="0"/>
      <w:divBdr>
        <w:top w:val="none" w:sz="0" w:space="0" w:color="auto"/>
        <w:left w:val="none" w:sz="0" w:space="0" w:color="auto"/>
        <w:bottom w:val="none" w:sz="0" w:space="0" w:color="auto"/>
        <w:right w:val="none" w:sz="0" w:space="0" w:color="auto"/>
      </w:divBdr>
    </w:div>
    <w:div w:id="1901935550">
      <w:bodyDiv w:val="1"/>
      <w:marLeft w:val="0"/>
      <w:marRight w:val="0"/>
      <w:marTop w:val="0"/>
      <w:marBottom w:val="0"/>
      <w:divBdr>
        <w:top w:val="none" w:sz="0" w:space="0" w:color="auto"/>
        <w:left w:val="none" w:sz="0" w:space="0" w:color="auto"/>
        <w:bottom w:val="none" w:sz="0" w:space="0" w:color="auto"/>
        <w:right w:val="none" w:sz="0" w:space="0" w:color="auto"/>
      </w:divBdr>
    </w:div>
    <w:div w:id="1902204305">
      <w:bodyDiv w:val="1"/>
      <w:marLeft w:val="0"/>
      <w:marRight w:val="0"/>
      <w:marTop w:val="0"/>
      <w:marBottom w:val="0"/>
      <w:divBdr>
        <w:top w:val="none" w:sz="0" w:space="0" w:color="auto"/>
        <w:left w:val="none" w:sz="0" w:space="0" w:color="auto"/>
        <w:bottom w:val="none" w:sz="0" w:space="0" w:color="auto"/>
        <w:right w:val="none" w:sz="0" w:space="0" w:color="auto"/>
      </w:divBdr>
    </w:div>
    <w:div w:id="1903101224">
      <w:bodyDiv w:val="1"/>
      <w:marLeft w:val="0"/>
      <w:marRight w:val="0"/>
      <w:marTop w:val="0"/>
      <w:marBottom w:val="0"/>
      <w:divBdr>
        <w:top w:val="none" w:sz="0" w:space="0" w:color="auto"/>
        <w:left w:val="none" w:sz="0" w:space="0" w:color="auto"/>
        <w:bottom w:val="none" w:sz="0" w:space="0" w:color="auto"/>
        <w:right w:val="none" w:sz="0" w:space="0" w:color="auto"/>
      </w:divBdr>
    </w:div>
    <w:div w:id="1903637987">
      <w:bodyDiv w:val="1"/>
      <w:marLeft w:val="0"/>
      <w:marRight w:val="0"/>
      <w:marTop w:val="0"/>
      <w:marBottom w:val="0"/>
      <w:divBdr>
        <w:top w:val="none" w:sz="0" w:space="0" w:color="auto"/>
        <w:left w:val="none" w:sz="0" w:space="0" w:color="auto"/>
        <w:bottom w:val="none" w:sz="0" w:space="0" w:color="auto"/>
        <w:right w:val="none" w:sz="0" w:space="0" w:color="auto"/>
      </w:divBdr>
    </w:div>
    <w:div w:id="1905872137">
      <w:bodyDiv w:val="1"/>
      <w:marLeft w:val="0"/>
      <w:marRight w:val="0"/>
      <w:marTop w:val="0"/>
      <w:marBottom w:val="0"/>
      <w:divBdr>
        <w:top w:val="none" w:sz="0" w:space="0" w:color="auto"/>
        <w:left w:val="none" w:sz="0" w:space="0" w:color="auto"/>
        <w:bottom w:val="none" w:sz="0" w:space="0" w:color="auto"/>
        <w:right w:val="none" w:sz="0" w:space="0" w:color="auto"/>
      </w:divBdr>
    </w:div>
    <w:div w:id="1906644153">
      <w:bodyDiv w:val="1"/>
      <w:marLeft w:val="0"/>
      <w:marRight w:val="0"/>
      <w:marTop w:val="0"/>
      <w:marBottom w:val="0"/>
      <w:divBdr>
        <w:top w:val="none" w:sz="0" w:space="0" w:color="auto"/>
        <w:left w:val="none" w:sz="0" w:space="0" w:color="auto"/>
        <w:bottom w:val="none" w:sz="0" w:space="0" w:color="auto"/>
        <w:right w:val="none" w:sz="0" w:space="0" w:color="auto"/>
      </w:divBdr>
    </w:div>
    <w:div w:id="1907374286">
      <w:bodyDiv w:val="1"/>
      <w:marLeft w:val="0"/>
      <w:marRight w:val="0"/>
      <w:marTop w:val="0"/>
      <w:marBottom w:val="0"/>
      <w:divBdr>
        <w:top w:val="none" w:sz="0" w:space="0" w:color="auto"/>
        <w:left w:val="none" w:sz="0" w:space="0" w:color="auto"/>
        <w:bottom w:val="none" w:sz="0" w:space="0" w:color="auto"/>
        <w:right w:val="none" w:sz="0" w:space="0" w:color="auto"/>
      </w:divBdr>
    </w:div>
    <w:div w:id="1907375683">
      <w:bodyDiv w:val="1"/>
      <w:marLeft w:val="0"/>
      <w:marRight w:val="0"/>
      <w:marTop w:val="0"/>
      <w:marBottom w:val="0"/>
      <w:divBdr>
        <w:top w:val="none" w:sz="0" w:space="0" w:color="auto"/>
        <w:left w:val="none" w:sz="0" w:space="0" w:color="auto"/>
        <w:bottom w:val="none" w:sz="0" w:space="0" w:color="auto"/>
        <w:right w:val="none" w:sz="0" w:space="0" w:color="auto"/>
      </w:divBdr>
    </w:div>
    <w:div w:id="1907376372">
      <w:bodyDiv w:val="1"/>
      <w:marLeft w:val="0"/>
      <w:marRight w:val="0"/>
      <w:marTop w:val="0"/>
      <w:marBottom w:val="0"/>
      <w:divBdr>
        <w:top w:val="none" w:sz="0" w:space="0" w:color="auto"/>
        <w:left w:val="none" w:sz="0" w:space="0" w:color="auto"/>
        <w:bottom w:val="none" w:sz="0" w:space="0" w:color="auto"/>
        <w:right w:val="none" w:sz="0" w:space="0" w:color="auto"/>
      </w:divBdr>
    </w:div>
    <w:div w:id="1908105413">
      <w:bodyDiv w:val="1"/>
      <w:marLeft w:val="0"/>
      <w:marRight w:val="0"/>
      <w:marTop w:val="0"/>
      <w:marBottom w:val="0"/>
      <w:divBdr>
        <w:top w:val="none" w:sz="0" w:space="0" w:color="auto"/>
        <w:left w:val="none" w:sz="0" w:space="0" w:color="auto"/>
        <w:bottom w:val="none" w:sz="0" w:space="0" w:color="auto"/>
        <w:right w:val="none" w:sz="0" w:space="0" w:color="auto"/>
      </w:divBdr>
    </w:div>
    <w:div w:id="1908302393">
      <w:bodyDiv w:val="1"/>
      <w:marLeft w:val="0"/>
      <w:marRight w:val="0"/>
      <w:marTop w:val="0"/>
      <w:marBottom w:val="0"/>
      <w:divBdr>
        <w:top w:val="none" w:sz="0" w:space="0" w:color="auto"/>
        <w:left w:val="none" w:sz="0" w:space="0" w:color="auto"/>
        <w:bottom w:val="none" w:sz="0" w:space="0" w:color="auto"/>
        <w:right w:val="none" w:sz="0" w:space="0" w:color="auto"/>
      </w:divBdr>
    </w:div>
    <w:div w:id="1908612544">
      <w:bodyDiv w:val="1"/>
      <w:marLeft w:val="0"/>
      <w:marRight w:val="0"/>
      <w:marTop w:val="0"/>
      <w:marBottom w:val="0"/>
      <w:divBdr>
        <w:top w:val="none" w:sz="0" w:space="0" w:color="auto"/>
        <w:left w:val="none" w:sz="0" w:space="0" w:color="auto"/>
        <w:bottom w:val="none" w:sz="0" w:space="0" w:color="auto"/>
        <w:right w:val="none" w:sz="0" w:space="0" w:color="auto"/>
      </w:divBdr>
    </w:div>
    <w:div w:id="1908955811">
      <w:bodyDiv w:val="1"/>
      <w:marLeft w:val="0"/>
      <w:marRight w:val="0"/>
      <w:marTop w:val="0"/>
      <w:marBottom w:val="0"/>
      <w:divBdr>
        <w:top w:val="none" w:sz="0" w:space="0" w:color="auto"/>
        <w:left w:val="none" w:sz="0" w:space="0" w:color="auto"/>
        <w:bottom w:val="none" w:sz="0" w:space="0" w:color="auto"/>
        <w:right w:val="none" w:sz="0" w:space="0" w:color="auto"/>
      </w:divBdr>
    </w:div>
    <w:div w:id="1909264183">
      <w:bodyDiv w:val="1"/>
      <w:marLeft w:val="0"/>
      <w:marRight w:val="0"/>
      <w:marTop w:val="0"/>
      <w:marBottom w:val="0"/>
      <w:divBdr>
        <w:top w:val="none" w:sz="0" w:space="0" w:color="auto"/>
        <w:left w:val="none" w:sz="0" w:space="0" w:color="auto"/>
        <w:bottom w:val="none" w:sz="0" w:space="0" w:color="auto"/>
        <w:right w:val="none" w:sz="0" w:space="0" w:color="auto"/>
      </w:divBdr>
    </w:div>
    <w:div w:id="1909461892">
      <w:bodyDiv w:val="1"/>
      <w:marLeft w:val="0"/>
      <w:marRight w:val="0"/>
      <w:marTop w:val="0"/>
      <w:marBottom w:val="0"/>
      <w:divBdr>
        <w:top w:val="none" w:sz="0" w:space="0" w:color="auto"/>
        <w:left w:val="none" w:sz="0" w:space="0" w:color="auto"/>
        <w:bottom w:val="none" w:sz="0" w:space="0" w:color="auto"/>
        <w:right w:val="none" w:sz="0" w:space="0" w:color="auto"/>
      </w:divBdr>
    </w:div>
    <w:div w:id="1910770908">
      <w:bodyDiv w:val="1"/>
      <w:marLeft w:val="0"/>
      <w:marRight w:val="0"/>
      <w:marTop w:val="0"/>
      <w:marBottom w:val="0"/>
      <w:divBdr>
        <w:top w:val="none" w:sz="0" w:space="0" w:color="auto"/>
        <w:left w:val="none" w:sz="0" w:space="0" w:color="auto"/>
        <w:bottom w:val="none" w:sz="0" w:space="0" w:color="auto"/>
        <w:right w:val="none" w:sz="0" w:space="0" w:color="auto"/>
      </w:divBdr>
    </w:div>
    <w:div w:id="1911423577">
      <w:bodyDiv w:val="1"/>
      <w:marLeft w:val="0"/>
      <w:marRight w:val="0"/>
      <w:marTop w:val="0"/>
      <w:marBottom w:val="0"/>
      <w:divBdr>
        <w:top w:val="none" w:sz="0" w:space="0" w:color="auto"/>
        <w:left w:val="none" w:sz="0" w:space="0" w:color="auto"/>
        <w:bottom w:val="none" w:sz="0" w:space="0" w:color="auto"/>
        <w:right w:val="none" w:sz="0" w:space="0" w:color="auto"/>
      </w:divBdr>
    </w:div>
    <w:div w:id="1912083701">
      <w:bodyDiv w:val="1"/>
      <w:marLeft w:val="0"/>
      <w:marRight w:val="0"/>
      <w:marTop w:val="0"/>
      <w:marBottom w:val="0"/>
      <w:divBdr>
        <w:top w:val="none" w:sz="0" w:space="0" w:color="auto"/>
        <w:left w:val="none" w:sz="0" w:space="0" w:color="auto"/>
        <w:bottom w:val="none" w:sz="0" w:space="0" w:color="auto"/>
        <w:right w:val="none" w:sz="0" w:space="0" w:color="auto"/>
      </w:divBdr>
    </w:div>
    <w:div w:id="1912155318">
      <w:bodyDiv w:val="1"/>
      <w:marLeft w:val="0"/>
      <w:marRight w:val="0"/>
      <w:marTop w:val="0"/>
      <w:marBottom w:val="0"/>
      <w:divBdr>
        <w:top w:val="none" w:sz="0" w:space="0" w:color="auto"/>
        <w:left w:val="none" w:sz="0" w:space="0" w:color="auto"/>
        <w:bottom w:val="none" w:sz="0" w:space="0" w:color="auto"/>
        <w:right w:val="none" w:sz="0" w:space="0" w:color="auto"/>
      </w:divBdr>
    </w:div>
    <w:div w:id="1912734939">
      <w:bodyDiv w:val="1"/>
      <w:marLeft w:val="0"/>
      <w:marRight w:val="0"/>
      <w:marTop w:val="0"/>
      <w:marBottom w:val="0"/>
      <w:divBdr>
        <w:top w:val="none" w:sz="0" w:space="0" w:color="auto"/>
        <w:left w:val="none" w:sz="0" w:space="0" w:color="auto"/>
        <w:bottom w:val="none" w:sz="0" w:space="0" w:color="auto"/>
        <w:right w:val="none" w:sz="0" w:space="0" w:color="auto"/>
      </w:divBdr>
    </w:div>
    <w:div w:id="1913075708">
      <w:bodyDiv w:val="1"/>
      <w:marLeft w:val="0"/>
      <w:marRight w:val="0"/>
      <w:marTop w:val="0"/>
      <w:marBottom w:val="0"/>
      <w:divBdr>
        <w:top w:val="none" w:sz="0" w:space="0" w:color="auto"/>
        <w:left w:val="none" w:sz="0" w:space="0" w:color="auto"/>
        <w:bottom w:val="none" w:sz="0" w:space="0" w:color="auto"/>
        <w:right w:val="none" w:sz="0" w:space="0" w:color="auto"/>
      </w:divBdr>
    </w:div>
    <w:div w:id="1918393629">
      <w:bodyDiv w:val="1"/>
      <w:marLeft w:val="0"/>
      <w:marRight w:val="0"/>
      <w:marTop w:val="0"/>
      <w:marBottom w:val="0"/>
      <w:divBdr>
        <w:top w:val="none" w:sz="0" w:space="0" w:color="auto"/>
        <w:left w:val="none" w:sz="0" w:space="0" w:color="auto"/>
        <w:bottom w:val="none" w:sz="0" w:space="0" w:color="auto"/>
        <w:right w:val="none" w:sz="0" w:space="0" w:color="auto"/>
      </w:divBdr>
    </w:div>
    <w:div w:id="1919095767">
      <w:bodyDiv w:val="1"/>
      <w:marLeft w:val="0"/>
      <w:marRight w:val="0"/>
      <w:marTop w:val="0"/>
      <w:marBottom w:val="0"/>
      <w:divBdr>
        <w:top w:val="none" w:sz="0" w:space="0" w:color="auto"/>
        <w:left w:val="none" w:sz="0" w:space="0" w:color="auto"/>
        <w:bottom w:val="none" w:sz="0" w:space="0" w:color="auto"/>
        <w:right w:val="none" w:sz="0" w:space="0" w:color="auto"/>
      </w:divBdr>
    </w:div>
    <w:div w:id="1920209623">
      <w:bodyDiv w:val="1"/>
      <w:marLeft w:val="0"/>
      <w:marRight w:val="0"/>
      <w:marTop w:val="0"/>
      <w:marBottom w:val="0"/>
      <w:divBdr>
        <w:top w:val="none" w:sz="0" w:space="0" w:color="auto"/>
        <w:left w:val="none" w:sz="0" w:space="0" w:color="auto"/>
        <w:bottom w:val="none" w:sz="0" w:space="0" w:color="auto"/>
        <w:right w:val="none" w:sz="0" w:space="0" w:color="auto"/>
      </w:divBdr>
    </w:div>
    <w:div w:id="1920403822">
      <w:bodyDiv w:val="1"/>
      <w:marLeft w:val="0"/>
      <w:marRight w:val="0"/>
      <w:marTop w:val="0"/>
      <w:marBottom w:val="0"/>
      <w:divBdr>
        <w:top w:val="none" w:sz="0" w:space="0" w:color="auto"/>
        <w:left w:val="none" w:sz="0" w:space="0" w:color="auto"/>
        <w:bottom w:val="none" w:sz="0" w:space="0" w:color="auto"/>
        <w:right w:val="none" w:sz="0" w:space="0" w:color="auto"/>
      </w:divBdr>
    </w:div>
    <w:div w:id="1920600066">
      <w:bodyDiv w:val="1"/>
      <w:marLeft w:val="0"/>
      <w:marRight w:val="0"/>
      <w:marTop w:val="0"/>
      <w:marBottom w:val="0"/>
      <w:divBdr>
        <w:top w:val="none" w:sz="0" w:space="0" w:color="auto"/>
        <w:left w:val="none" w:sz="0" w:space="0" w:color="auto"/>
        <w:bottom w:val="none" w:sz="0" w:space="0" w:color="auto"/>
        <w:right w:val="none" w:sz="0" w:space="0" w:color="auto"/>
      </w:divBdr>
    </w:div>
    <w:div w:id="1921256005">
      <w:bodyDiv w:val="1"/>
      <w:marLeft w:val="0"/>
      <w:marRight w:val="0"/>
      <w:marTop w:val="0"/>
      <w:marBottom w:val="0"/>
      <w:divBdr>
        <w:top w:val="none" w:sz="0" w:space="0" w:color="auto"/>
        <w:left w:val="none" w:sz="0" w:space="0" w:color="auto"/>
        <w:bottom w:val="none" w:sz="0" w:space="0" w:color="auto"/>
        <w:right w:val="none" w:sz="0" w:space="0" w:color="auto"/>
      </w:divBdr>
    </w:div>
    <w:div w:id="1921477686">
      <w:bodyDiv w:val="1"/>
      <w:marLeft w:val="0"/>
      <w:marRight w:val="0"/>
      <w:marTop w:val="0"/>
      <w:marBottom w:val="0"/>
      <w:divBdr>
        <w:top w:val="none" w:sz="0" w:space="0" w:color="auto"/>
        <w:left w:val="none" w:sz="0" w:space="0" w:color="auto"/>
        <w:bottom w:val="none" w:sz="0" w:space="0" w:color="auto"/>
        <w:right w:val="none" w:sz="0" w:space="0" w:color="auto"/>
      </w:divBdr>
    </w:div>
    <w:div w:id="1921522034">
      <w:bodyDiv w:val="1"/>
      <w:marLeft w:val="0"/>
      <w:marRight w:val="0"/>
      <w:marTop w:val="0"/>
      <w:marBottom w:val="0"/>
      <w:divBdr>
        <w:top w:val="none" w:sz="0" w:space="0" w:color="auto"/>
        <w:left w:val="none" w:sz="0" w:space="0" w:color="auto"/>
        <w:bottom w:val="none" w:sz="0" w:space="0" w:color="auto"/>
        <w:right w:val="none" w:sz="0" w:space="0" w:color="auto"/>
      </w:divBdr>
    </w:div>
    <w:div w:id="1922254184">
      <w:bodyDiv w:val="1"/>
      <w:marLeft w:val="0"/>
      <w:marRight w:val="0"/>
      <w:marTop w:val="0"/>
      <w:marBottom w:val="0"/>
      <w:divBdr>
        <w:top w:val="none" w:sz="0" w:space="0" w:color="auto"/>
        <w:left w:val="none" w:sz="0" w:space="0" w:color="auto"/>
        <w:bottom w:val="none" w:sz="0" w:space="0" w:color="auto"/>
        <w:right w:val="none" w:sz="0" w:space="0" w:color="auto"/>
      </w:divBdr>
    </w:div>
    <w:div w:id="1922785951">
      <w:bodyDiv w:val="1"/>
      <w:marLeft w:val="0"/>
      <w:marRight w:val="0"/>
      <w:marTop w:val="0"/>
      <w:marBottom w:val="0"/>
      <w:divBdr>
        <w:top w:val="none" w:sz="0" w:space="0" w:color="auto"/>
        <w:left w:val="none" w:sz="0" w:space="0" w:color="auto"/>
        <w:bottom w:val="none" w:sz="0" w:space="0" w:color="auto"/>
        <w:right w:val="none" w:sz="0" w:space="0" w:color="auto"/>
      </w:divBdr>
    </w:div>
    <w:div w:id="1923298475">
      <w:bodyDiv w:val="1"/>
      <w:marLeft w:val="0"/>
      <w:marRight w:val="0"/>
      <w:marTop w:val="0"/>
      <w:marBottom w:val="0"/>
      <w:divBdr>
        <w:top w:val="none" w:sz="0" w:space="0" w:color="auto"/>
        <w:left w:val="none" w:sz="0" w:space="0" w:color="auto"/>
        <w:bottom w:val="none" w:sz="0" w:space="0" w:color="auto"/>
        <w:right w:val="none" w:sz="0" w:space="0" w:color="auto"/>
      </w:divBdr>
    </w:div>
    <w:div w:id="1923373186">
      <w:bodyDiv w:val="1"/>
      <w:marLeft w:val="0"/>
      <w:marRight w:val="0"/>
      <w:marTop w:val="0"/>
      <w:marBottom w:val="0"/>
      <w:divBdr>
        <w:top w:val="none" w:sz="0" w:space="0" w:color="auto"/>
        <w:left w:val="none" w:sz="0" w:space="0" w:color="auto"/>
        <w:bottom w:val="none" w:sz="0" w:space="0" w:color="auto"/>
        <w:right w:val="none" w:sz="0" w:space="0" w:color="auto"/>
      </w:divBdr>
    </w:div>
    <w:div w:id="1924097540">
      <w:bodyDiv w:val="1"/>
      <w:marLeft w:val="0"/>
      <w:marRight w:val="0"/>
      <w:marTop w:val="0"/>
      <w:marBottom w:val="0"/>
      <w:divBdr>
        <w:top w:val="none" w:sz="0" w:space="0" w:color="auto"/>
        <w:left w:val="none" w:sz="0" w:space="0" w:color="auto"/>
        <w:bottom w:val="none" w:sz="0" w:space="0" w:color="auto"/>
        <w:right w:val="none" w:sz="0" w:space="0" w:color="auto"/>
      </w:divBdr>
    </w:div>
    <w:div w:id="1924491853">
      <w:bodyDiv w:val="1"/>
      <w:marLeft w:val="0"/>
      <w:marRight w:val="0"/>
      <w:marTop w:val="0"/>
      <w:marBottom w:val="0"/>
      <w:divBdr>
        <w:top w:val="none" w:sz="0" w:space="0" w:color="auto"/>
        <w:left w:val="none" w:sz="0" w:space="0" w:color="auto"/>
        <w:bottom w:val="none" w:sz="0" w:space="0" w:color="auto"/>
        <w:right w:val="none" w:sz="0" w:space="0" w:color="auto"/>
      </w:divBdr>
    </w:div>
    <w:div w:id="1924991562">
      <w:bodyDiv w:val="1"/>
      <w:marLeft w:val="0"/>
      <w:marRight w:val="0"/>
      <w:marTop w:val="0"/>
      <w:marBottom w:val="0"/>
      <w:divBdr>
        <w:top w:val="none" w:sz="0" w:space="0" w:color="auto"/>
        <w:left w:val="none" w:sz="0" w:space="0" w:color="auto"/>
        <w:bottom w:val="none" w:sz="0" w:space="0" w:color="auto"/>
        <w:right w:val="none" w:sz="0" w:space="0" w:color="auto"/>
      </w:divBdr>
    </w:div>
    <w:div w:id="1925341067">
      <w:bodyDiv w:val="1"/>
      <w:marLeft w:val="0"/>
      <w:marRight w:val="0"/>
      <w:marTop w:val="0"/>
      <w:marBottom w:val="0"/>
      <w:divBdr>
        <w:top w:val="none" w:sz="0" w:space="0" w:color="auto"/>
        <w:left w:val="none" w:sz="0" w:space="0" w:color="auto"/>
        <w:bottom w:val="none" w:sz="0" w:space="0" w:color="auto"/>
        <w:right w:val="none" w:sz="0" w:space="0" w:color="auto"/>
      </w:divBdr>
    </w:div>
    <w:div w:id="1925799164">
      <w:bodyDiv w:val="1"/>
      <w:marLeft w:val="0"/>
      <w:marRight w:val="0"/>
      <w:marTop w:val="0"/>
      <w:marBottom w:val="0"/>
      <w:divBdr>
        <w:top w:val="none" w:sz="0" w:space="0" w:color="auto"/>
        <w:left w:val="none" w:sz="0" w:space="0" w:color="auto"/>
        <w:bottom w:val="none" w:sz="0" w:space="0" w:color="auto"/>
        <w:right w:val="none" w:sz="0" w:space="0" w:color="auto"/>
      </w:divBdr>
    </w:div>
    <w:div w:id="1926455281">
      <w:bodyDiv w:val="1"/>
      <w:marLeft w:val="0"/>
      <w:marRight w:val="0"/>
      <w:marTop w:val="0"/>
      <w:marBottom w:val="0"/>
      <w:divBdr>
        <w:top w:val="none" w:sz="0" w:space="0" w:color="auto"/>
        <w:left w:val="none" w:sz="0" w:space="0" w:color="auto"/>
        <w:bottom w:val="none" w:sz="0" w:space="0" w:color="auto"/>
        <w:right w:val="none" w:sz="0" w:space="0" w:color="auto"/>
      </w:divBdr>
    </w:div>
    <w:div w:id="1926839995">
      <w:bodyDiv w:val="1"/>
      <w:marLeft w:val="0"/>
      <w:marRight w:val="0"/>
      <w:marTop w:val="0"/>
      <w:marBottom w:val="0"/>
      <w:divBdr>
        <w:top w:val="none" w:sz="0" w:space="0" w:color="auto"/>
        <w:left w:val="none" w:sz="0" w:space="0" w:color="auto"/>
        <w:bottom w:val="none" w:sz="0" w:space="0" w:color="auto"/>
        <w:right w:val="none" w:sz="0" w:space="0" w:color="auto"/>
      </w:divBdr>
    </w:div>
    <w:div w:id="1927107224">
      <w:bodyDiv w:val="1"/>
      <w:marLeft w:val="0"/>
      <w:marRight w:val="0"/>
      <w:marTop w:val="0"/>
      <w:marBottom w:val="0"/>
      <w:divBdr>
        <w:top w:val="none" w:sz="0" w:space="0" w:color="auto"/>
        <w:left w:val="none" w:sz="0" w:space="0" w:color="auto"/>
        <w:bottom w:val="none" w:sz="0" w:space="0" w:color="auto"/>
        <w:right w:val="none" w:sz="0" w:space="0" w:color="auto"/>
      </w:divBdr>
    </w:div>
    <w:div w:id="1929583950">
      <w:bodyDiv w:val="1"/>
      <w:marLeft w:val="0"/>
      <w:marRight w:val="0"/>
      <w:marTop w:val="0"/>
      <w:marBottom w:val="0"/>
      <w:divBdr>
        <w:top w:val="none" w:sz="0" w:space="0" w:color="auto"/>
        <w:left w:val="none" w:sz="0" w:space="0" w:color="auto"/>
        <w:bottom w:val="none" w:sz="0" w:space="0" w:color="auto"/>
        <w:right w:val="none" w:sz="0" w:space="0" w:color="auto"/>
      </w:divBdr>
    </w:div>
    <w:div w:id="1930036652">
      <w:bodyDiv w:val="1"/>
      <w:marLeft w:val="0"/>
      <w:marRight w:val="0"/>
      <w:marTop w:val="0"/>
      <w:marBottom w:val="0"/>
      <w:divBdr>
        <w:top w:val="none" w:sz="0" w:space="0" w:color="auto"/>
        <w:left w:val="none" w:sz="0" w:space="0" w:color="auto"/>
        <w:bottom w:val="none" w:sz="0" w:space="0" w:color="auto"/>
        <w:right w:val="none" w:sz="0" w:space="0" w:color="auto"/>
      </w:divBdr>
    </w:div>
    <w:div w:id="1931891053">
      <w:bodyDiv w:val="1"/>
      <w:marLeft w:val="0"/>
      <w:marRight w:val="0"/>
      <w:marTop w:val="0"/>
      <w:marBottom w:val="0"/>
      <w:divBdr>
        <w:top w:val="none" w:sz="0" w:space="0" w:color="auto"/>
        <w:left w:val="none" w:sz="0" w:space="0" w:color="auto"/>
        <w:bottom w:val="none" w:sz="0" w:space="0" w:color="auto"/>
        <w:right w:val="none" w:sz="0" w:space="0" w:color="auto"/>
      </w:divBdr>
    </w:div>
    <w:div w:id="1932469994">
      <w:bodyDiv w:val="1"/>
      <w:marLeft w:val="0"/>
      <w:marRight w:val="0"/>
      <w:marTop w:val="0"/>
      <w:marBottom w:val="0"/>
      <w:divBdr>
        <w:top w:val="none" w:sz="0" w:space="0" w:color="auto"/>
        <w:left w:val="none" w:sz="0" w:space="0" w:color="auto"/>
        <w:bottom w:val="none" w:sz="0" w:space="0" w:color="auto"/>
        <w:right w:val="none" w:sz="0" w:space="0" w:color="auto"/>
      </w:divBdr>
    </w:div>
    <w:div w:id="1932541166">
      <w:bodyDiv w:val="1"/>
      <w:marLeft w:val="0"/>
      <w:marRight w:val="0"/>
      <w:marTop w:val="0"/>
      <w:marBottom w:val="0"/>
      <w:divBdr>
        <w:top w:val="none" w:sz="0" w:space="0" w:color="auto"/>
        <w:left w:val="none" w:sz="0" w:space="0" w:color="auto"/>
        <w:bottom w:val="none" w:sz="0" w:space="0" w:color="auto"/>
        <w:right w:val="none" w:sz="0" w:space="0" w:color="auto"/>
      </w:divBdr>
    </w:div>
    <w:div w:id="1933270363">
      <w:bodyDiv w:val="1"/>
      <w:marLeft w:val="0"/>
      <w:marRight w:val="0"/>
      <w:marTop w:val="0"/>
      <w:marBottom w:val="0"/>
      <w:divBdr>
        <w:top w:val="none" w:sz="0" w:space="0" w:color="auto"/>
        <w:left w:val="none" w:sz="0" w:space="0" w:color="auto"/>
        <w:bottom w:val="none" w:sz="0" w:space="0" w:color="auto"/>
        <w:right w:val="none" w:sz="0" w:space="0" w:color="auto"/>
      </w:divBdr>
    </w:div>
    <w:div w:id="1933782122">
      <w:bodyDiv w:val="1"/>
      <w:marLeft w:val="0"/>
      <w:marRight w:val="0"/>
      <w:marTop w:val="0"/>
      <w:marBottom w:val="0"/>
      <w:divBdr>
        <w:top w:val="none" w:sz="0" w:space="0" w:color="auto"/>
        <w:left w:val="none" w:sz="0" w:space="0" w:color="auto"/>
        <w:bottom w:val="none" w:sz="0" w:space="0" w:color="auto"/>
        <w:right w:val="none" w:sz="0" w:space="0" w:color="auto"/>
      </w:divBdr>
    </w:div>
    <w:div w:id="1933932456">
      <w:bodyDiv w:val="1"/>
      <w:marLeft w:val="0"/>
      <w:marRight w:val="0"/>
      <w:marTop w:val="0"/>
      <w:marBottom w:val="0"/>
      <w:divBdr>
        <w:top w:val="none" w:sz="0" w:space="0" w:color="auto"/>
        <w:left w:val="none" w:sz="0" w:space="0" w:color="auto"/>
        <w:bottom w:val="none" w:sz="0" w:space="0" w:color="auto"/>
        <w:right w:val="none" w:sz="0" w:space="0" w:color="auto"/>
      </w:divBdr>
    </w:div>
    <w:div w:id="1934125899">
      <w:bodyDiv w:val="1"/>
      <w:marLeft w:val="0"/>
      <w:marRight w:val="0"/>
      <w:marTop w:val="0"/>
      <w:marBottom w:val="0"/>
      <w:divBdr>
        <w:top w:val="none" w:sz="0" w:space="0" w:color="auto"/>
        <w:left w:val="none" w:sz="0" w:space="0" w:color="auto"/>
        <w:bottom w:val="none" w:sz="0" w:space="0" w:color="auto"/>
        <w:right w:val="none" w:sz="0" w:space="0" w:color="auto"/>
      </w:divBdr>
    </w:div>
    <w:div w:id="1935359580">
      <w:bodyDiv w:val="1"/>
      <w:marLeft w:val="0"/>
      <w:marRight w:val="0"/>
      <w:marTop w:val="0"/>
      <w:marBottom w:val="0"/>
      <w:divBdr>
        <w:top w:val="none" w:sz="0" w:space="0" w:color="auto"/>
        <w:left w:val="none" w:sz="0" w:space="0" w:color="auto"/>
        <w:bottom w:val="none" w:sz="0" w:space="0" w:color="auto"/>
        <w:right w:val="none" w:sz="0" w:space="0" w:color="auto"/>
      </w:divBdr>
    </w:div>
    <w:div w:id="1936013605">
      <w:bodyDiv w:val="1"/>
      <w:marLeft w:val="0"/>
      <w:marRight w:val="0"/>
      <w:marTop w:val="0"/>
      <w:marBottom w:val="0"/>
      <w:divBdr>
        <w:top w:val="none" w:sz="0" w:space="0" w:color="auto"/>
        <w:left w:val="none" w:sz="0" w:space="0" w:color="auto"/>
        <w:bottom w:val="none" w:sz="0" w:space="0" w:color="auto"/>
        <w:right w:val="none" w:sz="0" w:space="0" w:color="auto"/>
      </w:divBdr>
    </w:div>
    <w:div w:id="1937130841">
      <w:bodyDiv w:val="1"/>
      <w:marLeft w:val="0"/>
      <w:marRight w:val="0"/>
      <w:marTop w:val="0"/>
      <w:marBottom w:val="0"/>
      <w:divBdr>
        <w:top w:val="none" w:sz="0" w:space="0" w:color="auto"/>
        <w:left w:val="none" w:sz="0" w:space="0" w:color="auto"/>
        <w:bottom w:val="none" w:sz="0" w:space="0" w:color="auto"/>
        <w:right w:val="none" w:sz="0" w:space="0" w:color="auto"/>
      </w:divBdr>
    </w:div>
    <w:div w:id="1937979162">
      <w:bodyDiv w:val="1"/>
      <w:marLeft w:val="0"/>
      <w:marRight w:val="0"/>
      <w:marTop w:val="0"/>
      <w:marBottom w:val="0"/>
      <w:divBdr>
        <w:top w:val="none" w:sz="0" w:space="0" w:color="auto"/>
        <w:left w:val="none" w:sz="0" w:space="0" w:color="auto"/>
        <w:bottom w:val="none" w:sz="0" w:space="0" w:color="auto"/>
        <w:right w:val="none" w:sz="0" w:space="0" w:color="auto"/>
      </w:divBdr>
    </w:div>
    <w:div w:id="1938249069">
      <w:bodyDiv w:val="1"/>
      <w:marLeft w:val="0"/>
      <w:marRight w:val="0"/>
      <w:marTop w:val="0"/>
      <w:marBottom w:val="0"/>
      <w:divBdr>
        <w:top w:val="none" w:sz="0" w:space="0" w:color="auto"/>
        <w:left w:val="none" w:sz="0" w:space="0" w:color="auto"/>
        <w:bottom w:val="none" w:sz="0" w:space="0" w:color="auto"/>
        <w:right w:val="none" w:sz="0" w:space="0" w:color="auto"/>
      </w:divBdr>
    </w:div>
    <w:div w:id="1938368750">
      <w:bodyDiv w:val="1"/>
      <w:marLeft w:val="0"/>
      <w:marRight w:val="0"/>
      <w:marTop w:val="0"/>
      <w:marBottom w:val="0"/>
      <w:divBdr>
        <w:top w:val="none" w:sz="0" w:space="0" w:color="auto"/>
        <w:left w:val="none" w:sz="0" w:space="0" w:color="auto"/>
        <w:bottom w:val="none" w:sz="0" w:space="0" w:color="auto"/>
        <w:right w:val="none" w:sz="0" w:space="0" w:color="auto"/>
      </w:divBdr>
    </w:div>
    <w:div w:id="1938560654">
      <w:bodyDiv w:val="1"/>
      <w:marLeft w:val="0"/>
      <w:marRight w:val="0"/>
      <w:marTop w:val="0"/>
      <w:marBottom w:val="0"/>
      <w:divBdr>
        <w:top w:val="none" w:sz="0" w:space="0" w:color="auto"/>
        <w:left w:val="none" w:sz="0" w:space="0" w:color="auto"/>
        <w:bottom w:val="none" w:sz="0" w:space="0" w:color="auto"/>
        <w:right w:val="none" w:sz="0" w:space="0" w:color="auto"/>
      </w:divBdr>
    </w:div>
    <w:div w:id="1939559630">
      <w:bodyDiv w:val="1"/>
      <w:marLeft w:val="0"/>
      <w:marRight w:val="0"/>
      <w:marTop w:val="0"/>
      <w:marBottom w:val="0"/>
      <w:divBdr>
        <w:top w:val="none" w:sz="0" w:space="0" w:color="auto"/>
        <w:left w:val="none" w:sz="0" w:space="0" w:color="auto"/>
        <w:bottom w:val="none" w:sz="0" w:space="0" w:color="auto"/>
        <w:right w:val="none" w:sz="0" w:space="0" w:color="auto"/>
      </w:divBdr>
    </w:div>
    <w:div w:id="1941135057">
      <w:bodyDiv w:val="1"/>
      <w:marLeft w:val="0"/>
      <w:marRight w:val="0"/>
      <w:marTop w:val="0"/>
      <w:marBottom w:val="0"/>
      <w:divBdr>
        <w:top w:val="none" w:sz="0" w:space="0" w:color="auto"/>
        <w:left w:val="none" w:sz="0" w:space="0" w:color="auto"/>
        <w:bottom w:val="none" w:sz="0" w:space="0" w:color="auto"/>
        <w:right w:val="none" w:sz="0" w:space="0" w:color="auto"/>
      </w:divBdr>
    </w:div>
    <w:div w:id="1941597945">
      <w:bodyDiv w:val="1"/>
      <w:marLeft w:val="0"/>
      <w:marRight w:val="0"/>
      <w:marTop w:val="0"/>
      <w:marBottom w:val="0"/>
      <w:divBdr>
        <w:top w:val="none" w:sz="0" w:space="0" w:color="auto"/>
        <w:left w:val="none" w:sz="0" w:space="0" w:color="auto"/>
        <w:bottom w:val="none" w:sz="0" w:space="0" w:color="auto"/>
        <w:right w:val="none" w:sz="0" w:space="0" w:color="auto"/>
      </w:divBdr>
    </w:div>
    <w:div w:id="1943150579">
      <w:bodyDiv w:val="1"/>
      <w:marLeft w:val="0"/>
      <w:marRight w:val="0"/>
      <w:marTop w:val="0"/>
      <w:marBottom w:val="0"/>
      <w:divBdr>
        <w:top w:val="none" w:sz="0" w:space="0" w:color="auto"/>
        <w:left w:val="none" w:sz="0" w:space="0" w:color="auto"/>
        <w:bottom w:val="none" w:sz="0" w:space="0" w:color="auto"/>
        <w:right w:val="none" w:sz="0" w:space="0" w:color="auto"/>
      </w:divBdr>
    </w:div>
    <w:div w:id="1943954584">
      <w:bodyDiv w:val="1"/>
      <w:marLeft w:val="0"/>
      <w:marRight w:val="0"/>
      <w:marTop w:val="0"/>
      <w:marBottom w:val="0"/>
      <w:divBdr>
        <w:top w:val="none" w:sz="0" w:space="0" w:color="auto"/>
        <w:left w:val="none" w:sz="0" w:space="0" w:color="auto"/>
        <w:bottom w:val="none" w:sz="0" w:space="0" w:color="auto"/>
        <w:right w:val="none" w:sz="0" w:space="0" w:color="auto"/>
      </w:divBdr>
    </w:div>
    <w:div w:id="1944991776">
      <w:bodyDiv w:val="1"/>
      <w:marLeft w:val="0"/>
      <w:marRight w:val="0"/>
      <w:marTop w:val="0"/>
      <w:marBottom w:val="0"/>
      <w:divBdr>
        <w:top w:val="none" w:sz="0" w:space="0" w:color="auto"/>
        <w:left w:val="none" w:sz="0" w:space="0" w:color="auto"/>
        <w:bottom w:val="none" w:sz="0" w:space="0" w:color="auto"/>
        <w:right w:val="none" w:sz="0" w:space="0" w:color="auto"/>
      </w:divBdr>
    </w:div>
    <w:div w:id="1945725625">
      <w:bodyDiv w:val="1"/>
      <w:marLeft w:val="0"/>
      <w:marRight w:val="0"/>
      <w:marTop w:val="0"/>
      <w:marBottom w:val="0"/>
      <w:divBdr>
        <w:top w:val="none" w:sz="0" w:space="0" w:color="auto"/>
        <w:left w:val="none" w:sz="0" w:space="0" w:color="auto"/>
        <w:bottom w:val="none" w:sz="0" w:space="0" w:color="auto"/>
        <w:right w:val="none" w:sz="0" w:space="0" w:color="auto"/>
      </w:divBdr>
    </w:div>
    <w:div w:id="1946305123">
      <w:bodyDiv w:val="1"/>
      <w:marLeft w:val="0"/>
      <w:marRight w:val="0"/>
      <w:marTop w:val="0"/>
      <w:marBottom w:val="0"/>
      <w:divBdr>
        <w:top w:val="none" w:sz="0" w:space="0" w:color="auto"/>
        <w:left w:val="none" w:sz="0" w:space="0" w:color="auto"/>
        <w:bottom w:val="none" w:sz="0" w:space="0" w:color="auto"/>
        <w:right w:val="none" w:sz="0" w:space="0" w:color="auto"/>
      </w:divBdr>
    </w:div>
    <w:div w:id="1946308732">
      <w:bodyDiv w:val="1"/>
      <w:marLeft w:val="0"/>
      <w:marRight w:val="0"/>
      <w:marTop w:val="0"/>
      <w:marBottom w:val="0"/>
      <w:divBdr>
        <w:top w:val="none" w:sz="0" w:space="0" w:color="auto"/>
        <w:left w:val="none" w:sz="0" w:space="0" w:color="auto"/>
        <w:bottom w:val="none" w:sz="0" w:space="0" w:color="auto"/>
        <w:right w:val="none" w:sz="0" w:space="0" w:color="auto"/>
      </w:divBdr>
    </w:div>
    <w:div w:id="1947343634">
      <w:bodyDiv w:val="1"/>
      <w:marLeft w:val="0"/>
      <w:marRight w:val="0"/>
      <w:marTop w:val="0"/>
      <w:marBottom w:val="0"/>
      <w:divBdr>
        <w:top w:val="none" w:sz="0" w:space="0" w:color="auto"/>
        <w:left w:val="none" w:sz="0" w:space="0" w:color="auto"/>
        <w:bottom w:val="none" w:sz="0" w:space="0" w:color="auto"/>
        <w:right w:val="none" w:sz="0" w:space="0" w:color="auto"/>
      </w:divBdr>
    </w:div>
    <w:div w:id="1948541127">
      <w:bodyDiv w:val="1"/>
      <w:marLeft w:val="0"/>
      <w:marRight w:val="0"/>
      <w:marTop w:val="0"/>
      <w:marBottom w:val="0"/>
      <w:divBdr>
        <w:top w:val="none" w:sz="0" w:space="0" w:color="auto"/>
        <w:left w:val="none" w:sz="0" w:space="0" w:color="auto"/>
        <w:bottom w:val="none" w:sz="0" w:space="0" w:color="auto"/>
        <w:right w:val="none" w:sz="0" w:space="0" w:color="auto"/>
      </w:divBdr>
    </w:div>
    <w:div w:id="1949122889">
      <w:bodyDiv w:val="1"/>
      <w:marLeft w:val="0"/>
      <w:marRight w:val="0"/>
      <w:marTop w:val="0"/>
      <w:marBottom w:val="0"/>
      <w:divBdr>
        <w:top w:val="none" w:sz="0" w:space="0" w:color="auto"/>
        <w:left w:val="none" w:sz="0" w:space="0" w:color="auto"/>
        <w:bottom w:val="none" w:sz="0" w:space="0" w:color="auto"/>
        <w:right w:val="none" w:sz="0" w:space="0" w:color="auto"/>
      </w:divBdr>
    </w:div>
    <w:div w:id="1949435398">
      <w:bodyDiv w:val="1"/>
      <w:marLeft w:val="0"/>
      <w:marRight w:val="0"/>
      <w:marTop w:val="0"/>
      <w:marBottom w:val="0"/>
      <w:divBdr>
        <w:top w:val="none" w:sz="0" w:space="0" w:color="auto"/>
        <w:left w:val="none" w:sz="0" w:space="0" w:color="auto"/>
        <w:bottom w:val="none" w:sz="0" w:space="0" w:color="auto"/>
        <w:right w:val="none" w:sz="0" w:space="0" w:color="auto"/>
      </w:divBdr>
    </w:div>
    <w:div w:id="1950696873">
      <w:bodyDiv w:val="1"/>
      <w:marLeft w:val="0"/>
      <w:marRight w:val="0"/>
      <w:marTop w:val="0"/>
      <w:marBottom w:val="0"/>
      <w:divBdr>
        <w:top w:val="none" w:sz="0" w:space="0" w:color="auto"/>
        <w:left w:val="none" w:sz="0" w:space="0" w:color="auto"/>
        <w:bottom w:val="none" w:sz="0" w:space="0" w:color="auto"/>
        <w:right w:val="none" w:sz="0" w:space="0" w:color="auto"/>
      </w:divBdr>
    </w:div>
    <w:div w:id="1950812845">
      <w:bodyDiv w:val="1"/>
      <w:marLeft w:val="0"/>
      <w:marRight w:val="0"/>
      <w:marTop w:val="0"/>
      <w:marBottom w:val="0"/>
      <w:divBdr>
        <w:top w:val="none" w:sz="0" w:space="0" w:color="auto"/>
        <w:left w:val="none" w:sz="0" w:space="0" w:color="auto"/>
        <w:bottom w:val="none" w:sz="0" w:space="0" w:color="auto"/>
        <w:right w:val="none" w:sz="0" w:space="0" w:color="auto"/>
      </w:divBdr>
    </w:div>
    <w:div w:id="1951232024">
      <w:bodyDiv w:val="1"/>
      <w:marLeft w:val="0"/>
      <w:marRight w:val="0"/>
      <w:marTop w:val="0"/>
      <w:marBottom w:val="0"/>
      <w:divBdr>
        <w:top w:val="none" w:sz="0" w:space="0" w:color="auto"/>
        <w:left w:val="none" w:sz="0" w:space="0" w:color="auto"/>
        <w:bottom w:val="none" w:sz="0" w:space="0" w:color="auto"/>
        <w:right w:val="none" w:sz="0" w:space="0" w:color="auto"/>
      </w:divBdr>
    </w:div>
    <w:div w:id="1952930979">
      <w:bodyDiv w:val="1"/>
      <w:marLeft w:val="0"/>
      <w:marRight w:val="0"/>
      <w:marTop w:val="0"/>
      <w:marBottom w:val="0"/>
      <w:divBdr>
        <w:top w:val="none" w:sz="0" w:space="0" w:color="auto"/>
        <w:left w:val="none" w:sz="0" w:space="0" w:color="auto"/>
        <w:bottom w:val="none" w:sz="0" w:space="0" w:color="auto"/>
        <w:right w:val="none" w:sz="0" w:space="0" w:color="auto"/>
      </w:divBdr>
    </w:div>
    <w:div w:id="1953243875">
      <w:bodyDiv w:val="1"/>
      <w:marLeft w:val="0"/>
      <w:marRight w:val="0"/>
      <w:marTop w:val="0"/>
      <w:marBottom w:val="0"/>
      <w:divBdr>
        <w:top w:val="none" w:sz="0" w:space="0" w:color="auto"/>
        <w:left w:val="none" w:sz="0" w:space="0" w:color="auto"/>
        <w:bottom w:val="none" w:sz="0" w:space="0" w:color="auto"/>
        <w:right w:val="none" w:sz="0" w:space="0" w:color="auto"/>
      </w:divBdr>
    </w:div>
    <w:div w:id="1953395032">
      <w:bodyDiv w:val="1"/>
      <w:marLeft w:val="0"/>
      <w:marRight w:val="0"/>
      <w:marTop w:val="0"/>
      <w:marBottom w:val="0"/>
      <w:divBdr>
        <w:top w:val="none" w:sz="0" w:space="0" w:color="auto"/>
        <w:left w:val="none" w:sz="0" w:space="0" w:color="auto"/>
        <w:bottom w:val="none" w:sz="0" w:space="0" w:color="auto"/>
        <w:right w:val="none" w:sz="0" w:space="0" w:color="auto"/>
      </w:divBdr>
    </w:div>
    <w:div w:id="1953701920">
      <w:bodyDiv w:val="1"/>
      <w:marLeft w:val="0"/>
      <w:marRight w:val="0"/>
      <w:marTop w:val="0"/>
      <w:marBottom w:val="0"/>
      <w:divBdr>
        <w:top w:val="none" w:sz="0" w:space="0" w:color="auto"/>
        <w:left w:val="none" w:sz="0" w:space="0" w:color="auto"/>
        <w:bottom w:val="none" w:sz="0" w:space="0" w:color="auto"/>
        <w:right w:val="none" w:sz="0" w:space="0" w:color="auto"/>
      </w:divBdr>
    </w:div>
    <w:div w:id="1953781436">
      <w:bodyDiv w:val="1"/>
      <w:marLeft w:val="0"/>
      <w:marRight w:val="0"/>
      <w:marTop w:val="0"/>
      <w:marBottom w:val="0"/>
      <w:divBdr>
        <w:top w:val="none" w:sz="0" w:space="0" w:color="auto"/>
        <w:left w:val="none" w:sz="0" w:space="0" w:color="auto"/>
        <w:bottom w:val="none" w:sz="0" w:space="0" w:color="auto"/>
        <w:right w:val="none" w:sz="0" w:space="0" w:color="auto"/>
      </w:divBdr>
    </w:div>
    <w:div w:id="1954439788">
      <w:bodyDiv w:val="1"/>
      <w:marLeft w:val="0"/>
      <w:marRight w:val="0"/>
      <w:marTop w:val="0"/>
      <w:marBottom w:val="0"/>
      <w:divBdr>
        <w:top w:val="none" w:sz="0" w:space="0" w:color="auto"/>
        <w:left w:val="none" w:sz="0" w:space="0" w:color="auto"/>
        <w:bottom w:val="none" w:sz="0" w:space="0" w:color="auto"/>
        <w:right w:val="none" w:sz="0" w:space="0" w:color="auto"/>
      </w:divBdr>
    </w:div>
    <w:div w:id="1954825360">
      <w:bodyDiv w:val="1"/>
      <w:marLeft w:val="0"/>
      <w:marRight w:val="0"/>
      <w:marTop w:val="0"/>
      <w:marBottom w:val="0"/>
      <w:divBdr>
        <w:top w:val="none" w:sz="0" w:space="0" w:color="auto"/>
        <w:left w:val="none" w:sz="0" w:space="0" w:color="auto"/>
        <w:bottom w:val="none" w:sz="0" w:space="0" w:color="auto"/>
        <w:right w:val="none" w:sz="0" w:space="0" w:color="auto"/>
      </w:divBdr>
    </w:div>
    <w:div w:id="1954941326">
      <w:bodyDiv w:val="1"/>
      <w:marLeft w:val="0"/>
      <w:marRight w:val="0"/>
      <w:marTop w:val="0"/>
      <w:marBottom w:val="0"/>
      <w:divBdr>
        <w:top w:val="none" w:sz="0" w:space="0" w:color="auto"/>
        <w:left w:val="none" w:sz="0" w:space="0" w:color="auto"/>
        <w:bottom w:val="none" w:sz="0" w:space="0" w:color="auto"/>
        <w:right w:val="none" w:sz="0" w:space="0" w:color="auto"/>
      </w:divBdr>
    </w:div>
    <w:div w:id="1954970938">
      <w:bodyDiv w:val="1"/>
      <w:marLeft w:val="0"/>
      <w:marRight w:val="0"/>
      <w:marTop w:val="0"/>
      <w:marBottom w:val="0"/>
      <w:divBdr>
        <w:top w:val="none" w:sz="0" w:space="0" w:color="auto"/>
        <w:left w:val="none" w:sz="0" w:space="0" w:color="auto"/>
        <w:bottom w:val="none" w:sz="0" w:space="0" w:color="auto"/>
        <w:right w:val="none" w:sz="0" w:space="0" w:color="auto"/>
      </w:divBdr>
    </w:div>
    <w:div w:id="1955936591">
      <w:bodyDiv w:val="1"/>
      <w:marLeft w:val="0"/>
      <w:marRight w:val="0"/>
      <w:marTop w:val="0"/>
      <w:marBottom w:val="0"/>
      <w:divBdr>
        <w:top w:val="none" w:sz="0" w:space="0" w:color="auto"/>
        <w:left w:val="none" w:sz="0" w:space="0" w:color="auto"/>
        <w:bottom w:val="none" w:sz="0" w:space="0" w:color="auto"/>
        <w:right w:val="none" w:sz="0" w:space="0" w:color="auto"/>
      </w:divBdr>
    </w:div>
    <w:div w:id="1956449728">
      <w:bodyDiv w:val="1"/>
      <w:marLeft w:val="0"/>
      <w:marRight w:val="0"/>
      <w:marTop w:val="0"/>
      <w:marBottom w:val="0"/>
      <w:divBdr>
        <w:top w:val="none" w:sz="0" w:space="0" w:color="auto"/>
        <w:left w:val="none" w:sz="0" w:space="0" w:color="auto"/>
        <w:bottom w:val="none" w:sz="0" w:space="0" w:color="auto"/>
        <w:right w:val="none" w:sz="0" w:space="0" w:color="auto"/>
      </w:divBdr>
    </w:div>
    <w:div w:id="1956862801">
      <w:bodyDiv w:val="1"/>
      <w:marLeft w:val="0"/>
      <w:marRight w:val="0"/>
      <w:marTop w:val="0"/>
      <w:marBottom w:val="0"/>
      <w:divBdr>
        <w:top w:val="none" w:sz="0" w:space="0" w:color="auto"/>
        <w:left w:val="none" w:sz="0" w:space="0" w:color="auto"/>
        <w:bottom w:val="none" w:sz="0" w:space="0" w:color="auto"/>
        <w:right w:val="none" w:sz="0" w:space="0" w:color="auto"/>
      </w:divBdr>
    </w:div>
    <w:div w:id="1957253490">
      <w:bodyDiv w:val="1"/>
      <w:marLeft w:val="0"/>
      <w:marRight w:val="0"/>
      <w:marTop w:val="0"/>
      <w:marBottom w:val="0"/>
      <w:divBdr>
        <w:top w:val="none" w:sz="0" w:space="0" w:color="auto"/>
        <w:left w:val="none" w:sz="0" w:space="0" w:color="auto"/>
        <w:bottom w:val="none" w:sz="0" w:space="0" w:color="auto"/>
        <w:right w:val="none" w:sz="0" w:space="0" w:color="auto"/>
      </w:divBdr>
    </w:div>
    <w:div w:id="1957367604">
      <w:bodyDiv w:val="1"/>
      <w:marLeft w:val="0"/>
      <w:marRight w:val="0"/>
      <w:marTop w:val="0"/>
      <w:marBottom w:val="0"/>
      <w:divBdr>
        <w:top w:val="none" w:sz="0" w:space="0" w:color="auto"/>
        <w:left w:val="none" w:sz="0" w:space="0" w:color="auto"/>
        <w:bottom w:val="none" w:sz="0" w:space="0" w:color="auto"/>
        <w:right w:val="none" w:sz="0" w:space="0" w:color="auto"/>
      </w:divBdr>
    </w:div>
    <w:div w:id="1957985351">
      <w:bodyDiv w:val="1"/>
      <w:marLeft w:val="0"/>
      <w:marRight w:val="0"/>
      <w:marTop w:val="0"/>
      <w:marBottom w:val="0"/>
      <w:divBdr>
        <w:top w:val="none" w:sz="0" w:space="0" w:color="auto"/>
        <w:left w:val="none" w:sz="0" w:space="0" w:color="auto"/>
        <w:bottom w:val="none" w:sz="0" w:space="0" w:color="auto"/>
        <w:right w:val="none" w:sz="0" w:space="0" w:color="auto"/>
      </w:divBdr>
    </w:div>
    <w:div w:id="1960452641">
      <w:bodyDiv w:val="1"/>
      <w:marLeft w:val="0"/>
      <w:marRight w:val="0"/>
      <w:marTop w:val="0"/>
      <w:marBottom w:val="0"/>
      <w:divBdr>
        <w:top w:val="none" w:sz="0" w:space="0" w:color="auto"/>
        <w:left w:val="none" w:sz="0" w:space="0" w:color="auto"/>
        <w:bottom w:val="none" w:sz="0" w:space="0" w:color="auto"/>
        <w:right w:val="none" w:sz="0" w:space="0" w:color="auto"/>
      </w:divBdr>
    </w:div>
    <w:div w:id="1960987990">
      <w:bodyDiv w:val="1"/>
      <w:marLeft w:val="0"/>
      <w:marRight w:val="0"/>
      <w:marTop w:val="0"/>
      <w:marBottom w:val="0"/>
      <w:divBdr>
        <w:top w:val="none" w:sz="0" w:space="0" w:color="auto"/>
        <w:left w:val="none" w:sz="0" w:space="0" w:color="auto"/>
        <w:bottom w:val="none" w:sz="0" w:space="0" w:color="auto"/>
        <w:right w:val="none" w:sz="0" w:space="0" w:color="auto"/>
      </w:divBdr>
    </w:div>
    <w:div w:id="1961064555">
      <w:bodyDiv w:val="1"/>
      <w:marLeft w:val="0"/>
      <w:marRight w:val="0"/>
      <w:marTop w:val="0"/>
      <w:marBottom w:val="0"/>
      <w:divBdr>
        <w:top w:val="none" w:sz="0" w:space="0" w:color="auto"/>
        <w:left w:val="none" w:sz="0" w:space="0" w:color="auto"/>
        <w:bottom w:val="none" w:sz="0" w:space="0" w:color="auto"/>
        <w:right w:val="none" w:sz="0" w:space="0" w:color="auto"/>
      </w:divBdr>
    </w:div>
    <w:div w:id="1961106702">
      <w:bodyDiv w:val="1"/>
      <w:marLeft w:val="0"/>
      <w:marRight w:val="0"/>
      <w:marTop w:val="0"/>
      <w:marBottom w:val="0"/>
      <w:divBdr>
        <w:top w:val="none" w:sz="0" w:space="0" w:color="auto"/>
        <w:left w:val="none" w:sz="0" w:space="0" w:color="auto"/>
        <w:bottom w:val="none" w:sz="0" w:space="0" w:color="auto"/>
        <w:right w:val="none" w:sz="0" w:space="0" w:color="auto"/>
      </w:divBdr>
    </w:div>
    <w:div w:id="1961262264">
      <w:bodyDiv w:val="1"/>
      <w:marLeft w:val="0"/>
      <w:marRight w:val="0"/>
      <w:marTop w:val="0"/>
      <w:marBottom w:val="0"/>
      <w:divBdr>
        <w:top w:val="none" w:sz="0" w:space="0" w:color="auto"/>
        <w:left w:val="none" w:sz="0" w:space="0" w:color="auto"/>
        <w:bottom w:val="none" w:sz="0" w:space="0" w:color="auto"/>
        <w:right w:val="none" w:sz="0" w:space="0" w:color="auto"/>
      </w:divBdr>
    </w:div>
    <w:div w:id="1961565630">
      <w:bodyDiv w:val="1"/>
      <w:marLeft w:val="0"/>
      <w:marRight w:val="0"/>
      <w:marTop w:val="0"/>
      <w:marBottom w:val="0"/>
      <w:divBdr>
        <w:top w:val="none" w:sz="0" w:space="0" w:color="auto"/>
        <w:left w:val="none" w:sz="0" w:space="0" w:color="auto"/>
        <w:bottom w:val="none" w:sz="0" w:space="0" w:color="auto"/>
        <w:right w:val="none" w:sz="0" w:space="0" w:color="auto"/>
      </w:divBdr>
    </w:div>
    <w:div w:id="1961566254">
      <w:bodyDiv w:val="1"/>
      <w:marLeft w:val="0"/>
      <w:marRight w:val="0"/>
      <w:marTop w:val="0"/>
      <w:marBottom w:val="0"/>
      <w:divBdr>
        <w:top w:val="none" w:sz="0" w:space="0" w:color="auto"/>
        <w:left w:val="none" w:sz="0" w:space="0" w:color="auto"/>
        <w:bottom w:val="none" w:sz="0" w:space="0" w:color="auto"/>
        <w:right w:val="none" w:sz="0" w:space="0" w:color="auto"/>
      </w:divBdr>
    </w:div>
    <w:div w:id="1962685496">
      <w:bodyDiv w:val="1"/>
      <w:marLeft w:val="0"/>
      <w:marRight w:val="0"/>
      <w:marTop w:val="0"/>
      <w:marBottom w:val="0"/>
      <w:divBdr>
        <w:top w:val="none" w:sz="0" w:space="0" w:color="auto"/>
        <w:left w:val="none" w:sz="0" w:space="0" w:color="auto"/>
        <w:bottom w:val="none" w:sz="0" w:space="0" w:color="auto"/>
        <w:right w:val="none" w:sz="0" w:space="0" w:color="auto"/>
      </w:divBdr>
    </w:div>
    <w:div w:id="1963723793">
      <w:bodyDiv w:val="1"/>
      <w:marLeft w:val="0"/>
      <w:marRight w:val="0"/>
      <w:marTop w:val="0"/>
      <w:marBottom w:val="0"/>
      <w:divBdr>
        <w:top w:val="none" w:sz="0" w:space="0" w:color="auto"/>
        <w:left w:val="none" w:sz="0" w:space="0" w:color="auto"/>
        <w:bottom w:val="none" w:sz="0" w:space="0" w:color="auto"/>
        <w:right w:val="none" w:sz="0" w:space="0" w:color="auto"/>
      </w:divBdr>
    </w:div>
    <w:div w:id="1964268588">
      <w:bodyDiv w:val="1"/>
      <w:marLeft w:val="0"/>
      <w:marRight w:val="0"/>
      <w:marTop w:val="0"/>
      <w:marBottom w:val="0"/>
      <w:divBdr>
        <w:top w:val="none" w:sz="0" w:space="0" w:color="auto"/>
        <w:left w:val="none" w:sz="0" w:space="0" w:color="auto"/>
        <w:bottom w:val="none" w:sz="0" w:space="0" w:color="auto"/>
        <w:right w:val="none" w:sz="0" w:space="0" w:color="auto"/>
      </w:divBdr>
    </w:div>
    <w:div w:id="1965192804">
      <w:bodyDiv w:val="1"/>
      <w:marLeft w:val="0"/>
      <w:marRight w:val="0"/>
      <w:marTop w:val="0"/>
      <w:marBottom w:val="0"/>
      <w:divBdr>
        <w:top w:val="none" w:sz="0" w:space="0" w:color="auto"/>
        <w:left w:val="none" w:sz="0" w:space="0" w:color="auto"/>
        <w:bottom w:val="none" w:sz="0" w:space="0" w:color="auto"/>
        <w:right w:val="none" w:sz="0" w:space="0" w:color="auto"/>
      </w:divBdr>
    </w:div>
    <w:div w:id="1965961882">
      <w:bodyDiv w:val="1"/>
      <w:marLeft w:val="0"/>
      <w:marRight w:val="0"/>
      <w:marTop w:val="0"/>
      <w:marBottom w:val="0"/>
      <w:divBdr>
        <w:top w:val="none" w:sz="0" w:space="0" w:color="auto"/>
        <w:left w:val="none" w:sz="0" w:space="0" w:color="auto"/>
        <w:bottom w:val="none" w:sz="0" w:space="0" w:color="auto"/>
        <w:right w:val="none" w:sz="0" w:space="0" w:color="auto"/>
      </w:divBdr>
    </w:div>
    <w:div w:id="1966034393">
      <w:bodyDiv w:val="1"/>
      <w:marLeft w:val="0"/>
      <w:marRight w:val="0"/>
      <w:marTop w:val="0"/>
      <w:marBottom w:val="0"/>
      <w:divBdr>
        <w:top w:val="none" w:sz="0" w:space="0" w:color="auto"/>
        <w:left w:val="none" w:sz="0" w:space="0" w:color="auto"/>
        <w:bottom w:val="none" w:sz="0" w:space="0" w:color="auto"/>
        <w:right w:val="none" w:sz="0" w:space="0" w:color="auto"/>
      </w:divBdr>
    </w:div>
    <w:div w:id="1966156761">
      <w:bodyDiv w:val="1"/>
      <w:marLeft w:val="0"/>
      <w:marRight w:val="0"/>
      <w:marTop w:val="0"/>
      <w:marBottom w:val="0"/>
      <w:divBdr>
        <w:top w:val="none" w:sz="0" w:space="0" w:color="auto"/>
        <w:left w:val="none" w:sz="0" w:space="0" w:color="auto"/>
        <w:bottom w:val="none" w:sz="0" w:space="0" w:color="auto"/>
        <w:right w:val="none" w:sz="0" w:space="0" w:color="auto"/>
      </w:divBdr>
    </w:div>
    <w:div w:id="1967008976">
      <w:bodyDiv w:val="1"/>
      <w:marLeft w:val="0"/>
      <w:marRight w:val="0"/>
      <w:marTop w:val="0"/>
      <w:marBottom w:val="0"/>
      <w:divBdr>
        <w:top w:val="none" w:sz="0" w:space="0" w:color="auto"/>
        <w:left w:val="none" w:sz="0" w:space="0" w:color="auto"/>
        <w:bottom w:val="none" w:sz="0" w:space="0" w:color="auto"/>
        <w:right w:val="none" w:sz="0" w:space="0" w:color="auto"/>
      </w:divBdr>
    </w:div>
    <w:div w:id="1967084079">
      <w:bodyDiv w:val="1"/>
      <w:marLeft w:val="0"/>
      <w:marRight w:val="0"/>
      <w:marTop w:val="0"/>
      <w:marBottom w:val="0"/>
      <w:divBdr>
        <w:top w:val="none" w:sz="0" w:space="0" w:color="auto"/>
        <w:left w:val="none" w:sz="0" w:space="0" w:color="auto"/>
        <w:bottom w:val="none" w:sz="0" w:space="0" w:color="auto"/>
        <w:right w:val="none" w:sz="0" w:space="0" w:color="auto"/>
      </w:divBdr>
    </w:div>
    <w:div w:id="1967201195">
      <w:bodyDiv w:val="1"/>
      <w:marLeft w:val="0"/>
      <w:marRight w:val="0"/>
      <w:marTop w:val="0"/>
      <w:marBottom w:val="0"/>
      <w:divBdr>
        <w:top w:val="none" w:sz="0" w:space="0" w:color="auto"/>
        <w:left w:val="none" w:sz="0" w:space="0" w:color="auto"/>
        <w:bottom w:val="none" w:sz="0" w:space="0" w:color="auto"/>
        <w:right w:val="none" w:sz="0" w:space="0" w:color="auto"/>
      </w:divBdr>
    </w:div>
    <w:div w:id="1967462377">
      <w:bodyDiv w:val="1"/>
      <w:marLeft w:val="0"/>
      <w:marRight w:val="0"/>
      <w:marTop w:val="0"/>
      <w:marBottom w:val="0"/>
      <w:divBdr>
        <w:top w:val="none" w:sz="0" w:space="0" w:color="auto"/>
        <w:left w:val="none" w:sz="0" w:space="0" w:color="auto"/>
        <w:bottom w:val="none" w:sz="0" w:space="0" w:color="auto"/>
        <w:right w:val="none" w:sz="0" w:space="0" w:color="auto"/>
      </w:divBdr>
    </w:div>
    <w:div w:id="1967471189">
      <w:bodyDiv w:val="1"/>
      <w:marLeft w:val="0"/>
      <w:marRight w:val="0"/>
      <w:marTop w:val="0"/>
      <w:marBottom w:val="0"/>
      <w:divBdr>
        <w:top w:val="none" w:sz="0" w:space="0" w:color="auto"/>
        <w:left w:val="none" w:sz="0" w:space="0" w:color="auto"/>
        <w:bottom w:val="none" w:sz="0" w:space="0" w:color="auto"/>
        <w:right w:val="none" w:sz="0" w:space="0" w:color="auto"/>
      </w:divBdr>
    </w:div>
    <w:div w:id="1967615930">
      <w:bodyDiv w:val="1"/>
      <w:marLeft w:val="0"/>
      <w:marRight w:val="0"/>
      <w:marTop w:val="0"/>
      <w:marBottom w:val="0"/>
      <w:divBdr>
        <w:top w:val="none" w:sz="0" w:space="0" w:color="auto"/>
        <w:left w:val="none" w:sz="0" w:space="0" w:color="auto"/>
        <w:bottom w:val="none" w:sz="0" w:space="0" w:color="auto"/>
        <w:right w:val="none" w:sz="0" w:space="0" w:color="auto"/>
      </w:divBdr>
    </w:div>
    <w:div w:id="1967852059">
      <w:bodyDiv w:val="1"/>
      <w:marLeft w:val="0"/>
      <w:marRight w:val="0"/>
      <w:marTop w:val="0"/>
      <w:marBottom w:val="0"/>
      <w:divBdr>
        <w:top w:val="none" w:sz="0" w:space="0" w:color="auto"/>
        <w:left w:val="none" w:sz="0" w:space="0" w:color="auto"/>
        <w:bottom w:val="none" w:sz="0" w:space="0" w:color="auto"/>
        <w:right w:val="none" w:sz="0" w:space="0" w:color="auto"/>
      </w:divBdr>
    </w:div>
    <w:div w:id="1968201546">
      <w:bodyDiv w:val="1"/>
      <w:marLeft w:val="0"/>
      <w:marRight w:val="0"/>
      <w:marTop w:val="0"/>
      <w:marBottom w:val="0"/>
      <w:divBdr>
        <w:top w:val="none" w:sz="0" w:space="0" w:color="auto"/>
        <w:left w:val="none" w:sz="0" w:space="0" w:color="auto"/>
        <w:bottom w:val="none" w:sz="0" w:space="0" w:color="auto"/>
        <w:right w:val="none" w:sz="0" w:space="0" w:color="auto"/>
      </w:divBdr>
    </w:div>
    <w:div w:id="1969119359">
      <w:bodyDiv w:val="1"/>
      <w:marLeft w:val="0"/>
      <w:marRight w:val="0"/>
      <w:marTop w:val="0"/>
      <w:marBottom w:val="0"/>
      <w:divBdr>
        <w:top w:val="none" w:sz="0" w:space="0" w:color="auto"/>
        <w:left w:val="none" w:sz="0" w:space="0" w:color="auto"/>
        <w:bottom w:val="none" w:sz="0" w:space="0" w:color="auto"/>
        <w:right w:val="none" w:sz="0" w:space="0" w:color="auto"/>
      </w:divBdr>
    </w:div>
    <w:div w:id="1969780202">
      <w:bodyDiv w:val="1"/>
      <w:marLeft w:val="0"/>
      <w:marRight w:val="0"/>
      <w:marTop w:val="0"/>
      <w:marBottom w:val="0"/>
      <w:divBdr>
        <w:top w:val="none" w:sz="0" w:space="0" w:color="auto"/>
        <w:left w:val="none" w:sz="0" w:space="0" w:color="auto"/>
        <w:bottom w:val="none" w:sz="0" w:space="0" w:color="auto"/>
        <w:right w:val="none" w:sz="0" w:space="0" w:color="auto"/>
      </w:divBdr>
    </w:div>
    <w:div w:id="1970044875">
      <w:bodyDiv w:val="1"/>
      <w:marLeft w:val="0"/>
      <w:marRight w:val="0"/>
      <w:marTop w:val="0"/>
      <w:marBottom w:val="0"/>
      <w:divBdr>
        <w:top w:val="none" w:sz="0" w:space="0" w:color="auto"/>
        <w:left w:val="none" w:sz="0" w:space="0" w:color="auto"/>
        <w:bottom w:val="none" w:sz="0" w:space="0" w:color="auto"/>
        <w:right w:val="none" w:sz="0" w:space="0" w:color="auto"/>
      </w:divBdr>
    </w:div>
    <w:div w:id="1970357713">
      <w:bodyDiv w:val="1"/>
      <w:marLeft w:val="0"/>
      <w:marRight w:val="0"/>
      <w:marTop w:val="0"/>
      <w:marBottom w:val="0"/>
      <w:divBdr>
        <w:top w:val="none" w:sz="0" w:space="0" w:color="auto"/>
        <w:left w:val="none" w:sz="0" w:space="0" w:color="auto"/>
        <w:bottom w:val="none" w:sz="0" w:space="0" w:color="auto"/>
        <w:right w:val="none" w:sz="0" w:space="0" w:color="auto"/>
      </w:divBdr>
    </w:div>
    <w:div w:id="1970669729">
      <w:bodyDiv w:val="1"/>
      <w:marLeft w:val="0"/>
      <w:marRight w:val="0"/>
      <w:marTop w:val="0"/>
      <w:marBottom w:val="0"/>
      <w:divBdr>
        <w:top w:val="none" w:sz="0" w:space="0" w:color="auto"/>
        <w:left w:val="none" w:sz="0" w:space="0" w:color="auto"/>
        <w:bottom w:val="none" w:sz="0" w:space="0" w:color="auto"/>
        <w:right w:val="none" w:sz="0" w:space="0" w:color="auto"/>
      </w:divBdr>
    </w:div>
    <w:div w:id="1970671065">
      <w:bodyDiv w:val="1"/>
      <w:marLeft w:val="0"/>
      <w:marRight w:val="0"/>
      <w:marTop w:val="0"/>
      <w:marBottom w:val="0"/>
      <w:divBdr>
        <w:top w:val="none" w:sz="0" w:space="0" w:color="auto"/>
        <w:left w:val="none" w:sz="0" w:space="0" w:color="auto"/>
        <w:bottom w:val="none" w:sz="0" w:space="0" w:color="auto"/>
        <w:right w:val="none" w:sz="0" w:space="0" w:color="auto"/>
      </w:divBdr>
    </w:div>
    <w:div w:id="1970738393">
      <w:bodyDiv w:val="1"/>
      <w:marLeft w:val="0"/>
      <w:marRight w:val="0"/>
      <w:marTop w:val="0"/>
      <w:marBottom w:val="0"/>
      <w:divBdr>
        <w:top w:val="none" w:sz="0" w:space="0" w:color="auto"/>
        <w:left w:val="none" w:sz="0" w:space="0" w:color="auto"/>
        <w:bottom w:val="none" w:sz="0" w:space="0" w:color="auto"/>
        <w:right w:val="none" w:sz="0" w:space="0" w:color="auto"/>
      </w:divBdr>
    </w:div>
    <w:div w:id="1973174287">
      <w:bodyDiv w:val="1"/>
      <w:marLeft w:val="0"/>
      <w:marRight w:val="0"/>
      <w:marTop w:val="0"/>
      <w:marBottom w:val="0"/>
      <w:divBdr>
        <w:top w:val="none" w:sz="0" w:space="0" w:color="auto"/>
        <w:left w:val="none" w:sz="0" w:space="0" w:color="auto"/>
        <w:bottom w:val="none" w:sz="0" w:space="0" w:color="auto"/>
        <w:right w:val="none" w:sz="0" w:space="0" w:color="auto"/>
      </w:divBdr>
    </w:div>
    <w:div w:id="1974675949">
      <w:bodyDiv w:val="1"/>
      <w:marLeft w:val="0"/>
      <w:marRight w:val="0"/>
      <w:marTop w:val="0"/>
      <w:marBottom w:val="0"/>
      <w:divBdr>
        <w:top w:val="none" w:sz="0" w:space="0" w:color="auto"/>
        <w:left w:val="none" w:sz="0" w:space="0" w:color="auto"/>
        <w:bottom w:val="none" w:sz="0" w:space="0" w:color="auto"/>
        <w:right w:val="none" w:sz="0" w:space="0" w:color="auto"/>
      </w:divBdr>
    </w:div>
    <w:div w:id="1975286888">
      <w:bodyDiv w:val="1"/>
      <w:marLeft w:val="0"/>
      <w:marRight w:val="0"/>
      <w:marTop w:val="0"/>
      <w:marBottom w:val="0"/>
      <w:divBdr>
        <w:top w:val="none" w:sz="0" w:space="0" w:color="auto"/>
        <w:left w:val="none" w:sz="0" w:space="0" w:color="auto"/>
        <w:bottom w:val="none" w:sz="0" w:space="0" w:color="auto"/>
        <w:right w:val="none" w:sz="0" w:space="0" w:color="auto"/>
      </w:divBdr>
    </w:div>
    <w:div w:id="1976252983">
      <w:bodyDiv w:val="1"/>
      <w:marLeft w:val="0"/>
      <w:marRight w:val="0"/>
      <w:marTop w:val="0"/>
      <w:marBottom w:val="0"/>
      <w:divBdr>
        <w:top w:val="none" w:sz="0" w:space="0" w:color="auto"/>
        <w:left w:val="none" w:sz="0" w:space="0" w:color="auto"/>
        <w:bottom w:val="none" w:sz="0" w:space="0" w:color="auto"/>
        <w:right w:val="none" w:sz="0" w:space="0" w:color="auto"/>
      </w:divBdr>
    </w:div>
    <w:div w:id="1976988127">
      <w:bodyDiv w:val="1"/>
      <w:marLeft w:val="0"/>
      <w:marRight w:val="0"/>
      <w:marTop w:val="0"/>
      <w:marBottom w:val="0"/>
      <w:divBdr>
        <w:top w:val="none" w:sz="0" w:space="0" w:color="auto"/>
        <w:left w:val="none" w:sz="0" w:space="0" w:color="auto"/>
        <w:bottom w:val="none" w:sz="0" w:space="0" w:color="auto"/>
        <w:right w:val="none" w:sz="0" w:space="0" w:color="auto"/>
      </w:divBdr>
    </w:div>
    <w:div w:id="1977221820">
      <w:bodyDiv w:val="1"/>
      <w:marLeft w:val="0"/>
      <w:marRight w:val="0"/>
      <w:marTop w:val="0"/>
      <w:marBottom w:val="0"/>
      <w:divBdr>
        <w:top w:val="none" w:sz="0" w:space="0" w:color="auto"/>
        <w:left w:val="none" w:sz="0" w:space="0" w:color="auto"/>
        <w:bottom w:val="none" w:sz="0" w:space="0" w:color="auto"/>
        <w:right w:val="none" w:sz="0" w:space="0" w:color="auto"/>
      </w:divBdr>
    </w:div>
    <w:div w:id="1977373154">
      <w:bodyDiv w:val="1"/>
      <w:marLeft w:val="0"/>
      <w:marRight w:val="0"/>
      <w:marTop w:val="0"/>
      <w:marBottom w:val="0"/>
      <w:divBdr>
        <w:top w:val="none" w:sz="0" w:space="0" w:color="auto"/>
        <w:left w:val="none" w:sz="0" w:space="0" w:color="auto"/>
        <w:bottom w:val="none" w:sz="0" w:space="0" w:color="auto"/>
        <w:right w:val="none" w:sz="0" w:space="0" w:color="auto"/>
      </w:divBdr>
    </w:div>
    <w:div w:id="1977566985">
      <w:bodyDiv w:val="1"/>
      <w:marLeft w:val="0"/>
      <w:marRight w:val="0"/>
      <w:marTop w:val="0"/>
      <w:marBottom w:val="0"/>
      <w:divBdr>
        <w:top w:val="none" w:sz="0" w:space="0" w:color="auto"/>
        <w:left w:val="none" w:sz="0" w:space="0" w:color="auto"/>
        <w:bottom w:val="none" w:sz="0" w:space="0" w:color="auto"/>
        <w:right w:val="none" w:sz="0" w:space="0" w:color="auto"/>
      </w:divBdr>
    </w:div>
    <w:div w:id="1977904210">
      <w:bodyDiv w:val="1"/>
      <w:marLeft w:val="0"/>
      <w:marRight w:val="0"/>
      <w:marTop w:val="0"/>
      <w:marBottom w:val="0"/>
      <w:divBdr>
        <w:top w:val="none" w:sz="0" w:space="0" w:color="auto"/>
        <w:left w:val="none" w:sz="0" w:space="0" w:color="auto"/>
        <w:bottom w:val="none" w:sz="0" w:space="0" w:color="auto"/>
        <w:right w:val="none" w:sz="0" w:space="0" w:color="auto"/>
      </w:divBdr>
    </w:div>
    <w:div w:id="1978487992">
      <w:bodyDiv w:val="1"/>
      <w:marLeft w:val="0"/>
      <w:marRight w:val="0"/>
      <w:marTop w:val="0"/>
      <w:marBottom w:val="0"/>
      <w:divBdr>
        <w:top w:val="none" w:sz="0" w:space="0" w:color="auto"/>
        <w:left w:val="none" w:sz="0" w:space="0" w:color="auto"/>
        <w:bottom w:val="none" w:sz="0" w:space="0" w:color="auto"/>
        <w:right w:val="none" w:sz="0" w:space="0" w:color="auto"/>
      </w:divBdr>
    </w:div>
    <w:div w:id="1979146623">
      <w:bodyDiv w:val="1"/>
      <w:marLeft w:val="0"/>
      <w:marRight w:val="0"/>
      <w:marTop w:val="0"/>
      <w:marBottom w:val="0"/>
      <w:divBdr>
        <w:top w:val="none" w:sz="0" w:space="0" w:color="auto"/>
        <w:left w:val="none" w:sz="0" w:space="0" w:color="auto"/>
        <w:bottom w:val="none" w:sz="0" w:space="0" w:color="auto"/>
        <w:right w:val="none" w:sz="0" w:space="0" w:color="auto"/>
      </w:divBdr>
    </w:div>
    <w:div w:id="1979534019">
      <w:bodyDiv w:val="1"/>
      <w:marLeft w:val="0"/>
      <w:marRight w:val="0"/>
      <w:marTop w:val="0"/>
      <w:marBottom w:val="0"/>
      <w:divBdr>
        <w:top w:val="none" w:sz="0" w:space="0" w:color="auto"/>
        <w:left w:val="none" w:sz="0" w:space="0" w:color="auto"/>
        <w:bottom w:val="none" w:sz="0" w:space="0" w:color="auto"/>
        <w:right w:val="none" w:sz="0" w:space="0" w:color="auto"/>
      </w:divBdr>
    </w:div>
    <w:div w:id="1980182554">
      <w:bodyDiv w:val="1"/>
      <w:marLeft w:val="0"/>
      <w:marRight w:val="0"/>
      <w:marTop w:val="0"/>
      <w:marBottom w:val="0"/>
      <w:divBdr>
        <w:top w:val="none" w:sz="0" w:space="0" w:color="auto"/>
        <w:left w:val="none" w:sz="0" w:space="0" w:color="auto"/>
        <w:bottom w:val="none" w:sz="0" w:space="0" w:color="auto"/>
        <w:right w:val="none" w:sz="0" w:space="0" w:color="auto"/>
      </w:divBdr>
    </w:div>
    <w:div w:id="1980921110">
      <w:bodyDiv w:val="1"/>
      <w:marLeft w:val="0"/>
      <w:marRight w:val="0"/>
      <w:marTop w:val="0"/>
      <w:marBottom w:val="0"/>
      <w:divBdr>
        <w:top w:val="none" w:sz="0" w:space="0" w:color="auto"/>
        <w:left w:val="none" w:sz="0" w:space="0" w:color="auto"/>
        <w:bottom w:val="none" w:sz="0" w:space="0" w:color="auto"/>
        <w:right w:val="none" w:sz="0" w:space="0" w:color="auto"/>
      </w:divBdr>
    </w:div>
    <w:div w:id="1981692035">
      <w:bodyDiv w:val="1"/>
      <w:marLeft w:val="0"/>
      <w:marRight w:val="0"/>
      <w:marTop w:val="0"/>
      <w:marBottom w:val="0"/>
      <w:divBdr>
        <w:top w:val="none" w:sz="0" w:space="0" w:color="auto"/>
        <w:left w:val="none" w:sz="0" w:space="0" w:color="auto"/>
        <w:bottom w:val="none" w:sz="0" w:space="0" w:color="auto"/>
        <w:right w:val="none" w:sz="0" w:space="0" w:color="auto"/>
      </w:divBdr>
    </w:div>
    <w:div w:id="1981767220">
      <w:bodyDiv w:val="1"/>
      <w:marLeft w:val="0"/>
      <w:marRight w:val="0"/>
      <w:marTop w:val="0"/>
      <w:marBottom w:val="0"/>
      <w:divBdr>
        <w:top w:val="none" w:sz="0" w:space="0" w:color="auto"/>
        <w:left w:val="none" w:sz="0" w:space="0" w:color="auto"/>
        <w:bottom w:val="none" w:sz="0" w:space="0" w:color="auto"/>
        <w:right w:val="none" w:sz="0" w:space="0" w:color="auto"/>
      </w:divBdr>
    </w:div>
    <w:div w:id="1983079043">
      <w:bodyDiv w:val="1"/>
      <w:marLeft w:val="0"/>
      <w:marRight w:val="0"/>
      <w:marTop w:val="0"/>
      <w:marBottom w:val="0"/>
      <w:divBdr>
        <w:top w:val="none" w:sz="0" w:space="0" w:color="auto"/>
        <w:left w:val="none" w:sz="0" w:space="0" w:color="auto"/>
        <w:bottom w:val="none" w:sz="0" w:space="0" w:color="auto"/>
        <w:right w:val="none" w:sz="0" w:space="0" w:color="auto"/>
      </w:divBdr>
    </w:div>
    <w:div w:id="1984507343">
      <w:bodyDiv w:val="1"/>
      <w:marLeft w:val="0"/>
      <w:marRight w:val="0"/>
      <w:marTop w:val="0"/>
      <w:marBottom w:val="0"/>
      <w:divBdr>
        <w:top w:val="none" w:sz="0" w:space="0" w:color="auto"/>
        <w:left w:val="none" w:sz="0" w:space="0" w:color="auto"/>
        <w:bottom w:val="none" w:sz="0" w:space="0" w:color="auto"/>
        <w:right w:val="none" w:sz="0" w:space="0" w:color="auto"/>
      </w:divBdr>
    </w:div>
    <w:div w:id="1986349416">
      <w:bodyDiv w:val="1"/>
      <w:marLeft w:val="0"/>
      <w:marRight w:val="0"/>
      <w:marTop w:val="0"/>
      <w:marBottom w:val="0"/>
      <w:divBdr>
        <w:top w:val="none" w:sz="0" w:space="0" w:color="auto"/>
        <w:left w:val="none" w:sz="0" w:space="0" w:color="auto"/>
        <w:bottom w:val="none" w:sz="0" w:space="0" w:color="auto"/>
        <w:right w:val="none" w:sz="0" w:space="0" w:color="auto"/>
      </w:divBdr>
    </w:div>
    <w:div w:id="1987665938">
      <w:bodyDiv w:val="1"/>
      <w:marLeft w:val="0"/>
      <w:marRight w:val="0"/>
      <w:marTop w:val="0"/>
      <w:marBottom w:val="0"/>
      <w:divBdr>
        <w:top w:val="none" w:sz="0" w:space="0" w:color="auto"/>
        <w:left w:val="none" w:sz="0" w:space="0" w:color="auto"/>
        <w:bottom w:val="none" w:sz="0" w:space="0" w:color="auto"/>
        <w:right w:val="none" w:sz="0" w:space="0" w:color="auto"/>
      </w:divBdr>
    </w:div>
    <w:div w:id="1987709684">
      <w:bodyDiv w:val="1"/>
      <w:marLeft w:val="0"/>
      <w:marRight w:val="0"/>
      <w:marTop w:val="0"/>
      <w:marBottom w:val="0"/>
      <w:divBdr>
        <w:top w:val="none" w:sz="0" w:space="0" w:color="auto"/>
        <w:left w:val="none" w:sz="0" w:space="0" w:color="auto"/>
        <w:bottom w:val="none" w:sz="0" w:space="0" w:color="auto"/>
        <w:right w:val="none" w:sz="0" w:space="0" w:color="auto"/>
      </w:divBdr>
    </w:div>
    <w:div w:id="1990094869">
      <w:bodyDiv w:val="1"/>
      <w:marLeft w:val="0"/>
      <w:marRight w:val="0"/>
      <w:marTop w:val="0"/>
      <w:marBottom w:val="0"/>
      <w:divBdr>
        <w:top w:val="none" w:sz="0" w:space="0" w:color="auto"/>
        <w:left w:val="none" w:sz="0" w:space="0" w:color="auto"/>
        <w:bottom w:val="none" w:sz="0" w:space="0" w:color="auto"/>
        <w:right w:val="none" w:sz="0" w:space="0" w:color="auto"/>
      </w:divBdr>
    </w:div>
    <w:div w:id="1990136412">
      <w:bodyDiv w:val="1"/>
      <w:marLeft w:val="0"/>
      <w:marRight w:val="0"/>
      <w:marTop w:val="0"/>
      <w:marBottom w:val="0"/>
      <w:divBdr>
        <w:top w:val="none" w:sz="0" w:space="0" w:color="auto"/>
        <w:left w:val="none" w:sz="0" w:space="0" w:color="auto"/>
        <w:bottom w:val="none" w:sz="0" w:space="0" w:color="auto"/>
        <w:right w:val="none" w:sz="0" w:space="0" w:color="auto"/>
      </w:divBdr>
    </w:div>
    <w:div w:id="1992057051">
      <w:bodyDiv w:val="1"/>
      <w:marLeft w:val="0"/>
      <w:marRight w:val="0"/>
      <w:marTop w:val="0"/>
      <w:marBottom w:val="0"/>
      <w:divBdr>
        <w:top w:val="none" w:sz="0" w:space="0" w:color="auto"/>
        <w:left w:val="none" w:sz="0" w:space="0" w:color="auto"/>
        <w:bottom w:val="none" w:sz="0" w:space="0" w:color="auto"/>
        <w:right w:val="none" w:sz="0" w:space="0" w:color="auto"/>
      </w:divBdr>
    </w:div>
    <w:div w:id="1992173937">
      <w:bodyDiv w:val="1"/>
      <w:marLeft w:val="0"/>
      <w:marRight w:val="0"/>
      <w:marTop w:val="0"/>
      <w:marBottom w:val="0"/>
      <w:divBdr>
        <w:top w:val="none" w:sz="0" w:space="0" w:color="auto"/>
        <w:left w:val="none" w:sz="0" w:space="0" w:color="auto"/>
        <w:bottom w:val="none" w:sz="0" w:space="0" w:color="auto"/>
        <w:right w:val="none" w:sz="0" w:space="0" w:color="auto"/>
      </w:divBdr>
    </w:div>
    <w:div w:id="1992322118">
      <w:bodyDiv w:val="1"/>
      <w:marLeft w:val="0"/>
      <w:marRight w:val="0"/>
      <w:marTop w:val="0"/>
      <w:marBottom w:val="0"/>
      <w:divBdr>
        <w:top w:val="none" w:sz="0" w:space="0" w:color="auto"/>
        <w:left w:val="none" w:sz="0" w:space="0" w:color="auto"/>
        <w:bottom w:val="none" w:sz="0" w:space="0" w:color="auto"/>
        <w:right w:val="none" w:sz="0" w:space="0" w:color="auto"/>
      </w:divBdr>
    </w:div>
    <w:div w:id="1995405412">
      <w:bodyDiv w:val="1"/>
      <w:marLeft w:val="0"/>
      <w:marRight w:val="0"/>
      <w:marTop w:val="0"/>
      <w:marBottom w:val="0"/>
      <w:divBdr>
        <w:top w:val="none" w:sz="0" w:space="0" w:color="auto"/>
        <w:left w:val="none" w:sz="0" w:space="0" w:color="auto"/>
        <w:bottom w:val="none" w:sz="0" w:space="0" w:color="auto"/>
        <w:right w:val="none" w:sz="0" w:space="0" w:color="auto"/>
      </w:divBdr>
    </w:div>
    <w:div w:id="1995792735">
      <w:bodyDiv w:val="1"/>
      <w:marLeft w:val="0"/>
      <w:marRight w:val="0"/>
      <w:marTop w:val="0"/>
      <w:marBottom w:val="0"/>
      <w:divBdr>
        <w:top w:val="none" w:sz="0" w:space="0" w:color="auto"/>
        <w:left w:val="none" w:sz="0" w:space="0" w:color="auto"/>
        <w:bottom w:val="none" w:sz="0" w:space="0" w:color="auto"/>
        <w:right w:val="none" w:sz="0" w:space="0" w:color="auto"/>
      </w:divBdr>
    </w:div>
    <w:div w:id="1995915481">
      <w:bodyDiv w:val="1"/>
      <w:marLeft w:val="0"/>
      <w:marRight w:val="0"/>
      <w:marTop w:val="0"/>
      <w:marBottom w:val="0"/>
      <w:divBdr>
        <w:top w:val="none" w:sz="0" w:space="0" w:color="auto"/>
        <w:left w:val="none" w:sz="0" w:space="0" w:color="auto"/>
        <w:bottom w:val="none" w:sz="0" w:space="0" w:color="auto"/>
        <w:right w:val="none" w:sz="0" w:space="0" w:color="auto"/>
      </w:divBdr>
    </w:div>
    <w:div w:id="1996061484">
      <w:bodyDiv w:val="1"/>
      <w:marLeft w:val="0"/>
      <w:marRight w:val="0"/>
      <w:marTop w:val="0"/>
      <w:marBottom w:val="0"/>
      <w:divBdr>
        <w:top w:val="none" w:sz="0" w:space="0" w:color="auto"/>
        <w:left w:val="none" w:sz="0" w:space="0" w:color="auto"/>
        <w:bottom w:val="none" w:sz="0" w:space="0" w:color="auto"/>
        <w:right w:val="none" w:sz="0" w:space="0" w:color="auto"/>
      </w:divBdr>
    </w:div>
    <w:div w:id="1996637850">
      <w:bodyDiv w:val="1"/>
      <w:marLeft w:val="0"/>
      <w:marRight w:val="0"/>
      <w:marTop w:val="0"/>
      <w:marBottom w:val="0"/>
      <w:divBdr>
        <w:top w:val="none" w:sz="0" w:space="0" w:color="auto"/>
        <w:left w:val="none" w:sz="0" w:space="0" w:color="auto"/>
        <w:bottom w:val="none" w:sz="0" w:space="0" w:color="auto"/>
        <w:right w:val="none" w:sz="0" w:space="0" w:color="auto"/>
      </w:divBdr>
    </w:div>
    <w:div w:id="1997954197">
      <w:bodyDiv w:val="1"/>
      <w:marLeft w:val="0"/>
      <w:marRight w:val="0"/>
      <w:marTop w:val="0"/>
      <w:marBottom w:val="0"/>
      <w:divBdr>
        <w:top w:val="none" w:sz="0" w:space="0" w:color="auto"/>
        <w:left w:val="none" w:sz="0" w:space="0" w:color="auto"/>
        <w:bottom w:val="none" w:sz="0" w:space="0" w:color="auto"/>
        <w:right w:val="none" w:sz="0" w:space="0" w:color="auto"/>
      </w:divBdr>
    </w:div>
    <w:div w:id="1998218772">
      <w:bodyDiv w:val="1"/>
      <w:marLeft w:val="0"/>
      <w:marRight w:val="0"/>
      <w:marTop w:val="0"/>
      <w:marBottom w:val="0"/>
      <w:divBdr>
        <w:top w:val="none" w:sz="0" w:space="0" w:color="auto"/>
        <w:left w:val="none" w:sz="0" w:space="0" w:color="auto"/>
        <w:bottom w:val="none" w:sz="0" w:space="0" w:color="auto"/>
        <w:right w:val="none" w:sz="0" w:space="0" w:color="auto"/>
      </w:divBdr>
      <w:divsChild>
        <w:div w:id="594901424">
          <w:marLeft w:val="0"/>
          <w:marRight w:val="0"/>
          <w:marTop w:val="0"/>
          <w:marBottom w:val="0"/>
          <w:divBdr>
            <w:top w:val="none" w:sz="0" w:space="0" w:color="auto"/>
            <w:left w:val="none" w:sz="0" w:space="0" w:color="auto"/>
            <w:bottom w:val="none" w:sz="0" w:space="0" w:color="auto"/>
            <w:right w:val="none" w:sz="0" w:space="0" w:color="auto"/>
          </w:divBdr>
        </w:div>
      </w:divsChild>
    </w:div>
    <w:div w:id="1998265618">
      <w:bodyDiv w:val="1"/>
      <w:marLeft w:val="0"/>
      <w:marRight w:val="0"/>
      <w:marTop w:val="0"/>
      <w:marBottom w:val="0"/>
      <w:divBdr>
        <w:top w:val="none" w:sz="0" w:space="0" w:color="auto"/>
        <w:left w:val="none" w:sz="0" w:space="0" w:color="auto"/>
        <w:bottom w:val="none" w:sz="0" w:space="0" w:color="auto"/>
        <w:right w:val="none" w:sz="0" w:space="0" w:color="auto"/>
      </w:divBdr>
    </w:div>
    <w:div w:id="1998461681">
      <w:bodyDiv w:val="1"/>
      <w:marLeft w:val="0"/>
      <w:marRight w:val="0"/>
      <w:marTop w:val="0"/>
      <w:marBottom w:val="0"/>
      <w:divBdr>
        <w:top w:val="none" w:sz="0" w:space="0" w:color="auto"/>
        <w:left w:val="none" w:sz="0" w:space="0" w:color="auto"/>
        <w:bottom w:val="none" w:sz="0" w:space="0" w:color="auto"/>
        <w:right w:val="none" w:sz="0" w:space="0" w:color="auto"/>
      </w:divBdr>
    </w:div>
    <w:div w:id="1999112942">
      <w:bodyDiv w:val="1"/>
      <w:marLeft w:val="0"/>
      <w:marRight w:val="0"/>
      <w:marTop w:val="0"/>
      <w:marBottom w:val="0"/>
      <w:divBdr>
        <w:top w:val="none" w:sz="0" w:space="0" w:color="auto"/>
        <w:left w:val="none" w:sz="0" w:space="0" w:color="auto"/>
        <w:bottom w:val="none" w:sz="0" w:space="0" w:color="auto"/>
        <w:right w:val="none" w:sz="0" w:space="0" w:color="auto"/>
      </w:divBdr>
    </w:div>
    <w:div w:id="2001076465">
      <w:bodyDiv w:val="1"/>
      <w:marLeft w:val="0"/>
      <w:marRight w:val="0"/>
      <w:marTop w:val="0"/>
      <w:marBottom w:val="0"/>
      <w:divBdr>
        <w:top w:val="none" w:sz="0" w:space="0" w:color="auto"/>
        <w:left w:val="none" w:sz="0" w:space="0" w:color="auto"/>
        <w:bottom w:val="none" w:sz="0" w:space="0" w:color="auto"/>
        <w:right w:val="none" w:sz="0" w:space="0" w:color="auto"/>
      </w:divBdr>
    </w:div>
    <w:div w:id="2001539242">
      <w:bodyDiv w:val="1"/>
      <w:marLeft w:val="0"/>
      <w:marRight w:val="0"/>
      <w:marTop w:val="0"/>
      <w:marBottom w:val="0"/>
      <w:divBdr>
        <w:top w:val="none" w:sz="0" w:space="0" w:color="auto"/>
        <w:left w:val="none" w:sz="0" w:space="0" w:color="auto"/>
        <w:bottom w:val="none" w:sz="0" w:space="0" w:color="auto"/>
        <w:right w:val="none" w:sz="0" w:space="0" w:color="auto"/>
      </w:divBdr>
    </w:div>
    <w:div w:id="2002418715">
      <w:bodyDiv w:val="1"/>
      <w:marLeft w:val="0"/>
      <w:marRight w:val="0"/>
      <w:marTop w:val="0"/>
      <w:marBottom w:val="0"/>
      <w:divBdr>
        <w:top w:val="none" w:sz="0" w:space="0" w:color="auto"/>
        <w:left w:val="none" w:sz="0" w:space="0" w:color="auto"/>
        <w:bottom w:val="none" w:sz="0" w:space="0" w:color="auto"/>
        <w:right w:val="none" w:sz="0" w:space="0" w:color="auto"/>
      </w:divBdr>
    </w:div>
    <w:div w:id="2004553086">
      <w:bodyDiv w:val="1"/>
      <w:marLeft w:val="0"/>
      <w:marRight w:val="0"/>
      <w:marTop w:val="0"/>
      <w:marBottom w:val="0"/>
      <w:divBdr>
        <w:top w:val="none" w:sz="0" w:space="0" w:color="auto"/>
        <w:left w:val="none" w:sz="0" w:space="0" w:color="auto"/>
        <w:bottom w:val="none" w:sz="0" w:space="0" w:color="auto"/>
        <w:right w:val="none" w:sz="0" w:space="0" w:color="auto"/>
      </w:divBdr>
    </w:div>
    <w:div w:id="2007200954">
      <w:bodyDiv w:val="1"/>
      <w:marLeft w:val="0"/>
      <w:marRight w:val="0"/>
      <w:marTop w:val="0"/>
      <w:marBottom w:val="0"/>
      <w:divBdr>
        <w:top w:val="none" w:sz="0" w:space="0" w:color="auto"/>
        <w:left w:val="none" w:sz="0" w:space="0" w:color="auto"/>
        <w:bottom w:val="none" w:sz="0" w:space="0" w:color="auto"/>
        <w:right w:val="none" w:sz="0" w:space="0" w:color="auto"/>
      </w:divBdr>
    </w:div>
    <w:div w:id="2007635115">
      <w:bodyDiv w:val="1"/>
      <w:marLeft w:val="0"/>
      <w:marRight w:val="0"/>
      <w:marTop w:val="0"/>
      <w:marBottom w:val="0"/>
      <w:divBdr>
        <w:top w:val="none" w:sz="0" w:space="0" w:color="auto"/>
        <w:left w:val="none" w:sz="0" w:space="0" w:color="auto"/>
        <w:bottom w:val="none" w:sz="0" w:space="0" w:color="auto"/>
        <w:right w:val="none" w:sz="0" w:space="0" w:color="auto"/>
      </w:divBdr>
    </w:div>
    <w:div w:id="2008628560">
      <w:bodyDiv w:val="1"/>
      <w:marLeft w:val="0"/>
      <w:marRight w:val="0"/>
      <w:marTop w:val="0"/>
      <w:marBottom w:val="0"/>
      <w:divBdr>
        <w:top w:val="none" w:sz="0" w:space="0" w:color="auto"/>
        <w:left w:val="none" w:sz="0" w:space="0" w:color="auto"/>
        <w:bottom w:val="none" w:sz="0" w:space="0" w:color="auto"/>
        <w:right w:val="none" w:sz="0" w:space="0" w:color="auto"/>
      </w:divBdr>
    </w:div>
    <w:div w:id="2009359721">
      <w:bodyDiv w:val="1"/>
      <w:marLeft w:val="0"/>
      <w:marRight w:val="0"/>
      <w:marTop w:val="0"/>
      <w:marBottom w:val="0"/>
      <w:divBdr>
        <w:top w:val="none" w:sz="0" w:space="0" w:color="auto"/>
        <w:left w:val="none" w:sz="0" w:space="0" w:color="auto"/>
        <w:bottom w:val="none" w:sz="0" w:space="0" w:color="auto"/>
        <w:right w:val="none" w:sz="0" w:space="0" w:color="auto"/>
      </w:divBdr>
    </w:div>
    <w:div w:id="2009675245">
      <w:bodyDiv w:val="1"/>
      <w:marLeft w:val="0"/>
      <w:marRight w:val="0"/>
      <w:marTop w:val="0"/>
      <w:marBottom w:val="0"/>
      <w:divBdr>
        <w:top w:val="none" w:sz="0" w:space="0" w:color="auto"/>
        <w:left w:val="none" w:sz="0" w:space="0" w:color="auto"/>
        <w:bottom w:val="none" w:sz="0" w:space="0" w:color="auto"/>
        <w:right w:val="none" w:sz="0" w:space="0" w:color="auto"/>
      </w:divBdr>
    </w:div>
    <w:div w:id="2010407941">
      <w:bodyDiv w:val="1"/>
      <w:marLeft w:val="0"/>
      <w:marRight w:val="0"/>
      <w:marTop w:val="0"/>
      <w:marBottom w:val="0"/>
      <w:divBdr>
        <w:top w:val="none" w:sz="0" w:space="0" w:color="auto"/>
        <w:left w:val="none" w:sz="0" w:space="0" w:color="auto"/>
        <w:bottom w:val="none" w:sz="0" w:space="0" w:color="auto"/>
        <w:right w:val="none" w:sz="0" w:space="0" w:color="auto"/>
      </w:divBdr>
    </w:div>
    <w:div w:id="2010866981">
      <w:bodyDiv w:val="1"/>
      <w:marLeft w:val="0"/>
      <w:marRight w:val="0"/>
      <w:marTop w:val="0"/>
      <w:marBottom w:val="0"/>
      <w:divBdr>
        <w:top w:val="none" w:sz="0" w:space="0" w:color="auto"/>
        <w:left w:val="none" w:sz="0" w:space="0" w:color="auto"/>
        <w:bottom w:val="none" w:sz="0" w:space="0" w:color="auto"/>
        <w:right w:val="none" w:sz="0" w:space="0" w:color="auto"/>
      </w:divBdr>
    </w:div>
    <w:div w:id="2010984312">
      <w:bodyDiv w:val="1"/>
      <w:marLeft w:val="0"/>
      <w:marRight w:val="0"/>
      <w:marTop w:val="0"/>
      <w:marBottom w:val="0"/>
      <w:divBdr>
        <w:top w:val="none" w:sz="0" w:space="0" w:color="auto"/>
        <w:left w:val="none" w:sz="0" w:space="0" w:color="auto"/>
        <w:bottom w:val="none" w:sz="0" w:space="0" w:color="auto"/>
        <w:right w:val="none" w:sz="0" w:space="0" w:color="auto"/>
      </w:divBdr>
    </w:div>
    <w:div w:id="2011177936">
      <w:bodyDiv w:val="1"/>
      <w:marLeft w:val="0"/>
      <w:marRight w:val="0"/>
      <w:marTop w:val="0"/>
      <w:marBottom w:val="0"/>
      <w:divBdr>
        <w:top w:val="none" w:sz="0" w:space="0" w:color="auto"/>
        <w:left w:val="none" w:sz="0" w:space="0" w:color="auto"/>
        <w:bottom w:val="none" w:sz="0" w:space="0" w:color="auto"/>
        <w:right w:val="none" w:sz="0" w:space="0" w:color="auto"/>
      </w:divBdr>
    </w:div>
    <w:div w:id="2011250552">
      <w:bodyDiv w:val="1"/>
      <w:marLeft w:val="0"/>
      <w:marRight w:val="0"/>
      <w:marTop w:val="0"/>
      <w:marBottom w:val="0"/>
      <w:divBdr>
        <w:top w:val="none" w:sz="0" w:space="0" w:color="auto"/>
        <w:left w:val="none" w:sz="0" w:space="0" w:color="auto"/>
        <w:bottom w:val="none" w:sz="0" w:space="0" w:color="auto"/>
        <w:right w:val="none" w:sz="0" w:space="0" w:color="auto"/>
      </w:divBdr>
    </w:div>
    <w:div w:id="2013290963">
      <w:bodyDiv w:val="1"/>
      <w:marLeft w:val="0"/>
      <w:marRight w:val="0"/>
      <w:marTop w:val="0"/>
      <w:marBottom w:val="0"/>
      <w:divBdr>
        <w:top w:val="none" w:sz="0" w:space="0" w:color="auto"/>
        <w:left w:val="none" w:sz="0" w:space="0" w:color="auto"/>
        <w:bottom w:val="none" w:sz="0" w:space="0" w:color="auto"/>
        <w:right w:val="none" w:sz="0" w:space="0" w:color="auto"/>
      </w:divBdr>
    </w:div>
    <w:div w:id="2013488912">
      <w:bodyDiv w:val="1"/>
      <w:marLeft w:val="0"/>
      <w:marRight w:val="0"/>
      <w:marTop w:val="0"/>
      <w:marBottom w:val="0"/>
      <w:divBdr>
        <w:top w:val="none" w:sz="0" w:space="0" w:color="auto"/>
        <w:left w:val="none" w:sz="0" w:space="0" w:color="auto"/>
        <w:bottom w:val="none" w:sz="0" w:space="0" w:color="auto"/>
        <w:right w:val="none" w:sz="0" w:space="0" w:color="auto"/>
      </w:divBdr>
    </w:div>
    <w:div w:id="2014455171">
      <w:bodyDiv w:val="1"/>
      <w:marLeft w:val="0"/>
      <w:marRight w:val="0"/>
      <w:marTop w:val="0"/>
      <w:marBottom w:val="0"/>
      <w:divBdr>
        <w:top w:val="none" w:sz="0" w:space="0" w:color="auto"/>
        <w:left w:val="none" w:sz="0" w:space="0" w:color="auto"/>
        <w:bottom w:val="none" w:sz="0" w:space="0" w:color="auto"/>
        <w:right w:val="none" w:sz="0" w:space="0" w:color="auto"/>
      </w:divBdr>
    </w:div>
    <w:div w:id="2015036090">
      <w:bodyDiv w:val="1"/>
      <w:marLeft w:val="0"/>
      <w:marRight w:val="0"/>
      <w:marTop w:val="0"/>
      <w:marBottom w:val="0"/>
      <w:divBdr>
        <w:top w:val="none" w:sz="0" w:space="0" w:color="auto"/>
        <w:left w:val="none" w:sz="0" w:space="0" w:color="auto"/>
        <w:bottom w:val="none" w:sz="0" w:space="0" w:color="auto"/>
        <w:right w:val="none" w:sz="0" w:space="0" w:color="auto"/>
      </w:divBdr>
    </w:div>
    <w:div w:id="2015107818">
      <w:bodyDiv w:val="1"/>
      <w:marLeft w:val="0"/>
      <w:marRight w:val="0"/>
      <w:marTop w:val="0"/>
      <w:marBottom w:val="0"/>
      <w:divBdr>
        <w:top w:val="none" w:sz="0" w:space="0" w:color="auto"/>
        <w:left w:val="none" w:sz="0" w:space="0" w:color="auto"/>
        <w:bottom w:val="none" w:sz="0" w:space="0" w:color="auto"/>
        <w:right w:val="none" w:sz="0" w:space="0" w:color="auto"/>
      </w:divBdr>
    </w:div>
    <w:div w:id="2015834361">
      <w:bodyDiv w:val="1"/>
      <w:marLeft w:val="0"/>
      <w:marRight w:val="0"/>
      <w:marTop w:val="0"/>
      <w:marBottom w:val="0"/>
      <w:divBdr>
        <w:top w:val="none" w:sz="0" w:space="0" w:color="auto"/>
        <w:left w:val="none" w:sz="0" w:space="0" w:color="auto"/>
        <w:bottom w:val="none" w:sz="0" w:space="0" w:color="auto"/>
        <w:right w:val="none" w:sz="0" w:space="0" w:color="auto"/>
      </w:divBdr>
    </w:div>
    <w:div w:id="2015912633">
      <w:bodyDiv w:val="1"/>
      <w:marLeft w:val="0"/>
      <w:marRight w:val="0"/>
      <w:marTop w:val="0"/>
      <w:marBottom w:val="0"/>
      <w:divBdr>
        <w:top w:val="none" w:sz="0" w:space="0" w:color="auto"/>
        <w:left w:val="none" w:sz="0" w:space="0" w:color="auto"/>
        <w:bottom w:val="none" w:sz="0" w:space="0" w:color="auto"/>
        <w:right w:val="none" w:sz="0" w:space="0" w:color="auto"/>
      </w:divBdr>
    </w:div>
    <w:div w:id="2017926447">
      <w:bodyDiv w:val="1"/>
      <w:marLeft w:val="0"/>
      <w:marRight w:val="0"/>
      <w:marTop w:val="0"/>
      <w:marBottom w:val="0"/>
      <w:divBdr>
        <w:top w:val="none" w:sz="0" w:space="0" w:color="auto"/>
        <w:left w:val="none" w:sz="0" w:space="0" w:color="auto"/>
        <w:bottom w:val="none" w:sz="0" w:space="0" w:color="auto"/>
        <w:right w:val="none" w:sz="0" w:space="0" w:color="auto"/>
      </w:divBdr>
    </w:div>
    <w:div w:id="2018074421">
      <w:bodyDiv w:val="1"/>
      <w:marLeft w:val="0"/>
      <w:marRight w:val="0"/>
      <w:marTop w:val="0"/>
      <w:marBottom w:val="0"/>
      <w:divBdr>
        <w:top w:val="none" w:sz="0" w:space="0" w:color="auto"/>
        <w:left w:val="none" w:sz="0" w:space="0" w:color="auto"/>
        <w:bottom w:val="none" w:sz="0" w:space="0" w:color="auto"/>
        <w:right w:val="none" w:sz="0" w:space="0" w:color="auto"/>
      </w:divBdr>
    </w:div>
    <w:div w:id="2018919692">
      <w:bodyDiv w:val="1"/>
      <w:marLeft w:val="0"/>
      <w:marRight w:val="0"/>
      <w:marTop w:val="0"/>
      <w:marBottom w:val="0"/>
      <w:divBdr>
        <w:top w:val="none" w:sz="0" w:space="0" w:color="auto"/>
        <w:left w:val="none" w:sz="0" w:space="0" w:color="auto"/>
        <w:bottom w:val="none" w:sz="0" w:space="0" w:color="auto"/>
        <w:right w:val="none" w:sz="0" w:space="0" w:color="auto"/>
      </w:divBdr>
    </w:div>
    <w:div w:id="2018999630">
      <w:bodyDiv w:val="1"/>
      <w:marLeft w:val="0"/>
      <w:marRight w:val="0"/>
      <w:marTop w:val="0"/>
      <w:marBottom w:val="0"/>
      <w:divBdr>
        <w:top w:val="none" w:sz="0" w:space="0" w:color="auto"/>
        <w:left w:val="none" w:sz="0" w:space="0" w:color="auto"/>
        <w:bottom w:val="none" w:sz="0" w:space="0" w:color="auto"/>
        <w:right w:val="none" w:sz="0" w:space="0" w:color="auto"/>
      </w:divBdr>
    </w:div>
    <w:div w:id="2020038974">
      <w:bodyDiv w:val="1"/>
      <w:marLeft w:val="0"/>
      <w:marRight w:val="0"/>
      <w:marTop w:val="0"/>
      <w:marBottom w:val="0"/>
      <w:divBdr>
        <w:top w:val="none" w:sz="0" w:space="0" w:color="auto"/>
        <w:left w:val="none" w:sz="0" w:space="0" w:color="auto"/>
        <w:bottom w:val="none" w:sz="0" w:space="0" w:color="auto"/>
        <w:right w:val="none" w:sz="0" w:space="0" w:color="auto"/>
      </w:divBdr>
    </w:div>
    <w:div w:id="2020497206">
      <w:bodyDiv w:val="1"/>
      <w:marLeft w:val="0"/>
      <w:marRight w:val="0"/>
      <w:marTop w:val="0"/>
      <w:marBottom w:val="0"/>
      <w:divBdr>
        <w:top w:val="none" w:sz="0" w:space="0" w:color="auto"/>
        <w:left w:val="none" w:sz="0" w:space="0" w:color="auto"/>
        <w:bottom w:val="none" w:sz="0" w:space="0" w:color="auto"/>
        <w:right w:val="none" w:sz="0" w:space="0" w:color="auto"/>
      </w:divBdr>
    </w:div>
    <w:div w:id="2020502129">
      <w:bodyDiv w:val="1"/>
      <w:marLeft w:val="0"/>
      <w:marRight w:val="0"/>
      <w:marTop w:val="0"/>
      <w:marBottom w:val="0"/>
      <w:divBdr>
        <w:top w:val="none" w:sz="0" w:space="0" w:color="auto"/>
        <w:left w:val="none" w:sz="0" w:space="0" w:color="auto"/>
        <w:bottom w:val="none" w:sz="0" w:space="0" w:color="auto"/>
        <w:right w:val="none" w:sz="0" w:space="0" w:color="auto"/>
      </w:divBdr>
    </w:div>
    <w:div w:id="2020617629">
      <w:bodyDiv w:val="1"/>
      <w:marLeft w:val="0"/>
      <w:marRight w:val="0"/>
      <w:marTop w:val="0"/>
      <w:marBottom w:val="0"/>
      <w:divBdr>
        <w:top w:val="none" w:sz="0" w:space="0" w:color="auto"/>
        <w:left w:val="none" w:sz="0" w:space="0" w:color="auto"/>
        <w:bottom w:val="none" w:sz="0" w:space="0" w:color="auto"/>
        <w:right w:val="none" w:sz="0" w:space="0" w:color="auto"/>
      </w:divBdr>
    </w:div>
    <w:div w:id="2020891273">
      <w:bodyDiv w:val="1"/>
      <w:marLeft w:val="0"/>
      <w:marRight w:val="0"/>
      <w:marTop w:val="0"/>
      <w:marBottom w:val="0"/>
      <w:divBdr>
        <w:top w:val="none" w:sz="0" w:space="0" w:color="auto"/>
        <w:left w:val="none" w:sz="0" w:space="0" w:color="auto"/>
        <w:bottom w:val="none" w:sz="0" w:space="0" w:color="auto"/>
        <w:right w:val="none" w:sz="0" w:space="0" w:color="auto"/>
      </w:divBdr>
    </w:div>
    <w:div w:id="2020961735">
      <w:bodyDiv w:val="1"/>
      <w:marLeft w:val="0"/>
      <w:marRight w:val="0"/>
      <w:marTop w:val="0"/>
      <w:marBottom w:val="0"/>
      <w:divBdr>
        <w:top w:val="none" w:sz="0" w:space="0" w:color="auto"/>
        <w:left w:val="none" w:sz="0" w:space="0" w:color="auto"/>
        <w:bottom w:val="none" w:sz="0" w:space="0" w:color="auto"/>
        <w:right w:val="none" w:sz="0" w:space="0" w:color="auto"/>
      </w:divBdr>
    </w:div>
    <w:div w:id="2021815151">
      <w:bodyDiv w:val="1"/>
      <w:marLeft w:val="0"/>
      <w:marRight w:val="0"/>
      <w:marTop w:val="0"/>
      <w:marBottom w:val="0"/>
      <w:divBdr>
        <w:top w:val="none" w:sz="0" w:space="0" w:color="auto"/>
        <w:left w:val="none" w:sz="0" w:space="0" w:color="auto"/>
        <w:bottom w:val="none" w:sz="0" w:space="0" w:color="auto"/>
        <w:right w:val="none" w:sz="0" w:space="0" w:color="auto"/>
      </w:divBdr>
    </w:div>
    <w:div w:id="2023048487">
      <w:bodyDiv w:val="1"/>
      <w:marLeft w:val="0"/>
      <w:marRight w:val="0"/>
      <w:marTop w:val="0"/>
      <w:marBottom w:val="0"/>
      <w:divBdr>
        <w:top w:val="none" w:sz="0" w:space="0" w:color="auto"/>
        <w:left w:val="none" w:sz="0" w:space="0" w:color="auto"/>
        <w:bottom w:val="none" w:sz="0" w:space="0" w:color="auto"/>
        <w:right w:val="none" w:sz="0" w:space="0" w:color="auto"/>
      </w:divBdr>
    </w:div>
    <w:div w:id="2023580285">
      <w:bodyDiv w:val="1"/>
      <w:marLeft w:val="0"/>
      <w:marRight w:val="0"/>
      <w:marTop w:val="0"/>
      <w:marBottom w:val="0"/>
      <w:divBdr>
        <w:top w:val="none" w:sz="0" w:space="0" w:color="auto"/>
        <w:left w:val="none" w:sz="0" w:space="0" w:color="auto"/>
        <w:bottom w:val="none" w:sz="0" w:space="0" w:color="auto"/>
        <w:right w:val="none" w:sz="0" w:space="0" w:color="auto"/>
      </w:divBdr>
    </w:div>
    <w:div w:id="2023586857">
      <w:bodyDiv w:val="1"/>
      <w:marLeft w:val="0"/>
      <w:marRight w:val="0"/>
      <w:marTop w:val="0"/>
      <w:marBottom w:val="0"/>
      <w:divBdr>
        <w:top w:val="none" w:sz="0" w:space="0" w:color="auto"/>
        <w:left w:val="none" w:sz="0" w:space="0" w:color="auto"/>
        <w:bottom w:val="none" w:sz="0" w:space="0" w:color="auto"/>
        <w:right w:val="none" w:sz="0" w:space="0" w:color="auto"/>
      </w:divBdr>
    </w:div>
    <w:div w:id="2023772565">
      <w:bodyDiv w:val="1"/>
      <w:marLeft w:val="0"/>
      <w:marRight w:val="0"/>
      <w:marTop w:val="0"/>
      <w:marBottom w:val="0"/>
      <w:divBdr>
        <w:top w:val="none" w:sz="0" w:space="0" w:color="auto"/>
        <w:left w:val="none" w:sz="0" w:space="0" w:color="auto"/>
        <w:bottom w:val="none" w:sz="0" w:space="0" w:color="auto"/>
        <w:right w:val="none" w:sz="0" w:space="0" w:color="auto"/>
      </w:divBdr>
    </w:div>
    <w:div w:id="2025084432">
      <w:bodyDiv w:val="1"/>
      <w:marLeft w:val="0"/>
      <w:marRight w:val="0"/>
      <w:marTop w:val="0"/>
      <w:marBottom w:val="0"/>
      <w:divBdr>
        <w:top w:val="none" w:sz="0" w:space="0" w:color="auto"/>
        <w:left w:val="none" w:sz="0" w:space="0" w:color="auto"/>
        <w:bottom w:val="none" w:sz="0" w:space="0" w:color="auto"/>
        <w:right w:val="none" w:sz="0" w:space="0" w:color="auto"/>
      </w:divBdr>
    </w:div>
    <w:div w:id="2025396887">
      <w:bodyDiv w:val="1"/>
      <w:marLeft w:val="0"/>
      <w:marRight w:val="0"/>
      <w:marTop w:val="0"/>
      <w:marBottom w:val="0"/>
      <w:divBdr>
        <w:top w:val="none" w:sz="0" w:space="0" w:color="auto"/>
        <w:left w:val="none" w:sz="0" w:space="0" w:color="auto"/>
        <w:bottom w:val="none" w:sz="0" w:space="0" w:color="auto"/>
        <w:right w:val="none" w:sz="0" w:space="0" w:color="auto"/>
      </w:divBdr>
    </w:div>
    <w:div w:id="2025857090">
      <w:bodyDiv w:val="1"/>
      <w:marLeft w:val="0"/>
      <w:marRight w:val="0"/>
      <w:marTop w:val="0"/>
      <w:marBottom w:val="0"/>
      <w:divBdr>
        <w:top w:val="none" w:sz="0" w:space="0" w:color="auto"/>
        <w:left w:val="none" w:sz="0" w:space="0" w:color="auto"/>
        <w:bottom w:val="none" w:sz="0" w:space="0" w:color="auto"/>
        <w:right w:val="none" w:sz="0" w:space="0" w:color="auto"/>
      </w:divBdr>
    </w:div>
    <w:div w:id="2026132765">
      <w:bodyDiv w:val="1"/>
      <w:marLeft w:val="0"/>
      <w:marRight w:val="0"/>
      <w:marTop w:val="0"/>
      <w:marBottom w:val="0"/>
      <w:divBdr>
        <w:top w:val="none" w:sz="0" w:space="0" w:color="auto"/>
        <w:left w:val="none" w:sz="0" w:space="0" w:color="auto"/>
        <w:bottom w:val="none" w:sz="0" w:space="0" w:color="auto"/>
        <w:right w:val="none" w:sz="0" w:space="0" w:color="auto"/>
      </w:divBdr>
    </w:div>
    <w:div w:id="2026863456">
      <w:bodyDiv w:val="1"/>
      <w:marLeft w:val="0"/>
      <w:marRight w:val="0"/>
      <w:marTop w:val="0"/>
      <w:marBottom w:val="0"/>
      <w:divBdr>
        <w:top w:val="none" w:sz="0" w:space="0" w:color="auto"/>
        <w:left w:val="none" w:sz="0" w:space="0" w:color="auto"/>
        <w:bottom w:val="none" w:sz="0" w:space="0" w:color="auto"/>
        <w:right w:val="none" w:sz="0" w:space="0" w:color="auto"/>
      </w:divBdr>
    </w:div>
    <w:div w:id="2027631251">
      <w:bodyDiv w:val="1"/>
      <w:marLeft w:val="0"/>
      <w:marRight w:val="0"/>
      <w:marTop w:val="0"/>
      <w:marBottom w:val="0"/>
      <w:divBdr>
        <w:top w:val="none" w:sz="0" w:space="0" w:color="auto"/>
        <w:left w:val="none" w:sz="0" w:space="0" w:color="auto"/>
        <w:bottom w:val="none" w:sz="0" w:space="0" w:color="auto"/>
        <w:right w:val="none" w:sz="0" w:space="0" w:color="auto"/>
      </w:divBdr>
    </w:div>
    <w:div w:id="2028095057">
      <w:bodyDiv w:val="1"/>
      <w:marLeft w:val="0"/>
      <w:marRight w:val="0"/>
      <w:marTop w:val="0"/>
      <w:marBottom w:val="0"/>
      <w:divBdr>
        <w:top w:val="none" w:sz="0" w:space="0" w:color="auto"/>
        <w:left w:val="none" w:sz="0" w:space="0" w:color="auto"/>
        <w:bottom w:val="none" w:sz="0" w:space="0" w:color="auto"/>
        <w:right w:val="none" w:sz="0" w:space="0" w:color="auto"/>
      </w:divBdr>
    </w:div>
    <w:div w:id="2029524057">
      <w:bodyDiv w:val="1"/>
      <w:marLeft w:val="0"/>
      <w:marRight w:val="0"/>
      <w:marTop w:val="0"/>
      <w:marBottom w:val="0"/>
      <w:divBdr>
        <w:top w:val="none" w:sz="0" w:space="0" w:color="auto"/>
        <w:left w:val="none" w:sz="0" w:space="0" w:color="auto"/>
        <w:bottom w:val="none" w:sz="0" w:space="0" w:color="auto"/>
        <w:right w:val="none" w:sz="0" w:space="0" w:color="auto"/>
      </w:divBdr>
    </w:div>
    <w:div w:id="2029795318">
      <w:bodyDiv w:val="1"/>
      <w:marLeft w:val="0"/>
      <w:marRight w:val="0"/>
      <w:marTop w:val="0"/>
      <w:marBottom w:val="0"/>
      <w:divBdr>
        <w:top w:val="none" w:sz="0" w:space="0" w:color="auto"/>
        <w:left w:val="none" w:sz="0" w:space="0" w:color="auto"/>
        <w:bottom w:val="none" w:sz="0" w:space="0" w:color="auto"/>
        <w:right w:val="none" w:sz="0" w:space="0" w:color="auto"/>
      </w:divBdr>
    </w:div>
    <w:div w:id="2030570099">
      <w:bodyDiv w:val="1"/>
      <w:marLeft w:val="0"/>
      <w:marRight w:val="0"/>
      <w:marTop w:val="0"/>
      <w:marBottom w:val="0"/>
      <w:divBdr>
        <w:top w:val="none" w:sz="0" w:space="0" w:color="auto"/>
        <w:left w:val="none" w:sz="0" w:space="0" w:color="auto"/>
        <w:bottom w:val="none" w:sz="0" w:space="0" w:color="auto"/>
        <w:right w:val="none" w:sz="0" w:space="0" w:color="auto"/>
      </w:divBdr>
    </w:div>
    <w:div w:id="2031910538">
      <w:bodyDiv w:val="1"/>
      <w:marLeft w:val="0"/>
      <w:marRight w:val="0"/>
      <w:marTop w:val="0"/>
      <w:marBottom w:val="0"/>
      <w:divBdr>
        <w:top w:val="none" w:sz="0" w:space="0" w:color="auto"/>
        <w:left w:val="none" w:sz="0" w:space="0" w:color="auto"/>
        <w:bottom w:val="none" w:sz="0" w:space="0" w:color="auto"/>
        <w:right w:val="none" w:sz="0" w:space="0" w:color="auto"/>
      </w:divBdr>
    </w:div>
    <w:div w:id="2033452944">
      <w:bodyDiv w:val="1"/>
      <w:marLeft w:val="0"/>
      <w:marRight w:val="0"/>
      <w:marTop w:val="0"/>
      <w:marBottom w:val="0"/>
      <w:divBdr>
        <w:top w:val="none" w:sz="0" w:space="0" w:color="auto"/>
        <w:left w:val="none" w:sz="0" w:space="0" w:color="auto"/>
        <w:bottom w:val="none" w:sz="0" w:space="0" w:color="auto"/>
        <w:right w:val="none" w:sz="0" w:space="0" w:color="auto"/>
      </w:divBdr>
    </w:div>
    <w:div w:id="2034263042">
      <w:bodyDiv w:val="1"/>
      <w:marLeft w:val="0"/>
      <w:marRight w:val="0"/>
      <w:marTop w:val="0"/>
      <w:marBottom w:val="0"/>
      <w:divBdr>
        <w:top w:val="none" w:sz="0" w:space="0" w:color="auto"/>
        <w:left w:val="none" w:sz="0" w:space="0" w:color="auto"/>
        <w:bottom w:val="none" w:sz="0" w:space="0" w:color="auto"/>
        <w:right w:val="none" w:sz="0" w:space="0" w:color="auto"/>
      </w:divBdr>
    </w:div>
    <w:div w:id="2034769297">
      <w:bodyDiv w:val="1"/>
      <w:marLeft w:val="0"/>
      <w:marRight w:val="0"/>
      <w:marTop w:val="0"/>
      <w:marBottom w:val="0"/>
      <w:divBdr>
        <w:top w:val="none" w:sz="0" w:space="0" w:color="auto"/>
        <w:left w:val="none" w:sz="0" w:space="0" w:color="auto"/>
        <w:bottom w:val="none" w:sz="0" w:space="0" w:color="auto"/>
        <w:right w:val="none" w:sz="0" w:space="0" w:color="auto"/>
      </w:divBdr>
    </w:div>
    <w:div w:id="2035616615">
      <w:bodyDiv w:val="1"/>
      <w:marLeft w:val="0"/>
      <w:marRight w:val="0"/>
      <w:marTop w:val="0"/>
      <w:marBottom w:val="0"/>
      <w:divBdr>
        <w:top w:val="none" w:sz="0" w:space="0" w:color="auto"/>
        <w:left w:val="none" w:sz="0" w:space="0" w:color="auto"/>
        <w:bottom w:val="none" w:sz="0" w:space="0" w:color="auto"/>
        <w:right w:val="none" w:sz="0" w:space="0" w:color="auto"/>
      </w:divBdr>
    </w:div>
    <w:div w:id="2036925712">
      <w:bodyDiv w:val="1"/>
      <w:marLeft w:val="0"/>
      <w:marRight w:val="0"/>
      <w:marTop w:val="0"/>
      <w:marBottom w:val="0"/>
      <w:divBdr>
        <w:top w:val="none" w:sz="0" w:space="0" w:color="auto"/>
        <w:left w:val="none" w:sz="0" w:space="0" w:color="auto"/>
        <w:bottom w:val="none" w:sz="0" w:space="0" w:color="auto"/>
        <w:right w:val="none" w:sz="0" w:space="0" w:color="auto"/>
      </w:divBdr>
    </w:div>
    <w:div w:id="2039037036">
      <w:bodyDiv w:val="1"/>
      <w:marLeft w:val="0"/>
      <w:marRight w:val="0"/>
      <w:marTop w:val="0"/>
      <w:marBottom w:val="0"/>
      <w:divBdr>
        <w:top w:val="none" w:sz="0" w:space="0" w:color="auto"/>
        <w:left w:val="none" w:sz="0" w:space="0" w:color="auto"/>
        <w:bottom w:val="none" w:sz="0" w:space="0" w:color="auto"/>
        <w:right w:val="none" w:sz="0" w:space="0" w:color="auto"/>
      </w:divBdr>
    </w:div>
    <w:div w:id="2039041903">
      <w:bodyDiv w:val="1"/>
      <w:marLeft w:val="0"/>
      <w:marRight w:val="0"/>
      <w:marTop w:val="0"/>
      <w:marBottom w:val="0"/>
      <w:divBdr>
        <w:top w:val="none" w:sz="0" w:space="0" w:color="auto"/>
        <w:left w:val="none" w:sz="0" w:space="0" w:color="auto"/>
        <w:bottom w:val="none" w:sz="0" w:space="0" w:color="auto"/>
        <w:right w:val="none" w:sz="0" w:space="0" w:color="auto"/>
      </w:divBdr>
    </w:div>
    <w:div w:id="2039235863">
      <w:bodyDiv w:val="1"/>
      <w:marLeft w:val="0"/>
      <w:marRight w:val="0"/>
      <w:marTop w:val="0"/>
      <w:marBottom w:val="0"/>
      <w:divBdr>
        <w:top w:val="none" w:sz="0" w:space="0" w:color="auto"/>
        <w:left w:val="none" w:sz="0" w:space="0" w:color="auto"/>
        <w:bottom w:val="none" w:sz="0" w:space="0" w:color="auto"/>
        <w:right w:val="none" w:sz="0" w:space="0" w:color="auto"/>
      </w:divBdr>
    </w:div>
    <w:div w:id="2039966952">
      <w:bodyDiv w:val="1"/>
      <w:marLeft w:val="0"/>
      <w:marRight w:val="0"/>
      <w:marTop w:val="0"/>
      <w:marBottom w:val="0"/>
      <w:divBdr>
        <w:top w:val="none" w:sz="0" w:space="0" w:color="auto"/>
        <w:left w:val="none" w:sz="0" w:space="0" w:color="auto"/>
        <w:bottom w:val="none" w:sz="0" w:space="0" w:color="auto"/>
        <w:right w:val="none" w:sz="0" w:space="0" w:color="auto"/>
      </w:divBdr>
    </w:div>
    <w:div w:id="2040735571">
      <w:bodyDiv w:val="1"/>
      <w:marLeft w:val="0"/>
      <w:marRight w:val="0"/>
      <w:marTop w:val="0"/>
      <w:marBottom w:val="0"/>
      <w:divBdr>
        <w:top w:val="none" w:sz="0" w:space="0" w:color="auto"/>
        <w:left w:val="none" w:sz="0" w:space="0" w:color="auto"/>
        <w:bottom w:val="none" w:sz="0" w:space="0" w:color="auto"/>
        <w:right w:val="none" w:sz="0" w:space="0" w:color="auto"/>
      </w:divBdr>
    </w:div>
    <w:div w:id="2041124378">
      <w:bodyDiv w:val="1"/>
      <w:marLeft w:val="0"/>
      <w:marRight w:val="0"/>
      <w:marTop w:val="0"/>
      <w:marBottom w:val="0"/>
      <w:divBdr>
        <w:top w:val="none" w:sz="0" w:space="0" w:color="auto"/>
        <w:left w:val="none" w:sz="0" w:space="0" w:color="auto"/>
        <w:bottom w:val="none" w:sz="0" w:space="0" w:color="auto"/>
        <w:right w:val="none" w:sz="0" w:space="0" w:color="auto"/>
      </w:divBdr>
    </w:div>
    <w:div w:id="2041205629">
      <w:bodyDiv w:val="1"/>
      <w:marLeft w:val="0"/>
      <w:marRight w:val="0"/>
      <w:marTop w:val="0"/>
      <w:marBottom w:val="0"/>
      <w:divBdr>
        <w:top w:val="none" w:sz="0" w:space="0" w:color="auto"/>
        <w:left w:val="none" w:sz="0" w:space="0" w:color="auto"/>
        <w:bottom w:val="none" w:sz="0" w:space="0" w:color="auto"/>
        <w:right w:val="none" w:sz="0" w:space="0" w:color="auto"/>
      </w:divBdr>
    </w:div>
    <w:div w:id="2041321500">
      <w:bodyDiv w:val="1"/>
      <w:marLeft w:val="0"/>
      <w:marRight w:val="0"/>
      <w:marTop w:val="0"/>
      <w:marBottom w:val="0"/>
      <w:divBdr>
        <w:top w:val="none" w:sz="0" w:space="0" w:color="auto"/>
        <w:left w:val="none" w:sz="0" w:space="0" w:color="auto"/>
        <w:bottom w:val="none" w:sz="0" w:space="0" w:color="auto"/>
        <w:right w:val="none" w:sz="0" w:space="0" w:color="auto"/>
      </w:divBdr>
    </w:div>
    <w:div w:id="2041394360">
      <w:bodyDiv w:val="1"/>
      <w:marLeft w:val="0"/>
      <w:marRight w:val="0"/>
      <w:marTop w:val="0"/>
      <w:marBottom w:val="0"/>
      <w:divBdr>
        <w:top w:val="none" w:sz="0" w:space="0" w:color="auto"/>
        <w:left w:val="none" w:sz="0" w:space="0" w:color="auto"/>
        <w:bottom w:val="none" w:sz="0" w:space="0" w:color="auto"/>
        <w:right w:val="none" w:sz="0" w:space="0" w:color="auto"/>
      </w:divBdr>
    </w:div>
    <w:div w:id="2042172247">
      <w:bodyDiv w:val="1"/>
      <w:marLeft w:val="0"/>
      <w:marRight w:val="0"/>
      <w:marTop w:val="0"/>
      <w:marBottom w:val="0"/>
      <w:divBdr>
        <w:top w:val="none" w:sz="0" w:space="0" w:color="auto"/>
        <w:left w:val="none" w:sz="0" w:space="0" w:color="auto"/>
        <w:bottom w:val="none" w:sz="0" w:space="0" w:color="auto"/>
        <w:right w:val="none" w:sz="0" w:space="0" w:color="auto"/>
      </w:divBdr>
    </w:div>
    <w:div w:id="2042702157">
      <w:bodyDiv w:val="1"/>
      <w:marLeft w:val="0"/>
      <w:marRight w:val="0"/>
      <w:marTop w:val="0"/>
      <w:marBottom w:val="0"/>
      <w:divBdr>
        <w:top w:val="none" w:sz="0" w:space="0" w:color="auto"/>
        <w:left w:val="none" w:sz="0" w:space="0" w:color="auto"/>
        <w:bottom w:val="none" w:sz="0" w:space="0" w:color="auto"/>
        <w:right w:val="none" w:sz="0" w:space="0" w:color="auto"/>
      </w:divBdr>
    </w:div>
    <w:div w:id="2042825657">
      <w:bodyDiv w:val="1"/>
      <w:marLeft w:val="0"/>
      <w:marRight w:val="0"/>
      <w:marTop w:val="0"/>
      <w:marBottom w:val="0"/>
      <w:divBdr>
        <w:top w:val="none" w:sz="0" w:space="0" w:color="auto"/>
        <w:left w:val="none" w:sz="0" w:space="0" w:color="auto"/>
        <w:bottom w:val="none" w:sz="0" w:space="0" w:color="auto"/>
        <w:right w:val="none" w:sz="0" w:space="0" w:color="auto"/>
      </w:divBdr>
    </w:div>
    <w:div w:id="2042902721">
      <w:bodyDiv w:val="1"/>
      <w:marLeft w:val="0"/>
      <w:marRight w:val="0"/>
      <w:marTop w:val="0"/>
      <w:marBottom w:val="0"/>
      <w:divBdr>
        <w:top w:val="none" w:sz="0" w:space="0" w:color="auto"/>
        <w:left w:val="none" w:sz="0" w:space="0" w:color="auto"/>
        <w:bottom w:val="none" w:sz="0" w:space="0" w:color="auto"/>
        <w:right w:val="none" w:sz="0" w:space="0" w:color="auto"/>
      </w:divBdr>
    </w:div>
    <w:div w:id="2043750427">
      <w:bodyDiv w:val="1"/>
      <w:marLeft w:val="0"/>
      <w:marRight w:val="0"/>
      <w:marTop w:val="0"/>
      <w:marBottom w:val="0"/>
      <w:divBdr>
        <w:top w:val="none" w:sz="0" w:space="0" w:color="auto"/>
        <w:left w:val="none" w:sz="0" w:space="0" w:color="auto"/>
        <w:bottom w:val="none" w:sz="0" w:space="0" w:color="auto"/>
        <w:right w:val="none" w:sz="0" w:space="0" w:color="auto"/>
      </w:divBdr>
    </w:div>
    <w:div w:id="2044090230">
      <w:bodyDiv w:val="1"/>
      <w:marLeft w:val="0"/>
      <w:marRight w:val="0"/>
      <w:marTop w:val="0"/>
      <w:marBottom w:val="0"/>
      <w:divBdr>
        <w:top w:val="none" w:sz="0" w:space="0" w:color="auto"/>
        <w:left w:val="none" w:sz="0" w:space="0" w:color="auto"/>
        <w:bottom w:val="none" w:sz="0" w:space="0" w:color="auto"/>
        <w:right w:val="none" w:sz="0" w:space="0" w:color="auto"/>
      </w:divBdr>
    </w:div>
    <w:div w:id="2044288647">
      <w:bodyDiv w:val="1"/>
      <w:marLeft w:val="0"/>
      <w:marRight w:val="0"/>
      <w:marTop w:val="0"/>
      <w:marBottom w:val="0"/>
      <w:divBdr>
        <w:top w:val="none" w:sz="0" w:space="0" w:color="auto"/>
        <w:left w:val="none" w:sz="0" w:space="0" w:color="auto"/>
        <w:bottom w:val="none" w:sz="0" w:space="0" w:color="auto"/>
        <w:right w:val="none" w:sz="0" w:space="0" w:color="auto"/>
      </w:divBdr>
    </w:div>
    <w:div w:id="2044672957">
      <w:bodyDiv w:val="1"/>
      <w:marLeft w:val="0"/>
      <w:marRight w:val="0"/>
      <w:marTop w:val="0"/>
      <w:marBottom w:val="0"/>
      <w:divBdr>
        <w:top w:val="none" w:sz="0" w:space="0" w:color="auto"/>
        <w:left w:val="none" w:sz="0" w:space="0" w:color="auto"/>
        <w:bottom w:val="none" w:sz="0" w:space="0" w:color="auto"/>
        <w:right w:val="none" w:sz="0" w:space="0" w:color="auto"/>
      </w:divBdr>
    </w:div>
    <w:div w:id="2045863513">
      <w:bodyDiv w:val="1"/>
      <w:marLeft w:val="0"/>
      <w:marRight w:val="0"/>
      <w:marTop w:val="0"/>
      <w:marBottom w:val="0"/>
      <w:divBdr>
        <w:top w:val="none" w:sz="0" w:space="0" w:color="auto"/>
        <w:left w:val="none" w:sz="0" w:space="0" w:color="auto"/>
        <w:bottom w:val="none" w:sz="0" w:space="0" w:color="auto"/>
        <w:right w:val="none" w:sz="0" w:space="0" w:color="auto"/>
      </w:divBdr>
    </w:div>
    <w:div w:id="2046132101">
      <w:bodyDiv w:val="1"/>
      <w:marLeft w:val="0"/>
      <w:marRight w:val="0"/>
      <w:marTop w:val="0"/>
      <w:marBottom w:val="0"/>
      <w:divBdr>
        <w:top w:val="none" w:sz="0" w:space="0" w:color="auto"/>
        <w:left w:val="none" w:sz="0" w:space="0" w:color="auto"/>
        <w:bottom w:val="none" w:sz="0" w:space="0" w:color="auto"/>
        <w:right w:val="none" w:sz="0" w:space="0" w:color="auto"/>
      </w:divBdr>
    </w:div>
    <w:div w:id="2046438942">
      <w:bodyDiv w:val="1"/>
      <w:marLeft w:val="0"/>
      <w:marRight w:val="0"/>
      <w:marTop w:val="0"/>
      <w:marBottom w:val="0"/>
      <w:divBdr>
        <w:top w:val="none" w:sz="0" w:space="0" w:color="auto"/>
        <w:left w:val="none" w:sz="0" w:space="0" w:color="auto"/>
        <w:bottom w:val="none" w:sz="0" w:space="0" w:color="auto"/>
        <w:right w:val="none" w:sz="0" w:space="0" w:color="auto"/>
      </w:divBdr>
    </w:div>
    <w:div w:id="2048294659">
      <w:bodyDiv w:val="1"/>
      <w:marLeft w:val="0"/>
      <w:marRight w:val="0"/>
      <w:marTop w:val="0"/>
      <w:marBottom w:val="0"/>
      <w:divBdr>
        <w:top w:val="none" w:sz="0" w:space="0" w:color="auto"/>
        <w:left w:val="none" w:sz="0" w:space="0" w:color="auto"/>
        <w:bottom w:val="none" w:sz="0" w:space="0" w:color="auto"/>
        <w:right w:val="none" w:sz="0" w:space="0" w:color="auto"/>
      </w:divBdr>
    </w:div>
    <w:div w:id="2048479948">
      <w:bodyDiv w:val="1"/>
      <w:marLeft w:val="0"/>
      <w:marRight w:val="0"/>
      <w:marTop w:val="0"/>
      <w:marBottom w:val="0"/>
      <w:divBdr>
        <w:top w:val="none" w:sz="0" w:space="0" w:color="auto"/>
        <w:left w:val="none" w:sz="0" w:space="0" w:color="auto"/>
        <w:bottom w:val="none" w:sz="0" w:space="0" w:color="auto"/>
        <w:right w:val="none" w:sz="0" w:space="0" w:color="auto"/>
      </w:divBdr>
    </w:div>
    <w:div w:id="2048480447">
      <w:bodyDiv w:val="1"/>
      <w:marLeft w:val="0"/>
      <w:marRight w:val="0"/>
      <w:marTop w:val="0"/>
      <w:marBottom w:val="0"/>
      <w:divBdr>
        <w:top w:val="none" w:sz="0" w:space="0" w:color="auto"/>
        <w:left w:val="none" w:sz="0" w:space="0" w:color="auto"/>
        <w:bottom w:val="none" w:sz="0" w:space="0" w:color="auto"/>
        <w:right w:val="none" w:sz="0" w:space="0" w:color="auto"/>
      </w:divBdr>
    </w:div>
    <w:div w:id="2049068956">
      <w:bodyDiv w:val="1"/>
      <w:marLeft w:val="0"/>
      <w:marRight w:val="0"/>
      <w:marTop w:val="0"/>
      <w:marBottom w:val="0"/>
      <w:divBdr>
        <w:top w:val="none" w:sz="0" w:space="0" w:color="auto"/>
        <w:left w:val="none" w:sz="0" w:space="0" w:color="auto"/>
        <w:bottom w:val="none" w:sz="0" w:space="0" w:color="auto"/>
        <w:right w:val="none" w:sz="0" w:space="0" w:color="auto"/>
      </w:divBdr>
    </w:div>
    <w:div w:id="2050566728">
      <w:bodyDiv w:val="1"/>
      <w:marLeft w:val="0"/>
      <w:marRight w:val="0"/>
      <w:marTop w:val="0"/>
      <w:marBottom w:val="0"/>
      <w:divBdr>
        <w:top w:val="none" w:sz="0" w:space="0" w:color="auto"/>
        <w:left w:val="none" w:sz="0" w:space="0" w:color="auto"/>
        <w:bottom w:val="none" w:sz="0" w:space="0" w:color="auto"/>
        <w:right w:val="none" w:sz="0" w:space="0" w:color="auto"/>
      </w:divBdr>
    </w:div>
    <w:div w:id="2051032096">
      <w:bodyDiv w:val="1"/>
      <w:marLeft w:val="0"/>
      <w:marRight w:val="0"/>
      <w:marTop w:val="0"/>
      <w:marBottom w:val="0"/>
      <w:divBdr>
        <w:top w:val="none" w:sz="0" w:space="0" w:color="auto"/>
        <w:left w:val="none" w:sz="0" w:space="0" w:color="auto"/>
        <w:bottom w:val="none" w:sz="0" w:space="0" w:color="auto"/>
        <w:right w:val="none" w:sz="0" w:space="0" w:color="auto"/>
      </w:divBdr>
    </w:div>
    <w:div w:id="2051951323">
      <w:bodyDiv w:val="1"/>
      <w:marLeft w:val="0"/>
      <w:marRight w:val="0"/>
      <w:marTop w:val="0"/>
      <w:marBottom w:val="0"/>
      <w:divBdr>
        <w:top w:val="none" w:sz="0" w:space="0" w:color="auto"/>
        <w:left w:val="none" w:sz="0" w:space="0" w:color="auto"/>
        <w:bottom w:val="none" w:sz="0" w:space="0" w:color="auto"/>
        <w:right w:val="none" w:sz="0" w:space="0" w:color="auto"/>
      </w:divBdr>
    </w:div>
    <w:div w:id="2052030428">
      <w:bodyDiv w:val="1"/>
      <w:marLeft w:val="0"/>
      <w:marRight w:val="0"/>
      <w:marTop w:val="0"/>
      <w:marBottom w:val="0"/>
      <w:divBdr>
        <w:top w:val="none" w:sz="0" w:space="0" w:color="auto"/>
        <w:left w:val="none" w:sz="0" w:space="0" w:color="auto"/>
        <w:bottom w:val="none" w:sz="0" w:space="0" w:color="auto"/>
        <w:right w:val="none" w:sz="0" w:space="0" w:color="auto"/>
      </w:divBdr>
    </w:div>
    <w:div w:id="2052337015">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2727912">
      <w:bodyDiv w:val="1"/>
      <w:marLeft w:val="0"/>
      <w:marRight w:val="0"/>
      <w:marTop w:val="0"/>
      <w:marBottom w:val="0"/>
      <w:divBdr>
        <w:top w:val="none" w:sz="0" w:space="0" w:color="auto"/>
        <w:left w:val="none" w:sz="0" w:space="0" w:color="auto"/>
        <w:bottom w:val="none" w:sz="0" w:space="0" w:color="auto"/>
        <w:right w:val="none" w:sz="0" w:space="0" w:color="auto"/>
      </w:divBdr>
    </w:div>
    <w:div w:id="2052729998">
      <w:bodyDiv w:val="1"/>
      <w:marLeft w:val="0"/>
      <w:marRight w:val="0"/>
      <w:marTop w:val="0"/>
      <w:marBottom w:val="0"/>
      <w:divBdr>
        <w:top w:val="none" w:sz="0" w:space="0" w:color="auto"/>
        <w:left w:val="none" w:sz="0" w:space="0" w:color="auto"/>
        <w:bottom w:val="none" w:sz="0" w:space="0" w:color="auto"/>
        <w:right w:val="none" w:sz="0" w:space="0" w:color="auto"/>
      </w:divBdr>
    </w:div>
    <w:div w:id="2052881012">
      <w:bodyDiv w:val="1"/>
      <w:marLeft w:val="0"/>
      <w:marRight w:val="0"/>
      <w:marTop w:val="0"/>
      <w:marBottom w:val="0"/>
      <w:divBdr>
        <w:top w:val="none" w:sz="0" w:space="0" w:color="auto"/>
        <w:left w:val="none" w:sz="0" w:space="0" w:color="auto"/>
        <w:bottom w:val="none" w:sz="0" w:space="0" w:color="auto"/>
        <w:right w:val="none" w:sz="0" w:space="0" w:color="auto"/>
      </w:divBdr>
    </w:div>
    <w:div w:id="2053113939">
      <w:bodyDiv w:val="1"/>
      <w:marLeft w:val="0"/>
      <w:marRight w:val="0"/>
      <w:marTop w:val="0"/>
      <w:marBottom w:val="0"/>
      <w:divBdr>
        <w:top w:val="none" w:sz="0" w:space="0" w:color="auto"/>
        <w:left w:val="none" w:sz="0" w:space="0" w:color="auto"/>
        <w:bottom w:val="none" w:sz="0" w:space="0" w:color="auto"/>
        <w:right w:val="none" w:sz="0" w:space="0" w:color="auto"/>
      </w:divBdr>
    </w:div>
    <w:div w:id="2053264157">
      <w:bodyDiv w:val="1"/>
      <w:marLeft w:val="0"/>
      <w:marRight w:val="0"/>
      <w:marTop w:val="0"/>
      <w:marBottom w:val="0"/>
      <w:divBdr>
        <w:top w:val="none" w:sz="0" w:space="0" w:color="auto"/>
        <w:left w:val="none" w:sz="0" w:space="0" w:color="auto"/>
        <w:bottom w:val="none" w:sz="0" w:space="0" w:color="auto"/>
        <w:right w:val="none" w:sz="0" w:space="0" w:color="auto"/>
      </w:divBdr>
    </w:div>
    <w:div w:id="2053727461">
      <w:bodyDiv w:val="1"/>
      <w:marLeft w:val="0"/>
      <w:marRight w:val="0"/>
      <w:marTop w:val="0"/>
      <w:marBottom w:val="0"/>
      <w:divBdr>
        <w:top w:val="none" w:sz="0" w:space="0" w:color="auto"/>
        <w:left w:val="none" w:sz="0" w:space="0" w:color="auto"/>
        <w:bottom w:val="none" w:sz="0" w:space="0" w:color="auto"/>
        <w:right w:val="none" w:sz="0" w:space="0" w:color="auto"/>
      </w:divBdr>
    </w:div>
    <w:div w:id="2053963805">
      <w:bodyDiv w:val="1"/>
      <w:marLeft w:val="0"/>
      <w:marRight w:val="0"/>
      <w:marTop w:val="0"/>
      <w:marBottom w:val="0"/>
      <w:divBdr>
        <w:top w:val="none" w:sz="0" w:space="0" w:color="auto"/>
        <w:left w:val="none" w:sz="0" w:space="0" w:color="auto"/>
        <w:bottom w:val="none" w:sz="0" w:space="0" w:color="auto"/>
        <w:right w:val="none" w:sz="0" w:space="0" w:color="auto"/>
      </w:divBdr>
    </w:div>
    <w:div w:id="2054573561">
      <w:bodyDiv w:val="1"/>
      <w:marLeft w:val="0"/>
      <w:marRight w:val="0"/>
      <w:marTop w:val="0"/>
      <w:marBottom w:val="0"/>
      <w:divBdr>
        <w:top w:val="none" w:sz="0" w:space="0" w:color="auto"/>
        <w:left w:val="none" w:sz="0" w:space="0" w:color="auto"/>
        <w:bottom w:val="none" w:sz="0" w:space="0" w:color="auto"/>
        <w:right w:val="none" w:sz="0" w:space="0" w:color="auto"/>
      </w:divBdr>
    </w:div>
    <w:div w:id="2054647958">
      <w:bodyDiv w:val="1"/>
      <w:marLeft w:val="0"/>
      <w:marRight w:val="0"/>
      <w:marTop w:val="0"/>
      <w:marBottom w:val="0"/>
      <w:divBdr>
        <w:top w:val="none" w:sz="0" w:space="0" w:color="auto"/>
        <w:left w:val="none" w:sz="0" w:space="0" w:color="auto"/>
        <w:bottom w:val="none" w:sz="0" w:space="0" w:color="auto"/>
        <w:right w:val="none" w:sz="0" w:space="0" w:color="auto"/>
      </w:divBdr>
    </w:div>
    <w:div w:id="2054884724">
      <w:bodyDiv w:val="1"/>
      <w:marLeft w:val="0"/>
      <w:marRight w:val="0"/>
      <w:marTop w:val="0"/>
      <w:marBottom w:val="0"/>
      <w:divBdr>
        <w:top w:val="none" w:sz="0" w:space="0" w:color="auto"/>
        <w:left w:val="none" w:sz="0" w:space="0" w:color="auto"/>
        <w:bottom w:val="none" w:sz="0" w:space="0" w:color="auto"/>
        <w:right w:val="none" w:sz="0" w:space="0" w:color="auto"/>
      </w:divBdr>
    </w:div>
    <w:div w:id="2054966535">
      <w:bodyDiv w:val="1"/>
      <w:marLeft w:val="0"/>
      <w:marRight w:val="0"/>
      <w:marTop w:val="0"/>
      <w:marBottom w:val="0"/>
      <w:divBdr>
        <w:top w:val="none" w:sz="0" w:space="0" w:color="auto"/>
        <w:left w:val="none" w:sz="0" w:space="0" w:color="auto"/>
        <w:bottom w:val="none" w:sz="0" w:space="0" w:color="auto"/>
        <w:right w:val="none" w:sz="0" w:space="0" w:color="auto"/>
      </w:divBdr>
    </w:div>
    <w:div w:id="2055150367">
      <w:bodyDiv w:val="1"/>
      <w:marLeft w:val="0"/>
      <w:marRight w:val="0"/>
      <w:marTop w:val="0"/>
      <w:marBottom w:val="0"/>
      <w:divBdr>
        <w:top w:val="none" w:sz="0" w:space="0" w:color="auto"/>
        <w:left w:val="none" w:sz="0" w:space="0" w:color="auto"/>
        <w:bottom w:val="none" w:sz="0" w:space="0" w:color="auto"/>
        <w:right w:val="none" w:sz="0" w:space="0" w:color="auto"/>
      </w:divBdr>
    </w:div>
    <w:div w:id="2055536757">
      <w:bodyDiv w:val="1"/>
      <w:marLeft w:val="0"/>
      <w:marRight w:val="0"/>
      <w:marTop w:val="0"/>
      <w:marBottom w:val="0"/>
      <w:divBdr>
        <w:top w:val="none" w:sz="0" w:space="0" w:color="auto"/>
        <w:left w:val="none" w:sz="0" w:space="0" w:color="auto"/>
        <w:bottom w:val="none" w:sz="0" w:space="0" w:color="auto"/>
        <w:right w:val="none" w:sz="0" w:space="0" w:color="auto"/>
      </w:divBdr>
    </w:div>
    <w:div w:id="2055541802">
      <w:bodyDiv w:val="1"/>
      <w:marLeft w:val="0"/>
      <w:marRight w:val="0"/>
      <w:marTop w:val="0"/>
      <w:marBottom w:val="0"/>
      <w:divBdr>
        <w:top w:val="none" w:sz="0" w:space="0" w:color="auto"/>
        <w:left w:val="none" w:sz="0" w:space="0" w:color="auto"/>
        <w:bottom w:val="none" w:sz="0" w:space="0" w:color="auto"/>
        <w:right w:val="none" w:sz="0" w:space="0" w:color="auto"/>
      </w:divBdr>
    </w:div>
    <w:div w:id="2056074069">
      <w:bodyDiv w:val="1"/>
      <w:marLeft w:val="0"/>
      <w:marRight w:val="0"/>
      <w:marTop w:val="0"/>
      <w:marBottom w:val="0"/>
      <w:divBdr>
        <w:top w:val="none" w:sz="0" w:space="0" w:color="auto"/>
        <w:left w:val="none" w:sz="0" w:space="0" w:color="auto"/>
        <w:bottom w:val="none" w:sz="0" w:space="0" w:color="auto"/>
        <w:right w:val="none" w:sz="0" w:space="0" w:color="auto"/>
      </w:divBdr>
    </w:div>
    <w:div w:id="2056157348">
      <w:bodyDiv w:val="1"/>
      <w:marLeft w:val="0"/>
      <w:marRight w:val="0"/>
      <w:marTop w:val="0"/>
      <w:marBottom w:val="0"/>
      <w:divBdr>
        <w:top w:val="none" w:sz="0" w:space="0" w:color="auto"/>
        <w:left w:val="none" w:sz="0" w:space="0" w:color="auto"/>
        <w:bottom w:val="none" w:sz="0" w:space="0" w:color="auto"/>
        <w:right w:val="none" w:sz="0" w:space="0" w:color="auto"/>
      </w:divBdr>
    </w:div>
    <w:div w:id="2056810071">
      <w:bodyDiv w:val="1"/>
      <w:marLeft w:val="0"/>
      <w:marRight w:val="0"/>
      <w:marTop w:val="0"/>
      <w:marBottom w:val="0"/>
      <w:divBdr>
        <w:top w:val="none" w:sz="0" w:space="0" w:color="auto"/>
        <w:left w:val="none" w:sz="0" w:space="0" w:color="auto"/>
        <w:bottom w:val="none" w:sz="0" w:space="0" w:color="auto"/>
        <w:right w:val="none" w:sz="0" w:space="0" w:color="auto"/>
      </w:divBdr>
    </w:div>
    <w:div w:id="2058045987">
      <w:bodyDiv w:val="1"/>
      <w:marLeft w:val="0"/>
      <w:marRight w:val="0"/>
      <w:marTop w:val="0"/>
      <w:marBottom w:val="0"/>
      <w:divBdr>
        <w:top w:val="none" w:sz="0" w:space="0" w:color="auto"/>
        <w:left w:val="none" w:sz="0" w:space="0" w:color="auto"/>
        <w:bottom w:val="none" w:sz="0" w:space="0" w:color="auto"/>
        <w:right w:val="none" w:sz="0" w:space="0" w:color="auto"/>
      </w:divBdr>
    </w:div>
    <w:div w:id="2058387352">
      <w:bodyDiv w:val="1"/>
      <w:marLeft w:val="0"/>
      <w:marRight w:val="0"/>
      <w:marTop w:val="0"/>
      <w:marBottom w:val="0"/>
      <w:divBdr>
        <w:top w:val="none" w:sz="0" w:space="0" w:color="auto"/>
        <w:left w:val="none" w:sz="0" w:space="0" w:color="auto"/>
        <w:bottom w:val="none" w:sz="0" w:space="0" w:color="auto"/>
        <w:right w:val="none" w:sz="0" w:space="0" w:color="auto"/>
      </w:divBdr>
    </w:div>
    <w:div w:id="2059814748">
      <w:bodyDiv w:val="1"/>
      <w:marLeft w:val="0"/>
      <w:marRight w:val="0"/>
      <w:marTop w:val="0"/>
      <w:marBottom w:val="0"/>
      <w:divBdr>
        <w:top w:val="none" w:sz="0" w:space="0" w:color="auto"/>
        <w:left w:val="none" w:sz="0" w:space="0" w:color="auto"/>
        <w:bottom w:val="none" w:sz="0" w:space="0" w:color="auto"/>
        <w:right w:val="none" w:sz="0" w:space="0" w:color="auto"/>
      </w:divBdr>
    </w:div>
    <w:div w:id="2060199847">
      <w:bodyDiv w:val="1"/>
      <w:marLeft w:val="0"/>
      <w:marRight w:val="0"/>
      <w:marTop w:val="0"/>
      <w:marBottom w:val="0"/>
      <w:divBdr>
        <w:top w:val="none" w:sz="0" w:space="0" w:color="auto"/>
        <w:left w:val="none" w:sz="0" w:space="0" w:color="auto"/>
        <w:bottom w:val="none" w:sz="0" w:space="0" w:color="auto"/>
        <w:right w:val="none" w:sz="0" w:space="0" w:color="auto"/>
      </w:divBdr>
    </w:div>
    <w:div w:id="2060811992">
      <w:bodyDiv w:val="1"/>
      <w:marLeft w:val="0"/>
      <w:marRight w:val="0"/>
      <w:marTop w:val="0"/>
      <w:marBottom w:val="0"/>
      <w:divBdr>
        <w:top w:val="none" w:sz="0" w:space="0" w:color="auto"/>
        <w:left w:val="none" w:sz="0" w:space="0" w:color="auto"/>
        <w:bottom w:val="none" w:sz="0" w:space="0" w:color="auto"/>
        <w:right w:val="none" w:sz="0" w:space="0" w:color="auto"/>
      </w:divBdr>
    </w:div>
    <w:div w:id="2061660417">
      <w:bodyDiv w:val="1"/>
      <w:marLeft w:val="0"/>
      <w:marRight w:val="0"/>
      <w:marTop w:val="0"/>
      <w:marBottom w:val="0"/>
      <w:divBdr>
        <w:top w:val="none" w:sz="0" w:space="0" w:color="auto"/>
        <w:left w:val="none" w:sz="0" w:space="0" w:color="auto"/>
        <w:bottom w:val="none" w:sz="0" w:space="0" w:color="auto"/>
        <w:right w:val="none" w:sz="0" w:space="0" w:color="auto"/>
      </w:divBdr>
    </w:div>
    <w:div w:id="2062363641">
      <w:bodyDiv w:val="1"/>
      <w:marLeft w:val="0"/>
      <w:marRight w:val="0"/>
      <w:marTop w:val="0"/>
      <w:marBottom w:val="0"/>
      <w:divBdr>
        <w:top w:val="none" w:sz="0" w:space="0" w:color="auto"/>
        <w:left w:val="none" w:sz="0" w:space="0" w:color="auto"/>
        <w:bottom w:val="none" w:sz="0" w:space="0" w:color="auto"/>
        <w:right w:val="none" w:sz="0" w:space="0" w:color="auto"/>
      </w:divBdr>
    </w:div>
    <w:div w:id="2062440058">
      <w:bodyDiv w:val="1"/>
      <w:marLeft w:val="0"/>
      <w:marRight w:val="0"/>
      <w:marTop w:val="0"/>
      <w:marBottom w:val="0"/>
      <w:divBdr>
        <w:top w:val="none" w:sz="0" w:space="0" w:color="auto"/>
        <w:left w:val="none" w:sz="0" w:space="0" w:color="auto"/>
        <w:bottom w:val="none" w:sz="0" w:space="0" w:color="auto"/>
        <w:right w:val="none" w:sz="0" w:space="0" w:color="auto"/>
      </w:divBdr>
    </w:div>
    <w:div w:id="2064670154">
      <w:bodyDiv w:val="1"/>
      <w:marLeft w:val="0"/>
      <w:marRight w:val="0"/>
      <w:marTop w:val="0"/>
      <w:marBottom w:val="0"/>
      <w:divBdr>
        <w:top w:val="none" w:sz="0" w:space="0" w:color="auto"/>
        <w:left w:val="none" w:sz="0" w:space="0" w:color="auto"/>
        <w:bottom w:val="none" w:sz="0" w:space="0" w:color="auto"/>
        <w:right w:val="none" w:sz="0" w:space="0" w:color="auto"/>
      </w:divBdr>
    </w:div>
    <w:div w:id="2065566412">
      <w:bodyDiv w:val="1"/>
      <w:marLeft w:val="0"/>
      <w:marRight w:val="0"/>
      <w:marTop w:val="0"/>
      <w:marBottom w:val="0"/>
      <w:divBdr>
        <w:top w:val="none" w:sz="0" w:space="0" w:color="auto"/>
        <w:left w:val="none" w:sz="0" w:space="0" w:color="auto"/>
        <w:bottom w:val="none" w:sz="0" w:space="0" w:color="auto"/>
        <w:right w:val="none" w:sz="0" w:space="0" w:color="auto"/>
      </w:divBdr>
    </w:div>
    <w:div w:id="2066054213">
      <w:bodyDiv w:val="1"/>
      <w:marLeft w:val="0"/>
      <w:marRight w:val="0"/>
      <w:marTop w:val="0"/>
      <w:marBottom w:val="0"/>
      <w:divBdr>
        <w:top w:val="none" w:sz="0" w:space="0" w:color="auto"/>
        <w:left w:val="none" w:sz="0" w:space="0" w:color="auto"/>
        <w:bottom w:val="none" w:sz="0" w:space="0" w:color="auto"/>
        <w:right w:val="none" w:sz="0" w:space="0" w:color="auto"/>
      </w:divBdr>
    </w:div>
    <w:div w:id="2067485906">
      <w:bodyDiv w:val="1"/>
      <w:marLeft w:val="0"/>
      <w:marRight w:val="0"/>
      <w:marTop w:val="0"/>
      <w:marBottom w:val="0"/>
      <w:divBdr>
        <w:top w:val="none" w:sz="0" w:space="0" w:color="auto"/>
        <w:left w:val="none" w:sz="0" w:space="0" w:color="auto"/>
        <w:bottom w:val="none" w:sz="0" w:space="0" w:color="auto"/>
        <w:right w:val="none" w:sz="0" w:space="0" w:color="auto"/>
      </w:divBdr>
    </w:div>
    <w:div w:id="2067796861">
      <w:bodyDiv w:val="1"/>
      <w:marLeft w:val="0"/>
      <w:marRight w:val="0"/>
      <w:marTop w:val="0"/>
      <w:marBottom w:val="0"/>
      <w:divBdr>
        <w:top w:val="none" w:sz="0" w:space="0" w:color="auto"/>
        <w:left w:val="none" w:sz="0" w:space="0" w:color="auto"/>
        <w:bottom w:val="none" w:sz="0" w:space="0" w:color="auto"/>
        <w:right w:val="none" w:sz="0" w:space="0" w:color="auto"/>
      </w:divBdr>
    </w:div>
    <w:div w:id="2067991465">
      <w:bodyDiv w:val="1"/>
      <w:marLeft w:val="0"/>
      <w:marRight w:val="0"/>
      <w:marTop w:val="0"/>
      <w:marBottom w:val="0"/>
      <w:divBdr>
        <w:top w:val="none" w:sz="0" w:space="0" w:color="auto"/>
        <w:left w:val="none" w:sz="0" w:space="0" w:color="auto"/>
        <w:bottom w:val="none" w:sz="0" w:space="0" w:color="auto"/>
        <w:right w:val="none" w:sz="0" w:space="0" w:color="auto"/>
      </w:divBdr>
    </w:div>
    <w:div w:id="2068338225">
      <w:bodyDiv w:val="1"/>
      <w:marLeft w:val="0"/>
      <w:marRight w:val="0"/>
      <w:marTop w:val="0"/>
      <w:marBottom w:val="0"/>
      <w:divBdr>
        <w:top w:val="none" w:sz="0" w:space="0" w:color="auto"/>
        <w:left w:val="none" w:sz="0" w:space="0" w:color="auto"/>
        <w:bottom w:val="none" w:sz="0" w:space="0" w:color="auto"/>
        <w:right w:val="none" w:sz="0" w:space="0" w:color="auto"/>
      </w:divBdr>
    </w:div>
    <w:div w:id="2068338955">
      <w:bodyDiv w:val="1"/>
      <w:marLeft w:val="0"/>
      <w:marRight w:val="0"/>
      <w:marTop w:val="0"/>
      <w:marBottom w:val="0"/>
      <w:divBdr>
        <w:top w:val="none" w:sz="0" w:space="0" w:color="auto"/>
        <w:left w:val="none" w:sz="0" w:space="0" w:color="auto"/>
        <w:bottom w:val="none" w:sz="0" w:space="0" w:color="auto"/>
        <w:right w:val="none" w:sz="0" w:space="0" w:color="auto"/>
      </w:divBdr>
    </w:div>
    <w:div w:id="2068919399">
      <w:bodyDiv w:val="1"/>
      <w:marLeft w:val="0"/>
      <w:marRight w:val="0"/>
      <w:marTop w:val="0"/>
      <w:marBottom w:val="0"/>
      <w:divBdr>
        <w:top w:val="none" w:sz="0" w:space="0" w:color="auto"/>
        <w:left w:val="none" w:sz="0" w:space="0" w:color="auto"/>
        <w:bottom w:val="none" w:sz="0" w:space="0" w:color="auto"/>
        <w:right w:val="none" w:sz="0" w:space="0" w:color="auto"/>
      </w:divBdr>
    </w:div>
    <w:div w:id="2069457415">
      <w:bodyDiv w:val="1"/>
      <w:marLeft w:val="0"/>
      <w:marRight w:val="0"/>
      <w:marTop w:val="0"/>
      <w:marBottom w:val="0"/>
      <w:divBdr>
        <w:top w:val="none" w:sz="0" w:space="0" w:color="auto"/>
        <w:left w:val="none" w:sz="0" w:space="0" w:color="auto"/>
        <w:bottom w:val="none" w:sz="0" w:space="0" w:color="auto"/>
        <w:right w:val="none" w:sz="0" w:space="0" w:color="auto"/>
      </w:divBdr>
    </w:div>
    <w:div w:id="2069916297">
      <w:bodyDiv w:val="1"/>
      <w:marLeft w:val="0"/>
      <w:marRight w:val="0"/>
      <w:marTop w:val="0"/>
      <w:marBottom w:val="0"/>
      <w:divBdr>
        <w:top w:val="none" w:sz="0" w:space="0" w:color="auto"/>
        <w:left w:val="none" w:sz="0" w:space="0" w:color="auto"/>
        <w:bottom w:val="none" w:sz="0" w:space="0" w:color="auto"/>
        <w:right w:val="none" w:sz="0" w:space="0" w:color="auto"/>
      </w:divBdr>
    </w:div>
    <w:div w:id="2070302388">
      <w:bodyDiv w:val="1"/>
      <w:marLeft w:val="0"/>
      <w:marRight w:val="0"/>
      <w:marTop w:val="0"/>
      <w:marBottom w:val="0"/>
      <w:divBdr>
        <w:top w:val="none" w:sz="0" w:space="0" w:color="auto"/>
        <w:left w:val="none" w:sz="0" w:space="0" w:color="auto"/>
        <w:bottom w:val="none" w:sz="0" w:space="0" w:color="auto"/>
        <w:right w:val="none" w:sz="0" w:space="0" w:color="auto"/>
      </w:divBdr>
    </w:div>
    <w:div w:id="2070810700">
      <w:bodyDiv w:val="1"/>
      <w:marLeft w:val="0"/>
      <w:marRight w:val="0"/>
      <w:marTop w:val="0"/>
      <w:marBottom w:val="0"/>
      <w:divBdr>
        <w:top w:val="none" w:sz="0" w:space="0" w:color="auto"/>
        <w:left w:val="none" w:sz="0" w:space="0" w:color="auto"/>
        <w:bottom w:val="none" w:sz="0" w:space="0" w:color="auto"/>
        <w:right w:val="none" w:sz="0" w:space="0" w:color="auto"/>
      </w:divBdr>
    </w:div>
    <w:div w:id="2070959773">
      <w:bodyDiv w:val="1"/>
      <w:marLeft w:val="0"/>
      <w:marRight w:val="0"/>
      <w:marTop w:val="0"/>
      <w:marBottom w:val="0"/>
      <w:divBdr>
        <w:top w:val="none" w:sz="0" w:space="0" w:color="auto"/>
        <w:left w:val="none" w:sz="0" w:space="0" w:color="auto"/>
        <w:bottom w:val="none" w:sz="0" w:space="0" w:color="auto"/>
        <w:right w:val="none" w:sz="0" w:space="0" w:color="auto"/>
      </w:divBdr>
      <w:divsChild>
        <w:div w:id="1545362745">
          <w:marLeft w:val="0"/>
          <w:marRight w:val="0"/>
          <w:marTop w:val="0"/>
          <w:marBottom w:val="0"/>
          <w:divBdr>
            <w:top w:val="none" w:sz="0" w:space="0" w:color="auto"/>
            <w:left w:val="none" w:sz="0" w:space="0" w:color="auto"/>
            <w:bottom w:val="none" w:sz="0" w:space="0" w:color="auto"/>
            <w:right w:val="none" w:sz="0" w:space="0" w:color="auto"/>
          </w:divBdr>
        </w:div>
      </w:divsChild>
    </w:div>
    <w:div w:id="2071417860">
      <w:bodyDiv w:val="1"/>
      <w:marLeft w:val="0"/>
      <w:marRight w:val="0"/>
      <w:marTop w:val="0"/>
      <w:marBottom w:val="0"/>
      <w:divBdr>
        <w:top w:val="none" w:sz="0" w:space="0" w:color="auto"/>
        <w:left w:val="none" w:sz="0" w:space="0" w:color="auto"/>
        <w:bottom w:val="none" w:sz="0" w:space="0" w:color="auto"/>
        <w:right w:val="none" w:sz="0" w:space="0" w:color="auto"/>
      </w:divBdr>
    </w:div>
    <w:div w:id="2071687973">
      <w:bodyDiv w:val="1"/>
      <w:marLeft w:val="0"/>
      <w:marRight w:val="0"/>
      <w:marTop w:val="0"/>
      <w:marBottom w:val="0"/>
      <w:divBdr>
        <w:top w:val="none" w:sz="0" w:space="0" w:color="auto"/>
        <w:left w:val="none" w:sz="0" w:space="0" w:color="auto"/>
        <w:bottom w:val="none" w:sz="0" w:space="0" w:color="auto"/>
        <w:right w:val="none" w:sz="0" w:space="0" w:color="auto"/>
      </w:divBdr>
    </w:div>
    <w:div w:id="2072800644">
      <w:bodyDiv w:val="1"/>
      <w:marLeft w:val="0"/>
      <w:marRight w:val="0"/>
      <w:marTop w:val="0"/>
      <w:marBottom w:val="0"/>
      <w:divBdr>
        <w:top w:val="none" w:sz="0" w:space="0" w:color="auto"/>
        <w:left w:val="none" w:sz="0" w:space="0" w:color="auto"/>
        <w:bottom w:val="none" w:sz="0" w:space="0" w:color="auto"/>
        <w:right w:val="none" w:sz="0" w:space="0" w:color="auto"/>
      </w:divBdr>
    </w:div>
    <w:div w:id="2074154210">
      <w:bodyDiv w:val="1"/>
      <w:marLeft w:val="0"/>
      <w:marRight w:val="0"/>
      <w:marTop w:val="0"/>
      <w:marBottom w:val="0"/>
      <w:divBdr>
        <w:top w:val="none" w:sz="0" w:space="0" w:color="auto"/>
        <w:left w:val="none" w:sz="0" w:space="0" w:color="auto"/>
        <w:bottom w:val="none" w:sz="0" w:space="0" w:color="auto"/>
        <w:right w:val="none" w:sz="0" w:space="0" w:color="auto"/>
      </w:divBdr>
    </w:div>
    <w:div w:id="2074236069">
      <w:bodyDiv w:val="1"/>
      <w:marLeft w:val="0"/>
      <w:marRight w:val="0"/>
      <w:marTop w:val="0"/>
      <w:marBottom w:val="0"/>
      <w:divBdr>
        <w:top w:val="none" w:sz="0" w:space="0" w:color="auto"/>
        <w:left w:val="none" w:sz="0" w:space="0" w:color="auto"/>
        <w:bottom w:val="none" w:sz="0" w:space="0" w:color="auto"/>
        <w:right w:val="none" w:sz="0" w:space="0" w:color="auto"/>
      </w:divBdr>
    </w:div>
    <w:div w:id="2074887697">
      <w:bodyDiv w:val="1"/>
      <w:marLeft w:val="0"/>
      <w:marRight w:val="0"/>
      <w:marTop w:val="0"/>
      <w:marBottom w:val="0"/>
      <w:divBdr>
        <w:top w:val="none" w:sz="0" w:space="0" w:color="auto"/>
        <w:left w:val="none" w:sz="0" w:space="0" w:color="auto"/>
        <w:bottom w:val="none" w:sz="0" w:space="0" w:color="auto"/>
        <w:right w:val="none" w:sz="0" w:space="0" w:color="auto"/>
      </w:divBdr>
    </w:div>
    <w:div w:id="2075228749">
      <w:bodyDiv w:val="1"/>
      <w:marLeft w:val="0"/>
      <w:marRight w:val="0"/>
      <w:marTop w:val="0"/>
      <w:marBottom w:val="0"/>
      <w:divBdr>
        <w:top w:val="none" w:sz="0" w:space="0" w:color="auto"/>
        <w:left w:val="none" w:sz="0" w:space="0" w:color="auto"/>
        <w:bottom w:val="none" w:sz="0" w:space="0" w:color="auto"/>
        <w:right w:val="none" w:sz="0" w:space="0" w:color="auto"/>
      </w:divBdr>
    </w:div>
    <w:div w:id="2075347937">
      <w:bodyDiv w:val="1"/>
      <w:marLeft w:val="0"/>
      <w:marRight w:val="0"/>
      <w:marTop w:val="0"/>
      <w:marBottom w:val="0"/>
      <w:divBdr>
        <w:top w:val="none" w:sz="0" w:space="0" w:color="auto"/>
        <w:left w:val="none" w:sz="0" w:space="0" w:color="auto"/>
        <w:bottom w:val="none" w:sz="0" w:space="0" w:color="auto"/>
        <w:right w:val="none" w:sz="0" w:space="0" w:color="auto"/>
      </w:divBdr>
    </w:div>
    <w:div w:id="2076538900">
      <w:bodyDiv w:val="1"/>
      <w:marLeft w:val="0"/>
      <w:marRight w:val="0"/>
      <w:marTop w:val="0"/>
      <w:marBottom w:val="0"/>
      <w:divBdr>
        <w:top w:val="none" w:sz="0" w:space="0" w:color="auto"/>
        <w:left w:val="none" w:sz="0" w:space="0" w:color="auto"/>
        <w:bottom w:val="none" w:sz="0" w:space="0" w:color="auto"/>
        <w:right w:val="none" w:sz="0" w:space="0" w:color="auto"/>
      </w:divBdr>
    </w:div>
    <w:div w:id="2076778107">
      <w:bodyDiv w:val="1"/>
      <w:marLeft w:val="0"/>
      <w:marRight w:val="0"/>
      <w:marTop w:val="0"/>
      <w:marBottom w:val="0"/>
      <w:divBdr>
        <w:top w:val="none" w:sz="0" w:space="0" w:color="auto"/>
        <w:left w:val="none" w:sz="0" w:space="0" w:color="auto"/>
        <w:bottom w:val="none" w:sz="0" w:space="0" w:color="auto"/>
        <w:right w:val="none" w:sz="0" w:space="0" w:color="auto"/>
      </w:divBdr>
    </w:div>
    <w:div w:id="2078018494">
      <w:bodyDiv w:val="1"/>
      <w:marLeft w:val="0"/>
      <w:marRight w:val="0"/>
      <w:marTop w:val="0"/>
      <w:marBottom w:val="0"/>
      <w:divBdr>
        <w:top w:val="none" w:sz="0" w:space="0" w:color="auto"/>
        <w:left w:val="none" w:sz="0" w:space="0" w:color="auto"/>
        <w:bottom w:val="none" w:sz="0" w:space="0" w:color="auto"/>
        <w:right w:val="none" w:sz="0" w:space="0" w:color="auto"/>
      </w:divBdr>
    </w:div>
    <w:div w:id="2078622701">
      <w:bodyDiv w:val="1"/>
      <w:marLeft w:val="0"/>
      <w:marRight w:val="0"/>
      <w:marTop w:val="0"/>
      <w:marBottom w:val="0"/>
      <w:divBdr>
        <w:top w:val="none" w:sz="0" w:space="0" w:color="auto"/>
        <w:left w:val="none" w:sz="0" w:space="0" w:color="auto"/>
        <w:bottom w:val="none" w:sz="0" w:space="0" w:color="auto"/>
        <w:right w:val="none" w:sz="0" w:space="0" w:color="auto"/>
      </w:divBdr>
    </w:div>
    <w:div w:id="2078701317">
      <w:bodyDiv w:val="1"/>
      <w:marLeft w:val="0"/>
      <w:marRight w:val="0"/>
      <w:marTop w:val="0"/>
      <w:marBottom w:val="0"/>
      <w:divBdr>
        <w:top w:val="none" w:sz="0" w:space="0" w:color="auto"/>
        <w:left w:val="none" w:sz="0" w:space="0" w:color="auto"/>
        <w:bottom w:val="none" w:sz="0" w:space="0" w:color="auto"/>
        <w:right w:val="none" w:sz="0" w:space="0" w:color="auto"/>
      </w:divBdr>
    </w:div>
    <w:div w:id="2079209933">
      <w:bodyDiv w:val="1"/>
      <w:marLeft w:val="0"/>
      <w:marRight w:val="0"/>
      <w:marTop w:val="0"/>
      <w:marBottom w:val="0"/>
      <w:divBdr>
        <w:top w:val="none" w:sz="0" w:space="0" w:color="auto"/>
        <w:left w:val="none" w:sz="0" w:space="0" w:color="auto"/>
        <w:bottom w:val="none" w:sz="0" w:space="0" w:color="auto"/>
        <w:right w:val="none" w:sz="0" w:space="0" w:color="auto"/>
      </w:divBdr>
    </w:div>
    <w:div w:id="2079549345">
      <w:bodyDiv w:val="1"/>
      <w:marLeft w:val="0"/>
      <w:marRight w:val="0"/>
      <w:marTop w:val="0"/>
      <w:marBottom w:val="0"/>
      <w:divBdr>
        <w:top w:val="none" w:sz="0" w:space="0" w:color="auto"/>
        <w:left w:val="none" w:sz="0" w:space="0" w:color="auto"/>
        <w:bottom w:val="none" w:sz="0" w:space="0" w:color="auto"/>
        <w:right w:val="none" w:sz="0" w:space="0" w:color="auto"/>
      </w:divBdr>
    </w:div>
    <w:div w:id="2079594770">
      <w:bodyDiv w:val="1"/>
      <w:marLeft w:val="0"/>
      <w:marRight w:val="0"/>
      <w:marTop w:val="0"/>
      <w:marBottom w:val="0"/>
      <w:divBdr>
        <w:top w:val="none" w:sz="0" w:space="0" w:color="auto"/>
        <w:left w:val="none" w:sz="0" w:space="0" w:color="auto"/>
        <w:bottom w:val="none" w:sz="0" w:space="0" w:color="auto"/>
        <w:right w:val="none" w:sz="0" w:space="0" w:color="auto"/>
      </w:divBdr>
    </w:div>
    <w:div w:id="2080131680">
      <w:bodyDiv w:val="1"/>
      <w:marLeft w:val="0"/>
      <w:marRight w:val="0"/>
      <w:marTop w:val="0"/>
      <w:marBottom w:val="0"/>
      <w:divBdr>
        <w:top w:val="none" w:sz="0" w:space="0" w:color="auto"/>
        <w:left w:val="none" w:sz="0" w:space="0" w:color="auto"/>
        <w:bottom w:val="none" w:sz="0" w:space="0" w:color="auto"/>
        <w:right w:val="none" w:sz="0" w:space="0" w:color="auto"/>
      </w:divBdr>
    </w:div>
    <w:div w:id="2080859915">
      <w:bodyDiv w:val="1"/>
      <w:marLeft w:val="0"/>
      <w:marRight w:val="0"/>
      <w:marTop w:val="0"/>
      <w:marBottom w:val="0"/>
      <w:divBdr>
        <w:top w:val="none" w:sz="0" w:space="0" w:color="auto"/>
        <w:left w:val="none" w:sz="0" w:space="0" w:color="auto"/>
        <w:bottom w:val="none" w:sz="0" w:space="0" w:color="auto"/>
        <w:right w:val="none" w:sz="0" w:space="0" w:color="auto"/>
      </w:divBdr>
    </w:div>
    <w:div w:id="2081320819">
      <w:bodyDiv w:val="1"/>
      <w:marLeft w:val="0"/>
      <w:marRight w:val="0"/>
      <w:marTop w:val="0"/>
      <w:marBottom w:val="0"/>
      <w:divBdr>
        <w:top w:val="none" w:sz="0" w:space="0" w:color="auto"/>
        <w:left w:val="none" w:sz="0" w:space="0" w:color="auto"/>
        <w:bottom w:val="none" w:sz="0" w:space="0" w:color="auto"/>
        <w:right w:val="none" w:sz="0" w:space="0" w:color="auto"/>
      </w:divBdr>
    </w:div>
    <w:div w:id="2082100784">
      <w:bodyDiv w:val="1"/>
      <w:marLeft w:val="0"/>
      <w:marRight w:val="0"/>
      <w:marTop w:val="0"/>
      <w:marBottom w:val="0"/>
      <w:divBdr>
        <w:top w:val="none" w:sz="0" w:space="0" w:color="auto"/>
        <w:left w:val="none" w:sz="0" w:space="0" w:color="auto"/>
        <w:bottom w:val="none" w:sz="0" w:space="0" w:color="auto"/>
        <w:right w:val="none" w:sz="0" w:space="0" w:color="auto"/>
      </w:divBdr>
    </w:div>
    <w:div w:id="2082867069">
      <w:bodyDiv w:val="1"/>
      <w:marLeft w:val="0"/>
      <w:marRight w:val="0"/>
      <w:marTop w:val="0"/>
      <w:marBottom w:val="0"/>
      <w:divBdr>
        <w:top w:val="none" w:sz="0" w:space="0" w:color="auto"/>
        <w:left w:val="none" w:sz="0" w:space="0" w:color="auto"/>
        <w:bottom w:val="none" w:sz="0" w:space="0" w:color="auto"/>
        <w:right w:val="none" w:sz="0" w:space="0" w:color="auto"/>
      </w:divBdr>
    </w:div>
    <w:div w:id="2083218096">
      <w:bodyDiv w:val="1"/>
      <w:marLeft w:val="0"/>
      <w:marRight w:val="0"/>
      <w:marTop w:val="0"/>
      <w:marBottom w:val="0"/>
      <w:divBdr>
        <w:top w:val="none" w:sz="0" w:space="0" w:color="auto"/>
        <w:left w:val="none" w:sz="0" w:space="0" w:color="auto"/>
        <w:bottom w:val="none" w:sz="0" w:space="0" w:color="auto"/>
        <w:right w:val="none" w:sz="0" w:space="0" w:color="auto"/>
      </w:divBdr>
    </w:div>
    <w:div w:id="2083404939">
      <w:bodyDiv w:val="1"/>
      <w:marLeft w:val="0"/>
      <w:marRight w:val="0"/>
      <w:marTop w:val="0"/>
      <w:marBottom w:val="0"/>
      <w:divBdr>
        <w:top w:val="none" w:sz="0" w:space="0" w:color="auto"/>
        <w:left w:val="none" w:sz="0" w:space="0" w:color="auto"/>
        <w:bottom w:val="none" w:sz="0" w:space="0" w:color="auto"/>
        <w:right w:val="none" w:sz="0" w:space="0" w:color="auto"/>
      </w:divBdr>
    </w:div>
    <w:div w:id="2084334273">
      <w:bodyDiv w:val="1"/>
      <w:marLeft w:val="0"/>
      <w:marRight w:val="0"/>
      <w:marTop w:val="0"/>
      <w:marBottom w:val="0"/>
      <w:divBdr>
        <w:top w:val="none" w:sz="0" w:space="0" w:color="auto"/>
        <w:left w:val="none" w:sz="0" w:space="0" w:color="auto"/>
        <w:bottom w:val="none" w:sz="0" w:space="0" w:color="auto"/>
        <w:right w:val="none" w:sz="0" w:space="0" w:color="auto"/>
      </w:divBdr>
    </w:div>
    <w:div w:id="2084450402">
      <w:bodyDiv w:val="1"/>
      <w:marLeft w:val="0"/>
      <w:marRight w:val="0"/>
      <w:marTop w:val="0"/>
      <w:marBottom w:val="0"/>
      <w:divBdr>
        <w:top w:val="none" w:sz="0" w:space="0" w:color="auto"/>
        <w:left w:val="none" w:sz="0" w:space="0" w:color="auto"/>
        <w:bottom w:val="none" w:sz="0" w:space="0" w:color="auto"/>
        <w:right w:val="none" w:sz="0" w:space="0" w:color="auto"/>
      </w:divBdr>
    </w:div>
    <w:div w:id="2084840095">
      <w:bodyDiv w:val="1"/>
      <w:marLeft w:val="0"/>
      <w:marRight w:val="0"/>
      <w:marTop w:val="0"/>
      <w:marBottom w:val="0"/>
      <w:divBdr>
        <w:top w:val="none" w:sz="0" w:space="0" w:color="auto"/>
        <w:left w:val="none" w:sz="0" w:space="0" w:color="auto"/>
        <w:bottom w:val="none" w:sz="0" w:space="0" w:color="auto"/>
        <w:right w:val="none" w:sz="0" w:space="0" w:color="auto"/>
      </w:divBdr>
    </w:div>
    <w:div w:id="2085032392">
      <w:bodyDiv w:val="1"/>
      <w:marLeft w:val="0"/>
      <w:marRight w:val="0"/>
      <w:marTop w:val="0"/>
      <w:marBottom w:val="0"/>
      <w:divBdr>
        <w:top w:val="none" w:sz="0" w:space="0" w:color="auto"/>
        <w:left w:val="none" w:sz="0" w:space="0" w:color="auto"/>
        <w:bottom w:val="none" w:sz="0" w:space="0" w:color="auto"/>
        <w:right w:val="none" w:sz="0" w:space="0" w:color="auto"/>
      </w:divBdr>
    </w:div>
    <w:div w:id="2086293168">
      <w:bodyDiv w:val="1"/>
      <w:marLeft w:val="0"/>
      <w:marRight w:val="0"/>
      <w:marTop w:val="0"/>
      <w:marBottom w:val="0"/>
      <w:divBdr>
        <w:top w:val="none" w:sz="0" w:space="0" w:color="auto"/>
        <w:left w:val="none" w:sz="0" w:space="0" w:color="auto"/>
        <w:bottom w:val="none" w:sz="0" w:space="0" w:color="auto"/>
        <w:right w:val="none" w:sz="0" w:space="0" w:color="auto"/>
      </w:divBdr>
    </w:div>
    <w:div w:id="2086562062">
      <w:bodyDiv w:val="1"/>
      <w:marLeft w:val="0"/>
      <w:marRight w:val="0"/>
      <w:marTop w:val="0"/>
      <w:marBottom w:val="0"/>
      <w:divBdr>
        <w:top w:val="none" w:sz="0" w:space="0" w:color="auto"/>
        <w:left w:val="none" w:sz="0" w:space="0" w:color="auto"/>
        <w:bottom w:val="none" w:sz="0" w:space="0" w:color="auto"/>
        <w:right w:val="none" w:sz="0" w:space="0" w:color="auto"/>
      </w:divBdr>
    </w:div>
    <w:div w:id="2087144415">
      <w:bodyDiv w:val="1"/>
      <w:marLeft w:val="0"/>
      <w:marRight w:val="0"/>
      <w:marTop w:val="0"/>
      <w:marBottom w:val="0"/>
      <w:divBdr>
        <w:top w:val="none" w:sz="0" w:space="0" w:color="auto"/>
        <w:left w:val="none" w:sz="0" w:space="0" w:color="auto"/>
        <w:bottom w:val="none" w:sz="0" w:space="0" w:color="auto"/>
        <w:right w:val="none" w:sz="0" w:space="0" w:color="auto"/>
      </w:divBdr>
    </w:div>
    <w:div w:id="2087414440">
      <w:bodyDiv w:val="1"/>
      <w:marLeft w:val="0"/>
      <w:marRight w:val="0"/>
      <w:marTop w:val="0"/>
      <w:marBottom w:val="0"/>
      <w:divBdr>
        <w:top w:val="none" w:sz="0" w:space="0" w:color="auto"/>
        <w:left w:val="none" w:sz="0" w:space="0" w:color="auto"/>
        <w:bottom w:val="none" w:sz="0" w:space="0" w:color="auto"/>
        <w:right w:val="none" w:sz="0" w:space="0" w:color="auto"/>
      </w:divBdr>
    </w:div>
    <w:div w:id="2087992284">
      <w:bodyDiv w:val="1"/>
      <w:marLeft w:val="0"/>
      <w:marRight w:val="0"/>
      <w:marTop w:val="0"/>
      <w:marBottom w:val="0"/>
      <w:divBdr>
        <w:top w:val="none" w:sz="0" w:space="0" w:color="auto"/>
        <w:left w:val="none" w:sz="0" w:space="0" w:color="auto"/>
        <w:bottom w:val="none" w:sz="0" w:space="0" w:color="auto"/>
        <w:right w:val="none" w:sz="0" w:space="0" w:color="auto"/>
      </w:divBdr>
    </w:div>
    <w:div w:id="2088186753">
      <w:bodyDiv w:val="1"/>
      <w:marLeft w:val="0"/>
      <w:marRight w:val="0"/>
      <w:marTop w:val="0"/>
      <w:marBottom w:val="0"/>
      <w:divBdr>
        <w:top w:val="none" w:sz="0" w:space="0" w:color="auto"/>
        <w:left w:val="none" w:sz="0" w:space="0" w:color="auto"/>
        <w:bottom w:val="none" w:sz="0" w:space="0" w:color="auto"/>
        <w:right w:val="none" w:sz="0" w:space="0" w:color="auto"/>
      </w:divBdr>
    </w:div>
    <w:div w:id="2088381325">
      <w:bodyDiv w:val="1"/>
      <w:marLeft w:val="0"/>
      <w:marRight w:val="0"/>
      <w:marTop w:val="0"/>
      <w:marBottom w:val="0"/>
      <w:divBdr>
        <w:top w:val="none" w:sz="0" w:space="0" w:color="auto"/>
        <w:left w:val="none" w:sz="0" w:space="0" w:color="auto"/>
        <w:bottom w:val="none" w:sz="0" w:space="0" w:color="auto"/>
        <w:right w:val="none" w:sz="0" w:space="0" w:color="auto"/>
      </w:divBdr>
    </w:div>
    <w:div w:id="2088571241">
      <w:bodyDiv w:val="1"/>
      <w:marLeft w:val="0"/>
      <w:marRight w:val="0"/>
      <w:marTop w:val="0"/>
      <w:marBottom w:val="0"/>
      <w:divBdr>
        <w:top w:val="none" w:sz="0" w:space="0" w:color="auto"/>
        <w:left w:val="none" w:sz="0" w:space="0" w:color="auto"/>
        <w:bottom w:val="none" w:sz="0" w:space="0" w:color="auto"/>
        <w:right w:val="none" w:sz="0" w:space="0" w:color="auto"/>
      </w:divBdr>
    </w:div>
    <w:div w:id="2088767540">
      <w:bodyDiv w:val="1"/>
      <w:marLeft w:val="0"/>
      <w:marRight w:val="0"/>
      <w:marTop w:val="0"/>
      <w:marBottom w:val="0"/>
      <w:divBdr>
        <w:top w:val="none" w:sz="0" w:space="0" w:color="auto"/>
        <w:left w:val="none" w:sz="0" w:space="0" w:color="auto"/>
        <w:bottom w:val="none" w:sz="0" w:space="0" w:color="auto"/>
        <w:right w:val="none" w:sz="0" w:space="0" w:color="auto"/>
      </w:divBdr>
    </w:div>
    <w:div w:id="2088918719">
      <w:bodyDiv w:val="1"/>
      <w:marLeft w:val="0"/>
      <w:marRight w:val="0"/>
      <w:marTop w:val="0"/>
      <w:marBottom w:val="0"/>
      <w:divBdr>
        <w:top w:val="none" w:sz="0" w:space="0" w:color="auto"/>
        <w:left w:val="none" w:sz="0" w:space="0" w:color="auto"/>
        <w:bottom w:val="none" w:sz="0" w:space="0" w:color="auto"/>
        <w:right w:val="none" w:sz="0" w:space="0" w:color="auto"/>
      </w:divBdr>
    </w:div>
    <w:div w:id="2089425407">
      <w:bodyDiv w:val="1"/>
      <w:marLeft w:val="0"/>
      <w:marRight w:val="0"/>
      <w:marTop w:val="0"/>
      <w:marBottom w:val="0"/>
      <w:divBdr>
        <w:top w:val="none" w:sz="0" w:space="0" w:color="auto"/>
        <w:left w:val="none" w:sz="0" w:space="0" w:color="auto"/>
        <w:bottom w:val="none" w:sz="0" w:space="0" w:color="auto"/>
        <w:right w:val="none" w:sz="0" w:space="0" w:color="auto"/>
      </w:divBdr>
    </w:div>
    <w:div w:id="2089502305">
      <w:bodyDiv w:val="1"/>
      <w:marLeft w:val="0"/>
      <w:marRight w:val="0"/>
      <w:marTop w:val="0"/>
      <w:marBottom w:val="0"/>
      <w:divBdr>
        <w:top w:val="none" w:sz="0" w:space="0" w:color="auto"/>
        <w:left w:val="none" w:sz="0" w:space="0" w:color="auto"/>
        <w:bottom w:val="none" w:sz="0" w:space="0" w:color="auto"/>
        <w:right w:val="none" w:sz="0" w:space="0" w:color="auto"/>
      </w:divBdr>
    </w:div>
    <w:div w:id="2090080584">
      <w:bodyDiv w:val="1"/>
      <w:marLeft w:val="0"/>
      <w:marRight w:val="0"/>
      <w:marTop w:val="0"/>
      <w:marBottom w:val="0"/>
      <w:divBdr>
        <w:top w:val="none" w:sz="0" w:space="0" w:color="auto"/>
        <w:left w:val="none" w:sz="0" w:space="0" w:color="auto"/>
        <w:bottom w:val="none" w:sz="0" w:space="0" w:color="auto"/>
        <w:right w:val="none" w:sz="0" w:space="0" w:color="auto"/>
      </w:divBdr>
    </w:div>
    <w:div w:id="2090157040">
      <w:bodyDiv w:val="1"/>
      <w:marLeft w:val="0"/>
      <w:marRight w:val="0"/>
      <w:marTop w:val="0"/>
      <w:marBottom w:val="0"/>
      <w:divBdr>
        <w:top w:val="none" w:sz="0" w:space="0" w:color="auto"/>
        <w:left w:val="none" w:sz="0" w:space="0" w:color="auto"/>
        <w:bottom w:val="none" w:sz="0" w:space="0" w:color="auto"/>
        <w:right w:val="none" w:sz="0" w:space="0" w:color="auto"/>
      </w:divBdr>
    </w:div>
    <w:div w:id="2091150666">
      <w:bodyDiv w:val="1"/>
      <w:marLeft w:val="0"/>
      <w:marRight w:val="0"/>
      <w:marTop w:val="0"/>
      <w:marBottom w:val="0"/>
      <w:divBdr>
        <w:top w:val="none" w:sz="0" w:space="0" w:color="auto"/>
        <w:left w:val="none" w:sz="0" w:space="0" w:color="auto"/>
        <w:bottom w:val="none" w:sz="0" w:space="0" w:color="auto"/>
        <w:right w:val="none" w:sz="0" w:space="0" w:color="auto"/>
      </w:divBdr>
    </w:div>
    <w:div w:id="2091466776">
      <w:bodyDiv w:val="1"/>
      <w:marLeft w:val="0"/>
      <w:marRight w:val="0"/>
      <w:marTop w:val="0"/>
      <w:marBottom w:val="0"/>
      <w:divBdr>
        <w:top w:val="none" w:sz="0" w:space="0" w:color="auto"/>
        <w:left w:val="none" w:sz="0" w:space="0" w:color="auto"/>
        <w:bottom w:val="none" w:sz="0" w:space="0" w:color="auto"/>
        <w:right w:val="none" w:sz="0" w:space="0" w:color="auto"/>
      </w:divBdr>
    </w:div>
    <w:div w:id="2091468144">
      <w:bodyDiv w:val="1"/>
      <w:marLeft w:val="0"/>
      <w:marRight w:val="0"/>
      <w:marTop w:val="0"/>
      <w:marBottom w:val="0"/>
      <w:divBdr>
        <w:top w:val="none" w:sz="0" w:space="0" w:color="auto"/>
        <w:left w:val="none" w:sz="0" w:space="0" w:color="auto"/>
        <w:bottom w:val="none" w:sz="0" w:space="0" w:color="auto"/>
        <w:right w:val="none" w:sz="0" w:space="0" w:color="auto"/>
      </w:divBdr>
    </w:div>
    <w:div w:id="2091925699">
      <w:bodyDiv w:val="1"/>
      <w:marLeft w:val="0"/>
      <w:marRight w:val="0"/>
      <w:marTop w:val="0"/>
      <w:marBottom w:val="0"/>
      <w:divBdr>
        <w:top w:val="none" w:sz="0" w:space="0" w:color="auto"/>
        <w:left w:val="none" w:sz="0" w:space="0" w:color="auto"/>
        <w:bottom w:val="none" w:sz="0" w:space="0" w:color="auto"/>
        <w:right w:val="none" w:sz="0" w:space="0" w:color="auto"/>
      </w:divBdr>
    </w:div>
    <w:div w:id="2092504557">
      <w:bodyDiv w:val="1"/>
      <w:marLeft w:val="0"/>
      <w:marRight w:val="0"/>
      <w:marTop w:val="0"/>
      <w:marBottom w:val="0"/>
      <w:divBdr>
        <w:top w:val="none" w:sz="0" w:space="0" w:color="auto"/>
        <w:left w:val="none" w:sz="0" w:space="0" w:color="auto"/>
        <w:bottom w:val="none" w:sz="0" w:space="0" w:color="auto"/>
        <w:right w:val="none" w:sz="0" w:space="0" w:color="auto"/>
      </w:divBdr>
    </w:div>
    <w:div w:id="2093039490">
      <w:bodyDiv w:val="1"/>
      <w:marLeft w:val="0"/>
      <w:marRight w:val="0"/>
      <w:marTop w:val="0"/>
      <w:marBottom w:val="0"/>
      <w:divBdr>
        <w:top w:val="none" w:sz="0" w:space="0" w:color="auto"/>
        <w:left w:val="none" w:sz="0" w:space="0" w:color="auto"/>
        <w:bottom w:val="none" w:sz="0" w:space="0" w:color="auto"/>
        <w:right w:val="none" w:sz="0" w:space="0" w:color="auto"/>
      </w:divBdr>
    </w:div>
    <w:div w:id="2093967221">
      <w:bodyDiv w:val="1"/>
      <w:marLeft w:val="0"/>
      <w:marRight w:val="0"/>
      <w:marTop w:val="0"/>
      <w:marBottom w:val="0"/>
      <w:divBdr>
        <w:top w:val="none" w:sz="0" w:space="0" w:color="auto"/>
        <w:left w:val="none" w:sz="0" w:space="0" w:color="auto"/>
        <w:bottom w:val="none" w:sz="0" w:space="0" w:color="auto"/>
        <w:right w:val="none" w:sz="0" w:space="0" w:color="auto"/>
      </w:divBdr>
    </w:div>
    <w:div w:id="2095127131">
      <w:bodyDiv w:val="1"/>
      <w:marLeft w:val="0"/>
      <w:marRight w:val="0"/>
      <w:marTop w:val="0"/>
      <w:marBottom w:val="0"/>
      <w:divBdr>
        <w:top w:val="none" w:sz="0" w:space="0" w:color="auto"/>
        <w:left w:val="none" w:sz="0" w:space="0" w:color="auto"/>
        <w:bottom w:val="none" w:sz="0" w:space="0" w:color="auto"/>
        <w:right w:val="none" w:sz="0" w:space="0" w:color="auto"/>
      </w:divBdr>
    </w:div>
    <w:div w:id="2095664289">
      <w:bodyDiv w:val="1"/>
      <w:marLeft w:val="0"/>
      <w:marRight w:val="0"/>
      <w:marTop w:val="0"/>
      <w:marBottom w:val="0"/>
      <w:divBdr>
        <w:top w:val="none" w:sz="0" w:space="0" w:color="auto"/>
        <w:left w:val="none" w:sz="0" w:space="0" w:color="auto"/>
        <w:bottom w:val="none" w:sz="0" w:space="0" w:color="auto"/>
        <w:right w:val="none" w:sz="0" w:space="0" w:color="auto"/>
      </w:divBdr>
    </w:div>
    <w:div w:id="2096434176">
      <w:bodyDiv w:val="1"/>
      <w:marLeft w:val="0"/>
      <w:marRight w:val="0"/>
      <w:marTop w:val="0"/>
      <w:marBottom w:val="0"/>
      <w:divBdr>
        <w:top w:val="none" w:sz="0" w:space="0" w:color="auto"/>
        <w:left w:val="none" w:sz="0" w:space="0" w:color="auto"/>
        <w:bottom w:val="none" w:sz="0" w:space="0" w:color="auto"/>
        <w:right w:val="none" w:sz="0" w:space="0" w:color="auto"/>
      </w:divBdr>
    </w:div>
    <w:div w:id="2098016336">
      <w:bodyDiv w:val="1"/>
      <w:marLeft w:val="0"/>
      <w:marRight w:val="0"/>
      <w:marTop w:val="0"/>
      <w:marBottom w:val="0"/>
      <w:divBdr>
        <w:top w:val="none" w:sz="0" w:space="0" w:color="auto"/>
        <w:left w:val="none" w:sz="0" w:space="0" w:color="auto"/>
        <w:bottom w:val="none" w:sz="0" w:space="0" w:color="auto"/>
        <w:right w:val="none" w:sz="0" w:space="0" w:color="auto"/>
      </w:divBdr>
    </w:div>
    <w:div w:id="2098166042">
      <w:bodyDiv w:val="1"/>
      <w:marLeft w:val="0"/>
      <w:marRight w:val="0"/>
      <w:marTop w:val="0"/>
      <w:marBottom w:val="0"/>
      <w:divBdr>
        <w:top w:val="none" w:sz="0" w:space="0" w:color="auto"/>
        <w:left w:val="none" w:sz="0" w:space="0" w:color="auto"/>
        <w:bottom w:val="none" w:sz="0" w:space="0" w:color="auto"/>
        <w:right w:val="none" w:sz="0" w:space="0" w:color="auto"/>
      </w:divBdr>
    </w:div>
    <w:div w:id="2098205652">
      <w:bodyDiv w:val="1"/>
      <w:marLeft w:val="0"/>
      <w:marRight w:val="0"/>
      <w:marTop w:val="0"/>
      <w:marBottom w:val="0"/>
      <w:divBdr>
        <w:top w:val="none" w:sz="0" w:space="0" w:color="auto"/>
        <w:left w:val="none" w:sz="0" w:space="0" w:color="auto"/>
        <w:bottom w:val="none" w:sz="0" w:space="0" w:color="auto"/>
        <w:right w:val="none" w:sz="0" w:space="0" w:color="auto"/>
      </w:divBdr>
    </w:div>
    <w:div w:id="2098356138">
      <w:bodyDiv w:val="1"/>
      <w:marLeft w:val="0"/>
      <w:marRight w:val="0"/>
      <w:marTop w:val="0"/>
      <w:marBottom w:val="0"/>
      <w:divBdr>
        <w:top w:val="none" w:sz="0" w:space="0" w:color="auto"/>
        <w:left w:val="none" w:sz="0" w:space="0" w:color="auto"/>
        <w:bottom w:val="none" w:sz="0" w:space="0" w:color="auto"/>
        <w:right w:val="none" w:sz="0" w:space="0" w:color="auto"/>
      </w:divBdr>
    </w:div>
    <w:div w:id="2098364035">
      <w:bodyDiv w:val="1"/>
      <w:marLeft w:val="0"/>
      <w:marRight w:val="0"/>
      <w:marTop w:val="0"/>
      <w:marBottom w:val="0"/>
      <w:divBdr>
        <w:top w:val="none" w:sz="0" w:space="0" w:color="auto"/>
        <w:left w:val="none" w:sz="0" w:space="0" w:color="auto"/>
        <w:bottom w:val="none" w:sz="0" w:space="0" w:color="auto"/>
        <w:right w:val="none" w:sz="0" w:space="0" w:color="auto"/>
      </w:divBdr>
    </w:div>
    <w:div w:id="2098743016">
      <w:bodyDiv w:val="1"/>
      <w:marLeft w:val="0"/>
      <w:marRight w:val="0"/>
      <w:marTop w:val="0"/>
      <w:marBottom w:val="0"/>
      <w:divBdr>
        <w:top w:val="none" w:sz="0" w:space="0" w:color="auto"/>
        <w:left w:val="none" w:sz="0" w:space="0" w:color="auto"/>
        <w:bottom w:val="none" w:sz="0" w:space="0" w:color="auto"/>
        <w:right w:val="none" w:sz="0" w:space="0" w:color="auto"/>
      </w:divBdr>
    </w:div>
    <w:div w:id="2100638792">
      <w:bodyDiv w:val="1"/>
      <w:marLeft w:val="0"/>
      <w:marRight w:val="0"/>
      <w:marTop w:val="0"/>
      <w:marBottom w:val="0"/>
      <w:divBdr>
        <w:top w:val="none" w:sz="0" w:space="0" w:color="auto"/>
        <w:left w:val="none" w:sz="0" w:space="0" w:color="auto"/>
        <w:bottom w:val="none" w:sz="0" w:space="0" w:color="auto"/>
        <w:right w:val="none" w:sz="0" w:space="0" w:color="auto"/>
      </w:divBdr>
    </w:div>
    <w:div w:id="2100714379">
      <w:bodyDiv w:val="1"/>
      <w:marLeft w:val="0"/>
      <w:marRight w:val="0"/>
      <w:marTop w:val="0"/>
      <w:marBottom w:val="0"/>
      <w:divBdr>
        <w:top w:val="none" w:sz="0" w:space="0" w:color="auto"/>
        <w:left w:val="none" w:sz="0" w:space="0" w:color="auto"/>
        <w:bottom w:val="none" w:sz="0" w:space="0" w:color="auto"/>
        <w:right w:val="none" w:sz="0" w:space="0" w:color="auto"/>
      </w:divBdr>
    </w:div>
    <w:div w:id="2101753771">
      <w:bodyDiv w:val="1"/>
      <w:marLeft w:val="0"/>
      <w:marRight w:val="0"/>
      <w:marTop w:val="0"/>
      <w:marBottom w:val="0"/>
      <w:divBdr>
        <w:top w:val="none" w:sz="0" w:space="0" w:color="auto"/>
        <w:left w:val="none" w:sz="0" w:space="0" w:color="auto"/>
        <w:bottom w:val="none" w:sz="0" w:space="0" w:color="auto"/>
        <w:right w:val="none" w:sz="0" w:space="0" w:color="auto"/>
      </w:divBdr>
    </w:div>
    <w:div w:id="2101902413">
      <w:bodyDiv w:val="1"/>
      <w:marLeft w:val="0"/>
      <w:marRight w:val="0"/>
      <w:marTop w:val="0"/>
      <w:marBottom w:val="0"/>
      <w:divBdr>
        <w:top w:val="none" w:sz="0" w:space="0" w:color="auto"/>
        <w:left w:val="none" w:sz="0" w:space="0" w:color="auto"/>
        <w:bottom w:val="none" w:sz="0" w:space="0" w:color="auto"/>
        <w:right w:val="none" w:sz="0" w:space="0" w:color="auto"/>
      </w:divBdr>
    </w:div>
    <w:div w:id="2103255938">
      <w:bodyDiv w:val="1"/>
      <w:marLeft w:val="0"/>
      <w:marRight w:val="0"/>
      <w:marTop w:val="0"/>
      <w:marBottom w:val="0"/>
      <w:divBdr>
        <w:top w:val="none" w:sz="0" w:space="0" w:color="auto"/>
        <w:left w:val="none" w:sz="0" w:space="0" w:color="auto"/>
        <w:bottom w:val="none" w:sz="0" w:space="0" w:color="auto"/>
        <w:right w:val="none" w:sz="0" w:space="0" w:color="auto"/>
      </w:divBdr>
    </w:div>
    <w:div w:id="2103527193">
      <w:bodyDiv w:val="1"/>
      <w:marLeft w:val="0"/>
      <w:marRight w:val="0"/>
      <w:marTop w:val="0"/>
      <w:marBottom w:val="0"/>
      <w:divBdr>
        <w:top w:val="none" w:sz="0" w:space="0" w:color="auto"/>
        <w:left w:val="none" w:sz="0" w:space="0" w:color="auto"/>
        <w:bottom w:val="none" w:sz="0" w:space="0" w:color="auto"/>
        <w:right w:val="none" w:sz="0" w:space="0" w:color="auto"/>
      </w:divBdr>
    </w:div>
    <w:div w:id="2103984987">
      <w:bodyDiv w:val="1"/>
      <w:marLeft w:val="0"/>
      <w:marRight w:val="0"/>
      <w:marTop w:val="0"/>
      <w:marBottom w:val="0"/>
      <w:divBdr>
        <w:top w:val="none" w:sz="0" w:space="0" w:color="auto"/>
        <w:left w:val="none" w:sz="0" w:space="0" w:color="auto"/>
        <w:bottom w:val="none" w:sz="0" w:space="0" w:color="auto"/>
        <w:right w:val="none" w:sz="0" w:space="0" w:color="auto"/>
      </w:divBdr>
    </w:div>
    <w:div w:id="2104108815">
      <w:bodyDiv w:val="1"/>
      <w:marLeft w:val="0"/>
      <w:marRight w:val="0"/>
      <w:marTop w:val="0"/>
      <w:marBottom w:val="0"/>
      <w:divBdr>
        <w:top w:val="none" w:sz="0" w:space="0" w:color="auto"/>
        <w:left w:val="none" w:sz="0" w:space="0" w:color="auto"/>
        <w:bottom w:val="none" w:sz="0" w:space="0" w:color="auto"/>
        <w:right w:val="none" w:sz="0" w:space="0" w:color="auto"/>
      </w:divBdr>
    </w:div>
    <w:div w:id="2104261414">
      <w:bodyDiv w:val="1"/>
      <w:marLeft w:val="0"/>
      <w:marRight w:val="0"/>
      <w:marTop w:val="0"/>
      <w:marBottom w:val="0"/>
      <w:divBdr>
        <w:top w:val="none" w:sz="0" w:space="0" w:color="auto"/>
        <w:left w:val="none" w:sz="0" w:space="0" w:color="auto"/>
        <w:bottom w:val="none" w:sz="0" w:space="0" w:color="auto"/>
        <w:right w:val="none" w:sz="0" w:space="0" w:color="auto"/>
      </w:divBdr>
    </w:div>
    <w:div w:id="2104954013">
      <w:bodyDiv w:val="1"/>
      <w:marLeft w:val="0"/>
      <w:marRight w:val="0"/>
      <w:marTop w:val="0"/>
      <w:marBottom w:val="0"/>
      <w:divBdr>
        <w:top w:val="none" w:sz="0" w:space="0" w:color="auto"/>
        <w:left w:val="none" w:sz="0" w:space="0" w:color="auto"/>
        <w:bottom w:val="none" w:sz="0" w:space="0" w:color="auto"/>
        <w:right w:val="none" w:sz="0" w:space="0" w:color="auto"/>
      </w:divBdr>
    </w:div>
    <w:div w:id="2105301258">
      <w:bodyDiv w:val="1"/>
      <w:marLeft w:val="0"/>
      <w:marRight w:val="0"/>
      <w:marTop w:val="0"/>
      <w:marBottom w:val="0"/>
      <w:divBdr>
        <w:top w:val="none" w:sz="0" w:space="0" w:color="auto"/>
        <w:left w:val="none" w:sz="0" w:space="0" w:color="auto"/>
        <w:bottom w:val="none" w:sz="0" w:space="0" w:color="auto"/>
        <w:right w:val="none" w:sz="0" w:space="0" w:color="auto"/>
      </w:divBdr>
    </w:div>
    <w:div w:id="2105373416">
      <w:bodyDiv w:val="1"/>
      <w:marLeft w:val="0"/>
      <w:marRight w:val="0"/>
      <w:marTop w:val="0"/>
      <w:marBottom w:val="0"/>
      <w:divBdr>
        <w:top w:val="none" w:sz="0" w:space="0" w:color="auto"/>
        <w:left w:val="none" w:sz="0" w:space="0" w:color="auto"/>
        <w:bottom w:val="none" w:sz="0" w:space="0" w:color="auto"/>
        <w:right w:val="none" w:sz="0" w:space="0" w:color="auto"/>
      </w:divBdr>
    </w:div>
    <w:div w:id="2105876796">
      <w:bodyDiv w:val="1"/>
      <w:marLeft w:val="0"/>
      <w:marRight w:val="0"/>
      <w:marTop w:val="0"/>
      <w:marBottom w:val="0"/>
      <w:divBdr>
        <w:top w:val="none" w:sz="0" w:space="0" w:color="auto"/>
        <w:left w:val="none" w:sz="0" w:space="0" w:color="auto"/>
        <w:bottom w:val="none" w:sz="0" w:space="0" w:color="auto"/>
        <w:right w:val="none" w:sz="0" w:space="0" w:color="auto"/>
      </w:divBdr>
    </w:div>
    <w:div w:id="2105883895">
      <w:bodyDiv w:val="1"/>
      <w:marLeft w:val="0"/>
      <w:marRight w:val="0"/>
      <w:marTop w:val="0"/>
      <w:marBottom w:val="0"/>
      <w:divBdr>
        <w:top w:val="none" w:sz="0" w:space="0" w:color="auto"/>
        <w:left w:val="none" w:sz="0" w:space="0" w:color="auto"/>
        <w:bottom w:val="none" w:sz="0" w:space="0" w:color="auto"/>
        <w:right w:val="none" w:sz="0" w:space="0" w:color="auto"/>
      </w:divBdr>
    </w:div>
    <w:div w:id="2106030832">
      <w:bodyDiv w:val="1"/>
      <w:marLeft w:val="0"/>
      <w:marRight w:val="0"/>
      <w:marTop w:val="0"/>
      <w:marBottom w:val="0"/>
      <w:divBdr>
        <w:top w:val="none" w:sz="0" w:space="0" w:color="auto"/>
        <w:left w:val="none" w:sz="0" w:space="0" w:color="auto"/>
        <w:bottom w:val="none" w:sz="0" w:space="0" w:color="auto"/>
        <w:right w:val="none" w:sz="0" w:space="0" w:color="auto"/>
      </w:divBdr>
    </w:div>
    <w:div w:id="2106533382">
      <w:bodyDiv w:val="1"/>
      <w:marLeft w:val="0"/>
      <w:marRight w:val="0"/>
      <w:marTop w:val="0"/>
      <w:marBottom w:val="0"/>
      <w:divBdr>
        <w:top w:val="none" w:sz="0" w:space="0" w:color="auto"/>
        <w:left w:val="none" w:sz="0" w:space="0" w:color="auto"/>
        <w:bottom w:val="none" w:sz="0" w:space="0" w:color="auto"/>
        <w:right w:val="none" w:sz="0" w:space="0" w:color="auto"/>
      </w:divBdr>
    </w:div>
    <w:div w:id="2106657065">
      <w:bodyDiv w:val="1"/>
      <w:marLeft w:val="0"/>
      <w:marRight w:val="0"/>
      <w:marTop w:val="0"/>
      <w:marBottom w:val="0"/>
      <w:divBdr>
        <w:top w:val="none" w:sz="0" w:space="0" w:color="auto"/>
        <w:left w:val="none" w:sz="0" w:space="0" w:color="auto"/>
        <w:bottom w:val="none" w:sz="0" w:space="0" w:color="auto"/>
        <w:right w:val="none" w:sz="0" w:space="0" w:color="auto"/>
      </w:divBdr>
    </w:div>
    <w:div w:id="2107530034">
      <w:bodyDiv w:val="1"/>
      <w:marLeft w:val="0"/>
      <w:marRight w:val="0"/>
      <w:marTop w:val="0"/>
      <w:marBottom w:val="0"/>
      <w:divBdr>
        <w:top w:val="none" w:sz="0" w:space="0" w:color="auto"/>
        <w:left w:val="none" w:sz="0" w:space="0" w:color="auto"/>
        <w:bottom w:val="none" w:sz="0" w:space="0" w:color="auto"/>
        <w:right w:val="none" w:sz="0" w:space="0" w:color="auto"/>
      </w:divBdr>
    </w:div>
    <w:div w:id="2107991968">
      <w:bodyDiv w:val="1"/>
      <w:marLeft w:val="0"/>
      <w:marRight w:val="0"/>
      <w:marTop w:val="0"/>
      <w:marBottom w:val="0"/>
      <w:divBdr>
        <w:top w:val="none" w:sz="0" w:space="0" w:color="auto"/>
        <w:left w:val="none" w:sz="0" w:space="0" w:color="auto"/>
        <w:bottom w:val="none" w:sz="0" w:space="0" w:color="auto"/>
        <w:right w:val="none" w:sz="0" w:space="0" w:color="auto"/>
      </w:divBdr>
    </w:div>
    <w:div w:id="2108039023">
      <w:bodyDiv w:val="1"/>
      <w:marLeft w:val="0"/>
      <w:marRight w:val="0"/>
      <w:marTop w:val="0"/>
      <w:marBottom w:val="0"/>
      <w:divBdr>
        <w:top w:val="none" w:sz="0" w:space="0" w:color="auto"/>
        <w:left w:val="none" w:sz="0" w:space="0" w:color="auto"/>
        <w:bottom w:val="none" w:sz="0" w:space="0" w:color="auto"/>
        <w:right w:val="none" w:sz="0" w:space="0" w:color="auto"/>
      </w:divBdr>
    </w:div>
    <w:div w:id="2109962968">
      <w:bodyDiv w:val="1"/>
      <w:marLeft w:val="0"/>
      <w:marRight w:val="0"/>
      <w:marTop w:val="0"/>
      <w:marBottom w:val="0"/>
      <w:divBdr>
        <w:top w:val="none" w:sz="0" w:space="0" w:color="auto"/>
        <w:left w:val="none" w:sz="0" w:space="0" w:color="auto"/>
        <w:bottom w:val="none" w:sz="0" w:space="0" w:color="auto"/>
        <w:right w:val="none" w:sz="0" w:space="0" w:color="auto"/>
      </w:divBdr>
    </w:div>
    <w:div w:id="2110394658">
      <w:bodyDiv w:val="1"/>
      <w:marLeft w:val="0"/>
      <w:marRight w:val="0"/>
      <w:marTop w:val="0"/>
      <w:marBottom w:val="0"/>
      <w:divBdr>
        <w:top w:val="none" w:sz="0" w:space="0" w:color="auto"/>
        <w:left w:val="none" w:sz="0" w:space="0" w:color="auto"/>
        <w:bottom w:val="none" w:sz="0" w:space="0" w:color="auto"/>
        <w:right w:val="none" w:sz="0" w:space="0" w:color="auto"/>
      </w:divBdr>
    </w:div>
    <w:div w:id="2110662558">
      <w:bodyDiv w:val="1"/>
      <w:marLeft w:val="0"/>
      <w:marRight w:val="0"/>
      <w:marTop w:val="0"/>
      <w:marBottom w:val="0"/>
      <w:divBdr>
        <w:top w:val="none" w:sz="0" w:space="0" w:color="auto"/>
        <w:left w:val="none" w:sz="0" w:space="0" w:color="auto"/>
        <w:bottom w:val="none" w:sz="0" w:space="0" w:color="auto"/>
        <w:right w:val="none" w:sz="0" w:space="0" w:color="auto"/>
      </w:divBdr>
    </w:div>
    <w:div w:id="2110807232">
      <w:bodyDiv w:val="1"/>
      <w:marLeft w:val="0"/>
      <w:marRight w:val="0"/>
      <w:marTop w:val="0"/>
      <w:marBottom w:val="0"/>
      <w:divBdr>
        <w:top w:val="none" w:sz="0" w:space="0" w:color="auto"/>
        <w:left w:val="none" w:sz="0" w:space="0" w:color="auto"/>
        <w:bottom w:val="none" w:sz="0" w:space="0" w:color="auto"/>
        <w:right w:val="none" w:sz="0" w:space="0" w:color="auto"/>
      </w:divBdr>
    </w:div>
    <w:div w:id="2112315128">
      <w:bodyDiv w:val="1"/>
      <w:marLeft w:val="0"/>
      <w:marRight w:val="0"/>
      <w:marTop w:val="0"/>
      <w:marBottom w:val="0"/>
      <w:divBdr>
        <w:top w:val="none" w:sz="0" w:space="0" w:color="auto"/>
        <w:left w:val="none" w:sz="0" w:space="0" w:color="auto"/>
        <w:bottom w:val="none" w:sz="0" w:space="0" w:color="auto"/>
        <w:right w:val="none" w:sz="0" w:space="0" w:color="auto"/>
      </w:divBdr>
    </w:div>
    <w:div w:id="2113669727">
      <w:bodyDiv w:val="1"/>
      <w:marLeft w:val="0"/>
      <w:marRight w:val="0"/>
      <w:marTop w:val="0"/>
      <w:marBottom w:val="0"/>
      <w:divBdr>
        <w:top w:val="none" w:sz="0" w:space="0" w:color="auto"/>
        <w:left w:val="none" w:sz="0" w:space="0" w:color="auto"/>
        <w:bottom w:val="none" w:sz="0" w:space="0" w:color="auto"/>
        <w:right w:val="none" w:sz="0" w:space="0" w:color="auto"/>
      </w:divBdr>
    </w:div>
    <w:div w:id="2115704388">
      <w:bodyDiv w:val="1"/>
      <w:marLeft w:val="0"/>
      <w:marRight w:val="0"/>
      <w:marTop w:val="0"/>
      <w:marBottom w:val="0"/>
      <w:divBdr>
        <w:top w:val="none" w:sz="0" w:space="0" w:color="auto"/>
        <w:left w:val="none" w:sz="0" w:space="0" w:color="auto"/>
        <w:bottom w:val="none" w:sz="0" w:space="0" w:color="auto"/>
        <w:right w:val="none" w:sz="0" w:space="0" w:color="auto"/>
      </w:divBdr>
    </w:div>
    <w:div w:id="2115780605">
      <w:bodyDiv w:val="1"/>
      <w:marLeft w:val="0"/>
      <w:marRight w:val="0"/>
      <w:marTop w:val="0"/>
      <w:marBottom w:val="0"/>
      <w:divBdr>
        <w:top w:val="none" w:sz="0" w:space="0" w:color="auto"/>
        <w:left w:val="none" w:sz="0" w:space="0" w:color="auto"/>
        <w:bottom w:val="none" w:sz="0" w:space="0" w:color="auto"/>
        <w:right w:val="none" w:sz="0" w:space="0" w:color="auto"/>
      </w:divBdr>
    </w:div>
    <w:div w:id="2115830066">
      <w:bodyDiv w:val="1"/>
      <w:marLeft w:val="0"/>
      <w:marRight w:val="0"/>
      <w:marTop w:val="0"/>
      <w:marBottom w:val="0"/>
      <w:divBdr>
        <w:top w:val="none" w:sz="0" w:space="0" w:color="auto"/>
        <w:left w:val="none" w:sz="0" w:space="0" w:color="auto"/>
        <w:bottom w:val="none" w:sz="0" w:space="0" w:color="auto"/>
        <w:right w:val="none" w:sz="0" w:space="0" w:color="auto"/>
      </w:divBdr>
    </w:div>
    <w:div w:id="2116358776">
      <w:bodyDiv w:val="1"/>
      <w:marLeft w:val="0"/>
      <w:marRight w:val="0"/>
      <w:marTop w:val="0"/>
      <w:marBottom w:val="0"/>
      <w:divBdr>
        <w:top w:val="none" w:sz="0" w:space="0" w:color="auto"/>
        <w:left w:val="none" w:sz="0" w:space="0" w:color="auto"/>
        <w:bottom w:val="none" w:sz="0" w:space="0" w:color="auto"/>
        <w:right w:val="none" w:sz="0" w:space="0" w:color="auto"/>
      </w:divBdr>
    </w:div>
    <w:div w:id="2116514782">
      <w:bodyDiv w:val="1"/>
      <w:marLeft w:val="0"/>
      <w:marRight w:val="0"/>
      <w:marTop w:val="0"/>
      <w:marBottom w:val="0"/>
      <w:divBdr>
        <w:top w:val="none" w:sz="0" w:space="0" w:color="auto"/>
        <w:left w:val="none" w:sz="0" w:space="0" w:color="auto"/>
        <w:bottom w:val="none" w:sz="0" w:space="0" w:color="auto"/>
        <w:right w:val="none" w:sz="0" w:space="0" w:color="auto"/>
      </w:divBdr>
    </w:div>
    <w:div w:id="2116517517">
      <w:bodyDiv w:val="1"/>
      <w:marLeft w:val="0"/>
      <w:marRight w:val="0"/>
      <w:marTop w:val="0"/>
      <w:marBottom w:val="0"/>
      <w:divBdr>
        <w:top w:val="none" w:sz="0" w:space="0" w:color="auto"/>
        <w:left w:val="none" w:sz="0" w:space="0" w:color="auto"/>
        <w:bottom w:val="none" w:sz="0" w:space="0" w:color="auto"/>
        <w:right w:val="none" w:sz="0" w:space="0" w:color="auto"/>
      </w:divBdr>
    </w:div>
    <w:div w:id="2117090445">
      <w:bodyDiv w:val="1"/>
      <w:marLeft w:val="0"/>
      <w:marRight w:val="0"/>
      <w:marTop w:val="0"/>
      <w:marBottom w:val="0"/>
      <w:divBdr>
        <w:top w:val="none" w:sz="0" w:space="0" w:color="auto"/>
        <w:left w:val="none" w:sz="0" w:space="0" w:color="auto"/>
        <w:bottom w:val="none" w:sz="0" w:space="0" w:color="auto"/>
        <w:right w:val="none" w:sz="0" w:space="0" w:color="auto"/>
      </w:divBdr>
    </w:div>
    <w:div w:id="2117283640">
      <w:bodyDiv w:val="1"/>
      <w:marLeft w:val="0"/>
      <w:marRight w:val="0"/>
      <w:marTop w:val="0"/>
      <w:marBottom w:val="0"/>
      <w:divBdr>
        <w:top w:val="none" w:sz="0" w:space="0" w:color="auto"/>
        <w:left w:val="none" w:sz="0" w:space="0" w:color="auto"/>
        <w:bottom w:val="none" w:sz="0" w:space="0" w:color="auto"/>
        <w:right w:val="none" w:sz="0" w:space="0" w:color="auto"/>
      </w:divBdr>
    </w:div>
    <w:div w:id="2118326010">
      <w:bodyDiv w:val="1"/>
      <w:marLeft w:val="0"/>
      <w:marRight w:val="0"/>
      <w:marTop w:val="0"/>
      <w:marBottom w:val="0"/>
      <w:divBdr>
        <w:top w:val="none" w:sz="0" w:space="0" w:color="auto"/>
        <w:left w:val="none" w:sz="0" w:space="0" w:color="auto"/>
        <w:bottom w:val="none" w:sz="0" w:space="0" w:color="auto"/>
        <w:right w:val="none" w:sz="0" w:space="0" w:color="auto"/>
      </w:divBdr>
    </w:div>
    <w:div w:id="2120642014">
      <w:bodyDiv w:val="1"/>
      <w:marLeft w:val="0"/>
      <w:marRight w:val="0"/>
      <w:marTop w:val="0"/>
      <w:marBottom w:val="0"/>
      <w:divBdr>
        <w:top w:val="none" w:sz="0" w:space="0" w:color="auto"/>
        <w:left w:val="none" w:sz="0" w:space="0" w:color="auto"/>
        <w:bottom w:val="none" w:sz="0" w:space="0" w:color="auto"/>
        <w:right w:val="none" w:sz="0" w:space="0" w:color="auto"/>
      </w:divBdr>
    </w:div>
    <w:div w:id="2121141122">
      <w:bodyDiv w:val="1"/>
      <w:marLeft w:val="0"/>
      <w:marRight w:val="0"/>
      <w:marTop w:val="0"/>
      <w:marBottom w:val="0"/>
      <w:divBdr>
        <w:top w:val="none" w:sz="0" w:space="0" w:color="auto"/>
        <w:left w:val="none" w:sz="0" w:space="0" w:color="auto"/>
        <w:bottom w:val="none" w:sz="0" w:space="0" w:color="auto"/>
        <w:right w:val="none" w:sz="0" w:space="0" w:color="auto"/>
      </w:divBdr>
    </w:div>
    <w:div w:id="2121489041">
      <w:bodyDiv w:val="1"/>
      <w:marLeft w:val="0"/>
      <w:marRight w:val="0"/>
      <w:marTop w:val="0"/>
      <w:marBottom w:val="0"/>
      <w:divBdr>
        <w:top w:val="none" w:sz="0" w:space="0" w:color="auto"/>
        <w:left w:val="none" w:sz="0" w:space="0" w:color="auto"/>
        <w:bottom w:val="none" w:sz="0" w:space="0" w:color="auto"/>
        <w:right w:val="none" w:sz="0" w:space="0" w:color="auto"/>
      </w:divBdr>
    </w:div>
    <w:div w:id="2122261362">
      <w:bodyDiv w:val="1"/>
      <w:marLeft w:val="0"/>
      <w:marRight w:val="0"/>
      <w:marTop w:val="0"/>
      <w:marBottom w:val="0"/>
      <w:divBdr>
        <w:top w:val="none" w:sz="0" w:space="0" w:color="auto"/>
        <w:left w:val="none" w:sz="0" w:space="0" w:color="auto"/>
        <w:bottom w:val="none" w:sz="0" w:space="0" w:color="auto"/>
        <w:right w:val="none" w:sz="0" w:space="0" w:color="auto"/>
      </w:divBdr>
    </w:div>
    <w:div w:id="2122414790">
      <w:bodyDiv w:val="1"/>
      <w:marLeft w:val="0"/>
      <w:marRight w:val="0"/>
      <w:marTop w:val="0"/>
      <w:marBottom w:val="0"/>
      <w:divBdr>
        <w:top w:val="none" w:sz="0" w:space="0" w:color="auto"/>
        <w:left w:val="none" w:sz="0" w:space="0" w:color="auto"/>
        <w:bottom w:val="none" w:sz="0" w:space="0" w:color="auto"/>
        <w:right w:val="none" w:sz="0" w:space="0" w:color="auto"/>
      </w:divBdr>
    </w:div>
    <w:div w:id="2123839996">
      <w:bodyDiv w:val="1"/>
      <w:marLeft w:val="0"/>
      <w:marRight w:val="0"/>
      <w:marTop w:val="0"/>
      <w:marBottom w:val="0"/>
      <w:divBdr>
        <w:top w:val="none" w:sz="0" w:space="0" w:color="auto"/>
        <w:left w:val="none" w:sz="0" w:space="0" w:color="auto"/>
        <w:bottom w:val="none" w:sz="0" w:space="0" w:color="auto"/>
        <w:right w:val="none" w:sz="0" w:space="0" w:color="auto"/>
      </w:divBdr>
    </w:div>
    <w:div w:id="2124031935">
      <w:bodyDiv w:val="1"/>
      <w:marLeft w:val="0"/>
      <w:marRight w:val="0"/>
      <w:marTop w:val="0"/>
      <w:marBottom w:val="0"/>
      <w:divBdr>
        <w:top w:val="none" w:sz="0" w:space="0" w:color="auto"/>
        <w:left w:val="none" w:sz="0" w:space="0" w:color="auto"/>
        <w:bottom w:val="none" w:sz="0" w:space="0" w:color="auto"/>
        <w:right w:val="none" w:sz="0" w:space="0" w:color="auto"/>
      </w:divBdr>
    </w:div>
    <w:div w:id="2124688324">
      <w:bodyDiv w:val="1"/>
      <w:marLeft w:val="0"/>
      <w:marRight w:val="0"/>
      <w:marTop w:val="0"/>
      <w:marBottom w:val="0"/>
      <w:divBdr>
        <w:top w:val="none" w:sz="0" w:space="0" w:color="auto"/>
        <w:left w:val="none" w:sz="0" w:space="0" w:color="auto"/>
        <w:bottom w:val="none" w:sz="0" w:space="0" w:color="auto"/>
        <w:right w:val="none" w:sz="0" w:space="0" w:color="auto"/>
      </w:divBdr>
    </w:div>
    <w:div w:id="2124953119">
      <w:bodyDiv w:val="1"/>
      <w:marLeft w:val="0"/>
      <w:marRight w:val="0"/>
      <w:marTop w:val="0"/>
      <w:marBottom w:val="0"/>
      <w:divBdr>
        <w:top w:val="none" w:sz="0" w:space="0" w:color="auto"/>
        <w:left w:val="none" w:sz="0" w:space="0" w:color="auto"/>
        <w:bottom w:val="none" w:sz="0" w:space="0" w:color="auto"/>
        <w:right w:val="none" w:sz="0" w:space="0" w:color="auto"/>
      </w:divBdr>
    </w:div>
    <w:div w:id="2125270274">
      <w:bodyDiv w:val="1"/>
      <w:marLeft w:val="0"/>
      <w:marRight w:val="0"/>
      <w:marTop w:val="0"/>
      <w:marBottom w:val="0"/>
      <w:divBdr>
        <w:top w:val="none" w:sz="0" w:space="0" w:color="auto"/>
        <w:left w:val="none" w:sz="0" w:space="0" w:color="auto"/>
        <w:bottom w:val="none" w:sz="0" w:space="0" w:color="auto"/>
        <w:right w:val="none" w:sz="0" w:space="0" w:color="auto"/>
      </w:divBdr>
    </w:div>
    <w:div w:id="2126263219">
      <w:bodyDiv w:val="1"/>
      <w:marLeft w:val="0"/>
      <w:marRight w:val="0"/>
      <w:marTop w:val="0"/>
      <w:marBottom w:val="0"/>
      <w:divBdr>
        <w:top w:val="none" w:sz="0" w:space="0" w:color="auto"/>
        <w:left w:val="none" w:sz="0" w:space="0" w:color="auto"/>
        <w:bottom w:val="none" w:sz="0" w:space="0" w:color="auto"/>
        <w:right w:val="none" w:sz="0" w:space="0" w:color="auto"/>
      </w:divBdr>
    </w:div>
    <w:div w:id="2126387448">
      <w:bodyDiv w:val="1"/>
      <w:marLeft w:val="0"/>
      <w:marRight w:val="0"/>
      <w:marTop w:val="0"/>
      <w:marBottom w:val="0"/>
      <w:divBdr>
        <w:top w:val="none" w:sz="0" w:space="0" w:color="auto"/>
        <w:left w:val="none" w:sz="0" w:space="0" w:color="auto"/>
        <w:bottom w:val="none" w:sz="0" w:space="0" w:color="auto"/>
        <w:right w:val="none" w:sz="0" w:space="0" w:color="auto"/>
      </w:divBdr>
    </w:div>
    <w:div w:id="2126653998">
      <w:bodyDiv w:val="1"/>
      <w:marLeft w:val="0"/>
      <w:marRight w:val="0"/>
      <w:marTop w:val="0"/>
      <w:marBottom w:val="0"/>
      <w:divBdr>
        <w:top w:val="none" w:sz="0" w:space="0" w:color="auto"/>
        <w:left w:val="none" w:sz="0" w:space="0" w:color="auto"/>
        <w:bottom w:val="none" w:sz="0" w:space="0" w:color="auto"/>
        <w:right w:val="none" w:sz="0" w:space="0" w:color="auto"/>
      </w:divBdr>
    </w:div>
    <w:div w:id="2126804168">
      <w:bodyDiv w:val="1"/>
      <w:marLeft w:val="0"/>
      <w:marRight w:val="0"/>
      <w:marTop w:val="0"/>
      <w:marBottom w:val="0"/>
      <w:divBdr>
        <w:top w:val="none" w:sz="0" w:space="0" w:color="auto"/>
        <w:left w:val="none" w:sz="0" w:space="0" w:color="auto"/>
        <w:bottom w:val="none" w:sz="0" w:space="0" w:color="auto"/>
        <w:right w:val="none" w:sz="0" w:space="0" w:color="auto"/>
      </w:divBdr>
    </w:div>
    <w:div w:id="2126995761">
      <w:bodyDiv w:val="1"/>
      <w:marLeft w:val="0"/>
      <w:marRight w:val="0"/>
      <w:marTop w:val="0"/>
      <w:marBottom w:val="0"/>
      <w:divBdr>
        <w:top w:val="none" w:sz="0" w:space="0" w:color="auto"/>
        <w:left w:val="none" w:sz="0" w:space="0" w:color="auto"/>
        <w:bottom w:val="none" w:sz="0" w:space="0" w:color="auto"/>
        <w:right w:val="none" w:sz="0" w:space="0" w:color="auto"/>
      </w:divBdr>
    </w:div>
    <w:div w:id="2129084333">
      <w:bodyDiv w:val="1"/>
      <w:marLeft w:val="0"/>
      <w:marRight w:val="0"/>
      <w:marTop w:val="0"/>
      <w:marBottom w:val="0"/>
      <w:divBdr>
        <w:top w:val="none" w:sz="0" w:space="0" w:color="auto"/>
        <w:left w:val="none" w:sz="0" w:space="0" w:color="auto"/>
        <w:bottom w:val="none" w:sz="0" w:space="0" w:color="auto"/>
        <w:right w:val="none" w:sz="0" w:space="0" w:color="auto"/>
      </w:divBdr>
    </w:div>
    <w:div w:id="2129275163">
      <w:bodyDiv w:val="1"/>
      <w:marLeft w:val="0"/>
      <w:marRight w:val="0"/>
      <w:marTop w:val="0"/>
      <w:marBottom w:val="0"/>
      <w:divBdr>
        <w:top w:val="none" w:sz="0" w:space="0" w:color="auto"/>
        <w:left w:val="none" w:sz="0" w:space="0" w:color="auto"/>
        <w:bottom w:val="none" w:sz="0" w:space="0" w:color="auto"/>
        <w:right w:val="none" w:sz="0" w:space="0" w:color="auto"/>
      </w:divBdr>
    </w:div>
    <w:div w:id="2129663594">
      <w:bodyDiv w:val="1"/>
      <w:marLeft w:val="0"/>
      <w:marRight w:val="0"/>
      <w:marTop w:val="0"/>
      <w:marBottom w:val="0"/>
      <w:divBdr>
        <w:top w:val="none" w:sz="0" w:space="0" w:color="auto"/>
        <w:left w:val="none" w:sz="0" w:space="0" w:color="auto"/>
        <w:bottom w:val="none" w:sz="0" w:space="0" w:color="auto"/>
        <w:right w:val="none" w:sz="0" w:space="0" w:color="auto"/>
      </w:divBdr>
    </w:div>
    <w:div w:id="2130004530">
      <w:bodyDiv w:val="1"/>
      <w:marLeft w:val="0"/>
      <w:marRight w:val="0"/>
      <w:marTop w:val="0"/>
      <w:marBottom w:val="0"/>
      <w:divBdr>
        <w:top w:val="none" w:sz="0" w:space="0" w:color="auto"/>
        <w:left w:val="none" w:sz="0" w:space="0" w:color="auto"/>
        <w:bottom w:val="none" w:sz="0" w:space="0" w:color="auto"/>
        <w:right w:val="none" w:sz="0" w:space="0" w:color="auto"/>
      </w:divBdr>
    </w:div>
    <w:div w:id="2130345593">
      <w:bodyDiv w:val="1"/>
      <w:marLeft w:val="0"/>
      <w:marRight w:val="0"/>
      <w:marTop w:val="0"/>
      <w:marBottom w:val="0"/>
      <w:divBdr>
        <w:top w:val="none" w:sz="0" w:space="0" w:color="auto"/>
        <w:left w:val="none" w:sz="0" w:space="0" w:color="auto"/>
        <w:bottom w:val="none" w:sz="0" w:space="0" w:color="auto"/>
        <w:right w:val="none" w:sz="0" w:space="0" w:color="auto"/>
      </w:divBdr>
    </w:div>
    <w:div w:id="2132937611">
      <w:bodyDiv w:val="1"/>
      <w:marLeft w:val="0"/>
      <w:marRight w:val="0"/>
      <w:marTop w:val="0"/>
      <w:marBottom w:val="0"/>
      <w:divBdr>
        <w:top w:val="none" w:sz="0" w:space="0" w:color="auto"/>
        <w:left w:val="none" w:sz="0" w:space="0" w:color="auto"/>
        <w:bottom w:val="none" w:sz="0" w:space="0" w:color="auto"/>
        <w:right w:val="none" w:sz="0" w:space="0" w:color="auto"/>
      </w:divBdr>
    </w:div>
    <w:div w:id="2133665073">
      <w:bodyDiv w:val="1"/>
      <w:marLeft w:val="0"/>
      <w:marRight w:val="0"/>
      <w:marTop w:val="0"/>
      <w:marBottom w:val="0"/>
      <w:divBdr>
        <w:top w:val="none" w:sz="0" w:space="0" w:color="auto"/>
        <w:left w:val="none" w:sz="0" w:space="0" w:color="auto"/>
        <w:bottom w:val="none" w:sz="0" w:space="0" w:color="auto"/>
        <w:right w:val="none" w:sz="0" w:space="0" w:color="auto"/>
      </w:divBdr>
    </w:div>
    <w:div w:id="2133669559">
      <w:bodyDiv w:val="1"/>
      <w:marLeft w:val="0"/>
      <w:marRight w:val="0"/>
      <w:marTop w:val="0"/>
      <w:marBottom w:val="0"/>
      <w:divBdr>
        <w:top w:val="none" w:sz="0" w:space="0" w:color="auto"/>
        <w:left w:val="none" w:sz="0" w:space="0" w:color="auto"/>
        <w:bottom w:val="none" w:sz="0" w:space="0" w:color="auto"/>
        <w:right w:val="none" w:sz="0" w:space="0" w:color="auto"/>
      </w:divBdr>
    </w:div>
    <w:div w:id="2133866072">
      <w:bodyDiv w:val="1"/>
      <w:marLeft w:val="0"/>
      <w:marRight w:val="0"/>
      <w:marTop w:val="0"/>
      <w:marBottom w:val="0"/>
      <w:divBdr>
        <w:top w:val="none" w:sz="0" w:space="0" w:color="auto"/>
        <w:left w:val="none" w:sz="0" w:space="0" w:color="auto"/>
        <w:bottom w:val="none" w:sz="0" w:space="0" w:color="auto"/>
        <w:right w:val="none" w:sz="0" w:space="0" w:color="auto"/>
      </w:divBdr>
    </w:div>
    <w:div w:id="2134398092">
      <w:bodyDiv w:val="1"/>
      <w:marLeft w:val="0"/>
      <w:marRight w:val="0"/>
      <w:marTop w:val="0"/>
      <w:marBottom w:val="0"/>
      <w:divBdr>
        <w:top w:val="none" w:sz="0" w:space="0" w:color="auto"/>
        <w:left w:val="none" w:sz="0" w:space="0" w:color="auto"/>
        <w:bottom w:val="none" w:sz="0" w:space="0" w:color="auto"/>
        <w:right w:val="none" w:sz="0" w:space="0" w:color="auto"/>
      </w:divBdr>
    </w:div>
    <w:div w:id="2136285730">
      <w:bodyDiv w:val="1"/>
      <w:marLeft w:val="0"/>
      <w:marRight w:val="0"/>
      <w:marTop w:val="0"/>
      <w:marBottom w:val="0"/>
      <w:divBdr>
        <w:top w:val="none" w:sz="0" w:space="0" w:color="auto"/>
        <w:left w:val="none" w:sz="0" w:space="0" w:color="auto"/>
        <w:bottom w:val="none" w:sz="0" w:space="0" w:color="auto"/>
        <w:right w:val="none" w:sz="0" w:space="0" w:color="auto"/>
      </w:divBdr>
    </w:div>
    <w:div w:id="2136558370">
      <w:bodyDiv w:val="1"/>
      <w:marLeft w:val="0"/>
      <w:marRight w:val="0"/>
      <w:marTop w:val="0"/>
      <w:marBottom w:val="0"/>
      <w:divBdr>
        <w:top w:val="none" w:sz="0" w:space="0" w:color="auto"/>
        <w:left w:val="none" w:sz="0" w:space="0" w:color="auto"/>
        <w:bottom w:val="none" w:sz="0" w:space="0" w:color="auto"/>
        <w:right w:val="none" w:sz="0" w:space="0" w:color="auto"/>
      </w:divBdr>
    </w:div>
    <w:div w:id="2137328615">
      <w:bodyDiv w:val="1"/>
      <w:marLeft w:val="0"/>
      <w:marRight w:val="0"/>
      <w:marTop w:val="0"/>
      <w:marBottom w:val="0"/>
      <w:divBdr>
        <w:top w:val="none" w:sz="0" w:space="0" w:color="auto"/>
        <w:left w:val="none" w:sz="0" w:space="0" w:color="auto"/>
        <w:bottom w:val="none" w:sz="0" w:space="0" w:color="auto"/>
        <w:right w:val="none" w:sz="0" w:space="0" w:color="auto"/>
      </w:divBdr>
    </w:div>
    <w:div w:id="2137404288">
      <w:bodyDiv w:val="1"/>
      <w:marLeft w:val="0"/>
      <w:marRight w:val="0"/>
      <w:marTop w:val="0"/>
      <w:marBottom w:val="0"/>
      <w:divBdr>
        <w:top w:val="none" w:sz="0" w:space="0" w:color="auto"/>
        <w:left w:val="none" w:sz="0" w:space="0" w:color="auto"/>
        <w:bottom w:val="none" w:sz="0" w:space="0" w:color="auto"/>
        <w:right w:val="none" w:sz="0" w:space="0" w:color="auto"/>
      </w:divBdr>
    </w:div>
    <w:div w:id="2137674269">
      <w:bodyDiv w:val="1"/>
      <w:marLeft w:val="0"/>
      <w:marRight w:val="0"/>
      <w:marTop w:val="0"/>
      <w:marBottom w:val="0"/>
      <w:divBdr>
        <w:top w:val="none" w:sz="0" w:space="0" w:color="auto"/>
        <w:left w:val="none" w:sz="0" w:space="0" w:color="auto"/>
        <w:bottom w:val="none" w:sz="0" w:space="0" w:color="auto"/>
        <w:right w:val="none" w:sz="0" w:space="0" w:color="auto"/>
      </w:divBdr>
    </w:div>
    <w:div w:id="2138374932">
      <w:bodyDiv w:val="1"/>
      <w:marLeft w:val="0"/>
      <w:marRight w:val="0"/>
      <w:marTop w:val="0"/>
      <w:marBottom w:val="0"/>
      <w:divBdr>
        <w:top w:val="none" w:sz="0" w:space="0" w:color="auto"/>
        <w:left w:val="none" w:sz="0" w:space="0" w:color="auto"/>
        <w:bottom w:val="none" w:sz="0" w:space="0" w:color="auto"/>
        <w:right w:val="none" w:sz="0" w:space="0" w:color="auto"/>
      </w:divBdr>
    </w:div>
    <w:div w:id="2138598439">
      <w:bodyDiv w:val="1"/>
      <w:marLeft w:val="0"/>
      <w:marRight w:val="0"/>
      <w:marTop w:val="0"/>
      <w:marBottom w:val="0"/>
      <w:divBdr>
        <w:top w:val="none" w:sz="0" w:space="0" w:color="auto"/>
        <w:left w:val="none" w:sz="0" w:space="0" w:color="auto"/>
        <w:bottom w:val="none" w:sz="0" w:space="0" w:color="auto"/>
        <w:right w:val="none" w:sz="0" w:space="0" w:color="auto"/>
      </w:divBdr>
    </w:div>
    <w:div w:id="2139373171">
      <w:bodyDiv w:val="1"/>
      <w:marLeft w:val="0"/>
      <w:marRight w:val="0"/>
      <w:marTop w:val="0"/>
      <w:marBottom w:val="0"/>
      <w:divBdr>
        <w:top w:val="none" w:sz="0" w:space="0" w:color="auto"/>
        <w:left w:val="none" w:sz="0" w:space="0" w:color="auto"/>
        <w:bottom w:val="none" w:sz="0" w:space="0" w:color="auto"/>
        <w:right w:val="none" w:sz="0" w:space="0" w:color="auto"/>
      </w:divBdr>
    </w:div>
    <w:div w:id="2139639632">
      <w:bodyDiv w:val="1"/>
      <w:marLeft w:val="0"/>
      <w:marRight w:val="0"/>
      <w:marTop w:val="0"/>
      <w:marBottom w:val="0"/>
      <w:divBdr>
        <w:top w:val="none" w:sz="0" w:space="0" w:color="auto"/>
        <w:left w:val="none" w:sz="0" w:space="0" w:color="auto"/>
        <w:bottom w:val="none" w:sz="0" w:space="0" w:color="auto"/>
        <w:right w:val="none" w:sz="0" w:space="0" w:color="auto"/>
      </w:divBdr>
    </w:div>
    <w:div w:id="2140100510">
      <w:bodyDiv w:val="1"/>
      <w:marLeft w:val="0"/>
      <w:marRight w:val="0"/>
      <w:marTop w:val="0"/>
      <w:marBottom w:val="0"/>
      <w:divBdr>
        <w:top w:val="none" w:sz="0" w:space="0" w:color="auto"/>
        <w:left w:val="none" w:sz="0" w:space="0" w:color="auto"/>
        <w:bottom w:val="none" w:sz="0" w:space="0" w:color="auto"/>
        <w:right w:val="none" w:sz="0" w:space="0" w:color="auto"/>
      </w:divBdr>
    </w:div>
    <w:div w:id="2140103489">
      <w:bodyDiv w:val="1"/>
      <w:marLeft w:val="0"/>
      <w:marRight w:val="0"/>
      <w:marTop w:val="0"/>
      <w:marBottom w:val="0"/>
      <w:divBdr>
        <w:top w:val="none" w:sz="0" w:space="0" w:color="auto"/>
        <w:left w:val="none" w:sz="0" w:space="0" w:color="auto"/>
        <w:bottom w:val="none" w:sz="0" w:space="0" w:color="auto"/>
        <w:right w:val="none" w:sz="0" w:space="0" w:color="auto"/>
      </w:divBdr>
    </w:div>
    <w:div w:id="2140146921">
      <w:bodyDiv w:val="1"/>
      <w:marLeft w:val="0"/>
      <w:marRight w:val="0"/>
      <w:marTop w:val="0"/>
      <w:marBottom w:val="0"/>
      <w:divBdr>
        <w:top w:val="none" w:sz="0" w:space="0" w:color="auto"/>
        <w:left w:val="none" w:sz="0" w:space="0" w:color="auto"/>
        <w:bottom w:val="none" w:sz="0" w:space="0" w:color="auto"/>
        <w:right w:val="none" w:sz="0" w:space="0" w:color="auto"/>
      </w:divBdr>
    </w:div>
    <w:div w:id="2140609246">
      <w:bodyDiv w:val="1"/>
      <w:marLeft w:val="0"/>
      <w:marRight w:val="0"/>
      <w:marTop w:val="0"/>
      <w:marBottom w:val="0"/>
      <w:divBdr>
        <w:top w:val="none" w:sz="0" w:space="0" w:color="auto"/>
        <w:left w:val="none" w:sz="0" w:space="0" w:color="auto"/>
        <w:bottom w:val="none" w:sz="0" w:space="0" w:color="auto"/>
        <w:right w:val="none" w:sz="0" w:space="0" w:color="auto"/>
      </w:divBdr>
    </w:div>
    <w:div w:id="2141412999">
      <w:bodyDiv w:val="1"/>
      <w:marLeft w:val="0"/>
      <w:marRight w:val="0"/>
      <w:marTop w:val="0"/>
      <w:marBottom w:val="0"/>
      <w:divBdr>
        <w:top w:val="none" w:sz="0" w:space="0" w:color="auto"/>
        <w:left w:val="none" w:sz="0" w:space="0" w:color="auto"/>
        <w:bottom w:val="none" w:sz="0" w:space="0" w:color="auto"/>
        <w:right w:val="none" w:sz="0" w:space="0" w:color="auto"/>
      </w:divBdr>
    </w:div>
    <w:div w:id="2142381532">
      <w:bodyDiv w:val="1"/>
      <w:marLeft w:val="0"/>
      <w:marRight w:val="0"/>
      <w:marTop w:val="0"/>
      <w:marBottom w:val="0"/>
      <w:divBdr>
        <w:top w:val="none" w:sz="0" w:space="0" w:color="auto"/>
        <w:left w:val="none" w:sz="0" w:space="0" w:color="auto"/>
        <w:bottom w:val="none" w:sz="0" w:space="0" w:color="auto"/>
        <w:right w:val="none" w:sz="0" w:space="0" w:color="auto"/>
      </w:divBdr>
    </w:div>
    <w:div w:id="2143382934">
      <w:bodyDiv w:val="1"/>
      <w:marLeft w:val="0"/>
      <w:marRight w:val="0"/>
      <w:marTop w:val="0"/>
      <w:marBottom w:val="0"/>
      <w:divBdr>
        <w:top w:val="none" w:sz="0" w:space="0" w:color="auto"/>
        <w:left w:val="none" w:sz="0" w:space="0" w:color="auto"/>
        <w:bottom w:val="none" w:sz="0" w:space="0" w:color="auto"/>
        <w:right w:val="none" w:sz="0" w:space="0" w:color="auto"/>
      </w:divBdr>
    </w:div>
    <w:div w:id="2143383373">
      <w:bodyDiv w:val="1"/>
      <w:marLeft w:val="0"/>
      <w:marRight w:val="0"/>
      <w:marTop w:val="0"/>
      <w:marBottom w:val="0"/>
      <w:divBdr>
        <w:top w:val="none" w:sz="0" w:space="0" w:color="auto"/>
        <w:left w:val="none" w:sz="0" w:space="0" w:color="auto"/>
        <w:bottom w:val="none" w:sz="0" w:space="0" w:color="auto"/>
        <w:right w:val="none" w:sz="0" w:space="0" w:color="auto"/>
      </w:divBdr>
    </w:div>
    <w:div w:id="2143503147">
      <w:bodyDiv w:val="1"/>
      <w:marLeft w:val="0"/>
      <w:marRight w:val="0"/>
      <w:marTop w:val="0"/>
      <w:marBottom w:val="0"/>
      <w:divBdr>
        <w:top w:val="none" w:sz="0" w:space="0" w:color="auto"/>
        <w:left w:val="none" w:sz="0" w:space="0" w:color="auto"/>
        <w:bottom w:val="none" w:sz="0" w:space="0" w:color="auto"/>
        <w:right w:val="none" w:sz="0" w:space="0" w:color="auto"/>
      </w:divBdr>
    </w:div>
    <w:div w:id="2143837710">
      <w:bodyDiv w:val="1"/>
      <w:marLeft w:val="0"/>
      <w:marRight w:val="0"/>
      <w:marTop w:val="0"/>
      <w:marBottom w:val="0"/>
      <w:divBdr>
        <w:top w:val="none" w:sz="0" w:space="0" w:color="auto"/>
        <w:left w:val="none" w:sz="0" w:space="0" w:color="auto"/>
        <w:bottom w:val="none" w:sz="0" w:space="0" w:color="auto"/>
        <w:right w:val="none" w:sz="0" w:space="0" w:color="auto"/>
      </w:divBdr>
    </w:div>
    <w:div w:id="2143958333">
      <w:bodyDiv w:val="1"/>
      <w:marLeft w:val="0"/>
      <w:marRight w:val="0"/>
      <w:marTop w:val="0"/>
      <w:marBottom w:val="0"/>
      <w:divBdr>
        <w:top w:val="none" w:sz="0" w:space="0" w:color="auto"/>
        <w:left w:val="none" w:sz="0" w:space="0" w:color="auto"/>
        <w:bottom w:val="none" w:sz="0" w:space="0" w:color="auto"/>
        <w:right w:val="none" w:sz="0" w:space="0" w:color="auto"/>
      </w:divBdr>
    </w:div>
    <w:div w:id="2144033858">
      <w:bodyDiv w:val="1"/>
      <w:marLeft w:val="0"/>
      <w:marRight w:val="0"/>
      <w:marTop w:val="0"/>
      <w:marBottom w:val="0"/>
      <w:divBdr>
        <w:top w:val="none" w:sz="0" w:space="0" w:color="auto"/>
        <w:left w:val="none" w:sz="0" w:space="0" w:color="auto"/>
        <w:bottom w:val="none" w:sz="0" w:space="0" w:color="auto"/>
        <w:right w:val="none" w:sz="0" w:space="0" w:color="auto"/>
      </w:divBdr>
    </w:div>
    <w:div w:id="2145073012">
      <w:bodyDiv w:val="1"/>
      <w:marLeft w:val="0"/>
      <w:marRight w:val="0"/>
      <w:marTop w:val="0"/>
      <w:marBottom w:val="0"/>
      <w:divBdr>
        <w:top w:val="none" w:sz="0" w:space="0" w:color="auto"/>
        <w:left w:val="none" w:sz="0" w:space="0" w:color="auto"/>
        <w:bottom w:val="none" w:sz="0" w:space="0" w:color="auto"/>
        <w:right w:val="none" w:sz="0" w:space="0" w:color="auto"/>
      </w:divBdr>
    </w:div>
    <w:div w:id="2145610375">
      <w:bodyDiv w:val="1"/>
      <w:marLeft w:val="0"/>
      <w:marRight w:val="0"/>
      <w:marTop w:val="0"/>
      <w:marBottom w:val="0"/>
      <w:divBdr>
        <w:top w:val="none" w:sz="0" w:space="0" w:color="auto"/>
        <w:left w:val="none" w:sz="0" w:space="0" w:color="auto"/>
        <w:bottom w:val="none" w:sz="0" w:space="0" w:color="auto"/>
        <w:right w:val="none" w:sz="0" w:space="0" w:color="auto"/>
      </w:divBdr>
    </w:div>
    <w:div w:id="2146042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numbering" Target="numbering.xml"/><Relationship Id="rId21" Type="http://schemas.openxmlformats.org/officeDocument/2006/relationships/header" Target="header9.xm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19.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5.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Deloitte">
  <a:themeElements>
    <a:clrScheme name="Deloitte new">
      <a:dk1>
        <a:srgbClr val="000000"/>
      </a:dk1>
      <a:lt1>
        <a:srgbClr val="FFFFFF"/>
      </a:lt1>
      <a:dk2>
        <a:srgbClr val="002776"/>
      </a:dk2>
      <a:lt2>
        <a:srgbClr val="FFFFFF"/>
      </a:lt2>
      <a:accent1>
        <a:srgbClr val="00A1DE"/>
      </a:accent1>
      <a:accent2>
        <a:srgbClr val="92D400"/>
      </a:accent2>
      <a:accent3>
        <a:srgbClr val="72C7E7"/>
      </a:accent3>
      <a:accent4>
        <a:srgbClr val="3C8A2E"/>
      </a:accent4>
      <a:accent5>
        <a:srgbClr val="002776"/>
      </a:accent5>
      <a:accent6>
        <a:srgbClr val="C9DD03"/>
      </a:accent6>
      <a:hlink>
        <a:srgbClr val="00A1DE"/>
      </a:hlink>
      <a:folHlink>
        <a:srgbClr val="72C7E7"/>
      </a:folHlink>
    </a:clrScheme>
    <a:fontScheme name="Deloitte">
      <a:majorFont>
        <a:latin typeface="Times New Roman"/>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solidFill>
            <a:schemeClr val="tx2"/>
          </a:solidFill>
        </a:ln>
      </a:spPr>
      <a:bodyPr rtlCol="0" anchor="ctr"/>
      <a:lstStyle>
        <a:defPPr algn="ctr">
          <a:defRPr dirty="0" smtClean="0"/>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spcAft>
            <a:spcPts val="300"/>
          </a:spcAft>
          <a:defRPr dirty="0" smtClean="0">
            <a:solidFill>
              <a:schemeClr val="tx2"/>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AEMSEngagementItemInfo xmlns="http://schemas.microsoft.com/DAEMSEngagementItemInfoXML">
  <EngagementID>5000250047</EngagementID>
  <LogicalEMSServerID>8068481974121508683</LogicalEMSServerID>
  <WorkingPaperID>3377893105000036622</WorkingPaperID>
</DAEMSEngagementItemInfo>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CC976-96E7-4176-A038-A07E26A82E28}">
  <ds:schemaRefs>
    <ds:schemaRef ds:uri="http://schemas.microsoft.com/DAEMSEngagementItemInfoXML"/>
  </ds:schemaRefs>
</ds:datastoreItem>
</file>

<file path=customXml/itemProps2.xml><?xml version="1.0" encoding="utf-8"?>
<ds:datastoreItem xmlns:ds="http://schemas.openxmlformats.org/officeDocument/2006/customXml" ds:itemID="{9EC664A1-2802-445B-B597-A7757A63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15480</Words>
  <Characters>88237</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103510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Reg Xiao Lang (CN - Shanghai)</dc:creator>
  <cp:keywords/>
  <dc:description/>
  <cp:lastModifiedBy>Yang, Qingsong</cp:lastModifiedBy>
  <cp:revision>1</cp:revision>
  <cp:lastPrinted>2024-04-08T04:48:00Z</cp:lastPrinted>
  <dcterms:created xsi:type="dcterms:W3CDTF">2024-07-18T08:01:00Z</dcterms:created>
  <dcterms:modified xsi:type="dcterms:W3CDTF">2024-07-18T08:01:00Z</dcterms:modified>
</cp:coreProperties>
</file>