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39"/>
        </w:rPr>
        <w:t>王 印 权</w:t>
      </w:r>
    </w:p>
    <w:p>
      <w:pPr>
        <w:spacing w:before="0" w:after="16"/>
      </w:pPr>
      <w:r>
        <w:rPr>
          <w:rFonts w:ascii="Arial Unicode MS" w:hAnsi="Arial Unicode MS" w:eastAsia="Arial Unicode MS"/>
          <w:b/>
          <w:i w:val="0"/>
          <w:color w:val="0E7C7B"/>
          <w:sz w:val="18"/>
        </w:rPr>
        <w:t>Agentic AI  ·  强化学习  ·  工业智能化与模型部署</w:t>
      </w:r>
    </w:p>
    <w:p>
      <w:pPr>
        <w:spacing w:before="0" w:after="24"/>
      </w:pPr>
      <w:r>
        <w:rPr>
          <w:rFonts w:ascii="Arial Unicode MS" w:hAnsi="Arial Unicode MS" w:eastAsia="Arial Unicode MS"/>
          <w:b w:val="0"/>
          <w:i w:val="0"/>
          <w:color w:val="5E6B78"/>
          <w:sz w:val="15"/>
        </w:rPr>
        <w:t>北京  |  +86-198-0120-8423  |  yinquanwang@qq.com  |  github.com/yqwang96  |  yqwang96.github.io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个人简介</w:t>
      </w:r>
    </w:p>
    <w:p>
      <w:pPr>
        <w:spacing w:after="10" w:line="240" w:lineRule="auto"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系统科学博士，聚焦 Agentic AI、强化学习与工业智能化落地。具备企业级 Agent Runtime/Harness、Context Engineering、RAG/GraphRAG、Agent RLVR 及 CUDA/昇腾异构推理服务经验；完成供热控制、煤矿安全等项目从需求分析、数据治理、模型训练、服务部署、系统集成到生产效果复盘的端到端交付。博士阶段研究强化学习与运筹优化，发表 SCI 论文4篇。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专业技能</w:t>
      </w:r>
    </w:p>
    <w:p>
      <w:pPr>
        <w:spacing w:before="0" w:after="7" w:line="240" w:lineRule="auto"/>
      </w:pPr>
      <w:r>
        <w:rPr>
          <w:rFonts w:ascii="Arial Unicode MS" w:hAnsi="Arial Unicode MS" w:eastAsia="Arial Unicode MS"/>
          <w:b/>
          <w:i w:val="0"/>
          <w:color w:val="17324D"/>
          <w:sz w:val="15"/>
        </w:rPr>
        <w:t>Agent 系统：</w:t>
      </w: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Agent Runtime/Harness、ReAct、CodeAct、Planner–Executor、Multi-Agent、Context Engineering、Tool Protocol、Skills、RAG/GraphRAG、Checkpoint、Human-in-the-loop</w:t>
      </w:r>
    </w:p>
    <w:p>
      <w:pPr>
        <w:spacing w:before="0" w:after="7" w:line="240" w:lineRule="auto"/>
      </w:pPr>
      <w:r>
        <w:rPr>
          <w:rFonts w:ascii="Arial Unicode MS" w:hAnsi="Arial Unicode MS" w:eastAsia="Arial Unicode MS"/>
          <w:b/>
          <w:i w:val="0"/>
          <w:color w:val="17324D"/>
          <w:sz w:val="15"/>
        </w:rPr>
        <w:t>强化学习与后训练：</w:t>
      </w: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DQN、PPO、Actor-Critic、多智能体强化学习、GRPO、RLVR、LoRA/PEFT、Verifier、Reward Shaping、Curriculum、Trajectory Evaluation</w:t>
      </w:r>
    </w:p>
    <w:p>
      <w:pPr>
        <w:spacing w:before="0" w:after="7" w:line="240" w:lineRule="auto"/>
      </w:pPr>
      <w:r>
        <w:rPr>
          <w:rFonts w:ascii="Arial Unicode MS" w:hAnsi="Arial Unicode MS" w:eastAsia="Arial Unicode MS"/>
          <w:b/>
          <w:i w:val="0"/>
          <w:color w:val="17324D"/>
          <w:sz w:val="15"/>
        </w:rPr>
        <w:t>数据科学与运筹：</w:t>
      </w: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LightGBM、XGBoost、时序预测、异常检测、PyTorch、PuLP/CBC、CPLEX/DOcplex、调度、匹配、策略优化与仿真评估</w:t>
      </w:r>
    </w:p>
    <w:p>
      <w:pPr>
        <w:spacing w:before="0" w:after="7" w:line="240" w:lineRule="auto"/>
      </w:pPr>
      <w:r>
        <w:rPr>
          <w:rFonts w:ascii="Arial Unicode MS" w:hAnsi="Arial Unicode MS" w:eastAsia="Arial Unicode MS"/>
          <w:b/>
          <w:i w:val="0"/>
          <w:color w:val="17324D"/>
          <w:sz w:val="15"/>
        </w:rPr>
        <w:t>部署与工程：</w:t>
      </w: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Python、SQL、FastAPI/Flask、React、PostgreSQL/MySQL、Docker、vLLM、Ascend-vLLM、CUDA、CANN/torch-npu、WebSocket/SSE、OPC UA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工作经历</w:t>
      </w:r>
    </w:p>
    <w:p>
      <w:pPr>
        <w:tabs>
          <w:tab w:pos="10261" w:val="right"/>
        </w:tabs>
        <w:spacing w:before="16" w:after="2"/>
        <w:keepNext/>
      </w:pPr>
      <w:r>
        <w:rPr>
          <w:rFonts w:ascii="Arial Unicode MS" w:hAnsi="Arial Unicode MS" w:eastAsia="Arial Unicode MS"/>
          <w:b/>
          <w:i w:val="0"/>
          <w:color w:val="17324D"/>
          <w:sz w:val="16"/>
        </w:rPr>
        <w:t>中国联合网络通信有限公司北京人工智能科技中心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｜数据科学家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2025.08 — 至今</w:t>
      </w:r>
    </w:p>
    <w:p>
      <w:pPr>
        <w:spacing w:before="0" w:after="9" w:line="240" w:lineRule="auto"/>
      </w:pP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负责 Agent 系统架构、LLM 应用、预测模型与强化学习研发，参与业务需求梳理、系统集成、生产部署及上线效果评估。</w:t>
      </w:r>
    </w:p>
    <w:p>
      <w:pPr>
        <w:tabs>
          <w:tab w:pos="10261" w:val="right"/>
        </w:tabs>
        <w:spacing w:before="16" w:after="2"/>
        <w:keepNext/>
      </w:pPr>
      <w:r>
        <w:rPr>
          <w:rFonts w:ascii="Arial Unicode MS" w:hAnsi="Arial Unicode MS" w:eastAsia="Arial Unicode MS"/>
          <w:b/>
          <w:i w:val="0"/>
          <w:color w:val="17324D"/>
          <w:sz w:val="16"/>
        </w:rPr>
        <w:t>联通数科数据智能事业部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｜数据科学家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2024.07 — 2025.08</w:t>
      </w:r>
    </w:p>
    <w:p>
      <w:pPr>
        <w:spacing w:before="0" w:after="9" w:line="240" w:lineRule="auto"/>
      </w:pP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参与工业互联网、时序预测、异常检测与智能体项目，完成算法原型、模型服务和业务应用的工程化落地。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核心项目</w:t>
      </w:r>
    </w:p>
    <w:p>
      <w:pPr>
        <w:tabs>
          <w:tab w:pos="10261" w:val="right"/>
        </w:tabs>
        <w:spacing w:before="28" w:after="4"/>
        <w:keepNext/>
        <w:keepLines/>
      </w:pPr>
      <w:r>
        <w:rPr>
          <w:rFonts w:ascii="Arial Unicode MS" w:hAnsi="Arial Unicode MS" w:eastAsia="Arial Unicode MS"/>
          <w:b/>
          <w:i w:val="0"/>
          <w:color w:val="17324D"/>
          <w:sz w:val="17"/>
        </w:rPr>
        <w:t>企业级数据科学 Agent 平台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｜核心开发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2025.06 — 至今</w:t>
      </w:r>
    </w:p>
    <w:p>
      <w:pPr>
        <w:spacing w:before="0" w:after="4"/>
        <w:keepNext/>
      </w:pPr>
      <w:r>
        <w:rPr>
          <w:rFonts w:ascii="Arial Unicode MS" w:hAnsi="Arial Unicode MS" w:eastAsia="Arial Unicode MS"/>
          <w:b/>
          <w:i w:val="0"/>
          <w:color w:val="0E7C7B"/>
          <w:sz w:val="14"/>
        </w:rPr>
        <w:t>Agent Runtime · Context Engineering · Tool/Skill · Docker Sandbox · vLLM/Ascend-vLLM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面向团队数据分析与业务交付研发企业级 Agent 平台，支持自然语言驱动的数据探索、代码执行、机器学习建模、可视化与报告生成，支撑团队100+成员日常使用。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在不同交付场景中实践单主 Agent Harness 与 Orchestrator 驱动的多 Agent 架构，设计任务规划、工具调度、状态管理、执行反馈、错误恢复与终止判断机制。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构建分层 Context Engineering 体系，动态组织系统规则、工具 Schema、项目文件、执行输出、历史经验和压缩摘要，支撑长任务连续执行与上下文裁剪。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设计 Tool Protocol、Skill 与 Workspace 机制，接入 Python、SQL、检索、文件、模型训练和报告工具，形成多用户、多项目及文件/数据集/模型/Artifact 资产闭环。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实现后台任务、WebSocket/SSE 进度推送、断线续传、检查点恢复和持久化审批；通过 Docker 沙箱、路径约束、危险操作拦截和资源限制保障自动执行安全。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在 NVIDIA CUDA 和华为昇腾环境部署 vLLM/Ascend-vLLM 推理服务，以 OpenAI 兼容 API 接入 Agent，统一管理模型、Base URL、Context Window 与 Provider 配置。</w:t>
      </w:r>
    </w:p>
    <w:p>
      <w:pPr>
        <w:tabs>
          <w:tab w:pos="10261" w:val="right"/>
        </w:tabs>
        <w:spacing w:before="28" w:after="4"/>
        <w:keepNext/>
        <w:keepLines/>
      </w:pPr>
      <w:r>
        <w:rPr>
          <w:rFonts w:ascii="Arial Unicode MS" w:hAnsi="Arial Unicode MS" w:eastAsia="Arial Unicode MS"/>
          <w:b/>
          <w:i w:val="0"/>
          <w:color w:val="17324D"/>
          <w:sz w:val="17"/>
        </w:rPr>
        <w:t>供热预测控制与工业智能体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｜核心开发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2025.05 — 至今</w:t>
      </w:r>
    </w:p>
    <w:p>
      <w:pPr>
        <w:spacing w:before="0" w:after="4"/>
        <w:keepNext/>
      </w:pPr>
      <w:r>
        <w:rPr>
          <w:rFonts w:ascii="Arial Unicode MS" w:hAnsi="Arial Unicode MS" w:eastAsia="Arial Unicode MS"/>
          <w:b/>
          <w:i w:val="0"/>
          <w:color w:val="0E7C7B"/>
          <w:sz w:val="14"/>
        </w:rPr>
        <w:t>LightGBM · Qwen2.5 LoRA · Text-to-SQL · OPC UA · 安全控制闭环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面向供热企业建设预测控制与工业智能体平台，打通 OPC UA、室温采集和气象 API，接入8,000+工业点位，覆盖130+换热站和200+二次网回路。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基于 LightGBM 构建站点级供水温度和循环泵频率小模型，融合历史工况、天气、室温、周期与相似工况特征；生产模型 R² 达0.98，室温控制偏差≤±0.5°C。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从144个站点、3个供暖季构建8,185条领域样本，基于 Qwen2.5-0.5B 与 LoRA 开展领域适应；温度 MAE 由3.43°C降至1.10°C、频率 MAE 由2.12Hz降至0.51Hz，结构化解析率由57%提升至100%。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构建供热问数 Agent，支持 Schema 自动同步、业务知识维护、Text-to-SQL、多轮工具调用、结果解释和图表生成；以只读权限、SQL 校验、行数限制和审计日志控制查询风险。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搭建异常诊断 Skill 框架，将异常记录与温度、压力、频率、能耗、天气、室温和历史控制指令关联，输出异常等级、可能根因和排查建议；知识规则与工具流程已完成，现场闭环验证持续迭代。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建立“预测—策略生成—安全校验—人工审批—指令下发—运行监控—偏差诊断”闭环，通过 dry-run、调整步长、设备模式检查和失败回滚约束控制风险；系统实现约7%节热、至少10%节电、投诉量下降5%。</w:t>
      </w:r>
    </w:p>
    <w:p>
      <w:pPr>
        <w:spacing w:before="0" w:after="0"/>
      </w:pPr>
      <w:r>
        <w:br w:type="page"/>
      </w:r>
    </w:p>
    <w:p>
      <w:pPr>
        <w:tabs>
          <w:tab w:pos="10261" w:val="right"/>
        </w:tabs>
        <w:spacing w:before="28" w:after="4"/>
        <w:keepNext/>
        <w:keepLines/>
      </w:pPr>
      <w:r>
        <w:rPr>
          <w:rFonts w:ascii="Arial Unicode MS" w:hAnsi="Arial Unicode MS" w:eastAsia="Arial Unicode MS"/>
          <w:b/>
          <w:i w:val="0"/>
          <w:color w:val="17324D"/>
          <w:sz w:val="17"/>
        </w:rPr>
        <w:t>OR-Agent-R1：面向运筹优化的 Agent RLVR 训练系统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｜独立研究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2026.06 — 至今</w:t>
      </w:r>
    </w:p>
    <w:p>
      <w:pPr>
        <w:spacing w:before="0" w:after="4"/>
        <w:keepNext/>
      </w:pPr>
      <w:r>
        <w:rPr>
          <w:rFonts w:ascii="Arial Unicode MS" w:hAnsi="Arial Unicode MS" w:eastAsia="Arial Unicode MS"/>
          <w:b/>
          <w:i w:val="0"/>
          <w:color w:val="0E7C7B"/>
          <w:sz w:val="14"/>
        </w:rPr>
        <w:t>Qwen2.5-7B · LoRA/GRPO · RLVR · PuLP/CBC · Verifier · 6×A100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构建运筹优化 Agent 的结构化执行环境，通过 XML Action Protocol 支持问题抽取、数学建模、PuLP 代码生成、CBC 求解、错误修正和最终回答。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将动作格式、状态转移、代码执行、Solver Status 与 Objective Match 拆分为分层可验证奖励，并采用 solve_format→solver→objective Curriculum 缓解工具型 Agent 的奖励稀疏。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基于 Qwen2.5-7B-Instruct、LoRA 与 GRPO 完成6×A100分布式训练，建立训练轨迹诊断、Checkpoint 选择、错误分类和逐题配对评估流程。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针对环境依赖、动作解析、代码兼容、Verifier 偏差与 Reward Hacking 建立 Canary 测试；完善 grouped-question 切分、Split Manifest 和跨来源重复审计，降低评估泄漏风险。</w:t>
      </w:r>
    </w:p>
    <w:p>
      <w:pPr>
        <w:tabs>
          <w:tab w:pos="10261" w:val="right"/>
        </w:tabs>
        <w:spacing w:before="28" w:after="4"/>
        <w:keepNext/>
        <w:keepLines/>
      </w:pPr>
      <w:r>
        <w:rPr>
          <w:rFonts w:ascii="Arial Unicode MS" w:hAnsi="Arial Unicode MS" w:eastAsia="Arial Unicode MS"/>
          <w:b/>
          <w:i w:val="0"/>
          <w:color w:val="17324D"/>
          <w:sz w:val="17"/>
        </w:rPr>
        <w:t>煤矿瓦斯异常征兆识别系统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｜核心研发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2025.02 — 2025.10</w:t>
      </w:r>
    </w:p>
    <w:p>
      <w:pPr>
        <w:spacing w:before="0" w:after="4"/>
        <w:keepNext/>
      </w:pPr>
      <w:r>
        <w:rPr>
          <w:rFonts w:ascii="Arial Unicode MS" w:hAnsi="Arial Unicode MS" w:eastAsia="Arial Unicode MS"/>
          <w:b/>
          <w:i w:val="0"/>
          <w:color w:val="0E7C7B"/>
          <w:sz w:val="14"/>
        </w:rPr>
        <w:t>多传感器时序 · Recurrence Plot/CWT · ResNet18 · ClickHouse · Flask · Docker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面向煤矿安全生产构建多传感器异常检测系统，识别煤与瓦斯突出、冒顶片帮等6类典型异常征兆，完成需求分析、数据治理、模型研发、服务部署和现场效果评估。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将72小时多变量时序转换为递归图和 CWT 时频图，设计多路 ResNet18 双通道融合模型，刻画异常前兆的波动、极值和趋势演化；模型 AUC 达96.65%，召回率较单视图基线提升105%。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将模型封装为在线预警服务，对接 ClickHouse 实时数据流，通过 Flask API 与 Docker 完成生产部署、日志监控和业务系统集成；经阈值优化与现场反馈，误报率下降25%。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核心模型服务覆盖全省30+重点工作面，相关方案后续推广至33+矿、340+工作面，形成“实时接入—特征构建—在线推理—风险预警—现场反馈”的端到端闭环。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强化学习与运筹优化研究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博士阶段围绕网约车订单派发、车辆调度和多平台协作开展强化学习与运筹优化研究，建立需求生成、订单匹配、车辆状态转移、策略训练和多算法对比的仿真评估体系。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设计融合长期价值估计与业务约束的订单派发、车辆重调度策略，实验中将订单响应率提升4.15%、平台收入提升7.30%。</w:t>
      </w:r>
    </w:p>
    <w:p>
      <w:pPr>
        <w:numPr>
          <w:ilvl w:val="0"/>
          <w:numId w:val="10"/>
        </w:numPr>
        <w:spacing w:before="0" w:after="5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6"/>
        </w:rPr>
        <w:t>研究路径由经典 DQN/PPO/Actor-Critic 与多智能体强化学习，延伸到工具型 Agent 的 GRPO/RLVR、可执行环境、Verifier 和可验证奖励。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教育背景</w:t>
      </w:r>
    </w:p>
    <w:p>
      <w:pPr>
        <w:tabs>
          <w:tab w:pos="10261" w:val="right"/>
        </w:tabs>
        <w:spacing w:before="16" w:after="2"/>
        <w:keepNext/>
      </w:pPr>
      <w:r>
        <w:rPr>
          <w:rFonts w:ascii="Arial Unicode MS" w:hAnsi="Arial Unicode MS" w:eastAsia="Arial Unicode MS"/>
          <w:b/>
          <w:i w:val="0"/>
          <w:color w:val="17324D"/>
          <w:sz w:val="16"/>
        </w:rPr>
        <w:t>北京交通大学｜系统科学学院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｜系统科学 · 硕博连读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2018.09 — 2024.06</w:t>
      </w:r>
    </w:p>
    <w:p>
      <w:pPr>
        <w:spacing w:before="0" w:after="9" w:line="240" w:lineRule="auto"/>
      </w:pP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研究方向：网约出行市场运营管理、强化学习与运筹优化；系统科学一流学科。</w:t>
      </w:r>
    </w:p>
    <w:p>
      <w:pPr>
        <w:tabs>
          <w:tab w:pos="10261" w:val="right"/>
        </w:tabs>
        <w:spacing w:before="16" w:after="2"/>
        <w:keepNext/>
      </w:pPr>
      <w:r>
        <w:rPr>
          <w:rFonts w:ascii="Arial Unicode MS" w:hAnsi="Arial Unicode MS" w:eastAsia="Arial Unicode MS"/>
          <w:b/>
          <w:i w:val="0"/>
          <w:color w:val="17324D"/>
          <w:sz w:val="16"/>
        </w:rPr>
        <w:t>日本广岛大学｜国际协力研究科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｜国家公派访问博士生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2022.05 — 2023.05</w:t>
      </w:r>
    </w:p>
    <w:p>
      <w:pPr>
        <w:spacing w:before="0" w:after="9" w:line="240" w:lineRule="auto"/>
      </w:pPr>
      <w:r>
        <w:rPr>
          <w:rFonts w:ascii="Arial Unicode MS" w:hAnsi="Arial Unicode MS" w:eastAsia="Arial Unicode MS"/>
          <w:b w:val="0"/>
          <w:i w:val="0"/>
          <w:color w:val="1F2933"/>
          <w:sz w:val="15"/>
        </w:rPr>
        <w:t>研究方向：网约出行市场运营管理与交通运输规划。</w:t>
      </w:r>
    </w:p>
    <w:p>
      <w:pPr>
        <w:tabs>
          <w:tab w:pos="10261" w:val="right"/>
        </w:tabs>
        <w:spacing w:before="16" w:after="2"/>
        <w:keepNext/>
      </w:pPr>
      <w:r>
        <w:rPr>
          <w:rFonts w:ascii="Arial Unicode MS" w:hAnsi="Arial Unicode MS" w:eastAsia="Arial Unicode MS"/>
          <w:b/>
          <w:i w:val="0"/>
          <w:color w:val="17324D"/>
          <w:sz w:val="16"/>
        </w:rPr>
        <w:t>青岛理工大学｜机械与汽车工程学院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>｜交通工程 · 本科</w:t>
      </w:r>
      <w:r>
        <w:rPr>
          <w:rFonts w:ascii="Arial Unicode MS" w:hAnsi="Arial Unicode MS" w:eastAsia="Arial Unicode MS"/>
          <w:b/>
          <w:i w:val="0"/>
          <w:color w:val="5E6B78"/>
          <w:sz w:val="15"/>
        </w:rPr>
        <w:tab/>
        <w:t>2014.09 — 2018.06</w:t>
      </w:r>
    </w:p>
    <w:p>
      <w:pPr>
        <w:spacing w:before="0" w:after="9" w:line="240" w:lineRule="auto"/>
      </w:pPr>
      <w:r>
        <w:rPr>
          <w:rFonts w:ascii="Arial Unicode MS" w:hAnsi="Arial Unicode MS" w:eastAsia="Arial Unicode MS"/>
          <w:b w:val="0"/>
          <w:i w:val="0"/>
          <w:color w:val="1F2933"/>
          <w:sz w:val="15"/>
        </w:rPr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代表论文</w:t>
      </w:r>
    </w:p>
    <w:p>
      <w:pPr>
        <w:numPr>
          <w:ilvl w:val="0"/>
          <w:numId w:val="10"/>
        </w:numPr>
        <w:spacing w:before="0" w:after="3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Reassignment Algorithm of the Ride-Sourcing Market Based on Reinforcement Learning，IEEE Transactions on Intelligent Transportation Systems，2023。</w:t>
      </w:r>
    </w:p>
    <w:p>
      <w:pPr>
        <w:numPr>
          <w:ilvl w:val="0"/>
          <w:numId w:val="10"/>
        </w:numPr>
        <w:spacing w:before="0" w:after="3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Promoting Collaborative Dispatching in the Ride-Sourcing Market with a Third-Party Integrator，IEEE Transactions on Intelligent Transportation Systems，2024。</w:t>
      </w:r>
    </w:p>
    <w:p>
      <w:pPr>
        <w:numPr>
          <w:ilvl w:val="0"/>
          <w:numId w:val="10"/>
        </w:numPr>
        <w:spacing w:before="0" w:after="3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Reinforcement Learning-Based Order-Dispatching Optimization in Ride-Sourcing Service，Computers &amp; Industrial Engineering，2024。</w:t>
      </w:r>
    </w:p>
    <w:p>
      <w:pPr>
        <w:numPr>
          <w:ilvl w:val="0"/>
          <w:numId w:val="10"/>
        </w:numPr>
        <w:spacing w:before="0" w:after="3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Order Dispatching Optimization in Ride-Sourcing Market by Considering Cross Service Modes，Journal of Central South University，2023。</w:t>
      </w:r>
    </w:p>
    <w:p>
      <w:pPr>
        <w:pStyle w:val="Heading1"/>
        <w:spacing w:before="64" w:after="28"/>
        <w:keepNext/>
        <w:pBdr>
          <w:bottom w:val="single" w:sz="5" w:space="2" w:color="B8C8D1"/>
        </w:pBdr>
      </w:pPr>
      <w:r>
        <w:rPr>
          <w:rFonts w:ascii="Arial Unicode MS" w:hAnsi="Arial Unicode MS" w:eastAsia="Arial Unicode MS"/>
          <w:b/>
          <w:i w:val="0"/>
          <w:color w:val="17324D"/>
          <w:sz w:val="19"/>
        </w:rPr>
        <w:t>荣誉奖励</w:t>
      </w:r>
    </w:p>
    <w:p>
      <w:pPr>
        <w:numPr>
          <w:ilvl w:val="0"/>
          <w:numId w:val="10"/>
        </w:numPr>
        <w:spacing w:before="0" w:after="2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2025年度奋斗者，中国联通数科。</w:t>
      </w:r>
    </w:p>
    <w:p>
      <w:pPr>
        <w:numPr>
          <w:ilvl w:val="0"/>
          <w:numId w:val="10"/>
        </w:numPr>
        <w:spacing w:before="0" w:after="2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第二届数字中国创新大赛全国二等奖（队伍负责人，排序1/3），2020。</w:t>
      </w:r>
    </w:p>
    <w:p>
      <w:pPr>
        <w:numPr>
          <w:ilvl w:val="0"/>
          <w:numId w:val="10"/>
        </w:numPr>
        <w:spacing w:before="0" w:after="2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中国研究生数学建模竞赛全国三等奖（队伍负责人），2019。</w:t>
      </w:r>
    </w:p>
    <w:p>
      <w:pPr>
        <w:numPr>
          <w:ilvl w:val="0"/>
          <w:numId w:val="10"/>
        </w:numPr>
        <w:spacing w:before="0" w:after="2" w:line="240" w:lineRule="auto"/>
        <w:keepLines/>
      </w:pPr>
      <w:r>
        <w:rPr>
          <w:rFonts w:ascii="Arial Unicode MS" w:hAnsi="Arial Unicode MS" w:eastAsia="Arial Unicode MS"/>
          <w:b w:val="0"/>
          <w:i w:val="0"/>
          <w:color w:val="1F2933"/>
          <w:sz w:val="14"/>
        </w:rPr>
        <w:t>国家留学基金委公派联合培养博士研究生奖学金，2021。</w:t>
      </w:r>
    </w:p>
    <w:sectPr w:rsidR="00FC693F" w:rsidRPr="0006063C" w:rsidSect="00034616">
      <w:footerReference w:type="default" r:id="rId9"/>
      <w:pgSz w:w="11906" w:h="16838"/>
      <w:pgMar w:top="510" w:right="595" w:bottom="510" w:left="59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 Unicode MS" w:hAnsi="Arial Unicode MS" w:eastAsia="Arial Unicode MS"/>
        <w:b w:val="0"/>
        <w:i w:val="0"/>
        <w:color w:val="5E6B78"/>
        <w:sz w:val="13"/>
      </w:rPr>
      <w:t xml:space="preserve">王印权  ·  Agentic AI / Reinforcement Learning / Industrial Intelligence  ·  </w:t>
    </w:r>
    <w:r>
      <w:rPr>
        <w:rFonts w:ascii="Arial Unicode MS" w:hAnsi="Arial Unicode MS" w:eastAsia="Arial Unicode MS"/>
        <w:b w:val="0"/>
        <w:i w:val="0"/>
        <w:color w:val="5E6B78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00" w:hanging="150"/>
        <w:spacing w:after="8" w:line="240" w:lineRule="auto"/>
      </w:pPr>
      <w:rPr>
        <w:rFonts w:ascii="Arial Unicode MS" w:hAnsi="Arial Unicode MS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" w:line="240" w:lineRule="auto"/>
    </w:pPr>
    <w:rPr>
      <w:rFonts w:ascii="Arial Unicode MS" w:hAnsi="Arial Unicode MS" w:eastAsia="Arial Unicode MS"/>
      <w:color w:val="1F293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8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8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8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E7C7B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王印权简历 2026</dc:title>
  <dc:subject>Agentic AI、强化学习、工业智能化与模型部署</dc:subject>
  <dc:creator>王印权</dc:creator>
  <cp:keywords>Agentic AI, Reinforcement Learning, Industrial Intelligence, Model Deployment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