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Dear Editor,</w:t>
      </w:r>
    </w:p>
    <w:p/>
    <w:p>
      <w:pPr>
        <w:spacing w:after="120"/>
      </w:pPr>
      <w:r>
        <w:t>We wish to submit our manuscript entitled **"A virtual-element framework for generative design of organic–inorganic hybrid crystals"** for consideration as an Article in *npj Computational Materials*.</w:t>
      </w:r>
    </w:p>
    <w:p/>
    <w:p>
      <w:pPr>
        <w:spacing w:after="120"/>
      </w:pPr>
      <w:r>
        <w:t>Generative artificial intelligence is transforming inorganic materials discovery, yet organic–inorganic hybrid crystals—an important class of optoelectronic and energy materials—remain outside the scope of most crystal structure generators because molecular organic cations are not represented in fixed elemental vocabularies. In this work, we introduce a **virtual-element strategy** that maps organic cation families to coarse-grained pseudo-elements, enabling the fine-tuning of a pretrained inorganic diffusion model (MatterGen) for hybrid crystal generation. We define twelve virtual ion classes, expand the atom-type index space to 401 slots while preserving pretrained inorganic embeddings, and develop a molecular-template decoding workflow that converts virtual-element crystals into full-atom hybrid structures.</w:t>
      </w:r>
    </w:p>
    <w:p/>
    <w:p>
      <w:pPr>
        <w:spacing w:after="120"/>
      </w:pPr>
      <w:r>
        <w:t>From 1,000 generated structures, 954 are successfully decoded and 106 satisfy charge neutrality, including 50 halide-containing candidates. DFT-PBE single-point assessment of ten representative structures reveals diverse electronic behavior, from metallic transition-metal iodides to a direct-gap V-based bromide and wide-gap indirect-gap Cs–Br and K–F systems. All code, generated structures, analysis scripts, and DFT input templates are available at https://github.com/yqzhan-blip/virtual-element-hybrid-crystals.</w:t>
      </w:r>
    </w:p>
    <w:p/>
    <w:p>
      <w:pPr>
        <w:spacing w:after="120"/>
      </w:pPr>
      <w:r>
        <w:t>We believe this work is particularly suitable for *npj Computational Materials* because it introduces a transferable representation and generative framework that broadens the scope of pretrained inorganic crystal generators to the chemically flexible space of organic–inorganic hybrid materials, while providing practical benchmarks and open-source tools for the computational materials community.</w:t>
      </w:r>
    </w:p>
    <w:p/>
    <w:p>
      <w:pPr>
        <w:spacing w:after="120"/>
      </w:pPr>
      <w:r>
        <w:t>This manuscript is original, has not been published previously, and is not under consideration elsewhere. All authors have approved the submission.</w:t>
      </w:r>
    </w:p>
    <w:p/>
    <w:p>
      <w:pPr>
        <w:spacing w:after="120"/>
      </w:pPr>
      <w:r>
        <w:t>We suggest the following experts as potential reviewers:</w:t>
      </w:r>
    </w:p>
    <w:p/>
    <w:p>
      <w:pPr>
        <w:spacing w:after="120"/>
      </w:pPr>
      <w:r>
        <w:t>1. [Reviewer 1 name and institution — optional]</w:t>
      </w:r>
    </w:p>
    <w:p>
      <w:pPr>
        <w:spacing w:after="120"/>
      </w:pPr>
      <w:r>
        <w:t>2. [Reviewer 2 name and institution — optional]</w:t>
      </w:r>
    </w:p>
    <w:p>
      <w:pPr>
        <w:spacing w:after="120"/>
      </w:pPr>
      <w:r>
        <w:t>3. [Reviewer 3 name and institution — optional]</w:t>
      </w:r>
    </w:p>
    <w:p/>
    <w:p>
      <w:pPr>
        <w:spacing w:after="120"/>
      </w:pPr>
      <w:r>
        <w:t>Please let us know if any additional information is required.</w:t>
      </w:r>
    </w:p>
    <w:p/>
    <w:p>
      <w:pPr>
        <w:spacing w:after="120"/>
      </w:pPr>
      <w:r>
        <w:t>Sincerely,</w:t>
      </w:r>
    </w:p>
    <w:p/>
    <w:p>
      <w:pPr>
        <w:spacing w:after="120"/>
      </w:pPr>
      <w:r>
        <w:t>Yiqiang Zhan</w:t>
      </w:r>
    </w:p>
    <w:p>
      <w:pPr>
        <w:spacing w:after="120"/>
      </w:pPr>
      <w:r>
        <w:t>College of Future Information Technology / Institute of Optoelectronics</w:t>
      </w:r>
    </w:p>
    <w:p>
      <w:pPr>
        <w:spacing w:after="120"/>
      </w:pPr>
      <w:r>
        <w:t>Fudan University, Shanghai 200438, China</w:t>
      </w:r>
    </w:p>
    <w:p>
      <w:pPr>
        <w:spacing w:after="120"/>
      </w:pPr>
      <w:r>
        <w:t>Email: yqzhan@fudan.edu.cn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