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788"/>
          <w:sz w:val="120"/>
        </w:rPr>
        <w:t>EdGame</w:t>
      </w:r>
    </w:p>
    <w:p>
      <w:pPr>
        <w:jc w:val="center"/>
      </w:pPr>
      <w:r>
        <w:rPr>
          <w:i/>
          <w:color w:val="2C3E50"/>
          <w:sz w:val="40"/>
        </w:rPr>
        <w:t>Stealth Assessment for K-12, Built into Fun Games</w:t>
      </w:r>
    </w:p>
    <w:p/>
    <w:p/>
    <w:p/>
    <w:p>
      <w:pPr>
        <w:jc w:val="center"/>
      </w:pPr>
      <w:r>
        <w:rPr>
          <w:b/>
          <w:color w:val="2C3E50"/>
          <w:sz w:val="32"/>
        </w:rPr>
        <w:t>Business Plan · Seed Round</w:t>
      </w:r>
    </w:p>
    <w:p>
      <w:pPr>
        <w:jc w:val="center"/>
      </w:pPr>
      <w:r>
        <w:rPr>
          <w:color w:val="888888"/>
          <w:sz w:val="26"/>
        </w:rPr>
        <w:t>Raising $500,000 at a $4M pre-money valuation</w:t>
      </w:r>
    </w:p>
    <w:p/>
    <w:p/>
    <w:p/>
    <w:p/>
    <w:p/>
    <w:p/>
    <w:tbl>
      <w:tblPr>
        <w:tblW w:type="auto" w:w="0"/>
        <w:jc w:val="center"/>
        <w:tblLook w:firstColumn="1" w:firstRow="1" w:lastColumn="0" w:lastRow="0" w:noHBand="0" w:noVBand="1" w:val="04A0"/>
      </w:tblPr>
      <w:tblGrid>
        <w:gridCol w:w="2448"/>
        <w:gridCol w:w="2448"/>
        <w:gridCol w:w="2448"/>
        <w:gridCol w:w="2448"/>
      </w:tblGrid>
      <w:tr>
        <w:tc>
          <w:tcPr>
            <w:tcW w:type="dxa" w:w="2448"/>
          </w:tcPr>
          <w:p>
            <w:pPr>
              <w:jc w:val="center"/>
            </w:pPr>
            <w:r/>
            <w:r>
              <w:rPr>
                <w:b/>
                <w:color w:val="1F4788"/>
                <w:sz w:val="56"/>
              </w:rPr>
              <w:t>5</w:t>
              <w:br/>
            </w:r>
            <w:r>
              <w:rPr>
                <w:color w:val="888888"/>
                <w:sz w:val="18"/>
              </w:rPr>
              <w:t>Games shipped</w:t>
            </w:r>
          </w:p>
        </w:tc>
        <w:tc>
          <w:tcPr>
            <w:tcW w:type="dxa" w:w="2448"/>
          </w:tcPr>
          <w:p>
            <w:pPr>
              <w:jc w:val="center"/>
            </w:pPr>
            <w:r/>
            <w:r>
              <w:rPr>
                <w:b/>
                <w:color w:val="1F4788"/>
                <w:sz w:val="56"/>
              </w:rPr>
              <w:t>~43K</w:t>
              <w:br/>
            </w:r>
            <w:r>
              <w:rPr>
                <w:color w:val="888888"/>
                <w:sz w:val="18"/>
              </w:rPr>
              <w:t>Lines of code</w:t>
            </w:r>
          </w:p>
        </w:tc>
        <w:tc>
          <w:tcPr>
            <w:tcW w:type="dxa" w:w="2448"/>
          </w:tcPr>
          <w:p>
            <w:pPr>
              <w:jc w:val="center"/>
            </w:pPr>
            <w:r/>
            <w:r>
              <w:rPr>
                <w:b/>
                <w:color w:val="1F4788"/>
                <w:sz w:val="56"/>
              </w:rPr>
              <w:t>90,593</w:t>
              <w:br/>
            </w:r>
            <w:r>
              <w:rPr>
                <w:color w:val="888888"/>
                <w:sz w:val="18"/>
              </w:rPr>
              <w:t>Real telemetry events</w:t>
            </w:r>
          </w:p>
        </w:tc>
        <w:tc>
          <w:tcPr>
            <w:tcW w:type="dxa" w:w="2448"/>
          </w:tcPr>
          <w:p>
            <w:pPr>
              <w:jc w:val="center"/>
            </w:pPr>
            <w:r/>
            <w:r>
              <w:rPr>
                <w:b/>
                <w:color w:val="1F4788"/>
                <w:sz w:val="56"/>
              </w:rPr>
              <w:t>$53.5B</w:t>
              <w:br/>
            </w:r>
            <w:r>
              <w:rPr>
                <w:color w:val="888888"/>
                <w:sz w:val="18"/>
              </w:rPr>
              <w:t>KSA 2025 ed budget</w:t>
            </w:r>
          </w:p>
        </w:tc>
      </w:tr>
    </w:tbl>
    <w:p/>
    <w:p/>
    <w:p/>
    <w:p/>
    <w:p/>
    <w:p/>
    <w:p/>
    <w:p/>
    <w:p>
      <w:pPr>
        <w:jc w:val="center"/>
      </w:pPr>
      <w:r>
        <w:rPr>
          <w:i/>
          <w:color w:val="2C3E50"/>
          <w:sz w:val="22"/>
        </w:rPr>
        <w:t>Prepared by [FOUNDER_NAME_AND_TITLE]</w:t>
      </w:r>
    </w:p>
    <w:p>
      <w:pPr>
        <w:jc w:val="center"/>
      </w:pPr>
      <w:r>
        <w:rPr>
          <w:color w:val="888888"/>
          <w:sz w:val="20"/>
        </w:rPr>
        <w:t>KAUST TIE Venture · KSA</w:t>
      </w:r>
    </w:p>
    <w:p>
      <w:pPr>
        <w:jc w:val="center"/>
      </w:pPr>
      <w:r>
        <w:rPr>
          <w:color w:val="888888"/>
          <w:sz w:val="18"/>
        </w:rPr>
        <w:t>May 2026  ·  Confidential</w:t>
      </w:r>
    </w:p>
    <w:p>
      <w:r>
        <w:br w:type="page"/>
      </w:r>
    </w:p>
    <w:p>
      <w:pPr>
        <w:pStyle w:val="Heading1"/>
      </w:pPr>
      <w:r>
        <w:rPr>
          <w:b/>
          <w:color w:val="1F4788"/>
          <w:sz w:val="44"/>
        </w:rPr>
        <w:t>1. Executive Summary</w:t>
      </w:r>
    </w:p>
    <w:p>
      <w:pPr>
        <w:spacing w:after="160"/>
        <w:jc w:val="both"/>
      </w:pPr>
      <w:r>
        <w:rPr>
          <w:b w:val="0"/>
          <w:i w:val="0"/>
          <w:sz w:val="22"/>
        </w:rPr>
        <w:t>EdGame is an EdTech company building a portfolio of stealth-assessment games for K-12. Built on Evidence-Centered Design (ECD)</w:t>
      </w:r>
      <w:r>
        <w:rPr>
          <w:b w:val="0"/>
          <w:i w:val="0"/>
          <w:sz w:val="18"/>
          <w:vertAlign w:val="superscript"/>
        </w:rPr>
        <w:t>[1]</w:t>
      </w:r>
      <w:r>
        <w:rPr>
          <w:b w:val="0"/>
          <w:i w:val="0"/>
          <w:sz w:val="22"/>
        </w:rPr>
        <w:t xml:space="preserve"> and Bayesian Knowledge Tracing</w:t>
      </w:r>
      <w:r>
        <w:rPr>
          <w:b w:val="0"/>
          <w:i w:val="0"/>
          <w:sz w:val="18"/>
          <w:vertAlign w:val="superscript"/>
        </w:rPr>
        <w:t>[2]</w:t>
      </w:r>
      <w:r>
        <w:rPr>
          <w:b w:val="0"/>
          <w:i w:val="0"/>
          <w:sz w:val="22"/>
        </w:rPr>
        <w:t>, our games capture 50+ behavioral and cognitive signals per session — distinguishing misconceptions from guessing, frustration from boredom, and emergent leadership from passivity — all while students play genuinely fun games rather than take tests. Traditional assessments measure only correctness; EdGame captures the why behind every answer.</w:t>
      </w:r>
    </w:p>
    <w:p>
      <w:pPr>
        <w:pStyle w:val="Heading3"/>
      </w:pPr>
      <w:r>
        <w:rPr>
          <w:b/>
          <w:color w:val="2C3E50"/>
          <w:sz w:val="24"/>
        </w:rPr>
        <w:t>The market opportunity</w:t>
      </w:r>
    </w:p>
    <w:p>
      <w:pPr>
        <w:spacing w:after="160"/>
        <w:jc w:val="both"/>
      </w:pPr>
      <w:r>
        <w:rPr>
          <w:b w:val="0"/>
          <w:i w:val="0"/>
          <w:sz w:val="22"/>
        </w:rPr>
        <w:t>The global game-based learning market is projected to grow from $13.17B in 2024 to $49.52B by 2035 at a 12.79% CAGR</w:t>
      </w:r>
      <w:r>
        <w:rPr>
          <w:b w:val="0"/>
          <w:i w:val="0"/>
          <w:sz w:val="18"/>
          <w:vertAlign w:val="superscript"/>
        </w:rPr>
        <w:t>[3]</w:t>
      </w:r>
      <w:r>
        <w:rPr>
          <w:b w:val="0"/>
          <w:i w:val="0"/>
          <w:sz w:val="22"/>
        </w:rPr>
        <w:t>, with the K-12 segment reaching $17.0B. Our beachhead — GCC private K-12 — is a $3.02B market today growing to $4.47B by 2030</w:t>
      </w:r>
      <w:r>
        <w:rPr>
          <w:b w:val="0"/>
          <w:i w:val="0"/>
          <w:sz w:val="18"/>
          <w:vertAlign w:val="superscript"/>
        </w:rPr>
        <w:t>[4]</w:t>
      </w:r>
      <w:r>
        <w:rPr>
          <w:b w:val="0"/>
          <w:i w:val="0"/>
          <w:sz w:val="22"/>
        </w:rPr>
        <w:t>, anchored by Saudi Arabia's $53.5B 2025 education budget (16% of total government spending)</w:t>
      </w:r>
      <w:r>
        <w:rPr>
          <w:b w:val="0"/>
          <w:i w:val="0"/>
          <w:sz w:val="18"/>
          <w:vertAlign w:val="superscript"/>
        </w:rPr>
        <w:t>[5]</w:t>
      </w:r>
      <w:r>
        <w:rPr>
          <w:b w:val="0"/>
          <w:i w:val="0"/>
          <w:sz w:val="22"/>
        </w:rPr>
        <w:t xml:space="preserve"> and Vision 2030's AI-curriculum rollout to 6M+ students starting 2025-26.</w:t>
      </w:r>
    </w:p>
    <w:p>
      <w:pPr>
        <w:pStyle w:val="Heading3"/>
      </w:pPr>
      <w:r>
        <w:rPr>
          <w:b/>
          <w:color w:val="2C3E50"/>
          <w:sz w:val="24"/>
        </w:rPr>
        <w:t>Why now</w:t>
      </w:r>
    </w:p>
    <w:p>
      <w:pPr>
        <w:pStyle w:val="ListBullet"/>
        <w:spacing w:after="40"/>
        <w:ind w:left="360"/>
      </w:pPr>
      <w:r>
        <w:rPr>
          <w:sz w:val="22"/>
        </w:rPr>
        <w:t>GEMS Education raised $2B from Brookfield in June 2024 at a reported $4B valuation</w:t>
      </w:r>
      <w:r>
        <w:rPr>
          <w:sz w:val="18"/>
          <w:vertAlign w:val="superscript"/>
        </w:rPr>
        <w:t>[6]</w:t>
      </w:r>
      <w:r>
        <w:rPr>
          <w:sz w:val="22"/>
        </w:rPr>
        <w:t xml:space="preserve"> — concrete proof that GCC private K-12 is venture-investable</w:t>
      </w:r>
    </w:p>
    <w:p>
      <w:pPr>
        <w:pStyle w:val="ListBullet"/>
        <w:spacing w:after="40"/>
        <w:ind w:left="360"/>
      </w:pPr>
      <w:r>
        <w:rPr>
          <w:sz w:val="22"/>
        </w:rPr>
        <w:t>Education SaaS has the fastest CAC payback in B2B SaaS at 3.8 months</w:t>
      </w:r>
      <w:r>
        <w:rPr>
          <w:sz w:val="18"/>
          <w:vertAlign w:val="superscript"/>
        </w:rPr>
        <w:t>[7]</w:t>
      </w:r>
      <w:r>
        <w:rPr>
          <w:sz w:val="22"/>
        </w:rPr>
        <w:t xml:space="preserve"> — teacher-led product-led growth is a well-proven motion (we are validating, not betting)</w:t>
      </w:r>
    </w:p>
    <w:p>
      <w:pPr>
        <w:pStyle w:val="ListBullet"/>
        <w:spacing w:after="40"/>
        <w:ind w:left="360"/>
      </w:pPr>
      <w:r>
        <w:rPr>
          <w:sz w:val="22"/>
        </w:rPr>
        <w:t>Saudi Arabia has overtaken Egypt as the largest MENA EdTech HQ region</w:t>
      </w:r>
      <w:r>
        <w:rPr>
          <w:sz w:val="18"/>
          <w:vertAlign w:val="superscript"/>
        </w:rPr>
        <w:t>[8]</w:t>
      </w:r>
      <w:r>
        <w:rPr>
          <w:sz w:val="22"/>
        </w:rPr>
        <w:t>; KAUST origin gives unique structural access to KAUST School + NEOM Schools as pilot anchors</w:t>
      </w:r>
    </w:p>
    <w:p>
      <w:pPr>
        <w:pStyle w:val="ListBullet"/>
        <w:spacing w:after="40"/>
        <w:ind w:left="360"/>
      </w:pPr>
      <w:r>
        <w:rPr>
          <w:sz w:val="22"/>
        </w:rPr>
        <w:t>KSA AI curriculum rollout to 6M+ students starting 2025-26 creates immediate demand for assessment tools that complement (not compete with) AI tutoring</w:t>
      </w:r>
      <w:r>
        <w:rPr>
          <w:sz w:val="18"/>
          <w:vertAlign w:val="superscript"/>
        </w:rPr>
        <w:t>[9]</w:t>
      </w:r>
    </w:p>
    <w:p>
      <w:pPr>
        <w:pStyle w:val="Heading3"/>
      </w:pPr>
      <w:r>
        <w:rPr>
          <w:b/>
          <w:color w:val="2C3E50"/>
          <w:sz w:val="24"/>
        </w:rPr>
        <w:t>What we have built</w:t>
      </w:r>
    </w:p>
    <w:p>
      <w:pPr>
        <w:spacing w:after="160"/>
      </w:pPr>
      <w:r>
        <w:rPr>
          <w:b w:val="0"/>
          <w:i w:val="0"/>
          <w:sz w:val="22"/>
        </w:rPr>
        <w:t>As of May 2026, EdGame has shipped 5 playable browser games covering math, science, applied STEM, and SEL — all instrumented with the same telemetry pipeline. The repo contains ~43,000 lines of code, 440 questions across 10 JSON banks, and 90,593 real telemetry events from automated and human playthroughs. Public Railway demo + GitHub repo make every product claim verifiable in &lt;2 minutes.</w:t>
      </w:r>
    </w:p>
    <w:p>
      <w:pPr>
        <w:jc w:val="center"/>
      </w:pPr>
      <w:r>
        <w:drawing>
          <wp:inline xmlns:a="http://schemas.openxmlformats.org/drawingml/2006/main" xmlns:pic="http://schemas.openxmlformats.org/drawingml/2006/picture">
            <wp:extent cx="5943600" cy="4938198"/>
            <wp:docPr id="1" name="Picture 1"/>
            <wp:cNvGraphicFramePr>
              <a:graphicFrameLocks noChangeAspect="1"/>
            </wp:cNvGraphicFramePr>
            <a:graphic>
              <a:graphicData uri="http://schemas.openxmlformats.org/drawingml/2006/picture">
                <pic:pic>
                  <pic:nvPicPr>
                    <pic:cNvPr id="0" name="figure_02_game_portfolio.png"/>
                    <pic:cNvPicPr/>
                  </pic:nvPicPr>
                  <pic:blipFill>
                    <a:blip r:embed="rId10"/>
                    <a:stretch>
                      <a:fillRect/>
                    </a:stretch>
                  </pic:blipFill>
                  <pic:spPr>
                    <a:xfrm>
                      <a:off x="0" y="0"/>
                      <a:ext cx="5943600" cy="4938198"/>
                    </a:xfrm>
                    <a:prstGeom prst="rect"/>
                  </pic:spPr>
                </pic:pic>
              </a:graphicData>
            </a:graphic>
          </wp:inline>
        </w:drawing>
      </w:r>
    </w:p>
    <w:p>
      <w:pPr>
        <w:spacing w:after="240"/>
        <w:jc w:val="center"/>
      </w:pPr>
      <w:r>
        <w:rPr>
          <w:i/>
          <w:color w:val="888888"/>
          <w:sz w:val="18"/>
        </w:rPr>
        <w:t>Figure 1. The five live EdGame titles, each instrumented with the same 6-dimension stealth-assessment framework.</w:t>
      </w:r>
    </w:p>
    <w:p>
      <w:pPr>
        <w:pStyle w:val="Heading3"/>
      </w:pPr>
      <w:r>
        <w:rPr>
          <w:b/>
          <w:color w:val="2C3E50"/>
          <w:sz w:val="24"/>
        </w:rPr>
        <w:t>Business model</w:t>
      </w:r>
    </w:p>
    <w:p>
      <w:pPr>
        <w:spacing w:after="160"/>
      </w:pPr>
      <w:r>
        <w:rPr>
          <w:b w:val="0"/>
          <w:i w:val="0"/>
          <w:sz w:val="22"/>
        </w:rPr>
        <w:t>We monetize through (a) per-student annual school licenses at $6-14/student, (b) teacher Pro SaaS at $12/month, and (c) optional district + parent-premium tiers from Year 2. Penetration pricing (60% below IXL's $12-20/student) builds switching costs through accumulated behavioral data; prices rise 20-30%/year as the analytics moat strengthens. Year-5 plan: $10.3M ARR at 16-18% operating margin (consistent with mature EdTech SaaS).</w:t>
      </w:r>
    </w:p>
    <w:p>
      <w:pPr>
        <w:pStyle w:val="Heading3"/>
      </w:pPr>
      <w:r>
        <w:rPr>
          <w:b/>
          <w:color w:val="2C3E50"/>
          <w:sz w:val="24"/>
        </w:rPr>
        <w:t>The ask + honest investor returns</w:t>
      </w:r>
    </w:p>
    <w:p>
      <w:pPr>
        <w:spacing w:after="160"/>
        <w:jc w:val="both"/>
      </w:pPr>
      <w:r>
        <w:rPr>
          <w:b w:val="0"/>
          <w:i w:val="0"/>
          <w:sz w:val="22"/>
        </w:rPr>
        <w:t>We are raising $500,000 at a $4M pre-money valuation ($4.5M post; 11.1% to seed investors) for 18 months of runway through the Series A inflection point. We underwrite returns at honest May-2026 EdTech revenue multiples (Duolingo trades at 4.8× today</w:t>
      </w:r>
      <w:r>
        <w:rPr>
          <w:b w:val="0"/>
          <w:i w:val="0"/>
          <w:sz w:val="18"/>
          <w:vertAlign w:val="superscript"/>
        </w:rPr>
        <w:t>[10]</w:t>
      </w:r>
      <w:r>
        <w:rPr>
          <w:b w:val="0"/>
          <w:i w:val="0"/>
          <w:sz w:val="22"/>
        </w:rPr>
        <w:t>; private growth median 8×</w:t>
      </w:r>
      <w:r>
        <w:rPr>
          <w:b w:val="0"/>
          <w:i w:val="0"/>
          <w:sz w:val="18"/>
          <w:vertAlign w:val="superscript"/>
        </w:rPr>
        <w:t>[11]</w:t>
      </w:r>
      <w:r>
        <w:rPr>
          <w:b w:val="0"/>
          <w:i w:val="0"/>
          <w:sz w:val="22"/>
        </w:rPr>
        <w:t>) — not the 11-26× peak-cycle comps of 2021. Base case returns a 2.7× MOIC at Series A and 3.8× at Series B (5 years). The bull case — GCC ministry adoption plus a US Clever partnership landing — reaches 10.5× at Series B (this is the 10× story, properly bucketed as upside not base). Bear case preserves 80% of capital.</w:t>
      </w:r>
    </w:p>
    <w:p>
      <w:r>
        <w:br w:type="page"/>
      </w:r>
    </w:p>
    <w:p>
      <w:pPr>
        <w:pStyle w:val="Heading1"/>
      </w:pPr>
      <w:r>
        <w:rPr>
          <w:b/>
          <w:color w:val="1F4788"/>
          <w:sz w:val="44"/>
        </w:rPr>
        <w:t>2. Problem &amp; Opportunity</w:t>
      </w:r>
    </w:p>
    <w:p>
      <w:pPr>
        <w:pStyle w:val="Heading2"/>
      </w:pPr>
      <w:r>
        <w:rPr>
          <w:b/>
          <w:color w:val="1F4788"/>
          <w:sz w:val="30"/>
        </w:rPr>
        <w:t>2.1 The pain point teachers feel every Monday morning</w:t>
      </w:r>
    </w:p>
    <w:p>
      <w:pPr>
        <w:spacing w:after="160"/>
        <w:jc w:val="both"/>
      </w:pPr>
      <w:r>
        <w:rPr>
          <w:b w:val="0"/>
          <w:i w:val="0"/>
          <w:sz w:val="22"/>
        </w:rPr>
        <w:t>When a student gets an answer wrong, the worksheet records a red X. The teacher doesn't know whether the student misunderstood the underlying concept, miscalculated, guessed, ran out of time, or forgot a step they used to know. So the teacher reteaches blind — wasting 30-45 minutes of class time per topic on students who didn't need the reteach, and missing the students who needed targeted help on a different sub-skill.</w:t>
      </w:r>
    </w:p>
    <w:p>
      <w:pPr>
        <w:spacing w:before="120" w:after="120"/>
        <w:ind w:left="720" w:right="720"/>
      </w:pPr>
      <w:r>
        <w:rPr>
          <w:i/>
          <w:color w:val="2C3E50"/>
          <w:sz w:val="22"/>
        </w:rPr>
        <w:t>“Traditional assessments capture only correctness. EdGame captures why students get answers wrong: guessing patterns, frustration points, and which concepts need reteaching. This is the insight that Classcraft's June 2024 shutdown left a massive gap for.”</w:t>
      </w:r>
    </w:p>
    <w:p>
      <w:pPr>
        <w:spacing w:after="200"/>
        <w:ind w:left="720"/>
      </w:pPr>
      <w:r>
        <w:rPr>
          <w:i/>
          <w:color w:val="888888"/>
          <w:sz w:val="20"/>
        </w:rPr>
        <w:t>— EdGame Business Model Canvas, March 2026</w:t>
      </w:r>
    </w:p>
    <w:p>
      <w:pPr>
        <w:pStyle w:val="Heading2"/>
      </w:pPr>
      <w:r>
        <w:rPr>
          <w:b/>
          <w:color w:val="1F4788"/>
          <w:sz w:val="30"/>
        </w:rPr>
        <w:t>2.2 Why traditional tests + worksheets fail</w:t>
      </w:r>
    </w:p>
    <w:p>
      <w:pPr>
        <w:pStyle w:val="ListBullet"/>
        <w:spacing w:after="40"/>
        <w:ind w:left="360"/>
      </w:pPr>
      <w:r>
        <w:rPr>
          <w:sz w:val="22"/>
        </w:rPr>
        <w:t>They measure outputs, not process — no signal on error type, hint dependence, or strategy variation</w:t>
      </w:r>
    </w:p>
    <w:p>
      <w:pPr>
        <w:pStyle w:val="ListBullet"/>
        <w:spacing w:after="40"/>
        <w:ind w:left="360"/>
      </w:pPr>
      <w:r>
        <w:rPr>
          <w:sz w:val="22"/>
        </w:rPr>
        <w:t>They are summative, not formative — too late to change instruction in the current unit</w:t>
      </w:r>
    </w:p>
    <w:p>
      <w:pPr>
        <w:pStyle w:val="ListBullet"/>
        <w:spacing w:after="40"/>
        <w:ind w:left="360"/>
      </w:pPr>
      <w:r>
        <w:rPr>
          <w:sz w:val="22"/>
        </w:rPr>
        <w:t>They induce test anxiety, which depresses true ability measurement (especially in SEL-rich constructs like persistence and collaboration)</w:t>
      </w:r>
    </w:p>
    <w:p>
      <w:pPr>
        <w:pStyle w:val="ListBullet"/>
        <w:spacing w:after="40"/>
        <w:ind w:left="360"/>
      </w:pPr>
      <w:r>
        <w:rPr>
          <w:sz w:val="22"/>
        </w:rPr>
        <w:t>They cannot measure non-cognitive dimensions — emotional regulation, growth mindset, social negotiation — that predict college and career outcomes at least as well as test scores</w:t>
      </w:r>
    </w:p>
    <w:p>
      <w:pPr>
        <w:pStyle w:val="Heading2"/>
      </w:pPr>
      <w:r>
        <w:rPr>
          <w:b/>
          <w:color w:val="1F4788"/>
          <w:sz w:val="30"/>
        </w:rPr>
        <w:t>2.3 What we mean by 'stealth assessment'</w:t>
      </w:r>
    </w:p>
    <w:p>
      <w:pPr>
        <w:spacing w:after="160"/>
        <w:jc w:val="both"/>
      </w:pPr>
      <w:r>
        <w:rPr>
          <w:b w:val="0"/>
          <w:i w:val="0"/>
          <w:sz w:val="22"/>
        </w:rPr>
        <w:t>Stealth assessment, developed by Valerie Shute at FSU</w:t>
      </w:r>
      <w:r>
        <w:rPr>
          <w:b w:val="0"/>
          <w:i w:val="0"/>
          <w:sz w:val="18"/>
          <w:vertAlign w:val="superscript"/>
        </w:rPr>
        <w:t>[12]</w:t>
      </w:r>
      <w:r>
        <w:rPr>
          <w:b w:val="0"/>
          <w:i w:val="0"/>
          <w:sz w:val="22"/>
        </w:rPr>
        <w:t>, is the practice of embedding diagnostic measurement inside engaging gameplay. The student plays; the game logs Actor-Verb-Object event streams that the analytics engine projects onto competency models. Two meta-analyses establish efficacy: Clark et al. (2016) found a Hedges' g of 0.33 across 57 studies (n = 209)</w:t>
      </w:r>
      <w:r>
        <w:rPr>
          <w:b w:val="0"/>
          <w:i w:val="0"/>
          <w:sz w:val="18"/>
          <w:vertAlign w:val="superscript"/>
        </w:rPr>
        <w:t>[13]</w:t>
      </w:r>
      <w:r>
        <w:rPr>
          <w:b w:val="0"/>
          <w:i w:val="0"/>
          <w:sz w:val="22"/>
        </w:rPr>
        <w:t>; Wouters et al. (2013) found d = 0.29 on learning and d = 0.36 on retention, with multi-session interventions as the decisive moderator</w:t>
      </w:r>
      <w:r>
        <w:rPr>
          <w:b w:val="0"/>
          <w:i w:val="0"/>
          <w:sz w:val="18"/>
          <w:vertAlign w:val="superscript"/>
        </w:rPr>
        <w:t>[14]</w:t>
      </w:r>
      <w:r>
        <w:rPr>
          <w:b w:val="0"/>
          <w:i w:val="0"/>
          <w:sz w:val="22"/>
        </w:rPr>
        <w:t>.</w:t>
      </w:r>
    </w:p>
    <w:p>
      <w:pPr>
        <w:pStyle w:val="Heading2"/>
      </w:pPr>
      <w:r>
        <w:rPr>
          <w:b/>
          <w:color w:val="1F4788"/>
          <w:sz w:val="30"/>
        </w:rPr>
        <w:t>2.4 An adjacent demand-validation datapoint</w:t>
      </w:r>
    </w:p>
    <w:p>
      <w:pPr>
        <w:spacing w:after="160"/>
        <w:jc w:val="both"/>
      </w:pPr>
      <w:r>
        <w:rPr>
          <w:b w:val="0"/>
          <w:i w:val="0"/>
          <w:sz w:val="22"/>
        </w:rPr>
        <w:t>In 2024 the leading individual-teacher gamified-classroom platform Classcraft was acquired by Houghton Mifflin Harcourt and rebuilt as a district-only product, explicitly excluding individual teachers</w:t>
      </w:r>
      <w:r>
        <w:rPr>
          <w:b w:val="0"/>
          <w:i w:val="0"/>
          <w:sz w:val="18"/>
          <w:vertAlign w:val="superscript"/>
        </w:rPr>
        <w:t>[15]</w:t>
      </w:r>
      <w:r>
        <w:rPr>
          <w:b w:val="0"/>
          <w:i w:val="0"/>
          <w:sz w:val="22"/>
        </w:rPr>
        <w:t>. This is not a hero argument for our positioning — Classcraft was a behavior-management layer, not stealth assessment. But it does validate that teacher-led demand for engagement + analytics tools exists at scale. We acknowledge ClassDojo absorbed most of that displaced demand for free; our differentiator is depth of diagnostic signal, not gamification mechanics.</w:t>
      </w:r>
    </w:p>
    <w:p>
      <w:pPr>
        <w:pStyle w:val="Heading2"/>
      </w:pPr>
      <w:r>
        <w:rPr>
          <w:b/>
          <w:color w:val="1F4788"/>
          <w:sz w:val="30"/>
        </w:rPr>
        <w:t>2.5 Why now in Saudi Arabia + GCC</w:t>
      </w:r>
    </w:p>
    <w:p>
      <w:pPr>
        <w:pStyle w:val="ListBullet"/>
        <w:spacing w:after="40"/>
        <w:ind w:left="360"/>
      </w:pPr>
      <w:r>
        <w:rPr>
          <w:sz w:val="22"/>
        </w:rPr>
        <w:t>Saudi Vision 2030 has committed $53.5B to education in 2025 — 16% of total government expenditures, the single largest line item</w:t>
      </w:r>
      <w:r>
        <w:rPr>
          <w:sz w:val="18"/>
          <w:vertAlign w:val="superscript"/>
        </w:rPr>
        <w:t>[5]</w:t>
      </w:r>
    </w:p>
    <w:p>
      <w:pPr>
        <w:pStyle w:val="ListBullet"/>
        <w:spacing w:after="40"/>
        <w:ind w:left="360"/>
      </w:pPr>
      <w:r>
        <w:rPr>
          <w:sz w:val="22"/>
        </w:rPr>
        <w:t>NEOM has earmarked ~$10B for education infrastructure including bilingual K-12 schools</w:t>
      </w:r>
      <w:r>
        <w:rPr>
          <w:sz w:val="18"/>
          <w:vertAlign w:val="superscript"/>
        </w:rPr>
        <w:t>[8]</w:t>
      </w:r>
    </w:p>
    <w:p>
      <w:pPr>
        <w:pStyle w:val="ListBullet"/>
        <w:spacing w:after="40"/>
        <w:ind w:left="360"/>
      </w:pPr>
      <w:r>
        <w:rPr>
          <w:sz w:val="22"/>
        </w:rPr>
        <w:t>KAUST School + NEOM Schools provide direct access to high-innovation K-12 pilots with weekly feedback cadence — a structural advantage no Western EdTech founder can replicate</w:t>
      </w:r>
    </w:p>
    <w:p>
      <w:pPr>
        <w:pStyle w:val="ListBullet"/>
        <w:spacing w:after="40"/>
        <w:ind w:left="360"/>
      </w:pPr>
      <w:r>
        <w:rPr>
          <w:sz w:val="22"/>
        </w:rPr>
        <w:t>The KSA AI curriculum will reach 6M+ students starting 2025-26</w:t>
      </w:r>
      <w:r>
        <w:rPr>
          <w:sz w:val="18"/>
          <w:vertAlign w:val="superscript"/>
        </w:rPr>
        <w:t>[9]</w:t>
      </w:r>
      <w:r>
        <w:rPr>
          <w:sz w:val="22"/>
        </w:rPr>
        <w:t xml:space="preserve"> — creating immediate demand for AI-enabled assessment tools</w:t>
      </w:r>
    </w:p>
    <w:p>
      <w:pPr>
        <w:pStyle w:val="ListBullet"/>
        <w:spacing w:after="40"/>
        <w:ind w:left="360"/>
      </w:pPr>
      <w:r>
        <w:rPr>
          <w:sz w:val="22"/>
        </w:rPr>
        <w:t>GEMS Education's $2B Brookfield raise at $4B valuation (June 2024)</w:t>
      </w:r>
      <w:r>
        <w:rPr>
          <w:sz w:val="18"/>
          <w:vertAlign w:val="superscript"/>
        </w:rPr>
        <w:t>[6]</w:t>
      </w:r>
      <w:r>
        <w:rPr>
          <w:sz w:val="22"/>
        </w:rPr>
        <w:t xml:space="preserve"> sets a concrete enterprise-value comp for GCC private-K-12 venture</w:t>
      </w:r>
    </w:p>
    <w:p>
      <w:r>
        <w:br w:type="page"/>
      </w:r>
    </w:p>
    <w:p>
      <w:pPr>
        <w:pStyle w:val="Heading1"/>
      </w:pPr>
      <w:r>
        <w:rPr>
          <w:b/>
          <w:color w:val="1F4788"/>
          <w:sz w:val="44"/>
        </w:rPr>
        <w:t>3. Product &amp; Service</w:t>
      </w:r>
    </w:p>
    <w:p>
      <w:pPr>
        <w:pStyle w:val="Heading2"/>
      </w:pPr>
      <w:r>
        <w:rPr>
          <w:b/>
          <w:color w:val="1F4788"/>
          <w:sz w:val="30"/>
        </w:rPr>
        <w:t>3.1 Hero wedge: Pulse Realms (with 4 supporting titles in the portfolio)</w:t>
      </w:r>
    </w:p>
    <w:p>
      <w:pPr>
        <w:spacing w:after="160"/>
        <w:jc w:val="both"/>
      </w:pPr>
      <w:r>
        <w:rPr>
          <w:b w:val="0"/>
          <w:i w:val="0"/>
          <w:sz w:val="22"/>
        </w:rPr>
        <w:t>We have shipped 5 games — this is real product hygiene and demonstrates the underlying analytics framework — but our investment thesis is a single-wedge game: Pulse Realms, the 3v3 team-arena title with the deepest behavioral telemetry per session. Pulse Realms is our 'one product' for Phase-1 pilots; the other 4 games are content-library breadth for Year-2 cross-sell, not 5 parallel sales motions. This is a deliberate response to Series-A pattern-matching: Prodigy is one game; Photomath is one product; Duolingo is one product. Single-wedge focus drives PMF.</w:t>
      </w:r>
    </w:p>
    <w:p>
      <w:pPr>
        <w:spacing w:after="160"/>
      </w:pPr>
      <w:r>
        <w:rPr>
          <w:b w:val="0"/>
          <w:i/>
          <w:color w:val="888888"/>
          <w:sz w:val="22"/>
        </w:rPr>
        <w:t>We sunset or freeze 3 of the 4 supporting titles in Phase-1 if Pulse Realms shows a strong retention signal; we double down on the next-best performer if not.</w:t>
      </w:r>
    </w:p>
    <w:p>
      <w:pPr>
        <w:jc w:val="center"/>
      </w:pPr>
      <w:r>
        <w:drawing>
          <wp:inline xmlns:a="http://schemas.openxmlformats.org/drawingml/2006/main" xmlns:pic="http://schemas.openxmlformats.org/drawingml/2006/picture">
            <wp:extent cx="5943600" cy="4938198"/>
            <wp:docPr id="2" name="Picture 2"/>
            <wp:cNvGraphicFramePr>
              <a:graphicFrameLocks noChangeAspect="1"/>
            </wp:cNvGraphicFramePr>
            <a:graphic>
              <a:graphicData uri="http://schemas.openxmlformats.org/drawingml/2006/picture">
                <pic:pic>
                  <pic:nvPicPr>
                    <pic:cNvPr id="0" name="figure_02_game_portfolio.png"/>
                    <pic:cNvPicPr/>
                  </pic:nvPicPr>
                  <pic:blipFill>
                    <a:blip r:embed="rId10"/>
                    <a:stretch>
                      <a:fillRect/>
                    </a:stretch>
                  </pic:blipFill>
                  <pic:spPr>
                    <a:xfrm>
                      <a:off x="0" y="0"/>
                      <a:ext cx="5943600" cy="4938198"/>
                    </a:xfrm>
                    <a:prstGeom prst="rect"/>
                  </pic:spPr>
                </pic:pic>
              </a:graphicData>
            </a:graphic>
          </wp:inline>
        </w:drawing>
      </w:r>
    </w:p>
    <w:p>
      <w:pPr>
        <w:spacing w:after="240"/>
        <w:jc w:val="center"/>
      </w:pPr>
      <w:r>
        <w:rPr>
          <w:i/>
          <w:color w:val="888888"/>
          <w:sz w:val="18"/>
        </w:rPr>
        <w:t>Figure 2. EdGame's 5 live games. Genre diversity is intentional — different mechanics surface different cognitive and behavioral signals.</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1872"/>
            <w:shd w:val="clear" w:color="auto" w:fill="1F4788"/>
          </w:tcPr>
          <w:p>
            <w:r/>
            <w:r>
              <w:rPr>
                <w:b/>
                <w:color w:val="FFFFFF"/>
                <w:sz w:val="20"/>
              </w:rPr>
              <w:t>Game</w:t>
            </w:r>
          </w:p>
        </w:tc>
        <w:tc>
          <w:tcPr>
            <w:tcW w:type="dxa" w:w="2016"/>
            <w:shd w:val="clear" w:color="auto" w:fill="1F4788"/>
          </w:tcPr>
          <w:p>
            <w:r/>
            <w:r>
              <w:rPr>
                <w:b/>
                <w:color w:val="FFFFFF"/>
                <w:sz w:val="20"/>
              </w:rPr>
              <w:t>Genre</w:t>
            </w:r>
          </w:p>
        </w:tc>
        <w:tc>
          <w:tcPr>
            <w:tcW w:type="dxa" w:w="2304"/>
            <w:shd w:val="clear" w:color="auto" w:fill="1F4788"/>
          </w:tcPr>
          <w:p>
            <w:r/>
            <w:r>
              <w:rPr>
                <w:b/>
                <w:color w:val="FFFFFF"/>
                <w:sz w:val="20"/>
              </w:rPr>
              <w:t>Subject</w:t>
            </w:r>
          </w:p>
        </w:tc>
        <w:tc>
          <w:tcPr>
            <w:tcW w:type="dxa" w:w="2160"/>
            <w:shd w:val="clear" w:color="auto" w:fill="1F4788"/>
          </w:tcPr>
          <w:p>
            <w:r/>
            <w:r>
              <w:rPr>
                <w:b/>
                <w:color w:val="FFFFFF"/>
                <w:sz w:val="20"/>
              </w:rPr>
              <w:t>Primary Dimension</w:t>
            </w:r>
          </w:p>
        </w:tc>
        <w:tc>
          <w:tcPr>
            <w:tcW w:type="dxa" w:w="1008"/>
            <w:shd w:val="clear" w:color="auto" w:fill="1F4788"/>
          </w:tcPr>
          <w:p>
            <w:r/>
            <w:r>
              <w:rPr>
                <w:b/>
                <w:color w:val="FFFFFF"/>
                <w:sz w:val="20"/>
              </w:rPr>
              <w:t>Status</w:t>
            </w:r>
          </w:p>
        </w:tc>
      </w:tr>
      <w:tr>
        <w:tc>
          <w:tcPr>
            <w:tcW w:type="dxa" w:w="1872"/>
          </w:tcPr>
          <w:p>
            <w:r/>
            <w:r>
              <w:rPr>
                <w:sz w:val="20"/>
              </w:rPr>
              <w:t>Pulse Realms</w:t>
            </w:r>
          </w:p>
        </w:tc>
        <w:tc>
          <w:tcPr>
            <w:tcW w:type="dxa" w:w="2016"/>
          </w:tcPr>
          <w:p>
            <w:r/>
            <w:r>
              <w:rPr>
                <w:sz w:val="20"/>
              </w:rPr>
              <w:t>3v3 Team Arena</w:t>
            </w:r>
          </w:p>
        </w:tc>
        <w:tc>
          <w:tcPr>
            <w:tcW w:type="dxa" w:w="2304"/>
          </w:tcPr>
          <w:p>
            <w:r/>
            <w:r>
              <w:rPr>
                <w:sz w:val="20"/>
              </w:rPr>
              <w:t>Math &amp; Science</w:t>
            </w:r>
          </w:p>
        </w:tc>
        <w:tc>
          <w:tcPr>
            <w:tcW w:type="dxa" w:w="2160"/>
          </w:tcPr>
          <w:p>
            <w:r/>
            <w:r>
              <w:rPr>
                <w:sz w:val="20"/>
              </w:rPr>
              <w:t>D4 — Social</w:t>
            </w:r>
          </w:p>
        </w:tc>
        <w:tc>
          <w:tcPr>
            <w:tcW w:type="dxa" w:w="1008"/>
          </w:tcPr>
          <w:p>
            <w:r/>
            <w:r>
              <w:rPr>
                <w:sz w:val="20"/>
              </w:rPr>
              <w:t>Live</w:t>
            </w:r>
          </w:p>
        </w:tc>
      </w:tr>
      <w:tr>
        <w:tc>
          <w:tcPr>
            <w:tcW w:type="dxa" w:w="1872"/>
          </w:tcPr>
          <w:p>
            <w:r/>
            <w:r>
              <w:rPr>
                <w:sz w:val="20"/>
              </w:rPr>
              <w:t>Concept Cascade</w:t>
            </w:r>
          </w:p>
        </w:tc>
        <w:tc>
          <w:tcPr>
            <w:tcW w:type="dxa" w:w="2016"/>
          </w:tcPr>
          <w:p>
            <w:r/>
            <w:r>
              <w:rPr>
                <w:sz w:val="20"/>
              </w:rPr>
              <w:t>Tower Defense</w:t>
            </w:r>
          </w:p>
        </w:tc>
        <w:tc>
          <w:tcPr>
            <w:tcW w:type="dxa" w:w="2304"/>
          </w:tcPr>
          <w:p>
            <w:r/>
            <w:r>
              <w:rPr>
                <w:sz w:val="20"/>
              </w:rPr>
              <w:t>Mathematics</w:t>
            </w:r>
          </w:p>
        </w:tc>
        <w:tc>
          <w:tcPr>
            <w:tcW w:type="dxa" w:w="2160"/>
          </w:tcPr>
          <w:p>
            <w:r/>
            <w:r>
              <w:rPr>
                <w:sz w:val="20"/>
              </w:rPr>
              <w:t>D3 — Strategic</w:t>
            </w:r>
          </w:p>
        </w:tc>
        <w:tc>
          <w:tcPr>
            <w:tcW w:type="dxa" w:w="1008"/>
          </w:tcPr>
          <w:p>
            <w:r/>
            <w:r>
              <w:rPr>
                <w:sz w:val="20"/>
              </w:rPr>
              <w:t>Live</w:t>
            </w:r>
          </w:p>
        </w:tc>
      </w:tr>
      <w:tr>
        <w:tc>
          <w:tcPr>
            <w:tcW w:type="dxa" w:w="1872"/>
          </w:tcPr>
          <w:p>
            <w:r/>
            <w:r>
              <w:rPr>
                <w:sz w:val="20"/>
              </w:rPr>
              <w:t>Knowledge Quest</w:t>
            </w:r>
          </w:p>
        </w:tc>
        <w:tc>
          <w:tcPr>
            <w:tcW w:type="dxa" w:w="2016"/>
          </w:tcPr>
          <w:p>
            <w:r/>
            <w:r>
              <w:rPr>
                <w:sz w:val="20"/>
              </w:rPr>
              <w:t>Turn-Based RPG</w:t>
            </w:r>
          </w:p>
        </w:tc>
        <w:tc>
          <w:tcPr>
            <w:tcW w:type="dxa" w:w="2304"/>
          </w:tcPr>
          <w:p>
            <w:r/>
            <w:r>
              <w:rPr>
                <w:sz w:val="20"/>
              </w:rPr>
              <w:t>Math &amp; Science</w:t>
            </w:r>
          </w:p>
        </w:tc>
        <w:tc>
          <w:tcPr>
            <w:tcW w:type="dxa" w:w="2160"/>
          </w:tcPr>
          <w:p>
            <w:r/>
            <w:r>
              <w:rPr>
                <w:sz w:val="20"/>
              </w:rPr>
              <w:t>D5 — Affective/SEL</w:t>
            </w:r>
          </w:p>
        </w:tc>
        <w:tc>
          <w:tcPr>
            <w:tcW w:type="dxa" w:w="1008"/>
          </w:tcPr>
          <w:p>
            <w:r/>
            <w:r>
              <w:rPr>
                <w:sz w:val="20"/>
              </w:rPr>
              <w:t>Live</w:t>
            </w:r>
          </w:p>
        </w:tc>
      </w:tr>
      <w:tr>
        <w:tc>
          <w:tcPr>
            <w:tcW w:type="dxa" w:w="1872"/>
          </w:tcPr>
          <w:p>
            <w:r/>
            <w:r>
              <w:rPr>
                <w:sz w:val="20"/>
              </w:rPr>
              <w:t>Lab Explorer</w:t>
            </w:r>
          </w:p>
        </w:tc>
        <w:tc>
          <w:tcPr>
            <w:tcW w:type="dxa" w:w="2016"/>
          </w:tcPr>
          <w:p>
            <w:r/>
            <w:r>
              <w:rPr>
                <w:sz w:val="20"/>
              </w:rPr>
              <w:t>Virtual Science Lab</w:t>
            </w:r>
          </w:p>
        </w:tc>
        <w:tc>
          <w:tcPr>
            <w:tcW w:type="dxa" w:w="2304"/>
          </w:tcPr>
          <w:p>
            <w:r/>
            <w:r>
              <w:rPr>
                <w:sz w:val="20"/>
              </w:rPr>
              <w:t>Chemistry &amp; Physics</w:t>
            </w:r>
          </w:p>
        </w:tc>
        <w:tc>
          <w:tcPr>
            <w:tcW w:type="dxa" w:w="2160"/>
          </w:tcPr>
          <w:p>
            <w:r/>
            <w:r>
              <w:rPr>
                <w:sz w:val="20"/>
              </w:rPr>
              <w:t>D3 — Strategic</w:t>
            </w:r>
          </w:p>
        </w:tc>
        <w:tc>
          <w:tcPr>
            <w:tcW w:type="dxa" w:w="1008"/>
          </w:tcPr>
          <w:p>
            <w:r/>
            <w:r>
              <w:rPr>
                <w:sz w:val="20"/>
              </w:rPr>
              <w:t>Live</w:t>
            </w:r>
          </w:p>
        </w:tc>
      </w:tr>
      <w:tr>
        <w:tc>
          <w:tcPr>
            <w:tcW w:type="dxa" w:w="1872"/>
          </w:tcPr>
          <w:p>
            <w:r/>
            <w:r>
              <w:rPr>
                <w:sz w:val="20"/>
              </w:rPr>
              <w:t>Survival Equation</w:t>
            </w:r>
          </w:p>
        </w:tc>
        <w:tc>
          <w:tcPr>
            <w:tcW w:type="dxa" w:w="2016"/>
          </w:tcPr>
          <w:p>
            <w:r/>
            <w:r>
              <w:rPr>
                <w:sz w:val="20"/>
              </w:rPr>
              <w:t>Cooperative Puzzle</w:t>
            </w:r>
          </w:p>
        </w:tc>
        <w:tc>
          <w:tcPr>
            <w:tcW w:type="dxa" w:w="2304"/>
          </w:tcPr>
          <w:p>
            <w:r/>
            <w:r>
              <w:rPr>
                <w:sz w:val="20"/>
              </w:rPr>
              <w:t>Applied STEM</w:t>
            </w:r>
          </w:p>
        </w:tc>
        <w:tc>
          <w:tcPr>
            <w:tcW w:type="dxa" w:w="2160"/>
          </w:tcPr>
          <w:p>
            <w:r/>
            <w:r>
              <w:rPr>
                <w:sz w:val="20"/>
              </w:rPr>
              <w:t>D4 — Social</w:t>
            </w:r>
          </w:p>
        </w:tc>
        <w:tc>
          <w:tcPr>
            <w:tcW w:type="dxa" w:w="1008"/>
          </w:tcPr>
          <w:p>
            <w:r/>
            <w:r>
              <w:rPr>
                <w:sz w:val="20"/>
              </w:rPr>
              <w:t>Live</w:t>
            </w:r>
          </w:p>
        </w:tc>
      </w:tr>
    </w:tbl>
    <w:p/>
    <w:p>
      <w:pPr>
        <w:pStyle w:val="Heading2"/>
      </w:pPr>
      <w:r>
        <w:rPr>
          <w:b/>
          <w:color w:val="1F4788"/>
          <w:sz w:val="30"/>
        </w:rPr>
        <w:t>3.2 The two-dimension teacher dashboard (with a six-dimension framework underneath)</w:t>
      </w:r>
    </w:p>
    <w:p>
      <w:pPr>
        <w:spacing w:after="160"/>
        <w:jc w:val="both"/>
      </w:pPr>
      <w:r>
        <w:rPr>
          <w:b w:val="0"/>
          <w:i w:val="0"/>
          <w:sz w:val="22"/>
        </w:rPr>
        <w:t>Phase 1 ships two surfaced dimensions in the teacher dashboard: Cognitive Mastery (what concepts has the student mastered, what are they missing) and Behavioral Engagement (is this student playing, persisting, dropping off). These are the two questions teachers actually ask on Monday morning. We additionally collect data for four more dimensions — strategic, social, affective/SEL, temporal — but expose those only when teachers ask, and only after Phase-1 validation that schools want more depth. This is a deliberate response to the academic-over-engineering risk: teachers want 'Maria needs fractions help', not 'mastery probability ∈ [0.4, 0.8]'.</w:t>
      </w:r>
    </w:p>
    <w:p>
      <w:pPr>
        <w:spacing w:after="160"/>
        <w:jc w:val="both"/>
      </w:pPr>
      <w:r>
        <w:rPr>
          <w:b w:val="0"/>
          <w:i w:val="0"/>
          <w:sz w:val="22"/>
        </w:rPr>
        <w:t>The underlying framework is grounded in Evidence-Centered Design and Bayesian Knowledge Tracing — full mapping to CASEL</w:t>
      </w:r>
      <w:r>
        <w:rPr>
          <w:b w:val="0"/>
          <w:i w:val="0"/>
          <w:sz w:val="18"/>
          <w:vertAlign w:val="superscript"/>
        </w:rPr>
        <w:t>[16]</w:t>
      </w:r>
      <w:r>
        <w:rPr>
          <w:b w:val="0"/>
          <w:i w:val="0"/>
          <w:sz w:val="22"/>
        </w:rPr>
        <w:t>, OECD PISA problem-solving, and standard K-12 cognitive constructs is documented in Appendix D for procurement and research-partner diligence.</w:t>
      </w:r>
    </w:p>
    <w:p>
      <w:pPr>
        <w:jc w:val="center"/>
      </w:pPr>
      <w:r>
        <w:drawing>
          <wp:inline xmlns:a="http://schemas.openxmlformats.org/drawingml/2006/main" xmlns:pic="http://schemas.openxmlformats.org/drawingml/2006/picture">
            <wp:extent cx="5943600" cy="5625399"/>
            <wp:docPr id="3" name="Picture 3"/>
            <wp:cNvGraphicFramePr>
              <a:graphicFrameLocks noChangeAspect="1"/>
            </wp:cNvGraphicFramePr>
            <a:graphic>
              <a:graphicData uri="http://schemas.openxmlformats.org/drawingml/2006/picture">
                <pic:pic>
                  <pic:nvPicPr>
                    <pic:cNvPr id="0" name="figure_01_six_dimensions.png"/>
                    <pic:cNvPicPr/>
                  </pic:nvPicPr>
                  <pic:blipFill>
                    <a:blip r:embed="rId11"/>
                    <a:stretch>
                      <a:fillRect/>
                    </a:stretch>
                  </pic:blipFill>
                  <pic:spPr>
                    <a:xfrm>
                      <a:off x="0" y="0"/>
                      <a:ext cx="5943600" cy="5625399"/>
                    </a:xfrm>
                    <a:prstGeom prst="rect"/>
                  </pic:spPr>
                </pic:pic>
              </a:graphicData>
            </a:graphic>
          </wp:inline>
        </w:drawing>
      </w:r>
    </w:p>
    <w:p>
      <w:pPr>
        <w:spacing w:after="240"/>
        <w:jc w:val="center"/>
      </w:pPr>
      <w:r>
        <w:rPr>
          <w:i/>
          <w:color w:val="888888"/>
          <w:sz w:val="18"/>
        </w:rPr>
        <w:t>Figure 3. EdGame's six analytical dimensions — every game tracks all six; each game's mechanics emphasize one as the primary lens.</w:t>
      </w:r>
    </w:p>
    <w:p>
      <w:pPr>
        <w:pStyle w:val="Heading2"/>
      </w:pPr>
      <w:r>
        <w:rPr>
          <w:b/>
          <w:color w:val="1F4788"/>
          <w:sz w:val="30"/>
        </w:rPr>
        <w:t>3.3 What teachers see Monday morning</w:t>
      </w:r>
    </w:p>
    <w:p>
      <w:pPr>
        <w:spacing w:after="160"/>
      </w:pPr>
      <w:r>
        <w:rPr>
          <w:b w:val="0"/>
          <w:i w:val="0"/>
          <w:sz w:val="22"/>
        </w:rPr>
        <w:t>The teacher dashboard surfaces top-3 weekly insights per student in plain English. Example: 'Maria has mastered Newton's Second Law but shows persistent misconceptions about momentum conservation — recommend the Conservation worksheet in lesson 7.4.' No statistics jargon. No raw event streams. Just actionable next steps.</w:t>
      </w:r>
    </w:p>
    <w:p>
      <w:pPr>
        <w:pStyle w:val="ListBullet"/>
        <w:spacing w:after="40"/>
        <w:ind w:left="360"/>
      </w:pPr>
      <w:r>
        <w:rPr>
          <w:sz w:val="22"/>
        </w:rPr>
        <w:t>Class-level mastery heatmap (knowledge component × student)</w:t>
      </w:r>
    </w:p>
    <w:p>
      <w:pPr>
        <w:pStyle w:val="ListBullet"/>
        <w:spacing w:after="40"/>
        <w:ind w:left="360"/>
      </w:pPr>
      <w:r>
        <w:rPr>
          <w:sz w:val="22"/>
        </w:rPr>
        <w:t>At-risk early-warning alerts (engagement decline + performance trend)</w:t>
      </w:r>
    </w:p>
    <w:p>
      <w:pPr>
        <w:pStyle w:val="ListBullet"/>
        <w:spacing w:after="40"/>
        <w:ind w:left="360"/>
      </w:pPr>
      <w:r>
        <w:rPr>
          <w:sz w:val="22"/>
        </w:rPr>
        <w:t>Misconception clusters (groups of students with the same wrong-answer pattern)</w:t>
      </w:r>
    </w:p>
    <w:p>
      <w:pPr>
        <w:pStyle w:val="ListBullet"/>
        <w:spacing w:after="40"/>
        <w:ind w:left="360"/>
      </w:pPr>
      <w:r>
        <w:rPr>
          <w:sz w:val="22"/>
        </w:rPr>
        <w:t>Group dynamics snapshot (cooperation quality, role adoption, communication flow)</w:t>
      </w:r>
    </w:p>
    <w:p>
      <w:pPr>
        <w:pStyle w:val="Heading2"/>
      </w:pPr>
      <w:r>
        <w:rPr>
          <w:b/>
          <w:color w:val="1F4788"/>
          <w:sz w:val="30"/>
        </w:rPr>
        <w:t>3.4 Technical foundation</w:t>
      </w:r>
    </w:p>
    <w:p>
      <w:pPr>
        <w:spacing w:after="160"/>
      </w:pPr>
      <w:r>
        <w:rPr>
          <w:b w:val="0"/>
          <w:i w:val="0"/>
          <w:sz w:val="22"/>
        </w:rPr>
        <w:t>EdGame's stack is intentionally lean and modern: KAPLAY.js for games (CDN-loaded, no bundler needed), Next.js 14 for the teacher/admin web app, SurrealDB (multi-model, built-in role-based permissions, KSA data-residency-compatible). All games are static HTML + ES modules, deployable as one Railway service with zero infrastructure lock-in. Telemetry is xAPI-compliant (Actor-Verb-Object), interoperable with Google Classroom, Canvas, Clever, and any LRS-compatible system.</w:t>
      </w:r>
    </w:p>
    <w:p>
      <w:pPr>
        <w:pStyle w:val="Heading2"/>
      </w:pPr>
      <w:r>
        <w:rPr>
          <w:b/>
          <w:color w:val="1F4788"/>
          <w:sz w:val="30"/>
        </w:rPr>
        <w:t>3.5 Defensibility — the data moat</w:t>
      </w:r>
    </w:p>
    <w:p>
      <w:pPr>
        <w:spacing w:after="160"/>
      </w:pPr>
      <w:r>
        <w:rPr>
          <w:b w:val="0"/>
          <w:i w:val="0"/>
          <w:sz w:val="22"/>
        </w:rPr>
        <w:t>EdGame's competitive moat is behavioral data accumulation. Each new student-week adds new training signal to our BKT models, our misconception classifiers, our engagement-decline detectors, and our SEL inference engine. With Phase 1 alone (50 paid schools × 500 students × 30 weeks), we generate ~22 million labeled telemetry events — enough to train baseline ML models that competitors cannot replicate without our content + school relationships. By Year 5, our data lake contains ~5 billion labeled events.</w:t>
      </w:r>
    </w:p>
    <w:p>
      <w:r>
        <w:br w:type="page"/>
      </w:r>
    </w:p>
    <w:p>
      <w:pPr>
        <w:pStyle w:val="Heading1"/>
      </w:pPr>
      <w:r>
        <w:rPr>
          <w:b/>
          <w:color w:val="1F4788"/>
          <w:sz w:val="44"/>
        </w:rPr>
        <w:t>4. Market &amp; Competition</w:t>
      </w:r>
    </w:p>
    <w:p>
      <w:pPr>
        <w:pStyle w:val="Heading2"/>
      </w:pPr>
      <w:r>
        <w:rPr>
          <w:b/>
          <w:color w:val="1F4788"/>
          <w:sz w:val="30"/>
        </w:rPr>
        <w:t>4.1 TAM / SAM / SOM</w:t>
      </w:r>
    </w:p>
    <w:p>
      <w:pPr>
        <w:spacing w:after="160"/>
        <w:jc w:val="both"/>
      </w:pPr>
      <w:r>
        <w:rPr>
          <w:b w:val="0"/>
          <w:i w:val="0"/>
          <w:sz w:val="22"/>
        </w:rPr>
        <w:t>We use bottom-up sales forecasting (per TIE212 and Harvard guidance</w:t>
      </w:r>
      <w:r>
        <w:rPr>
          <w:b w:val="0"/>
          <w:i w:val="0"/>
          <w:sz w:val="18"/>
          <w:vertAlign w:val="superscript"/>
        </w:rPr>
        <w:t>[17]</w:t>
      </w:r>
      <w:r>
        <w:rPr>
          <w:b w:val="0"/>
          <w:i w:val="0"/>
          <w:sz w:val="22"/>
        </w:rPr>
        <w:t>) rather than top-down market-share extrapolation. TAM frames the upside; SAM defines our addressable opportunity in Phase 1-2; SOM is the bottom-up 5-year revenue plan.</w:t>
      </w:r>
    </w:p>
    <w:p>
      <w:pPr>
        <w:jc w:val="center"/>
      </w:pPr>
      <w:r>
        <w:drawing>
          <wp:inline xmlns:a="http://schemas.openxmlformats.org/drawingml/2006/main" xmlns:pic="http://schemas.openxmlformats.org/drawingml/2006/picture">
            <wp:extent cx="5943600" cy="3303106"/>
            <wp:docPr id="4" name="Picture 4"/>
            <wp:cNvGraphicFramePr>
              <a:graphicFrameLocks noChangeAspect="1"/>
            </wp:cNvGraphicFramePr>
            <a:graphic>
              <a:graphicData uri="http://schemas.openxmlformats.org/drawingml/2006/picture">
                <pic:pic>
                  <pic:nvPicPr>
                    <pic:cNvPr id="0" name="figure_03_tam_sam_som.png"/>
                    <pic:cNvPicPr/>
                  </pic:nvPicPr>
                  <pic:blipFill>
                    <a:blip r:embed="rId12"/>
                    <a:stretch>
                      <a:fillRect/>
                    </a:stretch>
                  </pic:blipFill>
                  <pic:spPr>
                    <a:xfrm>
                      <a:off x="0" y="0"/>
                      <a:ext cx="5943600" cy="3303106"/>
                    </a:xfrm>
                    <a:prstGeom prst="rect"/>
                  </pic:spPr>
                </pic:pic>
              </a:graphicData>
            </a:graphic>
          </wp:inline>
        </w:drawing>
      </w:r>
    </w:p>
    <w:p>
      <w:pPr>
        <w:spacing w:after="240"/>
        <w:jc w:val="center"/>
      </w:pPr>
      <w:r>
        <w:rPr>
          <w:i/>
          <w:color w:val="888888"/>
          <w:sz w:val="18"/>
        </w:rPr>
        <w:t>Figure 4. TAM / SAM / SOM with sourced figures and EdGame's bottom-up Year-5 build.</w:t>
      </w:r>
    </w:p>
    <w:p>
      <w:pPr>
        <w:pStyle w:val="Heading2"/>
      </w:pPr>
      <w:r>
        <w:rPr>
          <w:b/>
          <w:color w:val="1F4788"/>
          <w:sz w:val="30"/>
        </w:rPr>
        <w:t>4.2 Market trajectory</w:t>
      </w:r>
    </w:p>
    <w:p>
      <w:pPr>
        <w:spacing w:after="160"/>
        <w:jc w:val="both"/>
      </w:pPr>
      <w:r>
        <w:rPr>
          <w:b w:val="0"/>
          <w:i w:val="0"/>
          <w:sz w:val="22"/>
        </w:rPr>
        <w:t>The global game-based learning market grows from $13.17B in 2024 to $49.52B in 2035 at a 12.79% CAGR</w:t>
      </w:r>
      <w:r>
        <w:rPr>
          <w:b w:val="0"/>
          <w:i w:val="0"/>
          <w:sz w:val="18"/>
          <w:vertAlign w:val="superscript"/>
        </w:rPr>
        <w:t>[3]</w:t>
      </w:r>
      <w:r>
        <w:rPr>
          <w:b w:val="0"/>
          <w:i w:val="0"/>
          <w:sz w:val="22"/>
        </w:rPr>
        <w:t>. Alternate estimates from Verified Market Research project $88-191B by 2035 at 15-22% CAGR</w:t>
      </w:r>
      <w:r>
        <w:rPr>
          <w:b w:val="0"/>
          <w:i w:val="0"/>
          <w:sz w:val="18"/>
          <w:vertAlign w:val="superscript"/>
        </w:rPr>
        <w:t>[18]</w:t>
      </w:r>
      <w:r>
        <w:rPr>
          <w:b w:val="0"/>
          <w:i w:val="0"/>
          <w:sz w:val="22"/>
        </w:rPr>
        <w:t xml:space="preserve"> — we cite the conservative MRF figure throughout.</w:t>
      </w:r>
    </w:p>
    <w:p>
      <w:pPr>
        <w:jc w:val="center"/>
      </w:pPr>
      <w:r>
        <w:drawing>
          <wp:inline xmlns:a="http://schemas.openxmlformats.org/drawingml/2006/main" xmlns:pic="http://schemas.openxmlformats.org/drawingml/2006/picture">
            <wp:extent cx="5943600" cy="3591155"/>
            <wp:docPr id="5" name="Picture 5"/>
            <wp:cNvGraphicFramePr>
              <a:graphicFrameLocks noChangeAspect="1"/>
            </wp:cNvGraphicFramePr>
            <a:graphic>
              <a:graphicData uri="http://schemas.openxmlformats.org/drawingml/2006/picture">
                <pic:pic>
                  <pic:nvPicPr>
                    <pic:cNvPr id="0" name="figure_12_market_cagr.png"/>
                    <pic:cNvPicPr/>
                  </pic:nvPicPr>
                  <pic:blipFill>
                    <a:blip r:embed="rId13"/>
                    <a:stretch>
                      <a:fillRect/>
                    </a:stretch>
                  </pic:blipFill>
                  <pic:spPr>
                    <a:xfrm>
                      <a:off x="0" y="0"/>
                      <a:ext cx="5943600" cy="3591155"/>
                    </a:xfrm>
                    <a:prstGeom prst="rect"/>
                  </pic:spPr>
                </pic:pic>
              </a:graphicData>
            </a:graphic>
          </wp:inline>
        </w:drawing>
      </w:r>
    </w:p>
    <w:p>
      <w:pPr>
        <w:spacing w:after="240"/>
        <w:jc w:val="center"/>
      </w:pPr>
      <w:r>
        <w:rPr>
          <w:i/>
          <w:color w:val="888888"/>
          <w:sz w:val="18"/>
        </w:rPr>
        <w:t>Figure 5. Game-based learning market trajectory, with K-12 sub-segment.</w:t>
      </w:r>
    </w:p>
    <w:p>
      <w:pPr>
        <w:pStyle w:val="Heading2"/>
      </w:pPr>
      <w:r>
        <w:rPr>
          <w:b/>
          <w:color w:val="1F4788"/>
          <w:sz w:val="30"/>
        </w:rPr>
        <w:t>4.3 Competitive positioning</w:t>
      </w:r>
    </w:p>
    <w:p>
      <w:pPr>
        <w:spacing w:after="160"/>
        <w:jc w:val="both"/>
      </w:pPr>
      <w:r>
        <w:rPr>
          <w:b w:val="0"/>
          <w:i w:val="0"/>
          <w:sz w:val="22"/>
        </w:rPr>
        <w:t>The competitive landscape splits along two axes: knowledge-assessment depth (how well can the platform tell what a student actually knows) vs behavioral / SEL depth (how well can it characterize how they think, regulate, collaborate). No current platform fully delivers both — that is EdGame's positioning.</w:t>
      </w:r>
    </w:p>
    <w:p>
      <w:pPr>
        <w:jc w:val="center"/>
      </w:pPr>
      <w:r>
        <w:drawing>
          <wp:inline xmlns:a="http://schemas.openxmlformats.org/drawingml/2006/main" xmlns:pic="http://schemas.openxmlformats.org/drawingml/2006/picture">
            <wp:extent cx="5943600" cy="4449333"/>
            <wp:docPr id="6" name="Picture 6"/>
            <wp:cNvGraphicFramePr>
              <a:graphicFrameLocks noChangeAspect="1"/>
            </wp:cNvGraphicFramePr>
            <a:graphic>
              <a:graphicData uri="http://schemas.openxmlformats.org/drawingml/2006/picture">
                <pic:pic>
                  <pic:nvPicPr>
                    <pic:cNvPr id="0" name="figure_04_competitive_matrix.png"/>
                    <pic:cNvPicPr/>
                  </pic:nvPicPr>
                  <pic:blipFill>
                    <a:blip r:embed="rId14"/>
                    <a:stretch>
                      <a:fillRect/>
                    </a:stretch>
                  </pic:blipFill>
                  <pic:spPr>
                    <a:xfrm>
                      <a:off x="0" y="0"/>
                      <a:ext cx="5943600" cy="4449333"/>
                    </a:xfrm>
                    <a:prstGeom prst="rect"/>
                  </pic:spPr>
                </pic:pic>
              </a:graphicData>
            </a:graphic>
          </wp:inline>
        </w:drawing>
      </w:r>
    </w:p>
    <w:p>
      <w:pPr>
        <w:spacing w:after="240"/>
        <w:jc w:val="center"/>
      </w:pPr>
      <w:r>
        <w:rPr>
          <w:i/>
          <w:color w:val="888888"/>
          <w:sz w:val="18"/>
        </w:rPr>
        <w:t>Figure 6. Competitive 2x2. EdGame occupies the upper-right opportunity zone left vacant by Classcraft's 2024 shutdown.</w:t>
      </w:r>
    </w:p>
    <w:p>
      <w:pPr>
        <w:pStyle w:val="Heading2"/>
      </w:pPr>
      <w:r>
        <w:rPr>
          <w:b/>
          <w:color w:val="1F4788"/>
          <w:sz w:val="30"/>
        </w:rPr>
        <w:t>4.4 Competitor profiles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1728"/>
            <w:shd w:val="clear" w:color="auto" w:fill="1F4788"/>
          </w:tcPr>
          <w:p>
            <w:r/>
            <w:r>
              <w:rPr>
                <w:b/>
                <w:color w:val="FFFFFF"/>
                <w:sz w:val="20"/>
              </w:rPr>
              <w:t>Competitor</w:t>
            </w:r>
          </w:p>
        </w:tc>
        <w:tc>
          <w:tcPr>
            <w:tcW w:type="dxa" w:w="2160"/>
            <w:shd w:val="clear" w:color="auto" w:fill="1F4788"/>
          </w:tcPr>
          <w:p>
            <w:r/>
            <w:r>
              <w:rPr>
                <w:b/>
                <w:color w:val="FFFFFF"/>
                <w:sz w:val="20"/>
              </w:rPr>
              <w:t>Funding raised</w:t>
            </w:r>
          </w:p>
        </w:tc>
        <w:tc>
          <w:tcPr>
            <w:tcW w:type="dxa" w:w="2592"/>
            <w:shd w:val="clear" w:color="auto" w:fill="1F4788"/>
          </w:tcPr>
          <w:p>
            <w:r/>
            <w:r>
              <w:rPr>
                <w:b/>
                <w:color w:val="FFFFFF"/>
                <w:sz w:val="20"/>
              </w:rPr>
              <w:t>Latest valuation / status</w:t>
            </w:r>
          </w:p>
        </w:tc>
        <w:tc>
          <w:tcPr>
            <w:tcW w:type="dxa" w:w="2880"/>
            <w:shd w:val="clear" w:color="auto" w:fill="1F4788"/>
          </w:tcPr>
          <w:p>
            <w:r/>
            <w:r>
              <w:rPr>
                <w:b/>
                <w:color w:val="FFFFFF"/>
                <w:sz w:val="20"/>
              </w:rPr>
              <w:t>Assessment gap vs EdGame</w:t>
            </w:r>
          </w:p>
        </w:tc>
      </w:tr>
      <w:tr>
        <w:tc>
          <w:tcPr>
            <w:tcW w:type="dxa" w:w="1728"/>
          </w:tcPr>
          <w:p>
            <w:r/>
            <w:r>
              <w:rPr>
                <w:sz w:val="20"/>
              </w:rPr>
              <w:t>Kahoot!</w:t>
            </w:r>
          </w:p>
        </w:tc>
        <w:tc>
          <w:tcPr>
            <w:tcW w:type="dxa" w:w="2160"/>
          </w:tcPr>
          <w:p>
            <w:r/>
            <w:r>
              <w:rPr>
                <w:sz w:val="20"/>
              </w:rPr>
              <w:t>$584M; IPO 2019; delisted Mar 2024</w:t>
            </w:r>
          </w:p>
        </w:tc>
        <w:tc>
          <w:tcPr>
            <w:tcW w:type="dxa" w:w="2592"/>
          </w:tcPr>
          <w:p>
            <w:r/>
            <w:r>
              <w:rPr>
                <w:sz w:val="20"/>
              </w:rPr>
              <w:t>Take-private at $1.66B EV / $150M ARR (11.1× revenue)[19]</w:t>
            </w:r>
          </w:p>
        </w:tc>
        <w:tc>
          <w:tcPr>
            <w:tcW w:type="dxa" w:w="2880"/>
          </w:tcPr>
          <w:p>
            <w:r/>
            <w:r>
              <w:rPr>
                <w:sz w:val="20"/>
              </w:rPr>
              <w:t>Basic correctness + speed only; no behavioral/SEL signals</w:t>
            </w:r>
          </w:p>
        </w:tc>
      </w:tr>
      <w:tr>
        <w:tc>
          <w:tcPr>
            <w:tcW w:type="dxa" w:w="1728"/>
          </w:tcPr>
          <w:p>
            <w:r/>
            <w:r>
              <w:rPr>
                <w:sz w:val="20"/>
              </w:rPr>
              <w:t>Prodigy Education</w:t>
            </w:r>
          </w:p>
        </w:tc>
        <w:tc>
          <w:tcPr>
            <w:tcW w:type="dxa" w:w="2160"/>
          </w:tcPr>
          <w:p>
            <w:r/>
            <w:r>
              <w:rPr>
                <w:sz w:val="20"/>
              </w:rPr>
              <w:t>$125M total (private)</w:t>
            </w:r>
          </w:p>
        </w:tc>
        <w:tc>
          <w:tcPr>
            <w:tcW w:type="dxa" w:w="2592"/>
          </w:tcPr>
          <w:p>
            <w:r/>
            <w:r>
              <w:rPr>
                <w:sz w:val="20"/>
              </w:rPr>
              <w:t>100M+ registered students; private[20]</w:t>
            </w:r>
          </w:p>
        </w:tc>
        <w:tc>
          <w:tcPr>
            <w:tcW w:type="dxa" w:w="2880"/>
          </w:tcPr>
          <w:p>
            <w:r/>
            <w:r>
              <w:rPr>
                <w:sz w:val="20"/>
              </w:rPr>
              <w:t>Limited behavioral insights; no multiplayer analytics</w:t>
            </w:r>
          </w:p>
        </w:tc>
      </w:tr>
      <w:tr>
        <w:tc>
          <w:tcPr>
            <w:tcW w:type="dxa" w:w="1728"/>
          </w:tcPr>
          <w:p>
            <w:r/>
            <w:r>
              <w:rPr>
                <w:sz w:val="20"/>
              </w:rPr>
              <w:t>IXL Learning</w:t>
            </w:r>
          </w:p>
        </w:tc>
        <w:tc>
          <w:tcPr>
            <w:tcW w:type="dxa" w:w="2160"/>
          </w:tcPr>
          <w:p>
            <w:r/>
            <w:r>
              <w:rPr>
                <w:sz w:val="20"/>
              </w:rPr>
              <w:t>$570M total (private)</w:t>
            </w:r>
          </w:p>
        </w:tc>
        <w:tc>
          <w:tcPr>
            <w:tcW w:type="dxa" w:w="2592"/>
          </w:tcPr>
          <w:p>
            <w:r/>
            <w:r>
              <w:rPr>
                <w:sz w:val="20"/>
              </w:rPr>
              <w:t>$500M-$1B est. revenue; aggressive acquirer[21]</w:t>
            </w:r>
          </w:p>
        </w:tc>
        <w:tc>
          <w:tcPr>
            <w:tcW w:type="dxa" w:w="2880"/>
          </w:tcPr>
          <w:p>
            <w:r/>
            <w:r>
              <w:rPr>
                <w:sz w:val="20"/>
              </w:rPr>
              <w:t>Drill-and-practice depth, no behavioral analytics</w:t>
            </w:r>
          </w:p>
        </w:tc>
      </w:tr>
      <w:tr>
        <w:tc>
          <w:tcPr>
            <w:tcW w:type="dxa" w:w="1728"/>
          </w:tcPr>
          <w:p>
            <w:r/>
            <w:r>
              <w:rPr>
                <w:sz w:val="20"/>
              </w:rPr>
              <w:t>Legends of Learning</w:t>
            </w:r>
          </w:p>
        </w:tc>
        <w:tc>
          <w:tcPr>
            <w:tcW w:type="dxa" w:w="2160"/>
          </w:tcPr>
          <w:p>
            <w:r/>
            <w:r>
              <w:rPr>
                <w:sz w:val="20"/>
              </w:rPr>
              <w:t>$18-27M, Konvoy-led</w:t>
            </w:r>
          </w:p>
        </w:tc>
        <w:tc>
          <w:tcPr>
            <w:tcW w:type="dxa" w:w="2592"/>
          </w:tcPr>
          <w:p>
            <w:r/>
            <w:r>
              <w:rPr>
                <w:sz w:val="20"/>
              </w:rPr>
              <w:t>2M+ students (private)[22]</w:t>
            </w:r>
          </w:p>
        </w:tc>
        <w:tc>
          <w:tcPr>
            <w:tcW w:type="dxa" w:w="2880"/>
          </w:tcPr>
          <w:p>
            <w:r/>
            <w:r>
              <w:rPr>
                <w:sz w:val="20"/>
              </w:rPr>
              <w:t>No stealth assessment; thin collaboration analytics</w:t>
            </w:r>
          </w:p>
        </w:tc>
      </w:tr>
      <w:tr>
        <w:tc>
          <w:tcPr>
            <w:tcW w:type="dxa" w:w="1728"/>
          </w:tcPr>
          <w:p>
            <w:r/>
            <w:r>
              <w:rPr>
                <w:sz w:val="20"/>
              </w:rPr>
              <w:t>Classcraft (HMH)</w:t>
            </w:r>
          </w:p>
        </w:tc>
        <w:tc>
          <w:tcPr>
            <w:tcW w:type="dxa" w:w="2160"/>
          </w:tcPr>
          <w:p>
            <w:r/>
            <w:r>
              <w:rPr>
                <w:sz w:val="20"/>
              </w:rPr>
              <w:t>Acquired 2023; original shut Jun 2024</w:t>
            </w:r>
          </w:p>
        </w:tc>
        <w:tc>
          <w:tcPr>
            <w:tcW w:type="dxa" w:w="2592"/>
          </w:tcPr>
          <w:p>
            <w:r/>
            <w:r>
              <w:rPr>
                <w:sz w:val="20"/>
              </w:rPr>
              <w:t>District-only HMH product; teachers gone[23]</w:t>
            </w:r>
          </w:p>
        </w:tc>
        <w:tc>
          <w:tcPr>
            <w:tcW w:type="dxa" w:w="2880"/>
          </w:tcPr>
          <w:p>
            <w:r/>
            <w:r>
              <w:rPr>
                <w:sz w:val="20"/>
              </w:rPr>
              <w:t>Defunct for individual teachers; left market gap</w:t>
            </w:r>
          </w:p>
        </w:tc>
      </w:tr>
      <w:tr>
        <w:tc>
          <w:tcPr>
            <w:tcW w:type="dxa" w:w="1728"/>
          </w:tcPr>
          <w:p>
            <w:r/>
            <w:r>
              <w:rPr>
                <w:sz w:val="20"/>
              </w:rPr>
              <w:t>Minecraft: Education</w:t>
            </w:r>
          </w:p>
        </w:tc>
        <w:tc>
          <w:tcPr>
            <w:tcW w:type="dxa" w:w="2160"/>
          </w:tcPr>
          <w:p>
            <w:r/>
            <w:r>
              <w:rPr>
                <w:sz w:val="20"/>
              </w:rPr>
              <w:t>Microsoft-owned</w:t>
            </w:r>
          </w:p>
        </w:tc>
        <w:tc>
          <w:tcPr>
            <w:tcW w:type="dxa" w:w="2592"/>
          </w:tcPr>
          <w:p>
            <w:r/>
            <w:r>
              <w:rPr>
                <w:sz w:val="20"/>
              </w:rPr>
              <w:t>100M+ classrooms cumulative[24]</w:t>
            </w:r>
          </w:p>
        </w:tc>
        <w:tc>
          <w:tcPr>
            <w:tcW w:type="dxa" w:w="2880"/>
          </w:tcPr>
          <w:p>
            <w:r/>
            <w:r>
              <w:rPr>
                <w:sz w:val="20"/>
              </w:rPr>
              <w:t>Rich environment, weak assessment infrastructure</w:t>
            </w:r>
          </w:p>
        </w:tc>
      </w:tr>
      <w:tr>
        <w:tc>
          <w:tcPr>
            <w:tcW w:type="dxa" w:w="1728"/>
          </w:tcPr>
          <w:p>
            <w:r/>
            <w:r>
              <w:rPr>
                <w:sz w:val="20"/>
              </w:rPr>
              <w:t>Duolingo</w:t>
            </w:r>
          </w:p>
        </w:tc>
        <w:tc>
          <w:tcPr>
            <w:tcW w:type="dxa" w:w="2160"/>
          </w:tcPr>
          <w:p>
            <w:r/>
            <w:r>
              <w:rPr>
                <w:sz w:val="20"/>
              </w:rPr>
              <w:t>Pre-IPO $183M; IPO 2021</w:t>
            </w:r>
          </w:p>
        </w:tc>
        <w:tc>
          <w:tcPr>
            <w:tcW w:type="dxa" w:w="2592"/>
          </w:tcPr>
          <w:p>
            <w:r/>
            <w:r>
              <w:rPr>
                <w:sz w:val="20"/>
              </w:rPr>
              <w:t>$1.04B revenue 2025; $5B mkt cap (May 2026)[10]</w:t>
            </w:r>
          </w:p>
        </w:tc>
        <w:tc>
          <w:tcPr>
            <w:tcW w:type="dxa" w:w="2880"/>
          </w:tcPr>
          <w:p>
            <w:r/>
            <w:r>
              <w:rPr>
                <w:sz w:val="20"/>
              </w:rPr>
              <w:t>Single-subject (language); no collaborative/SEL</w:t>
            </w:r>
          </w:p>
        </w:tc>
      </w:tr>
    </w:tbl>
    <w:p/>
    <w:p>
      <w:pPr>
        <w:pStyle w:val="Heading2"/>
      </w:pPr>
      <w:r>
        <w:rPr>
          <w:b/>
          <w:color w:val="1F4788"/>
          <w:sz w:val="30"/>
        </w:rPr>
        <w:t>4.5 Defensibility &amp; moats</w:t>
      </w:r>
    </w:p>
    <w:p>
      <w:pPr>
        <w:spacing w:after="160"/>
      </w:pPr>
      <w:r>
        <w:rPr>
          <w:b w:val="0"/>
          <w:i w:val="0"/>
          <w:sz w:val="22"/>
        </w:rPr>
        <w:t>EdGame's moats are layered:</w:t>
      </w:r>
    </w:p>
    <w:p>
      <w:pPr>
        <w:pStyle w:val="ListBullet"/>
        <w:spacing w:after="40"/>
        <w:ind w:left="360"/>
      </w:pPr>
      <w:r>
        <w:rPr>
          <w:sz w:val="22"/>
        </w:rPr>
        <w:t>Data moat — every paid school adds ~22M labeled telemetry events per year; competitors cannot retrain on signal they don't have access to</w:t>
      </w:r>
    </w:p>
    <w:p>
      <w:pPr>
        <w:pStyle w:val="ListBullet"/>
        <w:spacing w:after="40"/>
        <w:ind w:left="360"/>
      </w:pPr>
      <w:r>
        <w:rPr>
          <w:sz w:val="22"/>
        </w:rPr>
        <w:t>Content moat — 440 curriculum-aligned questions across 10 banks, mapped to Saudi and GCC IB / IGCSE / American programs</w:t>
      </w:r>
    </w:p>
    <w:p>
      <w:pPr>
        <w:pStyle w:val="ListBullet"/>
        <w:spacing w:after="40"/>
        <w:ind w:left="360"/>
      </w:pPr>
      <w:r>
        <w:rPr>
          <w:sz w:val="22"/>
        </w:rPr>
        <w:t>Distribution moat (regional) — KAUST origin gives unique 1-week feedback cycles with KAUST School + NEOM; no Western entrant can match this for 2-3 years</w:t>
      </w:r>
    </w:p>
    <w:p>
      <w:pPr>
        <w:pStyle w:val="ListBullet"/>
        <w:spacing w:after="40"/>
        <w:ind w:left="360"/>
      </w:pPr>
      <w:r>
        <w:rPr>
          <w:sz w:val="22"/>
        </w:rPr>
        <w:t>Switching cost moat — teachers who have 6 months of behavioral profiles on their students will not switch to a competitor with zero history; longitudinal data compounds</w:t>
      </w:r>
    </w:p>
    <w:p>
      <w:pPr>
        <w:pStyle w:val="ListBullet"/>
        <w:spacing w:after="40"/>
        <w:ind w:left="360"/>
      </w:pPr>
      <w:r>
        <w:rPr>
          <w:sz w:val="22"/>
        </w:rPr>
        <w:t>Embedded-curriculum moat — once school curriculum is mapped to our game library, replacement requires re-mapping which most schools won't undertake</w:t>
      </w:r>
    </w:p>
    <w:p>
      <w:r>
        <w:br w:type="page"/>
      </w:r>
    </w:p>
    <w:p>
      <w:pPr>
        <w:pStyle w:val="Heading1"/>
      </w:pPr>
      <w:r>
        <w:rPr>
          <w:b/>
          <w:color w:val="1F4788"/>
          <w:sz w:val="44"/>
        </w:rPr>
        <w:t>5. Revenue Model &amp; Unit Economics</w:t>
      </w:r>
    </w:p>
    <w:p>
      <w:pPr>
        <w:pStyle w:val="Heading2"/>
      </w:pPr>
      <w:r>
        <w:rPr>
          <w:b/>
          <w:color w:val="1F4788"/>
          <w:sz w:val="30"/>
        </w:rPr>
        <w:t>5.1 Pricing tiers</w:t>
      </w:r>
    </w:p>
    <w:p>
      <w:pPr>
        <w:spacing w:after="160"/>
      </w:pPr>
      <w:r>
        <w:rPr>
          <w:b w:val="0"/>
          <w:i w:val="0"/>
          <w:sz w:val="22"/>
        </w:rPr>
        <w:t>EdGame uses value-based pricing benchmarked against IXL ($12-20/student/year), Prodigy (freemium consumer), and Kahoot! enterprise pricing. We launch at penetration pricing to build switching costs through accumulated behavioral data, then raise prices 20-30% per year as the analytics moat compounds.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304"/>
            <w:shd w:val="clear" w:color="auto" w:fill="1F4788"/>
          </w:tcPr>
          <w:p>
            <w:r/>
            <w:r>
              <w:rPr>
                <w:b/>
                <w:color w:val="FFFFFF"/>
                <w:sz w:val="20"/>
              </w:rPr>
              <w:t>Tier</w:t>
            </w:r>
          </w:p>
        </w:tc>
        <w:tc>
          <w:tcPr>
            <w:tcW w:type="dxa" w:w="2160"/>
            <w:shd w:val="clear" w:color="auto" w:fill="1F4788"/>
          </w:tcPr>
          <w:p>
            <w:r/>
            <w:r>
              <w:rPr>
                <w:b/>
                <w:color w:val="FFFFFF"/>
                <w:sz w:val="20"/>
              </w:rPr>
              <w:t>Price</w:t>
            </w:r>
          </w:p>
        </w:tc>
        <w:tc>
          <w:tcPr>
            <w:tcW w:type="dxa" w:w="2160"/>
            <w:shd w:val="clear" w:color="auto" w:fill="1F4788"/>
          </w:tcPr>
          <w:p>
            <w:r/>
            <w:r>
              <w:rPr>
                <w:b/>
                <w:color w:val="FFFFFF"/>
                <w:sz w:val="20"/>
              </w:rPr>
              <w:t>Audience</w:t>
            </w:r>
          </w:p>
        </w:tc>
        <w:tc>
          <w:tcPr>
            <w:tcW w:type="dxa" w:w="2736"/>
            <w:shd w:val="clear" w:color="auto" w:fill="1F4788"/>
          </w:tcPr>
          <w:p>
            <w:r/>
            <w:r>
              <w:rPr>
                <w:b/>
                <w:color w:val="FFFFFF"/>
                <w:sz w:val="20"/>
              </w:rPr>
              <w:t>Why it works</w:t>
            </w:r>
          </w:p>
        </w:tc>
      </w:tr>
      <w:tr>
        <w:tc>
          <w:tcPr>
            <w:tcW w:type="dxa" w:w="2304"/>
          </w:tcPr>
          <w:p>
            <w:r/>
            <w:r>
              <w:rPr>
                <w:sz w:val="20"/>
              </w:rPr>
              <w:t>Teacher Basic (free)</w:t>
            </w:r>
          </w:p>
        </w:tc>
        <w:tc>
          <w:tcPr>
            <w:tcW w:type="dxa" w:w="2160"/>
          </w:tcPr>
          <w:p>
            <w:r/>
            <w:r>
              <w:rPr>
                <w:sz w:val="20"/>
              </w:rPr>
              <w:t>Free</w:t>
            </w:r>
          </w:p>
        </w:tc>
        <w:tc>
          <w:tcPr>
            <w:tcW w:type="dxa" w:w="2160"/>
          </w:tcPr>
          <w:p>
            <w:r/>
            <w:r>
              <w:rPr>
                <w:sz w:val="20"/>
              </w:rPr>
              <w:t>Individual teachers</w:t>
            </w:r>
          </w:p>
        </w:tc>
        <w:tc>
          <w:tcPr>
            <w:tcW w:type="dxa" w:w="2736"/>
          </w:tcPr>
          <w:p>
            <w:r/>
            <w:r>
              <w:rPr>
                <w:sz w:val="20"/>
              </w:rPr>
              <w:t>1 environment, 30 students — PLG top of funnel</w:t>
            </w:r>
          </w:p>
        </w:tc>
      </w:tr>
      <w:tr>
        <w:tc>
          <w:tcPr>
            <w:tcW w:type="dxa" w:w="2304"/>
          </w:tcPr>
          <w:p>
            <w:r/>
            <w:r>
              <w:rPr>
                <w:sz w:val="20"/>
              </w:rPr>
              <w:t>Teacher Pro</w:t>
            </w:r>
          </w:p>
        </w:tc>
        <w:tc>
          <w:tcPr>
            <w:tcW w:type="dxa" w:w="2160"/>
          </w:tcPr>
          <w:p>
            <w:r/>
            <w:r>
              <w:rPr>
                <w:sz w:val="20"/>
              </w:rPr>
              <w:t>$12 / month  ($120-180/yr)</w:t>
            </w:r>
          </w:p>
        </w:tc>
        <w:tc>
          <w:tcPr>
            <w:tcW w:type="dxa" w:w="2160"/>
          </w:tcPr>
          <w:p>
            <w:r/>
            <w:r>
              <w:rPr>
                <w:sz w:val="20"/>
              </w:rPr>
              <w:t>Individual teachers</w:t>
            </w:r>
          </w:p>
        </w:tc>
        <w:tc>
          <w:tcPr>
            <w:tcW w:type="dxa" w:w="2736"/>
          </w:tcPr>
          <w:p>
            <w:r/>
            <w:r>
              <w:rPr>
                <w:sz w:val="20"/>
              </w:rPr>
              <w:t>5 environments, full analytics, 100 students — viral champions</w:t>
            </w:r>
          </w:p>
        </w:tc>
      </w:tr>
      <w:tr>
        <w:tc>
          <w:tcPr>
            <w:tcW w:type="dxa" w:w="2304"/>
          </w:tcPr>
          <w:p>
            <w:r/>
            <w:r>
              <w:rPr>
                <w:sz w:val="20"/>
              </w:rPr>
              <w:t>School Pilot</w:t>
            </w:r>
          </w:p>
        </w:tc>
        <w:tc>
          <w:tcPr>
            <w:tcW w:type="dxa" w:w="2160"/>
          </w:tcPr>
          <w:p>
            <w:r/>
            <w:r>
              <w:rPr>
                <w:sz w:val="20"/>
              </w:rPr>
              <w:t>$0 (8-12 weeks)</w:t>
            </w:r>
          </w:p>
        </w:tc>
        <w:tc>
          <w:tcPr>
            <w:tcW w:type="dxa" w:w="2160"/>
          </w:tcPr>
          <w:p>
            <w:r/>
            <w:r>
              <w:rPr>
                <w:sz w:val="20"/>
              </w:rPr>
              <w:t>Schools</w:t>
            </w:r>
          </w:p>
        </w:tc>
        <w:tc>
          <w:tcPr>
            <w:tcW w:type="dxa" w:w="2736"/>
          </w:tcPr>
          <w:p>
            <w:r/>
            <w:r>
              <w:rPr>
                <w:sz w:val="20"/>
              </w:rPr>
              <w:t>30% pilot-to-paid conversion target</w:t>
            </w:r>
          </w:p>
        </w:tc>
      </w:tr>
      <w:tr>
        <w:tc>
          <w:tcPr>
            <w:tcW w:type="dxa" w:w="2304"/>
          </w:tcPr>
          <w:p>
            <w:r/>
            <w:r>
              <w:rPr>
                <w:sz w:val="20"/>
              </w:rPr>
              <w:t>School Standard</w:t>
            </w:r>
          </w:p>
        </w:tc>
        <w:tc>
          <w:tcPr>
            <w:tcW w:type="dxa" w:w="2160"/>
          </w:tcPr>
          <w:p>
            <w:r/>
            <w:r>
              <w:rPr>
                <w:sz w:val="20"/>
              </w:rPr>
              <w:t>$6-8 / student / yr</w:t>
            </w:r>
          </w:p>
        </w:tc>
        <w:tc>
          <w:tcPr>
            <w:tcW w:type="dxa" w:w="2160"/>
          </w:tcPr>
          <w:p>
            <w:r/>
            <w:r>
              <w:rPr>
                <w:sz w:val="20"/>
              </w:rPr>
              <w:t>Schools</w:t>
            </w:r>
          </w:p>
        </w:tc>
        <w:tc>
          <w:tcPr>
            <w:tcW w:type="dxa" w:w="2736"/>
          </w:tcPr>
          <w:p>
            <w:r/>
            <w:r>
              <w:rPr>
                <w:sz w:val="20"/>
              </w:rPr>
              <w:t>Undercuts IXL ($12-20); 60% margin advantage builds</w:t>
            </w:r>
          </w:p>
        </w:tc>
      </w:tr>
      <w:tr>
        <w:tc>
          <w:tcPr>
            <w:tcW w:type="dxa" w:w="2304"/>
          </w:tcPr>
          <w:p>
            <w:r/>
            <w:r>
              <w:rPr>
                <w:sz w:val="20"/>
              </w:rPr>
              <w:t>School Premium</w:t>
            </w:r>
          </w:p>
        </w:tc>
        <w:tc>
          <w:tcPr>
            <w:tcW w:type="dxa" w:w="2160"/>
          </w:tcPr>
          <w:p>
            <w:r/>
            <w:r>
              <w:rPr>
                <w:sz w:val="20"/>
              </w:rPr>
              <w:t>$10-14 / student / yr</w:t>
            </w:r>
          </w:p>
        </w:tc>
        <w:tc>
          <w:tcPr>
            <w:tcW w:type="dxa" w:w="2160"/>
          </w:tcPr>
          <w:p>
            <w:r/>
            <w:r>
              <w:rPr>
                <w:sz w:val="20"/>
              </w:rPr>
              <w:t>Schools</w:t>
            </w:r>
          </w:p>
        </w:tc>
        <w:tc>
          <w:tcPr>
            <w:tcW w:type="dxa" w:w="2736"/>
          </w:tcPr>
          <w:p>
            <w:r/>
            <w:r>
              <w:rPr>
                <w:sz w:val="20"/>
              </w:rPr>
              <w:t>Adds advanced analytics + SEL + multiplayer</w:t>
            </w:r>
          </w:p>
        </w:tc>
      </w:tr>
      <w:tr>
        <w:tc>
          <w:tcPr>
            <w:tcW w:type="dxa" w:w="2304"/>
          </w:tcPr>
          <w:p>
            <w:r/>
            <w:r>
              <w:rPr>
                <w:sz w:val="20"/>
              </w:rPr>
              <w:t>District / Multi-school</w:t>
            </w:r>
          </w:p>
        </w:tc>
        <w:tc>
          <w:tcPr>
            <w:tcW w:type="dxa" w:w="2160"/>
          </w:tcPr>
          <w:p>
            <w:r/>
            <w:r>
              <w:rPr>
                <w:sz w:val="20"/>
              </w:rPr>
              <w:t>$5-6 / student / yr</w:t>
            </w:r>
          </w:p>
        </w:tc>
        <w:tc>
          <w:tcPr>
            <w:tcW w:type="dxa" w:w="2160"/>
          </w:tcPr>
          <w:p>
            <w:r/>
            <w:r>
              <w:rPr>
                <w:sz w:val="20"/>
              </w:rPr>
              <w:t>Districts</w:t>
            </w:r>
          </w:p>
        </w:tc>
        <w:tc>
          <w:tcPr>
            <w:tcW w:type="dxa" w:w="2736"/>
          </w:tcPr>
          <w:p>
            <w:r/>
            <w:r>
              <w:rPr>
                <w:sz w:val="20"/>
              </w:rPr>
              <w:t>Volume pricing, 3+ schools, central admin</w:t>
            </w:r>
          </w:p>
        </w:tc>
      </w:tr>
      <w:tr>
        <w:tc>
          <w:tcPr>
            <w:tcW w:type="dxa" w:w="2304"/>
          </w:tcPr>
          <w:p>
            <w:r/>
            <w:r>
              <w:rPr>
                <w:sz w:val="20"/>
              </w:rPr>
              <w:t>Parent Premium</w:t>
            </w:r>
          </w:p>
        </w:tc>
        <w:tc>
          <w:tcPr>
            <w:tcW w:type="dxa" w:w="2160"/>
          </w:tcPr>
          <w:p>
            <w:r/>
            <w:r>
              <w:rPr>
                <w:sz w:val="20"/>
              </w:rPr>
              <w:t>$72-80 / yr</w:t>
            </w:r>
          </w:p>
        </w:tc>
        <w:tc>
          <w:tcPr>
            <w:tcW w:type="dxa" w:w="2160"/>
          </w:tcPr>
          <w:p>
            <w:r/>
            <w:r>
              <w:rPr>
                <w:sz w:val="20"/>
              </w:rPr>
              <w:t>Parents</w:t>
            </w:r>
          </w:p>
        </w:tc>
        <w:tc>
          <w:tcPr>
            <w:tcW w:type="dxa" w:w="2736"/>
          </w:tcPr>
          <w:p>
            <w:r/>
            <w:r>
              <w:rPr>
                <w:sz w:val="20"/>
              </w:rPr>
              <w:t>School-approved opt-in (Phase 2+); meaningful uplift</w:t>
            </w:r>
          </w:p>
        </w:tc>
      </w:tr>
      <w:tr>
        <w:tc>
          <w:tcPr>
            <w:tcW w:type="dxa" w:w="2304"/>
          </w:tcPr>
          <w:p>
            <w:r/>
            <w:r>
              <w:rPr>
                <w:sz w:val="20"/>
              </w:rPr>
              <w:t>After-school programs</w:t>
            </w:r>
          </w:p>
        </w:tc>
        <w:tc>
          <w:tcPr>
            <w:tcW w:type="dxa" w:w="2160"/>
          </w:tcPr>
          <w:p>
            <w:r/>
            <w:r>
              <w:rPr>
                <w:sz w:val="20"/>
              </w:rPr>
              <w:t>$300-400 / mo / program</w:t>
            </w:r>
          </w:p>
        </w:tc>
        <w:tc>
          <w:tcPr>
            <w:tcW w:type="dxa" w:w="2160"/>
          </w:tcPr>
          <w:p>
            <w:r/>
            <w:r>
              <w:rPr>
                <w:sz w:val="20"/>
              </w:rPr>
              <w:t>After-school networks</w:t>
            </w:r>
          </w:p>
        </w:tc>
        <w:tc>
          <w:tcPr>
            <w:tcW w:type="dxa" w:w="2736"/>
          </w:tcPr>
          <w:p>
            <w:r/>
            <w:r>
              <w:rPr>
                <w:sz w:val="20"/>
              </w:rPr>
              <w:t>Higher per-program ARPU; engagement is the offer</w:t>
            </w:r>
          </w:p>
        </w:tc>
      </w:tr>
      <w:tr>
        <w:tc>
          <w:tcPr>
            <w:tcW w:type="dxa" w:w="2304"/>
          </w:tcPr>
          <w:p>
            <w:r/>
            <w:r>
              <w:rPr>
                <w:sz w:val="20"/>
              </w:rPr>
              <w:t>OEM / API</w:t>
            </w:r>
          </w:p>
        </w:tc>
        <w:tc>
          <w:tcPr>
            <w:tcW w:type="dxa" w:w="2160"/>
          </w:tcPr>
          <w:p>
            <w:r/>
            <w:r>
              <w:rPr>
                <w:sz w:val="20"/>
              </w:rPr>
              <w:t>~$120K / partner / yr</w:t>
            </w:r>
          </w:p>
        </w:tc>
        <w:tc>
          <w:tcPr>
            <w:tcW w:type="dxa" w:w="2160"/>
          </w:tcPr>
          <w:p>
            <w:r/>
            <w:r>
              <w:rPr>
                <w:sz w:val="20"/>
              </w:rPr>
              <w:t>Curriculum publishers</w:t>
            </w:r>
          </w:p>
        </w:tc>
        <w:tc>
          <w:tcPr>
            <w:tcW w:type="dxa" w:w="2736"/>
          </w:tcPr>
          <w:p>
            <w:r/>
            <w:r>
              <w:rPr>
                <w:sz w:val="20"/>
              </w:rPr>
              <w:t>White-label embedding (Phase 3)</w:t>
            </w:r>
          </w:p>
        </w:tc>
      </w:tr>
    </w:tbl>
    <w:p/>
    <w:p>
      <w:pPr>
        <w:pStyle w:val="Heading2"/>
      </w:pPr>
      <w:r>
        <w:rPr>
          <w:b/>
          <w:color w:val="1F4788"/>
          <w:sz w:val="30"/>
        </w:rPr>
        <w:t>5.2 Revenue build</w:t>
      </w:r>
    </w:p>
    <w:p>
      <w:pPr>
        <w:jc w:val="center"/>
      </w:pPr>
      <w:r>
        <w:drawing>
          <wp:inline xmlns:a="http://schemas.openxmlformats.org/drawingml/2006/main" xmlns:pic="http://schemas.openxmlformats.org/drawingml/2006/picture">
            <wp:extent cx="5943600" cy="3839946"/>
            <wp:docPr id="7" name="Picture 7"/>
            <wp:cNvGraphicFramePr>
              <a:graphicFrameLocks noChangeAspect="1"/>
            </wp:cNvGraphicFramePr>
            <a:graphic>
              <a:graphicData uri="http://schemas.openxmlformats.org/drawingml/2006/picture">
                <pic:pic>
                  <pic:nvPicPr>
                    <pic:cNvPr id="0" name="figure_05_revenue_growth.png"/>
                    <pic:cNvPicPr/>
                  </pic:nvPicPr>
                  <pic:blipFill>
                    <a:blip r:embed="rId15"/>
                    <a:stretch>
                      <a:fillRect/>
                    </a:stretch>
                  </pic:blipFill>
                  <pic:spPr>
                    <a:xfrm>
                      <a:off x="0" y="0"/>
                      <a:ext cx="5943600" cy="3839946"/>
                    </a:xfrm>
                    <a:prstGeom prst="rect"/>
                  </pic:spPr>
                </pic:pic>
              </a:graphicData>
            </a:graphic>
          </wp:inline>
        </w:drawing>
      </w:r>
    </w:p>
    <w:p>
      <w:pPr>
        <w:spacing w:after="240"/>
        <w:jc w:val="center"/>
      </w:pPr>
      <w:r>
        <w:rPr>
          <w:i/>
          <w:color w:val="888888"/>
          <w:sz w:val="18"/>
        </w:rPr>
        <w:t>Figure 7. Year-1 to Year-5 ARR build by segment. Bottom-up: school count × students × price + teachers × Pro price + districts + parents + after-school + OEM.</w:t>
      </w:r>
    </w:p>
    <w:p>
      <w:pPr>
        <w:spacing w:after="160"/>
        <w:jc w:val="both"/>
      </w:pPr>
      <w:r>
        <w:rPr>
          <w:b w:val="0"/>
          <w:i w:val="0"/>
          <w:sz w:val="22"/>
        </w:rPr>
        <w:t>Our Year-5 ARR target of $10.3M is 58% lower than the original BMC plan's $24.8M and far more defensible. At Year 5 we hit 16-18% operating margin (healthy for growth-stage EdTech)</w:t>
      </w:r>
      <w:r>
        <w:rPr>
          <w:b w:val="0"/>
          <w:i w:val="0"/>
          <w:sz w:val="18"/>
          <w:vertAlign w:val="superscript"/>
        </w:rPr>
        <w:t>[25]</w:t>
      </w:r>
      <w:r>
        <w:rPr>
          <w:b w:val="0"/>
          <w:i w:val="0"/>
          <w:sz w:val="22"/>
        </w:rPr>
        <w:t xml:space="preserve"> with margins expanding to 25-30% by Year 7 as the game library amortizes and viral PLG growth compounds.</w:t>
      </w:r>
    </w:p>
    <w:p>
      <w:pPr>
        <w:pStyle w:val="Heading2"/>
      </w:pPr>
      <w:r>
        <w:rPr>
          <w:b/>
          <w:color w:val="1F4788"/>
          <w:sz w:val="30"/>
        </w:rPr>
        <w:t>5.3 Unit economics (forecast — to be validated by month 12)</w:t>
      </w:r>
    </w:p>
    <w:p>
      <w:pPr>
        <w:spacing w:after="160"/>
      </w:pPr>
      <w:r>
        <w:rPr>
          <w:b w:val="0"/>
          <w:i/>
          <w:color w:val="888888"/>
          <w:sz w:val="22"/>
        </w:rPr>
        <w:t>Honest framing: we have zero paid customers at seed-close. All unit-economics figures below are forecasts to be validated by month 12. Series-A gating metric: ≥5 paid schools with measured 12-month CAC payback and NRR ≥100% before raising A.</w:t>
      </w:r>
    </w:p>
    <w:p>
      <w:pPr>
        <w:jc w:val="center"/>
      </w:pPr>
      <w:r>
        <w:drawing>
          <wp:inline xmlns:a="http://schemas.openxmlformats.org/drawingml/2006/main" xmlns:pic="http://schemas.openxmlformats.org/drawingml/2006/picture">
            <wp:extent cx="5943600" cy="3038183"/>
            <wp:docPr id="8" name="Picture 8"/>
            <wp:cNvGraphicFramePr>
              <a:graphicFrameLocks noChangeAspect="1"/>
            </wp:cNvGraphicFramePr>
            <a:graphic>
              <a:graphicData uri="http://schemas.openxmlformats.org/drawingml/2006/picture">
                <pic:pic>
                  <pic:nvPicPr>
                    <pic:cNvPr id="0" name="figure_06_unit_economics.png"/>
                    <pic:cNvPicPr/>
                  </pic:nvPicPr>
                  <pic:blipFill>
                    <a:blip r:embed="rId16"/>
                    <a:stretch>
                      <a:fillRect/>
                    </a:stretch>
                  </pic:blipFill>
                  <pic:spPr>
                    <a:xfrm>
                      <a:off x="0" y="0"/>
                      <a:ext cx="5943600" cy="3038183"/>
                    </a:xfrm>
                    <a:prstGeom prst="rect"/>
                  </pic:spPr>
                </pic:pic>
              </a:graphicData>
            </a:graphic>
          </wp:inline>
        </w:drawing>
      </w:r>
    </w:p>
    <w:p>
      <w:pPr>
        <w:spacing w:after="240"/>
        <w:jc w:val="center"/>
      </w:pPr>
      <w:r>
        <w:rPr>
          <w:i/>
          <w:color w:val="888888"/>
          <w:sz w:val="18"/>
        </w:rPr>
        <w:t>Figure 8. Unit-economics forecast by channel. Targets benchmarked against the published B2B-SaaS literature; actual numbers validated in Phase-1 pilots.</w:t>
      </w:r>
    </w:p>
    <w:tbl>
      <w:tblPr>
        <w:tblStyle w:val="LightGrid-Accent1"/>
        <w:tblW w:type="auto" w:w="0"/>
        <w:jc w:val="center"/>
        <w:tblLook w:firstColumn="1" w:firstRow="1" w:lastColumn="0" w:lastRow="0" w:noHBand="0" w:noVBand="1" w:val="04A0"/>
      </w:tblPr>
      <w:tblGrid>
        <w:gridCol w:w="3264"/>
        <w:gridCol w:w="3264"/>
        <w:gridCol w:w="3264"/>
      </w:tblGrid>
      <w:tr>
        <w:tc>
          <w:tcPr>
            <w:tcW w:type="dxa" w:w="2592"/>
            <w:shd w:val="clear" w:color="auto" w:fill="1F4788"/>
          </w:tcPr>
          <w:p>
            <w:r/>
            <w:r>
              <w:rPr>
                <w:b/>
                <w:color w:val="FFFFFF"/>
                <w:sz w:val="20"/>
              </w:rPr>
              <w:t>Metric</w:t>
            </w:r>
          </w:p>
        </w:tc>
        <w:tc>
          <w:tcPr>
            <w:tcW w:type="dxa" w:w="3456"/>
            <w:shd w:val="clear" w:color="auto" w:fill="1F4788"/>
          </w:tcPr>
          <w:p>
            <w:r/>
            <w:r>
              <w:rPr>
                <w:b/>
                <w:color w:val="FFFFFF"/>
                <w:sz w:val="20"/>
              </w:rPr>
              <w:t>School license (blended)</w:t>
            </w:r>
          </w:p>
        </w:tc>
        <w:tc>
          <w:tcPr>
            <w:tcW w:type="dxa" w:w="3312"/>
            <w:shd w:val="clear" w:color="auto" w:fill="1F4788"/>
          </w:tcPr>
          <w:p>
            <w:r/>
            <w:r>
              <w:rPr>
                <w:b/>
                <w:color w:val="FFFFFF"/>
                <w:sz w:val="20"/>
              </w:rPr>
              <w:t>Teacher Pro (PLG)</w:t>
            </w:r>
          </w:p>
        </w:tc>
      </w:tr>
      <w:tr>
        <w:tc>
          <w:tcPr>
            <w:tcW w:type="dxa" w:w="2592"/>
          </w:tcPr>
          <w:p>
            <w:r/>
            <w:r>
              <w:rPr>
                <w:sz w:val="20"/>
              </w:rPr>
              <w:t>Average contract value (ACV)</w:t>
            </w:r>
          </w:p>
        </w:tc>
        <w:tc>
          <w:tcPr>
            <w:tcW w:type="dxa" w:w="3456"/>
          </w:tcPr>
          <w:p>
            <w:r/>
            <w:r>
              <w:rPr>
                <w:sz w:val="20"/>
              </w:rPr>
              <w:t>$3,400</w:t>
            </w:r>
          </w:p>
        </w:tc>
        <w:tc>
          <w:tcPr>
            <w:tcW w:type="dxa" w:w="3312"/>
          </w:tcPr>
          <w:p>
            <w:r/>
            <w:r>
              <w:rPr>
                <w:sz w:val="20"/>
              </w:rPr>
              <w:t>$150</w:t>
            </w:r>
          </w:p>
        </w:tc>
      </w:tr>
      <w:tr>
        <w:tc>
          <w:tcPr>
            <w:tcW w:type="dxa" w:w="2592"/>
          </w:tcPr>
          <w:p>
            <w:r/>
            <w:r>
              <w:rPr>
                <w:sz w:val="20"/>
              </w:rPr>
              <w:t>Gross margin</w:t>
            </w:r>
          </w:p>
        </w:tc>
        <w:tc>
          <w:tcPr>
            <w:tcW w:type="dxa" w:w="3456"/>
          </w:tcPr>
          <w:p>
            <w:r/>
            <w:r>
              <w:rPr>
                <w:sz w:val="20"/>
              </w:rPr>
              <w:t>78%</w:t>
            </w:r>
          </w:p>
        </w:tc>
        <w:tc>
          <w:tcPr>
            <w:tcW w:type="dxa" w:w="3312"/>
          </w:tcPr>
          <w:p>
            <w:r/>
            <w:r>
              <w:rPr>
                <w:sz w:val="20"/>
              </w:rPr>
              <w:t>78%</w:t>
            </w:r>
          </w:p>
        </w:tc>
      </w:tr>
      <w:tr>
        <w:tc>
          <w:tcPr>
            <w:tcW w:type="dxa" w:w="2592"/>
          </w:tcPr>
          <w:p>
            <w:r/>
            <w:r>
              <w:rPr>
                <w:sz w:val="20"/>
              </w:rPr>
              <w:t>Customer acquisition cost (CAC)</w:t>
            </w:r>
          </w:p>
        </w:tc>
        <w:tc>
          <w:tcPr>
            <w:tcW w:type="dxa" w:w="3456"/>
          </w:tcPr>
          <w:p>
            <w:r/>
            <w:r>
              <w:rPr>
                <w:sz w:val="20"/>
              </w:rPr>
              <w:t>$6,500</w:t>
            </w:r>
          </w:p>
        </w:tc>
        <w:tc>
          <w:tcPr>
            <w:tcW w:type="dxa" w:w="3312"/>
          </w:tcPr>
          <w:p>
            <w:r/>
            <w:r>
              <w:rPr>
                <w:sz w:val="20"/>
              </w:rPr>
              <w:t>$50</w:t>
            </w:r>
          </w:p>
        </w:tc>
      </w:tr>
      <w:tr>
        <w:tc>
          <w:tcPr>
            <w:tcW w:type="dxa" w:w="2592"/>
          </w:tcPr>
          <w:p>
            <w:r/>
            <w:r>
              <w:rPr>
                <w:sz w:val="20"/>
              </w:rPr>
              <w:t>Logo retention</w:t>
            </w:r>
          </w:p>
        </w:tc>
        <w:tc>
          <w:tcPr>
            <w:tcW w:type="dxa" w:w="3456"/>
          </w:tcPr>
          <w:p>
            <w:r/>
            <w:r>
              <w:rPr>
                <w:sz w:val="20"/>
              </w:rPr>
              <w:t>85%</w:t>
            </w:r>
          </w:p>
        </w:tc>
        <w:tc>
          <w:tcPr>
            <w:tcW w:type="dxa" w:w="3312"/>
          </w:tcPr>
          <w:p>
            <w:r/>
            <w:r>
              <w:rPr>
                <w:sz w:val="20"/>
              </w:rPr>
              <w:t>65%</w:t>
            </w:r>
          </w:p>
        </w:tc>
      </w:tr>
      <w:tr>
        <w:tc>
          <w:tcPr>
            <w:tcW w:type="dxa" w:w="2592"/>
          </w:tcPr>
          <w:p>
            <w:r/>
            <w:r>
              <w:rPr>
                <w:sz w:val="20"/>
              </w:rPr>
              <w:t>Net revenue retention (NRR)</w:t>
            </w:r>
          </w:p>
        </w:tc>
        <w:tc>
          <w:tcPr>
            <w:tcW w:type="dxa" w:w="3456"/>
          </w:tcPr>
          <w:p>
            <w:r/>
            <w:r>
              <w:rPr>
                <w:sz w:val="20"/>
              </w:rPr>
              <w:t>110%</w:t>
            </w:r>
          </w:p>
        </w:tc>
        <w:tc>
          <w:tcPr>
            <w:tcW w:type="dxa" w:w="3312"/>
          </w:tcPr>
          <w:p>
            <w:r/>
            <w:r>
              <w:rPr>
                <w:sz w:val="20"/>
              </w:rPr>
              <w:t>100%</w:t>
            </w:r>
          </w:p>
        </w:tc>
      </w:tr>
      <w:tr>
        <w:tc>
          <w:tcPr>
            <w:tcW w:type="dxa" w:w="2592"/>
          </w:tcPr>
          <w:p>
            <w:r/>
            <w:r>
              <w:rPr>
                <w:sz w:val="20"/>
              </w:rPr>
              <w:t>LTV / CAC (with NRR uplift)</w:t>
            </w:r>
          </w:p>
        </w:tc>
        <w:tc>
          <w:tcPr>
            <w:tcW w:type="dxa" w:w="3456"/>
          </w:tcPr>
          <w:p>
            <w:r/>
            <w:r>
              <w:rPr>
                <w:sz w:val="20"/>
              </w:rPr>
              <w:t>5.4×</w:t>
            </w:r>
          </w:p>
        </w:tc>
        <w:tc>
          <w:tcPr>
            <w:tcW w:type="dxa" w:w="3312"/>
          </w:tcPr>
          <w:p>
            <w:r/>
            <w:r>
              <w:rPr>
                <w:sz w:val="20"/>
              </w:rPr>
              <w:t>6.7×</w:t>
            </w:r>
          </w:p>
        </w:tc>
      </w:tr>
      <w:tr>
        <w:tc>
          <w:tcPr>
            <w:tcW w:type="dxa" w:w="2592"/>
          </w:tcPr>
          <w:p>
            <w:r/>
            <w:r>
              <w:rPr>
                <w:sz w:val="20"/>
              </w:rPr>
              <w:t>CAC payback</w:t>
            </w:r>
          </w:p>
        </w:tc>
        <w:tc>
          <w:tcPr>
            <w:tcW w:type="dxa" w:w="3456"/>
          </w:tcPr>
          <w:p>
            <w:r/>
            <w:r>
              <w:rPr>
                <w:sz w:val="20"/>
              </w:rPr>
              <w:t>29 mo (within Enterprise SaaS healthy zone)</w:t>
            </w:r>
          </w:p>
        </w:tc>
        <w:tc>
          <w:tcPr>
            <w:tcW w:type="dxa" w:w="3312"/>
          </w:tcPr>
          <w:p>
            <w:r/>
            <w:r>
              <w:rPr>
                <w:sz w:val="20"/>
              </w:rPr>
              <w:t>5.1 mo (vs 3.8mo edu-SaaS benchmark[7])</w:t>
            </w:r>
          </w:p>
        </w:tc>
      </w:tr>
    </w:tbl>
    <w:p/>
    <w:p>
      <w:pPr>
        <w:pStyle w:val="Heading3"/>
      </w:pPr>
      <w:r>
        <w:rPr>
          <w:b/>
          <w:color w:val="2C3E50"/>
          <w:sz w:val="24"/>
        </w:rPr>
        <w:t>Benchmarking the unit-economics story</w:t>
      </w:r>
    </w:p>
    <w:p>
      <w:pPr>
        <w:spacing w:after="160"/>
        <w:jc w:val="both"/>
      </w:pPr>
      <w:r>
        <w:rPr>
          <w:b w:val="0"/>
          <w:i w:val="0"/>
          <w:sz w:val="22"/>
        </w:rPr>
        <w:t>Healthy LTV:CAC for B2B SaaS is 3:1+ minimum, 5:1+ strong. Median across all B2B SaaS is 3.2:1; SMB SaaS averages 2.5:1; Enterprise SaaS ($100K+ ACV) averages 4.5:1</w:t>
      </w:r>
      <w:r>
        <w:rPr>
          <w:b w:val="0"/>
          <w:i w:val="0"/>
          <w:sz w:val="18"/>
          <w:vertAlign w:val="superscript"/>
        </w:rPr>
        <w:t>[26]</w:t>
      </w:r>
      <w:r>
        <w:rPr>
          <w:b w:val="0"/>
          <w:i w:val="0"/>
          <w:sz w:val="22"/>
        </w:rPr>
        <w:t>. Education SaaS has the fastest CAC payback in all of B2B SaaS at 3.8 months. EdGame's teacher channel matches that benchmark; the school channel sits between SMB and Enterprise with healthy NRR-aware LTV/CAC.</w:t>
      </w:r>
    </w:p>
    <w:p>
      <w:r>
        <w:br w:type="page"/>
      </w:r>
    </w:p>
    <w:p>
      <w:pPr>
        <w:pStyle w:val="Heading1"/>
      </w:pPr>
      <w:r>
        <w:rPr>
          <w:b/>
          <w:color w:val="1F4788"/>
          <w:sz w:val="44"/>
        </w:rPr>
        <w:t>6. Marketing &amp; Sales Plan</w:t>
      </w:r>
    </w:p>
    <w:p>
      <w:pPr>
        <w:pStyle w:val="Heading2"/>
      </w:pPr>
      <w:r>
        <w:rPr>
          <w:b/>
          <w:color w:val="1F4788"/>
          <w:sz w:val="30"/>
        </w:rPr>
        <w:t>6.1 Distribution strategy by phase</w:t>
      </w:r>
    </w:p>
    <w:p>
      <w:pPr>
        <w:spacing w:after="160"/>
      </w:pPr>
      <w:r>
        <w:rPr>
          <w:b w:val="0"/>
          <w:i w:val="0"/>
          <w:sz w:val="22"/>
        </w:rPr>
        <w:t>We follow a classic 'beachhead → expand → dominate' GTM, starting where we have structural advantages (KAUST + NEOM + GCC) and expanding only after pilot evidence supports the playbook. The phased pilot funnel for Year 1 is shown below.</w:t>
      </w:r>
    </w:p>
    <w:p>
      <w:pPr>
        <w:jc w:val="center"/>
      </w:pPr>
      <w:r>
        <w:drawing>
          <wp:inline xmlns:a="http://schemas.openxmlformats.org/drawingml/2006/main" xmlns:pic="http://schemas.openxmlformats.org/drawingml/2006/picture">
            <wp:extent cx="5943600" cy="4326885"/>
            <wp:docPr id="9" name="Picture 9"/>
            <wp:cNvGraphicFramePr>
              <a:graphicFrameLocks noChangeAspect="1"/>
            </wp:cNvGraphicFramePr>
            <a:graphic>
              <a:graphicData uri="http://schemas.openxmlformats.org/drawingml/2006/picture">
                <pic:pic>
                  <pic:nvPicPr>
                    <pic:cNvPr id="0" name="figure_07_funnel.png"/>
                    <pic:cNvPicPr/>
                  </pic:nvPicPr>
                  <pic:blipFill>
                    <a:blip r:embed="rId17"/>
                    <a:stretch>
                      <a:fillRect/>
                    </a:stretch>
                  </pic:blipFill>
                  <pic:spPr>
                    <a:xfrm>
                      <a:off x="0" y="0"/>
                      <a:ext cx="5943600" cy="4326885"/>
                    </a:xfrm>
                    <a:prstGeom prst="rect"/>
                  </pic:spPr>
                </pic:pic>
              </a:graphicData>
            </a:graphic>
          </wp:inline>
        </w:drawing>
      </w:r>
    </w:p>
    <w:p>
      <w:pPr>
        <w:spacing w:after="240"/>
        <w:jc w:val="center"/>
      </w:pPr>
      <w:r>
        <w:rPr>
          <w:i/>
          <w:color w:val="888888"/>
          <w:sz w:val="18"/>
        </w:rPr>
        <w:t>Figure 9. Year-1 pilot funnel. Bottom-up: 100 targets → 60 conversations → 40 pilots → 15 paid licenses.</w:t>
      </w:r>
    </w:p>
    <w:p>
      <w:pPr>
        <w:pStyle w:val="Heading2"/>
      </w:pPr>
      <w:r>
        <w:rPr>
          <w:b/>
          <w:color w:val="1F4788"/>
          <w:sz w:val="30"/>
        </w:rPr>
        <w:t>6.2 Phase 1 (Year 1-2): Founder-led pilots in KSA + GCC</w:t>
      </w:r>
    </w:p>
    <w:p>
      <w:pPr>
        <w:pStyle w:val="ListBullet"/>
        <w:spacing w:after="40"/>
        <w:ind w:left="360"/>
      </w:pPr>
      <w:r>
        <w:rPr>
          <w:sz w:val="22"/>
        </w:rPr>
        <w:t>Founder-led BD: weekly demos at KAUST School + NEOM Schools + GCC private chains; 1-3 outreach meetings per week</w:t>
      </w:r>
    </w:p>
    <w:p>
      <w:pPr>
        <w:pStyle w:val="ListBullet"/>
        <w:spacing w:after="40"/>
        <w:ind w:left="360"/>
      </w:pPr>
      <w:r>
        <w:rPr>
          <w:sz w:val="22"/>
        </w:rPr>
        <w:t>Live conferences: GESS Dubai (~$20-30K/event), BETT London (~$40-60K) — primary demand-generation for school decision-makers</w:t>
      </w:r>
    </w:p>
    <w:p>
      <w:pPr>
        <w:pStyle w:val="ListBullet"/>
        <w:spacing w:after="40"/>
        <w:ind w:left="360"/>
      </w:pPr>
      <w:r>
        <w:rPr>
          <w:sz w:val="22"/>
        </w:rPr>
        <w:t>Teacher communities (PLG channel): Math/science teacher Facebook + LinkedIn groups; ~$42 CAC per Proven SaaS edu-SaaS benchmark</w:t>
      </w:r>
      <w:r>
        <w:rPr>
          <w:sz w:val="18"/>
          <w:vertAlign w:val="superscript"/>
        </w:rPr>
        <w:t>[7]</w:t>
      </w:r>
    </w:p>
    <w:p>
      <w:pPr>
        <w:pStyle w:val="ListBullet"/>
        <w:spacing w:after="40"/>
        <w:ind w:left="360"/>
      </w:pPr>
      <w:r>
        <w:rPr>
          <w:sz w:val="22"/>
        </w:rPr>
        <w:t>KAUST + KAUST Innovation Ventures: leverage university accelerator status as credibility signal with regional school operators</w:t>
      </w:r>
    </w:p>
    <w:p>
      <w:pPr>
        <w:pStyle w:val="Heading2"/>
      </w:pPr>
      <w:r>
        <w:rPr>
          <w:b/>
          <w:color w:val="1F4788"/>
          <w:sz w:val="30"/>
        </w:rPr>
        <w:t>6.3 Phase 2 (Year 2-3): Distribution-platform leverage</w:t>
      </w:r>
    </w:p>
    <w:p>
      <w:pPr>
        <w:pStyle w:val="ListBullet"/>
        <w:spacing w:after="40"/>
        <w:ind w:left="360"/>
      </w:pPr>
      <w:r>
        <w:rPr>
          <w:sz w:val="22"/>
        </w:rPr>
        <w:t>Clever partnership for US K-12 districts — Prodigy scaled to 1,300+ districts in Year 1 via Clever; clear precedent</w:t>
      </w:r>
    </w:p>
    <w:p>
      <w:pPr>
        <w:pStyle w:val="ListBullet"/>
        <w:spacing w:after="40"/>
        <w:ind w:left="360"/>
      </w:pPr>
      <w:r>
        <w:rPr>
          <w:sz w:val="22"/>
        </w:rPr>
        <w:t>Google Classroom + Workspace Marketplace integration — assignment-flow embedding increases teacher conversion 2-3×</w:t>
      </w:r>
    </w:p>
    <w:p>
      <w:pPr>
        <w:pStyle w:val="ListBullet"/>
        <w:spacing w:after="40"/>
        <w:ind w:left="360"/>
      </w:pPr>
      <w:r>
        <w:rPr>
          <w:sz w:val="22"/>
        </w:rPr>
        <w:t>Canvas + Schoology LTI integration for US K-12 + community college</w:t>
      </w:r>
    </w:p>
    <w:p>
      <w:pPr>
        <w:pStyle w:val="ListBullet"/>
        <w:spacing w:after="40"/>
        <w:ind w:left="360"/>
      </w:pPr>
      <w:r>
        <w:rPr>
          <w:sz w:val="22"/>
        </w:rPr>
        <w:t>3-4 enterprise AEs at $100-140K fully loaded; quota $400-600K each, ramp Q2 of Year 2</w:t>
      </w:r>
    </w:p>
    <w:p>
      <w:pPr>
        <w:pStyle w:val="Heading2"/>
      </w:pPr>
      <w:r>
        <w:rPr>
          <w:b/>
          <w:color w:val="1F4788"/>
          <w:sz w:val="30"/>
        </w:rPr>
        <w:t>6.4 Phase 3 (Year 3-5): Districts + OEM API</w:t>
      </w:r>
    </w:p>
    <w:p>
      <w:pPr>
        <w:pStyle w:val="ListBullet"/>
        <w:spacing w:after="40"/>
        <w:ind w:left="360"/>
      </w:pPr>
      <w:r>
        <w:rPr>
          <w:sz w:val="22"/>
        </w:rPr>
        <w:t>District-level multi-school sales: leverage Phase 2 case studies to land 10-25 districts by Year 5</w:t>
      </w:r>
    </w:p>
    <w:p>
      <w:pPr>
        <w:pStyle w:val="ListBullet"/>
        <w:spacing w:after="40"/>
        <w:ind w:left="360"/>
      </w:pPr>
      <w:r>
        <w:rPr>
          <w:sz w:val="22"/>
        </w:rPr>
        <w:t>OEM API: white-label integration for Pearson, McGraw-Hill, Cambridge — publishers embed EdGame analytics in their own assessment products</w:t>
      </w:r>
    </w:p>
    <w:p>
      <w:pPr>
        <w:pStyle w:val="ListBullet"/>
        <w:spacing w:after="40"/>
        <w:ind w:left="360"/>
      </w:pPr>
      <w:r>
        <w:rPr>
          <w:sz w:val="22"/>
        </w:rPr>
        <w:t>Parent premium: $72-80/yr direct-to-consumer once school-approved bridges exist (8K paying parents by Year 5)</w:t>
      </w:r>
    </w:p>
    <w:p>
      <w:pPr>
        <w:pStyle w:val="Heading2"/>
      </w:pPr>
      <w:r>
        <w:rPr>
          <w:b/>
          <w:color w:val="1F4788"/>
          <w:sz w:val="30"/>
        </w:rPr>
        <w:t>6.5 Marketing budget by year</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3600"/>
            <w:shd w:val="clear" w:color="auto" w:fill="1F4788"/>
          </w:tcPr>
          <w:p>
            <w:r/>
            <w:r>
              <w:rPr>
                <w:b/>
                <w:color w:val="FFFFFF"/>
                <w:sz w:val="20"/>
              </w:rPr>
              <w:t>Channel</w:t>
            </w:r>
          </w:p>
        </w:tc>
        <w:tc>
          <w:tcPr>
            <w:tcW w:type="dxa" w:w="1224"/>
            <w:shd w:val="clear" w:color="auto" w:fill="1F4788"/>
          </w:tcPr>
          <w:p>
            <w:r/>
            <w:r>
              <w:rPr>
                <w:b/>
                <w:color w:val="FFFFFF"/>
                <w:sz w:val="20"/>
              </w:rPr>
              <w:t>Year 1</w:t>
            </w:r>
          </w:p>
        </w:tc>
        <w:tc>
          <w:tcPr>
            <w:tcW w:type="dxa" w:w="1224"/>
            <w:shd w:val="clear" w:color="auto" w:fill="1F4788"/>
          </w:tcPr>
          <w:p>
            <w:r/>
            <w:r>
              <w:rPr>
                <w:b/>
                <w:color w:val="FFFFFF"/>
                <w:sz w:val="20"/>
              </w:rPr>
              <w:t>Year 2</w:t>
            </w:r>
          </w:p>
        </w:tc>
        <w:tc>
          <w:tcPr>
            <w:tcW w:type="dxa" w:w="1224"/>
            <w:shd w:val="clear" w:color="auto" w:fill="1F4788"/>
          </w:tcPr>
          <w:p>
            <w:r/>
            <w:r>
              <w:rPr>
                <w:b/>
                <w:color w:val="FFFFFF"/>
                <w:sz w:val="20"/>
              </w:rPr>
              <w:t>Year 3</w:t>
            </w:r>
          </w:p>
        </w:tc>
        <w:tc>
          <w:tcPr>
            <w:tcW w:type="dxa" w:w="1224"/>
            <w:shd w:val="clear" w:color="auto" w:fill="1F4788"/>
          </w:tcPr>
          <w:p>
            <w:r/>
            <w:r>
              <w:rPr>
                <w:b/>
                <w:color w:val="FFFFFF"/>
                <w:sz w:val="20"/>
              </w:rPr>
              <w:t>Year 5</w:t>
            </w:r>
          </w:p>
        </w:tc>
      </w:tr>
      <w:tr>
        <w:tc>
          <w:tcPr>
            <w:tcW w:type="dxa" w:w="3600"/>
          </w:tcPr>
          <w:p>
            <w:r/>
            <w:r>
              <w:rPr>
                <w:sz w:val="20"/>
              </w:rPr>
              <w:t>Founder-led BD travel + demos</w:t>
            </w:r>
          </w:p>
        </w:tc>
        <w:tc>
          <w:tcPr>
            <w:tcW w:type="dxa" w:w="1224"/>
          </w:tcPr>
          <w:p>
            <w:r/>
            <w:r>
              <w:rPr>
                <w:sz w:val="20"/>
              </w:rPr>
              <w:t>$50K</w:t>
            </w:r>
          </w:p>
        </w:tc>
        <w:tc>
          <w:tcPr>
            <w:tcW w:type="dxa" w:w="1224"/>
          </w:tcPr>
          <w:p>
            <w:r/>
            <w:r>
              <w:rPr>
                <w:sz w:val="20"/>
              </w:rPr>
              <w:t>$80K</w:t>
            </w:r>
          </w:p>
        </w:tc>
        <w:tc>
          <w:tcPr>
            <w:tcW w:type="dxa" w:w="1224"/>
          </w:tcPr>
          <w:p>
            <w:r/>
            <w:r>
              <w:rPr>
                <w:sz w:val="20"/>
              </w:rPr>
              <w:t>$80K</w:t>
            </w:r>
          </w:p>
        </w:tc>
        <w:tc>
          <w:tcPr>
            <w:tcW w:type="dxa" w:w="1224"/>
          </w:tcPr>
          <w:p>
            <w:r/>
            <w:r>
              <w:rPr>
                <w:sz w:val="20"/>
              </w:rPr>
              <w:t>$60K</w:t>
            </w:r>
          </w:p>
        </w:tc>
      </w:tr>
      <w:tr>
        <w:tc>
          <w:tcPr>
            <w:tcW w:type="dxa" w:w="3600"/>
          </w:tcPr>
          <w:p>
            <w:r/>
            <w:r>
              <w:rPr>
                <w:sz w:val="20"/>
              </w:rPr>
              <w:t>Conferences (GESS, BETT, ASU+GSV)</w:t>
            </w:r>
          </w:p>
        </w:tc>
        <w:tc>
          <w:tcPr>
            <w:tcW w:type="dxa" w:w="1224"/>
          </w:tcPr>
          <w:p>
            <w:r/>
            <w:r>
              <w:rPr>
                <w:sz w:val="20"/>
              </w:rPr>
              <w:t>$30K</w:t>
            </w:r>
          </w:p>
        </w:tc>
        <w:tc>
          <w:tcPr>
            <w:tcW w:type="dxa" w:w="1224"/>
          </w:tcPr>
          <w:p>
            <w:r/>
            <w:r>
              <w:rPr>
                <w:sz w:val="20"/>
              </w:rPr>
              <w:t>$70K</w:t>
            </w:r>
          </w:p>
        </w:tc>
        <w:tc>
          <w:tcPr>
            <w:tcW w:type="dxa" w:w="1224"/>
          </w:tcPr>
          <w:p>
            <w:r/>
            <w:r>
              <w:rPr>
                <w:sz w:val="20"/>
              </w:rPr>
              <w:t>$120K</w:t>
            </w:r>
          </w:p>
        </w:tc>
        <w:tc>
          <w:tcPr>
            <w:tcW w:type="dxa" w:w="1224"/>
          </w:tcPr>
          <w:p>
            <w:r/>
            <w:r>
              <w:rPr>
                <w:sz w:val="20"/>
              </w:rPr>
              <w:t>$200K</w:t>
            </w:r>
          </w:p>
        </w:tc>
      </w:tr>
      <w:tr>
        <w:tc>
          <w:tcPr>
            <w:tcW w:type="dxa" w:w="3600"/>
          </w:tcPr>
          <w:p>
            <w:r/>
            <w:r>
              <w:rPr>
                <w:sz w:val="20"/>
              </w:rPr>
              <w:t>Teacher PLG digital ads</w:t>
            </w:r>
          </w:p>
        </w:tc>
        <w:tc>
          <w:tcPr>
            <w:tcW w:type="dxa" w:w="1224"/>
          </w:tcPr>
          <w:p>
            <w:r/>
            <w:r>
              <w:rPr>
                <w:sz w:val="20"/>
              </w:rPr>
              <w:t>$20K</w:t>
            </w:r>
          </w:p>
        </w:tc>
        <w:tc>
          <w:tcPr>
            <w:tcW w:type="dxa" w:w="1224"/>
          </w:tcPr>
          <w:p>
            <w:r/>
            <w:r>
              <w:rPr>
                <w:sz w:val="20"/>
              </w:rPr>
              <w:t>$80K</w:t>
            </w:r>
          </w:p>
        </w:tc>
        <w:tc>
          <w:tcPr>
            <w:tcW w:type="dxa" w:w="1224"/>
          </w:tcPr>
          <w:p>
            <w:r/>
            <w:r>
              <w:rPr>
                <w:sz w:val="20"/>
              </w:rPr>
              <w:t>$200K</w:t>
            </w:r>
          </w:p>
        </w:tc>
        <w:tc>
          <w:tcPr>
            <w:tcW w:type="dxa" w:w="1224"/>
          </w:tcPr>
          <w:p>
            <w:r/>
            <w:r>
              <w:rPr>
                <w:sz w:val="20"/>
              </w:rPr>
              <w:t>$500K</w:t>
            </w:r>
          </w:p>
        </w:tc>
      </w:tr>
      <w:tr>
        <w:tc>
          <w:tcPr>
            <w:tcW w:type="dxa" w:w="3600"/>
          </w:tcPr>
          <w:p>
            <w:r/>
            <w:r>
              <w:rPr>
                <w:sz w:val="20"/>
              </w:rPr>
              <w:t>Content + case studies + PR</w:t>
            </w:r>
          </w:p>
        </w:tc>
        <w:tc>
          <w:tcPr>
            <w:tcW w:type="dxa" w:w="1224"/>
          </w:tcPr>
          <w:p>
            <w:r/>
            <w:r>
              <w:rPr>
                <w:sz w:val="20"/>
              </w:rPr>
              <w:t>$20K</w:t>
            </w:r>
          </w:p>
        </w:tc>
        <w:tc>
          <w:tcPr>
            <w:tcW w:type="dxa" w:w="1224"/>
          </w:tcPr>
          <w:p>
            <w:r/>
            <w:r>
              <w:rPr>
                <w:sz w:val="20"/>
              </w:rPr>
              <w:t>$50K</w:t>
            </w:r>
          </w:p>
        </w:tc>
        <w:tc>
          <w:tcPr>
            <w:tcW w:type="dxa" w:w="1224"/>
          </w:tcPr>
          <w:p>
            <w:r/>
            <w:r>
              <w:rPr>
                <w:sz w:val="20"/>
              </w:rPr>
              <w:t>$100K</w:t>
            </w:r>
          </w:p>
        </w:tc>
        <w:tc>
          <w:tcPr>
            <w:tcW w:type="dxa" w:w="1224"/>
          </w:tcPr>
          <w:p>
            <w:r/>
            <w:r>
              <w:rPr>
                <w:sz w:val="20"/>
              </w:rPr>
              <w:t>$200K</w:t>
            </w:r>
          </w:p>
        </w:tc>
      </w:tr>
      <w:tr>
        <w:tc>
          <w:tcPr>
            <w:tcW w:type="dxa" w:w="3600"/>
          </w:tcPr>
          <w:p>
            <w:r/>
            <w:r>
              <w:rPr>
                <w:sz w:val="20"/>
              </w:rPr>
              <w:t>Enterprise AE base + commission</w:t>
            </w:r>
          </w:p>
        </w:tc>
        <w:tc>
          <w:tcPr>
            <w:tcW w:type="dxa" w:w="1224"/>
          </w:tcPr>
          <w:p>
            <w:r/>
            <w:r>
              <w:rPr>
                <w:sz w:val="20"/>
              </w:rPr>
              <w:t>$0</w:t>
            </w:r>
          </w:p>
        </w:tc>
        <w:tc>
          <w:tcPr>
            <w:tcW w:type="dxa" w:w="1224"/>
          </w:tcPr>
          <w:p>
            <w:r/>
            <w:r>
              <w:rPr>
                <w:sz w:val="20"/>
              </w:rPr>
              <w:t>$300K</w:t>
            </w:r>
          </w:p>
        </w:tc>
        <w:tc>
          <w:tcPr>
            <w:tcW w:type="dxa" w:w="1224"/>
          </w:tcPr>
          <w:p>
            <w:r/>
            <w:r>
              <w:rPr>
                <w:sz w:val="20"/>
              </w:rPr>
              <w:t>$500K</w:t>
            </w:r>
          </w:p>
        </w:tc>
        <w:tc>
          <w:tcPr>
            <w:tcW w:type="dxa" w:w="1224"/>
          </w:tcPr>
          <w:p>
            <w:r/>
            <w:r>
              <w:rPr>
                <w:sz w:val="20"/>
              </w:rPr>
              <w:t>$1,000K</w:t>
            </w:r>
          </w:p>
        </w:tc>
      </w:tr>
      <w:tr>
        <w:tc>
          <w:tcPr>
            <w:tcW w:type="dxa" w:w="3600"/>
          </w:tcPr>
          <w:p>
            <w:r/>
            <w:r>
              <w:rPr>
                <w:sz w:val="20"/>
              </w:rPr>
              <w:t>Partnerships + integrations</w:t>
            </w:r>
          </w:p>
        </w:tc>
        <w:tc>
          <w:tcPr>
            <w:tcW w:type="dxa" w:w="1224"/>
          </w:tcPr>
          <w:p>
            <w:r/>
            <w:r>
              <w:rPr>
                <w:sz w:val="20"/>
              </w:rPr>
              <w:t>$10K</w:t>
            </w:r>
          </w:p>
        </w:tc>
        <w:tc>
          <w:tcPr>
            <w:tcW w:type="dxa" w:w="1224"/>
          </w:tcPr>
          <w:p>
            <w:r/>
            <w:r>
              <w:rPr>
                <w:sz w:val="20"/>
              </w:rPr>
              <w:t>$30K</w:t>
            </w:r>
          </w:p>
        </w:tc>
        <w:tc>
          <w:tcPr>
            <w:tcW w:type="dxa" w:w="1224"/>
          </w:tcPr>
          <w:p>
            <w:r/>
            <w:r>
              <w:rPr>
                <w:sz w:val="20"/>
              </w:rPr>
              <w:t>$80K</w:t>
            </w:r>
          </w:p>
        </w:tc>
        <w:tc>
          <w:tcPr>
            <w:tcW w:type="dxa" w:w="1224"/>
          </w:tcPr>
          <w:p>
            <w:r/>
            <w:r>
              <w:rPr>
                <w:sz w:val="20"/>
              </w:rPr>
              <w:t>$200K</w:t>
            </w:r>
          </w:p>
        </w:tc>
      </w:tr>
      <w:tr>
        <w:tc>
          <w:tcPr>
            <w:tcW w:type="dxa" w:w="3600"/>
          </w:tcPr>
          <w:p>
            <w:r/>
            <w:r>
              <w:rPr>
                <w:sz w:val="20"/>
              </w:rPr>
              <w:t>Total</w:t>
            </w:r>
          </w:p>
        </w:tc>
        <w:tc>
          <w:tcPr>
            <w:tcW w:type="dxa" w:w="1224"/>
          </w:tcPr>
          <w:p>
            <w:r/>
            <w:r>
              <w:rPr>
                <w:sz w:val="20"/>
              </w:rPr>
              <w:t>$130K</w:t>
            </w:r>
          </w:p>
        </w:tc>
        <w:tc>
          <w:tcPr>
            <w:tcW w:type="dxa" w:w="1224"/>
          </w:tcPr>
          <w:p>
            <w:r/>
            <w:r>
              <w:rPr>
                <w:sz w:val="20"/>
              </w:rPr>
              <w:t>$610K</w:t>
            </w:r>
          </w:p>
        </w:tc>
        <w:tc>
          <w:tcPr>
            <w:tcW w:type="dxa" w:w="1224"/>
          </w:tcPr>
          <w:p>
            <w:r/>
            <w:r>
              <w:rPr>
                <w:sz w:val="20"/>
              </w:rPr>
              <w:t>$1.08M</w:t>
            </w:r>
          </w:p>
        </w:tc>
        <w:tc>
          <w:tcPr>
            <w:tcW w:type="dxa" w:w="1224"/>
          </w:tcPr>
          <w:p>
            <w:r/>
            <w:r>
              <w:rPr>
                <w:sz w:val="20"/>
              </w:rPr>
              <w:t>$2.16M</w:t>
            </w:r>
          </w:p>
        </w:tc>
      </w:tr>
    </w:tbl>
    <w:p/>
    <w:p>
      <w:pPr>
        <w:pStyle w:val="Heading2"/>
      </w:pPr>
      <w:r>
        <w:rPr>
          <w:b/>
          <w:color w:val="1F4788"/>
          <w:sz w:val="30"/>
        </w:rPr>
        <w:t>6.6 Sales forecast (bottom-up)</w:t>
      </w:r>
    </w:p>
    <w:p>
      <w:pPr>
        <w:spacing w:after="160"/>
      </w:pPr>
      <w:r>
        <w:rPr>
          <w:b w:val="0"/>
          <w:i w:val="0"/>
          <w:sz w:val="22"/>
        </w:rPr>
        <w:t>Per TIE212 and McKinsey guidance, we forecast bottom-up: rep × calls × conversion × ACV, not top-down market-share assumption. Year 3 forecast walkthrough:</w:t>
      </w:r>
    </w:p>
    <w:p>
      <w:pPr>
        <w:pStyle w:val="ListBullet"/>
        <w:spacing w:after="40"/>
        <w:ind w:left="360"/>
      </w:pPr>
      <w:r>
        <w:rPr>
          <w:sz w:val="22"/>
        </w:rPr>
        <w:t>3 AEs × 60% productive × 200 working days × 3 demos/day × 10% close × $4,500 ACV (school standard) ≈ $480K direct school sales</w:t>
      </w:r>
    </w:p>
    <w:p>
      <w:pPr>
        <w:pStyle w:val="ListBullet"/>
        <w:spacing w:after="40"/>
        <w:ind w:left="360"/>
      </w:pPr>
      <w:r>
        <w:rPr>
          <w:sz w:val="22"/>
        </w:rPr>
        <w:t>+ 12,000 teachers × 10% Pro-conversion × $150 ACV = $180K teacher Pro</w:t>
      </w:r>
    </w:p>
    <w:p>
      <w:pPr>
        <w:pStyle w:val="ListBullet"/>
        <w:spacing w:after="40"/>
        <w:ind w:left="360"/>
      </w:pPr>
      <w:r>
        <w:rPr>
          <w:sz w:val="22"/>
        </w:rPr>
        <w:t>+ 15 districts × $16,500 ACV = $250K</w:t>
      </w:r>
    </w:p>
    <w:p>
      <w:pPr>
        <w:pStyle w:val="ListBullet"/>
        <w:spacing w:after="40"/>
        <w:ind w:left="360"/>
      </w:pPr>
      <w:r>
        <w:rPr>
          <w:sz w:val="22"/>
        </w:rPr>
        <w:t>+ parent / after-school / partner channels = $1.7M</w:t>
      </w:r>
    </w:p>
    <w:p>
      <w:pPr>
        <w:pStyle w:val="ListBullet"/>
        <w:spacing w:after="40"/>
        <w:ind w:left="360"/>
      </w:pPr>
      <w:r>
        <w:rPr>
          <w:sz w:val="22"/>
        </w:rPr>
        <w:t>Total Y3 ARR ≈ $2.7M (matches model)</w:t>
      </w:r>
    </w:p>
    <w:p>
      <w:r>
        <w:br w:type="page"/>
      </w:r>
    </w:p>
    <w:p>
      <w:pPr>
        <w:pStyle w:val="Heading1"/>
      </w:pPr>
      <w:r>
        <w:rPr>
          <w:b/>
          <w:color w:val="1F4788"/>
          <w:sz w:val="44"/>
        </w:rPr>
        <w:t>7. Operations Plan</w:t>
      </w:r>
    </w:p>
    <w:p>
      <w:pPr>
        <w:pStyle w:val="Heading2"/>
      </w:pPr>
      <w:r>
        <w:rPr>
          <w:b/>
          <w:color w:val="1F4788"/>
          <w:sz w:val="30"/>
        </w:rPr>
        <w:t>7.1 Technology stack</w:t>
      </w:r>
    </w:p>
    <w:p>
      <w:pPr>
        <w:spacing w:after="160"/>
      </w:pPr>
      <w:r>
        <w:rPr>
          <w:b w:val="0"/>
          <w:i w:val="0"/>
          <w:sz w:val="22"/>
        </w:rPr>
        <w:t>All architecture decisions are documented in Architecture Decision Record 001 in the repo's docs/adr/ directory. Phase 1 stack at a glance:</w:t>
      </w:r>
    </w:p>
    <w:p>
      <w:pPr>
        <w:pStyle w:val="ListBullet"/>
        <w:spacing w:after="40"/>
        <w:ind w:left="360"/>
      </w:pPr>
      <w:r>
        <w:rPr>
          <w:sz w:val="22"/>
        </w:rPr>
        <w:t>Game engine: KAPLAY.js 3001.x (browser-based, CDN-loaded — no installation required for teachers or schools)</w:t>
      </w:r>
    </w:p>
    <w:p>
      <w:pPr>
        <w:pStyle w:val="ListBullet"/>
        <w:spacing w:after="40"/>
        <w:ind w:left="360"/>
      </w:pPr>
      <w:r>
        <w:rPr>
          <w:sz w:val="22"/>
        </w:rPr>
        <w:t>Frontend: Next.js 14 App Router with React Server Components — minimizes JS payload for low-bandwidth schools</w:t>
      </w:r>
    </w:p>
    <w:p>
      <w:pPr>
        <w:pStyle w:val="ListBullet"/>
        <w:spacing w:after="40"/>
        <w:ind w:left="360"/>
      </w:pPr>
      <w:r>
        <w:rPr>
          <w:sz w:val="22"/>
        </w:rPr>
        <w:t>Telemetry: xAPI-compliant Actor-Verb-Object format, batched POST to a Learning Record Store</w:t>
      </w:r>
    </w:p>
    <w:p>
      <w:pPr>
        <w:pStyle w:val="ListBullet"/>
        <w:spacing w:after="40"/>
        <w:ind w:left="360"/>
      </w:pPr>
      <w:r>
        <w:rPr>
          <w:sz w:val="22"/>
        </w:rPr>
        <w:t>Database: SurrealDB (multi-model, built-in row-level permissions, supports KSA data residency)</w:t>
      </w:r>
    </w:p>
    <w:p>
      <w:pPr>
        <w:pStyle w:val="ListBullet"/>
        <w:spacing w:after="40"/>
        <w:ind w:left="360"/>
      </w:pPr>
      <w:r>
        <w:rPr>
          <w:sz w:val="22"/>
        </w:rPr>
        <w:t>Hosting: Railway (auto-scaling containers); KSA data residency planned for Year 2 via partner Saudi datacenter to meet PDPL Article 29 requirements</w:t>
      </w:r>
    </w:p>
    <w:p>
      <w:pPr>
        <w:pStyle w:val="ListBullet"/>
        <w:spacing w:after="40"/>
        <w:ind w:left="360"/>
      </w:pPr>
      <w:r>
        <w:rPr>
          <w:sz w:val="22"/>
        </w:rPr>
        <w:t>AI tooling: Anthropic Claude API for content authoring assistance + report summarization (a tool, not a moat)</w:t>
      </w:r>
    </w:p>
    <w:p>
      <w:pPr>
        <w:pStyle w:val="Heading2"/>
      </w:pPr>
      <w:r>
        <w:rPr>
          <w:b/>
          <w:color w:val="1F4788"/>
          <w:sz w:val="30"/>
        </w:rPr>
        <w:t>7.2 Content production</w:t>
      </w:r>
    </w:p>
    <w:p>
      <w:pPr>
        <w:pStyle w:val="ListBullet"/>
        <w:spacing w:after="40"/>
        <w:ind w:left="360"/>
      </w:pPr>
      <w:r>
        <w:rPr>
          <w:sz w:val="22"/>
        </w:rPr>
        <w:t>Game design: 1-2 designers per game, ~6-8 weeks per new environment, ~12 weeks with curriculum mapping + question authoring</w:t>
      </w:r>
    </w:p>
    <w:p>
      <w:pPr>
        <w:pStyle w:val="ListBullet"/>
        <w:spacing w:after="40"/>
        <w:ind w:left="360"/>
      </w:pPr>
      <w:r>
        <w:rPr>
          <w:sz w:val="22"/>
        </w:rPr>
        <w:t>Question banks: 50-75 questions per subject × 5 difficulty levels; AI-assisted first-pass, expert review (university math/science educator partners)</w:t>
      </w:r>
    </w:p>
    <w:p>
      <w:pPr>
        <w:pStyle w:val="ListBullet"/>
        <w:spacing w:after="40"/>
        <w:ind w:left="360"/>
      </w:pPr>
      <w:r>
        <w:rPr>
          <w:sz w:val="22"/>
        </w:rPr>
        <w:t>Localization: English first (Phase 1); Arabic Phase 2 (Year 2) to unlock Saudi public-school market</w:t>
      </w:r>
    </w:p>
    <w:p>
      <w:pPr>
        <w:pStyle w:val="Heading2"/>
      </w:pPr>
      <w:r>
        <w:rPr>
          <w:b/>
          <w:color w:val="1F4788"/>
          <w:sz w:val="30"/>
        </w:rPr>
        <w:t>7.3 Customer success operations</w:t>
      </w:r>
    </w:p>
    <w:p>
      <w:pPr>
        <w:pStyle w:val="ListBullet"/>
        <w:spacing w:after="40"/>
        <w:ind w:left="360"/>
      </w:pPr>
      <w:r>
        <w:rPr>
          <w:sz w:val="22"/>
        </w:rPr>
        <w:t>Pilot lead per school: 6-10 weeks of weekly check-ins, classroom-observation cadence, structured success rubric</w:t>
      </w:r>
    </w:p>
    <w:p>
      <w:pPr>
        <w:pStyle w:val="ListBullet"/>
        <w:spacing w:after="40"/>
        <w:ind w:left="360"/>
      </w:pPr>
      <w:r>
        <w:rPr>
          <w:sz w:val="22"/>
        </w:rPr>
        <w:t>Annual school-success manager: 1 CSM per 30-50 paid schools (Year 2+)</w:t>
      </w:r>
    </w:p>
    <w:p>
      <w:pPr>
        <w:pStyle w:val="ListBullet"/>
        <w:spacing w:after="40"/>
        <w:ind w:left="360"/>
      </w:pPr>
      <w:r>
        <w:rPr>
          <w:sz w:val="22"/>
        </w:rPr>
        <w:t>In-product onboarding tour: 12 minutes; teacher completion rate target 70%</w:t>
      </w:r>
    </w:p>
    <w:p>
      <w:pPr>
        <w:pStyle w:val="Heading2"/>
      </w:pPr>
      <w:r>
        <w:rPr>
          <w:b/>
          <w:color w:val="1F4788"/>
          <w:sz w:val="30"/>
        </w:rPr>
        <w:t>7.4 Data governance &amp; compliance</w:t>
      </w:r>
    </w:p>
    <w:p>
      <w:pPr>
        <w:spacing w:after="160"/>
      </w:pPr>
      <w:r>
        <w:rPr>
          <w:b w:val="0"/>
          <w:i w:val="0"/>
          <w:sz w:val="22"/>
        </w:rPr>
        <w:t>Student data governance is treated as a P0 requirement, not a checkbox. Phase 1 compliance pack:</w:t>
      </w:r>
    </w:p>
    <w:p>
      <w:pPr>
        <w:pStyle w:val="ListBullet"/>
        <w:spacing w:after="40"/>
        <w:ind w:left="360"/>
      </w:pPr>
      <w:r>
        <w:rPr>
          <w:sz w:val="22"/>
        </w:rPr>
        <w:t>KSA PDPL (Personal Data Protection Law) — consent, data minimization, anonymization/pseudonymization, role-based access controls, retention limits</w:t>
      </w:r>
      <w:r>
        <w:rPr>
          <w:sz w:val="18"/>
          <w:vertAlign w:val="superscript"/>
        </w:rPr>
        <w:t>[27]</w:t>
      </w:r>
    </w:p>
    <w:p>
      <w:pPr>
        <w:pStyle w:val="ListBullet"/>
        <w:spacing w:after="40"/>
        <w:ind w:left="360"/>
      </w:pPr>
      <w:r>
        <w:rPr>
          <w:sz w:val="22"/>
        </w:rPr>
        <w:t>COPPA (US) — verifiable parental consent for under-13 students; safe-harbor under the school-as-agent doctrine for school-issued accounts</w:t>
      </w:r>
      <w:r>
        <w:rPr>
          <w:sz w:val="18"/>
          <w:vertAlign w:val="superscript"/>
        </w:rPr>
        <w:t>[28]</w:t>
      </w:r>
    </w:p>
    <w:p>
      <w:pPr>
        <w:pStyle w:val="ListBullet"/>
        <w:spacing w:after="40"/>
        <w:ind w:left="360"/>
      </w:pPr>
      <w:r>
        <w:rPr>
          <w:sz w:val="22"/>
        </w:rPr>
        <w:t>FERPA — school-record handling, parent inspection rights</w:t>
      </w:r>
      <w:r>
        <w:rPr>
          <w:sz w:val="18"/>
          <w:vertAlign w:val="superscript"/>
        </w:rPr>
        <w:t>[28]</w:t>
      </w:r>
    </w:p>
    <w:p>
      <w:pPr>
        <w:pStyle w:val="ListBullet"/>
        <w:spacing w:after="40"/>
        <w:ind w:left="360"/>
      </w:pPr>
      <w:r>
        <w:rPr>
          <w:sz w:val="22"/>
        </w:rPr>
        <w:t>GDPR-K — applies to any EU students (after-school networks, expat schools)</w:t>
      </w:r>
    </w:p>
    <w:p>
      <w:pPr>
        <w:pStyle w:val="ListBullet"/>
        <w:spacing w:after="40"/>
        <w:ind w:left="360"/>
      </w:pPr>
      <w:r>
        <w:rPr>
          <w:sz w:val="22"/>
        </w:rPr>
        <w:t>Internal: data minimization, pseudonymization at the analytics layer, 12-month retention by default, annual fairness audits of BKT models across demographic groups</w:t>
      </w:r>
    </w:p>
    <w:p>
      <w:pPr>
        <w:pStyle w:val="Heading2"/>
      </w:pPr>
      <w:r>
        <w:rPr>
          <w:b/>
          <w:color w:val="1F4788"/>
          <w:sz w:val="30"/>
        </w:rPr>
        <w:t>7.5 Headcount plan</w:t>
      </w:r>
    </w:p>
    <w:p>
      <w:pPr>
        <w:jc w:val="center"/>
      </w:pPr>
      <w:r>
        <w:drawing>
          <wp:inline xmlns:a="http://schemas.openxmlformats.org/drawingml/2006/main" xmlns:pic="http://schemas.openxmlformats.org/drawingml/2006/picture">
            <wp:extent cx="5943600" cy="3947340"/>
            <wp:docPr id="10" name="Picture 10"/>
            <wp:cNvGraphicFramePr>
              <a:graphicFrameLocks noChangeAspect="1"/>
            </wp:cNvGraphicFramePr>
            <a:graphic>
              <a:graphicData uri="http://schemas.openxmlformats.org/drawingml/2006/picture">
                <pic:pic>
                  <pic:nvPicPr>
                    <pic:cNvPr id="0" name="figure_08_org_growth.png"/>
                    <pic:cNvPicPr/>
                  </pic:nvPicPr>
                  <pic:blipFill>
                    <a:blip r:embed="rId18"/>
                    <a:stretch>
                      <a:fillRect/>
                    </a:stretch>
                  </pic:blipFill>
                  <pic:spPr>
                    <a:xfrm>
                      <a:off x="0" y="0"/>
                      <a:ext cx="5943600" cy="3947340"/>
                    </a:xfrm>
                    <a:prstGeom prst="rect"/>
                  </pic:spPr>
                </pic:pic>
              </a:graphicData>
            </a:graphic>
          </wp:inline>
        </w:drawing>
      </w:r>
    </w:p>
    <w:p>
      <w:pPr>
        <w:spacing w:after="240"/>
        <w:jc w:val="center"/>
      </w:pPr>
      <w:r>
        <w:rPr>
          <w:i/>
          <w:color w:val="888888"/>
          <w:sz w:val="18"/>
        </w:rPr>
        <w:t>Figure 10. Headcount evolution vs revenue/FTE productivity. Lean Y1; scale Y2-3; hire density Y4-5.</w:t>
      </w:r>
    </w:p>
    <w:p>
      <w:pPr>
        <w:spacing w:after="160"/>
        <w:jc w:val="both"/>
      </w:pPr>
      <w:r>
        <w:rPr>
          <w:b w:val="0"/>
          <w:i w:val="0"/>
          <w:sz w:val="22"/>
        </w:rPr>
        <w:t>We hire ahead of revenue in Y1-Y2 (engineering + design), then GTM-heavy in Y3-Y4. Revenue-per-FTE reaches $270K by Year 5, in line with mid-stage EdTech SaaS benchmarks of $250-300K</w:t>
      </w:r>
      <w:r>
        <w:rPr>
          <w:b w:val="0"/>
          <w:i w:val="0"/>
          <w:sz w:val="18"/>
          <w:vertAlign w:val="superscript"/>
        </w:rPr>
        <w:t>[29]</w:t>
      </w:r>
      <w:r>
        <w:rPr>
          <w:b w:val="0"/>
          <w:i w:val="0"/>
          <w:sz w:val="22"/>
        </w:rPr>
        <w:t>.</w:t>
      </w:r>
    </w:p>
    <w:p>
      <w:r>
        <w:br w:type="page"/>
      </w:r>
    </w:p>
    <w:p>
      <w:pPr>
        <w:pStyle w:val="Heading1"/>
      </w:pPr>
      <w:r>
        <w:rPr>
          <w:b/>
          <w:color w:val="1F4788"/>
          <w:sz w:val="44"/>
        </w:rPr>
        <w:t>8. Team</w:t>
      </w:r>
    </w:p>
    <w:p>
      <w:pPr>
        <w:pStyle w:val="Heading2"/>
      </w:pPr>
      <w:r>
        <w:rPr>
          <w:b/>
          <w:color w:val="1F4788"/>
          <w:sz w:val="30"/>
        </w:rPr>
        <w:t>8.1 Founding team</w:t>
      </w:r>
    </w:p>
    <w:p>
      <w:pPr>
        <w:spacing w:after="160"/>
      </w:pPr>
      <w:r>
        <w:rPr>
          <w:b w:val="0"/>
          <w:i w:val="0"/>
          <w:sz w:val="22"/>
        </w:rPr>
        <w:t>EdGame is founded by a KAUST capstone team with complementary expertise. Bios below are written for investor diligence; full CVs available on request.</w:t>
      </w:r>
    </w:p>
    <w:p>
      <w:pPr>
        <w:pStyle w:val="Heading3"/>
      </w:pPr>
      <w:r>
        <w:rPr>
          <w:b/>
          <w:color w:val="2C3E50"/>
          <w:sz w:val="24"/>
        </w:rPr>
        <w:t>[FOUNDER_NAME] — Founder &amp; CEO</w:t>
      </w:r>
    </w:p>
    <w:p>
      <w:pPr>
        <w:spacing w:after="160"/>
      </w:pPr>
      <w:r>
        <w:rPr>
          <w:b w:val="0"/>
          <w:i w:val="0"/>
          <w:sz w:val="22"/>
        </w:rPr>
        <w:t>[FOUNDER_BIO]</w:t>
      </w:r>
    </w:p>
    <w:p>
      <w:pPr>
        <w:pStyle w:val="Heading3"/>
      </w:pPr>
      <w:r>
        <w:rPr>
          <w:b/>
          <w:color w:val="2C3E50"/>
          <w:sz w:val="24"/>
        </w:rPr>
        <w:t>[CTO_NAME] — Co-founder &amp; CTO</w:t>
      </w:r>
    </w:p>
    <w:p>
      <w:pPr>
        <w:spacing w:after="160"/>
      </w:pPr>
      <w:r>
        <w:rPr>
          <w:b w:val="0"/>
          <w:i w:val="0"/>
          <w:sz w:val="22"/>
        </w:rPr>
        <w:t>[CTO_BIO]</w:t>
      </w:r>
    </w:p>
    <w:p>
      <w:pPr>
        <w:pStyle w:val="Heading3"/>
      </w:pPr>
      <w:r>
        <w:rPr>
          <w:b/>
          <w:color w:val="2C3E50"/>
          <w:sz w:val="24"/>
        </w:rPr>
        <w:t>[CPO_NAME] — Head of Pedagogy &amp; Curriculum</w:t>
      </w:r>
    </w:p>
    <w:p>
      <w:pPr>
        <w:spacing w:after="160"/>
      </w:pPr>
      <w:r>
        <w:rPr>
          <w:b w:val="0"/>
          <w:i w:val="0"/>
          <w:sz w:val="22"/>
        </w:rPr>
        <w:t>[CPO_BIO]</w:t>
      </w:r>
    </w:p>
    <w:p>
      <w:pPr>
        <w:pStyle w:val="Heading3"/>
      </w:pPr>
      <w:r>
        <w:rPr>
          <w:b/>
          <w:color w:val="2C3E50"/>
          <w:sz w:val="24"/>
        </w:rPr>
        <w:t>[GTM_NAME] — Head of Go-To-Market</w:t>
      </w:r>
    </w:p>
    <w:p>
      <w:pPr>
        <w:spacing w:after="160"/>
      </w:pPr>
      <w:r>
        <w:rPr>
          <w:b w:val="0"/>
          <w:i w:val="0"/>
          <w:sz w:val="22"/>
        </w:rPr>
        <w:t>[GTM_BIO]</w:t>
      </w:r>
    </w:p>
    <w:p>
      <w:pPr>
        <w:pStyle w:val="Heading2"/>
      </w:pPr>
      <w:r>
        <w:rPr>
          <w:b/>
          <w:color w:val="1F4788"/>
          <w:sz w:val="30"/>
        </w:rPr>
        <w:t>8.2 Why this team</w:t>
      </w:r>
    </w:p>
    <w:p>
      <w:pPr>
        <w:pStyle w:val="ListBullet"/>
        <w:spacing w:after="40"/>
        <w:ind w:left="360"/>
      </w:pPr>
      <w:r>
        <w:rPr>
          <w:sz w:val="22"/>
        </w:rPr>
        <w:t>Complementary skills (technical / pedagogical / commercial) — McKinsey-recommended 3-5 co-founder structure for high-growth startups</w:t>
      </w:r>
    </w:p>
    <w:p>
      <w:pPr>
        <w:pStyle w:val="ListBullet"/>
        <w:spacing w:after="40"/>
        <w:ind w:left="360"/>
      </w:pPr>
      <w:r>
        <w:rPr>
          <w:sz w:val="22"/>
        </w:rPr>
        <w:t>Signed Team Charter (March 2026, v3) — IP ownership, decision-making, and confidentiality formalized; reduces legal-risk discount investors apply to early teams</w:t>
      </w:r>
    </w:p>
    <w:p>
      <w:pPr>
        <w:pStyle w:val="ListBullet"/>
        <w:spacing w:after="40"/>
        <w:ind w:left="360"/>
      </w:pPr>
      <w:r>
        <w:rPr>
          <w:sz w:val="22"/>
        </w:rPr>
        <w:t>KAUST institutional credibility — KAUST is Saudi Arabia's flagship research university (Saudi Vision 2030 cornerstone) and provides access to KAUST School + NEOM Schools as pilot anchors</w:t>
      </w:r>
    </w:p>
    <w:p>
      <w:pPr>
        <w:pStyle w:val="Heading2"/>
      </w:pPr>
      <w:r>
        <w:rPr>
          <w:b/>
          <w:color w:val="1F4788"/>
          <w:sz w:val="30"/>
        </w:rPr>
        <w:t>8.3 Advisory board</w:t>
      </w:r>
    </w:p>
    <w:p>
      <w:pPr>
        <w:spacing w:after="160"/>
      </w:pPr>
      <w:r>
        <w:rPr>
          <w:b w:val="0"/>
          <w:i w:val="0"/>
          <w:sz w:val="22"/>
        </w:rPr>
        <w:t>We are actively building an advisory board with three target seats:</w:t>
      </w:r>
    </w:p>
    <w:p>
      <w:pPr>
        <w:pStyle w:val="ListBullet"/>
        <w:spacing w:after="40"/>
        <w:ind w:left="360"/>
      </w:pPr>
      <w:r>
        <w:rPr>
          <w:sz w:val="22"/>
        </w:rPr>
        <w:t>[ADVISOR_KAUST]</w:t>
      </w:r>
    </w:p>
    <w:p>
      <w:pPr>
        <w:pStyle w:val="ListBullet"/>
        <w:spacing w:after="40"/>
        <w:ind w:left="360"/>
      </w:pPr>
      <w:r>
        <w:rPr>
          <w:sz w:val="22"/>
        </w:rPr>
        <w:t>[ADVISOR_OPERATOR]</w:t>
      </w:r>
    </w:p>
    <w:p>
      <w:pPr>
        <w:pStyle w:val="ListBullet"/>
        <w:spacing w:after="40"/>
        <w:ind w:left="360"/>
      </w:pPr>
      <w:r>
        <w:rPr>
          <w:sz w:val="22"/>
        </w:rPr>
        <w:t>[ADVISOR_GCC]</w:t>
      </w:r>
    </w:p>
    <w:p>
      <w:pPr>
        <w:pStyle w:val="Heading2"/>
      </w:pPr>
      <w:r>
        <w:rPr>
          <w:b/>
          <w:color w:val="1F4788"/>
          <w:sz w:val="30"/>
        </w:rPr>
        <w:t>8.4 Hiring plan (first 5 hires post-seed)</w:t>
      </w:r>
    </w:p>
    <w:tbl>
      <w:tblPr>
        <w:tblStyle w:val="LightGrid-Accent1"/>
        <w:tblW w:type="auto" w:w="0"/>
        <w:jc w:val="center"/>
        <w:tblLook w:firstColumn="1" w:firstRow="1" w:lastColumn="0" w:lastRow="0" w:noHBand="0" w:noVBand="1" w:val="04A0"/>
      </w:tblPr>
      <w:tblGrid>
        <w:gridCol w:w="3264"/>
        <w:gridCol w:w="3264"/>
        <w:gridCol w:w="3264"/>
      </w:tblGrid>
      <w:tr>
        <w:tc>
          <w:tcPr>
            <w:tcW w:type="dxa" w:w="2880"/>
            <w:shd w:val="clear" w:color="auto" w:fill="1F4788"/>
          </w:tcPr>
          <w:p>
            <w:r/>
            <w:r>
              <w:rPr>
                <w:b/>
                <w:color w:val="FFFFFF"/>
                <w:sz w:val="20"/>
              </w:rPr>
              <w:t>Role</w:t>
            </w:r>
          </w:p>
        </w:tc>
        <w:tc>
          <w:tcPr>
            <w:tcW w:type="dxa" w:w="1728"/>
            <w:shd w:val="clear" w:color="auto" w:fill="1F4788"/>
          </w:tcPr>
          <w:p>
            <w:r/>
            <w:r>
              <w:rPr>
                <w:b/>
                <w:color w:val="FFFFFF"/>
                <w:sz w:val="20"/>
              </w:rPr>
              <w:t>Timing</w:t>
            </w:r>
          </w:p>
        </w:tc>
        <w:tc>
          <w:tcPr>
            <w:tcW w:type="dxa" w:w="5040"/>
            <w:shd w:val="clear" w:color="auto" w:fill="1F4788"/>
          </w:tcPr>
          <w:p>
            <w:r/>
            <w:r>
              <w:rPr>
                <w:b/>
                <w:color w:val="FFFFFF"/>
                <w:sz w:val="20"/>
              </w:rPr>
              <w:t>Why first</w:t>
            </w:r>
          </w:p>
        </w:tc>
      </w:tr>
      <w:tr>
        <w:tc>
          <w:tcPr>
            <w:tcW w:type="dxa" w:w="2880"/>
          </w:tcPr>
          <w:p>
            <w:r/>
            <w:r>
              <w:rPr>
                <w:sz w:val="20"/>
              </w:rPr>
              <w:t>Senior full-stack engineer</w:t>
            </w:r>
          </w:p>
        </w:tc>
        <w:tc>
          <w:tcPr>
            <w:tcW w:type="dxa" w:w="1728"/>
          </w:tcPr>
          <w:p>
            <w:r/>
            <w:r>
              <w:rPr>
                <w:sz w:val="20"/>
              </w:rPr>
              <w:t>Month 1-2</w:t>
            </w:r>
          </w:p>
        </w:tc>
        <w:tc>
          <w:tcPr>
            <w:tcW w:type="dxa" w:w="5040"/>
          </w:tcPr>
          <w:p>
            <w:r/>
            <w:r>
              <w:rPr>
                <w:sz w:val="20"/>
              </w:rPr>
              <w:t>Increase shipping velocity; ECD model pipeline</w:t>
            </w:r>
          </w:p>
        </w:tc>
      </w:tr>
      <w:tr>
        <w:tc>
          <w:tcPr>
            <w:tcW w:type="dxa" w:w="2880"/>
          </w:tcPr>
          <w:p>
            <w:r/>
            <w:r>
              <w:rPr>
                <w:sz w:val="20"/>
              </w:rPr>
              <w:t>Game designer + curriculum mapper</w:t>
            </w:r>
          </w:p>
        </w:tc>
        <w:tc>
          <w:tcPr>
            <w:tcW w:type="dxa" w:w="1728"/>
          </w:tcPr>
          <w:p>
            <w:r/>
            <w:r>
              <w:rPr>
                <w:sz w:val="20"/>
              </w:rPr>
              <w:t>Month 2-3</w:t>
            </w:r>
          </w:p>
        </w:tc>
        <w:tc>
          <w:tcPr>
            <w:tcW w:type="dxa" w:w="5040"/>
          </w:tcPr>
          <w:p>
            <w:r/>
            <w:r>
              <w:rPr>
                <w:sz w:val="20"/>
              </w:rPr>
              <w:t>Convert pilot feedback into shipped features</w:t>
            </w:r>
          </w:p>
        </w:tc>
      </w:tr>
      <w:tr>
        <w:tc>
          <w:tcPr>
            <w:tcW w:type="dxa" w:w="2880"/>
          </w:tcPr>
          <w:p>
            <w:r/>
            <w:r>
              <w:rPr>
                <w:sz w:val="20"/>
              </w:rPr>
              <w:t>School BD / SDR</w:t>
            </w:r>
          </w:p>
        </w:tc>
        <w:tc>
          <w:tcPr>
            <w:tcW w:type="dxa" w:w="1728"/>
          </w:tcPr>
          <w:p>
            <w:r/>
            <w:r>
              <w:rPr>
                <w:sz w:val="20"/>
              </w:rPr>
              <w:t>Month 4-6</w:t>
            </w:r>
          </w:p>
        </w:tc>
        <w:tc>
          <w:tcPr>
            <w:tcW w:type="dxa" w:w="5040"/>
          </w:tcPr>
          <w:p>
            <w:r/>
            <w:r>
              <w:rPr>
                <w:sz w:val="20"/>
              </w:rPr>
              <w:t>Expand from founder-led GCC outreach to systematic pipeline</w:t>
            </w:r>
          </w:p>
        </w:tc>
      </w:tr>
      <w:tr>
        <w:tc>
          <w:tcPr>
            <w:tcW w:type="dxa" w:w="2880"/>
          </w:tcPr>
          <w:p>
            <w:r/>
            <w:r>
              <w:rPr>
                <w:sz w:val="20"/>
              </w:rPr>
              <w:t>Customer success specialist</w:t>
            </w:r>
          </w:p>
        </w:tc>
        <w:tc>
          <w:tcPr>
            <w:tcW w:type="dxa" w:w="1728"/>
          </w:tcPr>
          <w:p>
            <w:r/>
            <w:r>
              <w:rPr>
                <w:sz w:val="20"/>
              </w:rPr>
              <w:t>Month 6-9</w:t>
            </w:r>
          </w:p>
        </w:tc>
        <w:tc>
          <w:tcPr>
            <w:tcW w:type="dxa" w:w="5040"/>
          </w:tcPr>
          <w:p>
            <w:r/>
            <w:r>
              <w:rPr>
                <w:sz w:val="20"/>
              </w:rPr>
              <w:t>Manage 15+ paid schools through renewal cycle</w:t>
            </w:r>
          </w:p>
        </w:tc>
      </w:tr>
      <w:tr>
        <w:tc>
          <w:tcPr>
            <w:tcW w:type="dxa" w:w="2880"/>
          </w:tcPr>
          <w:p>
            <w:r/>
            <w:r>
              <w:rPr>
                <w:sz w:val="20"/>
              </w:rPr>
              <w:t>Data / ML engineer</w:t>
            </w:r>
          </w:p>
        </w:tc>
        <w:tc>
          <w:tcPr>
            <w:tcW w:type="dxa" w:w="1728"/>
          </w:tcPr>
          <w:p>
            <w:r/>
            <w:r>
              <w:rPr>
                <w:sz w:val="20"/>
              </w:rPr>
              <w:t>Month 9-12</w:t>
            </w:r>
          </w:p>
        </w:tc>
        <w:tc>
          <w:tcPr>
            <w:tcW w:type="dxa" w:w="5040"/>
          </w:tcPr>
          <w:p>
            <w:r/>
            <w:r>
              <w:rPr>
                <w:sz w:val="20"/>
              </w:rPr>
              <w:t>BKT model tuning, at-risk prediction, content recommendation</w:t>
            </w:r>
          </w:p>
        </w:tc>
      </w:tr>
    </w:tbl>
    <w:p/>
    <w:p>
      <w:r>
        <w:br w:type="page"/>
      </w:r>
    </w:p>
    <w:p>
      <w:pPr>
        <w:pStyle w:val="Heading1"/>
      </w:pPr>
      <w:r>
        <w:rPr>
          <w:b/>
          <w:color w:val="1F4788"/>
          <w:sz w:val="44"/>
        </w:rPr>
        <w:t>9. Traction &amp; Milestones</w:t>
      </w:r>
    </w:p>
    <w:p>
      <w:pPr>
        <w:pStyle w:val="Heading2"/>
      </w:pPr>
      <w:r>
        <w:rPr>
          <w:b/>
          <w:color w:val="1F4788"/>
          <w:sz w:val="30"/>
        </w:rPr>
        <w:t>9.1 What's done as of May 2026</w:t>
      </w:r>
    </w:p>
    <w:p>
      <w:pPr>
        <w:pStyle w:val="ListBullet"/>
        <w:spacing w:after="40"/>
        <w:ind w:left="360"/>
      </w:pPr>
      <w:r>
        <w:rPr>
          <w:sz w:val="22"/>
        </w:rPr>
        <w:t>5 live playable games — Pulse Realms (3v3 arena), Concept Cascade (tower defense), Knowledge Quest (turn-based RPG), Lab Explorer (virtual science lab), Survival Equation (cooperative puzzle)</w:t>
      </w:r>
    </w:p>
    <w:p>
      <w:pPr>
        <w:pStyle w:val="ListBullet"/>
        <w:spacing w:after="40"/>
        <w:ind w:left="360"/>
      </w:pPr>
      <w:r>
        <w:rPr>
          <w:sz w:val="22"/>
        </w:rPr>
        <w:t>~43,000 lines of code in the public GitHub repo; ~190 source files across the 5 games + shared analytics framework</w:t>
      </w:r>
    </w:p>
    <w:p>
      <w:pPr>
        <w:pStyle w:val="ListBullet"/>
        <w:spacing w:after="40"/>
        <w:ind w:left="360"/>
      </w:pPr>
      <w:r>
        <w:rPr>
          <w:sz w:val="22"/>
        </w:rPr>
        <w:t>440 questions across 10 JSON banks covering math, science, chemistry, physics, applied STEM, and SEL</w:t>
      </w:r>
    </w:p>
    <w:p>
      <w:pPr>
        <w:pStyle w:val="ListBullet"/>
        <w:spacing w:after="40"/>
        <w:ind w:left="360"/>
      </w:pPr>
      <w:r>
        <w:rPr>
          <w:sz w:val="22"/>
        </w:rPr>
        <w:t>90,593 telemetry events captured to validate the pipeline end-to-end. We are honest about composition: the bulk of these are bot-driven Puppeteer playthroughs (used to stress-test the analytics pipeline and reach 10K events per game); human playthrough data is [HUMAN_TELEMETRY_COUNT]. A Series-A gating metric is real-classroom retained-student data (n ≥ 30) from a Phase-1 pilot — verifiable in the repo at reports/sample-telemetry/*.csv</w:t>
      </w:r>
    </w:p>
    <w:p>
      <w:pPr>
        <w:pStyle w:val="ListBullet"/>
        <w:spacing w:after="40"/>
        <w:ind w:left="360"/>
      </w:pPr>
      <w:r>
        <w:rPr>
          <w:sz w:val="22"/>
        </w:rPr>
        <w:t>Public Railway demo URL (one-click deploy) so any investor can play any game in under 2 minutes</w:t>
      </w:r>
    </w:p>
    <w:p>
      <w:pPr>
        <w:pStyle w:val="ListBullet"/>
        <w:spacing w:after="40"/>
        <w:ind w:left="360"/>
      </w:pPr>
      <w:r>
        <w:rPr>
          <w:sz w:val="22"/>
        </w:rPr>
        <w:t>5 promotional video clips (one per game) at 1280×720, h.264</w:t>
      </w:r>
    </w:p>
    <w:p>
      <w:pPr>
        <w:pStyle w:val="ListBullet"/>
        <w:spacing w:after="40"/>
        <w:ind w:left="360"/>
      </w:pPr>
      <w:r>
        <w:rPr>
          <w:sz w:val="22"/>
        </w:rPr>
        <w:t>Live ECD profile viewer (debug mode) demonstrating real-time student analytics during gameplay — unique among EdTech demos</w:t>
      </w:r>
    </w:p>
    <w:p>
      <w:pPr>
        <w:pStyle w:val="ListBullet"/>
        <w:spacing w:after="40"/>
        <w:ind w:left="360"/>
      </w:pPr>
      <w:r>
        <w:rPr>
          <w:sz w:val="22"/>
        </w:rPr>
        <w:t>Signed Team Charter v3 (March 2026) and Architecture Decision Record 001 documenting key tech choices</w:t>
      </w:r>
    </w:p>
    <w:p>
      <w:pPr>
        <w:pStyle w:val="ListBullet"/>
        <w:spacing w:after="40"/>
        <w:ind w:left="360"/>
      </w:pPr>
      <w:r>
        <w:rPr>
          <w:sz w:val="22"/>
        </w:rPr>
        <w:t>Business Model Canvas + financial model (5-year P&amp;L + scenarios) — internal rigor matching investor-grade</w:t>
      </w:r>
    </w:p>
    <w:p>
      <w:pPr>
        <w:pStyle w:val="Heading2"/>
      </w:pPr>
      <w:r>
        <w:rPr>
          <w:b/>
          <w:color w:val="1F4788"/>
          <w:sz w:val="30"/>
        </w:rPr>
        <w:t>9.2 24-month roadmap to Series A</w:t>
      </w:r>
    </w:p>
    <w:p>
      <w:pPr>
        <w:jc w:val="center"/>
      </w:pPr>
      <w:r>
        <w:drawing>
          <wp:inline xmlns:a="http://schemas.openxmlformats.org/drawingml/2006/main" xmlns:pic="http://schemas.openxmlformats.org/drawingml/2006/picture">
            <wp:extent cx="5943600" cy="3224588"/>
            <wp:docPr id="11" name="Picture 11"/>
            <wp:cNvGraphicFramePr>
              <a:graphicFrameLocks noChangeAspect="1"/>
            </wp:cNvGraphicFramePr>
            <a:graphic>
              <a:graphicData uri="http://schemas.openxmlformats.org/drawingml/2006/picture">
                <pic:pic>
                  <pic:nvPicPr>
                    <pic:cNvPr id="0" name="figure_09_roadmap_gantt.png"/>
                    <pic:cNvPicPr/>
                  </pic:nvPicPr>
                  <pic:blipFill>
                    <a:blip r:embed="rId19"/>
                    <a:stretch>
                      <a:fillRect/>
                    </a:stretch>
                  </pic:blipFill>
                  <pic:spPr>
                    <a:xfrm>
                      <a:off x="0" y="0"/>
                      <a:ext cx="5943600" cy="3224588"/>
                    </a:xfrm>
                    <a:prstGeom prst="rect"/>
                  </pic:spPr>
                </pic:pic>
              </a:graphicData>
            </a:graphic>
          </wp:inline>
        </w:drawing>
      </w:r>
    </w:p>
    <w:p>
      <w:pPr>
        <w:spacing w:after="240"/>
        <w:jc w:val="center"/>
      </w:pPr>
      <w:r>
        <w:rPr>
          <w:i/>
          <w:color w:val="888888"/>
          <w:sz w:val="18"/>
        </w:rPr>
        <w:t>Figure 11. 24-month roadmap from seed close to Series A inflection. Series A target: month 24, $5-8M raise.</w:t>
      </w:r>
    </w:p>
    <w:p>
      <w:pPr>
        <w:pStyle w:val="Heading2"/>
      </w:pPr>
      <w:r>
        <w:rPr>
          <w:b/>
          <w:color w:val="1F4788"/>
          <w:sz w:val="30"/>
        </w:rPr>
        <w:t>9.3 Key milestones and success metrics</w:t>
      </w:r>
    </w:p>
    <w:tbl>
      <w:tblPr>
        <w:tblStyle w:val="LightGrid-Accent1"/>
        <w:tblW w:type="auto" w:w="0"/>
        <w:jc w:val="center"/>
        <w:tblLook w:firstColumn="1" w:firstRow="1" w:lastColumn="0" w:lastRow="0" w:noHBand="0" w:noVBand="1" w:val="04A0"/>
      </w:tblPr>
      <w:tblGrid>
        <w:gridCol w:w="3264"/>
        <w:gridCol w:w="3264"/>
        <w:gridCol w:w="3264"/>
      </w:tblGrid>
      <w:tr>
        <w:tc>
          <w:tcPr>
            <w:tcW w:type="dxa" w:w="1296"/>
            <w:shd w:val="clear" w:color="auto" w:fill="1F4788"/>
          </w:tcPr>
          <w:p>
            <w:r/>
            <w:r>
              <w:rPr>
                <w:b/>
                <w:color w:val="FFFFFF"/>
                <w:sz w:val="20"/>
              </w:rPr>
              <w:t>Quarter</w:t>
            </w:r>
          </w:p>
        </w:tc>
        <w:tc>
          <w:tcPr>
            <w:tcW w:type="dxa" w:w="3600"/>
            <w:shd w:val="clear" w:color="auto" w:fill="1F4788"/>
          </w:tcPr>
          <w:p>
            <w:r/>
            <w:r>
              <w:rPr>
                <w:b/>
                <w:color w:val="FFFFFF"/>
                <w:sz w:val="20"/>
              </w:rPr>
              <w:t>Milestone</w:t>
            </w:r>
          </w:p>
        </w:tc>
        <w:tc>
          <w:tcPr>
            <w:tcW w:type="dxa" w:w="4320"/>
            <w:shd w:val="clear" w:color="auto" w:fill="1F4788"/>
          </w:tcPr>
          <w:p>
            <w:r/>
            <w:r>
              <w:rPr>
                <w:b/>
                <w:color w:val="FFFFFF"/>
                <w:sz w:val="20"/>
              </w:rPr>
              <w:t>Success metric</w:t>
            </w:r>
          </w:p>
        </w:tc>
      </w:tr>
      <w:tr>
        <w:tc>
          <w:tcPr>
            <w:tcW w:type="dxa" w:w="1296"/>
          </w:tcPr>
          <w:p>
            <w:r/>
            <w:r>
              <w:rPr>
                <w:sz w:val="20"/>
              </w:rPr>
              <w:t>Q3 2026</w:t>
            </w:r>
          </w:p>
        </w:tc>
        <w:tc>
          <w:tcPr>
            <w:tcW w:type="dxa" w:w="3600"/>
          </w:tcPr>
          <w:p>
            <w:r/>
            <w:r>
              <w:rPr>
                <w:sz w:val="20"/>
              </w:rPr>
              <w:t>Seed close + first hires</w:t>
            </w:r>
          </w:p>
        </w:tc>
        <w:tc>
          <w:tcPr>
            <w:tcW w:type="dxa" w:w="4320"/>
          </w:tcPr>
          <w:p>
            <w:r/>
            <w:r>
              <w:rPr>
                <w:sz w:val="20"/>
              </w:rPr>
              <w:t>$500K closed; 3 new engineers + 1 designer onboarded</w:t>
            </w:r>
          </w:p>
        </w:tc>
      </w:tr>
      <w:tr>
        <w:tc>
          <w:tcPr>
            <w:tcW w:type="dxa" w:w="1296"/>
          </w:tcPr>
          <w:p>
            <w:r/>
            <w:r>
              <w:rPr>
                <w:sz w:val="20"/>
              </w:rPr>
              <w:t>Q4 2026</w:t>
            </w:r>
          </w:p>
        </w:tc>
        <w:tc>
          <w:tcPr>
            <w:tcW w:type="dxa" w:w="3600"/>
          </w:tcPr>
          <w:p>
            <w:r/>
            <w:r>
              <w:rPr>
                <w:sz w:val="20"/>
              </w:rPr>
              <w:t>KAUST + NEOM pilot launches</w:t>
            </w:r>
          </w:p>
        </w:tc>
        <w:tc>
          <w:tcPr>
            <w:tcW w:type="dxa" w:w="4320"/>
          </w:tcPr>
          <w:p>
            <w:r/>
            <w:r>
              <w:rPr>
                <w:sz w:val="20"/>
              </w:rPr>
              <w:t>3-5 active pilots; weekly feedback cadence</w:t>
            </w:r>
          </w:p>
        </w:tc>
      </w:tr>
      <w:tr>
        <w:tc>
          <w:tcPr>
            <w:tcW w:type="dxa" w:w="1296"/>
          </w:tcPr>
          <w:p>
            <w:r/>
            <w:r>
              <w:rPr>
                <w:sz w:val="20"/>
              </w:rPr>
              <w:t>Q1 2027</w:t>
            </w:r>
          </w:p>
        </w:tc>
        <w:tc>
          <w:tcPr>
            <w:tcW w:type="dxa" w:w="3600"/>
          </w:tcPr>
          <w:p>
            <w:r/>
            <w:r>
              <w:rPr>
                <w:sz w:val="20"/>
              </w:rPr>
              <w:t>First paid school licenses</w:t>
            </w:r>
          </w:p>
        </w:tc>
        <w:tc>
          <w:tcPr>
            <w:tcW w:type="dxa" w:w="4320"/>
          </w:tcPr>
          <w:p>
            <w:r/>
            <w:r>
              <w:rPr>
                <w:sz w:val="20"/>
              </w:rPr>
              <w:t>5 paid licenses; $30K cumulative ARR</w:t>
            </w:r>
          </w:p>
        </w:tc>
      </w:tr>
      <w:tr>
        <w:tc>
          <w:tcPr>
            <w:tcW w:type="dxa" w:w="1296"/>
          </w:tcPr>
          <w:p>
            <w:r/>
            <w:r>
              <w:rPr>
                <w:sz w:val="20"/>
              </w:rPr>
              <w:t>Q2 2027</w:t>
            </w:r>
          </w:p>
        </w:tc>
        <w:tc>
          <w:tcPr>
            <w:tcW w:type="dxa" w:w="3600"/>
          </w:tcPr>
          <w:p>
            <w:r/>
            <w:r>
              <w:rPr>
                <w:sz w:val="20"/>
              </w:rPr>
              <w:t>GCC private pilot expansion + Teacher PLG launch</w:t>
            </w:r>
          </w:p>
        </w:tc>
        <w:tc>
          <w:tcPr>
            <w:tcW w:type="dxa" w:w="4320"/>
          </w:tcPr>
          <w:p>
            <w:r/>
            <w:r>
              <w:rPr>
                <w:sz w:val="20"/>
              </w:rPr>
              <w:t>12 pilots running; 500 free teachers signed</w:t>
            </w:r>
          </w:p>
        </w:tc>
      </w:tr>
      <w:tr>
        <w:tc>
          <w:tcPr>
            <w:tcW w:type="dxa" w:w="1296"/>
          </w:tcPr>
          <w:p>
            <w:r/>
            <w:r>
              <w:rPr>
                <w:sz w:val="20"/>
              </w:rPr>
              <w:t>Q3 2027</w:t>
            </w:r>
          </w:p>
        </w:tc>
        <w:tc>
          <w:tcPr>
            <w:tcW w:type="dxa" w:w="3600"/>
          </w:tcPr>
          <w:p>
            <w:r/>
            <w:r>
              <w:rPr>
                <w:sz w:val="20"/>
              </w:rPr>
              <w:t>Clever + Google Classroom integrations live</w:t>
            </w:r>
          </w:p>
        </w:tc>
        <w:tc>
          <w:tcPr>
            <w:tcW w:type="dxa" w:w="4320"/>
          </w:tcPr>
          <w:p>
            <w:r/>
            <w:r>
              <w:rPr>
                <w:sz w:val="20"/>
              </w:rPr>
              <w:t>Integration certifications; first US districts in pipeline</w:t>
            </w:r>
          </w:p>
        </w:tc>
      </w:tr>
      <w:tr>
        <w:tc>
          <w:tcPr>
            <w:tcW w:type="dxa" w:w="1296"/>
          </w:tcPr>
          <w:p>
            <w:r/>
            <w:r>
              <w:rPr>
                <w:sz w:val="20"/>
              </w:rPr>
              <w:t>Q4 2027</w:t>
            </w:r>
          </w:p>
        </w:tc>
        <w:tc>
          <w:tcPr>
            <w:tcW w:type="dxa" w:w="3600"/>
          </w:tcPr>
          <w:p>
            <w:r/>
            <w:r>
              <w:rPr>
                <w:sz w:val="20"/>
              </w:rPr>
              <w:t>University efficacy study (IRB-approved)</w:t>
            </w:r>
          </w:p>
        </w:tc>
        <w:tc>
          <w:tcPr>
            <w:tcW w:type="dxa" w:w="4320"/>
          </w:tcPr>
          <w:p>
            <w:r/>
            <w:r>
              <w:rPr>
                <w:sz w:val="20"/>
              </w:rPr>
              <w:t>100+ student cohort enrolled; pre/post measures collected</w:t>
            </w:r>
          </w:p>
        </w:tc>
      </w:tr>
      <w:tr>
        <w:tc>
          <w:tcPr>
            <w:tcW w:type="dxa" w:w="1296"/>
          </w:tcPr>
          <w:p>
            <w:r/>
            <w:r>
              <w:rPr>
                <w:sz w:val="20"/>
              </w:rPr>
              <w:t>Q1 2028</w:t>
            </w:r>
          </w:p>
        </w:tc>
        <w:tc>
          <w:tcPr>
            <w:tcW w:type="dxa" w:w="3600"/>
          </w:tcPr>
          <w:p>
            <w:r/>
            <w:r>
              <w:rPr>
                <w:sz w:val="20"/>
              </w:rPr>
              <w:t>$1M+ ARR run-rate</w:t>
            </w:r>
          </w:p>
        </w:tc>
        <w:tc>
          <w:tcPr>
            <w:tcW w:type="dxa" w:w="4320"/>
          </w:tcPr>
          <w:p>
            <w:r/>
            <w:r>
              <w:rPr>
                <w:sz w:val="20"/>
              </w:rPr>
              <w:t>ARR run-rate crossed; 30+ paid schools</w:t>
            </w:r>
          </w:p>
        </w:tc>
      </w:tr>
      <w:tr>
        <w:tc>
          <w:tcPr>
            <w:tcW w:type="dxa" w:w="1296"/>
          </w:tcPr>
          <w:p>
            <w:r/>
            <w:r>
              <w:rPr>
                <w:sz w:val="20"/>
              </w:rPr>
              <w:t>Q2 2028</w:t>
            </w:r>
          </w:p>
        </w:tc>
        <w:tc>
          <w:tcPr>
            <w:tcW w:type="dxa" w:w="3600"/>
          </w:tcPr>
          <w:p>
            <w:r/>
            <w:r>
              <w:rPr>
                <w:sz w:val="20"/>
              </w:rPr>
              <w:t>Series A close</w:t>
            </w:r>
          </w:p>
        </w:tc>
        <w:tc>
          <w:tcPr>
            <w:tcW w:type="dxa" w:w="4320"/>
          </w:tcPr>
          <w:p>
            <w:r/>
            <w:r>
              <w:rPr>
                <w:sz w:val="20"/>
              </w:rPr>
              <w:t>$5-8M Series A at $35-45M post-money</w:t>
            </w:r>
          </w:p>
        </w:tc>
      </w:tr>
    </w:tbl>
    <w:p/>
    <w:p>
      <w:r>
        <w:br w:type="page"/>
      </w:r>
    </w:p>
    <w:p>
      <w:pPr>
        <w:pStyle w:val="Heading1"/>
      </w:pPr>
      <w:r>
        <w:rPr>
          <w:b/>
          <w:color w:val="1F4788"/>
          <w:sz w:val="44"/>
        </w:rPr>
        <w:t>10. Financial Plan &amp; Investor Returns</w:t>
      </w:r>
    </w:p>
    <w:p>
      <w:pPr>
        <w:spacing w:after="160"/>
        <w:jc w:val="both"/>
      </w:pPr>
      <w:r>
        <w:rPr>
          <w:b w:val="0"/>
          <w:i/>
          <w:color w:val="888888"/>
          <w:sz w:val="22"/>
        </w:rPr>
        <w:t>Note on framing: this section underwrites returns at honest May-2026 EdTech revenue multiples (4-8× ARR), not the 11-26× peak-cycle comps from 2021. We pitch base case as an honest 3-4× seed return and bull case as a 10× upside path — not a fictional 10× base case. Reviewers and investors uniformly prefer the former.</w:t>
      </w:r>
    </w:p>
    <w:p>
      <w:pPr>
        <w:pStyle w:val="Heading2"/>
      </w:pPr>
      <w:r>
        <w:rPr>
          <w:b/>
          <w:color w:val="1F4788"/>
          <w:sz w:val="30"/>
        </w:rPr>
        <w:t>10.1 5-year P&amp;L</w:t>
      </w:r>
    </w:p>
    <w:tbl>
      <w:tblPr>
        <w:tblStyle w:val="LightGrid-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2880"/>
            <w:shd w:val="clear" w:color="auto" w:fill="1F4788"/>
          </w:tcPr>
          <w:p>
            <w:r/>
            <w:r>
              <w:rPr>
                <w:b/>
                <w:color w:val="FFFFFF"/>
                <w:sz w:val="20"/>
              </w:rPr>
            </w:r>
          </w:p>
        </w:tc>
        <w:tc>
          <w:tcPr>
            <w:tcW w:type="dxa" w:w="1440"/>
            <w:shd w:val="clear" w:color="auto" w:fill="1F4788"/>
          </w:tcPr>
          <w:p>
            <w:r/>
            <w:r>
              <w:rPr>
                <w:b/>
                <w:color w:val="FFFFFF"/>
                <w:sz w:val="20"/>
              </w:rPr>
              <w:t>Year 1</w:t>
            </w:r>
          </w:p>
        </w:tc>
        <w:tc>
          <w:tcPr>
            <w:tcW w:type="dxa" w:w="1440"/>
            <w:shd w:val="clear" w:color="auto" w:fill="1F4788"/>
          </w:tcPr>
          <w:p>
            <w:r/>
            <w:r>
              <w:rPr>
                <w:b/>
                <w:color w:val="FFFFFF"/>
                <w:sz w:val="20"/>
              </w:rPr>
              <w:t>Year 2</w:t>
            </w:r>
          </w:p>
        </w:tc>
        <w:tc>
          <w:tcPr>
            <w:tcW w:type="dxa" w:w="1440"/>
            <w:shd w:val="clear" w:color="auto" w:fill="1F4788"/>
          </w:tcPr>
          <w:p>
            <w:r/>
            <w:r>
              <w:rPr>
                <w:b/>
                <w:color w:val="FFFFFF"/>
                <w:sz w:val="20"/>
              </w:rPr>
              <w:t>Year 3</w:t>
            </w:r>
          </w:p>
        </w:tc>
        <w:tc>
          <w:tcPr>
            <w:tcW w:type="dxa" w:w="1440"/>
            <w:shd w:val="clear" w:color="auto" w:fill="1F4788"/>
          </w:tcPr>
          <w:p>
            <w:r/>
            <w:r>
              <w:rPr>
                <w:b/>
                <w:color w:val="FFFFFF"/>
                <w:sz w:val="20"/>
              </w:rPr>
              <w:t>Year 4</w:t>
            </w:r>
          </w:p>
        </w:tc>
        <w:tc>
          <w:tcPr>
            <w:tcW w:type="dxa" w:w="1440"/>
            <w:shd w:val="clear" w:color="auto" w:fill="1F4788"/>
          </w:tcPr>
          <w:p>
            <w:r/>
            <w:r>
              <w:rPr>
                <w:b/>
                <w:color w:val="FFFFFF"/>
                <w:sz w:val="20"/>
              </w:rPr>
              <w:t>Year 5</w:t>
            </w:r>
          </w:p>
        </w:tc>
      </w:tr>
      <w:tr>
        <w:tc>
          <w:tcPr>
            <w:tcW w:type="dxa" w:w="2880"/>
          </w:tcPr>
          <w:p>
            <w:r/>
            <w:r>
              <w:rPr>
                <w:sz w:val="20"/>
              </w:rPr>
              <w:t>Revenue (ARR)</w:t>
            </w:r>
          </w:p>
        </w:tc>
        <w:tc>
          <w:tcPr>
            <w:tcW w:type="dxa" w:w="1440"/>
          </w:tcPr>
          <w:p>
            <w:r/>
            <w:r>
              <w:rPr>
                <w:sz w:val="20"/>
              </w:rPr>
              <w:t>$195K</w:t>
            </w:r>
          </w:p>
        </w:tc>
        <w:tc>
          <w:tcPr>
            <w:tcW w:type="dxa" w:w="1440"/>
          </w:tcPr>
          <w:p>
            <w:r/>
            <w:r>
              <w:rPr>
                <w:sz w:val="20"/>
              </w:rPr>
              <w:t>$566K</w:t>
            </w:r>
          </w:p>
        </w:tc>
        <w:tc>
          <w:tcPr>
            <w:tcW w:type="dxa" w:w="1440"/>
          </w:tcPr>
          <w:p>
            <w:r/>
            <w:r>
              <w:rPr>
                <w:sz w:val="20"/>
              </w:rPr>
              <w:t>$1.54M</w:t>
            </w:r>
          </w:p>
        </w:tc>
        <w:tc>
          <w:tcPr>
            <w:tcW w:type="dxa" w:w="1440"/>
          </w:tcPr>
          <w:p>
            <w:r/>
            <w:r>
              <w:rPr>
                <w:sz w:val="20"/>
              </w:rPr>
              <w:t>$2.93M</w:t>
            </w:r>
          </w:p>
        </w:tc>
        <w:tc>
          <w:tcPr>
            <w:tcW w:type="dxa" w:w="1440"/>
          </w:tcPr>
          <w:p>
            <w:r/>
            <w:r>
              <w:rPr>
                <w:sz w:val="20"/>
              </w:rPr>
              <w:t>$4.96M</w:t>
            </w:r>
          </w:p>
        </w:tc>
      </w:tr>
      <w:tr>
        <w:tc>
          <w:tcPr>
            <w:tcW w:type="dxa" w:w="2880"/>
          </w:tcPr>
          <w:p>
            <w:r/>
            <w:r>
              <w:rPr>
                <w:sz w:val="20"/>
              </w:rPr>
              <w:t>Costs</w:t>
            </w:r>
          </w:p>
        </w:tc>
        <w:tc>
          <w:tcPr>
            <w:tcW w:type="dxa" w:w="1440"/>
          </w:tcPr>
          <w:p>
            <w:r/>
            <w:r>
              <w:rPr>
                <w:sz w:val="20"/>
              </w:rPr>
              <w:t>$640K</w:t>
            </w:r>
          </w:p>
        </w:tc>
        <w:tc>
          <w:tcPr>
            <w:tcW w:type="dxa" w:w="1440"/>
          </w:tcPr>
          <w:p>
            <w:r/>
            <w:r>
              <w:rPr>
                <w:sz w:val="20"/>
              </w:rPr>
              <w:t>$1.48M</w:t>
            </w:r>
          </w:p>
        </w:tc>
        <w:tc>
          <w:tcPr>
            <w:tcW w:type="dxa" w:w="1440"/>
          </w:tcPr>
          <w:p>
            <w:r/>
            <w:r>
              <w:rPr>
                <w:sz w:val="20"/>
              </w:rPr>
              <w:t>$2.78M</w:t>
            </w:r>
          </w:p>
        </w:tc>
        <w:tc>
          <w:tcPr>
            <w:tcW w:type="dxa" w:w="1440"/>
          </w:tcPr>
          <w:p>
            <w:r/>
            <w:r>
              <w:rPr>
                <w:sz w:val="20"/>
              </w:rPr>
              <w:t>$4.81M</w:t>
            </w:r>
          </w:p>
        </w:tc>
        <w:tc>
          <w:tcPr>
            <w:tcW w:type="dxa" w:w="1440"/>
          </w:tcPr>
          <w:p>
            <w:r/>
            <w:r>
              <w:rPr>
                <w:sz w:val="20"/>
              </w:rPr>
              <w:t>$6.95M</w:t>
            </w:r>
          </w:p>
        </w:tc>
      </w:tr>
      <w:tr>
        <w:tc>
          <w:tcPr>
            <w:tcW w:type="dxa" w:w="2880"/>
          </w:tcPr>
          <w:p>
            <w:r/>
            <w:r>
              <w:rPr>
                <w:sz w:val="20"/>
              </w:rPr>
              <w:t>EBITDA</w:t>
            </w:r>
          </w:p>
        </w:tc>
        <w:tc>
          <w:tcPr>
            <w:tcW w:type="dxa" w:w="1440"/>
          </w:tcPr>
          <w:p>
            <w:r/>
            <w:r>
              <w:rPr>
                <w:sz w:val="20"/>
              </w:rPr>
              <w:t>-$445K</w:t>
            </w:r>
          </w:p>
        </w:tc>
        <w:tc>
          <w:tcPr>
            <w:tcW w:type="dxa" w:w="1440"/>
          </w:tcPr>
          <w:p>
            <w:r/>
            <w:r>
              <w:rPr>
                <w:sz w:val="20"/>
              </w:rPr>
              <w:t>-$914K</w:t>
            </w:r>
          </w:p>
        </w:tc>
        <w:tc>
          <w:tcPr>
            <w:tcW w:type="dxa" w:w="1440"/>
          </w:tcPr>
          <w:p>
            <w:r/>
            <w:r>
              <w:rPr>
                <w:sz w:val="20"/>
              </w:rPr>
              <w:t>-$1.24M</w:t>
            </w:r>
          </w:p>
        </w:tc>
        <w:tc>
          <w:tcPr>
            <w:tcW w:type="dxa" w:w="1440"/>
          </w:tcPr>
          <w:p>
            <w:r/>
            <w:r>
              <w:rPr>
                <w:sz w:val="20"/>
              </w:rPr>
              <w:t>-$1.88M</w:t>
            </w:r>
          </w:p>
        </w:tc>
        <w:tc>
          <w:tcPr>
            <w:tcW w:type="dxa" w:w="1440"/>
          </w:tcPr>
          <w:p>
            <w:r/>
            <w:r>
              <w:rPr>
                <w:sz w:val="20"/>
              </w:rPr>
              <w:t>-$1.99M</w:t>
            </w:r>
          </w:p>
        </w:tc>
      </w:tr>
      <w:tr>
        <w:tc>
          <w:tcPr>
            <w:tcW w:type="dxa" w:w="2880"/>
          </w:tcPr>
          <w:p>
            <w:r/>
            <w:r>
              <w:rPr>
                <w:sz w:val="20"/>
              </w:rPr>
              <w:t>Operating margin</w:t>
            </w:r>
          </w:p>
        </w:tc>
        <w:tc>
          <w:tcPr>
            <w:tcW w:type="dxa" w:w="1440"/>
          </w:tcPr>
          <w:p>
            <w:r/>
            <w:r>
              <w:rPr>
                <w:sz w:val="20"/>
              </w:rPr>
              <w:t>-228.2%</w:t>
            </w:r>
          </w:p>
        </w:tc>
        <w:tc>
          <w:tcPr>
            <w:tcW w:type="dxa" w:w="1440"/>
          </w:tcPr>
          <w:p>
            <w:r/>
            <w:r>
              <w:rPr>
                <w:sz w:val="20"/>
              </w:rPr>
              <w:t>-161.7%</w:t>
            </w:r>
          </w:p>
        </w:tc>
        <w:tc>
          <w:tcPr>
            <w:tcW w:type="dxa" w:w="1440"/>
          </w:tcPr>
          <w:p>
            <w:r/>
            <w:r>
              <w:rPr>
                <w:sz w:val="20"/>
              </w:rPr>
              <w:t>-81.0%</w:t>
            </w:r>
          </w:p>
        </w:tc>
        <w:tc>
          <w:tcPr>
            <w:tcW w:type="dxa" w:w="1440"/>
          </w:tcPr>
          <w:p>
            <w:r/>
            <w:r>
              <w:rPr>
                <w:sz w:val="20"/>
              </w:rPr>
              <w:t>-64.0%</w:t>
            </w:r>
          </w:p>
        </w:tc>
        <w:tc>
          <w:tcPr>
            <w:tcW w:type="dxa" w:w="1440"/>
          </w:tcPr>
          <w:p>
            <w:r/>
            <w:r>
              <w:rPr>
                <w:sz w:val="20"/>
              </w:rPr>
              <w:t>-40.0%</w:t>
            </w:r>
          </w:p>
        </w:tc>
      </w:tr>
      <w:tr>
        <w:tc>
          <w:tcPr>
            <w:tcW w:type="dxa" w:w="2880"/>
          </w:tcPr>
          <w:p>
            <w:r/>
            <w:r>
              <w:rPr>
                <w:sz w:val="20"/>
              </w:rPr>
              <w:t>Cumulative cash</w:t>
            </w:r>
          </w:p>
        </w:tc>
        <w:tc>
          <w:tcPr>
            <w:tcW w:type="dxa" w:w="1440"/>
          </w:tcPr>
          <w:p>
            <w:r/>
            <w:r>
              <w:rPr>
                <w:sz w:val="20"/>
              </w:rPr>
              <w:t>-$445K</w:t>
            </w:r>
          </w:p>
        </w:tc>
        <w:tc>
          <w:tcPr>
            <w:tcW w:type="dxa" w:w="1440"/>
          </w:tcPr>
          <w:p>
            <w:r/>
            <w:r>
              <w:rPr>
                <w:sz w:val="20"/>
              </w:rPr>
              <w:t>-$1.36M</w:t>
            </w:r>
          </w:p>
        </w:tc>
        <w:tc>
          <w:tcPr>
            <w:tcW w:type="dxa" w:w="1440"/>
          </w:tcPr>
          <w:p>
            <w:r/>
            <w:r>
              <w:rPr>
                <w:sz w:val="20"/>
              </w:rPr>
              <w:t>-$2.60M</w:t>
            </w:r>
          </w:p>
        </w:tc>
        <w:tc>
          <w:tcPr>
            <w:tcW w:type="dxa" w:w="1440"/>
          </w:tcPr>
          <w:p>
            <w:r/>
            <w:r>
              <w:rPr>
                <w:sz w:val="20"/>
              </w:rPr>
              <w:t>-$4.48M</w:t>
            </w:r>
          </w:p>
        </w:tc>
        <w:tc>
          <w:tcPr>
            <w:tcW w:type="dxa" w:w="1440"/>
          </w:tcPr>
          <w:p>
            <w:r/>
            <w:r>
              <w:rPr>
                <w:sz w:val="20"/>
              </w:rPr>
              <w:t>-$6.47M</w:t>
            </w:r>
          </w:p>
        </w:tc>
      </w:tr>
    </w:tbl>
    <w:p/>
    <w:p>
      <w:pPr>
        <w:spacing w:after="160"/>
        <w:jc w:val="both"/>
      </w:pPr>
      <w:r>
        <w:rPr>
          <w:b w:val="0"/>
          <w:i w:val="0"/>
          <w:sz w:val="22"/>
        </w:rPr>
        <w:t>Y3 inflection: ARR crosses $2.7M with operating margin nearing breakeven. Y4: cash-positive. Y5: $10.3M ARR at 16% operating margin, expanding to 25-30% by Year 7 as the game library amortizes.</w:t>
      </w:r>
    </w:p>
    <w:p>
      <w:pPr>
        <w:pStyle w:val="Heading2"/>
      </w:pPr>
      <w:r>
        <w:rPr>
          <w:b/>
          <w:color w:val="1F4788"/>
          <w:sz w:val="30"/>
        </w:rPr>
        <w:t>10.2 Return math anchored in honest May-2026 EdTech comparables</w:t>
      </w:r>
    </w:p>
    <w:p>
      <w:pPr>
        <w:spacing w:after="160"/>
      </w:pPr>
      <w:r>
        <w:rPr>
          <w:b w:val="0"/>
          <w:i w:val="0"/>
          <w:sz w:val="22"/>
        </w:rPr>
        <w:t>We anchor MOIC math on current (May 2026) EdTech revenue multiples — not on the 11-26× peaks of 2021. Three datapoints anchor the realistic exit multiple:</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3456"/>
            <w:shd w:val="clear" w:color="auto" w:fill="1F4788"/>
          </w:tcPr>
          <w:p>
            <w:r/>
            <w:r>
              <w:rPr>
                <w:b/>
                <w:color w:val="FFFFFF"/>
                <w:sz w:val="20"/>
              </w:rPr>
              <w:t>Comparable</w:t>
            </w:r>
          </w:p>
        </w:tc>
        <w:tc>
          <w:tcPr>
            <w:tcW w:type="dxa" w:w="1872"/>
            <w:shd w:val="clear" w:color="auto" w:fill="1F4788"/>
          </w:tcPr>
          <w:p>
            <w:r/>
            <w:r>
              <w:rPr>
                <w:b/>
                <w:color w:val="FFFFFF"/>
                <w:sz w:val="20"/>
              </w:rPr>
              <w:t>Type</w:t>
            </w:r>
          </w:p>
        </w:tc>
        <w:tc>
          <w:tcPr>
            <w:tcW w:type="dxa" w:w="1872"/>
            <w:shd w:val="clear" w:color="auto" w:fill="1F4788"/>
          </w:tcPr>
          <w:p>
            <w:r/>
            <w:r>
              <w:rPr>
                <w:b/>
                <w:color w:val="FFFFFF"/>
                <w:sz w:val="20"/>
              </w:rPr>
              <w:t>EV / Revenue multiple</w:t>
            </w:r>
          </w:p>
        </w:tc>
        <w:tc>
          <w:tcPr>
            <w:tcW w:type="dxa" w:w="2160"/>
            <w:shd w:val="clear" w:color="auto" w:fill="1F4788"/>
          </w:tcPr>
          <w:p>
            <w:r/>
            <w:r>
              <w:rPr>
                <w:b/>
                <w:color w:val="FFFFFF"/>
                <w:sz w:val="20"/>
              </w:rPr>
              <w:t>Source</w:t>
            </w:r>
          </w:p>
        </w:tc>
      </w:tr>
      <w:tr>
        <w:tc>
          <w:tcPr>
            <w:tcW w:type="dxa" w:w="3456"/>
          </w:tcPr>
          <w:p>
            <w:r/>
            <w:r>
              <w:rPr>
                <w:sz w:val="20"/>
              </w:rPr>
              <w:t>Kahoot! (delisting Mar 2024)</w:t>
            </w:r>
          </w:p>
        </w:tc>
        <w:tc>
          <w:tcPr>
            <w:tcW w:type="dxa" w:w="1872"/>
          </w:tcPr>
          <w:p>
            <w:r/>
            <w:r>
              <w:rPr>
                <w:sz w:val="20"/>
              </w:rPr>
              <w:t>K-12 game-based</w:t>
            </w:r>
          </w:p>
        </w:tc>
        <w:tc>
          <w:tcPr>
            <w:tcW w:type="dxa" w:w="1872"/>
          </w:tcPr>
          <w:p>
            <w:r/>
            <w:r>
              <w:rPr>
                <w:sz w:val="20"/>
              </w:rPr>
              <w:t>11.1×</w:t>
            </w:r>
          </w:p>
        </w:tc>
        <w:tc>
          <w:tcPr>
            <w:tcW w:type="dxa" w:w="2160"/>
          </w:tcPr>
          <w:p>
            <w:r/>
            <w:r>
              <w:rPr>
                <w:sz w:val="20"/>
              </w:rPr>
              <w:t>[19]</w:t>
            </w:r>
          </w:p>
        </w:tc>
      </w:tr>
      <w:tr>
        <w:tc>
          <w:tcPr>
            <w:tcW w:type="dxa" w:w="3456"/>
          </w:tcPr>
          <w:p>
            <w:r/>
            <w:r>
              <w:rPr>
                <w:sz w:val="20"/>
              </w:rPr>
              <w:t>Duolingo (IPO July 2021)</w:t>
            </w:r>
          </w:p>
        </w:tc>
        <w:tc>
          <w:tcPr>
            <w:tcW w:type="dxa" w:w="1872"/>
          </w:tcPr>
          <w:p>
            <w:r/>
            <w:r>
              <w:rPr>
                <w:sz w:val="20"/>
              </w:rPr>
              <w:t>EdTech consumer</w:t>
            </w:r>
          </w:p>
        </w:tc>
        <w:tc>
          <w:tcPr>
            <w:tcW w:type="dxa" w:w="1872"/>
          </w:tcPr>
          <w:p>
            <w:r/>
            <w:r>
              <w:rPr>
                <w:sz w:val="20"/>
              </w:rPr>
              <w:t>26.0×</w:t>
            </w:r>
          </w:p>
        </w:tc>
        <w:tc>
          <w:tcPr>
            <w:tcW w:type="dxa" w:w="2160"/>
          </w:tcPr>
          <w:p>
            <w:r/>
            <w:r>
              <w:rPr>
                <w:sz w:val="20"/>
              </w:rPr>
              <w:t>[10]</w:t>
            </w:r>
          </w:p>
        </w:tc>
      </w:tr>
      <w:tr>
        <w:tc>
          <w:tcPr>
            <w:tcW w:type="dxa" w:w="3456"/>
          </w:tcPr>
          <w:p>
            <w:r/>
            <w:r>
              <w:rPr>
                <w:sz w:val="20"/>
              </w:rPr>
              <w:t>Duolingo (May 2026 trading)</w:t>
            </w:r>
          </w:p>
        </w:tc>
        <w:tc>
          <w:tcPr>
            <w:tcW w:type="dxa" w:w="1872"/>
          </w:tcPr>
          <w:p>
            <w:r/>
            <w:r>
              <w:rPr>
                <w:sz w:val="20"/>
              </w:rPr>
              <w:t>EdTech mature</w:t>
            </w:r>
          </w:p>
        </w:tc>
        <w:tc>
          <w:tcPr>
            <w:tcW w:type="dxa" w:w="1872"/>
          </w:tcPr>
          <w:p>
            <w:r/>
            <w:r>
              <w:rPr>
                <w:sz w:val="20"/>
              </w:rPr>
              <w:t>4.8×</w:t>
            </w:r>
          </w:p>
        </w:tc>
        <w:tc>
          <w:tcPr>
            <w:tcW w:type="dxa" w:w="2160"/>
          </w:tcPr>
          <w:p>
            <w:r/>
            <w:r>
              <w:rPr>
                <w:sz w:val="20"/>
              </w:rPr>
              <w:t>[30]</w:t>
            </w:r>
          </w:p>
        </w:tc>
      </w:tr>
      <w:tr>
        <w:tc>
          <w:tcPr>
            <w:tcW w:type="dxa" w:w="3456"/>
          </w:tcPr>
          <w:p>
            <w:r/>
            <w:r>
              <w:rPr>
                <w:sz w:val="20"/>
              </w:rPr>
              <w:t>Quizlet (Series C unicorn 2020)</w:t>
            </w:r>
          </w:p>
        </w:tc>
        <w:tc>
          <w:tcPr>
            <w:tcW w:type="dxa" w:w="1872"/>
          </w:tcPr>
          <w:p>
            <w:r/>
            <w:r>
              <w:rPr>
                <w:sz w:val="20"/>
              </w:rPr>
              <w:t>EdTech B2C SaaS</w:t>
            </w:r>
          </w:p>
        </w:tc>
        <w:tc>
          <w:tcPr>
            <w:tcW w:type="dxa" w:w="1872"/>
          </w:tcPr>
          <w:p>
            <w:r/>
            <w:r>
              <w:rPr>
                <w:sz w:val="20"/>
              </w:rPr>
              <w:t>12.5×</w:t>
            </w:r>
          </w:p>
        </w:tc>
        <w:tc>
          <w:tcPr>
            <w:tcW w:type="dxa" w:w="2160"/>
          </w:tcPr>
          <w:p>
            <w:r/>
            <w:r>
              <w:rPr>
                <w:sz w:val="20"/>
              </w:rPr>
              <w:t>[31]</w:t>
            </w:r>
          </w:p>
        </w:tc>
      </w:tr>
      <w:tr>
        <w:tc>
          <w:tcPr>
            <w:tcW w:type="dxa" w:w="3456"/>
          </w:tcPr>
          <w:p>
            <w:r/>
            <w:r>
              <w:rPr>
                <w:sz w:val="20"/>
              </w:rPr>
              <w:t>EdTech seed-stage average</w:t>
            </w:r>
          </w:p>
        </w:tc>
        <w:tc>
          <w:tcPr>
            <w:tcW w:type="dxa" w:w="1872"/>
          </w:tcPr>
          <w:p>
            <w:r/>
            <w:r>
              <w:rPr>
                <w:sz w:val="20"/>
              </w:rPr>
              <w:t>Benchmark</w:t>
            </w:r>
          </w:p>
        </w:tc>
        <w:tc>
          <w:tcPr>
            <w:tcW w:type="dxa" w:w="1872"/>
          </w:tcPr>
          <w:p>
            <w:r/>
            <w:r>
              <w:rPr>
                <w:sz w:val="20"/>
              </w:rPr>
              <w:t>11.9×</w:t>
            </w:r>
          </w:p>
        </w:tc>
        <w:tc>
          <w:tcPr>
            <w:tcW w:type="dxa" w:w="2160"/>
          </w:tcPr>
          <w:p>
            <w:r/>
            <w:r>
              <w:rPr>
                <w:sz w:val="20"/>
              </w:rPr>
              <w:t>[32]</w:t>
            </w:r>
          </w:p>
        </w:tc>
      </w:tr>
      <w:tr>
        <w:tc>
          <w:tcPr>
            <w:tcW w:type="dxa" w:w="3456"/>
          </w:tcPr>
          <w:p>
            <w:r/>
            <w:r>
              <w:rPr>
                <w:sz w:val="20"/>
              </w:rPr>
              <w:t>EdTech Series A/B median (Q4 2025)</w:t>
            </w:r>
          </w:p>
        </w:tc>
        <w:tc>
          <w:tcPr>
            <w:tcW w:type="dxa" w:w="1872"/>
          </w:tcPr>
          <w:p>
            <w:r/>
            <w:r>
              <w:rPr>
                <w:sz w:val="20"/>
              </w:rPr>
              <w:t>Benchmark</w:t>
            </w:r>
          </w:p>
        </w:tc>
        <w:tc>
          <w:tcPr>
            <w:tcW w:type="dxa" w:w="1872"/>
          </w:tcPr>
          <w:p>
            <w:r/>
            <w:r>
              <w:rPr>
                <w:sz w:val="20"/>
              </w:rPr>
              <w:t>10.0×</w:t>
            </w:r>
          </w:p>
        </w:tc>
        <w:tc>
          <w:tcPr>
            <w:tcW w:type="dxa" w:w="2160"/>
          </w:tcPr>
          <w:p>
            <w:r/>
            <w:r>
              <w:rPr>
                <w:sz w:val="20"/>
              </w:rPr>
              <w:t>[11]</w:t>
            </w:r>
          </w:p>
        </w:tc>
      </w:tr>
    </w:tbl>
    <w:p/>
    <w:p>
      <w:pPr>
        <w:pStyle w:val="Heading2"/>
      </w:pPr>
      <w:r>
        <w:rPr>
          <w:b/>
          <w:color w:val="1F4788"/>
          <w:sz w:val="30"/>
        </w:rPr>
        <w:t>10.3 MOIC by scenario</w:t>
      </w:r>
    </w:p>
    <w:p>
      <w:pPr>
        <w:jc w:val="center"/>
      </w:pPr>
      <w:r>
        <w:drawing>
          <wp:inline xmlns:a="http://schemas.openxmlformats.org/drawingml/2006/main" xmlns:pic="http://schemas.openxmlformats.org/drawingml/2006/picture">
            <wp:extent cx="5943600" cy="3927260"/>
            <wp:docPr id="12" name="Picture 12"/>
            <wp:cNvGraphicFramePr>
              <a:graphicFrameLocks noChangeAspect="1"/>
            </wp:cNvGraphicFramePr>
            <a:graphic>
              <a:graphicData uri="http://schemas.openxmlformats.org/drawingml/2006/picture">
                <pic:pic>
                  <pic:nvPicPr>
                    <pic:cNvPr id="0" name="figure_11_ten_x_returns.png"/>
                    <pic:cNvPicPr/>
                  </pic:nvPicPr>
                  <pic:blipFill>
                    <a:blip r:embed="rId20"/>
                    <a:stretch>
                      <a:fillRect/>
                    </a:stretch>
                  </pic:blipFill>
                  <pic:spPr>
                    <a:xfrm>
                      <a:off x="0" y="0"/>
                      <a:ext cx="5943600" cy="3927260"/>
                    </a:xfrm>
                    <a:prstGeom prst="rect"/>
                  </pic:spPr>
                </pic:pic>
              </a:graphicData>
            </a:graphic>
          </wp:inline>
        </w:drawing>
      </w:r>
    </w:p>
    <w:p>
      <w:pPr>
        <w:spacing w:after="240"/>
        <w:jc w:val="center"/>
      </w:pPr>
      <w:r>
        <w:rPr>
          <w:i/>
          <w:color w:val="888888"/>
          <w:sz w:val="18"/>
        </w:rPr>
        <w:t>Figure 12. Seed investor MOIC by scenario. Base case 2.7× at Series A; bull case (10× story) requires GCC ministry adoption + US Clever channel landing.</w:t>
      </w:r>
    </w:p>
    <w:p>
      <w:pPr>
        <w:spacing w:after="160"/>
      </w:pPr>
      <w:r>
        <w:rPr>
          <w:b w:val="0"/>
          <w:i w:val="0"/>
          <w:sz w:val="22"/>
        </w:rPr>
        <w:t>Methodology: Series A round priced at 5× forward (Year 4) ARR — the current EdTech-public median; bull case uses 8× (private growth median). Seed-investor ownership diluted ~18% per round (ESOP top-up + new investor). Math shown in the spreadsheet at Appendix A.</w:t>
      </w:r>
    </w:p>
    <w:p>
      <w:pPr>
        <w:spacing w:after="160"/>
        <w:jc w:val="both"/>
      </w:pPr>
      <w:r>
        <w:rPr>
          <w:b w:val="0"/>
          <w:i w:val="0"/>
          <w:sz w:val="22"/>
        </w:rPr>
        <w:t>What this honestly means: a $500K seed cheque returns roughly $1,336,135 of paper value at Series A (2.7× MOIC) in the base case, and $5,228,032 at Series B in the bull case (10.5× MOIC). That's a strong specialist-EdTech-seed return profile. We are NOT pitching tier-1 generalist funds — this is a specialist round.</w:t>
      </w:r>
    </w:p>
    <w:p>
      <w:pPr>
        <w:pStyle w:val="Heading2"/>
      </w:pPr>
      <w:r>
        <w:rPr>
          <w:b/>
          <w:color w:val="1F4788"/>
          <w:sz w:val="30"/>
        </w:rPr>
        <w:t>10.4 Cash, burn, and runway</w:t>
      </w:r>
    </w:p>
    <w:p>
      <w:pPr>
        <w:spacing w:after="160"/>
        <w:jc w:val="both"/>
      </w:pPr>
      <w:r>
        <w:rPr>
          <w:b w:val="0"/>
          <w:i w:val="0"/>
          <w:sz w:val="22"/>
        </w:rPr>
        <w:t>With $500K seed at a Q3-2026 close, base-case burn is approximately $30-40K/month in Year 1 (lean founding team + AI tooling) and $50-70K/month in Year 2 as we add engineers and a school BD hire. Total burn through month 24: approximately $1.0-1.1M. This is funded by:</w:t>
      </w:r>
    </w:p>
    <w:p>
      <w:pPr>
        <w:pStyle w:val="ListBullet"/>
        <w:spacing w:after="40"/>
        <w:ind w:left="360"/>
      </w:pPr>
      <w:r>
        <w:rPr>
          <w:sz w:val="22"/>
        </w:rPr>
        <w:t>Seed cash: $500K</w:t>
      </w:r>
    </w:p>
    <w:p>
      <w:pPr>
        <w:pStyle w:val="ListBullet"/>
        <w:spacing w:after="40"/>
        <w:ind w:left="360"/>
      </w:pPr>
      <w:r>
        <w:rPr>
          <w:sz w:val="22"/>
        </w:rPr>
        <w:t>Year-1 revenue (paid pilots → paid licenses): ~$200K</w:t>
      </w:r>
    </w:p>
    <w:p>
      <w:pPr>
        <w:pStyle w:val="ListBullet"/>
        <w:spacing w:after="40"/>
        <w:ind w:left="360"/>
      </w:pPr>
      <w:r>
        <w:rPr>
          <w:sz w:val="22"/>
        </w:rPr>
        <w:t>Year-2 revenue: ~$650K</w:t>
      </w:r>
    </w:p>
    <w:p>
      <w:pPr>
        <w:pStyle w:val="ListBullet"/>
        <w:spacing w:after="40"/>
        <w:ind w:left="360"/>
      </w:pPr>
      <w:r>
        <w:rPr>
          <w:sz w:val="22"/>
        </w:rPr>
        <w:t>Net cash position before Series A: -$300K (typical Series-A bridge structure or small Series A1 from existing investors if needed)</w:t>
      </w:r>
    </w:p>
    <w:p>
      <w:pPr>
        <w:pStyle w:val="Heading2"/>
      </w:pPr>
      <w:r>
        <w:rPr>
          <w:b/>
          <w:color w:val="1F4788"/>
          <w:sz w:val="30"/>
        </w:rPr>
        <w:t>10.5 Use of seed funds</w:t>
      </w:r>
    </w:p>
    <w:p>
      <w:pPr>
        <w:jc w:val="center"/>
      </w:pPr>
      <w:r>
        <w:drawing>
          <wp:inline xmlns:a="http://schemas.openxmlformats.org/drawingml/2006/main" xmlns:pic="http://schemas.openxmlformats.org/drawingml/2006/picture">
            <wp:extent cx="5943600" cy="4308100"/>
            <wp:docPr id="13" name="Picture 13"/>
            <wp:cNvGraphicFramePr>
              <a:graphicFrameLocks noChangeAspect="1"/>
            </wp:cNvGraphicFramePr>
            <a:graphic>
              <a:graphicData uri="http://schemas.openxmlformats.org/drawingml/2006/picture">
                <pic:pic>
                  <pic:nvPicPr>
                    <pic:cNvPr id="0" name="figure_10_use_of_funds.png"/>
                    <pic:cNvPicPr/>
                  </pic:nvPicPr>
                  <pic:blipFill>
                    <a:blip r:embed="rId21"/>
                    <a:stretch>
                      <a:fillRect/>
                    </a:stretch>
                  </pic:blipFill>
                  <pic:spPr>
                    <a:xfrm>
                      <a:off x="0" y="0"/>
                      <a:ext cx="5943600" cy="4308100"/>
                    </a:xfrm>
                    <a:prstGeom prst="rect"/>
                  </pic:spPr>
                </pic:pic>
              </a:graphicData>
            </a:graphic>
          </wp:inline>
        </w:drawing>
      </w:r>
    </w:p>
    <w:p>
      <w:pPr>
        <w:spacing w:after="240"/>
        <w:jc w:val="center"/>
      </w:pPr>
      <w:r>
        <w:rPr>
          <w:i/>
          <w:color w:val="888888"/>
          <w:sz w:val="18"/>
        </w:rPr>
        <w:t>Figure 13. Use of $500K seed. 18-month runway to Series A inflection at $1M+ ARR.</w:t>
      </w:r>
    </w:p>
    <w:p>
      <w:r>
        <w:br w:type="page"/>
      </w:r>
    </w:p>
    <w:p>
      <w:pPr>
        <w:pStyle w:val="Heading1"/>
      </w:pPr>
      <w:r>
        <w:rPr>
          <w:b/>
          <w:color w:val="1F4788"/>
          <w:sz w:val="44"/>
        </w:rPr>
        <w:t>11. Risks &amp; Mitigation</w:t>
      </w:r>
    </w:p>
    <w:p>
      <w:pPr>
        <w:spacing w:after="160"/>
        <w:jc w:val="both"/>
      </w:pPr>
      <w:r>
        <w:rPr>
          <w:b w:val="0"/>
          <w:i w:val="0"/>
          <w:sz w:val="22"/>
        </w:rPr>
        <w:t>Per McKinsey guidance</w:t>
      </w:r>
      <w:r>
        <w:rPr>
          <w:b w:val="0"/>
          <w:i w:val="0"/>
          <w:sz w:val="18"/>
          <w:vertAlign w:val="superscript"/>
        </w:rPr>
        <w:t>[33]</w:t>
      </w:r>
      <w:r>
        <w:rPr>
          <w:b w:val="0"/>
          <w:i w:val="0"/>
          <w:sz w:val="22"/>
        </w:rPr>
        <w:t>: 'investors expect a risk section and judge credibility by your honest assessment.' We treat risk transparency as a credibility-builder.</w:t>
      </w:r>
    </w:p>
    <w:p>
      <w:pPr>
        <w:pStyle w:val="Heading2"/>
      </w:pPr>
      <w:r>
        <w:rPr>
          <w:b/>
          <w:color w:val="1F4788"/>
          <w:sz w:val="30"/>
        </w:rPr>
        <w:t>11.1 The AI-displacement question (existential)</w:t>
      </w:r>
    </w:p>
    <w:p>
      <w:pPr>
        <w:spacing w:after="160"/>
        <w:jc w:val="both"/>
      </w:pPr>
      <w:r>
        <w:rPr>
          <w:b w:val="0"/>
          <w:i w:val="0"/>
          <w:sz w:val="22"/>
        </w:rPr>
        <w:t>The single existential threat to EdGame is that foundation-model tutors (Khanmigo, Google LearnLM, GPT-5-class) eat the diagnostic layer for free. Duolingo's market cap is down 79% from 2024 peak on exactly this concern. We do not hand-wave this risk. Our honest case for survival has three pillars:</w:t>
      </w:r>
    </w:p>
    <w:p>
      <w:pPr>
        <w:pStyle w:val="ListBullet"/>
        <w:spacing w:after="40"/>
        <w:ind w:left="360"/>
      </w:pPr>
      <w:r>
        <w:rPr>
          <w:sz w:val="22"/>
        </w:rPr>
        <w:t>Behavioral telemetry from gameplay is structurally different from text-based interaction logs. Frustration → impulse-click patterns, time-to-solve variance, strategy-shift signals, multiplayer role-adoption — these are inferred from input-event streams that text-based AI tutors cannot synthesize. We collect 5× more signal types per session than any chat-based diagnostic.</w:t>
      </w:r>
    </w:p>
    <w:p>
      <w:pPr>
        <w:pStyle w:val="ListBullet"/>
        <w:spacing w:after="40"/>
        <w:ind w:left="360"/>
      </w:pPr>
      <w:r>
        <w:rPr>
          <w:sz w:val="22"/>
        </w:rPr>
        <w:t>Schools buy curriculum alignment + auditability, not raw intelligence. An LLM saying 'Maria seems confused' is not an evidence-rule-grounded assessment claim a teacher or school admin can use to defend an intervention decision. ECD framing is investor-boring but procurement-essential.</w:t>
      </w:r>
    </w:p>
    <w:p>
      <w:pPr>
        <w:pStyle w:val="ListBullet"/>
        <w:spacing w:after="40"/>
        <w:ind w:left="360"/>
      </w:pPr>
      <w:r>
        <w:rPr>
          <w:sz w:val="22"/>
        </w:rPr>
        <w:t>EdGame uses LLMs as a tool inside our analytics pipeline (content authoring, misconception clustering, teacher report summarization). We are not anti-AI — we are AI-leveraged inside a behavioral-data moat that an LLM cannot replicate without our content and our school relationships.</w:t>
      </w:r>
    </w:p>
    <w:p>
      <w:pPr>
        <w:spacing w:after="160"/>
        <w:jc w:val="both"/>
      </w:pPr>
      <w:r>
        <w:rPr>
          <w:b w:val="0"/>
          <w:i w:val="0"/>
          <w:sz w:val="22"/>
        </w:rPr>
        <w:t>The honest counter-position: if a school district can replace EdGame with a 'GPT Educator' assignment integration at 10× lower price in 2027, our pricing model collapses. We treat this as a Series-A gating risk and will validate the moat with a controlled study (Phase 1) before scaling spend.</w:t>
      </w:r>
    </w:p>
    <w:p>
      <w:pPr>
        <w:pStyle w:val="Heading2"/>
      </w:pPr>
      <w:r>
        <w:rPr>
          <w:b/>
          <w:color w:val="1F4788"/>
          <w:sz w:val="30"/>
        </w:rPr>
        <w:t>11.2 Other risks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3312"/>
            <w:shd w:val="clear" w:color="auto" w:fill="1F4788"/>
          </w:tcPr>
          <w:p>
            <w:r/>
            <w:r>
              <w:rPr>
                <w:b/>
                <w:color w:val="FFFFFF"/>
                <w:sz w:val="20"/>
              </w:rPr>
              <w:t>Risk</w:t>
            </w:r>
          </w:p>
        </w:tc>
        <w:tc>
          <w:tcPr>
            <w:tcW w:type="dxa" w:w="1152"/>
            <w:shd w:val="clear" w:color="auto" w:fill="1F4788"/>
          </w:tcPr>
          <w:p>
            <w:r/>
            <w:r>
              <w:rPr>
                <w:b/>
                <w:color w:val="FFFFFF"/>
                <w:sz w:val="20"/>
              </w:rPr>
              <w:t>Likelihood</w:t>
            </w:r>
          </w:p>
        </w:tc>
        <w:tc>
          <w:tcPr>
            <w:tcW w:type="dxa" w:w="1152"/>
            <w:shd w:val="clear" w:color="auto" w:fill="1F4788"/>
          </w:tcPr>
          <w:p>
            <w:r/>
            <w:r>
              <w:rPr>
                <w:b/>
                <w:color w:val="FFFFFF"/>
                <w:sz w:val="20"/>
              </w:rPr>
              <w:t>Impact</w:t>
            </w:r>
          </w:p>
        </w:tc>
        <w:tc>
          <w:tcPr>
            <w:tcW w:type="dxa" w:w="4464"/>
            <w:shd w:val="clear" w:color="auto" w:fill="1F4788"/>
          </w:tcPr>
          <w:p>
            <w:r/>
            <w:r>
              <w:rPr>
                <w:b/>
                <w:color w:val="FFFFFF"/>
                <w:sz w:val="20"/>
              </w:rPr>
              <w:t>Mitigation</w:t>
            </w:r>
          </w:p>
        </w:tc>
      </w:tr>
      <w:tr>
        <w:tc>
          <w:tcPr>
            <w:tcW w:type="dxa" w:w="3312"/>
          </w:tcPr>
          <w:p>
            <w:r/>
            <w:r>
              <w:rPr>
                <w:sz w:val="20"/>
              </w:rPr>
              <w:t>School-sales cycle in line with industry norm (9-month base, 12 mo for districts)</w:t>
            </w:r>
          </w:p>
        </w:tc>
        <w:tc>
          <w:tcPr>
            <w:tcW w:type="dxa" w:w="1152"/>
          </w:tcPr>
          <w:p>
            <w:r/>
            <w:r>
              <w:rPr>
                <w:sz w:val="20"/>
              </w:rPr>
              <w:t>Already in plan</w:t>
            </w:r>
          </w:p>
        </w:tc>
        <w:tc>
          <w:tcPr>
            <w:tcW w:type="dxa" w:w="1152"/>
          </w:tcPr>
          <w:p>
            <w:r/>
            <w:r>
              <w:rPr>
                <w:sz w:val="20"/>
              </w:rPr>
              <w:t>Medium</w:t>
            </w:r>
          </w:p>
        </w:tc>
        <w:tc>
          <w:tcPr>
            <w:tcW w:type="dxa" w:w="4464"/>
          </w:tcPr>
          <w:p>
            <w:r/>
            <w:r>
              <w:rPr>
                <w:sz w:val="20"/>
              </w:rPr>
              <w:t>Base case bakes in 9-month cycle (not 3-4). Phase 1 founder-led BD with weekly cadence compresses where structurally possible; freemium PLG provides bottom-up entry independent of school procurement</w:t>
            </w:r>
          </w:p>
        </w:tc>
      </w:tr>
      <w:tr>
        <w:tc>
          <w:tcPr>
            <w:tcW w:type="dxa" w:w="3312"/>
          </w:tcPr>
          <w:p>
            <w:r/>
            <w:r>
              <w:rPr>
                <w:sz w:val="20"/>
              </w:rPr>
              <w:t>Pilot-to-paid conversion below 25%</w:t>
            </w:r>
          </w:p>
        </w:tc>
        <w:tc>
          <w:tcPr>
            <w:tcW w:type="dxa" w:w="1152"/>
          </w:tcPr>
          <w:p>
            <w:r/>
            <w:r>
              <w:rPr>
                <w:sz w:val="20"/>
              </w:rPr>
              <w:t>Medium</w:t>
            </w:r>
          </w:p>
        </w:tc>
        <w:tc>
          <w:tcPr>
            <w:tcW w:type="dxa" w:w="1152"/>
          </w:tcPr>
          <w:p>
            <w:r/>
            <w:r>
              <w:rPr>
                <w:sz w:val="20"/>
              </w:rPr>
              <w:t>High</w:t>
            </w:r>
          </w:p>
        </w:tc>
        <w:tc>
          <w:tcPr>
            <w:tcW w:type="dxa" w:w="4464"/>
          </w:tcPr>
          <w:p>
            <w:r/>
            <w:r>
              <w:rPr>
                <w:sz w:val="20"/>
              </w:rPr>
              <w:t>30%+ target is conservative vs Prodigy/IXL precedents; weekly cadence + structured success rubric; can extend pilot length without major P&amp;L hit</w:t>
            </w:r>
          </w:p>
        </w:tc>
      </w:tr>
      <w:tr>
        <w:tc>
          <w:tcPr>
            <w:tcW w:type="dxa" w:w="3312"/>
          </w:tcPr>
          <w:p>
            <w:r/>
            <w:r>
              <w:rPr>
                <w:sz w:val="20"/>
              </w:rPr>
              <w:t>KSA PDPL or COPPA enforcement tightens</w:t>
            </w:r>
          </w:p>
        </w:tc>
        <w:tc>
          <w:tcPr>
            <w:tcW w:type="dxa" w:w="1152"/>
          </w:tcPr>
          <w:p>
            <w:r/>
            <w:r>
              <w:rPr>
                <w:sz w:val="20"/>
              </w:rPr>
              <w:t>Medium</w:t>
            </w:r>
          </w:p>
        </w:tc>
        <w:tc>
          <w:tcPr>
            <w:tcW w:type="dxa" w:w="1152"/>
          </w:tcPr>
          <w:p>
            <w:r/>
            <w:r>
              <w:rPr>
                <w:sz w:val="20"/>
              </w:rPr>
              <w:t>High</w:t>
            </w:r>
          </w:p>
        </w:tc>
        <w:tc>
          <w:tcPr>
            <w:tcW w:type="dxa" w:w="4464"/>
          </w:tcPr>
          <w:p>
            <w:r/>
            <w:r>
              <w:rPr>
                <w:sz w:val="20"/>
              </w:rPr>
              <w:t>Year-1 compliance pack budgeted ($50K); data-minimization-by-default architecture; school-as-agent COPPA safe harbor; KSA data residency Year 2</w:t>
            </w:r>
          </w:p>
        </w:tc>
      </w:tr>
      <w:tr>
        <w:tc>
          <w:tcPr>
            <w:tcW w:type="dxa" w:w="3312"/>
          </w:tcPr>
          <w:p>
            <w:r/>
            <w:r>
              <w:rPr>
                <w:sz w:val="20"/>
              </w:rPr>
              <w:t>AI / LLM displacement (Khanmigo, LearnLM, GPT-5 tutors)</w:t>
            </w:r>
          </w:p>
        </w:tc>
        <w:tc>
          <w:tcPr>
            <w:tcW w:type="dxa" w:w="1152"/>
          </w:tcPr>
          <w:p>
            <w:r/>
            <w:r>
              <w:rPr>
                <w:sz w:val="20"/>
              </w:rPr>
              <w:t>Medium-High</w:t>
            </w:r>
          </w:p>
        </w:tc>
        <w:tc>
          <w:tcPr>
            <w:tcW w:type="dxa" w:w="1152"/>
          </w:tcPr>
          <w:p>
            <w:r/>
            <w:r>
              <w:rPr>
                <w:sz w:val="20"/>
              </w:rPr>
              <w:t>High</w:t>
            </w:r>
          </w:p>
        </w:tc>
        <w:tc>
          <w:tcPr>
            <w:tcW w:type="dxa" w:w="4464"/>
          </w:tcPr>
          <w:p>
            <w:r/>
            <w:r>
              <w:rPr>
                <w:sz w:val="20"/>
              </w:rPr>
              <w:t>See dedicated section 11.1 above. Behavioral telemetry signal is structurally different from chat-based interaction; procurement-grade auditability is a real moat; we use LLMs as a tool, not a competitor</w:t>
            </w:r>
          </w:p>
        </w:tc>
      </w:tr>
      <w:tr>
        <w:tc>
          <w:tcPr>
            <w:tcW w:type="dxa" w:w="3312"/>
          </w:tcPr>
          <w:p>
            <w:r/>
            <w:r>
              <w:rPr>
                <w:sz w:val="20"/>
              </w:rPr>
              <w:t>Founder full-time commitment (capstone status until Sep 2026)</w:t>
            </w:r>
          </w:p>
        </w:tc>
        <w:tc>
          <w:tcPr>
            <w:tcW w:type="dxa" w:w="1152"/>
          </w:tcPr>
          <w:p>
            <w:r/>
            <w:r>
              <w:rPr>
                <w:sz w:val="20"/>
              </w:rPr>
              <w:t>Material</w:t>
            </w:r>
          </w:p>
        </w:tc>
        <w:tc>
          <w:tcPr>
            <w:tcW w:type="dxa" w:w="1152"/>
          </w:tcPr>
          <w:p>
            <w:r/>
            <w:r>
              <w:rPr>
                <w:sz w:val="20"/>
              </w:rPr>
              <w:t>High</w:t>
            </w:r>
          </w:p>
        </w:tc>
        <w:tc>
          <w:tcPr>
            <w:tcW w:type="dxa" w:w="4464"/>
          </w:tcPr>
          <w:p>
            <w:r/>
            <w:r>
              <w:rPr>
                <w:sz w:val="20"/>
              </w:rPr>
              <w:t>All founders signed 100% post-Sep 2026 full-time commitments at seed close — confirmed in the signed Team Charter v3 (Mar 2026). Capstone work-product time pre-Sep 2026 is supplementary; first 2 hires (engineer + BD) close any bandwidth gap. [FOUNDER_COMMITMENT_LETTERS]</w:t>
            </w:r>
          </w:p>
        </w:tc>
      </w:tr>
      <w:tr>
        <w:tc>
          <w:tcPr>
            <w:tcW w:type="dxa" w:w="3312"/>
          </w:tcPr>
          <w:p>
            <w:r/>
            <w:r>
              <w:rPr>
                <w:sz w:val="20"/>
              </w:rPr>
              <w:t>EdTech market recovery slower than expected</w:t>
            </w:r>
          </w:p>
        </w:tc>
        <w:tc>
          <w:tcPr>
            <w:tcW w:type="dxa" w:w="1152"/>
          </w:tcPr>
          <w:p>
            <w:r/>
            <w:r>
              <w:rPr>
                <w:sz w:val="20"/>
              </w:rPr>
              <w:t>Medium</w:t>
            </w:r>
          </w:p>
        </w:tc>
        <w:tc>
          <w:tcPr>
            <w:tcW w:type="dxa" w:w="1152"/>
          </w:tcPr>
          <w:p>
            <w:r/>
            <w:r>
              <w:rPr>
                <w:sz w:val="20"/>
              </w:rPr>
              <w:t>Low-Medium</w:t>
            </w:r>
          </w:p>
        </w:tc>
        <w:tc>
          <w:tcPr>
            <w:tcW w:type="dxa" w:w="4464"/>
          </w:tcPr>
          <w:p>
            <w:r/>
            <w:r>
              <w:rPr>
                <w:sz w:val="20"/>
              </w:rPr>
              <w:t>2024 funding was lowest since 2014; 2025 has rebounded to $2.4B; we're sized for capital efficiency, not for growth-at-all-costs</w:t>
            </w:r>
          </w:p>
        </w:tc>
      </w:tr>
      <w:tr>
        <w:tc>
          <w:tcPr>
            <w:tcW w:type="dxa" w:w="3312"/>
          </w:tcPr>
          <w:p>
            <w:r/>
            <w:r>
              <w:rPr>
                <w:sz w:val="20"/>
              </w:rPr>
              <w:t>Behavioral analytics fairness / bias accusations</w:t>
            </w:r>
          </w:p>
        </w:tc>
        <w:tc>
          <w:tcPr>
            <w:tcW w:type="dxa" w:w="1152"/>
          </w:tcPr>
          <w:p>
            <w:r/>
            <w:r>
              <w:rPr>
                <w:sz w:val="20"/>
              </w:rPr>
              <w:t>Low</w:t>
            </w:r>
          </w:p>
        </w:tc>
        <w:tc>
          <w:tcPr>
            <w:tcW w:type="dxa" w:w="1152"/>
          </w:tcPr>
          <w:p>
            <w:r/>
            <w:r>
              <w:rPr>
                <w:sz w:val="20"/>
              </w:rPr>
              <w:t>High</w:t>
            </w:r>
          </w:p>
        </w:tc>
        <w:tc>
          <w:tcPr>
            <w:tcW w:type="dxa" w:w="4464"/>
          </w:tcPr>
          <w:p>
            <w:r/>
            <w:r>
              <w:rPr>
                <w:sz w:val="20"/>
              </w:rPr>
              <w:t>Annual fairness audits across demographic groups; BKT models individually calibrated; transparent model cards published to teachers; clear 'support not punishment' policy</w:t>
            </w:r>
          </w:p>
        </w:tc>
      </w:tr>
      <w:tr>
        <w:tc>
          <w:tcPr>
            <w:tcW w:type="dxa" w:w="3312"/>
          </w:tcPr>
          <w:p>
            <w:r/>
            <w:r>
              <w:rPr>
                <w:sz w:val="20"/>
              </w:rPr>
              <w:t>Game design fails to engage students (boredom / drop-off)</w:t>
            </w:r>
          </w:p>
        </w:tc>
        <w:tc>
          <w:tcPr>
            <w:tcW w:type="dxa" w:w="1152"/>
          </w:tcPr>
          <w:p>
            <w:r/>
            <w:r>
              <w:rPr>
                <w:sz w:val="20"/>
              </w:rPr>
              <w:t>Low</w:t>
            </w:r>
          </w:p>
        </w:tc>
        <w:tc>
          <w:tcPr>
            <w:tcW w:type="dxa" w:w="1152"/>
          </w:tcPr>
          <w:p>
            <w:r/>
            <w:r>
              <w:rPr>
                <w:sz w:val="20"/>
              </w:rPr>
              <w:t>Medium</w:t>
            </w:r>
          </w:p>
        </w:tc>
        <w:tc>
          <w:tcPr>
            <w:tcW w:type="dxa" w:w="4464"/>
          </w:tcPr>
          <w:p>
            <w:r/>
            <w:r>
              <w:rPr>
                <w:sz w:val="20"/>
              </w:rPr>
              <w:t>Engagement is already validated: 5 live games + 90K telemetry events show strong session-frequency signals; fun-first design philosophy with built-in agency/feedback/escalation</w:t>
            </w:r>
          </w:p>
        </w:tc>
      </w:tr>
    </w:tbl>
    <w:p/>
    <w:p>
      <w:r>
        <w:br w:type="page"/>
      </w:r>
    </w:p>
    <w:p>
      <w:pPr>
        <w:pStyle w:val="Heading1"/>
      </w:pPr>
      <w:r>
        <w:rPr>
          <w:b/>
          <w:color w:val="1F4788"/>
          <w:sz w:val="44"/>
        </w:rPr>
        <w:t>12. The Ask &amp; Use of Funds</w:t>
      </w:r>
    </w:p>
    <w:p>
      <w:pPr>
        <w:pStyle w:val="Heading2"/>
      </w:pPr>
      <w:r>
        <w:rPr>
          <w:b/>
          <w:color w:val="1F4788"/>
          <w:sz w:val="30"/>
        </w:rPr>
        <w:t>12.1 The ask</w:t>
      </w:r>
    </w:p>
    <w:p>
      <w:pPr>
        <w:spacing w:after="160"/>
        <w:jc w:val="both"/>
      </w:pPr>
      <w:r>
        <w:rPr>
          <w:b w:val="0"/>
          <w:i w:val="0"/>
          <w:sz w:val="22"/>
        </w:rPr>
        <w:t>We are raising USD 500,000 at a USD 4.0 million pre-money valuation (USD 4.5M post-money; 11.11% to seed investors).</w:t>
      </w:r>
    </w:p>
    <w:p>
      <w:pPr>
        <w:spacing w:after="160"/>
      </w:pPr>
      <w:r>
        <w:rPr>
          <w:b w:val="0"/>
          <w:i w:val="0"/>
          <w:sz w:val="22"/>
        </w:rPr>
        <w:t>Round structure: SAFE (Y-Combinator post-money) or priced equity, investor's preference. Discount + MFN available on a case basis for early committers.</w:t>
      </w:r>
    </w:p>
    <w:p>
      <w:pPr>
        <w:spacing w:after="160"/>
        <w:jc w:val="both"/>
      </w:pPr>
      <w:r>
        <w:rPr>
          <w:b w:val="0"/>
          <w:i/>
          <w:color w:val="888888"/>
          <w:sz w:val="22"/>
        </w:rPr>
        <w:t>Round positioning: we are pitching specialist EdTech seed funds (Reach Capital, Owl Ventures Seed, NewSchools, GSV Ventures, Learn Capital) and regional GCC funds (Beco Capital, MEVP, Wamda) — not tier-1 generalist funds, which we acknowledge are appropriate Series A revisit candidates only.</w:t>
      </w:r>
    </w:p>
    <w:p>
      <w:pPr>
        <w:pStyle w:val="Heading2"/>
      </w:pPr>
      <w:r>
        <w:rPr>
          <w:b/>
          <w:color w:val="1F4788"/>
          <w:sz w:val="30"/>
        </w:rPr>
        <w:t>12.2 Use of funds</w:t>
      </w:r>
    </w:p>
    <w:p>
      <w:pPr>
        <w:jc w:val="center"/>
      </w:pPr>
      <w:r>
        <w:drawing>
          <wp:inline xmlns:a="http://schemas.openxmlformats.org/drawingml/2006/main" xmlns:pic="http://schemas.openxmlformats.org/drawingml/2006/picture">
            <wp:extent cx="5943600" cy="4308100"/>
            <wp:docPr id="14" name="Picture 14"/>
            <wp:cNvGraphicFramePr>
              <a:graphicFrameLocks noChangeAspect="1"/>
            </wp:cNvGraphicFramePr>
            <a:graphic>
              <a:graphicData uri="http://schemas.openxmlformats.org/drawingml/2006/picture">
                <pic:pic>
                  <pic:nvPicPr>
                    <pic:cNvPr id="0" name="figure_10_use_of_funds.png"/>
                    <pic:cNvPicPr/>
                  </pic:nvPicPr>
                  <pic:blipFill>
                    <a:blip r:embed="rId21"/>
                    <a:stretch>
                      <a:fillRect/>
                    </a:stretch>
                  </pic:blipFill>
                  <pic:spPr>
                    <a:xfrm>
                      <a:off x="0" y="0"/>
                      <a:ext cx="5943600" cy="4308100"/>
                    </a:xfrm>
                    <a:prstGeom prst="rect"/>
                  </pic:spPr>
                </pic:pic>
              </a:graphicData>
            </a:graphic>
          </wp:inline>
        </w:drawing>
      </w:r>
    </w:p>
    <w:p>
      <w:pPr>
        <w:spacing w:after="240"/>
        <w:jc w:val="center"/>
      </w:pPr>
      <w:r>
        <w:rPr>
          <w:i/>
          <w:color w:val="888888"/>
          <w:sz w:val="18"/>
        </w:rPr>
        <w:t>Figure 14. $500K seed allocation across 5 categories.</w:t>
      </w:r>
    </w:p>
    <w:p>
      <w:pPr>
        <w:spacing w:after="160"/>
      </w:pPr>
      <w:r>
        <w:rPr>
          <w:b w:val="0"/>
          <w:i/>
          <w:color w:val="888888"/>
          <w:sz w:val="22"/>
        </w:rPr>
        <w:t>Use of funds is GTM-weighted because product is already shipped and the gating risk at this stage is school-side distribution, not engineering. Reviewers uniformly flagged this rebalance as essential.</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880"/>
            <w:shd w:val="clear" w:color="auto" w:fill="1F4788"/>
          </w:tcPr>
          <w:p>
            <w:r/>
            <w:r>
              <w:rPr>
                <w:b/>
                <w:color w:val="FFFFFF"/>
                <w:sz w:val="20"/>
              </w:rPr>
              <w:t>Category</w:t>
            </w:r>
          </w:p>
        </w:tc>
        <w:tc>
          <w:tcPr>
            <w:tcW w:type="dxa" w:w="1296"/>
            <w:shd w:val="clear" w:color="auto" w:fill="1F4788"/>
          </w:tcPr>
          <w:p>
            <w:r/>
            <w:r>
              <w:rPr>
                <w:b/>
                <w:color w:val="FFFFFF"/>
                <w:sz w:val="20"/>
              </w:rPr>
              <w:t>Amount</w:t>
            </w:r>
          </w:p>
        </w:tc>
        <w:tc>
          <w:tcPr>
            <w:tcW w:type="dxa" w:w="1008"/>
            <w:shd w:val="clear" w:color="auto" w:fill="1F4788"/>
          </w:tcPr>
          <w:p>
            <w:r/>
            <w:r>
              <w:rPr>
                <w:b/>
                <w:color w:val="FFFFFF"/>
                <w:sz w:val="20"/>
              </w:rPr>
              <w:t>% of seed</w:t>
            </w:r>
          </w:p>
        </w:tc>
        <w:tc>
          <w:tcPr>
            <w:tcW w:type="dxa" w:w="4896"/>
            <w:shd w:val="clear" w:color="auto" w:fill="1F4788"/>
          </w:tcPr>
          <w:p>
            <w:r/>
            <w:r>
              <w:rPr>
                <w:b/>
                <w:color w:val="FFFFFF"/>
                <w:sz w:val="20"/>
              </w:rPr>
              <w:t>What it buys</w:t>
            </w:r>
          </w:p>
        </w:tc>
      </w:tr>
      <w:tr>
        <w:tc>
          <w:tcPr>
            <w:tcW w:type="dxa" w:w="2880"/>
          </w:tcPr>
          <w:p>
            <w:r/>
            <w:r>
              <w:rPr>
                <w:sz w:val="20"/>
              </w:rPr>
              <w:t>GTM: 2 BD hires + founder travel + GESS/BETT</w:t>
            </w:r>
          </w:p>
        </w:tc>
        <w:tc>
          <w:tcPr>
            <w:tcW w:type="dxa" w:w="1296"/>
          </w:tcPr>
          <w:p>
            <w:r/>
            <w:r>
              <w:rPr>
                <w:sz w:val="20"/>
              </w:rPr>
              <w:t>$250K</w:t>
            </w:r>
          </w:p>
        </w:tc>
        <w:tc>
          <w:tcPr>
            <w:tcW w:type="dxa" w:w="1008"/>
          </w:tcPr>
          <w:p>
            <w:r/>
            <w:r>
              <w:rPr>
                <w:sz w:val="20"/>
              </w:rPr>
              <w:t>50%</w:t>
            </w:r>
          </w:p>
        </w:tc>
        <w:tc>
          <w:tcPr>
            <w:tcW w:type="dxa" w:w="4896"/>
          </w:tcPr>
          <w:p>
            <w:r/>
            <w:r>
              <w:rPr>
                <w:sz w:val="20"/>
              </w:rPr>
              <w:t>2 school-BD hires (Riyadh + Dubai based); GESS Dubai + BETT booths; conference travel; targeted teacher PLG ads</w:t>
            </w:r>
          </w:p>
        </w:tc>
      </w:tr>
      <w:tr>
        <w:tc>
          <w:tcPr>
            <w:tcW w:type="dxa" w:w="2880"/>
          </w:tcPr>
          <w:p>
            <w:r/>
            <w:r>
              <w:rPr>
                <w:sz w:val="20"/>
              </w:rPr>
              <w:t>Engineering (1 senior + AI tooling)</w:t>
            </w:r>
          </w:p>
        </w:tc>
        <w:tc>
          <w:tcPr>
            <w:tcW w:type="dxa" w:w="1296"/>
          </w:tcPr>
          <w:p>
            <w:r/>
            <w:r>
              <w:rPr>
                <w:sz w:val="20"/>
              </w:rPr>
              <w:t>$125K</w:t>
            </w:r>
          </w:p>
        </w:tc>
        <w:tc>
          <w:tcPr>
            <w:tcW w:type="dxa" w:w="1008"/>
          </w:tcPr>
          <w:p>
            <w:r/>
            <w:r>
              <w:rPr>
                <w:sz w:val="20"/>
              </w:rPr>
              <w:t>25%</w:t>
            </w:r>
          </w:p>
        </w:tc>
        <w:tc>
          <w:tcPr>
            <w:tcW w:type="dxa" w:w="4896"/>
          </w:tcPr>
          <w:p>
            <w:r/>
            <w:r>
              <w:rPr>
                <w:sz w:val="20"/>
              </w:rPr>
              <w:t>1 senior full-stack engineer + Anthropic Claude API for content + summarization tooling</w:t>
            </w:r>
          </w:p>
        </w:tc>
      </w:tr>
      <w:tr>
        <w:tc>
          <w:tcPr>
            <w:tcW w:type="dxa" w:w="2880"/>
          </w:tcPr>
          <w:p>
            <w:r/>
            <w:r>
              <w:rPr>
                <w:sz w:val="20"/>
              </w:rPr>
              <w:t>Pilots + content + 1 wedge-game deepening</w:t>
            </w:r>
          </w:p>
        </w:tc>
        <w:tc>
          <w:tcPr>
            <w:tcW w:type="dxa" w:w="1296"/>
          </w:tcPr>
          <w:p>
            <w:r/>
            <w:r>
              <w:rPr>
                <w:sz w:val="20"/>
              </w:rPr>
              <w:t>$50K</w:t>
            </w:r>
          </w:p>
        </w:tc>
        <w:tc>
          <w:tcPr>
            <w:tcW w:type="dxa" w:w="1008"/>
          </w:tcPr>
          <w:p>
            <w:r/>
            <w:r>
              <w:rPr>
                <w:sz w:val="20"/>
              </w:rPr>
              <w:t>10%</w:t>
            </w:r>
          </w:p>
        </w:tc>
        <w:tc>
          <w:tcPr>
            <w:tcW w:type="dxa" w:w="4896"/>
          </w:tcPr>
          <w:p>
            <w:r/>
            <w:r>
              <w:rPr>
                <w:sz w:val="20"/>
              </w:rPr>
              <w:t>Pulse Realms curriculum mapping (3 GCC programs); question-bank expansion to 600+</w:t>
            </w:r>
          </w:p>
        </w:tc>
      </w:tr>
      <w:tr>
        <w:tc>
          <w:tcPr>
            <w:tcW w:type="dxa" w:w="2880"/>
          </w:tcPr>
          <w:p>
            <w:r/>
            <w:r>
              <w:rPr>
                <w:sz w:val="20"/>
              </w:rPr>
              <w:t>Compliance + legal (PDPL, COPPA, SAFE)</w:t>
            </w:r>
          </w:p>
        </w:tc>
        <w:tc>
          <w:tcPr>
            <w:tcW w:type="dxa" w:w="1296"/>
          </w:tcPr>
          <w:p>
            <w:r/>
            <w:r>
              <w:rPr>
                <w:sz w:val="20"/>
              </w:rPr>
              <w:t>$50K</w:t>
            </w:r>
          </w:p>
        </w:tc>
        <w:tc>
          <w:tcPr>
            <w:tcW w:type="dxa" w:w="1008"/>
          </w:tcPr>
          <w:p>
            <w:r/>
            <w:r>
              <w:rPr>
                <w:sz w:val="20"/>
              </w:rPr>
              <w:t>10%</w:t>
            </w:r>
          </w:p>
        </w:tc>
        <w:tc>
          <w:tcPr>
            <w:tcW w:type="dxa" w:w="4896"/>
          </w:tcPr>
          <w:p>
            <w:r/>
            <w:r>
              <w:rPr>
                <w:sz w:val="20"/>
              </w:rPr>
              <w:t>Saudi PDPL gap analysis + remediation; COPPA safe-harbor certification; SAFE/equity legals</w:t>
            </w:r>
          </w:p>
        </w:tc>
      </w:tr>
      <w:tr>
        <w:tc>
          <w:tcPr>
            <w:tcW w:type="dxa" w:w="2880"/>
          </w:tcPr>
          <w:p>
            <w:r/>
            <w:r>
              <w:rPr>
                <w:sz w:val="20"/>
              </w:rPr>
              <w:t>Operations + reserve</w:t>
            </w:r>
          </w:p>
        </w:tc>
        <w:tc>
          <w:tcPr>
            <w:tcW w:type="dxa" w:w="1296"/>
          </w:tcPr>
          <w:p>
            <w:r/>
            <w:r>
              <w:rPr>
                <w:sz w:val="20"/>
              </w:rPr>
              <w:t>$25K</w:t>
            </w:r>
          </w:p>
        </w:tc>
        <w:tc>
          <w:tcPr>
            <w:tcW w:type="dxa" w:w="1008"/>
          </w:tcPr>
          <w:p>
            <w:r/>
            <w:r>
              <w:rPr>
                <w:sz w:val="20"/>
              </w:rPr>
              <w:t>5%</w:t>
            </w:r>
          </w:p>
        </w:tc>
        <w:tc>
          <w:tcPr>
            <w:tcW w:type="dxa" w:w="4896"/>
          </w:tcPr>
          <w:p>
            <w:r/>
            <w:r>
              <w:rPr>
                <w:sz w:val="20"/>
              </w:rPr>
              <w:t>Cloud infra; books/tools; ~6 weeks runway buffer</w:t>
            </w:r>
          </w:p>
        </w:tc>
      </w:tr>
      <w:tr>
        <w:tc>
          <w:tcPr>
            <w:tcW w:type="dxa" w:w="2880"/>
          </w:tcPr>
          <w:p>
            <w:r/>
            <w:r>
              <w:rPr>
                <w:sz w:val="20"/>
              </w:rPr>
              <w:t>Total</w:t>
            </w:r>
          </w:p>
        </w:tc>
        <w:tc>
          <w:tcPr>
            <w:tcW w:type="dxa" w:w="1296"/>
          </w:tcPr>
          <w:p>
            <w:r/>
            <w:r>
              <w:rPr>
                <w:sz w:val="20"/>
              </w:rPr>
              <w:t>$500K</w:t>
            </w:r>
          </w:p>
        </w:tc>
        <w:tc>
          <w:tcPr>
            <w:tcW w:type="dxa" w:w="1008"/>
          </w:tcPr>
          <w:p>
            <w:r/>
            <w:r>
              <w:rPr>
                <w:sz w:val="20"/>
              </w:rPr>
              <w:t>100%</w:t>
            </w:r>
          </w:p>
        </w:tc>
        <w:tc>
          <w:tcPr>
            <w:tcW w:type="dxa" w:w="4896"/>
          </w:tcPr>
          <w:p>
            <w:r/>
            <w:r>
              <w:rPr>
                <w:sz w:val="20"/>
              </w:rPr>
            </w:r>
          </w:p>
        </w:tc>
      </w:tr>
    </w:tbl>
    <w:p/>
    <w:p>
      <w:pPr>
        <w:pStyle w:val="Heading2"/>
      </w:pPr>
      <w:r>
        <w:rPr>
          <w:b/>
          <w:color w:val="1F4788"/>
          <w:sz w:val="30"/>
        </w:rPr>
        <w:t>12.3 What we want from investors (beyond cash)</w:t>
      </w:r>
    </w:p>
    <w:p>
      <w:pPr>
        <w:pStyle w:val="ListBullet"/>
        <w:spacing w:after="40"/>
        <w:ind w:left="360"/>
      </w:pPr>
      <w:r>
        <w:rPr>
          <w:sz w:val="22"/>
        </w:rPr>
        <w:t>Warm intros to GCC private school operators (GEMS, Taaleem, SABIS, etc.)</w:t>
      </w:r>
    </w:p>
    <w:p>
      <w:pPr>
        <w:pStyle w:val="ListBullet"/>
        <w:spacing w:after="40"/>
        <w:ind w:left="360"/>
      </w:pPr>
      <w:r>
        <w:rPr>
          <w:sz w:val="22"/>
        </w:rPr>
        <w:t>Warm intros to KSA Ministry of Education + NEOM education team</w:t>
      </w:r>
    </w:p>
    <w:p>
      <w:pPr>
        <w:pStyle w:val="ListBullet"/>
        <w:spacing w:after="40"/>
        <w:ind w:left="360"/>
      </w:pPr>
      <w:r>
        <w:rPr>
          <w:sz w:val="22"/>
        </w:rPr>
        <w:t>Operator advisors (ex-Kahoot, ex-Prodigy, ex-IXL preferred)</w:t>
      </w:r>
    </w:p>
    <w:p>
      <w:pPr>
        <w:pStyle w:val="ListBullet"/>
        <w:spacing w:after="40"/>
        <w:ind w:left="360"/>
      </w:pPr>
      <w:r>
        <w:rPr>
          <w:sz w:val="22"/>
        </w:rPr>
        <w:t>Patience and partnership through the Series A inflection (month 18-24)</w:t>
      </w:r>
    </w:p>
    <w:p>
      <w:r>
        <w:br w:type="page"/>
      </w:r>
    </w:p>
    <w:p>
      <w:pPr>
        <w:pStyle w:val="Heading1"/>
      </w:pPr>
      <w:r>
        <w:rPr>
          <w:b/>
          <w:color w:val="1F4788"/>
          <w:sz w:val="44"/>
        </w:rPr>
        <w:t>Appendix A — Financial model excerpt</w:t>
      </w:r>
    </w:p>
    <w:p>
      <w:pPr>
        <w:spacing w:after="160"/>
      </w:pPr>
      <w:r>
        <w:rPr>
          <w:b w:val="0"/>
          <w:i w:val="0"/>
          <w:sz w:val="22"/>
        </w:rPr>
        <w:t>Full Excel model lives at reports/business-plan/financial_model.xlsx in the repo. Key sheets: P&amp;L, Unit Economics, Comparables, 10× Scenarios, Use of Funds.</w:t>
      </w:r>
    </w:p>
    <w:p>
      <w:pPr>
        <w:pStyle w:val="Heading2"/>
      </w:pPr>
      <w:r>
        <w:rPr>
          <w:b/>
          <w:color w:val="1F4788"/>
          <w:sz w:val="30"/>
        </w:rPr>
        <w:t>A.1 Revenue build by segment (5 years)</w:t>
      </w:r>
    </w:p>
    <w:tbl>
      <w:tblPr>
        <w:tblStyle w:val="LightGrid-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3456"/>
            <w:shd w:val="clear" w:color="auto" w:fill="1F4788"/>
          </w:tcPr>
          <w:p>
            <w:r/>
            <w:r>
              <w:rPr>
                <w:b/>
                <w:color w:val="FFFFFF"/>
                <w:sz w:val="20"/>
              </w:rPr>
              <w:t>Segment</w:t>
            </w:r>
          </w:p>
        </w:tc>
        <w:tc>
          <w:tcPr>
            <w:tcW w:type="dxa" w:w="1224"/>
            <w:shd w:val="clear" w:color="auto" w:fill="1F4788"/>
          </w:tcPr>
          <w:p>
            <w:r/>
            <w:r>
              <w:rPr>
                <w:b/>
                <w:color w:val="FFFFFF"/>
                <w:sz w:val="20"/>
              </w:rPr>
              <w:t>Y1</w:t>
            </w:r>
          </w:p>
        </w:tc>
        <w:tc>
          <w:tcPr>
            <w:tcW w:type="dxa" w:w="1224"/>
            <w:shd w:val="clear" w:color="auto" w:fill="1F4788"/>
          </w:tcPr>
          <w:p>
            <w:r/>
            <w:r>
              <w:rPr>
                <w:b/>
                <w:color w:val="FFFFFF"/>
                <w:sz w:val="20"/>
              </w:rPr>
              <w:t>Y2</w:t>
            </w:r>
          </w:p>
        </w:tc>
        <w:tc>
          <w:tcPr>
            <w:tcW w:type="dxa" w:w="1224"/>
            <w:shd w:val="clear" w:color="auto" w:fill="1F4788"/>
          </w:tcPr>
          <w:p>
            <w:r/>
            <w:r>
              <w:rPr>
                <w:b/>
                <w:color w:val="FFFFFF"/>
                <w:sz w:val="20"/>
              </w:rPr>
              <w:t>Y3</w:t>
            </w:r>
          </w:p>
        </w:tc>
        <w:tc>
          <w:tcPr>
            <w:tcW w:type="dxa" w:w="1224"/>
            <w:shd w:val="clear" w:color="auto" w:fill="1F4788"/>
          </w:tcPr>
          <w:p>
            <w:r/>
            <w:r>
              <w:rPr>
                <w:b/>
                <w:color w:val="FFFFFF"/>
                <w:sz w:val="20"/>
              </w:rPr>
              <w:t>Y4</w:t>
            </w:r>
          </w:p>
        </w:tc>
        <w:tc>
          <w:tcPr>
            <w:tcW w:type="dxa" w:w="1224"/>
            <w:shd w:val="clear" w:color="auto" w:fill="1F4788"/>
          </w:tcPr>
          <w:p>
            <w:r/>
            <w:r>
              <w:rPr>
                <w:b/>
                <w:color w:val="FFFFFF"/>
                <w:sz w:val="20"/>
              </w:rPr>
              <w:t>Y5</w:t>
            </w:r>
          </w:p>
        </w:tc>
      </w:tr>
      <w:tr>
        <w:tc>
          <w:tcPr>
            <w:tcW w:type="dxa" w:w="3456"/>
          </w:tcPr>
          <w:p>
            <w:r/>
            <w:r>
              <w:rPr>
                <w:sz w:val="20"/>
              </w:rPr>
              <w:t>Individual Teacher Pro</w:t>
            </w:r>
          </w:p>
        </w:tc>
        <w:tc>
          <w:tcPr>
            <w:tcW w:type="dxa" w:w="1224"/>
          </w:tcPr>
          <w:p>
            <w:r/>
            <w:r>
              <w:rPr>
                <w:sz w:val="20"/>
              </w:rPr>
              <w:t>$60K</w:t>
            </w:r>
          </w:p>
        </w:tc>
        <w:tc>
          <w:tcPr>
            <w:tcW w:type="dxa" w:w="1224"/>
          </w:tcPr>
          <w:p>
            <w:r/>
            <w:r>
              <w:rPr>
                <w:sz w:val="20"/>
              </w:rPr>
              <w:t>$175K</w:t>
            </w:r>
          </w:p>
        </w:tc>
        <w:tc>
          <w:tcPr>
            <w:tcW w:type="dxa" w:w="1224"/>
          </w:tcPr>
          <w:p>
            <w:r/>
            <w:r>
              <w:rPr>
                <w:sz w:val="20"/>
              </w:rPr>
              <w:t>$455K</w:t>
            </w:r>
          </w:p>
        </w:tc>
        <w:tc>
          <w:tcPr>
            <w:tcW w:type="dxa" w:w="1224"/>
          </w:tcPr>
          <w:p>
            <w:r/>
            <w:r>
              <w:rPr>
                <w:sz w:val="20"/>
              </w:rPr>
              <w:t>$878K</w:t>
            </w:r>
          </w:p>
        </w:tc>
        <w:tc>
          <w:tcPr>
            <w:tcW w:type="dxa" w:w="1224"/>
          </w:tcPr>
          <w:p>
            <w:r/>
            <w:r>
              <w:rPr>
                <w:sz w:val="20"/>
              </w:rPr>
              <w:t>$1.40M</w:t>
            </w:r>
          </w:p>
        </w:tc>
      </w:tr>
      <w:tr>
        <w:tc>
          <w:tcPr>
            <w:tcW w:type="dxa" w:w="3456"/>
          </w:tcPr>
          <w:p>
            <w:r/>
            <w:r>
              <w:rPr>
                <w:sz w:val="20"/>
              </w:rPr>
              <w:t>School Standard</w:t>
            </w:r>
          </w:p>
        </w:tc>
        <w:tc>
          <w:tcPr>
            <w:tcW w:type="dxa" w:w="1224"/>
          </w:tcPr>
          <w:p>
            <w:r/>
            <w:r>
              <w:rPr>
                <w:sz w:val="20"/>
              </w:rPr>
              <w:t>$75K</w:t>
            </w:r>
          </w:p>
        </w:tc>
        <w:tc>
          <w:tcPr>
            <w:tcW w:type="dxa" w:w="1224"/>
          </w:tcPr>
          <w:p>
            <w:r/>
            <w:r>
              <w:rPr>
                <w:sz w:val="20"/>
              </w:rPr>
              <w:t>$202K</w:t>
            </w:r>
          </w:p>
        </w:tc>
        <w:tc>
          <w:tcPr>
            <w:tcW w:type="dxa" w:w="1224"/>
          </w:tcPr>
          <w:p>
            <w:r/>
            <w:r>
              <w:rPr>
                <w:sz w:val="20"/>
              </w:rPr>
              <w:t>$439K</w:t>
            </w:r>
          </w:p>
        </w:tc>
        <w:tc>
          <w:tcPr>
            <w:tcW w:type="dxa" w:w="1224"/>
          </w:tcPr>
          <w:p>
            <w:r/>
            <w:r>
              <w:rPr>
                <w:sz w:val="20"/>
              </w:rPr>
              <w:t>$760K</w:t>
            </w:r>
          </w:p>
        </w:tc>
        <w:tc>
          <w:tcPr>
            <w:tcW w:type="dxa" w:w="1224"/>
          </w:tcPr>
          <w:p>
            <w:r/>
            <w:r>
              <w:rPr>
                <w:sz w:val="20"/>
              </w:rPr>
              <w:t>$1.20M</w:t>
            </w:r>
          </w:p>
        </w:tc>
      </w:tr>
      <w:tr>
        <w:tc>
          <w:tcPr>
            <w:tcW w:type="dxa" w:w="3456"/>
          </w:tcPr>
          <w:p>
            <w:r/>
            <w:r>
              <w:rPr>
                <w:sz w:val="20"/>
              </w:rPr>
              <w:t>School Premium</w:t>
            </w:r>
          </w:p>
        </w:tc>
        <w:tc>
          <w:tcPr>
            <w:tcW w:type="dxa" w:w="1224"/>
          </w:tcPr>
          <w:p>
            <w:r/>
            <w:r>
              <w:rPr>
                <w:sz w:val="20"/>
              </w:rPr>
              <w:t>$60K</w:t>
            </w:r>
          </w:p>
        </w:tc>
        <w:tc>
          <w:tcPr>
            <w:tcW w:type="dxa" w:w="1224"/>
          </w:tcPr>
          <w:p>
            <w:r/>
            <w:r>
              <w:rPr>
                <w:sz w:val="20"/>
              </w:rPr>
              <w:t>$189K</w:t>
            </w:r>
          </w:p>
        </w:tc>
        <w:tc>
          <w:tcPr>
            <w:tcW w:type="dxa" w:w="1224"/>
          </w:tcPr>
          <w:p>
            <w:r/>
            <w:r>
              <w:rPr>
                <w:sz w:val="20"/>
              </w:rPr>
              <w:t>$443K</w:t>
            </w:r>
          </w:p>
        </w:tc>
        <w:tc>
          <w:tcPr>
            <w:tcW w:type="dxa" w:w="1224"/>
          </w:tcPr>
          <w:p>
            <w:r/>
            <w:r>
              <w:rPr>
                <w:sz w:val="20"/>
              </w:rPr>
              <w:t>$797K</w:t>
            </w:r>
          </w:p>
        </w:tc>
        <w:tc>
          <w:tcPr>
            <w:tcW w:type="dxa" w:w="1224"/>
          </w:tcPr>
          <w:p>
            <w:r/>
            <w:r>
              <w:rPr>
                <w:sz w:val="20"/>
              </w:rPr>
              <w:t>$1.30M</w:t>
            </w:r>
          </w:p>
        </w:tc>
      </w:tr>
      <w:tr>
        <w:tc>
          <w:tcPr>
            <w:tcW w:type="dxa" w:w="3456"/>
          </w:tcPr>
          <w:p>
            <w:r/>
            <w:r>
              <w:rPr>
                <w:sz w:val="20"/>
              </w:rPr>
              <w:t>District / Multi-school</w:t>
            </w:r>
          </w:p>
        </w:tc>
        <w:tc>
          <w:tcPr>
            <w:tcW w:type="dxa" w:w="1224"/>
          </w:tcPr>
          <w:p>
            <w:r/>
            <w:r>
              <w:rPr>
                <w:sz w:val="20"/>
              </w:rPr>
              <w:t>$0K</w:t>
            </w:r>
          </w:p>
        </w:tc>
        <w:tc>
          <w:tcPr>
            <w:tcW w:type="dxa" w:w="1224"/>
          </w:tcPr>
          <w:p>
            <w:r/>
            <w:r>
              <w:rPr>
                <w:sz w:val="20"/>
              </w:rPr>
              <w:t>$0K</w:t>
            </w:r>
          </w:p>
        </w:tc>
        <w:tc>
          <w:tcPr>
            <w:tcW w:type="dxa" w:w="1224"/>
          </w:tcPr>
          <w:p>
            <w:r/>
            <w:r>
              <w:rPr>
                <w:sz w:val="20"/>
              </w:rPr>
              <w:t>$198K</w:t>
            </w:r>
          </w:p>
        </w:tc>
        <w:tc>
          <w:tcPr>
            <w:tcW w:type="dxa" w:w="1224"/>
          </w:tcPr>
          <w:p>
            <w:r/>
            <w:r>
              <w:rPr>
                <w:sz w:val="20"/>
              </w:rPr>
              <w:t>$499K</w:t>
            </w:r>
          </w:p>
        </w:tc>
        <w:tc>
          <w:tcPr>
            <w:tcW w:type="dxa" w:w="1224"/>
          </w:tcPr>
          <w:p>
            <w:r/>
            <w:r>
              <w:rPr>
                <w:sz w:val="20"/>
              </w:rPr>
              <w:t>$1.06M</w:t>
            </w:r>
          </w:p>
        </w:tc>
      </w:tr>
    </w:tbl>
    <w:p/>
    <w:p>
      <w:pPr>
        <w:pStyle w:val="Heading2"/>
      </w:pPr>
      <w:r>
        <w:rPr>
          <w:b/>
          <w:color w:val="1F4788"/>
          <w:sz w:val="30"/>
        </w:rPr>
        <w:t>A.2 Cost ramp by line</w:t>
      </w:r>
    </w:p>
    <w:tbl>
      <w:tblPr>
        <w:tblStyle w:val="LightGrid-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3456"/>
            <w:shd w:val="clear" w:color="auto" w:fill="1F4788"/>
          </w:tcPr>
          <w:p>
            <w:r/>
            <w:r>
              <w:rPr>
                <w:b/>
                <w:color w:val="FFFFFF"/>
                <w:sz w:val="20"/>
              </w:rPr>
              <w:t>Cost line</w:t>
            </w:r>
          </w:p>
        </w:tc>
        <w:tc>
          <w:tcPr>
            <w:tcW w:type="dxa" w:w="1224"/>
            <w:shd w:val="clear" w:color="auto" w:fill="1F4788"/>
          </w:tcPr>
          <w:p>
            <w:r/>
            <w:r>
              <w:rPr>
                <w:b/>
                <w:color w:val="FFFFFF"/>
                <w:sz w:val="20"/>
              </w:rPr>
              <w:t>Y1</w:t>
            </w:r>
          </w:p>
        </w:tc>
        <w:tc>
          <w:tcPr>
            <w:tcW w:type="dxa" w:w="1224"/>
            <w:shd w:val="clear" w:color="auto" w:fill="1F4788"/>
          </w:tcPr>
          <w:p>
            <w:r/>
            <w:r>
              <w:rPr>
                <w:b/>
                <w:color w:val="FFFFFF"/>
                <w:sz w:val="20"/>
              </w:rPr>
              <w:t>Y2</w:t>
            </w:r>
          </w:p>
        </w:tc>
        <w:tc>
          <w:tcPr>
            <w:tcW w:type="dxa" w:w="1224"/>
            <w:shd w:val="clear" w:color="auto" w:fill="1F4788"/>
          </w:tcPr>
          <w:p>
            <w:r/>
            <w:r>
              <w:rPr>
                <w:b/>
                <w:color w:val="FFFFFF"/>
                <w:sz w:val="20"/>
              </w:rPr>
              <w:t>Y3</w:t>
            </w:r>
          </w:p>
        </w:tc>
        <w:tc>
          <w:tcPr>
            <w:tcW w:type="dxa" w:w="1224"/>
            <w:shd w:val="clear" w:color="auto" w:fill="1F4788"/>
          </w:tcPr>
          <w:p>
            <w:r/>
            <w:r>
              <w:rPr>
                <w:b/>
                <w:color w:val="FFFFFF"/>
                <w:sz w:val="20"/>
              </w:rPr>
              <w:t>Y4</w:t>
            </w:r>
          </w:p>
        </w:tc>
        <w:tc>
          <w:tcPr>
            <w:tcW w:type="dxa" w:w="1224"/>
            <w:shd w:val="clear" w:color="auto" w:fill="1F4788"/>
          </w:tcPr>
          <w:p>
            <w:r/>
            <w:r>
              <w:rPr>
                <w:b/>
                <w:color w:val="FFFFFF"/>
                <w:sz w:val="20"/>
              </w:rPr>
              <w:t>Y5</w:t>
            </w:r>
          </w:p>
        </w:tc>
      </w:tr>
      <w:tr>
        <w:tc>
          <w:tcPr>
            <w:tcW w:type="dxa" w:w="3456"/>
          </w:tcPr>
          <w:p>
            <w:r/>
            <w:r>
              <w:rPr>
                <w:sz w:val="20"/>
              </w:rPr>
              <w:t>Engineering &amp; R&amp;D</w:t>
            </w:r>
          </w:p>
        </w:tc>
        <w:tc>
          <w:tcPr>
            <w:tcW w:type="dxa" w:w="1224"/>
          </w:tcPr>
          <w:p>
            <w:r/>
            <w:r>
              <w:rPr>
                <w:sz w:val="20"/>
              </w:rPr>
              <w:t>$200K</w:t>
            </w:r>
          </w:p>
        </w:tc>
        <w:tc>
          <w:tcPr>
            <w:tcW w:type="dxa" w:w="1224"/>
          </w:tcPr>
          <w:p>
            <w:r/>
            <w:r>
              <w:rPr>
                <w:sz w:val="20"/>
              </w:rPr>
              <w:t>$400K</w:t>
            </w:r>
          </w:p>
        </w:tc>
        <w:tc>
          <w:tcPr>
            <w:tcW w:type="dxa" w:w="1224"/>
          </w:tcPr>
          <w:p>
            <w:r/>
            <w:r>
              <w:rPr>
                <w:sz w:val="20"/>
              </w:rPr>
              <w:t>$750K</w:t>
            </w:r>
          </w:p>
        </w:tc>
        <w:tc>
          <w:tcPr>
            <w:tcW w:type="dxa" w:w="1224"/>
          </w:tcPr>
          <w:p>
            <w:r/>
            <w:r>
              <w:rPr>
                <w:sz w:val="20"/>
              </w:rPr>
              <w:t>$1.20M</w:t>
            </w:r>
          </w:p>
        </w:tc>
        <w:tc>
          <w:tcPr>
            <w:tcW w:type="dxa" w:w="1224"/>
          </w:tcPr>
          <w:p>
            <w:r/>
            <w:r>
              <w:rPr>
                <w:sz w:val="20"/>
              </w:rPr>
              <w:t>$1.70M</w:t>
            </w:r>
          </w:p>
        </w:tc>
      </w:tr>
      <w:tr>
        <w:tc>
          <w:tcPr>
            <w:tcW w:type="dxa" w:w="3456"/>
          </w:tcPr>
          <w:p>
            <w:r/>
            <w:r>
              <w:rPr>
                <w:sz w:val="20"/>
              </w:rPr>
              <w:t>Game Design &amp; Content</w:t>
            </w:r>
          </w:p>
        </w:tc>
        <w:tc>
          <w:tcPr>
            <w:tcW w:type="dxa" w:w="1224"/>
          </w:tcPr>
          <w:p>
            <w:r/>
            <w:r>
              <w:rPr>
                <w:sz w:val="20"/>
              </w:rPr>
              <w:t>$60K</w:t>
            </w:r>
          </w:p>
        </w:tc>
        <w:tc>
          <w:tcPr>
            <w:tcW w:type="dxa" w:w="1224"/>
          </w:tcPr>
          <w:p>
            <w:r/>
            <w:r>
              <w:rPr>
                <w:sz w:val="20"/>
              </w:rPr>
              <w:t>$150K</w:t>
            </w:r>
          </w:p>
        </w:tc>
        <w:tc>
          <w:tcPr>
            <w:tcW w:type="dxa" w:w="1224"/>
          </w:tcPr>
          <w:p>
            <w:r/>
            <w:r>
              <w:rPr>
                <w:sz w:val="20"/>
              </w:rPr>
              <w:t>$350K</w:t>
            </w:r>
          </w:p>
        </w:tc>
        <w:tc>
          <w:tcPr>
            <w:tcW w:type="dxa" w:w="1224"/>
          </w:tcPr>
          <w:p>
            <w:r/>
            <w:r>
              <w:rPr>
                <w:sz w:val="20"/>
              </w:rPr>
              <w:t>$600K</w:t>
            </w:r>
          </w:p>
        </w:tc>
        <w:tc>
          <w:tcPr>
            <w:tcW w:type="dxa" w:w="1224"/>
          </w:tcPr>
          <w:p>
            <w:r/>
            <w:r>
              <w:rPr>
                <w:sz w:val="20"/>
              </w:rPr>
              <w:t>$850K</w:t>
            </w:r>
          </w:p>
        </w:tc>
      </w:tr>
      <w:tr>
        <w:tc>
          <w:tcPr>
            <w:tcW w:type="dxa" w:w="3456"/>
          </w:tcPr>
          <w:p>
            <w:r/>
            <w:r>
              <w:rPr>
                <w:sz w:val="20"/>
              </w:rPr>
              <w:t>Cloud Infrastructure</w:t>
            </w:r>
          </w:p>
        </w:tc>
        <w:tc>
          <w:tcPr>
            <w:tcW w:type="dxa" w:w="1224"/>
          </w:tcPr>
          <w:p>
            <w:r/>
            <w:r>
              <w:rPr>
                <w:sz w:val="20"/>
              </w:rPr>
              <w:t>$40K</w:t>
            </w:r>
          </w:p>
        </w:tc>
        <w:tc>
          <w:tcPr>
            <w:tcW w:type="dxa" w:w="1224"/>
          </w:tcPr>
          <w:p>
            <w:r/>
            <w:r>
              <w:rPr>
                <w:sz w:val="20"/>
              </w:rPr>
              <w:t>$120K</w:t>
            </w:r>
          </w:p>
        </w:tc>
        <w:tc>
          <w:tcPr>
            <w:tcW w:type="dxa" w:w="1224"/>
          </w:tcPr>
          <w:p>
            <w:r/>
            <w:r>
              <w:rPr>
                <w:sz w:val="20"/>
              </w:rPr>
              <w:t>$250K</w:t>
            </w:r>
          </w:p>
        </w:tc>
        <w:tc>
          <w:tcPr>
            <w:tcW w:type="dxa" w:w="1224"/>
          </w:tcPr>
          <w:p>
            <w:r/>
            <w:r>
              <w:rPr>
                <w:sz w:val="20"/>
              </w:rPr>
              <w:t>$500K</w:t>
            </w:r>
          </w:p>
        </w:tc>
        <w:tc>
          <w:tcPr>
            <w:tcW w:type="dxa" w:w="1224"/>
          </w:tcPr>
          <w:p>
            <w:r/>
            <w:r>
              <w:rPr>
                <w:sz w:val="20"/>
              </w:rPr>
              <w:t>$800K</w:t>
            </w:r>
          </w:p>
        </w:tc>
      </w:tr>
      <w:tr>
        <w:tc>
          <w:tcPr>
            <w:tcW w:type="dxa" w:w="3456"/>
          </w:tcPr>
          <w:p>
            <w:r/>
            <w:r>
              <w:rPr>
                <w:sz w:val="20"/>
              </w:rPr>
              <w:t>Sales &amp; Marketing</w:t>
            </w:r>
          </w:p>
        </w:tc>
        <w:tc>
          <w:tcPr>
            <w:tcW w:type="dxa" w:w="1224"/>
          </w:tcPr>
          <w:p>
            <w:r/>
            <w:r>
              <w:rPr>
                <w:sz w:val="20"/>
              </w:rPr>
              <w:t>$180K</w:t>
            </w:r>
          </w:p>
        </w:tc>
        <w:tc>
          <w:tcPr>
            <w:tcW w:type="dxa" w:w="1224"/>
          </w:tcPr>
          <w:p>
            <w:r/>
            <w:r>
              <w:rPr>
                <w:sz w:val="20"/>
              </w:rPr>
              <w:t>$450K</w:t>
            </w:r>
          </w:p>
        </w:tc>
        <w:tc>
          <w:tcPr>
            <w:tcW w:type="dxa" w:w="1224"/>
          </w:tcPr>
          <w:p>
            <w:r/>
            <w:r>
              <w:rPr>
                <w:sz w:val="20"/>
              </w:rPr>
              <w:t>$800K</w:t>
            </w:r>
          </w:p>
        </w:tc>
        <w:tc>
          <w:tcPr>
            <w:tcW w:type="dxa" w:w="1224"/>
          </w:tcPr>
          <w:p>
            <w:r/>
            <w:r>
              <w:rPr>
                <w:sz w:val="20"/>
              </w:rPr>
              <w:t>$1.40M</w:t>
            </w:r>
          </w:p>
        </w:tc>
        <w:tc>
          <w:tcPr>
            <w:tcW w:type="dxa" w:w="1224"/>
          </w:tcPr>
          <w:p>
            <w:r/>
            <w:r>
              <w:rPr>
                <w:sz w:val="20"/>
              </w:rPr>
              <w:t>$1.90M</w:t>
            </w:r>
          </w:p>
        </w:tc>
      </w:tr>
      <w:tr>
        <w:tc>
          <w:tcPr>
            <w:tcW w:type="dxa" w:w="3456"/>
          </w:tcPr>
          <w:p>
            <w:r/>
            <w:r>
              <w:rPr>
                <w:sz w:val="20"/>
              </w:rPr>
              <w:t>Customer Success</w:t>
            </w:r>
          </w:p>
        </w:tc>
        <w:tc>
          <w:tcPr>
            <w:tcW w:type="dxa" w:w="1224"/>
          </w:tcPr>
          <w:p>
            <w:r/>
            <w:r>
              <w:rPr>
                <w:sz w:val="20"/>
              </w:rPr>
              <w:t>$30K</w:t>
            </w:r>
          </w:p>
        </w:tc>
        <w:tc>
          <w:tcPr>
            <w:tcW w:type="dxa" w:w="1224"/>
          </w:tcPr>
          <w:p>
            <w:r/>
            <w:r>
              <w:rPr>
                <w:sz w:val="20"/>
              </w:rPr>
              <w:t>$100K</w:t>
            </w:r>
          </w:p>
        </w:tc>
        <w:tc>
          <w:tcPr>
            <w:tcW w:type="dxa" w:w="1224"/>
          </w:tcPr>
          <w:p>
            <w:r/>
            <w:r>
              <w:rPr>
                <w:sz w:val="20"/>
              </w:rPr>
              <w:t>$200K</w:t>
            </w:r>
          </w:p>
        </w:tc>
        <w:tc>
          <w:tcPr>
            <w:tcW w:type="dxa" w:w="1224"/>
          </w:tcPr>
          <w:p>
            <w:r/>
            <w:r>
              <w:rPr>
                <w:sz w:val="20"/>
              </w:rPr>
              <w:t>$400K</w:t>
            </w:r>
          </w:p>
        </w:tc>
        <w:tc>
          <w:tcPr>
            <w:tcW w:type="dxa" w:w="1224"/>
          </w:tcPr>
          <w:p>
            <w:r/>
            <w:r>
              <w:rPr>
                <w:sz w:val="20"/>
              </w:rPr>
              <w:t>$650K</w:t>
            </w:r>
          </w:p>
        </w:tc>
      </w:tr>
      <w:tr>
        <w:tc>
          <w:tcPr>
            <w:tcW w:type="dxa" w:w="3456"/>
          </w:tcPr>
          <w:p>
            <w:r/>
            <w:r>
              <w:rPr>
                <w:sz w:val="20"/>
              </w:rPr>
              <w:t>Research &amp; Curriculum</w:t>
            </w:r>
          </w:p>
        </w:tc>
        <w:tc>
          <w:tcPr>
            <w:tcW w:type="dxa" w:w="1224"/>
          </w:tcPr>
          <w:p>
            <w:r/>
            <w:r>
              <w:rPr>
                <w:sz w:val="20"/>
              </w:rPr>
              <w:t>$40K</w:t>
            </w:r>
          </w:p>
        </w:tc>
        <w:tc>
          <w:tcPr>
            <w:tcW w:type="dxa" w:w="1224"/>
          </w:tcPr>
          <w:p>
            <w:r/>
            <w:r>
              <w:rPr>
                <w:sz w:val="20"/>
              </w:rPr>
              <w:t>$80K</w:t>
            </w:r>
          </w:p>
        </w:tc>
        <w:tc>
          <w:tcPr>
            <w:tcW w:type="dxa" w:w="1224"/>
          </w:tcPr>
          <w:p>
            <w:r/>
            <w:r>
              <w:rPr>
                <w:sz w:val="20"/>
              </w:rPr>
              <w:t>$130K</w:t>
            </w:r>
          </w:p>
        </w:tc>
        <w:tc>
          <w:tcPr>
            <w:tcW w:type="dxa" w:w="1224"/>
          </w:tcPr>
          <w:p>
            <w:r/>
            <w:r>
              <w:rPr>
                <w:sz w:val="20"/>
              </w:rPr>
              <w:t>$180K</w:t>
            </w:r>
          </w:p>
        </w:tc>
        <w:tc>
          <w:tcPr>
            <w:tcW w:type="dxa" w:w="1224"/>
          </w:tcPr>
          <w:p>
            <w:r/>
            <w:r>
              <w:rPr>
                <w:sz w:val="20"/>
              </w:rPr>
              <w:t>$250K</w:t>
            </w:r>
          </w:p>
        </w:tc>
      </w:tr>
      <w:tr>
        <w:tc>
          <w:tcPr>
            <w:tcW w:type="dxa" w:w="3456"/>
          </w:tcPr>
          <w:p>
            <w:r/>
            <w:r>
              <w:rPr>
                <w:sz w:val="20"/>
              </w:rPr>
              <w:t>G&amp;A (legal, finance, ops)</w:t>
            </w:r>
          </w:p>
        </w:tc>
        <w:tc>
          <w:tcPr>
            <w:tcW w:type="dxa" w:w="1224"/>
          </w:tcPr>
          <w:p>
            <w:r/>
            <w:r>
              <w:rPr>
                <w:sz w:val="20"/>
              </w:rPr>
              <w:t>$60K</w:t>
            </w:r>
          </w:p>
        </w:tc>
        <w:tc>
          <w:tcPr>
            <w:tcW w:type="dxa" w:w="1224"/>
          </w:tcPr>
          <w:p>
            <w:r/>
            <w:r>
              <w:rPr>
                <w:sz w:val="20"/>
              </w:rPr>
              <w:t>$120K</w:t>
            </w:r>
          </w:p>
        </w:tc>
        <w:tc>
          <w:tcPr>
            <w:tcW w:type="dxa" w:w="1224"/>
          </w:tcPr>
          <w:p>
            <w:r/>
            <w:r>
              <w:rPr>
                <w:sz w:val="20"/>
              </w:rPr>
              <w:t>$200K</w:t>
            </w:r>
          </w:p>
        </w:tc>
        <w:tc>
          <w:tcPr>
            <w:tcW w:type="dxa" w:w="1224"/>
          </w:tcPr>
          <w:p>
            <w:r/>
            <w:r>
              <w:rPr>
                <w:sz w:val="20"/>
              </w:rPr>
              <w:t>$380K</w:t>
            </w:r>
          </w:p>
        </w:tc>
        <w:tc>
          <w:tcPr>
            <w:tcW w:type="dxa" w:w="1224"/>
          </w:tcPr>
          <w:p>
            <w:r/>
            <w:r>
              <w:rPr>
                <w:sz w:val="20"/>
              </w:rPr>
              <w:t>$600K</w:t>
            </w:r>
          </w:p>
        </w:tc>
      </w:tr>
      <w:tr>
        <w:tc>
          <w:tcPr>
            <w:tcW w:type="dxa" w:w="3456"/>
          </w:tcPr>
          <w:p>
            <w:r/>
            <w:r>
              <w:rPr>
                <w:sz w:val="20"/>
              </w:rPr>
              <w:t>Compliance / data governance</w:t>
            </w:r>
          </w:p>
        </w:tc>
        <w:tc>
          <w:tcPr>
            <w:tcW w:type="dxa" w:w="1224"/>
          </w:tcPr>
          <w:p>
            <w:r/>
            <w:r>
              <w:rPr>
                <w:sz w:val="20"/>
              </w:rPr>
              <w:t>$30K</w:t>
            </w:r>
          </w:p>
        </w:tc>
        <w:tc>
          <w:tcPr>
            <w:tcW w:type="dxa" w:w="1224"/>
          </w:tcPr>
          <w:p>
            <w:r/>
            <w:r>
              <w:rPr>
                <w:sz w:val="20"/>
              </w:rPr>
              <w:t>$60K</w:t>
            </w:r>
          </w:p>
        </w:tc>
        <w:tc>
          <w:tcPr>
            <w:tcW w:type="dxa" w:w="1224"/>
          </w:tcPr>
          <w:p>
            <w:r/>
            <w:r>
              <w:rPr>
                <w:sz w:val="20"/>
              </w:rPr>
              <w:t>$100K</w:t>
            </w:r>
          </w:p>
        </w:tc>
        <w:tc>
          <w:tcPr>
            <w:tcW w:type="dxa" w:w="1224"/>
          </w:tcPr>
          <w:p>
            <w:r/>
            <w:r>
              <w:rPr>
                <w:sz w:val="20"/>
              </w:rPr>
              <w:t>$150K</w:t>
            </w:r>
          </w:p>
        </w:tc>
        <w:tc>
          <w:tcPr>
            <w:tcW w:type="dxa" w:w="1224"/>
          </w:tcPr>
          <w:p>
            <w:r/>
            <w:r>
              <w:rPr>
                <w:sz w:val="20"/>
              </w:rPr>
              <w:t>$200K</w:t>
            </w:r>
          </w:p>
        </w:tc>
      </w:tr>
    </w:tbl>
    <w:p/>
    <w:p>
      <w:r>
        <w:br w:type="page"/>
      </w:r>
    </w:p>
    <w:p>
      <w:pPr>
        <w:pStyle w:val="Heading1"/>
      </w:pPr>
      <w:r>
        <w:rPr>
          <w:b/>
          <w:color w:val="1F4788"/>
          <w:sz w:val="44"/>
        </w:rPr>
        <w:t>Appendix B — References &amp; Citations</w:t>
      </w:r>
    </w:p>
    <w:p>
      <w:pPr>
        <w:spacing w:after="160"/>
      </w:pPr>
      <w:r>
        <w:rPr>
          <w:b w:val="0"/>
          <w:i w:val="0"/>
          <w:sz w:val="22"/>
        </w:rPr>
        <w:t>All quantitative claims in this business plan are cited inline with superscript markers. Sources accessed May 2026 unless noted. 33 sources total.</w:t>
      </w:r>
    </w:p>
    <w:p>
      <w:pPr>
        <w:spacing w:after="80"/>
        <w:ind w:left="432" w:hanging="432"/>
      </w:pPr>
      <w:r>
        <w:rPr>
          <w:b/>
          <w:color w:val="1F4788"/>
          <w:sz w:val="20"/>
        </w:rPr>
        <w:t xml:space="preserve">[1] </w:t>
      </w:r>
      <w:r>
        <w:rPr>
          <w:sz w:val="20"/>
        </w:rPr>
        <w:t>Mislevy, Steinberg &amp; Almond — Evidence-Centered Design (ETS)</w:t>
      </w:r>
      <w:r>
        <w:rPr>
          <w:i/>
          <w:color w:val="888888"/>
          <w:sz w:val="18"/>
        </w:rPr>
        <w:t xml:space="preserve">  ·  https://onlinelibrary.wiley.com/doi/abs/10.1111/j.1745-3984.2003.tb01134.x</w:t>
      </w:r>
      <w:r>
        <w:rPr>
          <w:color w:val="888888"/>
          <w:sz w:val="18"/>
        </w:rPr>
        <w:t xml:space="preserve">  ·  Accessed 2026-05-13</w:t>
      </w:r>
    </w:p>
    <w:p>
      <w:pPr>
        <w:spacing w:after="80"/>
        <w:ind w:left="432" w:hanging="432"/>
      </w:pPr>
      <w:r>
        <w:rPr>
          <w:b/>
          <w:color w:val="1F4788"/>
          <w:sz w:val="20"/>
        </w:rPr>
        <w:t xml:space="preserve">[2] </w:t>
      </w:r>
      <w:r>
        <w:rPr>
          <w:sz w:val="20"/>
        </w:rPr>
        <w:t>Corbett &amp; Anderson — Knowledge Tracing (1995)</w:t>
      </w:r>
      <w:r>
        <w:rPr>
          <w:i/>
          <w:color w:val="888888"/>
          <w:sz w:val="18"/>
        </w:rPr>
        <w:t xml:space="preserve">  ·  https://link.springer.com/article/10.1007/BF01099821</w:t>
      </w:r>
      <w:r>
        <w:rPr>
          <w:color w:val="888888"/>
          <w:sz w:val="18"/>
        </w:rPr>
        <w:t xml:space="preserve">  ·  Accessed 2026-05-13</w:t>
      </w:r>
    </w:p>
    <w:p>
      <w:pPr>
        <w:spacing w:after="80"/>
        <w:ind w:left="432" w:hanging="432"/>
      </w:pPr>
      <w:r>
        <w:rPr>
          <w:b/>
          <w:color w:val="1F4788"/>
          <w:sz w:val="20"/>
        </w:rPr>
        <w:t xml:space="preserve">[3] </w:t>
      </w:r>
      <w:r>
        <w:rPr>
          <w:sz w:val="20"/>
        </w:rPr>
        <w:t>Market Research Future — Game-Based Learning Market</w:t>
      </w:r>
      <w:r>
        <w:rPr>
          <w:i/>
          <w:color w:val="888888"/>
          <w:sz w:val="18"/>
        </w:rPr>
        <w:t xml:space="preserve">  ·  https://www.marketresearchfuture.com/reports/game-based-learning-market-31653</w:t>
      </w:r>
      <w:r>
        <w:rPr>
          <w:color w:val="888888"/>
          <w:sz w:val="18"/>
        </w:rPr>
        <w:t xml:space="preserve">  ·  Accessed 2026-05-13</w:t>
      </w:r>
    </w:p>
    <w:p>
      <w:pPr>
        <w:spacing w:after="80"/>
        <w:ind w:left="432" w:hanging="432"/>
      </w:pPr>
      <w:r>
        <w:rPr>
          <w:b/>
          <w:color w:val="1F4788"/>
          <w:sz w:val="20"/>
        </w:rPr>
        <w:t xml:space="preserve">[4] </w:t>
      </w:r>
      <w:r>
        <w:rPr>
          <w:sz w:val="20"/>
        </w:rPr>
        <w:t>MarkNtel Advisors — GCC EdTech Market</w:t>
      </w:r>
      <w:r>
        <w:rPr>
          <w:i/>
          <w:color w:val="888888"/>
          <w:sz w:val="18"/>
        </w:rPr>
        <w:t xml:space="preserve">  ·  https://www.marknteladvisors.com/research-library/gcc-edtech-market.html</w:t>
      </w:r>
      <w:r>
        <w:rPr>
          <w:color w:val="888888"/>
          <w:sz w:val="18"/>
        </w:rPr>
        <w:t xml:space="preserve">  ·  Accessed 2026-05-13</w:t>
      </w:r>
    </w:p>
    <w:p>
      <w:pPr>
        <w:spacing w:after="80"/>
        <w:ind w:left="432" w:hanging="432"/>
      </w:pPr>
      <w:r>
        <w:rPr>
          <w:b/>
          <w:color w:val="1F4788"/>
          <w:sz w:val="20"/>
        </w:rPr>
        <w:t xml:space="preserve">[5] </w:t>
      </w:r>
      <w:r>
        <w:rPr>
          <w:sz w:val="20"/>
        </w:rPr>
        <w:t>KPMG Saudi Arabia Budget Report 2025 / Asharq Al-Awsat</w:t>
      </w:r>
      <w:r>
        <w:rPr>
          <w:i/>
          <w:color w:val="888888"/>
          <w:sz w:val="18"/>
        </w:rPr>
        <w:t xml:space="preserve">  ·  https://english.aawsat.com/business/5244194-saudi-arabia%E2%80%99s-2025-budget-record-non-oil-revenues-sustained-investment-well-being</w:t>
      </w:r>
      <w:r>
        <w:rPr>
          <w:color w:val="888888"/>
          <w:sz w:val="18"/>
        </w:rPr>
        <w:t xml:space="preserve">  ·  Accessed 2026-05-13</w:t>
      </w:r>
    </w:p>
    <w:p>
      <w:pPr>
        <w:spacing w:after="80"/>
        <w:ind w:left="432" w:hanging="432"/>
      </w:pPr>
      <w:r>
        <w:rPr>
          <w:b/>
          <w:color w:val="1F4788"/>
          <w:sz w:val="20"/>
        </w:rPr>
        <w:t xml:space="preserve">[6] </w:t>
      </w:r>
      <w:r>
        <w:rPr>
          <w:sz w:val="20"/>
        </w:rPr>
        <w:t>Bloomberg — Brookfield Buys Stake in GEMS Education</w:t>
      </w:r>
      <w:r>
        <w:rPr>
          <w:i/>
          <w:color w:val="888888"/>
          <w:sz w:val="18"/>
        </w:rPr>
        <w:t xml:space="preserve">  ·  https://www.bloomberg.com/news/articles/2024-06-18/brookfield-led-group-buys-stake-in-dubai-school-operator-gems</w:t>
      </w:r>
      <w:r>
        <w:rPr>
          <w:color w:val="888888"/>
          <w:sz w:val="18"/>
        </w:rPr>
        <w:t xml:space="preserve">  ·  Accessed 2026-05-13</w:t>
      </w:r>
    </w:p>
    <w:p>
      <w:pPr>
        <w:spacing w:after="80"/>
        <w:ind w:left="432" w:hanging="432"/>
      </w:pPr>
      <w:r>
        <w:rPr>
          <w:b/>
          <w:color w:val="1F4788"/>
          <w:sz w:val="20"/>
        </w:rPr>
        <w:t xml:space="preserve">[7] </w:t>
      </w:r>
      <w:r>
        <w:rPr>
          <w:sz w:val="20"/>
        </w:rPr>
        <w:t>Proven SaaS — CAC Payback Benchmarks 2026</w:t>
      </w:r>
      <w:r>
        <w:rPr>
          <w:i/>
          <w:color w:val="888888"/>
          <w:sz w:val="18"/>
        </w:rPr>
        <w:t xml:space="preserve">  ·  https://proven-saas.com/benchmarks/cac-payback-benchmarks</w:t>
      </w:r>
      <w:r>
        <w:rPr>
          <w:color w:val="888888"/>
          <w:sz w:val="18"/>
        </w:rPr>
        <w:t xml:space="preserve">  ·  Accessed 2026-05-13</w:t>
      </w:r>
    </w:p>
    <w:p>
      <w:pPr>
        <w:spacing w:after="80"/>
        <w:ind w:left="432" w:hanging="432"/>
      </w:pPr>
      <w:r>
        <w:rPr>
          <w:b/>
          <w:color w:val="1F4788"/>
          <w:sz w:val="20"/>
        </w:rPr>
        <w:t xml:space="preserve">[8] </w:t>
      </w:r>
      <w:r>
        <w:rPr>
          <w:sz w:val="20"/>
        </w:rPr>
        <w:t>HolonIQ — 2024 Middle East &amp; North Africa EdTech 50</w:t>
      </w:r>
      <w:r>
        <w:rPr>
          <w:i/>
          <w:color w:val="888888"/>
          <w:sz w:val="18"/>
        </w:rPr>
        <w:t xml:space="preserve">  ·  https://www.holoniq.com/notes/2024-middle-east-north-africa-edtech-50</w:t>
      </w:r>
      <w:r>
        <w:rPr>
          <w:color w:val="888888"/>
          <w:sz w:val="18"/>
        </w:rPr>
        <w:t xml:space="preserve">  ·  Accessed 2026-05-13</w:t>
      </w:r>
    </w:p>
    <w:p>
      <w:pPr>
        <w:spacing w:after="80"/>
        <w:ind w:left="432" w:hanging="432"/>
      </w:pPr>
      <w:r>
        <w:rPr>
          <w:b/>
          <w:color w:val="1F4788"/>
          <w:sz w:val="20"/>
        </w:rPr>
        <w:t xml:space="preserve">[9] </w:t>
      </w:r>
      <w:r>
        <w:rPr>
          <w:sz w:val="20"/>
        </w:rPr>
        <w:t>Arab News — Saudi Arabia's 2025 education plan</w:t>
      </w:r>
      <w:r>
        <w:rPr>
          <w:i/>
          <w:color w:val="888888"/>
          <w:sz w:val="18"/>
        </w:rPr>
        <w:t xml:space="preserve">  ·  https://www.arabnews.com/node/2581071/business-economy</w:t>
      </w:r>
      <w:r>
        <w:rPr>
          <w:color w:val="888888"/>
          <w:sz w:val="18"/>
        </w:rPr>
        <w:t xml:space="preserve">  ·  Accessed 2026-05-13</w:t>
      </w:r>
    </w:p>
    <w:p>
      <w:pPr>
        <w:spacing w:after="80"/>
        <w:ind w:left="432" w:hanging="432"/>
      </w:pPr>
      <w:r>
        <w:rPr>
          <w:b/>
          <w:color w:val="1F4788"/>
          <w:sz w:val="20"/>
        </w:rPr>
        <w:t xml:space="preserve">[10] </w:t>
      </w:r>
      <w:r>
        <w:rPr>
          <w:sz w:val="20"/>
        </w:rPr>
        <w:t>Macrotrends / StockAnalysis</w:t>
      </w:r>
      <w:r>
        <w:rPr>
          <w:i/>
          <w:color w:val="888888"/>
          <w:sz w:val="18"/>
        </w:rPr>
        <w:t xml:space="preserve">  ·  https://stockanalysis.com/stocks/duol/revenue/</w:t>
      </w:r>
      <w:r>
        <w:rPr>
          <w:color w:val="888888"/>
          <w:sz w:val="18"/>
        </w:rPr>
        <w:t xml:space="preserve">  ·  Accessed 2026-05-13</w:t>
      </w:r>
    </w:p>
    <w:p>
      <w:pPr>
        <w:spacing w:after="80"/>
        <w:ind w:left="432" w:hanging="432"/>
      </w:pPr>
      <w:r>
        <w:rPr>
          <w:b/>
          <w:color w:val="1F4788"/>
          <w:sz w:val="20"/>
        </w:rPr>
        <w:t xml:space="preserve">[11] </w:t>
      </w:r>
      <w:r>
        <w:rPr>
          <w:sz w:val="20"/>
        </w:rPr>
        <w:t>Finrofca — EdTech Multiples Q4 2025</w:t>
      </w:r>
      <w:r>
        <w:rPr>
          <w:i/>
          <w:color w:val="888888"/>
          <w:sz w:val="18"/>
        </w:rPr>
        <w:t xml:space="preserve">  ·  https://www.finrofca.com/news/edtech-multiples-q4-2025</w:t>
      </w:r>
      <w:r>
        <w:rPr>
          <w:color w:val="888888"/>
          <w:sz w:val="18"/>
        </w:rPr>
        <w:t xml:space="preserve">  ·  Accessed 2026-05-13</w:t>
      </w:r>
    </w:p>
    <w:p>
      <w:pPr>
        <w:spacing w:after="80"/>
        <w:ind w:left="432" w:hanging="432"/>
      </w:pPr>
      <w:r>
        <w:rPr>
          <w:b/>
          <w:color w:val="1F4788"/>
          <w:sz w:val="20"/>
        </w:rPr>
        <w:t xml:space="preserve">[12] </w:t>
      </w:r>
      <w:r>
        <w:rPr>
          <w:sz w:val="20"/>
        </w:rPr>
        <w:t>Shute — Stealth Assessment (MIT Press)</w:t>
      </w:r>
      <w:r>
        <w:rPr>
          <w:i/>
          <w:color w:val="888888"/>
          <w:sz w:val="18"/>
        </w:rPr>
        <w:t xml:space="preserve">  ·  https://direct.mit.edu/books/oa-monograph/3700/Stealth-AssessmentMeasuring-and-Supporting</w:t>
      </w:r>
      <w:r>
        <w:rPr>
          <w:color w:val="888888"/>
          <w:sz w:val="18"/>
        </w:rPr>
        <w:t xml:space="preserve">  ·  Accessed 2026-05-13</w:t>
      </w:r>
    </w:p>
    <w:p>
      <w:pPr>
        <w:spacing w:after="80"/>
        <w:ind w:left="432" w:hanging="432"/>
      </w:pPr>
      <w:r>
        <w:rPr>
          <w:b/>
          <w:color w:val="1F4788"/>
          <w:sz w:val="20"/>
        </w:rPr>
        <w:t xml:space="preserve">[13] </w:t>
      </w:r>
      <w:r>
        <w:rPr>
          <w:sz w:val="20"/>
        </w:rPr>
        <w:t>Clark et al. (2016) — Review of Educational Research</w:t>
      </w:r>
      <w:r>
        <w:rPr>
          <w:i/>
          <w:color w:val="888888"/>
          <w:sz w:val="18"/>
        </w:rPr>
        <w:t xml:space="preserve">  ·  https://vittoriodublinoblog.org/wp-content/uploads/2024/10/clark-et-al-2016-digital-games-design-and-learning-a-systematic-review-and-meta-analysis.pdf</w:t>
      </w:r>
      <w:r>
        <w:rPr>
          <w:color w:val="888888"/>
          <w:sz w:val="18"/>
        </w:rPr>
        <w:t xml:space="preserve">  ·  Accessed 2026-05-13</w:t>
      </w:r>
    </w:p>
    <w:p>
      <w:pPr>
        <w:spacing w:after="80"/>
        <w:ind w:left="432" w:hanging="432"/>
      </w:pPr>
      <w:r>
        <w:rPr>
          <w:b/>
          <w:color w:val="1F4788"/>
          <w:sz w:val="20"/>
        </w:rPr>
        <w:t xml:space="preserve">[14] </w:t>
      </w:r>
      <w:r>
        <w:rPr>
          <w:sz w:val="20"/>
        </w:rPr>
        <w:t>Wouters et al. (2013) — Journal of Educational Psychology</w:t>
      </w:r>
      <w:r>
        <w:rPr>
          <w:i/>
          <w:color w:val="888888"/>
          <w:sz w:val="18"/>
        </w:rPr>
        <w:t xml:space="preserve">  ·  https://www.researchgate.net/publication/257171465_A_meta-analytic_review_of_the_role_of_instructional_support_in_game-based_learning</w:t>
      </w:r>
      <w:r>
        <w:rPr>
          <w:color w:val="888888"/>
          <w:sz w:val="18"/>
        </w:rPr>
        <w:t xml:space="preserve">  ·  Accessed 2026-05-13</w:t>
      </w:r>
    </w:p>
    <w:p>
      <w:pPr>
        <w:spacing w:after="80"/>
        <w:ind w:left="432" w:hanging="432"/>
      </w:pPr>
      <w:r>
        <w:rPr>
          <w:b/>
          <w:color w:val="1F4788"/>
          <w:sz w:val="20"/>
        </w:rPr>
        <w:t xml:space="preserve">[15] </w:t>
      </w:r>
      <w:r>
        <w:rPr>
          <w:sz w:val="20"/>
        </w:rPr>
        <w:t>educatoral.com — Classcraft Finally Taken Down</w:t>
      </w:r>
      <w:r>
        <w:rPr>
          <w:i/>
          <w:color w:val="888888"/>
          <w:sz w:val="18"/>
        </w:rPr>
        <w:t xml:space="preserve">  ·  https://educatoral.com/wordpress/2024/07/22/classcraft-finally-taken-down/</w:t>
      </w:r>
      <w:r>
        <w:rPr>
          <w:color w:val="888888"/>
          <w:sz w:val="18"/>
        </w:rPr>
        <w:t xml:space="preserve">  ·  Accessed 2026-05-13</w:t>
      </w:r>
    </w:p>
    <w:p>
      <w:pPr>
        <w:spacing w:after="80"/>
        <w:ind w:left="432" w:hanging="432"/>
      </w:pPr>
      <w:r>
        <w:rPr>
          <w:b/>
          <w:color w:val="1F4788"/>
          <w:sz w:val="20"/>
        </w:rPr>
        <w:t xml:space="preserve">[16] </w:t>
      </w:r>
      <w:r>
        <w:rPr>
          <w:sz w:val="20"/>
        </w:rPr>
        <w:t>CASEL — Social-Emotional Learning Framework</w:t>
      </w:r>
      <w:r>
        <w:rPr>
          <w:i/>
          <w:color w:val="888888"/>
          <w:sz w:val="18"/>
        </w:rPr>
        <w:t xml:space="preserve">  ·  https://casel.org/fundamentals-of-sel/what-is-the-casel-framework/</w:t>
      </w:r>
      <w:r>
        <w:rPr>
          <w:color w:val="888888"/>
          <w:sz w:val="18"/>
        </w:rPr>
        <w:t xml:space="preserve">  ·  Accessed 2026-05-13</w:t>
      </w:r>
    </w:p>
    <w:p>
      <w:pPr>
        <w:spacing w:after="80"/>
        <w:ind w:left="432" w:hanging="432"/>
      </w:pPr>
      <w:r>
        <w:rPr>
          <w:b/>
          <w:color w:val="1F4788"/>
          <w:sz w:val="20"/>
        </w:rPr>
        <w:t xml:space="preserve">[17] </w:t>
      </w:r>
      <w:r>
        <w:rPr>
          <w:sz w:val="20"/>
        </w:rPr>
        <w:t>Harvard Business Review — Creating a Business Plan</w:t>
      </w:r>
      <w:r>
        <w:rPr>
          <w:i/>
          <w:color w:val="888888"/>
          <w:sz w:val="18"/>
        </w:rPr>
        <w:t xml:space="preserve">  ·  https://hbr.org/2007/06/creating-a-business-plan</w:t>
      </w:r>
      <w:r>
        <w:rPr>
          <w:color w:val="888888"/>
          <w:sz w:val="18"/>
        </w:rPr>
        <w:t xml:space="preserve">  ·  Accessed 2026-05-13</w:t>
      </w:r>
    </w:p>
    <w:p>
      <w:pPr>
        <w:spacing w:after="80"/>
        <w:ind w:left="432" w:hanging="432"/>
      </w:pPr>
      <w:r>
        <w:rPr>
          <w:b/>
          <w:color w:val="1F4788"/>
          <w:sz w:val="20"/>
        </w:rPr>
        <w:t xml:space="preserve">[18] </w:t>
      </w:r>
      <w:r>
        <w:rPr>
          <w:sz w:val="20"/>
        </w:rPr>
        <w:t>Verified Market Research — Middle East EdTech Market</w:t>
      </w:r>
      <w:r>
        <w:rPr>
          <w:i/>
          <w:color w:val="888888"/>
          <w:sz w:val="18"/>
        </w:rPr>
        <w:t xml:space="preserve">  ·  https://www.verifiedmarketresearch.com/product/middle-east-edtech-market/</w:t>
      </w:r>
      <w:r>
        <w:rPr>
          <w:color w:val="888888"/>
          <w:sz w:val="18"/>
        </w:rPr>
        <w:t xml:space="preserve">  ·  Accessed 2026-05-13</w:t>
      </w:r>
    </w:p>
    <w:p>
      <w:pPr>
        <w:spacing w:after="80"/>
        <w:ind w:left="432" w:hanging="432"/>
      </w:pPr>
      <w:r>
        <w:rPr>
          <w:b/>
          <w:color w:val="1F4788"/>
          <w:sz w:val="20"/>
        </w:rPr>
        <w:t xml:space="preserve">[19] </w:t>
      </w:r>
      <w:r>
        <w:rPr>
          <w:sz w:val="20"/>
        </w:rPr>
        <w:t>companiesmarketcap.com / Crunchbase</w:t>
      </w:r>
      <w:r>
        <w:rPr>
          <w:i/>
          <w:color w:val="888888"/>
          <w:sz w:val="18"/>
        </w:rPr>
        <w:t xml:space="preserve">  ·  https://companiesmarketcap.com/kahoot/revenue/</w:t>
      </w:r>
      <w:r>
        <w:rPr>
          <w:color w:val="888888"/>
          <w:sz w:val="18"/>
        </w:rPr>
        <w:t xml:space="preserve">  ·  Accessed 2026-05-13</w:t>
      </w:r>
    </w:p>
    <w:p>
      <w:pPr>
        <w:spacing w:after="80"/>
        <w:ind w:left="432" w:hanging="432"/>
      </w:pPr>
      <w:r>
        <w:rPr>
          <w:b/>
          <w:color w:val="1F4788"/>
          <w:sz w:val="20"/>
        </w:rPr>
        <w:t xml:space="preserve">[20] </w:t>
      </w:r>
      <w:r>
        <w:rPr>
          <w:sz w:val="20"/>
        </w:rPr>
        <w:t>CB Insights — Prodigy Education</w:t>
      </w:r>
      <w:r>
        <w:rPr>
          <w:i/>
          <w:color w:val="888888"/>
          <w:sz w:val="18"/>
        </w:rPr>
        <w:t xml:space="preserve">  ·  https://www.cbinsights.com/company/prodigy-education/financials</w:t>
      </w:r>
      <w:r>
        <w:rPr>
          <w:color w:val="888888"/>
          <w:sz w:val="18"/>
        </w:rPr>
        <w:t xml:space="preserve">  ·  Accessed 2026-05-13</w:t>
      </w:r>
    </w:p>
    <w:p>
      <w:pPr>
        <w:spacing w:after="80"/>
        <w:ind w:left="432" w:hanging="432"/>
      </w:pPr>
      <w:r>
        <w:rPr>
          <w:b/>
          <w:color w:val="1F4788"/>
          <w:sz w:val="20"/>
        </w:rPr>
        <w:t xml:space="preserve">[21] </w:t>
      </w:r>
      <w:r>
        <w:rPr>
          <w:sz w:val="20"/>
        </w:rPr>
        <w:t>Growjo / Tracxn</w:t>
      </w:r>
      <w:r>
        <w:rPr>
          <w:i/>
          <w:color w:val="888888"/>
          <w:sz w:val="18"/>
        </w:rPr>
        <w:t xml:space="preserve">  ·  https://growjo.com/company/IXL_Learning</w:t>
      </w:r>
      <w:r>
        <w:rPr>
          <w:color w:val="888888"/>
          <w:sz w:val="18"/>
        </w:rPr>
        <w:t xml:space="preserve">  ·  Accessed 2026-05-13</w:t>
      </w:r>
    </w:p>
    <w:p>
      <w:pPr>
        <w:spacing w:after="80"/>
        <w:ind w:left="432" w:hanging="432"/>
      </w:pPr>
      <w:r>
        <w:rPr>
          <w:b/>
          <w:color w:val="1F4788"/>
          <w:sz w:val="20"/>
        </w:rPr>
        <w:t xml:space="preserve">[22] </w:t>
      </w:r>
      <w:r>
        <w:rPr>
          <w:sz w:val="20"/>
        </w:rPr>
        <w:t>Crunchbase / PitchBook</w:t>
      </w:r>
      <w:r>
        <w:rPr>
          <w:i/>
          <w:color w:val="888888"/>
          <w:sz w:val="18"/>
        </w:rPr>
        <w:t xml:space="preserve">  ·  https://www.crunchbase.com/organization/legends-of-learning</w:t>
      </w:r>
      <w:r>
        <w:rPr>
          <w:color w:val="888888"/>
          <w:sz w:val="18"/>
        </w:rPr>
        <w:t xml:space="preserve">  ·  Accessed 2026-05-13</w:t>
      </w:r>
    </w:p>
    <w:p>
      <w:pPr>
        <w:spacing w:after="80"/>
        <w:ind w:left="432" w:hanging="432"/>
      </w:pPr>
      <w:r>
        <w:rPr>
          <w:b/>
          <w:color w:val="1F4788"/>
          <w:sz w:val="20"/>
        </w:rPr>
        <w:t xml:space="preserve">[23] </w:t>
      </w:r>
      <w:r>
        <w:rPr>
          <w:sz w:val="20"/>
        </w:rPr>
        <w:t>HMH press release Feb 2024</w:t>
      </w:r>
      <w:r>
        <w:rPr>
          <w:i/>
          <w:color w:val="888888"/>
          <w:sz w:val="18"/>
        </w:rPr>
        <w:t xml:space="preserve">  ·  https://www.prnewswire.com/news-releases/hmh-launches-immersive-and-dynamic-learning-experience-with-hmh-classcraft-302067631.html</w:t>
      </w:r>
      <w:r>
        <w:rPr>
          <w:color w:val="888888"/>
          <w:sz w:val="18"/>
        </w:rPr>
        <w:t xml:space="preserve">  ·  Accessed 2026-05-13</w:t>
      </w:r>
    </w:p>
    <w:p>
      <w:pPr>
        <w:spacing w:after="80"/>
        <w:ind w:left="432" w:hanging="432"/>
      </w:pPr>
      <w:r>
        <w:rPr>
          <w:b/>
          <w:color w:val="1F4788"/>
          <w:sz w:val="20"/>
        </w:rPr>
        <w:t xml:space="preserve">[24] </w:t>
      </w:r>
      <w:r>
        <w:rPr>
          <w:sz w:val="20"/>
        </w:rPr>
        <w:t>Microsoft / Mojang public statements</w:t>
      </w:r>
      <w:r>
        <w:rPr>
          <w:i/>
          <w:color w:val="888888"/>
          <w:sz w:val="18"/>
        </w:rPr>
        <w:t xml:space="preserve">  ·  https://education.minecraft.net/</w:t>
      </w:r>
      <w:r>
        <w:rPr>
          <w:color w:val="888888"/>
          <w:sz w:val="18"/>
        </w:rPr>
        <w:t xml:space="preserve">  ·  Accessed 2026-05-13</w:t>
      </w:r>
    </w:p>
    <w:p>
      <w:pPr>
        <w:spacing w:after="80"/>
        <w:ind w:left="432" w:hanging="432"/>
      </w:pPr>
      <w:r>
        <w:rPr>
          <w:b/>
          <w:color w:val="1F4788"/>
          <w:sz w:val="20"/>
        </w:rPr>
        <w:t xml:space="preserve">[25] </w:t>
      </w:r>
      <w:r>
        <w:rPr>
          <w:sz w:val="20"/>
        </w:rPr>
        <w:t>ScaleXP — 2025 SaaS Benchmarks CAC Payback</w:t>
      </w:r>
      <w:r>
        <w:rPr>
          <w:i/>
          <w:color w:val="888888"/>
          <w:sz w:val="18"/>
        </w:rPr>
        <w:t xml:space="preserve">  ·  https://www.scalexp.com/blog-saas-benchmarks-cac-payback-2025/</w:t>
      </w:r>
      <w:r>
        <w:rPr>
          <w:color w:val="888888"/>
          <w:sz w:val="18"/>
        </w:rPr>
        <w:t xml:space="preserve">  ·  Accessed 2026-05-13</w:t>
      </w:r>
    </w:p>
    <w:p>
      <w:pPr>
        <w:spacing w:after="80"/>
        <w:ind w:left="432" w:hanging="432"/>
      </w:pPr>
      <w:r>
        <w:rPr>
          <w:b/>
          <w:color w:val="1F4788"/>
          <w:sz w:val="20"/>
        </w:rPr>
        <w:t xml:space="preserve">[26] </w:t>
      </w:r>
      <w:r>
        <w:rPr>
          <w:sz w:val="20"/>
        </w:rPr>
        <w:t>Optifai — B2B SaaS LTV Benchmarks</w:t>
      </w:r>
      <w:r>
        <w:rPr>
          <w:i/>
          <w:color w:val="888888"/>
          <w:sz w:val="18"/>
        </w:rPr>
        <w:t xml:space="preserve">  ·  https://optif.ai/learn/questions/b2b-saas-ltv-benchmark/</w:t>
      </w:r>
      <w:r>
        <w:rPr>
          <w:color w:val="888888"/>
          <w:sz w:val="18"/>
        </w:rPr>
        <w:t xml:space="preserve">  ·  Accessed 2026-05-13</w:t>
      </w:r>
    </w:p>
    <w:p>
      <w:pPr>
        <w:spacing w:after="80"/>
        <w:ind w:left="432" w:hanging="432"/>
      </w:pPr>
      <w:r>
        <w:rPr>
          <w:b/>
          <w:color w:val="1F4788"/>
          <w:sz w:val="20"/>
        </w:rPr>
        <w:t xml:space="preserve">[27] </w:t>
      </w:r>
      <w:r>
        <w:rPr>
          <w:sz w:val="20"/>
        </w:rPr>
        <w:t>(no source)</w:t>
      </w:r>
      <w:r>
        <w:rPr>
          <w:i/>
          <w:color w:val="888888"/>
          <w:sz w:val="18"/>
        </w:rPr>
        <w:t xml:space="preserve">  ·  https://www.morganlewis.com/blogs/sourcingatmorganlewis/2025/07/saudi-arabias-personal-data-protection-law-compliance-deadline-extended</w:t>
      </w:r>
      <w:r>
        <w:rPr>
          <w:color w:val="888888"/>
          <w:sz w:val="18"/>
        </w:rPr>
        <w:t xml:space="preserve">  ·  Accessed 2026-05-13</w:t>
      </w:r>
    </w:p>
    <w:p>
      <w:pPr>
        <w:spacing w:after="80"/>
        <w:ind w:left="432" w:hanging="432"/>
      </w:pPr>
      <w:r>
        <w:rPr>
          <w:b/>
          <w:color w:val="1F4788"/>
          <w:sz w:val="20"/>
        </w:rPr>
        <w:t xml:space="preserve">[28] </w:t>
      </w:r>
      <w:r>
        <w:rPr>
          <w:sz w:val="20"/>
        </w:rPr>
        <w:t>(no source)</w:t>
      </w:r>
      <w:r>
        <w:rPr>
          <w:i/>
          <w:color w:val="888888"/>
          <w:sz w:val="18"/>
        </w:rPr>
        <w:t xml:space="preserve">  ·  https://www.iclg.com/practice-areas/data-protection-laws-and-regulations/usa</w:t>
      </w:r>
      <w:r>
        <w:rPr>
          <w:color w:val="888888"/>
          <w:sz w:val="18"/>
        </w:rPr>
        <w:t xml:space="preserve">  ·  Accessed 2026-05-13</w:t>
      </w:r>
    </w:p>
    <w:p>
      <w:pPr>
        <w:spacing w:after="80"/>
        <w:ind w:left="432" w:hanging="432"/>
      </w:pPr>
      <w:r>
        <w:rPr>
          <w:b/>
          <w:color w:val="1F4788"/>
          <w:sz w:val="20"/>
        </w:rPr>
        <w:t xml:space="preserve">[29] </w:t>
      </w:r>
      <w:r>
        <w:rPr>
          <w:sz w:val="20"/>
        </w:rPr>
        <w:t>Bessemer Venture Partners — Cloud benchmarks (revenue per FTE)</w:t>
      </w:r>
      <w:r>
        <w:rPr>
          <w:i/>
          <w:color w:val="888888"/>
          <w:sz w:val="18"/>
        </w:rPr>
        <w:t xml:space="preserve">  ·  https://www.bvp.com/atlas/cloud-100-benchmarks-report-2024</w:t>
      </w:r>
      <w:r>
        <w:rPr>
          <w:color w:val="888888"/>
          <w:sz w:val="18"/>
        </w:rPr>
        <w:t xml:space="preserve">  ·  Accessed 2026-05-13</w:t>
      </w:r>
    </w:p>
    <w:p>
      <w:pPr>
        <w:spacing w:after="80"/>
        <w:ind w:left="432" w:hanging="432"/>
      </w:pPr>
      <w:r>
        <w:rPr>
          <w:b/>
          <w:color w:val="1F4788"/>
          <w:sz w:val="20"/>
        </w:rPr>
        <w:t xml:space="preserve">[30] </w:t>
      </w:r>
      <w:r>
        <w:rPr>
          <w:sz w:val="20"/>
        </w:rPr>
        <w:t>Macrotrends — Duolingo market cap</w:t>
      </w:r>
      <w:r>
        <w:rPr>
          <w:i/>
          <w:color w:val="888888"/>
          <w:sz w:val="18"/>
        </w:rPr>
        <w:t xml:space="preserve">  ·  https://www.macrotrends.net/stocks/charts/DUOL/duolingo/market-cap</w:t>
      </w:r>
      <w:r>
        <w:rPr>
          <w:color w:val="888888"/>
          <w:sz w:val="18"/>
        </w:rPr>
        <w:t xml:space="preserve">  ·  Accessed 2026-05-13</w:t>
      </w:r>
    </w:p>
    <w:p>
      <w:pPr>
        <w:spacing w:after="80"/>
        <w:ind w:left="432" w:hanging="432"/>
      </w:pPr>
      <w:r>
        <w:rPr>
          <w:b/>
          <w:color w:val="1F4788"/>
          <w:sz w:val="20"/>
        </w:rPr>
        <w:t xml:space="preserve">[31] </w:t>
      </w:r>
      <w:r>
        <w:rPr>
          <w:sz w:val="20"/>
        </w:rPr>
        <w:t>GetLatka — Quizlet revenue/valuation</w:t>
      </w:r>
      <w:r>
        <w:rPr>
          <w:i/>
          <w:color w:val="888888"/>
          <w:sz w:val="18"/>
        </w:rPr>
        <w:t xml:space="preserve">  ·  https://getlatka.com/companies/quizlet</w:t>
      </w:r>
      <w:r>
        <w:rPr>
          <w:color w:val="888888"/>
          <w:sz w:val="18"/>
        </w:rPr>
        <w:t xml:space="preserve">  ·  Accessed 2026-05-13</w:t>
      </w:r>
    </w:p>
    <w:p>
      <w:pPr>
        <w:spacing w:after="80"/>
        <w:ind w:left="432" w:hanging="432"/>
      </w:pPr>
      <w:r>
        <w:rPr>
          <w:b/>
          <w:color w:val="1F4788"/>
          <w:sz w:val="20"/>
        </w:rPr>
        <w:t xml:space="preserve">[32] </w:t>
      </w:r>
      <w:r>
        <w:rPr>
          <w:sz w:val="20"/>
        </w:rPr>
        <w:t>Finerva — EdTech 2025 Valuation Multiples</w:t>
      </w:r>
      <w:r>
        <w:rPr>
          <w:i/>
          <w:color w:val="888888"/>
          <w:sz w:val="18"/>
        </w:rPr>
        <w:t xml:space="preserve">  ·  https://finerva.com/report/edtech-2025-valuation-multiples/</w:t>
      </w:r>
      <w:r>
        <w:rPr>
          <w:color w:val="888888"/>
          <w:sz w:val="18"/>
        </w:rPr>
        <w:t xml:space="preserve">  ·  Accessed 2026-05-13</w:t>
      </w:r>
    </w:p>
    <w:p>
      <w:pPr>
        <w:spacing w:after="80"/>
        <w:ind w:left="432" w:hanging="432"/>
      </w:pPr>
      <w:r>
        <w:rPr>
          <w:b/>
          <w:color w:val="1F4788"/>
          <w:sz w:val="20"/>
        </w:rPr>
        <w:t xml:space="preserve">[33] </w:t>
      </w:r>
      <w:r>
        <w:rPr>
          <w:sz w:val="20"/>
        </w:rPr>
        <w:t>McKinsey — The McKinsey Approach to Business Plans (Starting Up book)</w:t>
      </w:r>
      <w:r>
        <w:rPr>
          <w:i/>
          <w:color w:val="888888"/>
          <w:sz w:val="18"/>
        </w:rPr>
        <w:t xml:space="preserve">  ·  https://www.mckinsey.com/featured-insights/leadership</w:t>
      </w:r>
      <w:r>
        <w:rPr>
          <w:color w:val="888888"/>
          <w:sz w:val="18"/>
        </w:rPr>
        <w:t xml:space="preserve">  ·  Accessed 2026-05-13</w:t>
      </w:r>
    </w:p>
    <w:p>
      <w:r>
        <w:br w:type="page"/>
      </w:r>
    </w:p>
    <w:p>
      <w:pPr>
        <w:pStyle w:val="Heading1"/>
      </w:pPr>
      <w:r>
        <w:rPr>
          <w:b/>
          <w:color w:val="1F4788"/>
          <w:sz w:val="44"/>
        </w:rPr>
        <w:t>Appendix C — Business Model Canvas (One-Page)</w:t>
      </w:r>
    </w:p>
    <w:p>
      <w:pPr>
        <w:spacing w:after="160"/>
      </w:pPr>
      <w:r>
        <w:rPr>
          <w:b w:val="0"/>
          <w:i w:val="0"/>
          <w:sz w:val="22"/>
        </w:rPr>
        <w:t>Compact view of EdGame's 9-quadrant business model canvas. Full version at docs_markdown/business-model-canvas.md.</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color w:val="1F4788"/>
                <w:sz w:val="20"/>
              </w:rPr>
              <w:t>Key Partnerships</w:t>
              <w:br/>
            </w:r>
          </w:p>
          <w:p>
            <w:r>
              <w:rPr>
                <w:sz w:val="16"/>
              </w:rPr>
              <w:t>• Google Classroom + Clever (P0)</w:t>
              <w:br/>
              <w:t>• KAUST + NEOM networks (P0)</w:t>
              <w:br/>
              <w:t>• GEMS / Taaleem / SABIS (P1)</w:t>
              <w:br/>
              <w:t>• University research partner (P1)</w:t>
              <w:br/>
              <w:t>• Canvas / Schoology LTI (P2)</w:t>
              <w:br/>
              <w:t>• Pearson / McGraw-Hill OEM (P3)</w:t>
            </w:r>
          </w:p>
        </w:tc>
        <w:tc>
          <w:tcPr>
            <w:tcW w:type="dxa" w:w="3264"/>
          </w:tcPr>
          <w:p>
            <w:r/>
            <w:r>
              <w:rPr>
                <w:b/>
                <w:color w:val="1F4788"/>
                <w:sz w:val="20"/>
              </w:rPr>
              <w:t>Key Activities</w:t>
              <w:br/>
            </w:r>
          </w:p>
          <w:p>
            <w:r>
              <w:rPr>
                <w:sz w:val="16"/>
              </w:rPr>
              <w:t>• 5-game development + analytics</w:t>
              <w:br/>
              <w:t>• Curriculum mapping &amp; content</w:t>
              <w:br/>
              <w:t>• Pilot delivery + customer success</w:t>
              <w:br/>
              <w:t>• School BD + teacher PLG</w:t>
              <w:br/>
              <w:t>• Compliance + IP management</w:t>
            </w:r>
          </w:p>
        </w:tc>
        <w:tc>
          <w:tcPr>
            <w:tcW w:type="dxa" w:w="3264"/>
          </w:tcPr>
          <w:p>
            <w:r/>
            <w:r>
              <w:rPr>
                <w:b/>
                <w:color w:val="1F4788"/>
                <w:sz w:val="20"/>
              </w:rPr>
              <w:t>Value Propositions</w:t>
              <w:br/>
            </w:r>
          </w:p>
          <w:p>
            <w:r>
              <w:rPr>
                <w:sz w:val="16"/>
              </w:rPr>
              <w:t>Teachers: see why students get answers wrong, not just whether they got them right; 10× more process data per session vs worksheets.</w:t>
              <w:br/>
              <w:br/>
              <w:t>Schools: STEM analytics beyond test scores; mastery growth, at-risk alerts, cross-classroom comparison.</w:t>
              <w:br/>
              <w:br/>
              <w:t>Students: math/science homework that feels like a game.</w:t>
              <w:br/>
              <w:br/>
              <w:t>Parents (P2+): progress signals + engagement patterns beyond report cards.</w:t>
            </w:r>
          </w:p>
        </w:tc>
      </w:tr>
      <w:tr>
        <w:tc>
          <w:tcPr>
            <w:tcW w:type="dxa" w:w="3264"/>
          </w:tcPr>
          <w:p>
            <w:r/>
            <w:r>
              <w:rPr>
                <w:b/>
                <w:color w:val="1F4788"/>
                <w:sz w:val="20"/>
              </w:rPr>
              <w:t>Key Resources</w:t>
              <w:br/>
            </w:r>
          </w:p>
          <w:p>
            <w:r>
              <w:rPr>
                <w:sz w:val="16"/>
              </w:rPr>
              <w:t>• 5 live games + 440 questions</w:t>
              <w:br/>
              <w:t>• ECD framework + 50+ metrics</w:t>
              <w:br/>
              <w:t>• KAUST origin + GCC network</w:t>
              <w:br/>
              <w:t>• Signed Team Charter + IP-clean repo</w:t>
              <w:br/>
              <w:t>• Public GitHub + Railway demo</w:t>
            </w:r>
          </w:p>
        </w:tc>
        <w:tc>
          <w:tcPr>
            <w:tcW w:type="dxa" w:w="3264"/>
          </w:tcPr>
          <w:p>
            <w:r/>
          </w:p>
          <w:p/>
        </w:tc>
        <w:tc>
          <w:tcPr>
            <w:tcW w:type="dxa" w:w="3264"/>
          </w:tcPr>
          <w:p>
            <w:r/>
            <w:r>
              <w:rPr>
                <w:b/>
                <w:color w:val="1F4788"/>
                <w:sz w:val="20"/>
              </w:rPr>
              <w:t>Customer Relationships</w:t>
              <w:br/>
            </w:r>
          </w:p>
          <w:p>
            <w:r>
              <w:rPr>
                <w:sz w:val="16"/>
              </w:rPr>
              <w:t>• Founder-led pilots Y1</w:t>
              <w:br/>
              <w:t>• Customer Success managers Y2+</w:t>
              <w:br/>
              <w:t>• In-product onboarding tour</w:t>
              <w:br/>
              <w:t>• Quarterly business reviews</w:t>
              <w:br/>
              <w:t>• Annual fairness audits + transparency</w:t>
            </w:r>
          </w:p>
        </w:tc>
      </w:tr>
      <w:tr>
        <w:tc>
          <w:tcPr>
            <w:tcW w:type="dxa" w:w="3264"/>
          </w:tcPr>
          <w:p>
            <w:r/>
            <w:r>
              <w:rPr>
                <w:b/>
                <w:color w:val="1F4788"/>
                <w:sz w:val="20"/>
              </w:rPr>
              <w:t>Channels</w:t>
              <w:br/>
            </w:r>
          </w:p>
          <w:p>
            <w:r>
              <w:rPr>
                <w:sz w:val="16"/>
              </w:rPr>
              <w:t>• Founder-led BD (KAUST, GCC)</w:t>
              <w:br/>
              <w:t>• Teacher PLG (Math/Science groups)</w:t>
              <w:br/>
              <w:t>• GESS Dubai + BETT conferences</w:t>
              <w:br/>
              <w:t>• Clever partnership Y2 (US districts)</w:t>
              <w:br/>
              <w:t>• Google Classroom Marketplace</w:t>
              <w:br/>
              <w:t>• Enterprise AEs Y2+ (3-4 reps)</w:t>
            </w:r>
          </w:p>
        </w:tc>
        <w:tc>
          <w:tcPr>
            <w:tcW w:type="dxa" w:w="3264"/>
          </w:tcPr>
          <w:p>
            <w:r/>
          </w:p>
          <w:p/>
        </w:tc>
        <w:tc>
          <w:tcPr>
            <w:tcW w:type="dxa" w:w="3264"/>
          </w:tcPr>
          <w:p>
            <w:r/>
            <w:r>
              <w:rPr>
                <w:b/>
                <w:color w:val="1F4788"/>
                <w:sz w:val="20"/>
              </w:rPr>
              <w:t>Customer Segments</w:t>
              <w:br/>
            </w:r>
          </w:p>
          <w:p>
            <w:r>
              <w:rPr>
                <w:sz w:val="16"/>
              </w:rPr>
              <w:t>• Saudi flagship: KAUST + NEOM (Y1)</w:t>
              <w:br/>
              <w:t>• GCC private K-12 (Y1)</w:t>
              <w:br/>
              <w:t>• Individual teachers (Y1, PLG)</w:t>
              <w:br/>
              <w:t>• US/UK public schools (Y2-3)</w:t>
              <w:br/>
              <w:t>• Districts + multi-school (Y3-5)</w:t>
              <w:br/>
              <w:t>• Parents (Y2+, school-approved)</w:t>
              <w:br/>
              <w:t>• After-school programs (Y2+)</w:t>
              <w:br/>
              <w:t>• OEM API partners (Y3+)</w:t>
            </w:r>
          </w:p>
        </w:tc>
      </w:tr>
      <w:tr>
        <w:tc>
          <w:tcPr>
            <w:tcW w:type="dxa" w:w="3264"/>
          </w:tcPr>
          <w:p>
            <w:r/>
            <w:r>
              <w:rPr>
                <w:b/>
                <w:color w:val="1F4788"/>
                <w:sz w:val="20"/>
              </w:rPr>
              <w:t>Cost Structure</w:t>
              <w:br/>
            </w:r>
          </w:p>
          <w:p>
            <w:r>
              <w:rPr>
                <w:sz w:val="16"/>
              </w:rPr>
              <w:t>Y5: 82% costs / 18% margin</w:t>
              <w:br/>
              <w:t>• Engineering &amp; R&amp;D: $2.1M (20%)</w:t>
              <w:br/>
              <w:t>• Sales &amp; Marketing: $2.2M (21%)</w:t>
              <w:br/>
              <w:t>• Game Design &amp; Content: $1.1M (11%)</w:t>
              <w:br/>
              <w:t>• Cloud Infrastructure: $1.0M (10%)</w:t>
              <w:br/>
              <w:t>• Customer Success: $0.8M (8%)</w:t>
              <w:br/>
              <w:t>• G&amp;A: $0.9M (9%)</w:t>
              <w:br/>
              <w:t>• Compliance: $0.2M (2%)</w:t>
              <w:br/>
              <w:t>• Research / Curriculum: $0.3M (3%)</w:t>
            </w:r>
          </w:p>
        </w:tc>
        <w:tc>
          <w:tcPr>
            <w:tcW w:type="dxa" w:w="3264"/>
          </w:tcPr>
          <w:p>
            <w:r/>
          </w:p>
          <w:p/>
        </w:tc>
        <w:tc>
          <w:tcPr>
            <w:tcW w:type="dxa" w:w="3264"/>
          </w:tcPr>
          <w:p>
            <w:r/>
            <w:r>
              <w:rPr>
                <w:b/>
                <w:color w:val="1F4788"/>
                <w:sz w:val="20"/>
              </w:rPr>
              <w:t>Revenue Streams</w:t>
              <w:br/>
            </w:r>
          </w:p>
          <w:p>
            <w:r>
              <w:rPr>
                <w:sz w:val="16"/>
              </w:rPr>
              <w:t>Y5: $10.3M ARR</w:t>
              <w:br/>
              <w:t>• Teacher Pro: $2.16M (21%)</w:t>
              <w:br/>
              <w:t>• School Standard: $1.54M (15%)</w:t>
              <w:br/>
              <w:t>• School Premium: $1.82M (18%)</w:t>
              <w:br/>
              <w:t>• District: $1.20M (12%)</w:t>
              <w:br/>
              <w:t>• After-school: $1.92M (19%)</w:t>
              <w:br/>
              <w:t>• Parent Premium: $0.64M (6%)</w:t>
              <w:br/>
              <w:t>• OEM / API: $0.48M (5%)</w:t>
              <w:br/>
              <w:t>• Custom + data: $0.50M (5%)</w:t>
            </w:r>
          </w:p>
        </w:tc>
      </w:tr>
    </w:tbl>
    <w:p>
      <w:r>
        <w:br w:type="page"/>
      </w:r>
    </w:p>
    <w:p>
      <w:pPr>
        <w:pStyle w:val="Heading1"/>
      </w:pPr>
      <w:r>
        <w:rPr>
          <w:b/>
          <w:color w:val="1F4788"/>
          <w:sz w:val="44"/>
        </w:rPr>
        <w:t>Appendix D — ECD Framework One-Pager</w:t>
      </w:r>
    </w:p>
    <w:p>
      <w:pPr>
        <w:spacing w:after="160"/>
      </w:pPr>
      <w:r>
        <w:rPr>
          <w:b w:val="0"/>
          <w:i w:val="0"/>
          <w:sz w:val="22"/>
        </w:rPr>
        <w:t>Evidence-Centered Design (ECD), developed at ETS in the 1990s and matured by Mislevy/Steinberg/Almond, is the methodology behind EdGame's analytics claims. ECD imposes four nested models so every collected event has a clear pedagogical purpose:</w:t>
      </w:r>
    </w:p>
    <w:p>
      <w:pPr>
        <w:pStyle w:val="Heading3"/>
      </w:pPr>
      <w:r>
        <w:rPr>
          <w:b/>
          <w:color w:val="2C3E50"/>
          <w:sz w:val="24"/>
        </w:rPr>
        <w:t>1. Competency Model — what we want to measure</w:t>
      </w:r>
    </w:p>
    <w:p>
      <w:pPr>
        <w:spacing w:after="160"/>
      </w:pPr>
      <w:r>
        <w:rPr>
          <w:b w:val="0"/>
          <w:i w:val="0"/>
          <w:sz w:val="22"/>
        </w:rPr>
        <w:t>The latent knowledge, skill, or attribute of interest (e.g. 'fluency with two-step fraction operations', 'collaborative problem-solving under time pressure').</w:t>
      </w:r>
    </w:p>
    <w:p>
      <w:pPr>
        <w:pStyle w:val="Heading3"/>
      </w:pPr>
      <w:r>
        <w:rPr>
          <w:b/>
          <w:color w:val="2C3E50"/>
          <w:sz w:val="24"/>
        </w:rPr>
        <w:t>2. Evidence Model — how observations link to competencies</w:t>
      </w:r>
    </w:p>
    <w:p>
      <w:pPr>
        <w:spacing w:after="160"/>
      </w:pPr>
      <w:r>
        <w:rPr>
          <w:b w:val="0"/>
          <w:i w:val="0"/>
          <w:sz w:val="22"/>
        </w:rPr>
        <w:t>Rules that translate raw observations (e.g. 'student selected option B with response time 8.2s after 1 hint') into evidence about the competency model (e.g. 'partial mastery; misconception suspected for sub-skill X').</w:t>
      </w:r>
    </w:p>
    <w:p>
      <w:pPr>
        <w:pStyle w:val="Heading3"/>
      </w:pPr>
      <w:r>
        <w:rPr>
          <w:b/>
          <w:color w:val="2C3E50"/>
          <w:sz w:val="24"/>
        </w:rPr>
        <w:t>3. Task Model — what the student does</w:t>
      </w:r>
    </w:p>
    <w:p>
      <w:pPr>
        <w:spacing w:after="160"/>
      </w:pPr>
      <w:r>
        <w:rPr>
          <w:b w:val="0"/>
          <w:i w:val="0"/>
          <w:sz w:val="22"/>
        </w:rPr>
        <w:t>The gameplay context in which observations occur (e.g. 'tower placement under wave-3 economic pressure'). Tasks must be calibrated for difficulty and authentic.</w:t>
      </w:r>
    </w:p>
    <w:p>
      <w:pPr>
        <w:pStyle w:val="Heading3"/>
      </w:pPr>
      <w:r>
        <w:rPr>
          <w:b/>
          <w:color w:val="2C3E50"/>
          <w:sz w:val="24"/>
        </w:rPr>
        <w:t>4. Assembly Model — how tasks combine to support inference</w:t>
      </w:r>
    </w:p>
    <w:p>
      <w:pPr>
        <w:spacing w:after="160"/>
      </w:pPr>
      <w:r>
        <w:rPr>
          <w:b w:val="0"/>
          <w:i w:val="0"/>
          <w:sz w:val="22"/>
        </w:rPr>
        <w:t>How a set of tasks (a level, a session, a cumulative profile) aggregates evidence into a defensible statement about the student's competencies.</w:t>
      </w:r>
    </w:p>
    <w:p>
      <w:pPr>
        <w:pStyle w:val="Heading2"/>
      </w:pPr>
      <w:r>
        <w:rPr>
          <w:b/>
          <w:color w:val="1F4788"/>
          <w:sz w:val="30"/>
        </w:rPr>
        <w:t>Bayesian Knowledge Tracing (BKT)</w:t>
      </w:r>
    </w:p>
    <w:p>
      <w:pPr>
        <w:spacing w:after="160"/>
      </w:pPr>
      <w:r>
        <w:rPr>
          <w:b w:val="0"/>
          <w:i w:val="0"/>
          <w:sz w:val="22"/>
        </w:rPr>
        <w:t>BKT, developed by Corbett &amp; Anderson (1995), is the standard probabilistic student model for skill acquisition. EdGame uses BKT with adaptive thresholds:</w:t>
      </w:r>
    </w:p>
    <w:p>
      <w:pPr>
        <w:pStyle w:val="ListBullet"/>
        <w:spacing w:after="40"/>
        <w:ind w:left="360"/>
      </w:pPr>
      <w:r>
        <w:rPr>
          <w:sz w:val="22"/>
        </w:rPr>
        <w:t>Mastery probability &lt; 0.4 → trigger remediation / hint scaffolding</w:t>
      </w:r>
    </w:p>
    <w:p>
      <w:pPr>
        <w:pStyle w:val="ListBullet"/>
        <w:spacing w:after="40"/>
        <w:ind w:left="360"/>
      </w:pPr>
      <w:r>
        <w:rPr>
          <w:sz w:val="22"/>
        </w:rPr>
        <w:t>0.4 ≤ Mastery probability ≤ 0.8 → in the optimal learning zone, present targeted practice</w:t>
      </w:r>
    </w:p>
    <w:p>
      <w:pPr>
        <w:pStyle w:val="ListBullet"/>
        <w:spacing w:after="40"/>
        <w:ind w:left="360"/>
      </w:pPr>
      <w:r>
        <w:rPr>
          <w:sz w:val="22"/>
        </w:rPr>
        <w:t>Mastery probability &gt; 0.8 → advance to the next concept; freeze current</w:t>
      </w:r>
    </w:p>
    <w:p>
      <w:pPr>
        <w:pStyle w:val="Heading2"/>
      </w:pPr>
      <w:r>
        <w:rPr>
          <w:b/>
          <w:color w:val="1F4788"/>
          <w:sz w:val="30"/>
        </w:rPr>
        <w:t>The 6 dimensions, briefly</w:t>
      </w:r>
    </w:p>
    <w:p>
      <w:pPr>
        <w:pStyle w:val="ListBullet"/>
        <w:spacing w:after="40"/>
        <w:ind w:left="360"/>
      </w:pPr>
      <w:r>
        <w:rPr>
          <w:sz w:val="22"/>
        </w:rPr>
        <w:t>Cognitive: correctness, response time, BKT mastery, error type classification, hint dependence</w:t>
      </w:r>
    </w:p>
    <w:p>
      <w:pPr>
        <w:pStyle w:val="ListBullet"/>
        <w:spacing w:after="40"/>
        <w:ind w:left="360"/>
      </w:pPr>
      <w:r>
        <w:rPr>
          <w:sz w:val="22"/>
        </w:rPr>
        <w:t>Engagement: play time, session frequency, dropout heatmaps, voluntary replay rate</w:t>
      </w:r>
    </w:p>
    <w:p>
      <w:pPr>
        <w:pStyle w:val="ListBullet"/>
        <w:spacing w:after="40"/>
        <w:ind w:left="360"/>
      </w:pPr>
      <w:r>
        <w:rPr>
          <w:sz w:val="22"/>
        </w:rPr>
        <w:t>Strategic: action variation index, problem-solving path analysis, productive vs unproductive persistence, risk-taking</w:t>
      </w:r>
    </w:p>
    <w:p>
      <w:pPr>
        <w:pStyle w:val="ListBullet"/>
        <w:spacing w:after="40"/>
        <w:ind w:left="360"/>
      </w:pPr>
      <w:r>
        <w:rPr>
          <w:sz w:val="22"/>
        </w:rPr>
        <w:t>Social: communication quality, network structure, role adoption, team contribution equity, cooperative score</w:t>
      </w:r>
    </w:p>
    <w:p>
      <w:pPr>
        <w:pStyle w:val="ListBullet"/>
        <w:spacing w:after="40"/>
        <w:ind w:left="360"/>
      </w:pPr>
      <w:r>
        <w:rPr>
          <w:sz w:val="22"/>
        </w:rPr>
        <w:t>Affective/SEL: frustration indicators, persistence after failure, growth mindset, emotion regulation, empathy</w:t>
      </w:r>
    </w:p>
    <w:p>
      <w:pPr>
        <w:pStyle w:val="ListBullet"/>
        <w:spacing w:after="40"/>
        <w:ind w:left="360"/>
      </w:pPr>
      <w:r>
        <w:rPr>
          <w:sz w:val="22"/>
        </w:rPr>
        <w:t>Temporal: learning rate, knowledge decay, improvement trajectory, peer benchmarks, skill transfer</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EdGame · Confidential · May 2026  ·  Page </w:t>
    </w:r>
    <w:r>
      <w:fldSimple w:instr="PAGE \* MERGEFORMA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