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Examining Equilibrium Nuclear Burning </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CN cycle reactions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13</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1.34 keV-b </w:t>
        <w:tab/>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7.60 keV-b </w:t>
        <w:tab/>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1.66 keV-b </w:t>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7.3x10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keV-b</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 the changes in the mass fractions as: </w:t>
      </w:r>
    </w:p>
    <w:p w:rsidR="00000000" w:rsidDel="00000000" w:rsidP="00000000" w:rsidRDefault="00000000" w:rsidRPr="00000000" w14:paraId="0000000A">
      <w:pPr>
        <w:jc w:val="center"/>
        <w:rPr>
          <w:rFonts w:ascii="Cambria Math" w:cs="Cambria Math" w:eastAsia="Cambria Math" w:hAnsi="Cambria Math"/>
        </w:rPr>
      </w:pPr>
      <m:oMath>
        <m:f>
          <m:fPr>
            <m:ctrlPr>
              <w:rPr>
                <w:rFonts w:ascii="Cambria Math" w:cs="Cambria Math" w:eastAsia="Cambria Math" w:hAnsi="Cambria Math"/>
              </w:rPr>
            </m:ctrlPr>
          </m:fPr>
          <m:num>
            <m:r>
              <m: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l</m:t>
                </m:r>
              </m:sub>
            </m:sSub>
          </m:num>
          <m:den>
            <m:r>
              <w:rPr>
                <w:rFonts w:ascii="Cambria Math" w:cs="Cambria Math" w:eastAsia="Cambria Math" w:hAnsi="Cambria Math"/>
              </w:rPr>
              <m:t xml:space="preserve">∂t</m:t>
            </m:r>
          </m:den>
        </m:f>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l</m:t>
                </m:r>
              </m:sub>
            </m:sSub>
            <m:r>
              <w:rPr>
                <w:rFonts w:ascii="Cambria Math" w:cs="Cambria Math" w:eastAsia="Cambria Math" w:hAnsi="Cambria Math"/>
              </w:rPr>
              <m:t xml:space="preserve">R</m:t>
            </m:r>
          </m:e>
          <m:sub>
            <m:r>
              <w:rPr>
                <w:rFonts w:ascii="Cambria Math" w:cs="Cambria Math" w:eastAsia="Cambria Math" w:hAnsi="Cambria Math"/>
              </w:rPr>
              <m:t xml:space="preserve">jk</m:t>
            </m:r>
          </m:sub>
        </m:sSub>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j</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k</m:t>
                </m:r>
              </m:sub>
            </m:sSub>
          </m:num>
          <m:den>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δ</m:t>
                </m:r>
              </m:e>
              <m:sub>
                <m:r>
                  <w:rPr>
                    <w:rFonts w:ascii="Cambria Math" w:cs="Cambria Math" w:eastAsia="Cambria Math" w:hAnsi="Cambria Math"/>
                  </w:rPr>
                  <m:t xml:space="preserve">jk</m:t>
                </m:r>
              </m:sub>
            </m:sSub>
          </m:den>
        </m:f>
      </m:oMath>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(Eqns 5.44-5.47 in the textbook</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where </w:t>
      </w:r>
      <w:r w:rsidDel="00000000" w:rsidR="00000000" w:rsidRPr="00000000">
        <w:rPr>
          <w:rFonts w:ascii="Times New Roman" w:cs="Times New Roman" w:eastAsia="Times New Roman" w:hAnsi="Times New Roman"/>
          <w:i w:val="1"/>
          <w:iCs w:val="1"/>
          <w:rtl w:val="0"/>
        </w:rPr>
        <w:t xml:space="preserve">l </w:t>
      </w:r>
      <w:r w:rsidDel="00000000" w:rsidR="00000000" w:rsidRPr="00000000">
        <w:rPr>
          <w:rFonts w:ascii="Times New Roman" w:cs="Times New Roman" w:eastAsia="Times New Roman" w:hAnsi="Times New Roman"/>
          <w:rtl w:val="0"/>
        </w:rPr>
        <w:t xml:space="preserve">represents the species of interest, and </w:t>
      </w:r>
      <w:r w:rsidDel="00000000" w:rsidR="00000000" w:rsidRPr="00000000">
        <w:rPr>
          <w:rFonts w:ascii="Times New Roman" w:cs="Times New Roman" w:eastAsia="Times New Roman" w:hAnsi="Times New Roman"/>
          <w:i w:val="1"/>
          <w:iCs w:val="1"/>
          <w:rtl w:val="0"/>
        </w:rPr>
        <w:t xml:space="preserve">j</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the reactants in reactions that destroy or produce element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rtl w:val="0"/>
        </w:rPr>
        <w:t xml:space="preserve"> (note that occasionally, </w:t>
      </w:r>
      <w:r w:rsidDel="00000000" w:rsidR="00000000" w:rsidRPr="00000000">
        <w:rPr>
          <w:rFonts w:ascii="Times New Roman" w:cs="Times New Roman" w:eastAsia="Times New Roman" w:hAnsi="Times New Roman"/>
          <w:i w:val="1"/>
          <w:iCs w:val="1"/>
          <w:rtl w:val="0"/>
        </w:rPr>
        <w:t xml:space="preserve">j=k</w:t>
      </w:r>
      <w:r w:rsidDel="00000000" w:rsidR="00000000" w:rsidRPr="00000000">
        <w:rPr>
          <w:rFonts w:ascii="Times New Roman" w:cs="Times New Roman" w:eastAsia="Times New Roman" w:hAnsi="Times New Roman"/>
          <w:rtl w:val="0"/>
        </w:rPr>
        <w:t xml:space="preserve">) the sums represent reactions that create and destroy the element of interest. Use the definitions of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jk</m:t>
            </m:r>
          </m:sub>
        </m:sSub>
      </m:oMath>
      <w:r w:rsidDel="00000000" w:rsidR="00000000" w:rsidRPr="00000000">
        <w:rPr>
          <w:rFonts w:ascii="Times New Roman" w:cs="Times New Roman" w:eastAsia="Times New Roman" w:hAnsi="Times New Roman"/>
          <w:rtl w:val="0"/>
        </w:rPr>
        <w:t xml:space="preserve"> (Eqn. 5.47) and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jk</m:t>
            </m:r>
          </m:sub>
        </m:sSub>
      </m:oMath>
      <w:r w:rsidDel="00000000" w:rsidR="00000000" w:rsidRPr="00000000">
        <w:rPr>
          <w:rFonts w:ascii="Times New Roman" w:cs="Times New Roman" w:eastAsia="Times New Roman" w:hAnsi="Times New Roman"/>
          <w:rtl w:val="0"/>
        </w:rPr>
        <w:t xml:space="preserve"> (Eqn. 5.33) in the book, with </w:t>
      </w: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jk</m:t>
            </m:r>
          </m:sub>
        </m:sSub>
        <m:r>
          <w:rPr>
            <w:rFonts w:ascii="Cambria Math" w:cs="Cambria Math" w:eastAsia="Cambria Math" w:hAnsi="Cambria Math"/>
          </w:rPr>
          <m:t xml:space="preserve">=19.72</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jk</m:t>
                        </m:r>
                      </m:sub>
                    </m:sSub>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7</m:t>
                        </m:r>
                      </m:sub>
                    </m:sSub>
                  </m:den>
                </m:f>
              </m:e>
            </m:d>
          </m:e>
          <m:sup>
            <m:r>
              <w:rPr>
                <w:rFonts w:ascii="Cambria Math" w:cs="Cambria Math" w:eastAsia="Cambria Math" w:hAnsi="Cambria Math"/>
              </w:rPr>
              <m:t xml:space="preserve">1/3</m:t>
            </m:r>
          </m:sup>
        </m:sSup>
      </m:oMath>
      <w:r w:rsidDel="00000000" w:rsidR="00000000" w:rsidRPr="00000000">
        <w:rPr>
          <w:rFonts w:ascii="Times New Roman" w:cs="Times New Roman" w:eastAsia="Times New Roman" w:hAnsi="Times New Roman"/>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jk</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Z</m:t>
            </m:r>
          </m:e>
          <m:sub>
            <m:r>
              <w:rPr>
                <w:rFonts w:ascii="Cambria Math" w:cs="Cambria Math" w:eastAsia="Cambria Math" w:hAnsi="Cambria Math"/>
              </w:rPr>
              <m:t xml:space="preserve">j</m:t>
            </m:r>
          </m:sub>
          <m:sup>
            <m:r>
              <w:rPr>
                <w:rFonts w:ascii="Cambria Math" w:cs="Cambria Math" w:eastAsia="Cambria Math" w:hAnsi="Cambria Math"/>
              </w:rPr>
              <m:t xml:space="preserve">2</m:t>
            </m:r>
          </m:sup>
        </m:sSubSup>
        <m:sSubSup>
          <m:sSubSupPr>
            <m:ctrlPr>
              <w:rPr>
                <w:rFonts w:ascii="Cambria Math" w:cs="Cambria Math" w:eastAsia="Cambria Math" w:hAnsi="Cambria Math"/>
              </w:rPr>
            </m:ctrlPr>
          </m:sSubSupPr>
          <m:e>
            <m:r>
              <w:rPr>
                <w:rFonts w:ascii="Cambria Math" w:cs="Cambria Math" w:eastAsia="Cambria Math" w:hAnsi="Cambria Math"/>
              </w:rPr>
              <m:t xml:space="preserve">Z</m:t>
            </m:r>
          </m:e>
          <m:sub>
            <m:r>
              <w:rPr>
                <w:rFonts w:ascii="Cambria Math" w:cs="Cambria Math" w:eastAsia="Cambria Math" w:hAnsi="Cambria Math"/>
              </w:rPr>
              <m:t xml:space="preserve">k</m:t>
            </m:r>
          </m:sub>
          <m:sup>
            <m:r>
              <w:rPr>
                <w:rFonts w:ascii="Cambria Math" w:cs="Cambria Math" w:eastAsia="Cambria Math" w:hAnsi="Cambria Math"/>
              </w:rPr>
              <m:t xml:space="preserve">2</m:t>
            </m:r>
          </m:sup>
        </m:sSubSup>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j</m:t>
                </m:r>
              </m:sub>
            </m:sSub>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k</m:t>
                </m:r>
              </m:sub>
            </m:sSub>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j</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k</m:t>
                </m:r>
              </m:sub>
            </m:sSub>
          </m:den>
        </m:f>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examine the CN cycle analytically:</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down the equations for the changes in mass fraction of elements modified by the CN cycle (H, 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four reactions above; you can neglect the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branch (ON branch) for the purposes of this question.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Which of these equations do you expect to come into equilibrium, given enough time on the main sequence?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adopt reaction rates of the form above where A = atomic mass, Z = atomic number, and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temperature in units of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Compute the W and </w:t>
      </w:r>
      <m:oMath>
        <m:r>
          <m:t>τ</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 for the 4 different CN cycle reactions above for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temperature of the solar core at 4.57 Gyr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w:t>
      </w:r>
      <w:r w:rsidDel="00000000" w:rsidR="00000000" w:rsidRPr="00000000">
        <w:rPr>
          <w:rFonts w:ascii="Times New Roman" w:cs="Times New Roman" w:eastAsia="Times New Roman" w:hAnsi="Times New Roman"/>
          <w:rtl w:val="0"/>
        </w:rPr>
        <w:t xml:space="preserve">“Test_solarGS98_base model” in the YREC test suite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 expressions for the equilibrium abundances for the CN cycle alone at this temperature (neglecting the ON channel).  You should calculate abundance ratios </w:t>
      </w:r>
      <m:oMath>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then use number density normalization condition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CNtot</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12C</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13C</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14N</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15N</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express abundances as a function of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CNtot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addition, use these equations to explain: </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the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ratio in equilibrium is only weakly temperature dependent; and </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why the net effect of the CN cycle is to transform most of the carbon into nitrogen.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let’s take a look at the numerical behavior in YREC. You can use the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Test_solarGS98_base</w:t>
      </w:r>
      <w:r w:rsidDel="00000000" w:rsidR="00000000" w:rsidRPr="00000000">
        <w:rPr>
          <w:rFonts w:ascii="Times New Roman" w:cs="Times New Roman" w:eastAsia="Times New Roman" w:hAnsi="Times New Roman"/>
          <w:rtl w:val="0"/>
        </w:rPr>
        <w:t xml:space="preserve">” test suite case.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problem, it will be useful to look both at the summary of stellar properties as a function of time (.track file) and </w:t>
      </w:r>
      <w:r w:rsidDel="00000000" w:rsidR="00000000" w:rsidRPr="00000000">
        <w:rPr>
          <w:rFonts w:ascii="Times New Roman" w:cs="Times New Roman" w:eastAsia="Times New Roman" w:hAnsi="Times New Roman"/>
          <w:rtl w:val="0"/>
        </w:rPr>
        <w:t xml:space="preserve">profiles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properties as a function of radius/mass at a given time (.</w:t>
      </w:r>
      <w:r w:rsidDel="00000000" w:rsidR="00000000" w:rsidRPr="00000000">
        <w:rPr>
          <w:rFonts w:ascii="Times New Roman" w:cs="Times New Roman" w:eastAsia="Times New Roman" w:hAnsi="Times New Roman"/>
          <w:rtl w:val="0"/>
        </w:rPr>
        <w:t xml:space="preserve">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You may want to increase the number of </w:t>
      </w:r>
      <w:r w:rsidDel="00000000" w:rsidR="00000000" w:rsidRPr="00000000">
        <w:rPr>
          <w:rFonts w:ascii="Times New Roman" w:cs="Times New Roman" w:eastAsia="Times New Roman" w:hAnsi="Times New Roman"/>
          <w:rtl w:val="0"/>
        </w:rPr>
        <w:t xml:space="preserve">output profiles over the example in the test suite using NPRTMOD in nml1.</w:t>
      </w:r>
      <w:r w:rsidDel="00000000" w:rsidR="00000000" w:rsidRPr="00000000">
        <w:rPr>
          <w:rtl w:val="0"/>
        </w:rPr>
      </w:r>
    </w:p>
    <w:p w:rsidR="00000000" w:rsidDel="00000000" w:rsidP="00000000" w:rsidRDefault="00000000" w:rsidRPr="00000000" w14:paraId="00000015">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Look at the terminal profile 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solar age from the </w:t>
      </w:r>
      <w:r w:rsidDel="00000000" w:rsidR="00000000" w:rsidRPr="00000000">
        <w:rPr>
          <w:rFonts w:ascii="Times New Roman" w:cs="Times New Roman" w:eastAsia="Times New Roman" w:hAnsi="Times New Roman"/>
          <w:rtl w:val="0"/>
        </w:rPr>
        <w:t xml:space="preserve">.store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is energy being transported in different regions of the star? Where is the nuclear burning occurring, and over what fraction of the star?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at values in the .track file over the solar lifetime. How does the luminosity from CNO burning compare to that from pp chain burning today? How has it changed with time? If you focus on the last 2 Gyrs of the solar history, what is driving the slow change in the relative importance of CNO burning with time?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ratio in the core in the 4.57 Gyr solar model? How does it compare to our analytic value?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sharp feature in the CNO burning relative to pp chain burning at early times. Given what you know about the reactions in the CN chain, what causes this transient feature? (If you’re stuck, I suggest making plots of the mass fractions of the various CNO components that YREC is tracking as a function of time, and perhaps looking at some profiles at interesting moments in the evolution with respect to this feature.). What assumption in Part 1 is violated at these early times? How does this enhanced CNO burning affect the structure of the star?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let’s look at masses other than solar. You can </w:t>
      </w:r>
      <w:r w:rsidDel="00000000" w:rsidR="00000000" w:rsidRPr="00000000">
        <w:rPr>
          <w:rFonts w:ascii="Times New Roman" w:cs="Times New Roman" w:eastAsia="Times New Roman" w:hAnsi="Times New Roman"/>
          <w:rtl w:val="0"/>
        </w:rPr>
        <w:t xml:space="preserve">select “Test_mXpXX_feh0p0_base_TAMS” cases from the test suite as a starting place.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models in the range of 1.0 to 2.0 M</w:t>
      </w:r>
      <w:sdt>
        <w:sdtPr>
          <w:id w:val="-90384221"/>
          <w:tag w:val="goog_rdk_0"/>
        </w:sdtPr>
        <w:sdtContent>
          <w:r w:rsidDel="00000000" w:rsidR="00000000" w:rsidRPr="00000000">
            <w:rPr>
              <w:rFonts w:ascii="Gungsuh" w:cs="Gungsuh" w:eastAsia="Gungsuh" w:hAnsi="Gungsuh"/>
              <w:vertAlign w:val="subscript"/>
              <w:rtl w:val="0"/>
            </w:rPr>
            <w:t xml:space="preserve">⊙</w:t>
          </w:r>
        </w:sdtContent>
      </w:sdt>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plot that shows the ratio of the luminosity generated by CNO and the pp burning chains as a function of mass. For each mass, plot this ratio at the moment when the star has reached a central hydrogen mass fraction of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core,H1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Remake CNO/pp luminosity ratio plot, but now use the central temperature as the x coordinate, instead of mass (i.e. the central temperature for mass M when its core hydrogen fraction = 0.4). At what core temperature does CNO become the dominant source of luminosity over pp burning?</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same models at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core,H1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 0.4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now plot the fractional mass of the convective core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star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function of mass and central temperature. How do these plots compare to plots examining the importance of the burning chains? Physically, what produces the correlation between CNO burning and convective core mass?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mbria Math">
    <w:embedRegular w:fontKey="{00000000-0000-0000-0000-000000000000}" r:id="rId1"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We’re deliberately condensing the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13</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13</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+𝜈</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O</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15</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15</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sz w:val="20"/>
          <w:szCs w:val="20"/>
          <w:rtl w:val="0"/>
        </w:rPr>
        <w:t xml:space="preserve">𝜈</w:t>
      </w:r>
      <w:r w:rsidDel="00000000" w:rsidR="00000000" w:rsidRPr="00000000">
        <w:rPr>
          <w:rFonts w:ascii="Cambria Math" w:cs="Cambria Math" w:eastAsia="Cambria Math" w:hAnsi="Cambria Math"/>
          <w:sz w:val="20"/>
          <w:szCs w:val="20"/>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decays into their preceding reactions, because both happen extremely quickly.</w:t>
      </w:r>
    </w:p>
  </w:footnote>
  <w:footnote w:id="1">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Marc H. Pinsonneault and Barbara S. Ryden, Stellar Structure and Evolution (Cambridge: Cambridge University Press, 2023)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66F45"/>
    <w:pPr>
      <w:ind w:left="720"/>
      <w:contextualSpacing w:val="1"/>
    </w:pPr>
  </w:style>
  <w:style w:type="character" w:styleId="Heading1Char" w:customStyle="1">
    <w:name w:val="Heading 1 Char"/>
    <w:basedOn w:val="DefaultParagraphFont"/>
    <w:link w:val="Heading1"/>
    <w:rsid w:val="001116F6"/>
    <w:rPr>
      <w:rFonts w:ascii="Times New Roman" w:cs="Times New Roman" w:eastAsia="Times New Roman" w:hAnsi="Times New Roman"/>
      <w:szCs w:val="20"/>
    </w:rPr>
  </w:style>
  <w:style w:type="character" w:styleId="PlaceholderText">
    <w:name w:val="Placeholder Text"/>
    <w:basedOn w:val="DefaultParagraphFont"/>
    <w:uiPriority w:val="99"/>
    <w:semiHidden w:val="1"/>
    <w:rsid w:val="008A7C6C"/>
    <w:rPr>
      <w:color w:val="808080"/>
    </w:rPr>
  </w:style>
  <w:style w:type="paragraph" w:styleId="FootnoteText">
    <w:name w:val="footnote text"/>
    <w:basedOn w:val="Normal"/>
    <w:link w:val="FootnoteTextChar"/>
    <w:uiPriority w:val="99"/>
    <w:semiHidden w:val="1"/>
    <w:unhideWhenUsed w:val="1"/>
    <w:rsid w:val="007153D8"/>
    <w:rPr>
      <w:sz w:val="20"/>
      <w:szCs w:val="20"/>
    </w:rPr>
  </w:style>
  <w:style w:type="character" w:styleId="FootnoteTextChar" w:customStyle="1">
    <w:name w:val="Footnote Text Char"/>
    <w:basedOn w:val="DefaultParagraphFont"/>
    <w:link w:val="FootnoteText"/>
    <w:uiPriority w:val="99"/>
    <w:semiHidden w:val="1"/>
    <w:rsid w:val="007153D8"/>
    <w:rPr>
      <w:sz w:val="20"/>
      <w:szCs w:val="20"/>
    </w:rPr>
  </w:style>
  <w:style w:type="character" w:styleId="FootnoteReference">
    <w:name w:val="footnote reference"/>
    <w:basedOn w:val="DefaultParagraphFont"/>
    <w:uiPriority w:val="99"/>
    <w:semiHidden w:val="1"/>
    <w:unhideWhenUsed w:val="1"/>
    <w:rsid w:val="007153D8"/>
    <w:rPr>
      <w:vertAlign w:val="superscript"/>
    </w:rPr>
  </w:style>
  <w:style w:type="character" w:styleId="Hyperlink">
    <w:name w:val="Hyperlink"/>
    <w:basedOn w:val="DefaultParagraphFont"/>
    <w:uiPriority w:val="99"/>
    <w:unhideWhenUsed w:val="1"/>
    <w:rsid w:val="000718D4"/>
    <w:rPr>
      <w:color w:val="0563c1" w:themeColor="hyperlink"/>
      <w:u w:val="single"/>
    </w:rPr>
  </w:style>
  <w:style w:type="character" w:styleId="UnresolvedMention">
    <w:name w:val="Unresolved Mention"/>
    <w:basedOn w:val="DefaultParagraphFont"/>
    <w:uiPriority w:val="99"/>
    <w:rsid w:val="000718D4"/>
    <w:rPr>
      <w:color w:val="605e5c"/>
      <w:shd w:color="auto" w:fill="e1dfdd" w:val="clear"/>
    </w:rPr>
  </w:style>
  <w:style w:type="character" w:styleId="FollowedHyperlink">
    <w:name w:val="FollowedHyperlink"/>
    <w:basedOn w:val="DefaultParagraphFont"/>
    <w:uiPriority w:val="99"/>
    <w:semiHidden w:val="1"/>
    <w:unhideWhenUsed w:val="1"/>
    <w:rsid w:val="000718D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brOs+BIIl0vQXRr7Ts2GWOnzw==">CgMxLjAaJQoBMBIgCh4IB0IaCg9UaW1lcyBOZXcgUm9tYW4SB0d1bmdzdWg4AHIhMVYzVXJRQnVKbl9yREpRQkNVajQ4RDZZWGFyTTF1SnFI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2024-09-09T19:07:00Z</dcterms:created>
  <dc:creator>Jennifer van Saders</dc:creator>
</cp:coreProperties>
</file>