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Hiragino Sans GB"/>
          <w:b/>
          <w:color w:val="0B2545"/>
          <w:sz w:val="46"/>
        </w:rPr>
        <w:t>Data Handling Compliance Guide</w:t>
      </w:r>
    </w:p>
    <w:p>
      <w:pPr>
        <w:spacing w:after="280"/>
      </w:pPr>
      <w:r>
        <w:rPr>
          <w:rFonts w:ascii="Calibri" w:hAnsi="Calibri" w:eastAsia="Hiragino Sans GB"/>
          <w:b w:val="0"/>
          <w:color w:val="667085"/>
          <w:sz w:val="24"/>
        </w:rPr>
        <w:t>Version 1.0 | Training Sample</w:t>
      </w:r>
    </w:p>
    <w:p>
      <w:pPr>
        <w:pStyle w:val="Heading1"/>
      </w:pPr>
      <w:r>
        <w:t>Purpose</w:t>
      </w:r>
    </w:p>
    <w:p>
      <w:r>
        <w:t>This guide defines minimum controls for handling internal personal and regulated data. It is a synthetic fixture and does not represent real company policy.</w:t>
      </w:r>
    </w:p>
    <w:p>
      <w:pPr>
        <w:pStyle w:val="Heading1"/>
      </w:pPr>
      <w:r>
        <w:t>Control Matrix</w:t>
      </w:r>
    </w:p>
    <w:tbl>
      <w:tblPr>
        <w:tblW w:type="auto" w:w="0"/>
        <w:tblLayout w:type="fixed"/>
        <w:tblLook w:firstColumn="1" w:firstRow="1" w:lastColumn="0" w:lastRow="0" w:noHBand="0" w:noVBand="1" w:val="04A0"/>
      </w:tblPr>
      <w:tblGrid>
        <w:gridCol w:w="4939"/>
        <w:gridCol w:w="4939"/>
      </w:tblGrid>
      <w:tr>
        <w:tc>
          <w:tcPr>
            <w:tcW w:type="dxa" w:w="1944"/>
            <w:vAlign w:val="center"/>
            <w:tcMar>
              <w:top w:w="80" w:type="dxa"/>
              <w:start w:w="120" w:type="dxa"/>
              <w:bottom w:w="80" w:type="dxa"/>
              <w:end w:w="120" w:type="dxa"/>
            </w:tcMar>
            <w:shd w:fill="E8EEF5"/>
          </w:tcPr>
          <w:p>
            <w:r>
              <w:rPr>
                <w:rFonts w:ascii="Calibri" w:hAnsi="Calibri" w:eastAsia="Hiragino Sans GB"/>
                <w:b/>
                <w:color w:val="0B2545"/>
                <w:sz w:val="20"/>
              </w:rPr>
              <w:t>Control</w:t>
            </w:r>
          </w:p>
        </w:tc>
        <w:tc>
          <w:tcPr>
            <w:tcW w:type="dxa" w:w="7416"/>
            <w:vAlign w:val="center"/>
            <w:tcMar>
              <w:top w:w="80" w:type="dxa"/>
              <w:start w:w="120" w:type="dxa"/>
              <w:bottom w:w="80" w:type="dxa"/>
              <w:end w:w="120" w:type="dxa"/>
            </w:tcMar>
            <w:shd w:fill="E8EEF5"/>
          </w:tcPr>
          <w:p>
            <w:r>
              <w:rPr>
                <w:rFonts w:ascii="Calibri" w:hAnsi="Calibri" w:eastAsia="Hiragino Sans GB"/>
                <w:b/>
                <w:color w:val="0B2545"/>
                <w:sz w:val="20"/>
              </w:rPr>
              <w:t>Requirement</w:t>
            </w:r>
          </w:p>
        </w:tc>
      </w:tr>
      <w:tr>
        <w:tc>
          <w:tcPr>
            <w:tcW w:type="dxa" w:w="1944"/>
            <w:vAlign w:val="center"/>
            <w:tcMar>
              <w:top w:w="80" w:type="dxa"/>
              <w:start w:w="120" w:type="dxa"/>
              <w:bottom w:w="80" w:type="dxa"/>
              <w:end w:w="120" w:type="dxa"/>
            </w:tcMar>
          </w:tcPr>
          <w:p>
            <w:r>
              <w:rPr>
                <w:rFonts w:ascii="Calibri" w:hAnsi="Calibri" w:eastAsia="Hiragino Sans GB"/>
                <w:b w:val="0"/>
                <w:color w:val="000000"/>
                <w:sz w:val="19"/>
              </w:rPr>
              <w:t>Access</w:t>
            </w:r>
          </w:p>
        </w:tc>
        <w:tc>
          <w:tcPr>
            <w:tcW w:type="dxa" w:w="7416"/>
            <w:vAlign w:val="center"/>
            <w:tcMar>
              <w:top w:w="80" w:type="dxa"/>
              <w:start w:w="120" w:type="dxa"/>
              <w:bottom w:w="80" w:type="dxa"/>
              <w:end w:w="120" w:type="dxa"/>
            </w:tcMar>
          </w:tcPr>
          <w:p>
            <w:r>
              <w:rPr>
                <w:rFonts w:ascii="Calibri" w:hAnsi="Calibri" w:eastAsia="Hiragino Sans GB"/>
                <w:b w:val="0"/>
                <w:color w:val="000000"/>
                <w:sz w:val="19"/>
              </w:rPr>
              <w:t>Grant least-privilege access and review it quarterly.</w:t>
            </w:r>
          </w:p>
        </w:tc>
      </w:tr>
      <w:tr>
        <w:tc>
          <w:tcPr>
            <w:tcW w:type="dxa" w:w="1944"/>
            <w:vAlign w:val="center"/>
            <w:tcMar>
              <w:top w:w="80" w:type="dxa"/>
              <w:start w:w="120" w:type="dxa"/>
              <w:bottom w:w="80" w:type="dxa"/>
              <w:end w:w="120" w:type="dxa"/>
            </w:tcMar>
          </w:tcPr>
          <w:p>
            <w:r>
              <w:rPr>
                <w:rFonts w:ascii="Calibri" w:hAnsi="Calibri" w:eastAsia="Hiragino Sans GB"/>
                <w:b w:val="0"/>
                <w:color w:val="000000"/>
                <w:sz w:val="19"/>
              </w:rPr>
              <w:t>Encryption</w:t>
            </w:r>
          </w:p>
        </w:tc>
        <w:tc>
          <w:tcPr>
            <w:tcW w:type="dxa" w:w="7416"/>
            <w:vAlign w:val="center"/>
            <w:tcMar>
              <w:top w:w="80" w:type="dxa"/>
              <w:start w:w="120" w:type="dxa"/>
              <w:bottom w:w="80" w:type="dxa"/>
              <w:end w:w="120" w:type="dxa"/>
            </w:tcMar>
          </w:tcPr>
          <w:p>
            <w:r>
              <w:rPr>
                <w:rFonts w:ascii="Calibri" w:hAnsi="Calibri" w:eastAsia="Hiragino Sans GB"/>
                <w:b w:val="0"/>
                <w:color w:val="000000"/>
                <w:sz w:val="19"/>
              </w:rPr>
              <w:t>Encrypt Restricted data in transit and at rest.</w:t>
            </w:r>
          </w:p>
        </w:tc>
      </w:tr>
      <w:tr>
        <w:tc>
          <w:tcPr>
            <w:tcW w:type="dxa" w:w="1944"/>
            <w:vAlign w:val="center"/>
            <w:tcMar>
              <w:top w:w="80" w:type="dxa"/>
              <w:start w:w="120" w:type="dxa"/>
              <w:bottom w:w="80" w:type="dxa"/>
              <w:end w:w="120" w:type="dxa"/>
            </w:tcMar>
          </w:tcPr>
          <w:p>
            <w:r>
              <w:rPr>
                <w:rFonts w:ascii="Calibri" w:hAnsi="Calibri" w:eastAsia="Hiragino Sans GB"/>
                <w:b w:val="0"/>
                <w:color w:val="000000"/>
                <w:sz w:val="19"/>
              </w:rPr>
              <w:t>Retention</w:t>
            </w:r>
          </w:p>
        </w:tc>
        <w:tc>
          <w:tcPr>
            <w:tcW w:type="dxa" w:w="7416"/>
            <w:vAlign w:val="center"/>
            <w:tcMar>
              <w:top w:w="80" w:type="dxa"/>
              <w:start w:w="120" w:type="dxa"/>
              <w:bottom w:w="80" w:type="dxa"/>
              <w:end w:w="120" w:type="dxa"/>
            </w:tcMar>
          </w:tcPr>
          <w:p>
            <w:r>
              <w:rPr>
                <w:rFonts w:ascii="Calibri" w:hAnsi="Calibri" w:eastAsia="Hiragino Sans GB"/>
                <w:b w:val="0"/>
                <w:color w:val="000000"/>
                <w:sz w:val="19"/>
              </w:rPr>
              <w:t>Delete customer export files after 30 days unless a legal hold applies.</w:t>
            </w:r>
          </w:p>
        </w:tc>
      </w:tr>
      <w:tr>
        <w:tc>
          <w:tcPr>
            <w:tcW w:type="dxa" w:w="1944"/>
            <w:vAlign w:val="center"/>
            <w:tcMar>
              <w:top w:w="80" w:type="dxa"/>
              <w:start w:w="120" w:type="dxa"/>
              <w:bottom w:w="80" w:type="dxa"/>
              <w:end w:w="120" w:type="dxa"/>
            </w:tcMar>
          </w:tcPr>
          <w:p>
            <w:r>
              <w:rPr>
                <w:rFonts w:ascii="Calibri" w:hAnsi="Calibri" w:eastAsia="Hiragino Sans GB"/>
                <w:b w:val="0"/>
                <w:color w:val="000000"/>
                <w:sz w:val="19"/>
              </w:rPr>
              <w:t>Incidents</w:t>
            </w:r>
          </w:p>
        </w:tc>
        <w:tc>
          <w:tcPr>
            <w:tcW w:type="dxa" w:w="7416"/>
            <w:vAlign w:val="center"/>
            <w:tcMar>
              <w:top w:w="80" w:type="dxa"/>
              <w:start w:w="120" w:type="dxa"/>
              <w:bottom w:w="80" w:type="dxa"/>
              <w:end w:w="120" w:type="dxa"/>
            </w:tcMar>
          </w:tcPr>
          <w:p>
            <w:r>
              <w:rPr>
                <w:rFonts w:ascii="Calibri" w:hAnsi="Calibri" w:eastAsia="Hiragino Sans GB"/>
                <w:b w:val="0"/>
                <w:color w:val="000000"/>
                <w:sz w:val="19"/>
              </w:rPr>
              <w:t>Report suspected exposure to Security Operations within one hour.</w:t>
            </w:r>
          </w:p>
        </w:tc>
      </w:tr>
    </w:tbl>
    <w:p>
      <w:pPr>
        <w:pStyle w:val="Heading1"/>
      </w:pPr>
      <w:r>
        <w:t>PII in Logs</w:t>
      </w:r>
    </w:p>
    <w:p>
      <w:r>
        <w:t>Application logs must not contain raw email addresses, telephone numbers, government identifiers, access tokens, or full user questions containing personal information. Store a nonreversible query hash and a redaction indicator instead.</w:t>
      </w:r>
    </w:p>
    <w:p>
      <w:pPr>
        <w:pStyle w:val="Heading1"/>
      </w:pPr>
      <w:r>
        <w:t>Prompt Injection</w:t>
      </w:r>
    </w:p>
    <w:p>
      <w:r>
        <w:t>Retrieved documents are untrusted data. Instructions found inside documents must never override the system policy. The answer generator may use retrieved passages as evidence only and must refuse requests that attempt to reveal secrets or hidden prompts.</w:t>
      </w:r>
    </w:p>
    <w:sectPr w:rsidR="00FC693F" w:rsidRPr="0006063C" w:rsidSect="00034616">
      <w:headerReference w:type="default" r:id="rId9"/>
      <w:footerReference w:type="default" r:id="rId10"/>
      <w:pgSz w:w="12240" w:h="15840"/>
      <w:pgMar w:top="1181" w:right="1181" w:bottom="1181" w:left="118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b w:val="0"/>
        <w:color w:val="667085"/>
        <w:sz w:val="16"/>
      </w:rPr>
      <w:t>Sample corpus - not company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Hiragino Sans GB"/>
        <w:b w:val="0"/>
        <w:color w:val="667085"/>
        <w:sz w:val="18"/>
      </w:rPr>
      <w:t>COMPLIANCE REFERENCE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Hiragino Sans G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