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EE978" w14:textId="77777777" w:rsidR="005902D8" w:rsidRDefault="00DA2163">
      <w:pPr>
        <w:spacing w:before="1200" w:after="120"/>
      </w:pPr>
      <w:r>
        <w:rPr>
          <w:rFonts w:ascii="Georgia" w:eastAsia="Georgia" w:hAnsi="Georgia" w:cs="Georgia"/>
          <w:b/>
          <w:bCs/>
          <w:color w:val="C9A96E"/>
          <w:sz w:val="52"/>
          <w:szCs w:val="52"/>
        </w:rPr>
        <w:t>THE DURABILITY PARADOX</w:t>
      </w:r>
    </w:p>
    <w:p w14:paraId="2ACF59C4" w14:textId="77777777" w:rsidR="005902D8" w:rsidRDefault="00DA2163">
      <w:pPr>
        <w:spacing w:after="400"/>
      </w:pPr>
      <w:r>
        <w:rPr>
          <w:rFonts w:ascii="Georgia" w:eastAsia="Georgia" w:hAnsi="Georgia" w:cs="Georgia"/>
          <w:color w:val="4A4A5A"/>
          <w:sz w:val="28"/>
          <w:szCs w:val="28"/>
        </w:rPr>
        <w:t>How Avant-Garde Fashion Brands Outlast the Brands That Outspend Them</w:t>
      </w:r>
    </w:p>
    <w:p w14:paraId="6FB37E61" w14:textId="77777777" w:rsidR="005902D8" w:rsidRDefault="00DA2163">
      <w:pPr>
        <w:spacing w:after="120"/>
      </w:pPr>
      <w:r>
        <w:rPr>
          <w:b/>
          <w:bCs/>
          <w:color w:val="1A1A22"/>
        </w:rPr>
        <w:t>Omar Oudrari</w:t>
      </w:r>
    </w:p>
    <w:p w14:paraId="540448B2" w14:textId="77777777" w:rsidR="005902D8" w:rsidRDefault="00DA2163">
      <w:pPr>
        <w:spacing w:after="60"/>
      </w:pPr>
      <w:r>
        <w:rPr>
          <w:color w:val="4A4A5A"/>
          <w:sz w:val="20"/>
          <w:szCs w:val="20"/>
        </w:rPr>
        <w:t>James Madison University · College of Business</w:t>
      </w:r>
    </w:p>
    <w:p w14:paraId="4365BF70" w14:textId="77777777" w:rsidR="005902D8" w:rsidRDefault="00DA2163">
      <w:pPr>
        <w:spacing w:after="60"/>
      </w:pPr>
      <w:r>
        <w:rPr>
          <w:color w:val="4A4A5A"/>
          <w:sz w:val="20"/>
          <w:szCs w:val="20"/>
        </w:rPr>
        <w:t>BBA: Computer Information Systems + Marketing</w:t>
      </w:r>
    </w:p>
    <w:p w14:paraId="316DFF4F" w14:textId="52B009E5" w:rsidR="005902D8" w:rsidRDefault="00DA2163">
      <w:pPr>
        <w:spacing w:after="60"/>
      </w:pPr>
      <w:r>
        <w:rPr>
          <w:color w:val="4A4A5A"/>
          <w:sz w:val="20"/>
          <w:szCs w:val="20"/>
        </w:rPr>
        <w:t xml:space="preserve">Business Analytics Concentration · </w:t>
      </w:r>
      <w:r w:rsidR="00061110">
        <w:rPr>
          <w:color w:val="4A4A5A"/>
          <w:sz w:val="20"/>
          <w:szCs w:val="20"/>
        </w:rPr>
        <w:t>March 15, 2026</w:t>
      </w:r>
    </w:p>
    <w:p w14:paraId="63E84872" w14:textId="77777777" w:rsidR="005902D8" w:rsidRDefault="005902D8">
      <w:pPr>
        <w:pBdr>
          <w:bottom w:val="single" w:sz="4" w:space="1" w:color="E0D5C0"/>
        </w:pBdr>
        <w:spacing w:before="200" w:after="200"/>
      </w:pPr>
    </w:p>
    <w:p w14:paraId="613039F1" w14:textId="77777777" w:rsidR="005902D8" w:rsidRDefault="00DA2163">
      <w:pPr>
        <w:spacing w:after="60"/>
      </w:pPr>
      <w:r>
        <w:rPr>
          <w:color w:val="9898B0"/>
          <w:sz w:val="18"/>
          <w:szCs w:val="18"/>
        </w:rPr>
        <w:t>Dataset: 12 brands · 18 variables · Sources: OTB Group, Owenscorp, LVMH, Kering, Business of Fashion, Fashion Revolution, Vestiaire Collective, Grailed</w:t>
      </w:r>
    </w:p>
    <w:p w14:paraId="122BCE69" w14:textId="77777777" w:rsidR="005902D8" w:rsidRDefault="00DA2163">
      <w:r>
        <w:br w:type="page"/>
      </w:r>
    </w:p>
    <w:p w14:paraId="359A4F49" w14:textId="77777777" w:rsidR="005902D8" w:rsidRDefault="00DA2163">
      <w:pPr>
        <w:pStyle w:val="Heading1"/>
        <w:spacing w:before="320" w:after="120"/>
      </w:pPr>
      <w:r>
        <w:lastRenderedPageBreak/>
        <w:t>Abstract</w:t>
      </w:r>
    </w:p>
    <w:p w14:paraId="7BE085BF" w14:textId="3F6686F6" w:rsidR="005902D8" w:rsidRDefault="00DA2163">
      <w:pPr>
        <w:spacing w:before="100" w:after="160"/>
      </w:pPr>
      <w:r>
        <w:rPr>
          <w:color w:val="1A1A22"/>
        </w:rPr>
        <w:t>This paper examines the business model durability of avant-garde fashion brands</w:t>
      </w:r>
      <w:r w:rsidR="005E7973">
        <w:rPr>
          <w:color w:val="1A1A22"/>
        </w:rPr>
        <w:t>,</w:t>
      </w:r>
      <w:r>
        <w:rPr>
          <w:color w:val="1A1A22"/>
        </w:rPr>
        <w:t xml:space="preserve"> specifically Rick Owens, Maison Margiela, Comme des Garçons, Yohji Yamamoto, Ann Demeulemeester, and the archived legacy of Helmut Lang</w:t>
      </w:r>
      <w:r w:rsidR="005E7973">
        <w:rPr>
          <w:color w:val="1A1A22"/>
        </w:rPr>
        <w:t>,</w:t>
      </w:r>
      <w:r>
        <w:rPr>
          <w:color w:val="1A1A22"/>
        </w:rPr>
        <w:t xml:space="preserve"> against two structural foils: mainstream luxury conglomerates (Louis Vuitton, Gucci, Balenciaga) and fast fashion operators (Zara, H&amp;M, Shein).</w:t>
      </w:r>
    </w:p>
    <w:p w14:paraId="6F77F59B" w14:textId="06491996" w:rsidR="005902D8" w:rsidRDefault="00DA2163">
      <w:pPr>
        <w:spacing w:before="100" w:after="160"/>
      </w:pPr>
      <w:r>
        <w:rPr>
          <w:color w:val="1A1A22"/>
        </w:rPr>
        <w:t>The central thesis is that scarcity, mystique, and designer authorship create brand moats that volume-dependent luxury and trend-dependent fast fashion structurally cannot replicate</w:t>
      </w:r>
      <w:r w:rsidR="005E7973">
        <w:rPr>
          <w:color w:val="1A1A22"/>
        </w:rPr>
        <w:t xml:space="preserve">, </w:t>
      </w:r>
      <w:r>
        <w:rPr>
          <w:color w:val="1A1A22"/>
        </w:rPr>
        <w:t>making avant-garde brands some of the most durable businesses in fashion despite never chasing scale.</w:t>
      </w:r>
    </w:p>
    <w:p w14:paraId="68163A03" w14:textId="0A57645F" w:rsidR="005902D8" w:rsidRDefault="00DA2163">
      <w:pPr>
        <w:spacing w:before="100" w:after="160"/>
      </w:pPr>
      <w:r>
        <w:rPr>
          <w:color w:val="1A1A22"/>
        </w:rPr>
        <w:t>Analysis across seven dimensions</w:t>
      </w:r>
      <w:r w:rsidR="005E7973">
        <w:rPr>
          <w:color w:val="1A1A22"/>
        </w:rPr>
        <w:t>;</w:t>
      </w:r>
      <w:r>
        <w:rPr>
          <w:color w:val="1A1A22"/>
        </w:rPr>
        <w:t xml:space="preserve"> resale value retention, archive premiums, revenue growth rates, social media paradox, distribution strategy, price positioning, and labor transparency</w:t>
      </w:r>
      <w:r w:rsidR="005E7973">
        <w:rPr>
          <w:color w:val="1A1A22"/>
        </w:rPr>
        <w:t>,</w:t>
      </w:r>
      <w:r>
        <w:rPr>
          <w:color w:val="1A1A22"/>
        </w:rPr>
        <w:t xml:space="preserve"> consistently supports this thesis. The findings challenge conventional assumptions about the relationship between brand scale, social media presence, and long-term commercial viability.</w:t>
      </w:r>
    </w:p>
    <w:p w14:paraId="37BC64ED" w14:textId="77777777" w:rsidR="005902D8" w:rsidRDefault="005902D8">
      <w:pPr>
        <w:pBdr>
          <w:bottom w:val="single" w:sz="4" w:space="1" w:color="E0D5C0"/>
        </w:pBdr>
        <w:spacing w:before="200" w:after="200"/>
      </w:pPr>
    </w:p>
    <w:p w14:paraId="517897C9" w14:textId="77777777" w:rsidR="005902D8" w:rsidRDefault="00DA2163">
      <w:pPr>
        <w:pStyle w:val="Heading1"/>
        <w:spacing w:before="320" w:after="120"/>
      </w:pPr>
      <w:r>
        <w:t>1. Introduction</w:t>
      </w:r>
    </w:p>
    <w:p w14:paraId="1A63E2FF" w14:textId="77777777" w:rsidR="005902D8" w:rsidRDefault="00DA2163">
      <w:pPr>
        <w:spacing w:before="100" w:after="160"/>
      </w:pPr>
      <w:r>
        <w:rPr>
          <w:color w:val="1A1A22"/>
        </w:rPr>
        <w:t>The fashion industry operates under a persistent assumption: that brand growth requires scale, and that scale requires mass appeal. Louis Vuitton spends billions on advertising. Shein lists 600,000 SKUs per month. Gucci hires celebrity creative directors whose every move is documented across social media. These are the orthodoxies of a volume-driven industry.</w:t>
      </w:r>
    </w:p>
    <w:p w14:paraId="05081679" w14:textId="08D9DFA8" w:rsidR="005902D8" w:rsidRDefault="00DA2163">
      <w:pPr>
        <w:spacing w:before="100" w:after="160"/>
      </w:pPr>
      <w:r>
        <w:rPr>
          <w:color w:val="1A1A22"/>
        </w:rPr>
        <w:t>Avant-garde fashion brands reject all of these orthodoxies</w:t>
      </w:r>
      <w:r w:rsidR="005E7973">
        <w:rPr>
          <w:color w:val="1A1A22"/>
        </w:rPr>
        <w:t>,</w:t>
      </w:r>
      <w:r>
        <w:rPr>
          <w:color w:val="1A1A22"/>
        </w:rPr>
        <w:t xml:space="preserve"> and they survive. Rick Owens has never run a traditional advertising campaign. Rei Kawakubo of Comme des Garçons has never taken a bow at the end of a runway show. Martin Margiela anonymized himself so completely that no verified photograph of him exists. Yet these brands have persisted for decades, generating revenues that dwarf many better-known labels relative to their employee count.</w:t>
      </w:r>
    </w:p>
    <w:p w14:paraId="2252DE86" w14:textId="29CE6244" w:rsidR="005902D8" w:rsidRDefault="00DA2163">
      <w:pPr>
        <w:spacing w:before="100" w:after="160"/>
      </w:pPr>
      <w:r>
        <w:rPr>
          <w:color w:val="1A1A22"/>
        </w:rPr>
        <w:t>This paper asks a simple question: why? What structural properties of the avant-garde business model produce durability that is immune to the forces</w:t>
      </w:r>
      <w:r w:rsidR="005E7973">
        <w:rPr>
          <w:color w:val="1A1A22"/>
        </w:rPr>
        <w:t xml:space="preserve">; </w:t>
      </w:r>
      <w:r>
        <w:rPr>
          <w:color w:val="1A1A22"/>
        </w:rPr>
        <w:t>trend cycles, cultural backlash, creative director turnover</w:t>
      </w:r>
      <w:r w:rsidR="005E7973">
        <w:rPr>
          <w:color w:val="1A1A22"/>
        </w:rPr>
        <w:t>,</w:t>
      </w:r>
      <w:r>
        <w:rPr>
          <w:color w:val="1A1A22"/>
        </w:rPr>
        <w:t xml:space="preserve"> that regularly destabilize larger, better-resourced brands?</w:t>
      </w:r>
    </w:p>
    <w:p w14:paraId="602F87DB" w14:textId="77777777" w:rsidR="005902D8" w:rsidRDefault="00DA2163">
      <w:pPr>
        <w:spacing w:before="100" w:after="160"/>
      </w:pPr>
      <w:r>
        <w:rPr>
          <w:color w:val="1A1A22"/>
        </w:rPr>
        <w:t>The answer, as the data shows, lies in scarcity as a deliberate mechanism rather than an incidental characteristic.</w:t>
      </w:r>
    </w:p>
    <w:p w14:paraId="1A7BB9D9" w14:textId="77777777" w:rsidR="005902D8" w:rsidRDefault="00DA2163">
      <w:pPr>
        <w:pStyle w:val="Heading1"/>
        <w:spacing w:before="320" w:after="120"/>
      </w:pPr>
      <w:r>
        <w:t>2. Methodology &amp; Data</w:t>
      </w:r>
    </w:p>
    <w:p w14:paraId="179572C8" w14:textId="77777777" w:rsidR="005902D8" w:rsidRDefault="00DA2163">
      <w:pPr>
        <w:pStyle w:val="Heading2"/>
        <w:spacing w:before="320"/>
      </w:pPr>
      <w:r>
        <w:t>2.1 Dataset</w:t>
      </w:r>
    </w:p>
    <w:p w14:paraId="5B6117EE" w14:textId="77777777" w:rsidR="005902D8" w:rsidRDefault="00DA2163">
      <w:pPr>
        <w:spacing w:before="100" w:after="160"/>
      </w:pPr>
      <w:r>
        <w:rPr>
          <w:color w:val="1A1A22"/>
        </w:rPr>
        <w:t>This analysis uses a curated dataset of 12 brands across 18 variables, constructed from publicly available financial filings, industry reports, secondary market platforms, and sustainability indices. Brands were selected to represent three distinct tiers:</w:t>
      </w:r>
    </w:p>
    <w:p w14:paraId="36DFE4EC" w14:textId="77777777" w:rsidR="005902D8" w:rsidRDefault="00DA2163">
      <w:pPr>
        <w:pStyle w:val="ListParagraph"/>
        <w:numPr>
          <w:ilvl w:val="0"/>
          <w:numId w:val="2"/>
        </w:numPr>
        <w:spacing w:before="60" w:after="60"/>
      </w:pPr>
      <w:r>
        <w:rPr>
          <w:color w:val="1A1A22"/>
        </w:rPr>
        <w:t>Avant-garde: Rick Owens, Maison Margiela, Comme des Garçons, Yohji Yamamoto, Ann Demeulemeester, Helmut Lang (archive)</w:t>
      </w:r>
    </w:p>
    <w:p w14:paraId="465DF4F2" w14:textId="77777777" w:rsidR="005902D8" w:rsidRDefault="00DA2163">
      <w:pPr>
        <w:pStyle w:val="ListParagraph"/>
        <w:numPr>
          <w:ilvl w:val="0"/>
          <w:numId w:val="2"/>
        </w:numPr>
        <w:spacing w:before="60" w:after="60"/>
      </w:pPr>
      <w:r>
        <w:rPr>
          <w:color w:val="1A1A22"/>
        </w:rPr>
        <w:t>Mainstream luxury: Louis Vuitton, Gucci, Balenciaga</w:t>
      </w:r>
    </w:p>
    <w:p w14:paraId="1D8ABF22" w14:textId="77777777" w:rsidR="005902D8" w:rsidRDefault="00DA2163">
      <w:pPr>
        <w:pStyle w:val="ListParagraph"/>
        <w:numPr>
          <w:ilvl w:val="0"/>
          <w:numId w:val="2"/>
        </w:numPr>
        <w:spacing w:before="60" w:after="60"/>
      </w:pPr>
      <w:r>
        <w:rPr>
          <w:color w:val="1A1A22"/>
        </w:rPr>
        <w:t>Fast fashion: Zara, H&amp;M, Shein</w:t>
      </w:r>
    </w:p>
    <w:p w14:paraId="6ED33F4F" w14:textId="77777777" w:rsidR="005902D8" w:rsidRDefault="00DA2163">
      <w:pPr>
        <w:pStyle w:val="Heading2"/>
        <w:spacing w:before="320"/>
      </w:pPr>
      <w:r>
        <w:lastRenderedPageBreak/>
        <w:t>2.2 Source Classification</w:t>
      </w:r>
    </w:p>
    <w:p w14:paraId="3930B03D" w14:textId="77777777" w:rsidR="005902D8" w:rsidRDefault="00DA2163">
      <w:pPr>
        <w:spacing w:before="100" w:after="160"/>
      </w:pPr>
      <w:r>
        <w:rPr>
          <w:color w:val="1A1A22"/>
        </w:rPr>
        <w:t>Each data point is classified using a four-tier source taxonomy:</w:t>
      </w:r>
    </w:p>
    <w:p w14:paraId="1BE5D56D" w14:textId="1DB2DD2C" w:rsidR="005902D8" w:rsidRDefault="005E7973">
      <w:pPr>
        <w:pStyle w:val="ListParagraph"/>
        <w:numPr>
          <w:ilvl w:val="0"/>
          <w:numId w:val="2"/>
        </w:numPr>
        <w:spacing w:before="60" w:after="60"/>
      </w:pPr>
      <w:r>
        <w:rPr>
          <w:color w:val="1A1A22"/>
        </w:rPr>
        <w:t>Primary</w:t>
      </w:r>
      <w:r w:rsidR="00DA2163">
        <w:rPr>
          <w:color w:val="1A1A22"/>
        </w:rPr>
        <w:t xml:space="preserve"> — Direct from a current company filing or official press release (e.g., OTB Group 2023 Annual Report, Owenscorp Italia S.p.A. 2023 filing)</w:t>
      </w:r>
    </w:p>
    <w:p w14:paraId="5B397217" w14:textId="05B0AB4D" w:rsidR="005902D8" w:rsidRDefault="005E7973">
      <w:pPr>
        <w:pStyle w:val="ListParagraph"/>
        <w:numPr>
          <w:ilvl w:val="0"/>
          <w:numId w:val="2"/>
        </w:numPr>
        <w:spacing w:before="60" w:after="60"/>
      </w:pPr>
      <w:r>
        <w:rPr>
          <w:color w:val="1A1A22"/>
        </w:rPr>
        <w:t>Archival</w:t>
      </w:r>
      <w:r w:rsidR="00DA2163">
        <w:rPr>
          <w:color w:val="1A1A22"/>
        </w:rPr>
        <w:t xml:space="preserve"> — Direct from an older historical filing (e.g., Yohji Yamamoto Inc. 2007 financial data)</w:t>
      </w:r>
    </w:p>
    <w:p w14:paraId="45DABEBC" w14:textId="3ACC57D7" w:rsidR="005902D8" w:rsidRDefault="005E7973">
      <w:pPr>
        <w:pStyle w:val="ListParagraph"/>
        <w:numPr>
          <w:ilvl w:val="0"/>
          <w:numId w:val="2"/>
        </w:numPr>
        <w:spacing w:before="60" w:after="60"/>
      </w:pPr>
      <w:r>
        <w:rPr>
          <w:color w:val="1A1A22"/>
        </w:rPr>
        <w:t>Derived</w:t>
      </w:r>
      <w:r w:rsidR="00DA2163">
        <w:rPr>
          <w:color w:val="1A1A22"/>
        </w:rPr>
        <w:t xml:space="preserve"> — Calculated using disclosed primary data (e.g., Maison Margiela estimated revenue derived by applying OTB's disclosed 23% growth rate to an estimated 2022 base)</w:t>
      </w:r>
    </w:p>
    <w:p w14:paraId="73D41F17" w14:textId="4B0EFD1C" w:rsidR="005902D8" w:rsidRDefault="005E7973">
      <w:pPr>
        <w:pStyle w:val="ListParagraph"/>
        <w:numPr>
          <w:ilvl w:val="0"/>
          <w:numId w:val="2"/>
        </w:numPr>
        <w:spacing w:before="60" w:after="60"/>
      </w:pPr>
      <w:r>
        <w:rPr>
          <w:color w:val="1A1A22"/>
        </w:rPr>
        <w:t>Aggregated</w:t>
      </w:r>
      <w:r w:rsidR="00DA2163">
        <w:rPr>
          <w:color w:val="1A1A22"/>
        </w:rPr>
        <w:t xml:space="preserve"> — Synthesized from multiple secondary market sources (e.g., resale retention percentages derived from Vestiaire Collective, Grailed, and The RealReal pricing data)</w:t>
      </w:r>
    </w:p>
    <w:p w14:paraId="2BB9ABAB" w14:textId="77777777" w:rsidR="005902D8" w:rsidRDefault="00DA2163">
      <w:pPr>
        <w:pStyle w:val="Heading2"/>
        <w:spacing w:before="320"/>
      </w:pPr>
      <w:r>
        <w:t>2.3 Limitations</w:t>
      </w:r>
    </w:p>
    <w:p w14:paraId="0CFB91C5" w14:textId="77777777" w:rsidR="005902D8" w:rsidRDefault="00DA2163">
      <w:pPr>
        <w:spacing w:before="100" w:after="160"/>
      </w:pPr>
      <w:r>
        <w:rPr>
          <w:color w:val="1A1A22"/>
        </w:rPr>
        <w:t>Several avant-garde brands are privately held and do not publish revenue figures. Rick Owens' revenue is sourced from Owenscorp Italia S.p.A. filings, which are available through the Italian company registry. Comme des Garçons' revenue is sourced from a Business of Fashion profile quoting CEO Adrian Joffe. Yohji Yamamoto's revenue reflects 2007 filing data adjusted for known restructuring events.</w:t>
      </w:r>
    </w:p>
    <w:p w14:paraId="2A13F375" w14:textId="2C0490C9" w:rsidR="005902D8" w:rsidRDefault="00DA2163">
      <w:pPr>
        <w:spacing w:before="100" w:after="160"/>
      </w:pPr>
      <w:r>
        <w:rPr>
          <w:color w:val="1A1A22"/>
        </w:rPr>
        <w:t>Resale retention and archive premium data are inherently imprecise</w:t>
      </w:r>
      <w:r w:rsidR="005E7973">
        <w:rPr>
          <w:color w:val="1A1A22"/>
        </w:rPr>
        <w:t>,</w:t>
      </w:r>
      <w:r>
        <w:rPr>
          <w:color w:val="1A1A22"/>
        </w:rPr>
        <w:t xml:space="preserve"> secondary market prices vary by condition, platform, and timing. All such figures should be understood as indicative ranges rather than precise measurements.</w:t>
      </w:r>
    </w:p>
    <w:p w14:paraId="5A6F8E84" w14:textId="77777777" w:rsidR="005902D8" w:rsidRDefault="00DA2163">
      <w:pPr>
        <w:spacing w:before="100" w:after="160"/>
      </w:pPr>
      <w:r>
        <w:rPr>
          <w:color w:val="1A1A22"/>
        </w:rPr>
        <w:t>The Fashion Transparency Index does not include most avant-garde brands in its 250-brand sample, as they fall below the revenue threshold. Transparency scores for these brands are estimated based on the structural characteristics of their organizations.</w:t>
      </w:r>
    </w:p>
    <w:p w14:paraId="04BB54F1" w14:textId="77777777" w:rsidR="005902D8" w:rsidRDefault="005902D8">
      <w:pPr>
        <w:pBdr>
          <w:bottom w:val="single" w:sz="4" w:space="1" w:color="E0D5C0"/>
        </w:pBdr>
        <w:spacing w:before="200" w:after="200"/>
      </w:pPr>
    </w:p>
    <w:p w14:paraId="21B6661D" w14:textId="77777777" w:rsidR="005902D8" w:rsidRDefault="00DA2163">
      <w:pPr>
        <w:pStyle w:val="Heading1"/>
        <w:spacing w:before="320" w:after="120"/>
      </w:pPr>
      <w:r>
        <w:t>3. The Anti-Virality Paradox</w:t>
      </w:r>
    </w:p>
    <w:p w14:paraId="6D7821BA" w14:textId="36447D41" w:rsidR="005902D8" w:rsidRDefault="00DA2163">
      <w:pPr>
        <w:spacing w:before="100" w:after="160"/>
      </w:pPr>
      <w:r>
        <w:rPr>
          <w:color w:val="1A1A22"/>
        </w:rPr>
        <w:t>The most immediate challenge to conventional fashion industry logic appears in the relationship between social media scale and revenue. Rick Owens maintains 2.1 million Instagram followers and generates approximately €125 million in annual revenue. Shein maintains 31 million Instagram followers and generates approximately €29.8 billion. The ratio between follower count and revenue is not proportional</w:t>
      </w:r>
      <w:r w:rsidR="005E7973">
        <w:rPr>
          <w:color w:val="1A1A22"/>
        </w:rPr>
        <w:t>,</w:t>
      </w:r>
      <w:r>
        <w:rPr>
          <w:color w:val="1A1A22"/>
        </w:rPr>
        <w:t xml:space="preserve"> it is inverted.</w:t>
      </w:r>
    </w:p>
    <w:p w14:paraId="34B2C971" w14:textId="2C8E7299" w:rsidR="005902D8" w:rsidRDefault="00DA2163">
      <w:pPr>
        <w:spacing w:before="100" w:after="160"/>
      </w:pPr>
      <w:r>
        <w:rPr>
          <w:color w:val="1A1A22"/>
        </w:rPr>
        <w:t>This inversion is not accidental. Avant-garde brands cultivate what might be called deliberate obscurity: a communication strategy that positions the brand as a discovery rather than a broadcast. When a brand does not advertise, finding it requires effort</w:t>
      </w:r>
      <w:r w:rsidR="005E7973">
        <w:rPr>
          <w:color w:val="1A1A22"/>
        </w:rPr>
        <w:t>,</w:t>
      </w:r>
      <w:r>
        <w:rPr>
          <w:color w:val="1A1A22"/>
        </w:rPr>
        <w:t xml:space="preserve"> and that effort creates ownership. The consumer who discovers Rick Owens through a deep dive into archival fashion forums has a fundamentally different relationship to the brand than the consumer who encounters Zara through a TikTok advertisement.</w:t>
      </w:r>
    </w:p>
    <w:p w14:paraId="49E6CB0B" w14:textId="77777777" w:rsidR="005902D8" w:rsidRDefault="00DA2163">
      <w:pPr>
        <w:spacing w:before="200" w:after="200"/>
        <w:ind w:left="720" w:right="720"/>
      </w:pPr>
      <w:r>
        <w:rPr>
          <w:rFonts w:ascii="Georgia" w:eastAsia="Georgia" w:hAnsi="Georgia" w:cs="Georgia"/>
          <w:color w:val="4A4A5A"/>
        </w:rPr>
        <w:t>Virality is a liability for luxury brands. Mass exposure erodes the perception of scarcity. The brands that generate the highest resale premiums are precisely the brands that resist the algorithmic logic of social media reach.</w:t>
      </w:r>
    </w:p>
    <w:p w14:paraId="36083A6A" w14:textId="7865772A" w:rsidR="005902D8" w:rsidRDefault="00DA2163">
      <w:pPr>
        <w:spacing w:before="100" w:after="160"/>
      </w:pPr>
      <w:r>
        <w:rPr>
          <w:color w:val="1A1A22"/>
        </w:rPr>
        <w:t xml:space="preserve">Maison Margiela's 5.4 million followers represent a relative outlier in this </w:t>
      </w:r>
      <w:proofErr w:type="gramStart"/>
      <w:r>
        <w:rPr>
          <w:color w:val="1A1A22"/>
        </w:rPr>
        <w:t>group</w:t>
      </w:r>
      <w:r w:rsidR="005E7973">
        <w:rPr>
          <w:color w:val="1A1A22"/>
        </w:rPr>
        <w:t>,</w:t>
      </w:r>
      <w:r>
        <w:rPr>
          <w:color w:val="1A1A22"/>
        </w:rPr>
        <w:t xml:space="preserve"> but</w:t>
      </w:r>
      <w:proofErr w:type="gramEnd"/>
      <w:r>
        <w:rPr>
          <w:color w:val="1A1A22"/>
        </w:rPr>
        <w:t xml:space="preserve"> must be contextualized by the brand's position within OTB Group and its significantly larger operational scale. </w:t>
      </w:r>
      <w:r>
        <w:rPr>
          <w:color w:val="1A1A22"/>
        </w:rPr>
        <w:lastRenderedPageBreak/>
        <w:t>Even at this level, its revenue-to-follower ratio substantially outperforms mainstream luxury brands with 10 times the audience.</w:t>
      </w:r>
    </w:p>
    <w:p w14:paraId="74B5D10B" w14:textId="77777777" w:rsidR="005902D8" w:rsidRDefault="00DA2163">
      <w:pPr>
        <w:pStyle w:val="Heading1"/>
        <w:spacing w:before="320" w:after="120"/>
      </w:pPr>
      <w:r>
        <w:t>4. The Resale Signal</w:t>
      </w:r>
    </w:p>
    <w:p w14:paraId="7E217958" w14:textId="77777777" w:rsidR="005902D8" w:rsidRDefault="00DA2163">
      <w:pPr>
        <w:spacing w:before="100" w:after="160"/>
      </w:pPr>
      <w:r>
        <w:rPr>
          <w:color w:val="1A1A22"/>
        </w:rPr>
        <w:t>The secondary market for fashion has emerged as one of the most reliable indicators of brand health. When buyers on Vestiaire Collective, Grailed, and The RealReal consistently pay 60–82% of original retail price for used garments, they are making an implicit statement about the brand's permanence: that the object will continue to have cultural and monetary value beyond the transaction.</w:t>
      </w:r>
    </w:p>
    <w:p w14:paraId="653929F7" w14:textId="40CA77B9" w:rsidR="005902D8" w:rsidRDefault="00DA2163">
      <w:pPr>
        <w:spacing w:before="100" w:after="160"/>
      </w:pPr>
      <w:r>
        <w:rPr>
          <w:color w:val="1A1A22"/>
        </w:rPr>
        <w:t>Maison Margiela leads the avant-garde tier with an estimated resale retention of 82%, driven partly by the virality of the Tabi boot as a cultural object and the global success of the 2024 Artisanal Collection. Rick Owens retains approximately 78%, with geometric leather pieces and footwear commanding consistent secondary market demand. Comme des Garçons retains approximately 75%, with archive pieces</w:t>
      </w:r>
      <w:r w:rsidR="005E7973">
        <w:rPr>
          <w:color w:val="1A1A22"/>
        </w:rPr>
        <w:t xml:space="preserve">, </w:t>
      </w:r>
      <w:r>
        <w:rPr>
          <w:color w:val="1A1A22"/>
        </w:rPr>
        <w:t>particularly those designed under Rei Kawakubo's most conceptually radical periods</w:t>
      </w:r>
      <w:r w:rsidR="005E7973">
        <w:rPr>
          <w:color w:val="1A1A22"/>
        </w:rPr>
        <w:t xml:space="preserve">, </w:t>
      </w:r>
      <w:r>
        <w:rPr>
          <w:color w:val="1A1A22"/>
        </w:rPr>
        <w:t>commanding substantially higher premiums.</w:t>
      </w:r>
    </w:p>
    <w:p w14:paraId="5D0BD274" w14:textId="0A461F15" w:rsidR="005902D8" w:rsidRDefault="00DA2163">
      <w:pPr>
        <w:spacing w:before="100" w:after="160"/>
      </w:pPr>
      <w:r>
        <w:rPr>
          <w:color w:val="1A1A22"/>
        </w:rPr>
        <w:t>Fast fashion retention rates tell the inverse story. Zara pieces retain an estimated 5% of retail value on secondary markets. H&amp;M retains approximately 2%. Shein pieces effectively retain zero</w:t>
      </w:r>
      <w:r w:rsidR="005E7973">
        <w:rPr>
          <w:color w:val="1A1A22"/>
        </w:rPr>
        <w:t>,</w:t>
      </w:r>
      <w:r>
        <w:rPr>
          <w:color w:val="1A1A22"/>
        </w:rPr>
        <w:t xml:space="preserve"> they are not listed on premium resale platforms because buyers do not perceive them as durable objects.</w:t>
      </w:r>
    </w:p>
    <w:p w14:paraId="2995914C" w14:textId="77777777" w:rsidR="005902D8" w:rsidRDefault="00DA2163">
      <w:pPr>
        <w:pStyle w:val="Heading2"/>
        <w:spacing w:before="320"/>
      </w:pPr>
      <w:r>
        <w:t>4.1 The Archive Premium</w:t>
      </w:r>
    </w:p>
    <w:p w14:paraId="69F3CC53" w14:textId="77777777" w:rsidR="005902D8" w:rsidRDefault="00DA2163">
      <w:pPr>
        <w:spacing w:before="100" w:after="160"/>
      </w:pPr>
      <w:r>
        <w:rPr>
          <w:color w:val="1A1A22"/>
        </w:rPr>
        <w:t>The most extreme expression of brand durability is the archive premium: the appreciation of pieces above their original retail price on the secondary market, typically years or decades after production.</w:t>
      </w:r>
    </w:p>
    <w:p w14:paraId="48F28370" w14:textId="30CF419B" w:rsidR="005902D8" w:rsidRDefault="00DA2163">
      <w:pPr>
        <w:spacing w:before="100" w:after="160"/>
      </w:pPr>
      <w:r>
        <w:rPr>
          <w:color w:val="1A1A22"/>
        </w:rPr>
        <w:t>Helmut Lang's case is the most striking in this dataset. Helmut Lang left fashion in 2005, the brand was subsequently sold to PVH Corp, and the designer retired to pursue visual art. Yet his archive</w:t>
      </w:r>
      <w:r w:rsidR="005E7973">
        <w:rPr>
          <w:color w:val="1A1A22"/>
        </w:rPr>
        <w:t xml:space="preserve">, </w:t>
      </w:r>
      <w:r>
        <w:rPr>
          <w:color w:val="1A1A22"/>
        </w:rPr>
        <w:t>garments produced between 1986 and 2004</w:t>
      </w:r>
      <w:r w:rsidR="005E7973">
        <w:rPr>
          <w:color w:val="1A1A22"/>
        </w:rPr>
        <w:t>,</w:t>
      </w:r>
      <w:r>
        <w:rPr>
          <w:color w:val="1A1A22"/>
        </w:rPr>
        <w:t xml:space="preserve"> consistently trades at 300–400% above original retail prices on specialist platforms. In 2019, Sotheby's staged a dedicated Martin Margiela auction featuring 220 pieces acquired by a single private collector, realizing €341,750</w:t>
      </w:r>
      <w:r w:rsidR="005E7973">
        <w:rPr>
          <w:color w:val="1A1A22"/>
        </w:rPr>
        <w:t>,</w:t>
      </w:r>
      <w:r>
        <w:rPr>
          <w:color w:val="1A1A22"/>
        </w:rPr>
        <w:t xml:space="preserve"> an event without parallel in mainstream luxury.</w:t>
      </w:r>
    </w:p>
    <w:p w14:paraId="1AA9401F" w14:textId="4ED7B782" w:rsidR="005902D8" w:rsidRDefault="00DA2163">
      <w:pPr>
        <w:spacing w:before="100" w:after="160"/>
      </w:pPr>
      <w:r>
        <w:rPr>
          <w:color w:val="1A1A22"/>
        </w:rPr>
        <w:t>This phenomenon demonstrates that avant-garde brands do not merely build customer loyalty</w:t>
      </w:r>
      <w:r w:rsidR="005E7973">
        <w:rPr>
          <w:color w:val="1A1A22"/>
        </w:rPr>
        <w:t>,</w:t>
      </w:r>
      <w:r>
        <w:rPr>
          <w:color w:val="1A1A22"/>
        </w:rPr>
        <w:t xml:space="preserve"> they build collector ecosystems. The brand's cultural value becomes decoupled from its operational existence, creating a self-sustaining secondary economy that generates no direct revenue for the brand but substantially reinforces its cultural authority.</w:t>
      </w:r>
    </w:p>
    <w:p w14:paraId="6A0DB655" w14:textId="77777777" w:rsidR="005902D8" w:rsidRDefault="00DA2163">
      <w:pPr>
        <w:pStyle w:val="Heading1"/>
        <w:spacing w:before="320" w:after="120"/>
      </w:pPr>
      <w:r>
        <w:t>5. Revenue &amp; Business Model</w:t>
      </w:r>
    </w:p>
    <w:p w14:paraId="2B18C940" w14:textId="77777777" w:rsidR="005902D8" w:rsidRDefault="00DA2163">
      <w:pPr>
        <w:pStyle w:val="Heading2"/>
        <w:spacing w:before="320"/>
      </w:pPr>
      <w:r>
        <w:t>5.1 Growth Rates</w:t>
      </w:r>
    </w:p>
    <w:p w14:paraId="70ED6514" w14:textId="2286227B" w:rsidR="005902D8" w:rsidRDefault="00DA2163">
      <w:pPr>
        <w:spacing w:before="100" w:after="160"/>
      </w:pPr>
      <w:r>
        <w:rPr>
          <w:color w:val="1A1A22"/>
        </w:rPr>
        <w:t>The 2023 revenue growth data provides a direct comparison of business model resilience across all three tiers. Maison Margiela led all brands in the dataset with 23% growth</w:t>
      </w:r>
      <w:r w:rsidR="005E7973">
        <w:rPr>
          <w:color w:val="1A1A22"/>
        </w:rPr>
        <w:t xml:space="preserve">, </w:t>
      </w:r>
      <w:r>
        <w:rPr>
          <w:color w:val="1A1A22"/>
        </w:rPr>
        <w:t>confirmed by OTB Group's 2023 Annual Report. Rick Owens achieved approximately 18% growth per Owenscorp's Italian company filing. Both significantly outperformed the mainstream luxury tier on a median basis.</w:t>
      </w:r>
    </w:p>
    <w:p w14:paraId="5E4B9F62" w14:textId="3841C7E8" w:rsidR="005902D8" w:rsidRDefault="00DA2163">
      <w:pPr>
        <w:spacing w:before="100" w:after="160"/>
      </w:pPr>
      <w:r>
        <w:rPr>
          <w:color w:val="1A1A22"/>
        </w:rPr>
        <w:t xml:space="preserve">The contrast with mainstream luxury is instructive. Balenciaga contracted approximately 15% in 2023 following a brand controversy involving a poorly executed advertising campaign. Gucci declined approximately 6%, prompting Kering to hire a new creative director. These contractions illustrate the </w:t>
      </w:r>
      <w:r>
        <w:rPr>
          <w:color w:val="1A1A22"/>
        </w:rPr>
        <w:lastRenderedPageBreak/>
        <w:t>fragility of mainstream luxury brands when exposed to cultural backlash</w:t>
      </w:r>
      <w:r w:rsidR="005E7973">
        <w:rPr>
          <w:color w:val="1A1A22"/>
        </w:rPr>
        <w:t xml:space="preserve">, </w:t>
      </w:r>
      <w:r>
        <w:rPr>
          <w:color w:val="1A1A22"/>
        </w:rPr>
        <w:t>a fragility that avant-garde brands largely avoid by their distance from mass culture.</w:t>
      </w:r>
    </w:p>
    <w:p w14:paraId="162E5AD4" w14:textId="77777777" w:rsidR="005902D8" w:rsidRDefault="00DA2163">
      <w:pPr>
        <w:pStyle w:val="Heading2"/>
        <w:spacing w:before="320"/>
      </w:pPr>
      <w:r>
        <w:t>5.2 Distribution Strategy</w:t>
      </w:r>
    </w:p>
    <w:p w14:paraId="0B5F43E5" w14:textId="4F0BA9A0" w:rsidR="005902D8" w:rsidRDefault="00DA2163">
      <w:pPr>
        <w:spacing w:before="100" w:after="160"/>
      </w:pPr>
      <w:r>
        <w:rPr>
          <w:color w:val="1A1A22"/>
        </w:rPr>
        <w:t>The distribution strategies of avant-garde brands reflect their broader philosophy of scarcity. Comme des Garçons sells approximately 70% of its revenue through Dover Street Market</w:t>
      </w:r>
      <w:r w:rsidR="005E7973">
        <w:rPr>
          <w:color w:val="1A1A22"/>
        </w:rPr>
        <w:t>,</w:t>
      </w:r>
      <w:r>
        <w:rPr>
          <w:color w:val="1A1A22"/>
        </w:rPr>
        <w:t xml:space="preserve"> a retail concept it owns and controls</w:t>
      </w:r>
      <w:r w:rsidR="005E7973">
        <w:rPr>
          <w:color w:val="1A1A22"/>
        </w:rPr>
        <w:t>,</w:t>
      </w:r>
      <w:r>
        <w:rPr>
          <w:color w:val="1A1A22"/>
        </w:rPr>
        <w:t xml:space="preserve"> and a small network of flagship stores. This eliminates department store markdown cycles, wholesale margin compression, and the brand dilution that comes from proximity to competing products on a retailer's floor.</w:t>
      </w:r>
    </w:p>
    <w:p w14:paraId="60BC699A" w14:textId="26182D21" w:rsidR="005902D8" w:rsidRDefault="00DA2163">
      <w:pPr>
        <w:spacing w:before="100" w:after="160"/>
      </w:pPr>
      <w:r>
        <w:rPr>
          <w:color w:val="1A1A22"/>
        </w:rPr>
        <w:t>OTB Group reported that Maison Margiela's direct-to-consumer channel grew 33.8% at constant exchange rates in 2023</w:t>
      </w:r>
      <w:r w:rsidR="005E7973">
        <w:rPr>
          <w:color w:val="1A1A22"/>
        </w:rPr>
        <w:t xml:space="preserve">, </w:t>
      </w:r>
      <w:r>
        <w:rPr>
          <w:color w:val="1A1A22"/>
        </w:rPr>
        <w:t>the fastest growth segment across the entire group. This reflects a broader industry trend toward DTC, but the avant-garde tier has structurally prioritized this model for decades before it became mainstream strategy.</w:t>
      </w:r>
    </w:p>
    <w:p w14:paraId="372C28BD" w14:textId="77777777" w:rsidR="005902D8" w:rsidRDefault="00DA2163">
      <w:pPr>
        <w:pStyle w:val="Heading1"/>
        <w:spacing w:before="320" w:after="120"/>
      </w:pPr>
      <w:r>
        <w:t>6. Ethics, Transparency &amp; The Regulatory Illusion</w:t>
      </w:r>
    </w:p>
    <w:p w14:paraId="3423B4CD" w14:textId="77777777" w:rsidR="005902D8" w:rsidRDefault="00DA2163">
      <w:pPr>
        <w:spacing w:before="100" w:after="160"/>
      </w:pPr>
      <w:r>
        <w:rPr>
          <w:color w:val="1A1A22"/>
        </w:rPr>
        <w:t>The Fashion Transparency Index (FTI), published annually by Fashion Revolution, scores the world's 250 largest fashion brands on a scale of 0–100 based on public disclosure of supply chain, labor, and environmental practices. At face value, the index appears to show that mainstream luxury and fast fashion brands are more ethical than avant-garde brands, which score near zero.</w:t>
      </w:r>
    </w:p>
    <w:p w14:paraId="58DBE3A7" w14:textId="77777777" w:rsidR="005902D8" w:rsidRDefault="00DA2163">
      <w:pPr>
        <w:spacing w:before="100" w:after="160"/>
      </w:pPr>
      <w:r>
        <w:rPr>
          <w:color w:val="1A1A22"/>
        </w:rPr>
        <w:t>This interpretation is incorrect, and its correction is analytically important.</w:t>
      </w:r>
    </w:p>
    <w:p w14:paraId="06B96CF1" w14:textId="77777777" w:rsidR="005902D8" w:rsidRDefault="00DA2163">
      <w:pPr>
        <w:pStyle w:val="Heading2"/>
        <w:spacing w:before="320"/>
      </w:pPr>
      <w:r>
        <w:t>6.1 Disclosure vs. Ethics</w:t>
      </w:r>
    </w:p>
    <w:p w14:paraId="129502EA" w14:textId="59768189" w:rsidR="005902D8" w:rsidRDefault="00DA2163">
      <w:pPr>
        <w:spacing w:before="100" w:after="160"/>
      </w:pPr>
      <w:r>
        <w:rPr>
          <w:color w:val="1A1A22"/>
        </w:rPr>
        <w:t>The FTI measures disclosure</w:t>
      </w:r>
      <w:r w:rsidR="005E7973">
        <w:rPr>
          <w:color w:val="1A1A22"/>
        </w:rPr>
        <w:t>;</w:t>
      </w:r>
      <w:r>
        <w:rPr>
          <w:color w:val="1A1A22"/>
        </w:rPr>
        <w:t xml:space="preserve"> the act of making information public</w:t>
      </w:r>
      <w:r w:rsidR="005E7973">
        <w:rPr>
          <w:color w:val="1A1A22"/>
        </w:rPr>
        <w:t xml:space="preserve">, </w:t>
      </w:r>
      <w:r>
        <w:rPr>
          <w:color w:val="1A1A22"/>
        </w:rPr>
        <w:t xml:space="preserve">not ethical performance. A brand that openly publishes evidence of inadequate labor practices scores higher than a brand that treats workers well but publishes nothing. H&amp;M scores 71% on </w:t>
      </w:r>
      <w:r w:rsidR="005E7973">
        <w:rPr>
          <w:color w:val="1A1A22"/>
        </w:rPr>
        <w:t>FTI</w:t>
      </w:r>
      <w:r>
        <w:rPr>
          <w:color w:val="1A1A22"/>
        </w:rPr>
        <w:t>; this reflects the company's extensive sustainability reporting infrastructure, not necessarily its supply chain conditions.</w:t>
      </w:r>
    </w:p>
    <w:p w14:paraId="799D88AC" w14:textId="77777777" w:rsidR="005902D8" w:rsidRDefault="00DA2163">
      <w:pPr>
        <w:pStyle w:val="Heading2"/>
        <w:spacing w:before="320"/>
      </w:pPr>
      <w:r>
        <w:t>6.2 The Regulatory Driver</w:t>
      </w:r>
    </w:p>
    <w:p w14:paraId="2B911B22" w14:textId="77777777" w:rsidR="005902D8" w:rsidRDefault="00DA2163">
      <w:pPr>
        <w:spacing w:before="100" w:after="160"/>
      </w:pPr>
      <w:r>
        <w:rPr>
          <w:color w:val="1A1A22"/>
        </w:rPr>
        <w:t>High transparency scores among large brands are substantially driven by regulatory compliance rather than voluntary ethical commitment. The European Commission's 2022 EU Strategy for Sustainable and Circular Textiles mandates supply chain disclosure for brands operating in EU markets. The EU Corporate Sustainability Reporting Directive (CSRD) imposes mandatory ESG reporting on large companies. Kering's 2023 sustainability report was produced partly in response to these legal obligations.</w:t>
      </w:r>
    </w:p>
    <w:p w14:paraId="78CAA983" w14:textId="13496124" w:rsidR="005902D8" w:rsidRDefault="00DA2163">
      <w:pPr>
        <w:spacing w:before="100" w:after="160"/>
      </w:pPr>
      <w:r>
        <w:rPr>
          <w:color w:val="1A1A22"/>
        </w:rPr>
        <w:t xml:space="preserve">Both LVMH and Kering maintain active lobbying operations in Brussels. Their sustainability disclosures exist in part because </w:t>
      </w:r>
      <w:r w:rsidR="005E7973">
        <w:rPr>
          <w:color w:val="1A1A22"/>
        </w:rPr>
        <w:t>regulations</w:t>
      </w:r>
      <w:r>
        <w:rPr>
          <w:color w:val="1A1A22"/>
        </w:rPr>
        <w:t xml:space="preserve"> made non-disclosure legally and reputationally costly</w:t>
      </w:r>
      <w:r w:rsidR="005E7973">
        <w:rPr>
          <w:color w:val="1A1A22"/>
        </w:rPr>
        <w:t>,</w:t>
      </w:r>
      <w:r>
        <w:rPr>
          <w:color w:val="1A1A22"/>
        </w:rPr>
        <w:t xml:space="preserve"> not because conglomerate ownership correlates with superior ethical practices.</w:t>
      </w:r>
    </w:p>
    <w:p w14:paraId="11D5EF58" w14:textId="77777777" w:rsidR="005902D8" w:rsidRDefault="00DA2163">
      <w:pPr>
        <w:pStyle w:val="Heading2"/>
        <w:spacing w:before="320"/>
      </w:pPr>
      <w:r>
        <w:t>6.3 The Avant-Garde Exception</w:t>
      </w:r>
    </w:p>
    <w:p w14:paraId="574BB40C" w14:textId="35282CE5" w:rsidR="005902D8" w:rsidRDefault="00DA2163">
      <w:pPr>
        <w:spacing w:before="100" w:after="160"/>
      </w:pPr>
      <w:r>
        <w:rPr>
          <w:color w:val="1A1A22"/>
        </w:rPr>
        <w:t>Rick Owens, Comme des Garçons, and Yohji Yamamoto are not in the FTI's 250-brand sample</w:t>
      </w:r>
      <w:r w:rsidR="005E7973">
        <w:rPr>
          <w:color w:val="1A1A22"/>
        </w:rPr>
        <w:t>,</w:t>
      </w:r>
      <w:r>
        <w:rPr>
          <w:color w:val="1A1A22"/>
        </w:rPr>
        <w:t xml:space="preserve"> they fall below the revenue threshold that determines inclusion. Their near-zero transparency scores reflect absence from a reporting framework built for conglomerates, not evidence of unethical practices.</w:t>
      </w:r>
    </w:p>
    <w:p w14:paraId="0E47093A" w14:textId="77777777" w:rsidR="005902D8" w:rsidRDefault="00DA2163">
      <w:pPr>
        <w:spacing w:before="100" w:after="160"/>
      </w:pPr>
      <w:r>
        <w:rPr>
          <w:color w:val="1A1A22"/>
        </w:rPr>
        <w:lastRenderedPageBreak/>
        <w:t>The structural comparison is revealing: a small Parisian atelier with 350 employees producing limited runs in Italian workshops is structurally less harmful to workers and the environment than a brand producing hundreds of thousands of SKUs per month in unaudited factories across multiple countries — regardless of their respective FTI scores.</w:t>
      </w:r>
    </w:p>
    <w:p w14:paraId="5639B9E1" w14:textId="77777777" w:rsidR="005902D8" w:rsidRDefault="00DA2163">
      <w:pPr>
        <w:pStyle w:val="Heading1"/>
        <w:spacing w:before="320" w:after="120"/>
      </w:pPr>
      <w:r>
        <w:t>7. Longevity &amp; The Succession Question</w:t>
      </w:r>
    </w:p>
    <w:p w14:paraId="7F9CD556" w14:textId="47E31A62" w:rsidR="005902D8" w:rsidRDefault="00DA2163">
      <w:pPr>
        <w:spacing w:before="100" w:after="160"/>
      </w:pPr>
      <w:r>
        <w:rPr>
          <w:color w:val="1A1A22"/>
        </w:rPr>
        <w:t>Comme des Garçons was founded in 1969. As of 2024, it remains independently owned and creatively directed by Rei Kawakubo</w:t>
      </w:r>
      <w:r w:rsidR="005E7973">
        <w:rPr>
          <w:color w:val="1A1A22"/>
        </w:rPr>
        <w:t>,</w:t>
      </w:r>
      <w:r>
        <w:rPr>
          <w:color w:val="1A1A22"/>
        </w:rPr>
        <w:t xml:space="preserve"> 56 years of operation without conglomerate acquisition, without bankruptcy, and without a creative direction change. This is, by any measure, an extraordinary record of brand durability.</w:t>
      </w:r>
    </w:p>
    <w:p w14:paraId="3EB133F6" w14:textId="77777777" w:rsidR="005902D8" w:rsidRDefault="00DA2163">
      <w:pPr>
        <w:spacing w:before="100" w:after="160"/>
      </w:pPr>
      <w:r>
        <w:rPr>
          <w:color w:val="1A1A22"/>
        </w:rPr>
        <w:t>Yohji Yamamoto's trajectory is equally instructive in a different way. The brand entered bankruptcy proceedings in 2009 with debts exceeding $65 million USD. It was restructured under Japanese private equity firm Integral Corp. The designer retained his role. The brand continued producing collections. Collectors continued buying. The identity was sufficiently irreplaceable that the brand survived a financial crisis that would have ended most comparable organizations.</w:t>
      </w:r>
    </w:p>
    <w:p w14:paraId="2F23379D" w14:textId="7D548D9E" w:rsidR="005902D8" w:rsidRDefault="00DA2163">
      <w:pPr>
        <w:spacing w:before="100" w:after="160"/>
      </w:pPr>
      <w:r>
        <w:rPr>
          <w:color w:val="1A1A22"/>
        </w:rPr>
        <w:t xml:space="preserve">The most significant unresolved risk for avant-garde brands is succession. These brands are built on the irreplaceable vision of individual designers. When Martin Margiela departed the </w:t>
      </w:r>
      <w:proofErr w:type="gramStart"/>
      <w:r w:rsidR="005E7973">
        <w:rPr>
          <w:color w:val="1A1A22"/>
        </w:rPr>
        <w:t>house</w:t>
      </w:r>
      <w:proofErr w:type="gramEnd"/>
      <w:r w:rsidR="005E7973">
        <w:rPr>
          <w:color w:val="1A1A22"/>
        </w:rPr>
        <w:t xml:space="preserve"> </w:t>
      </w:r>
      <w:r>
        <w:rPr>
          <w:color w:val="1A1A22"/>
        </w:rPr>
        <w:t>he founded in 2009, the brand's continuity under OTB and subsequent creative directors</w:t>
      </w:r>
      <w:r w:rsidR="005E7973">
        <w:rPr>
          <w:color w:val="1A1A22"/>
        </w:rPr>
        <w:t>,</w:t>
      </w:r>
      <w:r>
        <w:rPr>
          <w:color w:val="1A1A22"/>
        </w:rPr>
        <w:t xml:space="preserve"> Bill Gaytten, then John Galliano, now Glenn Martens</w:t>
      </w:r>
      <w:r w:rsidR="005E7973">
        <w:rPr>
          <w:color w:val="1A1A22"/>
        </w:rPr>
        <w:t>,</w:t>
      </w:r>
      <w:r>
        <w:rPr>
          <w:color w:val="1A1A22"/>
        </w:rPr>
        <w:t xml:space="preserve"> has been commercially successful but represents a fundamentally different proposition. The Martin Margiela-era archive commands prices that the John Galliano era is unlikely to match for decades, if ever.</w:t>
      </w:r>
    </w:p>
    <w:p w14:paraId="7519544E" w14:textId="74760EF7" w:rsidR="005902D8" w:rsidRDefault="00DA2163">
      <w:pPr>
        <w:spacing w:before="100" w:after="160"/>
      </w:pPr>
      <w:r>
        <w:rPr>
          <w:color w:val="1A1A22"/>
        </w:rPr>
        <w:t>This succession risk is real and must be acknowledged as a structural limitation of the designer-as-auteur model. It does not, however, negate the model's durability advantages</w:t>
      </w:r>
      <w:r w:rsidR="005E7973">
        <w:rPr>
          <w:color w:val="1A1A22"/>
        </w:rPr>
        <w:t>,</w:t>
      </w:r>
      <w:r>
        <w:rPr>
          <w:color w:val="1A1A22"/>
        </w:rPr>
        <w:t xml:space="preserve"> it simply reframes the question from 'is this brand durable?' to 'for how long, and under what conditions?'</w:t>
      </w:r>
    </w:p>
    <w:p w14:paraId="67C41F1B" w14:textId="77777777" w:rsidR="005902D8" w:rsidRDefault="00DA2163">
      <w:pPr>
        <w:pStyle w:val="Heading1"/>
        <w:spacing w:before="320" w:after="120"/>
      </w:pPr>
      <w:r>
        <w:t>8. Synthesis &amp; Implications</w:t>
      </w:r>
    </w:p>
    <w:p w14:paraId="69EA48DD" w14:textId="77777777" w:rsidR="005902D8" w:rsidRDefault="00DA2163">
      <w:pPr>
        <w:spacing w:before="100" w:after="160"/>
      </w:pPr>
      <w:r>
        <w:rPr>
          <w:color w:val="1A1A22"/>
        </w:rPr>
        <w:t>The data across seven analytical dimensions consistently supports the central thesis. Five findings emerge with particular clarity:</w:t>
      </w:r>
    </w:p>
    <w:p w14:paraId="5BFA425D" w14:textId="77777777" w:rsidR="005902D8" w:rsidRDefault="00DA2163">
      <w:pPr>
        <w:pStyle w:val="Heading3"/>
        <w:spacing w:before="320" w:after="120"/>
      </w:pPr>
      <w:r>
        <w:rPr>
          <w:color w:val="1A1A22"/>
        </w:rPr>
        <w:t>Finding 1: The scarcity model is financially viable at meaningful scale</w:t>
      </w:r>
    </w:p>
    <w:p w14:paraId="2AD0E232" w14:textId="77777777" w:rsidR="005902D8" w:rsidRDefault="00DA2163">
      <w:pPr>
        <w:spacing w:before="100" w:after="160"/>
      </w:pPr>
      <w:r>
        <w:rPr>
          <w:color w:val="1A1A22"/>
        </w:rPr>
        <w:t>Rick Owens generates €125 million in annual revenue with no advertising spend, no celebrity endorsements, and ten flagship stores globally. Comme des Garçons generates over $300 million annually through a predominantly direct-to-consumer model centered on its own retail concept. The argument that avant-garde brands are artistically interesting but commercially marginal is not supported by the evidence.</w:t>
      </w:r>
    </w:p>
    <w:p w14:paraId="2A826E09" w14:textId="77777777" w:rsidR="005902D8" w:rsidRDefault="00DA2163">
      <w:pPr>
        <w:pStyle w:val="Heading3"/>
        <w:spacing w:before="320" w:after="120"/>
      </w:pPr>
      <w:r>
        <w:rPr>
          <w:color w:val="1A1A22"/>
        </w:rPr>
        <w:t>Finding 2: Social media reach is inversely correlated with brand durability indicators</w:t>
      </w:r>
    </w:p>
    <w:p w14:paraId="68C408E3" w14:textId="44758870" w:rsidR="005902D8" w:rsidRDefault="00DA2163">
      <w:pPr>
        <w:spacing w:before="100" w:after="160"/>
      </w:pPr>
      <w:r>
        <w:rPr>
          <w:color w:val="1A1A22"/>
        </w:rPr>
        <w:t xml:space="preserve">The brands with the highest resale retention rates and archive premiums in this dataset have the smallest social media presences. This relationship is not </w:t>
      </w:r>
      <w:proofErr w:type="gramStart"/>
      <w:r>
        <w:rPr>
          <w:color w:val="1A1A22"/>
        </w:rPr>
        <w:t>incidental</w:t>
      </w:r>
      <w:r w:rsidR="005E7973">
        <w:rPr>
          <w:color w:val="1A1A22"/>
        </w:rPr>
        <w:t>,</w:t>
      </w:r>
      <w:proofErr w:type="gramEnd"/>
      <w:r>
        <w:rPr>
          <w:color w:val="1A1A22"/>
        </w:rPr>
        <w:t xml:space="preserve"> it reflects the fundamental incompatibility between mass digital exposure and the perception of scarcity that underpins secondary market value.</w:t>
      </w:r>
    </w:p>
    <w:p w14:paraId="4395E074" w14:textId="77777777" w:rsidR="005902D8" w:rsidRDefault="00DA2163">
      <w:pPr>
        <w:pStyle w:val="Heading3"/>
        <w:spacing w:before="320" w:after="120"/>
      </w:pPr>
      <w:r>
        <w:rPr>
          <w:color w:val="1A1A22"/>
        </w:rPr>
        <w:lastRenderedPageBreak/>
        <w:t>Finding 3: The secondary market is the most reliable leading indicator of brand health</w:t>
      </w:r>
    </w:p>
    <w:p w14:paraId="67D0A2DF" w14:textId="77777777" w:rsidR="005902D8" w:rsidRDefault="00DA2163">
      <w:pPr>
        <w:spacing w:before="100" w:after="160"/>
      </w:pPr>
      <w:r>
        <w:rPr>
          <w:color w:val="1A1A22"/>
        </w:rPr>
        <w:t>When a brand's pieces consistently appreciate on the secondary market, it indicates that collectors and buyers believe in the brand's cultural permanence. No fast fashion brand has ever achieved sustained resale retention above 10%. Several avant-garde brands have maintained resale retention above 60% for decades. The divergence is structural, not cyclical.</w:t>
      </w:r>
    </w:p>
    <w:p w14:paraId="4A0531F5" w14:textId="77777777" w:rsidR="005902D8" w:rsidRDefault="00DA2163">
      <w:pPr>
        <w:pStyle w:val="Heading3"/>
        <w:spacing w:before="320" w:after="120"/>
      </w:pPr>
      <w:r>
        <w:rPr>
          <w:color w:val="1A1A22"/>
        </w:rPr>
        <w:t>Finding 4: Transparency scores measure regulatory compliance, not ethical performance</w:t>
      </w:r>
    </w:p>
    <w:p w14:paraId="445A61E4" w14:textId="073886F8" w:rsidR="005902D8" w:rsidRDefault="00DA2163">
      <w:pPr>
        <w:spacing w:before="100" w:after="160"/>
      </w:pPr>
      <w:r>
        <w:rPr>
          <w:color w:val="1A1A22"/>
        </w:rPr>
        <w:t>The FTI's scoring methodology creates a misleading picture of the ethical landscape of fashion. High scores reflect disclosure infrastructure</w:t>
      </w:r>
      <w:r w:rsidR="005E7973">
        <w:rPr>
          <w:color w:val="1A1A22"/>
        </w:rPr>
        <w:t xml:space="preserve">, </w:t>
      </w:r>
      <w:r>
        <w:rPr>
          <w:color w:val="1A1A22"/>
        </w:rPr>
        <w:t>built in response to EU regulation</w:t>
      </w:r>
      <w:r w:rsidR="005E7973">
        <w:rPr>
          <w:color w:val="1A1A22"/>
        </w:rPr>
        <w:t>,</w:t>
      </w:r>
      <w:r>
        <w:rPr>
          <w:color w:val="1A1A22"/>
        </w:rPr>
        <w:t xml:space="preserve"> not superior labor or environmental practices. The avant-garde sector's structural exclusion from the FTI sample should not be interpreted as evidence of ethical failure.</w:t>
      </w:r>
    </w:p>
    <w:p w14:paraId="5A6A3228" w14:textId="77777777" w:rsidR="005902D8" w:rsidRDefault="00DA2163">
      <w:pPr>
        <w:pStyle w:val="Heading3"/>
        <w:spacing w:before="320" w:after="120"/>
      </w:pPr>
      <w:r>
        <w:rPr>
          <w:color w:val="1A1A22"/>
        </w:rPr>
        <w:t>Finding 5: The designer-as-auteur model creates irreplaceable competitive moats</w:t>
      </w:r>
    </w:p>
    <w:p w14:paraId="37130990" w14:textId="77777777" w:rsidR="005902D8" w:rsidRDefault="00DA2163">
      <w:pPr>
        <w:spacing w:before="100" w:after="160"/>
      </w:pPr>
      <w:r>
        <w:rPr>
          <w:color w:val="1A1A22"/>
        </w:rPr>
        <w:t>You cannot hire a replacement Rei Kawakubo. You cannot acquire the cultural capital that Helmut Lang built across 18 years of designing. You cannot replicate the specific aesthetic language that Rick Owens has spent three decades developing. These irreplaceabilities are the source of the archive premium, the secondary market strength, and the brand's immunity to the competitive pressures that regularly destabilize volume-dependent brands.</w:t>
      </w:r>
    </w:p>
    <w:p w14:paraId="7062BBC4" w14:textId="77777777" w:rsidR="005902D8" w:rsidRDefault="005902D8">
      <w:pPr>
        <w:pBdr>
          <w:bottom w:val="single" w:sz="4" w:space="1" w:color="E0D5C0"/>
        </w:pBdr>
        <w:spacing w:before="200" w:after="200"/>
      </w:pPr>
    </w:p>
    <w:p w14:paraId="16CA41F8" w14:textId="77777777" w:rsidR="005902D8" w:rsidRDefault="00DA2163">
      <w:pPr>
        <w:pStyle w:val="Heading1"/>
        <w:spacing w:before="320" w:after="120"/>
      </w:pPr>
      <w:r>
        <w:t>References &amp; Data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1"/>
        <w:gridCol w:w="3171"/>
        <w:gridCol w:w="1632"/>
        <w:gridCol w:w="1586"/>
      </w:tblGrid>
      <w:tr w:rsidR="005902D8" w14:paraId="4F3C602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A2A38"/>
            <w:tcMar>
              <w:top w:w="80" w:type="dxa"/>
              <w:left w:w="120" w:type="dxa"/>
              <w:bottom w:w="80" w:type="dxa"/>
              <w:right w:w="120" w:type="dxa"/>
            </w:tcMar>
          </w:tcPr>
          <w:p w14:paraId="685192FE" w14:textId="77777777" w:rsidR="005902D8" w:rsidRDefault="00DA2163">
            <w:r>
              <w:rPr>
                <w:b/>
                <w:bCs/>
                <w:color w:val="C9A96E"/>
                <w:sz w:val="18"/>
                <w:szCs w:val="18"/>
              </w:rPr>
              <w:t>Source</w:t>
            </w:r>
          </w:p>
        </w:tc>
        <w:tc>
          <w:tcPr>
            <w:tcW w:w="3200" w:type="dxa"/>
            <w:tcBorders>
              <w:top w:val="single" w:sz="1" w:space="0" w:color="CCCCCC"/>
              <w:left w:val="single" w:sz="1" w:space="0" w:color="CCCCCC"/>
              <w:bottom w:val="single" w:sz="1" w:space="0" w:color="CCCCCC"/>
              <w:right w:val="single" w:sz="1" w:space="0" w:color="CCCCCC"/>
            </w:tcBorders>
            <w:shd w:val="clear" w:color="auto" w:fill="2A2A38"/>
            <w:tcMar>
              <w:top w:w="80" w:type="dxa"/>
              <w:left w:w="120" w:type="dxa"/>
              <w:bottom w:w="80" w:type="dxa"/>
              <w:right w:w="120" w:type="dxa"/>
            </w:tcMar>
          </w:tcPr>
          <w:p w14:paraId="1C811A8E" w14:textId="77777777" w:rsidR="005902D8" w:rsidRDefault="00DA2163">
            <w:r>
              <w:rPr>
                <w:b/>
                <w:bCs/>
                <w:color w:val="C9A96E"/>
                <w:sz w:val="18"/>
                <w:szCs w:val="18"/>
              </w:rPr>
              <w:t>Data Used</w:t>
            </w:r>
          </w:p>
        </w:tc>
        <w:tc>
          <w:tcPr>
            <w:tcW w:w="1560" w:type="dxa"/>
            <w:tcBorders>
              <w:top w:val="single" w:sz="1" w:space="0" w:color="CCCCCC"/>
              <w:left w:val="single" w:sz="1" w:space="0" w:color="CCCCCC"/>
              <w:bottom w:val="single" w:sz="1" w:space="0" w:color="CCCCCC"/>
              <w:right w:val="single" w:sz="1" w:space="0" w:color="CCCCCC"/>
            </w:tcBorders>
            <w:shd w:val="clear" w:color="auto" w:fill="2A2A38"/>
            <w:tcMar>
              <w:top w:w="80" w:type="dxa"/>
              <w:left w:w="120" w:type="dxa"/>
              <w:bottom w:w="80" w:type="dxa"/>
              <w:right w:w="120" w:type="dxa"/>
            </w:tcMar>
          </w:tcPr>
          <w:p w14:paraId="1FE46BDD" w14:textId="77777777" w:rsidR="005902D8" w:rsidRDefault="00DA2163">
            <w:r>
              <w:rPr>
                <w:b/>
                <w:bCs/>
                <w:color w:val="C9A96E"/>
                <w:sz w:val="18"/>
                <w:szCs w:val="18"/>
              </w:rPr>
              <w:t>Classification</w:t>
            </w:r>
          </w:p>
        </w:tc>
        <w:tc>
          <w:tcPr>
            <w:tcW w:w="1600" w:type="dxa"/>
            <w:tcBorders>
              <w:top w:val="single" w:sz="1" w:space="0" w:color="CCCCCC"/>
              <w:left w:val="single" w:sz="1" w:space="0" w:color="CCCCCC"/>
              <w:bottom w:val="single" w:sz="1" w:space="0" w:color="CCCCCC"/>
              <w:right w:val="single" w:sz="1" w:space="0" w:color="CCCCCC"/>
            </w:tcBorders>
            <w:shd w:val="clear" w:color="auto" w:fill="2A2A38"/>
            <w:tcMar>
              <w:top w:w="80" w:type="dxa"/>
              <w:left w:w="120" w:type="dxa"/>
              <w:bottom w:w="80" w:type="dxa"/>
              <w:right w:w="120" w:type="dxa"/>
            </w:tcMar>
          </w:tcPr>
          <w:p w14:paraId="190AD28E" w14:textId="77777777" w:rsidR="005902D8" w:rsidRDefault="00DA2163">
            <w:r>
              <w:rPr>
                <w:b/>
                <w:bCs/>
                <w:color w:val="C9A96E"/>
                <w:sz w:val="18"/>
                <w:szCs w:val="18"/>
              </w:rPr>
              <w:t>Year</w:t>
            </w:r>
          </w:p>
        </w:tc>
      </w:tr>
      <w:tr w:rsidR="005902D8" w14:paraId="5C5A40F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5EF"/>
            <w:tcMar>
              <w:top w:w="80" w:type="dxa"/>
              <w:left w:w="120" w:type="dxa"/>
              <w:bottom w:w="80" w:type="dxa"/>
              <w:right w:w="120" w:type="dxa"/>
            </w:tcMar>
          </w:tcPr>
          <w:p w14:paraId="5A42D9AB" w14:textId="77777777" w:rsidR="005902D8" w:rsidRDefault="00DA2163">
            <w:r>
              <w:rPr>
                <w:color w:val="1A1A22"/>
                <w:sz w:val="18"/>
                <w:szCs w:val="18"/>
              </w:rPr>
              <w:t>Owenscorp Italia S.p.A. filing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552DB" w14:textId="77777777" w:rsidR="005902D8" w:rsidRDefault="00DA2163">
            <w:r>
              <w:rPr>
                <w:color w:val="1A1A22"/>
                <w:sz w:val="18"/>
                <w:szCs w:val="18"/>
              </w:rPr>
              <w:t>Revenue €125M; Gross profit €71.9M</w:t>
            </w:r>
          </w:p>
        </w:tc>
        <w:tc>
          <w:tcPr>
            <w:tcW w:w="1560" w:type="dxa"/>
            <w:tcBorders>
              <w:top w:val="single" w:sz="1" w:space="0" w:color="CCCCCC"/>
              <w:left w:val="single" w:sz="1" w:space="0" w:color="CCCCCC"/>
              <w:bottom w:val="single" w:sz="1" w:space="0" w:color="CCCCCC"/>
              <w:right w:val="single" w:sz="1" w:space="0" w:color="CCCCCC"/>
            </w:tcBorders>
            <w:shd w:val="clear" w:color="auto" w:fill="F8F5EF"/>
            <w:tcMar>
              <w:top w:w="80" w:type="dxa"/>
              <w:left w:w="120" w:type="dxa"/>
              <w:bottom w:w="80" w:type="dxa"/>
              <w:right w:w="120" w:type="dxa"/>
            </w:tcMar>
          </w:tcPr>
          <w:p w14:paraId="4E687E50" w14:textId="77777777" w:rsidR="005902D8" w:rsidRDefault="00DA2163">
            <w:r>
              <w:rPr>
                <w:color w:val="1A1A22"/>
                <w:sz w:val="18"/>
                <w:szCs w:val="18"/>
              </w:rPr>
              <w:t>PRIMARY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2AC57" w14:textId="77777777" w:rsidR="005902D8" w:rsidRDefault="00DA2163">
            <w:r>
              <w:rPr>
                <w:color w:val="1A1A22"/>
                <w:sz w:val="18"/>
                <w:szCs w:val="18"/>
              </w:rPr>
              <w:t>2023</w:t>
            </w:r>
          </w:p>
        </w:tc>
      </w:tr>
      <w:tr w:rsidR="005902D8" w14:paraId="7205AA9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5EF"/>
            <w:tcMar>
              <w:top w:w="80" w:type="dxa"/>
              <w:left w:w="120" w:type="dxa"/>
              <w:bottom w:w="80" w:type="dxa"/>
              <w:right w:w="120" w:type="dxa"/>
            </w:tcMar>
          </w:tcPr>
          <w:p w14:paraId="0D7A7EBA" w14:textId="77777777" w:rsidR="005902D8" w:rsidRDefault="00DA2163">
            <w:r>
              <w:rPr>
                <w:color w:val="1A1A22"/>
                <w:sz w:val="18"/>
                <w:szCs w:val="18"/>
              </w:rPr>
              <w:t>OTB Group Annual Report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C4DE2" w14:textId="77777777" w:rsidR="005902D8" w:rsidRDefault="00DA2163">
            <w:r>
              <w:rPr>
                <w:color w:val="1A1A22"/>
                <w:sz w:val="18"/>
                <w:szCs w:val="18"/>
              </w:rPr>
              <w:t>Margiela +23% growth; Group €1.9B</w:t>
            </w:r>
          </w:p>
        </w:tc>
        <w:tc>
          <w:tcPr>
            <w:tcW w:w="1560" w:type="dxa"/>
            <w:tcBorders>
              <w:top w:val="single" w:sz="1" w:space="0" w:color="CCCCCC"/>
              <w:left w:val="single" w:sz="1" w:space="0" w:color="CCCCCC"/>
              <w:bottom w:val="single" w:sz="1" w:space="0" w:color="CCCCCC"/>
              <w:right w:val="single" w:sz="1" w:space="0" w:color="CCCCCC"/>
            </w:tcBorders>
            <w:shd w:val="clear" w:color="auto" w:fill="F8F5EF"/>
            <w:tcMar>
              <w:top w:w="80" w:type="dxa"/>
              <w:left w:w="120" w:type="dxa"/>
              <w:bottom w:w="80" w:type="dxa"/>
              <w:right w:w="120" w:type="dxa"/>
            </w:tcMar>
          </w:tcPr>
          <w:p w14:paraId="0324A64E" w14:textId="77777777" w:rsidR="005902D8" w:rsidRDefault="00DA2163">
            <w:r>
              <w:rPr>
                <w:color w:val="1A1A22"/>
                <w:sz w:val="18"/>
                <w:szCs w:val="18"/>
              </w:rPr>
              <w:t>PRIMARY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CB197" w14:textId="77777777" w:rsidR="005902D8" w:rsidRDefault="00DA2163">
            <w:r>
              <w:rPr>
                <w:color w:val="1A1A22"/>
                <w:sz w:val="18"/>
                <w:szCs w:val="18"/>
              </w:rPr>
              <w:t>2023</w:t>
            </w:r>
          </w:p>
        </w:tc>
      </w:tr>
      <w:tr w:rsidR="005902D8" w14:paraId="5389BB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5EF"/>
            <w:tcMar>
              <w:top w:w="80" w:type="dxa"/>
              <w:left w:w="120" w:type="dxa"/>
              <w:bottom w:w="80" w:type="dxa"/>
              <w:right w:w="120" w:type="dxa"/>
            </w:tcMar>
          </w:tcPr>
          <w:p w14:paraId="5E6F9284" w14:textId="77777777" w:rsidR="005902D8" w:rsidRDefault="00DA2163">
            <w:r>
              <w:rPr>
                <w:color w:val="1A1A22"/>
                <w:sz w:val="18"/>
                <w:szCs w:val="18"/>
              </w:rPr>
              <w:t>OTB Group Annual Report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4BC6C" w14:textId="77777777" w:rsidR="005902D8" w:rsidRDefault="00DA2163">
            <w:r>
              <w:rPr>
                <w:color w:val="1A1A22"/>
                <w:sz w:val="18"/>
                <w:szCs w:val="18"/>
              </w:rPr>
              <w:t>Margiela +4.6%; Group €1.8B</w:t>
            </w:r>
          </w:p>
        </w:tc>
        <w:tc>
          <w:tcPr>
            <w:tcW w:w="1560" w:type="dxa"/>
            <w:tcBorders>
              <w:top w:val="single" w:sz="1" w:space="0" w:color="CCCCCC"/>
              <w:left w:val="single" w:sz="1" w:space="0" w:color="CCCCCC"/>
              <w:bottom w:val="single" w:sz="1" w:space="0" w:color="CCCCCC"/>
              <w:right w:val="single" w:sz="1" w:space="0" w:color="CCCCCC"/>
            </w:tcBorders>
            <w:shd w:val="clear" w:color="auto" w:fill="F8F5EF"/>
            <w:tcMar>
              <w:top w:w="80" w:type="dxa"/>
              <w:left w:w="120" w:type="dxa"/>
              <w:bottom w:w="80" w:type="dxa"/>
              <w:right w:w="120" w:type="dxa"/>
            </w:tcMar>
          </w:tcPr>
          <w:p w14:paraId="42CD7FB5" w14:textId="77777777" w:rsidR="005902D8" w:rsidRDefault="00DA2163">
            <w:r>
              <w:rPr>
                <w:color w:val="1A1A22"/>
                <w:sz w:val="18"/>
                <w:szCs w:val="18"/>
              </w:rPr>
              <w:t>PRIMARY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921FC" w14:textId="77777777" w:rsidR="005902D8" w:rsidRDefault="00DA2163">
            <w:r>
              <w:rPr>
                <w:color w:val="1A1A22"/>
                <w:sz w:val="18"/>
                <w:szCs w:val="18"/>
              </w:rPr>
              <w:t>2024</w:t>
            </w:r>
          </w:p>
        </w:tc>
      </w:tr>
      <w:tr w:rsidR="005902D8" w14:paraId="1C633E1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5EF"/>
            <w:tcMar>
              <w:top w:w="80" w:type="dxa"/>
              <w:left w:w="120" w:type="dxa"/>
              <w:bottom w:w="80" w:type="dxa"/>
              <w:right w:w="120" w:type="dxa"/>
            </w:tcMar>
          </w:tcPr>
          <w:p w14:paraId="65EE0058" w14:textId="77777777" w:rsidR="005902D8" w:rsidRDefault="00DA2163">
            <w:r>
              <w:rPr>
                <w:color w:val="1A1A22"/>
                <w:sz w:val="18"/>
                <w:szCs w:val="18"/>
              </w:rPr>
              <w:t>Business of Fashion (Adrian Joffe)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0192A" w14:textId="77777777" w:rsidR="005902D8" w:rsidRDefault="00DA2163">
            <w:proofErr w:type="spellStart"/>
            <w:r>
              <w:rPr>
                <w:color w:val="1A1A22"/>
                <w:sz w:val="18"/>
                <w:szCs w:val="18"/>
              </w:rPr>
              <w:t>CdG</w:t>
            </w:r>
            <w:proofErr w:type="spellEnd"/>
            <w:r>
              <w:rPr>
                <w:color w:val="1A1A22"/>
                <w:sz w:val="18"/>
                <w:szCs w:val="18"/>
              </w:rPr>
              <w:t xml:space="preserve"> revenue &gt;$320M</w:t>
            </w:r>
          </w:p>
        </w:tc>
        <w:tc>
          <w:tcPr>
            <w:tcW w:w="1560" w:type="dxa"/>
            <w:tcBorders>
              <w:top w:val="single" w:sz="1" w:space="0" w:color="CCCCCC"/>
              <w:left w:val="single" w:sz="1" w:space="0" w:color="CCCCCC"/>
              <w:bottom w:val="single" w:sz="1" w:space="0" w:color="CCCCCC"/>
              <w:right w:val="single" w:sz="1" w:space="0" w:color="CCCCCC"/>
            </w:tcBorders>
            <w:shd w:val="clear" w:color="auto" w:fill="F8F5EF"/>
            <w:tcMar>
              <w:top w:w="80" w:type="dxa"/>
              <w:left w:w="120" w:type="dxa"/>
              <w:bottom w:w="80" w:type="dxa"/>
              <w:right w:w="120" w:type="dxa"/>
            </w:tcMar>
          </w:tcPr>
          <w:p w14:paraId="1122615D" w14:textId="77777777" w:rsidR="005902D8" w:rsidRDefault="00DA2163">
            <w:r>
              <w:rPr>
                <w:color w:val="1A1A22"/>
                <w:sz w:val="18"/>
                <w:szCs w:val="18"/>
              </w:rPr>
              <w:t>ARCHIVAL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DDF0F" w14:textId="77777777" w:rsidR="005902D8" w:rsidRDefault="00DA2163">
            <w:r>
              <w:rPr>
                <w:color w:val="1A1A22"/>
                <w:sz w:val="18"/>
                <w:szCs w:val="18"/>
              </w:rPr>
              <w:t>2022</w:t>
            </w:r>
          </w:p>
        </w:tc>
      </w:tr>
      <w:tr w:rsidR="005902D8" w14:paraId="0B990B0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5EF"/>
            <w:tcMar>
              <w:top w:w="80" w:type="dxa"/>
              <w:left w:w="120" w:type="dxa"/>
              <w:bottom w:w="80" w:type="dxa"/>
              <w:right w:w="120" w:type="dxa"/>
            </w:tcMar>
          </w:tcPr>
          <w:p w14:paraId="26517A61" w14:textId="77777777" w:rsidR="005902D8" w:rsidRDefault="00DA2163">
            <w:r>
              <w:rPr>
                <w:color w:val="1A1A22"/>
                <w:sz w:val="18"/>
                <w:szCs w:val="18"/>
              </w:rPr>
              <w:t>LVMH Annual Report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0B168" w14:textId="77777777" w:rsidR="005902D8" w:rsidRDefault="00DA2163">
            <w:r>
              <w:rPr>
                <w:color w:val="1A1A22"/>
                <w:sz w:val="18"/>
                <w:szCs w:val="18"/>
              </w:rPr>
              <w:t>Revenue €86.2B; F&amp;L €42.2B</w:t>
            </w:r>
          </w:p>
        </w:tc>
        <w:tc>
          <w:tcPr>
            <w:tcW w:w="1560" w:type="dxa"/>
            <w:tcBorders>
              <w:top w:val="single" w:sz="1" w:space="0" w:color="CCCCCC"/>
              <w:left w:val="single" w:sz="1" w:space="0" w:color="CCCCCC"/>
              <w:bottom w:val="single" w:sz="1" w:space="0" w:color="CCCCCC"/>
              <w:right w:val="single" w:sz="1" w:space="0" w:color="CCCCCC"/>
            </w:tcBorders>
            <w:shd w:val="clear" w:color="auto" w:fill="F8F5EF"/>
            <w:tcMar>
              <w:top w:w="80" w:type="dxa"/>
              <w:left w:w="120" w:type="dxa"/>
              <w:bottom w:w="80" w:type="dxa"/>
              <w:right w:w="120" w:type="dxa"/>
            </w:tcMar>
          </w:tcPr>
          <w:p w14:paraId="4732B846" w14:textId="77777777" w:rsidR="005902D8" w:rsidRDefault="00DA2163">
            <w:r>
              <w:rPr>
                <w:color w:val="1A1A22"/>
                <w:sz w:val="18"/>
                <w:szCs w:val="18"/>
              </w:rPr>
              <w:t>PRIMARY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438EE" w14:textId="77777777" w:rsidR="005902D8" w:rsidRDefault="00DA2163">
            <w:r>
              <w:rPr>
                <w:color w:val="1A1A22"/>
                <w:sz w:val="18"/>
                <w:szCs w:val="18"/>
              </w:rPr>
              <w:t>2023</w:t>
            </w:r>
          </w:p>
        </w:tc>
      </w:tr>
      <w:tr w:rsidR="005902D8" w14:paraId="24E5412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5EF"/>
            <w:tcMar>
              <w:top w:w="80" w:type="dxa"/>
              <w:left w:w="120" w:type="dxa"/>
              <w:bottom w:w="80" w:type="dxa"/>
              <w:right w:w="120" w:type="dxa"/>
            </w:tcMar>
          </w:tcPr>
          <w:p w14:paraId="0949F706" w14:textId="77777777" w:rsidR="005902D8" w:rsidRDefault="00DA2163">
            <w:r>
              <w:rPr>
                <w:color w:val="1A1A22"/>
                <w:sz w:val="18"/>
                <w:szCs w:val="18"/>
              </w:rPr>
              <w:t>Kering Annual Results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659F9" w14:textId="77777777" w:rsidR="005902D8" w:rsidRDefault="00DA2163">
            <w:r>
              <w:rPr>
                <w:color w:val="1A1A22"/>
                <w:sz w:val="18"/>
                <w:szCs w:val="18"/>
              </w:rPr>
              <w:t>Gucci €9.87B; Group €17.6B</w:t>
            </w:r>
          </w:p>
        </w:tc>
        <w:tc>
          <w:tcPr>
            <w:tcW w:w="1560" w:type="dxa"/>
            <w:tcBorders>
              <w:top w:val="single" w:sz="1" w:space="0" w:color="CCCCCC"/>
              <w:left w:val="single" w:sz="1" w:space="0" w:color="CCCCCC"/>
              <w:bottom w:val="single" w:sz="1" w:space="0" w:color="CCCCCC"/>
              <w:right w:val="single" w:sz="1" w:space="0" w:color="CCCCCC"/>
            </w:tcBorders>
            <w:shd w:val="clear" w:color="auto" w:fill="F8F5EF"/>
            <w:tcMar>
              <w:top w:w="80" w:type="dxa"/>
              <w:left w:w="120" w:type="dxa"/>
              <w:bottom w:w="80" w:type="dxa"/>
              <w:right w:w="120" w:type="dxa"/>
            </w:tcMar>
          </w:tcPr>
          <w:p w14:paraId="24069986" w14:textId="77777777" w:rsidR="005902D8" w:rsidRDefault="00DA2163">
            <w:r>
              <w:rPr>
                <w:color w:val="1A1A22"/>
                <w:sz w:val="18"/>
                <w:szCs w:val="18"/>
              </w:rPr>
              <w:t>PRIMARY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C6B18" w14:textId="77777777" w:rsidR="005902D8" w:rsidRDefault="00DA2163">
            <w:r>
              <w:rPr>
                <w:color w:val="1A1A22"/>
                <w:sz w:val="18"/>
                <w:szCs w:val="18"/>
              </w:rPr>
              <w:t>2023</w:t>
            </w:r>
          </w:p>
        </w:tc>
      </w:tr>
      <w:tr w:rsidR="005902D8" w14:paraId="3C443DE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5EF"/>
            <w:tcMar>
              <w:top w:w="80" w:type="dxa"/>
              <w:left w:w="120" w:type="dxa"/>
              <w:bottom w:w="80" w:type="dxa"/>
              <w:right w:w="120" w:type="dxa"/>
            </w:tcMar>
          </w:tcPr>
          <w:p w14:paraId="0A0128F2" w14:textId="77777777" w:rsidR="005902D8" w:rsidRDefault="00DA2163">
            <w:r>
              <w:rPr>
                <w:color w:val="1A1A22"/>
                <w:sz w:val="18"/>
                <w:szCs w:val="18"/>
              </w:rPr>
              <w:t>Inditex Annual Report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C9318" w14:textId="77777777" w:rsidR="005902D8" w:rsidRDefault="00DA2163">
            <w:r>
              <w:rPr>
                <w:color w:val="1A1A22"/>
                <w:sz w:val="18"/>
                <w:szCs w:val="18"/>
              </w:rPr>
              <w:t>Total €35.9B; Zara est. 63%</w:t>
            </w:r>
          </w:p>
        </w:tc>
        <w:tc>
          <w:tcPr>
            <w:tcW w:w="1560" w:type="dxa"/>
            <w:tcBorders>
              <w:top w:val="single" w:sz="1" w:space="0" w:color="CCCCCC"/>
              <w:left w:val="single" w:sz="1" w:space="0" w:color="CCCCCC"/>
              <w:bottom w:val="single" w:sz="1" w:space="0" w:color="CCCCCC"/>
              <w:right w:val="single" w:sz="1" w:space="0" w:color="CCCCCC"/>
            </w:tcBorders>
            <w:shd w:val="clear" w:color="auto" w:fill="F8F5EF"/>
            <w:tcMar>
              <w:top w:w="80" w:type="dxa"/>
              <w:left w:w="120" w:type="dxa"/>
              <w:bottom w:w="80" w:type="dxa"/>
              <w:right w:w="120" w:type="dxa"/>
            </w:tcMar>
          </w:tcPr>
          <w:p w14:paraId="50F3EEFD" w14:textId="77777777" w:rsidR="005902D8" w:rsidRDefault="00DA2163">
            <w:r>
              <w:rPr>
                <w:color w:val="1A1A22"/>
                <w:sz w:val="18"/>
                <w:szCs w:val="18"/>
              </w:rPr>
              <w:t>PRIMARY/DERIVED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42FA2" w14:textId="77777777" w:rsidR="005902D8" w:rsidRDefault="00DA2163">
            <w:r>
              <w:rPr>
                <w:color w:val="1A1A22"/>
                <w:sz w:val="18"/>
                <w:szCs w:val="18"/>
              </w:rPr>
              <w:t>2023</w:t>
            </w:r>
          </w:p>
        </w:tc>
      </w:tr>
      <w:tr w:rsidR="005902D8" w14:paraId="4817573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5EF"/>
            <w:tcMar>
              <w:top w:w="80" w:type="dxa"/>
              <w:left w:w="120" w:type="dxa"/>
              <w:bottom w:w="80" w:type="dxa"/>
              <w:right w:w="120" w:type="dxa"/>
            </w:tcMar>
          </w:tcPr>
          <w:p w14:paraId="2106CD63" w14:textId="77777777" w:rsidR="005902D8" w:rsidRDefault="00DA2163">
            <w:r>
              <w:rPr>
                <w:color w:val="1A1A22"/>
                <w:sz w:val="18"/>
                <w:szCs w:val="18"/>
              </w:rPr>
              <w:t>H&amp;M Group Annual Report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210FB" w14:textId="77777777" w:rsidR="005902D8" w:rsidRDefault="00DA2163">
            <w:r>
              <w:rPr>
                <w:color w:val="1A1A22"/>
                <w:sz w:val="18"/>
                <w:szCs w:val="18"/>
              </w:rPr>
              <w:t>Revenue SEK 236B (~€20.9B)</w:t>
            </w:r>
          </w:p>
        </w:tc>
        <w:tc>
          <w:tcPr>
            <w:tcW w:w="1560" w:type="dxa"/>
            <w:tcBorders>
              <w:top w:val="single" w:sz="1" w:space="0" w:color="CCCCCC"/>
              <w:left w:val="single" w:sz="1" w:space="0" w:color="CCCCCC"/>
              <w:bottom w:val="single" w:sz="1" w:space="0" w:color="CCCCCC"/>
              <w:right w:val="single" w:sz="1" w:space="0" w:color="CCCCCC"/>
            </w:tcBorders>
            <w:shd w:val="clear" w:color="auto" w:fill="F8F5EF"/>
            <w:tcMar>
              <w:top w:w="80" w:type="dxa"/>
              <w:left w:w="120" w:type="dxa"/>
              <w:bottom w:w="80" w:type="dxa"/>
              <w:right w:w="120" w:type="dxa"/>
            </w:tcMar>
          </w:tcPr>
          <w:p w14:paraId="735221A1" w14:textId="77777777" w:rsidR="005902D8" w:rsidRDefault="00DA2163">
            <w:r>
              <w:rPr>
                <w:color w:val="1A1A22"/>
                <w:sz w:val="18"/>
                <w:szCs w:val="18"/>
              </w:rPr>
              <w:t>PRIMARY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12363" w14:textId="77777777" w:rsidR="005902D8" w:rsidRDefault="00DA2163">
            <w:r>
              <w:rPr>
                <w:color w:val="1A1A22"/>
                <w:sz w:val="18"/>
                <w:szCs w:val="18"/>
              </w:rPr>
              <w:t>2023</w:t>
            </w:r>
          </w:p>
        </w:tc>
      </w:tr>
      <w:tr w:rsidR="005902D8" w14:paraId="25730D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5EF"/>
            <w:tcMar>
              <w:top w:w="80" w:type="dxa"/>
              <w:left w:w="120" w:type="dxa"/>
              <w:bottom w:w="80" w:type="dxa"/>
              <w:right w:w="120" w:type="dxa"/>
            </w:tcMar>
          </w:tcPr>
          <w:p w14:paraId="4279D968" w14:textId="77777777" w:rsidR="005902D8" w:rsidRDefault="00DA2163">
            <w:r>
              <w:rPr>
                <w:color w:val="1A1A22"/>
                <w:sz w:val="18"/>
                <w:szCs w:val="18"/>
              </w:rPr>
              <w:t>Backlinko / Business of Apps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6515B" w14:textId="77777777" w:rsidR="005902D8" w:rsidRDefault="00DA2163">
            <w:r>
              <w:rPr>
                <w:color w:val="1A1A22"/>
                <w:sz w:val="18"/>
                <w:szCs w:val="18"/>
              </w:rPr>
              <w:t>Shein ~$32.2B revenue</w:t>
            </w:r>
          </w:p>
        </w:tc>
        <w:tc>
          <w:tcPr>
            <w:tcW w:w="1560" w:type="dxa"/>
            <w:tcBorders>
              <w:top w:val="single" w:sz="1" w:space="0" w:color="CCCCCC"/>
              <w:left w:val="single" w:sz="1" w:space="0" w:color="CCCCCC"/>
              <w:bottom w:val="single" w:sz="1" w:space="0" w:color="CCCCCC"/>
              <w:right w:val="single" w:sz="1" w:space="0" w:color="CCCCCC"/>
            </w:tcBorders>
            <w:shd w:val="clear" w:color="auto" w:fill="F8F5EF"/>
            <w:tcMar>
              <w:top w:w="80" w:type="dxa"/>
              <w:left w:w="120" w:type="dxa"/>
              <w:bottom w:w="80" w:type="dxa"/>
              <w:right w:w="120" w:type="dxa"/>
            </w:tcMar>
          </w:tcPr>
          <w:p w14:paraId="3CBC0373" w14:textId="77777777" w:rsidR="005902D8" w:rsidRDefault="00DA2163">
            <w:r>
              <w:rPr>
                <w:color w:val="1A1A22"/>
                <w:sz w:val="18"/>
                <w:szCs w:val="18"/>
              </w:rPr>
              <w:t>AGGREGATED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D2221" w14:textId="77777777" w:rsidR="005902D8" w:rsidRDefault="00DA2163">
            <w:r>
              <w:rPr>
                <w:color w:val="1A1A22"/>
                <w:sz w:val="18"/>
                <w:szCs w:val="18"/>
              </w:rPr>
              <w:t>2023</w:t>
            </w:r>
          </w:p>
        </w:tc>
      </w:tr>
      <w:tr w:rsidR="005902D8" w14:paraId="1769AE0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5EF"/>
            <w:tcMar>
              <w:top w:w="80" w:type="dxa"/>
              <w:left w:w="120" w:type="dxa"/>
              <w:bottom w:w="80" w:type="dxa"/>
              <w:right w:w="120" w:type="dxa"/>
            </w:tcMar>
          </w:tcPr>
          <w:p w14:paraId="49CD523C" w14:textId="77777777" w:rsidR="005902D8" w:rsidRDefault="00DA2163">
            <w:r>
              <w:rPr>
                <w:color w:val="1A1A22"/>
                <w:sz w:val="18"/>
                <w:szCs w:val="18"/>
              </w:rPr>
              <w:t>Fashion Revolution FTI 2023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8AE4C" w14:textId="77777777" w:rsidR="005902D8" w:rsidRDefault="00DA2163">
            <w:r>
              <w:rPr>
                <w:color w:val="1A1A22"/>
                <w:sz w:val="18"/>
                <w:szCs w:val="18"/>
              </w:rPr>
              <w:t>Transparency Index scores</w:t>
            </w:r>
          </w:p>
        </w:tc>
        <w:tc>
          <w:tcPr>
            <w:tcW w:w="1560" w:type="dxa"/>
            <w:tcBorders>
              <w:top w:val="single" w:sz="1" w:space="0" w:color="CCCCCC"/>
              <w:left w:val="single" w:sz="1" w:space="0" w:color="CCCCCC"/>
              <w:bottom w:val="single" w:sz="1" w:space="0" w:color="CCCCCC"/>
              <w:right w:val="single" w:sz="1" w:space="0" w:color="CCCCCC"/>
            </w:tcBorders>
            <w:shd w:val="clear" w:color="auto" w:fill="F8F5EF"/>
            <w:tcMar>
              <w:top w:w="80" w:type="dxa"/>
              <w:left w:w="120" w:type="dxa"/>
              <w:bottom w:w="80" w:type="dxa"/>
              <w:right w:w="120" w:type="dxa"/>
            </w:tcMar>
          </w:tcPr>
          <w:p w14:paraId="67A38607" w14:textId="77777777" w:rsidR="005902D8" w:rsidRDefault="00DA2163">
            <w:r>
              <w:rPr>
                <w:color w:val="1A1A22"/>
                <w:sz w:val="18"/>
                <w:szCs w:val="18"/>
              </w:rPr>
              <w:t>PRIMARY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9B461" w14:textId="77777777" w:rsidR="005902D8" w:rsidRDefault="00DA2163">
            <w:r>
              <w:rPr>
                <w:color w:val="1A1A22"/>
                <w:sz w:val="18"/>
                <w:szCs w:val="18"/>
              </w:rPr>
              <w:t>2023</w:t>
            </w:r>
          </w:p>
        </w:tc>
      </w:tr>
      <w:tr w:rsidR="005902D8" w14:paraId="26A8A7C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5EF"/>
            <w:tcMar>
              <w:top w:w="80" w:type="dxa"/>
              <w:left w:w="120" w:type="dxa"/>
              <w:bottom w:w="80" w:type="dxa"/>
              <w:right w:w="120" w:type="dxa"/>
            </w:tcMar>
          </w:tcPr>
          <w:p w14:paraId="4C470722" w14:textId="77777777" w:rsidR="005902D8" w:rsidRDefault="00DA2163">
            <w:r>
              <w:rPr>
                <w:color w:val="1A1A22"/>
                <w:sz w:val="18"/>
                <w:szCs w:val="18"/>
              </w:rPr>
              <w:t>Vestiaire Collective Q4 2024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97818" w14:textId="77777777" w:rsidR="005902D8" w:rsidRDefault="00DA2163">
            <w:r>
              <w:rPr>
                <w:color w:val="1A1A22"/>
                <w:sz w:val="18"/>
                <w:szCs w:val="18"/>
              </w:rPr>
              <w:t>Resale retention rankings</w:t>
            </w:r>
          </w:p>
        </w:tc>
        <w:tc>
          <w:tcPr>
            <w:tcW w:w="1560" w:type="dxa"/>
            <w:tcBorders>
              <w:top w:val="single" w:sz="1" w:space="0" w:color="CCCCCC"/>
              <w:left w:val="single" w:sz="1" w:space="0" w:color="CCCCCC"/>
              <w:bottom w:val="single" w:sz="1" w:space="0" w:color="CCCCCC"/>
              <w:right w:val="single" w:sz="1" w:space="0" w:color="CCCCCC"/>
            </w:tcBorders>
            <w:shd w:val="clear" w:color="auto" w:fill="F8F5EF"/>
            <w:tcMar>
              <w:top w:w="80" w:type="dxa"/>
              <w:left w:w="120" w:type="dxa"/>
              <w:bottom w:w="80" w:type="dxa"/>
              <w:right w:w="120" w:type="dxa"/>
            </w:tcMar>
          </w:tcPr>
          <w:p w14:paraId="26B11B45" w14:textId="77777777" w:rsidR="005902D8" w:rsidRDefault="00DA2163">
            <w:r>
              <w:rPr>
                <w:color w:val="1A1A22"/>
                <w:sz w:val="18"/>
                <w:szCs w:val="18"/>
              </w:rPr>
              <w:t>AGGREGATED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FE4C7" w14:textId="77777777" w:rsidR="005902D8" w:rsidRDefault="00DA2163">
            <w:r>
              <w:rPr>
                <w:color w:val="1A1A22"/>
                <w:sz w:val="18"/>
                <w:szCs w:val="18"/>
              </w:rPr>
              <w:t>2024</w:t>
            </w:r>
          </w:p>
        </w:tc>
      </w:tr>
      <w:tr w:rsidR="005902D8" w14:paraId="39DFCDF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5EF"/>
            <w:tcMar>
              <w:top w:w="80" w:type="dxa"/>
              <w:left w:w="120" w:type="dxa"/>
              <w:bottom w:w="80" w:type="dxa"/>
              <w:right w:w="120" w:type="dxa"/>
            </w:tcMar>
          </w:tcPr>
          <w:p w14:paraId="2F39059D" w14:textId="77777777" w:rsidR="005902D8" w:rsidRDefault="00DA2163">
            <w:r>
              <w:rPr>
                <w:color w:val="1A1A22"/>
                <w:sz w:val="18"/>
                <w:szCs w:val="18"/>
              </w:rPr>
              <w:t>Grailed sold listings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911BB" w14:textId="77777777" w:rsidR="005902D8" w:rsidRDefault="00DA2163">
            <w:r>
              <w:rPr>
                <w:color w:val="1A1A22"/>
                <w:sz w:val="18"/>
                <w:szCs w:val="18"/>
              </w:rPr>
              <w:t>Archive premium estimates</w:t>
            </w:r>
          </w:p>
        </w:tc>
        <w:tc>
          <w:tcPr>
            <w:tcW w:w="1560" w:type="dxa"/>
            <w:tcBorders>
              <w:top w:val="single" w:sz="1" w:space="0" w:color="CCCCCC"/>
              <w:left w:val="single" w:sz="1" w:space="0" w:color="CCCCCC"/>
              <w:bottom w:val="single" w:sz="1" w:space="0" w:color="CCCCCC"/>
              <w:right w:val="single" w:sz="1" w:space="0" w:color="CCCCCC"/>
            </w:tcBorders>
            <w:shd w:val="clear" w:color="auto" w:fill="F8F5EF"/>
            <w:tcMar>
              <w:top w:w="80" w:type="dxa"/>
              <w:left w:w="120" w:type="dxa"/>
              <w:bottom w:w="80" w:type="dxa"/>
              <w:right w:w="120" w:type="dxa"/>
            </w:tcMar>
          </w:tcPr>
          <w:p w14:paraId="404A0787" w14:textId="77777777" w:rsidR="005902D8" w:rsidRDefault="00DA2163">
            <w:r>
              <w:rPr>
                <w:color w:val="1A1A22"/>
                <w:sz w:val="18"/>
                <w:szCs w:val="18"/>
              </w:rPr>
              <w:t>AGGREGATED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FA2A7" w14:textId="77777777" w:rsidR="005902D8" w:rsidRDefault="00DA2163">
            <w:r>
              <w:rPr>
                <w:color w:val="1A1A22"/>
                <w:sz w:val="18"/>
                <w:szCs w:val="18"/>
              </w:rPr>
              <w:t>2023-24</w:t>
            </w:r>
          </w:p>
        </w:tc>
      </w:tr>
      <w:tr w:rsidR="005902D8" w14:paraId="134BE26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5EF"/>
            <w:tcMar>
              <w:top w:w="80" w:type="dxa"/>
              <w:left w:w="120" w:type="dxa"/>
              <w:bottom w:w="80" w:type="dxa"/>
              <w:right w:w="120" w:type="dxa"/>
            </w:tcMar>
          </w:tcPr>
          <w:p w14:paraId="59EE3D59" w14:textId="77777777" w:rsidR="005902D8" w:rsidRDefault="00DA2163">
            <w:r>
              <w:rPr>
                <w:color w:val="1A1A22"/>
                <w:sz w:val="18"/>
                <w:szCs w:val="18"/>
              </w:rPr>
              <w:t>Sotheby's Martin Margiela sale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46264" w14:textId="77777777" w:rsidR="005902D8" w:rsidRDefault="00DA2163">
            <w:r>
              <w:rPr>
                <w:color w:val="1A1A22"/>
                <w:sz w:val="18"/>
                <w:szCs w:val="18"/>
              </w:rPr>
              <w:t>220 pieces; €341,750 realized</w:t>
            </w:r>
          </w:p>
        </w:tc>
        <w:tc>
          <w:tcPr>
            <w:tcW w:w="1560" w:type="dxa"/>
            <w:tcBorders>
              <w:top w:val="single" w:sz="1" w:space="0" w:color="CCCCCC"/>
              <w:left w:val="single" w:sz="1" w:space="0" w:color="CCCCCC"/>
              <w:bottom w:val="single" w:sz="1" w:space="0" w:color="CCCCCC"/>
              <w:right w:val="single" w:sz="1" w:space="0" w:color="CCCCCC"/>
            </w:tcBorders>
            <w:shd w:val="clear" w:color="auto" w:fill="F8F5EF"/>
            <w:tcMar>
              <w:top w:w="80" w:type="dxa"/>
              <w:left w:w="120" w:type="dxa"/>
              <w:bottom w:w="80" w:type="dxa"/>
              <w:right w:w="120" w:type="dxa"/>
            </w:tcMar>
          </w:tcPr>
          <w:p w14:paraId="5A2F4EBF" w14:textId="77777777" w:rsidR="005902D8" w:rsidRDefault="00DA2163">
            <w:r>
              <w:rPr>
                <w:color w:val="1A1A22"/>
                <w:sz w:val="18"/>
                <w:szCs w:val="18"/>
              </w:rPr>
              <w:t>PRIMARY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CECF8" w14:textId="77777777" w:rsidR="005902D8" w:rsidRDefault="00DA2163">
            <w:r>
              <w:rPr>
                <w:color w:val="1A1A22"/>
                <w:sz w:val="18"/>
                <w:szCs w:val="18"/>
              </w:rPr>
              <w:t>2019</w:t>
            </w:r>
          </w:p>
        </w:tc>
      </w:tr>
      <w:tr w:rsidR="005902D8" w14:paraId="16A2623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5EF"/>
            <w:tcMar>
              <w:top w:w="80" w:type="dxa"/>
              <w:left w:w="120" w:type="dxa"/>
              <w:bottom w:w="80" w:type="dxa"/>
              <w:right w:w="120" w:type="dxa"/>
            </w:tcMar>
          </w:tcPr>
          <w:p w14:paraId="61394A01" w14:textId="77777777" w:rsidR="005902D8" w:rsidRDefault="00DA2163">
            <w:r>
              <w:rPr>
                <w:color w:val="1A1A22"/>
                <w:sz w:val="18"/>
                <w:szCs w:val="18"/>
              </w:rPr>
              <w:t>EU Strategy — Sustainable Textiles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8F83B" w14:textId="77777777" w:rsidR="005902D8" w:rsidRDefault="00DA2163">
            <w:r>
              <w:rPr>
                <w:color w:val="1A1A22"/>
                <w:sz w:val="18"/>
                <w:szCs w:val="18"/>
              </w:rPr>
              <w:t>Regulatory framework analysis</w:t>
            </w:r>
          </w:p>
        </w:tc>
        <w:tc>
          <w:tcPr>
            <w:tcW w:w="1560" w:type="dxa"/>
            <w:tcBorders>
              <w:top w:val="single" w:sz="1" w:space="0" w:color="CCCCCC"/>
              <w:left w:val="single" w:sz="1" w:space="0" w:color="CCCCCC"/>
              <w:bottom w:val="single" w:sz="1" w:space="0" w:color="CCCCCC"/>
              <w:right w:val="single" w:sz="1" w:space="0" w:color="CCCCCC"/>
            </w:tcBorders>
            <w:shd w:val="clear" w:color="auto" w:fill="F8F5EF"/>
            <w:tcMar>
              <w:top w:w="80" w:type="dxa"/>
              <w:left w:w="120" w:type="dxa"/>
              <w:bottom w:w="80" w:type="dxa"/>
              <w:right w:w="120" w:type="dxa"/>
            </w:tcMar>
          </w:tcPr>
          <w:p w14:paraId="37B7D08B" w14:textId="77777777" w:rsidR="005902D8" w:rsidRDefault="00DA2163">
            <w:r>
              <w:rPr>
                <w:color w:val="1A1A22"/>
                <w:sz w:val="18"/>
                <w:szCs w:val="18"/>
              </w:rPr>
              <w:t>PRIMARY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8278F" w14:textId="77777777" w:rsidR="005902D8" w:rsidRDefault="00DA2163">
            <w:r>
              <w:rPr>
                <w:color w:val="1A1A22"/>
                <w:sz w:val="18"/>
                <w:szCs w:val="18"/>
              </w:rPr>
              <w:t>2022</w:t>
            </w:r>
          </w:p>
        </w:tc>
      </w:tr>
      <w:tr w:rsidR="005902D8" w14:paraId="6D13AFA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5EF"/>
            <w:tcMar>
              <w:top w:w="80" w:type="dxa"/>
              <w:left w:w="120" w:type="dxa"/>
              <w:bottom w:w="80" w:type="dxa"/>
              <w:right w:w="120" w:type="dxa"/>
            </w:tcMar>
          </w:tcPr>
          <w:p w14:paraId="6E9F3DA2" w14:textId="77777777" w:rsidR="005902D8" w:rsidRDefault="00DA2163">
            <w:r>
              <w:rPr>
                <w:color w:val="1A1A22"/>
                <w:sz w:val="18"/>
                <w:szCs w:val="18"/>
              </w:rPr>
              <w:lastRenderedPageBreak/>
              <w:t>Yohji Yamamoto Inc. filing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C65A3" w14:textId="77777777" w:rsidR="005902D8" w:rsidRDefault="00DA2163">
            <w:r>
              <w:rPr>
                <w:color w:val="1A1A22"/>
                <w:sz w:val="18"/>
                <w:szCs w:val="18"/>
              </w:rPr>
              <w:t>Revenue &gt;$100M core lines</w:t>
            </w:r>
          </w:p>
        </w:tc>
        <w:tc>
          <w:tcPr>
            <w:tcW w:w="1560" w:type="dxa"/>
            <w:tcBorders>
              <w:top w:val="single" w:sz="1" w:space="0" w:color="CCCCCC"/>
              <w:left w:val="single" w:sz="1" w:space="0" w:color="CCCCCC"/>
              <w:bottom w:val="single" w:sz="1" w:space="0" w:color="CCCCCC"/>
              <w:right w:val="single" w:sz="1" w:space="0" w:color="CCCCCC"/>
            </w:tcBorders>
            <w:shd w:val="clear" w:color="auto" w:fill="F8F5EF"/>
            <w:tcMar>
              <w:top w:w="80" w:type="dxa"/>
              <w:left w:w="120" w:type="dxa"/>
              <w:bottom w:w="80" w:type="dxa"/>
              <w:right w:w="120" w:type="dxa"/>
            </w:tcMar>
          </w:tcPr>
          <w:p w14:paraId="6CA40CBB" w14:textId="77777777" w:rsidR="005902D8" w:rsidRDefault="00DA2163">
            <w:r>
              <w:rPr>
                <w:color w:val="1A1A22"/>
                <w:sz w:val="18"/>
                <w:szCs w:val="18"/>
              </w:rPr>
              <w:t>ARCHIVAL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95F23" w14:textId="77777777" w:rsidR="005902D8" w:rsidRDefault="00DA2163">
            <w:r>
              <w:rPr>
                <w:color w:val="1A1A22"/>
                <w:sz w:val="18"/>
                <w:szCs w:val="18"/>
              </w:rPr>
              <w:t>2007</w:t>
            </w:r>
          </w:p>
        </w:tc>
      </w:tr>
    </w:tbl>
    <w:p w14:paraId="2745C5AD" w14:textId="77777777" w:rsidR="005902D8" w:rsidRDefault="005902D8">
      <w:pPr>
        <w:spacing w:before="400"/>
      </w:pPr>
    </w:p>
    <w:p w14:paraId="1856AC3E" w14:textId="77777777" w:rsidR="005E7973" w:rsidRDefault="00DA2163">
      <w:pPr>
        <w:spacing w:before="100" w:after="160"/>
        <w:rPr>
          <w:color w:val="9898B0"/>
        </w:rPr>
      </w:pPr>
      <w:r>
        <w:rPr>
          <w:color w:val="9898B0"/>
        </w:rPr>
        <w:t xml:space="preserve">Full dataset available at: github.com/yrgomar </w:t>
      </w:r>
    </w:p>
    <w:p w14:paraId="3ABD4003" w14:textId="501A75A7" w:rsidR="005902D8" w:rsidRPr="005E7973" w:rsidRDefault="00DA2163">
      <w:pPr>
        <w:spacing w:before="100" w:after="160"/>
        <w:rPr>
          <w:color w:val="9898B0"/>
        </w:rPr>
      </w:pPr>
      <w:r>
        <w:rPr>
          <w:color w:val="9898B0"/>
        </w:rPr>
        <w:t>Python analysis source: analysis.py</w:t>
      </w:r>
    </w:p>
    <w:sectPr w:rsidR="005902D8" w:rsidRPr="005E797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CA26C" w14:textId="77777777" w:rsidR="00DA2163" w:rsidRDefault="00DA2163">
      <w:r>
        <w:separator/>
      </w:r>
    </w:p>
  </w:endnote>
  <w:endnote w:type="continuationSeparator" w:id="0">
    <w:p w14:paraId="0A693433" w14:textId="77777777" w:rsidR="00DA2163" w:rsidRDefault="00DA21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89FA7" w14:textId="77777777" w:rsidR="005902D8" w:rsidRDefault="00DA2163">
    <w:pPr>
      <w:pBdr>
        <w:top w:val="single" w:sz="4" w:space="1" w:color="E0D5C0"/>
      </w:pBdr>
      <w:spacing w:before="120"/>
    </w:pPr>
    <w:r>
      <w:rPr>
        <w:color w:val="9898B0"/>
        <w:sz w:val="16"/>
        <w:szCs w:val="16"/>
      </w:rPr>
      <w:t>Computer Information Systems + Marketing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6B0DF" w14:textId="77777777" w:rsidR="00DA2163" w:rsidRDefault="00DA2163">
      <w:r>
        <w:separator/>
      </w:r>
    </w:p>
  </w:footnote>
  <w:footnote w:type="continuationSeparator" w:id="0">
    <w:p w14:paraId="74E0D4DA" w14:textId="77777777" w:rsidR="00DA2163" w:rsidRDefault="00DA21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9EAD9" w14:textId="2FD35DE6" w:rsidR="00061110" w:rsidRPr="00061110" w:rsidRDefault="00DA2163">
    <w:pPr>
      <w:pBdr>
        <w:bottom w:val="single" w:sz="4" w:space="1" w:color="E0D5C0"/>
      </w:pBdr>
      <w:spacing w:after="120"/>
      <w:rPr>
        <w:color w:val="9898B0"/>
        <w:sz w:val="16"/>
        <w:szCs w:val="16"/>
      </w:rPr>
    </w:pPr>
    <w:r>
      <w:rPr>
        <w:rFonts w:ascii="Consolas" w:eastAsia="Consolas" w:hAnsi="Consolas" w:cs="Consolas"/>
        <w:b/>
        <w:bCs/>
        <w:color w:val="C9A96E"/>
        <w:sz w:val="16"/>
        <w:szCs w:val="16"/>
      </w:rPr>
      <w:t>THE DURABILITY PARADOX</w:t>
    </w:r>
    <w:r>
      <w:rPr>
        <w:color w:val="9898B0"/>
        <w:sz w:val="16"/>
        <w:szCs w:val="16"/>
      </w:rPr>
      <w:t xml:space="preserve">    ·    Omar Oudrari    ·    JMU College of Business    ·    202</w:t>
    </w:r>
    <w:r w:rsidR="00061110">
      <w:rPr>
        <w:color w:val="9898B0"/>
        <w:sz w:val="16"/>
        <w:szCs w:val="16"/>
      </w:rPr>
      <w:t>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D4B0F"/>
    <w:multiLevelType w:val="hybridMultilevel"/>
    <w:tmpl w:val="76CCEBEC"/>
    <w:lvl w:ilvl="0" w:tplc="81505B14">
      <w:start w:val="1"/>
      <w:numFmt w:val="bullet"/>
      <w:lvlText w:val="•"/>
      <w:lvlJc w:val="left"/>
      <w:pPr>
        <w:ind w:left="720" w:hanging="360"/>
      </w:pPr>
    </w:lvl>
    <w:lvl w:ilvl="1" w:tplc="7A2A267C">
      <w:numFmt w:val="decimal"/>
      <w:lvlText w:val=""/>
      <w:lvlJc w:val="left"/>
    </w:lvl>
    <w:lvl w:ilvl="2" w:tplc="B8EA8374">
      <w:numFmt w:val="decimal"/>
      <w:lvlText w:val=""/>
      <w:lvlJc w:val="left"/>
    </w:lvl>
    <w:lvl w:ilvl="3" w:tplc="825EC450">
      <w:numFmt w:val="decimal"/>
      <w:lvlText w:val=""/>
      <w:lvlJc w:val="left"/>
    </w:lvl>
    <w:lvl w:ilvl="4" w:tplc="B3FEA00C">
      <w:numFmt w:val="decimal"/>
      <w:lvlText w:val=""/>
      <w:lvlJc w:val="left"/>
    </w:lvl>
    <w:lvl w:ilvl="5" w:tplc="90F0C1F4">
      <w:numFmt w:val="decimal"/>
      <w:lvlText w:val=""/>
      <w:lvlJc w:val="left"/>
    </w:lvl>
    <w:lvl w:ilvl="6" w:tplc="61D0EBAE">
      <w:numFmt w:val="decimal"/>
      <w:lvlText w:val=""/>
      <w:lvlJc w:val="left"/>
    </w:lvl>
    <w:lvl w:ilvl="7" w:tplc="FE2459A4">
      <w:numFmt w:val="decimal"/>
      <w:lvlText w:val=""/>
      <w:lvlJc w:val="left"/>
    </w:lvl>
    <w:lvl w:ilvl="8" w:tplc="4488A2F2">
      <w:numFmt w:val="decimal"/>
      <w:lvlText w:val=""/>
      <w:lvlJc w:val="left"/>
    </w:lvl>
  </w:abstractNum>
  <w:abstractNum w:abstractNumId="1" w15:restartNumberingAfterBreak="0">
    <w:nsid w:val="7EB06A9B"/>
    <w:multiLevelType w:val="hybridMultilevel"/>
    <w:tmpl w:val="27E2662E"/>
    <w:lvl w:ilvl="0" w:tplc="643EF418">
      <w:start w:val="1"/>
      <w:numFmt w:val="bullet"/>
      <w:lvlText w:val="●"/>
      <w:lvlJc w:val="left"/>
      <w:pPr>
        <w:ind w:left="720" w:hanging="360"/>
      </w:pPr>
    </w:lvl>
    <w:lvl w:ilvl="1" w:tplc="E68AEB18">
      <w:start w:val="1"/>
      <w:numFmt w:val="bullet"/>
      <w:lvlText w:val="○"/>
      <w:lvlJc w:val="left"/>
      <w:pPr>
        <w:ind w:left="1440" w:hanging="360"/>
      </w:pPr>
    </w:lvl>
    <w:lvl w:ilvl="2" w:tplc="9D2E93DA">
      <w:start w:val="1"/>
      <w:numFmt w:val="bullet"/>
      <w:lvlText w:val="■"/>
      <w:lvlJc w:val="left"/>
      <w:pPr>
        <w:ind w:left="2160" w:hanging="360"/>
      </w:pPr>
    </w:lvl>
    <w:lvl w:ilvl="3" w:tplc="82406BDE">
      <w:start w:val="1"/>
      <w:numFmt w:val="bullet"/>
      <w:lvlText w:val="●"/>
      <w:lvlJc w:val="left"/>
      <w:pPr>
        <w:ind w:left="2880" w:hanging="360"/>
      </w:pPr>
    </w:lvl>
    <w:lvl w:ilvl="4" w:tplc="A9CA4C62">
      <w:start w:val="1"/>
      <w:numFmt w:val="bullet"/>
      <w:lvlText w:val="○"/>
      <w:lvlJc w:val="left"/>
      <w:pPr>
        <w:ind w:left="3600" w:hanging="360"/>
      </w:pPr>
    </w:lvl>
    <w:lvl w:ilvl="5" w:tplc="E0B662CA">
      <w:start w:val="1"/>
      <w:numFmt w:val="bullet"/>
      <w:lvlText w:val="■"/>
      <w:lvlJc w:val="left"/>
      <w:pPr>
        <w:ind w:left="4320" w:hanging="360"/>
      </w:pPr>
    </w:lvl>
    <w:lvl w:ilvl="6" w:tplc="7F788B22">
      <w:start w:val="1"/>
      <w:numFmt w:val="bullet"/>
      <w:lvlText w:val="●"/>
      <w:lvlJc w:val="left"/>
      <w:pPr>
        <w:ind w:left="5040" w:hanging="360"/>
      </w:pPr>
    </w:lvl>
    <w:lvl w:ilvl="7" w:tplc="09BCC5CE">
      <w:start w:val="1"/>
      <w:numFmt w:val="bullet"/>
      <w:lvlText w:val="●"/>
      <w:lvlJc w:val="left"/>
      <w:pPr>
        <w:ind w:left="5760" w:hanging="360"/>
      </w:pPr>
    </w:lvl>
    <w:lvl w:ilvl="8" w:tplc="FE12AFA0">
      <w:start w:val="1"/>
      <w:numFmt w:val="bullet"/>
      <w:lvlText w:val="●"/>
      <w:lvlJc w:val="left"/>
      <w:pPr>
        <w:ind w:left="6480" w:hanging="360"/>
      </w:pPr>
    </w:lvl>
  </w:abstractNum>
  <w:num w:numId="1" w16cid:durableId="147019042">
    <w:abstractNumId w:val="1"/>
    <w:lvlOverride w:ilvl="0">
      <w:startOverride w:val="1"/>
    </w:lvlOverride>
  </w:num>
  <w:num w:numId="2" w16cid:durableId="8954288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2D8"/>
    <w:rsid w:val="00061110"/>
    <w:rsid w:val="005902D8"/>
    <w:rsid w:val="005E7973"/>
    <w:rsid w:val="00760235"/>
    <w:rsid w:val="00DA2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8ABF5"/>
  <w15:docId w15:val="{FEFCCCBA-E14F-4D32-BA27-E5AD60560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rFonts w:ascii="Georgia" w:eastAsia="Georgia" w:hAnsi="Georgia" w:cs="Georgia"/>
      <w:b/>
      <w:bCs/>
      <w:color w:val="C9A96E"/>
      <w:sz w:val="32"/>
      <w:szCs w:val="32"/>
    </w:rPr>
  </w:style>
  <w:style w:type="paragraph" w:styleId="Heading2">
    <w:name w:val="heading 2"/>
    <w:uiPriority w:val="9"/>
    <w:unhideWhenUsed/>
    <w:qFormat/>
    <w:pPr>
      <w:spacing w:before="280" w:after="120"/>
      <w:outlineLvl w:val="1"/>
    </w:pPr>
    <w:rPr>
      <w:rFonts w:ascii="Georgia" w:eastAsia="Georgia" w:hAnsi="Georgia" w:cs="Georgia"/>
      <w:b/>
      <w:bCs/>
      <w:color w:val="1A1A22"/>
      <w:sz w:val="26"/>
      <w:szCs w:val="26"/>
    </w:rPr>
  </w:style>
  <w:style w:type="paragraph" w:styleId="Heading3">
    <w:name w:val="heading 3"/>
    <w:uiPriority w:val="9"/>
    <w:unhideWhenUsed/>
    <w:qFormat/>
    <w:pPr>
      <w:spacing w:before="200" w:after="80"/>
      <w:outlineLvl w:val="2"/>
    </w:pPr>
    <w:rPr>
      <w:rFonts w:ascii="Georgia" w:eastAsia="Georgia" w:hAnsi="Georgia" w:cs="Georgia"/>
      <w:b/>
      <w:bCs/>
      <w:color w:val="4A4A5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061110"/>
    <w:pPr>
      <w:tabs>
        <w:tab w:val="center" w:pos="4680"/>
        <w:tab w:val="right" w:pos="9360"/>
      </w:tabs>
    </w:pPr>
  </w:style>
  <w:style w:type="character" w:customStyle="1" w:styleId="HeaderChar">
    <w:name w:val="Header Char"/>
    <w:basedOn w:val="DefaultParagraphFont"/>
    <w:link w:val="Header"/>
    <w:uiPriority w:val="99"/>
    <w:rsid w:val="00061110"/>
  </w:style>
  <w:style w:type="paragraph" w:styleId="Footer">
    <w:name w:val="footer"/>
    <w:basedOn w:val="Normal"/>
    <w:link w:val="FooterChar"/>
    <w:uiPriority w:val="99"/>
    <w:unhideWhenUsed/>
    <w:rsid w:val="00061110"/>
    <w:pPr>
      <w:tabs>
        <w:tab w:val="center" w:pos="4680"/>
        <w:tab w:val="right" w:pos="9360"/>
      </w:tabs>
    </w:pPr>
  </w:style>
  <w:style w:type="character" w:customStyle="1" w:styleId="FooterChar">
    <w:name w:val="Footer Char"/>
    <w:basedOn w:val="DefaultParagraphFont"/>
    <w:link w:val="Footer"/>
    <w:uiPriority w:val="99"/>
    <w:rsid w:val="000611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2671</Words>
  <Characters>15226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Omar Oudrari</cp:lastModifiedBy>
  <cp:revision>2</cp:revision>
  <dcterms:created xsi:type="dcterms:W3CDTF">2026-03-16T01:19:00Z</dcterms:created>
  <dcterms:modified xsi:type="dcterms:W3CDTF">2026-03-16T01:19:00Z</dcterms:modified>
</cp:coreProperties>
</file>