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7056"/>
        <w:gridCol w:w="2448"/>
      </w:tblGrid>
      <w:tr>
        <w:tc>
          <w:tcPr>
            <w:tcW w:type="dxa" w:w="4320"/>
            <w:shd w:val="clear" w:color="auto" w:fill="E6F2F0"/>
          </w:tcPr>
          <w:p>
            <w:r>
              <w:rPr>
                <w:rFonts w:ascii="Arial" w:hAnsi="Arial"/>
                <w:b/>
                <w:i w:val="0"/>
                <w:color w:val="0F6E64"/>
                <w:sz w:val="36"/>
              </w:rPr>
              <w:t>CRRA Lab C3</w:t>
              <w:br/>
            </w:r>
            <w:r>
              <w:rPr>
                <w:rFonts w:ascii="Arial" w:hAnsi="Arial"/>
                <w:b/>
                <w:i w:val="0"/>
                <w:color w:val="1F3864"/>
                <w:sz w:val="26"/>
              </w:rPr>
              <w:t>Renewal Analysis Agent: Recommend, Justify, Cite</w:t>
            </w:r>
          </w:p>
        </w:tc>
        <w:tc>
          <w:tcPr>
            <w:tcW w:type="dxa" w:w="4320"/>
            <w:shd w:val="clear" w:color="auto" w:fill="F2F2F2"/>
          </w:tcPr>
          <w:p>
            <w:pPr>
              <w:jc w:val="right"/>
            </w:pPr>
            <w:r>
              <w:rPr>
                <w:rFonts w:ascii="Arial" w:hAnsi="Arial"/>
                <w:b/>
                <w:i w:val="0"/>
                <w:color w:val="595959"/>
                <w:sz w:val="22"/>
              </w:rPr>
              <w:t>CRRA Capstone Lab</w:t>
              <w:br/>
            </w:r>
            <w:r>
              <w:rPr>
                <w:rFonts w:ascii="Arial" w:hAnsi="Arial"/>
                <w:b w:val="0"/>
                <w:i w:val="0"/>
                <w:color w:val="595959"/>
                <w:sz w:val="20"/>
              </w:rPr>
              <w:t>3 hours</w:t>
            </w:r>
          </w:p>
        </w:tc>
      </w:tr>
    </w:tbl>
    <w:p/>
    <w:p>
      <w:r>
        <w:rPr>
          <w:rFonts w:ascii="Arial" w:hAnsi="Arial"/>
          <w:b/>
          <w:i w:val="0"/>
          <w:color w:val="1F3864"/>
          <w:sz w:val="26"/>
        </w:rPr>
        <w:t>What You Will Build</w:t>
      </w:r>
    </w:p>
    <w:p>
      <w:r>
        <w:rPr>
          <w:rFonts w:ascii="Arial" w:hAnsi="Arial"/>
          <w:b w:val="0"/>
          <w:i w:val="0"/>
          <w:sz w:val="22"/>
        </w:rPr>
        <w:t>An agent that looks at a contract and decides RENEW, RENEGOTIATE, CONSOLIDATE or TERMINATE — then justifies the call by citing the procurement policy section that supports it. It uses tool calling to fetch real contract data and search the policy KB, rather than guessing from what it already knows. Guessing is the failure mode this lab is designed to prevent.</w:t>
      </w:r>
    </w:p>
    <w:p>
      <w:r>
        <w:rPr>
          <w:rFonts w:ascii="Arial" w:hAnsi="Arial"/>
          <w:b/>
          <w:i w:val="0"/>
          <w:color w:val="1F3864"/>
          <w:sz w:val="26"/>
        </w:rPr>
        <w:t>Before You Start</w:t>
      </w:r>
    </w:p>
    <w:p>
      <w:r>
        <w:rPr>
          <w:rFonts w:ascii="Arial" w:hAnsi="Arial"/>
          <w:b w:val="0"/>
          <w:i w:val="0"/>
          <w:sz w:val="22"/>
        </w:rPr>
        <w:t>Two things must already be working. In separate terminal tabs:</w:t>
      </w:r>
    </w:p>
    <w:p>
      <w:r>
        <w:rPr>
          <w:rFonts w:ascii="Consolas" w:hAnsi="Consolas"/>
          <w:b w:val="0"/>
          <w:i w:val="0"/>
          <w:sz w:val="21"/>
        </w:rPr>
        <w:t>python data/kb_setup.py                 # Lab C1, run once</w:t>
        <w:br/>
        <w:t>python mcp_server/contract_shim.py      # Lab C2, leave running</w:t>
      </w:r>
    </w:p>
    <w:p/>
    <w:p>
      <w:r>
        <w:rPr>
          <w:rFonts w:ascii="Arial" w:hAnsi="Arial"/>
          <w:b w:val="0"/>
          <w:i w:val="0"/>
          <w:sz w:val="22"/>
        </w:rPr>
        <w:t>Copy .env.template to .env and paste your API key into it. Never commit .env.</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1 — Understand what the agent must decide</w:t>
            </w:r>
            <w:r>
              <w:rPr>
                <w:rFonts w:ascii="Arial" w:hAnsi="Arial"/>
                <w:b w:val="0"/>
                <w:i w:val="0"/>
                <w:color w:val="AAAACC"/>
                <w:sz w:val="20"/>
              </w:rPr>
              <w:t xml:space="preserve">    (20 min)</w:t>
            </w:r>
          </w:p>
        </w:tc>
      </w:tr>
      <w:tr>
        <w:tc>
          <w:tcPr>
            <w:tcW w:type="dxa" w:w="8640"/>
            <w:shd w:val="clear" w:color="auto" w:fill="F2F2F2"/>
          </w:tcPr>
          <w:p>
            <w:r>
              <w:rPr>
                <w:rFonts w:ascii="Arial" w:hAnsi="Arial"/>
                <w:b w:val="0"/>
                <w:i w:val="0"/>
                <w:sz w:val="22"/>
              </w:rPr>
              <w:t>Four possible recommendations, and the difference between them matters:</w:t>
            </w:r>
          </w:p>
          <w:p>
            <w:r>
              <w:rPr>
                <w:rFonts w:ascii="Arial" w:hAnsi="Arial"/>
                <w:b w:val="0"/>
                <w:i w:val="0"/>
                <w:sz w:val="22"/>
              </w:rPr>
              <w:t>•  RENEW — healthy contract, sensible price, keep it as is</w:t>
            </w:r>
          </w:p>
          <w:p>
            <w:r>
              <w:rPr>
                <w:rFonts w:ascii="Arial" w:hAnsi="Arial"/>
                <w:b w:val="0"/>
                <w:i w:val="0"/>
                <w:sz w:val="22"/>
              </w:rPr>
              <w:t>•  RENEGOTIATE — still needed, but the terms are wrong. Usually an uplift above 15%.</w:t>
            </w:r>
          </w:p>
          <w:p>
            <w:r>
              <w:rPr>
                <w:rFonts w:ascii="Arial" w:hAnsi="Arial"/>
                <w:b w:val="0"/>
                <w:i w:val="0"/>
                <w:sz w:val="22"/>
              </w:rPr>
              <w:t>•  CONSOLIDATE — capability still needed, but another existing vendor can cover it</w:t>
            </w:r>
          </w:p>
          <w:p>
            <w:r>
              <w:rPr>
                <w:rFonts w:ascii="Arial" w:hAnsi="Arial"/>
                <w:b w:val="0"/>
                <w:i w:val="0"/>
                <w:sz w:val="22"/>
              </w:rPr>
              <w:t>•  TERMINATE — the capability itself is no longer required by anyone</w:t>
            </w:r>
          </w:p>
          <w:p>
            <w:r>
              <w:rPr>
                <w:rFonts w:ascii="Arial" w:hAnsi="Arial"/>
                <w:b w:val="0"/>
                <w:i w:val="0"/>
                <w:sz w:val="22"/>
              </w:rPr>
            </w:r>
          </w:p>
          <w:p>
            <w:r>
              <w:rPr>
                <w:rFonts w:ascii="Arial" w:hAnsi="Arial"/>
                <w:b w:val="0"/>
                <w:i w:val="0"/>
                <w:sz w:val="22"/>
              </w:rPr>
              <w:t>The line between CONSOLIDATE and TERMINATE trips people up. If the work still needs doing, it is consolidation. Termination means nobody needs it at all — a much stronger claim, and one the policy says needs written owner confirmation.</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2 — Review the tool definitions</w:t>
            </w:r>
            <w:r>
              <w:rPr>
                <w:rFonts w:ascii="Arial" w:hAnsi="Arial"/>
                <w:b w:val="0"/>
                <w:i w:val="0"/>
                <w:color w:val="AAAACC"/>
                <w:sz w:val="20"/>
              </w:rPr>
              <w:t xml:space="preserve">    (25 min)</w:t>
            </w:r>
          </w:p>
        </w:tc>
      </w:tr>
      <w:tr>
        <w:tc>
          <w:tcPr>
            <w:tcW w:type="dxa" w:w="8640"/>
            <w:shd w:val="clear" w:color="auto" w:fill="F2F2F2"/>
          </w:tcPr>
          <w:p>
            <w:r>
              <w:rPr>
                <w:rFonts w:ascii="Arial" w:hAnsi="Arial"/>
                <w:b w:val="0"/>
                <w:i w:val="0"/>
                <w:sz w:val="22"/>
              </w:rPr>
              <w:t>Open agents/renewal_agent.py. Four tools are defined:</w:t>
            </w:r>
          </w:p>
          <w:p>
            <w:r>
              <w:rPr>
                <w:rFonts w:ascii="Arial" w:hAnsi="Arial"/>
                <w:b w:val="0"/>
                <w:i w:val="0"/>
                <w:sz w:val="22"/>
              </w:rPr>
              <w:t>•  get_contract — fetches real numbers from the Lab C2 API</w:t>
            </w:r>
          </w:p>
          <w:p>
            <w:r>
              <w:rPr>
                <w:rFonts w:ascii="Arial" w:hAnsi="Arial"/>
                <w:b w:val="0"/>
                <w:i w:val="0"/>
                <w:sz w:val="22"/>
              </w:rPr>
              <w:t>•  search_policy — queries the Lab C1 knowledge base</w:t>
            </w:r>
          </w:p>
          <w:p>
            <w:r>
              <w:rPr>
                <w:rFonts w:ascii="Arial" w:hAnsi="Arial"/>
                <w:b w:val="0"/>
                <w:i w:val="0"/>
                <w:sz w:val="22"/>
              </w:rPr>
              <w:t>•  find_category_overlap — lists other vendors in the same category</w:t>
            </w:r>
          </w:p>
          <w:p>
            <w:r>
              <w:rPr>
                <w:rFonts w:ascii="Arial" w:hAnsi="Arial"/>
                <w:b w:val="0"/>
                <w:i w:val="0"/>
                <w:sz w:val="22"/>
              </w:rPr>
              <w:t>•  submit_recommendation — records the final answer in a fixed shape</w:t>
            </w:r>
          </w:p>
          <w:p>
            <w:r>
              <w:rPr>
                <w:rFonts w:ascii="Arial" w:hAnsi="Arial"/>
                <w:b w:val="0"/>
                <w:i w:val="0"/>
                <w:sz w:val="22"/>
              </w:rPr>
            </w:r>
          </w:p>
          <w:p>
            <w:r>
              <w:rPr>
                <w:rFonts w:ascii="Arial" w:hAnsi="Arial"/>
                <w:b w:val="0"/>
                <w:i w:val="0"/>
                <w:sz w:val="22"/>
              </w:rPr>
              <w:t>Look closely at submit_recommendation's input_schema. The recommendation field uses an enum of exactly four values, so the model physically cannot invent a fifth category like "RENEW_WITH_CONDITIONS". Constraining the schema is more reliable than asking politely in the prompt and hoping.</w:t>
            </w:r>
          </w:p>
          <w:p>
            <w:r>
              <w:rPr>
                <w:rFonts w:ascii="Arial" w:hAnsi="Arial"/>
                <w:b w:val="0"/>
                <w:i w:val="0"/>
                <w:sz w:val="22"/>
              </w:rPr>
            </w:r>
          </w:p>
          <w:p>
            <w:r>
              <w:rPr>
                <w:rFonts w:ascii="Arial" w:hAnsi="Arial"/>
                <w:b w:val="0"/>
                <w:i/>
                <w:color w:val="595959"/>
                <w:sz w:val="21"/>
              </w:rPr>
              <w:t>Also notice human_approval_required is a required boolean. The agent must take a position on whether a human needs to sign off — it cannot quietly omit the question.</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3 — Understand the agentic loop and its safety cap</w:t>
            </w:r>
            <w:r>
              <w:rPr>
                <w:rFonts w:ascii="Arial" w:hAnsi="Arial"/>
                <w:b w:val="0"/>
                <w:i w:val="0"/>
                <w:color w:val="AAAACC"/>
                <w:sz w:val="20"/>
              </w:rPr>
              <w:t xml:space="preserve">    (25 min)</w:t>
            </w:r>
          </w:p>
        </w:tc>
      </w:tr>
      <w:tr>
        <w:tc>
          <w:tcPr>
            <w:tcW w:type="dxa" w:w="8640"/>
            <w:shd w:val="clear" w:color="auto" w:fill="F2F2F2"/>
          </w:tcPr>
          <w:p>
            <w:r>
              <w:rPr>
                <w:rFonts w:ascii="Arial" w:hAnsi="Arial"/>
                <w:b w:val="0"/>
                <w:i w:val="0"/>
                <w:sz w:val="22"/>
              </w:rPr>
              <w:t>The while loop implements the ReAct pattern: the model reasons, calls a tool, reads the result, and reasons again until it submits a recommendation.</w:t>
            </w:r>
          </w:p>
          <w:p>
            <w:r>
              <w:rPr>
                <w:rFonts w:ascii="Arial" w:hAnsi="Arial"/>
                <w:b w:val="0"/>
                <w:i w:val="0"/>
                <w:sz w:val="22"/>
              </w:rPr>
            </w:r>
          </w:p>
          <w:p>
            <w:r>
              <w:rPr>
                <w:rFonts w:ascii="Arial" w:hAnsi="Arial"/>
                <w:b w:val="0"/>
                <w:i w:val="0"/>
                <w:sz w:val="22"/>
              </w:rPr>
              <w:t>Find MAX_ROUNDS near the top of the file. Without a hard cap, an agent that cannot reach a confident answer will search the KB over and over, burning tokens and never finishing. The cap converts an infinite loop into an honest LOW-confidence outcome.</w:t>
            </w:r>
          </w:p>
          <w:p>
            <w:r>
              <w:rPr>
                <w:rFonts w:ascii="Arial" w:hAnsi="Arial"/>
                <w:b w:val="0"/>
                <w:i w:val="0"/>
                <w:sz w:val="22"/>
              </w:rPr>
            </w:r>
          </w:p>
          <w:p>
            <w:r>
              <w:rPr>
                <w:rFonts w:ascii="Arial" w:hAnsi="Arial"/>
                <w:b w:val="0"/>
                <w:i w:val="0"/>
                <w:sz w:val="22"/>
              </w:rPr>
              <w:t>Read the system prompt too. The line "LOW confidence is a valid, useful answer" is doing real work — without explicit permission to be uncertain, models tend to keep searching for certainty that the data cannot support.</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4 — Run the agent on five contracts</w:t>
            </w:r>
            <w:r>
              <w:rPr>
                <w:rFonts w:ascii="Arial" w:hAnsi="Arial"/>
                <w:b w:val="0"/>
                <w:i w:val="0"/>
                <w:color w:val="AAAACC"/>
                <w:sz w:val="20"/>
              </w:rPr>
              <w:t xml:space="preserve">    (35 min)</w:t>
            </w:r>
          </w:p>
        </w:tc>
      </w:tr>
      <w:tr>
        <w:tc>
          <w:tcPr>
            <w:tcW w:type="dxa" w:w="8640"/>
            <w:shd w:val="clear" w:color="auto" w:fill="F2F2F2"/>
          </w:tcPr>
          <w:p>
            <w:r>
              <w:rPr>
                <w:rFonts w:ascii="Consolas" w:hAnsi="Consolas"/>
                <w:b w:val="0"/>
                <w:i w:val="0"/>
                <w:color w:val="1A1A2E"/>
                <w:sz w:val="21"/>
              </w:rPr>
              <w:t>python agents/renewal_agent.py</w:t>
            </w:r>
          </w:p>
          <w:p>
            <w:r>
              <w:rPr>
                <w:rFonts w:ascii="Arial" w:hAnsi="Arial"/>
                <w:b w:val="0"/>
                <w:i w:val="0"/>
                <w:sz w:val="22"/>
              </w:rPr>
            </w:r>
          </w:p>
          <w:p>
            <w:r>
              <w:rPr>
                <w:rFonts w:ascii="Arial" w:hAnsi="Arial"/>
                <w:b w:val="0"/>
                <w:i w:val="0"/>
                <w:sz w:val="22"/>
              </w:rPr>
              <w:t>Five contracts are analysed, chosen to cover genuinely different situations:</w:t>
            </w:r>
          </w:p>
          <w:p>
            <w:r>
              <w:rPr>
                <w:rFonts w:ascii="Arial" w:hAnsi="Arial"/>
                <w:b w:val="0"/>
                <w:i w:val="0"/>
                <w:sz w:val="22"/>
              </w:rPr>
              <w:t>•  CTR-1003 Microsoft 365 — high utilisation, modest uplift. Should be a clean RENEW.</w:t>
            </w:r>
          </w:p>
          <w:p>
            <w:r>
              <w:rPr>
                <w:rFonts w:ascii="Arial" w:hAnsi="Arial"/>
                <w:b w:val="0"/>
                <w:i w:val="0"/>
                <w:sz w:val="22"/>
              </w:rPr>
              <w:t>•  CTR-1012 PagerDuty — 22% uplift. Should be RENEGOTIATE.</w:t>
            </w:r>
          </w:p>
          <w:p>
            <w:r>
              <w:rPr>
                <w:rFonts w:ascii="Arial" w:hAnsi="Arial"/>
                <w:b w:val="0"/>
                <w:i w:val="0"/>
                <w:sz w:val="22"/>
              </w:rPr>
              <w:t>•  CTR-1005 New Relic — 29% utilisation with Datadog in the same category. Consolidation candidate.</w:t>
            </w:r>
          </w:p>
          <w:p>
            <w:r>
              <w:rPr>
                <w:rFonts w:ascii="Arial" w:hAnsi="Arial"/>
                <w:b w:val="0"/>
                <w:i w:val="0"/>
                <w:sz w:val="22"/>
              </w:rPr>
              <w:t>•  CTR-1006 Lucidchart — 14% utilisation and NO business owner. Watch this one carefully.</w:t>
            </w:r>
          </w:p>
          <w:p>
            <w:r>
              <w:rPr>
                <w:rFonts w:ascii="Arial" w:hAnsi="Arial"/>
                <w:b w:val="0"/>
                <w:i w:val="0"/>
                <w:sz w:val="22"/>
              </w:rPr>
              <w:t>•  CTR-1004 Datadog — band C, inside its notice window, 18% uplift. The hardest case.</w:t>
            </w:r>
          </w:p>
          <w:p>
            <w:r>
              <w:rPr>
                <w:rFonts w:ascii="Arial" w:hAnsi="Arial"/>
                <w:b w:val="0"/>
                <w:i w:val="0"/>
                <w:sz w:val="22"/>
              </w:rPr>
            </w:r>
          </w:p>
          <w:p>
            <w:r>
              <w:rPr>
                <w:rFonts w:ascii="Arial" w:hAnsi="Arial"/>
                <w:b w:val="0"/>
                <w:i w:val="0"/>
                <w:sz w:val="22"/>
              </w:rPr>
              <w:t>Watch the tool calls scroll past. For each contract, check that the policy citation actually supports the recommendation — do not just accept that one was produced.</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5 — Examine the orphaned contract closely</w:t>
            </w:r>
            <w:r>
              <w:rPr>
                <w:rFonts w:ascii="Arial" w:hAnsi="Arial"/>
                <w:b w:val="0"/>
                <w:i w:val="0"/>
                <w:color w:val="AAAACC"/>
                <w:sz w:val="20"/>
              </w:rPr>
              <w:t xml:space="preserve">    (20 min)</w:t>
            </w:r>
          </w:p>
        </w:tc>
      </w:tr>
      <w:tr>
        <w:tc>
          <w:tcPr>
            <w:tcW w:type="dxa" w:w="8640"/>
            <w:shd w:val="clear" w:color="auto" w:fill="F2F2F2"/>
          </w:tcPr>
          <w:p>
            <w:r>
              <w:rPr>
                <w:rFonts w:ascii="Arial" w:hAnsi="Arial"/>
                <w:b w:val="0"/>
                <w:i w:val="0"/>
                <w:sz w:val="22"/>
              </w:rPr>
              <w:t>CTR-1006 has 14% utilisation and its owner field reads UNASSIGNED. The obvious answer is TERMINATE — almost nobody uses it and nobody owns it.</w:t>
            </w:r>
          </w:p>
          <w:p>
            <w:r>
              <w:rPr>
                <w:rFonts w:ascii="Arial" w:hAnsi="Arial"/>
                <w:b w:val="0"/>
                <w:i w:val="0"/>
                <w:sz w:val="22"/>
              </w:rPr>
            </w:r>
          </w:p>
          <w:p>
            <w:r>
              <w:rPr>
                <w:rFonts w:ascii="Arial" w:hAnsi="Arial"/>
                <w:b w:val="0"/>
                <w:i w:val="0"/>
                <w:sz w:val="22"/>
              </w:rPr>
              <w:t>The policy disagrees, and so should your agent. Read termination_procedure.md §When termination is the right recommendation. An absent owner is not evidence that the capability is unneeded — it is evidence that nobody has been asked. The correct behaviour is to flag it for a human, not to quietly cancel a tool that seventeen people still use.</w:t>
            </w:r>
          </w:p>
          <w:p>
            <w:r>
              <w:rPr>
                <w:rFonts w:ascii="Arial" w:hAnsi="Arial"/>
                <w:b w:val="0"/>
                <w:i w:val="0"/>
                <w:sz w:val="22"/>
              </w:rPr>
            </w:r>
          </w:p>
          <w:p>
            <w:r>
              <w:rPr>
                <w:rFonts w:ascii="Arial" w:hAnsi="Arial"/>
                <w:b w:val="0"/>
                <w:i/>
                <w:color w:val="595959"/>
                <w:sz w:val="21"/>
              </w:rPr>
              <w:t>If your agent recommended a confident TERMINATE here, that is the most valuable thing you will see today. It means the agent reasoned from the numbers and skipped the policy. Note what it cited, then look at whether the system prompt gave it enough guidance.</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6 — Analyse a contract of your choosing</w:t>
            </w:r>
            <w:r>
              <w:rPr>
                <w:rFonts w:ascii="Arial" w:hAnsi="Arial"/>
                <w:b w:val="0"/>
                <w:i w:val="0"/>
                <w:color w:val="AAAACC"/>
                <w:sz w:val="20"/>
              </w:rPr>
              <w:t xml:space="preserve">    (25 min)</w:t>
            </w:r>
          </w:p>
        </w:tc>
      </w:tr>
      <w:tr>
        <w:tc>
          <w:tcPr>
            <w:tcW w:type="dxa" w:w="8640"/>
            <w:shd w:val="clear" w:color="auto" w:fill="F2F2F2"/>
          </w:tcPr>
          <w:p>
            <w:r>
              <w:rPr>
                <w:rFonts w:ascii="Arial" w:hAnsi="Arial"/>
                <w:b w:val="0"/>
                <w:i w:val="0"/>
                <w:sz w:val="22"/>
              </w:rPr>
              <w:t>Change the test_contracts list near the bottom of the file to include a contract you have not run yet — CTR-1009, CTR-1013 and CTR-1015 are all interesting.</w:t>
            </w:r>
          </w:p>
          <w:p>
            <w:r>
              <w:rPr>
                <w:rFonts w:ascii="Arial" w:hAnsi="Arial"/>
                <w:b w:val="0"/>
                <w:i w:val="0"/>
                <w:sz w:val="22"/>
              </w:rPr>
            </w:r>
          </w:p>
          <w:p>
            <w:r>
              <w:rPr>
                <w:rFonts w:ascii="Arial" w:hAnsi="Arial"/>
                <w:b w:val="0"/>
                <w:i w:val="0"/>
                <w:sz w:val="22"/>
              </w:rPr>
              <w:t>Then try to break it deliberately. Ask for a contract ID that does not exist, such as CTR-9999. The tool returns an error rather than data. Does the agent handle that sensibly, or does it invent a recommendation for a contract it never saw?</w:t>
            </w:r>
          </w:p>
          <w:p>
            <w:r>
              <w:rPr>
                <w:rFonts w:ascii="Arial" w:hAnsi="Arial"/>
                <w:b w:val="0"/>
                <w:i w:val="0"/>
                <w:sz w:val="22"/>
              </w:rPr>
            </w:r>
          </w:p>
          <w:p>
            <w:r>
              <w:rPr>
                <w:rFonts w:ascii="Arial" w:hAnsi="Arial"/>
                <w:b w:val="0"/>
                <w:i w:val="0"/>
                <w:sz w:val="22"/>
              </w:rPr>
              <w:t>•  Stop the Flask shim in the other terminal and run the agent again. You should get a clear message about the API being unreachable, not a stack trace and not a fabricated answer.</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7 — Commit your work</w:t>
            </w:r>
            <w:r>
              <w:rPr>
                <w:rFonts w:ascii="Arial" w:hAnsi="Arial"/>
                <w:b w:val="0"/>
                <w:i w:val="0"/>
                <w:color w:val="AAAACC"/>
                <w:sz w:val="20"/>
              </w:rPr>
              <w:t xml:space="preserve">    (10 min)</w:t>
            </w:r>
          </w:p>
        </w:tc>
      </w:tr>
      <w:tr>
        <w:tc>
          <w:tcPr>
            <w:tcW w:type="dxa" w:w="8640"/>
            <w:shd w:val="clear" w:color="auto" w:fill="F2F2F2"/>
          </w:tcPr>
          <w:p>
            <w:r>
              <w:rPr>
                <w:rFonts w:ascii="Consolas" w:hAnsi="Consolas"/>
                <w:b w:val="0"/>
                <w:i w:val="0"/>
                <w:color w:val="1A1A2E"/>
                <w:sz w:val="21"/>
              </w:rPr>
              <w:t>git add agents/renewal_agent.py</w:t>
            </w:r>
          </w:p>
          <w:p>
            <w:r>
              <w:rPr>
                <w:rFonts w:ascii="Consolas" w:hAnsi="Consolas"/>
                <w:b w:val="0"/>
                <w:i w:val="0"/>
                <w:color w:val="1A1A2E"/>
                <w:sz w:val="21"/>
              </w:rPr>
              <w:t>git commit -m "C3: renewal analysis agent with policy citations"</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0F6E64"/>
          </w:tcPr>
          <w:p>
            <w:r>
              <w:rPr>
                <w:rFonts w:ascii="Arial" w:hAnsi="Arial"/>
                <w:b/>
                <w:i w:val="0"/>
                <w:color w:val="FFFFFF"/>
                <w:sz w:val="24"/>
              </w:rPr>
              <w:t>💬 Vibe-Coding Prompt</w:t>
            </w:r>
          </w:p>
        </w:tc>
      </w:tr>
      <w:tr>
        <w:tc>
          <w:tcPr>
            <w:tcW w:type="dxa" w:w="8640"/>
            <w:shd w:val="clear" w:color="auto" w:fill="F2F2F2"/>
          </w:tcPr>
          <w:p>
            <w:r>
              <w:rPr>
                <w:rFonts w:ascii="Arial" w:hAnsi="Arial"/>
                <w:b w:val="0"/>
                <w:i w:val="0"/>
                <w:sz w:val="22"/>
              </w:rPr>
              <w:t>Build a Renewal Analysis Agent in agents/renewal_agent.py using the Anthropic SDK with tool calling. Four tools: 1) get_contract — GET http://localhost:5001/api/contracts/&lt;id&gt;, returning a helpful message if the server is unreachable rather than raising; 2) search_policy — queries a ChromaDB collection called 'crra_policy', groups the hits by source file and returns the best section per file for the top 2 files, each with source, section heading, confidence and text; 3) find_category_overlap — GET http://localhost:5001/api/categories and return the entry matching a given category; 4) submit_recommendation — takes contract_id, recommendation constrained by enum to exactly RENEW, RENEGOTIATE, CONSOLIDATE or TERMINATE, confidence as HIGH/MEDIUM/LOW, rationale, policy_citation, estimated_annual_impact_inr, and a required boolean human_approval_required. Use model claude-opus-5 with output_config={"effort": "medium"} — temperature is not supported on this model. Extract text from responses by scanning response.content for the first block with a .text attribute, because a thinking block may come first. Add a MAX_ROUNDS cap of 5 on the agentic while loop so it cannot loop forever, and write a system prompt that explicitly says LOW confidence is a valid answer. Test on five contracts and print a summary table at the end.</w:t>
            </w:r>
          </w:p>
        </w:tc>
      </w:tr>
    </w:tbl>
    <w:p/>
    <w:p>
      <w:r>
        <w:rPr>
          <w:rFonts w:ascii="Arial" w:hAnsi="Arial"/>
          <w:b/>
          <w:i w:val="0"/>
          <w:color w:val="1F3864"/>
          <w:sz w:val="26"/>
        </w:rPr>
        <w:t>Sample Output</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595959"/>
          </w:tcPr>
          <w:p>
            <w:r>
              <w:rPr>
                <w:rFonts w:ascii="Arial" w:hAnsi="Arial"/>
                <w:b/>
                <w:i w:val="0"/>
                <w:color w:val="FFFFFF"/>
                <w:sz w:val="24"/>
              </w:rPr>
              <w:t>Terminal — shape of one contract's analysis</w:t>
            </w:r>
          </w:p>
        </w:tc>
      </w:tr>
      <w:tr>
        <w:tc>
          <w:tcPr>
            <w:tcW w:type="dxa" w:w="8640"/>
            <w:shd w:val="clear" w:color="auto" w:fill="FFFFFF"/>
          </w:tcPr>
          <w:p>
            <w:r>
              <w:rPr>
                <w:rFonts w:ascii="Consolas" w:hAnsi="Consolas"/>
                <w:b w:val="0"/>
                <w:i w:val="0"/>
                <w:sz w:val="19"/>
              </w:rPr>
              <w:t>══════════════════════════════════════════════════════════════</w:t>
            </w:r>
          </w:p>
          <w:p>
            <w:r>
              <w:rPr>
                <w:rFonts w:ascii="Consolas" w:hAnsi="Consolas"/>
                <w:b w:val="0"/>
                <w:i w:val="0"/>
                <w:sz w:val="19"/>
              </w:rPr>
              <w:t>ANALYSING: CTR-1012</w:t>
            </w:r>
          </w:p>
          <w:p>
            <w:r>
              <w:rPr>
                <w:rFonts w:ascii="Consolas" w:hAnsi="Consolas"/>
                <w:b w:val="0"/>
                <w:i w:val="0"/>
                <w:sz w:val="19"/>
              </w:rPr>
              <w:t>══════════════════════════════════════════════════════════════</w:t>
            </w:r>
          </w:p>
          <w:p>
            <w:r>
              <w:rPr>
                <w:rFonts w:ascii="Consolas" w:hAnsi="Consolas"/>
                <w:b w:val="0"/>
                <w:i w:val="0"/>
                <w:sz w:val="19"/>
              </w:rPr>
              <w:t xml:space="preserve">  → contract: band B  INSIDE_WINDOW  util 91%  uplift 22%  INR 1,150,000</w:t>
            </w:r>
          </w:p>
          <w:p>
            <w:r>
              <w:rPr>
                <w:rFonts w:ascii="Consolas" w:hAnsi="Consolas"/>
                <w:b w:val="0"/>
                <w:i w:val="0"/>
                <w:sz w:val="19"/>
              </w:rPr>
              <w:t xml:space="preserve">  → policy "vendor proposing 22 percent increase" -&gt; renegotiation_levers.md</w:t>
            </w:r>
          </w:p>
          <w:p>
            <w:r>
              <w:rPr>
                <w:rFonts w:ascii="Consolas" w:hAnsi="Consolas"/>
                <w:b w:val="0"/>
                <w:i w:val="0"/>
                <w:sz w:val="19"/>
              </w:rPr>
              <w:t xml:space="preserve">       §Price uplift benchmarks (44%)</w:t>
            </w:r>
          </w:p>
          <w:p>
            <w:r>
              <w:rPr>
                <w:rFonts w:ascii="Consolas" w:hAnsi="Consolas"/>
                <w:b w:val="0"/>
                <w:i w:val="0"/>
                <w:sz w:val="19"/>
              </w:rPr>
            </w:r>
          </w:p>
          <w:p>
            <w:r>
              <w:rPr>
                <w:rFonts w:ascii="Consolas" w:hAnsi="Consolas"/>
                <w:b w:val="0"/>
                <w:i w:val="0"/>
                <w:sz w:val="19"/>
              </w:rPr>
              <w:t xml:space="preserve">  ┌─ RECOMMENDATION ─────────────────────────────────</w:t>
            </w:r>
          </w:p>
          <w:p>
            <w:r>
              <w:rPr>
                <w:rFonts w:ascii="Consolas" w:hAnsi="Consolas"/>
                <w:b w:val="0"/>
                <w:i w:val="0"/>
                <w:sz w:val="19"/>
              </w:rPr>
              <w:t xml:space="preserve">  │ RENEGOTIATE   confidence HIGH</w:t>
            </w:r>
          </w:p>
          <w:p>
            <w:r>
              <w:rPr>
                <w:rFonts w:ascii="Consolas" w:hAnsi="Consolas"/>
                <w:b w:val="0"/>
                <w:i w:val="0"/>
                <w:sz w:val="19"/>
              </w:rPr>
              <w:t xml:space="preserve">  │ Policy: renegotiation_levers.md §Price uplift benchmarks</w:t>
            </w:r>
          </w:p>
          <w:p>
            <w:r>
              <w:rPr>
                <w:rFonts w:ascii="Consolas" w:hAnsi="Consolas"/>
                <w:b w:val="0"/>
                <w:i w:val="0"/>
                <w:sz w:val="19"/>
              </w:rPr>
              <w:t xml:space="preserve">  │ Human approval required: True</w:t>
            </w:r>
          </w:p>
          <w:p>
            <w:r>
              <w:rPr>
                <w:rFonts w:ascii="Consolas" w:hAnsi="Consolas"/>
                <w:b w:val="0"/>
                <w:i w:val="0"/>
                <w:sz w:val="19"/>
              </w:rPr>
              <w:t xml:space="preserve">  └──────────────────────────────────────────────────</w:t>
            </w:r>
          </w:p>
          <w:p>
            <w:r>
              <w:rPr>
                <w:rFonts w:ascii="Consolas" w:hAnsi="Consolas"/>
                <w:b w:val="0"/>
                <w:i w:val="0"/>
                <w:sz w:val="19"/>
              </w:rPr>
              <w:t xml:space="preserve">  A 22% uplift is well above the 15% threshold at which policy says an</w:t>
            </w:r>
          </w:p>
          <w:p>
            <w:r>
              <w:rPr>
                <w:rFonts w:ascii="Consolas" w:hAnsi="Consolas"/>
                <w:b w:val="0"/>
                <w:i w:val="0"/>
                <w:sz w:val="19"/>
              </w:rPr>
              <w:t xml:space="preserve">  offer should never be accepted first time...</w:t>
            </w:r>
          </w:p>
        </w:tc>
      </w:tr>
    </w:tbl>
    <w:p/>
    <w:p>
      <w:r>
        <w:rPr>
          <w:rFonts w:ascii="Arial" w:hAnsi="Arial"/>
          <w:b w:val="0"/>
          <w:i/>
          <w:color w:val="595959"/>
          <w:sz w:val="20"/>
        </w:rPr>
        <w:t>This shows the SHAPE of the output, not an exact transcript. The model writes the rationale in its own words, so your wording, confidence scores and impact figures will differ from run to run. What should be consistent is the recommendation itself and the policy file it cites — if those swing wildly between runs, something is wrong with your tool definitions or system prompt.</w:t>
      </w:r>
    </w:p>
    <w:p>
      <w:r>
        <w:rPr>
          <w:rFonts w:ascii="Arial" w:hAnsi="Arial"/>
          <w:b/>
          <w:i w:val="0"/>
          <w:color w:val="1F3864"/>
          <w:sz w:val="26"/>
        </w:rPr>
        <w:t>Compare / Observe</w:t>
      </w:r>
    </w:p>
    <w:tbl>
      <w:tblPr>
        <w:tblStyle w:val="TableGrid"/>
        <w:tblW w:type="auto" w:w="0"/>
        <w:tblLook w:firstColumn="1" w:firstRow="1" w:lastColumn="0" w:lastRow="0" w:noHBand="0" w:noVBand="1" w:val="04A0"/>
      </w:tblPr>
      <w:tblGrid>
        <w:gridCol w:w="4176"/>
        <w:gridCol w:w="5328"/>
      </w:tblGrid>
      <w:tr>
        <w:tc>
          <w:tcPr>
            <w:tcW w:type="dxa" w:w="4320"/>
            <w:shd w:val="clear" w:color="auto" w:fill="1F3864"/>
          </w:tcPr>
          <w:p>
            <w:r>
              <w:rPr>
                <w:rFonts w:ascii="Arial" w:hAnsi="Arial"/>
                <w:b/>
                <w:i w:val="0"/>
                <w:color w:val="FFFFFF"/>
                <w:sz w:val="22"/>
              </w:rPr>
              <w:t>What You Saw</w:t>
            </w:r>
          </w:p>
        </w:tc>
        <w:tc>
          <w:tcPr>
            <w:tcW w:type="dxa" w:w="4320"/>
            <w:shd w:val="clear" w:color="auto" w:fill="1F3864"/>
          </w:tcPr>
          <w:p>
            <w:r>
              <w:rPr>
                <w:rFonts w:ascii="Arial" w:hAnsi="Arial"/>
                <w:b/>
                <w:i w:val="0"/>
                <w:color w:val="FFFFFF"/>
                <w:sz w:val="22"/>
              </w:rPr>
              <w:t>Why It Matters</w:t>
            </w:r>
          </w:p>
        </w:tc>
      </w:tr>
      <w:tr>
        <w:tc>
          <w:tcPr>
            <w:tcW w:type="dxa" w:w="4320"/>
          </w:tcPr>
          <w:p>
            <w:r>
              <w:rPr>
                <w:rFonts w:ascii="Arial" w:hAnsi="Arial"/>
                <w:b w:val="0"/>
                <w:i w:val="0"/>
                <w:sz w:val="21"/>
              </w:rPr>
              <w:t>Every recommendation names a policy section</w:t>
            </w:r>
          </w:p>
        </w:tc>
        <w:tc>
          <w:tcPr>
            <w:tcW w:type="dxa" w:w="4320"/>
          </w:tcPr>
          <w:p>
            <w:r>
              <w:rPr>
                <w:rFonts w:ascii="Arial" w:hAnsi="Arial"/>
                <w:b w:val="0"/>
                <w:i w:val="0"/>
                <w:sz w:val="21"/>
              </w:rPr>
              <w:t>An approver can verify the reasoning in seconds. An agent that says 'RENEGOTIATE' with no citation is an opinion; one that cites the rule is an argument.</w:t>
            </w:r>
          </w:p>
        </w:tc>
      </w:tr>
      <w:tr>
        <w:tc>
          <w:tcPr>
            <w:tcW w:type="dxa" w:w="4320"/>
          </w:tcPr>
          <w:p>
            <w:r>
              <w:rPr>
                <w:rFonts w:ascii="Arial" w:hAnsi="Arial"/>
                <w:b w:val="0"/>
                <w:i w:val="0"/>
                <w:sz w:val="21"/>
              </w:rPr>
              <w:t>The enum stops invented categories</w:t>
            </w:r>
          </w:p>
        </w:tc>
        <w:tc>
          <w:tcPr>
            <w:tcW w:type="dxa" w:w="4320"/>
          </w:tcPr>
          <w:p>
            <w:r>
              <w:rPr>
                <w:rFonts w:ascii="Arial" w:hAnsi="Arial"/>
                <w:b w:val="0"/>
                <w:i w:val="0"/>
                <w:sz w:val="21"/>
              </w:rPr>
              <w:t>The model cannot return 'RENEW_WITH_CONDITIONS' or any other improvised value. Structure enforced by schema beats structure requested in a prompt.</w:t>
            </w:r>
          </w:p>
        </w:tc>
      </w:tr>
      <w:tr>
        <w:tc>
          <w:tcPr>
            <w:tcW w:type="dxa" w:w="4320"/>
          </w:tcPr>
          <w:p>
            <w:r>
              <w:rPr>
                <w:rFonts w:ascii="Arial" w:hAnsi="Arial"/>
                <w:b w:val="0"/>
                <w:i w:val="0"/>
                <w:sz w:val="21"/>
              </w:rPr>
              <w:t>MAX_ROUNDS converts a hang into an answer</w:t>
            </w:r>
          </w:p>
        </w:tc>
        <w:tc>
          <w:tcPr>
            <w:tcW w:type="dxa" w:w="4320"/>
          </w:tcPr>
          <w:p>
            <w:r>
              <w:rPr>
                <w:rFonts w:ascii="Arial" w:hAnsi="Arial"/>
                <w:b w:val="0"/>
                <w:i w:val="0"/>
                <w:sz w:val="21"/>
              </w:rPr>
              <w:t>An agent that cannot decide will otherwise search forever. The cap forces an honest LOW confidence result instead of an infinite bill.</w:t>
            </w:r>
          </w:p>
        </w:tc>
      </w:tr>
      <w:tr>
        <w:tc>
          <w:tcPr>
            <w:tcW w:type="dxa" w:w="4320"/>
          </w:tcPr>
          <w:p>
            <w:r>
              <w:rPr>
                <w:rFonts w:ascii="Arial" w:hAnsi="Arial"/>
                <w:b w:val="0"/>
                <w:i w:val="0"/>
                <w:sz w:val="21"/>
              </w:rPr>
              <w:t>The orphaned contract exposes reasoning quality</w:t>
            </w:r>
          </w:p>
        </w:tc>
        <w:tc>
          <w:tcPr>
            <w:tcW w:type="dxa" w:w="4320"/>
          </w:tcPr>
          <w:p>
            <w:r>
              <w:rPr>
                <w:rFonts w:ascii="Arial" w:hAnsi="Arial"/>
                <w:b w:val="0"/>
                <w:i w:val="0"/>
                <w:sz w:val="21"/>
              </w:rPr>
              <w:t>Recommending TERMINATE on CTR-1006 is numerically defensible and policy-wrong. It shows whether the agent followed the rules or just the arithmetic.</w:t>
            </w:r>
          </w:p>
        </w:tc>
      </w:tr>
    </w:tbl>
    <w:p/>
    <w:p>
      <w:r>
        <w:rPr>
          <w:rFonts w:ascii="Arial" w:hAnsi="Arial"/>
          <w:b w:val="0"/>
          <w:i/>
          <w:color w:val="595959"/>
          <w:sz w:val="20"/>
        </w:rPr>
        <w:t>Connects to — Lab C4 (this analysis becomes one node in a LangGraph pipeline, with a human approval gate added after it and an audit trail recording every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