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7056"/>
        <w:gridCol w:w="2448"/>
      </w:tblGrid>
      <w:tr>
        <w:tc>
          <w:tcPr>
            <w:tcW w:type="dxa" w:w="4320"/>
            <w:shd w:val="clear" w:color="auto" w:fill="E6F2F0"/>
          </w:tcPr>
          <w:p>
            <w:r>
              <w:rPr>
                <w:rFonts w:ascii="Arial" w:hAnsi="Arial"/>
                <w:b/>
                <w:i w:val="0"/>
                <w:color w:val="0F6E64"/>
                <w:sz w:val="36"/>
              </w:rPr>
              <w:t>CRRA Lab C2</w:t>
              <w:br/>
            </w:r>
            <w:r>
              <w:rPr>
                <w:rFonts w:ascii="Arial" w:hAnsi="Arial"/>
                <w:b/>
                <w:i w:val="0"/>
                <w:color w:val="1F3864"/>
                <w:sz w:val="26"/>
              </w:rPr>
              <w:t>Mock Contract API: A Safe Stand-In for the Real System</w:t>
            </w:r>
          </w:p>
        </w:tc>
        <w:tc>
          <w:tcPr>
            <w:tcW w:type="dxa" w:w="4320"/>
            <w:shd w:val="clear" w:color="auto" w:fill="F2F2F2"/>
          </w:tcPr>
          <w:p>
            <w:pPr>
              <w:jc w:val="right"/>
            </w:pPr>
            <w:r>
              <w:rPr>
                <w:rFonts w:ascii="Arial" w:hAnsi="Arial"/>
                <w:b/>
                <w:i w:val="0"/>
                <w:color w:val="595959"/>
                <w:sz w:val="22"/>
              </w:rPr>
              <w:t>CRRA Capstone Lab</w:t>
              <w:br/>
            </w:r>
            <w:r>
              <w:rPr>
                <w:rFonts w:ascii="Arial" w:hAnsi="Arial"/>
                <w:b w:val="0"/>
                <w:i w:val="0"/>
                <w:color w:val="595959"/>
                <w:sz w:val="20"/>
              </w:rPr>
              <w:t>90 min</w:t>
            </w:r>
          </w:p>
        </w:tc>
      </w:tr>
    </w:tbl>
    <w:p/>
    <w:p>
      <w:r>
        <w:rPr>
          <w:rFonts w:ascii="Arial" w:hAnsi="Arial"/>
          <w:b/>
          <w:i w:val="0"/>
          <w:color w:val="1F3864"/>
          <w:sz w:val="26"/>
        </w:rPr>
        <w:t>What You Will Build</w:t>
      </w:r>
    </w:p>
    <w:p>
      <w:r>
        <w:rPr>
          <w:rFonts w:ascii="Arial" w:hAnsi="Arial"/>
          <w:b w:val="0"/>
          <w:i w:val="0"/>
          <w:sz w:val="22"/>
        </w:rPr>
        <w:t>A Flask REST API that serves Zensar's contract portfolio from a CSV file. It stands in for the real contract management system, so your agent can be run hundreds of times during development without touching production data or waiting on a vendor API. It also computes the derived fields the policy depends on — approval band, notice window state, and licence utilisation.</w:t>
      </w:r>
    </w:p>
    <w:p>
      <w:r>
        <w:rPr>
          <w:rFonts w:ascii="Arial" w:hAnsi="Arial"/>
          <w:b/>
          <w:i w:val="0"/>
          <w:color w:val="1F3864"/>
          <w:sz w:val="26"/>
        </w:rPr>
        <w:t>Before You Start</w:t>
      </w:r>
    </w:p>
    <w:p>
      <w:r>
        <w:rPr>
          <w:rFonts w:ascii="Arial" w:hAnsi="Arial"/>
          <w:b w:val="0"/>
          <w:i w:val="0"/>
          <w:sz w:val="22"/>
        </w:rPr>
        <w:t>Same virtual environment as Lab C1. Install this lab's dependency:</w:t>
      </w:r>
    </w:p>
    <w:p>
      <w:r>
        <w:rPr>
          <w:rFonts w:ascii="Consolas" w:hAnsi="Consolas"/>
          <w:b w:val="0"/>
          <w:i w:val="0"/>
          <w:sz w:val="21"/>
        </w:rPr>
        <w:t>pip install -r requirements.txt</w:t>
      </w:r>
    </w:p>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1 — Explore the contract portfolio</w:t>
            </w:r>
            <w:r>
              <w:rPr>
                <w:rFonts w:ascii="Arial" w:hAnsi="Arial"/>
                <w:b w:val="0"/>
                <w:i w:val="0"/>
                <w:color w:val="AAAACC"/>
                <w:sz w:val="20"/>
              </w:rPr>
              <w:t xml:space="preserve">    (15 min)</w:t>
            </w:r>
          </w:p>
        </w:tc>
      </w:tr>
      <w:tr>
        <w:tc>
          <w:tcPr>
            <w:tcW w:type="dxa" w:w="8640"/>
            <w:shd w:val="clear" w:color="auto" w:fill="F2F2F2"/>
          </w:tcPr>
          <w:p>
            <w:r>
              <w:rPr>
                <w:rFonts w:ascii="Arial" w:hAnsi="Arial"/>
                <w:b w:val="0"/>
                <w:i w:val="0"/>
                <w:sz w:val="22"/>
              </w:rPr>
              <w:t>Open data/contracts.csv. Fifteen contracts, each with the fields BizOps actually cares about:</w:t>
            </w:r>
          </w:p>
          <w:p>
            <w:r>
              <w:rPr>
                <w:rFonts w:ascii="Arial" w:hAnsi="Arial"/>
                <w:b w:val="0"/>
                <w:i w:val="0"/>
                <w:sz w:val="22"/>
              </w:rPr>
              <w:t>•  annual_value_inr — drives which approval band applies</w:t>
            </w:r>
          </w:p>
          <w:p>
            <w:r>
              <w:rPr>
                <w:rFonts w:ascii="Arial" w:hAnsi="Arial"/>
                <w:b w:val="0"/>
                <w:i w:val="0"/>
                <w:sz w:val="22"/>
              </w:rPr>
              <w:t>•  renewal_date and notice_days — together determine whether you still have leverage</w:t>
            </w:r>
          </w:p>
          <w:p>
            <w:r>
              <w:rPr>
                <w:rFonts w:ascii="Arial" w:hAnsi="Arial"/>
                <w:b w:val="0"/>
                <w:i w:val="0"/>
                <w:sz w:val="22"/>
              </w:rPr>
              <w:t>•  auto_renew — whether missing the deadline commits you to another term automatically</w:t>
            </w:r>
          </w:p>
          <w:p>
            <w:r>
              <w:rPr>
                <w:rFonts w:ascii="Arial" w:hAnsi="Arial"/>
                <w:b w:val="0"/>
                <w:i w:val="0"/>
                <w:sz w:val="22"/>
              </w:rPr>
              <w:t>•  seats_purchased vs seats_active — the utilisation signal for consolidation decisions</w:t>
            </w:r>
          </w:p>
          <w:p>
            <w:r>
              <w:rPr>
                <w:rFonts w:ascii="Arial" w:hAnsi="Arial"/>
                <w:b w:val="0"/>
                <w:i w:val="0"/>
                <w:sz w:val="22"/>
              </w:rPr>
              <w:t>•  proposed_uplift_pct — what the vendor wants to raise the price by</w:t>
            </w:r>
          </w:p>
          <w:p>
            <w:r>
              <w:rPr>
                <w:rFonts w:ascii="Arial" w:hAnsi="Arial"/>
                <w:b w:val="0"/>
                <w:i w:val="0"/>
                <w:sz w:val="22"/>
              </w:rPr>
            </w:r>
          </w:p>
          <w:p>
            <w:r>
              <w:rPr>
                <w:rFonts w:ascii="Arial" w:hAnsi="Arial"/>
                <w:b w:val="0"/>
                <w:i w:val="0"/>
                <w:sz w:val="22"/>
              </w:rPr>
              <w:t>Scan the category column. Four categories have more than one vendor in them. Those overlaps are what makes consolidation analysis possible in Lab C3.</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2 — Understand the derived fields</w:t>
            </w:r>
            <w:r>
              <w:rPr>
                <w:rFonts w:ascii="Arial" w:hAnsi="Arial"/>
                <w:b w:val="0"/>
                <w:i w:val="0"/>
                <w:color w:val="AAAACC"/>
                <w:sz w:val="20"/>
              </w:rPr>
              <w:t xml:space="preserve">    (20 min)</w:t>
            </w:r>
          </w:p>
        </w:tc>
      </w:tr>
      <w:tr>
        <w:tc>
          <w:tcPr>
            <w:tcW w:type="dxa" w:w="8640"/>
            <w:shd w:val="clear" w:color="auto" w:fill="F2F2F2"/>
          </w:tcPr>
          <w:p>
            <w:r>
              <w:rPr>
                <w:rFonts w:ascii="Arial" w:hAnsi="Arial"/>
                <w:b w:val="0"/>
                <w:i w:val="0"/>
                <w:sz w:val="22"/>
              </w:rPr>
              <w:t>The CSV stores raw facts. The policy needs judgements. contract_shim.py computes four derived fields at load time so the agent never has to do date arithmetic:</w:t>
            </w:r>
          </w:p>
          <w:p>
            <w:r>
              <w:rPr>
                <w:rFonts w:ascii="Arial" w:hAnsi="Arial"/>
                <w:b w:val="0"/>
                <w:i w:val="0"/>
                <w:sz w:val="22"/>
              </w:rPr>
            </w:r>
          </w:p>
          <w:p>
            <w:r>
              <w:rPr>
                <w:rFonts w:ascii="Arial" w:hAnsi="Arial"/>
                <w:b w:val="0"/>
                <w:i w:val="0"/>
                <w:sz w:val="22"/>
              </w:rPr>
              <w:t>•  notice_deadline = renewal_date minus notice_days. The last day you can give notice.</w:t>
            </w:r>
          </w:p>
          <w:p>
            <w:r>
              <w:rPr>
                <w:rFonts w:ascii="Arial" w:hAnsi="Arial"/>
                <w:b w:val="0"/>
                <w:i w:val="0"/>
                <w:sz w:val="22"/>
              </w:rPr>
              <w:t>•  notice_state = INSIDE_WINDOW / APPROACHING / OPEN / EXPIRED. INSIDE_WINDOW means the deadline has passed and your leverage is gone.</w:t>
            </w:r>
          </w:p>
          <w:p>
            <w:r>
              <w:rPr>
                <w:rFonts w:ascii="Arial" w:hAnsi="Arial"/>
                <w:b w:val="0"/>
                <w:i w:val="0"/>
                <w:sz w:val="22"/>
              </w:rPr>
              <w:t>•  utilisation_pct = seats_active / seats_purchased. Set to null for contracts with no seats, such as an AMC or cloud support plan.</w:t>
            </w:r>
          </w:p>
          <w:p>
            <w:r>
              <w:rPr>
                <w:rFonts w:ascii="Arial" w:hAnsi="Arial"/>
                <w:b w:val="0"/>
                <w:i w:val="0"/>
                <w:sz w:val="22"/>
              </w:rPr>
              <w:t>•  approval_band = A / B / C from the value thresholds in the policy.</w:t>
            </w:r>
          </w:p>
          <w:p>
            <w:r>
              <w:rPr>
                <w:rFonts w:ascii="Arial" w:hAnsi="Arial"/>
                <w:b w:val="0"/>
                <w:i w:val="0"/>
                <w:sz w:val="22"/>
              </w:rPr>
            </w:r>
          </w:p>
          <w:p>
            <w:r>
              <w:rPr>
                <w:rFonts w:ascii="Arial" w:hAnsi="Arial"/>
                <w:b w:val="0"/>
                <w:i/>
                <w:color w:val="595959"/>
                <w:sz w:val="21"/>
              </w:rPr>
              <w:t>Note the SIMULATED_TODAY constant at the top of the file, fixed at 2025-04-01. Every participant gets identical results regardless of when they run the lab. Without it, your output would drift every day and no two people could compare notes.</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3 — Review the API endpoints</w:t>
            </w:r>
            <w:r>
              <w:rPr>
                <w:rFonts w:ascii="Arial" w:hAnsi="Arial"/>
                <w:b w:val="0"/>
                <w:i w:val="0"/>
                <w:color w:val="AAAACC"/>
                <w:sz w:val="20"/>
              </w:rPr>
              <w:t xml:space="preserve">    (15 min)</w:t>
            </w:r>
          </w:p>
        </w:tc>
      </w:tr>
      <w:tr>
        <w:tc>
          <w:tcPr>
            <w:tcW w:type="dxa" w:w="8640"/>
            <w:shd w:val="clear" w:color="auto" w:fill="F2F2F2"/>
          </w:tcPr>
          <w:p>
            <w:r>
              <w:rPr>
                <w:rFonts w:ascii="Arial" w:hAnsi="Arial"/>
                <w:b w:val="0"/>
                <w:i w:val="0"/>
                <w:sz w:val="22"/>
              </w:rPr>
              <w:t>Open mcp_server/contract_shim.py and find the six routes:</w:t>
            </w:r>
          </w:p>
          <w:p>
            <w:r>
              <w:rPr>
                <w:rFonts w:ascii="Arial" w:hAnsi="Arial"/>
                <w:b w:val="0"/>
                <w:i w:val="0"/>
                <w:sz w:val="22"/>
              </w:rPr>
              <w:t>•  GET /health — is the server up, and how many contracts did it load</w:t>
            </w:r>
          </w:p>
          <w:p>
            <w:r>
              <w:rPr>
                <w:rFonts w:ascii="Arial" w:hAnsi="Arial"/>
                <w:b w:val="0"/>
                <w:i w:val="0"/>
                <w:sz w:val="22"/>
              </w:rPr>
              <w:t>•  GET /api/contracts — everything, with optional ?category= ?band= ?notice_state= filters</w:t>
            </w:r>
          </w:p>
          <w:p>
            <w:r>
              <w:rPr>
                <w:rFonts w:ascii="Arial" w:hAnsi="Arial"/>
                <w:b w:val="0"/>
                <w:i w:val="0"/>
                <w:sz w:val="22"/>
              </w:rPr>
              <w:t>•  GET /api/contracts/&lt;id&gt; — one contract, 404 if the ID does not exist</w:t>
            </w:r>
          </w:p>
          <w:p>
            <w:r>
              <w:rPr>
                <w:rFonts w:ascii="Arial" w:hAnsi="Arial"/>
                <w:b w:val="0"/>
                <w:i w:val="0"/>
                <w:sz w:val="22"/>
              </w:rPr>
              <w:t>•  GET /api/contracts/expiring?days=90 — the renewal queue, soonest first</w:t>
            </w:r>
          </w:p>
          <w:p>
            <w:r>
              <w:rPr>
                <w:rFonts w:ascii="Arial" w:hAnsi="Arial"/>
                <w:b w:val="0"/>
                <w:i w:val="0"/>
                <w:sz w:val="22"/>
              </w:rPr>
              <w:t>•  GET /api/categories — vendors grouped by category, for overlap analysis</w:t>
            </w:r>
          </w:p>
          <w:p>
            <w:r>
              <w:rPr>
                <w:rFonts w:ascii="Arial" w:hAnsi="Arial"/>
                <w:b w:val="0"/>
                <w:i w:val="0"/>
                <w:sz w:val="22"/>
              </w:rPr>
              <w:t>•  PATCH /api/contracts/&lt;id&gt; — in-memory update, reset when the server restarts</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4 — Run the API and test it in a browser</w:t>
            </w:r>
            <w:r>
              <w:rPr>
                <w:rFonts w:ascii="Arial" w:hAnsi="Arial"/>
                <w:b w:val="0"/>
                <w:i w:val="0"/>
                <w:color w:val="AAAACC"/>
                <w:sz w:val="20"/>
              </w:rPr>
              <w:t xml:space="preserve">    (20 min)</w:t>
            </w:r>
          </w:p>
        </w:tc>
      </w:tr>
      <w:tr>
        <w:tc>
          <w:tcPr>
            <w:tcW w:type="dxa" w:w="8640"/>
            <w:shd w:val="clear" w:color="auto" w:fill="F2F2F2"/>
          </w:tcPr>
          <w:p>
            <w:r>
              <w:rPr>
                <w:rFonts w:ascii="Arial" w:hAnsi="Arial"/>
                <w:b w:val="0"/>
                <w:i w:val="0"/>
                <w:sz w:val="22"/>
              </w:rPr>
              <w:t>From the project root:</w:t>
            </w:r>
          </w:p>
          <w:p>
            <w:r>
              <w:rPr>
                <w:rFonts w:ascii="Consolas" w:hAnsi="Consolas"/>
                <w:b w:val="0"/>
                <w:i w:val="0"/>
                <w:color w:val="1A1A2E"/>
                <w:sz w:val="21"/>
              </w:rPr>
              <w:t>python mcp_server/contract_shim.py</w:t>
            </w:r>
          </w:p>
          <w:p>
            <w:r>
              <w:rPr>
                <w:rFonts w:ascii="Arial" w:hAnsi="Arial"/>
                <w:b w:val="0"/>
                <w:i w:val="0"/>
                <w:sz w:val="22"/>
              </w:rPr>
            </w:r>
          </w:p>
          <w:p>
            <w:r>
              <w:rPr>
                <w:rFonts w:ascii="Arial" w:hAnsi="Arial"/>
                <w:b w:val="0"/>
                <w:i w:val="0"/>
                <w:sz w:val="22"/>
              </w:rPr>
              <w:t>Leave this terminal running. Open a browser and visit each URL in turn:</w:t>
            </w:r>
          </w:p>
          <w:p>
            <w:r>
              <w:rPr>
                <w:rFonts w:ascii="Consolas" w:hAnsi="Consolas"/>
                <w:b w:val="0"/>
                <w:i w:val="0"/>
                <w:color w:val="1A1A2E"/>
                <w:sz w:val="21"/>
              </w:rPr>
              <w:t>http://localhost:5001/health</w:t>
            </w:r>
          </w:p>
          <w:p>
            <w:r>
              <w:rPr>
                <w:rFonts w:ascii="Consolas" w:hAnsi="Consolas"/>
                <w:b w:val="0"/>
                <w:i w:val="0"/>
                <w:color w:val="1A1A2E"/>
                <w:sz w:val="21"/>
              </w:rPr>
              <w:t>http://localhost:5001/api/contracts/CTR-1004</w:t>
            </w:r>
          </w:p>
          <w:p>
            <w:r>
              <w:rPr>
                <w:rFonts w:ascii="Consolas" w:hAnsi="Consolas"/>
                <w:b w:val="0"/>
                <w:i w:val="0"/>
                <w:color w:val="1A1A2E"/>
                <w:sz w:val="21"/>
              </w:rPr>
              <w:t>http://localhost:5001/api/contracts/expiring?days=60</w:t>
            </w:r>
          </w:p>
          <w:p>
            <w:r>
              <w:rPr>
                <w:rFonts w:ascii="Consolas" w:hAnsi="Consolas"/>
                <w:b w:val="0"/>
                <w:i w:val="0"/>
                <w:color w:val="1A1A2E"/>
                <w:sz w:val="21"/>
              </w:rPr>
              <w:t>http://localhost:5001/api/categories</w:t>
            </w:r>
          </w:p>
          <w:p>
            <w:r>
              <w:rPr>
                <w:rFonts w:ascii="Arial" w:hAnsi="Arial"/>
                <w:b w:val="0"/>
                <w:i w:val="0"/>
                <w:sz w:val="22"/>
              </w:rPr>
            </w:r>
          </w:p>
          <w:p>
            <w:r>
              <w:rPr>
                <w:rFonts w:ascii="Arial" w:hAnsi="Arial"/>
                <w:b w:val="0"/>
                <w:i/>
                <w:color w:val="595959"/>
                <w:sz w:val="21"/>
              </w:rPr>
              <w:t>Use a browser rather than curl. In PowerShell, bare 'curl' is an alias for Invoke-WebRequest and mangles the flags you would expect to work — a browser sidesteps the problem entirely for simple GET requests.</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5 — Read the renewal queue</w:t>
            </w:r>
            <w:r>
              <w:rPr>
                <w:rFonts w:ascii="Arial" w:hAnsi="Arial"/>
                <w:b w:val="0"/>
                <w:i w:val="0"/>
                <w:color w:val="AAAACC"/>
                <w:sz w:val="20"/>
              </w:rPr>
              <w:t xml:space="preserve">    (15 min)</w:t>
            </w:r>
          </w:p>
        </w:tc>
      </w:tr>
      <w:tr>
        <w:tc>
          <w:tcPr>
            <w:tcW w:type="dxa" w:w="8640"/>
            <w:shd w:val="clear" w:color="auto" w:fill="F2F2F2"/>
          </w:tcPr>
          <w:p>
            <w:r>
              <w:rPr>
                <w:rFonts w:ascii="Arial" w:hAnsi="Arial"/>
                <w:b w:val="0"/>
                <w:i w:val="0"/>
                <w:sz w:val="22"/>
              </w:rPr>
              <w:t>Look carefully at the output of the expiring?days=60 call. Five contracts come back, and every one of them is already INSIDE_WINDOW.</w:t>
            </w:r>
          </w:p>
          <w:p>
            <w:r>
              <w:rPr>
                <w:rFonts w:ascii="Arial" w:hAnsi="Arial"/>
                <w:b w:val="0"/>
                <w:i w:val="0"/>
                <w:sz w:val="22"/>
              </w:rPr>
            </w:r>
          </w:p>
          <w:p>
            <w:r>
              <w:rPr>
                <w:rFonts w:ascii="Arial" w:hAnsi="Arial"/>
                <w:b w:val="0"/>
                <w:i w:val="0"/>
                <w:sz w:val="22"/>
              </w:rPr>
              <w:t>That is the finding, not a bug. A third of the portfolio has already lost its negotiating leverage, and two of those are in approval bands B and C where the policy demands escalation. This is precisely the situation a renewal advisor is meant to catch before it happens.</w:t>
            </w:r>
          </w:p>
          <w:p>
            <w:r>
              <w:rPr>
                <w:rFonts w:ascii="Arial" w:hAnsi="Arial"/>
                <w:b w:val="0"/>
                <w:i w:val="0"/>
                <w:sz w:val="22"/>
              </w:rPr>
            </w:r>
          </w:p>
          <w:p>
            <w:r>
              <w:rPr>
                <w:rFonts w:ascii="Arial" w:hAnsi="Arial"/>
                <w:b w:val="0"/>
                <w:i w:val="0"/>
                <w:sz w:val="22"/>
              </w:rPr>
              <w:t>Now try the filters and see whether you can answer these from the API alone:</w:t>
            </w:r>
          </w:p>
          <w:p>
            <w:r>
              <w:rPr>
                <w:rFonts w:ascii="Arial" w:hAnsi="Arial"/>
                <w:b w:val="0"/>
                <w:i w:val="0"/>
                <w:sz w:val="22"/>
              </w:rPr>
              <w:t>•  Which band C contracts are in the portfolio, and what do they cost in total?</w:t>
            </w:r>
          </w:p>
          <w:p>
            <w:r>
              <w:rPr>
                <w:rFonts w:ascii="Arial" w:hAnsi="Arial"/>
                <w:b w:val="0"/>
                <w:i w:val="0"/>
                <w:sz w:val="22"/>
              </w:rPr>
              <w:t>•  Which category has the most vendors, and what is the combined annual spend?</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6 — Commit your work</w:t>
            </w:r>
            <w:r>
              <w:rPr>
                <w:rFonts w:ascii="Arial" w:hAnsi="Arial"/>
                <w:b w:val="0"/>
                <w:i w:val="0"/>
                <w:color w:val="AAAACC"/>
                <w:sz w:val="20"/>
              </w:rPr>
              <w:t xml:space="preserve">    (5 min)</w:t>
            </w:r>
          </w:p>
        </w:tc>
      </w:tr>
      <w:tr>
        <w:tc>
          <w:tcPr>
            <w:tcW w:type="dxa" w:w="8640"/>
            <w:shd w:val="clear" w:color="auto" w:fill="F2F2F2"/>
          </w:tcPr>
          <w:p>
            <w:r>
              <w:rPr>
                <w:rFonts w:ascii="Consolas" w:hAnsi="Consolas"/>
                <w:b w:val="0"/>
                <w:i w:val="0"/>
                <w:color w:val="1A1A2E"/>
                <w:sz w:val="21"/>
              </w:rPr>
              <w:t>git add mcp_server/contract_shim.py data/contracts.csv</w:t>
            </w:r>
          </w:p>
          <w:p>
            <w:r>
              <w:rPr>
                <w:rFonts w:ascii="Consolas" w:hAnsi="Consolas"/>
                <w:b w:val="0"/>
                <w:i w:val="0"/>
                <w:color w:val="1A1A2E"/>
                <w:sz w:val="21"/>
              </w:rPr>
              <w:t>git commit -m "C2: mock contract API with derived policy fields"</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0F6E64"/>
          </w:tcPr>
          <w:p>
            <w:r>
              <w:rPr>
                <w:rFonts w:ascii="Arial" w:hAnsi="Arial"/>
                <w:b/>
                <w:i w:val="0"/>
                <w:color w:val="FFFFFF"/>
                <w:sz w:val="24"/>
              </w:rPr>
              <w:t>💬 Vibe-Coding Prompt</w:t>
            </w:r>
          </w:p>
        </w:tc>
      </w:tr>
      <w:tr>
        <w:tc>
          <w:tcPr>
            <w:tcW w:type="dxa" w:w="8640"/>
            <w:shd w:val="clear" w:color="auto" w:fill="F2F2F2"/>
          </w:tcPr>
          <w:p>
            <w:r>
              <w:rPr>
                <w:rFonts w:ascii="Arial" w:hAnsi="Arial"/>
                <w:b w:val="0"/>
                <w:i w:val="0"/>
                <w:sz w:val="22"/>
              </w:rPr>
              <w:t>Write a Flask REST API in mcp_server/contract_shim.py that serves contract data from data/contracts.csv on port 5001. Load the CSV once at startup into memory. For each row, compute four derived fields against a fixed simulated date of 2025-04-01: notice_deadline (renewal_date minus notice_days), notice_state (INSIDE_WINDOW if the deadline has passed but the renewal date has not, APPROACHING if the deadline is within 30 days, EXPIRED if the renewal date has passed, otherwise OPEN), utilisation_pct (seats_active over seats_purchased as a percentage, or null when seats_purchased is 0), and approval_band (A under 1000000, B from 1000000 to 5000000, C above 5000000). Expose: GET /health with a contract count; GET /api/contracts with optional category, band and notice_state query filters; GET /api/contracts/&lt;id&gt; returning 404 as JSON if not found; GET /api/contracts/expiring with a days parameter defaulting to 90, sorted soonest first; GET /api/categories grouping vendors by category with a total value per category; and PATCH /api/contracts/&lt;id&gt; updating status, owner or proposed_uplift_pct in memory. Keep it under 150 lines.</w:t>
            </w:r>
          </w:p>
        </w:tc>
      </w:tr>
    </w:tbl>
    <w:p/>
    <w:p>
      <w:r>
        <w:rPr>
          <w:rFonts w:ascii="Arial" w:hAnsi="Arial"/>
          <w:b/>
          <w:i w:val="0"/>
          <w:color w:val="1F3864"/>
          <w:sz w:val="26"/>
        </w:rPr>
        <w:t>Sample Output</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595959"/>
          </w:tcPr>
          <w:p>
            <w:r>
              <w:rPr>
                <w:rFonts w:ascii="Arial" w:hAnsi="Arial"/>
                <w:b/>
                <w:i w:val="0"/>
                <w:color w:val="FFFFFF"/>
                <w:sz w:val="24"/>
              </w:rPr>
              <w:t>Browser — http://localhost:5001/api/contracts/CTR-1004</w:t>
            </w:r>
          </w:p>
        </w:tc>
      </w:tr>
      <w:tr>
        <w:tc>
          <w:tcPr>
            <w:tcW w:type="dxa" w:w="8640"/>
            <w:shd w:val="clear" w:color="auto" w:fill="FFFFFF"/>
          </w:tcPr>
          <w:p>
            <w:r>
              <w:rPr>
                <w:rFonts w:ascii="Consolas" w:hAnsi="Consolas"/>
                <w:b w:val="0"/>
                <w:i w:val="0"/>
                <w:sz w:val="19"/>
              </w:rPr>
              <w:t>{</w:t>
            </w:r>
          </w:p>
          <w:p>
            <w:r>
              <w:rPr>
                <w:rFonts w:ascii="Consolas" w:hAnsi="Consolas"/>
                <w:b w:val="0"/>
                <w:i w:val="0"/>
                <w:sz w:val="19"/>
              </w:rPr>
              <w:t xml:space="preserve">  "contract_id": "CTR-1004",</w:t>
            </w:r>
          </w:p>
          <w:p>
            <w:r>
              <w:rPr>
                <w:rFonts w:ascii="Consolas" w:hAnsi="Consolas"/>
                <w:b w:val="0"/>
                <w:i w:val="0"/>
                <w:sz w:val="19"/>
              </w:rPr>
              <w:t xml:space="preserve">  "vendor": "Datadog Pro",</w:t>
            </w:r>
          </w:p>
          <w:p>
            <w:r>
              <w:rPr>
                <w:rFonts w:ascii="Consolas" w:hAnsi="Consolas"/>
                <w:b w:val="0"/>
                <w:i w:val="0"/>
                <w:sz w:val="19"/>
              </w:rPr>
              <w:t xml:space="preserve">  "category": "Observability",</w:t>
            </w:r>
          </w:p>
          <w:p>
            <w:r>
              <w:rPr>
                <w:rFonts w:ascii="Consolas" w:hAnsi="Consolas"/>
                <w:b w:val="0"/>
                <w:i w:val="0"/>
                <w:sz w:val="19"/>
              </w:rPr>
              <w:t xml:space="preserve">  "annual_value_inr": 6200000,</w:t>
            </w:r>
          </w:p>
          <w:p>
            <w:r>
              <w:rPr>
                <w:rFonts w:ascii="Consolas" w:hAnsi="Consolas"/>
                <w:b w:val="0"/>
                <w:i w:val="0"/>
                <w:sz w:val="19"/>
              </w:rPr>
              <w:t xml:space="preserve">  "approval_band": "C",</w:t>
            </w:r>
          </w:p>
          <w:p>
            <w:r>
              <w:rPr>
                <w:rFonts w:ascii="Consolas" w:hAnsi="Consolas"/>
                <w:b w:val="0"/>
                <w:i w:val="0"/>
                <w:sz w:val="19"/>
              </w:rPr>
              <w:t xml:space="preserve">  "renewal_date": "2025-05-20",</w:t>
            </w:r>
          </w:p>
          <w:p>
            <w:r>
              <w:rPr>
                <w:rFonts w:ascii="Consolas" w:hAnsi="Consolas"/>
                <w:b w:val="0"/>
                <w:i w:val="0"/>
                <w:sz w:val="19"/>
              </w:rPr>
              <w:t xml:space="preserve">  "notice_deadline": "2025-02-19",</w:t>
            </w:r>
          </w:p>
          <w:p>
            <w:r>
              <w:rPr>
                <w:rFonts w:ascii="Consolas" w:hAnsi="Consolas"/>
                <w:b w:val="0"/>
                <w:i w:val="0"/>
                <w:sz w:val="19"/>
              </w:rPr>
              <w:t xml:space="preserve">  "notice_state": "INSIDE_WINDOW",</w:t>
            </w:r>
          </w:p>
          <w:p>
            <w:r>
              <w:rPr>
                <w:rFonts w:ascii="Consolas" w:hAnsi="Consolas"/>
                <w:b w:val="0"/>
                <w:i w:val="0"/>
                <w:sz w:val="19"/>
              </w:rPr>
              <w:t xml:space="preserve">  "days_to_notice_deadline": -41,</w:t>
            </w:r>
          </w:p>
          <w:p>
            <w:r>
              <w:rPr>
                <w:rFonts w:ascii="Consolas" w:hAnsi="Consolas"/>
                <w:b w:val="0"/>
                <w:i w:val="0"/>
                <w:sz w:val="19"/>
              </w:rPr>
              <w:t xml:space="preserve">  "seats_purchased": 400,</w:t>
            </w:r>
          </w:p>
          <w:p>
            <w:r>
              <w:rPr>
                <w:rFonts w:ascii="Consolas" w:hAnsi="Consolas"/>
                <w:b w:val="0"/>
                <w:i w:val="0"/>
                <w:sz w:val="19"/>
              </w:rPr>
              <w:t xml:space="preserve">  "seats_active": 352,</w:t>
            </w:r>
          </w:p>
          <w:p>
            <w:r>
              <w:rPr>
                <w:rFonts w:ascii="Consolas" w:hAnsi="Consolas"/>
                <w:b w:val="0"/>
                <w:i w:val="0"/>
                <w:sz w:val="19"/>
              </w:rPr>
              <w:t xml:space="preserve">  "utilisation_pct": 88,</w:t>
            </w:r>
          </w:p>
          <w:p>
            <w:r>
              <w:rPr>
                <w:rFonts w:ascii="Consolas" w:hAnsi="Consolas"/>
                <w:b w:val="0"/>
                <w:i w:val="0"/>
                <w:sz w:val="19"/>
              </w:rPr>
              <w:t xml:space="preserve">  "proposed_uplift_pct": 18</w:t>
            </w:r>
          </w:p>
          <w:p>
            <w:r>
              <w:rPr>
                <w:rFonts w:ascii="Consolas" w:hAnsi="Consolas"/>
                <w:b w:val="0"/>
                <w:i w:val="0"/>
                <w:sz w:val="19"/>
              </w:rPr>
              <w:t>}</w:t>
            </w:r>
          </w:p>
        </w:tc>
      </w:tr>
    </w:tbl>
    <w:p/>
    <w:p>
      <w:r>
        <w:rPr>
          <w:rFonts w:ascii="Arial" w:hAnsi="Arial"/>
          <w:b/>
          <w:i w:val="0"/>
          <w:color w:val="1F3864"/>
          <w:sz w:val="26"/>
        </w:rPr>
        <w:t>Compare / Observe</w:t>
      </w:r>
    </w:p>
    <w:tbl>
      <w:tblPr>
        <w:tblStyle w:val="TableGrid"/>
        <w:tblW w:type="auto" w:w="0"/>
        <w:tblLook w:firstColumn="1" w:firstRow="1" w:lastColumn="0" w:lastRow="0" w:noHBand="0" w:noVBand="1" w:val="04A0"/>
      </w:tblPr>
      <w:tblGrid>
        <w:gridCol w:w="4176"/>
        <w:gridCol w:w="5328"/>
      </w:tblGrid>
      <w:tr>
        <w:tc>
          <w:tcPr>
            <w:tcW w:type="dxa" w:w="4320"/>
            <w:shd w:val="clear" w:color="auto" w:fill="1F3864"/>
          </w:tcPr>
          <w:p>
            <w:r>
              <w:rPr>
                <w:rFonts w:ascii="Arial" w:hAnsi="Arial"/>
                <w:b/>
                <w:i w:val="0"/>
                <w:color w:val="FFFFFF"/>
                <w:sz w:val="22"/>
              </w:rPr>
              <w:t>What You Saw</w:t>
            </w:r>
          </w:p>
        </w:tc>
        <w:tc>
          <w:tcPr>
            <w:tcW w:type="dxa" w:w="4320"/>
            <w:shd w:val="clear" w:color="auto" w:fill="1F3864"/>
          </w:tcPr>
          <w:p>
            <w:r>
              <w:rPr>
                <w:rFonts w:ascii="Arial" w:hAnsi="Arial"/>
                <w:b/>
                <w:i w:val="0"/>
                <w:color w:val="FFFFFF"/>
                <w:sz w:val="22"/>
              </w:rPr>
              <w:t>Why It Matters</w:t>
            </w:r>
          </w:p>
        </w:tc>
      </w:tr>
      <w:tr>
        <w:tc>
          <w:tcPr>
            <w:tcW w:type="dxa" w:w="4320"/>
          </w:tcPr>
          <w:p>
            <w:r>
              <w:rPr>
                <w:rFonts w:ascii="Arial" w:hAnsi="Arial"/>
                <w:b w:val="0"/>
                <w:i w:val="0"/>
                <w:sz w:val="21"/>
              </w:rPr>
              <w:t>CTR-1004 shows days_to_notice_deadline of -41</w:t>
            </w:r>
          </w:p>
        </w:tc>
        <w:tc>
          <w:tcPr>
            <w:tcW w:type="dxa" w:w="4320"/>
          </w:tcPr>
          <w:p>
            <w:r>
              <w:rPr>
                <w:rFonts w:ascii="Arial" w:hAnsi="Arial"/>
                <w:b w:val="0"/>
                <w:i w:val="0"/>
                <w:sz w:val="21"/>
              </w:rPr>
              <w:t>The negative number means the deadline passed 41 days ago. Zensar can no longer threaten to leave, which costs real discount on an 18% uplift.</w:t>
            </w:r>
          </w:p>
        </w:tc>
      </w:tr>
      <w:tr>
        <w:tc>
          <w:tcPr>
            <w:tcW w:type="dxa" w:w="4320"/>
          </w:tcPr>
          <w:p>
            <w:r>
              <w:rPr>
                <w:rFonts w:ascii="Arial" w:hAnsi="Arial"/>
                <w:b w:val="0"/>
                <w:i w:val="0"/>
                <w:sz w:val="21"/>
              </w:rPr>
              <w:t>utilisation_pct is null for CTR-1008 and CTR-1014</w:t>
            </w:r>
          </w:p>
        </w:tc>
        <w:tc>
          <w:tcPr>
            <w:tcW w:type="dxa" w:w="4320"/>
          </w:tcPr>
          <w:p>
            <w:r>
              <w:rPr>
                <w:rFonts w:ascii="Arial" w:hAnsi="Arial"/>
                <w:b w:val="0"/>
                <w:i w:val="0"/>
                <w:sz w:val="21"/>
              </w:rPr>
              <w:t>An AMC and a cloud support plan have no seats. Code that assumes every contract has a utilisation figure will crash on these two — worth remembering in Lab C3.</w:t>
            </w:r>
          </w:p>
        </w:tc>
      </w:tr>
      <w:tr>
        <w:tc>
          <w:tcPr>
            <w:tcW w:type="dxa" w:w="4320"/>
          </w:tcPr>
          <w:p>
            <w:r>
              <w:rPr>
                <w:rFonts w:ascii="Arial" w:hAnsi="Arial"/>
                <w:b w:val="0"/>
                <w:i w:val="0"/>
                <w:sz w:val="21"/>
              </w:rPr>
              <w:t>The API computes judgements, not just facts</w:t>
            </w:r>
          </w:p>
        </w:tc>
        <w:tc>
          <w:tcPr>
            <w:tcW w:type="dxa" w:w="4320"/>
          </w:tcPr>
          <w:p>
            <w:r>
              <w:rPr>
                <w:rFonts w:ascii="Arial" w:hAnsi="Arial"/>
                <w:b w:val="0"/>
                <w:i w:val="0"/>
                <w:sz w:val="21"/>
              </w:rPr>
              <w:t>Pushing date maths and band logic into the API keeps the agent's job to reasoning. Agents are unreliable at arithmetic and excellent at weighing rules.</w:t>
            </w:r>
          </w:p>
        </w:tc>
      </w:tr>
      <w:tr>
        <w:tc>
          <w:tcPr>
            <w:tcW w:type="dxa" w:w="4320"/>
          </w:tcPr>
          <w:p>
            <w:r>
              <w:rPr>
                <w:rFonts w:ascii="Arial" w:hAnsi="Arial"/>
                <w:b w:val="0"/>
                <w:i w:val="0"/>
                <w:sz w:val="21"/>
              </w:rPr>
              <w:t>Restarting the server undoes every PATCH</w:t>
            </w:r>
          </w:p>
        </w:tc>
        <w:tc>
          <w:tcPr>
            <w:tcW w:type="dxa" w:w="4320"/>
          </w:tcPr>
          <w:p>
            <w:r>
              <w:rPr>
                <w:rFonts w:ascii="Arial" w:hAnsi="Arial"/>
                <w:b w:val="0"/>
                <w:i w:val="0"/>
                <w:sz w:val="21"/>
              </w:rPr>
              <w:t>Nothing persists. That is deliberate — you can experiment freely and always return to a known starting state.</w:t>
            </w:r>
          </w:p>
        </w:tc>
      </w:tr>
    </w:tbl>
    <w:p/>
    <w:p>
      <w:r>
        <w:rPr>
          <w:rFonts w:ascii="Arial" w:hAnsi="Arial"/>
          <w:b w:val="0"/>
          <w:i/>
          <w:color w:val="595959"/>
          <w:sz w:val="20"/>
        </w:rPr>
        <w:t>Connects to — Lab C3 (the Analysis Agent calls these endpoints as tools) and Lab C4 (the orchestrator fetches each contract here before analysing it). Keep this server running for both labs, in its own terminal tab.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