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56" w:after="156"/>
        <w:jc w:val="center"/>
        <w:rPr>
          <w:rFonts w:hint="eastAsia"/>
        </w:rPr>
      </w:pPr>
      <w:bookmarkStart w:id="0" w:name="_Toc521683819"/>
      <w:r>
        <w:rPr>
          <w:rFonts w:hint="eastAsia"/>
        </w:rPr>
        <w:t>新能源汽车产业发展阶段判断及其主要标志</w:t>
      </w:r>
      <w:bookmarkEnd w:id="0"/>
    </w:p>
    <w:p>
      <w:pPr>
        <w:jc w:val="right"/>
        <w:rPr>
          <w:rFonts w:hint="eastAsia"/>
        </w:rPr>
      </w:pPr>
      <w:bookmarkStart w:id="1" w:name="_Toc521683820"/>
      <w:r>
        <w:rPr>
          <w:rFonts w:hint="eastAsia"/>
          <w:lang w:val="en-US" w:eastAsia="zh-CN"/>
        </w:rPr>
        <w:t>————汽车蓝皮书-中国汽车产业发展报告（2018）</w:t>
      </w:r>
    </w:p>
    <w:p>
      <w:pPr>
        <w:pStyle w:val="2"/>
      </w:pPr>
      <w:r>
        <w:rPr>
          <w:rFonts w:hint="eastAsia"/>
        </w:rPr>
        <w:t>（一）产业生命周期各个阶段的主要标志特征</w:t>
      </w:r>
      <w:bookmarkEnd w:id="1"/>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产业生命周期是指从一个产业从出现、成长到完全退出社会经济活动所经历的完整周期，一般分为导入期、成长期、成熟期和衰退期四个主要阶段。各个阶段在行业参与者数量、市场规模和增长率、技术发展、进出壁垒、产品价格和企业盈利以及行业政策标准等方面存在不同的表现。</w:t>
      </w:r>
    </w:p>
    <w:p>
      <w:pPr>
        <w:ind w:firstLine="48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2825115"/>
            <wp:effectExtent l="0" t="0" r="254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825712"/>
                    </a:xfrm>
                    <a:prstGeom prst="rect">
                      <a:avLst/>
                    </a:prstGeom>
                    <a:noFill/>
                  </pic:spPr>
                </pic:pic>
              </a:graphicData>
            </a:graphic>
          </wp:inline>
        </w:drawing>
      </w:r>
    </w:p>
    <w:p>
      <w:pPr>
        <w:ind w:firstLine="48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图1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产业生命周期主要阶段及其标志示意图</w:t>
      </w:r>
    </w:p>
    <w:p>
      <w:pPr>
        <w:pStyle w:val="2"/>
      </w:pPr>
      <w:bookmarkStart w:id="2" w:name="_Toc521683821"/>
      <w:r>
        <w:rPr>
          <w:rFonts w:hint="eastAsia"/>
        </w:rPr>
        <w:t>（二）对中国新能源汽车当前发展阶段的判断和解读</w:t>
      </w:r>
      <w:bookmarkEnd w:id="2"/>
    </w:p>
    <w:p>
      <w:pPr>
        <w:ind w:firstLine="480"/>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回顾2</w:t>
      </w:r>
      <w:r>
        <w:rPr>
          <w:color w:val="000000" w:themeColor="text1"/>
          <w:shd w:val="clear" w:color="auto" w:fill="FFFFFF"/>
          <w14:textFill>
            <w14:solidFill>
              <w14:schemeClr w14:val="tx1"/>
            </w14:solidFill>
          </w14:textFill>
        </w:rPr>
        <w:t>012</w:t>
      </w:r>
      <w:r>
        <w:rPr>
          <w:rFonts w:hint="eastAsia"/>
          <w:color w:val="000000" w:themeColor="text1"/>
          <w:shd w:val="clear" w:color="auto" w:fill="FFFFFF"/>
          <w14:textFill>
            <w14:solidFill>
              <w14:schemeClr w14:val="tx1"/>
            </w14:solidFill>
          </w14:textFill>
        </w:rPr>
        <w:t>年，国务院出台《节能与新能源汽车产业发展规划(2012—2020年)》，中国新能源汽车产业化开始起步，在关键技术研发、基础设施建设和产业化应用等方面进展相对缓慢。经过五年时间的大力推广，中国新能源汽车进入了新的发展时期。以下基于产业生命周期理论和相关特征标志，研判当前中国新能源汽车发展阶段。</w:t>
      </w:r>
    </w:p>
    <w:p>
      <w:pPr>
        <w:pStyle w:val="3"/>
        <w:rPr>
          <w:shd w:val="clear" w:color="auto" w:fill="FFFFFF"/>
        </w:rPr>
      </w:pPr>
      <w:bookmarkStart w:id="3" w:name="_Toc521683822"/>
      <w:bookmarkStart w:id="4" w:name="_Hlk518920366"/>
      <w:r>
        <w:rPr>
          <w:rFonts w:hint="eastAsia"/>
          <w:shd w:val="clear" w:color="auto" w:fill="FFFFFF"/>
        </w:rPr>
        <w:t>1、市场参与者众多，符合成长期阶段特征</w:t>
      </w:r>
      <w:bookmarkEnd w:id="3"/>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根据新能源汽车国家监测平台统计，截止到</w:t>
      </w:r>
      <w:r>
        <w:rPr>
          <w:color w:val="000000" w:themeColor="text1"/>
          <w14:textFill>
            <w14:solidFill>
              <w14:schemeClr w14:val="tx1"/>
            </w14:solidFill>
          </w14:textFill>
        </w:rPr>
        <w:t>2017</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月</w:t>
      </w:r>
      <w:r>
        <w:rPr>
          <w:color w:val="000000" w:themeColor="text1"/>
          <w14:textFill>
            <w14:solidFill>
              <w14:schemeClr w14:val="tx1"/>
            </w14:solidFill>
          </w14:textFill>
        </w:rPr>
        <w:t>25</w:t>
      </w:r>
      <w:r>
        <w:rPr>
          <w:rFonts w:hint="eastAsia"/>
          <w:color w:val="000000" w:themeColor="text1"/>
          <w14:textFill>
            <w14:solidFill>
              <w14:schemeClr w14:val="tx1"/>
            </w14:solidFill>
          </w14:textFill>
        </w:rPr>
        <w:t>日，在新能源汽车国家监测平台累计注册整车企业达到</w:t>
      </w:r>
      <w:r>
        <w:rPr>
          <w:color w:val="000000" w:themeColor="text1"/>
          <w14:textFill>
            <w14:solidFill>
              <w14:schemeClr w14:val="tx1"/>
            </w14:solidFill>
          </w14:textFill>
        </w:rPr>
        <w:t>326</w:t>
      </w:r>
      <w:r>
        <w:rPr>
          <w:rFonts w:hint="eastAsia"/>
          <w:color w:val="000000" w:themeColor="text1"/>
          <w14:textFill>
            <w14:solidFill>
              <w14:schemeClr w14:val="tx1"/>
            </w14:solidFill>
          </w14:textFill>
        </w:rPr>
        <w:t>家。同时，新能源汽车产业仍有新进入者不断入局。截至目前，包括北汽新能源、长江汽车等</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家企业获得了纯电动汽车生产资质，获批企业产能规划达到</w:t>
      </w:r>
      <w:r>
        <w:rPr>
          <w:color w:val="000000" w:themeColor="text1"/>
          <w14:textFill>
            <w14:solidFill>
              <w14:schemeClr w14:val="tx1"/>
            </w14:solidFill>
          </w14:textFill>
        </w:rPr>
        <w:t>85</w:t>
      </w:r>
      <w:r>
        <w:rPr>
          <w:rFonts w:hint="eastAsia"/>
          <w:color w:val="000000" w:themeColor="text1"/>
          <w14:textFill>
            <w14:solidFill>
              <w14:schemeClr w14:val="tx1"/>
            </w14:solidFill>
          </w14:textFill>
        </w:rPr>
        <w:t>万辆，仍有超过</w:t>
      </w:r>
      <w:r>
        <w:rPr>
          <w:color w:val="000000" w:themeColor="text1"/>
          <w14:textFill>
            <w14:solidFill>
              <w14:schemeClr w14:val="tx1"/>
            </w14:solidFill>
          </w14:textFill>
        </w:rPr>
        <w:t>200</w:t>
      </w:r>
      <w:r>
        <w:rPr>
          <w:rFonts w:hint="eastAsia"/>
          <w:color w:val="000000" w:themeColor="text1"/>
          <w14:textFill>
            <w14:solidFill>
              <w14:schemeClr w14:val="tx1"/>
            </w14:solidFill>
          </w14:textFill>
        </w:rPr>
        <w:t>家企业正在申请新能源汽车生产资质。在动力电池领域，近年来市场集中度快速提升，行业整合趋势日益明显。2</w:t>
      </w:r>
      <w:r>
        <w:rPr>
          <w:color w:val="000000" w:themeColor="text1"/>
          <w14:textFill>
            <w14:solidFill>
              <w14:schemeClr w14:val="tx1"/>
            </w14:solidFill>
          </w14:textFill>
        </w:rPr>
        <w:t>017</w:t>
      </w:r>
      <w:r>
        <w:rPr>
          <w:rFonts w:hint="eastAsia"/>
          <w:color w:val="000000" w:themeColor="text1"/>
          <w14:textFill>
            <w14:solidFill>
              <w14:schemeClr w14:val="tx1"/>
            </w14:solidFill>
          </w14:textFill>
        </w:rPr>
        <w:t>年，共有9</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家动力电池单体配套企业以及2家燃料电池企业为国产新能源汽车配套，相比2</w:t>
      </w:r>
      <w:r>
        <w:rPr>
          <w:color w:val="000000" w:themeColor="text1"/>
          <w14:textFill>
            <w14:solidFill>
              <w14:schemeClr w14:val="tx1"/>
            </w14:solidFill>
          </w14:textFill>
        </w:rPr>
        <w:t>016</w:t>
      </w:r>
      <w:r>
        <w:rPr>
          <w:rFonts w:hint="eastAsia"/>
          <w:color w:val="000000" w:themeColor="text1"/>
          <w14:textFill>
            <w14:solidFill>
              <w14:schemeClr w14:val="tx1"/>
            </w14:solidFill>
          </w14:textFill>
        </w:rPr>
        <w:t>年企业数量减少1</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，但动力电池企业数量依然较多。整体来看，中国新能源整车和关键零部件参与者众多，符合发展期这一阶段的特征。</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74310" cy="3076575"/>
            <wp:effectExtent l="5080" t="4445" r="16510" b="50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ind w:firstLine="48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图3</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2017</w:t>
      </w:r>
      <w:r>
        <w:rPr>
          <w:rFonts w:hint="eastAsia"/>
          <w:color w:val="000000" w:themeColor="text1"/>
          <w14:textFill>
            <w14:solidFill>
              <w14:schemeClr w14:val="tx1"/>
            </w14:solidFill>
          </w14:textFill>
        </w:rPr>
        <w:t>年动力电池单体配套企业数量</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数据来源：中国新能源汽车动力电池产业发展报告（2</w:t>
      </w:r>
      <w:r>
        <w:rPr>
          <w:color w:val="000000" w:themeColor="text1"/>
          <w14:textFill>
            <w14:solidFill>
              <w14:schemeClr w14:val="tx1"/>
            </w14:solidFill>
          </w14:textFill>
        </w:rPr>
        <w:t>018</w:t>
      </w:r>
      <w:r>
        <w:rPr>
          <w:rFonts w:hint="eastAsia"/>
          <w:color w:val="000000" w:themeColor="text1"/>
          <w14:textFill>
            <w14:solidFill>
              <w14:schemeClr w14:val="tx1"/>
            </w14:solidFill>
          </w14:textFill>
        </w:rPr>
        <w:t>）</w:t>
      </w:r>
    </w:p>
    <w:p>
      <w:pPr>
        <w:pStyle w:val="3"/>
        <w:rPr>
          <w:shd w:val="clear" w:color="auto" w:fill="FFFFFF"/>
        </w:rPr>
      </w:pPr>
      <w:bookmarkStart w:id="5" w:name="_Toc521683823"/>
      <w:r>
        <w:rPr>
          <w:rFonts w:hint="eastAsia"/>
          <w:shd w:val="clear" w:color="auto" w:fill="FFFFFF"/>
        </w:rPr>
        <w:t>2、市场增长率较高，符合成长期阶段特征</w:t>
      </w:r>
      <w:bookmarkEnd w:id="5"/>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自</w:t>
      </w:r>
      <w:r>
        <w:rPr>
          <w:color w:val="000000" w:themeColor="text1"/>
          <w14:textFill>
            <w14:solidFill>
              <w14:schemeClr w14:val="tx1"/>
            </w14:solidFill>
          </w14:textFill>
        </w:rPr>
        <w:t>2009</w:t>
      </w:r>
      <w:r>
        <w:rPr>
          <w:rFonts w:hint="eastAsia"/>
          <w:color w:val="000000" w:themeColor="text1"/>
          <w14:textFill>
            <w14:solidFill>
              <w14:schemeClr w14:val="tx1"/>
            </w14:solidFill>
          </w14:textFill>
        </w:rPr>
        <w:t>年“十城千辆”示范工程启动以来，中国新能源汽车应用规模逐渐扩大。2</w:t>
      </w:r>
      <w:r>
        <w:rPr>
          <w:color w:val="000000" w:themeColor="text1"/>
          <w14:textFill>
            <w14:solidFill>
              <w14:schemeClr w14:val="tx1"/>
            </w14:solidFill>
          </w14:textFill>
        </w:rPr>
        <w:t>015</w:t>
      </w:r>
      <w:r>
        <w:rPr>
          <w:rFonts w:hint="eastAsia"/>
          <w:color w:val="000000" w:themeColor="text1"/>
          <w14:textFill>
            <w14:solidFill>
              <w14:schemeClr w14:val="tx1"/>
            </w14:solidFill>
          </w14:textFill>
        </w:rPr>
        <w:t>年以后，新能源汽车市场呈现高速增长态势，近</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年年均复合增长率接近1</w:t>
      </w:r>
      <w:r>
        <w:rPr>
          <w:color w:val="000000" w:themeColor="text1"/>
          <w14:textFill>
            <w14:solidFill>
              <w14:schemeClr w14:val="tx1"/>
            </w14:solidFill>
          </w14:textFill>
        </w:rPr>
        <w:t>30%</w:t>
      </w:r>
      <w:r>
        <w:rPr>
          <w:rFonts w:hint="eastAsia"/>
          <w:color w:val="000000" w:themeColor="text1"/>
          <w14:textFill>
            <w14:solidFill>
              <w14:schemeClr w14:val="tx1"/>
            </w14:solidFill>
          </w14:textFill>
        </w:rPr>
        <w:t>，连续三年销量居世界第一。在政策的大力推动下，新能源汽车市场需求释放，市场增长率较高，符合发展期阶段特征。</w:t>
      </w:r>
    </w:p>
    <w:p>
      <w:pPr>
        <w:pStyle w:val="3"/>
        <w:rPr>
          <w:shd w:val="clear" w:color="auto" w:fill="FFFFFF"/>
        </w:rPr>
      </w:pPr>
      <w:bookmarkStart w:id="6" w:name="_Toc521683824"/>
      <w:r>
        <w:rPr>
          <w:rFonts w:hint="eastAsia"/>
          <w:shd w:val="clear" w:color="auto" w:fill="FFFFFF"/>
        </w:rPr>
        <w:t>3、多种技术路线并存，符合导入期阶段特征</w:t>
      </w:r>
      <w:bookmarkEnd w:id="6"/>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经过多年发展，中国新能源汽车明确了三纵三横的技术路线，但是在实际发展过程中，衍生出了多种技术解决方案。以新能源客车为例，长续驶里程充电式、中续驶里程浅充式、短续驶里程快充式、换电式、在线充电式、增程式、插电式混合动力等多种技术方案。此外，在充电技术路线上，也存在快充、慢充、换电和无线充电等多种方式。总体来看，目前，中国新能源汽车在技术上存在较大不确定性，呈现多种技术路线并存的发展态势，符合导入期阶段特征。</w:t>
      </w:r>
    </w:p>
    <w:p>
      <w:pPr>
        <w:ind w:firstLine="480"/>
        <w:jc w:val="center"/>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表1</w:t>
      </w:r>
      <w:r>
        <w:rPr>
          <w:color w:val="000000" w:themeColor="text1"/>
          <w:shd w:val="clear" w:color="auto" w:fill="FFFFFF"/>
          <w14:textFill>
            <w14:solidFill>
              <w14:schemeClr w14:val="tx1"/>
            </w14:solidFill>
          </w14:textFill>
        </w:rPr>
        <w:t xml:space="preserve"> </w:t>
      </w:r>
      <w:r>
        <w:rPr>
          <w:rFonts w:hint="eastAsia"/>
          <w:color w:val="000000" w:themeColor="text1"/>
          <w:shd w:val="clear" w:color="auto" w:fill="FFFFFF"/>
          <w14:textFill>
            <w14:solidFill>
              <w14:schemeClr w14:val="tx1"/>
            </w14:solidFill>
          </w14:textFill>
        </w:rPr>
        <w:t xml:space="preserve"> 新能源客车典型技术方案</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07"/>
        <w:gridCol w:w="1048"/>
        <w:gridCol w:w="1049"/>
        <w:gridCol w:w="1130"/>
        <w:gridCol w:w="834"/>
        <w:gridCol w:w="1095"/>
        <w:gridCol w:w="1035"/>
        <w:gridCol w:w="1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99" w:hRule="atLeast"/>
        </w:trPr>
        <w:tc>
          <w:tcPr>
            <w:tcW w:w="907" w:type="dxa"/>
            <w:shd w:val="clear" w:color="auto" w:fill="auto"/>
            <w:tcMar>
              <w:top w:w="15" w:type="dxa"/>
              <w:left w:w="15" w:type="dxa"/>
              <w:bottom w:w="0" w:type="dxa"/>
              <w:right w:w="15" w:type="dxa"/>
            </w:tcMar>
            <w:vAlign w:val="center"/>
          </w:tcPr>
          <w:p>
            <w:pPr>
              <w:ind w:firstLine="422"/>
              <w:jc w:val="center"/>
              <w:rPr>
                <w:color w:val="000000" w:themeColor="text1"/>
                <w:sz w:val="21"/>
                <w:szCs w:val="21"/>
                <w:shd w:val="clear" w:color="auto" w:fill="FFFFFF"/>
                <w14:textFill>
                  <w14:solidFill>
                    <w14:schemeClr w14:val="tx1"/>
                  </w14:solidFill>
                </w14:textFill>
              </w:rPr>
            </w:pPr>
            <w:r>
              <w:rPr>
                <w:rFonts w:hint="eastAsia"/>
                <w:b/>
                <w:bCs/>
                <w:color w:val="000000" w:themeColor="text1"/>
                <w:sz w:val="21"/>
                <w:szCs w:val="21"/>
                <w:shd w:val="clear" w:color="auto" w:fill="FFFFFF"/>
                <w14:textFill>
                  <w14:solidFill>
                    <w14:schemeClr w14:val="tx1"/>
                  </w14:solidFill>
                </w14:textFill>
              </w:rPr>
              <w:t>类型</w:t>
            </w:r>
          </w:p>
        </w:tc>
        <w:tc>
          <w:tcPr>
            <w:tcW w:w="1048" w:type="dxa"/>
            <w:shd w:val="clear" w:color="auto" w:fill="auto"/>
            <w:tcMar>
              <w:top w:w="15" w:type="dxa"/>
              <w:left w:w="15" w:type="dxa"/>
              <w:bottom w:w="0" w:type="dxa"/>
              <w:right w:w="15" w:type="dxa"/>
            </w:tcMar>
            <w:vAlign w:val="center"/>
          </w:tcPr>
          <w:p>
            <w:pPr>
              <w:ind w:firstLine="422"/>
              <w:jc w:val="center"/>
              <w:rPr>
                <w:color w:val="000000" w:themeColor="text1"/>
                <w:sz w:val="21"/>
                <w:szCs w:val="21"/>
                <w:shd w:val="clear" w:color="auto" w:fill="FFFFFF"/>
                <w14:textFill>
                  <w14:solidFill>
                    <w14:schemeClr w14:val="tx1"/>
                  </w14:solidFill>
                </w14:textFill>
              </w:rPr>
            </w:pPr>
            <w:r>
              <w:rPr>
                <w:rFonts w:hint="eastAsia"/>
                <w:b/>
                <w:bCs/>
                <w:color w:val="000000" w:themeColor="text1"/>
                <w:sz w:val="21"/>
                <w:szCs w:val="21"/>
                <w:shd w:val="clear" w:color="auto" w:fill="FFFFFF"/>
                <w14:textFill>
                  <w14:solidFill>
                    <w14:schemeClr w14:val="tx1"/>
                  </w14:solidFill>
                </w14:textFill>
              </w:rPr>
              <w:t>长续驶里程充电式</w:t>
            </w:r>
          </w:p>
        </w:tc>
        <w:tc>
          <w:tcPr>
            <w:tcW w:w="1049" w:type="dxa"/>
            <w:shd w:val="clear" w:color="auto" w:fill="auto"/>
            <w:tcMar>
              <w:top w:w="15" w:type="dxa"/>
              <w:left w:w="15" w:type="dxa"/>
              <w:bottom w:w="0" w:type="dxa"/>
              <w:right w:w="15" w:type="dxa"/>
            </w:tcMar>
            <w:vAlign w:val="center"/>
          </w:tcPr>
          <w:p>
            <w:pPr>
              <w:ind w:firstLine="422"/>
              <w:jc w:val="center"/>
              <w:rPr>
                <w:color w:val="000000" w:themeColor="text1"/>
                <w:sz w:val="21"/>
                <w:szCs w:val="21"/>
                <w:shd w:val="clear" w:color="auto" w:fill="FFFFFF"/>
                <w14:textFill>
                  <w14:solidFill>
                    <w14:schemeClr w14:val="tx1"/>
                  </w14:solidFill>
                </w14:textFill>
              </w:rPr>
            </w:pPr>
            <w:r>
              <w:rPr>
                <w:rFonts w:hint="eastAsia"/>
                <w:b/>
                <w:bCs/>
                <w:color w:val="000000" w:themeColor="text1"/>
                <w:sz w:val="21"/>
                <w:szCs w:val="21"/>
                <w:shd w:val="clear" w:color="auto" w:fill="FFFFFF"/>
                <w14:textFill>
                  <w14:solidFill>
                    <w14:schemeClr w14:val="tx1"/>
                  </w14:solidFill>
                </w14:textFill>
              </w:rPr>
              <w:t>中续驶里程浅充式</w:t>
            </w:r>
          </w:p>
        </w:tc>
        <w:tc>
          <w:tcPr>
            <w:tcW w:w="1130" w:type="dxa"/>
            <w:shd w:val="clear" w:color="auto" w:fill="auto"/>
            <w:tcMar>
              <w:top w:w="15" w:type="dxa"/>
              <w:left w:w="15" w:type="dxa"/>
              <w:bottom w:w="0" w:type="dxa"/>
              <w:right w:w="15" w:type="dxa"/>
            </w:tcMar>
            <w:vAlign w:val="center"/>
          </w:tcPr>
          <w:p>
            <w:pPr>
              <w:ind w:firstLine="422"/>
              <w:jc w:val="center"/>
              <w:rPr>
                <w:color w:val="000000" w:themeColor="text1"/>
                <w:sz w:val="21"/>
                <w:szCs w:val="21"/>
                <w:shd w:val="clear" w:color="auto" w:fill="FFFFFF"/>
                <w14:textFill>
                  <w14:solidFill>
                    <w14:schemeClr w14:val="tx1"/>
                  </w14:solidFill>
                </w14:textFill>
              </w:rPr>
            </w:pPr>
            <w:r>
              <w:rPr>
                <w:rFonts w:hint="eastAsia"/>
                <w:b/>
                <w:bCs/>
                <w:color w:val="000000" w:themeColor="text1"/>
                <w:sz w:val="21"/>
                <w:szCs w:val="21"/>
                <w:shd w:val="clear" w:color="auto" w:fill="FFFFFF"/>
                <w14:textFill>
                  <w14:solidFill>
                    <w14:schemeClr w14:val="tx1"/>
                  </w14:solidFill>
                </w14:textFill>
              </w:rPr>
              <w:t>短续驶里程快充式</w:t>
            </w:r>
          </w:p>
        </w:tc>
        <w:tc>
          <w:tcPr>
            <w:tcW w:w="834" w:type="dxa"/>
            <w:shd w:val="clear" w:color="auto" w:fill="auto"/>
            <w:tcMar>
              <w:top w:w="15" w:type="dxa"/>
              <w:left w:w="15" w:type="dxa"/>
              <w:bottom w:w="0" w:type="dxa"/>
              <w:right w:w="15" w:type="dxa"/>
            </w:tcMar>
            <w:vAlign w:val="center"/>
          </w:tcPr>
          <w:p>
            <w:pPr>
              <w:ind w:firstLine="422"/>
              <w:jc w:val="center"/>
              <w:rPr>
                <w:color w:val="000000" w:themeColor="text1"/>
                <w:sz w:val="21"/>
                <w:szCs w:val="21"/>
                <w:shd w:val="clear" w:color="auto" w:fill="FFFFFF"/>
                <w14:textFill>
                  <w14:solidFill>
                    <w14:schemeClr w14:val="tx1"/>
                  </w14:solidFill>
                </w14:textFill>
              </w:rPr>
            </w:pPr>
            <w:r>
              <w:rPr>
                <w:rFonts w:hint="eastAsia"/>
                <w:b/>
                <w:bCs/>
                <w:color w:val="000000" w:themeColor="text1"/>
                <w:sz w:val="21"/>
                <w:szCs w:val="21"/>
                <w:shd w:val="clear" w:color="auto" w:fill="FFFFFF"/>
                <w14:textFill>
                  <w14:solidFill>
                    <w14:schemeClr w14:val="tx1"/>
                  </w14:solidFill>
                </w14:textFill>
              </w:rPr>
              <w:t>换电式</w:t>
            </w:r>
          </w:p>
        </w:tc>
        <w:tc>
          <w:tcPr>
            <w:tcW w:w="1095" w:type="dxa"/>
            <w:shd w:val="clear" w:color="auto" w:fill="auto"/>
            <w:tcMar>
              <w:top w:w="15" w:type="dxa"/>
              <w:left w:w="15" w:type="dxa"/>
              <w:bottom w:w="0" w:type="dxa"/>
              <w:right w:w="15" w:type="dxa"/>
            </w:tcMar>
            <w:vAlign w:val="center"/>
          </w:tcPr>
          <w:p>
            <w:pPr>
              <w:ind w:firstLine="422"/>
              <w:jc w:val="center"/>
              <w:rPr>
                <w:color w:val="000000" w:themeColor="text1"/>
                <w:sz w:val="21"/>
                <w:szCs w:val="21"/>
                <w:shd w:val="clear" w:color="auto" w:fill="FFFFFF"/>
                <w14:textFill>
                  <w14:solidFill>
                    <w14:schemeClr w14:val="tx1"/>
                  </w14:solidFill>
                </w14:textFill>
              </w:rPr>
            </w:pPr>
            <w:r>
              <w:rPr>
                <w:rFonts w:hint="eastAsia"/>
                <w:b/>
                <w:bCs/>
                <w:color w:val="000000" w:themeColor="text1"/>
                <w:sz w:val="21"/>
                <w:szCs w:val="21"/>
                <w:shd w:val="clear" w:color="auto" w:fill="FFFFFF"/>
                <w14:textFill>
                  <w14:solidFill>
                    <w14:schemeClr w14:val="tx1"/>
                  </w14:solidFill>
                </w14:textFill>
              </w:rPr>
              <w:t>在线充电式</w:t>
            </w:r>
          </w:p>
        </w:tc>
        <w:tc>
          <w:tcPr>
            <w:tcW w:w="1035" w:type="dxa"/>
            <w:shd w:val="clear" w:color="auto" w:fill="auto"/>
            <w:tcMar>
              <w:top w:w="15" w:type="dxa"/>
              <w:left w:w="15" w:type="dxa"/>
              <w:bottom w:w="0" w:type="dxa"/>
              <w:right w:w="15" w:type="dxa"/>
            </w:tcMar>
            <w:vAlign w:val="center"/>
          </w:tcPr>
          <w:p>
            <w:pPr>
              <w:ind w:firstLine="422"/>
              <w:jc w:val="center"/>
              <w:rPr>
                <w:color w:val="000000" w:themeColor="text1"/>
                <w:sz w:val="21"/>
                <w:szCs w:val="21"/>
                <w:shd w:val="clear" w:color="auto" w:fill="FFFFFF"/>
                <w14:textFill>
                  <w14:solidFill>
                    <w14:schemeClr w14:val="tx1"/>
                  </w14:solidFill>
                </w14:textFill>
              </w:rPr>
            </w:pPr>
            <w:r>
              <w:rPr>
                <w:rFonts w:hint="eastAsia"/>
                <w:b/>
                <w:bCs/>
                <w:color w:val="000000" w:themeColor="text1"/>
                <w:sz w:val="21"/>
                <w:szCs w:val="21"/>
                <w:shd w:val="clear" w:color="auto" w:fill="FFFFFF"/>
                <w14:textFill>
                  <w14:solidFill>
                    <w14:schemeClr w14:val="tx1"/>
                  </w14:solidFill>
                </w14:textFill>
              </w:rPr>
              <w:t>增程式</w:t>
            </w:r>
          </w:p>
        </w:tc>
        <w:tc>
          <w:tcPr>
            <w:tcW w:w="1198" w:type="dxa"/>
            <w:shd w:val="clear" w:color="auto" w:fill="auto"/>
            <w:tcMar>
              <w:top w:w="15" w:type="dxa"/>
              <w:left w:w="15" w:type="dxa"/>
              <w:bottom w:w="0" w:type="dxa"/>
              <w:right w:w="15" w:type="dxa"/>
            </w:tcMar>
            <w:vAlign w:val="center"/>
          </w:tcPr>
          <w:p>
            <w:pPr>
              <w:ind w:firstLine="422"/>
              <w:jc w:val="center"/>
              <w:rPr>
                <w:color w:val="000000" w:themeColor="text1"/>
                <w:sz w:val="21"/>
                <w:szCs w:val="21"/>
                <w:shd w:val="clear" w:color="auto" w:fill="FFFFFF"/>
                <w14:textFill>
                  <w14:solidFill>
                    <w14:schemeClr w14:val="tx1"/>
                  </w14:solidFill>
                </w14:textFill>
              </w:rPr>
            </w:pPr>
            <w:r>
              <w:rPr>
                <w:rFonts w:hint="eastAsia"/>
                <w:b/>
                <w:bCs/>
                <w:color w:val="000000" w:themeColor="text1"/>
                <w:sz w:val="21"/>
                <w:szCs w:val="21"/>
                <w:shd w:val="clear" w:color="auto" w:fill="FFFFFF"/>
                <w14:textFill>
                  <w14:solidFill>
                    <w14:schemeClr w14:val="tx1"/>
                  </w14:solidFill>
                </w14:textFill>
              </w:rPr>
              <w:t>插电式混合动力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54" w:hRule="atLeast"/>
        </w:trPr>
        <w:tc>
          <w:tcPr>
            <w:tcW w:w="907"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典型储能装置</w:t>
            </w:r>
          </w:p>
        </w:tc>
        <w:tc>
          <w:tcPr>
            <w:tcW w:w="104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磷酸铁锂</w:t>
            </w:r>
          </w:p>
        </w:tc>
        <w:tc>
          <w:tcPr>
            <w:tcW w:w="1049"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磷酸铁锂</w:t>
            </w:r>
          </w:p>
        </w:tc>
        <w:tc>
          <w:tcPr>
            <w:tcW w:w="1130"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钛酸锂</w:t>
            </w:r>
          </w:p>
        </w:tc>
        <w:tc>
          <w:tcPr>
            <w:tcW w:w="834"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磷酸铁锂</w:t>
            </w:r>
          </w:p>
        </w:tc>
        <w:tc>
          <w:tcPr>
            <w:tcW w:w="109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超级电容（超级电容+磷酸铁锂）</w:t>
            </w:r>
          </w:p>
        </w:tc>
        <w:tc>
          <w:tcPr>
            <w:tcW w:w="103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磷酸铁锂+内燃机（氢燃料电池）</w:t>
            </w:r>
          </w:p>
        </w:tc>
        <w:tc>
          <w:tcPr>
            <w:tcW w:w="119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燃油（燃气）强混系统+电容+电池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8" w:hRule="atLeast"/>
        </w:trPr>
        <w:tc>
          <w:tcPr>
            <w:tcW w:w="907"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车重</w:t>
            </w:r>
          </w:p>
        </w:tc>
        <w:tc>
          <w:tcPr>
            <w:tcW w:w="104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重</w:t>
            </w:r>
          </w:p>
        </w:tc>
        <w:tc>
          <w:tcPr>
            <w:tcW w:w="1049"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中等</w:t>
            </w:r>
          </w:p>
        </w:tc>
        <w:tc>
          <w:tcPr>
            <w:tcW w:w="1130"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较轻</w:t>
            </w:r>
          </w:p>
        </w:tc>
        <w:tc>
          <w:tcPr>
            <w:tcW w:w="834"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较重</w:t>
            </w:r>
          </w:p>
        </w:tc>
        <w:tc>
          <w:tcPr>
            <w:tcW w:w="109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较轻</w:t>
            </w:r>
          </w:p>
        </w:tc>
        <w:tc>
          <w:tcPr>
            <w:tcW w:w="103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较轻</w:t>
            </w:r>
          </w:p>
        </w:tc>
        <w:tc>
          <w:tcPr>
            <w:tcW w:w="119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较轻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99" w:hRule="atLeast"/>
        </w:trPr>
        <w:tc>
          <w:tcPr>
            <w:tcW w:w="907"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一次充电续驶里程(公里)</w:t>
            </w:r>
          </w:p>
        </w:tc>
        <w:tc>
          <w:tcPr>
            <w:tcW w:w="104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200-300</w:t>
            </w:r>
          </w:p>
        </w:tc>
        <w:tc>
          <w:tcPr>
            <w:tcW w:w="1049"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100-150</w:t>
            </w:r>
          </w:p>
        </w:tc>
        <w:tc>
          <w:tcPr>
            <w:tcW w:w="1130"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50</w:t>
            </w:r>
          </w:p>
        </w:tc>
        <w:tc>
          <w:tcPr>
            <w:tcW w:w="834"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100-200</w:t>
            </w:r>
          </w:p>
        </w:tc>
        <w:tc>
          <w:tcPr>
            <w:tcW w:w="109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20-40</w:t>
            </w:r>
          </w:p>
        </w:tc>
        <w:tc>
          <w:tcPr>
            <w:tcW w:w="103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400以上</w:t>
            </w:r>
          </w:p>
        </w:tc>
        <w:tc>
          <w:tcPr>
            <w:tcW w:w="119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400以上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36" w:hRule="atLeast"/>
        </w:trPr>
        <w:tc>
          <w:tcPr>
            <w:tcW w:w="907"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基础设施</w:t>
            </w:r>
          </w:p>
        </w:tc>
        <w:tc>
          <w:tcPr>
            <w:tcW w:w="104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站内快慢充</w:t>
            </w:r>
          </w:p>
        </w:tc>
        <w:tc>
          <w:tcPr>
            <w:tcW w:w="1049"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站内浅充</w:t>
            </w:r>
          </w:p>
        </w:tc>
        <w:tc>
          <w:tcPr>
            <w:tcW w:w="1130"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站内快充</w:t>
            </w:r>
          </w:p>
        </w:tc>
        <w:tc>
          <w:tcPr>
            <w:tcW w:w="834"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换电站</w:t>
            </w:r>
          </w:p>
        </w:tc>
        <w:tc>
          <w:tcPr>
            <w:tcW w:w="109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接触式（非接触式）在线充电</w:t>
            </w:r>
          </w:p>
        </w:tc>
        <w:tc>
          <w:tcPr>
            <w:tcW w:w="103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站内充电+燃油（氢）加注</w:t>
            </w:r>
          </w:p>
        </w:tc>
        <w:tc>
          <w:tcPr>
            <w:tcW w:w="119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站内充电+燃油（燃气）加注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8" w:hRule="atLeast"/>
        </w:trPr>
        <w:tc>
          <w:tcPr>
            <w:tcW w:w="907"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充(换)电时间</w:t>
            </w:r>
          </w:p>
        </w:tc>
        <w:tc>
          <w:tcPr>
            <w:tcW w:w="104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夜间为主</w:t>
            </w:r>
          </w:p>
        </w:tc>
        <w:tc>
          <w:tcPr>
            <w:tcW w:w="1049"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移动充电车</w:t>
            </w:r>
          </w:p>
        </w:tc>
        <w:tc>
          <w:tcPr>
            <w:tcW w:w="1130"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进站休息时</w:t>
            </w:r>
          </w:p>
        </w:tc>
        <w:tc>
          <w:tcPr>
            <w:tcW w:w="834"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全日</w:t>
            </w:r>
          </w:p>
        </w:tc>
        <w:tc>
          <w:tcPr>
            <w:tcW w:w="109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在线</w:t>
            </w:r>
          </w:p>
        </w:tc>
        <w:tc>
          <w:tcPr>
            <w:tcW w:w="1035"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p>
        </w:tc>
        <w:tc>
          <w:tcPr>
            <w:tcW w:w="1198" w:type="dxa"/>
            <w:shd w:val="clear" w:color="auto" w:fill="auto"/>
            <w:tcMar>
              <w:top w:w="15" w:type="dxa"/>
              <w:left w:w="15" w:type="dxa"/>
              <w:bottom w:w="0" w:type="dxa"/>
              <w:right w:w="15" w:type="dxa"/>
            </w:tcMar>
            <w:vAlign w:val="center"/>
          </w:tcPr>
          <w:p>
            <w:pPr>
              <w:ind w:firstLine="420"/>
              <w:jc w:val="center"/>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夜间为主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8" w:hRule="atLeast"/>
        </w:trPr>
        <w:tc>
          <w:tcPr>
            <w:tcW w:w="907" w:type="dxa"/>
            <w:shd w:val="clear" w:color="auto" w:fill="auto"/>
            <w:tcMar>
              <w:top w:w="15" w:type="dxa"/>
              <w:left w:w="15" w:type="dxa"/>
              <w:bottom w:w="0" w:type="dxa"/>
              <w:right w:w="15" w:type="dxa"/>
            </w:tcMar>
            <w:vAlign w:val="center"/>
          </w:tcPr>
          <w:p>
            <w:pPr>
              <w:ind w:firstLine="420"/>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综合成本</w:t>
            </w:r>
          </w:p>
        </w:tc>
        <w:tc>
          <w:tcPr>
            <w:tcW w:w="1048" w:type="dxa"/>
            <w:shd w:val="clear" w:color="auto" w:fill="auto"/>
            <w:tcMar>
              <w:top w:w="15" w:type="dxa"/>
              <w:left w:w="15" w:type="dxa"/>
              <w:bottom w:w="0" w:type="dxa"/>
              <w:right w:w="15" w:type="dxa"/>
            </w:tcMar>
            <w:vAlign w:val="center"/>
          </w:tcPr>
          <w:p>
            <w:pPr>
              <w:ind w:firstLine="420"/>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高</w:t>
            </w:r>
          </w:p>
        </w:tc>
        <w:tc>
          <w:tcPr>
            <w:tcW w:w="1049" w:type="dxa"/>
            <w:shd w:val="clear" w:color="auto" w:fill="auto"/>
            <w:tcMar>
              <w:top w:w="15" w:type="dxa"/>
              <w:left w:w="15" w:type="dxa"/>
              <w:bottom w:w="0" w:type="dxa"/>
              <w:right w:w="15" w:type="dxa"/>
            </w:tcMar>
            <w:vAlign w:val="center"/>
          </w:tcPr>
          <w:p>
            <w:pPr>
              <w:ind w:firstLine="420"/>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较低</w:t>
            </w:r>
          </w:p>
        </w:tc>
        <w:tc>
          <w:tcPr>
            <w:tcW w:w="1130" w:type="dxa"/>
            <w:shd w:val="clear" w:color="auto" w:fill="auto"/>
            <w:tcMar>
              <w:top w:w="15" w:type="dxa"/>
              <w:left w:w="15" w:type="dxa"/>
              <w:bottom w:w="0" w:type="dxa"/>
              <w:right w:w="15" w:type="dxa"/>
            </w:tcMar>
            <w:vAlign w:val="center"/>
          </w:tcPr>
          <w:p>
            <w:pPr>
              <w:ind w:firstLine="420"/>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较低</w:t>
            </w:r>
          </w:p>
        </w:tc>
        <w:tc>
          <w:tcPr>
            <w:tcW w:w="834" w:type="dxa"/>
            <w:shd w:val="clear" w:color="auto" w:fill="auto"/>
            <w:tcMar>
              <w:top w:w="15" w:type="dxa"/>
              <w:left w:w="15" w:type="dxa"/>
              <w:bottom w:w="0" w:type="dxa"/>
              <w:right w:w="15" w:type="dxa"/>
            </w:tcMar>
            <w:vAlign w:val="center"/>
          </w:tcPr>
          <w:p>
            <w:pPr>
              <w:ind w:firstLine="420"/>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最高</w:t>
            </w:r>
          </w:p>
        </w:tc>
        <w:tc>
          <w:tcPr>
            <w:tcW w:w="1095" w:type="dxa"/>
            <w:shd w:val="clear" w:color="auto" w:fill="auto"/>
            <w:tcMar>
              <w:top w:w="15" w:type="dxa"/>
              <w:left w:w="15" w:type="dxa"/>
              <w:bottom w:w="0" w:type="dxa"/>
              <w:right w:w="15" w:type="dxa"/>
            </w:tcMar>
            <w:vAlign w:val="center"/>
          </w:tcPr>
          <w:p>
            <w:pPr>
              <w:ind w:firstLine="420"/>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较低</w:t>
            </w:r>
          </w:p>
        </w:tc>
        <w:tc>
          <w:tcPr>
            <w:tcW w:w="1035" w:type="dxa"/>
            <w:shd w:val="clear" w:color="auto" w:fill="auto"/>
            <w:tcMar>
              <w:top w:w="15" w:type="dxa"/>
              <w:left w:w="15" w:type="dxa"/>
              <w:bottom w:w="0" w:type="dxa"/>
              <w:right w:w="15" w:type="dxa"/>
            </w:tcMar>
            <w:vAlign w:val="center"/>
          </w:tcPr>
          <w:p>
            <w:pPr>
              <w:ind w:firstLine="420"/>
              <w:rPr>
                <w:color w:val="000000" w:themeColor="text1"/>
                <w:sz w:val="21"/>
                <w:szCs w:val="21"/>
                <w:shd w:val="clear" w:color="auto" w:fill="FFFFFF"/>
                <w14:textFill>
                  <w14:solidFill>
                    <w14:schemeClr w14:val="tx1"/>
                  </w14:solidFill>
                </w14:textFill>
              </w:rPr>
            </w:pPr>
          </w:p>
        </w:tc>
        <w:tc>
          <w:tcPr>
            <w:tcW w:w="1198" w:type="dxa"/>
            <w:shd w:val="clear" w:color="auto" w:fill="auto"/>
            <w:tcMar>
              <w:top w:w="15" w:type="dxa"/>
              <w:left w:w="15" w:type="dxa"/>
              <w:bottom w:w="0" w:type="dxa"/>
              <w:right w:w="15" w:type="dxa"/>
            </w:tcMar>
            <w:vAlign w:val="center"/>
          </w:tcPr>
          <w:p>
            <w:pPr>
              <w:ind w:firstLine="420"/>
              <w:rPr>
                <w:color w:val="000000" w:themeColor="text1"/>
                <w:sz w:val="21"/>
                <w:szCs w:val="21"/>
                <w:shd w:val="clear" w:color="auto" w:fill="FFFFFF"/>
                <w14:textFill>
                  <w14:solidFill>
                    <w14:schemeClr w14:val="tx1"/>
                  </w14:solidFill>
                </w14:textFill>
              </w:rPr>
            </w:pPr>
            <w:r>
              <w:rPr>
                <w:rFonts w:hint="eastAsia"/>
                <w:color w:val="000000" w:themeColor="text1"/>
                <w:sz w:val="21"/>
                <w:szCs w:val="21"/>
                <w:shd w:val="clear" w:color="auto" w:fill="FFFFFF"/>
                <w14:textFill>
                  <w14:solidFill>
                    <w14:schemeClr w14:val="tx1"/>
                  </w14:solidFill>
                </w14:textFill>
              </w:rPr>
              <w:t>较低</w:t>
            </w:r>
          </w:p>
        </w:tc>
      </w:tr>
    </w:tbl>
    <w:p>
      <w:pPr>
        <w:pStyle w:val="3"/>
        <w:rPr>
          <w:shd w:val="clear" w:color="auto" w:fill="FFFFFF"/>
        </w:rPr>
      </w:pPr>
      <w:bookmarkStart w:id="7" w:name="_Toc521683825"/>
      <w:r>
        <w:rPr>
          <w:shd w:val="clear" w:color="auto" w:fill="FFFFFF"/>
        </w:rPr>
        <w:t>4</w:t>
      </w:r>
      <w:r>
        <w:rPr>
          <w:rFonts w:hint="eastAsia"/>
          <w:shd w:val="clear" w:color="auto" w:fill="FFFFFF"/>
        </w:rPr>
        <w:t>、市场进入壁垒较低，符合导入期阶段特征</w:t>
      </w:r>
      <w:bookmarkEnd w:id="7"/>
    </w:p>
    <w:p>
      <w:pPr>
        <w:ind w:firstLine="480"/>
        <w:rPr>
          <w:rFonts w:ascii="Arial" w:hAnsi="Arial" w:cs="Arial"/>
          <w:color w:val="000000" w:themeColor="text1"/>
          <w:shd w:val="clear" w:color="auto" w:fill="FFFFFF"/>
          <w14:textFill>
            <w14:solidFill>
              <w14:schemeClr w14:val="tx1"/>
            </w14:solidFill>
          </w14:textFill>
        </w:rPr>
      </w:pPr>
      <w:r>
        <w:rPr>
          <w:rFonts w:hint="eastAsia" w:ascii="Arial" w:hAnsi="Arial" w:cs="Arial"/>
          <w:color w:val="000000" w:themeColor="text1"/>
          <w:shd w:val="clear" w:color="auto" w:fill="FFFFFF"/>
          <w14:textFill>
            <w14:solidFill>
              <w14:schemeClr w14:val="tx1"/>
            </w14:solidFill>
          </w14:textFill>
        </w:rPr>
        <w:t>目前，中国新能源汽车市场竞争较为激烈，行业集中度相对不高，还未出现行业垄断格局，龙头企业还没有形成壁垒，在不考虑政策壁垒的前提下，市场</w:t>
      </w:r>
      <w:r>
        <w:rPr>
          <w:rFonts w:ascii="Arial" w:hAnsi="Arial" w:cs="Arial"/>
          <w:color w:val="000000" w:themeColor="text1"/>
          <w:shd w:val="clear" w:color="auto" w:fill="FFFFFF"/>
          <w14:textFill>
            <w14:solidFill>
              <w14:schemeClr w14:val="tx1"/>
            </w14:solidFill>
          </w14:textFill>
        </w:rPr>
        <w:t>进入门槛</w:t>
      </w:r>
      <w:r>
        <w:rPr>
          <w:rFonts w:hint="eastAsia" w:ascii="Arial" w:hAnsi="Arial" w:cs="Arial"/>
          <w:color w:val="000000" w:themeColor="text1"/>
          <w:shd w:val="clear" w:color="auto" w:fill="FFFFFF"/>
          <w14:textFill>
            <w14:solidFill>
              <w14:schemeClr w14:val="tx1"/>
            </w14:solidFill>
          </w14:textFill>
        </w:rPr>
        <w:t>相对</w:t>
      </w:r>
      <w:r>
        <w:rPr>
          <w:rFonts w:ascii="Arial" w:hAnsi="Arial" w:cs="Arial"/>
          <w:color w:val="000000" w:themeColor="text1"/>
          <w:shd w:val="clear" w:color="auto" w:fill="FFFFFF"/>
          <w14:textFill>
            <w14:solidFill>
              <w14:schemeClr w14:val="tx1"/>
            </w14:solidFill>
          </w14:textFill>
        </w:rPr>
        <w:t>较低</w:t>
      </w:r>
      <w:r>
        <w:rPr>
          <w:rFonts w:hint="eastAsia" w:ascii="Arial" w:hAnsi="Arial" w:cs="Arial"/>
          <w:color w:val="000000" w:themeColor="text1"/>
          <w:shd w:val="clear" w:color="auto" w:fill="FFFFFF"/>
          <w14:textFill>
            <w14:solidFill>
              <w14:schemeClr w14:val="tx1"/>
            </w14:solidFill>
          </w14:textFill>
        </w:rPr>
        <w:t>。截至目前共有北汽新能源、长江汽车、前途汽车等</w:t>
      </w:r>
      <w:r>
        <w:rPr>
          <w:rFonts w:ascii="Arial" w:hAnsi="Arial" w:cs="Arial"/>
          <w:color w:val="000000" w:themeColor="text1"/>
          <w:shd w:val="clear" w:color="auto" w:fill="FFFFFF"/>
          <w14:textFill>
            <w14:solidFill>
              <w14:schemeClr w14:val="tx1"/>
            </w14:solidFill>
          </w14:textFill>
        </w:rPr>
        <w:t>15</w:t>
      </w:r>
      <w:r>
        <w:rPr>
          <w:rFonts w:hint="eastAsia" w:ascii="Arial" w:hAnsi="Arial" w:cs="Arial"/>
          <w:color w:val="000000" w:themeColor="text1"/>
          <w:shd w:val="clear" w:color="auto" w:fill="FFFFFF"/>
          <w14:textFill>
            <w14:solidFill>
              <w14:schemeClr w14:val="tx1"/>
            </w14:solidFill>
          </w14:textFill>
        </w:rPr>
        <w:t>家新建车企相继取得了生产资质，更有数十家新建车企在积极申请生产资质的过程中。随着出行服务正成为汽车销售和汽车后市场以外的第三大重要市场，这也为新进入者提供了新的市场切入点。总体来看，新能源汽车市场进入壁垒相对较低，竞争主体日益多元化，符合导入期阶段特征。</w:t>
      </w:r>
    </w:p>
    <w:p>
      <w:pPr>
        <w:pStyle w:val="3"/>
        <w:rPr>
          <w:shd w:val="clear" w:color="auto" w:fill="FFFFFF"/>
        </w:rPr>
      </w:pPr>
      <w:bookmarkStart w:id="8" w:name="_Toc521683826"/>
      <w:r>
        <w:rPr>
          <w:rFonts w:hint="eastAsia"/>
          <w:shd w:val="clear" w:color="auto" w:fill="FFFFFF"/>
        </w:rPr>
        <w:t>5、产品价格还未能与传统汽车产品有效竞争，符合导入期阶段特征</w:t>
      </w:r>
      <w:bookmarkEnd w:id="8"/>
    </w:p>
    <w:p>
      <w:pPr>
        <w:ind w:firstLine="480"/>
        <w:rPr>
          <w:color w:val="000000" w:themeColor="text1"/>
          <w14:textFill>
            <w14:solidFill>
              <w14:schemeClr w14:val="tx1"/>
            </w14:solidFill>
          </w14:textFill>
        </w:rPr>
      </w:pPr>
      <w:r>
        <w:rPr>
          <w:color w:val="000000" w:themeColor="text1"/>
          <w14:textFill>
            <w14:solidFill>
              <w14:schemeClr w14:val="tx1"/>
            </w14:solidFill>
          </w14:textFill>
        </w:rPr>
        <w:t>整体来看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新能源</w:t>
      </w:r>
      <w:r>
        <w:rPr>
          <w:rFonts w:hint="eastAsia"/>
          <w:color w:val="000000" w:themeColor="text1"/>
          <w14:textFill>
            <w14:solidFill>
              <w14:schemeClr w14:val="tx1"/>
            </w14:solidFill>
          </w14:textFill>
        </w:rPr>
        <w:t>汽车</w:t>
      </w:r>
      <w:r>
        <w:rPr>
          <w:color w:val="000000" w:themeColor="text1"/>
          <w14:textFill>
            <w14:solidFill>
              <w14:schemeClr w14:val="tx1"/>
            </w14:solidFill>
          </w14:textFill>
        </w:rPr>
        <w:t>整车与传统燃油汽车还有一定成本差距，</w:t>
      </w:r>
      <w:r>
        <w:rPr>
          <w:rFonts w:hint="eastAsia"/>
          <w:color w:val="000000" w:themeColor="text1"/>
          <w14:textFill>
            <w14:solidFill>
              <w14:schemeClr w14:val="tx1"/>
            </w14:solidFill>
          </w14:textFill>
        </w:rPr>
        <w:t>去除国家和地方购置补贴，新能源汽车售价仍然比传统燃油车高，</w:t>
      </w:r>
      <w:r>
        <w:rPr>
          <w:color w:val="000000" w:themeColor="text1"/>
          <w14:textFill>
            <w14:solidFill>
              <w14:schemeClr w14:val="tx1"/>
            </w14:solidFill>
          </w14:textFill>
        </w:rPr>
        <w:t>仍不具备</w:t>
      </w:r>
      <w:r>
        <w:rPr>
          <w:rFonts w:hint="eastAsia"/>
          <w:color w:val="000000" w:themeColor="text1"/>
          <w14:textFill>
            <w14:solidFill>
              <w14:schemeClr w14:val="tx1"/>
            </w14:solidFill>
          </w14:textFill>
        </w:rPr>
        <w:t>平价</w:t>
      </w:r>
      <w:r>
        <w:rPr>
          <w:color w:val="000000" w:themeColor="text1"/>
          <w14:textFill>
            <w14:solidFill>
              <w14:schemeClr w14:val="tx1"/>
            </w14:solidFill>
          </w14:textFill>
        </w:rPr>
        <w:t>竞争</w:t>
      </w:r>
      <w:r>
        <w:rPr>
          <w:rFonts w:hint="eastAsia"/>
          <w:color w:val="000000" w:themeColor="text1"/>
          <w14:textFill>
            <w14:solidFill>
              <w14:schemeClr w14:val="tx1"/>
            </w14:solidFill>
          </w14:textFill>
        </w:rPr>
        <w:t>能</w:t>
      </w:r>
      <w:r>
        <w:rPr>
          <w:color w:val="000000" w:themeColor="text1"/>
          <w14:textFill>
            <w14:solidFill>
              <w14:schemeClr w14:val="tx1"/>
            </w14:solidFill>
          </w14:textFill>
        </w:rPr>
        <w:t>力</w:t>
      </w:r>
      <w:r>
        <w:rPr>
          <w:rFonts w:hint="eastAsia"/>
          <w:color w:val="000000" w:themeColor="text1"/>
          <w14:textFill>
            <w14:solidFill>
              <w14:schemeClr w14:val="tx1"/>
            </w14:solidFill>
          </w14:textFill>
        </w:rPr>
        <w:t>，还需要政府补贴，消费者对新能源汽车的认知与接受度还有待提高。此外，充电基础设施发展还很不完善，</w:t>
      </w:r>
      <w:r>
        <w:rPr>
          <w:color w:val="000000" w:themeColor="text1"/>
          <w14:textFill>
            <w14:solidFill>
              <w14:schemeClr w14:val="tx1"/>
            </w14:solidFill>
          </w14:textFill>
        </w:rPr>
        <w:t>目前绝大多数的充电桩运营商都处于亏损状态</w:t>
      </w:r>
      <w:r>
        <w:rPr>
          <w:rFonts w:hint="eastAsia"/>
          <w:color w:val="000000" w:themeColor="text1"/>
          <w14:textFill>
            <w14:solidFill>
              <w14:schemeClr w14:val="tx1"/>
            </w14:solidFill>
          </w14:textFill>
        </w:rPr>
        <w:t>，行业盈利情况较差。</w:t>
      </w:r>
    </w:p>
    <w:p>
      <w:pPr>
        <w:pStyle w:val="3"/>
        <w:rPr>
          <w:shd w:val="clear" w:color="auto" w:fill="FFFFFF"/>
        </w:rPr>
      </w:pPr>
      <w:bookmarkStart w:id="9" w:name="_Toc521683827"/>
      <w:r>
        <w:rPr>
          <w:rFonts w:hint="eastAsia"/>
          <w:shd w:val="clear" w:color="auto" w:fill="FFFFFF"/>
        </w:rPr>
        <w:t>6、行业标准体系基本形成，符合成长期阶段特征</w:t>
      </w:r>
      <w:bookmarkEnd w:id="9"/>
    </w:p>
    <w:p>
      <w:pPr>
        <w:spacing w:before="120"/>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近年来，中国</w:t>
      </w:r>
      <w:r>
        <w:rPr>
          <w:color w:val="000000" w:themeColor="text1"/>
          <w14:textFill>
            <w14:solidFill>
              <w14:schemeClr w14:val="tx1"/>
            </w14:solidFill>
          </w14:textFill>
        </w:rPr>
        <w:t>加快</w:t>
      </w:r>
      <w:r>
        <w:rPr>
          <w:rFonts w:hint="eastAsia"/>
          <w:color w:val="000000" w:themeColor="text1"/>
          <w14:textFill>
            <w14:solidFill>
              <w14:schemeClr w14:val="tx1"/>
            </w14:solidFill>
          </w14:textFill>
        </w:rPr>
        <w:t>构建</w:t>
      </w:r>
      <w:r>
        <w:rPr>
          <w:color w:val="000000" w:themeColor="text1"/>
          <w14:textFill>
            <w14:solidFill>
              <w14:schemeClr w14:val="tx1"/>
            </w14:solidFill>
          </w14:textFill>
        </w:rPr>
        <w:t>电动汽车技术标准体系，</w:t>
      </w:r>
      <w:r>
        <w:rPr>
          <w:rFonts w:hint="eastAsia"/>
          <w:color w:val="000000" w:themeColor="text1"/>
          <w14:textFill>
            <w14:solidFill>
              <w14:schemeClr w14:val="tx1"/>
            </w14:solidFill>
          </w14:textFill>
        </w:rPr>
        <w:t>已</w:t>
      </w:r>
      <w:r>
        <w:rPr>
          <w:color w:val="000000" w:themeColor="text1"/>
          <w14:textFill>
            <w14:solidFill>
              <w14:schemeClr w14:val="tx1"/>
            </w14:solidFill>
          </w14:textFill>
        </w:rPr>
        <w:t>制定发布</w:t>
      </w:r>
      <w:r>
        <w:rPr>
          <w:rFonts w:hint="eastAsia"/>
          <w:color w:val="000000" w:themeColor="text1"/>
          <w14:textFill>
            <w14:solidFill>
              <w14:schemeClr w14:val="tx1"/>
            </w14:solidFill>
          </w14:textFill>
        </w:rPr>
        <w:t>全</w:t>
      </w:r>
      <w:r>
        <w:rPr>
          <w:color w:val="000000" w:themeColor="text1"/>
          <w14:textFill>
            <w14:solidFill>
              <w14:schemeClr w14:val="tx1"/>
            </w14:solidFill>
          </w14:textFill>
        </w:rPr>
        <w:t>产业链标准</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2项</w:t>
      </w:r>
      <w:r>
        <w:rPr>
          <w:color w:val="000000" w:themeColor="text1"/>
          <w14:textFill>
            <w14:solidFill>
              <w14:schemeClr w14:val="tx1"/>
            </w14:solidFill>
          </w14:textFill>
        </w:rPr>
        <w:t>，形成了新能源汽车标准法规</w:t>
      </w:r>
      <w:r>
        <w:rPr>
          <w:rFonts w:hint="eastAsia"/>
          <w:color w:val="000000" w:themeColor="text1"/>
          <w14:textFill>
            <w14:solidFill>
              <w14:schemeClr w14:val="tx1"/>
            </w14:solidFill>
          </w14:textFill>
        </w:rPr>
        <w:t>体系，</w:t>
      </w:r>
      <w:r>
        <w:rPr>
          <w:color w:val="000000" w:themeColor="text1"/>
          <w14:textFill>
            <w14:solidFill>
              <w14:schemeClr w14:val="tx1"/>
            </w14:solidFill>
          </w14:textFill>
        </w:rPr>
        <w:t>对中国新能源汽车产业的发展提供了必要支撑</w:t>
      </w:r>
      <w:r>
        <w:rPr>
          <w:rFonts w:hint="eastAsia"/>
          <w:color w:val="000000" w:themeColor="text1"/>
          <w14:textFill>
            <w14:solidFill>
              <w14:schemeClr w14:val="tx1"/>
            </w14:solidFill>
          </w14:textFill>
        </w:rPr>
        <w:t>，符合成长期阶段特征。</w:t>
      </w:r>
    </w:p>
    <w:p>
      <w:pPr>
        <w:spacing w:before="120"/>
        <w:ind w:firstLine="48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233743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rcRect t="14015"/>
                    <a:stretch>
                      <a:fillRect/>
                    </a:stretch>
                  </pic:blipFill>
                  <pic:spPr>
                    <a:xfrm>
                      <a:off x="0" y="0"/>
                      <a:ext cx="5274310" cy="2337435"/>
                    </a:xfrm>
                    <a:prstGeom prst="rect">
                      <a:avLst/>
                    </a:prstGeom>
                    <a:ln>
                      <a:noFill/>
                    </a:ln>
                  </pic:spPr>
                </pic:pic>
              </a:graphicData>
            </a:graphic>
          </wp:inline>
        </w:drawing>
      </w:r>
    </w:p>
    <w:p>
      <w:pPr>
        <w:spacing w:before="120"/>
        <w:ind w:firstLine="48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图</w:t>
      </w: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 xml:space="preserve"> 中国电动汽车标准总体情况</w:t>
      </w:r>
    </w:p>
    <w:p>
      <w:pPr>
        <w:ind w:firstLine="480"/>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综合各项特征分析，目前中国新能源汽车处于导入期向成长期过渡的关键节点，需要多方不懈发展和努力，促使新能源汽车产业早日迈入发展期。</w:t>
      </w:r>
    </w:p>
    <w:bookmarkEnd w:id="4"/>
    <w:p>
      <w:pPr>
        <w:ind w:firstLine="480"/>
        <w:jc w:val="center"/>
        <w:rPr>
          <w:color w:val="000000" w:themeColor="text1"/>
          <w:shd w:val="clear" w:color="auto" w:fill="FFFFFF"/>
          <w14:textFill>
            <w14:solidFill>
              <w14:schemeClr w14:val="tx1"/>
            </w14:solidFill>
          </w14:textFill>
        </w:rPr>
      </w:pPr>
      <w:r>
        <w:rPr>
          <w:color w:val="000000" w:themeColor="text1"/>
          <w:shd w:val="clear" w:color="auto" w:fill="FFFFFF"/>
          <w14:textFill>
            <w14:solidFill>
              <w14:schemeClr w14:val="tx1"/>
            </w14:solidFill>
          </w14:textFill>
        </w:rPr>
        <w:drawing>
          <wp:inline distT="0" distB="0" distL="0" distR="0">
            <wp:extent cx="5274310" cy="2809240"/>
            <wp:effectExtent l="0" t="0" r="2540" b="10160"/>
            <wp:docPr id="99" name="图片 99" descr="C:\Users\sae\AppData\Local\Temp\WeChat Files\658696052890594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C:\Users\sae\AppData\Local\Temp\WeChat Files\6586960528905942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809736"/>
                    </a:xfrm>
                    <a:prstGeom prst="rect">
                      <a:avLst/>
                    </a:prstGeom>
                    <a:noFill/>
                    <a:ln>
                      <a:noFill/>
                    </a:ln>
                  </pic:spPr>
                </pic:pic>
              </a:graphicData>
            </a:graphic>
          </wp:inline>
        </w:drawing>
      </w:r>
    </w:p>
    <w:p>
      <w:pPr>
        <w:ind w:firstLine="480"/>
        <w:jc w:val="center"/>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图</w:t>
      </w:r>
      <w:r>
        <w:rPr>
          <w:color w:val="000000" w:themeColor="text1"/>
          <w:shd w:val="clear" w:color="auto" w:fill="FFFFFF"/>
          <w14:textFill>
            <w14:solidFill>
              <w14:schemeClr w14:val="tx1"/>
            </w14:solidFill>
          </w14:textFill>
        </w:rPr>
        <w:t>5</w:t>
      </w:r>
      <w:r>
        <w:rPr>
          <w:rFonts w:hint="eastAsia"/>
          <w:color w:val="000000" w:themeColor="text1"/>
          <w:shd w:val="clear" w:color="auto" w:fill="FFFFFF"/>
          <w14:textFill>
            <w14:solidFill>
              <w14:schemeClr w14:val="tx1"/>
            </w14:solidFill>
          </w14:textFill>
        </w:rPr>
        <w:t xml:space="preserve"> </w:t>
      </w:r>
      <w:r>
        <w:rPr>
          <w:color w:val="000000" w:themeColor="text1"/>
          <w:shd w:val="clear" w:color="auto" w:fill="FFFFFF"/>
          <w14:textFill>
            <w14:solidFill>
              <w14:schemeClr w14:val="tx1"/>
            </w14:solidFill>
          </w14:textFill>
        </w:rPr>
        <w:t xml:space="preserve"> </w:t>
      </w:r>
      <w:r>
        <w:rPr>
          <w:rFonts w:hint="eastAsia"/>
          <w:color w:val="000000" w:themeColor="text1"/>
          <w:shd w:val="clear" w:color="auto" w:fill="FFFFFF"/>
          <w14:textFill>
            <w14:solidFill>
              <w14:schemeClr w14:val="tx1"/>
            </w14:solidFill>
          </w14:textFill>
        </w:rPr>
        <w:t>中国新能源汽车产业发展阶段示意图</w:t>
      </w:r>
    </w:p>
    <w:p>
      <w:pPr>
        <w:pStyle w:val="2"/>
      </w:pPr>
      <w:bookmarkStart w:id="10" w:name="_Toc520804933"/>
      <w:bookmarkStart w:id="11" w:name="_Toc521683828"/>
      <w:r>
        <w:rPr>
          <w:rFonts w:hint="eastAsia"/>
        </w:rPr>
        <w:t>（三）未来中国新能源汽车发展展望</w:t>
      </w:r>
      <w:bookmarkEnd w:id="10"/>
      <w:bookmarkEnd w:id="11"/>
    </w:p>
    <w:p>
      <w:pPr>
        <w:ind w:firstLine="424" w:firstLineChars="177"/>
      </w:pPr>
      <w:r>
        <w:rPr>
          <w:rFonts w:hint="eastAsia"/>
        </w:rPr>
        <w:t>《节能与新能源汽车技术路线图》、《汽车产业中长期发展规划》提出了中国新能源汽车的总体愿景和目标。在愿景和目标中，至2</w:t>
      </w:r>
      <w:r>
        <w:t>030</w:t>
      </w:r>
      <w:r>
        <w:rPr>
          <w:rFonts w:hint="eastAsia"/>
        </w:rPr>
        <w:t>年，新能源汽车逐渐成为主流产品，汽车产业初步实现电动化转型。在具体的新能源汽车市场目标方面，至2</w:t>
      </w:r>
      <w:r>
        <w:t>020</w:t>
      </w:r>
      <w:r>
        <w:rPr>
          <w:rFonts w:hint="eastAsia"/>
        </w:rPr>
        <w:t>年新能源汽车占总销量的</w:t>
      </w:r>
      <w:r>
        <w:t>7%-10%</w:t>
      </w:r>
      <w:r>
        <w:rPr>
          <w:rFonts w:hint="eastAsia"/>
        </w:rPr>
        <w:t>，到2</w:t>
      </w:r>
      <w:r>
        <w:t>025</w:t>
      </w:r>
      <w:r>
        <w:rPr>
          <w:rFonts w:hint="eastAsia"/>
        </w:rPr>
        <w:t>年，新能源汽车占总销量的1</w:t>
      </w:r>
      <w:r>
        <w:t>5%-20%</w:t>
      </w:r>
      <w:r>
        <w:rPr>
          <w:rFonts w:hint="eastAsia"/>
        </w:rPr>
        <w:t>，到2</w:t>
      </w:r>
      <w:r>
        <w:t>030</w:t>
      </w:r>
      <w:r>
        <w:rPr>
          <w:rFonts w:hint="eastAsia"/>
        </w:rPr>
        <w:t>年，新能源汽车占总销量的4</w:t>
      </w:r>
      <w:r>
        <w:t>0%</w:t>
      </w:r>
      <w:r>
        <w:rPr>
          <w:rFonts w:hint="eastAsia"/>
        </w:rPr>
        <w:t>以上。</w:t>
      </w:r>
    </w:p>
    <w:p>
      <w:pPr>
        <w:ind w:leftChars="-177" w:hanging="424" w:hangingChars="177"/>
      </w:pPr>
      <w:r>
        <w:drawing>
          <wp:inline distT="0" distB="0" distL="0" distR="0">
            <wp:extent cx="5895975" cy="4222750"/>
            <wp:effectExtent l="0" t="0" r="9525" b="6350"/>
            <wp:docPr id="3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4"/>
                    <pic:cNvPicPr>
                      <a:picLocks noChangeAspect="1"/>
                    </pic:cNvPicPr>
                  </pic:nvPicPr>
                  <pic:blipFill>
                    <a:blip r:embed="rId8"/>
                    <a:stretch>
                      <a:fillRect/>
                    </a:stretch>
                  </pic:blipFill>
                  <pic:spPr>
                    <a:xfrm>
                      <a:off x="0" y="0"/>
                      <a:ext cx="5907099" cy="4230837"/>
                    </a:xfrm>
                    <a:prstGeom prst="rect">
                      <a:avLst/>
                    </a:prstGeom>
                  </pic:spPr>
                </pic:pic>
              </a:graphicData>
            </a:graphic>
          </wp:inline>
        </w:drawing>
      </w:r>
    </w:p>
    <w:p>
      <w:pPr>
        <w:ind w:left="1" w:leftChars="-177" w:hanging="426" w:hangingChars="177"/>
        <w:jc w:val="center"/>
        <w:rPr>
          <w:b/>
        </w:rPr>
      </w:pPr>
      <w:r>
        <w:rPr>
          <w:rFonts w:hint="eastAsia"/>
          <w:b/>
        </w:rPr>
        <w:t>图</w:t>
      </w:r>
      <w:r>
        <w:rPr>
          <w:b/>
        </w:rPr>
        <w:t xml:space="preserve">6  </w:t>
      </w:r>
      <w:r>
        <w:rPr>
          <w:rFonts w:hint="eastAsia"/>
          <w:b/>
        </w:rPr>
        <w:t>中国纯电动和插电式混合动力汽车发展蓝图</w:t>
      </w:r>
    </w:p>
    <w:p>
      <w:pPr>
        <w:ind w:firstLine="480"/>
      </w:pPr>
      <w:r>
        <w:rPr>
          <w:rFonts w:hint="eastAsia"/>
        </w:rPr>
        <w:t>同时结合技术路线图提出的2</w:t>
      </w:r>
      <w:r>
        <w:t>020</w:t>
      </w:r>
      <w:r>
        <w:rPr>
          <w:rFonts w:hint="eastAsia"/>
        </w:rPr>
        <w:t>、2</w:t>
      </w:r>
      <w:r>
        <w:t>025</w:t>
      </w:r>
      <w:r>
        <w:rPr>
          <w:rFonts w:hint="eastAsia"/>
        </w:rPr>
        <w:t>、2</w:t>
      </w:r>
      <w:r>
        <w:t>030</w:t>
      </w:r>
      <w:r>
        <w:rPr>
          <w:rFonts w:hint="eastAsia"/>
        </w:rPr>
        <w:t>年的汽车年度销量的预期目标，新能源汽车当年对应的销量分别为2</w:t>
      </w:r>
      <w:r>
        <w:t>00</w:t>
      </w:r>
      <w:r>
        <w:rPr>
          <w:rFonts w:hint="eastAsia"/>
        </w:rPr>
        <w:t>万辆、7</w:t>
      </w:r>
      <w:r>
        <w:t>00</w:t>
      </w:r>
      <w:r>
        <w:rPr>
          <w:rFonts w:hint="eastAsia"/>
        </w:rPr>
        <w:t>万辆、</w:t>
      </w:r>
      <w:r>
        <w:t>1500</w:t>
      </w:r>
      <w:r>
        <w:rPr>
          <w:rFonts w:hint="eastAsia"/>
        </w:rPr>
        <w:t>万辆，其中，燃料电池汽车分别达到5千辆，5万辆，1</w:t>
      </w:r>
      <w:r>
        <w:t>00</w:t>
      </w:r>
      <w:r>
        <w:rPr>
          <w:rFonts w:hint="eastAsia"/>
        </w:rPr>
        <w:t>万辆。在具体的推广应用方面，2</w:t>
      </w:r>
      <w:r>
        <w:t>020</w:t>
      </w:r>
      <w:r>
        <w:rPr>
          <w:rFonts w:hint="eastAsia"/>
        </w:rPr>
        <w:t>年，在部分城市家庭用车、租赁服务、公务车实现纯电动和插电式混合动力汽车的批量应用，在商用车领域，启动燃料电池汽车示范；在公交客车、市政物流等特点领域实现批量化应用；2</w:t>
      </w:r>
      <w:r>
        <w:t>025</w:t>
      </w:r>
      <w:r>
        <w:rPr>
          <w:rFonts w:hint="eastAsia"/>
        </w:rPr>
        <w:t>年，在多数城市的公共领域和私人领域实现新能源汽车的大批量化应用；在全国范围内大批量应用新能源汽车。</w:t>
      </w:r>
    </w:p>
    <w:p>
      <w:pPr>
        <w:ind w:firstLine="480"/>
      </w:pPr>
      <w:r>
        <w:drawing>
          <wp:inline distT="0" distB="0" distL="0" distR="0">
            <wp:extent cx="5274310" cy="2777490"/>
            <wp:effectExtent l="0" t="0" r="2540" b="3810"/>
            <wp:docPr id="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5"/>
                    <pic:cNvPicPr>
                      <a:picLocks noChangeAspect="1"/>
                    </pic:cNvPicPr>
                  </pic:nvPicPr>
                  <pic:blipFill>
                    <a:blip r:embed="rId9"/>
                    <a:stretch>
                      <a:fillRect/>
                    </a:stretch>
                  </pic:blipFill>
                  <pic:spPr>
                    <a:xfrm>
                      <a:off x="0" y="0"/>
                      <a:ext cx="5274310" cy="2777490"/>
                    </a:xfrm>
                    <a:prstGeom prst="rect">
                      <a:avLst/>
                    </a:prstGeom>
                  </pic:spPr>
                </pic:pic>
              </a:graphicData>
            </a:graphic>
          </wp:inline>
        </w:drawing>
      </w:r>
    </w:p>
    <w:p>
      <w:pPr>
        <w:ind w:firstLine="482"/>
        <w:jc w:val="center"/>
        <w:rPr>
          <w:b/>
        </w:rPr>
      </w:pPr>
      <w:r>
        <w:rPr>
          <w:rFonts w:hint="eastAsia"/>
          <w:b/>
        </w:rPr>
        <w:t>图</w:t>
      </w:r>
      <w:r>
        <w:rPr>
          <w:b/>
        </w:rPr>
        <w:t xml:space="preserve">7  </w:t>
      </w:r>
      <w:r>
        <w:rPr>
          <w:rFonts w:hint="eastAsia"/>
          <w:b/>
        </w:rPr>
        <w:t>中国氢燃料电池汽车发展蓝图</w:t>
      </w:r>
    </w:p>
    <w:p>
      <w:pPr>
        <w:ind w:firstLine="480"/>
      </w:pPr>
      <w:r>
        <w:rPr>
          <w:rFonts w:hint="eastAsia"/>
        </w:rPr>
        <w:t>结合《节能与新能源汽车技术路线图》、《汽车产业中长期发展规划》等引导下文件，以及蓝皮书研究小组的研究，我们认为，</w:t>
      </w:r>
    </w:p>
    <w:p>
      <w:pPr>
        <w:ind w:firstLine="480"/>
      </w:pPr>
      <w:r>
        <w:rPr>
          <w:rFonts w:hint="eastAsia"/>
        </w:rPr>
        <w:t>2</w:t>
      </w:r>
      <w:r>
        <w:t>018</w:t>
      </w:r>
      <w:r>
        <w:rPr>
          <w:rFonts w:hint="eastAsia"/>
        </w:rPr>
        <w:t>年-</w:t>
      </w:r>
      <w:r>
        <w:t>2025</w:t>
      </w:r>
      <w:r>
        <w:rPr>
          <w:rFonts w:hint="eastAsia"/>
        </w:rPr>
        <w:t>年，总体上仍处于新能源汽车产业导入期向成长期的关键发展阶段，</w:t>
      </w:r>
      <w:r>
        <w:t>2018</w:t>
      </w:r>
      <w:r>
        <w:rPr>
          <w:rFonts w:hint="eastAsia"/>
        </w:rPr>
        <w:t>至2</w:t>
      </w:r>
      <w:r>
        <w:t>020</w:t>
      </w:r>
      <w:r>
        <w:rPr>
          <w:rFonts w:hint="eastAsia"/>
        </w:rPr>
        <w:t>的前半段阶段，纯电动汽车和插电式混合动力汽车会进一步扩大市场规模至2</w:t>
      </w:r>
      <w:r>
        <w:t>00</w:t>
      </w:r>
      <w:r>
        <w:rPr>
          <w:rFonts w:hint="eastAsia"/>
        </w:rPr>
        <w:t>万辆，燃料电池汽车开始启动示范推广，这一阶段，仍然是新能源汽车政策驱动占据主导地位；2</w:t>
      </w:r>
      <w:r>
        <w:t>020-2025</w:t>
      </w:r>
      <w:r>
        <w:rPr>
          <w:rFonts w:hint="eastAsia"/>
        </w:rPr>
        <w:t>这个阶段，正式进入后补贴时代，在新能源汽车双积分、财税及非财税激励政策的推动下，新能源汽车的市场驱动力量不断增强，新能源汽车相对于传统汽车而言，首次购置额外成本回收周期从1</w:t>
      </w:r>
      <w:r>
        <w:t>0</w:t>
      </w:r>
      <w:r>
        <w:rPr>
          <w:rFonts w:hint="eastAsia"/>
        </w:rPr>
        <w:t>年以上逐步降至5年左右，在继续保留车购税优化的情况下，新能源汽车的竞争力逐步接近传统汽车。</w:t>
      </w:r>
    </w:p>
    <w:p>
      <w:pPr>
        <w:ind w:firstLine="480"/>
      </w:pPr>
      <w:r>
        <w:rPr>
          <w:rFonts w:hint="eastAsia"/>
        </w:rPr>
        <w:t>2</w:t>
      </w:r>
      <w:r>
        <w:t>025-2030</w:t>
      </w:r>
      <w:r>
        <w:rPr>
          <w:rFonts w:hint="eastAsia"/>
        </w:rPr>
        <w:t>，属于后补贴的第二阶段，政策驱动效应进一步递减，税收优惠政策逐步退坡，大约在2</w:t>
      </w:r>
      <w:r>
        <w:t>027</w:t>
      </w:r>
      <w:r>
        <w:rPr>
          <w:rFonts w:hint="eastAsia"/>
        </w:rPr>
        <w:t>年前后，典型新能源汽车相对于同级别的传统燃油车的全生命周期成本打平时间进一步从5</w:t>
      </w:r>
      <w:r>
        <w:t>-6</w:t>
      </w:r>
      <w:r>
        <w:rPr>
          <w:rFonts w:hint="eastAsia"/>
        </w:rPr>
        <w:t>年缩短至3</w:t>
      </w:r>
      <w:r>
        <w:t>-4</w:t>
      </w:r>
      <w:r>
        <w:rPr>
          <w:rFonts w:hint="eastAsia"/>
        </w:rPr>
        <w:t>年，至</w:t>
      </w:r>
      <w:r>
        <w:t>2030</w:t>
      </w:r>
      <w:r>
        <w:rPr>
          <w:rFonts w:hint="eastAsia"/>
        </w:rPr>
        <w:t>年，新能源汽车在购置环节与同级别内燃机汽车的价差接近于0，新能源汽车快速替代传统内燃机汽车的市场份额，并逐步成为主流产品。</w:t>
      </w:r>
    </w:p>
    <w:p>
      <w:pPr>
        <w:ind w:firstLine="480"/>
        <w:rPr>
          <w:rFonts w:hint="eastAsia"/>
        </w:rPr>
      </w:pPr>
      <w:r>
        <w:rPr>
          <w:rFonts w:hint="eastAsia"/>
        </w:rPr>
        <w:t>2</w:t>
      </w:r>
      <w:r>
        <w:t>030-2050</w:t>
      </w:r>
      <w:r>
        <w:rPr>
          <w:rFonts w:hint="eastAsia"/>
        </w:rPr>
        <w:t>年，纯电动和插电式混合动力汽车在购置阶段，与传统汽车的价差已经接近消失，而其在使用环节，相对于传统汽车而言，将产生显著的经济性，在加上，电动化与智能化、网联化、共享化的叠加，纯电动和插电式混合动力汽车会进一步快速扩大市场份额，并形成对传统汽车的颠覆性替代，预计至2</w:t>
      </w:r>
      <w:r>
        <w:t>050</w:t>
      </w:r>
      <w:r>
        <w:rPr>
          <w:rFonts w:hint="eastAsia"/>
        </w:rPr>
        <w:t>年，纯电动和插电式混合动力汽车占据总体的6</w:t>
      </w:r>
      <w:r>
        <w:t>0%-70%</w:t>
      </w:r>
      <w:r>
        <w:rPr>
          <w:rFonts w:hint="eastAsia"/>
        </w:rPr>
        <w:t>左右，燃料电池汽车在2</w:t>
      </w:r>
      <w:r>
        <w:t>030</w:t>
      </w:r>
      <w:r>
        <w:rPr>
          <w:rFonts w:hint="eastAsia"/>
        </w:rPr>
        <w:t>年之后发展速度开始加快，从开始从导入期向成长期过渡，伴随着可再生能源制氢技术经济性的逐步提升，预计至2</w:t>
      </w:r>
      <w:r>
        <w:t>050</w:t>
      </w:r>
      <w:r>
        <w:rPr>
          <w:rFonts w:hint="eastAsia"/>
        </w:rPr>
        <w:t>年，燃料电池汽车市场份额</w:t>
      </w:r>
      <w:r>
        <w:t>20%-30%</w:t>
      </w:r>
      <w:r>
        <w:rPr>
          <w:rFonts w:hint="eastAsia"/>
        </w:rPr>
        <w:t>左右。</w:t>
      </w:r>
    </w:p>
    <w:p>
      <w:pPr>
        <w:ind w:left="0" w:leftChars="0" w:firstLine="0" w:firstLineChars="0"/>
        <w:rPr>
          <w:rFonts w:hint="eastAsia"/>
        </w:rPr>
      </w:pPr>
    </w:p>
    <w:p>
      <w:pPr>
        <w:ind w:left="0" w:leftChars="0" w:firstLine="0" w:firstLineChars="0"/>
        <w:rPr>
          <w:rFonts w:hint="eastAsia"/>
          <w:lang w:eastAsia="zh-CN"/>
        </w:rPr>
      </w:pPr>
      <w:bookmarkStart w:id="12" w:name="_GoBack"/>
      <w:r>
        <w:rPr>
          <w:rFonts w:hint="eastAsia"/>
          <w:b/>
          <w:bCs/>
          <w:lang w:eastAsia="zh-CN"/>
        </w:rPr>
        <w:t>汽车蓝皮书简介</w:t>
      </w:r>
      <w:r>
        <w:rPr>
          <w:rFonts w:hint="eastAsia"/>
          <w:lang w:eastAsia="zh-CN"/>
        </w:rPr>
        <w:t>：</w:t>
      </w:r>
    </w:p>
    <w:p>
      <w:pPr>
        <w:numPr>
          <w:ilvl w:val="0"/>
          <w:numId w:val="1"/>
        </w:numPr>
        <w:ind w:left="420" w:leftChars="0" w:hanging="420" w:firstLineChars="0"/>
        <w:rPr>
          <w:rFonts w:hint="eastAsia"/>
          <w:lang w:eastAsia="zh-CN"/>
        </w:rPr>
      </w:pPr>
      <w:r>
        <w:rPr>
          <w:rFonts w:hint="eastAsia"/>
          <w:lang w:eastAsia="zh-CN"/>
        </w:rPr>
        <w:t>本书是在大众汽车集团（中国）的支持和汽车产业资深顾问的指导下，由众多行业专家</w:t>
      </w:r>
      <w:r>
        <w:rPr>
          <w:rFonts w:hint="eastAsia"/>
          <w:lang w:val="en-US" w:eastAsia="zh-CN"/>
        </w:rPr>
        <w:t>,企业高层顾问共同撰写的全面论述中国汽车产业发展的权威性著作。</w:t>
      </w:r>
    </w:p>
    <w:p>
      <w:pPr>
        <w:numPr>
          <w:ilvl w:val="0"/>
          <w:numId w:val="1"/>
        </w:numPr>
        <w:ind w:left="420" w:leftChars="0" w:hanging="420" w:firstLineChars="0"/>
        <w:rPr>
          <w:rFonts w:hint="eastAsia"/>
        </w:rPr>
      </w:pPr>
      <w:r>
        <w:rPr>
          <w:rFonts w:hint="eastAsia"/>
          <w:lang w:eastAsia="zh-CN"/>
        </w:rPr>
        <w:t>本书以“新时代的新能源汽车产业发展战略”为主题，对国内外新能源汽车产业发展现状及趋势，后补贴时代中国新能源汽车发展新思路与新举措，氢经济背景下燃料电池汽车产业发展新机遇，新能源汽车与资源，能源，交通和未来城市的融合发展等内容进行了全面分析和系统阐述。</w:t>
      </w:r>
    </w:p>
    <w:p>
      <w:pPr>
        <w:numPr>
          <w:ilvl w:val="0"/>
          <w:numId w:val="1"/>
        </w:numPr>
        <w:ind w:left="420" w:leftChars="0" w:hanging="420" w:firstLineChars="0"/>
        <w:rPr>
          <w:rFonts w:hint="eastAsia"/>
        </w:rPr>
      </w:pPr>
      <w:r>
        <w:rPr>
          <w:rFonts w:hint="eastAsia"/>
          <w:lang w:eastAsia="zh-CN"/>
        </w:rPr>
        <w:t>本年度蓝皮书突出新时代的发展战略，以专业与通俗，定性与定量并重的方式，不仅全面介绍了新能源汽车产业发展情况，包含大量行业数据以及丰富的专栏分析，而且从专业角度对产业发展进行客观评估和科学推演，并提出面向后补贴时代的产业发展思路和对策建议，对汽车产业管理部门，企业规划和决策部门，行业研究机构和中外投资者具有重要的参考价值。</w:t>
      </w:r>
    </w:p>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D96A65"/>
    <w:multiLevelType w:val="singleLevel"/>
    <w:tmpl w:val="84D96A6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B21AE"/>
    <w:rsid w:val="1D3B5D7B"/>
    <w:rsid w:val="2D392780"/>
    <w:rsid w:val="7D3C79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2"/>
    <w:basedOn w:val="1"/>
    <w:next w:val="1"/>
    <w:qFormat/>
    <w:uiPriority w:val="9"/>
    <w:pPr>
      <w:keepNext/>
      <w:keepLines/>
      <w:spacing w:before="120" w:after="120" w:line="240" w:lineRule="auto"/>
      <w:ind w:firstLine="0" w:firstLineChars="0"/>
      <w:outlineLvl w:val="1"/>
    </w:pPr>
    <w:rPr>
      <w:rFonts w:ascii="Times New Roman" w:hAnsi="Times New Roman" w:eastAsia="黑体" w:cs="Times New Roman"/>
      <w:b/>
      <w:bCs/>
      <w:color w:val="000000" w:themeColor="text1"/>
      <w:sz w:val="30"/>
      <w:szCs w:val="32"/>
      <w14:textFill>
        <w14:solidFill>
          <w14:schemeClr w14:val="tx1"/>
        </w14:solidFill>
      </w14:textFill>
    </w:rPr>
  </w:style>
  <w:style w:type="paragraph" w:styleId="3">
    <w:name w:val="heading 3"/>
    <w:basedOn w:val="1"/>
    <w:next w:val="1"/>
    <w:unhideWhenUsed/>
    <w:qFormat/>
    <w:uiPriority w:val="9"/>
    <w:pPr>
      <w:keepNext/>
      <w:keepLines/>
      <w:spacing w:before="120" w:line="240" w:lineRule="auto"/>
      <w:ind w:firstLine="0" w:firstLineChars="0"/>
      <w:outlineLvl w:val="2"/>
    </w:pPr>
    <w:rPr>
      <w:rFonts w:ascii="宋体" w:hAnsi="宋体" w:eastAsia="宋体"/>
      <w:b/>
      <w:bCs/>
      <w:color w:val="000000" w:themeColor="text1"/>
      <w:sz w:val="28"/>
      <w:szCs w:val="32"/>
      <w14:textFill>
        <w14:solidFill>
          <w14:schemeClr w14:val="tx1"/>
        </w14:solidFill>
      </w14:textFill>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6">
    <w:name w:val="标题1"/>
    <w:basedOn w:val="3"/>
    <w:next w:val="1"/>
    <w:qFormat/>
    <w:uiPriority w:val="0"/>
    <w:pPr>
      <w:spacing w:before="50" w:beforeLines="50" w:after="50" w:afterLines="50" w:line="360" w:lineRule="auto"/>
    </w:pPr>
    <w:rPr>
      <w:rFonts w:ascii="Times New Roman" w:hAnsi="Times New Roman" w:cs="Times New Roman"/>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elete val="1"/>
          </c:dLbls>
          <c:cat>
            <c:strRef>
              <c:f>Sheet1!$A$2:$A$4</c:f>
              <c:strCache>
                <c:ptCount val="3"/>
                <c:pt idx="0">
                  <c:v>锂离子</c:v>
                </c:pt>
                <c:pt idx="1">
                  <c:v>镍氢</c:v>
                </c:pt>
                <c:pt idx="2">
                  <c:v>超级电容</c:v>
                </c:pt>
              </c:strCache>
            </c:strRef>
          </c:cat>
          <c:val>
            <c:numRef>
              <c:f>Sheet1!$B$2:$B$4</c:f>
              <c:numCache>
                <c:formatCode>General</c:formatCode>
                <c:ptCount val="3"/>
                <c:pt idx="0">
                  <c:v>89</c:v>
                </c:pt>
                <c:pt idx="1">
                  <c:v>2</c:v>
                </c:pt>
                <c:pt idx="2">
                  <c:v>7</c:v>
                </c:pt>
              </c:numCache>
            </c:numRef>
          </c:val>
        </c:ser>
        <c:dLbls>
          <c:showLegendKey val="0"/>
          <c:showVal val="0"/>
          <c:showCatName val="0"/>
          <c:showSerName val="0"/>
          <c:showPercent val="0"/>
          <c:showBubbleSize val="0"/>
        </c:dLbls>
        <c:gapWidth val="219"/>
        <c:overlap val="-27"/>
        <c:axId val="1007232016"/>
        <c:axId val="1007233984"/>
      </c:barChart>
      <c:catAx>
        <c:axId val="100723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07233984"/>
        <c:crosses val="autoZero"/>
        <c:auto val="1"/>
        <c:lblAlgn val="ctr"/>
        <c:lblOffset val="100"/>
        <c:noMultiLvlLbl val="0"/>
      </c:catAx>
      <c:valAx>
        <c:axId val="100723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0723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小心有电</cp:lastModifiedBy>
  <dcterms:modified xsi:type="dcterms:W3CDTF">2019-03-29T03:05:13Z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